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iagrams/data1.xml" ContentType="application/vnd.openxmlformats-officedocument.drawingml.diagramData+xml"/>
  <Override PartName="/word/document.xml" ContentType="application/vnd.openxmlformats-officedocument.wordprocessingml.document.main+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3.xml" ContentType="application/vnd.openxmlformats-officedocument.wordprocessingml.footer+xml"/>
  <Override PartName="/word/header1.xml" ContentType="application/vnd.openxmlformats-officedocument.wordprocessingml.header+xml"/>
  <Override PartName="/word/footer4.xml" ContentType="application/vnd.openxmlformats-officedocument.wordprocessingml.footer+xml"/>
  <Override PartName="/word/header3.xml" ContentType="application/vnd.openxmlformats-officedocument.wordprocessingml.header+xml"/>
  <Override PartName="/word/diagrams/colors1.xml" ContentType="application/vnd.openxmlformats-officedocument.drawingml.diagramColors+xml"/>
  <Override PartName="/word/diagrams/layout1.xml" ContentType="application/vnd.openxmlformats-officedocument.drawingml.diagramLayout+xml"/>
  <Override PartName="/word/diagrams/quickStyle1.xml" ContentType="application/vnd.openxmlformats-officedocument.drawingml.diagramStyle+xml"/>
  <Override PartName="/word/diagrams/drawing1.xml" ContentType="application/vnd.ms-office.drawingml.diagramDrawing+xml"/>
  <Override PartName="/word/theme/theme1.xml" ContentType="application/vnd.openxmlformats-officedocument.theme+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docProps/custom.xml" ContentType="application/vnd.openxmlformats-officedocument.custom-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webSettings.xml" ContentType="application/vnd.openxmlformats-officedocument.wordprocessingml.webSettings+xml"/>
  <Override PartName="/word/fontTable.xml" ContentType="application/vnd.openxmlformats-officedocument.wordprocessingml.fontTable+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E7B199" w14:textId="77777777" w:rsidR="00231A45" w:rsidRPr="003F7F6C" w:rsidRDefault="008659EB" w:rsidP="006B5357">
      <w:pPr>
        <w:spacing w:after="0"/>
        <w:ind w:left="2160" w:firstLine="720"/>
        <w:jc w:val="left"/>
        <w:rPr>
          <w:szCs w:val="20"/>
        </w:rPr>
      </w:pPr>
      <w:bookmarkStart w:id="0" w:name="Annex1"/>
      <w:bookmarkStart w:id="1" w:name="_GoBack"/>
      <w:bookmarkEnd w:id="1"/>
      <w:r w:rsidRPr="003F7F6C">
        <w:rPr>
          <w:noProof/>
        </w:rPr>
        <w:drawing>
          <wp:anchor distT="0" distB="0" distL="114300" distR="114300" simplePos="0" relativeHeight="251630592" behindDoc="0" locked="0" layoutInCell="1" allowOverlap="1" wp14:anchorId="543E4E9D" wp14:editId="755AC33C">
            <wp:simplePos x="0" y="0"/>
            <wp:positionH relativeFrom="margin">
              <wp:posOffset>0</wp:posOffset>
            </wp:positionH>
            <wp:positionV relativeFrom="paragraph">
              <wp:posOffset>-1905</wp:posOffset>
            </wp:positionV>
            <wp:extent cx="647065" cy="1380490"/>
            <wp:effectExtent l="0" t="0" r="0" b="0"/>
            <wp:wrapNone/>
            <wp:docPr id="2065" name="Pictur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47065" cy="13804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F7F6C">
        <w:rPr>
          <w:noProof/>
        </w:rPr>
        <w:drawing>
          <wp:anchor distT="0" distB="0" distL="114300" distR="114300" simplePos="0" relativeHeight="251631616" behindDoc="1" locked="0" layoutInCell="1" allowOverlap="1" wp14:anchorId="3600CBB6" wp14:editId="5793C2C8">
            <wp:simplePos x="0" y="0"/>
            <wp:positionH relativeFrom="margin">
              <wp:posOffset>5229225</wp:posOffset>
            </wp:positionH>
            <wp:positionV relativeFrom="paragraph">
              <wp:posOffset>-1905</wp:posOffset>
            </wp:positionV>
            <wp:extent cx="709930" cy="818515"/>
            <wp:effectExtent l="0" t="0" r="0" b="0"/>
            <wp:wrapTight wrapText="bothSides">
              <wp:wrapPolygon edited="0">
                <wp:start x="0" y="0"/>
                <wp:lineTo x="0" y="21114"/>
                <wp:lineTo x="21252" y="21114"/>
                <wp:lineTo x="21252" y="0"/>
                <wp:lineTo x="0" y="0"/>
              </wp:wrapPolygon>
            </wp:wrapTight>
            <wp:docPr id="2064" name="Picture 2" descr="GEF-notag-lowres_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a:ln>
                      <a:noFill/>
                    </a:ln>
                  </pic:spPr>
                </pic:pic>
              </a:graphicData>
            </a:graphic>
            <wp14:sizeRelH relativeFrom="page">
              <wp14:pctWidth>0</wp14:pctWidth>
            </wp14:sizeRelH>
            <wp14:sizeRelV relativeFrom="page">
              <wp14:pctHeight>0</wp14:pctHeight>
            </wp14:sizeRelV>
          </wp:anchor>
        </w:drawing>
      </w:r>
    </w:p>
    <w:bookmarkEnd w:id="0"/>
    <w:p w14:paraId="169507E9" w14:textId="77777777" w:rsidR="00231A45" w:rsidRPr="003F7F6C" w:rsidRDefault="00231A45" w:rsidP="00CE72C2">
      <w:pPr>
        <w:spacing w:after="120"/>
        <w:ind w:left="2160" w:firstLine="720"/>
        <w:rPr>
          <w:rFonts w:cs="Arial"/>
          <w:b/>
          <w:i/>
          <w:szCs w:val="22"/>
        </w:rPr>
      </w:pPr>
    </w:p>
    <w:p w14:paraId="6E5D3A80" w14:textId="77777777" w:rsidR="00231A45" w:rsidRPr="003F7F6C" w:rsidRDefault="00231A45" w:rsidP="00CE72C2">
      <w:pPr>
        <w:spacing w:after="120"/>
        <w:ind w:left="2160" w:firstLine="720"/>
        <w:rPr>
          <w:rFonts w:cs="Arial"/>
          <w:b/>
          <w:i/>
          <w:szCs w:val="22"/>
        </w:rPr>
      </w:pPr>
    </w:p>
    <w:p w14:paraId="099A3DEF" w14:textId="77777777" w:rsidR="00231A45" w:rsidRPr="003F7F6C" w:rsidRDefault="00231A45" w:rsidP="00CE72C2">
      <w:pPr>
        <w:spacing w:after="120"/>
        <w:ind w:left="2160" w:firstLine="720"/>
        <w:rPr>
          <w:rFonts w:cs="Arial"/>
          <w:b/>
          <w:i/>
          <w:szCs w:val="22"/>
        </w:rPr>
      </w:pPr>
    </w:p>
    <w:p w14:paraId="7D46AFFE" w14:textId="77777777" w:rsidR="00DF11B5" w:rsidRPr="003F7F6C" w:rsidRDefault="00E1433A" w:rsidP="00906284">
      <w:pPr>
        <w:spacing w:after="0"/>
        <w:jc w:val="center"/>
        <w:rPr>
          <w:rFonts w:cs="Calibri"/>
          <w:b/>
          <w:szCs w:val="22"/>
        </w:rPr>
      </w:pPr>
      <w:r w:rsidRPr="003F7F6C">
        <w:rPr>
          <w:rFonts w:cs="Calibri"/>
          <w:b/>
          <w:szCs w:val="22"/>
        </w:rPr>
        <w:t>United Nations Development Programme</w:t>
      </w:r>
    </w:p>
    <w:p w14:paraId="1BDAAFFE" w14:textId="77777777" w:rsidR="00906284" w:rsidRPr="003F7F6C" w:rsidRDefault="00906284" w:rsidP="00906284">
      <w:pPr>
        <w:spacing w:after="0"/>
        <w:jc w:val="center"/>
        <w:rPr>
          <w:rFonts w:cs="Calibri"/>
          <w:b/>
          <w:szCs w:val="22"/>
        </w:rPr>
      </w:pPr>
      <w:r w:rsidRPr="003F7F6C">
        <w:rPr>
          <w:rFonts w:cs="Calibri"/>
          <w:b/>
          <w:szCs w:val="22"/>
        </w:rPr>
        <w:t>Country: Argentina</w:t>
      </w:r>
    </w:p>
    <w:p w14:paraId="2F9E5B8C" w14:textId="77777777" w:rsidR="00906284" w:rsidRPr="003F7F6C" w:rsidRDefault="00906284" w:rsidP="00973146">
      <w:pPr>
        <w:spacing w:after="0"/>
        <w:jc w:val="center"/>
        <w:rPr>
          <w:rFonts w:cs="Calibri"/>
          <w:b/>
          <w:szCs w:val="22"/>
        </w:rPr>
      </w:pPr>
      <w:r w:rsidRPr="003F7F6C">
        <w:rPr>
          <w:rFonts w:cs="Calibri"/>
          <w:b/>
          <w:szCs w:val="22"/>
        </w:rPr>
        <w:t>PROJECT DOCUMENT</w:t>
      </w:r>
    </w:p>
    <w:p w14:paraId="692ACD25" w14:textId="77777777" w:rsidR="00906284" w:rsidRPr="003F7F6C" w:rsidRDefault="00906284" w:rsidP="00973146">
      <w:pPr>
        <w:spacing w:after="0"/>
        <w:jc w:val="center"/>
        <w:rPr>
          <w:rFonts w:ascii="Times New Roman" w:hAnsi="Times New Roman"/>
          <w:b/>
          <w:szCs w:val="22"/>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1620"/>
        <w:gridCol w:w="23"/>
        <w:gridCol w:w="337"/>
        <w:gridCol w:w="3240"/>
      </w:tblGrid>
      <w:tr w:rsidR="00B270EB" w:rsidRPr="003F7F6C" w14:paraId="4B5EFA54" w14:textId="77777777" w:rsidTr="0003763F">
        <w:trPr>
          <w:trHeight w:val="548"/>
        </w:trPr>
        <w:tc>
          <w:tcPr>
            <w:tcW w:w="9355" w:type="dxa"/>
            <w:gridSpan w:val="6"/>
            <w:shd w:val="clear" w:color="auto" w:fill="auto"/>
          </w:tcPr>
          <w:p w14:paraId="2A0CE2A1" w14:textId="77777777" w:rsidR="00B270EB" w:rsidRPr="003F7F6C" w:rsidRDefault="00235AE4" w:rsidP="00973146">
            <w:pPr>
              <w:pStyle w:val="NormalWeb"/>
              <w:spacing w:before="0" w:beforeAutospacing="0" w:after="0" w:afterAutospacing="0"/>
              <w:jc w:val="left"/>
              <w:rPr>
                <w:rFonts w:ascii="Calibri" w:hAnsi="Calibri" w:cs="Calibri"/>
                <w:sz w:val="20"/>
                <w:szCs w:val="20"/>
                <w:lang w:eastAsia="es-ES_tradnl"/>
              </w:rPr>
            </w:pPr>
            <w:r w:rsidRPr="003F7F6C">
              <w:rPr>
                <w:rFonts w:ascii="Calibri" w:hAnsi="Calibri" w:cs="Calibri"/>
                <w:b/>
                <w:sz w:val="20"/>
                <w:szCs w:val="20"/>
              </w:rPr>
              <w:t xml:space="preserve">Project title: </w:t>
            </w:r>
            <w:r w:rsidR="00906284" w:rsidRPr="003F7F6C">
              <w:rPr>
                <w:rFonts w:ascii="Calibri" w:hAnsi="Calibri" w:cs="Calibri"/>
                <w:sz w:val="20"/>
                <w:szCs w:val="20"/>
              </w:rPr>
              <w:t xml:space="preserve">Mainstreaming biodiversity conservation and sustainable land management (SLM) into development planning: Making Environmental Land Use Planning (ELUP) Operational in Argentina </w:t>
            </w:r>
          </w:p>
        </w:tc>
      </w:tr>
      <w:tr w:rsidR="0077088A" w:rsidRPr="003F7F6C" w14:paraId="029DC63D" w14:textId="77777777" w:rsidTr="00973146">
        <w:trPr>
          <w:trHeight w:val="866"/>
        </w:trPr>
        <w:tc>
          <w:tcPr>
            <w:tcW w:w="2509" w:type="dxa"/>
            <w:shd w:val="clear" w:color="auto" w:fill="auto"/>
          </w:tcPr>
          <w:p w14:paraId="15B63911" w14:textId="77777777" w:rsidR="0077088A" w:rsidRPr="003F7F6C" w:rsidRDefault="0077088A" w:rsidP="00973146">
            <w:pPr>
              <w:spacing w:after="0"/>
              <w:jc w:val="left"/>
              <w:rPr>
                <w:rFonts w:cs="Calibri"/>
                <w:b/>
                <w:szCs w:val="20"/>
              </w:rPr>
            </w:pPr>
            <w:r w:rsidRPr="003F7F6C">
              <w:rPr>
                <w:rFonts w:cs="Calibri"/>
                <w:b/>
                <w:szCs w:val="20"/>
              </w:rPr>
              <w:t xml:space="preserve">Country:  </w:t>
            </w:r>
            <w:r w:rsidR="00906284" w:rsidRPr="003F7F6C">
              <w:rPr>
                <w:rFonts w:cs="Calibri"/>
                <w:szCs w:val="20"/>
              </w:rPr>
              <w:t>Argentina</w:t>
            </w:r>
          </w:p>
        </w:tc>
        <w:tc>
          <w:tcPr>
            <w:tcW w:w="3606" w:type="dxa"/>
            <w:gridSpan w:val="4"/>
            <w:shd w:val="clear" w:color="auto" w:fill="auto"/>
          </w:tcPr>
          <w:p w14:paraId="0AB7FEC5" w14:textId="77777777" w:rsidR="0077088A" w:rsidRPr="003F7F6C" w:rsidRDefault="0077088A" w:rsidP="00973146">
            <w:pPr>
              <w:pStyle w:val="NormalWeb"/>
              <w:spacing w:before="0" w:beforeAutospacing="0" w:after="0" w:afterAutospacing="0"/>
              <w:jc w:val="left"/>
              <w:rPr>
                <w:rFonts w:ascii="Calibri" w:hAnsi="Calibri" w:cs="Calibri"/>
                <w:sz w:val="20"/>
                <w:szCs w:val="20"/>
                <w:lang w:eastAsia="es-ES_tradnl"/>
              </w:rPr>
            </w:pPr>
            <w:r w:rsidRPr="003F7F6C">
              <w:rPr>
                <w:rFonts w:ascii="Calibri" w:hAnsi="Calibri" w:cs="Calibri"/>
                <w:b/>
                <w:sz w:val="20"/>
                <w:szCs w:val="20"/>
              </w:rPr>
              <w:t xml:space="preserve">Implementing Partner:  </w:t>
            </w:r>
            <w:r w:rsidR="00126C4F" w:rsidRPr="003F7F6C">
              <w:rPr>
                <w:rFonts w:ascii="Calibri" w:hAnsi="Calibri" w:cs="Calibri"/>
                <w:sz w:val="20"/>
                <w:szCs w:val="20"/>
              </w:rPr>
              <w:t xml:space="preserve">Secretariat </w:t>
            </w:r>
            <w:r w:rsidR="00906284" w:rsidRPr="003F7F6C">
              <w:rPr>
                <w:rFonts w:ascii="Calibri" w:hAnsi="Calibri" w:cs="Calibri"/>
                <w:sz w:val="20"/>
                <w:szCs w:val="20"/>
              </w:rPr>
              <w:t>of the Environmen</w:t>
            </w:r>
            <w:r w:rsidR="00126C4F" w:rsidRPr="003F7F6C">
              <w:rPr>
                <w:rFonts w:ascii="Calibri" w:hAnsi="Calibri" w:cs="Calibri"/>
                <w:sz w:val="20"/>
                <w:szCs w:val="20"/>
              </w:rPr>
              <w:t>t and Sustainable Development (SG</w:t>
            </w:r>
            <w:r w:rsidR="00906284" w:rsidRPr="003F7F6C">
              <w:rPr>
                <w:rFonts w:ascii="Calibri" w:hAnsi="Calibri" w:cs="Calibri"/>
                <w:sz w:val="20"/>
                <w:szCs w:val="20"/>
              </w:rPr>
              <w:t xml:space="preserve">AyDS) </w:t>
            </w:r>
          </w:p>
        </w:tc>
        <w:tc>
          <w:tcPr>
            <w:tcW w:w="3240" w:type="dxa"/>
            <w:shd w:val="clear" w:color="auto" w:fill="auto"/>
          </w:tcPr>
          <w:p w14:paraId="4FB58AE1" w14:textId="77777777" w:rsidR="0077088A" w:rsidRPr="003F7F6C" w:rsidRDefault="00F81B41" w:rsidP="00973146">
            <w:pPr>
              <w:spacing w:after="0"/>
              <w:jc w:val="left"/>
              <w:rPr>
                <w:rFonts w:cs="Calibri"/>
                <w:i/>
                <w:szCs w:val="20"/>
                <w:lang w:val="fr-CA"/>
              </w:rPr>
            </w:pPr>
            <w:r w:rsidRPr="003F7F6C">
              <w:rPr>
                <w:rFonts w:cs="Calibri"/>
                <w:b/>
                <w:szCs w:val="20"/>
                <w:lang w:val="fr-CA"/>
              </w:rPr>
              <w:t xml:space="preserve">Management Arrangements: </w:t>
            </w:r>
            <w:r w:rsidR="0077088A" w:rsidRPr="003F7F6C">
              <w:rPr>
                <w:rFonts w:cs="Calibri"/>
                <w:szCs w:val="20"/>
                <w:lang w:val="fr-CA"/>
              </w:rPr>
              <w:t>National Implementation Modality (NIM)</w:t>
            </w:r>
            <w:r w:rsidR="0077088A" w:rsidRPr="003F7F6C">
              <w:rPr>
                <w:rFonts w:cs="Calibri"/>
                <w:i/>
                <w:szCs w:val="20"/>
                <w:lang w:val="fr-CA"/>
              </w:rPr>
              <w:t xml:space="preserve"> </w:t>
            </w:r>
          </w:p>
        </w:tc>
      </w:tr>
      <w:tr w:rsidR="0077088A" w:rsidRPr="003F7F6C" w14:paraId="48BB49A6" w14:textId="77777777" w:rsidTr="0003763F">
        <w:tc>
          <w:tcPr>
            <w:tcW w:w="9355" w:type="dxa"/>
            <w:gridSpan w:val="6"/>
            <w:shd w:val="clear" w:color="auto" w:fill="auto"/>
          </w:tcPr>
          <w:p w14:paraId="79CAC63B" w14:textId="77777777" w:rsidR="0077088A" w:rsidRPr="003F7F6C" w:rsidRDefault="0077088A" w:rsidP="00973146">
            <w:pPr>
              <w:spacing w:after="0"/>
              <w:jc w:val="left"/>
              <w:rPr>
                <w:rFonts w:cs="Calibri"/>
                <w:i/>
                <w:szCs w:val="20"/>
              </w:rPr>
            </w:pPr>
            <w:r w:rsidRPr="003F7F6C">
              <w:rPr>
                <w:rFonts w:cs="Calibri"/>
                <w:b/>
                <w:szCs w:val="20"/>
              </w:rPr>
              <w:t>UNDAF/Country Programme Outcome</w:t>
            </w:r>
            <w:r w:rsidRPr="003F7F6C">
              <w:rPr>
                <w:rFonts w:cs="Calibri"/>
                <w:i/>
                <w:szCs w:val="20"/>
              </w:rPr>
              <w:t xml:space="preserve">: </w:t>
            </w:r>
          </w:p>
          <w:p w14:paraId="7323CEDA" w14:textId="03689C88" w:rsidR="00973146" w:rsidRPr="003F7F6C" w:rsidRDefault="00973146" w:rsidP="00973146">
            <w:pPr>
              <w:spacing w:after="0"/>
              <w:rPr>
                <w:rFonts w:cs="Calibri"/>
                <w:szCs w:val="20"/>
              </w:rPr>
            </w:pPr>
            <w:r w:rsidRPr="003F7F6C">
              <w:rPr>
                <w:rFonts w:cs="Calibri"/>
                <w:bCs/>
                <w:szCs w:val="20"/>
              </w:rPr>
              <w:t xml:space="preserve">UNDAF Outcome 4: </w:t>
            </w:r>
            <w:r w:rsidRPr="003F7F6C">
              <w:rPr>
                <w:rFonts w:cs="Calibri"/>
                <w:szCs w:val="20"/>
              </w:rPr>
              <w:t xml:space="preserve">By 2020, the country will have reinforced the sustainable management of natural resources and implemented adaptation and mitigation policies with respect to climate change and man-made damage, using a gender and intercultural approach </w:t>
            </w:r>
          </w:p>
          <w:p w14:paraId="3FC3770F" w14:textId="77777777" w:rsidR="00973146" w:rsidRPr="003F7F6C" w:rsidRDefault="00973146" w:rsidP="00126C4F">
            <w:pPr>
              <w:spacing w:after="0"/>
              <w:rPr>
                <w:rFonts w:cs="Calibri"/>
                <w:szCs w:val="20"/>
              </w:rPr>
            </w:pPr>
            <w:r w:rsidRPr="003F7F6C">
              <w:rPr>
                <w:rFonts w:cs="Calibri"/>
                <w:szCs w:val="20"/>
              </w:rPr>
              <w:t>CPD Output 4.1: Land use strategies promoted for the sustainable management of natural resources and ecosystems</w:t>
            </w:r>
          </w:p>
        </w:tc>
      </w:tr>
      <w:tr w:rsidR="00AE7EF6" w:rsidRPr="003F7F6C" w14:paraId="38593441" w14:textId="77777777" w:rsidTr="00973146">
        <w:trPr>
          <w:trHeight w:val="834"/>
        </w:trPr>
        <w:tc>
          <w:tcPr>
            <w:tcW w:w="9355" w:type="dxa"/>
            <w:gridSpan w:val="6"/>
            <w:shd w:val="clear" w:color="auto" w:fill="auto"/>
          </w:tcPr>
          <w:p w14:paraId="54053EEB" w14:textId="77777777" w:rsidR="00AE7EF6" w:rsidRPr="003F7F6C" w:rsidRDefault="00AE7EF6" w:rsidP="00973146">
            <w:pPr>
              <w:spacing w:after="0"/>
              <w:rPr>
                <w:rFonts w:cs="Calibri"/>
                <w:b/>
                <w:szCs w:val="20"/>
              </w:rPr>
            </w:pPr>
            <w:r w:rsidRPr="003F7F6C">
              <w:rPr>
                <w:rFonts w:cs="Calibri"/>
                <w:b/>
                <w:szCs w:val="20"/>
              </w:rPr>
              <w:t xml:space="preserve">UNDP Strategic Plan Output: </w:t>
            </w:r>
          </w:p>
          <w:p w14:paraId="684BA080" w14:textId="77777777" w:rsidR="00973146" w:rsidRPr="003F7F6C" w:rsidRDefault="00973146" w:rsidP="00973146">
            <w:pPr>
              <w:spacing w:after="0"/>
              <w:rPr>
                <w:rFonts w:ascii="Times New Roman" w:hAnsi="Times New Roman"/>
                <w:b/>
                <w:szCs w:val="20"/>
              </w:rPr>
            </w:pPr>
            <w:r w:rsidRPr="003F7F6C">
              <w:rPr>
                <w:rFonts w:cs="Calibri"/>
                <w:szCs w:val="20"/>
              </w:rPr>
              <w:t>Output 1.4.1: Solutions scaled up for sustainable management of natural resources, including sustainable commodities and green and inclusive value chains</w:t>
            </w:r>
          </w:p>
        </w:tc>
      </w:tr>
      <w:tr w:rsidR="0077088A" w:rsidRPr="003F7F6C" w14:paraId="7B2BBFD1" w14:textId="77777777" w:rsidTr="004F58E6">
        <w:trPr>
          <w:trHeight w:val="615"/>
        </w:trPr>
        <w:tc>
          <w:tcPr>
            <w:tcW w:w="5778" w:type="dxa"/>
            <w:gridSpan w:val="4"/>
            <w:shd w:val="clear" w:color="auto" w:fill="auto"/>
          </w:tcPr>
          <w:p w14:paraId="51366EB7" w14:textId="77777777" w:rsidR="0077088A" w:rsidRPr="003F7F6C" w:rsidRDefault="0077088A" w:rsidP="00973146">
            <w:pPr>
              <w:spacing w:after="0"/>
              <w:jc w:val="left"/>
              <w:rPr>
                <w:rFonts w:cs="Calibri"/>
                <w:b/>
                <w:szCs w:val="20"/>
              </w:rPr>
            </w:pPr>
            <w:r w:rsidRPr="003F7F6C">
              <w:rPr>
                <w:rFonts w:cs="Calibri"/>
                <w:b/>
                <w:szCs w:val="20"/>
              </w:rPr>
              <w:t xml:space="preserve">UNDP Social and Environmental Screening Category:  </w:t>
            </w:r>
          </w:p>
          <w:p w14:paraId="304238CD" w14:textId="77777777" w:rsidR="00BF02BF" w:rsidRPr="003F7F6C" w:rsidRDefault="00BF02BF" w:rsidP="00973146">
            <w:pPr>
              <w:spacing w:after="0"/>
              <w:jc w:val="left"/>
              <w:rPr>
                <w:rFonts w:cs="Calibri"/>
                <w:i/>
                <w:szCs w:val="20"/>
              </w:rPr>
            </w:pPr>
            <w:r w:rsidRPr="003F7F6C">
              <w:rPr>
                <w:rFonts w:cs="Calibri"/>
                <w:szCs w:val="20"/>
              </w:rPr>
              <w:t>Moderate</w:t>
            </w:r>
          </w:p>
        </w:tc>
        <w:tc>
          <w:tcPr>
            <w:tcW w:w="3577" w:type="dxa"/>
            <w:gridSpan w:val="2"/>
            <w:shd w:val="clear" w:color="auto" w:fill="auto"/>
          </w:tcPr>
          <w:p w14:paraId="7789CD89" w14:textId="77777777" w:rsidR="003E0CDB" w:rsidRPr="003F7F6C" w:rsidRDefault="0077088A" w:rsidP="00973146">
            <w:pPr>
              <w:spacing w:after="0"/>
              <w:jc w:val="left"/>
              <w:rPr>
                <w:rFonts w:cs="Calibri"/>
                <w:b/>
                <w:szCs w:val="20"/>
              </w:rPr>
            </w:pPr>
            <w:r w:rsidRPr="003F7F6C">
              <w:rPr>
                <w:rFonts w:cs="Calibri"/>
                <w:b/>
                <w:szCs w:val="20"/>
              </w:rPr>
              <w:t xml:space="preserve">UNDP Gender Marker: </w:t>
            </w:r>
          </w:p>
          <w:p w14:paraId="7C9F0264" w14:textId="77777777" w:rsidR="00BF02BF" w:rsidRPr="003F7F6C" w:rsidRDefault="00CC7F9C" w:rsidP="00973146">
            <w:pPr>
              <w:spacing w:after="0"/>
              <w:jc w:val="left"/>
              <w:rPr>
                <w:rFonts w:cs="Calibri"/>
                <w:i/>
              </w:rPr>
            </w:pPr>
            <w:r w:rsidRPr="003F7F6C">
              <w:rPr>
                <w:rFonts w:cs="Calibri"/>
                <w:szCs w:val="20"/>
              </w:rPr>
              <w:t>2</w:t>
            </w:r>
          </w:p>
        </w:tc>
      </w:tr>
      <w:tr w:rsidR="0077088A" w:rsidRPr="003F7F6C" w14:paraId="3DFA2F29" w14:textId="77777777" w:rsidTr="004F58E6">
        <w:tc>
          <w:tcPr>
            <w:tcW w:w="5778" w:type="dxa"/>
            <w:gridSpan w:val="4"/>
            <w:shd w:val="clear" w:color="auto" w:fill="auto"/>
          </w:tcPr>
          <w:p w14:paraId="586AC11E" w14:textId="77777777" w:rsidR="0053772A" w:rsidRPr="003F7F6C" w:rsidRDefault="0077088A" w:rsidP="00973146">
            <w:pPr>
              <w:spacing w:after="0"/>
              <w:jc w:val="left"/>
              <w:rPr>
                <w:rFonts w:cs="Calibri"/>
                <w:color w:val="FF0000"/>
                <w:szCs w:val="20"/>
                <w:lang w:eastAsia="zh-CN"/>
              </w:rPr>
            </w:pPr>
            <w:r w:rsidRPr="003F7F6C">
              <w:rPr>
                <w:rFonts w:cs="Calibri"/>
                <w:b/>
                <w:szCs w:val="20"/>
              </w:rPr>
              <w:t xml:space="preserve">Atlas </w:t>
            </w:r>
            <w:r w:rsidRPr="003F7F6C">
              <w:rPr>
                <w:rFonts w:cs="Calibri"/>
                <w:b/>
                <w:szCs w:val="20"/>
                <w:lang w:eastAsia="zh-CN"/>
              </w:rPr>
              <w:t>Pro</w:t>
            </w:r>
            <w:r w:rsidR="00133018" w:rsidRPr="003F7F6C">
              <w:rPr>
                <w:rFonts w:cs="Calibri"/>
                <w:b/>
                <w:szCs w:val="20"/>
                <w:lang w:eastAsia="zh-CN"/>
              </w:rPr>
              <w:t>ject ID</w:t>
            </w:r>
            <w:r w:rsidR="0053772A" w:rsidRPr="003F7F6C">
              <w:rPr>
                <w:rFonts w:cs="Calibri"/>
                <w:b/>
                <w:szCs w:val="20"/>
                <w:lang w:eastAsia="zh-CN"/>
              </w:rPr>
              <w:t xml:space="preserve"> (formerly </w:t>
            </w:r>
            <w:r w:rsidRPr="003F7F6C">
              <w:rPr>
                <w:rFonts w:cs="Calibri"/>
                <w:b/>
                <w:szCs w:val="20"/>
              </w:rPr>
              <w:t>Award ID</w:t>
            </w:r>
            <w:r w:rsidR="0053772A" w:rsidRPr="003F7F6C">
              <w:rPr>
                <w:rFonts w:cs="Calibri"/>
                <w:b/>
                <w:szCs w:val="20"/>
              </w:rPr>
              <w:t>):</w:t>
            </w:r>
            <w:r w:rsidRPr="003F7F6C">
              <w:rPr>
                <w:rFonts w:cs="Calibri"/>
                <w:b/>
                <w:szCs w:val="20"/>
              </w:rPr>
              <w:t xml:space="preserve">  </w:t>
            </w:r>
            <w:r w:rsidR="00902B3D" w:rsidRPr="003F7F6C">
              <w:rPr>
                <w:rFonts w:cs="Calibri"/>
                <w:szCs w:val="20"/>
              </w:rPr>
              <w:t>114826</w:t>
            </w:r>
          </w:p>
        </w:tc>
        <w:tc>
          <w:tcPr>
            <w:tcW w:w="3577" w:type="dxa"/>
            <w:gridSpan w:val="2"/>
            <w:shd w:val="clear" w:color="auto" w:fill="auto"/>
          </w:tcPr>
          <w:p w14:paraId="127F700C" w14:textId="77777777" w:rsidR="0077088A" w:rsidRPr="003F7F6C" w:rsidRDefault="0077088A" w:rsidP="00973146">
            <w:pPr>
              <w:spacing w:after="0"/>
              <w:jc w:val="left"/>
              <w:rPr>
                <w:rFonts w:cs="Calibri"/>
                <w:color w:val="FF0000"/>
                <w:szCs w:val="20"/>
              </w:rPr>
            </w:pPr>
            <w:r w:rsidRPr="003F7F6C">
              <w:rPr>
                <w:rFonts w:cs="Calibri"/>
                <w:b/>
                <w:szCs w:val="20"/>
              </w:rPr>
              <w:t xml:space="preserve">Atlas </w:t>
            </w:r>
            <w:r w:rsidR="00133018" w:rsidRPr="003F7F6C">
              <w:rPr>
                <w:rFonts w:cs="Calibri"/>
                <w:b/>
                <w:szCs w:val="20"/>
              </w:rPr>
              <w:t>O</w:t>
            </w:r>
            <w:r w:rsidRPr="003F7F6C">
              <w:rPr>
                <w:rFonts w:cs="Calibri"/>
                <w:b/>
                <w:szCs w:val="20"/>
                <w:lang w:eastAsia="zh-CN"/>
              </w:rPr>
              <w:t>utput</w:t>
            </w:r>
            <w:r w:rsidR="00133018" w:rsidRPr="003F7F6C">
              <w:rPr>
                <w:rFonts w:cs="Calibri"/>
                <w:b/>
                <w:szCs w:val="20"/>
                <w:lang w:eastAsia="zh-CN"/>
              </w:rPr>
              <w:t xml:space="preserve"> ID</w:t>
            </w:r>
            <w:r w:rsidR="0053772A" w:rsidRPr="003F7F6C">
              <w:rPr>
                <w:rFonts w:cs="Calibri"/>
                <w:b/>
                <w:szCs w:val="20"/>
                <w:lang w:eastAsia="zh-CN"/>
              </w:rPr>
              <w:t xml:space="preserve"> (formerly P</w:t>
            </w:r>
            <w:r w:rsidRPr="003F7F6C">
              <w:rPr>
                <w:rFonts w:cs="Calibri"/>
                <w:b/>
                <w:szCs w:val="20"/>
              </w:rPr>
              <w:t>roject ID</w:t>
            </w:r>
            <w:r w:rsidR="0053772A" w:rsidRPr="003F7F6C">
              <w:rPr>
                <w:rFonts w:cs="Calibri"/>
                <w:b/>
                <w:szCs w:val="20"/>
              </w:rPr>
              <w:t>)</w:t>
            </w:r>
            <w:r w:rsidRPr="003F7F6C">
              <w:rPr>
                <w:rFonts w:cs="Calibri"/>
                <w:b/>
                <w:szCs w:val="20"/>
              </w:rPr>
              <w:t xml:space="preserve">:  </w:t>
            </w:r>
            <w:r w:rsidR="00902B3D" w:rsidRPr="003F7F6C">
              <w:rPr>
                <w:rFonts w:cs="Calibri"/>
                <w:szCs w:val="20"/>
              </w:rPr>
              <w:t>112703</w:t>
            </w:r>
          </w:p>
        </w:tc>
      </w:tr>
      <w:tr w:rsidR="0077088A" w:rsidRPr="003F7F6C" w14:paraId="592288F4" w14:textId="77777777" w:rsidTr="004F58E6">
        <w:tc>
          <w:tcPr>
            <w:tcW w:w="5778" w:type="dxa"/>
            <w:gridSpan w:val="4"/>
            <w:shd w:val="clear" w:color="auto" w:fill="auto"/>
          </w:tcPr>
          <w:p w14:paraId="41F01794" w14:textId="77777777" w:rsidR="0077088A" w:rsidRPr="003F7F6C" w:rsidRDefault="0077088A" w:rsidP="0003763F">
            <w:pPr>
              <w:spacing w:after="240"/>
              <w:jc w:val="left"/>
              <w:rPr>
                <w:rFonts w:cs="Calibri"/>
                <w:szCs w:val="20"/>
              </w:rPr>
            </w:pPr>
            <w:r w:rsidRPr="003F7F6C">
              <w:rPr>
                <w:rFonts w:cs="Calibri"/>
                <w:b/>
                <w:szCs w:val="20"/>
              </w:rPr>
              <w:t>UNDP-GEF PIMS ID</w:t>
            </w:r>
            <w:r w:rsidR="0089430E" w:rsidRPr="003F7F6C">
              <w:rPr>
                <w:rFonts w:cs="Calibri"/>
                <w:b/>
                <w:szCs w:val="20"/>
              </w:rPr>
              <w:t xml:space="preserve"> number</w:t>
            </w:r>
            <w:r w:rsidRPr="003F7F6C">
              <w:rPr>
                <w:rFonts w:cs="Calibri"/>
                <w:b/>
                <w:szCs w:val="20"/>
              </w:rPr>
              <w:t xml:space="preserve">:  </w:t>
            </w:r>
            <w:r w:rsidR="00973146" w:rsidRPr="003F7F6C">
              <w:rPr>
                <w:rFonts w:cs="Calibri"/>
                <w:szCs w:val="20"/>
              </w:rPr>
              <w:t>5791</w:t>
            </w:r>
          </w:p>
        </w:tc>
        <w:tc>
          <w:tcPr>
            <w:tcW w:w="3577" w:type="dxa"/>
            <w:gridSpan w:val="2"/>
            <w:shd w:val="clear" w:color="auto" w:fill="auto"/>
          </w:tcPr>
          <w:p w14:paraId="32C560E2" w14:textId="77777777" w:rsidR="0077088A" w:rsidRPr="003F7F6C" w:rsidRDefault="0077088A" w:rsidP="0003763F">
            <w:pPr>
              <w:spacing w:after="240"/>
              <w:jc w:val="left"/>
              <w:rPr>
                <w:rFonts w:cs="Calibri"/>
                <w:szCs w:val="20"/>
              </w:rPr>
            </w:pPr>
            <w:r w:rsidRPr="003F7F6C">
              <w:rPr>
                <w:rFonts w:cs="Calibri"/>
                <w:b/>
                <w:szCs w:val="20"/>
              </w:rPr>
              <w:t>GEF ID</w:t>
            </w:r>
            <w:r w:rsidR="0089430E" w:rsidRPr="003F7F6C">
              <w:rPr>
                <w:rFonts w:cs="Calibri"/>
                <w:b/>
                <w:szCs w:val="20"/>
              </w:rPr>
              <w:t xml:space="preserve"> number</w:t>
            </w:r>
            <w:r w:rsidRPr="003F7F6C">
              <w:rPr>
                <w:rFonts w:cs="Calibri"/>
                <w:b/>
                <w:szCs w:val="20"/>
              </w:rPr>
              <w:t>:</w:t>
            </w:r>
            <w:r w:rsidR="00973146" w:rsidRPr="003F7F6C">
              <w:rPr>
                <w:rFonts w:cs="Calibri"/>
                <w:szCs w:val="20"/>
              </w:rPr>
              <w:t xml:space="preserve"> 9583</w:t>
            </w:r>
          </w:p>
        </w:tc>
      </w:tr>
      <w:tr w:rsidR="0077088A" w:rsidRPr="003F7F6C" w14:paraId="0E92D2C2" w14:textId="77777777" w:rsidTr="004F58E6">
        <w:trPr>
          <w:trHeight w:val="379"/>
        </w:trPr>
        <w:tc>
          <w:tcPr>
            <w:tcW w:w="5778" w:type="dxa"/>
            <w:gridSpan w:val="4"/>
            <w:shd w:val="clear" w:color="auto" w:fill="auto"/>
          </w:tcPr>
          <w:p w14:paraId="1CECE417" w14:textId="77777777" w:rsidR="0077088A" w:rsidRPr="003F7F6C" w:rsidRDefault="0077088A" w:rsidP="0003763F">
            <w:pPr>
              <w:spacing w:after="240"/>
              <w:jc w:val="left"/>
              <w:rPr>
                <w:rFonts w:cs="Calibri"/>
                <w:b/>
                <w:szCs w:val="20"/>
              </w:rPr>
            </w:pPr>
            <w:r w:rsidRPr="003F7F6C">
              <w:rPr>
                <w:rFonts w:cs="Calibri"/>
                <w:b/>
                <w:szCs w:val="20"/>
              </w:rPr>
              <w:t xml:space="preserve">Planned start date: </w:t>
            </w:r>
            <w:r w:rsidR="00F54A9E" w:rsidRPr="003F7F6C">
              <w:rPr>
                <w:rFonts w:cs="Calibri"/>
                <w:b/>
                <w:szCs w:val="20"/>
              </w:rPr>
              <w:t>March</w:t>
            </w:r>
            <w:r w:rsidR="00CC7F9C" w:rsidRPr="003F7F6C">
              <w:rPr>
                <w:rFonts w:cs="Calibri"/>
                <w:b/>
                <w:szCs w:val="20"/>
              </w:rPr>
              <w:t xml:space="preserve"> 2019</w:t>
            </w:r>
          </w:p>
        </w:tc>
        <w:tc>
          <w:tcPr>
            <w:tcW w:w="3577" w:type="dxa"/>
            <w:gridSpan w:val="2"/>
            <w:shd w:val="clear" w:color="auto" w:fill="auto"/>
          </w:tcPr>
          <w:p w14:paraId="46F70BF7" w14:textId="77777777" w:rsidR="0077088A" w:rsidRPr="003F7F6C" w:rsidRDefault="0077088A" w:rsidP="0003763F">
            <w:pPr>
              <w:spacing w:after="240"/>
              <w:jc w:val="left"/>
              <w:rPr>
                <w:rFonts w:cs="Calibri"/>
                <w:i/>
                <w:szCs w:val="20"/>
              </w:rPr>
            </w:pPr>
            <w:r w:rsidRPr="003F7F6C">
              <w:rPr>
                <w:rFonts w:cs="Calibri"/>
                <w:b/>
                <w:szCs w:val="20"/>
              </w:rPr>
              <w:t xml:space="preserve">Planned end date:  </w:t>
            </w:r>
            <w:r w:rsidR="00F54A9E" w:rsidRPr="003F7F6C">
              <w:rPr>
                <w:rFonts w:cs="Calibri"/>
                <w:b/>
                <w:szCs w:val="20"/>
              </w:rPr>
              <w:t>March</w:t>
            </w:r>
            <w:r w:rsidR="00CC7F9C" w:rsidRPr="003F7F6C">
              <w:rPr>
                <w:rFonts w:cs="Calibri"/>
                <w:b/>
                <w:szCs w:val="20"/>
              </w:rPr>
              <w:t xml:space="preserve"> 2025</w:t>
            </w:r>
          </w:p>
        </w:tc>
      </w:tr>
      <w:tr w:rsidR="00133018" w:rsidRPr="003F7F6C" w14:paraId="30E155D5" w14:textId="77777777" w:rsidTr="0003763F">
        <w:tc>
          <w:tcPr>
            <w:tcW w:w="9355" w:type="dxa"/>
            <w:gridSpan w:val="6"/>
            <w:shd w:val="clear" w:color="auto" w:fill="auto"/>
          </w:tcPr>
          <w:p w14:paraId="31AC0FA7" w14:textId="14FDE8C9" w:rsidR="00051A25" w:rsidRPr="003F7F6C" w:rsidRDefault="00133018" w:rsidP="00302277">
            <w:pPr>
              <w:spacing w:after="240"/>
              <w:jc w:val="left"/>
              <w:rPr>
                <w:rFonts w:cs="Calibri"/>
                <w:color w:val="FF0000"/>
                <w:szCs w:val="20"/>
              </w:rPr>
            </w:pPr>
            <w:r w:rsidRPr="003F7F6C">
              <w:rPr>
                <w:rFonts w:cs="Calibri"/>
                <w:b/>
                <w:szCs w:val="20"/>
              </w:rPr>
              <w:t xml:space="preserve">PAC </w:t>
            </w:r>
            <w:r w:rsidR="00E55298" w:rsidRPr="003F7F6C">
              <w:rPr>
                <w:rFonts w:cs="Calibri"/>
                <w:b/>
                <w:szCs w:val="20"/>
              </w:rPr>
              <w:t xml:space="preserve">meeting </w:t>
            </w:r>
            <w:r w:rsidRPr="003F7F6C">
              <w:rPr>
                <w:rFonts w:cs="Calibri"/>
                <w:b/>
                <w:szCs w:val="20"/>
              </w:rPr>
              <w:t>date</w:t>
            </w:r>
            <w:r w:rsidR="0096798B" w:rsidRPr="003F7F6C">
              <w:rPr>
                <w:rFonts w:cs="Calibri"/>
                <w:color w:val="0000FF"/>
                <w:szCs w:val="20"/>
                <w:u w:val="single"/>
              </w:rPr>
              <w:t xml:space="preserve"> </w:t>
            </w:r>
            <w:r w:rsidR="00CD5122" w:rsidRPr="003F7F6C">
              <w:rPr>
                <w:rFonts w:cs="Calibri"/>
                <w:color w:val="0000FF"/>
                <w:szCs w:val="20"/>
                <w:u w:val="single"/>
              </w:rPr>
              <w:t>TBD</w:t>
            </w:r>
          </w:p>
        </w:tc>
      </w:tr>
      <w:tr w:rsidR="009E44C7" w:rsidRPr="003F7F6C" w14:paraId="5F9CDE45" w14:textId="77777777" w:rsidTr="0003763F">
        <w:tc>
          <w:tcPr>
            <w:tcW w:w="9355" w:type="dxa"/>
            <w:gridSpan w:val="6"/>
            <w:shd w:val="clear" w:color="auto" w:fill="auto"/>
          </w:tcPr>
          <w:p w14:paraId="4FA68FE3" w14:textId="77777777" w:rsidR="009E44C7" w:rsidRPr="003F7F6C" w:rsidRDefault="009E44C7" w:rsidP="0003763F">
            <w:pPr>
              <w:spacing w:after="240"/>
              <w:jc w:val="left"/>
              <w:rPr>
                <w:rFonts w:cs="Calibri"/>
                <w:b/>
                <w:szCs w:val="20"/>
              </w:rPr>
            </w:pPr>
            <w:r w:rsidRPr="003F7F6C">
              <w:rPr>
                <w:rFonts w:cs="Calibri"/>
                <w:b/>
                <w:szCs w:val="20"/>
              </w:rPr>
              <w:t>Brief project description:</w:t>
            </w:r>
            <w:r w:rsidR="0089430E" w:rsidRPr="003F7F6C">
              <w:rPr>
                <w:rFonts w:cs="Calibri"/>
                <w:b/>
                <w:szCs w:val="20"/>
              </w:rPr>
              <w:t xml:space="preserve"> </w:t>
            </w:r>
          </w:p>
          <w:p w14:paraId="43EAEA8E" w14:textId="77777777" w:rsidR="00DF3B9B" w:rsidRPr="003F7F6C" w:rsidRDefault="00102329" w:rsidP="00DF3B9B">
            <w:pPr>
              <w:pStyle w:val="NormalWeb"/>
              <w:shd w:val="clear" w:color="auto" w:fill="FFFFFF"/>
              <w:tabs>
                <w:tab w:val="left" w:pos="426"/>
              </w:tabs>
              <w:spacing w:before="0" w:beforeAutospacing="0" w:after="240" w:afterAutospacing="0"/>
              <w:rPr>
                <w:rFonts w:ascii="Calibri" w:hAnsi="Calibri" w:cs="Calibri"/>
                <w:sz w:val="20"/>
                <w:szCs w:val="20"/>
              </w:rPr>
            </w:pPr>
            <w:r w:rsidRPr="003F7F6C">
              <w:rPr>
                <w:rFonts w:ascii="Calibri" w:hAnsi="Calibri" w:cs="Calibri"/>
                <w:sz w:val="20"/>
                <w:szCs w:val="20"/>
              </w:rPr>
              <w:t xml:space="preserve">The objective of the proposed project is to </w:t>
            </w:r>
            <w:r w:rsidRPr="003F7F6C">
              <w:rPr>
                <w:rFonts w:ascii="Calibri" w:hAnsi="Calibri" w:cs="Calibri"/>
                <w:i/>
                <w:sz w:val="20"/>
                <w:szCs w:val="20"/>
              </w:rPr>
              <w:t xml:space="preserve">generate multiple biodiversity and land degradation benefits by developing a system of policy, economic, financial and technical instruments and governance mechanisms for Environmental Land Use Planning to mainstream socioeconomic and environmental evaluation of ecosystem goods and services in decision-making </w:t>
            </w:r>
            <w:r w:rsidR="0090169C" w:rsidRPr="003F7F6C">
              <w:rPr>
                <w:rFonts w:ascii="Calibri" w:hAnsi="Calibri" w:cs="Calibri"/>
                <w:i/>
                <w:sz w:val="20"/>
                <w:szCs w:val="20"/>
              </w:rPr>
              <w:t xml:space="preserve">in </w:t>
            </w:r>
            <w:r w:rsidRPr="003F7F6C">
              <w:rPr>
                <w:rFonts w:ascii="Calibri" w:hAnsi="Calibri" w:cs="Calibri"/>
                <w:i/>
                <w:sz w:val="20"/>
                <w:szCs w:val="20"/>
              </w:rPr>
              <w:t>different government levels and sectors</w:t>
            </w:r>
            <w:r w:rsidRPr="003F7F6C">
              <w:rPr>
                <w:rFonts w:ascii="Calibri" w:hAnsi="Calibri" w:cs="Calibri"/>
                <w:sz w:val="20"/>
                <w:szCs w:val="20"/>
              </w:rPr>
              <w:t>.</w:t>
            </w:r>
            <w:r w:rsidR="00E977EC" w:rsidRPr="003F7F6C">
              <w:rPr>
                <w:rFonts w:ascii="Calibri" w:hAnsi="Calibri" w:cs="Calibri"/>
                <w:sz w:val="20"/>
                <w:szCs w:val="20"/>
              </w:rPr>
              <w:t xml:space="preserve"> </w:t>
            </w:r>
            <w:r w:rsidRPr="003F7F6C">
              <w:rPr>
                <w:rFonts w:ascii="Calibri" w:eastAsia="Times New Roman" w:hAnsi="Calibri" w:cs="Calibri"/>
                <w:sz w:val="20"/>
                <w:szCs w:val="20"/>
                <w:lang w:eastAsia="es-ES_tradnl"/>
              </w:rPr>
              <w:t xml:space="preserve">The project will reduce biodiversity loss and land degradation </w:t>
            </w:r>
            <w:r w:rsidR="0090169C" w:rsidRPr="003F7F6C">
              <w:rPr>
                <w:rFonts w:ascii="Calibri" w:eastAsia="Times New Roman" w:hAnsi="Calibri" w:cs="Calibri"/>
                <w:sz w:val="20"/>
                <w:szCs w:val="20"/>
                <w:lang w:eastAsia="es-ES_tradnl"/>
              </w:rPr>
              <w:t>by</w:t>
            </w:r>
            <w:r w:rsidR="00DF3B9B" w:rsidRPr="003F7F6C">
              <w:rPr>
                <w:rFonts w:ascii="Calibri" w:eastAsia="Times New Roman" w:hAnsi="Calibri" w:cs="Calibri"/>
                <w:sz w:val="20"/>
                <w:szCs w:val="20"/>
                <w:lang w:eastAsia="es-ES_tradnl"/>
              </w:rPr>
              <w:t xml:space="preserve"> </w:t>
            </w:r>
            <w:r w:rsidR="0090169C" w:rsidRPr="003F7F6C">
              <w:rPr>
                <w:rFonts w:ascii="Calibri" w:eastAsia="Times New Roman" w:hAnsi="Calibri" w:cs="Calibri"/>
                <w:sz w:val="20"/>
                <w:szCs w:val="20"/>
                <w:lang w:eastAsia="es-ES_tradnl"/>
              </w:rPr>
              <w:t xml:space="preserve">integrating </w:t>
            </w:r>
            <w:r w:rsidR="00DF3B9B" w:rsidRPr="003F7F6C">
              <w:rPr>
                <w:rFonts w:ascii="Calibri" w:eastAsia="Times New Roman" w:hAnsi="Calibri" w:cs="Calibri"/>
                <w:sz w:val="20"/>
                <w:szCs w:val="20"/>
                <w:lang w:eastAsia="es-ES_tradnl"/>
              </w:rPr>
              <w:t xml:space="preserve">biodiversity </w:t>
            </w:r>
            <w:r w:rsidRPr="003F7F6C">
              <w:rPr>
                <w:rFonts w:ascii="Calibri" w:eastAsia="Times New Roman" w:hAnsi="Calibri" w:cs="Calibri"/>
                <w:sz w:val="20"/>
                <w:szCs w:val="20"/>
                <w:lang w:eastAsia="es-ES_tradnl"/>
              </w:rPr>
              <w:t>conservation and sustainable land management approaches into the production practices of the main sectors driving these processes, namely the agriculture and livestock sector and the emerging threats from mining</w:t>
            </w:r>
            <w:r w:rsidR="00165049" w:rsidRPr="003F7F6C">
              <w:rPr>
                <w:rFonts w:ascii="Calibri" w:eastAsia="Times New Roman" w:hAnsi="Calibri" w:cs="Calibri"/>
                <w:sz w:val="20"/>
                <w:szCs w:val="20"/>
                <w:lang w:eastAsia="es-ES_tradnl"/>
              </w:rPr>
              <w:t>,</w:t>
            </w:r>
            <w:r w:rsidRPr="003F7F6C">
              <w:rPr>
                <w:rFonts w:ascii="Calibri" w:eastAsia="Times New Roman" w:hAnsi="Calibri" w:cs="Calibri"/>
                <w:sz w:val="20"/>
                <w:szCs w:val="20"/>
                <w:lang w:eastAsia="es-ES_tradnl"/>
              </w:rPr>
              <w:t xml:space="preserve"> infrastructure expansion in peri-urban areas</w:t>
            </w:r>
            <w:r w:rsidR="00165049" w:rsidRPr="003F7F6C">
              <w:rPr>
                <w:rFonts w:ascii="Calibri" w:eastAsia="Times New Roman" w:hAnsi="Calibri" w:cs="Calibri"/>
                <w:sz w:val="20"/>
                <w:szCs w:val="20"/>
                <w:lang w:eastAsia="es-ES_tradnl"/>
              </w:rPr>
              <w:t xml:space="preserve"> and tourism</w:t>
            </w:r>
            <w:r w:rsidRPr="003F7F6C">
              <w:rPr>
                <w:rFonts w:ascii="Calibri" w:eastAsia="Times New Roman" w:hAnsi="Calibri" w:cs="Calibri"/>
                <w:sz w:val="20"/>
                <w:szCs w:val="20"/>
                <w:lang w:eastAsia="es-ES_tradnl"/>
              </w:rPr>
              <w:t xml:space="preserve"> in decision-making, planning and sector</w:t>
            </w:r>
            <w:r w:rsidR="00957A86" w:rsidRPr="003F7F6C">
              <w:rPr>
                <w:rFonts w:ascii="Calibri" w:eastAsia="Times New Roman" w:hAnsi="Calibri" w:cs="Calibri"/>
                <w:sz w:val="20"/>
                <w:szCs w:val="20"/>
                <w:lang w:eastAsia="es-ES_tradnl"/>
              </w:rPr>
              <w:t>al</w:t>
            </w:r>
            <w:r w:rsidRPr="003F7F6C">
              <w:rPr>
                <w:rFonts w:ascii="Calibri" w:eastAsia="Times New Roman" w:hAnsi="Calibri" w:cs="Calibri"/>
                <w:sz w:val="20"/>
                <w:szCs w:val="20"/>
                <w:lang w:eastAsia="es-ES_tradnl"/>
              </w:rPr>
              <w:t xml:space="preserve"> finance allocation</w:t>
            </w:r>
            <w:r w:rsidR="00957A86" w:rsidRPr="003F7F6C">
              <w:rPr>
                <w:rFonts w:ascii="Calibri" w:eastAsia="Times New Roman" w:hAnsi="Calibri" w:cs="Calibri"/>
                <w:sz w:val="20"/>
                <w:szCs w:val="20"/>
                <w:lang w:eastAsia="es-ES_tradnl"/>
              </w:rPr>
              <w:t>s</w:t>
            </w:r>
            <w:r w:rsidRPr="003F7F6C">
              <w:rPr>
                <w:rFonts w:ascii="Calibri" w:eastAsia="Times New Roman" w:hAnsi="Calibri" w:cs="Calibri"/>
                <w:sz w:val="20"/>
                <w:szCs w:val="20"/>
                <w:lang w:eastAsia="es-ES_tradnl"/>
              </w:rPr>
              <w:t xml:space="preserve"> at different government levels</w:t>
            </w:r>
            <w:r w:rsidRPr="003F7F6C">
              <w:rPr>
                <w:rFonts w:ascii="Calibri" w:eastAsia="Times New Roman" w:hAnsi="Calibri" w:cs="Calibri"/>
                <w:b/>
                <w:bCs/>
                <w:sz w:val="20"/>
                <w:szCs w:val="20"/>
                <w:lang w:eastAsia="es-ES_tradnl"/>
              </w:rPr>
              <w:t xml:space="preserve">. </w:t>
            </w:r>
            <w:r w:rsidR="00DF3B9B" w:rsidRPr="003F7F6C">
              <w:rPr>
                <w:rFonts w:ascii="Calibri" w:hAnsi="Calibri" w:cs="Calibri"/>
                <w:bCs/>
                <w:sz w:val="20"/>
                <w:szCs w:val="20"/>
              </w:rPr>
              <w:t>To undertake this approach and achieve the stated objective the project has been organized into four outcomes:</w:t>
            </w:r>
            <w:r w:rsidR="00DF3B9B" w:rsidRPr="003F7F6C">
              <w:rPr>
                <w:rFonts w:ascii="Calibri" w:hAnsi="Calibri" w:cs="Calibri"/>
                <w:sz w:val="20"/>
                <w:szCs w:val="20"/>
              </w:rPr>
              <w:t xml:space="preserve"> a) </w:t>
            </w:r>
            <w:r w:rsidR="00DF3B9B" w:rsidRPr="003F7F6C">
              <w:rPr>
                <w:rFonts w:ascii="Calibri" w:hAnsi="Calibri" w:cs="Calibri"/>
                <w:bCs/>
                <w:sz w:val="20"/>
                <w:szCs w:val="20"/>
              </w:rPr>
              <w:t xml:space="preserve">Federal </w:t>
            </w:r>
            <w:r w:rsidR="00DF3B9B" w:rsidRPr="003F7F6C">
              <w:rPr>
                <w:rFonts w:ascii="Calibri" w:hAnsi="Calibri" w:cs="Calibri"/>
                <w:sz w:val="20"/>
                <w:szCs w:val="20"/>
              </w:rPr>
              <w:t>enabling framework and strategies to reinforce ELUP, and underpin implementation in priority ecosystems and habitats to reduc</w:t>
            </w:r>
            <w:r w:rsidR="00957A86" w:rsidRPr="003F7F6C">
              <w:rPr>
                <w:rFonts w:ascii="Calibri" w:hAnsi="Calibri" w:cs="Calibri"/>
                <w:sz w:val="20"/>
                <w:szCs w:val="20"/>
              </w:rPr>
              <w:t>e</w:t>
            </w:r>
            <w:r w:rsidR="00DF3B9B" w:rsidRPr="003F7F6C">
              <w:rPr>
                <w:rFonts w:ascii="Calibri" w:hAnsi="Calibri" w:cs="Calibri"/>
                <w:sz w:val="20"/>
                <w:szCs w:val="20"/>
              </w:rPr>
              <w:t xml:space="preserve"> pressure from key production sectors </w:t>
            </w:r>
            <w:r w:rsidR="00DF3B9B" w:rsidRPr="003F7F6C">
              <w:rPr>
                <w:rFonts w:ascii="Calibri" w:eastAsia="Times New Roman" w:hAnsi="Calibri" w:cs="Calibri"/>
                <w:sz w:val="20"/>
                <w:szCs w:val="20"/>
                <w:lang w:eastAsia="es-ES_tradnl"/>
              </w:rPr>
              <w:t>(</w:t>
            </w:r>
            <w:r w:rsidR="00DF3B9B" w:rsidRPr="003F7F6C">
              <w:rPr>
                <w:rFonts w:ascii="Calibri" w:eastAsia="Times New Roman" w:hAnsi="Calibri" w:cs="Calibri"/>
                <w:bCs/>
                <w:sz w:val="20"/>
                <w:szCs w:val="20"/>
                <w:lang w:eastAsia="es-ES_tradnl"/>
              </w:rPr>
              <w:t>target sectors</w:t>
            </w:r>
            <w:r w:rsidR="00DF3B9B" w:rsidRPr="003F7F6C">
              <w:rPr>
                <w:rFonts w:ascii="Calibri" w:eastAsia="Times New Roman" w:hAnsi="Calibri" w:cs="Calibri"/>
                <w:sz w:val="20"/>
                <w:szCs w:val="20"/>
                <w:lang w:eastAsia="es-ES_tradnl"/>
              </w:rPr>
              <w:t>: agriculture &amp; livestock; mining and peri-urban infrastructure</w:t>
            </w:r>
            <w:r w:rsidR="00DF3B9B" w:rsidRPr="003F7F6C">
              <w:rPr>
                <w:rFonts w:ascii="Calibri" w:hAnsi="Calibri" w:cs="Calibri"/>
                <w:sz w:val="20"/>
                <w:szCs w:val="20"/>
              </w:rPr>
              <w:t xml:space="preserve">; b) Application of ELUP procedures and instruments in pilot </w:t>
            </w:r>
            <w:r w:rsidR="00957A86" w:rsidRPr="003F7F6C">
              <w:rPr>
                <w:rFonts w:ascii="Calibri" w:hAnsi="Calibri" w:cs="Calibri"/>
                <w:sz w:val="20"/>
                <w:szCs w:val="20"/>
              </w:rPr>
              <w:t>p</w:t>
            </w:r>
            <w:r w:rsidR="00DF3B9B" w:rsidRPr="003F7F6C">
              <w:rPr>
                <w:rFonts w:ascii="Calibri" w:hAnsi="Calibri" w:cs="Calibri"/>
                <w:sz w:val="20"/>
                <w:szCs w:val="20"/>
              </w:rPr>
              <w:t xml:space="preserve">rovinces with targeted ecoregions and production sector land uses; c) Replicability framework for ELUP uptake in all Argentine provinces; and d) </w:t>
            </w:r>
            <w:r w:rsidR="00DF3B9B" w:rsidRPr="003F7F6C">
              <w:rPr>
                <w:rFonts w:ascii="Calibri" w:hAnsi="Calibri" w:cs="Calibri"/>
                <w:color w:val="000000"/>
                <w:sz w:val="20"/>
                <w:szCs w:val="20"/>
              </w:rPr>
              <w:t xml:space="preserve">Dissemination of </w:t>
            </w:r>
            <w:r w:rsidR="00957A86" w:rsidRPr="003F7F6C">
              <w:rPr>
                <w:rFonts w:ascii="Calibri" w:hAnsi="Calibri" w:cs="Calibri"/>
                <w:color w:val="000000"/>
                <w:sz w:val="20"/>
                <w:szCs w:val="20"/>
              </w:rPr>
              <w:t>l</w:t>
            </w:r>
            <w:r w:rsidR="00DF3B9B" w:rsidRPr="003F7F6C">
              <w:rPr>
                <w:rFonts w:ascii="Calibri" w:hAnsi="Calibri" w:cs="Calibri"/>
                <w:color w:val="000000"/>
                <w:sz w:val="20"/>
                <w:szCs w:val="20"/>
              </w:rPr>
              <w:t>essons</w:t>
            </w:r>
            <w:r w:rsidR="00957A86" w:rsidRPr="003F7F6C">
              <w:rPr>
                <w:rFonts w:ascii="Calibri" w:hAnsi="Calibri" w:cs="Calibri"/>
                <w:color w:val="000000"/>
                <w:sz w:val="20"/>
                <w:szCs w:val="20"/>
              </w:rPr>
              <w:t xml:space="preserve"> </w:t>
            </w:r>
            <w:r w:rsidR="00DF3B9B" w:rsidRPr="003F7F6C">
              <w:rPr>
                <w:rFonts w:ascii="Calibri" w:hAnsi="Calibri" w:cs="Calibri"/>
                <w:color w:val="000000"/>
                <w:sz w:val="20"/>
                <w:szCs w:val="20"/>
              </w:rPr>
              <w:t xml:space="preserve">learned, monitoring &amp; </w:t>
            </w:r>
            <w:r w:rsidR="00DF3B9B" w:rsidRPr="003F7F6C">
              <w:rPr>
                <w:rFonts w:ascii="Calibri" w:hAnsi="Calibri" w:cs="Calibri"/>
                <w:sz w:val="20"/>
                <w:szCs w:val="20"/>
              </w:rPr>
              <w:t>e</w:t>
            </w:r>
            <w:r w:rsidR="00DF3B9B" w:rsidRPr="003F7F6C">
              <w:rPr>
                <w:rFonts w:ascii="Calibri" w:hAnsi="Calibri" w:cs="Calibri"/>
                <w:color w:val="000000"/>
                <w:sz w:val="20"/>
                <w:szCs w:val="20"/>
              </w:rPr>
              <w:t>valuation.</w:t>
            </w:r>
          </w:p>
          <w:p w14:paraId="2635236D" w14:textId="7D7B50D3" w:rsidR="009E44C7" w:rsidRPr="003F7F6C" w:rsidRDefault="00DF3B9B" w:rsidP="00DF3B9B">
            <w:pPr>
              <w:tabs>
                <w:tab w:val="left" w:pos="426"/>
              </w:tabs>
              <w:spacing w:after="240"/>
            </w:pPr>
            <w:r w:rsidRPr="003F7F6C">
              <w:rPr>
                <w:rFonts w:cs="Calibri"/>
                <w:bCs/>
                <w:szCs w:val="20"/>
              </w:rPr>
              <w:lastRenderedPageBreak/>
              <w:t>Expected global and local benefits include: a) 5,</w:t>
            </w:r>
            <w:r w:rsidR="00D5187D" w:rsidRPr="003F7F6C">
              <w:rPr>
                <w:rFonts w:cs="Calibri"/>
                <w:bCs/>
                <w:szCs w:val="20"/>
              </w:rPr>
              <w:t>079,2</w:t>
            </w:r>
            <w:r w:rsidR="0090684C" w:rsidRPr="003F7F6C">
              <w:rPr>
                <w:rFonts w:cs="Calibri"/>
                <w:bCs/>
                <w:szCs w:val="20"/>
              </w:rPr>
              <w:t>6</w:t>
            </w:r>
            <w:r w:rsidR="00D5187D" w:rsidRPr="003F7F6C">
              <w:rPr>
                <w:rFonts w:cs="Calibri"/>
                <w:bCs/>
                <w:szCs w:val="20"/>
              </w:rPr>
              <w:t>0</w:t>
            </w:r>
            <w:r w:rsidRPr="003F7F6C">
              <w:rPr>
                <w:rFonts w:cs="Calibri"/>
                <w:bCs/>
                <w:szCs w:val="20"/>
              </w:rPr>
              <w:t xml:space="preserve"> hectares (ha) where ELUP has been agreed upon and implemented in priority landscapes of the three pilot provinces </w:t>
            </w:r>
            <w:r w:rsidRPr="003F7F6C">
              <w:rPr>
                <w:szCs w:val="20"/>
              </w:rPr>
              <w:t xml:space="preserve">through </w:t>
            </w:r>
            <w:r w:rsidR="00957A86" w:rsidRPr="003F7F6C">
              <w:rPr>
                <w:szCs w:val="20"/>
              </w:rPr>
              <w:t xml:space="preserve">the application of </w:t>
            </w:r>
            <w:r w:rsidRPr="003F7F6C">
              <w:rPr>
                <w:szCs w:val="20"/>
              </w:rPr>
              <w:t xml:space="preserve">regulations, instruments and approaches to enforce modified production; b) </w:t>
            </w:r>
            <w:r w:rsidR="001F1700" w:rsidRPr="003F7F6C">
              <w:rPr>
                <w:szCs w:val="20"/>
              </w:rPr>
              <w:t xml:space="preserve">an additional </w:t>
            </w:r>
            <w:r w:rsidR="003B78B0" w:rsidRPr="003F7F6C">
              <w:rPr>
                <w:rFonts w:cs="Calibri"/>
                <w:bCs/>
                <w:szCs w:val="20"/>
              </w:rPr>
              <w:t>507,926</w:t>
            </w:r>
            <w:r w:rsidRPr="003F7F6C">
              <w:rPr>
                <w:rFonts w:cs="Calibri"/>
                <w:bCs/>
                <w:szCs w:val="20"/>
              </w:rPr>
              <w:t xml:space="preserve"> has in the three pilot provinces </w:t>
            </w:r>
            <w:r w:rsidRPr="003F7F6C">
              <w:rPr>
                <w:szCs w:val="20"/>
              </w:rPr>
              <w:t>in which upscaling is expected due to project dissemination activities and co-financed interventions</w:t>
            </w:r>
            <w:r w:rsidRPr="003F7F6C">
              <w:rPr>
                <w:rFonts w:cs="Calibri"/>
                <w:bCs/>
                <w:szCs w:val="20"/>
              </w:rPr>
              <w:t xml:space="preserve">; c) </w:t>
            </w:r>
            <w:r w:rsidR="00A14F73" w:rsidRPr="003F7F6C">
              <w:rPr>
                <w:rFonts w:cs="Calibri"/>
                <w:bCs/>
                <w:szCs w:val="20"/>
              </w:rPr>
              <w:t>613,128</w:t>
            </w:r>
            <w:r w:rsidR="006B6021" w:rsidRPr="003F7F6C">
              <w:rPr>
                <w:rFonts w:cs="Calibri"/>
                <w:bCs/>
                <w:szCs w:val="20"/>
              </w:rPr>
              <w:t xml:space="preserve"> </w:t>
            </w:r>
            <w:r w:rsidRPr="003F7F6C">
              <w:rPr>
                <w:rFonts w:cs="Calibri"/>
                <w:bCs/>
                <w:szCs w:val="20"/>
              </w:rPr>
              <w:t>has in the target landscapes of the pilot provinces under improved practices to benefit BD and sustainable land management in production systems</w:t>
            </w:r>
            <w:r w:rsidR="00B6511F" w:rsidRPr="003F7F6C">
              <w:rPr>
                <w:rFonts w:cs="Calibri"/>
                <w:bCs/>
                <w:szCs w:val="20"/>
              </w:rPr>
              <w:t xml:space="preserve"> and where BD conservation and LD reduction benefits have been accrued, measured through the level of improvement in Net Primary Productivity (NPP), percentage of land cover and soil organic carbon content</w:t>
            </w:r>
            <w:r w:rsidRPr="003F7F6C">
              <w:rPr>
                <w:rFonts w:cs="Calibri"/>
                <w:bCs/>
                <w:szCs w:val="20"/>
              </w:rPr>
              <w:t xml:space="preserve"> (GEF Core Indicator </w:t>
            </w:r>
            <w:r w:rsidR="00A14F73" w:rsidRPr="003F7F6C">
              <w:rPr>
                <w:rFonts w:cs="Calibri"/>
                <w:bCs/>
                <w:szCs w:val="20"/>
              </w:rPr>
              <w:t>4</w:t>
            </w:r>
            <w:r w:rsidRPr="003F7F6C">
              <w:rPr>
                <w:rFonts w:cs="Calibri"/>
                <w:bCs/>
                <w:szCs w:val="20"/>
              </w:rPr>
              <w:t xml:space="preserve">); </w:t>
            </w:r>
            <w:r w:rsidR="00B6511F" w:rsidRPr="003F7F6C">
              <w:rPr>
                <w:rFonts w:cs="Calibri"/>
                <w:bCs/>
                <w:szCs w:val="20"/>
              </w:rPr>
              <w:t>d</w:t>
            </w:r>
            <w:r w:rsidRPr="003F7F6C">
              <w:rPr>
                <w:rFonts w:cs="Calibri"/>
                <w:bCs/>
                <w:szCs w:val="20"/>
              </w:rPr>
              <w:t xml:space="preserve">) 128,370 has of land (agricultural, forest and forest lands and natural grass and shrubland) restored in the target landscapes of the pilot provinces (GEF Core Indicator </w:t>
            </w:r>
            <w:r w:rsidR="00A14F73" w:rsidRPr="003F7F6C">
              <w:rPr>
                <w:rFonts w:cs="Calibri"/>
                <w:bCs/>
                <w:szCs w:val="20"/>
              </w:rPr>
              <w:t>3</w:t>
            </w:r>
            <w:r w:rsidRPr="003F7F6C">
              <w:rPr>
                <w:rFonts w:cs="Calibri"/>
                <w:bCs/>
                <w:szCs w:val="20"/>
              </w:rPr>
              <w:t xml:space="preserve">); </w:t>
            </w:r>
            <w:r w:rsidR="00B6511F" w:rsidRPr="003F7F6C">
              <w:rPr>
                <w:rFonts w:cs="Calibri"/>
                <w:bCs/>
                <w:szCs w:val="20"/>
              </w:rPr>
              <w:t>e</w:t>
            </w:r>
            <w:r w:rsidRPr="003F7F6C">
              <w:rPr>
                <w:rFonts w:cs="Calibri"/>
                <w:bCs/>
                <w:szCs w:val="20"/>
              </w:rPr>
              <w:t>) 11,665 direct project beneficiaries that improve their livelihoods through environmentally friendly natural resource management and sustainable production (at least 40% are women; 10% of total number belong to indigenous groups)</w:t>
            </w:r>
            <w:r w:rsidR="00A14F73" w:rsidRPr="003F7F6C">
              <w:rPr>
                <w:rFonts w:cs="Calibri"/>
                <w:bCs/>
                <w:szCs w:val="20"/>
              </w:rPr>
              <w:t xml:space="preserve"> (GEF Core Indicator 11)</w:t>
            </w:r>
            <w:r w:rsidRPr="003F7F6C">
              <w:rPr>
                <w:rFonts w:cs="Calibri"/>
                <w:bCs/>
                <w:szCs w:val="20"/>
              </w:rPr>
              <w:t xml:space="preserve">; </w:t>
            </w:r>
            <w:r w:rsidR="00B6511F" w:rsidRPr="003F7F6C">
              <w:rPr>
                <w:rFonts w:cs="Calibri"/>
                <w:bCs/>
                <w:szCs w:val="20"/>
              </w:rPr>
              <w:t>f</w:t>
            </w:r>
            <w:r w:rsidRPr="003F7F6C">
              <w:rPr>
                <w:rFonts w:cs="Calibri"/>
                <w:bCs/>
                <w:szCs w:val="20"/>
              </w:rPr>
              <w:t xml:space="preserve">) 20% increase in the </w:t>
            </w:r>
            <w:r w:rsidR="003B78B0" w:rsidRPr="003F7F6C">
              <w:rPr>
                <w:rFonts w:cs="Calibri"/>
                <w:bCs/>
                <w:szCs w:val="20"/>
              </w:rPr>
              <w:t xml:space="preserve">Sustainable Livelihoods Framework </w:t>
            </w:r>
            <w:r w:rsidRPr="003F7F6C">
              <w:rPr>
                <w:rFonts w:cs="Calibri"/>
                <w:bCs/>
                <w:szCs w:val="20"/>
              </w:rPr>
              <w:t>Index of beneficiaries in the target landscapes.</w:t>
            </w:r>
          </w:p>
        </w:tc>
      </w:tr>
      <w:tr w:rsidR="0077088A" w:rsidRPr="003F7F6C" w14:paraId="67BB14BA" w14:textId="77777777" w:rsidTr="000F797F">
        <w:trPr>
          <w:trHeight w:val="377"/>
        </w:trPr>
        <w:tc>
          <w:tcPr>
            <w:tcW w:w="9355" w:type="dxa"/>
            <w:gridSpan w:val="6"/>
            <w:shd w:val="clear" w:color="auto" w:fill="D9D9D9"/>
          </w:tcPr>
          <w:p w14:paraId="2007D675" w14:textId="77777777" w:rsidR="0077088A" w:rsidRPr="003F7F6C" w:rsidRDefault="0077088A" w:rsidP="00BF02BF">
            <w:pPr>
              <w:spacing w:after="0"/>
              <w:jc w:val="left"/>
              <w:rPr>
                <w:rFonts w:cs="Calibri"/>
                <w:b/>
                <w:smallCaps/>
                <w:szCs w:val="20"/>
              </w:rPr>
            </w:pPr>
            <w:r w:rsidRPr="003F7F6C">
              <w:rPr>
                <w:rFonts w:cs="Calibri"/>
                <w:b/>
                <w:smallCaps/>
                <w:szCs w:val="20"/>
              </w:rPr>
              <w:lastRenderedPageBreak/>
              <w:t>Financing Plan</w:t>
            </w:r>
            <w:r w:rsidR="00A13CA9" w:rsidRPr="003F7F6C">
              <w:rPr>
                <w:rFonts w:cs="Calibri"/>
                <w:b/>
                <w:smallCaps/>
                <w:szCs w:val="20"/>
              </w:rPr>
              <w:t xml:space="preserve"> </w:t>
            </w:r>
          </w:p>
        </w:tc>
      </w:tr>
      <w:tr w:rsidR="0077088A" w:rsidRPr="003F7F6C" w14:paraId="576D0DE4" w14:textId="77777777" w:rsidTr="004F58E6">
        <w:trPr>
          <w:trHeight w:val="314"/>
        </w:trPr>
        <w:tc>
          <w:tcPr>
            <w:tcW w:w="5778" w:type="dxa"/>
            <w:gridSpan w:val="4"/>
            <w:shd w:val="clear" w:color="auto" w:fill="auto"/>
          </w:tcPr>
          <w:p w14:paraId="0F1715B0" w14:textId="77777777" w:rsidR="0077088A" w:rsidRPr="003F7F6C" w:rsidRDefault="0077088A" w:rsidP="00BF02BF">
            <w:pPr>
              <w:spacing w:after="0"/>
              <w:jc w:val="left"/>
              <w:rPr>
                <w:rFonts w:cs="Calibri"/>
                <w:szCs w:val="20"/>
              </w:rPr>
            </w:pPr>
            <w:r w:rsidRPr="003F7F6C">
              <w:rPr>
                <w:rFonts w:cs="Calibri"/>
                <w:szCs w:val="20"/>
              </w:rPr>
              <w:t>GEF Trust Fund</w:t>
            </w:r>
          </w:p>
        </w:tc>
        <w:tc>
          <w:tcPr>
            <w:tcW w:w="3577" w:type="dxa"/>
            <w:gridSpan w:val="2"/>
            <w:shd w:val="clear" w:color="auto" w:fill="auto"/>
          </w:tcPr>
          <w:p w14:paraId="03A7CCEB" w14:textId="77777777" w:rsidR="0077088A" w:rsidRPr="003F7F6C" w:rsidRDefault="0077088A" w:rsidP="00BF02BF">
            <w:pPr>
              <w:spacing w:after="0"/>
              <w:jc w:val="right"/>
              <w:rPr>
                <w:rFonts w:cs="Calibri"/>
                <w:szCs w:val="20"/>
              </w:rPr>
            </w:pPr>
            <w:r w:rsidRPr="003F7F6C">
              <w:rPr>
                <w:rFonts w:cs="Calibri"/>
                <w:szCs w:val="20"/>
              </w:rPr>
              <w:t>USD</w:t>
            </w:r>
            <w:r w:rsidR="00973146" w:rsidRPr="003F7F6C">
              <w:rPr>
                <w:rFonts w:cs="Calibri"/>
                <w:szCs w:val="20"/>
              </w:rPr>
              <w:t xml:space="preserve"> 8,995,434</w:t>
            </w:r>
          </w:p>
        </w:tc>
      </w:tr>
      <w:tr w:rsidR="0077088A" w:rsidRPr="003F7F6C" w14:paraId="3F8858E6" w14:textId="77777777" w:rsidTr="004F58E6">
        <w:trPr>
          <w:trHeight w:val="251"/>
        </w:trPr>
        <w:tc>
          <w:tcPr>
            <w:tcW w:w="5778" w:type="dxa"/>
            <w:gridSpan w:val="4"/>
            <w:shd w:val="clear" w:color="auto" w:fill="auto"/>
          </w:tcPr>
          <w:p w14:paraId="0DBAB85A" w14:textId="77777777" w:rsidR="0077088A" w:rsidRPr="003F7F6C" w:rsidRDefault="0077088A" w:rsidP="00BF02BF">
            <w:pPr>
              <w:spacing w:after="0"/>
              <w:jc w:val="left"/>
              <w:rPr>
                <w:rFonts w:cs="Calibri"/>
                <w:szCs w:val="20"/>
              </w:rPr>
            </w:pPr>
            <w:r w:rsidRPr="003F7F6C">
              <w:rPr>
                <w:rFonts w:cs="Calibri"/>
                <w:szCs w:val="20"/>
              </w:rPr>
              <w:t>UNDP TRAC resources</w:t>
            </w:r>
          </w:p>
        </w:tc>
        <w:tc>
          <w:tcPr>
            <w:tcW w:w="3577" w:type="dxa"/>
            <w:gridSpan w:val="2"/>
            <w:shd w:val="clear" w:color="auto" w:fill="auto"/>
          </w:tcPr>
          <w:p w14:paraId="4F3F03F9" w14:textId="77777777" w:rsidR="0077088A" w:rsidRPr="003F7F6C" w:rsidRDefault="0077088A" w:rsidP="00BF02BF">
            <w:pPr>
              <w:spacing w:after="0"/>
              <w:jc w:val="right"/>
              <w:rPr>
                <w:rFonts w:cs="Calibri"/>
                <w:szCs w:val="20"/>
              </w:rPr>
            </w:pPr>
            <w:r w:rsidRPr="003F7F6C">
              <w:rPr>
                <w:rFonts w:cs="Calibri"/>
                <w:szCs w:val="20"/>
              </w:rPr>
              <w:t>USD</w:t>
            </w:r>
            <w:r w:rsidR="00BF02BF" w:rsidRPr="003F7F6C">
              <w:rPr>
                <w:rFonts w:cs="Calibri"/>
                <w:szCs w:val="20"/>
              </w:rPr>
              <w:t xml:space="preserve"> 0</w:t>
            </w:r>
            <w:r w:rsidRPr="003F7F6C">
              <w:rPr>
                <w:rFonts w:cs="Calibri"/>
                <w:szCs w:val="20"/>
              </w:rPr>
              <w:t xml:space="preserve">  </w:t>
            </w:r>
          </w:p>
        </w:tc>
      </w:tr>
      <w:tr w:rsidR="0077088A" w:rsidRPr="003F7F6C" w14:paraId="776491F4" w14:textId="77777777" w:rsidTr="004F58E6">
        <w:tc>
          <w:tcPr>
            <w:tcW w:w="5778" w:type="dxa"/>
            <w:gridSpan w:val="4"/>
            <w:shd w:val="clear" w:color="auto" w:fill="auto"/>
          </w:tcPr>
          <w:p w14:paraId="6CC7498B" w14:textId="77777777" w:rsidR="0077088A" w:rsidRPr="003F7F6C" w:rsidRDefault="0077088A" w:rsidP="00BF02BF">
            <w:pPr>
              <w:spacing w:after="0"/>
              <w:jc w:val="left"/>
              <w:rPr>
                <w:rFonts w:cs="Calibri"/>
                <w:szCs w:val="20"/>
              </w:rPr>
            </w:pPr>
            <w:r w:rsidRPr="003F7F6C">
              <w:rPr>
                <w:rFonts w:cs="Calibri"/>
                <w:szCs w:val="20"/>
              </w:rPr>
              <w:t>Cash co-financing to be administered by UNDP</w:t>
            </w:r>
          </w:p>
        </w:tc>
        <w:tc>
          <w:tcPr>
            <w:tcW w:w="3577" w:type="dxa"/>
            <w:gridSpan w:val="2"/>
            <w:shd w:val="clear" w:color="auto" w:fill="auto"/>
          </w:tcPr>
          <w:p w14:paraId="345D391B" w14:textId="77777777" w:rsidR="0077088A" w:rsidRPr="003F7F6C" w:rsidRDefault="0077088A" w:rsidP="00BF02BF">
            <w:pPr>
              <w:spacing w:after="0"/>
              <w:jc w:val="right"/>
              <w:rPr>
                <w:rFonts w:cs="Calibri"/>
                <w:szCs w:val="20"/>
              </w:rPr>
            </w:pPr>
            <w:r w:rsidRPr="003F7F6C">
              <w:rPr>
                <w:rFonts w:cs="Calibri"/>
                <w:szCs w:val="20"/>
              </w:rPr>
              <w:t>USD</w:t>
            </w:r>
            <w:r w:rsidR="00BF02BF" w:rsidRPr="003F7F6C">
              <w:rPr>
                <w:rFonts w:cs="Calibri"/>
                <w:szCs w:val="20"/>
              </w:rPr>
              <w:t xml:space="preserve"> 0</w:t>
            </w:r>
          </w:p>
        </w:tc>
      </w:tr>
      <w:tr w:rsidR="0077088A" w:rsidRPr="003F7F6C" w14:paraId="04395911" w14:textId="77777777" w:rsidTr="004F58E6">
        <w:tc>
          <w:tcPr>
            <w:tcW w:w="5778" w:type="dxa"/>
            <w:gridSpan w:val="4"/>
            <w:shd w:val="clear" w:color="auto" w:fill="auto"/>
          </w:tcPr>
          <w:p w14:paraId="684032FA" w14:textId="77777777" w:rsidR="0077088A" w:rsidRPr="003F7F6C" w:rsidRDefault="0077088A" w:rsidP="00BF02BF">
            <w:pPr>
              <w:pStyle w:val="ColorfulList-Accent11"/>
              <w:numPr>
                <w:ilvl w:val="0"/>
                <w:numId w:val="6"/>
              </w:numPr>
              <w:jc w:val="right"/>
              <w:rPr>
                <w:rFonts w:ascii="Calibri" w:hAnsi="Calibri" w:cs="Calibri"/>
                <w:b/>
                <w:sz w:val="20"/>
                <w:szCs w:val="20"/>
              </w:rPr>
            </w:pPr>
            <w:r w:rsidRPr="003F7F6C">
              <w:rPr>
                <w:rFonts w:ascii="Calibri" w:hAnsi="Calibri" w:cs="Calibri"/>
                <w:b/>
                <w:sz w:val="20"/>
                <w:szCs w:val="20"/>
                <w:lang w:eastAsia="zh-CN"/>
              </w:rPr>
              <w:t xml:space="preserve">Total </w:t>
            </w:r>
            <w:r w:rsidRPr="003F7F6C">
              <w:rPr>
                <w:rFonts w:ascii="Calibri" w:hAnsi="Calibri" w:cs="Calibri"/>
                <w:b/>
                <w:sz w:val="20"/>
                <w:szCs w:val="20"/>
              </w:rPr>
              <w:t xml:space="preserve">Budget administered by UNDP </w:t>
            </w:r>
          </w:p>
        </w:tc>
        <w:tc>
          <w:tcPr>
            <w:tcW w:w="3577" w:type="dxa"/>
            <w:gridSpan w:val="2"/>
            <w:shd w:val="clear" w:color="auto" w:fill="auto"/>
          </w:tcPr>
          <w:p w14:paraId="01F08C0C" w14:textId="77777777" w:rsidR="0077088A" w:rsidRPr="003F7F6C" w:rsidRDefault="0077088A" w:rsidP="00BF02BF">
            <w:pPr>
              <w:spacing w:after="0"/>
              <w:jc w:val="right"/>
              <w:rPr>
                <w:rFonts w:cs="Calibri"/>
                <w:b/>
                <w:szCs w:val="20"/>
              </w:rPr>
            </w:pPr>
            <w:r w:rsidRPr="003F7F6C">
              <w:rPr>
                <w:rFonts w:cs="Calibri"/>
                <w:b/>
                <w:szCs w:val="20"/>
              </w:rPr>
              <w:t>USD</w:t>
            </w:r>
            <w:r w:rsidR="00973146" w:rsidRPr="003F7F6C">
              <w:rPr>
                <w:rFonts w:cs="Calibri"/>
                <w:b/>
                <w:szCs w:val="20"/>
              </w:rPr>
              <w:t xml:space="preserve"> 8,995,434</w:t>
            </w:r>
          </w:p>
        </w:tc>
      </w:tr>
      <w:tr w:rsidR="0077088A" w:rsidRPr="003F7F6C" w14:paraId="42276EF0" w14:textId="77777777" w:rsidTr="00BF02BF">
        <w:trPr>
          <w:trHeight w:val="329"/>
        </w:trPr>
        <w:tc>
          <w:tcPr>
            <w:tcW w:w="9355" w:type="dxa"/>
            <w:gridSpan w:val="6"/>
            <w:shd w:val="clear" w:color="auto" w:fill="D9D9D9"/>
          </w:tcPr>
          <w:p w14:paraId="271A9734" w14:textId="77777777" w:rsidR="0077088A" w:rsidRPr="003F7F6C" w:rsidRDefault="0077088A" w:rsidP="00BF02BF">
            <w:pPr>
              <w:spacing w:after="0"/>
              <w:jc w:val="left"/>
              <w:rPr>
                <w:rFonts w:cs="Calibri"/>
                <w:b/>
                <w:szCs w:val="20"/>
              </w:rPr>
            </w:pPr>
            <w:r w:rsidRPr="003F7F6C">
              <w:rPr>
                <w:rFonts w:cs="Calibri"/>
                <w:b/>
                <w:smallCaps/>
                <w:szCs w:val="20"/>
              </w:rPr>
              <w:t>Parallel co-financing</w:t>
            </w:r>
            <w:r w:rsidR="00F10F99" w:rsidRPr="003F7F6C">
              <w:rPr>
                <w:rFonts w:cs="Calibri"/>
                <w:b/>
                <w:smallCaps/>
                <w:szCs w:val="20"/>
              </w:rPr>
              <w:t xml:space="preserve"> </w:t>
            </w:r>
          </w:p>
        </w:tc>
      </w:tr>
      <w:tr w:rsidR="0077088A" w:rsidRPr="003F7F6C" w14:paraId="627857FA" w14:textId="77777777" w:rsidTr="004F58E6">
        <w:trPr>
          <w:trHeight w:val="277"/>
        </w:trPr>
        <w:tc>
          <w:tcPr>
            <w:tcW w:w="5778" w:type="dxa"/>
            <w:gridSpan w:val="4"/>
            <w:shd w:val="clear" w:color="auto" w:fill="auto"/>
          </w:tcPr>
          <w:p w14:paraId="7DD7BB99" w14:textId="77777777" w:rsidR="0077088A" w:rsidRPr="003F7F6C" w:rsidRDefault="0077088A" w:rsidP="00BF02BF">
            <w:pPr>
              <w:spacing w:after="0"/>
              <w:jc w:val="right"/>
              <w:rPr>
                <w:rFonts w:cs="Calibri"/>
                <w:szCs w:val="20"/>
              </w:rPr>
            </w:pPr>
            <w:r w:rsidRPr="003F7F6C">
              <w:rPr>
                <w:rFonts w:cs="Calibri"/>
                <w:szCs w:val="20"/>
              </w:rPr>
              <w:t xml:space="preserve">UNDP </w:t>
            </w:r>
          </w:p>
        </w:tc>
        <w:tc>
          <w:tcPr>
            <w:tcW w:w="3577" w:type="dxa"/>
            <w:gridSpan w:val="2"/>
            <w:shd w:val="clear" w:color="auto" w:fill="auto"/>
          </w:tcPr>
          <w:p w14:paraId="5844CCF9" w14:textId="77777777" w:rsidR="0077088A" w:rsidRPr="003F7F6C" w:rsidRDefault="0077088A" w:rsidP="00BF02BF">
            <w:pPr>
              <w:spacing w:after="0"/>
              <w:jc w:val="right"/>
              <w:rPr>
                <w:rFonts w:cs="Calibri"/>
                <w:szCs w:val="20"/>
              </w:rPr>
            </w:pPr>
            <w:r w:rsidRPr="003F7F6C">
              <w:rPr>
                <w:rFonts w:cs="Calibri"/>
                <w:szCs w:val="20"/>
              </w:rPr>
              <w:t>USD</w:t>
            </w:r>
            <w:r w:rsidR="00973146" w:rsidRPr="003F7F6C">
              <w:rPr>
                <w:rFonts w:cs="Calibri"/>
                <w:szCs w:val="20"/>
              </w:rPr>
              <w:t xml:space="preserve">      200,000</w:t>
            </w:r>
          </w:p>
        </w:tc>
      </w:tr>
      <w:tr w:rsidR="003512E1" w:rsidRPr="003F7F6C" w14:paraId="446FEAF0" w14:textId="77777777" w:rsidTr="004F58E6">
        <w:trPr>
          <w:trHeight w:val="277"/>
        </w:trPr>
        <w:tc>
          <w:tcPr>
            <w:tcW w:w="5778" w:type="dxa"/>
            <w:gridSpan w:val="4"/>
            <w:shd w:val="clear" w:color="auto" w:fill="auto"/>
          </w:tcPr>
          <w:p w14:paraId="3DD404C3" w14:textId="77777777" w:rsidR="003512E1" w:rsidRPr="003F7F6C" w:rsidRDefault="00C667D3" w:rsidP="00BF02BF">
            <w:pPr>
              <w:spacing w:after="0"/>
              <w:jc w:val="right"/>
              <w:rPr>
                <w:rFonts w:cs="Calibri"/>
                <w:szCs w:val="20"/>
              </w:rPr>
            </w:pPr>
            <w:r w:rsidRPr="003F7F6C">
              <w:rPr>
                <w:rFonts w:cs="Calibri"/>
                <w:szCs w:val="20"/>
              </w:rPr>
              <w:t>Secretariat for Environment and Sustainable Development</w:t>
            </w:r>
          </w:p>
        </w:tc>
        <w:tc>
          <w:tcPr>
            <w:tcW w:w="3577" w:type="dxa"/>
            <w:gridSpan w:val="2"/>
            <w:shd w:val="clear" w:color="auto" w:fill="auto"/>
          </w:tcPr>
          <w:p w14:paraId="09C778BF" w14:textId="75936E85" w:rsidR="003512E1" w:rsidRPr="003F7F6C" w:rsidRDefault="00120344" w:rsidP="00BF02BF">
            <w:pPr>
              <w:spacing w:after="0"/>
              <w:jc w:val="right"/>
              <w:rPr>
                <w:rFonts w:cs="Calibri"/>
                <w:szCs w:val="20"/>
              </w:rPr>
            </w:pPr>
            <w:r w:rsidRPr="003F7F6C">
              <w:rPr>
                <w:rFonts w:cs="Calibri"/>
                <w:szCs w:val="20"/>
              </w:rPr>
              <w:t xml:space="preserve">USD </w:t>
            </w:r>
            <w:r w:rsidR="008D4129" w:rsidRPr="003F7F6C">
              <w:rPr>
                <w:rFonts w:cs="Calibri"/>
                <w:szCs w:val="20"/>
              </w:rPr>
              <w:t>15,521,232</w:t>
            </w:r>
          </w:p>
        </w:tc>
      </w:tr>
      <w:tr w:rsidR="00C667D3" w:rsidRPr="003F7F6C" w14:paraId="0F4CCA1F" w14:textId="77777777" w:rsidTr="004F58E6">
        <w:trPr>
          <w:trHeight w:val="277"/>
        </w:trPr>
        <w:tc>
          <w:tcPr>
            <w:tcW w:w="5778" w:type="dxa"/>
            <w:gridSpan w:val="4"/>
            <w:shd w:val="clear" w:color="auto" w:fill="auto"/>
          </w:tcPr>
          <w:p w14:paraId="1494D1D5" w14:textId="77777777" w:rsidR="00C667D3" w:rsidRPr="003F7F6C" w:rsidRDefault="00C667D3" w:rsidP="00BF02BF">
            <w:pPr>
              <w:spacing w:after="0"/>
              <w:jc w:val="right"/>
              <w:rPr>
                <w:rFonts w:cs="Calibri"/>
                <w:szCs w:val="20"/>
              </w:rPr>
            </w:pPr>
            <w:r w:rsidRPr="003F7F6C">
              <w:rPr>
                <w:rFonts w:cs="Calibri"/>
                <w:szCs w:val="20"/>
              </w:rPr>
              <w:t>National Agricultural Technology Institute</w:t>
            </w:r>
          </w:p>
        </w:tc>
        <w:tc>
          <w:tcPr>
            <w:tcW w:w="3577" w:type="dxa"/>
            <w:gridSpan w:val="2"/>
            <w:shd w:val="clear" w:color="auto" w:fill="auto"/>
          </w:tcPr>
          <w:p w14:paraId="2C428749" w14:textId="17C9C3A0" w:rsidR="00C667D3" w:rsidRPr="003F7F6C" w:rsidRDefault="00120344" w:rsidP="00BF02BF">
            <w:pPr>
              <w:spacing w:after="0"/>
              <w:jc w:val="right"/>
              <w:rPr>
                <w:rFonts w:cs="Calibri"/>
                <w:szCs w:val="20"/>
              </w:rPr>
            </w:pPr>
            <w:r w:rsidRPr="003F7F6C">
              <w:rPr>
                <w:rFonts w:cs="Calibri"/>
                <w:szCs w:val="20"/>
              </w:rPr>
              <w:t xml:space="preserve">USD </w:t>
            </w:r>
            <w:r w:rsidR="00A925EE" w:rsidRPr="003F7F6C">
              <w:rPr>
                <w:rFonts w:cs="Calibri"/>
                <w:szCs w:val="20"/>
              </w:rPr>
              <w:t>6,140,000</w:t>
            </w:r>
          </w:p>
        </w:tc>
      </w:tr>
      <w:tr w:rsidR="003512E1" w:rsidRPr="003F7F6C" w14:paraId="657A47FB" w14:textId="77777777" w:rsidTr="004F58E6">
        <w:trPr>
          <w:trHeight w:val="277"/>
        </w:trPr>
        <w:tc>
          <w:tcPr>
            <w:tcW w:w="5778" w:type="dxa"/>
            <w:gridSpan w:val="4"/>
            <w:shd w:val="clear" w:color="auto" w:fill="auto"/>
          </w:tcPr>
          <w:p w14:paraId="0FF2CF7F" w14:textId="77777777" w:rsidR="003512E1" w:rsidRPr="003F7F6C" w:rsidRDefault="00C667D3" w:rsidP="00BF02BF">
            <w:pPr>
              <w:spacing w:after="0"/>
              <w:jc w:val="right"/>
              <w:rPr>
                <w:rFonts w:cs="Calibri"/>
                <w:szCs w:val="20"/>
              </w:rPr>
            </w:pPr>
            <w:r w:rsidRPr="003F7F6C">
              <w:rPr>
                <w:rFonts w:cs="Calibri"/>
                <w:szCs w:val="20"/>
              </w:rPr>
              <w:t>Provincial Agency for Sustainable Development of Buenos Aires</w:t>
            </w:r>
          </w:p>
        </w:tc>
        <w:tc>
          <w:tcPr>
            <w:tcW w:w="3577" w:type="dxa"/>
            <w:gridSpan w:val="2"/>
            <w:shd w:val="clear" w:color="auto" w:fill="auto"/>
          </w:tcPr>
          <w:p w14:paraId="710EF282" w14:textId="77777777" w:rsidR="003512E1" w:rsidRPr="003F7F6C" w:rsidRDefault="00120344" w:rsidP="00BF02BF">
            <w:pPr>
              <w:spacing w:after="0"/>
              <w:jc w:val="right"/>
              <w:rPr>
                <w:rFonts w:cs="Calibri"/>
                <w:szCs w:val="20"/>
              </w:rPr>
            </w:pPr>
            <w:r w:rsidRPr="003F7F6C">
              <w:rPr>
                <w:rFonts w:cs="Calibri"/>
                <w:szCs w:val="20"/>
              </w:rPr>
              <w:t>USD 6,833,332</w:t>
            </w:r>
          </w:p>
        </w:tc>
      </w:tr>
      <w:tr w:rsidR="00C667D3" w:rsidRPr="003F7F6C" w14:paraId="7EDEDAD7" w14:textId="77777777" w:rsidTr="004F58E6">
        <w:trPr>
          <w:trHeight w:val="277"/>
        </w:trPr>
        <w:tc>
          <w:tcPr>
            <w:tcW w:w="5778" w:type="dxa"/>
            <w:gridSpan w:val="4"/>
            <w:shd w:val="clear" w:color="auto" w:fill="auto"/>
          </w:tcPr>
          <w:p w14:paraId="1F28519C" w14:textId="77777777" w:rsidR="00C667D3" w:rsidRPr="003F7F6C" w:rsidRDefault="00C667D3" w:rsidP="00BF02BF">
            <w:pPr>
              <w:spacing w:after="0"/>
              <w:jc w:val="right"/>
              <w:rPr>
                <w:rFonts w:cs="Calibri"/>
                <w:szCs w:val="20"/>
              </w:rPr>
            </w:pPr>
            <w:r w:rsidRPr="003F7F6C">
              <w:rPr>
                <w:rFonts w:cs="Calibri"/>
                <w:szCs w:val="20"/>
              </w:rPr>
              <w:t>Ministry of Environment of Jujuy</w:t>
            </w:r>
          </w:p>
        </w:tc>
        <w:tc>
          <w:tcPr>
            <w:tcW w:w="3577" w:type="dxa"/>
            <w:gridSpan w:val="2"/>
            <w:shd w:val="clear" w:color="auto" w:fill="auto"/>
          </w:tcPr>
          <w:p w14:paraId="68CF96F3" w14:textId="074715F7" w:rsidR="00C667D3" w:rsidRPr="003F7F6C" w:rsidRDefault="00120344" w:rsidP="00BF02BF">
            <w:pPr>
              <w:spacing w:after="0"/>
              <w:jc w:val="right"/>
              <w:rPr>
                <w:rFonts w:cs="Calibri"/>
                <w:szCs w:val="20"/>
              </w:rPr>
            </w:pPr>
            <w:r w:rsidRPr="003F7F6C">
              <w:rPr>
                <w:rFonts w:cs="Calibri"/>
                <w:szCs w:val="20"/>
              </w:rPr>
              <w:t xml:space="preserve">USD </w:t>
            </w:r>
            <w:r w:rsidR="008D4129" w:rsidRPr="003F7F6C">
              <w:rPr>
                <w:rFonts w:cs="Calibri"/>
                <w:szCs w:val="20"/>
              </w:rPr>
              <w:t>1,512,104</w:t>
            </w:r>
          </w:p>
        </w:tc>
      </w:tr>
      <w:tr w:rsidR="00C667D3" w:rsidRPr="003F7F6C" w14:paraId="7F47D918" w14:textId="77777777" w:rsidTr="004F58E6">
        <w:trPr>
          <w:trHeight w:val="277"/>
        </w:trPr>
        <w:tc>
          <w:tcPr>
            <w:tcW w:w="5778" w:type="dxa"/>
            <w:gridSpan w:val="4"/>
            <w:shd w:val="clear" w:color="auto" w:fill="auto"/>
          </w:tcPr>
          <w:p w14:paraId="467E5FE5" w14:textId="0647A6B4" w:rsidR="00C667D3" w:rsidRPr="003F7F6C" w:rsidRDefault="00C667D3" w:rsidP="00BF02BF">
            <w:pPr>
              <w:spacing w:after="0"/>
              <w:jc w:val="right"/>
              <w:rPr>
                <w:rFonts w:cs="Calibri"/>
                <w:szCs w:val="20"/>
              </w:rPr>
            </w:pPr>
            <w:r w:rsidRPr="003F7F6C">
              <w:rPr>
                <w:rFonts w:cs="Calibri"/>
                <w:szCs w:val="20"/>
              </w:rPr>
              <w:t>Secretariat of Environment and Land Use Planning of Mendoza</w:t>
            </w:r>
          </w:p>
        </w:tc>
        <w:tc>
          <w:tcPr>
            <w:tcW w:w="3577" w:type="dxa"/>
            <w:gridSpan w:val="2"/>
            <w:shd w:val="clear" w:color="auto" w:fill="auto"/>
          </w:tcPr>
          <w:p w14:paraId="79319C58" w14:textId="77777777" w:rsidR="00C667D3" w:rsidRPr="003F7F6C" w:rsidRDefault="00120344" w:rsidP="00BF02BF">
            <w:pPr>
              <w:spacing w:after="0"/>
              <w:jc w:val="right"/>
              <w:rPr>
                <w:rFonts w:cs="Calibri"/>
                <w:szCs w:val="20"/>
              </w:rPr>
            </w:pPr>
            <w:r w:rsidRPr="003F7F6C">
              <w:rPr>
                <w:rFonts w:cs="Calibri"/>
                <w:szCs w:val="20"/>
              </w:rPr>
              <w:t>USD 6,833,332</w:t>
            </w:r>
          </w:p>
        </w:tc>
      </w:tr>
      <w:tr w:rsidR="00C667D3" w:rsidRPr="003F7F6C" w14:paraId="5431C3CD" w14:textId="77777777" w:rsidTr="004F58E6">
        <w:trPr>
          <w:trHeight w:val="277"/>
        </w:trPr>
        <w:tc>
          <w:tcPr>
            <w:tcW w:w="5778" w:type="dxa"/>
            <w:gridSpan w:val="4"/>
            <w:shd w:val="clear" w:color="auto" w:fill="auto"/>
          </w:tcPr>
          <w:p w14:paraId="02607B1D" w14:textId="77777777" w:rsidR="00C667D3" w:rsidRPr="003F7F6C" w:rsidRDefault="00C667D3" w:rsidP="00BF02BF">
            <w:pPr>
              <w:spacing w:after="0"/>
              <w:jc w:val="right"/>
              <w:rPr>
                <w:rFonts w:cs="Calibri"/>
                <w:szCs w:val="20"/>
              </w:rPr>
            </w:pPr>
            <w:r w:rsidRPr="003F7F6C">
              <w:rPr>
                <w:rFonts w:cs="Calibri"/>
                <w:szCs w:val="20"/>
              </w:rPr>
              <w:t>National Council for Technical and Scientific Research</w:t>
            </w:r>
          </w:p>
        </w:tc>
        <w:tc>
          <w:tcPr>
            <w:tcW w:w="3577" w:type="dxa"/>
            <w:gridSpan w:val="2"/>
            <w:shd w:val="clear" w:color="auto" w:fill="auto"/>
          </w:tcPr>
          <w:p w14:paraId="4A5FB1B8" w14:textId="01353727" w:rsidR="00C667D3" w:rsidRPr="003F7F6C" w:rsidRDefault="00120344" w:rsidP="00BF02BF">
            <w:pPr>
              <w:spacing w:after="0"/>
              <w:jc w:val="right"/>
              <w:rPr>
                <w:rFonts w:cs="Calibri"/>
                <w:szCs w:val="20"/>
              </w:rPr>
            </w:pPr>
            <w:r w:rsidRPr="003F7F6C">
              <w:rPr>
                <w:rFonts w:cs="Calibri"/>
                <w:szCs w:val="20"/>
              </w:rPr>
              <w:t xml:space="preserve">USD </w:t>
            </w:r>
            <w:r w:rsidR="008D4129" w:rsidRPr="003F7F6C">
              <w:rPr>
                <w:rFonts w:cs="Calibri"/>
                <w:szCs w:val="20"/>
              </w:rPr>
              <w:t>5,000,000</w:t>
            </w:r>
          </w:p>
        </w:tc>
      </w:tr>
      <w:tr w:rsidR="00C667D3" w:rsidRPr="003F7F6C" w14:paraId="0F22DBD4" w14:textId="77777777" w:rsidTr="004F58E6">
        <w:trPr>
          <w:trHeight w:val="277"/>
        </w:trPr>
        <w:tc>
          <w:tcPr>
            <w:tcW w:w="5778" w:type="dxa"/>
            <w:gridSpan w:val="4"/>
            <w:shd w:val="clear" w:color="auto" w:fill="auto"/>
          </w:tcPr>
          <w:p w14:paraId="143165CB" w14:textId="77777777" w:rsidR="00C667D3" w:rsidRPr="003F7F6C" w:rsidRDefault="00C667D3" w:rsidP="00BF02BF">
            <w:pPr>
              <w:spacing w:after="0"/>
              <w:jc w:val="right"/>
              <w:rPr>
                <w:rFonts w:cs="Calibri"/>
                <w:szCs w:val="20"/>
              </w:rPr>
            </w:pPr>
            <w:r w:rsidRPr="003F7F6C">
              <w:rPr>
                <w:rFonts w:cs="Calibri"/>
                <w:szCs w:val="20"/>
              </w:rPr>
              <w:t>National Indigenous Peoples Institute</w:t>
            </w:r>
          </w:p>
        </w:tc>
        <w:tc>
          <w:tcPr>
            <w:tcW w:w="3577" w:type="dxa"/>
            <w:gridSpan w:val="2"/>
            <w:shd w:val="clear" w:color="auto" w:fill="auto"/>
          </w:tcPr>
          <w:p w14:paraId="461AD9D0" w14:textId="7A9CBD2F" w:rsidR="00C667D3" w:rsidRPr="003F7F6C" w:rsidRDefault="00120344" w:rsidP="00BF02BF">
            <w:pPr>
              <w:spacing w:after="0"/>
              <w:jc w:val="right"/>
              <w:rPr>
                <w:rFonts w:cs="Calibri"/>
                <w:szCs w:val="20"/>
              </w:rPr>
            </w:pPr>
            <w:r w:rsidRPr="003F7F6C">
              <w:rPr>
                <w:rFonts w:cs="Calibri"/>
                <w:szCs w:val="20"/>
              </w:rPr>
              <w:t xml:space="preserve">USD </w:t>
            </w:r>
            <w:r w:rsidR="008D4129" w:rsidRPr="003F7F6C">
              <w:rPr>
                <w:rFonts w:cs="Calibri"/>
                <w:szCs w:val="20"/>
              </w:rPr>
              <w:t>350,000</w:t>
            </w:r>
          </w:p>
        </w:tc>
      </w:tr>
      <w:tr w:rsidR="0077088A" w:rsidRPr="003F7F6C" w14:paraId="720AEB76" w14:textId="77777777" w:rsidTr="004F58E6">
        <w:tc>
          <w:tcPr>
            <w:tcW w:w="5778" w:type="dxa"/>
            <w:gridSpan w:val="4"/>
            <w:shd w:val="clear" w:color="auto" w:fill="auto"/>
          </w:tcPr>
          <w:p w14:paraId="475810A2" w14:textId="77777777" w:rsidR="0077088A" w:rsidRPr="003F7F6C" w:rsidRDefault="0077088A" w:rsidP="00BF02BF">
            <w:pPr>
              <w:pStyle w:val="ColorfulList-Accent11"/>
              <w:numPr>
                <w:ilvl w:val="0"/>
                <w:numId w:val="6"/>
              </w:numPr>
              <w:jc w:val="right"/>
              <w:rPr>
                <w:rFonts w:ascii="Calibri" w:hAnsi="Calibri" w:cs="Calibri"/>
                <w:b/>
                <w:sz w:val="20"/>
                <w:szCs w:val="20"/>
              </w:rPr>
            </w:pPr>
            <w:r w:rsidRPr="003F7F6C">
              <w:rPr>
                <w:rFonts w:ascii="Calibri" w:hAnsi="Calibri" w:cs="Calibri"/>
                <w:b/>
                <w:sz w:val="20"/>
                <w:szCs w:val="20"/>
              </w:rPr>
              <w:t>Total co-financing</w:t>
            </w:r>
          </w:p>
        </w:tc>
        <w:tc>
          <w:tcPr>
            <w:tcW w:w="3577" w:type="dxa"/>
            <w:gridSpan w:val="2"/>
            <w:shd w:val="clear" w:color="auto" w:fill="auto"/>
          </w:tcPr>
          <w:p w14:paraId="1882EEAC" w14:textId="13904023" w:rsidR="0077088A" w:rsidRPr="003F7F6C" w:rsidRDefault="0077088A" w:rsidP="00BF02BF">
            <w:pPr>
              <w:spacing w:after="0"/>
              <w:jc w:val="right"/>
              <w:rPr>
                <w:rFonts w:cs="Calibri"/>
                <w:b/>
                <w:szCs w:val="20"/>
              </w:rPr>
            </w:pPr>
            <w:r w:rsidRPr="003F7F6C">
              <w:rPr>
                <w:rFonts w:cs="Calibri"/>
                <w:b/>
                <w:szCs w:val="20"/>
              </w:rPr>
              <w:t>USD</w:t>
            </w:r>
            <w:r w:rsidR="00973146" w:rsidRPr="003F7F6C">
              <w:rPr>
                <w:rFonts w:cs="Calibri"/>
                <w:b/>
                <w:szCs w:val="20"/>
              </w:rPr>
              <w:t xml:space="preserve"> </w:t>
            </w:r>
            <w:r w:rsidR="00A925EE" w:rsidRPr="003F7F6C">
              <w:rPr>
                <w:rFonts w:cs="Calibri"/>
                <w:b/>
                <w:szCs w:val="20"/>
              </w:rPr>
              <w:t>42,390,000</w:t>
            </w:r>
          </w:p>
        </w:tc>
      </w:tr>
      <w:tr w:rsidR="0077088A" w:rsidRPr="003F7F6C" w14:paraId="25C10EFB" w14:textId="77777777" w:rsidTr="004F58E6">
        <w:tc>
          <w:tcPr>
            <w:tcW w:w="5778" w:type="dxa"/>
            <w:gridSpan w:val="4"/>
            <w:shd w:val="clear" w:color="auto" w:fill="auto"/>
          </w:tcPr>
          <w:p w14:paraId="27F809CD" w14:textId="77777777" w:rsidR="0077088A" w:rsidRPr="003F7F6C" w:rsidRDefault="0077088A" w:rsidP="00BF02BF">
            <w:pPr>
              <w:pStyle w:val="ColorfulList-Accent11"/>
              <w:numPr>
                <w:ilvl w:val="0"/>
                <w:numId w:val="6"/>
              </w:numPr>
              <w:jc w:val="right"/>
              <w:rPr>
                <w:rFonts w:ascii="Calibri" w:hAnsi="Calibri" w:cs="Calibri"/>
                <w:b/>
                <w:sz w:val="20"/>
                <w:szCs w:val="20"/>
              </w:rPr>
            </w:pPr>
            <w:r w:rsidRPr="003F7F6C">
              <w:rPr>
                <w:rFonts w:ascii="Calibri" w:hAnsi="Calibri" w:cs="Calibri"/>
                <w:b/>
                <w:sz w:val="20"/>
                <w:szCs w:val="20"/>
                <w:lang w:eastAsia="zh-CN"/>
              </w:rPr>
              <w:t>Grand-</w:t>
            </w:r>
            <w:r w:rsidRPr="003F7F6C">
              <w:rPr>
                <w:rFonts w:ascii="Calibri" w:hAnsi="Calibri" w:cs="Calibri"/>
                <w:b/>
                <w:sz w:val="20"/>
                <w:szCs w:val="20"/>
              </w:rPr>
              <w:t xml:space="preserve">Total Project </w:t>
            </w:r>
            <w:r w:rsidRPr="003F7F6C">
              <w:rPr>
                <w:rFonts w:ascii="Calibri" w:hAnsi="Calibri" w:cs="Calibri"/>
                <w:b/>
                <w:sz w:val="20"/>
                <w:szCs w:val="20"/>
                <w:lang w:eastAsia="zh-CN"/>
              </w:rPr>
              <w:t>Financing (1)+(2)</w:t>
            </w:r>
          </w:p>
        </w:tc>
        <w:tc>
          <w:tcPr>
            <w:tcW w:w="3577" w:type="dxa"/>
            <w:gridSpan w:val="2"/>
            <w:shd w:val="clear" w:color="auto" w:fill="auto"/>
          </w:tcPr>
          <w:p w14:paraId="719CC1BB" w14:textId="2E24A17B" w:rsidR="0077088A" w:rsidRPr="003F7F6C" w:rsidRDefault="0077088A" w:rsidP="00BF02BF">
            <w:pPr>
              <w:spacing w:after="0"/>
              <w:jc w:val="right"/>
              <w:rPr>
                <w:rFonts w:cs="Calibri"/>
                <w:b/>
                <w:szCs w:val="20"/>
              </w:rPr>
            </w:pPr>
            <w:r w:rsidRPr="003F7F6C">
              <w:rPr>
                <w:rFonts w:cs="Calibri"/>
                <w:b/>
                <w:szCs w:val="20"/>
              </w:rPr>
              <w:t>USD</w:t>
            </w:r>
            <w:r w:rsidR="00973146" w:rsidRPr="003F7F6C">
              <w:rPr>
                <w:rFonts w:cs="Calibri"/>
                <w:b/>
                <w:szCs w:val="20"/>
              </w:rPr>
              <w:t xml:space="preserve"> </w:t>
            </w:r>
            <w:r w:rsidR="00795C34" w:rsidRPr="003F7F6C">
              <w:rPr>
                <w:rFonts w:cs="Calibri"/>
                <w:b/>
                <w:szCs w:val="20"/>
              </w:rPr>
              <w:t>51,385,434</w:t>
            </w:r>
          </w:p>
        </w:tc>
      </w:tr>
      <w:tr w:rsidR="0077088A" w:rsidRPr="003F7F6C" w14:paraId="178F7583" w14:textId="77777777" w:rsidTr="0003763F">
        <w:tc>
          <w:tcPr>
            <w:tcW w:w="9355" w:type="dxa"/>
            <w:gridSpan w:val="6"/>
            <w:shd w:val="clear" w:color="auto" w:fill="BFBFBF"/>
          </w:tcPr>
          <w:p w14:paraId="7A688A52" w14:textId="77777777" w:rsidR="0077088A" w:rsidRPr="003F7F6C" w:rsidRDefault="0077088A" w:rsidP="0003763F">
            <w:pPr>
              <w:spacing w:after="240"/>
              <w:jc w:val="left"/>
              <w:rPr>
                <w:rFonts w:cs="Calibri"/>
                <w:b/>
                <w:smallCaps/>
                <w:szCs w:val="20"/>
              </w:rPr>
            </w:pPr>
            <w:r w:rsidRPr="003F7F6C">
              <w:rPr>
                <w:rFonts w:cs="Calibri"/>
                <w:b/>
                <w:smallCaps/>
                <w:szCs w:val="20"/>
              </w:rPr>
              <w:t>Signatures</w:t>
            </w:r>
          </w:p>
        </w:tc>
      </w:tr>
      <w:tr w:rsidR="0077088A" w:rsidRPr="003F7F6C" w14:paraId="187FD7C7" w14:textId="77777777" w:rsidTr="0003763F">
        <w:tc>
          <w:tcPr>
            <w:tcW w:w="4135" w:type="dxa"/>
            <w:gridSpan w:val="2"/>
            <w:shd w:val="clear" w:color="auto" w:fill="auto"/>
          </w:tcPr>
          <w:p w14:paraId="759BD0AB" w14:textId="77777777" w:rsidR="0077088A" w:rsidRPr="003F7F6C" w:rsidRDefault="0077088A" w:rsidP="0003763F">
            <w:pPr>
              <w:spacing w:after="240"/>
              <w:jc w:val="left"/>
              <w:rPr>
                <w:rFonts w:cs="Calibri"/>
                <w:szCs w:val="20"/>
              </w:rPr>
            </w:pPr>
            <w:r w:rsidRPr="003F7F6C">
              <w:rPr>
                <w:rFonts w:cs="Calibri"/>
                <w:b/>
                <w:szCs w:val="20"/>
              </w:rPr>
              <w:t xml:space="preserve">Signature:  </w:t>
            </w:r>
            <w:r w:rsidR="00A21F3D" w:rsidRPr="003F7F6C">
              <w:rPr>
                <w:rFonts w:cs="Calibri"/>
                <w:szCs w:val="20"/>
              </w:rPr>
              <w:t>print name below</w:t>
            </w:r>
          </w:p>
          <w:p w14:paraId="75A12528" w14:textId="77777777" w:rsidR="00A21F3D" w:rsidRPr="003F7F6C" w:rsidRDefault="00A21F3D" w:rsidP="0003763F">
            <w:pPr>
              <w:spacing w:after="240"/>
              <w:jc w:val="left"/>
              <w:rPr>
                <w:rFonts w:cs="Calibri"/>
                <w:b/>
                <w:szCs w:val="20"/>
              </w:rPr>
            </w:pPr>
          </w:p>
        </w:tc>
        <w:tc>
          <w:tcPr>
            <w:tcW w:w="1620" w:type="dxa"/>
            <w:shd w:val="clear" w:color="auto" w:fill="auto"/>
          </w:tcPr>
          <w:p w14:paraId="421B653E" w14:textId="77777777" w:rsidR="0077088A" w:rsidRPr="003F7F6C" w:rsidRDefault="0077088A" w:rsidP="0003763F">
            <w:pPr>
              <w:spacing w:after="240"/>
              <w:jc w:val="left"/>
              <w:rPr>
                <w:rFonts w:cs="Calibri"/>
                <w:b/>
                <w:szCs w:val="20"/>
              </w:rPr>
            </w:pPr>
            <w:r w:rsidRPr="003F7F6C">
              <w:rPr>
                <w:rFonts w:cs="Calibri"/>
                <w:b/>
                <w:szCs w:val="20"/>
              </w:rPr>
              <w:t>Agreed by Government</w:t>
            </w:r>
          </w:p>
        </w:tc>
        <w:tc>
          <w:tcPr>
            <w:tcW w:w="3600" w:type="dxa"/>
            <w:gridSpan w:val="3"/>
            <w:shd w:val="clear" w:color="auto" w:fill="auto"/>
          </w:tcPr>
          <w:p w14:paraId="3007E327" w14:textId="77777777" w:rsidR="0077088A" w:rsidRPr="003F7F6C" w:rsidRDefault="0077088A" w:rsidP="0003763F">
            <w:pPr>
              <w:spacing w:after="240"/>
              <w:jc w:val="left"/>
              <w:rPr>
                <w:rFonts w:cs="Calibri"/>
                <w:b/>
                <w:szCs w:val="20"/>
              </w:rPr>
            </w:pPr>
            <w:r w:rsidRPr="003F7F6C">
              <w:rPr>
                <w:rFonts w:cs="Calibri"/>
                <w:b/>
                <w:szCs w:val="20"/>
              </w:rPr>
              <w:t>Date/Month/Year:</w:t>
            </w:r>
          </w:p>
          <w:p w14:paraId="39A20AA9" w14:textId="77777777" w:rsidR="0077088A" w:rsidRPr="003F7F6C" w:rsidRDefault="0077088A" w:rsidP="0003763F">
            <w:pPr>
              <w:spacing w:after="240"/>
              <w:jc w:val="left"/>
              <w:rPr>
                <w:rFonts w:cs="Calibri"/>
                <w:szCs w:val="20"/>
              </w:rPr>
            </w:pPr>
          </w:p>
        </w:tc>
      </w:tr>
      <w:tr w:rsidR="0077088A" w:rsidRPr="003F7F6C" w14:paraId="3564E6EB" w14:textId="77777777" w:rsidTr="0003763F">
        <w:tc>
          <w:tcPr>
            <w:tcW w:w="4135" w:type="dxa"/>
            <w:gridSpan w:val="2"/>
            <w:shd w:val="clear" w:color="auto" w:fill="auto"/>
          </w:tcPr>
          <w:p w14:paraId="7B85B3B9" w14:textId="77777777" w:rsidR="00A21F3D" w:rsidRPr="003F7F6C" w:rsidRDefault="0077088A" w:rsidP="00A21F3D">
            <w:pPr>
              <w:spacing w:after="240"/>
              <w:jc w:val="left"/>
              <w:rPr>
                <w:rFonts w:cs="Calibri"/>
                <w:szCs w:val="20"/>
              </w:rPr>
            </w:pPr>
            <w:r w:rsidRPr="003F7F6C">
              <w:rPr>
                <w:rFonts w:cs="Calibri"/>
                <w:b/>
                <w:szCs w:val="20"/>
              </w:rPr>
              <w:t xml:space="preserve">Signature:  </w:t>
            </w:r>
            <w:r w:rsidR="00A21F3D" w:rsidRPr="003F7F6C">
              <w:rPr>
                <w:rFonts w:cs="Calibri"/>
                <w:szCs w:val="20"/>
              </w:rPr>
              <w:t>print name below</w:t>
            </w:r>
          </w:p>
          <w:p w14:paraId="534CB685" w14:textId="77777777" w:rsidR="0077088A" w:rsidRPr="003F7F6C" w:rsidRDefault="0077088A" w:rsidP="0003763F">
            <w:pPr>
              <w:spacing w:after="240"/>
              <w:jc w:val="left"/>
              <w:rPr>
                <w:rFonts w:cs="Calibri"/>
                <w:b/>
                <w:szCs w:val="20"/>
              </w:rPr>
            </w:pPr>
          </w:p>
        </w:tc>
        <w:tc>
          <w:tcPr>
            <w:tcW w:w="1620" w:type="dxa"/>
            <w:shd w:val="clear" w:color="auto" w:fill="auto"/>
          </w:tcPr>
          <w:p w14:paraId="4102DEF6" w14:textId="77777777" w:rsidR="0077088A" w:rsidRPr="003F7F6C" w:rsidRDefault="0077088A" w:rsidP="0003763F">
            <w:pPr>
              <w:spacing w:after="240"/>
              <w:jc w:val="left"/>
              <w:rPr>
                <w:rFonts w:cs="Calibri"/>
                <w:b/>
                <w:szCs w:val="20"/>
              </w:rPr>
            </w:pPr>
            <w:r w:rsidRPr="003F7F6C">
              <w:rPr>
                <w:rFonts w:cs="Calibri"/>
                <w:b/>
                <w:szCs w:val="20"/>
              </w:rPr>
              <w:t>Agreed by Implementing Partner</w:t>
            </w:r>
          </w:p>
        </w:tc>
        <w:tc>
          <w:tcPr>
            <w:tcW w:w="3600" w:type="dxa"/>
            <w:gridSpan w:val="3"/>
            <w:shd w:val="clear" w:color="auto" w:fill="auto"/>
          </w:tcPr>
          <w:p w14:paraId="26306A9F" w14:textId="77777777" w:rsidR="0077088A" w:rsidRPr="003F7F6C" w:rsidRDefault="0077088A" w:rsidP="0003763F">
            <w:pPr>
              <w:spacing w:after="240"/>
              <w:jc w:val="left"/>
              <w:rPr>
                <w:rFonts w:cs="Calibri"/>
                <w:b/>
                <w:szCs w:val="20"/>
              </w:rPr>
            </w:pPr>
            <w:r w:rsidRPr="003F7F6C">
              <w:rPr>
                <w:rFonts w:cs="Calibri"/>
                <w:b/>
                <w:szCs w:val="20"/>
              </w:rPr>
              <w:t>Date/Month/Year:</w:t>
            </w:r>
          </w:p>
          <w:p w14:paraId="2A7714C7" w14:textId="77777777" w:rsidR="0077088A" w:rsidRPr="003F7F6C" w:rsidRDefault="0077088A" w:rsidP="0003763F">
            <w:pPr>
              <w:spacing w:after="240"/>
              <w:jc w:val="left"/>
              <w:rPr>
                <w:rFonts w:cs="Calibri"/>
                <w:b/>
                <w:szCs w:val="20"/>
              </w:rPr>
            </w:pPr>
          </w:p>
        </w:tc>
      </w:tr>
      <w:tr w:rsidR="0077088A" w:rsidRPr="003F7F6C" w14:paraId="58ADEAC5" w14:textId="77777777" w:rsidTr="0003763F">
        <w:tc>
          <w:tcPr>
            <w:tcW w:w="4135" w:type="dxa"/>
            <w:gridSpan w:val="2"/>
            <w:shd w:val="clear" w:color="auto" w:fill="auto"/>
          </w:tcPr>
          <w:p w14:paraId="7AFB89ED" w14:textId="77777777" w:rsidR="00A21F3D" w:rsidRPr="003F7F6C" w:rsidRDefault="0077088A" w:rsidP="00A21F3D">
            <w:pPr>
              <w:spacing w:after="240"/>
              <w:jc w:val="left"/>
              <w:rPr>
                <w:rFonts w:cs="Calibri"/>
                <w:szCs w:val="20"/>
              </w:rPr>
            </w:pPr>
            <w:r w:rsidRPr="003F7F6C">
              <w:rPr>
                <w:rFonts w:cs="Calibri"/>
                <w:b/>
                <w:szCs w:val="20"/>
              </w:rPr>
              <w:t xml:space="preserve">Signature:  </w:t>
            </w:r>
            <w:r w:rsidR="00A21F3D" w:rsidRPr="003F7F6C">
              <w:rPr>
                <w:rFonts w:cs="Calibri"/>
                <w:szCs w:val="20"/>
              </w:rPr>
              <w:t>print name below</w:t>
            </w:r>
          </w:p>
          <w:p w14:paraId="1EE75105" w14:textId="77777777" w:rsidR="0077088A" w:rsidRPr="003F7F6C" w:rsidRDefault="0077088A" w:rsidP="0003763F">
            <w:pPr>
              <w:spacing w:after="240"/>
              <w:jc w:val="left"/>
              <w:rPr>
                <w:rFonts w:cs="Calibri"/>
                <w:b/>
                <w:szCs w:val="20"/>
              </w:rPr>
            </w:pPr>
          </w:p>
        </w:tc>
        <w:tc>
          <w:tcPr>
            <w:tcW w:w="1620" w:type="dxa"/>
            <w:shd w:val="clear" w:color="auto" w:fill="auto"/>
          </w:tcPr>
          <w:p w14:paraId="2B1BF37A" w14:textId="77777777" w:rsidR="0077088A" w:rsidRPr="003F7F6C" w:rsidRDefault="0077088A" w:rsidP="0003763F">
            <w:pPr>
              <w:spacing w:after="240"/>
              <w:jc w:val="left"/>
              <w:rPr>
                <w:rFonts w:cs="Calibri"/>
                <w:b/>
                <w:szCs w:val="20"/>
              </w:rPr>
            </w:pPr>
            <w:r w:rsidRPr="003F7F6C">
              <w:rPr>
                <w:rFonts w:cs="Calibri"/>
                <w:b/>
                <w:szCs w:val="20"/>
              </w:rPr>
              <w:t>Agreed by UNDP</w:t>
            </w:r>
          </w:p>
        </w:tc>
        <w:tc>
          <w:tcPr>
            <w:tcW w:w="3600" w:type="dxa"/>
            <w:gridSpan w:val="3"/>
            <w:shd w:val="clear" w:color="auto" w:fill="auto"/>
          </w:tcPr>
          <w:p w14:paraId="6A584DCF" w14:textId="77777777" w:rsidR="0077088A" w:rsidRPr="003F7F6C" w:rsidRDefault="0077088A" w:rsidP="0003763F">
            <w:pPr>
              <w:spacing w:after="240"/>
              <w:jc w:val="left"/>
              <w:rPr>
                <w:rFonts w:cs="Calibri"/>
                <w:b/>
                <w:szCs w:val="20"/>
              </w:rPr>
            </w:pPr>
            <w:r w:rsidRPr="003F7F6C">
              <w:rPr>
                <w:rFonts w:cs="Calibri"/>
                <w:b/>
                <w:szCs w:val="20"/>
              </w:rPr>
              <w:t>Date/Month/Year:</w:t>
            </w:r>
          </w:p>
        </w:tc>
      </w:tr>
    </w:tbl>
    <w:p w14:paraId="231468FA" w14:textId="77777777" w:rsidR="00D64EA4" w:rsidRPr="003F7F6C" w:rsidRDefault="00D64EA4" w:rsidP="00235AE4">
      <w:pPr>
        <w:spacing w:after="240"/>
        <w:jc w:val="left"/>
        <w:rPr>
          <w:rFonts w:cs="Arial"/>
          <w:b/>
          <w:szCs w:val="20"/>
        </w:rPr>
      </w:pPr>
    </w:p>
    <w:p w14:paraId="610BF764" w14:textId="77777777" w:rsidR="001F6E52" w:rsidRPr="003F7F6C" w:rsidRDefault="001F6E52" w:rsidP="00235AE4">
      <w:pPr>
        <w:pStyle w:val="GridTable31"/>
        <w:spacing w:before="0" w:after="240" w:line="240" w:lineRule="auto"/>
        <w:rPr>
          <w:rFonts w:ascii="Calibri" w:eastAsia="Times New Roman" w:hAnsi="Calibri"/>
          <w:b w:val="0"/>
          <w:bCs w:val="0"/>
          <w:color w:val="auto"/>
          <w:sz w:val="22"/>
          <w:szCs w:val="22"/>
          <w:lang w:val="en-GB"/>
        </w:rPr>
      </w:pPr>
    </w:p>
    <w:p w14:paraId="231E967D" w14:textId="77777777" w:rsidR="001F6E52" w:rsidRPr="003F7F6C" w:rsidRDefault="001F6E52">
      <w:pPr>
        <w:spacing w:after="0"/>
        <w:jc w:val="left"/>
        <w:rPr>
          <w:rFonts w:eastAsia="Times New Roman"/>
          <w:szCs w:val="22"/>
        </w:rPr>
      </w:pPr>
      <w:r w:rsidRPr="003F7F6C">
        <w:rPr>
          <w:rFonts w:eastAsia="Times New Roman"/>
          <w:b/>
          <w:bCs/>
          <w:szCs w:val="22"/>
        </w:rPr>
        <w:br w:type="page"/>
      </w:r>
    </w:p>
    <w:p w14:paraId="6780071C" w14:textId="77777777" w:rsidR="00D64EA4" w:rsidRPr="003F7F6C" w:rsidRDefault="00D64EA4" w:rsidP="0073518C">
      <w:pPr>
        <w:pStyle w:val="Heading1"/>
        <w:rPr>
          <w:rFonts w:ascii="Calibri" w:hAnsi="Calibri"/>
        </w:rPr>
      </w:pPr>
      <w:bookmarkStart w:id="2" w:name="_Toc529891407"/>
      <w:r w:rsidRPr="003F7F6C">
        <w:rPr>
          <w:rFonts w:ascii="Calibri" w:hAnsi="Calibri"/>
        </w:rPr>
        <w:lastRenderedPageBreak/>
        <w:t>Table of Contents</w:t>
      </w:r>
      <w:bookmarkEnd w:id="2"/>
    </w:p>
    <w:p w14:paraId="237719A3" w14:textId="221D8600" w:rsidR="00B93FD5" w:rsidRPr="003F7F6C" w:rsidRDefault="00D64EA4">
      <w:pPr>
        <w:pStyle w:val="TOC1"/>
        <w:rPr>
          <w:rFonts w:asciiTheme="minorHAnsi" w:eastAsiaTheme="minorEastAsia" w:hAnsiTheme="minorHAnsi" w:cstheme="minorBidi"/>
          <w:noProof/>
          <w:sz w:val="22"/>
          <w:szCs w:val="22"/>
        </w:rPr>
      </w:pPr>
      <w:r w:rsidRPr="003F7F6C">
        <w:rPr>
          <w:rFonts w:asciiTheme="minorHAnsi" w:hAnsiTheme="minorHAnsi"/>
          <w:szCs w:val="20"/>
        </w:rPr>
        <w:fldChar w:fldCharType="begin"/>
      </w:r>
      <w:r w:rsidRPr="003F7F6C">
        <w:rPr>
          <w:rFonts w:asciiTheme="minorHAnsi" w:hAnsiTheme="minorHAnsi"/>
          <w:szCs w:val="20"/>
        </w:rPr>
        <w:instrText xml:space="preserve"> </w:instrText>
      </w:r>
      <w:r w:rsidR="00382E26" w:rsidRPr="003F7F6C">
        <w:rPr>
          <w:rFonts w:asciiTheme="minorHAnsi" w:hAnsiTheme="minorHAnsi"/>
          <w:szCs w:val="20"/>
        </w:rPr>
        <w:instrText>TOC</w:instrText>
      </w:r>
      <w:r w:rsidRPr="003F7F6C">
        <w:rPr>
          <w:rFonts w:asciiTheme="minorHAnsi" w:hAnsiTheme="minorHAnsi"/>
          <w:szCs w:val="20"/>
        </w:rPr>
        <w:instrText xml:space="preserve"> \o "1-3" \h \z \u </w:instrText>
      </w:r>
      <w:r w:rsidRPr="003F7F6C">
        <w:rPr>
          <w:rFonts w:asciiTheme="minorHAnsi" w:hAnsiTheme="minorHAnsi"/>
          <w:szCs w:val="20"/>
        </w:rPr>
        <w:fldChar w:fldCharType="separate"/>
      </w:r>
      <w:hyperlink w:anchor="_Toc529891407" w:history="1">
        <w:r w:rsidR="00B93FD5" w:rsidRPr="003F7F6C">
          <w:rPr>
            <w:rStyle w:val="Hyperlink"/>
            <w:noProof/>
          </w:rPr>
          <w:t>I.</w:t>
        </w:r>
        <w:r w:rsidR="00B93FD5" w:rsidRPr="003F7F6C">
          <w:rPr>
            <w:rFonts w:asciiTheme="minorHAnsi" w:eastAsiaTheme="minorEastAsia" w:hAnsiTheme="minorHAnsi" w:cstheme="minorBidi"/>
            <w:noProof/>
            <w:sz w:val="22"/>
            <w:szCs w:val="22"/>
          </w:rPr>
          <w:tab/>
        </w:r>
        <w:r w:rsidR="00B93FD5" w:rsidRPr="003F7F6C">
          <w:rPr>
            <w:rStyle w:val="Hyperlink"/>
            <w:noProof/>
          </w:rPr>
          <w:t>Table of Contents</w:t>
        </w:r>
        <w:r w:rsidR="00B93FD5" w:rsidRPr="003F7F6C">
          <w:rPr>
            <w:noProof/>
            <w:webHidden/>
          </w:rPr>
          <w:tab/>
        </w:r>
        <w:r w:rsidR="00B93FD5" w:rsidRPr="003F7F6C">
          <w:rPr>
            <w:noProof/>
            <w:webHidden/>
          </w:rPr>
          <w:fldChar w:fldCharType="begin"/>
        </w:r>
        <w:r w:rsidR="00B93FD5" w:rsidRPr="003F7F6C">
          <w:rPr>
            <w:noProof/>
            <w:webHidden/>
          </w:rPr>
          <w:instrText xml:space="preserve"> PAGEREF _Toc529891407 \h </w:instrText>
        </w:r>
        <w:r w:rsidR="00B93FD5" w:rsidRPr="003F7F6C">
          <w:rPr>
            <w:noProof/>
            <w:webHidden/>
          </w:rPr>
        </w:r>
        <w:r w:rsidR="00B93FD5" w:rsidRPr="003F7F6C">
          <w:rPr>
            <w:noProof/>
            <w:webHidden/>
          </w:rPr>
          <w:fldChar w:fldCharType="separate"/>
        </w:r>
        <w:r w:rsidR="00B93FD5" w:rsidRPr="003F7F6C">
          <w:rPr>
            <w:noProof/>
            <w:webHidden/>
          </w:rPr>
          <w:t>3</w:t>
        </w:r>
        <w:r w:rsidR="00B93FD5" w:rsidRPr="003F7F6C">
          <w:rPr>
            <w:noProof/>
            <w:webHidden/>
          </w:rPr>
          <w:fldChar w:fldCharType="end"/>
        </w:r>
      </w:hyperlink>
    </w:p>
    <w:p w14:paraId="2B1F5AC8" w14:textId="0C0194AA" w:rsidR="00B93FD5" w:rsidRPr="003F7F6C" w:rsidRDefault="003434CB">
      <w:pPr>
        <w:pStyle w:val="TOC1"/>
        <w:rPr>
          <w:rFonts w:asciiTheme="minorHAnsi" w:eastAsiaTheme="minorEastAsia" w:hAnsiTheme="minorHAnsi" w:cstheme="minorBidi"/>
          <w:noProof/>
          <w:sz w:val="22"/>
          <w:szCs w:val="22"/>
        </w:rPr>
      </w:pPr>
      <w:hyperlink w:anchor="_Toc529891408" w:history="1">
        <w:r w:rsidR="00B93FD5" w:rsidRPr="003F7F6C">
          <w:rPr>
            <w:rStyle w:val="Hyperlink"/>
            <w:noProof/>
          </w:rPr>
          <w:t>II.</w:t>
        </w:r>
        <w:r w:rsidR="00B93FD5" w:rsidRPr="003F7F6C">
          <w:rPr>
            <w:rFonts w:asciiTheme="minorHAnsi" w:eastAsiaTheme="minorEastAsia" w:hAnsiTheme="minorHAnsi" w:cstheme="minorBidi"/>
            <w:noProof/>
            <w:sz w:val="22"/>
            <w:szCs w:val="22"/>
          </w:rPr>
          <w:tab/>
        </w:r>
        <w:r w:rsidR="00B93FD5" w:rsidRPr="003F7F6C">
          <w:rPr>
            <w:rStyle w:val="Hyperlink"/>
            <w:noProof/>
          </w:rPr>
          <w:t>Development Challenge</w:t>
        </w:r>
        <w:r w:rsidR="00B93FD5" w:rsidRPr="003F7F6C">
          <w:rPr>
            <w:noProof/>
            <w:webHidden/>
          </w:rPr>
          <w:tab/>
        </w:r>
        <w:r w:rsidR="00B93FD5" w:rsidRPr="003F7F6C">
          <w:rPr>
            <w:noProof/>
            <w:webHidden/>
          </w:rPr>
          <w:fldChar w:fldCharType="begin"/>
        </w:r>
        <w:r w:rsidR="00B93FD5" w:rsidRPr="003F7F6C">
          <w:rPr>
            <w:noProof/>
            <w:webHidden/>
          </w:rPr>
          <w:instrText xml:space="preserve"> PAGEREF _Toc529891408 \h </w:instrText>
        </w:r>
        <w:r w:rsidR="00B93FD5" w:rsidRPr="003F7F6C">
          <w:rPr>
            <w:noProof/>
            <w:webHidden/>
          </w:rPr>
        </w:r>
        <w:r w:rsidR="00B93FD5" w:rsidRPr="003F7F6C">
          <w:rPr>
            <w:noProof/>
            <w:webHidden/>
          </w:rPr>
          <w:fldChar w:fldCharType="separate"/>
        </w:r>
        <w:r w:rsidR="00B93FD5" w:rsidRPr="003F7F6C">
          <w:rPr>
            <w:noProof/>
            <w:webHidden/>
          </w:rPr>
          <w:t>6</w:t>
        </w:r>
        <w:r w:rsidR="00B93FD5" w:rsidRPr="003F7F6C">
          <w:rPr>
            <w:noProof/>
            <w:webHidden/>
          </w:rPr>
          <w:fldChar w:fldCharType="end"/>
        </w:r>
      </w:hyperlink>
    </w:p>
    <w:p w14:paraId="6CEA78F4" w14:textId="02CBBE2C" w:rsidR="00B93FD5" w:rsidRPr="003F7F6C" w:rsidRDefault="003434CB">
      <w:pPr>
        <w:pStyle w:val="TOC1"/>
        <w:rPr>
          <w:rFonts w:asciiTheme="minorHAnsi" w:eastAsiaTheme="minorEastAsia" w:hAnsiTheme="minorHAnsi" w:cstheme="minorBidi"/>
          <w:noProof/>
          <w:sz w:val="22"/>
          <w:szCs w:val="22"/>
        </w:rPr>
      </w:pPr>
      <w:hyperlink w:anchor="_Toc529891409" w:history="1">
        <w:r w:rsidR="00B93FD5" w:rsidRPr="003F7F6C">
          <w:rPr>
            <w:rStyle w:val="Hyperlink"/>
            <w:noProof/>
          </w:rPr>
          <w:t>III.</w:t>
        </w:r>
        <w:r w:rsidR="00B93FD5" w:rsidRPr="003F7F6C">
          <w:rPr>
            <w:rFonts w:asciiTheme="minorHAnsi" w:eastAsiaTheme="minorEastAsia" w:hAnsiTheme="minorHAnsi" w:cstheme="minorBidi"/>
            <w:noProof/>
            <w:sz w:val="22"/>
            <w:szCs w:val="22"/>
          </w:rPr>
          <w:tab/>
        </w:r>
        <w:r w:rsidR="00B93FD5" w:rsidRPr="003F7F6C">
          <w:rPr>
            <w:rStyle w:val="Hyperlink"/>
            <w:noProof/>
          </w:rPr>
          <w:t>Strategy</w:t>
        </w:r>
        <w:r w:rsidR="00B93FD5" w:rsidRPr="003F7F6C">
          <w:rPr>
            <w:noProof/>
            <w:webHidden/>
          </w:rPr>
          <w:tab/>
        </w:r>
        <w:r w:rsidR="00B93FD5" w:rsidRPr="003F7F6C">
          <w:rPr>
            <w:noProof/>
            <w:webHidden/>
          </w:rPr>
          <w:fldChar w:fldCharType="begin"/>
        </w:r>
        <w:r w:rsidR="00B93FD5" w:rsidRPr="003F7F6C">
          <w:rPr>
            <w:noProof/>
            <w:webHidden/>
          </w:rPr>
          <w:instrText xml:space="preserve"> PAGEREF _Toc529891409 \h </w:instrText>
        </w:r>
        <w:r w:rsidR="00B93FD5" w:rsidRPr="003F7F6C">
          <w:rPr>
            <w:noProof/>
            <w:webHidden/>
          </w:rPr>
        </w:r>
        <w:r w:rsidR="00B93FD5" w:rsidRPr="003F7F6C">
          <w:rPr>
            <w:noProof/>
            <w:webHidden/>
          </w:rPr>
          <w:fldChar w:fldCharType="separate"/>
        </w:r>
        <w:r w:rsidR="00B93FD5" w:rsidRPr="003F7F6C">
          <w:rPr>
            <w:noProof/>
            <w:webHidden/>
          </w:rPr>
          <w:t>14</w:t>
        </w:r>
        <w:r w:rsidR="00B93FD5" w:rsidRPr="003F7F6C">
          <w:rPr>
            <w:noProof/>
            <w:webHidden/>
          </w:rPr>
          <w:fldChar w:fldCharType="end"/>
        </w:r>
      </w:hyperlink>
    </w:p>
    <w:p w14:paraId="7A2F21B9" w14:textId="18841A58" w:rsidR="00B93FD5" w:rsidRPr="003F7F6C" w:rsidRDefault="003434CB">
      <w:pPr>
        <w:pStyle w:val="TOC1"/>
        <w:rPr>
          <w:rFonts w:asciiTheme="minorHAnsi" w:eastAsiaTheme="minorEastAsia" w:hAnsiTheme="minorHAnsi" w:cstheme="minorBidi"/>
          <w:noProof/>
          <w:sz w:val="22"/>
          <w:szCs w:val="22"/>
        </w:rPr>
      </w:pPr>
      <w:hyperlink w:anchor="_Toc529891410" w:history="1">
        <w:r w:rsidR="00B93FD5" w:rsidRPr="003F7F6C">
          <w:rPr>
            <w:rStyle w:val="Hyperlink"/>
            <w:noProof/>
          </w:rPr>
          <w:t>IV.</w:t>
        </w:r>
        <w:r w:rsidR="00B93FD5" w:rsidRPr="003F7F6C">
          <w:rPr>
            <w:rFonts w:asciiTheme="minorHAnsi" w:eastAsiaTheme="minorEastAsia" w:hAnsiTheme="minorHAnsi" w:cstheme="minorBidi"/>
            <w:noProof/>
            <w:sz w:val="22"/>
            <w:szCs w:val="22"/>
          </w:rPr>
          <w:tab/>
        </w:r>
        <w:r w:rsidR="00B93FD5" w:rsidRPr="003F7F6C">
          <w:rPr>
            <w:rStyle w:val="Hyperlink"/>
            <w:noProof/>
          </w:rPr>
          <w:t>Results and Partnerships</w:t>
        </w:r>
        <w:r w:rsidR="00B93FD5" w:rsidRPr="003F7F6C">
          <w:rPr>
            <w:noProof/>
            <w:webHidden/>
          </w:rPr>
          <w:tab/>
        </w:r>
        <w:r w:rsidR="00B93FD5" w:rsidRPr="003F7F6C">
          <w:rPr>
            <w:noProof/>
            <w:webHidden/>
          </w:rPr>
          <w:fldChar w:fldCharType="begin"/>
        </w:r>
        <w:r w:rsidR="00B93FD5" w:rsidRPr="003F7F6C">
          <w:rPr>
            <w:noProof/>
            <w:webHidden/>
          </w:rPr>
          <w:instrText xml:space="preserve"> PAGEREF _Toc529891410 \h </w:instrText>
        </w:r>
        <w:r w:rsidR="00B93FD5" w:rsidRPr="003F7F6C">
          <w:rPr>
            <w:noProof/>
            <w:webHidden/>
          </w:rPr>
        </w:r>
        <w:r w:rsidR="00B93FD5" w:rsidRPr="003F7F6C">
          <w:rPr>
            <w:noProof/>
            <w:webHidden/>
          </w:rPr>
          <w:fldChar w:fldCharType="separate"/>
        </w:r>
        <w:r w:rsidR="00B93FD5" w:rsidRPr="003F7F6C">
          <w:rPr>
            <w:noProof/>
            <w:webHidden/>
          </w:rPr>
          <w:t>26</w:t>
        </w:r>
        <w:r w:rsidR="00B93FD5" w:rsidRPr="003F7F6C">
          <w:rPr>
            <w:noProof/>
            <w:webHidden/>
          </w:rPr>
          <w:fldChar w:fldCharType="end"/>
        </w:r>
      </w:hyperlink>
    </w:p>
    <w:p w14:paraId="7D2DA46C" w14:textId="49FF07F8" w:rsidR="00B93FD5" w:rsidRPr="003F7F6C" w:rsidRDefault="003434CB">
      <w:pPr>
        <w:pStyle w:val="TOC1"/>
        <w:rPr>
          <w:rFonts w:asciiTheme="minorHAnsi" w:eastAsiaTheme="minorEastAsia" w:hAnsiTheme="minorHAnsi" w:cstheme="minorBidi"/>
          <w:noProof/>
          <w:sz w:val="22"/>
          <w:szCs w:val="22"/>
        </w:rPr>
      </w:pPr>
      <w:hyperlink w:anchor="_Toc529891411" w:history="1">
        <w:r w:rsidR="00B93FD5" w:rsidRPr="003F7F6C">
          <w:rPr>
            <w:rStyle w:val="Hyperlink"/>
            <w:noProof/>
          </w:rPr>
          <w:t>V.</w:t>
        </w:r>
        <w:r w:rsidR="00B93FD5" w:rsidRPr="003F7F6C">
          <w:rPr>
            <w:rFonts w:asciiTheme="minorHAnsi" w:eastAsiaTheme="minorEastAsia" w:hAnsiTheme="minorHAnsi" w:cstheme="minorBidi"/>
            <w:noProof/>
            <w:sz w:val="22"/>
            <w:szCs w:val="22"/>
          </w:rPr>
          <w:tab/>
        </w:r>
        <w:r w:rsidR="00B93FD5" w:rsidRPr="003F7F6C">
          <w:rPr>
            <w:rStyle w:val="Hyperlink"/>
            <w:noProof/>
          </w:rPr>
          <w:t>Project Management</w:t>
        </w:r>
        <w:r w:rsidR="00B93FD5" w:rsidRPr="003F7F6C">
          <w:rPr>
            <w:noProof/>
            <w:webHidden/>
          </w:rPr>
          <w:tab/>
        </w:r>
        <w:r w:rsidR="00B93FD5" w:rsidRPr="003F7F6C">
          <w:rPr>
            <w:noProof/>
            <w:webHidden/>
          </w:rPr>
          <w:fldChar w:fldCharType="begin"/>
        </w:r>
        <w:r w:rsidR="00B93FD5" w:rsidRPr="003F7F6C">
          <w:rPr>
            <w:noProof/>
            <w:webHidden/>
          </w:rPr>
          <w:instrText xml:space="preserve"> PAGEREF _Toc529891411 \h </w:instrText>
        </w:r>
        <w:r w:rsidR="00B93FD5" w:rsidRPr="003F7F6C">
          <w:rPr>
            <w:noProof/>
            <w:webHidden/>
          </w:rPr>
        </w:r>
        <w:r w:rsidR="00B93FD5" w:rsidRPr="003F7F6C">
          <w:rPr>
            <w:noProof/>
            <w:webHidden/>
          </w:rPr>
          <w:fldChar w:fldCharType="separate"/>
        </w:r>
        <w:r w:rsidR="00B93FD5" w:rsidRPr="003F7F6C">
          <w:rPr>
            <w:noProof/>
            <w:webHidden/>
          </w:rPr>
          <w:t>57</w:t>
        </w:r>
        <w:r w:rsidR="00B93FD5" w:rsidRPr="003F7F6C">
          <w:rPr>
            <w:noProof/>
            <w:webHidden/>
          </w:rPr>
          <w:fldChar w:fldCharType="end"/>
        </w:r>
      </w:hyperlink>
    </w:p>
    <w:p w14:paraId="5B09CAEE" w14:textId="07315007" w:rsidR="00B93FD5" w:rsidRPr="003F7F6C" w:rsidRDefault="003434CB">
      <w:pPr>
        <w:pStyle w:val="TOC1"/>
        <w:rPr>
          <w:rFonts w:asciiTheme="minorHAnsi" w:eastAsiaTheme="minorEastAsia" w:hAnsiTheme="minorHAnsi" w:cstheme="minorBidi"/>
          <w:noProof/>
          <w:sz w:val="22"/>
          <w:szCs w:val="22"/>
        </w:rPr>
      </w:pPr>
      <w:hyperlink w:anchor="_Toc529891412" w:history="1">
        <w:r w:rsidR="00B93FD5" w:rsidRPr="003F7F6C">
          <w:rPr>
            <w:rStyle w:val="Hyperlink"/>
            <w:noProof/>
          </w:rPr>
          <w:t>VI.</w:t>
        </w:r>
        <w:r w:rsidR="00B93FD5" w:rsidRPr="003F7F6C">
          <w:rPr>
            <w:rFonts w:asciiTheme="minorHAnsi" w:eastAsiaTheme="minorEastAsia" w:hAnsiTheme="minorHAnsi" w:cstheme="minorBidi"/>
            <w:noProof/>
            <w:sz w:val="22"/>
            <w:szCs w:val="22"/>
          </w:rPr>
          <w:tab/>
        </w:r>
        <w:r w:rsidR="00B93FD5" w:rsidRPr="003F7F6C">
          <w:rPr>
            <w:rStyle w:val="Hyperlink"/>
            <w:noProof/>
          </w:rPr>
          <w:t>Project Results Framework</w:t>
        </w:r>
        <w:r w:rsidR="00B93FD5" w:rsidRPr="003F7F6C">
          <w:rPr>
            <w:noProof/>
            <w:webHidden/>
          </w:rPr>
          <w:tab/>
        </w:r>
        <w:r w:rsidR="00B93FD5" w:rsidRPr="003F7F6C">
          <w:rPr>
            <w:noProof/>
            <w:webHidden/>
          </w:rPr>
          <w:fldChar w:fldCharType="begin"/>
        </w:r>
        <w:r w:rsidR="00B93FD5" w:rsidRPr="003F7F6C">
          <w:rPr>
            <w:noProof/>
            <w:webHidden/>
          </w:rPr>
          <w:instrText xml:space="preserve"> PAGEREF _Toc529891412 \h </w:instrText>
        </w:r>
        <w:r w:rsidR="00B93FD5" w:rsidRPr="003F7F6C">
          <w:rPr>
            <w:noProof/>
            <w:webHidden/>
          </w:rPr>
        </w:r>
        <w:r w:rsidR="00B93FD5" w:rsidRPr="003F7F6C">
          <w:rPr>
            <w:noProof/>
            <w:webHidden/>
          </w:rPr>
          <w:fldChar w:fldCharType="separate"/>
        </w:r>
        <w:r w:rsidR="00B93FD5" w:rsidRPr="003F7F6C">
          <w:rPr>
            <w:noProof/>
            <w:webHidden/>
          </w:rPr>
          <w:t>59</w:t>
        </w:r>
        <w:r w:rsidR="00B93FD5" w:rsidRPr="003F7F6C">
          <w:rPr>
            <w:noProof/>
            <w:webHidden/>
          </w:rPr>
          <w:fldChar w:fldCharType="end"/>
        </w:r>
      </w:hyperlink>
    </w:p>
    <w:p w14:paraId="21BAE481" w14:textId="131CE17A" w:rsidR="00B93FD5" w:rsidRPr="003F7F6C" w:rsidRDefault="003434CB">
      <w:pPr>
        <w:pStyle w:val="TOC1"/>
        <w:rPr>
          <w:rFonts w:asciiTheme="minorHAnsi" w:eastAsiaTheme="minorEastAsia" w:hAnsiTheme="minorHAnsi" w:cstheme="minorBidi"/>
          <w:noProof/>
          <w:sz w:val="22"/>
          <w:szCs w:val="22"/>
        </w:rPr>
      </w:pPr>
      <w:hyperlink w:anchor="_Toc529891413" w:history="1">
        <w:r w:rsidR="00B93FD5" w:rsidRPr="003F7F6C">
          <w:rPr>
            <w:rStyle w:val="Hyperlink"/>
            <w:noProof/>
          </w:rPr>
          <w:t>VII.</w:t>
        </w:r>
        <w:r w:rsidR="00B93FD5" w:rsidRPr="003F7F6C">
          <w:rPr>
            <w:rFonts w:asciiTheme="minorHAnsi" w:eastAsiaTheme="minorEastAsia" w:hAnsiTheme="minorHAnsi" w:cstheme="minorBidi"/>
            <w:noProof/>
            <w:sz w:val="22"/>
            <w:szCs w:val="22"/>
          </w:rPr>
          <w:tab/>
        </w:r>
        <w:r w:rsidR="00B93FD5" w:rsidRPr="003F7F6C">
          <w:rPr>
            <w:rStyle w:val="Hyperlink"/>
            <w:noProof/>
          </w:rPr>
          <w:t>Monitoring and Evaluation (M&amp;E) Plan</w:t>
        </w:r>
        <w:r w:rsidR="00B93FD5" w:rsidRPr="003F7F6C">
          <w:rPr>
            <w:noProof/>
            <w:webHidden/>
          </w:rPr>
          <w:tab/>
        </w:r>
        <w:r w:rsidR="00B93FD5" w:rsidRPr="003F7F6C">
          <w:rPr>
            <w:noProof/>
            <w:webHidden/>
          </w:rPr>
          <w:fldChar w:fldCharType="begin"/>
        </w:r>
        <w:r w:rsidR="00B93FD5" w:rsidRPr="003F7F6C">
          <w:rPr>
            <w:noProof/>
            <w:webHidden/>
          </w:rPr>
          <w:instrText xml:space="preserve"> PAGEREF _Toc529891413 \h </w:instrText>
        </w:r>
        <w:r w:rsidR="00B93FD5" w:rsidRPr="003F7F6C">
          <w:rPr>
            <w:noProof/>
            <w:webHidden/>
          </w:rPr>
        </w:r>
        <w:r w:rsidR="00B93FD5" w:rsidRPr="003F7F6C">
          <w:rPr>
            <w:noProof/>
            <w:webHidden/>
          </w:rPr>
          <w:fldChar w:fldCharType="separate"/>
        </w:r>
        <w:r w:rsidR="00B93FD5" w:rsidRPr="003F7F6C">
          <w:rPr>
            <w:noProof/>
            <w:webHidden/>
          </w:rPr>
          <w:t>67</w:t>
        </w:r>
        <w:r w:rsidR="00B93FD5" w:rsidRPr="003F7F6C">
          <w:rPr>
            <w:noProof/>
            <w:webHidden/>
          </w:rPr>
          <w:fldChar w:fldCharType="end"/>
        </w:r>
      </w:hyperlink>
    </w:p>
    <w:p w14:paraId="19DCECC0" w14:textId="491D38C6" w:rsidR="00B93FD5" w:rsidRPr="003F7F6C" w:rsidRDefault="003434CB">
      <w:pPr>
        <w:pStyle w:val="TOC1"/>
        <w:rPr>
          <w:rFonts w:asciiTheme="minorHAnsi" w:eastAsiaTheme="minorEastAsia" w:hAnsiTheme="minorHAnsi" w:cstheme="minorBidi"/>
          <w:noProof/>
          <w:sz w:val="22"/>
          <w:szCs w:val="22"/>
        </w:rPr>
      </w:pPr>
      <w:hyperlink w:anchor="_Toc529891414" w:history="1">
        <w:r w:rsidR="00B93FD5" w:rsidRPr="003F7F6C">
          <w:rPr>
            <w:rStyle w:val="Hyperlink"/>
            <w:noProof/>
          </w:rPr>
          <w:t>VIII.</w:t>
        </w:r>
        <w:r w:rsidR="00B93FD5" w:rsidRPr="003F7F6C">
          <w:rPr>
            <w:rFonts w:asciiTheme="minorHAnsi" w:eastAsiaTheme="minorEastAsia" w:hAnsiTheme="minorHAnsi" w:cstheme="minorBidi"/>
            <w:noProof/>
            <w:sz w:val="22"/>
            <w:szCs w:val="22"/>
          </w:rPr>
          <w:tab/>
        </w:r>
        <w:r w:rsidR="00B93FD5" w:rsidRPr="003F7F6C">
          <w:rPr>
            <w:rStyle w:val="Hyperlink"/>
            <w:noProof/>
          </w:rPr>
          <w:t>Governance and Management Arrangements</w:t>
        </w:r>
        <w:r w:rsidR="00B93FD5" w:rsidRPr="003F7F6C">
          <w:rPr>
            <w:noProof/>
            <w:webHidden/>
          </w:rPr>
          <w:tab/>
        </w:r>
        <w:r w:rsidR="00B93FD5" w:rsidRPr="003F7F6C">
          <w:rPr>
            <w:noProof/>
            <w:webHidden/>
          </w:rPr>
          <w:fldChar w:fldCharType="begin"/>
        </w:r>
        <w:r w:rsidR="00B93FD5" w:rsidRPr="003F7F6C">
          <w:rPr>
            <w:noProof/>
            <w:webHidden/>
          </w:rPr>
          <w:instrText xml:space="preserve"> PAGEREF _Toc529891414 \h </w:instrText>
        </w:r>
        <w:r w:rsidR="00B93FD5" w:rsidRPr="003F7F6C">
          <w:rPr>
            <w:noProof/>
            <w:webHidden/>
          </w:rPr>
        </w:r>
        <w:r w:rsidR="00B93FD5" w:rsidRPr="003F7F6C">
          <w:rPr>
            <w:noProof/>
            <w:webHidden/>
          </w:rPr>
          <w:fldChar w:fldCharType="separate"/>
        </w:r>
        <w:r w:rsidR="00B93FD5" w:rsidRPr="003F7F6C">
          <w:rPr>
            <w:noProof/>
            <w:webHidden/>
          </w:rPr>
          <w:t>73</w:t>
        </w:r>
        <w:r w:rsidR="00B93FD5" w:rsidRPr="003F7F6C">
          <w:rPr>
            <w:noProof/>
            <w:webHidden/>
          </w:rPr>
          <w:fldChar w:fldCharType="end"/>
        </w:r>
      </w:hyperlink>
    </w:p>
    <w:p w14:paraId="4B734AF4" w14:textId="6F1AA298" w:rsidR="00B93FD5" w:rsidRPr="003F7F6C" w:rsidRDefault="003434CB">
      <w:pPr>
        <w:pStyle w:val="TOC1"/>
        <w:rPr>
          <w:rFonts w:asciiTheme="minorHAnsi" w:eastAsiaTheme="minorEastAsia" w:hAnsiTheme="minorHAnsi" w:cstheme="minorBidi"/>
          <w:noProof/>
          <w:sz w:val="22"/>
          <w:szCs w:val="22"/>
        </w:rPr>
      </w:pPr>
      <w:hyperlink w:anchor="_Toc529891415" w:history="1">
        <w:r w:rsidR="00B93FD5" w:rsidRPr="003F7F6C">
          <w:rPr>
            <w:rStyle w:val="Hyperlink"/>
            <w:noProof/>
          </w:rPr>
          <w:t>IX.</w:t>
        </w:r>
        <w:r w:rsidR="00B93FD5" w:rsidRPr="003F7F6C">
          <w:rPr>
            <w:rFonts w:asciiTheme="minorHAnsi" w:eastAsiaTheme="minorEastAsia" w:hAnsiTheme="minorHAnsi" w:cstheme="minorBidi"/>
            <w:noProof/>
            <w:sz w:val="22"/>
            <w:szCs w:val="22"/>
          </w:rPr>
          <w:tab/>
        </w:r>
        <w:r w:rsidR="00B93FD5" w:rsidRPr="003F7F6C">
          <w:rPr>
            <w:rStyle w:val="Hyperlink"/>
            <w:noProof/>
          </w:rPr>
          <w:t>Financial Planning and Management</w:t>
        </w:r>
        <w:r w:rsidR="00B93FD5" w:rsidRPr="003F7F6C">
          <w:rPr>
            <w:noProof/>
            <w:webHidden/>
          </w:rPr>
          <w:tab/>
        </w:r>
        <w:r w:rsidR="00B93FD5" w:rsidRPr="003F7F6C">
          <w:rPr>
            <w:noProof/>
            <w:webHidden/>
          </w:rPr>
          <w:fldChar w:fldCharType="begin"/>
        </w:r>
        <w:r w:rsidR="00B93FD5" w:rsidRPr="003F7F6C">
          <w:rPr>
            <w:noProof/>
            <w:webHidden/>
          </w:rPr>
          <w:instrText xml:space="preserve"> PAGEREF _Toc529891415 \h </w:instrText>
        </w:r>
        <w:r w:rsidR="00B93FD5" w:rsidRPr="003F7F6C">
          <w:rPr>
            <w:noProof/>
            <w:webHidden/>
          </w:rPr>
        </w:r>
        <w:r w:rsidR="00B93FD5" w:rsidRPr="003F7F6C">
          <w:rPr>
            <w:noProof/>
            <w:webHidden/>
          </w:rPr>
          <w:fldChar w:fldCharType="separate"/>
        </w:r>
        <w:r w:rsidR="00B93FD5" w:rsidRPr="003F7F6C">
          <w:rPr>
            <w:noProof/>
            <w:webHidden/>
          </w:rPr>
          <w:t>78</w:t>
        </w:r>
        <w:r w:rsidR="00B93FD5" w:rsidRPr="003F7F6C">
          <w:rPr>
            <w:noProof/>
            <w:webHidden/>
          </w:rPr>
          <w:fldChar w:fldCharType="end"/>
        </w:r>
      </w:hyperlink>
    </w:p>
    <w:p w14:paraId="210F5E3D" w14:textId="7C1748E4" w:rsidR="00B93FD5" w:rsidRPr="003F7F6C" w:rsidRDefault="003434CB">
      <w:pPr>
        <w:pStyle w:val="TOC1"/>
        <w:rPr>
          <w:rFonts w:asciiTheme="minorHAnsi" w:eastAsiaTheme="minorEastAsia" w:hAnsiTheme="minorHAnsi" w:cstheme="minorBidi"/>
          <w:noProof/>
          <w:sz w:val="22"/>
          <w:szCs w:val="22"/>
        </w:rPr>
      </w:pPr>
      <w:hyperlink w:anchor="_Toc529891416" w:history="1">
        <w:r w:rsidR="00B93FD5" w:rsidRPr="003F7F6C">
          <w:rPr>
            <w:rStyle w:val="Hyperlink"/>
            <w:noProof/>
          </w:rPr>
          <w:t>X.</w:t>
        </w:r>
        <w:r w:rsidR="00B93FD5" w:rsidRPr="003F7F6C">
          <w:rPr>
            <w:rFonts w:asciiTheme="minorHAnsi" w:eastAsiaTheme="minorEastAsia" w:hAnsiTheme="minorHAnsi" w:cstheme="minorBidi"/>
            <w:noProof/>
            <w:sz w:val="22"/>
            <w:szCs w:val="22"/>
          </w:rPr>
          <w:tab/>
        </w:r>
        <w:r w:rsidR="00B93FD5" w:rsidRPr="003F7F6C">
          <w:rPr>
            <w:rStyle w:val="Hyperlink"/>
            <w:noProof/>
          </w:rPr>
          <w:t>Total Budget and Work Plan</w:t>
        </w:r>
        <w:r w:rsidR="00B93FD5" w:rsidRPr="003F7F6C">
          <w:rPr>
            <w:noProof/>
            <w:webHidden/>
          </w:rPr>
          <w:tab/>
        </w:r>
        <w:r w:rsidR="00B93FD5" w:rsidRPr="003F7F6C">
          <w:rPr>
            <w:noProof/>
            <w:webHidden/>
          </w:rPr>
          <w:fldChar w:fldCharType="begin"/>
        </w:r>
        <w:r w:rsidR="00B93FD5" w:rsidRPr="003F7F6C">
          <w:rPr>
            <w:noProof/>
            <w:webHidden/>
          </w:rPr>
          <w:instrText xml:space="preserve"> PAGEREF _Toc529891416 \h </w:instrText>
        </w:r>
        <w:r w:rsidR="00B93FD5" w:rsidRPr="003F7F6C">
          <w:rPr>
            <w:noProof/>
            <w:webHidden/>
          </w:rPr>
        </w:r>
        <w:r w:rsidR="00B93FD5" w:rsidRPr="003F7F6C">
          <w:rPr>
            <w:noProof/>
            <w:webHidden/>
          </w:rPr>
          <w:fldChar w:fldCharType="separate"/>
        </w:r>
        <w:r w:rsidR="00B93FD5" w:rsidRPr="003F7F6C">
          <w:rPr>
            <w:noProof/>
            <w:webHidden/>
          </w:rPr>
          <w:t>83</w:t>
        </w:r>
        <w:r w:rsidR="00B93FD5" w:rsidRPr="003F7F6C">
          <w:rPr>
            <w:noProof/>
            <w:webHidden/>
          </w:rPr>
          <w:fldChar w:fldCharType="end"/>
        </w:r>
      </w:hyperlink>
    </w:p>
    <w:p w14:paraId="659F1DB4" w14:textId="7F862AD8" w:rsidR="00B93FD5" w:rsidRPr="003F7F6C" w:rsidRDefault="003434CB">
      <w:pPr>
        <w:pStyle w:val="TOC1"/>
        <w:rPr>
          <w:rFonts w:asciiTheme="minorHAnsi" w:eastAsiaTheme="minorEastAsia" w:hAnsiTheme="minorHAnsi" w:cstheme="minorBidi"/>
          <w:noProof/>
          <w:sz w:val="22"/>
          <w:szCs w:val="22"/>
        </w:rPr>
      </w:pPr>
      <w:hyperlink w:anchor="_Toc529891417" w:history="1">
        <w:r w:rsidR="00B93FD5" w:rsidRPr="003F7F6C">
          <w:rPr>
            <w:rStyle w:val="Hyperlink"/>
            <w:noProof/>
          </w:rPr>
          <w:t>XI.</w:t>
        </w:r>
        <w:r w:rsidR="00B93FD5" w:rsidRPr="003F7F6C">
          <w:rPr>
            <w:rFonts w:asciiTheme="minorHAnsi" w:eastAsiaTheme="minorEastAsia" w:hAnsiTheme="minorHAnsi" w:cstheme="minorBidi"/>
            <w:noProof/>
            <w:sz w:val="22"/>
            <w:szCs w:val="22"/>
          </w:rPr>
          <w:tab/>
        </w:r>
        <w:r w:rsidR="00B93FD5" w:rsidRPr="003F7F6C">
          <w:rPr>
            <w:rStyle w:val="Hyperlink"/>
            <w:noProof/>
          </w:rPr>
          <w:t>Legal Context</w:t>
        </w:r>
        <w:r w:rsidR="00B93FD5" w:rsidRPr="003F7F6C">
          <w:rPr>
            <w:noProof/>
            <w:webHidden/>
          </w:rPr>
          <w:tab/>
        </w:r>
        <w:r w:rsidR="00B93FD5" w:rsidRPr="003F7F6C">
          <w:rPr>
            <w:noProof/>
            <w:webHidden/>
          </w:rPr>
          <w:fldChar w:fldCharType="begin"/>
        </w:r>
        <w:r w:rsidR="00B93FD5" w:rsidRPr="003F7F6C">
          <w:rPr>
            <w:noProof/>
            <w:webHidden/>
          </w:rPr>
          <w:instrText xml:space="preserve"> PAGEREF _Toc529891417 \h </w:instrText>
        </w:r>
        <w:r w:rsidR="00B93FD5" w:rsidRPr="003F7F6C">
          <w:rPr>
            <w:noProof/>
            <w:webHidden/>
          </w:rPr>
        </w:r>
        <w:r w:rsidR="00B93FD5" w:rsidRPr="003F7F6C">
          <w:rPr>
            <w:noProof/>
            <w:webHidden/>
          </w:rPr>
          <w:fldChar w:fldCharType="separate"/>
        </w:r>
        <w:r w:rsidR="00B93FD5" w:rsidRPr="003F7F6C">
          <w:rPr>
            <w:noProof/>
            <w:webHidden/>
          </w:rPr>
          <w:t>91</w:t>
        </w:r>
        <w:r w:rsidR="00B93FD5" w:rsidRPr="003F7F6C">
          <w:rPr>
            <w:noProof/>
            <w:webHidden/>
          </w:rPr>
          <w:fldChar w:fldCharType="end"/>
        </w:r>
      </w:hyperlink>
    </w:p>
    <w:p w14:paraId="2443708A" w14:textId="20819974" w:rsidR="00B93FD5" w:rsidRPr="003F7F6C" w:rsidRDefault="003434CB">
      <w:pPr>
        <w:pStyle w:val="TOC1"/>
        <w:rPr>
          <w:rFonts w:asciiTheme="minorHAnsi" w:eastAsiaTheme="minorEastAsia" w:hAnsiTheme="minorHAnsi" w:cstheme="minorBidi"/>
          <w:noProof/>
          <w:sz w:val="22"/>
          <w:szCs w:val="22"/>
        </w:rPr>
      </w:pPr>
      <w:hyperlink w:anchor="_Toc529891418" w:history="1">
        <w:r w:rsidR="00B93FD5" w:rsidRPr="003F7F6C">
          <w:rPr>
            <w:rStyle w:val="Hyperlink"/>
            <w:noProof/>
          </w:rPr>
          <w:t>XII.</w:t>
        </w:r>
        <w:r w:rsidR="00B93FD5" w:rsidRPr="003F7F6C">
          <w:rPr>
            <w:rFonts w:asciiTheme="minorHAnsi" w:eastAsiaTheme="minorEastAsia" w:hAnsiTheme="minorHAnsi" w:cstheme="minorBidi"/>
            <w:noProof/>
            <w:sz w:val="22"/>
            <w:szCs w:val="22"/>
          </w:rPr>
          <w:tab/>
        </w:r>
        <w:r w:rsidR="00B93FD5" w:rsidRPr="003F7F6C">
          <w:rPr>
            <w:rStyle w:val="Hyperlink"/>
            <w:noProof/>
          </w:rPr>
          <w:t>Risk Management</w:t>
        </w:r>
        <w:r w:rsidR="00B93FD5" w:rsidRPr="003F7F6C">
          <w:rPr>
            <w:noProof/>
            <w:webHidden/>
          </w:rPr>
          <w:tab/>
        </w:r>
        <w:r w:rsidR="00B93FD5" w:rsidRPr="003F7F6C">
          <w:rPr>
            <w:noProof/>
            <w:webHidden/>
          </w:rPr>
          <w:fldChar w:fldCharType="begin"/>
        </w:r>
        <w:r w:rsidR="00B93FD5" w:rsidRPr="003F7F6C">
          <w:rPr>
            <w:noProof/>
            <w:webHidden/>
          </w:rPr>
          <w:instrText xml:space="preserve"> PAGEREF _Toc529891418 \h </w:instrText>
        </w:r>
        <w:r w:rsidR="00B93FD5" w:rsidRPr="003F7F6C">
          <w:rPr>
            <w:noProof/>
            <w:webHidden/>
          </w:rPr>
        </w:r>
        <w:r w:rsidR="00B93FD5" w:rsidRPr="003F7F6C">
          <w:rPr>
            <w:noProof/>
            <w:webHidden/>
          </w:rPr>
          <w:fldChar w:fldCharType="separate"/>
        </w:r>
        <w:r w:rsidR="00B93FD5" w:rsidRPr="003F7F6C">
          <w:rPr>
            <w:noProof/>
            <w:webHidden/>
          </w:rPr>
          <w:t>91</w:t>
        </w:r>
        <w:r w:rsidR="00B93FD5" w:rsidRPr="003F7F6C">
          <w:rPr>
            <w:noProof/>
            <w:webHidden/>
          </w:rPr>
          <w:fldChar w:fldCharType="end"/>
        </w:r>
      </w:hyperlink>
    </w:p>
    <w:p w14:paraId="4A41120F" w14:textId="5E2B6CFF" w:rsidR="00B93FD5" w:rsidRPr="003F7F6C" w:rsidRDefault="003434CB">
      <w:pPr>
        <w:pStyle w:val="TOC1"/>
        <w:rPr>
          <w:rFonts w:asciiTheme="minorHAnsi" w:eastAsiaTheme="minorEastAsia" w:hAnsiTheme="minorHAnsi" w:cstheme="minorBidi"/>
          <w:noProof/>
          <w:sz w:val="22"/>
          <w:szCs w:val="22"/>
        </w:rPr>
      </w:pPr>
      <w:hyperlink w:anchor="_Toc529891419" w:history="1">
        <w:r w:rsidR="00B93FD5" w:rsidRPr="003F7F6C">
          <w:rPr>
            <w:rStyle w:val="Hyperlink"/>
            <w:noProof/>
          </w:rPr>
          <w:t>XIII.</w:t>
        </w:r>
        <w:r w:rsidR="00B93FD5" w:rsidRPr="003F7F6C">
          <w:rPr>
            <w:rFonts w:asciiTheme="minorHAnsi" w:eastAsiaTheme="minorEastAsia" w:hAnsiTheme="minorHAnsi" w:cstheme="minorBidi"/>
            <w:noProof/>
            <w:sz w:val="22"/>
            <w:szCs w:val="22"/>
          </w:rPr>
          <w:tab/>
        </w:r>
        <w:r w:rsidR="00B93FD5" w:rsidRPr="003F7F6C">
          <w:rPr>
            <w:rStyle w:val="Hyperlink"/>
            <w:noProof/>
          </w:rPr>
          <w:t>Mandatory Annexes</w:t>
        </w:r>
        <w:r w:rsidR="00B93FD5" w:rsidRPr="003F7F6C">
          <w:rPr>
            <w:noProof/>
            <w:webHidden/>
          </w:rPr>
          <w:tab/>
        </w:r>
        <w:r w:rsidR="00B93FD5" w:rsidRPr="003F7F6C">
          <w:rPr>
            <w:noProof/>
            <w:webHidden/>
          </w:rPr>
          <w:fldChar w:fldCharType="begin"/>
        </w:r>
        <w:r w:rsidR="00B93FD5" w:rsidRPr="003F7F6C">
          <w:rPr>
            <w:noProof/>
            <w:webHidden/>
          </w:rPr>
          <w:instrText xml:space="preserve"> PAGEREF _Toc529891419 \h </w:instrText>
        </w:r>
        <w:r w:rsidR="00B93FD5" w:rsidRPr="003F7F6C">
          <w:rPr>
            <w:noProof/>
            <w:webHidden/>
          </w:rPr>
        </w:r>
        <w:r w:rsidR="00B93FD5" w:rsidRPr="003F7F6C">
          <w:rPr>
            <w:noProof/>
            <w:webHidden/>
          </w:rPr>
          <w:fldChar w:fldCharType="separate"/>
        </w:r>
        <w:r w:rsidR="00B93FD5" w:rsidRPr="003F7F6C">
          <w:rPr>
            <w:noProof/>
            <w:webHidden/>
          </w:rPr>
          <w:t>94</w:t>
        </w:r>
        <w:r w:rsidR="00B93FD5" w:rsidRPr="003F7F6C">
          <w:rPr>
            <w:noProof/>
            <w:webHidden/>
          </w:rPr>
          <w:fldChar w:fldCharType="end"/>
        </w:r>
      </w:hyperlink>
    </w:p>
    <w:p w14:paraId="3D5E9E91" w14:textId="29DA8F02" w:rsidR="00B93FD5" w:rsidRPr="003F7F6C" w:rsidRDefault="003434CB" w:rsidP="00B93FD5">
      <w:pPr>
        <w:pStyle w:val="TOC2"/>
        <w:tabs>
          <w:tab w:val="right" w:leader="dot" w:pos="9350"/>
        </w:tabs>
        <w:ind w:left="0"/>
        <w:rPr>
          <w:rFonts w:asciiTheme="minorHAnsi" w:eastAsiaTheme="minorEastAsia" w:hAnsiTheme="minorHAnsi" w:cstheme="minorBidi"/>
          <w:noProof/>
          <w:sz w:val="22"/>
          <w:szCs w:val="22"/>
        </w:rPr>
      </w:pPr>
      <w:hyperlink w:anchor="_Toc529891420" w:history="1">
        <w:r w:rsidR="00B93FD5" w:rsidRPr="003F7F6C">
          <w:rPr>
            <w:rStyle w:val="Hyperlink"/>
            <w:noProof/>
          </w:rPr>
          <w:t>Annex A:  Multi Year Work Plan</w:t>
        </w:r>
        <w:r w:rsidR="00B93FD5" w:rsidRPr="003F7F6C">
          <w:rPr>
            <w:noProof/>
            <w:webHidden/>
          </w:rPr>
          <w:tab/>
        </w:r>
        <w:r w:rsidR="00B93FD5" w:rsidRPr="003F7F6C">
          <w:rPr>
            <w:noProof/>
            <w:webHidden/>
          </w:rPr>
          <w:fldChar w:fldCharType="begin"/>
        </w:r>
        <w:r w:rsidR="00B93FD5" w:rsidRPr="003F7F6C">
          <w:rPr>
            <w:noProof/>
            <w:webHidden/>
          </w:rPr>
          <w:instrText xml:space="preserve"> PAGEREF _Toc529891420 \h </w:instrText>
        </w:r>
        <w:r w:rsidR="00B93FD5" w:rsidRPr="003F7F6C">
          <w:rPr>
            <w:noProof/>
            <w:webHidden/>
          </w:rPr>
        </w:r>
        <w:r w:rsidR="00B93FD5" w:rsidRPr="003F7F6C">
          <w:rPr>
            <w:noProof/>
            <w:webHidden/>
          </w:rPr>
          <w:fldChar w:fldCharType="separate"/>
        </w:r>
        <w:r w:rsidR="00B93FD5" w:rsidRPr="003F7F6C">
          <w:rPr>
            <w:noProof/>
            <w:webHidden/>
          </w:rPr>
          <w:t>95</w:t>
        </w:r>
        <w:r w:rsidR="00B93FD5" w:rsidRPr="003F7F6C">
          <w:rPr>
            <w:noProof/>
            <w:webHidden/>
          </w:rPr>
          <w:fldChar w:fldCharType="end"/>
        </w:r>
      </w:hyperlink>
    </w:p>
    <w:p w14:paraId="71F607B3" w14:textId="45AE2E19" w:rsidR="00B93FD5" w:rsidRPr="003F7F6C" w:rsidRDefault="003434CB" w:rsidP="00B93FD5">
      <w:pPr>
        <w:pStyle w:val="TOC2"/>
        <w:tabs>
          <w:tab w:val="right" w:leader="dot" w:pos="9350"/>
        </w:tabs>
        <w:ind w:left="0"/>
        <w:rPr>
          <w:rFonts w:asciiTheme="minorHAnsi" w:eastAsiaTheme="minorEastAsia" w:hAnsiTheme="minorHAnsi" w:cstheme="minorBidi"/>
          <w:noProof/>
          <w:sz w:val="22"/>
          <w:szCs w:val="22"/>
        </w:rPr>
      </w:pPr>
      <w:hyperlink w:anchor="_Toc529891421" w:history="1">
        <w:r w:rsidR="00B93FD5" w:rsidRPr="003F7F6C">
          <w:rPr>
            <w:rStyle w:val="Hyperlink"/>
            <w:noProof/>
          </w:rPr>
          <w:t>Annex B:  Core Indicators  at baseline</w:t>
        </w:r>
        <w:r w:rsidR="00B93FD5" w:rsidRPr="003F7F6C">
          <w:rPr>
            <w:noProof/>
            <w:webHidden/>
          </w:rPr>
          <w:tab/>
        </w:r>
        <w:r w:rsidR="00B93FD5" w:rsidRPr="003F7F6C">
          <w:rPr>
            <w:noProof/>
            <w:webHidden/>
          </w:rPr>
          <w:fldChar w:fldCharType="begin"/>
        </w:r>
        <w:r w:rsidR="00B93FD5" w:rsidRPr="003F7F6C">
          <w:rPr>
            <w:noProof/>
            <w:webHidden/>
          </w:rPr>
          <w:instrText xml:space="preserve"> PAGEREF _Toc529891421 \h </w:instrText>
        </w:r>
        <w:r w:rsidR="00B93FD5" w:rsidRPr="003F7F6C">
          <w:rPr>
            <w:noProof/>
            <w:webHidden/>
          </w:rPr>
        </w:r>
        <w:r w:rsidR="00B93FD5" w:rsidRPr="003F7F6C">
          <w:rPr>
            <w:noProof/>
            <w:webHidden/>
          </w:rPr>
          <w:fldChar w:fldCharType="separate"/>
        </w:r>
        <w:r w:rsidR="00B93FD5" w:rsidRPr="003F7F6C">
          <w:rPr>
            <w:noProof/>
            <w:webHidden/>
          </w:rPr>
          <w:t>110</w:t>
        </w:r>
        <w:r w:rsidR="00B93FD5" w:rsidRPr="003F7F6C">
          <w:rPr>
            <w:noProof/>
            <w:webHidden/>
          </w:rPr>
          <w:fldChar w:fldCharType="end"/>
        </w:r>
      </w:hyperlink>
    </w:p>
    <w:p w14:paraId="069254DE" w14:textId="443170E1" w:rsidR="00B93FD5" w:rsidRPr="003F7F6C" w:rsidRDefault="003434CB" w:rsidP="00B93FD5">
      <w:pPr>
        <w:pStyle w:val="TOC2"/>
        <w:tabs>
          <w:tab w:val="right" w:leader="dot" w:pos="9350"/>
        </w:tabs>
        <w:ind w:left="0"/>
        <w:rPr>
          <w:rFonts w:asciiTheme="minorHAnsi" w:eastAsiaTheme="minorEastAsia" w:hAnsiTheme="minorHAnsi" w:cstheme="minorBidi"/>
          <w:noProof/>
          <w:sz w:val="22"/>
          <w:szCs w:val="22"/>
        </w:rPr>
      </w:pPr>
      <w:hyperlink w:anchor="_Toc529891422" w:history="1">
        <w:r w:rsidR="00B93FD5" w:rsidRPr="003F7F6C">
          <w:rPr>
            <w:rStyle w:val="Hyperlink"/>
            <w:noProof/>
          </w:rPr>
          <w:t>Annex C:  Overview of Technical Consultancies</w:t>
        </w:r>
        <w:r w:rsidR="00B93FD5" w:rsidRPr="003F7F6C">
          <w:rPr>
            <w:noProof/>
            <w:webHidden/>
          </w:rPr>
          <w:tab/>
        </w:r>
        <w:r w:rsidR="00B93FD5" w:rsidRPr="003F7F6C">
          <w:rPr>
            <w:noProof/>
            <w:webHidden/>
          </w:rPr>
          <w:fldChar w:fldCharType="begin"/>
        </w:r>
        <w:r w:rsidR="00B93FD5" w:rsidRPr="003F7F6C">
          <w:rPr>
            <w:noProof/>
            <w:webHidden/>
          </w:rPr>
          <w:instrText xml:space="preserve"> PAGEREF _Toc529891422 \h </w:instrText>
        </w:r>
        <w:r w:rsidR="00B93FD5" w:rsidRPr="003F7F6C">
          <w:rPr>
            <w:noProof/>
            <w:webHidden/>
          </w:rPr>
        </w:r>
        <w:r w:rsidR="00B93FD5" w:rsidRPr="003F7F6C">
          <w:rPr>
            <w:noProof/>
            <w:webHidden/>
          </w:rPr>
          <w:fldChar w:fldCharType="separate"/>
        </w:r>
        <w:r w:rsidR="00B93FD5" w:rsidRPr="003F7F6C">
          <w:rPr>
            <w:noProof/>
            <w:webHidden/>
          </w:rPr>
          <w:t>116</w:t>
        </w:r>
        <w:r w:rsidR="00B93FD5" w:rsidRPr="003F7F6C">
          <w:rPr>
            <w:noProof/>
            <w:webHidden/>
          </w:rPr>
          <w:fldChar w:fldCharType="end"/>
        </w:r>
      </w:hyperlink>
    </w:p>
    <w:p w14:paraId="36CE7F6C" w14:textId="2D671B91" w:rsidR="00B93FD5" w:rsidRPr="003F7F6C" w:rsidRDefault="003434CB" w:rsidP="00B93FD5">
      <w:pPr>
        <w:pStyle w:val="TOC2"/>
        <w:tabs>
          <w:tab w:val="right" w:leader="dot" w:pos="9350"/>
        </w:tabs>
        <w:ind w:left="0"/>
        <w:rPr>
          <w:rFonts w:asciiTheme="minorHAnsi" w:eastAsiaTheme="minorEastAsia" w:hAnsiTheme="minorHAnsi" w:cstheme="minorBidi"/>
          <w:noProof/>
          <w:sz w:val="22"/>
          <w:szCs w:val="22"/>
        </w:rPr>
      </w:pPr>
      <w:hyperlink w:anchor="_Toc529891423" w:history="1">
        <w:r w:rsidR="00B93FD5" w:rsidRPr="003F7F6C">
          <w:rPr>
            <w:rStyle w:val="Hyperlink"/>
            <w:noProof/>
          </w:rPr>
          <w:t>Annex D: Terms of Reference</w:t>
        </w:r>
        <w:r w:rsidR="00B93FD5" w:rsidRPr="003F7F6C">
          <w:rPr>
            <w:noProof/>
            <w:webHidden/>
          </w:rPr>
          <w:tab/>
        </w:r>
        <w:r w:rsidR="00B93FD5" w:rsidRPr="003F7F6C">
          <w:rPr>
            <w:noProof/>
            <w:webHidden/>
          </w:rPr>
          <w:fldChar w:fldCharType="begin"/>
        </w:r>
        <w:r w:rsidR="00B93FD5" w:rsidRPr="003F7F6C">
          <w:rPr>
            <w:noProof/>
            <w:webHidden/>
          </w:rPr>
          <w:instrText xml:space="preserve"> PAGEREF _Toc529891423 \h </w:instrText>
        </w:r>
        <w:r w:rsidR="00B93FD5" w:rsidRPr="003F7F6C">
          <w:rPr>
            <w:noProof/>
            <w:webHidden/>
          </w:rPr>
        </w:r>
        <w:r w:rsidR="00B93FD5" w:rsidRPr="003F7F6C">
          <w:rPr>
            <w:noProof/>
            <w:webHidden/>
          </w:rPr>
          <w:fldChar w:fldCharType="separate"/>
        </w:r>
        <w:r w:rsidR="00B93FD5" w:rsidRPr="003F7F6C">
          <w:rPr>
            <w:noProof/>
            <w:webHidden/>
          </w:rPr>
          <w:t>120</w:t>
        </w:r>
        <w:r w:rsidR="00B93FD5" w:rsidRPr="003F7F6C">
          <w:rPr>
            <w:noProof/>
            <w:webHidden/>
          </w:rPr>
          <w:fldChar w:fldCharType="end"/>
        </w:r>
      </w:hyperlink>
    </w:p>
    <w:p w14:paraId="2AFB239C" w14:textId="74D30DAE" w:rsidR="00B93FD5" w:rsidRPr="003F7F6C" w:rsidRDefault="003434CB" w:rsidP="00B93FD5">
      <w:pPr>
        <w:pStyle w:val="TOC2"/>
        <w:tabs>
          <w:tab w:val="right" w:leader="dot" w:pos="9350"/>
        </w:tabs>
        <w:ind w:left="0"/>
        <w:rPr>
          <w:rFonts w:asciiTheme="minorHAnsi" w:eastAsiaTheme="minorEastAsia" w:hAnsiTheme="minorHAnsi" w:cstheme="minorBidi"/>
          <w:noProof/>
          <w:sz w:val="22"/>
          <w:szCs w:val="22"/>
        </w:rPr>
      </w:pPr>
      <w:hyperlink w:anchor="_Toc529891424" w:history="1">
        <w:r w:rsidR="00B93FD5" w:rsidRPr="003F7F6C">
          <w:rPr>
            <w:rStyle w:val="Hyperlink"/>
            <w:noProof/>
          </w:rPr>
          <w:t>Annex E:  UNDP Social and Environmental Screening Procedure and plans as needed</w:t>
        </w:r>
        <w:r w:rsidR="00B93FD5" w:rsidRPr="003F7F6C">
          <w:rPr>
            <w:noProof/>
            <w:webHidden/>
          </w:rPr>
          <w:tab/>
        </w:r>
        <w:r w:rsidR="00B93FD5" w:rsidRPr="003F7F6C">
          <w:rPr>
            <w:noProof/>
            <w:webHidden/>
          </w:rPr>
          <w:fldChar w:fldCharType="begin"/>
        </w:r>
        <w:r w:rsidR="00B93FD5" w:rsidRPr="003F7F6C">
          <w:rPr>
            <w:noProof/>
            <w:webHidden/>
          </w:rPr>
          <w:instrText xml:space="preserve"> PAGEREF _Toc529891424 \h </w:instrText>
        </w:r>
        <w:r w:rsidR="00B93FD5" w:rsidRPr="003F7F6C">
          <w:rPr>
            <w:noProof/>
            <w:webHidden/>
          </w:rPr>
        </w:r>
        <w:r w:rsidR="00B93FD5" w:rsidRPr="003F7F6C">
          <w:rPr>
            <w:noProof/>
            <w:webHidden/>
          </w:rPr>
          <w:fldChar w:fldCharType="separate"/>
        </w:r>
        <w:r w:rsidR="00B93FD5" w:rsidRPr="003F7F6C">
          <w:rPr>
            <w:noProof/>
            <w:webHidden/>
          </w:rPr>
          <w:t>132</w:t>
        </w:r>
        <w:r w:rsidR="00B93FD5" w:rsidRPr="003F7F6C">
          <w:rPr>
            <w:noProof/>
            <w:webHidden/>
          </w:rPr>
          <w:fldChar w:fldCharType="end"/>
        </w:r>
      </w:hyperlink>
    </w:p>
    <w:p w14:paraId="2A7D890F" w14:textId="2F72391D" w:rsidR="00B93FD5" w:rsidRPr="003F7F6C" w:rsidRDefault="003434CB" w:rsidP="00B93FD5">
      <w:pPr>
        <w:pStyle w:val="TOC2"/>
        <w:tabs>
          <w:tab w:val="right" w:leader="dot" w:pos="9350"/>
        </w:tabs>
        <w:ind w:left="0"/>
        <w:rPr>
          <w:rFonts w:asciiTheme="minorHAnsi" w:eastAsiaTheme="minorEastAsia" w:hAnsiTheme="minorHAnsi" w:cstheme="minorBidi"/>
          <w:noProof/>
          <w:sz w:val="22"/>
          <w:szCs w:val="22"/>
        </w:rPr>
      </w:pPr>
      <w:hyperlink w:anchor="_Toc529891427" w:history="1">
        <w:r w:rsidR="00B93FD5" w:rsidRPr="003F7F6C">
          <w:rPr>
            <w:rStyle w:val="Hyperlink"/>
            <w:noProof/>
          </w:rPr>
          <w:t>Annex F:  Stakeholder Engagement Plan</w:t>
        </w:r>
        <w:r w:rsidR="00B93FD5" w:rsidRPr="003F7F6C">
          <w:rPr>
            <w:noProof/>
            <w:webHidden/>
          </w:rPr>
          <w:tab/>
        </w:r>
        <w:r w:rsidR="00B93FD5" w:rsidRPr="003F7F6C">
          <w:rPr>
            <w:noProof/>
            <w:webHidden/>
          </w:rPr>
          <w:fldChar w:fldCharType="begin"/>
        </w:r>
        <w:r w:rsidR="00B93FD5" w:rsidRPr="003F7F6C">
          <w:rPr>
            <w:noProof/>
            <w:webHidden/>
          </w:rPr>
          <w:instrText xml:space="preserve"> PAGEREF _Toc529891427 \h </w:instrText>
        </w:r>
        <w:r w:rsidR="00B93FD5" w:rsidRPr="003F7F6C">
          <w:rPr>
            <w:noProof/>
            <w:webHidden/>
          </w:rPr>
        </w:r>
        <w:r w:rsidR="00B93FD5" w:rsidRPr="003F7F6C">
          <w:rPr>
            <w:noProof/>
            <w:webHidden/>
          </w:rPr>
          <w:fldChar w:fldCharType="separate"/>
        </w:r>
        <w:r w:rsidR="00B93FD5" w:rsidRPr="003F7F6C">
          <w:rPr>
            <w:noProof/>
            <w:webHidden/>
          </w:rPr>
          <w:t>154</w:t>
        </w:r>
        <w:r w:rsidR="00B93FD5" w:rsidRPr="003F7F6C">
          <w:rPr>
            <w:noProof/>
            <w:webHidden/>
          </w:rPr>
          <w:fldChar w:fldCharType="end"/>
        </w:r>
      </w:hyperlink>
    </w:p>
    <w:p w14:paraId="2CFFDE84" w14:textId="13E8E3CA" w:rsidR="00B93FD5" w:rsidRPr="003F7F6C" w:rsidRDefault="003434CB" w:rsidP="00B93FD5">
      <w:pPr>
        <w:pStyle w:val="TOC2"/>
        <w:tabs>
          <w:tab w:val="right" w:leader="dot" w:pos="9350"/>
        </w:tabs>
        <w:ind w:left="0"/>
        <w:rPr>
          <w:rFonts w:asciiTheme="minorHAnsi" w:eastAsiaTheme="minorEastAsia" w:hAnsiTheme="minorHAnsi" w:cstheme="minorBidi"/>
          <w:noProof/>
          <w:sz w:val="22"/>
          <w:szCs w:val="22"/>
        </w:rPr>
      </w:pPr>
      <w:hyperlink w:anchor="_Toc529891428" w:history="1">
        <w:r w:rsidR="00B93FD5" w:rsidRPr="003F7F6C">
          <w:rPr>
            <w:rStyle w:val="Hyperlink"/>
            <w:noProof/>
          </w:rPr>
          <w:t>Annex G: Gender and Ethnic Analysis and Action Plan</w:t>
        </w:r>
        <w:r w:rsidR="00B93FD5" w:rsidRPr="003F7F6C">
          <w:rPr>
            <w:noProof/>
            <w:webHidden/>
          </w:rPr>
          <w:tab/>
        </w:r>
        <w:r w:rsidR="00B93FD5" w:rsidRPr="003F7F6C">
          <w:rPr>
            <w:noProof/>
            <w:webHidden/>
          </w:rPr>
          <w:fldChar w:fldCharType="begin"/>
        </w:r>
        <w:r w:rsidR="00B93FD5" w:rsidRPr="003F7F6C">
          <w:rPr>
            <w:noProof/>
            <w:webHidden/>
          </w:rPr>
          <w:instrText xml:space="preserve"> PAGEREF _Toc529891428 \h </w:instrText>
        </w:r>
        <w:r w:rsidR="00B93FD5" w:rsidRPr="003F7F6C">
          <w:rPr>
            <w:noProof/>
            <w:webHidden/>
          </w:rPr>
        </w:r>
        <w:r w:rsidR="00B93FD5" w:rsidRPr="003F7F6C">
          <w:rPr>
            <w:noProof/>
            <w:webHidden/>
          </w:rPr>
          <w:fldChar w:fldCharType="separate"/>
        </w:r>
        <w:r w:rsidR="00B93FD5" w:rsidRPr="003F7F6C">
          <w:rPr>
            <w:noProof/>
            <w:webHidden/>
          </w:rPr>
          <w:t>176</w:t>
        </w:r>
        <w:r w:rsidR="00B93FD5" w:rsidRPr="003F7F6C">
          <w:rPr>
            <w:noProof/>
            <w:webHidden/>
          </w:rPr>
          <w:fldChar w:fldCharType="end"/>
        </w:r>
      </w:hyperlink>
    </w:p>
    <w:p w14:paraId="6F082E2A" w14:textId="220B8ED4" w:rsidR="00B93FD5" w:rsidRPr="003F7F6C" w:rsidRDefault="003434CB" w:rsidP="00B93FD5">
      <w:pPr>
        <w:pStyle w:val="TOC2"/>
        <w:tabs>
          <w:tab w:val="right" w:leader="dot" w:pos="9350"/>
        </w:tabs>
        <w:ind w:left="0"/>
        <w:rPr>
          <w:rFonts w:asciiTheme="minorHAnsi" w:eastAsiaTheme="minorEastAsia" w:hAnsiTheme="minorHAnsi" w:cstheme="minorBidi"/>
          <w:noProof/>
          <w:sz w:val="22"/>
          <w:szCs w:val="22"/>
        </w:rPr>
      </w:pPr>
      <w:hyperlink w:anchor="_Toc529891429" w:history="1">
        <w:r w:rsidR="00B93FD5" w:rsidRPr="003F7F6C">
          <w:rPr>
            <w:rStyle w:val="Hyperlink"/>
            <w:noProof/>
          </w:rPr>
          <w:t>Annex H:  UNDP Risk Log</w:t>
        </w:r>
        <w:r w:rsidR="00B93FD5" w:rsidRPr="003F7F6C">
          <w:rPr>
            <w:noProof/>
            <w:webHidden/>
          </w:rPr>
          <w:tab/>
        </w:r>
        <w:r w:rsidR="00B93FD5" w:rsidRPr="003F7F6C">
          <w:rPr>
            <w:noProof/>
            <w:webHidden/>
          </w:rPr>
          <w:fldChar w:fldCharType="begin"/>
        </w:r>
        <w:r w:rsidR="00B93FD5" w:rsidRPr="003F7F6C">
          <w:rPr>
            <w:noProof/>
            <w:webHidden/>
          </w:rPr>
          <w:instrText xml:space="preserve"> PAGEREF _Toc529891429 \h </w:instrText>
        </w:r>
        <w:r w:rsidR="00B93FD5" w:rsidRPr="003F7F6C">
          <w:rPr>
            <w:noProof/>
            <w:webHidden/>
          </w:rPr>
        </w:r>
        <w:r w:rsidR="00B93FD5" w:rsidRPr="003F7F6C">
          <w:rPr>
            <w:noProof/>
            <w:webHidden/>
          </w:rPr>
          <w:fldChar w:fldCharType="separate"/>
        </w:r>
        <w:r w:rsidR="00B93FD5" w:rsidRPr="003F7F6C">
          <w:rPr>
            <w:noProof/>
            <w:webHidden/>
          </w:rPr>
          <w:t>187</w:t>
        </w:r>
        <w:r w:rsidR="00B93FD5" w:rsidRPr="003F7F6C">
          <w:rPr>
            <w:noProof/>
            <w:webHidden/>
          </w:rPr>
          <w:fldChar w:fldCharType="end"/>
        </w:r>
      </w:hyperlink>
    </w:p>
    <w:p w14:paraId="27DFF4A6" w14:textId="263380CF" w:rsidR="00B93FD5" w:rsidRPr="003F7F6C" w:rsidRDefault="003434CB" w:rsidP="00B93FD5">
      <w:pPr>
        <w:pStyle w:val="TOC2"/>
        <w:tabs>
          <w:tab w:val="right" w:leader="dot" w:pos="9350"/>
        </w:tabs>
        <w:ind w:left="0"/>
        <w:rPr>
          <w:rFonts w:asciiTheme="minorHAnsi" w:eastAsiaTheme="minorEastAsia" w:hAnsiTheme="minorHAnsi" w:cstheme="minorBidi"/>
          <w:noProof/>
          <w:sz w:val="22"/>
          <w:szCs w:val="22"/>
        </w:rPr>
      </w:pPr>
      <w:hyperlink w:anchor="_Toc529891430" w:history="1">
        <w:r w:rsidR="00B93FD5" w:rsidRPr="003F7F6C">
          <w:rPr>
            <w:rStyle w:val="Hyperlink"/>
            <w:noProof/>
          </w:rPr>
          <w:t>Annex I:  Results of the capacity assessment of the project implementing partner</w:t>
        </w:r>
        <w:r w:rsidR="00B93FD5" w:rsidRPr="003F7F6C">
          <w:rPr>
            <w:noProof/>
            <w:webHidden/>
          </w:rPr>
          <w:tab/>
        </w:r>
        <w:r w:rsidR="00B93FD5" w:rsidRPr="003F7F6C">
          <w:rPr>
            <w:noProof/>
            <w:webHidden/>
          </w:rPr>
          <w:fldChar w:fldCharType="begin"/>
        </w:r>
        <w:r w:rsidR="00B93FD5" w:rsidRPr="003F7F6C">
          <w:rPr>
            <w:noProof/>
            <w:webHidden/>
          </w:rPr>
          <w:instrText xml:space="preserve"> PAGEREF _Toc529891430 \h </w:instrText>
        </w:r>
        <w:r w:rsidR="00B93FD5" w:rsidRPr="003F7F6C">
          <w:rPr>
            <w:noProof/>
            <w:webHidden/>
          </w:rPr>
        </w:r>
        <w:r w:rsidR="00B93FD5" w:rsidRPr="003F7F6C">
          <w:rPr>
            <w:noProof/>
            <w:webHidden/>
          </w:rPr>
          <w:fldChar w:fldCharType="separate"/>
        </w:r>
        <w:r w:rsidR="00B93FD5" w:rsidRPr="003F7F6C">
          <w:rPr>
            <w:noProof/>
            <w:webHidden/>
          </w:rPr>
          <w:t>194</w:t>
        </w:r>
        <w:r w:rsidR="00B93FD5" w:rsidRPr="003F7F6C">
          <w:rPr>
            <w:noProof/>
            <w:webHidden/>
          </w:rPr>
          <w:fldChar w:fldCharType="end"/>
        </w:r>
      </w:hyperlink>
    </w:p>
    <w:p w14:paraId="55B953A7" w14:textId="4A0A81F4" w:rsidR="00B93FD5" w:rsidRPr="003F7F6C" w:rsidRDefault="003434CB" w:rsidP="00B93FD5">
      <w:pPr>
        <w:pStyle w:val="TOC2"/>
        <w:tabs>
          <w:tab w:val="right" w:leader="dot" w:pos="9350"/>
        </w:tabs>
        <w:ind w:left="0"/>
        <w:rPr>
          <w:rFonts w:asciiTheme="minorHAnsi" w:eastAsiaTheme="minorEastAsia" w:hAnsiTheme="minorHAnsi" w:cstheme="minorBidi"/>
          <w:noProof/>
          <w:sz w:val="22"/>
          <w:szCs w:val="22"/>
        </w:rPr>
      </w:pPr>
      <w:hyperlink w:anchor="_Toc529891431" w:history="1">
        <w:r w:rsidR="00B93FD5" w:rsidRPr="003F7F6C">
          <w:rPr>
            <w:rStyle w:val="Hyperlink"/>
            <w:rFonts w:cs="Calibri"/>
            <w:noProof/>
          </w:rPr>
          <w:t>Annex J:  Letter of Agreement with the Government of Argentina and Description of UNDP Country Office Support Services (Signed version will be included by ProDoc Signature)</w:t>
        </w:r>
        <w:r w:rsidR="00B93FD5" w:rsidRPr="003F7F6C">
          <w:rPr>
            <w:noProof/>
            <w:webHidden/>
          </w:rPr>
          <w:tab/>
        </w:r>
        <w:r w:rsidR="00B93FD5" w:rsidRPr="003F7F6C">
          <w:rPr>
            <w:noProof/>
            <w:webHidden/>
          </w:rPr>
          <w:fldChar w:fldCharType="begin"/>
        </w:r>
        <w:r w:rsidR="00B93FD5" w:rsidRPr="003F7F6C">
          <w:rPr>
            <w:noProof/>
            <w:webHidden/>
          </w:rPr>
          <w:instrText xml:space="preserve"> PAGEREF _Toc529891431 \h </w:instrText>
        </w:r>
        <w:r w:rsidR="00B93FD5" w:rsidRPr="003F7F6C">
          <w:rPr>
            <w:noProof/>
            <w:webHidden/>
          </w:rPr>
        </w:r>
        <w:r w:rsidR="00B93FD5" w:rsidRPr="003F7F6C">
          <w:rPr>
            <w:noProof/>
            <w:webHidden/>
          </w:rPr>
          <w:fldChar w:fldCharType="separate"/>
        </w:r>
        <w:r w:rsidR="00B93FD5" w:rsidRPr="003F7F6C">
          <w:rPr>
            <w:noProof/>
            <w:webHidden/>
          </w:rPr>
          <w:t>219</w:t>
        </w:r>
        <w:r w:rsidR="00B93FD5" w:rsidRPr="003F7F6C">
          <w:rPr>
            <w:noProof/>
            <w:webHidden/>
          </w:rPr>
          <w:fldChar w:fldCharType="end"/>
        </w:r>
      </w:hyperlink>
    </w:p>
    <w:p w14:paraId="26F9E03C" w14:textId="7CD46041" w:rsidR="00B93FD5" w:rsidRPr="003F7F6C" w:rsidRDefault="003434CB" w:rsidP="00B93FD5">
      <w:pPr>
        <w:pStyle w:val="TOC2"/>
        <w:tabs>
          <w:tab w:val="right" w:leader="dot" w:pos="9350"/>
        </w:tabs>
        <w:ind w:left="0"/>
        <w:rPr>
          <w:rFonts w:asciiTheme="minorHAnsi" w:eastAsiaTheme="minorEastAsia" w:hAnsiTheme="minorHAnsi" w:cstheme="minorBidi"/>
          <w:noProof/>
          <w:sz w:val="22"/>
          <w:szCs w:val="22"/>
        </w:rPr>
      </w:pPr>
      <w:hyperlink w:anchor="_Toc529891433" w:history="1">
        <w:r w:rsidR="00B93FD5" w:rsidRPr="003F7F6C">
          <w:rPr>
            <w:rStyle w:val="Hyperlink"/>
            <w:rFonts w:cs="Calibri"/>
            <w:noProof/>
          </w:rPr>
          <w:t>Annex K :  UNDP Project Quality Assurance Report</w:t>
        </w:r>
        <w:r w:rsidR="00B93FD5" w:rsidRPr="003F7F6C">
          <w:rPr>
            <w:noProof/>
            <w:webHidden/>
          </w:rPr>
          <w:tab/>
        </w:r>
        <w:r w:rsidR="00B93FD5" w:rsidRPr="003F7F6C">
          <w:rPr>
            <w:noProof/>
            <w:webHidden/>
          </w:rPr>
          <w:fldChar w:fldCharType="begin"/>
        </w:r>
        <w:r w:rsidR="00B93FD5" w:rsidRPr="003F7F6C">
          <w:rPr>
            <w:noProof/>
            <w:webHidden/>
          </w:rPr>
          <w:instrText xml:space="preserve"> PAGEREF _Toc529891433 \h </w:instrText>
        </w:r>
        <w:r w:rsidR="00B93FD5" w:rsidRPr="003F7F6C">
          <w:rPr>
            <w:noProof/>
            <w:webHidden/>
          </w:rPr>
        </w:r>
        <w:r w:rsidR="00B93FD5" w:rsidRPr="003F7F6C">
          <w:rPr>
            <w:noProof/>
            <w:webHidden/>
          </w:rPr>
          <w:fldChar w:fldCharType="separate"/>
        </w:r>
        <w:r w:rsidR="00B93FD5" w:rsidRPr="003F7F6C">
          <w:rPr>
            <w:noProof/>
            <w:webHidden/>
          </w:rPr>
          <w:t>223</w:t>
        </w:r>
        <w:r w:rsidR="00B93FD5" w:rsidRPr="003F7F6C">
          <w:rPr>
            <w:noProof/>
            <w:webHidden/>
          </w:rPr>
          <w:fldChar w:fldCharType="end"/>
        </w:r>
      </w:hyperlink>
    </w:p>
    <w:p w14:paraId="5B1C1DEF" w14:textId="4CAF230E" w:rsidR="00B93FD5" w:rsidRPr="003F7F6C" w:rsidRDefault="003434CB" w:rsidP="00B93FD5">
      <w:pPr>
        <w:pStyle w:val="TOC2"/>
        <w:tabs>
          <w:tab w:val="right" w:leader="dot" w:pos="9350"/>
        </w:tabs>
        <w:ind w:left="0"/>
        <w:rPr>
          <w:rFonts w:asciiTheme="minorHAnsi" w:eastAsiaTheme="minorEastAsia" w:hAnsiTheme="minorHAnsi" w:cstheme="minorBidi"/>
          <w:noProof/>
          <w:sz w:val="22"/>
          <w:szCs w:val="22"/>
        </w:rPr>
      </w:pPr>
      <w:hyperlink w:anchor="_Toc529891434" w:history="1">
        <w:r w:rsidR="00B93FD5" w:rsidRPr="003F7F6C">
          <w:rPr>
            <w:rStyle w:val="Hyperlink"/>
            <w:rFonts w:cs="Calibri"/>
            <w:noProof/>
          </w:rPr>
          <w:t>Annex L :  Target Landscapes Profiles and Maps</w:t>
        </w:r>
        <w:r w:rsidR="00B93FD5" w:rsidRPr="003F7F6C">
          <w:rPr>
            <w:noProof/>
            <w:webHidden/>
          </w:rPr>
          <w:tab/>
        </w:r>
        <w:r w:rsidR="00B93FD5" w:rsidRPr="003F7F6C">
          <w:rPr>
            <w:noProof/>
            <w:webHidden/>
          </w:rPr>
          <w:fldChar w:fldCharType="begin"/>
        </w:r>
        <w:r w:rsidR="00B93FD5" w:rsidRPr="003F7F6C">
          <w:rPr>
            <w:noProof/>
            <w:webHidden/>
          </w:rPr>
          <w:instrText xml:space="preserve"> PAGEREF _Toc529891434 \h </w:instrText>
        </w:r>
        <w:r w:rsidR="00B93FD5" w:rsidRPr="003F7F6C">
          <w:rPr>
            <w:noProof/>
            <w:webHidden/>
          </w:rPr>
        </w:r>
        <w:r w:rsidR="00B93FD5" w:rsidRPr="003F7F6C">
          <w:rPr>
            <w:noProof/>
            <w:webHidden/>
          </w:rPr>
          <w:fldChar w:fldCharType="separate"/>
        </w:r>
        <w:r w:rsidR="00B93FD5" w:rsidRPr="003F7F6C">
          <w:rPr>
            <w:noProof/>
            <w:webHidden/>
          </w:rPr>
          <w:t>224</w:t>
        </w:r>
        <w:r w:rsidR="00B93FD5" w:rsidRPr="003F7F6C">
          <w:rPr>
            <w:noProof/>
            <w:webHidden/>
          </w:rPr>
          <w:fldChar w:fldCharType="end"/>
        </w:r>
      </w:hyperlink>
    </w:p>
    <w:p w14:paraId="60347613" w14:textId="2020C01F" w:rsidR="00C13721" w:rsidRPr="003F7F6C" w:rsidRDefault="00D64EA4" w:rsidP="00193746">
      <w:pPr>
        <w:tabs>
          <w:tab w:val="left" w:pos="810"/>
        </w:tabs>
        <w:spacing w:after="240"/>
        <w:rPr>
          <w:b/>
          <w:bCs/>
          <w:noProof/>
          <w:szCs w:val="20"/>
        </w:rPr>
        <w:sectPr w:rsidR="00C13721" w:rsidRPr="003F7F6C" w:rsidSect="000B3D4F">
          <w:footerReference w:type="default" r:id="rId15"/>
          <w:footerReference w:type="first" r:id="rId16"/>
          <w:pgSz w:w="12240" w:h="15840" w:code="1"/>
          <w:pgMar w:top="1440" w:right="1440" w:bottom="1440" w:left="1440" w:header="720" w:footer="432" w:gutter="0"/>
          <w:cols w:space="708"/>
          <w:titlePg/>
          <w:docGrid w:linePitch="360"/>
        </w:sectPr>
      </w:pPr>
      <w:r w:rsidRPr="003F7F6C">
        <w:rPr>
          <w:rFonts w:asciiTheme="minorHAnsi" w:hAnsiTheme="minorHAnsi"/>
          <w:b/>
          <w:bCs/>
          <w:noProof/>
          <w:szCs w:val="20"/>
        </w:rPr>
        <w:fldChar w:fldCharType="end"/>
      </w:r>
    </w:p>
    <w:p w14:paraId="3D4169BE" w14:textId="101712AF" w:rsidR="00D64EA4" w:rsidRPr="003F7F6C" w:rsidRDefault="00D64EA4" w:rsidP="00235AE4">
      <w:pPr>
        <w:spacing w:after="240"/>
        <w:rPr>
          <w:b/>
          <w:bCs/>
          <w:noProof/>
          <w:szCs w:val="20"/>
        </w:rPr>
      </w:pPr>
    </w:p>
    <w:p w14:paraId="11827BFD" w14:textId="77777777" w:rsidR="00772A0A" w:rsidRPr="003F7F6C" w:rsidRDefault="00772A0A">
      <w:pPr>
        <w:spacing w:after="0"/>
        <w:jc w:val="left"/>
        <w:rPr>
          <w:rFonts w:cs="Arial"/>
          <w:b/>
          <w:szCs w:val="20"/>
          <w:lang w:val="es-PY"/>
        </w:rPr>
      </w:pPr>
      <w:r w:rsidRPr="003F7F6C">
        <w:rPr>
          <w:rFonts w:cs="Arial"/>
          <w:b/>
          <w:szCs w:val="20"/>
          <w:lang w:val="es-PY"/>
        </w:rPr>
        <w:t>ACRONYMS</w:t>
      </w:r>
    </w:p>
    <w:tbl>
      <w:tblPr>
        <w:tblW w:w="0" w:type="auto"/>
        <w:tblBorders>
          <w:bottom w:val="single" w:sz="4" w:space="0" w:color="auto"/>
        </w:tblBorders>
        <w:tblLook w:val="04A0" w:firstRow="1" w:lastRow="0" w:firstColumn="1" w:lastColumn="0" w:noHBand="0" w:noVBand="1"/>
      </w:tblPr>
      <w:tblGrid>
        <w:gridCol w:w="1384"/>
        <w:gridCol w:w="7976"/>
      </w:tblGrid>
      <w:tr w:rsidR="00772A0A" w:rsidRPr="003F7F6C" w14:paraId="365B7281" w14:textId="77777777" w:rsidTr="002B46DF">
        <w:trPr>
          <w:trHeight w:val="288"/>
        </w:trPr>
        <w:tc>
          <w:tcPr>
            <w:tcW w:w="1384" w:type="dxa"/>
            <w:shd w:val="clear" w:color="auto" w:fill="auto"/>
          </w:tcPr>
          <w:p w14:paraId="55DB5AD9" w14:textId="77777777" w:rsidR="00772A0A" w:rsidRPr="003F7F6C" w:rsidRDefault="00B37AD2" w:rsidP="0035759C">
            <w:pPr>
              <w:spacing w:after="0"/>
              <w:rPr>
                <w:rFonts w:cs="Calibri"/>
                <w:sz w:val="18"/>
                <w:szCs w:val="18"/>
              </w:rPr>
            </w:pPr>
            <w:r w:rsidRPr="003F7F6C">
              <w:rPr>
                <w:rFonts w:cs="Calibri"/>
                <w:sz w:val="18"/>
                <w:szCs w:val="18"/>
              </w:rPr>
              <w:t>APN</w:t>
            </w:r>
          </w:p>
        </w:tc>
        <w:tc>
          <w:tcPr>
            <w:tcW w:w="7976" w:type="dxa"/>
            <w:shd w:val="clear" w:color="auto" w:fill="auto"/>
          </w:tcPr>
          <w:p w14:paraId="5B390AAD" w14:textId="77777777" w:rsidR="00772A0A" w:rsidRPr="003F7F6C" w:rsidRDefault="00B37AD2" w:rsidP="0035759C">
            <w:pPr>
              <w:spacing w:after="0"/>
              <w:rPr>
                <w:rFonts w:cs="Calibri"/>
                <w:sz w:val="18"/>
                <w:szCs w:val="18"/>
              </w:rPr>
            </w:pPr>
            <w:r w:rsidRPr="003F7F6C">
              <w:rPr>
                <w:rFonts w:eastAsia="Times New Roman" w:cs="Calibri"/>
                <w:sz w:val="18"/>
                <w:szCs w:val="18"/>
                <w:lang w:eastAsia="es-ES_tradnl"/>
              </w:rPr>
              <w:t>National Parks Administration</w:t>
            </w:r>
          </w:p>
        </w:tc>
      </w:tr>
      <w:tr w:rsidR="0068605B" w:rsidRPr="003F7F6C" w14:paraId="08DCD19B" w14:textId="77777777" w:rsidTr="002B46DF">
        <w:trPr>
          <w:trHeight w:val="288"/>
        </w:trPr>
        <w:tc>
          <w:tcPr>
            <w:tcW w:w="1384" w:type="dxa"/>
            <w:shd w:val="clear" w:color="auto" w:fill="auto"/>
          </w:tcPr>
          <w:p w14:paraId="6D4488AA" w14:textId="77777777" w:rsidR="0068605B" w:rsidRPr="003F7F6C" w:rsidRDefault="0068605B" w:rsidP="0035759C">
            <w:pPr>
              <w:spacing w:after="0"/>
              <w:rPr>
                <w:rFonts w:cs="Calibri"/>
                <w:sz w:val="18"/>
                <w:szCs w:val="18"/>
              </w:rPr>
            </w:pPr>
            <w:r w:rsidRPr="003F7F6C">
              <w:rPr>
                <w:rFonts w:cs="Calibri"/>
                <w:sz w:val="18"/>
                <w:szCs w:val="18"/>
              </w:rPr>
              <w:t>BAPRO</w:t>
            </w:r>
          </w:p>
        </w:tc>
        <w:tc>
          <w:tcPr>
            <w:tcW w:w="7976" w:type="dxa"/>
            <w:shd w:val="clear" w:color="auto" w:fill="auto"/>
          </w:tcPr>
          <w:p w14:paraId="793BDEBC" w14:textId="77777777" w:rsidR="0068605B" w:rsidRPr="003F7F6C" w:rsidRDefault="0068605B" w:rsidP="0035759C">
            <w:pPr>
              <w:spacing w:after="0"/>
              <w:rPr>
                <w:rFonts w:eastAsia="Times New Roman" w:cs="Calibri"/>
                <w:sz w:val="18"/>
                <w:szCs w:val="18"/>
                <w:lang w:eastAsia="es-ES_tradnl"/>
              </w:rPr>
            </w:pPr>
            <w:r w:rsidRPr="003F7F6C">
              <w:rPr>
                <w:rFonts w:cs="Calibri"/>
                <w:sz w:val="18"/>
                <w:szCs w:val="18"/>
              </w:rPr>
              <w:t>Bank of the Province of Buenos Aires</w:t>
            </w:r>
          </w:p>
        </w:tc>
      </w:tr>
      <w:tr w:rsidR="00B37AD2" w:rsidRPr="003F7F6C" w14:paraId="4D23FF8F" w14:textId="77777777" w:rsidTr="002B46DF">
        <w:trPr>
          <w:trHeight w:val="288"/>
        </w:trPr>
        <w:tc>
          <w:tcPr>
            <w:tcW w:w="1384" w:type="dxa"/>
            <w:shd w:val="clear" w:color="auto" w:fill="auto"/>
          </w:tcPr>
          <w:p w14:paraId="1A61CBCD" w14:textId="77777777" w:rsidR="00B37AD2" w:rsidRPr="003F7F6C" w:rsidRDefault="00B37AD2" w:rsidP="0035759C">
            <w:pPr>
              <w:spacing w:after="0"/>
              <w:rPr>
                <w:rFonts w:cs="Calibri"/>
                <w:sz w:val="18"/>
                <w:szCs w:val="18"/>
              </w:rPr>
            </w:pPr>
            <w:r w:rsidRPr="003F7F6C">
              <w:rPr>
                <w:rFonts w:cs="Calibri"/>
                <w:sz w:val="18"/>
                <w:szCs w:val="18"/>
              </w:rPr>
              <w:t>BD</w:t>
            </w:r>
          </w:p>
        </w:tc>
        <w:tc>
          <w:tcPr>
            <w:tcW w:w="7976" w:type="dxa"/>
            <w:shd w:val="clear" w:color="auto" w:fill="auto"/>
          </w:tcPr>
          <w:p w14:paraId="34D43C8F" w14:textId="77777777" w:rsidR="00B37AD2" w:rsidRPr="003F7F6C" w:rsidRDefault="00B37AD2" w:rsidP="0035759C">
            <w:pPr>
              <w:spacing w:after="0"/>
              <w:rPr>
                <w:rFonts w:cs="Calibri"/>
                <w:sz w:val="18"/>
                <w:szCs w:val="18"/>
              </w:rPr>
            </w:pPr>
            <w:r w:rsidRPr="003F7F6C">
              <w:rPr>
                <w:rFonts w:cs="Calibri"/>
                <w:sz w:val="18"/>
                <w:szCs w:val="18"/>
              </w:rPr>
              <w:t>Biodiversity</w:t>
            </w:r>
          </w:p>
        </w:tc>
      </w:tr>
      <w:tr w:rsidR="00B37AD2" w:rsidRPr="003F7F6C" w14:paraId="5458D7DF" w14:textId="77777777" w:rsidTr="002B46DF">
        <w:trPr>
          <w:trHeight w:val="288"/>
        </w:trPr>
        <w:tc>
          <w:tcPr>
            <w:tcW w:w="1384" w:type="dxa"/>
            <w:shd w:val="clear" w:color="auto" w:fill="auto"/>
          </w:tcPr>
          <w:p w14:paraId="790FE0F8" w14:textId="77777777" w:rsidR="00B37AD2" w:rsidRPr="003F7F6C" w:rsidRDefault="0068605B" w:rsidP="0035759C">
            <w:pPr>
              <w:spacing w:after="0"/>
              <w:rPr>
                <w:rFonts w:cs="Calibri"/>
                <w:sz w:val="18"/>
                <w:szCs w:val="18"/>
              </w:rPr>
            </w:pPr>
            <w:r w:rsidRPr="003F7F6C">
              <w:rPr>
                <w:rFonts w:cs="Calibri"/>
                <w:sz w:val="18"/>
                <w:szCs w:val="18"/>
              </w:rPr>
              <w:t>BNA</w:t>
            </w:r>
          </w:p>
        </w:tc>
        <w:tc>
          <w:tcPr>
            <w:tcW w:w="7976" w:type="dxa"/>
            <w:shd w:val="clear" w:color="auto" w:fill="auto"/>
          </w:tcPr>
          <w:p w14:paraId="713689FE" w14:textId="77777777" w:rsidR="00B37AD2" w:rsidRPr="003F7F6C" w:rsidRDefault="0068605B" w:rsidP="0035759C">
            <w:pPr>
              <w:spacing w:after="0"/>
              <w:rPr>
                <w:rFonts w:cs="Calibri"/>
                <w:sz w:val="18"/>
                <w:szCs w:val="18"/>
              </w:rPr>
            </w:pPr>
            <w:r w:rsidRPr="003F7F6C">
              <w:rPr>
                <w:rFonts w:cs="Calibri"/>
                <w:sz w:val="18"/>
                <w:szCs w:val="18"/>
              </w:rPr>
              <w:t>Argentine National Bank</w:t>
            </w:r>
          </w:p>
        </w:tc>
      </w:tr>
      <w:tr w:rsidR="00772A0A" w:rsidRPr="003F7F6C" w14:paraId="660F2783" w14:textId="77777777" w:rsidTr="002B46DF">
        <w:trPr>
          <w:trHeight w:val="288"/>
        </w:trPr>
        <w:tc>
          <w:tcPr>
            <w:tcW w:w="1384" w:type="dxa"/>
            <w:shd w:val="clear" w:color="auto" w:fill="auto"/>
          </w:tcPr>
          <w:p w14:paraId="6F5E76ED" w14:textId="77777777" w:rsidR="00772A0A" w:rsidRPr="003F7F6C" w:rsidRDefault="00772A0A" w:rsidP="0035759C">
            <w:pPr>
              <w:spacing w:after="0"/>
              <w:rPr>
                <w:rFonts w:cs="Calibri"/>
                <w:sz w:val="18"/>
                <w:szCs w:val="18"/>
              </w:rPr>
            </w:pPr>
            <w:r w:rsidRPr="003F7F6C">
              <w:rPr>
                <w:rFonts w:eastAsia="Times New Roman" w:cs="Calibri"/>
                <w:sz w:val="18"/>
                <w:szCs w:val="18"/>
                <w:lang w:eastAsia="es-ES_tradnl"/>
              </w:rPr>
              <w:t>CABA</w:t>
            </w:r>
          </w:p>
        </w:tc>
        <w:tc>
          <w:tcPr>
            <w:tcW w:w="7976" w:type="dxa"/>
            <w:shd w:val="clear" w:color="auto" w:fill="auto"/>
          </w:tcPr>
          <w:p w14:paraId="1605580A" w14:textId="77777777" w:rsidR="00772A0A" w:rsidRPr="003F7F6C" w:rsidRDefault="00772A0A" w:rsidP="0035759C">
            <w:pPr>
              <w:spacing w:after="0"/>
              <w:rPr>
                <w:rFonts w:cs="Calibri"/>
                <w:sz w:val="18"/>
                <w:szCs w:val="18"/>
              </w:rPr>
            </w:pPr>
            <w:r w:rsidRPr="003F7F6C">
              <w:rPr>
                <w:rFonts w:eastAsia="Times New Roman" w:cs="Calibri"/>
                <w:sz w:val="18"/>
                <w:szCs w:val="18"/>
                <w:lang w:eastAsia="es-ES_tradnl"/>
              </w:rPr>
              <w:t>Autonomous City of Buenos Aires</w:t>
            </w:r>
          </w:p>
        </w:tc>
      </w:tr>
      <w:tr w:rsidR="000F5711" w:rsidRPr="003F7F6C" w14:paraId="67EBE97D" w14:textId="77777777" w:rsidTr="002B46DF">
        <w:trPr>
          <w:trHeight w:val="288"/>
        </w:trPr>
        <w:tc>
          <w:tcPr>
            <w:tcW w:w="1384" w:type="dxa"/>
            <w:shd w:val="clear" w:color="auto" w:fill="auto"/>
          </w:tcPr>
          <w:p w14:paraId="6E6BA90D" w14:textId="77777777" w:rsidR="000F5711" w:rsidRPr="003F7F6C" w:rsidRDefault="000F5711" w:rsidP="0035759C">
            <w:pPr>
              <w:spacing w:after="0"/>
              <w:rPr>
                <w:rFonts w:eastAsia="Times New Roman" w:cs="Calibri"/>
                <w:sz w:val="18"/>
                <w:szCs w:val="18"/>
                <w:lang w:eastAsia="es-ES_tradnl"/>
              </w:rPr>
            </w:pPr>
            <w:r w:rsidRPr="003F7F6C">
              <w:rPr>
                <w:rFonts w:cs="Calibri"/>
                <w:sz w:val="18"/>
                <w:szCs w:val="18"/>
              </w:rPr>
              <w:t>CIOUT</w:t>
            </w:r>
          </w:p>
        </w:tc>
        <w:tc>
          <w:tcPr>
            <w:tcW w:w="7976" w:type="dxa"/>
            <w:shd w:val="clear" w:color="auto" w:fill="auto"/>
          </w:tcPr>
          <w:p w14:paraId="3341371C" w14:textId="77777777" w:rsidR="000F5711" w:rsidRPr="003F7F6C" w:rsidRDefault="000F5711" w:rsidP="0035759C">
            <w:pPr>
              <w:spacing w:after="0"/>
              <w:rPr>
                <w:rFonts w:eastAsia="Times New Roman" w:cs="Calibri"/>
                <w:sz w:val="18"/>
                <w:szCs w:val="18"/>
                <w:lang w:eastAsia="es-ES_tradnl"/>
              </w:rPr>
            </w:pPr>
            <w:r w:rsidRPr="003F7F6C">
              <w:rPr>
                <w:rFonts w:cs="Calibri"/>
                <w:sz w:val="18"/>
                <w:szCs w:val="18"/>
              </w:rPr>
              <w:t>Commission for Urban and Territorial Land Use Planning of Buenos Aires</w:t>
            </w:r>
          </w:p>
        </w:tc>
      </w:tr>
      <w:tr w:rsidR="00852F16" w:rsidRPr="003F7F6C" w14:paraId="1B4946C5" w14:textId="77777777" w:rsidTr="002B46DF">
        <w:trPr>
          <w:trHeight w:val="288"/>
        </w:trPr>
        <w:tc>
          <w:tcPr>
            <w:tcW w:w="1384" w:type="dxa"/>
            <w:shd w:val="clear" w:color="auto" w:fill="auto"/>
          </w:tcPr>
          <w:p w14:paraId="606942B7" w14:textId="77777777" w:rsidR="00852F16" w:rsidRPr="003F7F6C" w:rsidRDefault="00852F16" w:rsidP="0035759C">
            <w:pPr>
              <w:spacing w:after="0"/>
              <w:rPr>
                <w:rFonts w:cs="Calibri"/>
                <w:sz w:val="18"/>
                <w:szCs w:val="18"/>
              </w:rPr>
            </w:pPr>
            <w:r w:rsidRPr="003F7F6C">
              <w:rPr>
                <w:rFonts w:cs="Calibri"/>
                <w:sz w:val="18"/>
                <w:szCs w:val="18"/>
              </w:rPr>
              <w:t>COFELMA</w:t>
            </w:r>
          </w:p>
        </w:tc>
        <w:tc>
          <w:tcPr>
            <w:tcW w:w="7976" w:type="dxa"/>
            <w:shd w:val="clear" w:color="auto" w:fill="auto"/>
          </w:tcPr>
          <w:p w14:paraId="41314C4F" w14:textId="77777777" w:rsidR="00852F16" w:rsidRPr="003F7F6C" w:rsidRDefault="00852F16" w:rsidP="0035759C">
            <w:pPr>
              <w:spacing w:after="0"/>
              <w:rPr>
                <w:rFonts w:cs="Calibri"/>
                <w:sz w:val="18"/>
                <w:szCs w:val="18"/>
              </w:rPr>
            </w:pPr>
            <w:r w:rsidRPr="003F7F6C">
              <w:rPr>
                <w:rFonts w:cs="Calibri"/>
                <w:sz w:val="18"/>
                <w:szCs w:val="18"/>
              </w:rPr>
              <w:t>Federal Legislative Council for Environment</w:t>
            </w:r>
          </w:p>
        </w:tc>
      </w:tr>
      <w:tr w:rsidR="00772A0A" w:rsidRPr="003F7F6C" w14:paraId="32316AAF" w14:textId="77777777" w:rsidTr="002B46DF">
        <w:trPr>
          <w:trHeight w:val="288"/>
        </w:trPr>
        <w:tc>
          <w:tcPr>
            <w:tcW w:w="1384" w:type="dxa"/>
            <w:shd w:val="clear" w:color="auto" w:fill="auto"/>
          </w:tcPr>
          <w:p w14:paraId="652CC5C3" w14:textId="77777777" w:rsidR="00772A0A" w:rsidRPr="003F7F6C" w:rsidRDefault="00852F16" w:rsidP="0035759C">
            <w:pPr>
              <w:spacing w:after="0"/>
              <w:rPr>
                <w:rFonts w:cs="Calibri"/>
                <w:sz w:val="18"/>
                <w:szCs w:val="18"/>
              </w:rPr>
            </w:pPr>
            <w:r w:rsidRPr="003F7F6C">
              <w:rPr>
                <w:rFonts w:eastAsia="Times New Roman" w:cs="Calibri"/>
                <w:sz w:val="18"/>
                <w:szCs w:val="18"/>
                <w:lang w:eastAsia="es-ES_tradnl"/>
              </w:rPr>
              <w:t>COFEMA</w:t>
            </w:r>
          </w:p>
        </w:tc>
        <w:tc>
          <w:tcPr>
            <w:tcW w:w="7976" w:type="dxa"/>
            <w:shd w:val="clear" w:color="auto" w:fill="auto"/>
          </w:tcPr>
          <w:p w14:paraId="01ABADA6" w14:textId="77777777" w:rsidR="00772A0A" w:rsidRPr="003F7F6C" w:rsidRDefault="00852F16" w:rsidP="0035759C">
            <w:pPr>
              <w:spacing w:after="0"/>
              <w:rPr>
                <w:rFonts w:cs="Calibri"/>
                <w:sz w:val="18"/>
                <w:szCs w:val="18"/>
              </w:rPr>
            </w:pPr>
            <w:r w:rsidRPr="003F7F6C">
              <w:rPr>
                <w:rFonts w:cs="Calibri"/>
                <w:sz w:val="18"/>
                <w:szCs w:val="18"/>
              </w:rPr>
              <w:t>Federal Council of Environment Ministers</w:t>
            </w:r>
          </w:p>
        </w:tc>
      </w:tr>
      <w:tr w:rsidR="00852F16" w:rsidRPr="003F7F6C" w14:paraId="1E124E21" w14:textId="77777777" w:rsidTr="002B46DF">
        <w:trPr>
          <w:trHeight w:val="288"/>
        </w:trPr>
        <w:tc>
          <w:tcPr>
            <w:tcW w:w="1384" w:type="dxa"/>
            <w:shd w:val="clear" w:color="auto" w:fill="auto"/>
          </w:tcPr>
          <w:p w14:paraId="2CD689F4" w14:textId="77777777" w:rsidR="00852F16" w:rsidRPr="003F7F6C" w:rsidRDefault="00852F16" w:rsidP="0035759C">
            <w:pPr>
              <w:spacing w:after="0"/>
              <w:rPr>
                <w:rFonts w:eastAsia="Times New Roman" w:cs="Calibri"/>
                <w:sz w:val="18"/>
                <w:szCs w:val="18"/>
                <w:lang w:eastAsia="es-ES_tradnl"/>
              </w:rPr>
            </w:pPr>
            <w:r w:rsidRPr="003F7F6C">
              <w:rPr>
                <w:rFonts w:cs="Calibri"/>
                <w:sz w:val="18"/>
                <w:szCs w:val="18"/>
              </w:rPr>
              <w:t>COFEPLAN</w:t>
            </w:r>
          </w:p>
        </w:tc>
        <w:tc>
          <w:tcPr>
            <w:tcW w:w="7976" w:type="dxa"/>
            <w:shd w:val="clear" w:color="auto" w:fill="auto"/>
          </w:tcPr>
          <w:p w14:paraId="3D771FF8" w14:textId="77777777" w:rsidR="00852F16" w:rsidRPr="003F7F6C" w:rsidRDefault="00852F16" w:rsidP="0035759C">
            <w:pPr>
              <w:spacing w:after="0"/>
              <w:rPr>
                <w:rFonts w:cs="Calibri"/>
                <w:sz w:val="18"/>
                <w:szCs w:val="18"/>
              </w:rPr>
            </w:pPr>
            <w:r w:rsidRPr="003F7F6C">
              <w:rPr>
                <w:rFonts w:cs="Calibri"/>
                <w:sz w:val="18"/>
                <w:szCs w:val="18"/>
              </w:rPr>
              <w:t>Federal Council for Planning and Land use Planning</w:t>
            </w:r>
          </w:p>
        </w:tc>
      </w:tr>
      <w:tr w:rsidR="00852F16" w:rsidRPr="003F7F6C" w14:paraId="1B8E69BC" w14:textId="77777777" w:rsidTr="002B46DF">
        <w:trPr>
          <w:trHeight w:val="288"/>
        </w:trPr>
        <w:tc>
          <w:tcPr>
            <w:tcW w:w="1384" w:type="dxa"/>
            <w:shd w:val="clear" w:color="auto" w:fill="auto"/>
          </w:tcPr>
          <w:p w14:paraId="3F4C0415" w14:textId="77777777" w:rsidR="00852F16" w:rsidRPr="003F7F6C" w:rsidRDefault="00852F16" w:rsidP="0035759C">
            <w:pPr>
              <w:spacing w:after="0"/>
              <w:rPr>
                <w:rFonts w:eastAsia="Times New Roman" w:cs="Calibri"/>
                <w:sz w:val="18"/>
                <w:szCs w:val="18"/>
                <w:lang w:eastAsia="es-ES_tradnl"/>
              </w:rPr>
            </w:pPr>
            <w:r w:rsidRPr="003F7F6C">
              <w:rPr>
                <w:rFonts w:eastAsia="Times New Roman" w:cs="Calibri"/>
                <w:sz w:val="18"/>
                <w:szCs w:val="18"/>
                <w:lang w:eastAsia="es-ES_tradnl"/>
              </w:rPr>
              <w:t>CONADIBIO</w:t>
            </w:r>
          </w:p>
        </w:tc>
        <w:tc>
          <w:tcPr>
            <w:tcW w:w="7976" w:type="dxa"/>
            <w:shd w:val="clear" w:color="auto" w:fill="auto"/>
          </w:tcPr>
          <w:p w14:paraId="62456707" w14:textId="77777777" w:rsidR="00852F16" w:rsidRPr="003F7F6C" w:rsidRDefault="00852F16" w:rsidP="0035759C">
            <w:pPr>
              <w:spacing w:after="0"/>
              <w:rPr>
                <w:rFonts w:cs="Calibri"/>
                <w:sz w:val="18"/>
                <w:szCs w:val="18"/>
              </w:rPr>
            </w:pPr>
            <w:r w:rsidRPr="003F7F6C">
              <w:rPr>
                <w:rFonts w:cs="Calibri"/>
                <w:sz w:val="18"/>
                <w:szCs w:val="18"/>
              </w:rPr>
              <w:t>National Advisory Committee for Conservation and Sustainable Use of Biodiversity</w:t>
            </w:r>
          </w:p>
        </w:tc>
      </w:tr>
      <w:tr w:rsidR="0035759C" w:rsidRPr="003F7F6C" w14:paraId="6B313469" w14:textId="77777777" w:rsidTr="002B46DF">
        <w:trPr>
          <w:trHeight w:val="288"/>
        </w:trPr>
        <w:tc>
          <w:tcPr>
            <w:tcW w:w="1384" w:type="dxa"/>
            <w:shd w:val="clear" w:color="auto" w:fill="auto"/>
          </w:tcPr>
          <w:p w14:paraId="417B243E" w14:textId="77777777" w:rsidR="0035759C" w:rsidRPr="003F7F6C" w:rsidRDefault="0035759C" w:rsidP="0035759C">
            <w:pPr>
              <w:spacing w:after="0"/>
              <w:rPr>
                <w:rFonts w:eastAsia="Times New Roman" w:cs="Calibri"/>
                <w:sz w:val="18"/>
                <w:szCs w:val="18"/>
                <w:lang w:eastAsia="es-ES_tradnl"/>
              </w:rPr>
            </w:pPr>
            <w:r w:rsidRPr="003F7F6C">
              <w:rPr>
                <w:rFonts w:cs="Calibri"/>
                <w:sz w:val="18"/>
                <w:szCs w:val="18"/>
              </w:rPr>
              <w:t>CONICET</w:t>
            </w:r>
          </w:p>
        </w:tc>
        <w:tc>
          <w:tcPr>
            <w:tcW w:w="7976" w:type="dxa"/>
            <w:shd w:val="clear" w:color="auto" w:fill="auto"/>
          </w:tcPr>
          <w:p w14:paraId="2C2A3B49" w14:textId="77777777" w:rsidR="0035759C" w:rsidRPr="003F7F6C" w:rsidRDefault="0035759C" w:rsidP="0035759C">
            <w:pPr>
              <w:spacing w:after="0"/>
              <w:rPr>
                <w:rFonts w:cs="Calibri"/>
                <w:sz w:val="18"/>
                <w:szCs w:val="18"/>
              </w:rPr>
            </w:pPr>
            <w:r w:rsidRPr="003F7F6C">
              <w:rPr>
                <w:rFonts w:cs="Calibri"/>
                <w:sz w:val="18"/>
                <w:szCs w:val="18"/>
              </w:rPr>
              <w:t>National Council for Technical and Scientific Research</w:t>
            </w:r>
          </w:p>
        </w:tc>
      </w:tr>
      <w:tr w:rsidR="000F5711" w:rsidRPr="003F7F6C" w14:paraId="201A8D04" w14:textId="77777777" w:rsidTr="002B46DF">
        <w:trPr>
          <w:trHeight w:val="288"/>
        </w:trPr>
        <w:tc>
          <w:tcPr>
            <w:tcW w:w="1384" w:type="dxa"/>
            <w:shd w:val="clear" w:color="auto" w:fill="auto"/>
          </w:tcPr>
          <w:p w14:paraId="59B498A1" w14:textId="77777777" w:rsidR="000F5711" w:rsidRPr="003F7F6C" w:rsidRDefault="000F5711" w:rsidP="0035759C">
            <w:pPr>
              <w:spacing w:after="0"/>
              <w:rPr>
                <w:rFonts w:cs="Calibri"/>
                <w:sz w:val="18"/>
                <w:szCs w:val="18"/>
              </w:rPr>
            </w:pPr>
            <w:r w:rsidRPr="003F7F6C">
              <w:rPr>
                <w:rFonts w:cs="Calibri"/>
                <w:sz w:val="18"/>
                <w:szCs w:val="18"/>
              </w:rPr>
              <w:t>CPD</w:t>
            </w:r>
          </w:p>
        </w:tc>
        <w:tc>
          <w:tcPr>
            <w:tcW w:w="7976" w:type="dxa"/>
            <w:shd w:val="clear" w:color="auto" w:fill="auto"/>
          </w:tcPr>
          <w:p w14:paraId="00503554" w14:textId="77777777" w:rsidR="000F5711" w:rsidRPr="003F7F6C" w:rsidRDefault="000F5711" w:rsidP="0035759C">
            <w:pPr>
              <w:spacing w:after="0"/>
              <w:rPr>
                <w:rFonts w:cs="Calibri"/>
                <w:sz w:val="18"/>
                <w:szCs w:val="18"/>
              </w:rPr>
            </w:pPr>
            <w:r w:rsidRPr="003F7F6C">
              <w:rPr>
                <w:rFonts w:cs="Calibri"/>
                <w:sz w:val="18"/>
                <w:szCs w:val="18"/>
              </w:rPr>
              <w:t>Country Programme and Action Plan Document</w:t>
            </w:r>
          </w:p>
        </w:tc>
      </w:tr>
      <w:tr w:rsidR="00852F16" w:rsidRPr="003F7F6C" w14:paraId="05D6BF36" w14:textId="77777777" w:rsidTr="002B46DF">
        <w:trPr>
          <w:trHeight w:val="288"/>
        </w:trPr>
        <w:tc>
          <w:tcPr>
            <w:tcW w:w="1384" w:type="dxa"/>
            <w:shd w:val="clear" w:color="auto" w:fill="auto"/>
          </w:tcPr>
          <w:p w14:paraId="35A0A075" w14:textId="77777777" w:rsidR="00852F16" w:rsidRPr="003F7F6C" w:rsidRDefault="000F5711" w:rsidP="0035759C">
            <w:pPr>
              <w:spacing w:after="0"/>
              <w:rPr>
                <w:rFonts w:eastAsia="Times New Roman" w:cs="Calibri"/>
                <w:sz w:val="18"/>
                <w:szCs w:val="18"/>
                <w:lang w:eastAsia="es-ES_tradnl"/>
              </w:rPr>
            </w:pPr>
            <w:r w:rsidRPr="003F7F6C">
              <w:rPr>
                <w:rFonts w:cs="Calibri"/>
                <w:sz w:val="18"/>
                <w:szCs w:val="18"/>
              </w:rPr>
              <w:t>CPOT</w:t>
            </w:r>
          </w:p>
        </w:tc>
        <w:tc>
          <w:tcPr>
            <w:tcW w:w="7976" w:type="dxa"/>
            <w:shd w:val="clear" w:color="auto" w:fill="auto"/>
          </w:tcPr>
          <w:p w14:paraId="6E386DBC" w14:textId="77777777" w:rsidR="00852F16" w:rsidRPr="003F7F6C" w:rsidRDefault="000F5711" w:rsidP="0035759C">
            <w:pPr>
              <w:spacing w:after="0"/>
              <w:rPr>
                <w:rFonts w:cs="Calibri"/>
                <w:sz w:val="18"/>
                <w:szCs w:val="18"/>
              </w:rPr>
            </w:pPr>
            <w:r w:rsidRPr="003F7F6C">
              <w:rPr>
                <w:rFonts w:cs="Calibri"/>
                <w:sz w:val="18"/>
                <w:szCs w:val="18"/>
              </w:rPr>
              <w:t>Provincial Council for Land Use Planning of Mendoza</w:t>
            </w:r>
          </w:p>
        </w:tc>
      </w:tr>
      <w:tr w:rsidR="00772A0A" w:rsidRPr="003F7F6C" w14:paraId="5F672FF5" w14:textId="77777777" w:rsidTr="002B46DF">
        <w:trPr>
          <w:trHeight w:val="288"/>
        </w:trPr>
        <w:tc>
          <w:tcPr>
            <w:tcW w:w="1384" w:type="dxa"/>
            <w:shd w:val="clear" w:color="auto" w:fill="auto"/>
          </w:tcPr>
          <w:p w14:paraId="1A721C1D" w14:textId="77777777" w:rsidR="00772A0A" w:rsidRPr="003F7F6C" w:rsidRDefault="00772A0A" w:rsidP="0035759C">
            <w:pPr>
              <w:spacing w:after="0"/>
              <w:rPr>
                <w:rFonts w:cs="Calibri"/>
                <w:sz w:val="18"/>
                <w:szCs w:val="18"/>
              </w:rPr>
            </w:pPr>
            <w:r w:rsidRPr="003F7F6C">
              <w:rPr>
                <w:rFonts w:cs="Calibri"/>
                <w:sz w:val="18"/>
                <w:szCs w:val="18"/>
              </w:rPr>
              <w:t>CSO</w:t>
            </w:r>
          </w:p>
        </w:tc>
        <w:tc>
          <w:tcPr>
            <w:tcW w:w="7976" w:type="dxa"/>
            <w:shd w:val="clear" w:color="auto" w:fill="auto"/>
          </w:tcPr>
          <w:p w14:paraId="26AD3F6E" w14:textId="77777777" w:rsidR="00772A0A" w:rsidRPr="003F7F6C" w:rsidRDefault="00772A0A" w:rsidP="0035759C">
            <w:pPr>
              <w:spacing w:after="0"/>
              <w:rPr>
                <w:rFonts w:cs="Calibri"/>
                <w:sz w:val="18"/>
                <w:szCs w:val="18"/>
              </w:rPr>
            </w:pPr>
            <w:r w:rsidRPr="003F7F6C">
              <w:rPr>
                <w:rFonts w:cs="Calibri"/>
                <w:sz w:val="18"/>
                <w:szCs w:val="18"/>
              </w:rPr>
              <w:t>Civil Society Organization</w:t>
            </w:r>
          </w:p>
        </w:tc>
      </w:tr>
      <w:tr w:rsidR="00852F16" w:rsidRPr="003F7F6C" w14:paraId="3F5B87AE" w14:textId="77777777" w:rsidTr="002B46DF">
        <w:trPr>
          <w:trHeight w:val="288"/>
        </w:trPr>
        <w:tc>
          <w:tcPr>
            <w:tcW w:w="1384" w:type="dxa"/>
            <w:shd w:val="clear" w:color="auto" w:fill="auto"/>
          </w:tcPr>
          <w:p w14:paraId="14A7B168" w14:textId="77777777" w:rsidR="00852F16" w:rsidRPr="003F7F6C" w:rsidRDefault="00852F16" w:rsidP="0035759C">
            <w:pPr>
              <w:spacing w:after="0"/>
              <w:rPr>
                <w:rFonts w:cs="Calibri"/>
                <w:sz w:val="18"/>
                <w:szCs w:val="18"/>
              </w:rPr>
            </w:pPr>
            <w:r w:rsidRPr="003F7F6C">
              <w:rPr>
                <w:rFonts w:cs="Calibri"/>
                <w:sz w:val="18"/>
                <w:szCs w:val="18"/>
              </w:rPr>
              <w:t>EAE</w:t>
            </w:r>
          </w:p>
        </w:tc>
        <w:tc>
          <w:tcPr>
            <w:tcW w:w="7976" w:type="dxa"/>
            <w:shd w:val="clear" w:color="auto" w:fill="auto"/>
          </w:tcPr>
          <w:p w14:paraId="004DAFBD" w14:textId="77777777" w:rsidR="00852F16" w:rsidRPr="003F7F6C" w:rsidRDefault="00852F16" w:rsidP="0035759C">
            <w:pPr>
              <w:spacing w:after="0"/>
              <w:rPr>
                <w:rFonts w:cs="Calibri"/>
                <w:sz w:val="18"/>
                <w:szCs w:val="18"/>
              </w:rPr>
            </w:pPr>
            <w:r w:rsidRPr="003F7F6C">
              <w:rPr>
                <w:rFonts w:cs="Calibri"/>
                <w:sz w:val="18"/>
                <w:szCs w:val="18"/>
              </w:rPr>
              <w:t xml:space="preserve">Strategic </w:t>
            </w:r>
            <w:r w:rsidR="0035759C" w:rsidRPr="003F7F6C">
              <w:rPr>
                <w:rFonts w:cs="Calibri"/>
                <w:sz w:val="18"/>
                <w:szCs w:val="18"/>
              </w:rPr>
              <w:t>Environmental</w:t>
            </w:r>
            <w:r w:rsidRPr="003F7F6C">
              <w:rPr>
                <w:rFonts w:cs="Calibri"/>
                <w:sz w:val="18"/>
                <w:szCs w:val="18"/>
              </w:rPr>
              <w:t xml:space="preserve"> Assessment</w:t>
            </w:r>
          </w:p>
        </w:tc>
      </w:tr>
      <w:tr w:rsidR="00772A0A" w:rsidRPr="003F7F6C" w14:paraId="00267936" w14:textId="77777777" w:rsidTr="002B46DF">
        <w:trPr>
          <w:trHeight w:val="288"/>
        </w:trPr>
        <w:tc>
          <w:tcPr>
            <w:tcW w:w="1384" w:type="dxa"/>
            <w:shd w:val="clear" w:color="auto" w:fill="auto"/>
          </w:tcPr>
          <w:p w14:paraId="3570E386" w14:textId="77777777" w:rsidR="00772A0A" w:rsidRPr="003F7F6C" w:rsidRDefault="00772A0A" w:rsidP="0035759C">
            <w:pPr>
              <w:spacing w:after="0"/>
              <w:rPr>
                <w:rFonts w:cs="Calibri"/>
                <w:sz w:val="18"/>
                <w:szCs w:val="18"/>
              </w:rPr>
            </w:pPr>
            <w:r w:rsidRPr="003F7F6C">
              <w:rPr>
                <w:rFonts w:cs="Calibri"/>
                <w:sz w:val="18"/>
                <w:szCs w:val="18"/>
              </w:rPr>
              <w:t>ELUP</w:t>
            </w:r>
          </w:p>
        </w:tc>
        <w:tc>
          <w:tcPr>
            <w:tcW w:w="7976" w:type="dxa"/>
            <w:shd w:val="clear" w:color="auto" w:fill="auto"/>
          </w:tcPr>
          <w:p w14:paraId="46D54E37" w14:textId="77777777" w:rsidR="00772A0A" w:rsidRPr="003F7F6C" w:rsidRDefault="0035759C" w:rsidP="0035759C">
            <w:pPr>
              <w:spacing w:after="0"/>
              <w:rPr>
                <w:rFonts w:cs="Calibri"/>
                <w:sz w:val="18"/>
                <w:szCs w:val="18"/>
              </w:rPr>
            </w:pPr>
            <w:r w:rsidRPr="003F7F6C">
              <w:rPr>
                <w:rFonts w:cs="Calibri"/>
                <w:sz w:val="18"/>
                <w:szCs w:val="18"/>
              </w:rPr>
              <w:t>Environmental Land Use Planning</w:t>
            </w:r>
          </w:p>
        </w:tc>
      </w:tr>
      <w:tr w:rsidR="00852F16" w:rsidRPr="003F7F6C" w14:paraId="2E1F1DE9" w14:textId="77777777" w:rsidTr="002B46DF">
        <w:trPr>
          <w:trHeight w:val="288"/>
        </w:trPr>
        <w:tc>
          <w:tcPr>
            <w:tcW w:w="1384" w:type="dxa"/>
            <w:shd w:val="clear" w:color="auto" w:fill="auto"/>
          </w:tcPr>
          <w:p w14:paraId="5F04CF4D" w14:textId="77777777" w:rsidR="00852F16" w:rsidRPr="003F7F6C" w:rsidRDefault="00852F16" w:rsidP="0035759C">
            <w:pPr>
              <w:spacing w:after="0"/>
              <w:rPr>
                <w:rFonts w:cs="Calibri"/>
                <w:sz w:val="18"/>
                <w:szCs w:val="18"/>
              </w:rPr>
            </w:pPr>
            <w:r w:rsidRPr="003F7F6C">
              <w:rPr>
                <w:rFonts w:cs="Calibri"/>
                <w:sz w:val="18"/>
                <w:szCs w:val="18"/>
              </w:rPr>
              <w:t>EBA</w:t>
            </w:r>
          </w:p>
        </w:tc>
        <w:tc>
          <w:tcPr>
            <w:tcW w:w="7976" w:type="dxa"/>
            <w:shd w:val="clear" w:color="auto" w:fill="auto"/>
          </w:tcPr>
          <w:p w14:paraId="5691B023" w14:textId="77777777" w:rsidR="00852F16" w:rsidRPr="003F7F6C" w:rsidRDefault="00852F16" w:rsidP="0035759C">
            <w:pPr>
              <w:spacing w:after="0"/>
              <w:rPr>
                <w:rFonts w:cs="Calibri"/>
                <w:sz w:val="18"/>
                <w:szCs w:val="18"/>
              </w:rPr>
            </w:pPr>
            <w:r w:rsidRPr="003F7F6C">
              <w:rPr>
                <w:rFonts w:cs="Calibri"/>
                <w:sz w:val="18"/>
                <w:szCs w:val="18"/>
              </w:rPr>
              <w:t>Endemic Bird Area</w:t>
            </w:r>
          </w:p>
        </w:tc>
      </w:tr>
      <w:tr w:rsidR="0068605B" w:rsidRPr="003F7F6C" w14:paraId="5C76A04F" w14:textId="77777777" w:rsidTr="002B46DF">
        <w:trPr>
          <w:trHeight w:val="288"/>
        </w:trPr>
        <w:tc>
          <w:tcPr>
            <w:tcW w:w="1384" w:type="dxa"/>
            <w:shd w:val="clear" w:color="auto" w:fill="auto"/>
          </w:tcPr>
          <w:p w14:paraId="7ACB3C66" w14:textId="77777777" w:rsidR="0068605B" w:rsidRPr="003F7F6C" w:rsidRDefault="0068605B" w:rsidP="0035759C">
            <w:pPr>
              <w:spacing w:after="0"/>
              <w:rPr>
                <w:rFonts w:cs="Calibri"/>
                <w:sz w:val="18"/>
                <w:szCs w:val="18"/>
              </w:rPr>
            </w:pPr>
            <w:r w:rsidRPr="003F7F6C">
              <w:rPr>
                <w:rFonts w:cs="Calibri"/>
                <w:sz w:val="18"/>
                <w:szCs w:val="18"/>
              </w:rPr>
              <w:t>EG&amp;S</w:t>
            </w:r>
          </w:p>
        </w:tc>
        <w:tc>
          <w:tcPr>
            <w:tcW w:w="7976" w:type="dxa"/>
            <w:shd w:val="clear" w:color="auto" w:fill="auto"/>
          </w:tcPr>
          <w:p w14:paraId="61D8FD34" w14:textId="77777777" w:rsidR="0068605B" w:rsidRPr="003F7F6C" w:rsidRDefault="0068605B" w:rsidP="0035759C">
            <w:pPr>
              <w:spacing w:after="0"/>
              <w:rPr>
                <w:rFonts w:cs="Calibri"/>
                <w:sz w:val="18"/>
                <w:szCs w:val="18"/>
              </w:rPr>
            </w:pPr>
            <w:r w:rsidRPr="003F7F6C">
              <w:rPr>
                <w:rFonts w:cs="Calibri"/>
                <w:sz w:val="18"/>
                <w:szCs w:val="18"/>
              </w:rPr>
              <w:t>Ecosystem goods and services</w:t>
            </w:r>
          </w:p>
        </w:tc>
      </w:tr>
      <w:tr w:rsidR="00772A0A" w:rsidRPr="003F7F6C" w14:paraId="0A46CA8B" w14:textId="77777777" w:rsidTr="002B46DF">
        <w:trPr>
          <w:trHeight w:val="288"/>
        </w:trPr>
        <w:tc>
          <w:tcPr>
            <w:tcW w:w="1384" w:type="dxa"/>
            <w:shd w:val="clear" w:color="auto" w:fill="auto"/>
          </w:tcPr>
          <w:p w14:paraId="4DF0F088" w14:textId="77777777" w:rsidR="00772A0A" w:rsidRPr="003F7F6C" w:rsidRDefault="00852F16" w:rsidP="0035759C">
            <w:pPr>
              <w:spacing w:after="0"/>
              <w:rPr>
                <w:rFonts w:cs="Calibri"/>
                <w:sz w:val="18"/>
                <w:szCs w:val="18"/>
              </w:rPr>
            </w:pPr>
            <w:r w:rsidRPr="003F7F6C">
              <w:rPr>
                <w:rFonts w:eastAsia="Times New Roman" w:cs="Calibri"/>
                <w:sz w:val="18"/>
                <w:szCs w:val="18"/>
                <w:lang w:eastAsia="es-ES_tradnl"/>
              </w:rPr>
              <w:t>EIA</w:t>
            </w:r>
          </w:p>
        </w:tc>
        <w:tc>
          <w:tcPr>
            <w:tcW w:w="7976" w:type="dxa"/>
            <w:shd w:val="clear" w:color="auto" w:fill="auto"/>
          </w:tcPr>
          <w:p w14:paraId="2F487895" w14:textId="77777777" w:rsidR="00772A0A" w:rsidRPr="003F7F6C" w:rsidRDefault="00852F16" w:rsidP="0035759C">
            <w:pPr>
              <w:spacing w:after="0"/>
              <w:rPr>
                <w:rFonts w:cs="Calibri"/>
                <w:sz w:val="18"/>
                <w:szCs w:val="18"/>
              </w:rPr>
            </w:pPr>
            <w:r w:rsidRPr="003F7F6C">
              <w:rPr>
                <w:rFonts w:eastAsia="Times New Roman" w:cs="Calibri"/>
                <w:sz w:val="18"/>
                <w:szCs w:val="18"/>
                <w:lang w:eastAsia="es-ES_tradnl"/>
              </w:rPr>
              <w:t>Environmental Impact Assessments</w:t>
            </w:r>
          </w:p>
        </w:tc>
      </w:tr>
      <w:tr w:rsidR="0068605B" w:rsidRPr="003F7F6C" w14:paraId="68CFF5CF" w14:textId="77777777" w:rsidTr="002B46DF">
        <w:trPr>
          <w:trHeight w:val="288"/>
        </w:trPr>
        <w:tc>
          <w:tcPr>
            <w:tcW w:w="1384" w:type="dxa"/>
            <w:shd w:val="clear" w:color="auto" w:fill="auto"/>
          </w:tcPr>
          <w:p w14:paraId="58D4E4E0" w14:textId="77777777" w:rsidR="0068605B" w:rsidRPr="003F7F6C" w:rsidRDefault="0068605B" w:rsidP="0035759C">
            <w:pPr>
              <w:spacing w:after="0"/>
              <w:rPr>
                <w:rFonts w:eastAsia="Times New Roman" w:cs="Calibri"/>
                <w:sz w:val="18"/>
                <w:szCs w:val="18"/>
                <w:lang w:eastAsia="es-ES_tradnl"/>
              </w:rPr>
            </w:pPr>
            <w:r w:rsidRPr="003F7F6C">
              <w:rPr>
                <w:rFonts w:eastAsia="Times New Roman" w:cs="Calibri"/>
                <w:sz w:val="18"/>
                <w:szCs w:val="18"/>
                <w:lang w:eastAsia="es-ES_tradnl"/>
              </w:rPr>
              <w:t>ES</w:t>
            </w:r>
          </w:p>
        </w:tc>
        <w:tc>
          <w:tcPr>
            <w:tcW w:w="7976" w:type="dxa"/>
            <w:shd w:val="clear" w:color="auto" w:fill="auto"/>
          </w:tcPr>
          <w:p w14:paraId="7A5D4FEB" w14:textId="77777777" w:rsidR="0068605B" w:rsidRPr="003F7F6C" w:rsidRDefault="0068605B" w:rsidP="0035759C">
            <w:pPr>
              <w:spacing w:after="0"/>
              <w:rPr>
                <w:rFonts w:eastAsia="Times New Roman" w:cs="Calibri"/>
                <w:sz w:val="18"/>
                <w:szCs w:val="18"/>
                <w:lang w:eastAsia="es-ES_tradnl"/>
              </w:rPr>
            </w:pPr>
            <w:r w:rsidRPr="003F7F6C">
              <w:rPr>
                <w:rFonts w:eastAsia="Times New Roman" w:cs="Calibri"/>
                <w:sz w:val="18"/>
                <w:szCs w:val="18"/>
                <w:lang w:eastAsia="es-ES_tradnl"/>
              </w:rPr>
              <w:t>Ecosystem services</w:t>
            </w:r>
          </w:p>
        </w:tc>
      </w:tr>
      <w:tr w:rsidR="00772A0A" w:rsidRPr="003F7F6C" w14:paraId="69A610C6" w14:textId="77777777" w:rsidTr="002B46DF">
        <w:trPr>
          <w:trHeight w:val="288"/>
        </w:trPr>
        <w:tc>
          <w:tcPr>
            <w:tcW w:w="1384" w:type="dxa"/>
            <w:shd w:val="clear" w:color="auto" w:fill="auto"/>
          </w:tcPr>
          <w:p w14:paraId="0D1607C1" w14:textId="77777777" w:rsidR="00772A0A" w:rsidRPr="003F7F6C" w:rsidRDefault="00772A0A" w:rsidP="0035759C">
            <w:pPr>
              <w:spacing w:after="0"/>
              <w:rPr>
                <w:rFonts w:cs="Calibri"/>
                <w:sz w:val="18"/>
                <w:szCs w:val="18"/>
              </w:rPr>
            </w:pPr>
            <w:r w:rsidRPr="003F7F6C">
              <w:rPr>
                <w:rFonts w:cs="Calibri"/>
                <w:sz w:val="18"/>
                <w:szCs w:val="18"/>
                <w:lang w:eastAsia="ja-JP"/>
              </w:rPr>
              <w:t>FAO</w:t>
            </w:r>
          </w:p>
        </w:tc>
        <w:tc>
          <w:tcPr>
            <w:tcW w:w="7976" w:type="dxa"/>
            <w:shd w:val="clear" w:color="auto" w:fill="auto"/>
          </w:tcPr>
          <w:p w14:paraId="21342CC4" w14:textId="77777777" w:rsidR="00772A0A" w:rsidRPr="003F7F6C" w:rsidRDefault="00772A0A" w:rsidP="0035759C">
            <w:pPr>
              <w:spacing w:after="0"/>
              <w:rPr>
                <w:rFonts w:cs="Calibri"/>
                <w:sz w:val="18"/>
                <w:szCs w:val="18"/>
              </w:rPr>
            </w:pPr>
            <w:r w:rsidRPr="003F7F6C">
              <w:rPr>
                <w:rFonts w:cs="Calibri"/>
                <w:sz w:val="18"/>
                <w:szCs w:val="18"/>
              </w:rPr>
              <w:t>Food and Agriculture Organization</w:t>
            </w:r>
          </w:p>
        </w:tc>
      </w:tr>
      <w:tr w:rsidR="00772A0A" w:rsidRPr="003F7F6C" w14:paraId="3FA63AAD" w14:textId="77777777" w:rsidTr="002B46DF">
        <w:trPr>
          <w:trHeight w:val="288"/>
        </w:trPr>
        <w:tc>
          <w:tcPr>
            <w:tcW w:w="1384" w:type="dxa"/>
            <w:shd w:val="clear" w:color="auto" w:fill="auto"/>
          </w:tcPr>
          <w:p w14:paraId="22DE7744" w14:textId="77777777" w:rsidR="00772A0A" w:rsidRPr="003F7F6C" w:rsidRDefault="000F5711" w:rsidP="0035759C">
            <w:pPr>
              <w:spacing w:after="0"/>
              <w:rPr>
                <w:rFonts w:cs="Calibri"/>
                <w:sz w:val="18"/>
                <w:szCs w:val="18"/>
              </w:rPr>
            </w:pPr>
            <w:r w:rsidRPr="003F7F6C">
              <w:rPr>
                <w:rFonts w:cs="Calibri"/>
                <w:bCs/>
                <w:sz w:val="18"/>
                <w:szCs w:val="18"/>
              </w:rPr>
              <w:t>FONTAR</w:t>
            </w:r>
          </w:p>
        </w:tc>
        <w:tc>
          <w:tcPr>
            <w:tcW w:w="7976" w:type="dxa"/>
            <w:shd w:val="clear" w:color="auto" w:fill="auto"/>
          </w:tcPr>
          <w:p w14:paraId="4B921E6E" w14:textId="77777777" w:rsidR="00772A0A" w:rsidRPr="003F7F6C" w:rsidRDefault="000F5711" w:rsidP="0035759C">
            <w:pPr>
              <w:spacing w:after="0"/>
              <w:rPr>
                <w:rFonts w:cs="Calibri"/>
                <w:sz w:val="18"/>
                <w:szCs w:val="18"/>
              </w:rPr>
            </w:pPr>
            <w:r w:rsidRPr="003F7F6C">
              <w:rPr>
                <w:rFonts w:cs="Calibri"/>
                <w:bCs/>
                <w:sz w:val="18"/>
                <w:szCs w:val="18"/>
              </w:rPr>
              <w:t>Argentine Technology Fund</w:t>
            </w:r>
          </w:p>
        </w:tc>
      </w:tr>
      <w:tr w:rsidR="002F6E43" w:rsidRPr="003F7F6C" w14:paraId="1B7716AC" w14:textId="77777777" w:rsidTr="002B46DF">
        <w:trPr>
          <w:trHeight w:val="288"/>
        </w:trPr>
        <w:tc>
          <w:tcPr>
            <w:tcW w:w="1384" w:type="dxa"/>
            <w:shd w:val="clear" w:color="auto" w:fill="auto"/>
          </w:tcPr>
          <w:p w14:paraId="6D237A69" w14:textId="2F92229F" w:rsidR="002F6E43" w:rsidRPr="003F7F6C" w:rsidRDefault="002F6E43" w:rsidP="0035759C">
            <w:pPr>
              <w:spacing w:after="0"/>
              <w:rPr>
                <w:rFonts w:cs="Calibri"/>
                <w:bCs/>
                <w:sz w:val="18"/>
                <w:szCs w:val="18"/>
              </w:rPr>
            </w:pPr>
            <w:r w:rsidRPr="003F7F6C">
              <w:rPr>
                <w:rFonts w:cs="Calibri"/>
                <w:bCs/>
                <w:sz w:val="18"/>
                <w:szCs w:val="18"/>
              </w:rPr>
              <w:t>FPIC</w:t>
            </w:r>
          </w:p>
        </w:tc>
        <w:tc>
          <w:tcPr>
            <w:tcW w:w="7976" w:type="dxa"/>
            <w:shd w:val="clear" w:color="auto" w:fill="auto"/>
          </w:tcPr>
          <w:p w14:paraId="051BED9B" w14:textId="6F20F60A" w:rsidR="002F6E43" w:rsidRPr="003F7F6C" w:rsidRDefault="002F6E43" w:rsidP="0035759C">
            <w:pPr>
              <w:spacing w:after="0"/>
              <w:rPr>
                <w:rFonts w:cs="Calibri"/>
                <w:bCs/>
                <w:sz w:val="18"/>
                <w:szCs w:val="18"/>
              </w:rPr>
            </w:pPr>
            <w:r w:rsidRPr="003F7F6C">
              <w:rPr>
                <w:rFonts w:cs="Calibri"/>
                <w:bCs/>
                <w:sz w:val="18"/>
                <w:szCs w:val="18"/>
              </w:rPr>
              <w:t>Free, Prior and Informed Consent</w:t>
            </w:r>
          </w:p>
        </w:tc>
      </w:tr>
      <w:tr w:rsidR="00772A0A" w:rsidRPr="003F7F6C" w14:paraId="27A2DB90" w14:textId="77777777" w:rsidTr="002B46DF">
        <w:trPr>
          <w:trHeight w:val="288"/>
        </w:trPr>
        <w:tc>
          <w:tcPr>
            <w:tcW w:w="1384" w:type="dxa"/>
            <w:shd w:val="clear" w:color="auto" w:fill="auto"/>
          </w:tcPr>
          <w:p w14:paraId="6725DB15" w14:textId="77777777" w:rsidR="00772A0A" w:rsidRPr="003F7F6C" w:rsidRDefault="00772A0A" w:rsidP="0035759C">
            <w:pPr>
              <w:spacing w:after="0"/>
              <w:rPr>
                <w:rFonts w:cs="Calibri"/>
                <w:sz w:val="18"/>
                <w:szCs w:val="18"/>
              </w:rPr>
            </w:pPr>
            <w:r w:rsidRPr="003F7F6C">
              <w:rPr>
                <w:rFonts w:cs="Calibri"/>
                <w:sz w:val="18"/>
                <w:szCs w:val="18"/>
              </w:rPr>
              <w:t>FSP</w:t>
            </w:r>
          </w:p>
        </w:tc>
        <w:tc>
          <w:tcPr>
            <w:tcW w:w="7976" w:type="dxa"/>
            <w:shd w:val="clear" w:color="auto" w:fill="auto"/>
          </w:tcPr>
          <w:p w14:paraId="3252A579" w14:textId="77777777" w:rsidR="00772A0A" w:rsidRPr="003F7F6C" w:rsidRDefault="00772A0A" w:rsidP="0035759C">
            <w:pPr>
              <w:spacing w:after="0"/>
              <w:rPr>
                <w:rFonts w:cs="Calibri"/>
                <w:sz w:val="18"/>
                <w:szCs w:val="18"/>
              </w:rPr>
            </w:pPr>
            <w:r w:rsidRPr="003F7F6C">
              <w:rPr>
                <w:rFonts w:cs="Calibri"/>
                <w:sz w:val="18"/>
                <w:szCs w:val="18"/>
              </w:rPr>
              <w:t>Full Sized Project</w:t>
            </w:r>
          </w:p>
        </w:tc>
      </w:tr>
      <w:tr w:rsidR="00852F16" w:rsidRPr="003F7F6C" w14:paraId="2AEF2CF3" w14:textId="77777777" w:rsidTr="002B46DF">
        <w:trPr>
          <w:trHeight w:val="288"/>
        </w:trPr>
        <w:tc>
          <w:tcPr>
            <w:tcW w:w="1384" w:type="dxa"/>
            <w:shd w:val="clear" w:color="auto" w:fill="auto"/>
          </w:tcPr>
          <w:p w14:paraId="2DCDFD87" w14:textId="77777777" w:rsidR="00852F16" w:rsidRPr="003F7F6C" w:rsidRDefault="00852F16" w:rsidP="0035759C">
            <w:pPr>
              <w:spacing w:after="0"/>
              <w:rPr>
                <w:rFonts w:cs="Calibri"/>
                <w:sz w:val="18"/>
                <w:szCs w:val="18"/>
              </w:rPr>
            </w:pPr>
            <w:r w:rsidRPr="003F7F6C">
              <w:rPr>
                <w:rFonts w:cs="Calibri"/>
                <w:sz w:val="18"/>
                <w:szCs w:val="18"/>
              </w:rPr>
              <w:t>GDP</w:t>
            </w:r>
          </w:p>
        </w:tc>
        <w:tc>
          <w:tcPr>
            <w:tcW w:w="7976" w:type="dxa"/>
            <w:shd w:val="clear" w:color="auto" w:fill="auto"/>
          </w:tcPr>
          <w:p w14:paraId="5283F231" w14:textId="77777777" w:rsidR="00852F16" w:rsidRPr="003F7F6C" w:rsidRDefault="00852F16" w:rsidP="0035759C">
            <w:pPr>
              <w:spacing w:after="0"/>
              <w:rPr>
                <w:rFonts w:cs="Calibri"/>
                <w:sz w:val="18"/>
                <w:szCs w:val="18"/>
              </w:rPr>
            </w:pPr>
            <w:r w:rsidRPr="003F7F6C">
              <w:rPr>
                <w:rFonts w:cs="Calibri"/>
                <w:sz w:val="18"/>
                <w:szCs w:val="18"/>
              </w:rPr>
              <w:t>Gross Domestic Product</w:t>
            </w:r>
          </w:p>
        </w:tc>
      </w:tr>
      <w:tr w:rsidR="00772A0A" w:rsidRPr="003F7F6C" w14:paraId="6C7944A4" w14:textId="77777777" w:rsidTr="002B46DF">
        <w:trPr>
          <w:trHeight w:val="288"/>
        </w:trPr>
        <w:tc>
          <w:tcPr>
            <w:tcW w:w="1384" w:type="dxa"/>
            <w:shd w:val="clear" w:color="auto" w:fill="auto"/>
          </w:tcPr>
          <w:p w14:paraId="349C3660" w14:textId="77777777" w:rsidR="00772A0A" w:rsidRPr="003F7F6C" w:rsidRDefault="00772A0A" w:rsidP="0035759C">
            <w:pPr>
              <w:spacing w:after="0"/>
              <w:rPr>
                <w:rFonts w:cs="Calibri"/>
                <w:sz w:val="18"/>
                <w:szCs w:val="18"/>
              </w:rPr>
            </w:pPr>
            <w:r w:rsidRPr="003F7F6C">
              <w:rPr>
                <w:rFonts w:cs="Calibri"/>
                <w:sz w:val="18"/>
                <w:szCs w:val="18"/>
              </w:rPr>
              <w:t>GEF</w:t>
            </w:r>
          </w:p>
        </w:tc>
        <w:tc>
          <w:tcPr>
            <w:tcW w:w="7976" w:type="dxa"/>
            <w:shd w:val="clear" w:color="auto" w:fill="auto"/>
          </w:tcPr>
          <w:p w14:paraId="67DEE161" w14:textId="77777777" w:rsidR="00772A0A" w:rsidRPr="003F7F6C" w:rsidRDefault="00772A0A" w:rsidP="0035759C">
            <w:pPr>
              <w:spacing w:after="0"/>
              <w:rPr>
                <w:rFonts w:cs="Calibri"/>
                <w:sz w:val="18"/>
                <w:szCs w:val="18"/>
              </w:rPr>
            </w:pPr>
            <w:r w:rsidRPr="003F7F6C">
              <w:rPr>
                <w:rFonts w:cs="Calibri"/>
                <w:sz w:val="18"/>
                <w:szCs w:val="18"/>
              </w:rPr>
              <w:t>Global Environment Facility</w:t>
            </w:r>
          </w:p>
        </w:tc>
      </w:tr>
      <w:tr w:rsidR="00772A0A" w:rsidRPr="003F7F6C" w14:paraId="3F951EAF" w14:textId="77777777" w:rsidTr="002B46DF">
        <w:trPr>
          <w:trHeight w:val="288"/>
        </w:trPr>
        <w:tc>
          <w:tcPr>
            <w:tcW w:w="1384" w:type="dxa"/>
            <w:shd w:val="clear" w:color="auto" w:fill="auto"/>
          </w:tcPr>
          <w:p w14:paraId="034B31D5" w14:textId="77777777" w:rsidR="00772A0A" w:rsidRPr="003F7F6C" w:rsidRDefault="00772A0A" w:rsidP="0035759C">
            <w:pPr>
              <w:spacing w:after="0"/>
              <w:rPr>
                <w:rFonts w:cs="Calibri"/>
                <w:sz w:val="18"/>
                <w:szCs w:val="18"/>
              </w:rPr>
            </w:pPr>
            <w:r w:rsidRPr="003F7F6C">
              <w:rPr>
                <w:rFonts w:cs="Calibri"/>
                <w:sz w:val="18"/>
                <w:szCs w:val="18"/>
              </w:rPr>
              <w:t>GEFSEC</w:t>
            </w:r>
          </w:p>
        </w:tc>
        <w:tc>
          <w:tcPr>
            <w:tcW w:w="7976" w:type="dxa"/>
            <w:shd w:val="clear" w:color="auto" w:fill="auto"/>
          </w:tcPr>
          <w:p w14:paraId="76C35B5E" w14:textId="77777777" w:rsidR="00772A0A" w:rsidRPr="003F7F6C" w:rsidRDefault="00772A0A" w:rsidP="0035759C">
            <w:pPr>
              <w:spacing w:after="0"/>
              <w:rPr>
                <w:rFonts w:cs="Calibri"/>
                <w:sz w:val="18"/>
                <w:szCs w:val="18"/>
              </w:rPr>
            </w:pPr>
            <w:r w:rsidRPr="003F7F6C">
              <w:rPr>
                <w:rFonts w:cs="Calibri"/>
                <w:sz w:val="18"/>
                <w:szCs w:val="18"/>
              </w:rPr>
              <w:t>Global Environment Facility Secretariat</w:t>
            </w:r>
          </w:p>
        </w:tc>
      </w:tr>
      <w:tr w:rsidR="00772A0A" w:rsidRPr="003F7F6C" w14:paraId="21A2CAA3" w14:textId="77777777" w:rsidTr="002B46DF">
        <w:trPr>
          <w:trHeight w:val="288"/>
        </w:trPr>
        <w:tc>
          <w:tcPr>
            <w:tcW w:w="1384" w:type="dxa"/>
            <w:shd w:val="clear" w:color="auto" w:fill="auto"/>
          </w:tcPr>
          <w:p w14:paraId="56C701F4" w14:textId="77777777" w:rsidR="00772A0A" w:rsidRPr="003F7F6C" w:rsidRDefault="00772A0A" w:rsidP="0035759C">
            <w:pPr>
              <w:spacing w:after="0"/>
              <w:jc w:val="left"/>
              <w:rPr>
                <w:rFonts w:cs="Calibri"/>
                <w:sz w:val="18"/>
                <w:szCs w:val="18"/>
              </w:rPr>
            </w:pPr>
            <w:r w:rsidRPr="003F7F6C">
              <w:rPr>
                <w:rFonts w:cs="Calibri"/>
                <w:sz w:val="18"/>
                <w:szCs w:val="18"/>
              </w:rPr>
              <w:t>GIS</w:t>
            </w:r>
          </w:p>
        </w:tc>
        <w:tc>
          <w:tcPr>
            <w:tcW w:w="7976" w:type="dxa"/>
            <w:shd w:val="clear" w:color="auto" w:fill="auto"/>
          </w:tcPr>
          <w:p w14:paraId="2BA2DA70" w14:textId="77777777" w:rsidR="00772A0A" w:rsidRPr="003F7F6C" w:rsidRDefault="00772A0A" w:rsidP="0035759C">
            <w:pPr>
              <w:spacing w:after="0"/>
              <w:jc w:val="left"/>
              <w:rPr>
                <w:rFonts w:cs="Calibri"/>
                <w:sz w:val="18"/>
                <w:szCs w:val="18"/>
              </w:rPr>
            </w:pPr>
            <w:r w:rsidRPr="003F7F6C">
              <w:rPr>
                <w:rFonts w:cs="Calibri"/>
                <w:sz w:val="18"/>
                <w:szCs w:val="18"/>
              </w:rPr>
              <w:t>Geographical Information Systems</w:t>
            </w:r>
          </w:p>
        </w:tc>
      </w:tr>
      <w:tr w:rsidR="00852F16" w:rsidRPr="003F7F6C" w14:paraId="00507F8D" w14:textId="77777777" w:rsidTr="002B46DF">
        <w:trPr>
          <w:trHeight w:val="288"/>
        </w:trPr>
        <w:tc>
          <w:tcPr>
            <w:tcW w:w="1384" w:type="dxa"/>
            <w:shd w:val="clear" w:color="auto" w:fill="auto"/>
          </w:tcPr>
          <w:p w14:paraId="7D44A1C8" w14:textId="77777777" w:rsidR="00852F16" w:rsidRPr="003F7F6C" w:rsidRDefault="00852F16" w:rsidP="0035759C">
            <w:pPr>
              <w:spacing w:after="0"/>
              <w:jc w:val="left"/>
              <w:rPr>
                <w:rFonts w:cs="Calibri"/>
                <w:sz w:val="18"/>
                <w:szCs w:val="18"/>
              </w:rPr>
            </w:pPr>
            <w:r w:rsidRPr="003F7F6C">
              <w:rPr>
                <w:rFonts w:cs="Calibri"/>
                <w:sz w:val="18"/>
                <w:szCs w:val="18"/>
              </w:rPr>
              <w:t>GoA</w:t>
            </w:r>
          </w:p>
        </w:tc>
        <w:tc>
          <w:tcPr>
            <w:tcW w:w="7976" w:type="dxa"/>
            <w:shd w:val="clear" w:color="auto" w:fill="auto"/>
          </w:tcPr>
          <w:p w14:paraId="4CFF7C4D" w14:textId="77777777" w:rsidR="00852F16" w:rsidRPr="003F7F6C" w:rsidRDefault="00852F16" w:rsidP="0035759C">
            <w:pPr>
              <w:spacing w:after="0"/>
              <w:jc w:val="left"/>
              <w:rPr>
                <w:rFonts w:cs="Calibri"/>
                <w:sz w:val="18"/>
                <w:szCs w:val="18"/>
              </w:rPr>
            </w:pPr>
            <w:r w:rsidRPr="003F7F6C">
              <w:rPr>
                <w:rFonts w:cs="Calibri"/>
                <w:sz w:val="18"/>
                <w:szCs w:val="18"/>
              </w:rPr>
              <w:t>Government of Argentina</w:t>
            </w:r>
          </w:p>
        </w:tc>
      </w:tr>
      <w:tr w:rsidR="00852F16" w:rsidRPr="003F7F6C" w14:paraId="4C23C3A1" w14:textId="77777777" w:rsidTr="002B46DF">
        <w:trPr>
          <w:trHeight w:val="288"/>
        </w:trPr>
        <w:tc>
          <w:tcPr>
            <w:tcW w:w="1384" w:type="dxa"/>
            <w:shd w:val="clear" w:color="auto" w:fill="auto"/>
          </w:tcPr>
          <w:p w14:paraId="2B39F514" w14:textId="77777777" w:rsidR="00852F16" w:rsidRPr="003F7F6C" w:rsidRDefault="00852F16" w:rsidP="0035759C">
            <w:pPr>
              <w:spacing w:after="0"/>
              <w:jc w:val="left"/>
              <w:rPr>
                <w:rFonts w:cs="Calibri"/>
                <w:sz w:val="18"/>
                <w:szCs w:val="18"/>
              </w:rPr>
            </w:pPr>
            <w:r w:rsidRPr="003F7F6C">
              <w:rPr>
                <w:rFonts w:eastAsia="Times New Roman" w:cs="Calibri"/>
                <w:sz w:val="18"/>
                <w:szCs w:val="18"/>
                <w:lang w:eastAsia="es-ES_tradnl"/>
              </w:rPr>
              <w:t>IAS</w:t>
            </w:r>
          </w:p>
        </w:tc>
        <w:tc>
          <w:tcPr>
            <w:tcW w:w="7976" w:type="dxa"/>
            <w:shd w:val="clear" w:color="auto" w:fill="auto"/>
          </w:tcPr>
          <w:p w14:paraId="697BC43A" w14:textId="77777777" w:rsidR="00852F16" w:rsidRPr="003F7F6C" w:rsidRDefault="00852F16" w:rsidP="0035759C">
            <w:pPr>
              <w:spacing w:after="0"/>
              <w:jc w:val="left"/>
              <w:rPr>
                <w:rFonts w:cs="Calibri"/>
                <w:sz w:val="18"/>
                <w:szCs w:val="18"/>
              </w:rPr>
            </w:pPr>
            <w:r w:rsidRPr="003F7F6C">
              <w:rPr>
                <w:rFonts w:eastAsia="Times New Roman" w:cs="Calibri"/>
                <w:bCs/>
                <w:sz w:val="18"/>
                <w:szCs w:val="18"/>
                <w:lang w:eastAsia="es-ES_tradnl"/>
              </w:rPr>
              <w:t>invasive alien species</w:t>
            </w:r>
          </w:p>
        </w:tc>
      </w:tr>
      <w:tr w:rsidR="00852F16" w:rsidRPr="003F7F6C" w14:paraId="55D8BAED" w14:textId="77777777" w:rsidTr="002B46DF">
        <w:trPr>
          <w:trHeight w:val="288"/>
        </w:trPr>
        <w:tc>
          <w:tcPr>
            <w:tcW w:w="1384" w:type="dxa"/>
            <w:shd w:val="clear" w:color="auto" w:fill="auto"/>
          </w:tcPr>
          <w:p w14:paraId="1314DA2C" w14:textId="77777777" w:rsidR="00852F16" w:rsidRPr="003F7F6C" w:rsidRDefault="00852F16" w:rsidP="0035759C">
            <w:pPr>
              <w:spacing w:after="0"/>
              <w:jc w:val="left"/>
              <w:rPr>
                <w:rFonts w:eastAsia="Times New Roman" w:cs="Calibri"/>
                <w:sz w:val="18"/>
                <w:szCs w:val="18"/>
                <w:lang w:eastAsia="es-ES_tradnl"/>
              </w:rPr>
            </w:pPr>
            <w:r w:rsidRPr="003F7F6C">
              <w:rPr>
                <w:rFonts w:eastAsia="Times New Roman" w:cs="Calibri"/>
                <w:sz w:val="18"/>
                <w:szCs w:val="18"/>
                <w:lang w:eastAsia="es-ES_tradnl"/>
              </w:rPr>
              <w:t>IBA</w:t>
            </w:r>
          </w:p>
        </w:tc>
        <w:tc>
          <w:tcPr>
            <w:tcW w:w="7976" w:type="dxa"/>
            <w:shd w:val="clear" w:color="auto" w:fill="auto"/>
          </w:tcPr>
          <w:p w14:paraId="220285EE" w14:textId="77777777" w:rsidR="00852F16" w:rsidRPr="003F7F6C" w:rsidRDefault="00852F16" w:rsidP="0035759C">
            <w:pPr>
              <w:spacing w:after="0"/>
              <w:jc w:val="left"/>
              <w:rPr>
                <w:rFonts w:eastAsia="Times New Roman" w:cs="Calibri"/>
                <w:bCs/>
                <w:sz w:val="18"/>
                <w:szCs w:val="18"/>
                <w:lang w:eastAsia="es-ES_tradnl"/>
              </w:rPr>
            </w:pPr>
            <w:r w:rsidRPr="003F7F6C">
              <w:rPr>
                <w:rFonts w:eastAsia="Times New Roman" w:cs="Calibri"/>
                <w:bCs/>
                <w:sz w:val="18"/>
                <w:szCs w:val="18"/>
                <w:lang w:eastAsia="es-ES_tradnl"/>
              </w:rPr>
              <w:t>Important Bird Areas</w:t>
            </w:r>
          </w:p>
        </w:tc>
      </w:tr>
      <w:tr w:rsidR="00852F16" w:rsidRPr="003F7F6C" w14:paraId="4B9646CE" w14:textId="77777777" w:rsidTr="002B46DF">
        <w:trPr>
          <w:trHeight w:val="288"/>
        </w:trPr>
        <w:tc>
          <w:tcPr>
            <w:tcW w:w="1384" w:type="dxa"/>
            <w:shd w:val="clear" w:color="auto" w:fill="auto"/>
          </w:tcPr>
          <w:p w14:paraId="7687EA2A" w14:textId="77777777" w:rsidR="00852F16" w:rsidRPr="003F7F6C" w:rsidRDefault="00852F16" w:rsidP="0035759C">
            <w:pPr>
              <w:spacing w:after="0"/>
              <w:jc w:val="left"/>
              <w:rPr>
                <w:rFonts w:eastAsia="Times New Roman" w:cs="Calibri"/>
                <w:sz w:val="18"/>
                <w:szCs w:val="18"/>
                <w:lang w:eastAsia="es-ES_tradnl"/>
              </w:rPr>
            </w:pPr>
            <w:r w:rsidRPr="003F7F6C">
              <w:rPr>
                <w:rFonts w:cs="Calibri"/>
                <w:color w:val="212121"/>
                <w:sz w:val="18"/>
                <w:szCs w:val="18"/>
                <w:lang w:val="en"/>
              </w:rPr>
              <w:t>IDE Ambiente</w:t>
            </w:r>
          </w:p>
        </w:tc>
        <w:tc>
          <w:tcPr>
            <w:tcW w:w="7976" w:type="dxa"/>
            <w:shd w:val="clear" w:color="auto" w:fill="auto"/>
          </w:tcPr>
          <w:p w14:paraId="572F45D1" w14:textId="77777777" w:rsidR="00852F16" w:rsidRPr="003F7F6C" w:rsidRDefault="00852F16" w:rsidP="0035759C">
            <w:pPr>
              <w:spacing w:after="0"/>
              <w:jc w:val="left"/>
              <w:rPr>
                <w:rFonts w:eastAsia="Times New Roman" w:cs="Calibri"/>
                <w:bCs/>
                <w:sz w:val="18"/>
                <w:szCs w:val="18"/>
                <w:lang w:eastAsia="es-ES_tradnl"/>
              </w:rPr>
            </w:pPr>
            <w:r w:rsidRPr="003F7F6C">
              <w:rPr>
                <w:rFonts w:cs="Calibri"/>
                <w:color w:val="212121"/>
                <w:sz w:val="18"/>
                <w:szCs w:val="18"/>
                <w:lang w:val="en"/>
              </w:rPr>
              <w:t>Environmental Spatial Infrastructure Data</w:t>
            </w:r>
            <w:r w:rsidR="002B46DF" w:rsidRPr="003F7F6C">
              <w:rPr>
                <w:rFonts w:cs="Calibri"/>
                <w:color w:val="212121"/>
                <w:sz w:val="18"/>
                <w:szCs w:val="18"/>
                <w:lang w:val="en"/>
              </w:rPr>
              <w:t xml:space="preserve"> </w:t>
            </w:r>
          </w:p>
        </w:tc>
      </w:tr>
      <w:tr w:rsidR="00852F16" w:rsidRPr="003F7F6C" w14:paraId="2F13869A" w14:textId="77777777" w:rsidTr="002B46DF">
        <w:trPr>
          <w:trHeight w:val="288"/>
        </w:trPr>
        <w:tc>
          <w:tcPr>
            <w:tcW w:w="1384" w:type="dxa"/>
            <w:shd w:val="clear" w:color="auto" w:fill="auto"/>
          </w:tcPr>
          <w:p w14:paraId="5F272B8B" w14:textId="77777777" w:rsidR="00852F16" w:rsidRPr="003F7F6C" w:rsidRDefault="00852F16" w:rsidP="0035759C">
            <w:pPr>
              <w:spacing w:after="0"/>
              <w:rPr>
                <w:rFonts w:cs="Calibri"/>
                <w:color w:val="212121"/>
                <w:sz w:val="18"/>
                <w:szCs w:val="18"/>
                <w:lang w:val="en"/>
              </w:rPr>
            </w:pPr>
            <w:r w:rsidRPr="003F7F6C">
              <w:rPr>
                <w:rFonts w:cs="Calibri"/>
                <w:color w:val="212121"/>
                <w:sz w:val="18"/>
                <w:szCs w:val="18"/>
                <w:lang w:val="en"/>
              </w:rPr>
              <w:t>IDERA</w:t>
            </w:r>
          </w:p>
        </w:tc>
        <w:tc>
          <w:tcPr>
            <w:tcW w:w="7976" w:type="dxa"/>
            <w:shd w:val="clear" w:color="auto" w:fill="auto"/>
          </w:tcPr>
          <w:p w14:paraId="7CBE641C" w14:textId="77777777" w:rsidR="00852F16" w:rsidRPr="003F7F6C" w:rsidRDefault="00852F16" w:rsidP="0035759C">
            <w:pPr>
              <w:spacing w:after="0"/>
              <w:jc w:val="left"/>
              <w:rPr>
                <w:rFonts w:cs="Calibri"/>
                <w:color w:val="212121"/>
                <w:sz w:val="18"/>
                <w:szCs w:val="18"/>
                <w:lang w:val="en"/>
              </w:rPr>
            </w:pPr>
            <w:r w:rsidRPr="003F7F6C">
              <w:rPr>
                <w:rFonts w:cs="Calibri"/>
                <w:color w:val="212121"/>
                <w:sz w:val="18"/>
                <w:szCs w:val="18"/>
                <w:lang w:val="en"/>
              </w:rPr>
              <w:t>Spatial Data Infrastructure of the Republic of Argentina</w:t>
            </w:r>
          </w:p>
        </w:tc>
      </w:tr>
      <w:tr w:rsidR="0035759C" w:rsidRPr="003F7F6C" w14:paraId="2A1B9FDE" w14:textId="77777777" w:rsidTr="002B46DF">
        <w:trPr>
          <w:trHeight w:val="288"/>
        </w:trPr>
        <w:tc>
          <w:tcPr>
            <w:tcW w:w="1384" w:type="dxa"/>
            <w:shd w:val="clear" w:color="auto" w:fill="auto"/>
          </w:tcPr>
          <w:p w14:paraId="1B1F8250" w14:textId="77777777" w:rsidR="0035759C" w:rsidRPr="003F7F6C" w:rsidRDefault="0035759C" w:rsidP="0035759C">
            <w:pPr>
              <w:spacing w:after="0"/>
              <w:rPr>
                <w:rFonts w:cs="Calibri"/>
                <w:color w:val="212121"/>
                <w:sz w:val="18"/>
                <w:szCs w:val="18"/>
                <w:lang w:val="en"/>
              </w:rPr>
            </w:pPr>
            <w:r w:rsidRPr="003F7F6C">
              <w:rPr>
                <w:rFonts w:cs="Calibri"/>
                <w:sz w:val="18"/>
                <w:szCs w:val="18"/>
              </w:rPr>
              <w:t>INAI</w:t>
            </w:r>
          </w:p>
        </w:tc>
        <w:tc>
          <w:tcPr>
            <w:tcW w:w="7976" w:type="dxa"/>
            <w:shd w:val="clear" w:color="auto" w:fill="auto"/>
          </w:tcPr>
          <w:p w14:paraId="22D6EBAA" w14:textId="77777777" w:rsidR="0035759C" w:rsidRPr="003F7F6C" w:rsidRDefault="0035759C" w:rsidP="0035759C">
            <w:pPr>
              <w:spacing w:after="0"/>
              <w:jc w:val="left"/>
              <w:rPr>
                <w:rFonts w:cs="Calibri"/>
                <w:color w:val="212121"/>
                <w:sz w:val="18"/>
                <w:szCs w:val="18"/>
                <w:lang w:val="en"/>
              </w:rPr>
            </w:pPr>
            <w:r w:rsidRPr="003F7F6C">
              <w:rPr>
                <w:rFonts w:cs="Calibri"/>
                <w:sz w:val="18"/>
                <w:szCs w:val="18"/>
              </w:rPr>
              <w:t>National Indigenous Peoples Institute</w:t>
            </w:r>
          </w:p>
        </w:tc>
      </w:tr>
      <w:tr w:rsidR="0035759C" w:rsidRPr="003F7F6C" w14:paraId="73D3EDE5" w14:textId="77777777" w:rsidTr="002B46DF">
        <w:trPr>
          <w:trHeight w:val="288"/>
        </w:trPr>
        <w:tc>
          <w:tcPr>
            <w:tcW w:w="1384" w:type="dxa"/>
            <w:shd w:val="clear" w:color="auto" w:fill="auto"/>
          </w:tcPr>
          <w:p w14:paraId="00D0C997" w14:textId="77777777" w:rsidR="0035759C" w:rsidRPr="003F7F6C" w:rsidRDefault="0035759C" w:rsidP="0035759C">
            <w:pPr>
              <w:spacing w:after="0"/>
              <w:rPr>
                <w:rFonts w:cs="Calibri"/>
                <w:color w:val="212121"/>
                <w:sz w:val="18"/>
                <w:szCs w:val="18"/>
                <w:lang w:val="en"/>
              </w:rPr>
            </w:pPr>
            <w:r w:rsidRPr="003F7F6C">
              <w:rPr>
                <w:rFonts w:cs="Calibri"/>
                <w:sz w:val="18"/>
                <w:szCs w:val="18"/>
              </w:rPr>
              <w:t>INTA</w:t>
            </w:r>
          </w:p>
        </w:tc>
        <w:tc>
          <w:tcPr>
            <w:tcW w:w="7976" w:type="dxa"/>
            <w:shd w:val="clear" w:color="auto" w:fill="auto"/>
          </w:tcPr>
          <w:p w14:paraId="64D25356" w14:textId="77777777" w:rsidR="0035759C" w:rsidRPr="003F7F6C" w:rsidRDefault="0035759C" w:rsidP="0035759C">
            <w:pPr>
              <w:spacing w:after="0"/>
              <w:jc w:val="left"/>
              <w:rPr>
                <w:rFonts w:cs="Calibri"/>
                <w:color w:val="212121"/>
                <w:sz w:val="18"/>
                <w:szCs w:val="18"/>
                <w:lang w:val="en"/>
              </w:rPr>
            </w:pPr>
            <w:r w:rsidRPr="003F7F6C">
              <w:rPr>
                <w:rFonts w:cs="Calibri"/>
                <w:sz w:val="18"/>
                <w:szCs w:val="18"/>
              </w:rPr>
              <w:t>National Agricultural Technology Institute</w:t>
            </w:r>
          </w:p>
        </w:tc>
      </w:tr>
      <w:tr w:rsidR="002F6E43" w:rsidRPr="003F7F6C" w14:paraId="0A858F64" w14:textId="77777777" w:rsidTr="002B46DF">
        <w:trPr>
          <w:trHeight w:val="288"/>
        </w:trPr>
        <w:tc>
          <w:tcPr>
            <w:tcW w:w="1384" w:type="dxa"/>
            <w:shd w:val="clear" w:color="auto" w:fill="auto"/>
          </w:tcPr>
          <w:p w14:paraId="2081AFF0" w14:textId="2C21A311" w:rsidR="002F6E43" w:rsidRPr="003F7F6C" w:rsidRDefault="002F6E43" w:rsidP="002F6E43">
            <w:pPr>
              <w:spacing w:after="0"/>
              <w:rPr>
                <w:rFonts w:cs="Calibri"/>
                <w:sz w:val="18"/>
                <w:szCs w:val="18"/>
              </w:rPr>
            </w:pPr>
            <w:r w:rsidRPr="003F7F6C">
              <w:rPr>
                <w:rFonts w:cs="Calibri"/>
                <w:sz w:val="18"/>
                <w:szCs w:val="18"/>
              </w:rPr>
              <w:t>IPP</w:t>
            </w:r>
          </w:p>
        </w:tc>
        <w:tc>
          <w:tcPr>
            <w:tcW w:w="7976" w:type="dxa"/>
            <w:shd w:val="clear" w:color="auto" w:fill="auto"/>
          </w:tcPr>
          <w:p w14:paraId="2A474096" w14:textId="2179905B" w:rsidR="002F6E43" w:rsidRPr="003F7F6C" w:rsidRDefault="002F6E43" w:rsidP="002F6E43">
            <w:pPr>
              <w:spacing w:after="0"/>
              <w:jc w:val="left"/>
              <w:rPr>
                <w:rFonts w:cs="Calibri"/>
                <w:sz w:val="18"/>
                <w:szCs w:val="18"/>
              </w:rPr>
            </w:pPr>
            <w:r w:rsidRPr="003F7F6C">
              <w:rPr>
                <w:rFonts w:cs="Calibri"/>
                <w:sz w:val="18"/>
                <w:szCs w:val="18"/>
              </w:rPr>
              <w:t>Indigenous Peoples Plan</w:t>
            </w:r>
          </w:p>
        </w:tc>
      </w:tr>
      <w:tr w:rsidR="00852F16" w:rsidRPr="003F7F6C" w14:paraId="34F82B96" w14:textId="77777777" w:rsidTr="002B46DF">
        <w:trPr>
          <w:trHeight w:val="288"/>
        </w:trPr>
        <w:tc>
          <w:tcPr>
            <w:tcW w:w="1384" w:type="dxa"/>
            <w:shd w:val="clear" w:color="auto" w:fill="auto"/>
          </w:tcPr>
          <w:p w14:paraId="245A65D3" w14:textId="77777777" w:rsidR="00852F16" w:rsidRPr="003F7F6C" w:rsidRDefault="00852F16" w:rsidP="0035759C">
            <w:pPr>
              <w:spacing w:after="0"/>
              <w:jc w:val="left"/>
              <w:rPr>
                <w:rFonts w:eastAsia="Times New Roman" w:cs="Calibri"/>
                <w:sz w:val="18"/>
                <w:szCs w:val="18"/>
                <w:lang w:eastAsia="es-ES_tradnl"/>
              </w:rPr>
            </w:pPr>
            <w:r w:rsidRPr="003F7F6C">
              <w:rPr>
                <w:rFonts w:cs="Calibri"/>
                <w:bCs/>
                <w:sz w:val="18"/>
                <w:szCs w:val="18"/>
                <w:lang w:val="en-GB"/>
              </w:rPr>
              <w:t>LADA</w:t>
            </w:r>
          </w:p>
        </w:tc>
        <w:tc>
          <w:tcPr>
            <w:tcW w:w="7976" w:type="dxa"/>
            <w:shd w:val="clear" w:color="auto" w:fill="auto"/>
          </w:tcPr>
          <w:p w14:paraId="3B011E67" w14:textId="77777777" w:rsidR="00852F16" w:rsidRPr="003F7F6C" w:rsidRDefault="00852F16" w:rsidP="0035759C">
            <w:pPr>
              <w:spacing w:after="0"/>
              <w:jc w:val="left"/>
              <w:rPr>
                <w:rFonts w:eastAsia="Times New Roman" w:cs="Calibri"/>
                <w:bCs/>
                <w:sz w:val="18"/>
                <w:szCs w:val="18"/>
                <w:lang w:eastAsia="es-ES_tradnl"/>
              </w:rPr>
            </w:pPr>
            <w:r w:rsidRPr="003F7F6C">
              <w:rPr>
                <w:rFonts w:cs="Calibri"/>
                <w:bCs/>
                <w:sz w:val="18"/>
                <w:szCs w:val="18"/>
                <w:lang w:val="en-GB"/>
              </w:rPr>
              <w:t>Land Degradation Assessment in Drylands</w:t>
            </w:r>
          </w:p>
        </w:tc>
      </w:tr>
      <w:tr w:rsidR="00852F16" w:rsidRPr="003F7F6C" w14:paraId="2DBC5DF5" w14:textId="77777777" w:rsidTr="002B46DF">
        <w:trPr>
          <w:trHeight w:val="288"/>
        </w:trPr>
        <w:tc>
          <w:tcPr>
            <w:tcW w:w="1384" w:type="dxa"/>
            <w:shd w:val="clear" w:color="auto" w:fill="auto"/>
          </w:tcPr>
          <w:p w14:paraId="2FACEEFD" w14:textId="77777777" w:rsidR="00852F16" w:rsidRPr="003F7F6C" w:rsidRDefault="00852F16" w:rsidP="0035759C">
            <w:pPr>
              <w:spacing w:after="0"/>
              <w:jc w:val="left"/>
              <w:rPr>
                <w:rFonts w:eastAsia="Times New Roman" w:cs="Calibri"/>
                <w:sz w:val="18"/>
                <w:szCs w:val="18"/>
                <w:lang w:eastAsia="es-ES_tradnl"/>
              </w:rPr>
            </w:pPr>
            <w:r w:rsidRPr="003F7F6C">
              <w:rPr>
                <w:rFonts w:eastAsia="Times New Roman" w:cs="Calibri"/>
                <w:sz w:val="18"/>
                <w:szCs w:val="18"/>
                <w:lang w:eastAsia="es-ES_tradnl"/>
              </w:rPr>
              <w:t>LD</w:t>
            </w:r>
          </w:p>
        </w:tc>
        <w:tc>
          <w:tcPr>
            <w:tcW w:w="7976" w:type="dxa"/>
            <w:shd w:val="clear" w:color="auto" w:fill="auto"/>
          </w:tcPr>
          <w:p w14:paraId="18591D0E" w14:textId="77777777" w:rsidR="00852F16" w:rsidRPr="003F7F6C" w:rsidRDefault="00852F16" w:rsidP="0035759C">
            <w:pPr>
              <w:spacing w:after="0"/>
              <w:jc w:val="left"/>
              <w:rPr>
                <w:rFonts w:eastAsia="Times New Roman" w:cs="Calibri"/>
                <w:bCs/>
                <w:sz w:val="18"/>
                <w:szCs w:val="18"/>
                <w:lang w:eastAsia="es-ES_tradnl"/>
              </w:rPr>
            </w:pPr>
            <w:r w:rsidRPr="003F7F6C">
              <w:rPr>
                <w:rFonts w:eastAsia="Times New Roman" w:cs="Calibri"/>
                <w:bCs/>
                <w:sz w:val="18"/>
                <w:szCs w:val="18"/>
                <w:lang w:eastAsia="es-ES_tradnl"/>
              </w:rPr>
              <w:t>Land Degradation</w:t>
            </w:r>
          </w:p>
        </w:tc>
      </w:tr>
      <w:tr w:rsidR="0068605B" w:rsidRPr="003F7F6C" w14:paraId="14C67E20" w14:textId="77777777" w:rsidTr="002B46DF">
        <w:trPr>
          <w:trHeight w:val="288"/>
        </w:trPr>
        <w:tc>
          <w:tcPr>
            <w:tcW w:w="1384" w:type="dxa"/>
            <w:shd w:val="clear" w:color="auto" w:fill="auto"/>
          </w:tcPr>
          <w:p w14:paraId="2E6D3880" w14:textId="77777777" w:rsidR="0068605B" w:rsidRPr="003F7F6C" w:rsidRDefault="0068605B" w:rsidP="0035759C">
            <w:pPr>
              <w:spacing w:after="0"/>
              <w:jc w:val="left"/>
              <w:rPr>
                <w:rFonts w:cs="Calibri"/>
                <w:sz w:val="18"/>
                <w:szCs w:val="18"/>
              </w:rPr>
            </w:pPr>
            <w:r w:rsidRPr="003F7F6C">
              <w:rPr>
                <w:rFonts w:cs="Calibri"/>
                <w:sz w:val="18"/>
                <w:szCs w:val="18"/>
              </w:rPr>
              <w:t>M&amp;E</w:t>
            </w:r>
            <w:r w:rsidRPr="003F7F6C">
              <w:rPr>
                <w:rFonts w:cs="Calibri"/>
                <w:sz w:val="18"/>
                <w:szCs w:val="18"/>
              </w:rPr>
              <w:tab/>
            </w:r>
          </w:p>
        </w:tc>
        <w:tc>
          <w:tcPr>
            <w:tcW w:w="7976" w:type="dxa"/>
            <w:shd w:val="clear" w:color="auto" w:fill="auto"/>
          </w:tcPr>
          <w:p w14:paraId="2F1D5EB1" w14:textId="77777777" w:rsidR="0068605B" w:rsidRPr="003F7F6C" w:rsidRDefault="0068605B" w:rsidP="0035759C">
            <w:pPr>
              <w:spacing w:after="0"/>
              <w:jc w:val="left"/>
              <w:rPr>
                <w:rFonts w:cs="Calibri"/>
                <w:sz w:val="18"/>
                <w:szCs w:val="18"/>
              </w:rPr>
            </w:pPr>
            <w:r w:rsidRPr="003F7F6C">
              <w:rPr>
                <w:rFonts w:cs="Calibri"/>
                <w:sz w:val="18"/>
                <w:szCs w:val="18"/>
              </w:rPr>
              <w:t>Monitoring and Evaluation</w:t>
            </w:r>
          </w:p>
        </w:tc>
      </w:tr>
      <w:tr w:rsidR="00B37AD2" w:rsidRPr="003F7F6C" w14:paraId="35A0749C" w14:textId="77777777" w:rsidTr="002B46DF">
        <w:trPr>
          <w:trHeight w:val="288"/>
        </w:trPr>
        <w:tc>
          <w:tcPr>
            <w:tcW w:w="1384" w:type="dxa"/>
            <w:shd w:val="clear" w:color="auto" w:fill="auto"/>
          </w:tcPr>
          <w:p w14:paraId="1DE15297" w14:textId="77777777" w:rsidR="00B37AD2" w:rsidRPr="003F7F6C" w:rsidRDefault="00B37AD2" w:rsidP="0035759C">
            <w:pPr>
              <w:spacing w:after="0"/>
              <w:jc w:val="left"/>
              <w:rPr>
                <w:rFonts w:cs="Calibri"/>
                <w:sz w:val="18"/>
                <w:szCs w:val="18"/>
              </w:rPr>
            </w:pPr>
            <w:r w:rsidRPr="003F7F6C">
              <w:rPr>
                <w:rFonts w:cs="Calibri"/>
                <w:sz w:val="18"/>
                <w:szCs w:val="18"/>
              </w:rPr>
              <w:t>MAB</w:t>
            </w:r>
          </w:p>
        </w:tc>
        <w:tc>
          <w:tcPr>
            <w:tcW w:w="7976" w:type="dxa"/>
            <w:shd w:val="clear" w:color="auto" w:fill="auto"/>
          </w:tcPr>
          <w:p w14:paraId="682A30D6" w14:textId="77777777" w:rsidR="00B37AD2" w:rsidRPr="003F7F6C" w:rsidRDefault="00B37AD2" w:rsidP="0035759C">
            <w:pPr>
              <w:spacing w:after="0"/>
              <w:jc w:val="left"/>
              <w:rPr>
                <w:rFonts w:cs="Calibri"/>
                <w:sz w:val="18"/>
                <w:szCs w:val="18"/>
              </w:rPr>
            </w:pPr>
            <w:r w:rsidRPr="003F7F6C">
              <w:rPr>
                <w:rFonts w:cs="Calibri"/>
                <w:sz w:val="18"/>
                <w:szCs w:val="18"/>
              </w:rPr>
              <w:t>Man and Biosphere</w:t>
            </w:r>
          </w:p>
        </w:tc>
      </w:tr>
      <w:tr w:rsidR="0068605B" w:rsidRPr="003F7F6C" w14:paraId="6F3B113B" w14:textId="77777777" w:rsidTr="002B46DF">
        <w:trPr>
          <w:trHeight w:val="288"/>
        </w:trPr>
        <w:tc>
          <w:tcPr>
            <w:tcW w:w="1384" w:type="dxa"/>
            <w:shd w:val="clear" w:color="auto" w:fill="auto"/>
          </w:tcPr>
          <w:p w14:paraId="67A6499B" w14:textId="77777777" w:rsidR="0068605B" w:rsidRPr="003F7F6C" w:rsidRDefault="0068605B" w:rsidP="0035759C">
            <w:pPr>
              <w:spacing w:after="0"/>
              <w:jc w:val="left"/>
              <w:rPr>
                <w:rFonts w:cs="Calibri"/>
                <w:sz w:val="18"/>
                <w:szCs w:val="18"/>
              </w:rPr>
            </w:pPr>
            <w:r w:rsidRPr="003F7F6C">
              <w:rPr>
                <w:rFonts w:cs="Calibri"/>
                <w:sz w:val="18"/>
                <w:szCs w:val="18"/>
              </w:rPr>
              <w:t>MINAI</w:t>
            </w:r>
          </w:p>
        </w:tc>
        <w:tc>
          <w:tcPr>
            <w:tcW w:w="7976" w:type="dxa"/>
            <w:shd w:val="clear" w:color="auto" w:fill="auto"/>
          </w:tcPr>
          <w:p w14:paraId="71629D57" w14:textId="77777777" w:rsidR="0068605B" w:rsidRPr="003F7F6C" w:rsidRDefault="0068605B" w:rsidP="0035759C">
            <w:pPr>
              <w:spacing w:after="0"/>
              <w:jc w:val="left"/>
              <w:rPr>
                <w:rFonts w:cs="Calibri"/>
                <w:sz w:val="18"/>
                <w:szCs w:val="18"/>
              </w:rPr>
            </w:pPr>
            <w:r w:rsidRPr="003F7F6C">
              <w:rPr>
                <w:rFonts w:cs="Calibri"/>
                <w:sz w:val="18"/>
                <w:szCs w:val="18"/>
              </w:rPr>
              <w:t>Ministry of Agro-Industry</w:t>
            </w:r>
          </w:p>
        </w:tc>
      </w:tr>
      <w:tr w:rsidR="00772A0A" w:rsidRPr="003F7F6C" w14:paraId="74F07109" w14:textId="77777777" w:rsidTr="002B46DF">
        <w:trPr>
          <w:trHeight w:val="288"/>
        </w:trPr>
        <w:tc>
          <w:tcPr>
            <w:tcW w:w="1384" w:type="dxa"/>
            <w:shd w:val="clear" w:color="auto" w:fill="auto"/>
          </w:tcPr>
          <w:p w14:paraId="481103BD" w14:textId="77777777" w:rsidR="00772A0A" w:rsidRPr="003F7F6C" w:rsidRDefault="00772A0A" w:rsidP="0035759C">
            <w:pPr>
              <w:spacing w:after="0"/>
              <w:rPr>
                <w:rFonts w:cs="Calibri"/>
                <w:sz w:val="18"/>
                <w:szCs w:val="18"/>
              </w:rPr>
            </w:pPr>
            <w:r w:rsidRPr="003F7F6C">
              <w:rPr>
                <w:rFonts w:cs="Calibri"/>
                <w:sz w:val="18"/>
                <w:szCs w:val="18"/>
              </w:rPr>
              <w:t>MTR</w:t>
            </w:r>
            <w:r w:rsidRPr="003F7F6C">
              <w:rPr>
                <w:rFonts w:cs="Calibri"/>
                <w:sz w:val="18"/>
                <w:szCs w:val="18"/>
              </w:rPr>
              <w:tab/>
            </w:r>
          </w:p>
        </w:tc>
        <w:tc>
          <w:tcPr>
            <w:tcW w:w="7976" w:type="dxa"/>
            <w:shd w:val="clear" w:color="auto" w:fill="auto"/>
          </w:tcPr>
          <w:p w14:paraId="4FC93483" w14:textId="77777777" w:rsidR="00772A0A" w:rsidRPr="003F7F6C" w:rsidRDefault="00772A0A" w:rsidP="0035759C">
            <w:pPr>
              <w:spacing w:after="0"/>
              <w:rPr>
                <w:rFonts w:cs="Calibri"/>
                <w:sz w:val="18"/>
                <w:szCs w:val="18"/>
              </w:rPr>
            </w:pPr>
            <w:r w:rsidRPr="003F7F6C">
              <w:rPr>
                <w:rFonts w:cs="Calibri"/>
                <w:sz w:val="18"/>
                <w:szCs w:val="18"/>
              </w:rPr>
              <w:t>Mid-Term Review</w:t>
            </w:r>
          </w:p>
        </w:tc>
      </w:tr>
      <w:tr w:rsidR="00852F16" w:rsidRPr="003F7F6C" w14:paraId="40278845" w14:textId="77777777" w:rsidTr="002B46DF">
        <w:trPr>
          <w:trHeight w:val="288"/>
        </w:trPr>
        <w:tc>
          <w:tcPr>
            <w:tcW w:w="1384" w:type="dxa"/>
            <w:shd w:val="clear" w:color="auto" w:fill="auto"/>
          </w:tcPr>
          <w:p w14:paraId="472D523E" w14:textId="77777777" w:rsidR="00852F16" w:rsidRPr="003F7F6C" w:rsidRDefault="00852F16" w:rsidP="0035759C">
            <w:pPr>
              <w:spacing w:after="0"/>
              <w:rPr>
                <w:rFonts w:cs="Calibri"/>
                <w:sz w:val="18"/>
                <w:szCs w:val="18"/>
              </w:rPr>
            </w:pPr>
            <w:r w:rsidRPr="003F7F6C">
              <w:rPr>
                <w:rFonts w:eastAsia="Times New Roman" w:cs="Calibri"/>
                <w:sz w:val="18"/>
                <w:szCs w:val="18"/>
                <w:lang w:eastAsia="es-ES_tradnl"/>
              </w:rPr>
              <w:t>NAP</w:t>
            </w:r>
          </w:p>
        </w:tc>
        <w:tc>
          <w:tcPr>
            <w:tcW w:w="7976" w:type="dxa"/>
            <w:shd w:val="clear" w:color="auto" w:fill="auto"/>
          </w:tcPr>
          <w:p w14:paraId="30B8E49F" w14:textId="77777777" w:rsidR="00852F16" w:rsidRPr="003F7F6C" w:rsidRDefault="00852F16" w:rsidP="0035759C">
            <w:pPr>
              <w:spacing w:after="0"/>
              <w:rPr>
                <w:rFonts w:cs="Calibri"/>
                <w:sz w:val="18"/>
                <w:szCs w:val="18"/>
              </w:rPr>
            </w:pPr>
            <w:r w:rsidRPr="003F7F6C">
              <w:rPr>
                <w:rFonts w:eastAsia="Times New Roman" w:cs="Calibri"/>
                <w:sz w:val="18"/>
                <w:szCs w:val="18"/>
                <w:lang w:eastAsia="es-ES_tradnl"/>
              </w:rPr>
              <w:t>National Plan of Action to Combat Desertification</w:t>
            </w:r>
          </w:p>
        </w:tc>
      </w:tr>
      <w:tr w:rsidR="00486E7F" w:rsidRPr="003F7F6C" w14:paraId="23A8F5A8" w14:textId="77777777" w:rsidTr="002B46DF">
        <w:trPr>
          <w:trHeight w:val="288"/>
        </w:trPr>
        <w:tc>
          <w:tcPr>
            <w:tcW w:w="1384" w:type="dxa"/>
            <w:shd w:val="clear" w:color="auto" w:fill="auto"/>
          </w:tcPr>
          <w:p w14:paraId="47A3971B" w14:textId="77777777" w:rsidR="00486E7F" w:rsidRPr="003F7F6C" w:rsidRDefault="00486E7F" w:rsidP="0035759C">
            <w:pPr>
              <w:spacing w:after="0"/>
              <w:rPr>
                <w:rFonts w:cs="Calibri"/>
                <w:sz w:val="18"/>
                <w:szCs w:val="18"/>
              </w:rPr>
            </w:pPr>
            <w:r w:rsidRPr="003F7F6C">
              <w:rPr>
                <w:rFonts w:eastAsia="Times New Roman" w:cs="Calibri"/>
                <w:sz w:val="18"/>
                <w:szCs w:val="18"/>
                <w:lang w:eastAsia="es-ES_tradnl"/>
              </w:rPr>
              <w:t>NBSAP</w:t>
            </w:r>
          </w:p>
        </w:tc>
        <w:tc>
          <w:tcPr>
            <w:tcW w:w="7976" w:type="dxa"/>
            <w:shd w:val="clear" w:color="auto" w:fill="auto"/>
          </w:tcPr>
          <w:p w14:paraId="69E8D10E" w14:textId="77777777" w:rsidR="00486E7F" w:rsidRPr="003F7F6C" w:rsidRDefault="00486E7F" w:rsidP="0035759C">
            <w:pPr>
              <w:spacing w:after="0"/>
              <w:rPr>
                <w:rFonts w:cs="Calibri"/>
                <w:sz w:val="18"/>
                <w:szCs w:val="18"/>
              </w:rPr>
            </w:pPr>
            <w:r w:rsidRPr="003F7F6C">
              <w:rPr>
                <w:rFonts w:eastAsia="Times New Roman" w:cs="Calibri"/>
                <w:sz w:val="18"/>
                <w:szCs w:val="18"/>
                <w:lang w:eastAsia="es-ES_tradnl"/>
              </w:rPr>
              <w:t>National Biodiversity Strategy and Plan of Action</w:t>
            </w:r>
          </w:p>
        </w:tc>
      </w:tr>
      <w:tr w:rsidR="00772A0A" w:rsidRPr="003F7F6C" w14:paraId="60349E08" w14:textId="77777777" w:rsidTr="002B46DF">
        <w:trPr>
          <w:trHeight w:val="288"/>
        </w:trPr>
        <w:tc>
          <w:tcPr>
            <w:tcW w:w="1384" w:type="dxa"/>
            <w:shd w:val="clear" w:color="auto" w:fill="auto"/>
          </w:tcPr>
          <w:p w14:paraId="23E4F344" w14:textId="77777777" w:rsidR="00772A0A" w:rsidRPr="003F7F6C" w:rsidRDefault="00772A0A" w:rsidP="0035759C">
            <w:pPr>
              <w:spacing w:after="0"/>
              <w:rPr>
                <w:rFonts w:cs="Calibri"/>
                <w:sz w:val="18"/>
                <w:szCs w:val="18"/>
              </w:rPr>
            </w:pPr>
            <w:r w:rsidRPr="003F7F6C">
              <w:rPr>
                <w:rFonts w:cs="Calibri"/>
                <w:color w:val="000000"/>
                <w:sz w:val="18"/>
                <w:szCs w:val="18"/>
              </w:rPr>
              <w:t>NIM</w:t>
            </w:r>
          </w:p>
        </w:tc>
        <w:tc>
          <w:tcPr>
            <w:tcW w:w="7976" w:type="dxa"/>
            <w:shd w:val="clear" w:color="auto" w:fill="auto"/>
          </w:tcPr>
          <w:p w14:paraId="21554B40" w14:textId="77777777" w:rsidR="00772A0A" w:rsidRPr="003F7F6C" w:rsidRDefault="00772A0A" w:rsidP="0035759C">
            <w:pPr>
              <w:spacing w:after="0"/>
              <w:rPr>
                <w:rFonts w:cs="Calibri"/>
                <w:sz w:val="18"/>
                <w:szCs w:val="18"/>
              </w:rPr>
            </w:pPr>
            <w:r w:rsidRPr="003F7F6C">
              <w:rPr>
                <w:rFonts w:cs="Calibri"/>
                <w:color w:val="000000"/>
                <w:sz w:val="18"/>
                <w:szCs w:val="18"/>
              </w:rPr>
              <w:t xml:space="preserve">National Implementation Modality </w:t>
            </w:r>
          </w:p>
        </w:tc>
      </w:tr>
      <w:tr w:rsidR="00772A0A" w:rsidRPr="003F7F6C" w14:paraId="7CE4232E" w14:textId="77777777" w:rsidTr="002B46DF">
        <w:trPr>
          <w:trHeight w:val="288"/>
        </w:trPr>
        <w:tc>
          <w:tcPr>
            <w:tcW w:w="1384" w:type="dxa"/>
            <w:shd w:val="clear" w:color="auto" w:fill="auto"/>
          </w:tcPr>
          <w:p w14:paraId="5D9F7332" w14:textId="77777777" w:rsidR="00772A0A" w:rsidRPr="003F7F6C" w:rsidRDefault="00772A0A" w:rsidP="0035759C">
            <w:pPr>
              <w:spacing w:after="0"/>
              <w:rPr>
                <w:rFonts w:cs="Calibri"/>
                <w:sz w:val="18"/>
                <w:szCs w:val="18"/>
              </w:rPr>
            </w:pPr>
            <w:r w:rsidRPr="003F7F6C">
              <w:rPr>
                <w:rFonts w:cs="Calibri"/>
                <w:color w:val="000000"/>
                <w:sz w:val="18"/>
                <w:szCs w:val="18"/>
              </w:rPr>
              <w:t>NGO</w:t>
            </w:r>
          </w:p>
        </w:tc>
        <w:tc>
          <w:tcPr>
            <w:tcW w:w="7976" w:type="dxa"/>
            <w:shd w:val="clear" w:color="auto" w:fill="auto"/>
          </w:tcPr>
          <w:p w14:paraId="49131A48" w14:textId="77777777" w:rsidR="00772A0A" w:rsidRPr="003F7F6C" w:rsidRDefault="00772A0A" w:rsidP="0035759C">
            <w:pPr>
              <w:spacing w:after="0"/>
              <w:rPr>
                <w:rFonts w:cs="Calibri"/>
                <w:sz w:val="18"/>
                <w:szCs w:val="18"/>
              </w:rPr>
            </w:pPr>
            <w:r w:rsidRPr="003F7F6C">
              <w:rPr>
                <w:rFonts w:cs="Calibri"/>
                <w:color w:val="000000"/>
                <w:sz w:val="18"/>
                <w:szCs w:val="18"/>
              </w:rPr>
              <w:t>Non-Governmental Organization</w:t>
            </w:r>
          </w:p>
        </w:tc>
      </w:tr>
      <w:tr w:rsidR="0035759C" w:rsidRPr="003F7F6C" w14:paraId="517AC502" w14:textId="77777777" w:rsidTr="002B46DF">
        <w:trPr>
          <w:trHeight w:val="288"/>
        </w:trPr>
        <w:tc>
          <w:tcPr>
            <w:tcW w:w="1384" w:type="dxa"/>
            <w:shd w:val="clear" w:color="auto" w:fill="auto"/>
          </w:tcPr>
          <w:p w14:paraId="5726928C" w14:textId="77777777" w:rsidR="0035759C" w:rsidRPr="003F7F6C" w:rsidRDefault="0035759C" w:rsidP="0035759C">
            <w:pPr>
              <w:spacing w:after="0"/>
              <w:rPr>
                <w:rFonts w:cs="Calibri"/>
                <w:color w:val="000000"/>
                <w:sz w:val="18"/>
                <w:szCs w:val="18"/>
              </w:rPr>
            </w:pPr>
            <w:r w:rsidRPr="003F7F6C">
              <w:rPr>
                <w:rFonts w:cs="Calibri"/>
                <w:sz w:val="18"/>
                <w:szCs w:val="18"/>
              </w:rPr>
              <w:t>OBIO</w:t>
            </w:r>
          </w:p>
        </w:tc>
        <w:tc>
          <w:tcPr>
            <w:tcW w:w="7976" w:type="dxa"/>
            <w:shd w:val="clear" w:color="auto" w:fill="auto"/>
          </w:tcPr>
          <w:p w14:paraId="7DD0E1FE" w14:textId="77777777" w:rsidR="0035759C" w:rsidRPr="003F7F6C" w:rsidRDefault="0035759C" w:rsidP="0035759C">
            <w:pPr>
              <w:spacing w:after="0"/>
              <w:rPr>
                <w:rFonts w:cs="Calibri"/>
                <w:color w:val="000000"/>
                <w:sz w:val="18"/>
                <w:szCs w:val="18"/>
              </w:rPr>
            </w:pPr>
            <w:r w:rsidRPr="003F7F6C">
              <w:rPr>
                <w:rFonts w:cs="Calibri"/>
                <w:sz w:val="18"/>
                <w:szCs w:val="18"/>
              </w:rPr>
              <w:t>National Biodiversity Observatory</w:t>
            </w:r>
          </w:p>
        </w:tc>
      </w:tr>
      <w:tr w:rsidR="00852F16" w:rsidRPr="003F7F6C" w14:paraId="5985FC00" w14:textId="77777777" w:rsidTr="002B46DF">
        <w:trPr>
          <w:trHeight w:val="288"/>
        </w:trPr>
        <w:tc>
          <w:tcPr>
            <w:tcW w:w="1384" w:type="dxa"/>
            <w:shd w:val="clear" w:color="auto" w:fill="auto"/>
          </w:tcPr>
          <w:p w14:paraId="6DE4C1C1" w14:textId="77777777" w:rsidR="00852F16" w:rsidRPr="003F7F6C" w:rsidRDefault="00852F16" w:rsidP="0035759C">
            <w:pPr>
              <w:spacing w:after="0"/>
              <w:rPr>
                <w:rFonts w:cs="Calibri"/>
                <w:color w:val="000000"/>
                <w:sz w:val="18"/>
                <w:szCs w:val="18"/>
              </w:rPr>
            </w:pPr>
            <w:r w:rsidRPr="003F7F6C">
              <w:rPr>
                <w:rFonts w:eastAsia="Times New Roman" w:cs="Calibri"/>
                <w:color w:val="000000"/>
                <w:sz w:val="18"/>
                <w:szCs w:val="18"/>
                <w:lang w:eastAsia="es-AR"/>
              </w:rPr>
              <w:t>ONDTyD</w:t>
            </w:r>
          </w:p>
        </w:tc>
        <w:tc>
          <w:tcPr>
            <w:tcW w:w="7976" w:type="dxa"/>
            <w:shd w:val="clear" w:color="auto" w:fill="auto"/>
          </w:tcPr>
          <w:p w14:paraId="7BE9F5C2" w14:textId="77777777" w:rsidR="00852F16" w:rsidRPr="003F7F6C" w:rsidRDefault="00852F16" w:rsidP="0035759C">
            <w:pPr>
              <w:spacing w:after="0"/>
              <w:rPr>
                <w:rFonts w:cs="Calibri"/>
                <w:color w:val="000000"/>
                <w:sz w:val="18"/>
                <w:szCs w:val="18"/>
              </w:rPr>
            </w:pPr>
            <w:r w:rsidRPr="003F7F6C">
              <w:rPr>
                <w:rFonts w:eastAsia="Times New Roman" w:cs="Calibri"/>
                <w:color w:val="000000"/>
                <w:sz w:val="18"/>
                <w:szCs w:val="18"/>
                <w:lang w:eastAsia="es-AR"/>
              </w:rPr>
              <w:t>National Observatory on Land Degradation and Desertification</w:t>
            </w:r>
          </w:p>
        </w:tc>
      </w:tr>
      <w:tr w:rsidR="00852F16" w:rsidRPr="003F7F6C" w14:paraId="11A8F7D1" w14:textId="77777777" w:rsidTr="002B46DF">
        <w:trPr>
          <w:trHeight w:val="288"/>
        </w:trPr>
        <w:tc>
          <w:tcPr>
            <w:tcW w:w="1384" w:type="dxa"/>
            <w:shd w:val="clear" w:color="auto" w:fill="auto"/>
          </w:tcPr>
          <w:p w14:paraId="042174D4" w14:textId="77777777" w:rsidR="00852F16" w:rsidRPr="003F7F6C" w:rsidRDefault="00852F16" w:rsidP="0035759C">
            <w:pPr>
              <w:spacing w:after="0"/>
              <w:rPr>
                <w:rFonts w:cs="Calibri"/>
                <w:color w:val="000000"/>
                <w:sz w:val="18"/>
                <w:szCs w:val="18"/>
              </w:rPr>
            </w:pPr>
            <w:r w:rsidRPr="003F7F6C">
              <w:rPr>
                <w:rFonts w:cs="Calibri"/>
                <w:sz w:val="18"/>
                <w:szCs w:val="18"/>
              </w:rPr>
              <w:t>OPDS</w:t>
            </w:r>
          </w:p>
        </w:tc>
        <w:tc>
          <w:tcPr>
            <w:tcW w:w="7976" w:type="dxa"/>
            <w:shd w:val="clear" w:color="auto" w:fill="auto"/>
          </w:tcPr>
          <w:p w14:paraId="128BA0EA" w14:textId="77777777" w:rsidR="00852F16" w:rsidRPr="003F7F6C" w:rsidRDefault="00852F16" w:rsidP="0035759C">
            <w:pPr>
              <w:spacing w:after="0"/>
              <w:rPr>
                <w:rFonts w:cs="Calibri"/>
                <w:color w:val="000000"/>
                <w:sz w:val="18"/>
                <w:szCs w:val="18"/>
              </w:rPr>
            </w:pPr>
            <w:r w:rsidRPr="003F7F6C">
              <w:rPr>
                <w:rFonts w:cs="Calibri"/>
                <w:sz w:val="18"/>
                <w:szCs w:val="18"/>
              </w:rPr>
              <w:t xml:space="preserve">Provincial </w:t>
            </w:r>
            <w:r w:rsidR="00C667D3" w:rsidRPr="003F7F6C">
              <w:rPr>
                <w:rFonts w:cs="Calibri"/>
                <w:sz w:val="18"/>
                <w:szCs w:val="18"/>
              </w:rPr>
              <w:t>Agency</w:t>
            </w:r>
            <w:r w:rsidRPr="003F7F6C">
              <w:rPr>
                <w:rFonts w:cs="Calibri"/>
                <w:sz w:val="18"/>
                <w:szCs w:val="18"/>
              </w:rPr>
              <w:t xml:space="preserve"> for Sustainable Development</w:t>
            </w:r>
          </w:p>
        </w:tc>
      </w:tr>
      <w:tr w:rsidR="00852F16" w:rsidRPr="003F7F6C" w14:paraId="16176657" w14:textId="77777777" w:rsidTr="002B46DF">
        <w:trPr>
          <w:trHeight w:val="288"/>
        </w:trPr>
        <w:tc>
          <w:tcPr>
            <w:tcW w:w="1384" w:type="dxa"/>
            <w:shd w:val="clear" w:color="auto" w:fill="auto"/>
          </w:tcPr>
          <w:p w14:paraId="1A37D95B" w14:textId="77777777" w:rsidR="00852F16" w:rsidRPr="003F7F6C" w:rsidRDefault="00852F16" w:rsidP="0035759C">
            <w:pPr>
              <w:spacing w:after="0"/>
              <w:rPr>
                <w:rFonts w:eastAsia="Times New Roman" w:cs="Calibri"/>
                <w:sz w:val="18"/>
                <w:szCs w:val="18"/>
                <w:lang w:eastAsia="es-ES_tradnl"/>
              </w:rPr>
            </w:pPr>
            <w:r w:rsidRPr="003F7F6C">
              <w:rPr>
                <w:rFonts w:eastAsia="Times New Roman" w:cs="Calibri"/>
                <w:sz w:val="18"/>
                <w:szCs w:val="18"/>
                <w:lang w:eastAsia="es-ES_tradnl"/>
              </w:rPr>
              <w:t>PA</w:t>
            </w:r>
          </w:p>
        </w:tc>
        <w:tc>
          <w:tcPr>
            <w:tcW w:w="7976" w:type="dxa"/>
            <w:shd w:val="clear" w:color="auto" w:fill="auto"/>
          </w:tcPr>
          <w:p w14:paraId="6B9A3606" w14:textId="77777777" w:rsidR="00852F16" w:rsidRPr="003F7F6C" w:rsidRDefault="00852F16" w:rsidP="0035759C">
            <w:pPr>
              <w:spacing w:after="0"/>
              <w:rPr>
                <w:rFonts w:cs="Calibri"/>
                <w:sz w:val="18"/>
                <w:szCs w:val="18"/>
              </w:rPr>
            </w:pPr>
            <w:r w:rsidRPr="003F7F6C">
              <w:rPr>
                <w:rFonts w:eastAsia="Times New Roman" w:cs="Calibri"/>
                <w:sz w:val="18"/>
                <w:szCs w:val="18"/>
                <w:lang w:eastAsia="es-ES_tradnl"/>
              </w:rPr>
              <w:t xml:space="preserve">Protected Areas </w:t>
            </w:r>
          </w:p>
        </w:tc>
      </w:tr>
      <w:tr w:rsidR="00772A0A" w:rsidRPr="003F7F6C" w14:paraId="0AD893FD" w14:textId="77777777" w:rsidTr="002B46DF">
        <w:trPr>
          <w:trHeight w:val="288"/>
        </w:trPr>
        <w:tc>
          <w:tcPr>
            <w:tcW w:w="1384" w:type="dxa"/>
            <w:shd w:val="clear" w:color="auto" w:fill="auto"/>
          </w:tcPr>
          <w:p w14:paraId="1ABDC949" w14:textId="77777777" w:rsidR="00772A0A" w:rsidRPr="003F7F6C" w:rsidRDefault="00772A0A" w:rsidP="0035759C">
            <w:pPr>
              <w:spacing w:after="0"/>
              <w:rPr>
                <w:rFonts w:cs="Calibri"/>
                <w:color w:val="000000"/>
                <w:sz w:val="18"/>
                <w:szCs w:val="18"/>
              </w:rPr>
            </w:pPr>
            <w:r w:rsidRPr="003F7F6C">
              <w:rPr>
                <w:rFonts w:cs="Calibri"/>
                <w:color w:val="000000"/>
                <w:sz w:val="18"/>
                <w:szCs w:val="18"/>
              </w:rPr>
              <w:t>PB</w:t>
            </w:r>
          </w:p>
        </w:tc>
        <w:tc>
          <w:tcPr>
            <w:tcW w:w="7976" w:type="dxa"/>
            <w:shd w:val="clear" w:color="auto" w:fill="auto"/>
          </w:tcPr>
          <w:p w14:paraId="7DDFB967" w14:textId="77777777" w:rsidR="00772A0A" w:rsidRPr="003F7F6C" w:rsidRDefault="00772A0A" w:rsidP="0035759C">
            <w:pPr>
              <w:spacing w:after="0"/>
              <w:jc w:val="left"/>
              <w:rPr>
                <w:rFonts w:cs="Calibri"/>
                <w:sz w:val="18"/>
                <w:szCs w:val="18"/>
                <w:lang w:eastAsia="es-ES"/>
              </w:rPr>
            </w:pPr>
            <w:r w:rsidRPr="003F7F6C">
              <w:rPr>
                <w:rFonts w:cs="Calibri"/>
                <w:sz w:val="18"/>
                <w:szCs w:val="18"/>
                <w:lang w:eastAsia="es-ES"/>
              </w:rPr>
              <w:t>Project Board</w:t>
            </w:r>
          </w:p>
        </w:tc>
      </w:tr>
      <w:tr w:rsidR="00852F16" w:rsidRPr="003F7F6C" w14:paraId="022A8796" w14:textId="77777777" w:rsidTr="002B46DF">
        <w:trPr>
          <w:trHeight w:val="288"/>
        </w:trPr>
        <w:tc>
          <w:tcPr>
            <w:tcW w:w="1384" w:type="dxa"/>
            <w:shd w:val="clear" w:color="auto" w:fill="auto"/>
          </w:tcPr>
          <w:p w14:paraId="31B21638" w14:textId="77777777" w:rsidR="00852F16" w:rsidRPr="003F7F6C" w:rsidRDefault="00852F16" w:rsidP="0035759C">
            <w:pPr>
              <w:spacing w:after="0"/>
              <w:rPr>
                <w:rFonts w:cs="Calibri"/>
                <w:color w:val="000000"/>
                <w:sz w:val="18"/>
                <w:szCs w:val="18"/>
              </w:rPr>
            </w:pPr>
            <w:r w:rsidRPr="003F7F6C">
              <w:rPr>
                <w:rFonts w:eastAsia="Times New Roman" w:cs="Calibri"/>
                <w:bCs/>
                <w:sz w:val="18"/>
                <w:szCs w:val="18"/>
                <w:lang w:eastAsia="es-ES_tradnl"/>
              </w:rPr>
              <w:t>PES</w:t>
            </w:r>
          </w:p>
        </w:tc>
        <w:tc>
          <w:tcPr>
            <w:tcW w:w="7976" w:type="dxa"/>
            <w:shd w:val="clear" w:color="auto" w:fill="auto"/>
          </w:tcPr>
          <w:p w14:paraId="180B3CDC" w14:textId="77777777" w:rsidR="00852F16" w:rsidRPr="003F7F6C" w:rsidRDefault="00852F16" w:rsidP="0035759C">
            <w:pPr>
              <w:spacing w:after="0"/>
              <w:jc w:val="left"/>
              <w:rPr>
                <w:rFonts w:cs="Calibri"/>
                <w:sz w:val="18"/>
                <w:szCs w:val="18"/>
                <w:lang w:eastAsia="es-ES"/>
              </w:rPr>
            </w:pPr>
            <w:r w:rsidRPr="003F7F6C">
              <w:rPr>
                <w:rFonts w:eastAsia="Times New Roman" w:cs="Calibri"/>
                <w:bCs/>
                <w:sz w:val="18"/>
                <w:szCs w:val="18"/>
                <w:lang w:eastAsia="es-ES_tradnl"/>
              </w:rPr>
              <w:t>Payment for Ecosystem Services</w:t>
            </w:r>
          </w:p>
        </w:tc>
      </w:tr>
      <w:tr w:rsidR="00852F16" w:rsidRPr="003F7F6C" w14:paraId="07BF0366" w14:textId="77777777" w:rsidTr="002B46DF">
        <w:trPr>
          <w:trHeight w:val="288"/>
        </w:trPr>
        <w:tc>
          <w:tcPr>
            <w:tcW w:w="1384" w:type="dxa"/>
            <w:shd w:val="clear" w:color="auto" w:fill="auto"/>
          </w:tcPr>
          <w:p w14:paraId="34A039CB" w14:textId="77777777" w:rsidR="00852F16" w:rsidRPr="003F7F6C" w:rsidRDefault="00852F16" w:rsidP="0035759C">
            <w:pPr>
              <w:spacing w:after="0"/>
              <w:rPr>
                <w:rFonts w:cs="Calibri"/>
                <w:color w:val="000000"/>
                <w:sz w:val="18"/>
                <w:szCs w:val="18"/>
              </w:rPr>
            </w:pPr>
            <w:r w:rsidRPr="003F7F6C">
              <w:rPr>
                <w:rFonts w:cs="Calibri"/>
                <w:sz w:val="18"/>
                <w:szCs w:val="18"/>
              </w:rPr>
              <w:t>PIECAS</w:t>
            </w:r>
          </w:p>
        </w:tc>
        <w:tc>
          <w:tcPr>
            <w:tcW w:w="7976" w:type="dxa"/>
            <w:shd w:val="clear" w:color="auto" w:fill="auto"/>
          </w:tcPr>
          <w:p w14:paraId="01D5F259" w14:textId="77777777" w:rsidR="00852F16" w:rsidRPr="003F7F6C" w:rsidRDefault="00852F16" w:rsidP="0035759C">
            <w:pPr>
              <w:spacing w:after="0"/>
              <w:jc w:val="left"/>
              <w:rPr>
                <w:rFonts w:cs="Calibri"/>
                <w:sz w:val="18"/>
                <w:szCs w:val="18"/>
                <w:lang w:eastAsia="es-ES"/>
              </w:rPr>
            </w:pPr>
            <w:r w:rsidRPr="003F7F6C">
              <w:rPr>
                <w:rFonts w:cs="Calibri"/>
                <w:sz w:val="18"/>
                <w:szCs w:val="18"/>
              </w:rPr>
              <w:t>Strategic Plan for Conservation and Sustainable Use of the Parana River Delta</w:t>
            </w:r>
          </w:p>
        </w:tc>
      </w:tr>
      <w:tr w:rsidR="00772A0A" w:rsidRPr="003F7F6C" w14:paraId="0471FD1C" w14:textId="77777777" w:rsidTr="002B46DF">
        <w:trPr>
          <w:trHeight w:val="288"/>
        </w:trPr>
        <w:tc>
          <w:tcPr>
            <w:tcW w:w="1384" w:type="dxa"/>
            <w:tcBorders>
              <w:bottom w:val="nil"/>
            </w:tcBorders>
            <w:shd w:val="clear" w:color="auto" w:fill="auto"/>
          </w:tcPr>
          <w:p w14:paraId="45F202F9" w14:textId="77777777" w:rsidR="00772A0A" w:rsidRPr="003F7F6C" w:rsidRDefault="00772A0A" w:rsidP="0035759C">
            <w:pPr>
              <w:spacing w:after="0"/>
              <w:rPr>
                <w:rFonts w:cs="Calibri"/>
                <w:sz w:val="18"/>
                <w:szCs w:val="18"/>
              </w:rPr>
            </w:pPr>
            <w:r w:rsidRPr="003F7F6C">
              <w:rPr>
                <w:rFonts w:cs="Calibri"/>
                <w:sz w:val="18"/>
                <w:szCs w:val="18"/>
              </w:rPr>
              <w:t>PIF</w:t>
            </w:r>
          </w:p>
        </w:tc>
        <w:tc>
          <w:tcPr>
            <w:tcW w:w="7976" w:type="dxa"/>
            <w:tcBorders>
              <w:bottom w:val="nil"/>
            </w:tcBorders>
            <w:shd w:val="clear" w:color="auto" w:fill="auto"/>
          </w:tcPr>
          <w:p w14:paraId="7068EDA6" w14:textId="77777777" w:rsidR="00772A0A" w:rsidRPr="003F7F6C" w:rsidRDefault="00772A0A" w:rsidP="0035759C">
            <w:pPr>
              <w:spacing w:after="0"/>
              <w:rPr>
                <w:rFonts w:cs="Calibri"/>
                <w:sz w:val="18"/>
                <w:szCs w:val="18"/>
              </w:rPr>
            </w:pPr>
            <w:r w:rsidRPr="003F7F6C">
              <w:rPr>
                <w:rFonts w:cs="Calibri"/>
                <w:sz w:val="18"/>
                <w:szCs w:val="18"/>
              </w:rPr>
              <w:t>Project Identification Form</w:t>
            </w:r>
          </w:p>
        </w:tc>
      </w:tr>
      <w:tr w:rsidR="00772A0A" w:rsidRPr="003F7F6C" w14:paraId="42101EC3" w14:textId="77777777" w:rsidTr="002B46DF">
        <w:trPr>
          <w:trHeight w:val="288"/>
        </w:trPr>
        <w:tc>
          <w:tcPr>
            <w:tcW w:w="1384" w:type="dxa"/>
            <w:tcBorders>
              <w:bottom w:val="nil"/>
            </w:tcBorders>
            <w:shd w:val="clear" w:color="auto" w:fill="auto"/>
          </w:tcPr>
          <w:p w14:paraId="2407BBC5" w14:textId="77777777" w:rsidR="00772A0A" w:rsidRPr="003F7F6C" w:rsidRDefault="00772A0A" w:rsidP="0035759C">
            <w:pPr>
              <w:spacing w:after="0"/>
              <w:rPr>
                <w:rFonts w:cs="Calibri"/>
                <w:sz w:val="18"/>
                <w:szCs w:val="18"/>
              </w:rPr>
            </w:pPr>
            <w:r w:rsidRPr="003F7F6C">
              <w:rPr>
                <w:rFonts w:cs="Calibri"/>
                <w:sz w:val="18"/>
                <w:szCs w:val="18"/>
              </w:rPr>
              <w:t>PIR</w:t>
            </w:r>
          </w:p>
        </w:tc>
        <w:tc>
          <w:tcPr>
            <w:tcW w:w="7976" w:type="dxa"/>
            <w:tcBorders>
              <w:bottom w:val="nil"/>
            </w:tcBorders>
            <w:shd w:val="clear" w:color="auto" w:fill="auto"/>
          </w:tcPr>
          <w:p w14:paraId="57BB2891" w14:textId="77777777" w:rsidR="00772A0A" w:rsidRPr="003F7F6C" w:rsidRDefault="00772A0A" w:rsidP="0035759C">
            <w:pPr>
              <w:spacing w:after="0"/>
              <w:rPr>
                <w:rFonts w:cs="Calibri"/>
                <w:sz w:val="18"/>
                <w:szCs w:val="18"/>
              </w:rPr>
            </w:pPr>
            <w:r w:rsidRPr="003F7F6C">
              <w:rPr>
                <w:rFonts w:cs="Calibri"/>
                <w:sz w:val="18"/>
                <w:szCs w:val="18"/>
              </w:rPr>
              <w:t>GEF Project Implementation Report</w:t>
            </w:r>
          </w:p>
        </w:tc>
      </w:tr>
      <w:tr w:rsidR="00772A0A" w:rsidRPr="003F7F6C" w14:paraId="4A825056" w14:textId="77777777" w:rsidTr="002B46DF">
        <w:trPr>
          <w:trHeight w:val="288"/>
        </w:trPr>
        <w:tc>
          <w:tcPr>
            <w:tcW w:w="1384" w:type="dxa"/>
            <w:tcBorders>
              <w:bottom w:val="nil"/>
            </w:tcBorders>
            <w:shd w:val="clear" w:color="auto" w:fill="auto"/>
          </w:tcPr>
          <w:p w14:paraId="7F7901BE" w14:textId="77777777" w:rsidR="00772A0A" w:rsidRPr="003F7F6C" w:rsidRDefault="00772A0A" w:rsidP="0035759C">
            <w:pPr>
              <w:spacing w:after="0"/>
              <w:jc w:val="left"/>
              <w:outlineLvl w:val="7"/>
              <w:rPr>
                <w:rFonts w:cs="Calibri"/>
                <w:sz w:val="18"/>
                <w:szCs w:val="18"/>
              </w:rPr>
            </w:pPr>
            <w:r w:rsidRPr="003F7F6C">
              <w:rPr>
                <w:rFonts w:cs="Calibri"/>
                <w:sz w:val="18"/>
                <w:szCs w:val="18"/>
              </w:rPr>
              <w:t>PMU</w:t>
            </w:r>
          </w:p>
        </w:tc>
        <w:tc>
          <w:tcPr>
            <w:tcW w:w="7976" w:type="dxa"/>
            <w:tcBorders>
              <w:bottom w:val="nil"/>
            </w:tcBorders>
            <w:shd w:val="clear" w:color="auto" w:fill="auto"/>
          </w:tcPr>
          <w:p w14:paraId="6044CD3C" w14:textId="77777777" w:rsidR="00772A0A" w:rsidRPr="003F7F6C" w:rsidRDefault="00772A0A" w:rsidP="0035759C">
            <w:pPr>
              <w:spacing w:after="0"/>
              <w:jc w:val="left"/>
              <w:rPr>
                <w:rFonts w:cs="Calibri"/>
                <w:sz w:val="18"/>
                <w:szCs w:val="18"/>
              </w:rPr>
            </w:pPr>
            <w:r w:rsidRPr="003F7F6C">
              <w:rPr>
                <w:rFonts w:cs="Calibri"/>
                <w:sz w:val="18"/>
                <w:szCs w:val="18"/>
              </w:rPr>
              <w:t>Project Management Unit</w:t>
            </w:r>
          </w:p>
        </w:tc>
      </w:tr>
      <w:tr w:rsidR="00772A0A" w:rsidRPr="003F7F6C" w14:paraId="26DFE5F9" w14:textId="77777777" w:rsidTr="002B46DF">
        <w:trPr>
          <w:trHeight w:val="288"/>
        </w:trPr>
        <w:tc>
          <w:tcPr>
            <w:tcW w:w="1384" w:type="dxa"/>
            <w:tcBorders>
              <w:bottom w:val="nil"/>
            </w:tcBorders>
            <w:shd w:val="clear" w:color="auto" w:fill="auto"/>
          </w:tcPr>
          <w:p w14:paraId="0450CF68" w14:textId="77777777" w:rsidR="00772A0A" w:rsidRPr="003F7F6C" w:rsidRDefault="00772A0A" w:rsidP="0035759C">
            <w:pPr>
              <w:spacing w:after="0"/>
              <w:rPr>
                <w:rFonts w:cs="Calibri"/>
                <w:sz w:val="18"/>
                <w:szCs w:val="18"/>
              </w:rPr>
            </w:pPr>
            <w:r w:rsidRPr="003F7F6C">
              <w:rPr>
                <w:rFonts w:cs="Calibri"/>
                <w:sz w:val="18"/>
                <w:szCs w:val="18"/>
              </w:rPr>
              <w:t>POPP</w:t>
            </w:r>
          </w:p>
        </w:tc>
        <w:tc>
          <w:tcPr>
            <w:tcW w:w="7976" w:type="dxa"/>
            <w:tcBorders>
              <w:bottom w:val="nil"/>
            </w:tcBorders>
            <w:shd w:val="clear" w:color="auto" w:fill="auto"/>
          </w:tcPr>
          <w:p w14:paraId="2B318C4B" w14:textId="77777777" w:rsidR="00772A0A" w:rsidRPr="003F7F6C" w:rsidRDefault="00772A0A" w:rsidP="0035759C">
            <w:pPr>
              <w:spacing w:after="0"/>
              <w:rPr>
                <w:rFonts w:cs="Calibri"/>
                <w:sz w:val="18"/>
                <w:szCs w:val="18"/>
              </w:rPr>
            </w:pPr>
            <w:r w:rsidRPr="003F7F6C">
              <w:rPr>
                <w:rFonts w:cs="Calibri"/>
                <w:sz w:val="18"/>
                <w:szCs w:val="18"/>
              </w:rPr>
              <w:t>Programme and Operations Policies and Procedures</w:t>
            </w:r>
          </w:p>
        </w:tc>
      </w:tr>
      <w:tr w:rsidR="00772A0A" w:rsidRPr="003F7F6C" w14:paraId="306D57B2" w14:textId="77777777" w:rsidTr="002B46DF">
        <w:trPr>
          <w:trHeight w:val="288"/>
        </w:trPr>
        <w:tc>
          <w:tcPr>
            <w:tcW w:w="1384" w:type="dxa"/>
            <w:tcBorders>
              <w:bottom w:val="nil"/>
            </w:tcBorders>
            <w:shd w:val="clear" w:color="auto" w:fill="auto"/>
          </w:tcPr>
          <w:p w14:paraId="76865B4B" w14:textId="77777777" w:rsidR="00772A0A" w:rsidRPr="003F7F6C" w:rsidRDefault="00772A0A" w:rsidP="0035759C">
            <w:pPr>
              <w:spacing w:after="0"/>
              <w:rPr>
                <w:rFonts w:cs="Calibri"/>
                <w:sz w:val="18"/>
                <w:szCs w:val="18"/>
              </w:rPr>
            </w:pPr>
            <w:r w:rsidRPr="003F7F6C">
              <w:rPr>
                <w:rFonts w:cs="Calibri"/>
                <w:sz w:val="18"/>
                <w:szCs w:val="18"/>
              </w:rPr>
              <w:t>PPG</w:t>
            </w:r>
          </w:p>
        </w:tc>
        <w:tc>
          <w:tcPr>
            <w:tcW w:w="7976" w:type="dxa"/>
            <w:tcBorders>
              <w:bottom w:val="nil"/>
            </w:tcBorders>
            <w:shd w:val="clear" w:color="auto" w:fill="auto"/>
          </w:tcPr>
          <w:p w14:paraId="1B694449" w14:textId="77777777" w:rsidR="00772A0A" w:rsidRPr="003F7F6C" w:rsidRDefault="00772A0A" w:rsidP="0035759C">
            <w:pPr>
              <w:spacing w:after="0"/>
              <w:rPr>
                <w:rFonts w:cs="Calibri"/>
                <w:sz w:val="18"/>
                <w:szCs w:val="18"/>
              </w:rPr>
            </w:pPr>
            <w:r w:rsidRPr="003F7F6C">
              <w:rPr>
                <w:rFonts w:cs="Calibri"/>
                <w:sz w:val="18"/>
                <w:szCs w:val="18"/>
              </w:rPr>
              <w:t>Project Preparation Grant</w:t>
            </w:r>
          </w:p>
        </w:tc>
      </w:tr>
      <w:tr w:rsidR="000F5711" w:rsidRPr="003F7F6C" w14:paraId="230AEAD9" w14:textId="77777777" w:rsidTr="002B46DF">
        <w:trPr>
          <w:trHeight w:val="288"/>
        </w:trPr>
        <w:tc>
          <w:tcPr>
            <w:tcW w:w="1384" w:type="dxa"/>
            <w:tcBorders>
              <w:bottom w:val="nil"/>
            </w:tcBorders>
            <w:shd w:val="clear" w:color="auto" w:fill="auto"/>
          </w:tcPr>
          <w:p w14:paraId="6DCA23D3" w14:textId="77777777" w:rsidR="000F5711" w:rsidRPr="003F7F6C" w:rsidRDefault="000F5711" w:rsidP="0035759C">
            <w:pPr>
              <w:spacing w:after="0"/>
              <w:rPr>
                <w:rFonts w:cs="Calibri"/>
                <w:sz w:val="18"/>
                <w:szCs w:val="18"/>
              </w:rPr>
            </w:pPr>
            <w:r w:rsidRPr="003F7F6C">
              <w:rPr>
                <w:rFonts w:cs="Calibri"/>
                <w:bCs/>
                <w:sz w:val="18"/>
                <w:szCs w:val="18"/>
              </w:rPr>
              <w:t>PROCODAS</w:t>
            </w:r>
          </w:p>
        </w:tc>
        <w:tc>
          <w:tcPr>
            <w:tcW w:w="7976" w:type="dxa"/>
            <w:tcBorders>
              <w:bottom w:val="nil"/>
            </w:tcBorders>
            <w:shd w:val="clear" w:color="auto" w:fill="auto"/>
          </w:tcPr>
          <w:p w14:paraId="7ECD3F86" w14:textId="77777777" w:rsidR="000F5711" w:rsidRPr="003F7F6C" w:rsidRDefault="000F5711" w:rsidP="0035759C">
            <w:pPr>
              <w:spacing w:after="0"/>
              <w:rPr>
                <w:rFonts w:cs="Calibri"/>
                <w:sz w:val="18"/>
                <w:szCs w:val="18"/>
              </w:rPr>
            </w:pPr>
            <w:r w:rsidRPr="003F7F6C">
              <w:rPr>
                <w:rFonts w:cs="Calibri"/>
                <w:bCs/>
                <w:sz w:val="18"/>
                <w:szCs w:val="18"/>
              </w:rPr>
              <w:t>Social Actors Demand Council Program</w:t>
            </w:r>
          </w:p>
        </w:tc>
      </w:tr>
      <w:tr w:rsidR="000F5711" w:rsidRPr="003F7F6C" w14:paraId="2EBA89A0" w14:textId="77777777" w:rsidTr="002B46DF">
        <w:trPr>
          <w:trHeight w:val="288"/>
        </w:trPr>
        <w:tc>
          <w:tcPr>
            <w:tcW w:w="1384" w:type="dxa"/>
            <w:tcBorders>
              <w:bottom w:val="nil"/>
            </w:tcBorders>
            <w:shd w:val="clear" w:color="auto" w:fill="auto"/>
          </w:tcPr>
          <w:p w14:paraId="74E04159" w14:textId="77777777" w:rsidR="000F5711" w:rsidRPr="003F7F6C" w:rsidRDefault="000F5711" w:rsidP="0035759C">
            <w:pPr>
              <w:spacing w:after="0"/>
              <w:rPr>
                <w:rFonts w:cs="Calibri"/>
                <w:sz w:val="18"/>
                <w:szCs w:val="18"/>
              </w:rPr>
            </w:pPr>
            <w:r w:rsidRPr="003F7F6C">
              <w:rPr>
                <w:rFonts w:cs="Calibri"/>
                <w:bCs/>
                <w:sz w:val="18"/>
                <w:szCs w:val="18"/>
              </w:rPr>
              <w:t>PRODEAR</w:t>
            </w:r>
          </w:p>
        </w:tc>
        <w:tc>
          <w:tcPr>
            <w:tcW w:w="7976" w:type="dxa"/>
            <w:tcBorders>
              <w:bottom w:val="nil"/>
            </w:tcBorders>
            <w:shd w:val="clear" w:color="auto" w:fill="auto"/>
          </w:tcPr>
          <w:p w14:paraId="5A37EE37" w14:textId="77777777" w:rsidR="000F5711" w:rsidRPr="003F7F6C" w:rsidRDefault="000F5711" w:rsidP="0035759C">
            <w:pPr>
              <w:spacing w:after="0"/>
              <w:rPr>
                <w:rFonts w:cs="Calibri"/>
                <w:sz w:val="18"/>
                <w:szCs w:val="18"/>
              </w:rPr>
            </w:pPr>
            <w:r w:rsidRPr="003F7F6C">
              <w:rPr>
                <w:rFonts w:cs="Calibri"/>
                <w:bCs/>
                <w:sz w:val="18"/>
                <w:szCs w:val="18"/>
              </w:rPr>
              <w:t>Rural Area Development Program</w:t>
            </w:r>
          </w:p>
        </w:tc>
      </w:tr>
      <w:tr w:rsidR="0068605B" w:rsidRPr="003F7F6C" w14:paraId="0202855A" w14:textId="77777777" w:rsidTr="002B46DF">
        <w:trPr>
          <w:trHeight w:val="288"/>
        </w:trPr>
        <w:tc>
          <w:tcPr>
            <w:tcW w:w="1384" w:type="dxa"/>
            <w:tcBorders>
              <w:bottom w:val="nil"/>
            </w:tcBorders>
            <w:shd w:val="clear" w:color="auto" w:fill="auto"/>
          </w:tcPr>
          <w:p w14:paraId="453E8A34" w14:textId="77777777" w:rsidR="0068605B" w:rsidRPr="003F7F6C" w:rsidRDefault="0068605B" w:rsidP="0035759C">
            <w:pPr>
              <w:spacing w:after="0"/>
              <w:rPr>
                <w:rFonts w:cs="Calibri"/>
                <w:bCs/>
                <w:sz w:val="18"/>
                <w:szCs w:val="18"/>
              </w:rPr>
            </w:pPr>
            <w:r w:rsidRPr="003F7F6C">
              <w:rPr>
                <w:rFonts w:cs="Calibri"/>
                <w:sz w:val="18"/>
                <w:szCs w:val="18"/>
              </w:rPr>
              <w:t>PRODECCA</w:t>
            </w:r>
          </w:p>
        </w:tc>
        <w:tc>
          <w:tcPr>
            <w:tcW w:w="7976" w:type="dxa"/>
            <w:tcBorders>
              <w:bottom w:val="nil"/>
            </w:tcBorders>
            <w:shd w:val="clear" w:color="auto" w:fill="auto"/>
          </w:tcPr>
          <w:p w14:paraId="0B48C6E2" w14:textId="77777777" w:rsidR="0068605B" w:rsidRPr="003F7F6C" w:rsidRDefault="0068605B" w:rsidP="0035759C">
            <w:pPr>
              <w:spacing w:after="0"/>
              <w:rPr>
                <w:rFonts w:cs="Calibri"/>
                <w:bCs/>
                <w:sz w:val="18"/>
                <w:szCs w:val="18"/>
              </w:rPr>
            </w:pPr>
            <w:r w:rsidRPr="003F7F6C">
              <w:rPr>
                <w:rFonts w:cs="Calibri"/>
                <w:sz w:val="18"/>
                <w:szCs w:val="18"/>
              </w:rPr>
              <w:t>Goat Value Chain Development Program</w:t>
            </w:r>
          </w:p>
        </w:tc>
      </w:tr>
      <w:tr w:rsidR="00486E7F" w:rsidRPr="003F7F6C" w14:paraId="68D5901B" w14:textId="77777777" w:rsidTr="002B46DF">
        <w:trPr>
          <w:trHeight w:val="288"/>
        </w:trPr>
        <w:tc>
          <w:tcPr>
            <w:tcW w:w="1384" w:type="dxa"/>
            <w:tcBorders>
              <w:bottom w:val="nil"/>
            </w:tcBorders>
            <w:shd w:val="clear" w:color="auto" w:fill="auto"/>
          </w:tcPr>
          <w:p w14:paraId="35C2787B" w14:textId="77777777" w:rsidR="00486E7F" w:rsidRPr="003F7F6C" w:rsidRDefault="000F5711" w:rsidP="0035759C">
            <w:pPr>
              <w:spacing w:after="0"/>
              <w:rPr>
                <w:rFonts w:eastAsia="Times New Roman" w:cs="Calibri"/>
                <w:sz w:val="18"/>
                <w:szCs w:val="18"/>
                <w:lang w:eastAsia="es-ES_tradnl"/>
              </w:rPr>
            </w:pPr>
            <w:r w:rsidRPr="003F7F6C">
              <w:rPr>
                <w:rFonts w:cs="Calibri"/>
                <w:bCs/>
                <w:sz w:val="18"/>
                <w:szCs w:val="18"/>
              </w:rPr>
              <w:t>PRODERI</w:t>
            </w:r>
          </w:p>
        </w:tc>
        <w:tc>
          <w:tcPr>
            <w:tcW w:w="7976" w:type="dxa"/>
            <w:tcBorders>
              <w:bottom w:val="nil"/>
            </w:tcBorders>
            <w:shd w:val="clear" w:color="auto" w:fill="auto"/>
          </w:tcPr>
          <w:p w14:paraId="0094D5AA" w14:textId="77777777" w:rsidR="00486E7F" w:rsidRPr="003F7F6C" w:rsidRDefault="000F5711" w:rsidP="0035759C">
            <w:pPr>
              <w:spacing w:after="0"/>
              <w:rPr>
                <w:rFonts w:cs="Calibri"/>
                <w:sz w:val="18"/>
                <w:szCs w:val="18"/>
              </w:rPr>
            </w:pPr>
            <w:r w:rsidRPr="003F7F6C">
              <w:rPr>
                <w:rFonts w:cs="Calibri"/>
                <w:bCs/>
                <w:sz w:val="18"/>
                <w:szCs w:val="18"/>
              </w:rPr>
              <w:t>Inclusive Rural Development Program</w:t>
            </w:r>
          </w:p>
        </w:tc>
      </w:tr>
      <w:tr w:rsidR="000F5711" w:rsidRPr="003F7F6C" w14:paraId="1917840F" w14:textId="77777777" w:rsidTr="002B46DF">
        <w:trPr>
          <w:trHeight w:val="288"/>
        </w:trPr>
        <w:tc>
          <w:tcPr>
            <w:tcW w:w="1384" w:type="dxa"/>
            <w:tcBorders>
              <w:bottom w:val="nil"/>
            </w:tcBorders>
            <w:shd w:val="clear" w:color="auto" w:fill="auto"/>
          </w:tcPr>
          <w:p w14:paraId="6406423C" w14:textId="77777777" w:rsidR="000F5711" w:rsidRPr="003F7F6C" w:rsidRDefault="000F5711" w:rsidP="0035759C">
            <w:pPr>
              <w:spacing w:after="0"/>
              <w:rPr>
                <w:rFonts w:cs="Calibri"/>
                <w:bCs/>
                <w:sz w:val="18"/>
                <w:szCs w:val="18"/>
              </w:rPr>
            </w:pPr>
            <w:r w:rsidRPr="003F7F6C">
              <w:rPr>
                <w:rFonts w:cs="Calibri"/>
                <w:bCs/>
                <w:sz w:val="18"/>
                <w:szCs w:val="18"/>
              </w:rPr>
              <w:t>PROSAP</w:t>
            </w:r>
          </w:p>
        </w:tc>
        <w:tc>
          <w:tcPr>
            <w:tcW w:w="7976" w:type="dxa"/>
            <w:tcBorders>
              <w:bottom w:val="nil"/>
            </w:tcBorders>
            <w:shd w:val="clear" w:color="auto" w:fill="auto"/>
          </w:tcPr>
          <w:p w14:paraId="5F27E8B6" w14:textId="77777777" w:rsidR="000F5711" w:rsidRPr="003F7F6C" w:rsidRDefault="000F5711" w:rsidP="0035759C">
            <w:pPr>
              <w:spacing w:after="0"/>
              <w:rPr>
                <w:rFonts w:cs="Calibri"/>
                <w:sz w:val="18"/>
                <w:szCs w:val="18"/>
              </w:rPr>
            </w:pPr>
            <w:r w:rsidRPr="003F7F6C">
              <w:rPr>
                <w:rFonts w:cs="Calibri"/>
                <w:bCs/>
                <w:sz w:val="18"/>
                <w:szCs w:val="18"/>
              </w:rPr>
              <w:t>Provincial Agricultural Services Program</w:t>
            </w:r>
          </w:p>
        </w:tc>
      </w:tr>
      <w:tr w:rsidR="000F5711" w:rsidRPr="003F7F6C" w14:paraId="1C92276D" w14:textId="77777777" w:rsidTr="002B46DF">
        <w:trPr>
          <w:trHeight w:val="288"/>
        </w:trPr>
        <w:tc>
          <w:tcPr>
            <w:tcW w:w="1384" w:type="dxa"/>
            <w:tcBorders>
              <w:bottom w:val="nil"/>
            </w:tcBorders>
            <w:shd w:val="clear" w:color="auto" w:fill="auto"/>
          </w:tcPr>
          <w:p w14:paraId="3631E32E" w14:textId="77777777" w:rsidR="000F5711" w:rsidRPr="003F7F6C" w:rsidRDefault="0068605B" w:rsidP="0035759C">
            <w:pPr>
              <w:spacing w:after="0"/>
              <w:rPr>
                <w:rFonts w:cs="Calibri"/>
                <w:bCs/>
                <w:sz w:val="18"/>
                <w:szCs w:val="18"/>
              </w:rPr>
            </w:pPr>
            <w:r w:rsidRPr="003F7F6C">
              <w:rPr>
                <w:rFonts w:cs="Calibri"/>
                <w:bCs/>
                <w:sz w:val="18"/>
                <w:szCs w:val="18"/>
              </w:rPr>
              <w:t>PT</w:t>
            </w:r>
          </w:p>
        </w:tc>
        <w:tc>
          <w:tcPr>
            <w:tcW w:w="7976" w:type="dxa"/>
            <w:tcBorders>
              <w:bottom w:val="nil"/>
            </w:tcBorders>
            <w:shd w:val="clear" w:color="auto" w:fill="auto"/>
          </w:tcPr>
          <w:p w14:paraId="32E52A3D" w14:textId="77777777" w:rsidR="000F5711" w:rsidRPr="003F7F6C" w:rsidRDefault="0068605B" w:rsidP="0035759C">
            <w:pPr>
              <w:spacing w:after="0"/>
              <w:rPr>
                <w:rFonts w:cs="Calibri"/>
                <w:sz w:val="18"/>
                <w:szCs w:val="18"/>
              </w:rPr>
            </w:pPr>
            <w:r w:rsidRPr="003F7F6C">
              <w:rPr>
                <w:rFonts w:cs="Calibri"/>
                <w:bCs/>
                <w:sz w:val="18"/>
                <w:szCs w:val="18"/>
              </w:rPr>
              <w:t>Project Technical Team</w:t>
            </w:r>
          </w:p>
        </w:tc>
      </w:tr>
      <w:tr w:rsidR="00852F16" w:rsidRPr="003F7F6C" w14:paraId="2D41B918" w14:textId="77777777" w:rsidTr="002B46DF">
        <w:trPr>
          <w:trHeight w:val="288"/>
        </w:trPr>
        <w:tc>
          <w:tcPr>
            <w:tcW w:w="1384" w:type="dxa"/>
            <w:tcBorders>
              <w:bottom w:val="nil"/>
            </w:tcBorders>
            <w:shd w:val="clear" w:color="auto" w:fill="auto"/>
          </w:tcPr>
          <w:p w14:paraId="2DFF3C18" w14:textId="77777777" w:rsidR="00852F16" w:rsidRPr="003F7F6C" w:rsidRDefault="00852F16" w:rsidP="0035759C">
            <w:pPr>
              <w:spacing w:after="0"/>
              <w:rPr>
                <w:rFonts w:eastAsia="Times New Roman" w:cs="Calibri"/>
                <w:sz w:val="18"/>
                <w:szCs w:val="18"/>
                <w:lang w:eastAsia="es-ES_tradnl"/>
              </w:rPr>
            </w:pPr>
            <w:r w:rsidRPr="003F7F6C">
              <w:rPr>
                <w:rFonts w:cs="Calibri"/>
                <w:color w:val="212121"/>
                <w:sz w:val="18"/>
                <w:szCs w:val="18"/>
                <w:lang w:val="en"/>
              </w:rPr>
              <w:t>PY</w:t>
            </w:r>
          </w:p>
        </w:tc>
        <w:tc>
          <w:tcPr>
            <w:tcW w:w="7976" w:type="dxa"/>
            <w:tcBorders>
              <w:bottom w:val="nil"/>
            </w:tcBorders>
            <w:shd w:val="clear" w:color="auto" w:fill="auto"/>
          </w:tcPr>
          <w:p w14:paraId="33B120BD" w14:textId="77777777" w:rsidR="00852F16" w:rsidRPr="003F7F6C" w:rsidRDefault="00852F16" w:rsidP="0035759C">
            <w:pPr>
              <w:spacing w:after="0"/>
              <w:rPr>
                <w:rFonts w:eastAsia="Times New Roman" w:cs="Calibri"/>
                <w:sz w:val="18"/>
                <w:szCs w:val="18"/>
                <w:lang w:eastAsia="es-ES_tradnl"/>
              </w:rPr>
            </w:pPr>
            <w:r w:rsidRPr="003F7F6C">
              <w:rPr>
                <w:rFonts w:cs="Calibri"/>
                <w:color w:val="212121"/>
                <w:sz w:val="18"/>
                <w:szCs w:val="18"/>
                <w:lang w:val="en"/>
              </w:rPr>
              <w:t>Project Year</w:t>
            </w:r>
          </w:p>
        </w:tc>
      </w:tr>
      <w:tr w:rsidR="00852F16" w:rsidRPr="003F7F6C" w14:paraId="57851595" w14:textId="77777777" w:rsidTr="002B46DF">
        <w:trPr>
          <w:trHeight w:val="288"/>
        </w:trPr>
        <w:tc>
          <w:tcPr>
            <w:tcW w:w="1384" w:type="dxa"/>
            <w:tcBorders>
              <w:bottom w:val="nil"/>
            </w:tcBorders>
            <w:shd w:val="clear" w:color="auto" w:fill="auto"/>
          </w:tcPr>
          <w:p w14:paraId="4D669DAB" w14:textId="77777777" w:rsidR="00852F16" w:rsidRPr="003F7F6C" w:rsidRDefault="00852F16" w:rsidP="0035759C">
            <w:pPr>
              <w:spacing w:after="0"/>
              <w:rPr>
                <w:rFonts w:eastAsia="Times New Roman" w:cs="Calibri"/>
                <w:sz w:val="18"/>
                <w:szCs w:val="18"/>
                <w:lang w:eastAsia="es-ES_tradnl"/>
              </w:rPr>
            </w:pPr>
            <w:r w:rsidRPr="003F7F6C">
              <w:rPr>
                <w:rFonts w:cs="Calibri"/>
                <w:sz w:val="18"/>
                <w:szCs w:val="18"/>
              </w:rPr>
              <w:t>SAOT</w:t>
            </w:r>
          </w:p>
        </w:tc>
        <w:tc>
          <w:tcPr>
            <w:tcW w:w="7976" w:type="dxa"/>
            <w:tcBorders>
              <w:bottom w:val="nil"/>
            </w:tcBorders>
            <w:shd w:val="clear" w:color="auto" w:fill="auto"/>
          </w:tcPr>
          <w:p w14:paraId="74BB7BB0" w14:textId="77777777" w:rsidR="00852F16" w:rsidRPr="003F7F6C" w:rsidRDefault="00852F16" w:rsidP="0035759C">
            <w:pPr>
              <w:spacing w:after="0"/>
              <w:rPr>
                <w:rFonts w:eastAsia="Times New Roman" w:cs="Calibri"/>
                <w:sz w:val="18"/>
                <w:szCs w:val="18"/>
                <w:lang w:eastAsia="es-ES_tradnl"/>
              </w:rPr>
            </w:pPr>
            <w:r w:rsidRPr="003F7F6C">
              <w:rPr>
                <w:rFonts w:cs="Calibri"/>
                <w:sz w:val="18"/>
                <w:szCs w:val="18"/>
              </w:rPr>
              <w:t>Secretariat for Environment and Land Use Planning</w:t>
            </w:r>
          </w:p>
        </w:tc>
      </w:tr>
      <w:tr w:rsidR="00772A0A" w:rsidRPr="003F7F6C" w14:paraId="343002A2" w14:textId="77777777" w:rsidTr="002B46DF">
        <w:trPr>
          <w:trHeight w:val="288"/>
        </w:trPr>
        <w:tc>
          <w:tcPr>
            <w:tcW w:w="1384" w:type="dxa"/>
            <w:tcBorders>
              <w:bottom w:val="nil"/>
            </w:tcBorders>
            <w:shd w:val="clear" w:color="auto" w:fill="auto"/>
          </w:tcPr>
          <w:p w14:paraId="2799DEB4" w14:textId="77777777" w:rsidR="00772A0A" w:rsidRPr="003F7F6C" w:rsidRDefault="00772A0A" w:rsidP="0035759C">
            <w:pPr>
              <w:spacing w:after="0"/>
              <w:rPr>
                <w:rFonts w:cs="Calibri"/>
                <w:color w:val="000000"/>
                <w:sz w:val="18"/>
                <w:szCs w:val="18"/>
              </w:rPr>
            </w:pPr>
            <w:r w:rsidRPr="003F7F6C">
              <w:rPr>
                <w:rFonts w:cs="Calibri"/>
                <w:color w:val="000000"/>
                <w:sz w:val="18"/>
                <w:szCs w:val="18"/>
              </w:rPr>
              <w:t>SBAA</w:t>
            </w:r>
            <w:r w:rsidRPr="003F7F6C">
              <w:rPr>
                <w:rFonts w:cs="Calibri"/>
                <w:color w:val="000000"/>
                <w:sz w:val="18"/>
                <w:szCs w:val="18"/>
              </w:rPr>
              <w:tab/>
            </w:r>
          </w:p>
        </w:tc>
        <w:tc>
          <w:tcPr>
            <w:tcW w:w="7976" w:type="dxa"/>
            <w:tcBorders>
              <w:bottom w:val="nil"/>
            </w:tcBorders>
            <w:shd w:val="clear" w:color="auto" w:fill="auto"/>
          </w:tcPr>
          <w:p w14:paraId="5501769B" w14:textId="77777777" w:rsidR="00772A0A" w:rsidRPr="003F7F6C" w:rsidRDefault="00772A0A" w:rsidP="0035759C">
            <w:pPr>
              <w:spacing w:after="0"/>
              <w:rPr>
                <w:rFonts w:cs="Calibri"/>
                <w:sz w:val="18"/>
                <w:szCs w:val="18"/>
              </w:rPr>
            </w:pPr>
            <w:r w:rsidRPr="003F7F6C">
              <w:rPr>
                <w:rFonts w:cs="Calibri"/>
                <w:sz w:val="18"/>
                <w:szCs w:val="18"/>
                <w:shd w:val="clear" w:color="auto" w:fill="FFFFFF"/>
              </w:rPr>
              <w:t>Standard Basic Assistance Agreement</w:t>
            </w:r>
          </w:p>
        </w:tc>
      </w:tr>
      <w:tr w:rsidR="00772A0A" w:rsidRPr="003F7F6C" w14:paraId="033192F4" w14:textId="77777777" w:rsidTr="002B46DF">
        <w:trPr>
          <w:trHeight w:val="288"/>
        </w:trPr>
        <w:tc>
          <w:tcPr>
            <w:tcW w:w="1384" w:type="dxa"/>
            <w:tcBorders>
              <w:bottom w:val="nil"/>
            </w:tcBorders>
            <w:shd w:val="clear" w:color="auto" w:fill="auto"/>
          </w:tcPr>
          <w:p w14:paraId="30E1D107" w14:textId="77777777" w:rsidR="00772A0A" w:rsidRPr="003F7F6C" w:rsidRDefault="00772A0A" w:rsidP="0035759C">
            <w:pPr>
              <w:spacing w:after="0"/>
              <w:rPr>
                <w:rFonts w:cs="Calibri"/>
                <w:color w:val="000000"/>
                <w:sz w:val="18"/>
                <w:szCs w:val="18"/>
              </w:rPr>
            </w:pPr>
            <w:r w:rsidRPr="003F7F6C">
              <w:rPr>
                <w:rFonts w:cs="Calibri"/>
                <w:color w:val="000000"/>
                <w:sz w:val="18"/>
                <w:szCs w:val="18"/>
              </w:rPr>
              <w:t>SDG</w:t>
            </w:r>
          </w:p>
        </w:tc>
        <w:tc>
          <w:tcPr>
            <w:tcW w:w="7976" w:type="dxa"/>
            <w:tcBorders>
              <w:bottom w:val="nil"/>
            </w:tcBorders>
            <w:shd w:val="clear" w:color="auto" w:fill="auto"/>
          </w:tcPr>
          <w:p w14:paraId="621CBAA7" w14:textId="77777777" w:rsidR="00772A0A" w:rsidRPr="003F7F6C" w:rsidRDefault="00772A0A" w:rsidP="0035759C">
            <w:pPr>
              <w:spacing w:after="0"/>
              <w:rPr>
                <w:rFonts w:cs="Calibri"/>
                <w:sz w:val="18"/>
                <w:szCs w:val="18"/>
                <w:shd w:val="clear" w:color="auto" w:fill="FFFFFF"/>
              </w:rPr>
            </w:pPr>
            <w:r w:rsidRPr="003F7F6C">
              <w:rPr>
                <w:rFonts w:cs="Calibri"/>
                <w:sz w:val="18"/>
                <w:szCs w:val="18"/>
                <w:shd w:val="clear" w:color="auto" w:fill="FFFFFF"/>
              </w:rPr>
              <w:t>Sustainable Development Goals</w:t>
            </w:r>
          </w:p>
        </w:tc>
      </w:tr>
      <w:tr w:rsidR="0068605B" w:rsidRPr="003F7F6C" w14:paraId="14D3C6F1" w14:textId="77777777" w:rsidTr="002B46DF">
        <w:trPr>
          <w:trHeight w:val="288"/>
        </w:trPr>
        <w:tc>
          <w:tcPr>
            <w:tcW w:w="1384" w:type="dxa"/>
            <w:tcBorders>
              <w:bottom w:val="nil"/>
            </w:tcBorders>
            <w:shd w:val="clear" w:color="auto" w:fill="auto"/>
          </w:tcPr>
          <w:p w14:paraId="1FDF5EE7" w14:textId="77777777" w:rsidR="0068605B" w:rsidRPr="003F7F6C" w:rsidRDefault="0068605B" w:rsidP="0035759C">
            <w:pPr>
              <w:spacing w:after="0"/>
              <w:rPr>
                <w:rFonts w:cs="Calibri"/>
                <w:color w:val="000000"/>
                <w:sz w:val="18"/>
                <w:szCs w:val="18"/>
              </w:rPr>
            </w:pPr>
            <w:r w:rsidRPr="003F7F6C">
              <w:rPr>
                <w:rFonts w:eastAsia="Times New Roman" w:cs="Calibri"/>
                <w:color w:val="000000"/>
                <w:sz w:val="18"/>
                <w:szCs w:val="18"/>
                <w:lang w:eastAsia="es-AR"/>
              </w:rPr>
              <w:t>SEM-OAT</w:t>
            </w:r>
          </w:p>
        </w:tc>
        <w:tc>
          <w:tcPr>
            <w:tcW w:w="7976" w:type="dxa"/>
            <w:tcBorders>
              <w:bottom w:val="nil"/>
            </w:tcBorders>
            <w:shd w:val="clear" w:color="auto" w:fill="auto"/>
          </w:tcPr>
          <w:p w14:paraId="5748899A" w14:textId="77777777" w:rsidR="0068605B" w:rsidRPr="003F7F6C" w:rsidRDefault="0068605B" w:rsidP="0035759C">
            <w:pPr>
              <w:spacing w:after="0"/>
              <w:rPr>
                <w:rFonts w:cs="Calibri"/>
                <w:sz w:val="18"/>
                <w:szCs w:val="18"/>
                <w:shd w:val="clear" w:color="auto" w:fill="FFFFFF"/>
              </w:rPr>
            </w:pPr>
            <w:r w:rsidRPr="003F7F6C">
              <w:rPr>
                <w:rFonts w:eastAsia="Times New Roman" w:cs="Calibri"/>
                <w:color w:val="000000"/>
                <w:sz w:val="18"/>
                <w:szCs w:val="18"/>
                <w:lang w:eastAsia="es-AR"/>
              </w:rPr>
              <w:t>System to Evaluate and Monitor ELUP Implementation in Argentina</w:t>
            </w:r>
          </w:p>
        </w:tc>
      </w:tr>
      <w:tr w:rsidR="00772A0A" w:rsidRPr="003F7F6C" w14:paraId="60D80812" w14:textId="77777777" w:rsidTr="002B46DF">
        <w:trPr>
          <w:trHeight w:val="288"/>
        </w:trPr>
        <w:tc>
          <w:tcPr>
            <w:tcW w:w="1384" w:type="dxa"/>
            <w:tcBorders>
              <w:bottom w:val="nil"/>
            </w:tcBorders>
            <w:shd w:val="clear" w:color="auto" w:fill="auto"/>
          </w:tcPr>
          <w:p w14:paraId="1B83D7E8" w14:textId="77777777" w:rsidR="00772A0A" w:rsidRPr="003F7F6C" w:rsidRDefault="00772A0A" w:rsidP="0035759C">
            <w:pPr>
              <w:spacing w:after="0"/>
              <w:rPr>
                <w:rFonts w:cs="Calibri"/>
                <w:sz w:val="18"/>
                <w:szCs w:val="18"/>
              </w:rPr>
            </w:pPr>
            <w:r w:rsidRPr="003F7F6C">
              <w:rPr>
                <w:rFonts w:cs="Calibri"/>
                <w:color w:val="000000"/>
                <w:sz w:val="18"/>
                <w:szCs w:val="18"/>
              </w:rPr>
              <w:t>SESP</w:t>
            </w:r>
          </w:p>
        </w:tc>
        <w:tc>
          <w:tcPr>
            <w:tcW w:w="7976" w:type="dxa"/>
            <w:tcBorders>
              <w:bottom w:val="nil"/>
            </w:tcBorders>
            <w:shd w:val="clear" w:color="auto" w:fill="auto"/>
          </w:tcPr>
          <w:p w14:paraId="2BFE9648" w14:textId="77777777" w:rsidR="00772A0A" w:rsidRPr="003F7F6C" w:rsidRDefault="00772A0A" w:rsidP="0035759C">
            <w:pPr>
              <w:spacing w:after="0"/>
              <w:rPr>
                <w:rFonts w:cs="Calibri"/>
                <w:sz w:val="18"/>
                <w:szCs w:val="18"/>
              </w:rPr>
            </w:pPr>
            <w:r w:rsidRPr="003F7F6C">
              <w:rPr>
                <w:rFonts w:cs="Calibri"/>
                <w:sz w:val="18"/>
                <w:szCs w:val="18"/>
              </w:rPr>
              <w:t>Social and Environmental Screening Procedure</w:t>
            </w:r>
          </w:p>
        </w:tc>
      </w:tr>
      <w:tr w:rsidR="00C667D3" w:rsidRPr="003F7F6C" w14:paraId="18FDB76D" w14:textId="77777777" w:rsidTr="002B46DF">
        <w:trPr>
          <w:trHeight w:val="288"/>
        </w:trPr>
        <w:tc>
          <w:tcPr>
            <w:tcW w:w="1384" w:type="dxa"/>
            <w:tcBorders>
              <w:bottom w:val="nil"/>
            </w:tcBorders>
            <w:shd w:val="clear" w:color="auto" w:fill="auto"/>
          </w:tcPr>
          <w:p w14:paraId="5ABA720E" w14:textId="77777777" w:rsidR="00C667D3" w:rsidRPr="003F7F6C" w:rsidRDefault="00C667D3" w:rsidP="0035759C">
            <w:pPr>
              <w:spacing w:after="0"/>
              <w:rPr>
                <w:rFonts w:cs="Calibri"/>
                <w:color w:val="000000"/>
                <w:sz w:val="18"/>
                <w:szCs w:val="18"/>
              </w:rPr>
            </w:pPr>
            <w:r w:rsidRPr="003F7F6C">
              <w:rPr>
                <w:rFonts w:cs="Calibri"/>
                <w:color w:val="000000"/>
                <w:sz w:val="18"/>
                <w:szCs w:val="18"/>
              </w:rPr>
              <w:t>SGAyDS</w:t>
            </w:r>
          </w:p>
        </w:tc>
        <w:tc>
          <w:tcPr>
            <w:tcW w:w="7976" w:type="dxa"/>
            <w:tcBorders>
              <w:bottom w:val="nil"/>
            </w:tcBorders>
            <w:shd w:val="clear" w:color="auto" w:fill="auto"/>
          </w:tcPr>
          <w:p w14:paraId="3DB662EB" w14:textId="77777777" w:rsidR="00C667D3" w:rsidRPr="003F7F6C" w:rsidRDefault="00C667D3" w:rsidP="0035759C">
            <w:pPr>
              <w:spacing w:after="0"/>
              <w:rPr>
                <w:rFonts w:cs="Calibri"/>
                <w:sz w:val="18"/>
                <w:szCs w:val="18"/>
              </w:rPr>
            </w:pPr>
            <w:r w:rsidRPr="003F7F6C">
              <w:rPr>
                <w:rFonts w:cs="Calibri"/>
                <w:sz w:val="18"/>
                <w:szCs w:val="18"/>
              </w:rPr>
              <w:t>Secretariat for Environment and Sustainable Development</w:t>
            </w:r>
          </w:p>
        </w:tc>
      </w:tr>
      <w:tr w:rsidR="00852F16" w:rsidRPr="003F7F6C" w14:paraId="3FFCD4B5" w14:textId="77777777" w:rsidTr="002B46DF">
        <w:trPr>
          <w:trHeight w:val="288"/>
        </w:trPr>
        <w:tc>
          <w:tcPr>
            <w:tcW w:w="1384" w:type="dxa"/>
            <w:tcBorders>
              <w:bottom w:val="nil"/>
            </w:tcBorders>
            <w:shd w:val="clear" w:color="auto" w:fill="auto"/>
          </w:tcPr>
          <w:p w14:paraId="58729335" w14:textId="77777777" w:rsidR="00852F16" w:rsidRPr="003F7F6C" w:rsidRDefault="00852F16" w:rsidP="0035759C">
            <w:pPr>
              <w:spacing w:after="0"/>
              <w:rPr>
                <w:rFonts w:cs="Calibri"/>
                <w:color w:val="000000"/>
                <w:sz w:val="18"/>
                <w:szCs w:val="18"/>
              </w:rPr>
            </w:pPr>
            <w:r w:rsidRPr="003F7F6C">
              <w:rPr>
                <w:rFonts w:cs="Calibri"/>
                <w:color w:val="000000"/>
                <w:sz w:val="18"/>
                <w:szCs w:val="18"/>
              </w:rPr>
              <w:t>SLM</w:t>
            </w:r>
          </w:p>
        </w:tc>
        <w:tc>
          <w:tcPr>
            <w:tcW w:w="7976" w:type="dxa"/>
            <w:tcBorders>
              <w:bottom w:val="nil"/>
            </w:tcBorders>
            <w:shd w:val="clear" w:color="auto" w:fill="auto"/>
          </w:tcPr>
          <w:p w14:paraId="3E864473" w14:textId="77777777" w:rsidR="00852F16" w:rsidRPr="003F7F6C" w:rsidRDefault="00852F16" w:rsidP="0035759C">
            <w:pPr>
              <w:spacing w:after="0"/>
              <w:rPr>
                <w:rFonts w:cs="Calibri"/>
                <w:sz w:val="18"/>
                <w:szCs w:val="18"/>
              </w:rPr>
            </w:pPr>
            <w:r w:rsidRPr="003F7F6C">
              <w:rPr>
                <w:rFonts w:cs="Calibri"/>
                <w:sz w:val="18"/>
                <w:szCs w:val="18"/>
              </w:rPr>
              <w:t>Sustainable Land Management</w:t>
            </w:r>
          </w:p>
        </w:tc>
      </w:tr>
      <w:tr w:rsidR="00772A0A" w:rsidRPr="003F7F6C" w14:paraId="10F8F9B3" w14:textId="77777777" w:rsidTr="002B46DF">
        <w:trPr>
          <w:trHeight w:val="288"/>
        </w:trPr>
        <w:tc>
          <w:tcPr>
            <w:tcW w:w="1384" w:type="dxa"/>
            <w:tcBorders>
              <w:bottom w:val="nil"/>
            </w:tcBorders>
            <w:shd w:val="clear" w:color="auto" w:fill="auto"/>
          </w:tcPr>
          <w:p w14:paraId="6178F0EE" w14:textId="77777777" w:rsidR="00772A0A" w:rsidRPr="003F7F6C" w:rsidRDefault="00772A0A" w:rsidP="0035759C">
            <w:pPr>
              <w:spacing w:after="0"/>
              <w:rPr>
                <w:rFonts w:cs="Calibri"/>
                <w:sz w:val="18"/>
                <w:szCs w:val="18"/>
              </w:rPr>
            </w:pPr>
            <w:r w:rsidRPr="003F7F6C">
              <w:rPr>
                <w:rFonts w:cs="Calibri"/>
                <w:sz w:val="18"/>
                <w:szCs w:val="18"/>
              </w:rPr>
              <w:t>STAP</w:t>
            </w:r>
          </w:p>
        </w:tc>
        <w:tc>
          <w:tcPr>
            <w:tcW w:w="7976" w:type="dxa"/>
            <w:tcBorders>
              <w:bottom w:val="nil"/>
            </w:tcBorders>
            <w:shd w:val="clear" w:color="auto" w:fill="auto"/>
          </w:tcPr>
          <w:p w14:paraId="77BFB7BE" w14:textId="77777777" w:rsidR="00772A0A" w:rsidRPr="003F7F6C" w:rsidRDefault="00772A0A" w:rsidP="0035759C">
            <w:pPr>
              <w:spacing w:after="0"/>
              <w:rPr>
                <w:rFonts w:cs="Calibri"/>
                <w:sz w:val="18"/>
                <w:szCs w:val="18"/>
              </w:rPr>
            </w:pPr>
            <w:r w:rsidRPr="003F7F6C">
              <w:rPr>
                <w:rFonts w:cs="Calibri"/>
                <w:sz w:val="18"/>
                <w:szCs w:val="18"/>
              </w:rPr>
              <w:t>GEF Scientific Technical Advisory Panel</w:t>
            </w:r>
          </w:p>
        </w:tc>
      </w:tr>
      <w:tr w:rsidR="00772A0A" w:rsidRPr="003F7F6C" w14:paraId="1E682F8A" w14:textId="77777777" w:rsidTr="002B46DF">
        <w:trPr>
          <w:trHeight w:val="288"/>
        </w:trPr>
        <w:tc>
          <w:tcPr>
            <w:tcW w:w="1384" w:type="dxa"/>
            <w:tcBorders>
              <w:bottom w:val="nil"/>
            </w:tcBorders>
            <w:shd w:val="clear" w:color="auto" w:fill="auto"/>
          </w:tcPr>
          <w:p w14:paraId="3A8FFD4D" w14:textId="77777777" w:rsidR="00772A0A" w:rsidRPr="003F7F6C" w:rsidRDefault="00772A0A" w:rsidP="0035759C">
            <w:pPr>
              <w:spacing w:after="0"/>
              <w:rPr>
                <w:rFonts w:cs="Calibri"/>
                <w:color w:val="000000"/>
                <w:sz w:val="18"/>
                <w:szCs w:val="18"/>
              </w:rPr>
            </w:pPr>
            <w:r w:rsidRPr="003F7F6C">
              <w:rPr>
                <w:rFonts w:cs="Calibri"/>
                <w:sz w:val="18"/>
                <w:szCs w:val="18"/>
              </w:rPr>
              <w:t xml:space="preserve">TE </w:t>
            </w:r>
            <w:r w:rsidRPr="003F7F6C">
              <w:rPr>
                <w:rFonts w:cs="Calibri"/>
                <w:sz w:val="18"/>
                <w:szCs w:val="18"/>
              </w:rPr>
              <w:tab/>
            </w:r>
          </w:p>
        </w:tc>
        <w:tc>
          <w:tcPr>
            <w:tcW w:w="7976" w:type="dxa"/>
            <w:tcBorders>
              <w:bottom w:val="nil"/>
            </w:tcBorders>
            <w:shd w:val="clear" w:color="auto" w:fill="auto"/>
          </w:tcPr>
          <w:p w14:paraId="40F5526E" w14:textId="77777777" w:rsidR="00772A0A" w:rsidRPr="003F7F6C" w:rsidRDefault="00772A0A" w:rsidP="0035759C">
            <w:pPr>
              <w:spacing w:after="0"/>
              <w:rPr>
                <w:rFonts w:cs="Calibri"/>
                <w:sz w:val="18"/>
                <w:szCs w:val="18"/>
                <w:shd w:val="clear" w:color="auto" w:fill="FFFFFF"/>
              </w:rPr>
            </w:pPr>
            <w:r w:rsidRPr="003F7F6C">
              <w:rPr>
                <w:rFonts w:cs="Calibri"/>
                <w:sz w:val="18"/>
                <w:szCs w:val="18"/>
              </w:rPr>
              <w:t>Terminal Evaluation</w:t>
            </w:r>
          </w:p>
        </w:tc>
      </w:tr>
      <w:tr w:rsidR="0068605B" w:rsidRPr="003F7F6C" w14:paraId="4D9ECD2F" w14:textId="77777777" w:rsidTr="002B46DF">
        <w:trPr>
          <w:trHeight w:val="288"/>
        </w:trPr>
        <w:tc>
          <w:tcPr>
            <w:tcW w:w="1384" w:type="dxa"/>
            <w:tcBorders>
              <w:bottom w:val="nil"/>
            </w:tcBorders>
            <w:shd w:val="clear" w:color="auto" w:fill="auto"/>
          </w:tcPr>
          <w:p w14:paraId="1DF471FD" w14:textId="77777777" w:rsidR="0068605B" w:rsidRPr="003F7F6C" w:rsidRDefault="0068605B" w:rsidP="0035759C">
            <w:pPr>
              <w:spacing w:after="0"/>
              <w:rPr>
                <w:rFonts w:cs="Calibri"/>
                <w:sz w:val="18"/>
                <w:szCs w:val="18"/>
              </w:rPr>
            </w:pPr>
            <w:r w:rsidRPr="003F7F6C">
              <w:rPr>
                <w:rFonts w:eastAsia="Times New Roman" w:cs="Calibri"/>
                <w:sz w:val="18"/>
                <w:szCs w:val="18"/>
                <w:lang w:eastAsia="es-ES_tradnl"/>
              </w:rPr>
              <w:t>TSA</w:t>
            </w:r>
          </w:p>
        </w:tc>
        <w:tc>
          <w:tcPr>
            <w:tcW w:w="7976" w:type="dxa"/>
            <w:tcBorders>
              <w:bottom w:val="nil"/>
            </w:tcBorders>
            <w:shd w:val="clear" w:color="auto" w:fill="auto"/>
          </w:tcPr>
          <w:p w14:paraId="45C5BADF" w14:textId="77777777" w:rsidR="0068605B" w:rsidRPr="003F7F6C" w:rsidRDefault="0068605B" w:rsidP="0035759C">
            <w:pPr>
              <w:spacing w:after="0"/>
              <w:rPr>
                <w:rFonts w:cs="Calibri"/>
                <w:sz w:val="18"/>
                <w:szCs w:val="18"/>
              </w:rPr>
            </w:pPr>
            <w:r w:rsidRPr="003F7F6C">
              <w:rPr>
                <w:rFonts w:eastAsia="Times New Roman" w:cs="Calibri"/>
                <w:sz w:val="18"/>
                <w:szCs w:val="18"/>
                <w:lang w:eastAsia="es-ES_tradnl"/>
              </w:rPr>
              <w:t>Targeted Scenario Analysis</w:t>
            </w:r>
          </w:p>
        </w:tc>
      </w:tr>
      <w:tr w:rsidR="00772A0A" w:rsidRPr="003F7F6C" w14:paraId="165B53B4" w14:textId="77777777" w:rsidTr="002B46DF">
        <w:trPr>
          <w:trHeight w:val="288"/>
        </w:trPr>
        <w:tc>
          <w:tcPr>
            <w:tcW w:w="1384" w:type="dxa"/>
            <w:tcBorders>
              <w:bottom w:val="nil"/>
            </w:tcBorders>
            <w:shd w:val="clear" w:color="auto" w:fill="auto"/>
          </w:tcPr>
          <w:p w14:paraId="60326B8C" w14:textId="77777777" w:rsidR="00772A0A" w:rsidRPr="003F7F6C" w:rsidRDefault="00772A0A" w:rsidP="0035759C">
            <w:pPr>
              <w:spacing w:after="0"/>
              <w:rPr>
                <w:rFonts w:cs="Calibri"/>
                <w:sz w:val="18"/>
                <w:szCs w:val="18"/>
              </w:rPr>
            </w:pPr>
            <w:r w:rsidRPr="003F7F6C">
              <w:rPr>
                <w:rFonts w:cs="Calibri"/>
                <w:sz w:val="18"/>
                <w:szCs w:val="18"/>
              </w:rPr>
              <w:t>UNDAF</w:t>
            </w:r>
          </w:p>
        </w:tc>
        <w:tc>
          <w:tcPr>
            <w:tcW w:w="7976" w:type="dxa"/>
            <w:tcBorders>
              <w:bottom w:val="nil"/>
            </w:tcBorders>
            <w:shd w:val="clear" w:color="auto" w:fill="auto"/>
          </w:tcPr>
          <w:p w14:paraId="0954D425" w14:textId="77777777" w:rsidR="00772A0A" w:rsidRPr="003F7F6C" w:rsidRDefault="00772A0A" w:rsidP="0035759C">
            <w:pPr>
              <w:spacing w:after="0"/>
              <w:rPr>
                <w:rFonts w:cs="Calibri"/>
                <w:sz w:val="18"/>
                <w:szCs w:val="18"/>
              </w:rPr>
            </w:pPr>
            <w:r w:rsidRPr="003F7F6C">
              <w:rPr>
                <w:rFonts w:cs="Calibri"/>
                <w:sz w:val="18"/>
                <w:szCs w:val="18"/>
              </w:rPr>
              <w:t>United Nations Development Assistance Framework</w:t>
            </w:r>
          </w:p>
        </w:tc>
      </w:tr>
      <w:tr w:rsidR="00B37AD2" w:rsidRPr="003F7F6C" w14:paraId="20B44F9D" w14:textId="77777777" w:rsidTr="002B46DF">
        <w:trPr>
          <w:trHeight w:val="288"/>
        </w:trPr>
        <w:tc>
          <w:tcPr>
            <w:tcW w:w="1384" w:type="dxa"/>
            <w:tcBorders>
              <w:bottom w:val="nil"/>
            </w:tcBorders>
            <w:shd w:val="clear" w:color="auto" w:fill="auto"/>
          </w:tcPr>
          <w:p w14:paraId="48A6E613" w14:textId="77777777" w:rsidR="00B37AD2" w:rsidRPr="003F7F6C" w:rsidRDefault="00B37AD2" w:rsidP="0035759C">
            <w:pPr>
              <w:spacing w:after="0"/>
              <w:rPr>
                <w:rFonts w:cs="Calibri"/>
                <w:sz w:val="18"/>
                <w:szCs w:val="18"/>
              </w:rPr>
            </w:pPr>
            <w:r w:rsidRPr="003F7F6C">
              <w:rPr>
                <w:rFonts w:cs="Calibri"/>
                <w:sz w:val="18"/>
                <w:szCs w:val="18"/>
              </w:rPr>
              <w:t>UNESCO</w:t>
            </w:r>
          </w:p>
        </w:tc>
        <w:tc>
          <w:tcPr>
            <w:tcW w:w="7976" w:type="dxa"/>
            <w:tcBorders>
              <w:bottom w:val="nil"/>
            </w:tcBorders>
            <w:shd w:val="clear" w:color="auto" w:fill="auto"/>
          </w:tcPr>
          <w:p w14:paraId="45D53DE5" w14:textId="77777777" w:rsidR="00B37AD2" w:rsidRPr="003F7F6C" w:rsidRDefault="00B37AD2" w:rsidP="0035759C">
            <w:pPr>
              <w:spacing w:after="0"/>
              <w:rPr>
                <w:rFonts w:cs="Calibri"/>
                <w:sz w:val="18"/>
                <w:szCs w:val="18"/>
              </w:rPr>
            </w:pPr>
            <w:r w:rsidRPr="003F7F6C">
              <w:rPr>
                <w:rFonts w:cs="Calibri"/>
                <w:sz w:val="18"/>
                <w:szCs w:val="18"/>
              </w:rPr>
              <w:t>United Nations Education</w:t>
            </w:r>
            <w:r w:rsidR="00852F16" w:rsidRPr="003F7F6C">
              <w:rPr>
                <w:rFonts w:cs="Calibri"/>
                <w:sz w:val="18"/>
                <w:szCs w:val="18"/>
              </w:rPr>
              <w:t xml:space="preserve">al </w:t>
            </w:r>
            <w:r w:rsidRPr="003F7F6C">
              <w:rPr>
                <w:rFonts w:cs="Calibri"/>
                <w:sz w:val="18"/>
                <w:szCs w:val="18"/>
              </w:rPr>
              <w:t>Scientific</w:t>
            </w:r>
            <w:r w:rsidR="00852F16" w:rsidRPr="003F7F6C">
              <w:rPr>
                <w:rFonts w:cs="Calibri"/>
                <w:sz w:val="18"/>
                <w:szCs w:val="18"/>
              </w:rPr>
              <w:t xml:space="preserve"> and Cultural Organization</w:t>
            </w:r>
          </w:p>
        </w:tc>
      </w:tr>
      <w:tr w:rsidR="00772A0A" w:rsidRPr="003F7F6C" w14:paraId="3B5AA3CB" w14:textId="77777777" w:rsidTr="002B46DF">
        <w:trPr>
          <w:trHeight w:val="288"/>
        </w:trPr>
        <w:tc>
          <w:tcPr>
            <w:tcW w:w="1384" w:type="dxa"/>
            <w:tcBorders>
              <w:bottom w:val="nil"/>
            </w:tcBorders>
            <w:shd w:val="clear" w:color="auto" w:fill="auto"/>
          </w:tcPr>
          <w:p w14:paraId="405EF035" w14:textId="77777777" w:rsidR="00772A0A" w:rsidRPr="003F7F6C" w:rsidRDefault="00772A0A" w:rsidP="0035759C">
            <w:pPr>
              <w:spacing w:after="0"/>
              <w:rPr>
                <w:rFonts w:cs="Calibri"/>
                <w:sz w:val="18"/>
                <w:szCs w:val="18"/>
              </w:rPr>
            </w:pPr>
            <w:r w:rsidRPr="003F7F6C">
              <w:rPr>
                <w:rFonts w:cs="Calibri"/>
                <w:sz w:val="18"/>
                <w:szCs w:val="18"/>
              </w:rPr>
              <w:t>UNDP</w:t>
            </w:r>
          </w:p>
        </w:tc>
        <w:tc>
          <w:tcPr>
            <w:tcW w:w="7976" w:type="dxa"/>
            <w:tcBorders>
              <w:bottom w:val="nil"/>
            </w:tcBorders>
            <w:shd w:val="clear" w:color="auto" w:fill="auto"/>
          </w:tcPr>
          <w:p w14:paraId="1532079C" w14:textId="77777777" w:rsidR="00772A0A" w:rsidRPr="003F7F6C" w:rsidRDefault="00772A0A" w:rsidP="0035759C">
            <w:pPr>
              <w:spacing w:after="0"/>
              <w:rPr>
                <w:rFonts w:cs="Calibri"/>
                <w:sz w:val="18"/>
                <w:szCs w:val="18"/>
              </w:rPr>
            </w:pPr>
            <w:r w:rsidRPr="003F7F6C">
              <w:rPr>
                <w:rFonts w:cs="Calibri"/>
                <w:sz w:val="18"/>
                <w:szCs w:val="18"/>
              </w:rPr>
              <w:t>United Nations Development Programme</w:t>
            </w:r>
          </w:p>
        </w:tc>
      </w:tr>
      <w:tr w:rsidR="00772A0A" w:rsidRPr="003F7F6C" w14:paraId="0C1573EB" w14:textId="77777777" w:rsidTr="002B46DF">
        <w:trPr>
          <w:trHeight w:val="288"/>
        </w:trPr>
        <w:tc>
          <w:tcPr>
            <w:tcW w:w="1384" w:type="dxa"/>
            <w:tcBorders>
              <w:bottom w:val="nil"/>
            </w:tcBorders>
            <w:shd w:val="clear" w:color="auto" w:fill="auto"/>
          </w:tcPr>
          <w:p w14:paraId="1F4A7E76" w14:textId="77777777" w:rsidR="00772A0A" w:rsidRPr="003F7F6C" w:rsidRDefault="00772A0A" w:rsidP="0035759C">
            <w:pPr>
              <w:pStyle w:val="NoSpacing"/>
              <w:rPr>
                <w:rFonts w:ascii="Calibri" w:hAnsi="Calibri" w:cs="Calibri"/>
                <w:sz w:val="18"/>
                <w:szCs w:val="18"/>
              </w:rPr>
            </w:pPr>
            <w:r w:rsidRPr="003F7F6C">
              <w:rPr>
                <w:rFonts w:ascii="Calibri" w:hAnsi="Calibri" w:cs="Calibri"/>
                <w:sz w:val="18"/>
                <w:szCs w:val="18"/>
              </w:rPr>
              <w:t>UNDP-GEF</w:t>
            </w:r>
          </w:p>
        </w:tc>
        <w:tc>
          <w:tcPr>
            <w:tcW w:w="7976" w:type="dxa"/>
            <w:tcBorders>
              <w:bottom w:val="nil"/>
            </w:tcBorders>
            <w:shd w:val="clear" w:color="auto" w:fill="auto"/>
          </w:tcPr>
          <w:p w14:paraId="07E234EF" w14:textId="77777777" w:rsidR="00772A0A" w:rsidRPr="003F7F6C" w:rsidRDefault="00772A0A" w:rsidP="0035759C">
            <w:pPr>
              <w:pStyle w:val="NoSpacing"/>
              <w:rPr>
                <w:rFonts w:ascii="Calibri" w:hAnsi="Calibri" w:cs="Calibri"/>
                <w:sz w:val="18"/>
                <w:szCs w:val="18"/>
              </w:rPr>
            </w:pPr>
            <w:r w:rsidRPr="003F7F6C">
              <w:rPr>
                <w:rFonts w:ascii="Calibri" w:hAnsi="Calibri" w:cs="Calibri"/>
                <w:sz w:val="18"/>
                <w:szCs w:val="18"/>
              </w:rPr>
              <w:t>UNDP Global Environmental Finance Unit</w:t>
            </w:r>
          </w:p>
        </w:tc>
      </w:tr>
      <w:tr w:rsidR="00772A0A" w:rsidRPr="003F7F6C" w14:paraId="5EBFFC88" w14:textId="77777777" w:rsidTr="002B46DF">
        <w:trPr>
          <w:trHeight w:val="20"/>
        </w:trPr>
        <w:tc>
          <w:tcPr>
            <w:tcW w:w="1384" w:type="dxa"/>
            <w:tcBorders>
              <w:right w:val="nil"/>
            </w:tcBorders>
            <w:shd w:val="clear" w:color="auto" w:fill="auto"/>
          </w:tcPr>
          <w:p w14:paraId="2E0CAF9A" w14:textId="77777777" w:rsidR="00772A0A" w:rsidRPr="003F7F6C" w:rsidRDefault="00772A0A" w:rsidP="0035759C">
            <w:pPr>
              <w:spacing w:after="0"/>
              <w:rPr>
                <w:rFonts w:cs="Calibri"/>
                <w:bCs/>
                <w:sz w:val="18"/>
                <w:szCs w:val="18"/>
                <w:lang w:eastAsia="zh-CN"/>
              </w:rPr>
            </w:pPr>
            <w:r w:rsidRPr="003F7F6C">
              <w:rPr>
                <w:rFonts w:cs="Calibri"/>
                <w:sz w:val="18"/>
                <w:szCs w:val="18"/>
                <w:lang w:eastAsia="zh-CN"/>
              </w:rPr>
              <w:t>USD</w:t>
            </w:r>
          </w:p>
        </w:tc>
        <w:tc>
          <w:tcPr>
            <w:tcW w:w="7976" w:type="dxa"/>
            <w:tcBorders>
              <w:left w:val="nil"/>
            </w:tcBorders>
            <w:shd w:val="clear" w:color="auto" w:fill="auto"/>
          </w:tcPr>
          <w:p w14:paraId="37B96762" w14:textId="77777777" w:rsidR="00772A0A" w:rsidRPr="003F7F6C" w:rsidRDefault="00772A0A" w:rsidP="0035759C">
            <w:pPr>
              <w:spacing w:after="0"/>
              <w:rPr>
                <w:rFonts w:cs="Calibri"/>
                <w:bCs/>
                <w:sz w:val="18"/>
                <w:szCs w:val="18"/>
                <w:lang w:eastAsia="zh-CN"/>
              </w:rPr>
            </w:pPr>
            <w:r w:rsidRPr="003F7F6C">
              <w:rPr>
                <w:rFonts w:cs="Calibri"/>
                <w:sz w:val="18"/>
                <w:szCs w:val="18"/>
                <w:lang w:eastAsia="zh-CN"/>
              </w:rPr>
              <w:t>United States Dollars</w:t>
            </w:r>
          </w:p>
        </w:tc>
      </w:tr>
      <w:tr w:rsidR="00486E7F" w:rsidRPr="003F7F6C" w14:paraId="503A1FB5" w14:textId="77777777" w:rsidTr="002B46DF">
        <w:trPr>
          <w:trHeight w:val="20"/>
        </w:trPr>
        <w:tc>
          <w:tcPr>
            <w:tcW w:w="1384" w:type="dxa"/>
            <w:tcBorders>
              <w:right w:val="nil"/>
            </w:tcBorders>
            <w:shd w:val="clear" w:color="auto" w:fill="auto"/>
          </w:tcPr>
          <w:p w14:paraId="0647D6C2" w14:textId="77777777" w:rsidR="00486E7F" w:rsidRPr="003F7F6C" w:rsidRDefault="00486E7F" w:rsidP="0035759C">
            <w:pPr>
              <w:spacing w:after="0"/>
              <w:rPr>
                <w:rFonts w:cs="Calibri"/>
                <w:sz w:val="18"/>
                <w:szCs w:val="18"/>
                <w:lang w:eastAsia="zh-CN"/>
              </w:rPr>
            </w:pPr>
            <w:r w:rsidRPr="003F7F6C">
              <w:rPr>
                <w:rFonts w:eastAsia="Times New Roman" w:cs="Calibri"/>
                <w:sz w:val="18"/>
                <w:szCs w:val="18"/>
                <w:lang w:eastAsia="es-ES_tradnl"/>
              </w:rPr>
              <w:t>VGA</w:t>
            </w:r>
          </w:p>
        </w:tc>
        <w:tc>
          <w:tcPr>
            <w:tcW w:w="7976" w:type="dxa"/>
            <w:tcBorders>
              <w:left w:val="nil"/>
            </w:tcBorders>
            <w:shd w:val="clear" w:color="auto" w:fill="auto"/>
          </w:tcPr>
          <w:p w14:paraId="0D0692CB" w14:textId="77777777" w:rsidR="00486E7F" w:rsidRPr="003F7F6C" w:rsidRDefault="00486E7F" w:rsidP="0035759C">
            <w:pPr>
              <w:spacing w:after="0"/>
              <w:rPr>
                <w:rFonts w:cs="Calibri"/>
                <w:sz w:val="18"/>
                <w:szCs w:val="18"/>
                <w:lang w:eastAsia="zh-CN"/>
              </w:rPr>
            </w:pPr>
            <w:r w:rsidRPr="003F7F6C">
              <w:rPr>
                <w:rFonts w:eastAsia="Times New Roman" w:cs="Calibri"/>
                <w:sz w:val="18"/>
                <w:szCs w:val="18"/>
                <w:lang w:eastAsia="es-ES_tradnl"/>
              </w:rPr>
              <w:t>Valuable Grassland Areas</w:t>
            </w:r>
          </w:p>
        </w:tc>
      </w:tr>
      <w:tr w:rsidR="00852F16" w:rsidRPr="003F7F6C" w14:paraId="5AA3C7F6" w14:textId="77777777" w:rsidTr="002B46DF">
        <w:trPr>
          <w:trHeight w:val="20"/>
        </w:trPr>
        <w:tc>
          <w:tcPr>
            <w:tcW w:w="1384" w:type="dxa"/>
            <w:tcBorders>
              <w:right w:val="nil"/>
            </w:tcBorders>
            <w:shd w:val="clear" w:color="auto" w:fill="auto"/>
          </w:tcPr>
          <w:p w14:paraId="60DF31CD" w14:textId="77777777" w:rsidR="00852F16" w:rsidRPr="003F7F6C" w:rsidRDefault="00852F16" w:rsidP="0035759C">
            <w:pPr>
              <w:spacing w:after="0"/>
              <w:rPr>
                <w:rFonts w:eastAsia="Times New Roman" w:cs="Calibri"/>
                <w:sz w:val="18"/>
                <w:szCs w:val="18"/>
                <w:lang w:eastAsia="es-ES_tradnl"/>
              </w:rPr>
            </w:pPr>
            <w:r w:rsidRPr="003F7F6C">
              <w:rPr>
                <w:rFonts w:eastAsia="Times New Roman" w:cs="Calibri"/>
                <w:sz w:val="18"/>
                <w:szCs w:val="18"/>
                <w:lang w:eastAsia="es-ES_tradnl"/>
              </w:rPr>
              <w:t>WHSRN</w:t>
            </w:r>
          </w:p>
        </w:tc>
        <w:tc>
          <w:tcPr>
            <w:tcW w:w="7976" w:type="dxa"/>
            <w:tcBorders>
              <w:left w:val="nil"/>
            </w:tcBorders>
            <w:shd w:val="clear" w:color="auto" w:fill="auto"/>
          </w:tcPr>
          <w:p w14:paraId="6D867783" w14:textId="77777777" w:rsidR="00852F16" w:rsidRPr="003F7F6C" w:rsidRDefault="00852F16" w:rsidP="0035759C">
            <w:pPr>
              <w:spacing w:after="0"/>
              <w:rPr>
                <w:rFonts w:eastAsia="Times New Roman" w:cs="Calibri"/>
                <w:sz w:val="18"/>
                <w:szCs w:val="18"/>
                <w:lang w:eastAsia="es-ES_tradnl"/>
              </w:rPr>
            </w:pPr>
            <w:r w:rsidRPr="003F7F6C">
              <w:rPr>
                <w:rFonts w:eastAsia="Times New Roman" w:cs="Calibri"/>
                <w:sz w:val="18"/>
                <w:szCs w:val="18"/>
                <w:lang w:eastAsia="es-ES_tradnl"/>
              </w:rPr>
              <w:t>Western Hemisphere Shorebird Reserve Network</w:t>
            </w:r>
          </w:p>
        </w:tc>
      </w:tr>
      <w:tr w:rsidR="00486E7F" w:rsidRPr="003F7F6C" w14:paraId="78977515" w14:textId="77777777" w:rsidTr="002B46DF">
        <w:trPr>
          <w:trHeight w:val="20"/>
        </w:trPr>
        <w:tc>
          <w:tcPr>
            <w:tcW w:w="1384" w:type="dxa"/>
            <w:tcBorders>
              <w:bottom w:val="nil"/>
              <w:right w:val="nil"/>
            </w:tcBorders>
            <w:shd w:val="clear" w:color="auto" w:fill="auto"/>
          </w:tcPr>
          <w:p w14:paraId="583B0D72" w14:textId="77777777" w:rsidR="00486E7F" w:rsidRPr="003F7F6C" w:rsidRDefault="00486E7F" w:rsidP="0035759C">
            <w:pPr>
              <w:spacing w:after="0"/>
              <w:rPr>
                <w:rFonts w:cs="Calibri"/>
                <w:sz w:val="18"/>
                <w:szCs w:val="18"/>
                <w:lang w:eastAsia="zh-CN"/>
              </w:rPr>
            </w:pPr>
            <w:r w:rsidRPr="003F7F6C">
              <w:rPr>
                <w:rFonts w:eastAsia="Times New Roman" w:cs="Calibri"/>
                <w:sz w:val="18"/>
                <w:szCs w:val="18"/>
                <w:lang w:eastAsia="es-ES_tradnl"/>
              </w:rPr>
              <w:t>WWF</w:t>
            </w:r>
          </w:p>
        </w:tc>
        <w:tc>
          <w:tcPr>
            <w:tcW w:w="7976" w:type="dxa"/>
            <w:tcBorders>
              <w:left w:val="nil"/>
              <w:bottom w:val="nil"/>
            </w:tcBorders>
            <w:shd w:val="clear" w:color="auto" w:fill="auto"/>
          </w:tcPr>
          <w:p w14:paraId="6C7FA986" w14:textId="77777777" w:rsidR="00486E7F" w:rsidRPr="003F7F6C" w:rsidRDefault="00486E7F" w:rsidP="0035759C">
            <w:pPr>
              <w:spacing w:after="0"/>
              <w:rPr>
                <w:rFonts w:cs="Calibri"/>
                <w:sz w:val="18"/>
                <w:szCs w:val="18"/>
                <w:lang w:eastAsia="zh-CN"/>
              </w:rPr>
            </w:pPr>
            <w:r w:rsidRPr="003F7F6C">
              <w:rPr>
                <w:rFonts w:eastAsia="Times New Roman" w:cs="Calibri"/>
                <w:sz w:val="18"/>
                <w:szCs w:val="18"/>
                <w:lang w:eastAsia="es-ES_tradnl"/>
              </w:rPr>
              <w:t>World Wide Fund</w:t>
            </w:r>
          </w:p>
        </w:tc>
      </w:tr>
    </w:tbl>
    <w:p w14:paraId="6573AD20" w14:textId="77777777" w:rsidR="005621F7" w:rsidRPr="003F7F6C" w:rsidRDefault="005621F7" w:rsidP="005621F7">
      <w:pPr>
        <w:spacing w:after="0"/>
        <w:jc w:val="left"/>
        <w:rPr>
          <w:rFonts w:cs="Arial"/>
          <w:b/>
          <w:szCs w:val="22"/>
        </w:rPr>
      </w:pPr>
    </w:p>
    <w:p w14:paraId="21C58044" w14:textId="77777777" w:rsidR="00347790" w:rsidRPr="003F7F6C" w:rsidRDefault="00AE31A1">
      <w:r w:rsidRPr="003F7F6C">
        <w:br w:type="page"/>
      </w:r>
    </w:p>
    <w:p w14:paraId="30D669CD" w14:textId="77777777" w:rsidR="00D218B7" w:rsidRPr="003F7F6C" w:rsidRDefault="008C65EB" w:rsidP="00D218B7">
      <w:pPr>
        <w:pStyle w:val="Heading1"/>
        <w:spacing w:before="0" w:after="0" w:line="271" w:lineRule="auto"/>
        <w:jc w:val="left"/>
        <w:rPr>
          <w:rFonts w:ascii="Calibri" w:hAnsi="Calibri"/>
        </w:rPr>
      </w:pPr>
      <w:bookmarkStart w:id="3" w:name="_Toc407785517"/>
      <w:bookmarkStart w:id="4" w:name="_Toc529891408"/>
      <w:r w:rsidRPr="003F7F6C">
        <w:rPr>
          <w:rFonts w:ascii="Calibri" w:hAnsi="Calibri"/>
        </w:rPr>
        <w:t xml:space="preserve">Development </w:t>
      </w:r>
      <w:r w:rsidR="00005D48" w:rsidRPr="003F7F6C">
        <w:rPr>
          <w:rFonts w:ascii="Calibri" w:hAnsi="Calibri"/>
        </w:rPr>
        <w:t>C</w:t>
      </w:r>
      <w:r w:rsidR="004C3717" w:rsidRPr="003F7F6C">
        <w:rPr>
          <w:rFonts w:ascii="Calibri" w:hAnsi="Calibri"/>
        </w:rPr>
        <w:t>hallenge</w:t>
      </w:r>
      <w:bookmarkEnd w:id="3"/>
      <w:bookmarkEnd w:id="4"/>
      <w:r w:rsidR="00A25CCB" w:rsidRPr="003F7F6C">
        <w:rPr>
          <w:rFonts w:ascii="Calibri" w:hAnsi="Calibri"/>
        </w:rPr>
        <w:t xml:space="preserve"> </w:t>
      </w:r>
    </w:p>
    <w:p w14:paraId="2CA5A0AF" w14:textId="77777777" w:rsidR="003B2A79" w:rsidRPr="003F7F6C" w:rsidRDefault="003B2A79" w:rsidP="003B2A79">
      <w:pPr>
        <w:jc w:val="left"/>
        <w:rPr>
          <w:rFonts w:cs="Segoe UI"/>
          <w:color w:val="000000"/>
          <w:szCs w:val="20"/>
        </w:rPr>
      </w:pPr>
    </w:p>
    <w:p w14:paraId="691230CA" w14:textId="77777777" w:rsidR="00973146" w:rsidRPr="003F7F6C" w:rsidRDefault="008A52AB" w:rsidP="00E91275">
      <w:pPr>
        <w:numPr>
          <w:ilvl w:val="0"/>
          <w:numId w:val="28"/>
        </w:numPr>
        <w:tabs>
          <w:tab w:val="left" w:pos="426"/>
        </w:tabs>
        <w:spacing w:after="240"/>
        <w:ind w:left="0" w:firstLine="0"/>
        <w:rPr>
          <w:rFonts w:eastAsia="Times New Roman" w:cs="Calibri"/>
          <w:szCs w:val="20"/>
          <w:lang w:eastAsia="es-ES_tradnl"/>
        </w:rPr>
      </w:pPr>
      <w:r w:rsidRPr="003F7F6C">
        <w:rPr>
          <w:rFonts w:eastAsia="Times New Roman" w:cs="Calibri"/>
          <w:b/>
          <w:szCs w:val="20"/>
          <w:lang w:eastAsia="es-ES_tradnl"/>
        </w:rPr>
        <w:t xml:space="preserve">Global significance. </w:t>
      </w:r>
      <w:r w:rsidR="00973146" w:rsidRPr="003F7F6C">
        <w:rPr>
          <w:rFonts w:eastAsia="Times New Roman" w:cs="Calibri"/>
          <w:szCs w:val="20"/>
          <w:lang w:eastAsia="es-ES_tradnl"/>
        </w:rPr>
        <w:t>The Republic of Argentina is a federal country made up of 23</w:t>
      </w:r>
      <w:r w:rsidR="003263CE" w:rsidRPr="003F7F6C">
        <w:rPr>
          <w:rFonts w:eastAsia="Times New Roman" w:cs="Calibri"/>
          <w:szCs w:val="20"/>
          <w:lang w:eastAsia="es-ES_tradnl"/>
        </w:rPr>
        <w:t xml:space="preserve"> </w:t>
      </w:r>
      <w:r w:rsidR="00973146" w:rsidRPr="003F7F6C">
        <w:rPr>
          <w:rFonts w:eastAsia="Times New Roman" w:cs="Calibri"/>
          <w:szCs w:val="20"/>
          <w:lang w:eastAsia="es-ES_tradnl"/>
        </w:rPr>
        <w:t>provinces and the Autonomous City of Buenos Aires (CABA). With an expansive continental and marine territory</w:t>
      </w:r>
      <w:r w:rsidR="003263CE" w:rsidRPr="003F7F6C">
        <w:rPr>
          <w:rStyle w:val="FootnoteReference"/>
          <w:rFonts w:ascii="Calibri" w:eastAsia="Times New Roman" w:hAnsi="Calibri" w:cs="Calibri"/>
          <w:sz w:val="20"/>
          <w:szCs w:val="20"/>
          <w:lang w:eastAsia="es-ES_tradnl"/>
        </w:rPr>
        <w:footnoteReference w:id="1"/>
      </w:r>
      <w:r w:rsidR="00973146" w:rsidRPr="003F7F6C">
        <w:rPr>
          <w:rFonts w:eastAsia="Times New Roman" w:cs="Calibri"/>
          <w:szCs w:val="20"/>
          <w:lang w:eastAsia="es-ES_tradnl"/>
        </w:rPr>
        <w:t>, Argentina has vast natural, cultural and economic complexity and diversity. Indeed, it is one of the countries with the highest number of ecoregions worldwid</w:t>
      </w:r>
      <w:r w:rsidR="003263CE" w:rsidRPr="003F7F6C">
        <w:rPr>
          <w:rFonts w:eastAsia="Times New Roman" w:cs="Calibri"/>
          <w:szCs w:val="20"/>
          <w:lang w:eastAsia="es-ES_tradnl"/>
        </w:rPr>
        <w:t>e</w:t>
      </w:r>
      <w:r w:rsidR="00973146" w:rsidRPr="003F7F6C">
        <w:rPr>
          <w:rFonts w:eastAsia="Times New Roman" w:cs="Calibri"/>
          <w:position w:val="8"/>
          <w:szCs w:val="20"/>
          <w:lang w:eastAsia="es-ES_tradnl"/>
        </w:rPr>
        <w:t xml:space="preserve"> </w:t>
      </w:r>
      <w:r w:rsidR="00973146" w:rsidRPr="003F7F6C">
        <w:rPr>
          <w:rFonts w:eastAsia="Times New Roman" w:cs="Calibri"/>
          <w:szCs w:val="20"/>
          <w:lang w:eastAsia="es-ES_tradnl"/>
        </w:rPr>
        <w:t>with 15 terrestrial ecoregions and 3 marine/freshwater ecoregions as per the national classification system. These are the High Andes</w:t>
      </w:r>
      <w:r w:rsidR="00973146" w:rsidRPr="003F7F6C">
        <w:rPr>
          <w:rFonts w:eastAsia="Times New Roman" w:cs="Calibri"/>
          <w:i/>
          <w:iCs/>
          <w:szCs w:val="20"/>
          <w:lang w:eastAsia="es-ES_tradnl"/>
        </w:rPr>
        <w:t xml:space="preserve">; </w:t>
      </w:r>
      <w:r w:rsidR="00973146" w:rsidRPr="003F7F6C">
        <w:rPr>
          <w:rFonts w:eastAsia="Times New Roman" w:cs="Calibri"/>
          <w:szCs w:val="20"/>
          <w:lang w:eastAsia="es-ES_tradnl"/>
        </w:rPr>
        <w:t>Puna</w:t>
      </w:r>
      <w:r w:rsidR="00973146" w:rsidRPr="003F7F6C">
        <w:rPr>
          <w:rFonts w:eastAsia="Times New Roman" w:cs="Calibri"/>
          <w:i/>
          <w:iCs/>
          <w:szCs w:val="20"/>
          <w:lang w:eastAsia="es-ES_tradnl"/>
        </w:rPr>
        <w:t xml:space="preserve">; </w:t>
      </w:r>
      <w:r w:rsidR="00973146" w:rsidRPr="003F7F6C">
        <w:rPr>
          <w:rFonts w:eastAsia="Times New Roman" w:cs="Calibri"/>
          <w:szCs w:val="20"/>
          <w:lang w:eastAsia="es-ES_tradnl"/>
        </w:rPr>
        <w:t>High Monte</w:t>
      </w:r>
      <w:r w:rsidR="00973146" w:rsidRPr="003F7F6C">
        <w:rPr>
          <w:rFonts w:eastAsia="Times New Roman" w:cs="Calibri"/>
          <w:i/>
          <w:iCs/>
          <w:szCs w:val="20"/>
          <w:lang w:eastAsia="es-ES_tradnl"/>
        </w:rPr>
        <w:t xml:space="preserve">, </w:t>
      </w:r>
      <w:r w:rsidR="00973146" w:rsidRPr="003F7F6C">
        <w:rPr>
          <w:rFonts w:eastAsia="Times New Roman" w:cs="Calibri"/>
          <w:szCs w:val="20"/>
          <w:lang w:eastAsia="es-ES_tradnl"/>
        </w:rPr>
        <w:t>Yungas Forest</w:t>
      </w:r>
      <w:r w:rsidR="00973146" w:rsidRPr="003F7F6C">
        <w:rPr>
          <w:rFonts w:eastAsia="Times New Roman" w:cs="Calibri"/>
          <w:i/>
          <w:iCs/>
          <w:szCs w:val="20"/>
          <w:lang w:eastAsia="es-ES_tradnl"/>
        </w:rPr>
        <w:t xml:space="preserve">; </w:t>
      </w:r>
      <w:r w:rsidR="00973146" w:rsidRPr="003F7F6C">
        <w:rPr>
          <w:rFonts w:eastAsia="Times New Roman" w:cs="Calibri"/>
          <w:szCs w:val="20"/>
          <w:lang w:eastAsia="es-ES_tradnl"/>
        </w:rPr>
        <w:t>Dry Chaco</w:t>
      </w:r>
      <w:r w:rsidR="00973146" w:rsidRPr="003F7F6C">
        <w:rPr>
          <w:rFonts w:eastAsia="Times New Roman" w:cs="Calibri"/>
          <w:i/>
          <w:iCs/>
          <w:szCs w:val="20"/>
          <w:lang w:eastAsia="es-ES_tradnl"/>
        </w:rPr>
        <w:t xml:space="preserve">; </w:t>
      </w:r>
      <w:r w:rsidR="00973146" w:rsidRPr="003F7F6C">
        <w:rPr>
          <w:rFonts w:eastAsia="Times New Roman" w:cs="Calibri"/>
          <w:szCs w:val="20"/>
          <w:lang w:eastAsia="es-ES_tradnl"/>
        </w:rPr>
        <w:t>Humid Chaco</w:t>
      </w:r>
      <w:r w:rsidR="00973146" w:rsidRPr="003F7F6C">
        <w:rPr>
          <w:rFonts w:eastAsia="Times New Roman" w:cs="Calibri"/>
          <w:i/>
          <w:iCs/>
          <w:szCs w:val="20"/>
          <w:lang w:eastAsia="es-ES_tradnl"/>
        </w:rPr>
        <w:t xml:space="preserve">; </w:t>
      </w:r>
      <w:r w:rsidR="00973146" w:rsidRPr="003F7F6C">
        <w:rPr>
          <w:rFonts w:eastAsia="Times New Roman" w:cs="Calibri"/>
          <w:szCs w:val="20"/>
          <w:lang w:eastAsia="es-ES_tradnl"/>
        </w:rPr>
        <w:t>Parana Forest</w:t>
      </w:r>
      <w:r w:rsidR="00973146" w:rsidRPr="003F7F6C">
        <w:rPr>
          <w:rFonts w:eastAsia="Times New Roman" w:cs="Calibri"/>
          <w:i/>
          <w:iCs/>
          <w:szCs w:val="20"/>
          <w:lang w:eastAsia="es-ES_tradnl"/>
        </w:rPr>
        <w:t xml:space="preserve">; </w:t>
      </w:r>
      <w:r w:rsidR="00973146" w:rsidRPr="003F7F6C">
        <w:rPr>
          <w:rFonts w:eastAsia="Times New Roman" w:cs="Calibri"/>
          <w:szCs w:val="20"/>
          <w:lang w:eastAsia="es-ES_tradnl"/>
        </w:rPr>
        <w:t>Ibera Wetlands</w:t>
      </w:r>
      <w:r w:rsidR="00973146" w:rsidRPr="003F7F6C">
        <w:rPr>
          <w:rFonts w:eastAsia="Times New Roman" w:cs="Calibri"/>
          <w:i/>
          <w:iCs/>
          <w:szCs w:val="20"/>
          <w:lang w:eastAsia="es-ES_tradnl"/>
        </w:rPr>
        <w:t xml:space="preserve">; </w:t>
      </w:r>
      <w:r w:rsidR="00973146" w:rsidRPr="003F7F6C">
        <w:rPr>
          <w:rFonts w:eastAsia="Times New Roman" w:cs="Calibri"/>
          <w:szCs w:val="20"/>
          <w:lang w:eastAsia="es-ES_tradnl"/>
        </w:rPr>
        <w:t>Plains and Shrubs</w:t>
      </w:r>
      <w:r w:rsidR="00973146" w:rsidRPr="003F7F6C">
        <w:rPr>
          <w:rFonts w:eastAsia="Times New Roman" w:cs="Calibri"/>
          <w:i/>
          <w:iCs/>
          <w:szCs w:val="20"/>
          <w:lang w:eastAsia="es-ES_tradnl"/>
        </w:rPr>
        <w:t xml:space="preserve">; </w:t>
      </w:r>
      <w:r w:rsidR="00973146" w:rsidRPr="003F7F6C">
        <w:rPr>
          <w:rFonts w:eastAsia="Times New Roman" w:cs="Calibri"/>
          <w:szCs w:val="20"/>
          <w:lang w:eastAsia="es-ES_tradnl"/>
        </w:rPr>
        <w:t>Parana Delta and Flooded Savanna</w:t>
      </w:r>
      <w:r w:rsidR="00973146" w:rsidRPr="003F7F6C">
        <w:rPr>
          <w:rFonts w:eastAsia="Times New Roman" w:cs="Calibri"/>
          <w:i/>
          <w:iCs/>
          <w:szCs w:val="20"/>
          <w:lang w:eastAsia="es-ES_tradnl"/>
        </w:rPr>
        <w:t xml:space="preserve">; </w:t>
      </w:r>
      <w:r w:rsidR="00973146" w:rsidRPr="003F7F6C">
        <w:rPr>
          <w:rFonts w:eastAsia="Times New Roman" w:cs="Calibri"/>
          <w:szCs w:val="20"/>
          <w:lang w:eastAsia="es-ES_tradnl"/>
        </w:rPr>
        <w:t>Espinal</w:t>
      </w:r>
      <w:r w:rsidR="00973146" w:rsidRPr="003F7F6C">
        <w:rPr>
          <w:rFonts w:eastAsia="Times New Roman" w:cs="Calibri"/>
          <w:i/>
          <w:iCs/>
          <w:szCs w:val="20"/>
          <w:lang w:eastAsia="es-ES_tradnl"/>
        </w:rPr>
        <w:t xml:space="preserve">; </w:t>
      </w:r>
      <w:r w:rsidR="00973146" w:rsidRPr="003F7F6C">
        <w:rPr>
          <w:rFonts w:eastAsia="Times New Roman" w:cs="Calibri"/>
          <w:szCs w:val="20"/>
          <w:lang w:eastAsia="es-ES_tradnl"/>
        </w:rPr>
        <w:t>Pampas</w:t>
      </w:r>
      <w:r w:rsidR="00973146" w:rsidRPr="003F7F6C">
        <w:rPr>
          <w:rFonts w:eastAsia="Times New Roman" w:cs="Calibri"/>
          <w:i/>
          <w:iCs/>
          <w:szCs w:val="20"/>
          <w:lang w:eastAsia="es-ES_tradnl"/>
        </w:rPr>
        <w:t xml:space="preserve">; </w:t>
      </w:r>
      <w:r w:rsidR="00973146" w:rsidRPr="003F7F6C">
        <w:rPr>
          <w:rFonts w:eastAsia="Times New Roman" w:cs="Calibri"/>
          <w:szCs w:val="20"/>
          <w:lang w:eastAsia="es-ES_tradnl"/>
        </w:rPr>
        <w:t>Low Monte</w:t>
      </w:r>
      <w:r w:rsidR="00973146" w:rsidRPr="003F7F6C">
        <w:rPr>
          <w:rFonts w:eastAsia="Times New Roman" w:cs="Calibri"/>
          <w:i/>
          <w:iCs/>
          <w:szCs w:val="20"/>
          <w:lang w:eastAsia="es-ES_tradnl"/>
        </w:rPr>
        <w:t xml:space="preserve">; </w:t>
      </w:r>
      <w:r w:rsidR="00973146" w:rsidRPr="003F7F6C">
        <w:rPr>
          <w:rFonts w:eastAsia="Times New Roman" w:cs="Calibri"/>
          <w:szCs w:val="20"/>
          <w:lang w:eastAsia="es-ES_tradnl"/>
        </w:rPr>
        <w:t>Patagonian Steppe</w:t>
      </w:r>
      <w:r w:rsidR="00973146" w:rsidRPr="003F7F6C">
        <w:rPr>
          <w:rFonts w:eastAsia="Times New Roman" w:cs="Calibri"/>
          <w:i/>
          <w:iCs/>
          <w:szCs w:val="20"/>
          <w:lang w:eastAsia="es-ES_tradnl"/>
        </w:rPr>
        <w:t xml:space="preserve">; </w:t>
      </w:r>
      <w:r w:rsidR="00973146" w:rsidRPr="003F7F6C">
        <w:rPr>
          <w:rFonts w:eastAsia="Times New Roman" w:cs="Calibri"/>
          <w:szCs w:val="20"/>
          <w:lang w:eastAsia="es-ES_tradnl"/>
        </w:rPr>
        <w:t>Patagonian Forests</w:t>
      </w:r>
      <w:r w:rsidR="00973146" w:rsidRPr="003F7F6C">
        <w:rPr>
          <w:rFonts w:eastAsia="Times New Roman" w:cs="Calibri"/>
          <w:i/>
          <w:iCs/>
          <w:szCs w:val="20"/>
          <w:lang w:eastAsia="es-ES_tradnl"/>
        </w:rPr>
        <w:t xml:space="preserve">; </w:t>
      </w:r>
      <w:r w:rsidR="00973146" w:rsidRPr="003F7F6C">
        <w:rPr>
          <w:rFonts w:eastAsia="Times New Roman" w:cs="Calibri"/>
          <w:szCs w:val="20"/>
          <w:lang w:eastAsia="es-ES_tradnl"/>
        </w:rPr>
        <w:t>South Atlantic Islands, Argentine Sea and Antarctica</w:t>
      </w:r>
      <w:r w:rsidR="003263CE" w:rsidRPr="003F7F6C">
        <w:rPr>
          <w:rStyle w:val="FootnoteReference"/>
          <w:rFonts w:ascii="Calibri" w:eastAsia="Times New Roman" w:hAnsi="Calibri" w:cs="Calibri"/>
          <w:sz w:val="20"/>
          <w:szCs w:val="20"/>
          <w:lang w:eastAsia="es-ES_tradnl"/>
        </w:rPr>
        <w:footnoteReference w:id="2"/>
      </w:r>
      <w:r w:rsidR="00973146" w:rsidRPr="003F7F6C">
        <w:rPr>
          <w:rFonts w:eastAsia="Times New Roman" w:cs="Calibri"/>
          <w:szCs w:val="20"/>
          <w:lang w:eastAsia="es-ES_tradnl"/>
        </w:rPr>
        <w:t>. Of these, 8 have been classified amongst the highest priorities for conservation both nationally (National Biodiversity Strategy and Plan of Action- NBSAP) and regional</w:t>
      </w:r>
      <w:r w:rsidR="00486E7F" w:rsidRPr="003F7F6C">
        <w:rPr>
          <w:rFonts w:eastAsia="Times New Roman" w:cs="Calibri"/>
          <w:szCs w:val="20"/>
          <w:lang w:eastAsia="es-ES_tradnl"/>
        </w:rPr>
        <w:t>ly. Five are exclusive or semi-</w:t>
      </w:r>
      <w:r w:rsidR="00973146" w:rsidRPr="003F7F6C">
        <w:rPr>
          <w:rFonts w:eastAsia="Times New Roman" w:cs="Calibri"/>
          <w:szCs w:val="20"/>
          <w:lang w:eastAsia="es-ES_tradnl"/>
        </w:rPr>
        <w:t xml:space="preserve">exclusive to Argentina and house a significant number of endemic species. The Argentine Sea Ecoregion includes coastal environments considered unique due to the influence of the cold Malvinas currents along the south coast of Buenos Aires province. Arid, semi-arid, sub-humid and dry ecosystems cover 75% of the national territory. Collectively referred to as drylands, these ecosystems include dry forest, scrub, grasslands, high altitude deserts and Andean wetlands. </w:t>
      </w:r>
    </w:p>
    <w:p w14:paraId="79E69FB4" w14:textId="34EF5BCB" w:rsidR="00973146" w:rsidRPr="003F7F6C" w:rsidRDefault="00973146" w:rsidP="00E91275">
      <w:pPr>
        <w:numPr>
          <w:ilvl w:val="0"/>
          <w:numId w:val="28"/>
        </w:numPr>
        <w:tabs>
          <w:tab w:val="left" w:pos="426"/>
        </w:tabs>
        <w:spacing w:after="240"/>
        <w:ind w:left="0" w:firstLine="0"/>
        <w:rPr>
          <w:rFonts w:eastAsia="Times New Roman" w:cs="Calibri"/>
          <w:szCs w:val="20"/>
          <w:lang w:eastAsia="es-ES_tradnl"/>
        </w:rPr>
      </w:pPr>
      <w:r w:rsidRPr="003F7F6C">
        <w:rPr>
          <w:rFonts w:eastAsia="Times New Roman" w:cs="Calibri"/>
          <w:szCs w:val="20"/>
          <w:lang w:eastAsia="es-ES_tradnl"/>
        </w:rPr>
        <w:t xml:space="preserve">Global ecoregion classifications </w:t>
      </w:r>
      <w:r w:rsidR="001D791B" w:rsidRPr="003F7F6C">
        <w:rPr>
          <w:rFonts w:eastAsia="Times New Roman" w:cs="Calibri"/>
          <w:szCs w:val="20"/>
          <w:lang w:eastAsia="es-ES_tradnl"/>
        </w:rPr>
        <w:t xml:space="preserve">recognize </w:t>
      </w:r>
      <w:r w:rsidR="003263CE" w:rsidRPr="003F7F6C">
        <w:rPr>
          <w:rFonts w:eastAsia="Times New Roman" w:cs="Calibri"/>
          <w:szCs w:val="20"/>
          <w:lang w:eastAsia="es-ES_tradnl"/>
        </w:rPr>
        <w:t>this extraordinary diversity;</w:t>
      </w:r>
      <w:r w:rsidRPr="003F7F6C">
        <w:rPr>
          <w:rFonts w:eastAsia="Times New Roman" w:cs="Calibri"/>
          <w:szCs w:val="20"/>
          <w:lang w:eastAsia="es-ES_tradnl"/>
        </w:rPr>
        <w:t xml:space="preserve"> 16 ecoregions are recognized under the </w:t>
      </w:r>
      <w:r w:rsidR="00486E7F" w:rsidRPr="003F7F6C">
        <w:rPr>
          <w:rFonts w:eastAsia="Times New Roman" w:cs="Calibri"/>
          <w:szCs w:val="20"/>
          <w:lang w:eastAsia="es-ES_tradnl"/>
        </w:rPr>
        <w:t>World Wide Fund (</w:t>
      </w:r>
      <w:r w:rsidRPr="003F7F6C">
        <w:rPr>
          <w:rFonts w:eastAsia="Times New Roman" w:cs="Calibri"/>
          <w:szCs w:val="20"/>
          <w:lang w:eastAsia="es-ES_tradnl"/>
        </w:rPr>
        <w:t>WWF</w:t>
      </w:r>
      <w:r w:rsidR="00486E7F" w:rsidRPr="003F7F6C">
        <w:rPr>
          <w:rFonts w:eastAsia="Times New Roman" w:cs="Calibri"/>
          <w:szCs w:val="20"/>
          <w:lang w:eastAsia="es-ES_tradnl"/>
        </w:rPr>
        <w:t>)</w:t>
      </w:r>
      <w:r w:rsidRPr="003F7F6C">
        <w:rPr>
          <w:rFonts w:eastAsia="Times New Roman" w:cs="Calibri"/>
          <w:szCs w:val="20"/>
          <w:lang w:eastAsia="es-ES_tradnl"/>
        </w:rPr>
        <w:t xml:space="preserve"> classification of which 6 are included in the Global 200 </w:t>
      </w:r>
      <w:r w:rsidR="003263CE" w:rsidRPr="003F7F6C">
        <w:rPr>
          <w:rFonts w:eastAsia="Times New Roman" w:cs="Calibri"/>
          <w:szCs w:val="20"/>
          <w:lang w:eastAsia="es-ES_tradnl"/>
        </w:rPr>
        <w:t>List</w:t>
      </w:r>
      <w:r w:rsidRPr="003F7F6C">
        <w:rPr>
          <w:rFonts w:eastAsia="Times New Roman" w:cs="Calibri"/>
          <w:szCs w:val="20"/>
          <w:lang w:eastAsia="es-ES_tradnl"/>
        </w:rPr>
        <w:t xml:space="preserve">: Patagonian Steppe, Valdivian Forest, Dry Puna; Dry Central Puna; Yungas Forest; Atlantic Forest; and High Andean Lakes. The Parana Delta and Flooded Savanna forms part of the large river Parana ecoregion also </w:t>
      </w:r>
      <w:r w:rsidR="001D791B" w:rsidRPr="003F7F6C">
        <w:rPr>
          <w:rFonts w:eastAsia="Times New Roman" w:cs="Calibri"/>
          <w:szCs w:val="20"/>
          <w:lang w:eastAsia="es-ES_tradnl"/>
        </w:rPr>
        <w:t xml:space="preserve">known </w:t>
      </w:r>
      <w:r w:rsidRPr="003F7F6C">
        <w:rPr>
          <w:rFonts w:eastAsia="Times New Roman" w:cs="Calibri"/>
          <w:szCs w:val="20"/>
          <w:lang w:eastAsia="es-ES_tradnl"/>
        </w:rPr>
        <w:t>for its significant biodiversity. The Pampas grasslands have several Valuable Grassland Areas (VGA). Collectively these ecoregions house 10,006 species of vascular plants out of which 1,749 are country endemic species</w:t>
      </w:r>
      <w:r w:rsidR="00BB512B" w:rsidRPr="003F7F6C">
        <w:rPr>
          <w:rStyle w:val="FootnoteReference"/>
          <w:rFonts w:eastAsia="Times New Roman"/>
          <w:szCs w:val="20"/>
          <w:lang w:eastAsia="es-ES_tradnl"/>
        </w:rPr>
        <w:footnoteReference w:id="3"/>
      </w:r>
      <w:r w:rsidRPr="003F7F6C">
        <w:rPr>
          <w:rFonts w:eastAsia="Times New Roman" w:cs="Calibri"/>
          <w:szCs w:val="20"/>
          <w:lang w:eastAsia="es-ES_tradnl"/>
        </w:rPr>
        <w:t xml:space="preserve">. </w:t>
      </w:r>
      <w:r w:rsidR="00192B14" w:rsidRPr="003F7F6C">
        <w:rPr>
          <w:rFonts w:eastAsia="Times New Roman" w:cs="Calibri"/>
          <w:szCs w:val="20"/>
          <w:lang w:eastAsia="es-ES_tradnl"/>
        </w:rPr>
        <w:t>There are 385 mammal species</w:t>
      </w:r>
      <w:r w:rsidR="00BB512B" w:rsidRPr="003F7F6C">
        <w:rPr>
          <w:rStyle w:val="FootnoteReference"/>
          <w:rFonts w:eastAsia="Times New Roman"/>
          <w:szCs w:val="20"/>
          <w:lang w:eastAsia="es-ES_tradnl"/>
        </w:rPr>
        <w:footnoteReference w:id="4"/>
      </w:r>
      <w:r w:rsidR="00192B14" w:rsidRPr="003F7F6C">
        <w:rPr>
          <w:rFonts w:eastAsia="Times New Roman" w:cs="Calibri"/>
          <w:szCs w:val="20"/>
          <w:lang w:eastAsia="es-ES_tradnl"/>
        </w:rPr>
        <w:t>; 1,002 bird species</w:t>
      </w:r>
      <w:r w:rsidR="00BB512B" w:rsidRPr="003F7F6C">
        <w:rPr>
          <w:rStyle w:val="FootnoteReference"/>
          <w:rFonts w:eastAsia="Times New Roman"/>
          <w:szCs w:val="20"/>
          <w:lang w:eastAsia="es-ES_tradnl"/>
        </w:rPr>
        <w:footnoteReference w:id="5"/>
      </w:r>
      <w:r w:rsidR="00192B14" w:rsidRPr="003F7F6C">
        <w:rPr>
          <w:rFonts w:eastAsia="Times New Roman" w:cs="Calibri"/>
          <w:szCs w:val="20"/>
          <w:lang w:eastAsia="es-ES_tradnl"/>
        </w:rPr>
        <w:t>; 175 amphibian species</w:t>
      </w:r>
      <w:r w:rsidR="00BB512B" w:rsidRPr="003F7F6C">
        <w:rPr>
          <w:rStyle w:val="FootnoteReference"/>
          <w:rFonts w:eastAsia="Times New Roman"/>
          <w:szCs w:val="20"/>
          <w:lang w:eastAsia="es-ES_tradnl"/>
        </w:rPr>
        <w:footnoteReference w:id="6"/>
      </w:r>
      <w:r w:rsidR="00192B14" w:rsidRPr="003F7F6C">
        <w:rPr>
          <w:rFonts w:eastAsia="Times New Roman" w:cs="Calibri"/>
          <w:szCs w:val="20"/>
          <w:lang w:eastAsia="es-ES_tradnl"/>
        </w:rPr>
        <w:t>; 256 lizard and amphisbaena species</w:t>
      </w:r>
      <w:r w:rsidR="00BB512B" w:rsidRPr="003F7F6C">
        <w:rPr>
          <w:rStyle w:val="FootnoteReference"/>
          <w:rFonts w:eastAsia="Times New Roman"/>
          <w:szCs w:val="20"/>
          <w:lang w:eastAsia="es-ES_tradnl"/>
        </w:rPr>
        <w:footnoteReference w:id="7"/>
      </w:r>
      <w:r w:rsidR="00192B14" w:rsidRPr="003F7F6C">
        <w:rPr>
          <w:rFonts w:eastAsia="Times New Roman" w:cs="Calibri"/>
          <w:szCs w:val="20"/>
          <w:lang w:eastAsia="es-ES_tradnl"/>
        </w:rPr>
        <w:t>; 136 snake species</w:t>
      </w:r>
      <w:r w:rsidR="00BB512B" w:rsidRPr="003F7F6C">
        <w:rPr>
          <w:rStyle w:val="FootnoteReference"/>
          <w:rFonts w:eastAsia="Times New Roman"/>
          <w:szCs w:val="20"/>
          <w:lang w:eastAsia="es-ES_tradnl"/>
        </w:rPr>
        <w:footnoteReference w:id="8"/>
      </w:r>
      <w:r w:rsidR="00192B14" w:rsidRPr="003F7F6C">
        <w:rPr>
          <w:rFonts w:eastAsia="Times New Roman" w:cs="Calibri"/>
          <w:position w:val="10"/>
          <w:szCs w:val="20"/>
          <w:lang w:eastAsia="es-ES_tradnl"/>
        </w:rPr>
        <w:t xml:space="preserve"> </w:t>
      </w:r>
      <w:r w:rsidR="00192B14" w:rsidRPr="003F7F6C">
        <w:rPr>
          <w:rFonts w:eastAsia="Times New Roman" w:cs="Calibri"/>
          <w:szCs w:val="20"/>
          <w:lang w:eastAsia="es-ES_tradnl"/>
        </w:rPr>
        <w:t>and 14 turtle species</w:t>
      </w:r>
      <w:r w:rsidR="00BB512B" w:rsidRPr="003F7F6C">
        <w:rPr>
          <w:rStyle w:val="FootnoteReference"/>
          <w:rFonts w:eastAsia="Times New Roman"/>
          <w:szCs w:val="20"/>
          <w:lang w:eastAsia="es-ES_tradnl"/>
        </w:rPr>
        <w:footnoteReference w:id="9"/>
      </w:r>
      <w:r w:rsidR="00192B14" w:rsidRPr="003F7F6C">
        <w:rPr>
          <w:rFonts w:eastAsia="Times New Roman" w:cs="Calibri"/>
          <w:szCs w:val="20"/>
          <w:lang w:eastAsia="es-ES_tradnl"/>
        </w:rPr>
        <w:t>. Within invertebrates, around 110,000 arthropods</w:t>
      </w:r>
      <w:r w:rsidR="00BB512B" w:rsidRPr="003F7F6C">
        <w:rPr>
          <w:rStyle w:val="FootnoteReference"/>
          <w:rFonts w:eastAsia="Times New Roman"/>
          <w:szCs w:val="20"/>
          <w:lang w:eastAsia="es-ES_tradnl"/>
        </w:rPr>
        <w:footnoteReference w:id="10"/>
      </w:r>
      <w:r w:rsidR="00192B14" w:rsidRPr="003F7F6C">
        <w:rPr>
          <w:rFonts w:eastAsia="Times New Roman" w:cs="Calibri"/>
          <w:szCs w:val="20"/>
          <w:lang w:eastAsia="es-ES_tradnl"/>
        </w:rPr>
        <w:t xml:space="preserve"> are believed to live in the country, and also 550 mollusk species, and 550 annelid species.</w:t>
      </w:r>
    </w:p>
    <w:p w14:paraId="1F89B2EE" w14:textId="77777777" w:rsidR="008A52AB" w:rsidRPr="003F7F6C" w:rsidRDefault="00973146" w:rsidP="00E91275">
      <w:pPr>
        <w:numPr>
          <w:ilvl w:val="0"/>
          <w:numId w:val="28"/>
        </w:numPr>
        <w:tabs>
          <w:tab w:val="left" w:pos="426"/>
        </w:tabs>
        <w:spacing w:after="240"/>
        <w:ind w:left="0" w:firstLine="0"/>
        <w:rPr>
          <w:rFonts w:eastAsia="Times New Roman" w:cs="Calibri"/>
          <w:szCs w:val="20"/>
          <w:lang w:eastAsia="es-ES_tradnl"/>
        </w:rPr>
      </w:pPr>
      <w:r w:rsidRPr="003F7F6C">
        <w:rPr>
          <w:rFonts w:eastAsia="Times New Roman" w:cs="Calibri"/>
          <w:szCs w:val="20"/>
          <w:lang w:eastAsia="es-ES_tradnl"/>
        </w:rPr>
        <w:t>With a population of 40,117,096 inhabitants in 2010</w:t>
      </w:r>
      <w:r w:rsidR="00D07958" w:rsidRPr="003F7F6C">
        <w:rPr>
          <w:rStyle w:val="FootnoteReference"/>
          <w:rFonts w:eastAsia="Times New Roman"/>
          <w:szCs w:val="20"/>
          <w:lang w:eastAsia="es-ES_tradnl"/>
        </w:rPr>
        <w:footnoteReference w:id="11"/>
      </w:r>
      <w:r w:rsidRPr="003F7F6C">
        <w:rPr>
          <w:rFonts w:eastAsia="Times New Roman" w:cs="Calibri"/>
          <w:szCs w:val="20"/>
          <w:lang w:eastAsia="es-ES_tradnl"/>
        </w:rPr>
        <w:t xml:space="preserve">, and an economy based on its natural resources, these ecoregions also provide key ecosystem services for society at large and a broad range of production sectors, particularly conservation of land </w:t>
      </w:r>
      <w:r w:rsidR="00203898" w:rsidRPr="003F7F6C">
        <w:rPr>
          <w:rFonts w:eastAsia="Times New Roman" w:cs="Calibri"/>
          <w:szCs w:val="20"/>
          <w:lang w:eastAsia="es-ES_tradnl"/>
        </w:rPr>
        <w:t xml:space="preserve">and soil </w:t>
      </w:r>
      <w:r w:rsidRPr="003F7F6C">
        <w:rPr>
          <w:rFonts w:eastAsia="Times New Roman" w:cs="Calibri"/>
          <w:szCs w:val="20"/>
          <w:lang w:eastAsia="es-ES_tradnl"/>
        </w:rPr>
        <w:t>for agriculture and livestock breeding in the Pampas, Wet Chaco and Dry Chaco ecoregions which are the main producers and exporters of farm products. Other ecoregions such as the Parana Delta and Flooded Savanna render services to sustain wetlands and related fisheries in the River Plate basin. Ecoregions such as the High Andes, Parana Forest, Yungas Forest and Patagonian Forest are water producers, and, overall, they provide key services not only at the global level but also for the national economy and the population’s well</w:t>
      </w:r>
      <w:r w:rsidR="00486E7F" w:rsidRPr="003F7F6C">
        <w:rPr>
          <w:rFonts w:eastAsia="Times New Roman" w:cs="Calibri"/>
          <w:szCs w:val="20"/>
          <w:lang w:eastAsia="es-ES_tradnl"/>
        </w:rPr>
        <w:t>-</w:t>
      </w:r>
      <w:r w:rsidRPr="003F7F6C">
        <w:rPr>
          <w:rFonts w:eastAsia="Times New Roman" w:cs="Calibri"/>
          <w:szCs w:val="20"/>
          <w:lang w:eastAsia="es-ES_tradnl"/>
        </w:rPr>
        <w:t>being.</w:t>
      </w:r>
    </w:p>
    <w:p w14:paraId="00A215BA" w14:textId="77777777" w:rsidR="00674844" w:rsidRPr="003F7F6C" w:rsidRDefault="008A52AB" w:rsidP="00E91275">
      <w:pPr>
        <w:numPr>
          <w:ilvl w:val="0"/>
          <w:numId w:val="28"/>
        </w:numPr>
        <w:tabs>
          <w:tab w:val="left" w:pos="426"/>
        </w:tabs>
        <w:spacing w:after="240"/>
        <w:ind w:left="0" w:firstLine="0"/>
        <w:rPr>
          <w:rFonts w:eastAsia="Times New Roman" w:cs="Calibri"/>
          <w:szCs w:val="20"/>
          <w:lang w:eastAsia="es-ES_tradnl"/>
        </w:rPr>
      </w:pPr>
      <w:r w:rsidRPr="003F7F6C">
        <w:rPr>
          <w:rFonts w:eastAsia="Times New Roman" w:cs="Calibri"/>
          <w:b/>
          <w:bCs/>
          <w:szCs w:val="20"/>
          <w:lang w:eastAsia="es-ES_tradnl"/>
        </w:rPr>
        <w:t xml:space="preserve">Problem to be addressed. </w:t>
      </w:r>
      <w:r w:rsidRPr="003F7F6C">
        <w:rPr>
          <w:rFonts w:eastAsia="Times New Roman" w:cs="Calibri"/>
          <w:szCs w:val="20"/>
          <w:lang w:eastAsia="es-ES_tradnl"/>
        </w:rPr>
        <w:t xml:space="preserve">The country has taken measures to protect the core areas important for biodiversity conservation. Currently the country has 440 public and private protected areas (PA) covering 12% of the country. </w:t>
      </w:r>
      <w:r w:rsidR="00026EAD" w:rsidRPr="003F7F6C">
        <w:rPr>
          <w:rFonts w:eastAsia="Times New Roman" w:cs="Calibri"/>
          <w:szCs w:val="20"/>
          <w:lang w:eastAsia="es-ES_tradnl"/>
        </w:rPr>
        <w:t xml:space="preserve">A total of </w:t>
      </w:r>
      <w:r w:rsidRPr="003F7F6C">
        <w:rPr>
          <w:rFonts w:eastAsia="Times New Roman" w:cs="Calibri"/>
          <w:szCs w:val="20"/>
          <w:lang w:eastAsia="es-ES_tradnl"/>
        </w:rPr>
        <w:t>13% are coastal-marine; 53 are under the national jurisdiction of the National Parks Administration (APN) and 386 are under the 23 Provinces and CABA jurisdiction</w:t>
      </w:r>
      <w:r w:rsidR="00D07958" w:rsidRPr="003F7F6C">
        <w:rPr>
          <w:rStyle w:val="FootnoteReference"/>
          <w:rFonts w:eastAsia="Times New Roman"/>
          <w:szCs w:val="20"/>
          <w:lang w:eastAsia="es-ES_tradnl"/>
        </w:rPr>
        <w:footnoteReference w:id="12"/>
      </w:r>
      <w:r w:rsidRPr="003F7F6C">
        <w:rPr>
          <w:rFonts w:eastAsia="Times New Roman" w:cs="Calibri"/>
          <w:szCs w:val="20"/>
          <w:lang w:eastAsia="es-ES_tradnl"/>
        </w:rPr>
        <w:t>. They include 21 Ramsar sites and 15 Biosphere Reserves in the MAB-UNESCO Programme</w:t>
      </w:r>
      <w:r w:rsidRPr="003F7F6C">
        <w:rPr>
          <w:rFonts w:eastAsia="Times New Roman" w:cs="Calibri"/>
          <w:position w:val="10"/>
          <w:szCs w:val="20"/>
          <w:lang w:eastAsia="es-ES_tradnl"/>
        </w:rPr>
        <w:t xml:space="preserve"> </w:t>
      </w:r>
      <w:r w:rsidRPr="003F7F6C">
        <w:rPr>
          <w:rFonts w:eastAsia="Times New Roman" w:cs="Calibri"/>
          <w:szCs w:val="20"/>
          <w:lang w:eastAsia="es-ES_tradnl"/>
        </w:rPr>
        <w:t xml:space="preserve">and </w:t>
      </w:r>
      <w:r w:rsidR="00026EAD" w:rsidRPr="003F7F6C">
        <w:rPr>
          <w:rFonts w:eastAsia="Times New Roman" w:cs="Calibri"/>
          <w:szCs w:val="20"/>
          <w:lang w:eastAsia="es-ES_tradnl"/>
        </w:rPr>
        <w:t>four</w:t>
      </w:r>
      <w:r w:rsidRPr="003F7F6C">
        <w:rPr>
          <w:rFonts w:eastAsia="Times New Roman" w:cs="Calibri"/>
          <w:szCs w:val="20"/>
          <w:lang w:eastAsia="es-ES_tradnl"/>
        </w:rPr>
        <w:t xml:space="preserve"> World Heritage Sites. In addition, the country has </w:t>
      </w:r>
      <w:r w:rsidR="00026EAD" w:rsidRPr="003F7F6C">
        <w:rPr>
          <w:rFonts w:eastAsia="Times New Roman" w:cs="Calibri"/>
          <w:szCs w:val="20"/>
          <w:lang w:eastAsia="es-ES_tradnl"/>
        </w:rPr>
        <w:t>eight</w:t>
      </w:r>
      <w:r w:rsidRPr="003F7F6C">
        <w:rPr>
          <w:rFonts w:eastAsia="Times New Roman" w:cs="Calibri"/>
          <w:szCs w:val="20"/>
          <w:lang w:eastAsia="es-ES_tradnl"/>
        </w:rPr>
        <w:t xml:space="preserve"> sites in the Western Hemisphere Shorebird Reserve Network (WHSRN), </w:t>
      </w:r>
      <w:r w:rsidR="00026EAD" w:rsidRPr="003F7F6C">
        <w:rPr>
          <w:rFonts w:eastAsia="Times New Roman" w:cs="Calibri"/>
          <w:szCs w:val="20"/>
          <w:lang w:eastAsia="es-ES_tradnl"/>
        </w:rPr>
        <w:t>four</w:t>
      </w:r>
      <w:r w:rsidR="00486E7F" w:rsidRPr="003F7F6C">
        <w:rPr>
          <w:rFonts w:eastAsia="Times New Roman" w:cs="Calibri"/>
          <w:szCs w:val="20"/>
          <w:lang w:eastAsia="es-ES_tradnl"/>
        </w:rPr>
        <w:t xml:space="preserve"> </w:t>
      </w:r>
      <w:r w:rsidRPr="003F7F6C">
        <w:rPr>
          <w:rFonts w:eastAsia="Times New Roman" w:cs="Calibri"/>
          <w:szCs w:val="20"/>
          <w:lang w:eastAsia="es-ES_tradnl"/>
        </w:rPr>
        <w:t xml:space="preserve">of global importance, </w:t>
      </w:r>
      <w:r w:rsidR="00026EAD" w:rsidRPr="003F7F6C">
        <w:rPr>
          <w:rFonts w:eastAsia="Times New Roman" w:cs="Calibri"/>
          <w:szCs w:val="20"/>
          <w:lang w:eastAsia="es-ES_tradnl"/>
        </w:rPr>
        <w:t>two</w:t>
      </w:r>
      <w:r w:rsidRPr="003F7F6C">
        <w:rPr>
          <w:rFonts w:eastAsia="Times New Roman" w:cs="Calibri"/>
          <w:szCs w:val="20"/>
          <w:lang w:eastAsia="es-ES_tradnl"/>
        </w:rPr>
        <w:t xml:space="preserve"> hemisp</w:t>
      </w:r>
      <w:r w:rsidR="00486E7F" w:rsidRPr="003F7F6C">
        <w:rPr>
          <w:rFonts w:eastAsia="Times New Roman" w:cs="Calibri"/>
          <w:szCs w:val="20"/>
          <w:lang w:eastAsia="es-ES_tradnl"/>
        </w:rPr>
        <w:t xml:space="preserve">heric and </w:t>
      </w:r>
      <w:r w:rsidR="00026EAD" w:rsidRPr="003F7F6C">
        <w:rPr>
          <w:rFonts w:eastAsia="Times New Roman" w:cs="Calibri"/>
          <w:szCs w:val="20"/>
          <w:lang w:eastAsia="es-ES_tradnl"/>
        </w:rPr>
        <w:t>two</w:t>
      </w:r>
      <w:r w:rsidR="00486E7F" w:rsidRPr="003F7F6C">
        <w:rPr>
          <w:rFonts w:eastAsia="Times New Roman" w:cs="Calibri"/>
          <w:szCs w:val="20"/>
          <w:lang w:eastAsia="es-ES_tradnl"/>
        </w:rPr>
        <w:t xml:space="preserve"> </w:t>
      </w:r>
      <w:r w:rsidR="00026EAD" w:rsidRPr="003F7F6C">
        <w:rPr>
          <w:rFonts w:eastAsia="Times New Roman" w:cs="Calibri"/>
          <w:szCs w:val="20"/>
          <w:lang w:eastAsia="es-ES_tradnl"/>
        </w:rPr>
        <w:t xml:space="preserve">of </w:t>
      </w:r>
      <w:r w:rsidR="00486E7F" w:rsidRPr="003F7F6C">
        <w:rPr>
          <w:rFonts w:eastAsia="Times New Roman" w:cs="Calibri"/>
          <w:szCs w:val="20"/>
          <w:lang w:eastAsia="es-ES_tradnl"/>
        </w:rPr>
        <w:t>regional importance</w:t>
      </w:r>
      <w:r w:rsidRPr="003F7F6C">
        <w:rPr>
          <w:rFonts w:eastAsia="Times New Roman" w:cs="Calibri"/>
          <w:szCs w:val="20"/>
          <w:lang w:eastAsia="es-ES_tradnl"/>
        </w:rPr>
        <w:t>. It has 47 Valuable Grassland Areas (VGAs); 273 Important Bird and Biodiversity Areas</w:t>
      </w:r>
      <w:r w:rsidR="008C0FEB" w:rsidRPr="003F7F6C">
        <w:rPr>
          <w:rStyle w:val="FootnoteReference"/>
          <w:rFonts w:eastAsia="Times New Roman"/>
          <w:szCs w:val="20"/>
          <w:lang w:eastAsia="es-ES_tradnl"/>
        </w:rPr>
        <w:footnoteReference w:id="13"/>
      </w:r>
      <w:r w:rsidRPr="003F7F6C">
        <w:rPr>
          <w:rFonts w:eastAsia="Times New Roman" w:cs="Calibri"/>
          <w:szCs w:val="20"/>
          <w:lang w:eastAsia="es-ES_tradnl"/>
        </w:rPr>
        <w:t>,</w:t>
      </w:r>
      <w:r w:rsidR="00486E7F" w:rsidRPr="003F7F6C">
        <w:rPr>
          <w:rFonts w:eastAsia="Times New Roman" w:cs="Calibri"/>
          <w:szCs w:val="20"/>
          <w:lang w:eastAsia="es-ES_tradnl"/>
        </w:rPr>
        <w:t xml:space="preserve"> and</w:t>
      </w:r>
      <w:r w:rsidRPr="003F7F6C">
        <w:rPr>
          <w:rFonts w:eastAsia="Times New Roman" w:cs="Calibri"/>
          <w:szCs w:val="20"/>
          <w:lang w:eastAsia="es-ES_tradnl"/>
        </w:rPr>
        <w:t xml:space="preserve"> 192 private natural reserves covering 726,000</w:t>
      </w:r>
      <w:r w:rsidRPr="003F7F6C">
        <w:rPr>
          <w:rFonts w:eastAsia="Times New Roman" w:cs="Calibri"/>
          <w:position w:val="8"/>
          <w:szCs w:val="20"/>
          <w:lang w:eastAsia="es-ES_tradnl"/>
        </w:rPr>
        <w:t xml:space="preserve"> </w:t>
      </w:r>
      <w:r w:rsidRPr="003F7F6C">
        <w:rPr>
          <w:rFonts w:eastAsia="Times New Roman" w:cs="Calibri"/>
          <w:szCs w:val="20"/>
          <w:lang w:eastAsia="es-ES_tradnl"/>
        </w:rPr>
        <w:t xml:space="preserve">ha. </w:t>
      </w:r>
    </w:p>
    <w:p w14:paraId="65283C10" w14:textId="12DF6F96" w:rsidR="00674844" w:rsidRPr="003F7F6C" w:rsidRDefault="00674844" w:rsidP="00E91275">
      <w:pPr>
        <w:numPr>
          <w:ilvl w:val="0"/>
          <w:numId w:val="28"/>
        </w:numPr>
        <w:tabs>
          <w:tab w:val="left" w:pos="426"/>
        </w:tabs>
        <w:spacing w:after="240"/>
        <w:ind w:left="0" w:firstLine="0"/>
        <w:rPr>
          <w:rFonts w:eastAsia="Times New Roman" w:cs="Calibri"/>
          <w:szCs w:val="20"/>
          <w:lang w:eastAsia="es-ES_tradnl"/>
        </w:rPr>
      </w:pPr>
      <w:r w:rsidRPr="003F7F6C">
        <w:rPr>
          <w:rFonts w:eastAsia="Times New Roman" w:cs="Calibri"/>
          <w:szCs w:val="20"/>
          <w:lang w:eastAsia="es-ES_tradnl"/>
        </w:rPr>
        <w:t>Despite these significant steps</w:t>
      </w:r>
      <w:r w:rsidR="00026EAD" w:rsidRPr="003F7F6C">
        <w:rPr>
          <w:rFonts w:eastAsia="Times New Roman" w:cs="Calibri"/>
          <w:szCs w:val="20"/>
          <w:lang w:eastAsia="es-ES_tradnl"/>
        </w:rPr>
        <w:t xml:space="preserve"> in establishing protected areas,</w:t>
      </w:r>
      <w:r w:rsidRPr="003F7F6C">
        <w:rPr>
          <w:rFonts w:eastAsia="Times New Roman" w:cs="Calibri"/>
          <w:szCs w:val="20"/>
          <w:lang w:eastAsia="es-ES_tradnl"/>
        </w:rPr>
        <w:t xml:space="preserve"> large expanses of key ecosystems remain throughout the production lands and are increasing</w:t>
      </w:r>
      <w:r w:rsidR="00486E7F" w:rsidRPr="003F7F6C">
        <w:rPr>
          <w:rFonts w:eastAsia="Times New Roman" w:cs="Calibri"/>
          <w:szCs w:val="20"/>
          <w:lang w:eastAsia="es-ES_tradnl"/>
        </w:rPr>
        <w:t>ly threatened by: 1)</w:t>
      </w:r>
      <w:r w:rsidRPr="003F7F6C">
        <w:rPr>
          <w:rFonts w:eastAsia="Times New Roman" w:cs="Calibri"/>
          <w:szCs w:val="20"/>
          <w:lang w:eastAsia="es-ES_tradnl"/>
        </w:rPr>
        <w:t xml:space="preserve"> </w:t>
      </w:r>
      <w:r w:rsidRPr="003F7F6C">
        <w:rPr>
          <w:rFonts w:eastAsia="Times New Roman" w:cs="Calibri"/>
          <w:b/>
          <w:bCs/>
          <w:szCs w:val="20"/>
          <w:lang w:eastAsia="es-ES_tradnl"/>
        </w:rPr>
        <w:t xml:space="preserve">Habitat loss and ecosystem fragmentation: </w:t>
      </w:r>
      <w:r w:rsidRPr="003F7F6C">
        <w:rPr>
          <w:rFonts w:eastAsia="Times New Roman" w:cs="Calibri"/>
          <w:szCs w:val="20"/>
          <w:lang w:eastAsia="es-ES_tradnl"/>
        </w:rPr>
        <w:t>land-use changes are the main cause leading t</w:t>
      </w:r>
      <w:r w:rsidR="00486E7F" w:rsidRPr="003F7F6C">
        <w:rPr>
          <w:rFonts w:eastAsia="Times New Roman" w:cs="Calibri"/>
          <w:szCs w:val="20"/>
          <w:lang w:eastAsia="es-ES_tradnl"/>
        </w:rPr>
        <w:t>o biodiversity</w:t>
      </w:r>
      <w:r w:rsidR="00957161" w:rsidRPr="003F7F6C">
        <w:rPr>
          <w:rFonts w:eastAsia="Times New Roman" w:cs="Calibri"/>
          <w:szCs w:val="20"/>
          <w:lang w:eastAsia="es-ES_tradnl"/>
        </w:rPr>
        <w:t xml:space="preserve"> (BD)</w:t>
      </w:r>
      <w:r w:rsidR="00486E7F" w:rsidRPr="003F7F6C">
        <w:rPr>
          <w:rFonts w:eastAsia="Times New Roman" w:cs="Calibri"/>
          <w:szCs w:val="20"/>
          <w:lang w:eastAsia="es-ES_tradnl"/>
        </w:rPr>
        <w:t xml:space="preserve"> loss</w:t>
      </w:r>
      <w:r w:rsidRPr="003F7F6C">
        <w:rPr>
          <w:rFonts w:eastAsia="Times New Roman" w:cs="Calibri"/>
          <w:szCs w:val="20"/>
          <w:lang w:eastAsia="es-ES_tradnl"/>
        </w:rPr>
        <w:t xml:space="preserve">. </w:t>
      </w:r>
      <w:r w:rsidR="00026EAD" w:rsidRPr="003F7F6C">
        <w:rPr>
          <w:rFonts w:eastAsia="Times New Roman" w:cs="Calibri"/>
          <w:szCs w:val="20"/>
          <w:lang w:eastAsia="es-ES_tradnl"/>
        </w:rPr>
        <w:t xml:space="preserve">They </w:t>
      </w:r>
      <w:r w:rsidRPr="003F7F6C">
        <w:rPr>
          <w:rFonts w:eastAsia="Times New Roman" w:cs="Calibri"/>
          <w:szCs w:val="20"/>
          <w:lang w:eastAsia="es-ES_tradnl"/>
        </w:rPr>
        <w:t xml:space="preserve">also lead to the emission of carbon from </w:t>
      </w:r>
      <w:r w:rsidR="00026EAD" w:rsidRPr="003F7F6C">
        <w:rPr>
          <w:rFonts w:eastAsia="Times New Roman" w:cs="Calibri"/>
          <w:szCs w:val="20"/>
          <w:lang w:eastAsia="es-ES_tradnl"/>
        </w:rPr>
        <w:t xml:space="preserve">the </w:t>
      </w:r>
      <w:r w:rsidRPr="003F7F6C">
        <w:rPr>
          <w:rFonts w:eastAsia="Times New Roman" w:cs="Calibri"/>
          <w:szCs w:val="20"/>
          <w:lang w:eastAsia="es-ES_tradnl"/>
        </w:rPr>
        <w:t xml:space="preserve">reduction of forest and scrub stocks and to land degradation processes </w:t>
      </w:r>
      <w:r w:rsidR="00486E7F" w:rsidRPr="003F7F6C">
        <w:rPr>
          <w:rFonts w:eastAsia="Times New Roman" w:cs="Calibri"/>
          <w:szCs w:val="20"/>
          <w:lang w:eastAsia="es-ES_tradnl"/>
        </w:rPr>
        <w:t>and water and soil pollution; 2)</w:t>
      </w:r>
      <w:r w:rsidRPr="003F7F6C">
        <w:rPr>
          <w:rFonts w:eastAsia="Times New Roman" w:cs="Calibri"/>
          <w:szCs w:val="20"/>
          <w:lang w:eastAsia="es-ES_tradnl"/>
        </w:rPr>
        <w:t xml:space="preserve"> </w:t>
      </w:r>
      <w:r w:rsidRPr="003F7F6C">
        <w:rPr>
          <w:rFonts w:eastAsia="Times New Roman" w:cs="Calibri"/>
          <w:b/>
          <w:bCs/>
          <w:szCs w:val="20"/>
          <w:lang w:eastAsia="es-ES_tradnl"/>
        </w:rPr>
        <w:t xml:space="preserve">Climate change and invasive alien species </w:t>
      </w:r>
      <w:r w:rsidRPr="003F7F6C">
        <w:rPr>
          <w:rFonts w:eastAsia="Times New Roman" w:cs="Calibri"/>
          <w:szCs w:val="20"/>
          <w:lang w:eastAsia="es-ES_tradnl"/>
        </w:rPr>
        <w:t>(IAS) are secondary causes of biodiversity loss. One of the main pathway</w:t>
      </w:r>
      <w:r w:rsidR="00486E7F" w:rsidRPr="003F7F6C">
        <w:rPr>
          <w:rFonts w:eastAsia="Times New Roman" w:cs="Calibri"/>
          <w:szCs w:val="20"/>
          <w:lang w:eastAsia="es-ES_tradnl"/>
        </w:rPr>
        <w:t>s</w:t>
      </w:r>
      <w:r w:rsidRPr="003F7F6C">
        <w:rPr>
          <w:rFonts w:eastAsia="Times New Roman" w:cs="Calibri"/>
          <w:szCs w:val="20"/>
          <w:lang w:eastAsia="es-ES_tradnl"/>
        </w:rPr>
        <w:t xml:space="preserve"> of introduction </w:t>
      </w:r>
      <w:r w:rsidR="00026EAD" w:rsidRPr="003F7F6C">
        <w:rPr>
          <w:rFonts w:eastAsia="Times New Roman" w:cs="Calibri"/>
          <w:szCs w:val="20"/>
          <w:lang w:eastAsia="es-ES_tradnl"/>
        </w:rPr>
        <w:t xml:space="preserve">of IAS </w:t>
      </w:r>
      <w:r w:rsidRPr="003F7F6C">
        <w:rPr>
          <w:rFonts w:eastAsia="Times New Roman" w:cs="Calibri"/>
          <w:szCs w:val="20"/>
          <w:lang w:eastAsia="es-ES_tradnl"/>
        </w:rPr>
        <w:t xml:space="preserve">is the expansion of the agricultural frontier. The spread of IAS in different ecoregions has caused biodiversity losses through inter-specific competition and changes as well as socioeconomic impacts (654 invasive plant, vertebrate, invertebrate, algae and alien fungi species have been recorded). </w:t>
      </w:r>
      <w:r w:rsidR="00165049" w:rsidRPr="003F7F6C">
        <w:rPr>
          <w:rFonts w:ascii="Calibri Light" w:hAnsi="Calibri Light" w:cs="Calibri Light"/>
          <w:szCs w:val="20"/>
        </w:rPr>
        <w:t>Climate scenarios described in Argentina´s Third National Communication indicate in general increases in the high temperature and rainfall extremes in most of the country. Given the extension and climatic diversity of Argentina</w:t>
      </w:r>
      <w:r w:rsidR="00192B14" w:rsidRPr="003F7F6C">
        <w:rPr>
          <w:rFonts w:ascii="Calibri Light" w:hAnsi="Calibri Light" w:cs="Calibri Light"/>
          <w:szCs w:val="20"/>
        </w:rPr>
        <w:t>,</w:t>
      </w:r>
      <w:r w:rsidR="00165049" w:rsidRPr="003F7F6C">
        <w:rPr>
          <w:rFonts w:ascii="Calibri Light" w:hAnsi="Calibri Light" w:cs="Calibri Light"/>
          <w:szCs w:val="20"/>
        </w:rPr>
        <w:t xml:space="preserve"> climate change will affect different regions differently. The subtropical Andean region will experience the highest temperature increase with an increasing water stress scenario, decrease in efficiency of water use and productivity of ecological systems, accelerated desertification processes, displacement or reduction in the geographic range of certain species and probable local extinction of species with less tolerance to the new conditions.  Wetlands of the High Andes and Puna will suffer reduction in their surface areas and fragmentation, affecting animal populations that depend on such habitats.  Overgrazing will have synergistic effects with the climate trends. Temperature increase</w:t>
      </w:r>
      <w:r w:rsidR="00192B14" w:rsidRPr="003F7F6C">
        <w:rPr>
          <w:rFonts w:ascii="Calibri Light" w:hAnsi="Calibri Light" w:cs="Calibri Light"/>
          <w:szCs w:val="20"/>
        </w:rPr>
        <w:t>s</w:t>
      </w:r>
      <w:r w:rsidR="00165049" w:rsidRPr="003F7F6C">
        <w:rPr>
          <w:rFonts w:ascii="Calibri Light" w:hAnsi="Calibri Light" w:cs="Calibri Light"/>
          <w:szCs w:val="20"/>
        </w:rPr>
        <w:t xml:space="preserve"> in Jujuy, Catamarca and Salta could affect the life cycle of </w:t>
      </w:r>
      <w:r w:rsidR="00165049" w:rsidRPr="003F7F6C">
        <w:rPr>
          <w:rFonts w:ascii="Calibri Light" w:hAnsi="Calibri Light" w:cs="Calibri Light"/>
          <w:i/>
          <w:szCs w:val="20"/>
        </w:rPr>
        <w:t>queñoas</w:t>
      </w:r>
      <w:r w:rsidR="00165049" w:rsidRPr="003F7F6C">
        <w:rPr>
          <w:rFonts w:ascii="Calibri Light" w:hAnsi="Calibri Light" w:cs="Calibri Light"/>
          <w:szCs w:val="20"/>
        </w:rPr>
        <w:t xml:space="preserve"> (</w:t>
      </w:r>
      <w:r w:rsidR="00165049" w:rsidRPr="003F7F6C">
        <w:rPr>
          <w:rFonts w:ascii="Calibri Light" w:hAnsi="Calibri Light" w:cs="Calibri Light"/>
          <w:i/>
          <w:szCs w:val="20"/>
        </w:rPr>
        <w:t>Polylepis spp</w:t>
      </w:r>
      <w:r w:rsidR="00165049" w:rsidRPr="003F7F6C">
        <w:rPr>
          <w:rFonts w:ascii="Calibri Light" w:hAnsi="Calibri Light" w:cs="Calibri Light"/>
          <w:szCs w:val="20"/>
        </w:rPr>
        <w:t>) which are an important source of fuelwood.  The agriculturally important provinces of Mendoza and San Juan, which are highly dependent on irrigation, will experience a decrease in surface water availability with increases in costs to extract underground water risking the viability of irrigated agriculture. Patagonia will experience higher temperatures and less rainfall with a tendency to increased aridity. Current species of the Patagonian Steppe will be replaced by more xerophytic grasses or shrubs, affecting distribution of many bird species and increasing vulnerability of threatened ones.  The Pampas Region is the main agricultural and livestock production area. Although no great changes in temperature and rainfall are expected the greater risk in the Northern portion will come from the interdecadal variation in rainfall magnified by land use change.  In the Center increases in rainfall in summer will increase soy and maize yields while rainfall decreases in winter will reduce wheat yields.  Due to changes in forage production</w:t>
      </w:r>
      <w:r w:rsidR="00192B14" w:rsidRPr="003F7F6C">
        <w:rPr>
          <w:rFonts w:ascii="Calibri Light" w:hAnsi="Calibri Light" w:cs="Calibri Light"/>
          <w:szCs w:val="20"/>
        </w:rPr>
        <w:t>,</w:t>
      </w:r>
      <w:r w:rsidR="00165049" w:rsidRPr="003F7F6C">
        <w:rPr>
          <w:rFonts w:ascii="Calibri Light" w:hAnsi="Calibri Light" w:cs="Calibri Light"/>
          <w:szCs w:val="20"/>
        </w:rPr>
        <w:t xml:space="preserve"> livestock production will be reduced in the Northern portion, will be stable in the Center and will increase in the Western portion of the Pampas.  No important changes in rainfall are expected for the Semi-arid Region but the dry winter period would be longer. The greater climate risk in this area would come from land use change for agriculture</w:t>
      </w:r>
      <w:r w:rsidR="00165049" w:rsidRPr="003F7F6C">
        <w:rPr>
          <w:rFonts w:eastAsia="Times New Roman" w:cs="Calibri"/>
          <w:szCs w:val="20"/>
          <w:lang w:eastAsia="es-ES_tradnl"/>
        </w:rPr>
        <w:t xml:space="preserve">. </w:t>
      </w:r>
      <w:r w:rsidRPr="003F7F6C">
        <w:rPr>
          <w:rFonts w:eastAsia="Times New Roman" w:cs="Calibri"/>
          <w:szCs w:val="20"/>
          <w:lang w:eastAsia="es-ES_tradnl"/>
        </w:rPr>
        <w:t>3</w:t>
      </w:r>
      <w:r w:rsidR="00BC2C4F" w:rsidRPr="003F7F6C">
        <w:rPr>
          <w:rFonts w:eastAsia="Times New Roman" w:cs="Calibri"/>
          <w:szCs w:val="20"/>
          <w:lang w:eastAsia="es-ES_tradnl"/>
        </w:rPr>
        <w:t>)</w:t>
      </w:r>
      <w:r w:rsidRPr="003F7F6C">
        <w:rPr>
          <w:rFonts w:eastAsia="Times New Roman" w:cs="Calibri"/>
          <w:szCs w:val="20"/>
          <w:lang w:eastAsia="es-ES_tradnl"/>
        </w:rPr>
        <w:t xml:space="preserve"> </w:t>
      </w:r>
      <w:r w:rsidRPr="003F7F6C">
        <w:rPr>
          <w:rFonts w:eastAsia="Times New Roman" w:cs="Calibri"/>
          <w:b/>
          <w:bCs/>
          <w:szCs w:val="20"/>
          <w:lang w:eastAsia="es-ES_tradnl"/>
        </w:rPr>
        <w:t xml:space="preserve">Pollution, </w:t>
      </w:r>
      <w:r w:rsidRPr="003F7F6C">
        <w:rPr>
          <w:rFonts w:eastAsia="Times New Roman" w:cs="Calibri"/>
          <w:szCs w:val="20"/>
          <w:lang w:eastAsia="es-ES_tradnl"/>
        </w:rPr>
        <w:t>particularly of soil and water is also causing BD losses and degradation of land and water ecosystems. It is driven by high agrochemical use in agro-businesses; insufficient waste treatment in urban expansion areas such as in the Matanza-Riachuelo and Reconquista River water</w:t>
      </w:r>
      <w:r w:rsidR="00957161" w:rsidRPr="003F7F6C">
        <w:rPr>
          <w:rFonts w:eastAsia="Times New Roman" w:cs="Calibri"/>
          <w:szCs w:val="20"/>
          <w:lang w:eastAsia="es-ES_tradnl"/>
        </w:rPr>
        <w:t xml:space="preserve"> </w:t>
      </w:r>
      <w:r w:rsidRPr="003F7F6C">
        <w:rPr>
          <w:rFonts w:eastAsia="Times New Roman" w:cs="Calibri"/>
          <w:szCs w:val="20"/>
          <w:lang w:eastAsia="es-ES_tradnl"/>
        </w:rPr>
        <w:t>basins;</w:t>
      </w:r>
      <w:r w:rsidR="00957161" w:rsidRPr="003F7F6C">
        <w:rPr>
          <w:rFonts w:eastAsia="Times New Roman" w:cs="Calibri"/>
          <w:szCs w:val="20"/>
          <w:lang w:eastAsia="es-ES_tradnl"/>
        </w:rPr>
        <w:t xml:space="preserve"> and</w:t>
      </w:r>
      <w:r w:rsidRPr="003F7F6C">
        <w:rPr>
          <w:rFonts w:eastAsia="Times New Roman" w:cs="Calibri"/>
          <w:szCs w:val="20"/>
          <w:lang w:eastAsia="es-ES_tradnl"/>
        </w:rPr>
        <w:t xml:space="preserve">  inappropriate management of mine waste.</w:t>
      </w:r>
    </w:p>
    <w:p w14:paraId="53951432" w14:textId="77777777" w:rsidR="00203898" w:rsidRPr="003F7F6C" w:rsidRDefault="00674844" w:rsidP="00E91275">
      <w:pPr>
        <w:numPr>
          <w:ilvl w:val="0"/>
          <w:numId w:val="28"/>
        </w:numPr>
        <w:tabs>
          <w:tab w:val="left" w:pos="426"/>
        </w:tabs>
        <w:spacing w:after="240"/>
        <w:ind w:left="0" w:firstLine="0"/>
        <w:rPr>
          <w:rFonts w:eastAsia="Times New Roman" w:cs="Calibri"/>
          <w:szCs w:val="20"/>
          <w:lang w:eastAsia="es-ES_tradnl"/>
        </w:rPr>
      </w:pPr>
      <w:r w:rsidRPr="003F7F6C">
        <w:rPr>
          <w:rFonts w:eastAsia="Times New Roman" w:cs="Calibri"/>
          <w:szCs w:val="20"/>
          <w:lang w:eastAsia="es-ES_tradnl"/>
        </w:rPr>
        <w:t>These same drivers are causing increasing land degradation particularly in the large expanses of Argentina drylands where 30% of the population reside and generate some 30% of Argentina’s agriculture and livestock GDP. Based on LADA/WOCAT data</w:t>
      </w:r>
      <w:r w:rsidR="00006CE1" w:rsidRPr="003F7F6C">
        <w:rPr>
          <w:rFonts w:eastAsia="Times New Roman" w:cs="Calibri"/>
          <w:szCs w:val="20"/>
          <w:lang w:eastAsia="es-ES_tradnl"/>
        </w:rPr>
        <w:t>,</w:t>
      </w:r>
      <w:r w:rsidRPr="003F7F6C">
        <w:rPr>
          <w:rFonts w:eastAsia="Times New Roman" w:cs="Calibri"/>
          <w:szCs w:val="20"/>
          <w:lang w:eastAsia="es-ES_tradnl"/>
        </w:rPr>
        <w:t xml:space="preserve"> 45% of the national territory has some level of degradation and deterioration of biological, physical and chemical soil properties generating important negative environmental impacts that go beyond production. Furtherm</w:t>
      </w:r>
      <w:r w:rsidR="00957161" w:rsidRPr="003F7F6C">
        <w:rPr>
          <w:rFonts w:eastAsia="Times New Roman" w:cs="Calibri"/>
          <w:szCs w:val="20"/>
          <w:lang w:eastAsia="es-ES_tradnl"/>
        </w:rPr>
        <w:t xml:space="preserve">ore, land degradation processes </w:t>
      </w:r>
      <w:r w:rsidRPr="003F7F6C">
        <w:rPr>
          <w:rFonts w:eastAsia="Times New Roman" w:cs="Calibri"/>
          <w:szCs w:val="20"/>
          <w:lang w:eastAsia="es-ES_tradnl"/>
        </w:rPr>
        <w:t>are increasing at an estimated 650,000 hectares/year. Some of the ecoregions targeted by this project suffer particularly high levels of land degradation: 48% of the plains scrubland; 62% of the dry valley scrubland</w:t>
      </w:r>
      <w:r w:rsidR="00236F5D" w:rsidRPr="003F7F6C">
        <w:rPr>
          <w:rFonts w:eastAsia="Times New Roman" w:cs="Calibri"/>
          <w:szCs w:val="20"/>
          <w:lang w:eastAsia="es-ES_tradnl"/>
        </w:rPr>
        <w:t xml:space="preserve"> and 75% of the Puna </w:t>
      </w:r>
      <w:r w:rsidRPr="003F7F6C">
        <w:rPr>
          <w:rFonts w:eastAsia="Times New Roman" w:cs="Calibri"/>
          <w:szCs w:val="20"/>
          <w:lang w:eastAsia="es-ES_tradnl"/>
        </w:rPr>
        <w:t>suffer</w:t>
      </w:r>
      <w:r w:rsidR="008C0FEB" w:rsidRPr="003F7F6C">
        <w:rPr>
          <w:rFonts w:eastAsia="Times New Roman" w:cs="Calibri"/>
          <w:szCs w:val="20"/>
          <w:lang w:eastAsia="es-ES_tradnl"/>
        </w:rPr>
        <w:t xml:space="preserve"> moderate to strong degradation</w:t>
      </w:r>
      <w:r w:rsidR="0028784D" w:rsidRPr="003F7F6C">
        <w:rPr>
          <w:rStyle w:val="FootnoteReference"/>
          <w:rFonts w:eastAsia="Times New Roman"/>
          <w:szCs w:val="20"/>
          <w:lang w:eastAsia="es-ES_tradnl"/>
        </w:rPr>
        <w:footnoteReference w:id="14"/>
      </w:r>
      <w:r w:rsidR="008C0FEB" w:rsidRPr="003F7F6C">
        <w:rPr>
          <w:rFonts w:eastAsia="Times New Roman" w:cs="Calibri"/>
          <w:szCs w:val="20"/>
          <w:lang w:eastAsia="es-ES_tradnl"/>
        </w:rPr>
        <w:t>.</w:t>
      </w:r>
    </w:p>
    <w:p w14:paraId="19349410" w14:textId="77777777" w:rsidR="008C0FEB" w:rsidRPr="003F7F6C" w:rsidRDefault="008C0FEB" w:rsidP="00E91275">
      <w:pPr>
        <w:numPr>
          <w:ilvl w:val="0"/>
          <w:numId w:val="28"/>
        </w:numPr>
        <w:tabs>
          <w:tab w:val="left" w:pos="426"/>
        </w:tabs>
        <w:spacing w:after="240"/>
        <w:ind w:left="0" w:firstLine="0"/>
        <w:rPr>
          <w:rFonts w:eastAsia="Times New Roman" w:cs="Calibri"/>
          <w:szCs w:val="20"/>
          <w:lang w:eastAsia="es-ES_tradnl"/>
        </w:rPr>
      </w:pPr>
      <w:r w:rsidRPr="003F7F6C">
        <w:rPr>
          <w:rFonts w:eastAsia="Times New Roman" w:cs="Calibri"/>
          <w:b/>
          <w:bCs/>
          <w:szCs w:val="20"/>
          <w:lang w:eastAsia="es-ES_tradnl"/>
        </w:rPr>
        <w:t xml:space="preserve">Agriculture and livestock: </w:t>
      </w:r>
      <w:r w:rsidRPr="003F7F6C">
        <w:rPr>
          <w:rFonts w:eastAsia="Times New Roman" w:cs="Calibri"/>
          <w:szCs w:val="20"/>
          <w:lang w:eastAsia="es-ES_tradnl"/>
        </w:rPr>
        <w:t>Argentina is the world’s 3</w:t>
      </w:r>
      <w:r w:rsidRPr="003F7F6C">
        <w:rPr>
          <w:rFonts w:eastAsia="Times New Roman" w:cs="Calibri"/>
          <w:szCs w:val="20"/>
          <w:vertAlign w:val="superscript"/>
          <w:lang w:eastAsia="es-ES_tradnl"/>
        </w:rPr>
        <w:t>rd</w:t>
      </w:r>
      <w:r w:rsidRPr="003F7F6C">
        <w:rPr>
          <w:rFonts w:eastAsia="Times New Roman" w:cs="Calibri"/>
          <w:szCs w:val="20"/>
          <w:lang w:eastAsia="es-ES_tradnl"/>
        </w:rPr>
        <w:t xml:space="preserve"> soybean and 11</w:t>
      </w:r>
      <w:r w:rsidRPr="003F7F6C">
        <w:rPr>
          <w:rFonts w:eastAsia="Times New Roman" w:cs="Calibri"/>
          <w:szCs w:val="20"/>
          <w:vertAlign w:val="superscript"/>
          <w:lang w:eastAsia="es-ES_tradnl"/>
        </w:rPr>
        <w:t>th</w:t>
      </w:r>
      <w:r w:rsidRPr="003F7F6C">
        <w:rPr>
          <w:rFonts w:eastAsia="Times New Roman" w:cs="Calibri"/>
          <w:szCs w:val="20"/>
          <w:lang w:eastAsia="es-ES_tradnl"/>
        </w:rPr>
        <w:t xml:space="preserve"> beef producer</w:t>
      </w:r>
      <w:r w:rsidR="00E977EC" w:rsidRPr="003F7F6C">
        <w:rPr>
          <w:rStyle w:val="FootnoteReference"/>
          <w:rFonts w:eastAsia="Times New Roman"/>
          <w:szCs w:val="20"/>
          <w:lang w:eastAsia="es-ES_tradnl"/>
        </w:rPr>
        <w:footnoteReference w:id="15"/>
      </w:r>
      <w:r w:rsidRPr="003F7F6C">
        <w:rPr>
          <w:rFonts w:eastAsia="Times New Roman" w:cs="Calibri"/>
          <w:szCs w:val="20"/>
          <w:lang w:eastAsia="es-ES_tradnl"/>
        </w:rPr>
        <w:t xml:space="preserve">. Exports of grain, oil and by- products increased by 205.72% in the last 22 years alone. Originally centered in the Pampas region the agricultural frontier expanded from the 1990s onwards into areas where conditions had previously been inappropriate for production. This expansion was driven by adaptation and resistance of crops, by new technological progress and new generation agrochemicals, by new management practices; and also due to the increase in </w:t>
      </w:r>
      <w:r w:rsidR="00842587" w:rsidRPr="003F7F6C">
        <w:rPr>
          <w:rFonts w:eastAsia="Times New Roman" w:cs="Calibri"/>
          <w:szCs w:val="20"/>
          <w:lang w:eastAsia="es-ES_tradnl"/>
        </w:rPr>
        <w:t xml:space="preserve">the </w:t>
      </w:r>
      <w:r w:rsidRPr="003F7F6C">
        <w:rPr>
          <w:rFonts w:eastAsia="Times New Roman" w:cs="Calibri"/>
          <w:szCs w:val="20"/>
          <w:lang w:eastAsia="es-ES_tradnl"/>
        </w:rPr>
        <w:t>price of commodities</w:t>
      </w:r>
      <w:r w:rsidR="00842587" w:rsidRPr="003F7F6C">
        <w:rPr>
          <w:rFonts w:eastAsia="Times New Roman" w:cs="Calibri"/>
          <w:szCs w:val="20"/>
          <w:lang w:eastAsia="es-ES_tradnl"/>
        </w:rPr>
        <w:t>,</w:t>
      </w:r>
      <w:r w:rsidRPr="003F7F6C">
        <w:rPr>
          <w:rFonts w:eastAsia="Times New Roman" w:cs="Calibri"/>
          <w:szCs w:val="20"/>
          <w:lang w:eastAsia="es-ES_tradnl"/>
        </w:rPr>
        <w:t xml:space="preserve"> particularly soy. Expansion in soy production led to displacement and intensification of livestock breeding mainly in ecoregions where ecosystems are vulnerable. Today agricultural production and livestock rearing </w:t>
      </w:r>
      <w:r w:rsidR="00EA1C8C" w:rsidRPr="003F7F6C">
        <w:rPr>
          <w:rFonts w:eastAsia="Times New Roman" w:cs="Calibri"/>
          <w:szCs w:val="20"/>
          <w:lang w:eastAsia="es-ES_tradnl"/>
        </w:rPr>
        <w:t xml:space="preserve">is </w:t>
      </w:r>
      <w:r w:rsidRPr="003F7F6C">
        <w:rPr>
          <w:rFonts w:eastAsia="Times New Roman" w:cs="Calibri"/>
          <w:szCs w:val="20"/>
          <w:lang w:eastAsia="es-ES_tradnl"/>
        </w:rPr>
        <w:t xml:space="preserve">spread across large areas of Pampas, Espinal, Humid and Dry, Wet Chaco, Yungas Forest, Plains and Shrub. </w:t>
      </w:r>
    </w:p>
    <w:p w14:paraId="1120F1BF" w14:textId="77777777" w:rsidR="00C87ADF" w:rsidRPr="003F7F6C" w:rsidRDefault="008C0FEB" w:rsidP="00E91275">
      <w:pPr>
        <w:numPr>
          <w:ilvl w:val="0"/>
          <w:numId w:val="28"/>
        </w:numPr>
        <w:tabs>
          <w:tab w:val="left" w:pos="426"/>
        </w:tabs>
        <w:spacing w:after="240"/>
        <w:ind w:left="0" w:firstLine="0"/>
        <w:rPr>
          <w:rFonts w:eastAsia="Times New Roman" w:cs="Calibri"/>
          <w:szCs w:val="20"/>
          <w:lang w:eastAsia="es-ES_tradnl"/>
        </w:rPr>
      </w:pPr>
      <w:r w:rsidRPr="003F7F6C">
        <w:rPr>
          <w:rFonts w:eastAsia="Times New Roman" w:cs="Calibri"/>
          <w:szCs w:val="20"/>
          <w:lang w:eastAsia="es-ES_tradnl"/>
        </w:rPr>
        <w:t>Expanding agricultural frontiers have led to fragmentation and loss of native forest habitat and forest degradation</w:t>
      </w:r>
      <w:r w:rsidRPr="003F7F6C">
        <w:rPr>
          <w:rFonts w:eastAsia="Times New Roman" w:cs="Calibri"/>
          <w:position w:val="10"/>
          <w:szCs w:val="20"/>
          <w:lang w:eastAsia="es-ES_tradnl"/>
        </w:rPr>
        <w:t xml:space="preserve"> </w:t>
      </w:r>
      <w:r w:rsidRPr="003F7F6C">
        <w:rPr>
          <w:rFonts w:eastAsia="Times New Roman" w:cs="Calibri"/>
          <w:szCs w:val="20"/>
          <w:lang w:eastAsia="es-ES_tradnl"/>
        </w:rPr>
        <w:t>especially in the Chaco, Atlantic Forest and Yungas Forests that have suffered deforestation over 1.145 million ha in the last five years. Between 2006–2014, 2.827</w:t>
      </w:r>
      <w:r w:rsidR="002B22C3" w:rsidRPr="003F7F6C">
        <w:rPr>
          <w:rFonts w:eastAsia="Times New Roman" w:cs="Calibri"/>
          <w:szCs w:val="20"/>
          <w:lang w:eastAsia="es-ES_tradnl"/>
        </w:rPr>
        <w:t xml:space="preserve"> </w:t>
      </w:r>
      <w:r w:rsidRPr="003F7F6C">
        <w:rPr>
          <w:rFonts w:eastAsia="Times New Roman" w:cs="Calibri"/>
          <w:szCs w:val="20"/>
          <w:lang w:eastAsia="es-ES_tradnl"/>
        </w:rPr>
        <w:t xml:space="preserve">million ha of forests were lost, largely due to conversion of forests and grasslands to agricultural systems in the Humid and Dry Chaco ecoregions. The long-term conservation of animal and plant species in these environments </w:t>
      </w:r>
      <w:r w:rsidR="002B22C3" w:rsidRPr="003F7F6C">
        <w:rPr>
          <w:rFonts w:eastAsia="Times New Roman" w:cs="Calibri"/>
          <w:szCs w:val="20"/>
          <w:lang w:eastAsia="es-ES_tradnl"/>
        </w:rPr>
        <w:t xml:space="preserve">is </w:t>
      </w:r>
      <w:r w:rsidRPr="003F7F6C">
        <w:rPr>
          <w:rFonts w:eastAsia="Times New Roman" w:cs="Calibri"/>
          <w:szCs w:val="20"/>
          <w:lang w:eastAsia="es-ES_tradnl"/>
        </w:rPr>
        <w:t>severely threatened. The National Native Forest Law (Law Nº 26331), calls for categorizing forest ecosystems into different land uses. Category I forests cover 10,061,753 ha in 21 provinces and as forest transformation is prohibited in this zone</w:t>
      </w:r>
      <w:r w:rsidR="002B22C3" w:rsidRPr="003F7F6C">
        <w:rPr>
          <w:rFonts w:eastAsia="Times New Roman" w:cs="Calibri"/>
          <w:szCs w:val="20"/>
          <w:lang w:eastAsia="es-ES_tradnl"/>
        </w:rPr>
        <w:t>,</w:t>
      </w:r>
      <w:r w:rsidRPr="003F7F6C">
        <w:rPr>
          <w:rFonts w:eastAsia="Times New Roman" w:cs="Calibri"/>
          <w:szCs w:val="20"/>
          <w:lang w:eastAsia="es-ES_tradnl"/>
        </w:rPr>
        <w:t xml:space="preserve"> it provides a significant framework for protection. There is more uncertainty on the effective management of the non-forest ecosystems. The most critical are mountain grasslands and shrubs, arid and semi-arid ecosystems in almost all of Patagonia and the Pampa ecoregion to the High Andes where many hotspots are found such </w:t>
      </w:r>
      <w:r w:rsidR="002B22C3" w:rsidRPr="003F7F6C">
        <w:rPr>
          <w:rFonts w:eastAsia="Times New Roman" w:cs="Calibri"/>
          <w:szCs w:val="20"/>
          <w:lang w:eastAsia="es-ES_tradnl"/>
        </w:rPr>
        <w:t xml:space="preserve">as </w:t>
      </w:r>
      <w:r w:rsidRPr="003F7F6C">
        <w:rPr>
          <w:rFonts w:eastAsia="Times New Roman" w:cs="Calibri"/>
          <w:szCs w:val="20"/>
          <w:lang w:eastAsia="es-ES_tradnl"/>
        </w:rPr>
        <w:t>VGAs, IBAs, Western Hemisphere Shorebird Reserve Network, and Biosphere Reserve transition or buffer areas</w:t>
      </w:r>
      <w:r w:rsidR="002B22C3" w:rsidRPr="003F7F6C">
        <w:rPr>
          <w:rFonts w:eastAsia="Times New Roman" w:cs="Calibri"/>
          <w:szCs w:val="20"/>
          <w:lang w:eastAsia="es-ES_tradnl"/>
        </w:rPr>
        <w:t>, which</w:t>
      </w:r>
      <w:r w:rsidRPr="003F7F6C">
        <w:rPr>
          <w:rFonts w:eastAsia="Times New Roman" w:cs="Calibri"/>
          <w:szCs w:val="20"/>
          <w:lang w:eastAsia="es-ES_tradnl"/>
        </w:rPr>
        <w:t xml:space="preserve"> are under no formal legal frameworks and are exposed to encroachment.</w:t>
      </w:r>
    </w:p>
    <w:p w14:paraId="37E6EE40" w14:textId="77777777" w:rsidR="00563C82" w:rsidRPr="003F7F6C" w:rsidRDefault="00C924DB" w:rsidP="00E91275">
      <w:pPr>
        <w:numPr>
          <w:ilvl w:val="0"/>
          <w:numId w:val="28"/>
        </w:numPr>
        <w:tabs>
          <w:tab w:val="left" w:pos="426"/>
        </w:tabs>
        <w:spacing w:after="240"/>
        <w:ind w:left="0" w:firstLine="0"/>
        <w:rPr>
          <w:rFonts w:eastAsia="Times New Roman" w:cs="Calibri"/>
          <w:szCs w:val="20"/>
          <w:lang w:eastAsia="es-ES_tradnl"/>
        </w:rPr>
      </w:pPr>
      <w:r w:rsidRPr="003F7F6C">
        <w:rPr>
          <w:rFonts w:eastAsia="Times New Roman" w:cs="Calibri"/>
          <w:szCs w:val="20"/>
          <w:lang w:eastAsia="es-ES_tradnl"/>
        </w:rPr>
        <w:t>In addition to biodiversity loss, the removal of natural vegetation due to expanding agriculture and livestock frontier in these drylands exacerbates land degradation exposing the fragile soils to wind and water erosion. Fires used to clear land for agriculture often get out of control in these dry and windy areas. In the more fertile valleys, irrigation</w:t>
      </w:r>
      <w:r w:rsidR="002B22C3" w:rsidRPr="003F7F6C">
        <w:rPr>
          <w:rFonts w:eastAsia="Times New Roman" w:cs="Calibri"/>
          <w:szCs w:val="20"/>
          <w:lang w:eastAsia="es-ES_tradnl"/>
        </w:rPr>
        <w:t>-</w:t>
      </w:r>
      <w:r w:rsidRPr="003F7F6C">
        <w:rPr>
          <w:rFonts w:eastAsia="Times New Roman" w:cs="Calibri"/>
          <w:szCs w:val="20"/>
          <w:lang w:eastAsia="es-ES_tradnl"/>
        </w:rPr>
        <w:t>based agriculture is causing water deficiencies in regions where water deficits are already high (~-1000-1500mm). In many cases this is also increasing soil salinization and alka</w:t>
      </w:r>
      <w:r w:rsidR="00C87ADF" w:rsidRPr="003F7F6C">
        <w:rPr>
          <w:rFonts w:eastAsia="Times New Roman" w:cs="Calibri"/>
          <w:szCs w:val="20"/>
          <w:lang w:eastAsia="es-ES_tradnl"/>
        </w:rPr>
        <w:t>liniz</w:t>
      </w:r>
      <w:r w:rsidRPr="003F7F6C">
        <w:rPr>
          <w:rFonts w:eastAsia="Times New Roman" w:cs="Calibri"/>
          <w:szCs w:val="20"/>
          <w:lang w:eastAsia="es-ES_tradnl"/>
        </w:rPr>
        <w:t>ation. Livestock rearing also ranks high amongst the direct causes of land degradation in the drylands. Originally mainly sheep</w:t>
      </w:r>
      <w:r w:rsidR="00C87ADF" w:rsidRPr="003F7F6C">
        <w:rPr>
          <w:rFonts w:eastAsia="Times New Roman" w:cs="Calibri"/>
          <w:szCs w:val="20"/>
          <w:lang w:eastAsia="es-ES_tradnl"/>
        </w:rPr>
        <w:t>,</w:t>
      </w:r>
      <w:r w:rsidRPr="003F7F6C">
        <w:rPr>
          <w:rFonts w:eastAsia="Times New Roman" w:cs="Calibri"/>
          <w:szCs w:val="20"/>
          <w:lang w:eastAsia="es-ES_tradnl"/>
        </w:rPr>
        <w:t xml:space="preserve"> this is now combined with goats and to a lesser extent, cattle. The increasing animal loads combined with the limited pasture ha</w:t>
      </w:r>
      <w:r w:rsidR="002B22C3" w:rsidRPr="003F7F6C">
        <w:rPr>
          <w:rFonts w:eastAsia="Times New Roman" w:cs="Calibri"/>
          <w:szCs w:val="20"/>
          <w:lang w:eastAsia="es-ES_tradnl"/>
        </w:rPr>
        <w:t>ve</w:t>
      </w:r>
      <w:r w:rsidRPr="003F7F6C">
        <w:rPr>
          <w:rFonts w:eastAsia="Times New Roman" w:cs="Calibri"/>
          <w:szCs w:val="20"/>
          <w:lang w:eastAsia="es-ES_tradnl"/>
        </w:rPr>
        <w:t xml:space="preserve"> generated overgrazing</w:t>
      </w:r>
      <w:r w:rsidR="002B22C3" w:rsidRPr="003F7F6C">
        <w:rPr>
          <w:rFonts w:eastAsia="Times New Roman" w:cs="Calibri"/>
          <w:szCs w:val="20"/>
          <w:lang w:eastAsia="es-ES_tradnl"/>
        </w:rPr>
        <w:t>,</w:t>
      </w:r>
      <w:r w:rsidRPr="003F7F6C">
        <w:rPr>
          <w:rFonts w:eastAsia="Times New Roman" w:cs="Calibri"/>
          <w:szCs w:val="20"/>
          <w:lang w:eastAsia="es-ES_tradnl"/>
        </w:rPr>
        <w:t xml:space="preserve"> causing loss of native species</w:t>
      </w:r>
      <w:r w:rsidR="002B22C3" w:rsidRPr="003F7F6C">
        <w:rPr>
          <w:rFonts w:eastAsia="Times New Roman" w:cs="Calibri"/>
          <w:szCs w:val="20"/>
          <w:lang w:eastAsia="es-ES_tradnl"/>
        </w:rPr>
        <w:t>,</w:t>
      </w:r>
      <w:r w:rsidRPr="003F7F6C">
        <w:rPr>
          <w:rFonts w:eastAsia="Times New Roman" w:cs="Calibri"/>
          <w:szCs w:val="20"/>
          <w:lang w:eastAsia="es-ES_tradnl"/>
        </w:rPr>
        <w:t xml:space="preserve"> soil compacti</w:t>
      </w:r>
      <w:r w:rsidR="002B22C3" w:rsidRPr="003F7F6C">
        <w:rPr>
          <w:rFonts w:eastAsia="Times New Roman" w:cs="Calibri"/>
          <w:szCs w:val="20"/>
          <w:lang w:eastAsia="es-ES_tradnl"/>
        </w:rPr>
        <w:t>o</w:t>
      </w:r>
      <w:r w:rsidRPr="003F7F6C">
        <w:rPr>
          <w:rFonts w:eastAsia="Times New Roman" w:cs="Calibri"/>
          <w:szCs w:val="20"/>
          <w:lang w:eastAsia="es-ES_tradnl"/>
        </w:rPr>
        <w:t>n as well as increased soil erosion with high rates of mater</w:t>
      </w:r>
      <w:r w:rsidR="00C87ADF" w:rsidRPr="003F7F6C">
        <w:rPr>
          <w:rFonts w:eastAsia="Times New Roman" w:cs="Calibri"/>
          <w:szCs w:val="20"/>
          <w:lang w:eastAsia="es-ES_tradnl"/>
        </w:rPr>
        <w:t>ial (e.g.</w:t>
      </w:r>
      <w:r w:rsidR="002B22C3" w:rsidRPr="003F7F6C">
        <w:rPr>
          <w:rFonts w:eastAsia="Times New Roman" w:cs="Calibri"/>
          <w:szCs w:val="20"/>
          <w:lang w:eastAsia="es-ES_tradnl"/>
        </w:rPr>
        <w:t>,</w:t>
      </w:r>
      <w:r w:rsidR="00C87ADF" w:rsidRPr="003F7F6C">
        <w:rPr>
          <w:rFonts w:eastAsia="Times New Roman" w:cs="Calibri"/>
          <w:szCs w:val="20"/>
          <w:lang w:eastAsia="es-ES_tradnl"/>
        </w:rPr>
        <w:t xml:space="preserve"> in excess of 150 tons</w:t>
      </w:r>
      <w:r w:rsidRPr="003F7F6C">
        <w:rPr>
          <w:rFonts w:eastAsia="Times New Roman" w:cs="Calibri"/>
          <w:szCs w:val="20"/>
          <w:lang w:eastAsia="es-ES_tradnl"/>
        </w:rPr>
        <w:t>/ha/year in the Puna), and reductions in wetlands and associated ecosystems. In turn this affects the ecosystems</w:t>
      </w:r>
      <w:r w:rsidR="002B22C3" w:rsidRPr="003F7F6C">
        <w:rPr>
          <w:rFonts w:eastAsia="Times New Roman" w:cs="Calibri"/>
          <w:szCs w:val="20"/>
          <w:lang w:eastAsia="es-ES_tradnl"/>
        </w:rPr>
        <w:t>´</w:t>
      </w:r>
      <w:r w:rsidRPr="003F7F6C">
        <w:rPr>
          <w:rFonts w:eastAsia="Times New Roman" w:cs="Calibri"/>
          <w:szCs w:val="20"/>
          <w:lang w:eastAsia="es-ES_tradnl"/>
        </w:rPr>
        <w:t xml:space="preserve"> production and regulation functions. </w:t>
      </w:r>
    </w:p>
    <w:p w14:paraId="314EDA21" w14:textId="77777777" w:rsidR="006C3E1F" w:rsidRPr="003F7F6C" w:rsidRDefault="00563C82" w:rsidP="00E91275">
      <w:pPr>
        <w:numPr>
          <w:ilvl w:val="0"/>
          <w:numId w:val="28"/>
        </w:numPr>
        <w:tabs>
          <w:tab w:val="left" w:pos="426"/>
        </w:tabs>
        <w:spacing w:after="240"/>
        <w:ind w:left="0" w:firstLine="0"/>
        <w:rPr>
          <w:rFonts w:eastAsia="Times New Roman" w:cs="Calibri"/>
          <w:szCs w:val="20"/>
          <w:lang w:eastAsia="es-ES_tradnl"/>
        </w:rPr>
      </w:pPr>
      <w:r w:rsidRPr="003F7F6C">
        <w:rPr>
          <w:rFonts w:eastAsia="Times New Roman" w:cs="Calibri"/>
          <w:b/>
          <w:bCs/>
          <w:szCs w:val="20"/>
          <w:lang w:eastAsia="es-ES_tradnl"/>
        </w:rPr>
        <w:t>Mining</w:t>
      </w:r>
      <w:r w:rsidRPr="003F7F6C">
        <w:rPr>
          <w:rFonts w:eastAsia="Times New Roman" w:cs="Calibri"/>
          <w:szCs w:val="20"/>
          <w:lang w:eastAsia="es-ES_tradnl"/>
        </w:rPr>
        <w:t xml:space="preserve">: Argentina is an important regional producer of minerals, including primary </w:t>
      </w:r>
      <w:r w:rsidR="00061C51" w:rsidRPr="003F7F6C">
        <w:rPr>
          <w:rFonts w:eastAsia="Times New Roman" w:cs="Calibri"/>
          <w:szCs w:val="20"/>
          <w:lang w:eastAsia="es-ES_tradnl"/>
        </w:rPr>
        <w:t>aluminum</w:t>
      </w:r>
      <w:r w:rsidRPr="003F7F6C">
        <w:rPr>
          <w:rFonts w:eastAsia="Times New Roman" w:cs="Calibri"/>
          <w:szCs w:val="20"/>
          <w:lang w:eastAsia="es-ES_tradnl"/>
        </w:rPr>
        <w:t>, lead, copper, zinc, silver and gold. It also has the world's third largest reserve of lithium which is now being more actively mined. The national government has already granted mining rights over an area of 183,000 km2</w:t>
      </w:r>
      <w:r w:rsidRPr="003F7F6C">
        <w:rPr>
          <w:rFonts w:eastAsia="Times New Roman" w:cs="Calibri"/>
          <w:position w:val="8"/>
          <w:szCs w:val="20"/>
          <w:lang w:eastAsia="es-ES_tradnl"/>
        </w:rPr>
        <w:t xml:space="preserve"> </w:t>
      </w:r>
      <w:r w:rsidRPr="003F7F6C">
        <w:rPr>
          <w:rFonts w:eastAsia="Times New Roman" w:cs="Calibri"/>
          <w:szCs w:val="20"/>
          <w:lang w:eastAsia="es-ES_tradnl"/>
        </w:rPr>
        <w:t>and has identified another 750,000 km2</w:t>
      </w:r>
      <w:r w:rsidRPr="003F7F6C">
        <w:rPr>
          <w:rFonts w:eastAsia="Times New Roman" w:cs="Calibri"/>
          <w:position w:val="8"/>
          <w:szCs w:val="20"/>
          <w:lang w:eastAsia="es-ES_tradnl"/>
        </w:rPr>
        <w:t xml:space="preserve"> </w:t>
      </w:r>
      <w:r w:rsidRPr="003F7F6C">
        <w:rPr>
          <w:rFonts w:eastAsia="Times New Roman" w:cs="Calibri"/>
          <w:szCs w:val="20"/>
          <w:lang w:eastAsia="es-ES_tradnl"/>
        </w:rPr>
        <w:t>with a high mining potential mainly in the ecoregions of the High Monte, Puna, High Andes and Patagonian Steppe. In 2016, the Mining Secretariat identified 435 mine prospects including for lithium, silver, gold, copper, lead, boron and zinc. Of these only 16 are in the production stage</w:t>
      </w:r>
      <w:r w:rsidR="002B22C3" w:rsidRPr="003F7F6C">
        <w:rPr>
          <w:rFonts w:eastAsia="Times New Roman" w:cs="Calibri"/>
          <w:szCs w:val="20"/>
          <w:lang w:eastAsia="es-ES_tradnl"/>
        </w:rPr>
        <w:t>,</w:t>
      </w:r>
      <w:r w:rsidRPr="003F7F6C">
        <w:rPr>
          <w:rFonts w:eastAsia="Times New Roman" w:cs="Calibri"/>
          <w:szCs w:val="20"/>
          <w:lang w:eastAsia="es-ES_tradnl"/>
        </w:rPr>
        <w:t xml:space="preserve"> however</w:t>
      </w:r>
      <w:r w:rsidR="002B22C3" w:rsidRPr="003F7F6C">
        <w:rPr>
          <w:rFonts w:eastAsia="Times New Roman" w:cs="Calibri"/>
          <w:szCs w:val="20"/>
          <w:lang w:eastAsia="es-ES_tradnl"/>
        </w:rPr>
        <w:t>,</w:t>
      </w:r>
      <w:r w:rsidRPr="003F7F6C">
        <w:rPr>
          <w:rFonts w:eastAsia="Times New Roman" w:cs="Calibri"/>
          <w:szCs w:val="20"/>
          <w:lang w:eastAsia="es-ES_tradnl"/>
        </w:rPr>
        <w:t xml:space="preserve"> given increases in the price of mineral commodities</w:t>
      </w:r>
      <w:r w:rsidR="002B22C3" w:rsidRPr="003F7F6C">
        <w:rPr>
          <w:rFonts w:eastAsia="Times New Roman" w:cs="Calibri"/>
          <w:szCs w:val="20"/>
          <w:lang w:eastAsia="es-ES_tradnl"/>
        </w:rPr>
        <w:t>,</w:t>
      </w:r>
      <w:r w:rsidRPr="003F7F6C">
        <w:rPr>
          <w:rFonts w:eastAsia="Times New Roman" w:cs="Calibri"/>
          <w:szCs w:val="20"/>
          <w:lang w:eastAsia="es-ES_tradnl"/>
        </w:rPr>
        <w:t xml:space="preserve"> expansion is expected and production will most likely </w:t>
      </w:r>
      <w:r w:rsidR="002B22C3" w:rsidRPr="003F7F6C">
        <w:rPr>
          <w:rFonts w:eastAsia="Times New Roman" w:cs="Calibri"/>
          <w:szCs w:val="20"/>
          <w:lang w:eastAsia="es-ES_tradnl"/>
        </w:rPr>
        <w:t>take place using</w:t>
      </w:r>
      <w:r w:rsidRPr="003F7F6C">
        <w:rPr>
          <w:rFonts w:eastAsia="Times New Roman" w:cs="Calibri"/>
          <w:szCs w:val="20"/>
          <w:lang w:eastAsia="es-ES_tradnl"/>
        </w:rPr>
        <w:t xml:space="preserve"> extraction technologies that generate waste on a large scale. </w:t>
      </w:r>
    </w:p>
    <w:p w14:paraId="3912E567" w14:textId="77777777" w:rsidR="00110E53" w:rsidRPr="003F7F6C" w:rsidRDefault="006C3E1F" w:rsidP="00E91275">
      <w:pPr>
        <w:numPr>
          <w:ilvl w:val="0"/>
          <w:numId w:val="28"/>
        </w:numPr>
        <w:tabs>
          <w:tab w:val="left" w:pos="426"/>
        </w:tabs>
        <w:spacing w:after="240"/>
        <w:ind w:left="0" w:firstLine="0"/>
        <w:rPr>
          <w:rFonts w:eastAsia="Times New Roman" w:cs="Calibri"/>
          <w:szCs w:val="20"/>
          <w:lang w:eastAsia="es-ES_tradnl"/>
        </w:rPr>
      </w:pPr>
      <w:r w:rsidRPr="003F7F6C">
        <w:rPr>
          <w:rFonts w:eastAsia="Times New Roman" w:cs="Calibri"/>
          <w:b/>
          <w:bCs/>
          <w:szCs w:val="20"/>
          <w:lang w:eastAsia="es-ES_tradnl"/>
        </w:rPr>
        <w:t>Peri-Urban infrastructure expansion</w:t>
      </w:r>
      <w:r w:rsidR="00BC2C4F" w:rsidRPr="003F7F6C">
        <w:rPr>
          <w:rFonts w:eastAsia="Times New Roman" w:cs="Calibri"/>
          <w:b/>
          <w:bCs/>
          <w:szCs w:val="20"/>
          <w:lang w:eastAsia="es-ES_tradnl"/>
        </w:rPr>
        <w:t>:</w:t>
      </w:r>
      <w:r w:rsidRPr="003F7F6C">
        <w:rPr>
          <w:rFonts w:eastAsia="Times New Roman" w:cs="Calibri"/>
          <w:b/>
          <w:bCs/>
          <w:szCs w:val="20"/>
          <w:lang w:eastAsia="es-ES_tradnl"/>
        </w:rPr>
        <w:t xml:space="preserve"> </w:t>
      </w:r>
      <w:r w:rsidRPr="003F7F6C">
        <w:rPr>
          <w:rFonts w:eastAsia="Times New Roman" w:cs="Calibri"/>
          <w:szCs w:val="20"/>
          <w:lang w:eastAsia="es-ES_tradnl"/>
        </w:rPr>
        <w:t>Ninety-one percent of the country’s population lives in urban settlements of over 2,000 inhabitants.</w:t>
      </w:r>
      <w:r w:rsidRPr="003F7F6C">
        <w:rPr>
          <w:rFonts w:eastAsia="Times New Roman" w:cs="Calibri"/>
          <w:position w:val="10"/>
          <w:szCs w:val="20"/>
          <w:lang w:eastAsia="es-ES_tradnl"/>
        </w:rPr>
        <w:t xml:space="preserve"> </w:t>
      </w:r>
      <w:r w:rsidRPr="003F7F6C">
        <w:rPr>
          <w:rFonts w:eastAsia="Times New Roman" w:cs="Calibri"/>
          <w:szCs w:val="20"/>
          <w:lang w:eastAsia="es-ES_tradnl"/>
        </w:rPr>
        <w:t>Expanding infrastructure for urban uses and tourism in the peri-urban areas is another driver of habitat loss and fragmentation and land degradation affecting ecosystems of high ecological and production value. This is particularly prevalent in the Pampas and Parana Delta ecoregions. The Buenos Aires Metropolitan Area</w:t>
      </w:r>
      <w:r w:rsidR="002B22C3" w:rsidRPr="003F7F6C">
        <w:rPr>
          <w:rFonts w:eastAsia="Times New Roman" w:cs="Calibri"/>
          <w:szCs w:val="20"/>
          <w:lang w:eastAsia="es-ES_tradnl"/>
        </w:rPr>
        <w:t>,</w:t>
      </w:r>
      <w:r w:rsidRPr="003F7F6C">
        <w:rPr>
          <w:rFonts w:eastAsia="Times New Roman" w:cs="Calibri"/>
          <w:szCs w:val="20"/>
          <w:lang w:eastAsia="es-ES_tradnl"/>
        </w:rPr>
        <w:t xml:space="preserve"> for example</w:t>
      </w:r>
      <w:r w:rsidR="002B22C3" w:rsidRPr="003F7F6C">
        <w:rPr>
          <w:rFonts w:eastAsia="Times New Roman" w:cs="Calibri"/>
          <w:szCs w:val="20"/>
          <w:lang w:eastAsia="es-ES_tradnl"/>
        </w:rPr>
        <w:t>,</w:t>
      </w:r>
      <w:r w:rsidRPr="003F7F6C">
        <w:rPr>
          <w:rFonts w:eastAsia="Times New Roman" w:cs="Calibri"/>
          <w:szCs w:val="20"/>
          <w:lang w:eastAsia="es-ES_tradnl"/>
        </w:rPr>
        <w:t xml:space="preserve"> has a projected increase of almost two million inhabitants in the next 10 years; and tourist areas </w:t>
      </w:r>
      <w:r w:rsidR="002B22C3" w:rsidRPr="003F7F6C">
        <w:rPr>
          <w:rFonts w:eastAsia="Times New Roman" w:cs="Calibri"/>
          <w:szCs w:val="20"/>
          <w:lang w:eastAsia="es-ES_tradnl"/>
        </w:rPr>
        <w:t>are expanding</w:t>
      </w:r>
      <w:r w:rsidRPr="003F7F6C">
        <w:rPr>
          <w:rFonts w:eastAsia="Times New Roman" w:cs="Calibri"/>
          <w:szCs w:val="20"/>
          <w:lang w:eastAsia="es-ES_tradnl"/>
        </w:rPr>
        <w:t xml:space="preserve"> along the Atlantic Coast in Buenos Aires province. </w:t>
      </w:r>
      <w:r w:rsidR="002B22C3" w:rsidRPr="003F7F6C">
        <w:rPr>
          <w:rFonts w:eastAsia="Times New Roman" w:cs="Calibri"/>
          <w:szCs w:val="20"/>
          <w:lang w:eastAsia="es-ES_tradnl"/>
        </w:rPr>
        <w:t>The number of p</w:t>
      </w:r>
      <w:r w:rsidRPr="003F7F6C">
        <w:rPr>
          <w:rFonts w:eastAsia="Times New Roman" w:cs="Calibri"/>
          <w:szCs w:val="20"/>
          <w:lang w:eastAsia="es-ES_tradnl"/>
        </w:rPr>
        <w:t xml:space="preserve">ermanent residents in coastal tourist cities has increased rapidly (100% in </w:t>
      </w:r>
      <w:r w:rsidRPr="003F7F6C">
        <w:rPr>
          <w:rFonts w:eastAsia="Times New Roman" w:cs="Calibri"/>
          <w:i/>
          <w:szCs w:val="20"/>
          <w:lang w:eastAsia="es-ES_tradnl"/>
        </w:rPr>
        <w:t>Pinamar</w:t>
      </w:r>
      <w:r w:rsidRPr="003F7F6C">
        <w:rPr>
          <w:rFonts w:eastAsia="Times New Roman" w:cs="Calibri"/>
          <w:szCs w:val="20"/>
          <w:lang w:eastAsia="es-ES_tradnl"/>
        </w:rPr>
        <w:t xml:space="preserve"> District for 1991-2001 and 24% for the period 2001-2010; in </w:t>
      </w:r>
      <w:r w:rsidRPr="003F7F6C">
        <w:rPr>
          <w:rFonts w:eastAsia="Times New Roman" w:cs="Calibri"/>
          <w:i/>
          <w:iCs/>
          <w:szCs w:val="20"/>
          <w:lang w:eastAsia="es-ES_tradnl"/>
        </w:rPr>
        <w:t xml:space="preserve">Partido de la Costa </w:t>
      </w:r>
      <w:r w:rsidRPr="003F7F6C">
        <w:rPr>
          <w:rFonts w:eastAsia="Times New Roman" w:cs="Calibri"/>
          <w:szCs w:val="20"/>
          <w:lang w:eastAsia="es-ES_tradnl"/>
        </w:rPr>
        <w:t xml:space="preserve">district, 57% for 1991-2001 and 15% for 2001- 2010). Deficient planning and land occupation has led to encroachment in vulnerable and prohibited areas causing erosion in coastal ecosystems, with extreme cases of marine intrusions of 5-6m/year. </w:t>
      </w:r>
    </w:p>
    <w:p w14:paraId="24F769DA" w14:textId="77777777" w:rsidR="005912A8" w:rsidRPr="003F7F6C" w:rsidRDefault="00110E53" w:rsidP="00E91275">
      <w:pPr>
        <w:numPr>
          <w:ilvl w:val="0"/>
          <w:numId w:val="28"/>
        </w:numPr>
        <w:tabs>
          <w:tab w:val="left" w:pos="426"/>
        </w:tabs>
        <w:spacing w:after="240"/>
        <w:ind w:left="0" w:firstLine="0"/>
        <w:rPr>
          <w:rFonts w:eastAsia="Times New Roman" w:cs="Calibri"/>
          <w:szCs w:val="20"/>
          <w:lang w:eastAsia="es-ES_tradnl"/>
        </w:rPr>
      </w:pPr>
      <w:r w:rsidRPr="003F7F6C">
        <w:rPr>
          <w:rFonts w:eastAsia="Times New Roman" w:cs="Calibri"/>
          <w:szCs w:val="20"/>
          <w:lang w:eastAsia="es-ES_tradnl"/>
        </w:rPr>
        <w:t>Thus, although there are important areas under conservation through protected areas, almost 83% of the country (2,348,148 km</w:t>
      </w:r>
      <w:r w:rsidRPr="003F7F6C">
        <w:rPr>
          <w:rFonts w:eastAsia="Times New Roman" w:cs="Calibri"/>
          <w:szCs w:val="20"/>
          <w:vertAlign w:val="superscript"/>
          <w:lang w:eastAsia="es-ES_tradnl"/>
        </w:rPr>
        <w:t>2</w:t>
      </w:r>
      <w:r w:rsidRPr="003F7F6C">
        <w:rPr>
          <w:rFonts w:eastAsia="Times New Roman" w:cs="Calibri"/>
          <w:szCs w:val="20"/>
          <w:lang w:eastAsia="es-ES_tradnl"/>
        </w:rPr>
        <w:t>) that includes key ecosystems are currently or will be used for production and would be exposed to the above</w:t>
      </w:r>
      <w:r w:rsidR="002B22C3" w:rsidRPr="003F7F6C">
        <w:rPr>
          <w:rFonts w:eastAsia="Times New Roman" w:cs="Calibri"/>
          <w:szCs w:val="20"/>
          <w:lang w:eastAsia="es-ES_tradnl"/>
        </w:rPr>
        <w:t>-</w:t>
      </w:r>
      <w:r w:rsidRPr="003F7F6C">
        <w:rPr>
          <w:rFonts w:eastAsia="Times New Roman" w:cs="Calibri"/>
          <w:szCs w:val="20"/>
          <w:lang w:eastAsia="es-ES_tradnl"/>
        </w:rPr>
        <w:t xml:space="preserve">mentioned threats if other land use frameworks are not in place. In recognition of this the General Law of the Environment Nº 25675, through Article 10, sets up environmental land use planning (ELUP) as an environmental management policy and instrument </w:t>
      </w:r>
      <w:r w:rsidRPr="003F7F6C">
        <w:rPr>
          <w:rFonts w:eastAsia="Times New Roman" w:cs="Calibri"/>
          <w:i/>
          <w:iCs/>
          <w:szCs w:val="20"/>
          <w:lang w:eastAsia="es-ES_tradnl"/>
        </w:rPr>
        <w:t>to guide the use of natural resources. One that allows a maximum production in each ecosystem while guaranteeing the minimum level of degradation and promoting social participation in decisions that are necessary for sustainable development</w:t>
      </w:r>
      <w:r w:rsidRPr="003F7F6C">
        <w:rPr>
          <w:rFonts w:eastAsia="Times New Roman" w:cs="Calibri"/>
          <w:szCs w:val="20"/>
          <w:lang w:eastAsia="es-ES_tradnl"/>
        </w:rPr>
        <w:t xml:space="preserve">. ELUP is a strategic tool to organize land use and occupation and reflects priorities and the value society has assigned to different environments and to </w:t>
      </w:r>
      <w:r w:rsidRPr="003F7F6C">
        <w:rPr>
          <w:rFonts w:eastAsia="Times New Roman" w:cs="Calibri"/>
          <w:szCs w:val="20"/>
          <w:shd w:val="clear" w:color="auto" w:fill="FFFFFF"/>
          <w:lang w:eastAsia="es-ES_tradnl"/>
        </w:rPr>
        <w:t>production, ecosystems and communities</w:t>
      </w:r>
      <w:r w:rsidR="00165C75" w:rsidRPr="003F7F6C">
        <w:rPr>
          <w:rFonts w:eastAsia="Times New Roman" w:cs="Calibri"/>
          <w:szCs w:val="20"/>
          <w:shd w:val="clear" w:color="auto" w:fill="FFFFFF"/>
          <w:lang w:eastAsia="es-ES_tradnl"/>
        </w:rPr>
        <w:t>´ n</w:t>
      </w:r>
      <w:r w:rsidRPr="003F7F6C">
        <w:rPr>
          <w:rFonts w:eastAsia="Times New Roman" w:cs="Calibri"/>
          <w:szCs w:val="20"/>
          <w:shd w:val="clear" w:color="auto" w:fill="FFFFFF"/>
          <w:lang w:eastAsia="es-ES_tradnl"/>
        </w:rPr>
        <w:t xml:space="preserve">eeds as a whole. As an environmental policy tool, ELUP </w:t>
      </w:r>
      <w:r w:rsidR="00B953AF" w:rsidRPr="003F7F6C">
        <w:rPr>
          <w:rFonts w:eastAsia="Times New Roman" w:cs="Calibri"/>
          <w:szCs w:val="20"/>
          <w:shd w:val="clear" w:color="auto" w:fill="FFFFFF"/>
          <w:lang w:eastAsia="es-ES_tradnl"/>
        </w:rPr>
        <w:t>includes</w:t>
      </w:r>
      <w:r w:rsidRPr="003F7F6C">
        <w:rPr>
          <w:rFonts w:eastAsia="Times New Roman" w:cs="Calibri"/>
          <w:szCs w:val="20"/>
          <w:shd w:val="clear" w:color="auto" w:fill="FFFFFF"/>
          <w:lang w:eastAsia="es-ES_tradnl"/>
        </w:rPr>
        <w:t xml:space="preserve"> </w:t>
      </w:r>
      <w:r w:rsidR="00165C75" w:rsidRPr="003F7F6C">
        <w:rPr>
          <w:rFonts w:eastAsia="Times New Roman" w:cs="Calibri"/>
          <w:szCs w:val="20"/>
          <w:shd w:val="clear" w:color="auto" w:fill="FFFFFF"/>
          <w:lang w:eastAsia="es-ES_tradnl"/>
        </w:rPr>
        <w:t xml:space="preserve">command </w:t>
      </w:r>
      <w:r w:rsidRPr="003F7F6C">
        <w:rPr>
          <w:rFonts w:eastAsia="Times New Roman" w:cs="Calibri"/>
          <w:szCs w:val="20"/>
          <w:shd w:val="clear" w:color="auto" w:fill="FFFFFF"/>
          <w:lang w:eastAsia="es-ES_tradnl"/>
        </w:rPr>
        <w:t xml:space="preserve">and </w:t>
      </w:r>
      <w:r w:rsidR="00165C75" w:rsidRPr="003F7F6C">
        <w:rPr>
          <w:rFonts w:eastAsia="Times New Roman" w:cs="Calibri"/>
          <w:szCs w:val="20"/>
          <w:shd w:val="clear" w:color="auto" w:fill="FFFFFF"/>
          <w:lang w:eastAsia="es-ES_tradnl"/>
        </w:rPr>
        <w:t>control</w:t>
      </w:r>
      <w:r w:rsidRPr="003F7F6C">
        <w:rPr>
          <w:rFonts w:eastAsia="Times New Roman" w:cs="Calibri"/>
          <w:szCs w:val="20"/>
          <w:lang w:eastAsia="es-ES_tradnl"/>
        </w:rPr>
        <w:t xml:space="preserve"> mechanism</w:t>
      </w:r>
      <w:r w:rsidR="00B953AF" w:rsidRPr="003F7F6C">
        <w:rPr>
          <w:rFonts w:eastAsia="Times New Roman" w:cs="Calibri"/>
          <w:szCs w:val="20"/>
          <w:lang w:eastAsia="es-ES_tradnl"/>
        </w:rPr>
        <w:t>s</w:t>
      </w:r>
      <w:r w:rsidR="00061C51" w:rsidRPr="003F7F6C">
        <w:rPr>
          <w:rFonts w:eastAsia="Times New Roman" w:cs="Calibri"/>
          <w:szCs w:val="20"/>
          <w:lang w:eastAsia="es-ES_tradnl"/>
        </w:rPr>
        <w:t xml:space="preserve"> </w:t>
      </w:r>
      <w:r w:rsidR="00B953AF" w:rsidRPr="003F7F6C">
        <w:rPr>
          <w:rFonts w:eastAsia="Times New Roman" w:cs="Calibri"/>
          <w:szCs w:val="20"/>
          <w:lang w:eastAsia="es-ES_tradnl"/>
        </w:rPr>
        <w:t>as well as</w:t>
      </w:r>
      <w:r w:rsidR="00061C51" w:rsidRPr="003F7F6C">
        <w:rPr>
          <w:rFonts w:eastAsia="Times New Roman" w:cs="Calibri"/>
          <w:szCs w:val="20"/>
          <w:lang w:eastAsia="es-ES_tradnl"/>
        </w:rPr>
        <w:t xml:space="preserve"> incentives and disincentives</w:t>
      </w:r>
      <w:r w:rsidRPr="003F7F6C">
        <w:rPr>
          <w:rFonts w:eastAsia="Times New Roman" w:cs="Calibri"/>
          <w:szCs w:val="20"/>
          <w:lang w:eastAsia="es-ES_tradnl"/>
        </w:rPr>
        <w:t xml:space="preserve"> to organize activities spatially in a given territory and is implemented in part through state regulations to align different sectoral interests and oversee the</w:t>
      </w:r>
      <w:r w:rsidR="00061C51" w:rsidRPr="003F7F6C">
        <w:rPr>
          <w:rFonts w:eastAsia="Times New Roman" w:cs="Calibri"/>
          <w:szCs w:val="20"/>
          <w:lang w:eastAsia="es-ES_tradnl"/>
        </w:rPr>
        <w:t xml:space="preserve"> actual and potential</w:t>
      </w:r>
      <w:r w:rsidRPr="003F7F6C">
        <w:rPr>
          <w:rFonts w:eastAsia="Times New Roman" w:cs="Calibri"/>
          <w:szCs w:val="20"/>
          <w:lang w:eastAsia="es-ES_tradnl"/>
        </w:rPr>
        <w:t xml:space="preserve"> conflict</w:t>
      </w:r>
      <w:r w:rsidR="00061C51" w:rsidRPr="003F7F6C">
        <w:rPr>
          <w:rFonts w:eastAsia="Times New Roman" w:cs="Calibri"/>
          <w:szCs w:val="20"/>
          <w:lang w:eastAsia="es-ES_tradnl"/>
        </w:rPr>
        <w:t>s</w:t>
      </w:r>
      <w:r w:rsidRPr="003F7F6C">
        <w:rPr>
          <w:rFonts w:eastAsia="Times New Roman" w:cs="Calibri"/>
          <w:szCs w:val="20"/>
          <w:lang w:eastAsia="es-ES_tradnl"/>
        </w:rPr>
        <w:t xml:space="preserve"> between these to protect the common good. </w:t>
      </w:r>
    </w:p>
    <w:p w14:paraId="42A483F9" w14:textId="77777777" w:rsidR="005912A8" w:rsidRPr="003F7F6C" w:rsidRDefault="001C27A8" w:rsidP="00E91275">
      <w:pPr>
        <w:numPr>
          <w:ilvl w:val="0"/>
          <w:numId w:val="28"/>
        </w:numPr>
        <w:tabs>
          <w:tab w:val="left" w:pos="426"/>
        </w:tabs>
        <w:spacing w:after="240"/>
        <w:ind w:left="0" w:firstLine="0"/>
        <w:rPr>
          <w:rFonts w:eastAsia="Times New Roman" w:cs="Calibri"/>
          <w:szCs w:val="20"/>
          <w:lang w:eastAsia="es-ES_tradnl"/>
        </w:rPr>
      </w:pPr>
      <w:r w:rsidRPr="003F7F6C">
        <w:rPr>
          <w:rFonts w:eastAsia="Times New Roman" w:cs="Calibri"/>
          <w:szCs w:val="20"/>
          <w:lang w:eastAsia="es-ES_tradnl"/>
        </w:rPr>
        <w:t>Significant advances have been made within some specific sectors to define norms and policies that promote land use zoning and reduce environmentally “aggressive” practices. Amongst these the Federal level minimal standards</w:t>
      </w:r>
      <w:r w:rsidR="00D05A12" w:rsidRPr="003F7F6C">
        <w:rPr>
          <w:rFonts w:eastAsia="Times New Roman" w:cs="Calibri"/>
          <w:szCs w:val="20"/>
          <w:lang w:eastAsia="es-ES_tradnl"/>
        </w:rPr>
        <w:t>, which establish the framework</w:t>
      </w:r>
      <w:r w:rsidRPr="003F7F6C">
        <w:rPr>
          <w:rFonts w:eastAsia="Times New Roman" w:cs="Calibri"/>
          <w:szCs w:val="20"/>
          <w:lang w:eastAsia="es-ES_tradnl"/>
        </w:rPr>
        <w:t xml:space="preserve"> for undertaking environmental management in provinces. This is a regulatory instrument that sets the basic standards and procedures for a specific environmental mechanism or instrument and defines among others the process and characteristics that should be applied as a minimum in each Province. Of note are the: a) National Law Nº 26331 on Minimum Standards for the Environmental Protection of Native Forests (Native Forests Law)</w:t>
      </w:r>
      <w:r w:rsidR="00165C75" w:rsidRPr="003F7F6C">
        <w:rPr>
          <w:rFonts w:eastAsia="Times New Roman" w:cs="Calibri"/>
          <w:szCs w:val="20"/>
          <w:lang w:eastAsia="es-ES_tradnl"/>
        </w:rPr>
        <w:t>,</w:t>
      </w:r>
      <w:r w:rsidRPr="003F7F6C">
        <w:rPr>
          <w:rFonts w:eastAsia="Times New Roman" w:cs="Calibri"/>
          <w:szCs w:val="20"/>
          <w:lang w:eastAsia="es-ES_tradnl"/>
        </w:rPr>
        <w:t xml:space="preserve"> which recognizes the services this ecosystem provides to society and creates a National Fund for the Enrichment and Conservation of Native Forests for those provinces that have forest zoning in place; b) National Law Nº 26639 on Minimum Standards for Glacier and Peri-glacial Environment Preservation, including strategic water resource reserves and water supplies for biodiversity protection; and c) the Bill</w:t>
      </w:r>
      <w:r w:rsidRPr="003F7F6C">
        <w:rPr>
          <w:rFonts w:eastAsia="Times New Roman" w:cs="Calibri"/>
          <w:position w:val="10"/>
          <w:szCs w:val="20"/>
          <w:lang w:eastAsia="es-ES_tradnl"/>
        </w:rPr>
        <w:t xml:space="preserve"> </w:t>
      </w:r>
      <w:r w:rsidRPr="003F7F6C">
        <w:rPr>
          <w:rFonts w:eastAsia="Times New Roman" w:cs="Calibri"/>
          <w:szCs w:val="20"/>
          <w:lang w:eastAsia="es-ES_tradnl"/>
        </w:rPr>
        <w:t>on Wetlands</w:t>
      </w:r>
      <w:r w:rsidRPr="003F7F6C">
        <w:rPr>
          <w:rStyle w:val="FootnoteReference"/>
          <w:rFonts w:ascii="Calibri" w:eastAsia="Times New Roman" w:hAnsi="Calibri" w:cs="Calibri"/>
          <w:sz w:val="20"/>
          <w:szCs w:val="20"/>
          <w:lang w:eastAsia="es-ES_tradnl"/>
        </w:rPr>
        <w:footnoteReference w:id="16"/>
      </w:r>
      <w:r w:rsidR="00165C75" w:rsidRPr="003F7F6C">
        <w:rPr>
          <w:rFonts w:eastAsia="Times New Roman" w:cs="Calibri"/>
          <w:szCs w:val="20"/>
          <w:lang w:eastAsia="es-ES_tradnl"/>
        </w:rPr>
        <w:t>, which</w:t>
      </w:r>
      <w:r w:rsidRPr="003F7F6C">
        <w:rPr>
          <w:rFonts w:eastAsia="Times New Roman" w:cs="Calibri"/>
          <w:szCs w:val="20"/>
          <w:lang w:eastAsia="es-ES_tradnl"/>
        </w:rPr>
        <w:t xml:space="preserve"> sets minimum standards for the conservation, restoration and sustainable development of wetlands in Argentina, so production activities are compatible with </w:t>
      </w:r>
      <w:r w:rsidR="00CD5544" w:rsidRPr="003F7F6C">
        <w:rPr>
          <w:rFonts w:eastAsia="Times New Roman" w:cs="Calibri"/>
          <w:szCs w:val="20"/>
          <w:lang w:eastAsia="es-ES_tradnl"/>
        </w:rPr>
        <w:t xml:space="preserve">the </w:t>
      </w:r>
      <w:r w:rsidRPr="003F7F6C">
        <w:rPr>
          <w:rFonts w:eastAsia="Times New Roman" w:cs="Calibri"/>
          <w:szCs w:val="20"/>
          <w:lang w:eastAsia="es-ES_tradnl"/>
        </w:rPr>
        <w:t>conservation of environmental services. These all focus on specific ecosystems and do not address the mosaic of ecosystems in a landscape.</w:t>
      </w:r>
    </w:p>
    <w:p w14:paraId="3C67AEA4" w14:textId="77777777" w:rsidR="00C45CEB" w:rsidRPr="003F7F6C" w:rsidRDefault="001C27A8" w:rsidP="00E91275">
      <w:pPr>
        <w:numPr>
          <w:ilvl w:val="0"/>
          <w:numId w:val="28"/>
        </w:numPr>
        <w:tabs>
          <w:tab w:val="left" w:pos="426"/>
        </w:tabs>
        <w:spacing w:after="240"/>
        <w:ind w:left="0" w:firstLine="0"/>
        <w:rPr>
          <w:rFonts w:eastAsia="Times New Roman" w:cs="Calibri"/>
          <w:szCs w:val="20"/>
          <w:lang w:eastAsia="es-ES_tradnl"/>
        </w:rPr>
      </w:pPr>
      <w:r w:rsidRPr="003F7F6C">
        <w:rPr>
          <w:rFonts w:eastAsia="Times New Roman" w:cs="Calibri"/>
          <w:szCs w:val="20"/>
          <w:lang w:eastAsia="es-ES_tradnl"/>
        </w:rPr>
        <w:t>The Government of Argentina (GoA) has outlined a number of large</w:t>
      </w:r>
      <w:r w:rsidR="00CD5544" w:rsidRPr="003F7F6C">
        <w:rPr>
          <w:rFonts w:eastAsia="Times New Roman" w:cs="Calibri"/>
          <w:szCs w:val="20"/>
          <w:lang w:eastAsia="es-ES_tradnl"/>
        </w:rPr>
        <w:t>-</w:t>
      </w:r>
      <w:r w:rsidRPr="003F7F6C">
        <w:rPr>
          <w:rFonts w:eastAsia="Times New Roman" w:cs="Calibri"/>
          <w:szCs w:val="20"/>
          <w:lang w:eastAsia="es-ES_tradnl"/>
        </w:rPr>
        <w:t xml:space="preserve">scale initiatives to reactivate the economy in areas of extreme poverty and provide basic necessities to </w:t>
      </w:r>
      <w:r w:rsidR="00CD5544" w:rsidRPr="003F7F6C">
        <w:rPr>
          <w:rFonts w:eastAsia="Times New Roman" w:cs="Calibri"/>
          <w:szCs w:val="20"/>
          <w:lang w:eastAsia="es-ES_tradnl"/>
        </w:rPr>
        <w:t xml:space="preserve">the </w:t>
      </w:r>
      <w:r w:rsidRPr="003F7F6C">
        <w:rPr>
          <w:rFonts w:eastAsia="Times New Roman" w:cs="Calibri"/>
          <w:szCs w:val="20"/>
          <w:lang w:eastAsia="es-ES_tradnl"/>
        </w:rPr>
        <w:t>rural population while stimulating production in sectors such as agriculture and mining through the building of infrastructure and improvement of ports to facilitate exportation. In this context</w:t>
      </w:r>
      <w:r w:rsidR="00CD5544" w:rsidRPr="003F7F6C">
        <w:rPr>
          <w:rFonts w:eastAsia="Times New Roman" w:cs="Calibri"/>
          <w:szCs w:val="20"/>
          <w:lang w:eastAsia="es-ES_tradnl"/>
        </w:rPr>
        <w:t>,</w:t>
      </w:r>
      <w:r w:rsidRPr="003F7F6C">
        <w:rPr>
          <w:rFonts w:eastAsia="Times New Roman" w:cs="Calibri"/>
          <w:szCs w:val="20"/>
          <w:lang w:eastAsia="es-ES_tradnl"/>
        </w:rPr>
        <w:t xml:space="preserve"> dialogues between the </w:t>
      </w:r>
      <w:r w:rsidR="005912A8" w:rsidRPr="003F7F6C">
        <w:rPr>
          <w:rFonts w:eastAsia="Times New Roman" w:cs="Calibri"/>
          <w:szCs w:val="20"/>
          <w:lang w:eastAsia="es-ES_tradnl"/>
        </w:rPr>
        <w:t>Secretariat for the Environment and</w:t>
      </w:r>
      <w:r w:rsidRPr="003F7F6C">
        <w:rPr>
          <w:rFonts w:eastAsia="Times New Roman" w:cs="Calibri"/>
          <w:szCs w:val="20"/>
          <w:lang w:eastAsia="es-ES_tradnl"/>
        </w:rPr>
        <w:t xml:space="preserve"> Sustainable Development </w:t>
      </w:r>
      <w:r w:rsidR="005912A8" w:rsidRPr="003F7F6C">
        <w:rPr>
          <w:rFonts w:eastAsia="Times New Roman" w:cs="Calibri"/>
          <w:szCs w:val="20"/>
          <w:lang w:eastAsia="es-ES_tradnl"/>
        </w:rPr>
        <w:t>(SGAyDS</w:t>
      </w:r>
      <w:r w:rsidRPr="003F7F6C">
        <w:rPr>
          <w:rFonts w:eastAsia="Times New Roman" w:cs="Calibri"/>
          <w:szCs w:val="20"/>
          <w:lang w:eastAsia="es-ES_tradnl"/>
        </w:rPr>
        <w:t xml:space="preserve">) and production sectors are underway to identify common areas and agreements on best practices and ways to ensure the above said development plans progress in an environmentally adequate manner. This is an opportunity to further advance </w:t>
      </w:r>
      <w:r w:rsidR="00CD5544" w:rsidRPr="003F7F6C">
        <w:rPr>
          <w:rFonts w:eastAsia="Times New Roman" w:cs="Calibri"/>
          <w:szCs w:val="20"/>
          <w:lang w:eastAsia="es-ES_tradnl"/>
        </w:rPr>
        <w:t xml:space="preserve">the </w:t>
      </w:r>
      <w:r w:rsidRPr="003F7F6C">
        <w:rPr>
          <w:rFonts w:eastAsia="Times New Roman" w:cs="Calibri"/>
          <w:szCs w:val="20"/>
          <w:lang w:eastAsia="es-ES_tradnl"/>
        </w:rPr>
        <w:t>General Law of the Environment through the implementation of Article 10 on ELUP and the instruments for its effective implementation listed in Article 8 of the same Law. These inst</w:t>
      </w:r>
      <w:r w:rsidR="005912A8" w:rsidRPr="003F7F6C">
        <w:rPr>
          <w:rFonts w:eastAsia="Times New Roman" w:cs="Calibri"/>
          <w:szCs w:val="20"/>
          <w:lang w:eastAsia="es-ES_tradnl"/>
        </w:rPr>
        <w:t>ruments include</w:t>
      </w:r>
      <w:r w:rsidR="00CD5544" w:rsidRPr="003F7F6C">
        <w:rPr>
          <w:rFonts w:eastAsia="Times New Roman" w:cs="Calibri"/>
          <w:szCs w:val="20"/>
          <w:lang w:eastAsia="es-ES_tradnl"/>
        </w:rPr>
        <w:t>,</w:t>
      </w:r>
      <w:r w:rsidR="005912A8" w:rsidRPr="003F7F6C">
        <w:rPr>
          <w:rFonts w:eastAsia="Times New Roman" w:cs="Calibri"/>
          <w:szCs w:val="20"/>
          <w:lang w:eastAsia="es-ES_tradnl"/>
        </w:rPr>
        <w:t xml:space="preserve"> among</w:t>
      </w:r>
      <w:r w:rsidRPr="003F7F6C">
        <w:rPr>
          <w:rFonts w:eastAsia="Times New Roman" w:cs="Calibri"/>
          <w:szCs w:val="20"/>
          <w:lang w:eastAsia="es-ES_tradnl"/>
        </w:rPr>
        <w:t xml:space="preserve"> others</w:t>
      </w:r>
      <w:r w:rsidR="00CD5544" w:rsidRPr="003F7F6C">
        <w:rPr>
          <w:rFonts w:eastAsia="Times New Roman" w:cs="Calibri"/>
          <w:szCs w:val="20"/>
          <w:lang w:eastAsia="es-ES_tradnl"/>
        </w:rPr>
        <w:t>,</w:t>
      </w:r>
      <w:r w:rsidRPr="003F7F6C">
        <w:rPr>
          <w:rFonts w:eastAsia="Times New Roman" w:cs="Calibri"/>
          <w:szCs w:val="20"/>
          <w:lang w:eastAsia="es-ES_tradnl"/>
        </w:rPr>
        <w:t xml:space="preserve"> environmental impact assessment</w:t>
      </w:r>
      <w:r w:rsidR="00CD5544" w:rsidRPr="003F7F6C">
        <w:rPr>
          <w:rFonts w:eastAsia="Times New Roman" w:cs="Calibri"/>
          <w:szCs w:val="20"/>
          <w:lang w:eastAsia="es-ES_tradnl"/>
        </w:rPr>
        <w:t>s</w:t>
      </w:r>
      <w:r w:rsidRPr="003F7F6C">
        <w:rPr>
          <w:rFonts w:eastAsia="Times New Roman" w:cs="Calibri"/>
          <w:szCs w:val="20"/>
          <w:lang w:eastAsia="es-ES_tradnl"/>
        </w:rPr>
        <w:t xml:space="preserve">; environmental information systems and an economic regime (tools and instruments) for promoting sustainable development. </w:t>
      </w:r>
      <w:r w:rsidR="003C472B" w:rsidRPr="003F7F6C">
        <w:rPr>
          <w:rFonts w:eastAsia="Times New Roman" w:cs="Calibri"/>
          <w:szCs w:val="20"/>
          <w:lang w:eastAsia="es-ES_tradnl"/>
        </w:rPr>
        <w:t xml:space="preserve"> </w:t>
      </w:r>
    </w:p>
    <w:p w14:paraId="70A3927B" w14:textId="77777777" w:rsidR="00A25AC9" w:rsidRPr="003F7F6C" w:rsidRDefault="005912A8" w:rsidP="00E91275">
      <w:pPr>
        <w:numPr>
          <w:ilvl w:val="0"/>
          <w:numId w:val="28"/>
        </w:numPr>
        <w:tabs>
          <w:tab w:val="left" w:pos="426"/>
        </w:tabs>
        <w:spacing w:after="240"/>
        <w:ind w:left="0" w:firstLine="0"/>
        <w:rPr>
          <w:rFonts w:eastAsia="Times New Roman" w:cs="Calibri"/>
          <w:szCs w:val="20"/>
          <w:lang w:eastAsia="es-ES_tradnl"/>
        </w:rPr>
      </w:pPr>
      <w:r w:rsidRPr="003F7F6C">
        <w:rPr>
          <w:rFonts w:eastAsia="Times New Roman" w:cs="Calibri"/>
          <w:szCs w:val="20"/>
          <w:lang w:eastAsia="es-ES_tradnl"/>
        </w:rPr>
        <w:t xml:space="preserve">However, </w:t>
      </w:r>
      <w:r w:rsidR="00C45CEB" w:rsidRPr="003F7F6C">
        <w:rPr>
          <w:rFonts w:eastAsia="MS Mincho" w:cs="Calibri"/>
          <w:color w:val="1A1A1A"/>
          <w:szCs w:val="20"/>
          <w:lang w:eastAsia="es-ES"/>
        </w:rPr>
        <w:t>under the business-as-usual scenario, these policies and initiatives will continue to be implemented largely through a sector</w:t>
      </w:r>
      <w:r w:rsidR="00CD5544" w:rsidRPr="003F7F6C">
        <w:rPr>
          <w:rFonts w:eastAsia="MS Mincho" w:cs="Calibri"/>
          <w:color w:val="1A1A1A"/>
          <w:szCs w:val="20"/>
          <w:lang w:eastAsia="es-ES"/>
        </w:rPr>
        <w:t>-</w:t>
      </w:r>
      <w:r w:rsidR="00C45CEB" w:rsidRPr="003F7F6C">
        <w:rPr>
          <w:rFonts w:eastAsia="MS Mincho" w:cs="Calibri"/>
          <w:color w:val="1A1A1A"/>
          <w:szCs w:val="20"/>
          <w:lang w:eastAsia="es-ES"/>
        </w:rPr>
        <w:t>based approach and with weak inter-institutional and inter-sectoral coordination and will not be sufficient to enable a shift towards an ELUP</w:t>
      </w:r>
      <w:r w:rsidR="00C45CEB" w:rsidRPr="003F7F6C">
        <w:rPr>
          <w:rFonts w:eastAsia="Times New Roman" w:cs="Calibri"/>
          <w:szCs w:val="20"/>
          <w:lang w:eastAsia="es-ES_tradnl"/>
        </w:rPr>
        <w:t xml:space="preserve"> </w:t>
      </w:r>
      <w:r w:rsidRPr="003F7F6C">
        <w:rPr>
          <w:rFonts w:eastAsia="Times New Roman" w:cs="Calibri"/>
          <w:szCs w:val="20"/>
          <w:lang w:eastAsia="es-ES_tradnl"/>
        </w:rPr>
        <w:t xml:space="preserve">that is effective across such vast territories and to address the complex threats and sectors that are driven by strong prices in global economies. </w:t>
      </w:r>
      <w:r w:rsidR="00C45CEB" w:rsidRPr="003F7F6C">
        <w:rPr>
          <w:rFonts w:eastAsia="Times New Roman" w:cs="Calibri"/>
          <w:szCs w:val="20"/>
          <w:lang w:eastAsia="es-ES_tradnl"/>
        </w:rPr>
        <w:t>More is needed to ensure ELUP and i</w:t>
      </w:r>
      <w:r w:rsidRPr="003F7F6C">
        <w:rPr>
          <w:rFonts w:eastAsia="Times New Roman" w:cs="Calibri"/>
          <w:szCs w:val="20"/>
          <w:lang w:eastAsia="es-ES_tradnl"/>
        </w:rPr>
        <w:t xml:space="preserve">t is essential to adopt an integrated approach to ecosystem management at scales that recognize the complex spatial dimensions of the processes that drive the threats, while also mainstreaming environmental considerations into the management practices of production sectors with particular potential to generate threats to global environmental values. It also requires decision-making and planning to be based on sound information regarding the status and functioning of the ecosystems in question and the threats that affect them, as well as the nature and magnitude of the goods and services that these ecosystems generate, and the significance and value of these goods and services for the diverse stakeholder groups and the sustainable development of production sectors. </w:t>
      </w:r>
    </w:p>
    <w:p w14:paraId="4E376EC5" w14:textId="77777777" w:rsidR="00DD164C" w:rsidRPr="003F7F6C" w:rsidRDefault="00A25AC9" w:rsidP="00E91275">
      <w:pPr>
        <w:numPr>
          <w:ilvl w:val="0"/>
          <w:numId w:val="28"/>
        </w:numPr>
        <w:tabs>
          <w:tab w:val="left" w:pos="426"/>
        </w:tabs>
        <w:spacing w:after="120"/>
        <w:ind w:left="0" w:firstLine="0"/>
        <w:rPr>
          <w:rFonts w:eastAsia="Times New Roman" w:cs="Calibri"/>
          <w:szCs w:val="20"/>
          <w:lang w:eastAsia="es-ES_tradnl"/>
        </w:rPr>
      </w:pPr>
      <w:r w:rsidRPr="003F7F6C">
        <w:rPr>
          <w:rFonts w:eastAsia="Times New Roman" w:cs="Calibri"/>
          <w:szCs w:val="20"/>
          <w:lang w:eastAsia="es-ES_tradnl"/>
        </w:rPr>
        <w:t xml:space="preserve">The </w:t>
      </w:r>
      <w:r w:rsidRPr="003F7F6C">
        <w:rPr>
          <w:rFonts w:eastAsia="Times New Roman" w:cs="Calibri"/>
          <w:szCs w:val="20"/>
          <w:u w:val="single"/>
          <w:lang w:eastAsia="es-ES_tradnl"/>
        </w:rPr>
        <w:t>proposed long</w:t>
      </w:r>
      <w:r w:rsidR="00CD5544" w:rsidRPr="003F7F6C">
        <w:rPr>
          <w:rFonts w:eastAsia="Times New Roman" w:cs="Calibri"/>
          <w:szCs w:val="20"/>
          <w:u w:val="single"/>
          <w:lang w:eastAsia="es-ES_tradnl"/>
        </w:rPr>
        <w:t>-</w:t>
      </w:r>
      <w:r w:rsidRPr="003F7F6C">
        <w:rPr>
          <w:rFonts w:eastAsia="Times New Roman" w:cs="Calibri"/>
          <w:szCs w:val="20"/>
          <w:u w:val="single"/>
          <w:lang w:eastAsia="es-ES_tradnl"/>
        </w:rPr>
        <w:t>term solution</w:t>
      </w:r>
      <w:r w:rsidRPr="003F7F6C">
        <w:rPr>
          <w:rFonts w:eastAsia="Times New Roman" w:cs="Calibri"/>
          <w:szCs w:val="20"/>
          <w:lang w:eastAsia="es-ES_tradnl"/>
        </w:rPr>
        <w:t xml:space="preserve"> is to advance ELUP and build the instruments needed to support its implementation with the vision of establishing an operational framework through which areas in the production landscape that are priorit</w:t>
      </w:r>
      <w:r w:rsidR="00CD5544" w:rsidRPr="003F7F6C">
        <w:rPr>
          <w:rFonts w:eastAsia="Times New Roman" w:cs="Calibri"/>
          <w:szCs w:val="20"/>
          <w:lang w:eastAsia="es-ES_tradnl"/>
        </w:rPr>
        <w:t>ies</w:t>
      </w:r>
      <w:r w:rsidRPr="003F7F6C">
        <w:rPr>
          <w:rFonts w:eastAsia="Times New Roman" w:cs="Calibri"/>
          <w:szCs w:val="20"/>
          <w:lang w:eastAsia="es-ES_tradnl"/>
        </w:rPr>
        <w:t xml:space="preserve"> for conservation or combatting land degradation can be protected from sector driven pressures.   </w:t>
      </w:r>
      <w:r w:rsidR="005912A8" w:rsidRPr="003F7F6C">
        <w:rPr>
          <w:rFonts w:eastAsia="Times New Roman" w:cs="Calibri"/>
          <w:szCs w:val="20"/>
          <w:lang w:eastAsia="es-ES_tradnl"/>
        </w:rPr>
        <w:t>Although ELUP is recognized as a valuable means to achieve this integrated management and agree on land</w:t>
      </w:r>
      <w:r w:rsidR="00CD5544" w:rsidRPr="003F7F6C">
        <w:rPr>
          <w:rFonts w:eastAsia="Times New Roman" w:cs="Calibri"/>
          <w:szCs w:val="20"/>
          <w:lang w:eastAsia="es-ES_tradnl"/>
        </w:rPr>
        <w:t xml:space="preserve"> </w:t>
      </w:r>
      <w:r w:rsidR="005912A8" w:rsidRPr="003F7F6C">
        <w:rPr>
          <w:rFonts w:eastAsia="Times New Roman" w:cs="Calibri"/>
          <w:szCs w:val="20"/>
          <w:lang w:eastAsia="es-ES_tradnl"/>
        </w:rPr>
        <w:t>use to sustain ecosystem for development management there are several constraints that hamper it</w:t>
      </w:r>
      <w:r w:rsidR="00174C58" w:rsidRPr="003F7F6C">
        <w:rPr>
          <w:rFonts w:eastAsia="Times New Roman" w:cs="Calibri"/>
          <w:szCs w:val="20"/>
          <w:lang w:eastAsia="es-ES_tradnl"/>
        </w:rPr>
        <w:t xml:space="preserve">s effective operationalization, namely: </w:t>
      </w:r>
    </w:p>
    <w:p w14:paraId="3FA15F99" w14:textId="77777777" w:rsidR="00503EF3" w:rsidRPr="003F7F6C" w:rsidRDefault="00DD164C" w:rsidP="00E91275">
      <w:pPr>
        <w:numPr>
          <w:ilvl w:val="0"/>
          <w:numId w:val="34"/>
        </w:numPr>
        <w:tabs>
          <w:tab w:val="left" w:pos="426"/>
        </w:tabs>
        <w:spacing w:after="120"/>
        <w:rPr>
          <w:rFonts w:eastAsia="Times New Roman" w:cs="Calibri"/>
          <w:szCs w:val="20"/>
          <w:lang w:eastAsia="es-ES_tradnl"/>
        </w:rPr>
      </w:pPr>
      <w:r w:rsidRPr="003F7F6C">
        <w:rPr>
          <w:rFonts w:eastAsia="Times New Roman" w:cs="Calibri"/>
          <w:szCs w:val="20"/>
          <w:lang w:eastAsia="es-ES_tradnl"/>
        </w:rPr>
        <w:t>I</w:t>
      </w:r>
      <w:r w:rsidR="00174C58" w:rsidRPr="003F7F6C">
        <w:rPr>
          <w:rFonts w:eastAsia="Times New Roman" w:cs="Calibri"/>
          <w:szCs w:val="20"/>
          <w:lang w:eastAsia="es-ES_tradnl"/>
        </w:rPr>
        <w:t>nsufficient policy and regulatory framework and reliable information to effectively develop ELUP at nat</w:t>
      </w:r>
      <w:r w:rsidRPr="003F7F6C">
        <w:rPr>
          <w:rFonts w:eastAsia="Times New Roman" w:cs="Calibri"/>
          <w:szCs w:val="20"/>
          <w:lang w:eastAsia="es-ES_tradnl"/>
        </w:rPr>
        <w:t>ional and provincial levels;</w:t>
      </w:r>
    </w:p>
    <w:p w14:paraId="2CDD36DE" w14:textId="77777777" w:rsidR="00503EF3" w:rsidRPr="003F7F6C" w:rsidRDefault="00DD164C" w:rsidP="00E91275">
      <w:pPr>
        <w:numPr>
          <w:ilvl w:val="0"/>
          <w:numId w:val="34"/>
        </w:numPr>
        <w:tabs>
          <w:tab w:val="left" w:pos="426"/>
        </w:tabs>
        <w:spacing w:after="120"/>
        <w:rPr>
          <w:rFonts w:eastAsia="Times New Roman" w:cs="Calibri"/>
          <w:szCs w:val="20"/>
          <w:lang w:eastAsia="es-ES_tradnl"/>
        </w:rPr>
      </w:pPr>
      <w:r w:rsidRPr="003F7F6C">
        <w:rPr>
          <w:rFonts w:eastAsia="Times New Roman" w:cs="Calibri"/>
          <w:szCs w:val="20"/>
          <w:lang w:eastAsia="es-ES_tradnl"/>
        </w:rPr>
        <w:t>W</w:t>
      </w:r>
      <w:r w:rsidR="00174C58" w:rsidRPr="003F7F6C">
        <w:rPr>
          <w:rFonts w:eastAsia="Times New Roman" w:cs="Calibri"/>
          <w:szCs w:val="20"/>
          <w:lang w:eastAsia="es-ES_tradnl"/>
        </w:rPr>
        <w:t>eakness</w:t>
      </w:r>
      <w:r w:rsidR="00CD5544" w:rsidRPr="003F7F6C">
        <w:rPr>
          <w:rFonts w:eastAsia="Times New Roman" w:cs="Calibri"/>
          <w:szCs w:val="20"/>
          <w:lang w:eastAsia="es-ES_tradnl"/>
        </w:rPr>
        <w:t>es</w:t>
      </w:r>
      <w:r w:rsidR="00174C58" w:rsidRPr="003F7F6C">
        <w:rPr>
          <w:rFonts w:eastAsia="Times New Roman" w:cs="Calibri"/>
          <w:szCs w:val="20"/>
          <w:lang w:eastAsia="es-ES_tradnl"/>
        </w:rPr>
        <w:t xml:space="preserve"> in provincial tools and instruments to approve, imp</w:t>
      </w:r>
      <w:r w:rsidRPr="003F7F6C">
        <w:rPr>
          <w:rFonts w:eastAsia="Times New Roman" w:cs="Calibri"/>
          <w:szCs w:val="20"/>
          <w:lang w:eastAsia="es-ES_tradnl"/>
        </w:rPr>
        <w:t>lement and oversee ELUP; and</w:t>
      </w:r>
    </w:p>
    <w:p w14:paraId="3D8EA4A9" w14:textId="77777777" w:rsidR="005912A8" w:rsidRPr="003F7F6C" w:rsidRDefault="00DD164C" w:rsidP="00E91275">
      <w:pPr>
        <w:numPr>
          <w:ilvl w:val="0"/>
          <w:numId w:val="34"/>
        </w:numPr>
        <w:tabs>
          <w:tab w:val="left" w:pos="426"/>
        </w:tabs>
        <w:spacing w:after="120"/>
        <w:rPr>
          <w:rFonts w:eastAsia="Times New Roman" w:cs="Calibri"/>
          <w:szCs w:val="20"/>
          <w:lang w:eastAsia="es-ES_tradnl"/>
        </w:rPr>
      </w:pPr>
      <w:r w:rsidRPr="003F7F6C">
        <w:rPr>
          <w:rFonts w:eastAsia="Times New Roman" w:cs="Calibri"/>
          <w:szCs w:val="20"/>
          <w:lang w:eastAsia="es-ES_tradnl"/>
        </w:rPr>
        <w:t>D</w:t>
      </w:r>
      <w:r w:rsidR="00174C58" w:rsidRPr="003F7F6C">
        <w:rPr>
          <w:rFonts w:eastAsia="Times New Roman" w:cs="Calibri"/>
          <w:szCs w:val="20"/>
          <w:lang w:eastAsia="es-ES_tradnl"/>
        </w:rPr>
        <w:t>ispersed knowledge and insufficient sharing of environmental management practices at provincial and inter-provincial levels.</w:t>
      </w:r>
    </w:p>
    <w:p w14:paraId="244FC236" w14:textId="77777777" w:rsidR="00D63B4B" w:rsidRPr="003F7F6C" w:rsidRDefault="00105A52" w:rsidP="00E91275">
      <w:pPr>
        <w:numPr>
          <w:ilvl w:val="0"/>
          <w:numId w:val="28"/>
        </w:numPr>
        <w:tabs>
          <w:tab w:val="left" w:pos="426"/>
        </w:tabs>
        <w:spacing w:after="240"/>
        <w:ind w:left="0" w:firstLine="0"/>
        <w:rPr>
          <w:rFonts w:eastAsia="Times New Roman" w:cs="Calibri"/>
          <w:szCs w:val="20"/>
          <w:lang w:eastAsia="es-ES_tradnl"/>
        </w:rPr>
      </w:pPr>
      <w:r w:rsidRPr="003F7F6C">
        <w:rPr>
          <w:rFonts w:eastAsia="Times New Roman" w:cs="Calibri"/>
          <w:i/>
          <w:szCs w:val="20"/>
          <w:lang w:eastAsia="es-ES_tradnl"/>
        </w:rPr>
        <w:t>Insufficient policy and regulatory framework and reliable information to effectively develop ELUP at national and provincial levels</w:t>
      </w:r>
      <w:r w:rsidRPr="003F7F6C">
        <w:rPr>
          <w:rFonts w:eastAsia="Times New Roman" w:cs="Calibri"/>
          <w:szCs w:val="20"/>
          <w:lang w:eastAsia="es-ES_tradnl"/>
        </w:rPr>
        <w:t xml:space="preserve">: </w:t>
      </w:r>
      <w:r w:rsidR="00F7517B" w:rsidRPr="003F7F6C">
        <w:rPr>
          <w:rFonts w:eastAsia="Times New Roman" w:cs="Calibri"/>
          <w:szCs w:val="20"/>
          <w:lang w:eastAsia="es-ES_tradnl"/>
        </w:rPr>
        <w:t xml:space="preserve">Provinces have </w:t>
      </w:r>
      <w:r w:rsidR="00CD5544" w:rsidRPr="003F7F6C">
        <w:rPr>
          <w:rFonts w:eastAsia="Times New Roman" w:cs="Calibri"/>
          <w:szCs w:val="20"/>
          <w:lang w:eastAsia="es-ES_tradnl"/>
        </w:rPr>
        <w:t xml:space="preserve">the </w:t>
      </w:r>
      <w:r w:rsidR="00F7517B" w:rsidRPr="003F7F6C">
        <w:rPr>
          <w:rFonts w:eastAsia="Times New Roman" w:cs="Calibri"/>
          <w:szCs w:val="20"/>
          <w:lang w:eastAsia="es-ES_tradnl"/>
        </w:rPr>
        <w:t>mandate over natural resources within their territory and are responsible for ove</w:t>
      </w:r>
      <w:r w:rsidRPr="003F7F6C">
        <w:rPr>
          <w:rFonts w:eastAsia="Times New Roman" w:cs="Calibri"/>
          <w:szCs w:val="20"/>
          <w:lang w:eastAsia="es-ES_tradnl"/>
        </w:rPr>
        <w:t>rseeing land use. Although some</w:t>
      </w:r>
      <w:r w:rsidR="00F7517B" w:rsidRPr="003F7F6C">
        <w:rPr>
          <w:rFonts w:eastAsia="Times New Roman" w:cs="Calibri"/>
          <w:szCs w:val="20"/>
          <w:lang w:eastAsia="es-ES_tradnl"/>
        </w:rPr>
        <w:t>, such as Mendoza, have already made progress in establishing a legal framework for ELUP, this is missing in most provinces and exi</w:t>
      </w:r>
      <w:r w:rsidRPr="003F7F6C">
        <w:rPr>
          <w:rFonts w:eastAsia="Times New Roman" w:cs="Calibri"/>
          <w:szCs w:val="20"/>
          <w:lang w:eastAsia="es-ES_tradnl"/>
        </w:rPr>
        <w:t>sting land use planning focuses</w:t>
      </w:r>
      <w:r w:rsidR="00F7517B" w:rsidRPr="003F7F6C">
        <w:rPr>
          <w:rFonts w:eastAsia="Times New Roman" w:cs="Calibri"/>
          <w:szCs w:val="20"/>
          <w:lang w:eastAsia="es-ES_tradnl"/>
        </w:rPr>
        <w:t xml:space="preserve"> mainly on economic development, transportation, and population criteria. At the federal level standards can be defined to ensure Provinces comply with a minimum set of criteria and elements in </w:t>
      </w:r>
      <w:r w:rsidR="00CD5544" w:rsidRPr="003F7F6C">
        <w:rPr>
          <w:rFonts w:eastAsia="Times New Roman" w:cs="Calibri"/>
          <w:szCs w:val="20"/>
          <w:lang w:eastAsia="es-ES_tradnl"/>
        </w:rPr>
        <w:t>p</w:t>
      </w:r>
      <w:r w:rsidR="00F7517B" w:rsidRPr="003F7F6C">
        <w:rPr>
          <w:rFonts w:eastAsia="Times New Roman" w:cs="Calibri"/>
          <w:szCs w:val="20"/>
          <w:lang w:eastAsia="es-ES_tradnl"/>
        </w:rPr>
        <w:t>rovincial regulations (e</w:t>
      </w:r>
      <w:r w:rsidRPr="003F7F6C">
        <w:rPr>
          <w:rFonts w:eastAsia="Times New Roman" w:cs="Calibri"/>
          <w:szCs w:val="20"/>
          <w:lang w:eastAsia="es-ES_tradnl"/>
        </w:rPr>
        <w:t>.</w:t>
      </w:r>
      <w:r w:rsidR="00F7517B" w:rsidRPr="003F7F6C">
        <w:rPr>
          <w:rFonts w:eastAsia="Times New Roman" w:cs="Calibri"/>
          <w:szCs w:val="20"/>
          <w:lang w:eastAsia="es-ES_tradnl"/>
        </w:rPr>
        <w:t>g</w:t>
      </w:r>
      <w:r w:rsidRPr="003F7F6C">
        <w:rPr>
          <w:rFonts w:eastAsia="Times New Roman" w:cs="Calibri"/>
          <w:szCs w:val="20"/>
          <w:lang w:eastAsia="es-ES_tradnl"/>
        </w:rPr>
        <w:t>.</w:t>
      </w:r>
      <w:r w:rsidR="00CD5544" w:rsidRPr="003F7F6C">
        <w:rPr>
          <w:rFonts w:eastAsia="Times New Roman" w:cs="Calibri"/>
          <w:szCs w:val="20"/>
          <w:lang w:eastAsia="es-ES_tradnl"/>
        </w:rPr>
        <w:t>,</w:t>
      </w:r>
      <w:r w:rsidR="00F7517B" w:rsidRPr="003F7F6C">
        <w:rPr>
          <w:rFonts w:eastAsia="Times New Roman" w:cs="Calibri"/>
          <w:szCs w:val="20"/>
          <w:lang w:eastAsia="es-ES_tradnl"/>
        </w:rPr>
        <w:t xml:space="preserve"> the Native Forest Law), however these have not been set for ELUP nor for the tools to support its implementation</w:t>
      </w:r>
      <w:r w:rsidRPr="003F7F6C">
        <w:rPr>
          <w:rFonts w:eastAsia="Times New Roman" w:cs="Calibri"/>
          <w:szCs w:val="20"/>
          <w:lang w:eastAsia="es-ES_tradnl"/>
        </w:rPr>
        <w:t>.</w:t>
      </w:r>
      <w:r w:rsidR="00F7517B" w:rsidRPr="003F7F6C">
        <w:rPr>
          <w:rFonts w:eastAsia="Times New Roman" w:cs="Calibri"/>
          <w:szCs w:val="20"/>
          <w:lang w:eastAsia="es-ES_tradnl"/>
        </w:rPr>
        <w:t xml:space="preserve"> The result is that even if </w:t>
      </w:r>
      <w:r w:rsidR="00CD5544" w:rsidRPr="003F7F6C">
        <w:rPr>
          <w:rFonts w:eastAsia="Times New Roman" w:cs="Calibri"/>
          <w:szCs w:val="20"/>
          <w:lang w:eastAsia="es-ES_tradnl"/>
        </w:rPr>
        <w:t>p</w:t>
      </w:r>
      <w:r w:rsidR="00F7517B" w:rsidRPr="003F7F6C">
        <w:rPr>
          <w:rFonts w:eastAsia="Times New Roman" w:cs="Calibri"/>
          <w:szCs w:val="20"/>
          <w:lang w:eastAsia="es-ES_tradnl"/>
        </w:rPr>
        <w:t xml:space="preserve">rovinces advance ELUP legislation this is </w:t>
      </w:r>
      <w:r w:rsidR="00CD5544" w:rsidRPr="003F7F6C">
        <w:rPr>
          <w:rFonts w:eastAsia="Times New Roman" w:cs="Calibri"/>
          <w:szCs w:val="20"/>
          <w:lang w:eastAsia="es-ES_tradnl"/>
        </w:rPr>
        <w:t xml:space="preserve">being done </w:t>
      </w:r>
      <w:r w:rsidR="00F7517B" w:rsidRPr="003F7F6C">
        <w:rPr>
          <w:rFonts w:eastAsia="Times New Roman" w:cs="Calibri"/>
          <w:szCs w:val="20"/>
          <w:lang w:eastAsia="es-ES_tradnl"/>
        </w:rPr>
        <w:t xml:space="preserve">in an </w:t>
      </w:r>
      <w:r w:rsidR="00F7517B" w:rsidRPr="003F7F6C">
        <w:rPr>
          <w:rFonts w:eastAsia="Times New Roman" w:cs="Calibri"/>
          <w:i/>
          <w:szCs w:val="20"/>
          <w:lang w:eastAsia="es-ES_tradnl"/>
        </w:rPr>
        <w:t>ad hoc</w:t>
      </w:r>
      <w:r w:rsidR="00F7517B" w:rsidRPr="003F7F6C">
        <w:rPr>
          <w:rFonts w:eastAsia="Times New Roman" w:cs="Calibri"/>
          <w:szCs w:val="20"/>
          <w:lang w:eastAsia="es-ES_tradnl"/>
        </w:rPr>
        <w:t xml:space="preserve"> manner and can </w:t>
      </w:r>
      <w:r w:rsidR="00CD5544" w:rsidRPr="003F7F6C">
        <w:rPr>
          <w:rFonts w:eastAsia="Times New Roman" w:cs="Calibri"/>
          <w:szCs w:val="20"/>
          <w:lang w:eastAsia="es-ES_tradnl"/>
        </w:rPr>
        <w:t xml:space="preserve">lead to </w:t>
      </w:r>
      <w:r w:rsidR="00F7517B" w:rsidRPr="003F7F6C">
        <w:rPr>
          <w:rFonts w:eastAsia="Times New Roman" w:cs="Calibri"/>
          <w:szCs w:val="20"/>
          <w:lang w:eastAsia="es-ES_tradnl"/>
        </w:rPr>
        <w:t xml:space="preserve">unequal standards which put at risk ecosystems shared between provinces and hamper the achievement of national level conservation targets for different ecoregions. </w:t>
      </w:r>
    </w:p>
    <w:p w14:paraId="22DA4ACA" w14:textId="77777777" w:rsidR="00D63B4B" w:rsidRPr="003F7F6C" w:rsidRDefault="00F7517B" w:rsidP="00E91275">
      <w:pPr>
        <w:numPr>
          <w:ilvl w:val="0"/>
          <w:numId w:val="28"/>
        </w:numPr>
        <w:tabs>
          <w:tab w:val="left" w:pos="426"/>
        </w:tabs>
        <w:spacing w:after="120"/>
        <w:ind w:left="0" w:firstLine="0"/>
        <w:rPr>
          <w:rFonts w:eastAsia="Times New Roman" w:cs="Calibri"/>
          <w:szCs w:val="20"/>
          <w:lang w:eastAsia="es-ES_tradnl"/>
        </w:rPr>
      </w:pPr>
      <w:r w:rsidRPr="003F7F6C">
        <w:rPr>
          <w:rFonts w:eastAsia="Times New Roman" w:cs="Calibri"/>
          <w:szCs w:val="20"/>
          <w:lang w:eastAsia="es-ES_tradnl"/>
        </w:rPr>
        <w:t>Instruments such as</w:t>
      </w:r>
      <w:r w:rsidR="00105A52" w:rsidRPr="003F7F6C">
        <w:rPr>
          <w:rFonts w:eastAsia="Times New Roman" w:cs="Calibri"/>
          <w:szCs w:val="20"/>
          <w:lang w:eastAsia="es-ES_tradnl"/>
        </w:rPr>
        <w:t xml:space="preserve"> Environmental Impact Assessments (</w:t>
      </w:r>
      <w:r w:rsidRPr="003F7F6C">
        <w:rPr>
          <w:rFonts w:eastAsia="Times New Roman" w:cs="Calibri"/>
          <w:szCs w:val="20"/>
          <w:lang w:eastAsia="es-ES_tradnl"/>
        </w:rPr>
        <w:t>EIA</w:t>
      </w:r>
      <w:r w:rsidR="00105A52" w:rsidRPr="003F7F6C">
        <w:rPr>
          <w:rFonts w:eastAsia="Times New Roman" w:cs="Calibri"/>
          <w:szCs w:val="20"/>
          <w:lang w:eastAsia="es-ES_tradnl"/>
        </w:rPr>
        <w:t>)</w:t>
      </w:r>
      <w:r w:rsidRPr="003F7F6C">
        <w:rPr>
          <w:rFonts w:eastAsia="Times New Roman" w:cs="Calibri"/>
          <w:szCs w:val="20"/>
          <w:lang w:eastAsia="es-ES_tradnl"/>
        </w:rPr>
        <w:t xml:space="preserve"> do limit or reduce the impact of production sectors on the environment but these are incomplete and are sectoral or limited by </w:t>
      </w:r>
      <w:r w:rsidR="00CD5544" w:rsidRPr="003F7F6C">
        <w:rPr>
          <w:rFonts w:eastAsia="Times New Roman" w:cs="Calibri"/>
          <w:szCs w:val="20"/>
          <w:lang w:eastAsia="es-ES_tradnl"/>
        </w:rPr>
        <w:t xml:space="preserve">the </w:t>
      </w:r>
      <w:r w:rsidRPr="003F7F6C">
        <w:rPr>
          <w:rFonts w:eastAsia="Times New Roman" w:cs="Calibri"/>
          <w:szCs w:val="20"/>
          <w:lang w:eastAsia="es-ES_tradnl"/>
        </w:rPr>
        <w:t xml:space="preserve">specificities of each </w:t>
      </w:r>
      <w:r w:rsidR="00CD5544" w:rsidRPr="003F7F6C">
        <w:rPr>
          <w:rFonts w:eastAsia="Times New Roman" w:cs="Calibri"/>
          <w:szCs w:val="20"/>
          <w:lang w:eastAsia="es-ES_tradnl"/>
        </w:rPr>
        <w:t>p</w:t>
      </w:r>
      <w:r w:rsidRPr="003F7F6C">
        <w:rPr>
          <w:rFonts w:eastAsia="Times New Roman" w:cs="Calibri"/>
          <w:szCs w:val="20"/>
          <w:lang w:eastAsia="es-ES_tradnl"/>
        </w:rPr>
        <w:t>rovince that can list those activities required to undertake EIA</w:t>
      </w:r>
      <w:r w:rsidR="0060757F" w:rsidRPr="003F7F6C">
        <w:rPr>
          <w:rFonts w:eastAsia="Times New Roman" w:cs="Calibri"/>
          <w:szCs w:val="20"/>
          <w:lang w:eastAsia="es-ES_tradnl"/>
        </w:rPr>
        <w:t>s</w:t>
      </w:r>
      <w:r w:rsidRPr="003F7F6C">
        <w:rPr>
          <w:rFonts w:eastAsia="Times New Roman" w:cs="Calibri"/>
          <w:szCs w:val="20"/>
          <w:lang w:eastAsia="es-ES_tradnl"/>
        </w:rPr>
        <w:t>. As EIA</w:t>
      </w:r>
      <w:r w:rsidR="0090777F" w:rsidRPr="003F7F6C">
        <w:rPr>
          <w:rFonts w:eastAsia="Times New Roman" w:cs="Calibri"/>
          <w:szCs w:val="20"/>
          <w:lang w:eastAsia="es-ES_tradnl"/>
        </w:rPr>
        <w:t>s</w:t>
      </w:r>
      <w:r w:rsidRPr="003F7F6C">
        <w:rPr>
          <w:rFonts w:eastAsia="Times New Roman" w:cs="Calibri"/>
          <w:szCs w:val="20"/>
          <w:lang w:eastAsia="es-ES_tradnl"/>
        </w:rPr>
        <w:t xml:space="preserve"> </w:t>
      </w:r>
      <w:r w:rsidR="0090777F" w:rsidRPr="003F7F6C">
        <w:rPr>
          <w:rFonts w:eastAsia="Times New Roman" w:cs="Calibri"/>
          <w:szCs w:val="20"/>
          <w:lang w:eastAsia="es-ES_tradnl"/>
        </w:rPr>
        <w:t>are</w:t>
      </w:r>
      <w:r w:rsidRPr="003F7F6C">
        <w:rPr>
          <w:rFonts w:eastAsia="Times New Roman" w:cs="Calibri"/>
          <w:szCs w:val="20"/>
          <w:lang w:eastAsia="es-ES_tradnl"/>
        </w:rPr>
        <w:t xml:space="preserve"> site-based, and thus limited to the “development project” and related sector in a specific site, </w:t>
      </w:r>
      <w:r w:rsidR="0090777F" w:rsidRPr="003F7F6C">
        <w:rPr>
          <w:rFonts w:eastAsia="Times New Roman" w:cs="Calibri"/>
          <w:szCs w:val="20"/>
          <w:lang w:eastAsia="es-ES_tradnl"/>
        </w:rPr>
        <w:t xml:space="preserve">they </w:t>
      </w:r>
      <w:r w:rsidRPr="003F7F6C">
        <w:rPr>
          <w:rFonts w:eastAsia="Times New Roman" w:cs="Calibri"/>
          <w:szCs w:val="20"/>
          <w:lang w:eastAsia="es-ES_tradnl"/>
        </w:rPr>
        <w:t>rarely assess the effect of ecosystem service loss</w:t>
      </w:r>
      <w:r w:rsidR="00105A52" w:rsidRPr="003F7F6C">
        <w:rPr>
          <w:rFonts w:eastAsia="Times New Roman" w:cs="Calibri"/>
          <w:szCs w:val="20"/>
          <w:lang w:eastAsia="es-ES_tradnl"/>
        </w:rPr>
        <w:t xml:space="preserve"> </w:t>
      </w:r>
      <w:r w:rsidRPr="003F7F6C">
        <w:rPr>
          <w:rFonts w:eastAsia="Times New Roman" w:cs="Calibri"/>
          <w:szCs w:val="20"/>
          <w:lang w:eastAsia="es-ES_tradnl"/>
        </w:rPr>
        <w:t>of other sectors nor considers the effects o</w:t>
      </w:r>
      <w:r w:rsidR="00A27C89" w:rsidRPr="003F7F6C">
        <w:rPr>
          <w:rFonts w:eastAsia="Times New Roman" w:cs="Calibri"/>
          <w:szCs w:val="20"/>
          <w:lang w:eastAsia="es-ES_tradnl"/>
        </w:rPr>
        <w:t>n</w:t>
      </w:r>
      <w:r w:rsidRPr="003F7F6C">
        <w:rPr>
          <w:rFonts w:eastAsia="Times New Roman" w:cs="Calibri"/>
          <w:szCs w:val="20"/>
          <w:lang w:eastAsia="es-ES_tradnl"/>
        </w:rPr>
        <w:t xml:space="preserve"> the provision</w:t>
      </w:r>
      <w:r w:rsidR="00A27C89" w:rsidRPr="003F7F6C">
        <w:rPr>
          <w:rFonts w:eastAsia="Times New Roman" w:cs="Calibri"/>
          <w:szCs w:val="20"/>
          <w:lang w:eastAsia="es-ES_tradnl"/>
        </w:rPr>
        <w:t xml:space="preserve"> of ecosystem services</w:t>
      </w:r>
      <w:r w:rsidRPr="003F7F6C">
        <w:rPr>
          <w:rFonts w:eastAsia="Times New Roman" w:cs="Calibri"/>
          <w:szCs w:val="20"/>
          <w:lang w:eastAsia="es-ES_tradnl"/>
        </w:rPr>
        <w:t xml:space="preserve"> at landscape scale. This scale level </w:t>
      </w:r>
      <w:r w:rsidR="0090777F" w:rsidRPr="003F7F6C">
        <w:rPr>
          <w:rFonts w:eastAsia="Times New Roman" w:cs="Calibri"/>
          <w:szCs w:val="20"/>
          <w:lang w:eastAsia="es-ES_tradnl"/>
        </w:rPr>
        <w:t xml:space="preserve">analysis </w:t>
      </w:r>
      <w:r w:rsidRPr="003F7F6C">
        <w:rPr>
          <w:rFonts w:eastAsia="Times New Roman" w:cs="Calibri"/>
          <w:szCs w:val="20"/>
          <w:lang w:eastAsia="es-ES_tradnl"/>
        </w:rPr>
        <w:t>is needed to appropriately consider the ecological processes on which the very sector relies. There is a more serious aggravating factor for the agricultural sector; in most cases these activities are not governed by EIA</w:t>
      </w:r>
      <w:r w:rsidR="0090777F" w:rsidRPr="003F7F6C">
        <w:rPr>
          <w:rFonts w:eastAsia="Times New Roman" w:cs="Calibri"/>
          <w:szCs w:val="20"/>
          <w:lang w:eastAsia="es-ES_tradnl"/>
        </w:rPr>
        <w:t>s</w:t>
      </w:r>
      <w:r w:rsidRPr="003F7F6C">
        <w:rPr>
          <w:rFonts w:eastAsia="Times New Roman" w:cs="Calibri"/>
          <w:szCs w:val="20"/>
          <w:lang w:eastAsia="es-ES_tradnl"/>
        </w:rPr>
        <w:t xml:space="preserve"> and do not need an environmental permit. There is interest in some sectors in </w:t>
      </w:r>
      <w:r w:rsidR="00105A52" w:rsidRPr="003F7F6C">
        <w:rPr>
          <w:rFonts w:eastAsia="Times New Roman" w:cs="Calibri"/>
          <w:szCs w:val="20"/>
          <w:lang w:eastAsia="es-ES_tradnl"/>
        </w:rPr>
        <w:t>analyzing</w:t>
      </w:r>
      <w:r w:rsidRPr="003F7F6C">
        <w:rPr>
          <w:rFonts w:eastAsia="Times New Roman" w:cs="Calibri"/>
          <w:szCs w:val="20"/>
          <w:lang w:eastAsia="es-ES_tradnl"/>
        </w:rPr>
        <w:t xml:space="preserve"> the territory at a larger scale and seeking inter-sectoral synergies but this is hampered by poor integration of public policies and government plans between and within the various government levels (national, provincial and municipal).</w:t>
      </w:r>
      <w:r w:rsidR="007F08C0" w:rsidRPr="003F7F6C">
        <w:rPr>
          <w:rFonts w:eastAsia="Times New Roman" w:cs="Calibri"/>
          <w:szCs w:val="20"/>
          <w:lang w:eastAsia="es-ES_tradnl"/>
        </w:rPr>
        <w:t xml:space="preserve"> This integrated analysis at scale</w:t>
      </w:r>
      <w:r w:rsidRPr="003F7F6C">
        <w:rPr>
          <w:rFonts w:eastAsia="Times New Roman" w:cs="Calibri"/>
          <w:szCs w:val="20"/>
          <w:lang w:eastAsia="es-ES_tradnl"/>
        </w:rPr>
        <w:t xml:space="preserve"> also faces constraints </w:t>
      </w:r>
      <w:r w:rsidR="006453CE" w:rsidRPr="003F7F6C">
        <w:rPr>
          <w:rFonts w:eastAsia="Times New Roman" w:cs="Calibri"/>
          <w:szCs w:val="20"/>
          <w:lang w:eastAsia="es-ES_tradnl"/>
        </w:rPr>
        <w:t xml:space="preserve">due to </w:t>
      </w:r>
      <w:r w:rsidRPr="003F7F6C">
        <w:rPr>
          <w:rFonts w:eastAsia="Times New Roman" w:cs="Calibri"/>
          <w:szCs w:val="20"/>
          <w:lang w:eastAsia="es-ES_tradnl"/>
        </w:rPr>
        <w:t xml:space="preserve">the low levels of awareness of the relationship between impact and loss of ecosystem services that are important for sectoral production and/or human health and wellbeing. </w:t>
      </w:r>
    </w:p>
    <w:p w14:paraId="2B73F190" w14:textId="77777777" w:rsidR="00842C52" w:rsidRPr="003F7F6C" w:rsidRDefault="00F7517B" w:rsidP="00E91275">
      <w:pPr>
        <w:numPr>
          <w:ilvl w:val="0"/>
          <w:numId w:val="28"/>
        </w:numPr>
        <w:tabs>
          <w:tab w:val="left" w:pos="426"/>
        </w:tabs>
        <w:spacing w:after="120"/>
        <w:ind w:left="0" w:firstLine="0"/>
        <w:rPr>
          <w:rFonts w:eastAsia="Times New Roman" w:cs="Calibri"/>
          <w:szCs w:val="20"/>
          <w:lang w:eastAsia="es-ES_tradnl"/>
        </w:rPr>
      </w:pPr>
      <w:r w:rsidRPr="003F7F6C">
        <w:rPr>
          <w:rFonts w:eastAsia="Times New Roman" w:cs="Calibri"/>
          <w:szCs w:val="20"/>
          <w:lang w:eastAsia="es-ES_tradnl"/>
        </w:rPr>
        <w:t>Underpinning these constraints is the scarce and fragmented information on ecosystems and the goods and services they provide and their vulnerability to the impact of the different sectors. The</w:t>
      </w:r>
      <w:r w:rsidR="00105A52" w:rsidRPr="003F7F6C">
        <w:rPr>
          <w:rFonts w:eastAsia="Times New Roman" w:cs="Calibri"/>
          <w:szCs w:val="20"/>
          <w:lang w:eastAsia="es-ES_tradnl"/>
        </w:rPr>
        <w:t>re are a number of  initiatives dealing with information systems and data banks,</w:t>
      </w:r>
      <w:r w:rsidRPr="003F7F6C">
        <w:rPr>
          <w:rFonts w:eastAsia="Times New Roman" w:cs="Calibri"/>
          <w:szCs w:val="20"/>
          <w:lang w:eastAsia="es-ES_tradnl"/>
        </w:rPr>
        <w:t xml:space="preserve"> but in most cases, the information is fragmented, outdated and does not include data on ecosystem status, vulnerability and resilience nor the values of ecosystem services to different sector production and hence the impact of their loss. </w:t>
      </w:r>
    </w:p>
    <w:p w14:paraId="1A06F469" w14:textId="77777777" w:rsidR="00120DCD" w:rsidRPr="003F7F6C" w:rsidRDefault="00842C52" w:rsidP="00E91275">
      <w:pPr>
        <w:numPr>
          <w:ilvl w:val="0"/>
          <w:numId w:val="28"/>
        </w:numPr>
        <w:tabs>
          <w:tab w:val="left" w:pos="426"/>
        </w:tabs>
        <w:spacing w:after="120"/>
        <w:ind w:left="0" w:firstLine="0"/>
        <w:rPr>
          <w:rFonts w:eastAsia="Times New Roman" w:cs="Calibri"/>
          <w:i/>
          <w:szCs w:val="20"/>
          <w:lang w:eastAsia="es-ES_tradnl"/>
        </w:rPr>
      </w:pPr>
      <w:r w:rsidRPr="003F7F6C">
        <w:rPr>
          <w:rFonts w:eastAsia="Times New Roman" w:cs="Calibri"/>
          <w:i/>
          <w:szCs w:val="20"/>
          <w:lang w:eastAsia="es-ES_tradnl"/>
        </w:rPr>
        <w:t>Weakness in provincial tools and instruments to approve, implement and oversee ELUP</w:t>
      </w:r>
      <w:r w:rsidRPr="003F7F6C">
        <w:rPr>
          <w:rFonts w:eastAsia="Times New Roman" w:cs="Calibri"/>
          <w:szCs w:val="20"/>
          <w:lang w:eastAsia="es-ES_tradnl"/>
        </w:rPr>
        <w:t xml:space="preserve">: </w:t>
      </w:r>
      <w:r w:rsidR="000A4FAE" w:rsidRPr="003F7F6C">
        <w:rPr>
          <w:rFonts w:eastAsia="Times New Roman" w:cs="Calibri"/>
          <w:szCs w:val="20"/>
          <w:lang w:eastAsia="es-ES_tradnl"/>
        </w:rPr>
        <w:t xml:space="preserve">Institutions responsible for ELUP generally operate under provincial public planning agencies. The information gaps and regulatory constraints for developing ELUP indicated in the federal level also apply to the provinces but there are additional barriers for effective implementation and oversight. Although provincial authorities seek to comply with responsibilities </w:t>
      </w:r>
      <w:r w:rsidR="006453CE" w:rsidRPr="003F7F6C">
        <w:rPr>
          <w:rFonts w:eastAsia="Times New Roman" w:cs="Calibri"/>
          <w:szCs w:val="20"/>
          <w:lang w:eastAsia="es-ES_tradnl"/>
        </w:rPr>
        <w:t xml:space="preserve">they </w:t>
      </w:r>
      <w:r w:rsidR="000A4FAE" w:rsidRPr="003F7F6C">
        <w:rPr>
          <w:rFonts w:eastAsia="Times New Roman" w:cs="Calibri"/>
          <w:szCs w:val="20"/>
          <w:lang w:eastAsia="es-ES_tradnl"/>
        </w:rPr>
        <w:t>are hampered by: a) Few staff members and scarce resources to oversee implementation particularly over remote rural areas and large territories; b) Insufficiently clear procedures on how to conduct environmental planning; d) Insufficient mechanisms and spaces for participation, negotiation and interdisciplinary and inter-sectoral dialogue among private and public actors to reach agreements on objectives and goals</w:t>
      </w:r>
      <w:r w:rsidR="00FB17FF" w:rsidRPr="003F7F6C">
        <w:rPr>
          <w:rFonts w:eastAsia="Times New Roman" w:cs="Calibri"/>
          <w:szCs w:val="20"/>
          <w:lang w:eastAsia="es-ES_tradnl"/>
        </w:rPr>
        <w:t>,</w:t>
      </w:r>
      <w:r w:rsidR="000A4FAE" w:rsidRPr="003F7F6C">
        <w:rPr>
          <w:rFonts w:eastAsia="Times New Roman" w:cs="Calibri"/>
          <w:szCs w:val="20"/>
          <w:lang w:eastAsia="es-ES_tradnl"/>
        </w:rPr>
        <w:t xml:space="preserve"> technologies and production restrictions in priority areas; e) Insufficient awareness of the negative impacts of production on ecosystems and the services they provide to society; f) Inadequate experience at the local or provincial level on tools to facilitate ELUP implementation both through command and control approaches or through incentives that </w:t>
      </w:r>
      <w:r w:rsidR="00212AA0" w:rsidRPr="003F7F6C">
        <w:rPr>
          <w:rFonts w:eastAsia="Times New Roman" w:cs="Calibri"/>
          <w:szCs w:val="20"/>
          <w:lang w:eastAsia="es-ES_tradnl"/>
        </w:rPr>
        <w:t>recognize</w:t>
      </w:r>
      <w:r w:rsidR="000A4FAE" w:rsidRPr="003F7F6C">
        <w:rPr>
          <w:rFonts w:eastAsia="Times New Roman" w:cs="Calibri"/>
          <w:szCs w:val="20"/>
          <w:lang w:eastAsia="es-ES_tradnl"/>
        </w:rPr>
        <w:t xml:space="preserve"> losses ar</w:t>
      </w:r>
      <w:r w:rsidR="00212AA0" w:rsidRPr="003F7F6C">
        <w:rPr>
          <w:rFonts w:eastAsia="Times New Roman" w:cs="Calibri"/>
          <w:szCs w:val="20"/>
          <w:lang w:eastAsia="es-ES_tradnl"/>
        </w:rPr>
        <w:t>e incurred where land uses are</w:t>
      </w:r>
      <w:r w:rsidR="000A4FAE" w:rsidRPr="003F7F6C">
        <w:rPr>
          <w:rFonts w:eastAsia="Times New Roman" w:cs="Calibri"/>
          <w:szCs w:val="20"/>
          <w:lang w:eastAsia="es-ES_tradnl"/>
        </w:rPr>
        <w:t xml:space="preserve"> restricted on private land for the common good. Although there </w:t>
      </w:r>
      <w:r w:rsidR="00FB17FF" w:rsidRPr="003F7F6C">
        <w:rPr>
          <w:rFonts w:eastAsia="Times New Roman" w:cs="Calibri"/>
          <w:szCs w:val="20"/>
          <w:lang w:eastAsia="es-ES_tradnl"/>
        </w:rPr>
        <w:t xml:space="preserve">are </w:t>
      </w:r>
      <w:r w:rsidR="000A4FAE" w:rsidRPr="003F7F6C">
        <w:rPr>
          <w:rFonts w:eastAsia="Times New Roman" w:cs="Calibri"/>
          <w:szCs w:val="20"/>
          <w:lang w:eastAsia="es-ES_tradnl"/>
        </w:rPr>
        <w:t xml:space="preserve">data on various technical, economic or financial instruments, most </w:t>
      </w:r>
      <w:r w:rsidR="00FB17FF" w:rsidRPr="003F7F6C">
        <w:rPr>
          <w:rFonts w:eastAsia="Times New Roman" w:cs="Calibri"/>
          <w:szCs w:val="20"/>
          <w:lang w:eastAsia="es-ES_tradnl"/>
        </w:rPr>
        <w:t xml:space="preserve">are </w:t>
      </w:r>
      <w:r w:rsidR="000A4FAE" w:rsidRPr="003F7F6C">
        <w:rPr>
          <w:rFonts w:eastAsia="Times New Roman" w:cs="Calibri"/>
          <w:szCs w:val="20"/>
          <w:lang w:eastAsia="es-ES_tradnl"/>
        </w:rPr>
        <w:t>based on sectors or specific ecosystems and do not reflect the economic value of the ecosystem goods and services of the different ecoregions. There is increasingly broad agreement that the benefits of ecosystem services ought to be considered in decision-making and in the design of compensation mechanisms, but development of protocols or clear methodologies is still fledgling and precise tools are needed for decision-making and for example, on compensation systems for different land uses</w:t>
      </w:r>
      <w:r w:rsidR="00212AA0" w:rsidRPr="003F7F6C">
        <w:rPr>
          <w:rFonts w:eastAsia="Times New Roman" w:cs="Calibri"/>
          <w:szCs w:val="20"/>
          <w:lang w:eastAsia="es-ES_tradnl"/>
        </w:rPr>
        <w:t>.</w:t>
      </w:r>
      <w:r w:rsidR="000A4FAE" w:rsidRPr="003F7F6C">
        <w:rPr>
          <w:rFonts w:eastAsia="Times New Roman" w:cs="Calibri"/>
          <w:szCs w:val="20"/>
          <w:lang w:eastAsia="es-ES_tradnl"/>
        </w:rPr>
        <w:t xml:space="preserve"> </w:t>
      </w:r>
    </w:p>
    <w:p w14:paraId="17DB247B" w14:textId="77777777" w:rsidR="004207C6" w:rsidRPr="003F7F6C" w:rsidRDefault="00120DCD" w:rsidP="00E91275">
      <w:pPr>
        <w:numPr>
          <w:ilvl w:val="0"/>
          <w:numId w:val="28"/>
        </w:numPr>
        <w:tabs>
          <w:tab w:val="left" w:pos="426"/>
        </w:tabs>
        <w:spacing w:after="120"/>
        <w:ind w:left="0" w:firstLine="0"/>
        <w:rPr>
          <w:rFonts w:eastAsia="Times New Roman" w:cs="Calibri"/>
          <w:i/>
          <w:szCs w:val="20"/>
          <w:lang w:eastAsia="es-ES_tradnl"/>
        </w:rPr>
      </w:pPr>
      <w:r w:rsidRPr="003F7F6C">
        <w:rPr>
          <w:rFonts w:eastAsia="Times New Roman" w:cs="Calibri"/>
          <w:i/>
          <w:szCs w:val="20"/>
          <w:lang w:eastAsia="es-ES_tradnl"/>
        </w:rPr>
        <w:t>Dispersed knowledge and insufficient sharing of environmental management practices</w:t>
      </w:r>
      <w:r w:rsidR="00A27C89" w:rsidRPr="003F7F6C">
        <w:rPr>
          <w:rFonts w:eastAsia="Times New Roman" w:cs="Calibri"/>
          <w:i/>
          <w:szCs w:val="20"/>
          <w:lang w:eastAsia="es-ES_tradnl"/>
        </w:rPr>
        <w:t xml:space="preserve"> for ELUP</w:t>
      </w:r>
      <w:r w:rsidRPr="003F7F6C">
        <w:rPr>
          <w:rFonts w:eastAsia="Times New Roman" w:cs="Calibri"/>
          <w:i/>
          <w:szCs w:val="20"/>
          <w:lang w:eastAsia="es-ES_tradnl"/>
        </w:rPr>
        <w:t xml:space="preserve"> at provincial and inter-provincial levels</w:t>
      </w:r>
      <w:r w:rsidRPr="003F7F6C">
        <w:rPr>
          <w:rFonts w:eastAsia="Times New Roman" w:cs="Calibri"/>
          <w:szCs w:val="20"/>
          <w:lang w:eastAsia="es-ES_tradnl"/>
        </w:rPr>
        <w:t xml:space="preserve">: The diversity of scenarios across Argentina’s 23 provinces with different legal and institutional frameworks, tools and instruments, ecoregions, ecosystems, land use patterns and production sectors, provides a plethora of experiences that could provide a strong input on which to build effective and more standardized approaches to environmental management including ELUP across the country. However, this knowledge is dispersed within and across provinces. It is rarely codified to identify lessons learned or assessed ex-post using stringent metrological approaches to evaluate cost effectiveness and efficiencies. On the one hand, this leads to repetition of ineffective sub-optimal approaches, and, on the other, it reduces the uptake of positive experiences across larger areas and at scale. The result is that an opportunity is missed to better understand, disseminate and apply ELUP instruments in other provinces, and even across larger areas of each ecoregion and land use pattern. It also further constrains the application of ELUP in ecosystems shared by provinces that have different management models. Joint management of land use between provinces is also made more complex by the limited experience of decision-makers and technical planning agencies in inter-jurisdictional environmental management of any sort. There are some experiences with ELUP </w:t>
      </w:r>
      <w:r w:rsidR="004B3A54" w:rsidRPr="003F7F6C">
        <w:rPr>
          <w:rFonts w:eastAsia="Times New Roman" w:cs="Calibri"/>
          <w:szCs w:val="20"/>
          <w:lang w:eastAsia="es-ES_tradnl"/>
        </w:rPr>
        <w:t xml:space="preserve">with </w:t>
      </w:r>
      <w:r w:rsidRPr="003F7F6C">
        <w:rPr>
          <w:rFonts w:eastAsia="Times New Roman" w:cs="Calibri"/>
          <w:szCs w:val="20"/>
          <w:lang w:eastAsia="es-ES_tradnl"/>
        </w:rPr>
        <w:t>var</w:t>
      </w:r>
      <w:r w:rsidR="004B3A54" w:rsidRPr="003F7F6C">
        <w:rPr>
          <w:rFonts w:eastAsia="Times New Roman" w:cs="Calibri"/>
          <w:szCs w:val="20"/>
          <w:lang w:eastAsia="es-ES_tradnl"/>
        </w:rPr>
        <w:t>ying</w:t>
      </w:r>
      <w:r w:rsidRPr="003F7F6C">
        <w:rPr>
          <w:rFonts w:eastAsia="Times New Roman" w:cs="Calibri"/>
          <w:szCs w:val="20"/>
          <w:lang w:eastAsia="es-ES_tradnl"/>
        </w:rPr>
        <w:t xml:space="preserve"> degrees of progress in different provinces, but few have moved forward with thorough planning or have attempted to transfer these experiences. The lost opportunity to gain from the wealth of experiences nationwide in a systematic way compounds the previously describe</w:t>
      </w:r>
      <w:r w:rsidR="004B3A54" w:rsidRPr="003F7F6C">
        <w:rPr>
          <w:rFonts w:eastAsia="Times New Roman" w:cs="Calibri"/>
          <w:szCs w:val="20"/>
          <w:lang w:eastAsia="es-ES_tradnl"/>
        </w:rPr>
        <w:t>d</w:t>
      </w:r>
      <w:r w:rsidRPr="003F7F6C">
        <w:rPr>
          <w:rFonts w:eastAsia="Times New Roman" w:cs="Calibri"/>
          <w:szCs w:val="20"/>
          <w:lang w:eastAsia="es-ES_tradnl"/>
        </w:rPr>
        <w:t xml:space="preserve"> barriers above, further impeding advances towards the long term solution.</w:t>
      </w:r>
    </w:p>
    <w:p w14:paraId="4D134F56" w14:textId="77777777" w:rsidR="004207C6" w:rsidRPr="003F7F6C" w:rsidRDefault="00A25AC9" w:rsidP="00E91275">
      <w:pPr>
        <w:numPr>
          <w:ilvl w:val="0"/>
          <w:numId w:val="28"/>
        </w:numPr>
        <w:tabs>
          <w:tab w:val="left" w:pos="426"/>
        </w:tabs>
        <w:spacing w:after="120"/>
        <w:ind w:left="0" w:firstLine="0"/>
        <w:rPr>
          <w:rFonts w:eastAsia="Times New Roman" w:cs="Calibri"/>
          <w:i/>
          <w:szCs w:val="20"/>
          <w:lang w:eastAsia="es-ES_tradnl"/>
        </w:rPr>
      </w:pPr>
      <w:r w:rsidRPr="003F7F6C">
        <w:rPr>
          <w:rFonts w:eastAsia="Times New Roman" w:cs="Calibri"/>
          <w:szCs w:val="20"/>
          <w:lang w:eastAsia="es-ES_tradnl"/>
        </w:rPr>
        <w:t>The GoA is requesting GEF assistance through UNDP to provide incremental financing to</w:t>
      </w:r>
      <w:r w:rsidR="00F7517B" w:rsidRPr="003F7F6C">
        <w:rPr>
          <w:rFonts w:eastAsia="Times New Roman" w:cs="Calibri"/>
          <w:szCs w:val="20"/>
          <w:lang w:eastAsia="es-ES_tradnl"/>
        </w:rPr>
        <w:t xml:space="preserve"> overcome these barriers and </w:t>
      </w:r>
      <w:r w:rsidR="004B3A54" w:rsidRPr="003F7F6C">
        <w:rPr>
          <w:rFonts w:eastAsia="Times New Roman" w:cs="Calibri"/>
          <w:szCs w:val="20"/>
          <w:lang w:eastAsia="es-ES_tradnl"/>
        </w:rPr>
        <w:t xml:space="preserve">pursue a </w:t>
      </w:r>
      <w:r w:rsidR="00F7517B" w:rsidRPr="003F7F6C">
        <w:rPr>
          <w:rFonts w:eastAsia="Times New Roman" w:cs="Calibri"/>
          <w:szCs w:val="20"/>
          <w:lang w:eastAsia="es-ES_tradnl"/>
        </w:rPr>
        <w:t>path to the proposed</w:t>
      </w:r>
      <w:r w:rsidRPr="003F7F6C">
        <w:rPr>
          <w:rFonts w:eastAsia="Times New Roman" w:cs="Calibri"/>
          <w:szCs w:val="20"/>
          <w:lang w:eastAsia="es-ES_tradnl"/>
        </w:rPr>
        <w:t xml:space="preserve"> long</w:t>
      </w:r>
      <w:r w:rsidR="004B3A54" w:rsidRPr="003F7F6C">
        <w:rPr>
          <w:rFonts w:eastAsia="Times New Roman" w:cs="Calibri"/>
          <w:szCs w:val="20"/>
          <w:lang w:eastAsia="es-ES_tradnl"/>
        </w:rPr>
        <w:t>-</w:t>
      </w:r>
      <w:r w:rsidRPr="003F7F6C">
        <w:rPr>
          <w:rFonts w:eastAsia="Times New Roman" w:cs="Calibri"/>
          <w:szCs w:val="20"/>
          <w:lang w:eastAsia="es-ES_tradnl"/>
        </w:rPr>
        <w:t xml:space="preserve">term solution. </w:t>
      </w:r>
      <w:r w:rsidR="00C42FE6" w:rsidRPr="003F7F6C">
        <w:rPr>
          <w:rFonts w:eastAsia="Times New Roman" w:cs="Calibri"/>
          <w:szCs w:val="20"/>
          <w:lang w:eastAsia="es-ES_tradnl"/>
        </w:rPr>
        <w:t xml:space="preserve">This will build on </w:t>
      </w:r>
      <w:r w:rsidR="004B3A54" w:rsidRPr="003F7F6C">
        <w:rPr>
          <w:rFonts w:eastAsia="Times New Roman" w:cs="Calibri"/>
          <w:szCs w:val="20"/>
          <w:lang w:eastAsia="es-ES_tradnl"/>
        </w:rPr>
        <w:t>the</w:t>
      </w:r>
      <w:r w:rsidR="00C42FE6" w:rsidRPr="003F7F6C">
        <w:rPr>
          <w:rFonts w:eastAsia="Times New Roman" w:cs="Calibri"/>
          <w:szCs w:val="20"/>
          <w:lang w:eastAsia="es-ES_tradnl"/>
        </w:rPr>
        <w:t xml:space="preserve"> robust baseline identified during the PPG</w:t>
      </w:r>
      <w:r w:rsidR="00C279E6" w:rsidRPr="003F7F6C">
        <w:rPr>
          <w:rFonts w:eastAsia="Times New Roman" w:cs="Calibri"/>
          <w:szCs w:val="20"/>
          <w:lang w:eastAsia="es-ES_tradnl"/>
        </w:rPr>
        <w:t xml:space="preserve"> that will provide a foundation on which to build this ELUP framework</w:t>
      </w:r>
      <w:r w:rsidR="00C42FE6" w:rsidRPr="003F7F6C">
        <w:rPr>
          <w:rFonts w:eastAsia="Times New Roman" w:cs="Calibri"/>
          <w:szCs w:val="20"/>
          <w:lang w:eastAsia="es-ES_tradnl"/>
        </w:rPr>
        <w:t xml:space="preserve"> consisting </w:t>
      </w:r>
      <w:r w:rsidR="004B3A54" w:rsidRPr="003F7F6C">
        <w:rPr>
          <w:rFonts w:eastAsia="Times New Roman" w:cs="Calibri"/>
          <w:szCs w:val="20"/>
          <w:lang w:eastAsia="es-ES_tradnl"/>
        </w:rPr>
        <w:t xml:space="preserve">of </w:t>
      </w:r>
      <w:r w:rsidR="00C42FE6" w:rsidRPr="003F7F6C">
        <w:rPr>
          <w:rFonts w:eastAsia="Times New Roman" w:cs="Calibri"/>
          <w:szCs w:val="20"/>
          <w:lang w:eastAsia="es-ES_tradnl"/>
        </w:rPr>
        <w:t>land use planning and zoning</w:t>
      </w:r>
      <w:r w:rsidR="00C279E6" w:rsidRPr="003F7F6C">
        <w:rPr>
          <w:rFonts w:eastAsia="Times New Roman" w:cs="Calibri"/>
          <w:szCs w:val="20"/>
          <w:lang w:eastAsia="es-ES_tradnl"/>
        </w:rPr>
        <w:t xml:space="preserve"> instruments</w:t>
      </w:r>
      <w:r w:rsidR="00C42FE6" w:rsidRPr="003F7F6C">
        <w:rPr>
          <w:rFonts w:eastAsia="Times New Roman" w:cs="Calibri"/>
          <w:szCs w:val="20"/>
          <w:lang w:eastAsia="es-ES_tradnl"/>
        </w:rPr>
        <w:t>, environmental information systems for decision making</w:t>
      </w:r>
      <w:r w:rsidR="004B3A54" w:rsidRPr="003F7F6C">
        <w:rPr>
          <w:rFonts w:eastAsia="Times New Roman" w:cs="Calibri"/>
          <w:szCs w:val="20"/>
          <w:lang w:eastAsia="es-ES_tradnl"/>
        </w:rPr>
        <w:t>,</w:t>
      </w:r>
      <w:r w:rsidR="00C42FE6" w:rsidRPr="003F7F6C">
        <w:rPr>
          <w:rFonts w:eastAsia="Times New Roman" w:cs="Calibri"/>
          <w:szCs w:val="20"/>
          <w:lang w:eastAsia="es-ES_tradnl"/>
        </w:rPr>
        <w:t xml:space="preserve"> and economic and financial instruments (</w:t>
      </w:r>
      <w:r w:rsidR="00E145BD" w:rsidRPr="003F7F6C">
        <w:rPr>
          <w:rFonts w:eastAsia="Times New Roman" w:cs="Calibri"/>
          <w:szCs w:val="20"/>
          <w:lang w:eastAsia="es-ES_tradnl"/>
        </w:rPr>
        <w:t>these are described in the project´s intervention strategy and expected results in Section IV Results and Partnerships</w:t>
      </w:r>
      <w:r w:rsidR="00D40E2E" w:rsidRPr="003F7F6C">
        <w:rPr>
          <w:rFonts w:eastAsia="Times New Roman" w:cs="Calibri"/>
          <w:szCs w:val="20"/>
          <w:lang w:eastAsia="es-ES_tradnl"/>
        </w:rPr>
        <w:t xml:space="preserve"> below</w:t>
      </w:r>
      <w:r w:rsidR="00C42FE6" w:rsidRPr="003F7F6C">
        <w:rPr>
          <w:rFonts w:eastAsia="Times New Roman" w:cs="Calibri"/>
          <w:szCs w:val="20"/>
          <w:lang w:eastAsia="es-ES_tradnl"/>
        </w:rPr>
        <w:t>).</w:t>
      </w:r>
    </w:p>
    <w:p w14:paraId="78D7691C" w14:textId="77777777" w:rsidR="006F5E27" w:rsidRPr="003F7F6C" w:rsidRDefault="00603D8C" w:rsidP="00E91275">
      <w:pPr>
        <w:numPr>
          <w:ilvl w:val="0"/>
          <w:numId w:val="28"/>
        </w:numPr>
        <w:tabs>
          <w:tab w:val="left" w:pos="426"/>
        </w:tabs>
        <w:spacing w:after="120"/>
        <w:ind w:left="0" w:firstLine="0"/>
        <w:rPr>
          <w:rFonts w:eastAsia="Times New Roman" w:cs="Calibri"/>
          <w:szCs w:val="20"/>
          <w:lang w:eastAsia="es-ES_tradnl"/>
        </w:rPr>
      </w:pPr>
      <w:r w:rsidRPr="003F7F6C">
        <w:rPr>
          <w:rFonts w:eastAsia="Times New Roman" w:cs="Calibri"/>
          <w:szCs w:val="20"/>
          <w:lang w:eastAsia="es-ES_tradnl"/>
        </w:rPr>
        <w:t xml:space="preserve">By removing the identified barriers the project will create an enabling framework for integrated environmental land use planning and the full development of the tools needed for its implementation. In doing so it will consolidate the past single ecosystem and sector approaches and ensure that new development plans take into account the different ecosystems across the entire country and comply with land use guidance that confers conservation and sustainable use of critical habitats and the ecosystem goods and services they provide to society. This will ensure the continued provision of these services to production, avoid foreclosure of future development options and also </w:t>
      </w:r>
      <w:r w:rsidR="004B3A54" w:rsidRPr="003F7F6C">
        <w:rPr>
          <w:rFonts w:eastAsia="Times New Roman" w:cs="Calibri"/>
          <w:szCs w:val="20"/>
          <w:lang w:eastAsia="es-ES_tradnl"/>
        </w:rPr>
        <w:t>provide</w:t>
      </w:r>
      <w:r w:rsidRPr="003F7F6C">
        <w:rPr>
          <w:rFonts w:eastAsia="Times New Roman" w:cs="Calibri"/>
          <w:szCs w:val="20"/>
          <w:lang w:eastAsia="es-ES_tradnl"/>
        </w:rPr>
        <w:t xml:space="preserve"> global environmental benefits at scale. </w:t>
      </w:r>
    </w:p>
    <w:p w14:paraId="7AE85353" w14:textId="77777777" w:rsidR="006F5E27" w:rsidRPr="003F7F6C" w:rsidRDefault="008038D3" w:rsidP="00E91275">
      <w:pPr>
        <w:numPr>
          <w:ilvl w:val="0"/>
          <w:numId w:val="28"/>
        </w:numPr>
        <w:tabs>
          <w:tab w:val="left" w:pos="426"/>
        </w:tabs>
        <w:spacing w:after="120"/>
        <w:ind w:left="0" w:firstLine="0"/>
        <w:rPr>
          <w:rFonts w:eastAsia="Times New Roman" w:cs="Calibri"/>
          <w:szCs w:val="20"/>
          <w:lang w:eastAsia="es-ES_tradnl"/>
        </w:rPr>
      </w:pPr>
      <w:r w:rsidRPr="003F7F6C">
        <w:rPr>
          <w:rFonts w:cs="Calibri"/>
          <w:szCs w:val="20"/>
        </w:rPr>
        <w:t xml:space="preserve">As such, </w:t>
      </w:r>
      <w:r w:rsidR="004B3A54" w:rsidRPr="003F7F6C">
        <w:rPr>
          <w:rFonts w:cs="Calibri"/>
          <w:szCs w:val="20"/>
        </w:rPr>
        <w:t xml:space="preserve">the project </w:t>
      </w:r>
      <w:r w:rsidRPr="003F7F6C">
        <w:rPr>
          <w:rFonts w:cs="Calibri"/>
          <w:szCs w:val="20"/>
        </w:rPr>
        <w:t xml:space="preserve">is in line with national and provincial priorities and objectives. </w:t>
      </w:r>
      <w:r w:rsidRPr="003F7F6C">
        <w:rPr>
          <w:rFonts w:eastAsia="Times New Roman" w:cs="Calibri"/>
          <w:szCs w:val="20"/>
          <w:lang w:eastAsia="es-ES_tradnl"/>
        </w:rPr>
        <w:t>ELUP is a cross-cutting topic in almost all of the National Biodiversity Strategy and Action Plan (NBSAP) pillars and is aligned with the National Plan of Action to Combat Desertification (NAP). The project objectives are a priority for the national and provincial governments and will support ELUP in Argentina pursuant to the provisions of the General Environment Law Nº</w:t>
      </w:r>
      <w:r w:rsidR="006A61CD" w:rsidRPr="003F7F6C">
        <w:rPr>
          <w:rFonts w:eastAsia="Times New Roman" w:cs="Calibri"/>
          <w:szCs w:val="20"/>
          <w:lang w:eastAsia="es-ES_tradnl"/>
        </w:rPr>
        <w:t xml:space="preserve"> 25 675</w:t>
      </w:r>
      <w:r w:rsidRPr="003F7F6C">
        <w:rPr>
          <w:rFonts w:eastAsia="Times New Roman" w:cs="Calibri"/>
          <w:szCs w:val="20"/>
          <w:lang w:eastAsia="es-ES_tradnl"/>
        </w:rPr>
        <w:t xml:space="preserve">. </w:t>
      </w:r>
      <w:r w:rsidR="00876DAF" w:rsidRPr="003F7F6C">
        <w:rPr>
          <w:rFonts w:eastAsia="Times New Roman" w:cs="Calibri"/>
          <w:szCs w:val="20"/>
          <w:lang w:eastAsia="es-ES_tradnl"/>
        </w:rPr>
        <w:t xml:space="preserve">The project </w:t>
      </w:r>
      <w:r w:rsidRPr="003F7F6C">
        <w:rPr>
          <w:rFonts w:eastAsia="Times New Roman" w:cs="Calibri"/>
          <w:szCs w:val="20"/>
          <w:lang w:eastAsia="es-ES_tradnl"/>
        </w:rPr>
        <w:t xml:space="preserve">is consistent with the enforcement of </w:t>
      </w:r>
      <w:r w:rsidR="006A61CD" w:rsidRPr="003F7F6C">
        <w:rPr>
          <w:rFonts w:eastAsia="Times New Roman" w:cs="Calibri"/>
          <w:szCs w:val="20"/>
          <w:lang w:eastAsia="es-ES_tradnl"/>
        </w:rPr>
        <w:t xml:space="preserve">the Native Forest Law Nº 26 331, Fauna Conservation Law Nº 22421; Glacier and Peri-glacial Environment Law Nº 26639 and the </w:t>
      </w:r>
      <w:r w:rsidRPr="003F7F6C">
        <w:rPr>
          <w:rFonts w:eastAsia="Times New Roman" w:cs="Calibri"/>
          <w:szCs w:val="20"/>
          <w:lang w:eastAsia="es-ES_tradnl"/>
        </w:rPr>
        <w:t xml:space="preserve">current Bill on Wetlands. The coordination of policies, regulatory frameworks and national plans on ELUP, biodiversity conservation and the fight against desertification, with provincial policies and plans on the same topics, are consistent with the objectives and coordination of these environmental topics at federal agencies such as </w:t>
      </w:r>
      <w:r w:rsidR="006A61CD" w:rsidRPr="003F7F6C">
        <w:rPr>
          <w:rFonts w:cs="Calibri"/>
          <w:szCs w:val="20"/>
        </w:rPr>
        <w:t xml:space="preserve">Federal Council of Environment Ministers </w:t>
      </w:r>
      <w:r w:rsidR="006A61CD" w:rsidRPr="003F7F6C">
        <w:rPr>
          <w:rFonts w:eastAsia="Times New Roman" w:cs="Calibri"/>
          <w:szCs w:val="20"/>
          <w:lang w:eastAsia="es-ES_tradnl"/>
        </w:rPr>
        <w:t>(</w:t>
      </w:r>
      <w:r w:rsidRPr="003F7F6C">
        <w:rPr>
          <w:rFonts w:eastAsia="Times New Roman" w:cs="Calibri"/>
          <w:szCs w:val="20"/>
          <w:lang w:eastAsia="es-ES_tradnl"/>
        </w:rPr>
        <w:t>COFEMA</w:t>
      </w:r>
      <w:r w:rsidR="006A61CD" w:rsidRPr="003F7F6C">
        <w:rPr>
          <w:rFonts w:eastAsia="Times New Roman" w:cs="Calibri"/>
          <w:szCs w:val="20"/>
          <w:lang w:eastAsia="es-ES_tradnl"/>
        </w:rPr>
        <w:t>)</w:t>
      </w:r>
      <w:r w:rsidRPr="003F7F6C">
        <w:rPr>
          <w:rFonts w:eastAsia="Times New Roman" w:cs="Calibri"/>
          <w:szCs w:val="20"/>
          <w:lang w:eastAsia="es-ES_tradnl"/>
        </w:rPr>
        <w:t xml:space="preserve">, </w:t>
      </w:r>
      <w:r w:rsidR="006A61CD" w:rsidRPr="003F7F6C">
        <w:rPr>
          <w:rFonts w:cs="Calibri"/>
          <w:szCs w:val="20"/>
        </w:rPr>
        <w:t>National Advisory Committee for Conservation and Sustainable Use of Biodiversity (</w:t>
      </w:r>
      <w:r w:rsidRPr="003F7F6C">
        <w:rPr>
          <w:rFonts w:eastAsia="Times New Roman" w:cs="Calibri"/>
          <w:szCs w:val="20"/>
          <w:lang w:eastAsia="es-ES_tradnl"/>
        </w:rPr>
        <w:t>CONADIBIO</w:t>
      </w:r>
      <w:r w:rsidR="006A61CD" w:rsidRPr="003F7F6C">
        <w:rPr>
          <w:rFonts w:eastAsia="Times New Roman" w:cs="Calibri"/>
          <w:szCs w:val="20"/>
          <w:lang w:eastAsia="es-ES_tradnl"/>
        </w:rPr>
        <w:t>)</w:t>
      </w:r>
      <w:r w:rsidRPr="003F7F6C">
        <w:rPr>
          <w:rFonts w:eastAsia="Times New Roman" w:cs="Calibri"/>
          <w:szCs w:val="20"/>
          <w:lang w:eastAsia="es-ES_tradnl"/>
        </w:rPr>
        <w:t xml:space="preserve">, </w:t>
      </w:r>
      <w:r w:rsidR="006A61CD" w:rsidRPr="003F7F6C">
        <w:rPr>
          <w:rFonts w:cs="Calibri"/>
          <w:szCs w:val="20"/>
        </w:rPr>
        <w:t xml:space="preserve">Federal Council for Planning and Land use Planning (COFEPLAN) and the Federal Legislative Council for </w:t>
      </w:r>
      <w:r w:rsidR="00876DAF" w:rsidRPr="003F7F6C">
        <w:rPr>
          <w:rFonts w:cs="Calibri"/>
          <w:szCs w:val="20"/>
        </w:rPr>
        <w:t xml:space="preserve">the </w:t>
      </w:r>
      <w:r w:rsidR="006A61CD" w:rsidRPr="003F7F6C">
        <w:rPr>
          <w:rFonts w:cs="Calibri"/>
          <w:szCs w:val="20"/>
        </w:rPr>
        <w:t>Environment (COFELMA)</w:t>
      </w:r>
      <w:r w:rsidRPr="003F7F6C">
        <w:rPr>
          <w:rFonts w:eastAsia="Times New Roman" w:cs="Calibri"/>
          <w:szCs w:val="20"/>
          <w:lang w:eastAsia="es-ES_tradnl"/>
        </w:rPr>
        <w:t>. The project will a</w:t>
      </w:r>
      <w:r w:rsidR="006A61CD" w:rsidRPr="003F7F6C">
        <w:rPr>
          <w:rFonts w:eastAsia="Times New Roman" w:cs="Calibri"/>
          <w:szCs w:val="20"/>
          <w:lang w:eastAsia="es-ES_tradnl"/>
        </w:rPr>
        <w:t xml:space="preserve">lso be aligned with several of </w:t>
      </w:r>
      <w:r w:rsidR="00876DAF" w:rsidRPr="003F7F6C">
        <w:rPr>
          <w:rFonts w:eastAsia="Times New Roman" w:cs="Calibri"/>
          <w:szCs w:val="20"/>
          <w:lang w:eastAsia="es-ES_tradnl"/>
        </w:rPr>
        <w:t xml:space="preserve">the </w:t>
      </w:r>
      <w:r w:rsidR="006A61CD" w:rsidRPr="003F7F6C">
        <w:rPr>
          <w:rFonts w:eastAsia="Times New Roman" w:cs="Calibri"/>
          <w:szCs w:val="20"/>
          <w:lang w:eastAsia="es-ES_tradnl"/>
        </w:rPr>
        <w:t>national priority program</w:t>
      </w:r>
      <w:r w:rsidRPr="003F7F6C">
        <w:rPr>
          <w:rFonts w:eastAsia="Times New Roman" w:cs="Calibri"/>
          <w:szCs w:val="20"/>
          <w:lang w:eastAsia="es-ES_tradnl"/>
        </w:rPr>
        <w:t xml:space="preserve">s </w:t>
      </w:r>
      <w:r w:rsidR="00876DAF" w:rsidRPr="003F7F6C">
        <w:rPr>
          <w:rFonts w:eastAsia="Times New Roman" w:cs="Calibri"/>
          <w:szCs w:val="20"/>
          <w:lang w:eastAsia="es-ES_tradnl"/>
        </w:rPr>
        <w:t xml:space="preserve">of SGAyDS </w:t>
      </w:r>
      <w:r w:rsidRPr="003F7F6C">
        <w:rPr>
          <w:rFonts w:eastAsia="Times New Roman" w:cs="Calibri"/>
          <w:szCs w:val="20"/>
          <w:lang w:eastAsia="es-ES_tradnl"/>
        </w:rPr>
        <w:t>(e.g.</w:t>
      </w:r>
      <w:r w:rsidR="00876DAF" w:rsidRPr="003F7F6C">
        <w:rPr>
          <w:rFonts w:eastAsia="Times New Roman" w:cs="Calibri"/>
          <w:szCs w:val="20"/>
          <w:lang w:eastAsia="es-ES_tradnl"/>
        </w:rPr>
        <w:t>,</w:t>
      </w:r>
      <w:r w:rsidRPr="003F7F6C">
        <w:rPr>
          <w:rFonts w:eastAsia="Times New Roman" w:cs="Calibri"/>
          <w:szCs w:val="20"/>
          <w:lang w:eastAsia="es-ES_tradnl"/>
        </w:rPr>
        <w:t xml:space="preserve"> Management and Sustainable Use of Wild Species, Conservation of Endangered Species, Protection of Fauna Habitats and Flora Management). At the regional level, the project is aligned with the MERCOSUR Regional Strategy on Biodiversity</w:t>
      </w:r>
      <w:r w:rsidR="00876DAF" w:rsidRPr="003F7F6C">
        <w:rPr>
          <w:rFonts w:eastAsia="Times New Roman" w:cs="Calibri"/>
          <w:szCs w:val="20"/>
          <w:lang w:eastAsia="es-ES_tradnl"/>
        </w:rPr>
        <w:t>,</w:t>
      </w:r>
      <w:r w:rsidRPr="003F7F6C">
        <w:rPr>
          <w:rFonts w:eastAsia="Times New Roman" w:cs="Calibri"/>
          <w:szCs w:val="20"/>
          <w:lang w:eastAsia="es-ES_tradnl"/>
        </w:rPr>
        <w:t xml:space="preserve"> which promotes and supports a set of joint instruments and measures fo</w:t>
      </w:r>
      <w:r w:rsidR="006A61CD" w:rsidRPr="003F7F6C">
        <w:rPr>
          <w:rFonts w:eastAsia="Times New Roman" w:cs="Calibri"/>
          <w:szCs w:val="20"/>
          <w:lang w:eastAsia="es-ES_tradnl"/>
        </w:rPr>
        <w:t xml:space="preserve">r ecosystem and BD </w:t>
      </w:r>
      <w:r w:rsidR="00876DAF" w:rsidRPr="003F7F6C">
        <w:rPr>
          <w:rFonts w:eastAsia="Times New Roman" w:cs="Calibri"/>
          <w:szCs w:val="20"/>
          <w:lang w:eastAsia="es-ES_tradnl"/>
        </w:rPr>
        <w:t>c</w:t>
      </w:r>
      <w:r w:rsidR="006A61CD" w:rsidRPr="003F7F6C">
        <w:rPr>
          <w:rFonts w:eastAsia="Times New Roman" w:cs="Calibri"/>
          <w:szCs w:val="20"/>
          <w:lang w:eastAsia="es-ES_tradnl"/>
        </w:rPr>
        <w:t>onservation.</w:t>
      </w:r>
      <w:r w:rsidR="00A27C89" w:rsidRPr="003F7F6C">
        <w:rPr>
          <w:rFonts w:eastAsia="Times New Roman" w:cs="Calibri"/>
          <w:szCs w:val="20"/>
          <w:lang w:eastAsia="es-ES_tradnl"/>
        </w:rPr>
        <w:t xml:space="preserve"> The project is also aligned with the Argentina´s ongoing process to define national targets for its Land Degradation Neutrality Framework.</w:t>
      </w:r>
    </w:p>
    <w:p w14:paraId="3DD1969B" w14:textId="77777777" w:rsidR="006F5E27" w:rsidRPr="003F7F6C" w:rsidRDefault="006A61CD" w:rsidP="00E91275">
      <w:pPr>
        <w:numPr>
          <w:ilvl w:val="0"/>
          <w:numId w:val="28"/>
        </w:numPr>
        <w:tabs>
          <w:tab w:val="left" w:pos="426"/>
        </w:tabs>
        <w:spacing w:after="120"/>
        <w:ind w:left="0" w:firstLine="0"/>
        <w:rPr>
          <w:rFonts w:eastAsia="Times New Roman" w:cs="Calibri"/>
          <w:szCs w:val="20"/>
          <w:lang w:eastAsia="es-ES_tradnl"/>
        </w:rPr>
      </w:pPr>
      <w:r w:rsidRPr="003F7F6C">
        <w:rPr>
          <w:rFonts w:eastAsia="Times New Roman" w:cs="Calibri"/>
          <w:szCs w:val="20"/>
          <w:lang w:eastAsia="es-ES_tradnl"/>
        </w:rPr>
        <w:t>At provincial level the project is aligned with land use planning instruments</w:t>
      </w:r>
      <w:r w:rsidR="00876DAF" w:rsidRPr="003F7F6C">
        <w:rPr>
          <w:rFonts w:eastAsia="Times New Roman" w:cs="Calibri"/>
          <w:szCs w:val="20"/>
          <w:lang w:eastAsia="es-ES_tradnl"/>
        </w:rPr>
        <w:t>:</w:t>
      </w:r>
      <w:r w:rsidRPr="003F7F6C">
        <w:rPr>
          <w:rFonts w:eastAsia="Times New Roman" w:cs="Calibri"/>
          <w:szCs w:val="20"/>
          <w:lang w:eastAsia="es-ES_tradnl"/>
        </w:rPr>
        <w:t xml:space="preserve"> </w:t>
      </w:r>
      <w:r w:rsidR="00876DAF" w:rsidRPr="003F7F6C">
        <w:rPr>
          <w:rFonts w:eastAsia="Times New Roman" w:cs="Calibri"/>
          <w:szCs w:val="20"/>
          <w:lang w:eastAsia="es-ES_tradnl"/>
        </w:rPr>
        <w:t>i</w:t>
      </w:r>
      <w:r w:rsidRPr="003F7F6C">
        <w:rPr>
          <w:rFonts w:eastAsia="Times New Roman" w:cs="Calibri"/>
          <w:szCs w:val="20"/>
          <w:lang w:eastAsia="es-ES_tradnl"/>
        </w:rPr>
        <w:t>n Buenos Aires</w:t>
      </w:r>
      <w:r w:rsidR="00876DAF" w:rsidRPr="003F7F6C">
        <w:rPr>
          <w:rFonts w:eastAsia="Times New Roman" w:cs="Calibri"/>
          <w:szCs w:val="20"/>
          <w:lang w:eastAsia="es-ES_tradnl"/>
        </w:rPr>
        <w:t>,</w:t>
      </w:r>
      <w:r w:rsidRPr="003F7F6C">
        <w:rPr>
          <w:rFonts w:eastAsia="Times New Roman" w:cs="Calibri"/>
          <w:szCs w:val="20"/>
          <w:lang w:eastAsia="es-ES_tradnl"/>
        </w:rPr>
        <w:t xml:space="preserve"> </w:t>
      </w:r>
      <w:r w:rsidR="00876DAF" w:rsidRPr="003F7F6C">
        <w:rPr>
          <w:rFonts w:eastAsia="Times New Roman" w:cs="Calibri"/>
          <w:szCs w:val="20"/>
          <w:lang w:eastAsia="es-ES_tradnl"/>
        </w:rPr>
        <w:t xml:space="preserve">with </w:t>
      </w:r>
      <w:r w:rsidRPr="003F7F6C">
        <w:rPr>
          <w:szCs w:val="20"/>
        </w:rPr>
        <w:t>the</w:t>
      </w:r>
      <w:r w:rsidR="00E977EC" w:rsidRPr="003F7F6C">
        <w:rPr>
          <w:szCs w:val="20"/>
        </w:rPr>
        <w:t xml:space="preserve"> Environment and Natural Resources Law Nº 11723</w:t>
      </w:r>
      <w:r w:rsidRPr="003F7F6C">
        <w:rPr>
          <w:szCs w:val="20"/>
        </w:rPr>
        <w:t xml:space="preserve"> Native Forest Law Nº</w:t>
      </w:r>
      <w:r w:rsidR="00E977EC" w:rsidRPr="003F7F6C">
        <w:rPr>
          <w:szCs w:val="20"/>
        </w:rPr>
        <w:t xml:space="preserve"> </w:t>
      </w:r>
      <w:r w:rsidRPr="003F7F6C">
        <w:rPr>
          <w:szCs w:val="20"/>
        </w:rPr>
        <w:t>14888</w:t>
      </w:r>
      <w:r w:rsidR="00E977EC" w:rsidRPr="003F7F6C">
        <w:rPr>
          <w:szCs w:val="20"/>
        </w:rPr>
        <w:t xml:space="preserve"> </w:t>
      </w:r>
      <w:r w:rsidRPr="003F7F6C">
        <w:rPr>
          <w:rFonts w:cs="Calibri"/>
          <w:szCs w:val="20"/>
        </w:rPr>
        <w:t>and the Strategic Plan for Conservation and Sustainable Use of the Parana River Delta (PIECAS)</w:t>
      </w:r>
      <w:r w:rsidR="00876DAF" w:rsidRPr="003F7F6C">
        <w:rPr>
          <w:rFonts w:cs="Calibri"/>
          <w:szCs w:val="20"/>
        </w:rPr>
        <w:t>; i</w:t>
      </w:r>
      <w:r w:rsidRPr="003F7F6C">
        <w:rPr>
          <w:rFonts w:cs="Calibri"/>
          <w:szCs w:val="20"/>
        </w:rPr>
        <w:t xml:space="preserve">n Jujuy with </w:t>
      </w:r>
      <w:r w:rsidRPr="003F7F6C">
        <w:rPr>
          <w:szCs w:val="20"/>
        </w:rPr>
        <w:t>Law Nº5676 Adaptive Land Use Plan for Forest Areas of Jujuy</w:t>
      </w:r>
      <w:r w:rsidR="006163F7" w:rsidRPr="003F7F6C">
        <w:rPr>
          <w:szCs w:val="20"/>
        </w:rPr>
        <w:t xml:space="preserve">, </w:t>
      </w:r>
      <w:r w:rsidR="006163F7" w:rsidRPr="003F7F6C">
        <w:rPr>
          <w:rFonts w:cs="Calibri"/>
          <w:szCs w:val="20"/>
        </w:rPr>
        <w:t>Urban Solid Waste Management Law Nº 5954</w:t>
      </w:r>
      <w:r w:rsidR="006163F7" w:rsidRPr="003F7F6C">
        <w:rPr>
          <w:szCs w:val="20"/>
        </w:rPr>
        <w:t xml:space="preserve">, </w:t>
      </w:r>
      <w:r w:rsidRPr="003F7F6C">
        <w:rPr>
          <w:szCs w:val="20"/>
        </w:rPr>
        <w:t>Law Nº6080 Provincial System of Natural Protected Areas</w:t>
      </w:r>
      <w:r w:rsidR="006163F7" w:rsidRPr="003F7F6C">
        <w:rPr>
          <w:szCs w:val="20"/>
        </w:rPr>
        <w:t xml:space="preserve"> and the Green Jujuy: Carbon Neutral 2030 Plan</w:t>
      </w:r>
      <w:r w:rsidR="00876DAF" w:rsidRPr="003F7F6C">
        <w:rPr>
          <w:szCs w:val="20"/>
        </w:rPr>
        <w:t>; and i</w:t>
      </w:r>
      <w:r w:rsidR="006163F7" w:rsidRPr="003F7F6C">
        <w:rPr>
          <w:rFonts w:eastAsia="Times New Roman" w:cs="Calibri"/>
          <w:szCs w:val="20"/>
          <w:lang w:eastAsia="es-ES_tradnl"/>
        </w:rPr>
        <w:t xml:space="preserve">n </w:t>
      </w:r>
      <w:r w:rsidRPr="003F7F6C">
        <w:rPr>
          <w:rFonts w:eastAsia="Times New Roman" w:cs="Calibri"/>
          <w:szCs w:val="20"/>
          <w:lang w:eastAsia="es-ES_tradnl"/>
        </w:rPr>
        <w:t xml:space="preserve">Mendoza </w:t>
      </w:r>
      <w:r w:rsidR="00AA7171" w:rsidRPr="003F7F6C">
        <w:rPr>
          <w:rFonts w:eastAsia="Times New Roman" w:cs="Calibri"/>
          <w:szCs w:val="20"/>
          <w:lang w:eastAsia="es-ES_tradnl"/>
        </w:rPr>
        <w:t xml:space="preserve">with </w:t>
      </w:r>
      <w:r w:rsidRPr="003F7F6C">
        <w:rPr>
          <w:rFonts w:eastAsia="Times New Roman" w:cs="Calibri"/>
          <w:szCs w:val="20"/>
          <w:lang w:eastAsia="es-ES_tradnl"/>
        </w:rPr>
        <w:t>the 2030 Development Strategic Plan of Mendoza and</w:t>
      </w:r>
      <w:r w:rsidR="006163F7" w:rsidRPr="003F7F6C">
        <w:rPr>
          <w:rFonts w:eastAsia="Times New Roman" w:cs="Calibri"/>
          <w:szCs w:val="20"/>
          <w:lang w:eastAsia="es-ES_tradnl"/>
        </w:rPr>
        <w:t xml:space="preserve"> its</w:t>
      </w:r>
      <w:r w:rsidRPr="003F7F6C">
        <w:rPr>
          <w:rFonts w:eastAsia="Times New Roman" w:cs="Calibri"/>
          <w:szCs w:val="20"/>
          <w:lang w:eastAsia="es-ES_tradnl"/>
        </w:rPr>
        <w:t xml:space="preserve"> land use planning regulatory framework (e.g.</w:t>
      </w:r>
      <w:r w:rsidR="00AA7171" w:rsidRPr="003F7F6C">
        <w:rPr>
          <w:rFonts w:eastAsia="Times New Roman" w:cs="Calibri"/>
          <w:szCs w:val="20"/>
          <w:lang w:eastAsia="es-ES_tradnl"/>
        </w:rPr>
        <w:t>,</w:t>
      </w:r>
      <w:r w:rsidRPr="003F7F6C">
        <w:rPr>
          <w:rFonts w:eastAsia="Times New Roman" w:cs="Calibri"/>
          <w:szCs w:val="20"/>
          <w:lang w:eastAsia="es-ES_tradnl"/>
        </w:rPr>
        <w:t xml:space="preserve"> </w:t>
      </w:r>
      <w:r w:rsidRPr="003F7F6C">
        <w:rPr>
          <w:rFonts w:cs="Calibri"/>
          <w:bCs/>
          <w:szCs w:val="20"/>
        </w:rPr>
        <w:t>Law Nº 8051 Land Use Planning of Mendoza</w:t>
      </w:r>
      <w:r w:rsidRPr="003F7F6C">
        <w:rPr>
          <w:rFonts w:cs="Calibri"/>
          <w:szCs w:val="20"/>
        </w:rPr>
        <w:t>; Law Nº 8999 approving the Provincial Land Use Plan</w:t>
      </w:r>
      <w:r w:rsidR="00AA7171" w:rsidRPr="003F7F6C">
        <w:rPr>
          <w:rFonts w:cs="Calibri"/>
          <w:szCs w:val="20"/>
        </w:rPr>
        <w:t>,</w:t>
      </w:r>
      <w:r w:rsidRPr="003F7F6C">
        <w:rPr>
          <w:rFonts w:cs="Calibri"/>
          <w:szCs w:val="20"/>
        </w:rPr>
        <w:t xml:space="preserve"> Law Nº 5804 declaring of public interest and land use regulation an area located to the West of the Mendoza Metropolitan Area and Law Nº6045 Provincial Protected Areas). </w:t>
      </w:r>
    </w:p>
    <w:p w14:paraId="2C8B911A" w14:textId="77777777" w:rsidR="00603DA4" w:rsidRPr="003F7F6C" w:rsidRDefault="00603DA4" w:rsidP="00E91275">
      <w:pPr>
        <w:numPr>
          <w:ilvl w:val="0"/>
          <w:numId w:val="28"/>
        </w:numPr>
        <w:tabs>
          <w:tab w:val="left" w:pos="426"/>
        </w:tabs>
        <w:spacing w:after="120"/>
        <w:ind w:left="0" w:firstLine="0"/>
        <w:rPr>
          <w:rFonts w:eastAsia="Times New Roman" w:cs="Calibri"/>
          <w:szCs w:val="20"/>
          <w:lang w:eastAsia="es-ES_tradnl"/>
        </w:rPr>
      </w:pPr>
      <w:bookmarkStart w:id="5" w:name="_Hlk526967905"/>
      <w:r w:rsidRPr="003F7F6C">
        <w:rPr>
          <w:rFonts w:eastAsia="Times New Roman" w:cs="Calibri"/>
          <w:szCs w:val="20"/>
          <w:lang w:eastAsia="es-ES_tradnl"/>
        </w:rPr>
        <w:t>T</w:t>
      </w:r>
      <w:r w:rsidR="008038D3" w:rsidRPr="003F7F6C">
        <w:rPr>
          <w:rFonts w:eastAsia="Times New Roman" w:cs="Calibri"/>
          <w:szCs w:val="20"/>
          <w:lang w:eastAsia="es-ES_tradnl"/>
        </w:rPr>
        <w:t xml:space="preserve">he project will synergistically address </w:t>
      </w:r>
      <w:r w:rsidRPr="003F7F6C">
        <w:rPr>
          <w:rFonts w:eastAsia="Times New Roman" w:cs="Calibri"/>
          <w:szCs w:val="20"/>
          <w:lang w:eastAsia="es-ES_tradnl"/>
        </w:rPr>
        <w:t xml:space="preserve">the </w:t>
      </w:r>
      <w:r w:rsidR="008038D3" w:rsidRPr="003F7F6C">
        <w:rPr>
          <w:rFonts w:eastAsia="Times New Roman" w:cs="Calibri"/>
          <w:szCs w:val="20"/>
          <w:lang w:eastAsia="es-ES_tradnl"/>
        </w:rPr>
        <w:t>G</w:t>
      </w:r>
      <w:r w:rsidRPr="003F7F6C">
        <w:rPr>
          <w:rFonts w:eastAsia="Times New Roman" w:cs="Calibri"/>
          <w:szCs w:val="20"/>
          <w:lang w:eastAsia="es-ES_tradnl"/>
        </w:rPr>
        <w:t xml:space="preserve">EF-6 focal areas of Biodiversity and Land Degradation and four of its programs: </w:t>
      </w:r>
    </w:p>
    <w:p w14:paraId="014A4F4B" w14:textId="77777777" w:rsidR="00603DA4" w:rsidRPr="003F7F6C" w:rsidRDefault="00603DA4" w:rsidP="00E91275">
      <w:pPr>
        <w:pStyle w:val="NormalWeb"/>
        <w:numPr>
          <w:ilvl w:val="0"/>
          <w:numId w:val="30"/>
        </w:numPr>
        <w:spacing w:before="0" w:beforeAutospacing="0" w:after="120" w:afterAutospacing="0"/>
        <w:rPr>
          <w:rFonts w:ascii="Calibri" w:eastAsia="Times New Roman" w:hAnsi="Calibri" w:cs="Calibri"/>
          <w:i/>
          <w:sz w:val="20"/>
          <w:szCs w:val="20"/>
          <w:lang w:eastAsia="es-ES_tradnl"/>
        </w:rPr>
      </w:pPr>
      <w:r w:rsidRPr="003F7F6C">
        <w:rPr>
          <w:rFonts w:ascii="Calibri" w:eastAsia="Times New Roman" w:hAnsi="Calibri" w:cs="Calibri"/>
          <w:bCs/>
          <w:sz w:val="20"/>
          <w:szCs w:val="20"/>
          <w:lang w:eastAsia="es-ES_tradnl"/>
        </w:rPr>
        <w:t>BD-</w:t>
      </w:r>
      <w:r w:rsidRPr="003F7F6C">
        <w:rPr>
          <w:rFonts w:ascii="Calibri" w:eastAsia="Times New Roman" w:hAnsi="Calibri" w:cs="Calibri"/>
          <w:sz w:val="20"/>
          <w:szCs w:val="20"/>
          <w:lang w:eastAsia="es-ES_tradnl"/>
        </w:rPr>
        <w:t xml:space="preserve">4 </w:t>
      </w:r>
      <w:r w:rsidRPr="003F7F6C">
        <w:rPr>
          <w:rFonts w:ascii="Calibri" w:eastAsia="Times New Roman" w:hAnsi="Calibri" w:cs="Calibri"/>
          <w:i/>
          <w:sz w:val="20"/>
          <w:szCs w:val="20"/>
          <w:lang w:eastAsia="es-ES_tradnl"/>
        </w:rPr>
        <w:t>Mainstream biodiversity conservation and sustainable use into production landscapes and seascapes and production sectors</w:t>
      </w:r>
      <w:r w:rsidRPr="003F7F6C">
        <w:rPr>
          <w:rFonts w:ascii="Calibri" w:eastAsia="Times New Roman" w:hAnsi="Calibri" w:cs="Calibri"/>
          <w:sz w:val="20"/>
          <w:szCs w:val="20"/>
          <w:lang w:eastAsia="es-ES_tradnl"/>
        </w:rPr>
        <w:t xml:space="preserve">: Program 9: </w:t>
      </w:r>
      <w:r w:rsidRPr="003F7F6C">
        <w:rPr>
          <w:rFonts w:ascii="Calibri" w:eastAsia="Times New Roman" w:hAnsi="Calibri" w:cs="Calibri"/>
          <w:i/>
          <w:sz w:val="20"/>
          <w:szCs w:val="20"/>
          <w:lang w:eastAsia="es-ES_tradnl"/>
        </w:rPr>
        <w:t>Managing the Human- Biodiversity Interface</w:t>
      </w:r>
      <w:r w:rsidRPr="003F7F6C">
        <w:rPr>
          <w:rFonts w:ascii="Calibri" w:eastAsia="Times New Roman" w:hAnsi="Calibri" w:cs="Calibri"/>
          <w:sz w:val="20"/>
          <w:szCs w:val="20"/>
          <w:lang w:eastAsia="es-ES_tradnl"/>
        </w:rPr>
        <w:t xml:space="preserve"> and Program 10: </w:t>
      </w:r>
      <w:r w:rsidRPr="003F7F6C">
        <w:rPr>
          <w:rFonts w:ascii="Calibri" w:eastAsia="Times New Roman" w:hAnsi="Calibri" w:cs="Calibri"/>
          <w:i/>
          <w:sz w:val="20"/>
          <w:szCs w:val="20"/>
          <w:lang w:eastAsia="es-ES_tradnl"/>
        </w:rPr>
        <w:t>Integration of Biodiversity and Ecosystem Services into Development &amp; Finance Planning</w:t>
      </w:r>
    </w:p>
    <w:p w14:paraId="1AD0903E" w14:textId="77777777" w:rsidR="00603DA4" w:rsidRPr="003F7F6C" w:rsidRDefault="00603DA4" w:rsidP="00E91275">
      <w:pPr>
        <w:pStyle w:val="NormalWeb"/>
        <w:numPr>
          <w:ilvl w:val="0"/>
          <w:numId w:val="30"/>
        </w:numPr>
        <w:rPr>
          <w:rFonts w:ascii="Calibri" w:eastAsia="Times New Roman" w:hAnsi="Calibri" w:cs="Calibri"/>
          <w:i/>
          <w:sz w:val="20"/>
          <w:szCs w:val="20"/>
          <w:lang w:eastAsia="es-ES_tradnl"/>
        </w:rPr>
      </w:pPr>
      <w:r w:rsidRPr="003F7F6C">
        <w:rPr>
          <w:rFonts w:ascii="Calibri" w:eastAsia="Times New Roman" w:hAnsi="Calibri" w:cs="Calibri"/>
          <w:bCs/>
          <w:sz w:val="20"/>
          <w:szCs w:val="20"/>
          <w:lang w:eastAsia="es-ES_tradnl"/>
        </w:rPr>
        <w:t xml:space="preserve">LD-3: </w:t>
      </w:r>
      <w:r w:rsidRPr="003F7F6C">
        <w:rPr>
          <w:rFonts w:ascii="Calibri" w:eastAsia="Times New Roman" w:hAnsi="Calibri" w:cs="Calibri"/>
          <w:bCs/>
          <w:i/>
          <w:sz w:val="20"/>
          <w:szCs w:val="20"/>
          <w:lang w:eastAsia="es-ES_tradnl"/>
        </w:rPr>
        <w:t xml:space="preserve">Integrated Landscapes: </w:t>
      </w:r>
      <w:r w:rsidRPr="003F7F6C">
        <w:rPr>
          <w:rFonts w:ascii="Calibri" w:eastAsia="Times New Roman" w:hAnsi="Calibri" w:cs="Calibri"/>
          <w:i/>
          <w:sz w:val="20"/>
          <w:szCs w:val="20"/>
          <w:lang w:eastAsia="es-ES_tradnl"/>
        </w:rPr>
        <w:t>Reduce pressures on natural resources from competing land uses in the wider landscape</w:t>
      </w:r>
      <w:r w:rsidRPr="003F7F6C">
        <w:rPr>
          <w:rFonts w:ascii="Calibri" w:eastAsia="Times New Roman" w:hAnsi="Calibri" w:cs="Calibri"/>
          <w:sz w:val="20"/>
          <w:szCs w:val="20"/>
          <w:lang w:eastAsia="es-ES_tradnl"/>
        </w:rPr>
        <w:t xml:space="preserve">. </w:t>
      </w:r>
      <w:r w:rsidRPr="003F7F6C">
        <w:rPr>
          <w:rFonts w:ascii="Calibri" w:eastAsia="Times New Roman" w:hAnsi="Calibri" w:cs="Calibri"/>
          <w:bCs/>
          <w:sz w:val="20"/>
          <w:szCs w:val="20"/>
          <w:lang w:eastAsia="es-ES_tradnl"/>
        </w:rPr>
        <w:t xml:space="preserve"> </w:t>
      </w:r>
      <w:r w:rsidRPr="003F7F6C">
        <w:rPr>
          <w:rFonts w:ascii="Calibri" w:eastAsia="Times New Roman" w:hAnsi="Calibri" w:cs="Calibri"/>
          <w:sz w:val="20"/>
          <w:szCs w:val="20"/>
          <w:lang w:eastAsia="es-ES_tradnl"/>
        </w:rPr>
        <w:t xml:space="preserve">Program 4: </w:t>
      </w:r>
      <w:r w:rsidRPr="003F7F6C">
        <w:rPr>
          <w:rFonts w:ascii="Calibri" w:eastAsia="Times New Roman" w:hAnsi="Calibri" w:cs="Calibri"/>
          <w:i/>
          <w:sz w:val="20"/>
          <w:szCs w:val="20"/>
          <w:lang w:eastAsia="es-ES_tradnl"/>
        </w:rPr>
        <w:t>Scaling-up sustainable land management through the Landscape Approach; and</w:t>
      </w:r>
    </w:p>
    <w:p w14:paraId="4E3A6381" w14:textId="77777777" w:rsidR="00603DA4" w:rsidRPr="003F7F6C" w:rsidRDefault="00603DA4" w:rsidP="00E91275">
      <w:pPr>
        <w:pStyle w:val="NormalWeb"/>
        <w:numPr>
          <w:ilvl w:val="0"/>
          <w:numId w:val="30"/>
        </w:numPr>
        <w:rPr>
          <w:rFonts w:ascii="Calibri" w:eastAsia="Times New Roman" w:hAnsi="Calibri" w:cs="Calibri"/>
          <w:i/>
          <w:sz w:val="20"/>
          <w:szCs w:val="20"/>
          <w:lang w:eastAsia="es-ES_tradnl"/>
        </w:rPr>
      </w:pPr>
      <w:r w:rsidRPr="003F7F6C">
        <w:rPr>
          <w:rFonts w:ascii="Calibri" w:eastAsia="Times New Roman" w:hAnsi="Calibri" w:cs="Calibri"/>
          <w:sz w:val="20"/>
          <w:szCs w:val="20"/>
          <w:lang w:eastAsia="es-ES_tradnl"/>
        </w:rPr>
        <w:t xml:space="preserve"> </w:t>
      </w:r>
      <w:r w:rsidRPr="003F7F6C">
        <w:rPr>
          <w:rFonts w:ascii="Calibri" w:eastAsia="Times New Roman" w:hAnsi="Calibri" w:cs="Calibri"/>
          <w:bCs/>
          <w:sz w:val="20"/>
          <w:szCs w:val="20"/>
          <w:lang w:eastAsia="es-ES_tradnl"/>
        </w:rPr>
        <w:t xml:space="preserve">LD-4 </w:t>
      </w:r>
      <w:r w:rsidRPr="003F7F6C">
        <w:rPr>
          <w:rFonts w:ascii="Calibri" w:eastAsia="Times New Roman" w:hAnsi="Calibri" w:cs="Calibri"/>
          <w:bCs/>
          <w:i/>
          <w:sz w:val="20"/>
          <w:szCs w:val="20"/>
          <w:lang w:eastAsia="es-ES_tradnl"/>
        </w:rPr>
        <w:t xml:space="preserve">Maximizing transformational impact: </w:t>
      </w:r>
      <w:r w:rsidRPr="003F7F6C">
        <w:rPr>
          <w:rFonts w:ascii="Calibri" w:eastAsia="Times New Roman" w:hAnsi="Calibri" w:cs="Calibri"/>
          <w:i/>
          <w:sz w:val="20"/>
          <w:szCs w:val="20"/>
          <w:lang w:eastAsia="es-ES_tradnl"/>
        </w:rPr>
        <w:t xml:space="preserve">Maintain land resources and agroecosystem services through mainstreaming at scales. </w:t>
      </w:r>
      <w:r w:rsidRPr="003F7F6C">
        <w:rPr>
          <w:rFonts w:ascii="Calibri" w:eastAsia="Times New Roman" w:hAnsi="Calibri" w:cs="Calibri"/>
          <w:sz w:val="20"/>
          <w:szCs w:val="20"/>
          <w:lang w:eastAsia="es-ES_tradnl"/>
        </w:rPr>
        <w:t xml:space="preserve"> </w:t>
      </w:r>
      <w:r w:rsidRPr="003F7F6C">
        <w:rPr>
          <w:rFonts w:ascii="Calibri" w:eastAsia="Times New Roman" w:hAnsi="Calibri" w:cs="Calibri"/>
          <w:sz w:val="20"/>
          <w:szCs w:val="20"/>
          <w:lang w:val="es-PY" w:eastAsia="es-ES_tradnl"/>
        </w:rPr>
        <w:t xml:space="preserve">Program 5: </w:t>
      </w:r>
      <w:r w:rsidRPr="003F7F6C">
        <w:rPr>
          <w:rFonts w:ascii="Calibri" w:eastAsia="Times New Roman" w:hAnsi="Calibri" w:cs="Calibri"/>
          <w:i/>
          <w:sz w:val="20"/>
          <w:szCs w:val="20"/>
          <w:lang w:val="es-PY" w:eastAsia="es-ES_tradnl"/>
        </w:rPr>
        <w:t>SLM Mainstreaming in Development</w:t>
      </w:r>
      <w:r w:rsidRPr="003F7F6C">
        <w:rPr>
          <w:rFonts w:ascii="TimesNewRomanPSMT" w:eastAsia="Times New Roman" w:hAnsi="TimesNewRomanPSMT" w:cs="TimesNewRomanPSMT"/>
          <w:sz w:val="22"/>
          <w:szCs w:val="22"/>
          <w:lang w:val="es-PY" w:eastAsia="es-ES_tradnl"/>
        </w:rPr>
        <w:t>.</w:t>
      </w:r>
    </w:p>
    <w:bookmarkEnd w:id="5"/>
    <w:p w14:paraId="31082E0F" w14:textId="77777777" w:rsidR="00F81702" w:rsidRPr="003F7F6C" w:rsidRDefault="00F64D9C" w:rsidP="00E91275">
      <w:pPr>
        <w:numPr>
          <w:ilvl w:val="0"/>
          <w:numId w:val="28"/>
        </w:numPr>
        <w:tabs>
          <w:tab w:val="left" w:pos="426"/>
        </w:tabs>
        <w:spacing w:after="120"/>
        <w:ind w:left="90" w:hanging="6"/>
        <w:rPr>
          <w:rFonts w:eastAsia="Times New Roman" w:cs="Calibri"/>
          <w:szCs w:val="20"/>
          <w:lang w:eastAsia="es-ES_tradnl"/>
        </w:rPr>
      </w:pPr>
      <w:r w:rsidRPr="003F7F6C">
        <w:rPr>
          <w:rFonts w:eastAsia="Times New Roman" w:cs="Calibri"/>
          <w:szCs w:val="20"/>
          <w:lang w:eastAsia="es-ES_tradnl"/>
        </w:rPr>
        <w:t>It is also in alignment with Aichi Ta</w:t>
      </w:r>
      <w:r w:rsidR="008818B0" w:rsidRPr="003F7F6C">
        <w:rPr>
          <w:rFonts w:eastAsia="Times New Roman" w:cs="Calibri"/>
          <w:szCs w:val="20"/>
          <w:lang w:eastAsia="es-ES_tradnl"/>
        </w:rPr>
        <w:t>rgets helping Argentina respond</w:t>
      </w:r>
      <w:r w:rsidRPr="003F7F6C">
        <w:rPr>
          <w:rFonts w:eastAsia="Times New Roman" w:cs="Calibri"/>
          <w:szCs w:val="20"/>
          <w:lang w:eastAsia="es-ES_tradnl"/>
        </w:rPr>
        <w:t xml:space="preserve"> to Aichi Targets S</w:t>
      </w:r>
      <w:r w:rsidR="00513BF3" w:rsidRPr="003F7F6C">
        <w:rPr>
          <w:rFonts w:eastAsia="Times New Roman" w:cs="Calibri"/>
          <w:szCs w:val="20"/>
          <w:lang w:eastAsia="es-ES_tradnl"/>
        </w:rPr>
        <w:t xml:space="preserve">trategic </w:t>
      </w:r>
      <w:r w:rsidRPr="003F7F6C">
        <w:rPr>
          <w:rFonts w:eastAsia="Times New Roman" w:cs="Calibri"/>
          <w:szCs w:val="20"/>
          <w:lang w:eastAsia="es-ES_tradnl"/>
        </w:rPr>
        <w:t>G</w:t>
      </w:r>
      <w:r w:rsidR="00513BF3" w:rsidRPr="003F7F6C">
        <w:rPr>
          <w:rFonts w:eastAsia="Times New Roman" w:cs="Calibri"/>
          <w:szCs w:val="20"/>
          <w:lang w:eastAsia="es-ES_tradnl"/>
        </w:rPr>
        <w:t>oal</w:t>
      </w:r>
      <w:r w:rsidRPr="003F7F6C">
        <w:rPr>
          <w:rFonts w:eastAsia="Times New Roman" w:cs="Calibri"/>
          <w:szCs w:val="20"/>
          <w:lang w:eastAsia="es-ES_tradnl"/>
        </w:rPr>
        <w:t xml:space="preserve"> A</w:t>
      </w:r>
      <w:r w:rsidR="00F81702" w:rsidRPr="003F7F6C">
        <w:rPr>
          <w:rFonts w:eastAsia="Times New Roman" w:cs="Calibri"/>
          <w:szCs w:val="20"/>
          <w:lang w:eastAsia="es-ES_tradnl"/>
        </w:rPr>
        <w:t>:</w:t>
      </w:r>
      <w:r w:rsidR="00513BF3" w:rsidRPr="003F7F6C">
        <w:rPr>
          <w:rFonts w:eastAsia="Times New Roman" w:cs="Calibri"/>
          <w:szCs w:val="20"/>
          <w:lang w:eastAsia="es-ES_tradnl"/>
        </w:rPr>
        <w:t xml:space="preserve"> </w:t>
      </w:r>
      <w:r w:rsidR="00513BF3" w:rsidRPr="003F7F6C">
        <w:rPr>
          <w:rFonts w:eastAsia="Times New Roman" w:cs="Calibri"/>
          <w:i/>
          <w:szCs w:val="20"/>
          <w:lang w:eastAsia="es-ES_tradnl"/>
        </w:rPr>
        <w:t>Address the underlying causes of biodiversity loss by mainstreaming biodiversity across government and society</w:t>
      </w:r>
      <w:r w:rsidR="00513BF3" w:rsidRPr="003F7F6C">
        <w:rPr>
          <w:rFonts w:eastAsia="Times New Roman" w:cs="Calibri"/>
          <w:szCs w:val="20"/>
          <w:lang w:eastAsia="es-ES_tradnl"/>
        </w:rPr>
        <w:t>, Targets</w:t>
      </w:r>
      <w:r w:rsidR="00F81702" w:rsidRPr="003F7F6C">
        <w:rPr>
          <w:rFonts w:eastAsia="Times New Roman" w:cs="Calibri"/>
          <w:szCs w:val="20"/>
          <w:lang w:eastAsia="es-ES_tradnl"/>
        </w:rPr>
        <w:t>:</w:t>
      </w:r>
      <w:r w:rsidR="00513BF3" w:rsidRPr="003F7F6C">
        <w:rPr>
          <w:rFonts w:eastAsia="Times New Roman" w:cs="Calibri"/>
          <w:szCs w:val="20"/>
          <w:lang w:eastAsia="es-ES_tradnl"/>
        </w:rPr>
        <w:t xml:space="preserve"> </w:t>
      </w:r>
    </w:p>
    <w:p w14:paraId="21DBBDAF" w14:textId="77777777" w:rsidR="00F81702" w:rsidRPr="003F7F6C" w:rsidRDefault="00513BF3" w:rsidP="00E91275">
      <w:pPr>
        <w:numPr>
          <w:ilvl w:val="0"/>
          <w:numId w:val="31"/>
        </w:numPr>
        <w:spacing w:after="120"/>
        <w:rPr>
          <w:rFonts w:eastAsia="Times New Roman" w:cs="Calibri"/>
          <w:szCs w:val="20"/>
          <w:lang w:eastAsia="es-ES_tradnl"/>
        </w:rPr>
      </w:pPr>
      <w:r w:rsidRPr="003F7F6C">
        <w:rPr>
          <w:rFonts w:eastAsia="Times New Roman" w:cs="Calibri"/>
          <w:szCs w:val="20"/>
          <w:lang w:eastAsia="es-ES_tradnl"/>
        </w:rPr>
        <w:t>1:</w:t>
      </w:r>
      <w:r w:rsidR="00F64D9C" w:rsidRPr="003F7F6C">
        <w:rPr>
          <w:rFonts w:eastAsia="Times New Roman" w:cs="Calibri"/>
          <w:szCs w:val="20"/>
          <w:lang w:eastAsia="es-ES_tradnl"/>
        </w:rPr>
        <w:t xml:space="preserve"> </w:t>
      </w:r>
      <w:r w:rsidRPr="003F7F6C">
        <w:rPr>
          <w:rFonts w:eastAsia="Times New Roman" w:cs="Calibri"/>
          <w:i/>
          <w:szCs w:val="20"/>
          <w:shd w:val="clear" w:color="auto" w:fill="FFFFFF"/>
          <w:lang w:eastAsia="es-ES_tradnl"/>
        </w:rPr>
        <w:t xml:space="preserve">By 2020, at the latest, people are aware of the values of biodiversity and the steps they can take to conserve and use it sustainably; </w:t>
      </w:r>
    </w:p>
    <w:p w14:paraId="060899F3" w14:textId="77777777" w:rsidR="00F81702" w:rsidRPr="003F7F6C" w:rsidRDefault="00513BF3" w:rsidP="00E91275">
      <w:pPr>
        <w:numPr>
          <w:ilvl w:val="0"/>
          <w:numId w:val="31"/>
        </w:numPr>
        <w:spacing w:after="120"/>
        <w:rPr>
          <w:rFonts w:eastAsia="Times New Roman" w:cs="Calibri"/>
          <w:szCs w:val="20"/>
          <w:lang w:eastAsia="es-ES_tradnl"/>
        </w:rPr>
      </w:pPr>
      <w:r w:rsidRPr="003F7F6C">
        <w:rPr>
          <w:rFonts w:eastAsia="Times New Roman" w:cs="Calibri"/>
          <w:szCs w:val="20"/>
          <w:lang w:eastAsia="es-ES_tradnl"/>
        </w:rPr>
        <w:t>2:</w:t>
      </w:r>
      <w:r w:rsidR="00F64D9C" w:rsidRPr="003F7F6C">
        <w:rPr>
          <w:rFonts w:eastAsia="Times New Roman" w:cs="Calibri"/>
          <w:szCs w:val="20"/>
          <w:lang w:eastAsia="es-ES_tradnl"/>
        </w:rPr>
        <w:t xml:space="preserve"> </w:t>
      </w:r>
      <w:r w:rsidRPr="003F7F6C">
        <w:rPr>
          <w:rFonts w:eastAsia="Times New Roman" w:cs="Calibri"/>
          <w:i/>
          <w:szCs w:val="20"/>
          <w:shd w:val="clear" w:color="auto" w:fill="FFFFFF"/>
          <w:lang w:eastAsia="es-ES_tradnl"/>
        </w:rPr>
        <w:t>By 2020, at the latest, biodiversity values have been integrated into national and local development and poverty reduction strategies and planning processes and are being incorporated into national accounting, as appropriate, and reporting systems</w:t>
      </w:r>
      <w:r w:rsidRPr="003F7F6C">
        <w:rPr>
          <w:rFonts w:eastAsia="Times New Roman" w:cs="Calibri"/>
          <w:szCs w:val="20"/>
          <w:shd w:val="clear" w:color="auto" w:fill="FFFFFF"/>
          <w:lang w:eastAsia="es-ES_tradnl"/>
        </w:rPr>
        <w:t xml:space="preserve">; </w:t>
      </w:r>
    </w:p>
    <w:p w14:paraId="1306BBAC" w14:textId="77777777" w:rsidR="00F81702" w:rsidRPr="003F7F6C" w:rsidRDefault="00513BF3" w:rsidP="00E91275">
      <w:pPr>
        <w:numPr>
          <w:ilvl w:val="0"/>
          <w:numId w:val="31"/>
        </w:numPr>
        <w:spacing w:after="120"/>
        <w:rPr>
          <w:rFonts w:eastAsia="Times New Roman" w:cs="Calibri"/>
          <w:szCs w:val="20"/>
          <w:lang w:eastAsia="es-ES_tradnl"/>
        </w:rPr>
      </w:pPr>
      <w:r w:rsidRPr="003F7F6C">
        <w:rPr>
          <w:rFonts w:eastAsia="Times New Roman" w:cs="Calibri"/>
          <w:szCs w:val="20"/>
          <w:lang w:eastAsia="es-ES_tradnl"/>
        </w:rPr>
        <w:t>3:</w:t>
      </w:r>
      <w:r w:rsidR="00F64D9C" w:rsidRPr="003F7F6C">
        <w:rPr>
          <w:rFonts w:eastAsia="Times New Roman" w:cs="Calibri"/>
          <w:szCs w:val="20"/>
          <w:lang w:eastAsia="es-ES_tradnl"/>
        </w:rPr>
        <w:t xml:space="preserve"> </w:t>
      </w:r>
      <w:r w:rsidRPr="003F7F6C">
        <w:rPr>
          <w:rFonts w:eastAsia="Times New Roman" w:cs="Calibri"/>
          <w:i/>
          <w:szCs w:val="20"/>
          <w:shd w:val="clear" w:color="auto" w:fill="FFFFFF"/>
          <w:lang w:eastAsia="es-ES_tradnl"/>
        </w:rPr>
        <w:t>By 2020, at the latest, incentives, including subsidies, harmful to biodiversity are eliminated, phased out or reformed in order to minimize or avoid negative impacts, and positive incentives for the conservation and sustainable use of biodiversity are developed and applied, consistent and in harmony with the Convention and other relevant international obligations, taking into account national socio economic conditions</w:t>
      </w:r>
      <w:r w:rsidRPr="003F7F6C">
        <w:rPr>
          <w:rFonts w:eastAsia="Times New Roman" w:cs="Calibri"/>
          <w:szCs w:val="20"/>
          <w:shd w:val="clear" w:color="auto" w:fill="FFFFFF"/>
          <w:lang w:eastAsia="es-ES_tradnl"/>
        </w:rPr>
        <w:t xml:space="preserve">; </w:t>
      </w:r>
    </w:p>
    <w:p w14:paraId="045A7866" w14:textId="77777777" w:rsidR="00F81702" w:rsidRPr="003F7F6C" w:rsidRDefault="00513BF3" w:rsidP="00E91275">
      <w:pPr>
        <w:numPr>
          <w:ilvl w:val="0"/>
          <w:numId w:val="31"/>
        </w:numPr>
        <w:spacing w:after="120"/>
        <w:rPr>
          <w:rFonts w:eastAsia="Times New Roman" w:cs="Calibri"/>
          <w:szCs w:val="20"/>
          <w:lang w:eastAsia="es-ES_tradnl"/>
        </w:rPr>
      </w:pPr>
      <w:r w:rsidRPr="003F7F6C">
        <w:rPr>
          <w:rFonts w:eastAsia="Times New Roman" w:cs="Calibri"/>
          <w:szCs w:val="20"/>
          <w:lang w:eastAsia="es-ES_tradnl"/>
        </w:rPr>
        <w:t>4:</w:t>
      </w:r>
      <w:r w:rsidR="00F64D9C" w:rsidRPr="003F7F6C">
        <w:rPr>
          <w:rFonts w:eastAsia="Times New Roman" w:cs="Calibri"/>
          <w:szCs w:val="20"/>
          <w:lang w:eastAsia="es-ES_tradnl"/>
        </w:rPr>
        <w:t xml:space="preserve"> </w:t>
      </w:r>
      <w:r w:rsidRPr="003F7F6C">
        <w:rPr>
          <w:rFonts w:eastAsia="Times New Roman" w:cs="Calibri"/>
          <w:i/>
          <w:szCs w:val="20"/>
          <w:shd w:val="clear" w:color="auto" w:fill="FFFFFF"/>
          <w:lang w:eastAsia="es-ES_tradnl"/>
        </w:rPr>
        <w:t>By 2020, at the latest, Governments, business and stakeholders at all levels have taken steps to achieve or have implemented plans for sustainable production and consumption and have kept the impacts of use of natural resources well within safe ecological limits</w:t>
      </w:r>
      <w:r w:rsidRPr="003F7F6C">
        <w:rPr>
          <w:rFonts w:eastAsia="Times New Roman" w:cs="Calibri"/>
          <w:szCs w:val="20"/>
          <w:shd w:val="clear" w:color="auto" w:fill="FFFFFF"/>
          <w:lang w:eastAsia="es-ES_tradnl"/>
        </w:rPr>
        <w:t xml:space="preserve">; </w:t>
      </w:r>
    </w:p>
    <w:p w14:paraId="1DC99C66" w14:textId="77777777" w:rsidR="00F81702" w:rsidRPr="003F7F6C" w:rsidRDefault="00513BF3" w:rsidP="00E91275">
      <w:pPr>
        <w:numPr>
          <w:ilvl w:val="0"/>
          <w:numId w:val="31"/>
        </w:numPr>
        <w:spacing w:after="120"/>
        <w:rPr>
          <w:rFonts w:eastAsia="Times New Roman" w:cs="Calibri"/>
          <w:szCs w:val="20"/>
          <w:lang w:eastAsia="es-ES_tradnl"/>
        </w:rPr>
      </w:pPr>
      <w:r w:rsidRPr="003F7F6C">
        <w:rPr>
          <w:rFonts w:eastAsia="Times New Roman" w:cs="Calibri"/>
          <w:szCs w:val="20"/>
          <w:lang w:eastAsia="es-ES_tradnl"/>
        </w:rPr>
        <w:t>7</w:t>
      </w:r>
      <w:r w:rsidRPr="003F7F6C">
        <w:rPr>
          <w:rFonts w:cs="Calibri"/>
          <w:szCs w:val="20"/>
          <w:lang w:eastAsia="es-ES"/>
        </w:rPr>
        <w:t xml:space="preserve">: </w:t>
      </w:r>
      <w:r w:rsidRPr="003F7F6C">
        <w:rPr>
          <w:rFonts w:cs="Calibri"/>
          <w:i/>
          <w:szCs w:val="20"/>
        </w:rPr>
        <w:t>By 2020</w:t>
      </w:r>
      <w:r w:rsidR="00453386" w:rsidRPr="003F7F6C">
        <w:rPr>
          <w:rFonts w:cs="Calibri"/>
          <w:i/>
          <w:szCs w:val="20"/>
        </w:rPr>
        <w:t>,</w:t>
      </w:r>
      <w:r w:rsidRPr="003F7F6C">
        <w:rPr>
          <w:rFonts w:cs="Calibri"/>
          <w:i/>
          <w:szCs w:val="20"/>
        </w:rPr>
        <w:t xml:space="preserve"> areas under agriculture, aquaculture and forestry are managed sustainably, ensuring conservation of biodiversity</w:t>
      </w:r>
      <w:r w:rsidR="00F81702" w:rsidRPr="003F7F6C">
        <w:rPr>
          <w:rFonts w:cs="Calibri"/>
          <w:i/>
          <w:szCs w:val="20"/>
        </w:rPr>
        <w:t>;</w:t>
      </w:r>
      <w:r w:rsidRPr="003F7F6C">
        <w:rPr>
          <w:rFonts w:eastAsia="Times New Roman" w:cs="Calibri"/>
          <w:i/>
          <w:szCs w:val="20"/>
          <w:lang w:eastAsia="es-ES_tradnl"/>
        </w:rPr>
        <w:t xml:space="preserve"> </w:t>
      </w:r>
      <w:r w:rsidRPr="003F7F6C">
        <w:rPr>
          <w:rFonts w:eastAsia="Times New Roman" w:cs="Calibri"/>
          <w:szCs w:val="20"/>
          <w:lang w:eastAsia="es-ES_tradnl"/>
        </w:rPr>
        <w:t xml:space="preserve">and </w:t>
      </w:r>
    </w:p>
    <w:p w14:paraId="5A81C97F" w14:textId="77777777" w:rsidR="008818B0" w:rsidRPr="003F7F6C" w:rsidRDefault="00513BF3" w:rsidP="00E91275">
      <w:pPr>
        <w:numPr>
          <w:ilvl w:val="0"/>
          <w:numId w:val="31"/>
        </w:numPr>
        <w:spacing w:after="120"/>
        <w:rPr>
          <w:rFonts w:eastAsia="Times New Roman" w:cs="Calibri"/>
          <w:szCs w:val="20"/>
          <w:lang w:eastAsia="es-ES_tradnl"/>
        </w:rPr>
      </w:pPr>
      <w:r w:rsidRPr="003F7F6C">
        <w:rPr>
          <w:rFonts w:eastAsia="Times New Roman" w:cs="Calibri"/>
          <w:szCs w:val="20"/>
          <w:lang w:eastAsia="es-ES_tradnl"/>
        </w:rPr>
        <w:t xml:space="preserve">14: </w:t>
      </w:r>
      <w:r w:rsidRPr="003F7F6C">
        <w:rPr>
          <w:rFonts w:cs="Calibri"/>
          <w:i/>
          <w:color w:val="262626"/>
          <w:szCs w:val="20"/>
        </w:rPr>
        <w:t>By 2020, ecosystems that provide essential services, including services related to water, and contribute to health, livelihoods and well-being, are restored and safeguarded, taking into account the needs of women, indigenous and local communities, and the poor and vulnerable</w:t>
      </w:r>
      <w:r w:rsidRPr="003F7F6C">
        <w:rPr>
          <w:rFonts w:cs="Calibri"/>
          <w:color w:val="262626"/>
          <w:szCs w:val="20"/>
        </w:rPr>
        <w:t>.</w:t>
      </w:r>
    </w:p>
    <w:p w14:paraId="0D8C478D" w14:textId="1E9197E4" w:rsidR="00603DA4" w:rsidRPr="003F7F6C" w:rsidRDefault="00513BF3" w:rsidP="00E91275">
      <w:pPr>
        <w:numPr>
          <w:ilvl w:val="0"/>
          <w:numId w:val="28"/>
        </w:numPr>
        <w:tabs>
          <w:tab w:val="left" w:pos="426"/>
        </w:tabs>
        <w:spacing w:after="120"/>
        <w:ind w:left="90" w:hanging="6"/>
        <w:rPr>
          <w:rFonts w:eastAsia="Times New Roman" w:cs="Calibri"/>
          <w:szCs w:val="20"/>
          <w:lang w:eastAsia="es-ES_tradnl"/>
        </w:rPr>
      </w:pPr>
      <w:r w:rsidRPr="003F7F6C">
        <w:rPr>
          <w:rFonts w:eastAsia="Times New Roman" w:cs="Calibri"/>
          <w:szCs w:val="20"/>
          <w:lang w:eastAsia="es-ES_tradnl"/>
        </w:rPr>
        <w:t>Moreover</w:t>
      </w:r>
      <w:r w:rsidR="00453386" w:rsidRPr="003F7F6C">
        <w:rPr>
          <w:rFonts w:eastAsia="Times New Roman" w:cs="Calibri"/>
          <w:szCs w:val="20"/>
          <w:lang w:eastAsia="es-ES_tradnl"/>
        </w:rPr>
        <w:t>, the project</w:t>
      </w:r>
      <w:r w:rsidRPr="003F7F6C">
        <w:rPr>
          <w:rFonts w:eastAsia="Times New Roman" w:cs="Calibri"/>
          <w:szCs w:val="20"/>
          <w:lang w:eastAsia="es-ES_tradnl"/>
        </w:rPr>
        <w:t xml:space="preserve"> is consistent with </w:t>
      </w:r>
      <w:r w:rsidR="00453386" w:rsidRPr="003F7F6C">
        <w:rPr>
          <w:rFonts w:eastAsia="Times New Roman" w:cs="Calibri"/>
          <w:szCs w:val="20"/>
          <w:lang w:eastAsia="es-ES_tradnl"/>
        </w:rPr>
        <w:t xml:space="preserve">the </w:t>
      </w:r>
      <w:r w:rsidR="00F64D9C" w:rsidRPr="003F7F6C">
        <w:rPr>
          <w:rFonts w:eastAsia="Times New Roman" w:cs="Calibri"/>
          <w:szCs w:val="20"/>
          <w:lang w:eastAsia="es-ES_tradnl"/>
        </w:rPr>
        <w:t>Sustainable Development Goals</w:t>
      </w:r>
      <w:r w:rsidR="005C590C" w:rsidRPr="003F7F6C">
        <w:rPr>
          <w:rFonts w:eastAsia="Times New Roman" w:cs="Calibri"/>
          <w:szCs w:val="20"/>
          <w:lang w:eastAsia="es-ES_tradnl"/>
        </w:rPr>
        <w:t xml:space="preserve"> (SDG)</w:t>
      </w:r>
      <w:r w:rsidRPr="003F7F6C">
        <w:rPr>
          <w:rFonts w:eastAsia="Times New Roman" w:cs="Calibri"/>
          <w:szCs w:val="20"/>
          <w:lang w:eastAsia="es-ES_tradnl"/>
        </w:rPr>
        <w:t>,</w:t>
      </w:r>
      <w:r w:rsidR="00F64D9C" w:rsidRPr="003F7F6C">
        <w:rPr>
          <w:rFonts w:eastAsia="Times New Roman" w:cs="Calibri"/>
          <w:szCs w:val="20"/>
          <w:lang w:eastAsia="es-ES_tradnl"/>
        </w:rPr>
        <w:t xml:space="preserve"> particularly</w:t>
      </w:r>
      <w:r w:rsidR="00F81702" w:rsidRPr="003F7F6C">
        <w:rPr>
          <w:rFonts w:eastAsia="Times New Roman" w:cs="Calibri"/>
          <w:szCs w:val="20"/>
          <w:lang w:eastAsia="es-ES_tradnl"/>
        </w:rPr>
        <w:t xml:space="preserve"> </w:t>
      </w:r>
      <w:r w:rsidR="00F64D9C" w:rsidRPr="003F7F6C">
        <w:rPr>
          <w:rFonts w:eastAsia="Times New Roman" w:cs="Calibri"/>
          <w:szCs w:val="20"/>
          <w:lang w:eastAsia="es-ES_tradnl"/>
        </w:rPr>
        <w:t xml:space="preserve">Goal 15 </w:t>
      </w:r>
      <w:r w:rsidRPr="003F7F6C">
        <w:rPr>
          <w:rFonts w:eastAsia="Times New Roman" w:cs="Calibri"/>
          <w:szCs w:val="20"/>
          <w:lang w:eastAsia="es-ES_tradnl"/>
        </w:rPr>
        <w:t>Protect, restore and promote sustainable use of terrestrial ecosystems, sustainably manage forests, combat desertification, and halt and reverse land degradation and halt biodiversity loss</w:t>
      </w:r>
      <w:r w:rsidR="00E977EC" w:rsidRPr="003F7F6C">
        <w:rPr>
          <w:rFonts w:eastAsia="Times New Roman" w:cs="Calibri"/>
          <w:szCs w:val="20"/>
          <w:lang w:eastAsia="es-ES_tradnl"/>
        </w:rPr>
        <w:t>.</w:t>
      </w:r>
    </w:p>
    <w:p w14:paraId="59A19F79" w14:textId="77777777" w:rsidR="00973146" w:rsidRPr="003F7F6C" w:rsidRDefault="00973146" w:rsidP="003B2A79">
      <w:pPr>
        <w:jc w:val="left"/>
        <w:rPr>
          <w:rFonts w:cs="Segoe UI"/>
          <w:color w:val="000000"/>
          <w:szCs w:val="20"/>
        </w:rPr>
      </w:pPr>
    </w:p>
    <w:p w14:paraId="286FC817" w14:textId="77777777" w:rsidR="00973146" w:rsidRPr="003F7F6C" w:rsidRDefault="005B2E89" w:rsidP="003B2A79">
      <w:pPr>
        <w:jc w:val="left"/>
        <w:rPr>
          <w:rFonts w:cs="Segoe UI"/>
          <w:color w:val="000000"/>
          <w:szCs w:val="20"/>
        </w:rPr>
      </w:pPr>
      <w:r w:rsidRPr="003F7F6C">
        <w:rPr>
          <w:rFonts w:cs="Segoe UI"/>
          <w:color w:val="000000"/>
          <w:szCs w:val="20"/>
        </w:rPr>
        <w:br w:type="page"/>
      </w:r>
    </w:p>
    <w:p w14:paraId="635BD9BE" w14:textId="77777777" w:rsidR="005B2E89" w:rsidRPr="003F7F6C" w:rsidRDefault="004C3717" w:rsidP="005B2E89">
      <w:pPr>
        <w:pStyle w:val="Heading1"/>
        <w:spacing w:before="0" w:after="240"/>
        <w:jc w:val="left"/>
        <w:rPr>
          <w:rFonts w:ascii="Calibri" w:hAnsi="Calibri"/>
          <w:szCs w:val="28"/>
        </w:rPr>
      </w:pPr>
      <w:bookmarkStart w:id="6" w:name="_Toc529891409"/>
      <w:bookmarkStart w:id="7" w:name="_Toc207800911"/>
      <w:r w:rsidRPr="003F7F6C">
        <w:rPr>
          <w:rFonts w:ascii="Calibri" w:hAnsi="Calibri"/>
          <w:szCs w:val="28"/>
        </w:rPr>
        <w:t>Strategy</w:t>
      </w:r>
      <w:bookmarkEnd w:id="6"/>
      <w:r w:rsidR="00A25CCB" w:rsidRPr="003F7F6C">
        <w:rPr>
          <w:rFonts w:ascii="Calibri" w:hAnsi="Calibri"/>
          <w:szCs w:val="28"/>
        </w:rPr>
        <w:t xml:space="preserve"> </w:t>
      </w:r>
      <w:bookmarkEnd w:id="7"/>
    </w:p>
    <w:p w14:paraId="55BD417D" w14:textId="77777777" w:rsidR="00503EF3" w:rsidRPr="003F7F6C" w:rsidRDefault="005B2E89" w:rsidP="00E91275">
      <w:pPr>
        <w:pStyle w:val="NormalWeb"/>
        <w:numPr>
          <w:ilvl w:val="0"/>
          <w:numId w:val="28"/>
        </w:numPr>
        <w:shd w:val="clear" w:color="auto" w:fill="FFFFFF"/>
        <w:tabs>
          <w:tab w:val="left" w:pos="426"/>
        </w:tabs>
        <w:spacing w:before="0" w:beforeAutospacing="0" w:after="240" w:afterAutospacing="0"/>
        <w:ind w:left="0" w:firstLine="0"/>
        <w:rPr>
          <w:rFonts w:ascii="Calibri" w:hAnsi="Calibri" w:cs="Calibri"/>
          <w:sz w:val="20"/>
          <w:szCs w:val="20"/>
        </w:rPr>
      </w:pPr>
      <w:r w:rsidRPr="003F7F6C">
        <w:rPr>
          <w:rFonts w:ascii="Calibri" w:hAnsi="Calibri" w:cs="Calibri"/>
          <w:sz w:val="20"/>
          <w:szCs w:val="20"/>
        </w:rPr>
        <w:t xml:space="preserve">The objective of the proposed project is to </w:t>
      </w:r>
      <w:r w:rsidRPr="003F7F6C">
        <w:rPr>
          <w:rFonts w:ascii="Calibri" w:hAnsi="Calibri" w:cs="Calibri"/>
          <w:i/>
          <w:sz w:val="20"/>
          <w:szCs w:val="20"/>
        </w:rPr>
        <w:t xml:space="preserve">generate multiple biodiversity and land degradation benefits by developing a system of policy, economic, financial and technical instruments and governance mechanisms for Environmental Land Use Planning to mainstream socioeconomic and environmental evaluation of ecosystem goods and services in decision-making </w:t>
      </w:r>
      <w:r w:rsidR="007C6922" w:rsidRPr="003F7F6C">
        <w:rPr>
          <w:rFonts w:ascii="Calibri" w:hAnsi="Calibri" w:cs="Calibri"/>
          <w:i/>
          <w:sz w:val="20"/>
          <w:szCs w:val="20"/>
        </w:rPr>
        <w:t xml:space="preserve">in </w:t>
      </w:r>
      <w:r w:rsidRPr="003F7F6C">
        <w:rPr>
          <w:rFonts w:ascii="Calibri" w:hAnsi="Calibri" w:cs="Calibri"/>
          <w:i/>
          <w:sz w:val="20"/>
          <w:szCs w:val="20"/>
        </w:rPr>
        <w:t>different government levels and sectors</w:t>
      </w:r>
      <w:r w:rsidRPr="003F7F6C">
        <w:rPr>
          <w:rFonts w:ascii="Calibri" w:hAnsi="Calibri" w:cs="Calibri"/>
          <w:sz w:val="20"/>
          <w:szCs w:val="20"/>
        </w:rPr>
        <w:t>.</w:t>
      </w:r>
      <w:r w:rsidR="007C6922" w:rsidRPr="003F7F6C">
        <w:rPr>
          <w:rFonts w:ascii="Calibri" w:eastAsia="Times New Roman" w:hAnsi="Calibri" w:cs="Calibri"/>
          <w:sz w:val="20"/>
          <w:szCs w:val="20"/>
          <w:lang w:eastAsia="es-ES_tradnl"/>
        </w:rPr>
        <w:t xml:space="preserve"> </w:t>
      </w:r>
      <w:r w:rsidRPr="003F7F6C">
        <w:rPr>
          <w:rFonts w:ascii="Calibri" w:eastAsia="Times New Roman" w:hAnsi="Calibri" w:cs="Calibri"/>
          <w:sz w:val="20"/>
          <w:szCs w:val="20"/>
          <w:lang w:eastAsia="es-ES_tradnl"/>
        </w:rPr>
        <w:t xml:space="preserve">The project will reduce biodiversity loss and land degradation </w:t>
      </w:r>
      <w:r w:rsidR="007C6922" w:rsidRPr="003F7F6C">
        <w:rPr>
          <w:rFonts w:ascii="Calibri" w:eastAsia="Times New Roman" w:hAnsi="Calibri" w:cs="Calibri"/>
          <w:sz w:val="20"/>
          <w:szCs w:val="20"/>
          <w:lang w:eastAsia="es-ES_tradnl"/>
        </w:rPr>
        <w:t>by integrating</w:t>
      </w:r>
      <w:r w:rsidRPr="003F7F6C">
        <w:rPr>
          <w:rFonts w:ascii="Calibri" w:eastAsia="Times New Roman" w:hAnsi="Calibri" w:cs="Calibri"/>
          <w:sz w:val="20"/>
          <w:szCs w:val="20"/>
          <w:lang w:eastAsia="es-ES_tradnl"/>
        </w:rPr>
        <w:t xml:space="preserve"> biodiversity (BD) conservation and sustainable land management (SLM) approaches into the production practices of the main sectors driving these processes, namely the agriculture and livestock sector and the emerging threats from mining and infrastructure expansion in peri-urban areas in decision-making, planning and sector finance allocation</w:t>
      </w:r>
      <w:r w:rsidR="007C6922" w:rsidRPr="003F7F6C">
        <w:rPr>
          <w:rFonts w:ascii="Calibri" w:eastAsia="Times New Roman" w:hAnsi="Calibri" w:cs="Calibri"/>
          <w:sz w:val="20"/>
          <w:szCs w:val="20"/>
          <w:lang w:eastAsia="es-ES_tradnl"/>
        </w:rPr>
        <w:t>s</w:t>
      </w:r>
      <w:r w:rsidRPr="003F7F6C">
        <w:rPr>
          <w:rFonts w:ascii="Calibri" w:eastAsia="Times New Roman" w:hAnsi="Calibri" w:cs="Calibri"/>
          <w:sz w:val="20"/>
          <w:szCs w:val="20"/>
          <w:lang w:eastAsia="es-ES_tradnl"/>
        </w:rPr>
        <w:t xml:space="preserve"> at different government levels</w:t>
      </w:r>
      <w:r w:rsidRPr="003F7F6C">
        <w:rPr>
          <w:rFonts w:ascii="Calibri" w:eastAsia="Times New Roman" w:hAnsi="Calibri" w:cs="Calibri"/>
          <w:b/>
          <w:bCs/>
          <w:sz w:val="20"/>
          <w:szCs w:val="20"/>
          <w:lang w:eastAsia="es-ES_tradnl"/>
        </w:rPr>
        <w:t xml:space="preserve">. </w:t>
      </w:r>
    </w:p>
    <w:p w14:paraId="58862EBA" w14:textId="1A15A19F" w:rsidR="00503EF3" w:rsidRPr="003F7F6C" w:rsidRDefault="005B2E89" w:rsidP="00E91275">
      <w:pPr>
        <w:pStyle w:val="NormalWeb"/>
        <w:numPr>
          <w:ilvl w:val="0"/>
          <w:numId w:val="28"/>
        </w:numPr>
        <w:shd w:val="clear" w:color="auto" w:fill="FFFFFF"/>
        <w:tabs>
          <w:tab w:val="left" w:pos="426"/>
        </w:tabs>
        <w:spacing w:before="0" w:beforeAutospacing="0" w:after="240" w:afterAutospacing="0"/>
        <w:ind w:left="0" w:firstLine="0"/>
        <w:rPr>
          <w:rFonts w:ascii="Calibri" w:hAnsi="Calibri" w:cs="Calibri"/>
          <w:sz w:val="20"/>
          <w:szCs w:val="20"/>
        </w:rPr>
      </w:pPr>
      <w:r w:rsidRPr="003F7F6C">
        <w:rPr>
          <w:rFonts w:ascii="Calibri" w:eastAsia="Times New Roman" w:hAnsi="Calibri" w:cs="Calibri"/>
          <w:sz w:val="20"/>
          <w:szCs w:val="20"/>
          <w:lang w:eastAsia="es-ES_tradnl"/>
        </w:rPr>
        <w:t>The intervention strategy to implement the ELUP approach takes into account the country’s federal structure and the</w:t>
      </w:r>
      <w:r w:rsidR="00244E56" w:rsidRPr="003F7F6C">
        <w:rPr>
          <w:rFonts w:ascii="Calibri" w:eastAsia="Times New Roman" w:hAnsi="Calibri" w:cs="Calibri"/>
          <w:sz w:val="20"/>
          <w:szCs w:val="20"/>
          <w:lang w:eastAsia="es-ES_tradnl"/>
        </w:rPr>
        <w:t xml:space="preserve"> prerogatives </w:t>
      </w:r>
      <w:r w:rsidRPr="003F7F6C">
        <w:rPr>
          <w:rFonts w:ascii="Calibri" w:eastAsia="Times New Roman" w:hAnsi="Calibri" w:cs="Calibri"/>
          <w:sz w:val="20"/>
          <w:szCs w:val="20"/>
          <w:lang w:eastAsia="es-ES_tradnl"/>
        </w:rPr>
        <w:t xml:space="preserve">of the national and provincial governments that own the natural resources found in their land. It also </w:t>
      </w:r>
      <w:r w:rsidR="00F9009A" w:rsidRPr="003F7F6C">
        <w:rPr>
          <w:rFonts w:ascii="Calibri" w:eastAsia="Times New Roman" w:hAnsi="Calibri" w:cs="Calibri"/>
          <w:sz w:val="20"/>
          <w:szCs w:val="20"/>
          <w:lang w:eastAsia="es-ES_tradnl"/>
        </w:rPr>
        <w:t>recognizes</w:t>
      </w:r>
      <w:r w:rsidRPr="003F7F6C">
        <w:rPr>
          <w:rFonts w:ascii="Calibri" w:eastAsia="Times New Roman" w:hAnsi="Calibri" w:cs="Calibri"/>
          <w:sz w:val="20"/>
          <w:szCs w:val="20"/>
          <w:lang w:eastAsia="es-ES_tradnl"/>
        </w:rPr>
        <w:t xml:space="preserve"> the need to work at multiple levels to address barriers </w:t>
      </w:r>
      <w:r w:rsidR="00F9009A" w:rsidRPr="003F7F6C">
        <w:rPr>
          <w:rFonts w:ascii="Calibri" w:eastAsia="Times New Roman" w:hAnsi="Calibri" w:cs="Calibri"/>
          <w:sz w:val="20"/>
          <w:szCs w:val="20"/>
          <w:lang w:eastAsia="es-ES_tradnl"/>
        </w:rPr>
        <w:t xml:space="preserve">that stem from </w:t>
      </w:r>
      <w:r w:rsidRPr="003F7F6C">
        <w:rPr>
          <w:rFonts w:ascii="Calibri" w:eastAsia="Times New Roman" w:hAnsi="Calibri" w:cs="Calibri"/>
          <w:sz w:val="20"/>
          <w:szCs w:val="20"/>
          <w:lang w:eastAsia="es-ES_tradnl"/>
        </w:rPr>
        <w:t>beyond national boundaries such as market limitations; and the need to test at local levels instruments and tools that encompass a set of different ecoregions and land use modalities. To optimize the generation of global environmental benefits (GEB) the project will focus principally on the targeted sectors driving biodiversity conservation loss and land degradation. The guidance, instruments and approaches to define and enforce production practices in the different land use zones to be defined in ELUP will be tailored to these sectors.</w:t>
      </w:r>
    </w:p>
    <w:p w14:paraId="2EBB7900" w14:textId="77777777" w:rsidR="00503EF3" w:rsidRPr="003F7F6C" w:rsidRDefault="005B2E89" w:rsidP="00E91275">
      <w:pPr>
        <w:pStyle w:val="NormalWeb"/>
        <w:numPr>
          <w:ilvl w:val="0"/>
          <w:numId w:val="28"/>
        </w:numPr>
        <w:shd w:val="clear" w:color="auto" w:fill="FFFFFF"/>
        <w:tabs>
          <w:tab w:val="left" w:pos="426"/>
        </w:tabs>
        <w:spacing w:before="0" w:beforeAutospacing="0" w:after="240" w:afterAutospacing="0"/>
        <w:ind w:left="0" w:firstLine="0"/>
        <w:rPr>
          <w:rFonts w:ascii="Calibri" w:hAnsi="Calibri" w:cs="Calibri"/>
          <w:sz w:val="20"/>
          <w:szCs w:val="20"/>
        </w:rPr>
      </w:pPr>
      <w:r w:rsidRPr="003F7F6C">
        <w:rPr>
          <w:rFonts w:ascii="Calibri" w:eastAsia="Times New Roman" w:hAnsi="Calibri" w:cs="Calibri"/>
          <w:sz w:val="20"/>
          <w:szCs w:val="20"/>
          <w:lang w:eastAsia="es-ES_tradnl"/>
        </w:rPr>
        <w:t xml:space="preserve">In addition, ground level work to pilot these approaches will focus on ecoregions recognized for </w:t>
      </w:r>
      <w:r w:rsidR="00BA7899" w:rsidRPr="003F7F6C">
        <w:rPr>
          <w:rFonts w:ascii="Calibri" w:eastAsia="Times New Roman" w:hAnsi="Calibri" w:cs="Calibri"/>
          <w:sz w:val="20"/>
          <w:szCs w:val="20"/>
          <w:lang w:eastAsia="es-ES_tradnl"/>
        </w:rPr>
        <w:t xml:space="preserve">their </w:t>
      </w:r>
      <w:r w:rsidRPr="003F7F6C">
        <w:rPr>
          <w:rFonts w:ascii="Calibri" w:eastAsia="Times New Roman" w:hAnsi="Calibri" w:cs="Calibri"/>
          <w:sz w:val="20"/>
          <w:szCs w:val="20"/>
          <w:lang w:eastAsia="es-ES_tradnl"/>
        </w:rPr>
        <w:t>global</w:t>
      </w:r>
      <w:r w:rsidR="00BA7899" w:rsidRPr="003F7F6C">
        <w:rPr>
          <w:rFonts w:ascii="Calibri" w:eastAsia="Times New Roman" w:hAnsi="Calibri" w:cs="Calibri"/>
          <w:sz w:val="20"/>
          <w:szCs w:val="20"/>
          <w:lang w:eastAsia="es-ES_tradnl"/>
        </w:rPr>
        <w:t>ly</w:t>
      </w:r>
      <w:r w:rsidRPr="003F7F6C">
        <w:rPr>
          <w:rFonts w:ascii="Calibri" w:eastAsia="Times New Roman" w:hAnsi="Calibri" w:cs="Calibri"/>
          <w:sz w:val="20"/>
          <w:szCs w:val="20"/>
          <w:lang w:eastAsia="es-ES_tradnl"/>
        </w:rPr>
        <w:t xml:space="preserve"> significant biodiversity or priorit</w:t>
      </w:r>
      <w:r w:rsidR="00BA7899" w:rsidRPr="003F7F6C">
        <w:rPr>
          <w:rFonts w:ascii="Calibri" w:eastAsia="Times New Roman" w:hAnsi="Calibri" w:cs="Calibri"/>
          <w:sz w:val="20"/>
          <w:szCs w:val="20"/>
          <w:lang w:eastAsia="es-ES_tradnl"/>
        </w:rPr>
        <w:t>ized</w:t>
      </w:r>
      <w:r w:rsidRPr="003F7F6C">
        <w:rPr>
          <w:rFonts w:ascii="Calibri" w:eastAsia="Times New Roman" w:hAnsi="Calibri" w:cs="Calibri"/>
          <w:sz w:val="20"/>
          <w:szCs w:val="20"/>
          <w:lang w:eastAsia="es-ES_tradnl"/>
        </w:rPr>
        <w:t xml:space="preserve"> in national plans to reduce land degradation and desertification. These are the High Andes, Puna, Yungas Forest, Patagonian Steppe, Pampas Lower Parana river ecoregion (Parana Delta &amp; Flooded Savannas), Low Monte &amp; High Monte. It will be undertaken in three pilot </w:t>
      </w:r>
      <w:r w:rsidR="00BA7899" w:rsidRPr="003F7F6C">
        <w:rPr>
          <w:rFonts w:ascii="Calibri" w:eastAsia="Times New Roman" w:hAnsi="Calibri" w:cs="Calibri"/>
          <w:sz w:val="20"/>
          <w:szCs w:val="20"/>
          <w:lang w:eastAsia="es-ES_tradnl"/>
        </w:rPr>
        <w:t>p</w:t>
      </w:r>
      <w:r w:rsidRPr="003F7F6C">
        <w:rPr>
          <w:rFonts w:ascii="Calibri" w:eastAsia="Times New Roman" w:hAnsi="Calibri" w:cs="Calibri"/>
          <w:sz w:val="20"/>
          <w:szCs w:val="20"/>
          <w:lang w:eastAsia="es-ES_tradnl"/>
        </w:rPr>
        <w:t>rovinces, namely Buenos Aires, Jujuy, and Mendoza</w:t>
      </w:r>
      <w:r w:rsidRPr="003F7F6C">
        <w:rPr>
          <w:rStyle w:val="FootnoteReference"/>
          <w:rFonts w:ascii="Calibri" w:eastAsia="Times New Roman" w:hAnsi="Calibri" w:cs="Calibri"/>
          <w:sz w:val="20"/>
          <w:szCs w:val="20"/>
          <w:lang w:eastAsia="es-ES_tradnl"/>
        </w:rPr>
        <w:footnoteReference w:id="17"/>
      </w:r>
      <w:r w:rsidRPr="003F7F6C">
        <w:rPr>
          <w:rFonts w:ascii="Calibri" w:eastAsia="Times New Roman" w:hAnsi="Calibri" w:cs="Calibri"/>
          <w:sz w:val="20"/>
          <w:szCs w:val="20"/>
          <w:lang w:eastAsia="es-ES_tradnl"/>
        </w:rPr>
        <w:t xml:space="preserve">. They were selected to represent the main challenges from the three sectors; different levels of advances in regulatory framework or on the ground experiences with ELUP-related instruments; and the presence of the target ecoregions. </w:t>
      </w:r>
    </w:p>
    <w:p w14:paraId="691DD043" w14:textId="77777777" w:rsidR="005B2E89" w:rsidRPr="003F7F6C" w:rsidRDefault="005B2E89" w:rsidP="00E91275">
      <w:pPr>
        <w:pStyle w:val="NormalWeb"/>
        <w:numPr>
          <w:ilvl w:val="0"/>
          <w:numId w:val="28"/>
        </w:numPr>
        <w:shd w:val="clear" w:color="auto" w:fill="FFFFFF"/>
        <w:tabs>
          <w:tab w:val="left" w:pos="426"/>
        </w:tabs>
        <w:spacing w:before="0" w:beforeAutospacing="0" w:after="240" w:afterAutospacing="0"/>
        <w:ind w:left="0" w:firstLine="0"/>
        <w:rPr>
          <w:rFonts w:ascii="Calibri" w:hAnsi="Calibri" w:cs="Calibri"/>
          <w:sz w:val="20"/>
          <w:szCs w:val="20"/>
        </w:rPr>
      </w:pPr>
      <w:r w:rsidRPr="003F7F6C">
        <w:rPr>
          <w:rFonts w:ascii="Calibri" w:hAnsi="Calibri" w:cs="Calibri"/>
          <w:bCs/>
          <w:sz w:val="20"/>
          <w:szCs w:val="20"/>
        </w:rPr>
        <w:t xml:space="preserve">To </w:t>
      </w:r>
      <w:r w:rsidR="00BA7899" w:rsidRPr="003F7F6C">
        <w:rPr>
          <w:rFonts w:ascii="Calibri" w:hAnsi="Calibri" w:cs="Calibri"/>
          <w:bCs/>
          <w:sz w:val="20"/>
          <w:szCs w:val="20"/>
        </w:rPr>
        <w:t xml:space="preserve">implement </w:t>
      </w:r>
      <w:r w:rsidRPr="003F7F6C">
        <w:rPr>
          <w:rFonts w:ascii="Calibri" w:hAnsi="Calibri" w:cs="Calibri"/>
          <w:bCs/>
          <w:sz w:val="20"/>
          <w:szCs w:val="20"/>
        </w:rPr>
        <w:t>these approaches and achieve the stated objective the project has been organized into four outcomes</w:t>
      </w:r>
      <w:r w:rsidR="003A7C0B" w:rsidRPr="003F7F6C">
        <w:rPr>
          <w:rFonts w:ascii="Calibri" w:hAnsi="Calibri" w:cs="Calibri"/>
          <w:bCs/>
          <w:sz w:val="20"/>
          <w:szCs w:val="20"/>
        </w:rPr>
        <w:t xml:space="preserve"> (see Figure 1 – Theory of Change)</w:t>
      </w:r>
      <w:r w:rsidRPr="003F7F6C">
        <w:rPr>
          <w:rFonts w:ascii="Calibri" w:hAnsi="Calibri" w:cs="Calibri"/>
          <w:bCs/>
          <w:sz w:val="20"/>
          <w:szCs w:val="20"/>
        </w:rPr>
        <w:t>:</w:t>
      </w:r>
    </w:p>
    <w:p w14:paraId="37CB7D52" w14:textId="77777777" w:rsidR="005B2E89" w:rsidRPr="003F7F6C" w:rsidRDefault="005B2E89" w:rsidP="005B2E89">
      <w:pPr>
        <w:pStyle w:val="NormalWeb"/>
        <w:shd w:val="clear" w:color="auto" w:fill="FFFFFF"/>
        <w:spacing w:before="0" w:beforeAutospacing="0" w:after="120" w:afterAutospacing="0"/>
        <w:ind w:left="709"/>
        <w:rPr>
          <w:rFonts w:ascii="Calibri" w:hAnsi="Calibri" w:cs="Calibri"/>
          <w:sz w:val="20"/>
          <w:szCs w:val="20"/>
        </w:rPr>
      </w:pPr>
      <w:r w:rsidRPr="003F7F6C">
        <w:rPr>
          <w:rFonts w:ascii="Calibri" w:hAnsi="Calibri" w:cs="Calibri"/>
          <w:noProof/>
          <w:color w:val="000000"/>
          <w:sz w:val="20"/>
          <w:szCs w:val="20"/>
        </w:rPr>
        <w:t xml:space="preserve">1. </w:t>
      </w:r>
      <w:r w:rsidRPr="003F7F6C">
        <w:rPr>
          <w:rFonts w:ascii="Calibri" w:hAnsi="Calibri" w:cs="Calibri"/>
          <w:bCs/>
          <w:sz w:val="20"/>
          <w:szCs w:val="20"/>
        </w:rPr>
        <w:t xml:space="preserve">Federal </w:t>
      </w:r>
      <w:r w:rsidRPr="003F7F6C">
        <w:rPr>
          <w:rFonts w:ascii="Calibri" w:hAnsi="Calibri" w:cs="Calibri"/>
          <w:sz w:val="20"/>
          <w:szCs w:val="20"/>
        </w:rPr>
        <w:t>enabling framework and strategies to reinforce ELUP, and underpin implementation in priority ecosystems and habitats to reduc</w:t>
      </w:r>
      <w:r w:rsidR="00C42DD7" w:rsidRPr="003F7F6C">
        <w:rPr>
          <w:rFonts w:ascii="Calibri" w:hAnsi="Calibri" w:cs="Calibri"/>
          <w:sz w:val="20"/>
          <w:szCs w:val="20"/>
        </w:rPr>
        <w:t>e</w:t>
      </w:r>
      <w:r w:rsidRPr="003F7F6C">
        <w:rPr>
          <w:rFonts w:ascii="Calibri" w:hAnsi="Calibri" w:cs="Calibri"/>
          <w:sz w:val="20"/>
          <w:szCs w:val="20"/>
        </w:rPr>
        <w:t xml:space="preserve"> pressure from key production sectors </w:t>
      </w:r>
      <w:r w:rsidRPr="003F7F6C">
        <w:rPr>
          <w:rFonts w:ascii="Calibri" w:eastAsia="Times New Roman" w:hAnsi="Calibri" w:cs="Calibri"/>
          <w:sz w:val="20"/>
          <w:szCs w:val="20"/>
          <w:lang w:eastAsia="es-ES_tradnl"/>
        </w:rPr>
        <w:t>(</w:t>
      </w:r>
      <w:r w:rsidRPr="003F7F6C">
        <w:rPr>
          <w:rFonts w:ascii="Calibri" w:eastAsia="Times New Roman" w:hAnsi="Calibri" w:cs="Calibri"/>
          <w:bCs/>
          <w:sz w:val="20"/>
          <w:szCs w:val="20"/>
          <w:lang w:eastAsia="es-ES_tradnl"/>
        </w:rPr>
        <w:t>target sectors</w:t>
      </w:r>
      <w:r w:rsidRPr="003F7F6C">
        <w:rPr>
          <w:rFonts w:ascii="Calibri" w:eastAsia="Times New Roman" w:hAnsi="Calibri" w:cs="Calibri"/>
          <w:sz w:val="20"/>
          <w:szCs w:val="20"/>
          <w:lang w:eastAsia="es-ES_tradnl"/>
        </w:rPr>
        <w:t>: agriculture &amp; livestock; mining</w:t>
      </w:r>
      <w:r w:rsidR="00C42DD7" w:rsidRPr="003F7F6C">
        <w:rPr>
          <w:rFonts w:ascii="Calibri" w:eastAsia="Times New Roman" w:hAnsi="Calibri" w:cs="Calibri"/>
          <w:sz w:val="20"/>
          <w:szCs w:val="20"/>
          <w:lang w:eastAsia="es-ES_tradnl"/>
        </w:rPr>
        <w:t>;</w:t>
      </w:r>
      <w:r w:rsidRPr="003F7F6C">
        <w:rPr>
          <w:rFonts w:ascii="Calibri" w:eastAsia="Times New Roman" w:hAnsi="Calibri" w:cs="Calibri"/>
          <w:sz w:val="20"/>
          <w:szCs w:val="20"/>
          <w:lang w:eastAsia="es-ES_tradnl"/>
        </w:rPr>
        <w:t xml:space="preserve"> and peri-urban infrastructure</w:t>
      </w:r>
    </w:p>
    <w:p w14:paraId="14938A9C" w14:textId="77777777" w:rsidR="005B2E89" w:rsidRPr="003F7F6C" w:rsidRDefault="005B2E89" w:rsidP="005B2E89">
      <w:pPr>
        <w:pStyle w:val="NormalWeb"/>
        <w:shd w:val="clear" w:color="auto" w:fill="FFFFFF"/>
        <w:spacing w:before="0" w:beforeAutospacing="0" w:after="120" w:afterAutospacing="0"/>
        <w:ind w:left="709"/>
        <w:rPr>
          <w:rFonts w:ascii="Calibri" w:hAnsi="Calibri" w:cs="Calibri"/>
          <w:sz w:val="20"/>
          <w:szCs w:val="20"/>
        </w:rPr>
      </w:pPr>
      <w:r w:rsidRPr="003F7F6C">
        <w:rPr>
          <w:rFonts w:ascii="Calibri" w:hAnsi="Calibri" w:cs="Calibri"/>
          <w:sz w:val="20"/>
          <w:szCs w:val="20"/>
        </w:rPr>
        <w:t xml:space="preserve">2. Application of ELUP procedures and instruments in pilot </w:t>
      </w:r>
      <w:r w:rsidR="00C42DD7" w:rsidRPr="003F7F6C">
        <w:rPr>
          <w:rFonts w:ascii="Calibri" w:hAnsi="Calibri" w:cs="Calibri"/>
          <w:sz w:val="20"/>
          <w:szCs w:val="20"/>
        </w:rPr>
        <w:t>p</w:t>
      </w:r>
      <w:r w:rsidRPr="003F7F6C">
        <w:rPr>
          <w:rFonts w:ascii="Calibri" w:hAnsi="Calibri" w:cs="Calibri"/>
          <w:sz w:val="20"/>
          <w:szCs w:val="20"/>
        </w:rPr>
        <w:t>rovinces with targeted ecoregions and production sector land uses;</w:t>
      </w:r>
    </w:p>
    <w:p w14:paraId="7B3931A6" w14:textId="77777777" w:rsidR="005B2E89" w:rsidRPr="003F7F6C" w:rsidRDefault="005B2E89" w:rsidP="005B2E89">
      <w:pPr>
        <w:pStyle w:val="NormalWeb"/>
        <w:shd w:val="clear" w:color="auto" w:fill="FFFFFF"/>
        <w:spacing w:before="0" w:beforeAutospacing="0" w:after="120" w:afterAutospacing="0"/>
        <w:ind w:left="709"/>
        <w:rPr>
          <w:rFonts w:ascii="Calibri" w:hAnsi="Calibri" w:cs="Calibri"/>
          <w:sz w:val="20"/>
          <w:szCs w:val="20"/>
        </w:rPr>
      </w:pPr>
      <w:r w:rsidRPr="003F7F6C">
        <w:rPr>
          <w:rFonts w:ascii="Calibri" w:hAnsi="Calibri" w:cs="Calibri"/>
          <w:sz w:val="20"/>
          <w:szCs w:val="20"/>
        </w:rPr>
        <w:t>3. Replicability framework for ELUP uptake in all Argentine provinces; and</w:t>
      </w:r>
    </w:p>
    <w:p w14:paraId="5C32A93C" w14:textId="77777777" w:rsidR="005B2E89" w:rsidRPr="003F7F6C" w:rsidRDefault="005B2E89" w:rsidP="005B2E89">
      <w:pPr>
        <w:pStyle w:val="NormalWeb"/>
        <w:shd w:val="clear" w:color="auto" w:fill="FFFFFF"/>
        <w:spacing w:before="0" w:beforeAutospacing="0" w:after="120" w:afterAutospacing="0"/>
        <w:ind w:left="709"/>
        <w:rPr>
          <w:rFonts w:ascii="Calibri" w:eastAsia="Times New Roman" w:hAnsi="Calibri" w:cs="Calibri"/>
          <w:sz w:val="20"/>
          <w:szCs w:val="20"/>
        </w:rPr>
      </w:pPr>
      <w:r w:rsidRPr="003F7F6C">
        <w:rPr>
          <w:rFonts w:ascii="Calibri" w:hAnsi="Calibri" w:cs="Calibri"/>
          <w:color w:val="000000"/>
          <w:sz w:val="20"/>
          <w:szCs w:val="20"/>
        </w:rPr>
        <w:t xml:space="preserve">4. Dissemination of </w:t>
      </w:r>
      <w:r w:rsidR="00DE1EFD" w:rsidRPr="003F7F6C">
        <w:rPr>
          <w:rFonts w:ascii="Calibri" w:hAnsi="Calibri" w:cs="Calibri"/>
          <w:color w:val="000000"/>
          <w:sz w:val="20"/>
          <w:szCs w:val="20"/>
        </w:rPr>
        <w:t>l</w:t>
      </w:r>
      <w:r w:rsidRPr="003F7F6C">
        <w:rPr>
          <w:rFonts w:ascii="Calibri" w:hAnsi="Calibri" w:cs="Calibri"/>
          <w:color w:val="000000"/>
          <w:sz w:val="20"/>
          <w:szCs w:val="20"/>
        </w:rPr>
        <w:t>essons</w:t>
      </w:r>
      <w:r w:rsidR="00DE1EFD" w:rsidRPr="003F7F6C">
        <w:rPr>
          <w:rFonts w:ascii="Calibri" w:hAnsi="Calibri" w:cs="Calibri"/>
          <w:color w:val="000000"/>
          <w:sz w:val="20"/>
          <w:szCs w:val="20"/>
        </w:rPr>
        <w:t xml:space="preserve"> </w:t>
      </w:r>
      <w:r w:rsidRPr="003F7F6C">
        <w:rPr>
          <w:rFonts w:ascii="Calibri" w:hAnsi="Calibri" w:cs="Calibri"/>
          <w:color w:val="000000"/>
          <w:sz w:val="20"/>
          <w:szCs w:val="20"/>
        </w:rPr>
        <w:t xml:space="preserve">learned, monitoring &amp; </w:t>
      </w:r>
      <w:r w:rsidRPr="003F7F6C">
        <w:rPr>
          <w:rFonts w:ascii="Calibri" w:hAnsi="Calibri" w:cs="Calibri"/>
          <w:sz w:val="20"/>
          <w:szCs w:val="20"/>
        </w:rPr>
        <w:t>e</w:t>
      </w:r>
      <w:r w:rsidRPr="003F7F6C">
        <w:rPr>
          <w:rFonts w:ascii="Calibri" w:hAnsi="Calibri" w:cs="Calibri"/>
          <w:color w:val="000000"/>
          <w:sz w:val="20"/>
          <w:szCs w:val="20"/>
        </w:rPr>
        <w:t>valuation</w:t>
      </w:r>
    </w:p>
    <w:p w14:paraId="1E934D6C" w14:textId="77777777" w:rsidR="005B2E89" w:rsidRPr="003F7F6C" w:rsidRDefault="005B2E89" w:rsidP="005B2E89">
      <w:pPr>
        <w:spacing w:before="100" w:beforeAutospacing="1" w:after="100" w:afterAutospacing="1"/>
        <w:rPr>
          <w:rFonts w:cs="Calibri"/>
          <w:b/>
          <w:bCs/>
          <w:szCs w:val="20"/>
        </w:rPr>
      </w:pPr>
    </w:p>
    <w:p w14:paraId="140DEDEC" w14:textId="77777777" w:rsidR="00C84CD9" w:rsidRPr="003F7F6C" w:rsidRDefault="005B2E89" w:rsidP="00E91275">
      <w:pPr>
        <w:numPr>
          <w:ilvl w:val="0"/>
          <w:numId w:val="28"/>
        </w:numPr>
        <w:tabs>
          <w:tab w:val="left" w:pos="426"/>
        </w:tabs>
        <w:spacing w:after="240"/>
        <w:ind w:left="0" w:firstLine="0"/>
        <w:rPr>
          <w:rFonts w:eastAsia="Times New Roman" w:cs="Calibri"/>
          <w:szCs w:val="20"/>
          <w:lang w:eastAsia="es-ES_tradnl"/>
        </w:rPr>
      </w:pPr>
      <w:r w:rsidRPr="003F7F6C">
        <w:rPr>
          <w:rFonts w:cs="Calibri"/>
          <w:b/>
          <w:bCs/>
          <w:szCs w:val="20"/>
        </w:rPr>
        <w:t xml:space="preserve">Project </w:t>
      </w:r>
      <w:r w:rsidRPr="003F7F6C">
        <w:rPr>
          <w:rFonts w:eastAsia="Times New Roman" w:cs="Calibri"/>
          <w:b/>
          <w:bCs/>
          <w:szCs w:val="20"/>
          <w:lang w:eastAsia="es-ES_tradnl"/>
        </w:rPr>
        <w:t>Outcome 1</w:t>
      </w:r>
      <w:r w:rsidRPr="003F7F6C">
        <w:rPr>
          <w:rFonts w:cs="Calibri"/>
          <w:bCs/>
          <w:szCs w:val="20"/>
        </w:rPr>
        <w:t xml:space="preserve"> </w:t>
      </w:r>
      <w:r w:rsidRPr="003F7F6C">
        <w:rPr>
          <w:rFonts w:eastAsia="Times New Roman" w:cs="Calibri"/>
          <w:szCs w:val="20"/>
          <w:lang w:eastAsia="es-ES_tradnl"/>
        </w:rPr>
        <w:t xml:space="preserve">will work at the Federal level and will develop </w:t>
      </w:r>
      <w:r w:rsidRPr="003F7F6C">
        <w:rPr>
          <w:rFonts w:cs="Calibri"/>
          <w:szCs w:val="20"/>
        </w:rPr>
        <w:t xml:space="preserve">a </w:t>
      </w:r>
      <w:r w:rsidRPr="003F7F6C">
        <w:rPr>
          <w:rFonts w:eastAsia="Times New Roman" w:cs="Calibri"/>
          <w:szCs w:val="20"/>
          <w:lang w:eastAsia="es-ES_tradnl"/>
        </w:rPr>
        <w:t>policy framework, strategies and regulations to promote and regulate ELUP</w:t>
      </w:r>
      <w:r w:rsidRPr="003F7F6C">
        <w:rPr>
          <w:rFonts w:cs="Calibri"/>
          <w:szCs w:val="20"/>
        </w:rPr>
        <w:t xml:space="preserve">. </w:t>
      </w:r>
      <w:r w:rsidRPr="003F7F6C">
        <w:rPr>
          <w:rFonts w:eastAsia="Times New Roman" w:cs="Calibri"/>
          <w:szCs w:val="20"/>
          <w:lang w:eastAsia="es-ES_tradnl"/>
        </w:rPr>
        <w:t>Working in close coordination with results from Outcomes 2 and 3 below, through Outcome 1 the project will support the national framework for procedures</w:t>
      </w:r>
      <w:r w:rsidR="00DE1EFD" w:rsidRPr="003F7F6C">
        <w:rPr>
          <w:rFonts w:eastAsia="Times New Roman" w:cs="Calibri"/>
          <w:szCs w:val="20"/>
          <w:lang w:eastAsia="es-ES_tradnl"/>
        </w:rPr>
        <w:t>,</w:t>
      </w:r>
      <w:r w:rsidRPr="003F7F6C">
        <w:rPr>
          <w:rFonts w:eastAsia="Times New Roman" w:cs="Calibri"/>
          <w:szCs w:val="20"/>
          <w:lang w:eastAsia="es-ES_tradnl"/>
        </w:rPr>
        <w:t xml:space="preserve"> instruments and tools to be used at different levels to define and implement ELUP. This will include achieving a set of agreements and commitments between the national and provincial governments to reinforce planning and ELUP; mainstreaming new decision-making tools into sectoral planning and finance allocation such as the economic appraisal of ecosystem goods and services</w:t>
      </w:r>
      <w:r w:rsidR="005F2D2C" w:rsidRPr="003F7F6C">
        <w:rPr>
          <w:rFonts w:eastAsia="Times New Roman" w:cs="Calibri"/>
          <w:szCs w:val="20"/>
          <w:lang w:eastAsia="es-ES_tradnl"/>
        </w:rPr>
        <w:t>,</w:t>
      </w:r>
      <w:r w:rsidRPr="003F7F6C">
        <w:rPr>
          <w:rFonts w:eastAsia="Times New Roman" w:cs="Calibri"/>
          <w:szCs w:val="20"/>
          <w:lang w:eastAsia="es-ES_tradnl"/>
        </w:rPr>
        <w:t xml:space="preserve"> including land degradation and desertification; and promoting inter-sectoral and inter- jurisdictional coordination to implement plans, programs and projects related to environmental planning and ELUP.  </w:t>
      </w:r>
    </w:p>
    <w:p w14:paraId="756D275C" w14:textId="77777777" w:rsidR="00C84CD9" w:rsidRPr="003F7F6C" w:rsidRDefault="005B2E89" w:rsidP="00E91275">
      <w:pPr>
        <w:numPr>
          <w:ilvl w:val="0"/>
          <w:numId w:val="28"/>
        </w:numPr>
        <w:tabs>
          <w:tab w:val="left" w:pos="426"/>
        </w:tabs>
        <w:spacing w:after="240"/>
        <w:ind w:left="0" w:firstLine="0"/>
        <w:rPr>
          <w:rFonts w:eastAsia="Times New Roman" w:cs="Calibri"/>
          <w:szCs w:val="20"/>
          <w:lang w:eastAsia="es-ES_tradnl"/>
        </w:rPr>
      </w:pPr>
      <w:r w:rsidRPr="003F7F6C">
        <w:rPr>
          <w:rFonts w:cs="Calibri"/>
          <w:szCs w:val="20"/>
        </w:rPr>
        <w:t xml:space="preserve">Implementation of this outcome will be undertaken through several approaches. </w:t>
      </w:r>
      <w:r w:rsidRPr="003F7F6C">
        <w:rPr>
          <w:rFonts w:eastAsia="Times New Roman" w:cs="Calibri"/>
          <w:szCs w:val="20"/>
          <w:lang w:eastAsia="es-ES_tradnl"/>
        </w:rPr>
        <w:t xml:space="preserve">One approach will be to develop a </w:t>
      </w:r>
      <w:r w:rsidRPr="003F7F6C">
        <w:rPr>
          <w:rFonts w:cs="Calibri"/>
          <w:bCs/>
          <w:szCs w:val="20"/>
        </w:rPr>
        <w:t xml:space="preserve">system for analysis of environmental variables and dissemination of environmental information </w:t>
      </w:r>
      <w:r w:rsidRPr="003F7F6C">
        <w:rPr>
          <w:rFonts w:eastAsia="Times New Roman" w:cs="Calibri"/>
          <w:szCs w:val="20"/>
          <w:lang w:eastAsia="es-ES_tradnl"/>
        </w:rPr>
        <w:t xml:space="preserve">in support of the ELUP process.  A second approach will be to define and agree upon ELUP criteria at the Federal level to guide ongoing and future processes in the </w:t>
      </w:r>
      <w:r w:rsidR="005F2D2C" w:rsidRPr="003F7F6C">
        <w:rPr>
          <w:rFonts w:eastAsia="Times New Roman" w:cs="Calibri"/>
          <w:szCs w:val="20"/>
          <w:lang w:eastAsia="es-ES_tradnl"/>
        </w:rPr>
        <w:t>p</w:t>
      </w:r>
      <w:r w:rsidRPr="003F7F6C">
        <w:rPr>
          <w:rFonts w:eastAsia="Times New Roman" w:cs="Calibri"/>
          <w:szCs w:val="20"/>
          <w:lang w:eastAsia="es-ES_tradnl"/>
        </w:rPr>
        <w:t>rovinces and provide the minimal standards that will be regulated through law for ELUP in provinces. A third approach will be to develop and agree</w:t>
      </w:r>
      <w:r w:rsidR="005F2D2C" w:rsidRPr="003F7F6C">
        <w:rPr>
          <w:rFonts w:eastAsia="Times New Roman" w:cs="Calibri"/>
          <w:szCs w:val="20"/>
          <w:lang w:eastAsia="es-ES_tradnl"/>
        </w:rPr>
        <w:t xml:space="preserve"> on</w:t>
      </w:r>
      <w:r w:rsidRPr="003F7F6C">
        <w:rPr>
          <w:rFonts w:eastAsia="Times New Roman" w:cs="Calibri"/>
          <w:szCs w:val="20"/>
          <w:lang w:eastAsia="es-ES_tradnl"/>
        </w:rPr>
        <w:t xml:space="preserve"> criteria and standards for undertaking ELUP</w:t>
      </w:r>
      <w:r w:rsidR="005F2D2C" w:rsidRPr="003F7F6C">
        <w:rPr>
          <w:rFonts w:eastAsia="Times New Roman" w:cs="Calibri"/>
          <w:szCs w:val="20"/>
          <w:lang w:eastAsia="es-ES_tradnl"/>
        </w:rPr>
        <w:t>,</w:t>
      </w:r>
      <w:r w:rsidRPr="003F7F6C">
        <w:rPr>
          <w:rFonts w:eastAsia="Times New Roman" w:cs="Calibri"/>
          <w:szCs w:val="20"/>
          <w:lang w:eastAsia="es-ES_tradnl"/>
        </w:rPr>
        <w:t xml:space="preserve"> incentives</w:t>
      </w:r>
      <w:r w:rsidR="005F2D2C" w:rsidRPr="003F7F6C">
        <w:rPr>
          <w:rFonts w:eastAsia="Times New Roman" w:cs="Calibri"/>
          <w:szCs w:val="20"/>
          <w:lang w:eastAsia="es-ES_tradnl"/>
        </w:rPr>
        <w:t>,</w:t>
      </w:r>
      <w:r w:rsidRPr="003F7F6C">
        <w:rPr>
          <w:rFonts w:eastAsia="Times New Roman" w:cs="Calibri"/>
          <w:szCs w:val="20"/>
          <w:lang w:eastAsia="es-ES_tradnl"/>
        </w:rPr>
        <w:t xml:space="preserve"> and sectoral and economic instruments for implementation and mainstreaming into sector finance. A fourth approach will be to</w:t>
      </w:r>
      <w:r w:rsidRPr="003F7F6C">
        <w:rPr>
          <w:rFonts w:cs="Calibri"/>
          <w:szCs w:val="20"/>
        </w:rPr>
        <w:t xml:space="preserve"> develop and strengthen inter-institutional and inter-sectoral dialogue and coordination, including with civil society and private sector. </w:t>
      </w:r>
      <w:r w:rsidRPr="003F7F6C">
        <w:rPr>
          <w:rFonts w:eastAsia="Times New Roman" w:cs="Calibri"/>
          <w:szCs w:val="20"/>
          <w:lang w:eastAsia="es-ES_tradnl"/>
        </w:rPr>
        <w:t>Through multi-stakeholder dialogue and coordination spaces</w:t>
      </w:r>
      <w:r w:rsidR="005F2D2C" w:rsidRPr="003F7F6C">
        <w:rPr>
          <w:rFonts w:eastAsia="Times New Roman" w:cs="Calibri"/>
          <w:szCs w:val="20"/>
          <w:lang w:eastAsia="es-ES_tradnl"/>
        </w:rPr>
        <w:t>,</w:t>
      </w:r>
      <w:r w:rsidRPr="003F7F6C">
        <w:rPr>
          <w:rFonts w:eastAsia="Times New Roman" w:cs="Calibri"/>
          <w:szCs w:val="20"/>
          <w:lang w:eastAsia="es-ES_tradnl"/>
        </w:rPr>
        <w:t xml:space="preserve"> the above instruments and approaches will be discussed with, agreed </w:t>
      </w:r>
      <w:r w:rsidR="005F2D2C" w:rsidRPr="003F7F6C">
        <w:rPr>
          <w:rFonts w:eastAsia="Times New Roman" w:cs="Calibri"/>
          <w:szCs w:val="20"/>
          <w:lang w:eastAsia="es-ES_tradnl"/>
        </w:rPr>
        <w:t xml:space="preserve">upon </w:t>
      </w:r>
      <w:r w:rsidRPr="003F7F6C">
        <w:rPr>
          <w:rFonts w:eastAsia="Times New Roman" w:cs="Calibri"/>
          <w:szCs w:val="20"/>
          <w:lang w:eastAsia="es-ES_tradnl"/>
        </w:rPr>
        <w:t>and standardized by the main sectors. The end result will be a public policy framework and strategies to reinforce ELUP as a</w:t>
      </w:r>
      <w:r w:rsidR="00C6220D" w:rsidRPr="003F7F6C">
        <w:rPr>
          <w:rFonts w:eastAsia="Times New Roman" w:cs="Calibri"/>
          <w:szCs w:val="20"/>
          <w:lang w:eastAsia="es-ES_tradnl"/>
        </w:rPr>
        <w:t xml:space="preserve"> Federal</w:t>
      </w:r>
      <w:r w:rsidRPr="003F7F6C">
        <w:rPr>
          <w:rFonts w:eastAsia="Times New Roman" w:cs="Calibri"/>
          <w:szCs w:val="20"/>
          <w:lang w:eastAsia="es-ES_tradnl"/>
        </w:rPr>
        <w:t xml:space="preserve"> instrument to mainstream environmental, social and economic variables in development planning and sector finance. </w:t>
      </w:r>
    </w:p>
    <w:p w14:paraId="778BF033" w14:textId="77777777" w:rsidR="00526FDF" w:rsidRPr="003F7F6C" w:rsidRDefault="005B2E89" w:rsidP="00E91275">
      <w:pPr>
        <w:numPr>
          <w:ilvl w:val="0"/>
          <w:numId w:val="28"/>
        </w:numPr>
        <w:tabs>
          <w:tab w:val="left" w:pos="426"/>
        </w:tabs>
        <w:spacing w:after="240"/>
        <w:ind w:left="0" w:firstLine="0"/>
        <w:rPr>
          <w:rFonts w:eastAsia="Times New Roman" w:cs="Calibri"/>
          <w:szCs w:val="20"/>
          <w:lang w:eastAsia="es-ES_tradnl"/>
        </w:rPr>
      </w:pPr>
      <w:r w:rsidRPr="003F7F6C">
        <w:rPr>
          <w:rFonts w:cs="Calibri"/>
          <w:b/>
          <w:szCs w:val="20"/>
        </w:rPr>
        <w:t xml:space="preserve">Project </w:t>
      </w:r>
      <w:r w:rsidRPr="003F7F6C">
        <w:rPr>
          <w:rFonts w:eastAsia="Times New Roman" w:cs="Calibri"/>
          <w:b/>
          <w:szCs w:val="20"/>
          <w:lang w:eastAsia="es-ES_tradnl"/>
        </w:rPr>
        <w:t>Outcome 2</w:t>
      </w:r>
      <w:r w:rsidRPr="003F7F6C">
        <w:rPr>
          <w:rFonts w:eastAsia="Times New Roman" w:cs="Calibri"/>
          <w:szCs w:val="20"/>
          <w:lang w:eastAsia="es-ES_tradnl"/>
        </w:rPr>
        <w:t xml:space="preserve"> </w:t>
      </w:r>
      <w:r w:rsidRPr="003F7F6C">
        <w:rPr>
          <w:rFonts w:cs="Calibri"/>
          <w:szCs w:val="20"/>
        </w:rPr>
        <w:t xml:space="preserve">will support </w:t>
      </w:r>
      <w:r w:rsidRPr="003F7F6C">
        <w:rPr>
          <w:rFonts w:eastAsia="Times New Roman" w:cs="Calibri"/>
          <w:szCs w:val="20"/>
          <w:lang w:eastAsia="es-ES_tradnl"/>
        </w:rPr>
        <w:t>ground</w:t>
      </w:r>
      <w:r w:rsidR="005D0C0F" w:rsidRPr="003F7F6C">
        <w:rPr>
          <w:rFonts w:eastAsia="Times New Roman" w:cs="Calibri"/>
          <w:szCs w:val="20"/>
          <w:lang w:eastAsia="es-ES_tradnl"/>
        </w:rPr>
        <w:t>-</w:t>
      </w:r>
      <w:r w:rsidRPr="003F7F6C">
        <w:rPr>
          <w:rFonts w:eastAsia="Times New Roman" w:cs="Calibri"/>
          <w:szCs w:val="20"/>
          <w:lang w:eastAsia="es-ES_tradnl"/>
        </w:rPr>
        <w:t>level work to develop decision-making instruments to facilitate ELUP in</w:t>
      </w:r>
      <w:r w:rsidRPr="003F7F6C">
        <w:rPr>
          <w:rFonts w:cs="Calibri"/>
          <w:szCs w:val="20"/>
        </w:rPr>
        <w:t xml:space="preserve"> the three</w:t>
      </w:r>
      <w:r w:rsidRPr="003F7F6C">
        <w:rPr>
          <w:rFonts w:eastAsia="Times New Roman" w:cs="Calibri"/>
          <w:szCs w:val="20"/>
          <w:lang w:eastAsia="es-ES_tradnl"/>
        </w:rPr>
        <w:t xml:space="preserve"> pilot provinces in target landscapes selected in accordance with </w:t>
      </w:r>
      <w:r w:rsidR="005D0C0F" w:rsidRPr="003F7F6C">
        <w:rPr>
          <w:rFonts w:eastAsia="Times New Roman" w:cs="Calibri"/>
          <w:szCs w:val="20"/>
          <w:lang w:eastAsia="es-ES_tradnl"/>
        </w:rPr>
        <w:t xml:space="preserve">the </w:t>
      </w:r>
      <w:r w:rsidRPr="003F7F6C">
        <w:rPr>
          <w:rFonts w:eastAsia="Times New Roman" w:cs="Calibri"/>
          <w:szCs w:val="20"/>
          <w:lang w:eastAsia="es-ES_tradnl"/>
        </w:rPr>
        <w:t>conditions and scale needed for each instrument and also to optimize the generation of GEBs</w:t>
      </w:r>
      <w:r w:rsidRPr="003F7F6C">
        <w:rPr>
          <w:rFonts w:cs="Calibri"/>
          <w:szCs w:val="20"/>
        </w:rPr>
        <w:t xml:space="preserve"> by </w:t>
      </w:r>
      <w:r w:rsidRPr="003F7F6C">
        <w:rPr>
          <w:rFonts w:eastAsia="Times New Roman" w:cs="Calibri"/>
          <w:szCs w:val="20"/>
          <w:lang w:eastAsia="es-ES_tradnl"/>
        </w:rPr>
        <w:t>validating different approaches to adjust production practices needed to deliver increase</w:t>
      </w:r>
      <w:r w:rsidRPr="003F7F6C">
        <w:rPr>
          <w:rFonts w:cs="Calibri"/>
          <w:szCs w:val="20"/>
        </w:rPr>
        <w:t xml:space="preserve">d BD conservation and reduce LD. </w:t>
      </w:r>
      <w:r w:rsidRPr="003F7F6C">
        <w:rPr>
          <w:rFonts w:eastAsia="Times New Roman" w:cs="Calibri"/>
          <w:szCs w:val="20"/>
          <w:lang w:eastAsia="es-ES_tradnl"/>
        </w:rPr>
        <w:t>Action wil</w:t>
      </w:r>
      <w:r w:rsidRPr="003F7F6C">
        <w:rPr>
          <w:rFonts w:cs="Calibri"/>
          <w:szCs w:val="20"/>
        </w:rPr>
        <w:t>l cover different spatial areas, namely</w:t>
      </w:r>
      <w:r w:rsidRPr="003F7F6C">
        <w:rPr>
          <w:rFonts w:eastAsia="Times New Roman" w:cs="Calibri"/>
          <w:szCs w:val="20"/>
          <w:lang w:eastAsia="es-ES_tradnl"/>
        </w:rPr>
        <w:t xml:space="preserve"> </w:t>
      </w:r>
      <w:r w:rsidRPr="003F7F6C">
        <w:rPr>
          <w:rFonts w:cs="Calibri"/>
          <w:szCs w:val="20"/>
        </w:rPr>
        <w:t>p</w:t>
      </w:r>
      <w:r w:rsidRPr="003F7F6C">
        <w:rPr>
          <w:rFonts w:eastAsia="Times New Roman" w:cs="Calibri"/>
          <w:szCs w:val="20"/>
          <w:lang w:eastAsia="es-ES_tradnl"/>
        </w:rPr>
        <w:t xml:space="preserve">rovincial level; </w:t>
      </w:r>
      <w:r w:rsidRPr="003F7F6C">
        <w:rPr>
          <w:rFonts w:cs="Calibri"/>
          <w:szCs w:val="20"/>
        </w:rPr>
        <w:t>target landscape level including several municipalities but not the entire province</w:t>
      </w:r>
      <w:r w:rsidR="005D0C0F" w:rsidRPr="003F7F6C">
        <w:rPr>
          <w:rFonts w:cs="Calibri"/>
          <w:szCs w:val="20"/>
        </w:rPr>
        <w:t>,</w:t>
      </w:r>
      <w:r w:rsidRPr="003F7F6C">
        <w:rPr>
          <w:rFonts w:cs="Calibri"/>
          <w:szCs w:val="20"/>
        </w:rPr>
        <w:t xml:space="preserve"> and specific sites in the landscape to validate </w:t>
      </w:r>
      <w:r w:rsidRPr="003F7F6C">
        <w:rPr>
          <w:rFonts w:eastAsia="Times New Roman" w:cs="Calibri"/>
          <w:szCs w:val="20"/>
          <w:lang w:eastAsia="es-ES_tradnl"/>
        </w:rPr>
        <w:t>ELUP instruments and production practices to be set for each land use zone.</w:t>
      </w:r>
      <w:r w:rsidRPr="003F7F6C">
        <w:rPr>
          <w:rFonts w:cs="Calibri"/>
          <w:szCs w:val="20"/>
        </w:rPr>
        <w:t xml:space="preserve">  </w:t>
      </w:r>
      <w:r w:rsidR="000D2259" w:rsidRPr="003F7F6C">
        <w:rPr>
          <w:rFonts w:cs="Calibri"/>
          <w:szCs w:val="20"/>
        </w:rPr>
        <w:t xml:space="preserve">Provincial counterparts will be the Provincial </w:t>
      </w:r>
      <w:r w:rsidR="00C667D3" w:rsidRPr="003F7F6C">
        <w:rPr>
          <w:rFonts w:cs="Calibri"/>
          <w:szCs w:val="20"/>
        </w:rPr>
        <w:t xml:space="preserve">Agency </w:t>
      </w:r>
      <w:r w:rsidR="000D2259" w:rsidRPr="003F7F6C">
        <w:rPr>
          <w:rFonts w:cs="Calibri"/>
          <w:szCs w:val="20"/>
        </w:rPr>
        <w:t>for Sustainable Development (OPDS) in Buenos Aires, the Ministry of Environment in Jujuy</w:t>
      </w:r>
      <w:r w:rsidR="005D0C0F" w:rsidRPr="003F7F6C">
        <w:rPr>
          <w:rFonts w:cs="Calibri"/>
          <w:szCs w:val="20"/>
        </w:rPr>
        <w:t>,</w:t>
      </w:r>
      <w:r w:rsidR="000D2259" w:rsidRPr="003F7F6C">
        <w:rPr>
          <w:rFonts w:cs="Calibri"/>
          <w:szCs w:val="20"/>
        </w:rPr>
        <w:t xml:space="preserve"> and the Secretariat for Environment and Land Use Planning (SAOT) in Mendoza.</w:t>
      </w:r>
    </w:p>
    <w:p w14:paraId="4E8AD76D" w14:textId="77777777" w:rsidR="00526FDF" w:rsidRPr="003F7F6C" w:rsidRDefault="005B2E89" w:rsidP="00E91275">
      <w:pPr>
        <w:numPr>
          <w:ilvl w:val="0"/>
          <w:numId w:val="28"/>
        </w:numPr>
        <w:tabs>
          <w:tab w:val="left" w:pos="426"/>
        </w:tabs>
        <w:spacing w:after="240"/>
        <w:ind w:left="0" w:firstLine="0"/>
        <w:rPr>
          <w:rFonts w:eastAsia="Times New Roman" w:cs="Calibri"/>
          <w:szCs w:val="20"/>
          <w:lang w:eastAsia="es-ES_tradnl"/>
        </w:rPr>
      </w:pPr>
      <w:r w:rsidRPr="003F7F6C">
        <w:rPr>
          <w:rFonts w:cs="Calibri"/>
          <w:szCs w:val="20"/>
        </w:rPr>
        <w:t xml:space="preserve">Several approaches will be undertaken. One will be to support </w:t>
      </w:r>
      <w:r w:rsidRPr="003F7F6C">
        <w:rPr>
          <w:rFonts w:eastAsia="Times New Roman" w:cs="Calibri"/>
          <w:szCs w:val="20"/>
          <w:lang w:eastAsia="es-ES_tradnl"/>
        </w:rPr>
        <w:t>building the ELUP</w:t>
      </w:r>
      <w:r w:rsidRPr="003F7F6C">
        <w:rPr>
          <w:rFonts w:cs="Calibri"/>
          <w:szCs w:val="20"/>
        </w:rPr>
        <w:t xml:space="preserve"> provincial</w:t>
      </w:r>
      <w:r w:rsidRPr="003F7F6C">
        <w:rPr>
          <w:rFonts w:eastAsia="Times New Roman" w:cs="Calibri"/>
          <w:szCs w:val="20"/>
          <w:lang w:eastAsia="es-ES_tradnl"/>
        </w:rPr>
        <w:t xml:space="preserve"> governance framework to plan, agree upon and implement </w:t>
      </w:r>
      <w:r w:rsidRPr="003F7F6C">
        <w:rPr>
          <w:rFonts w:cs="Calibri"/>
          <w:szCs w:val="20"/>
        </w:rPr>
        <w:t xml:space="preserve">land use restrictions taking into account the status of ELUP development in each province.  </w:t>
      </w:r>
      <w:r w:rsidR="00526FDF" w:rsidRPr="003F7F6C">
        <w:rPr>
          <w:rFonts w:cs="Calibri"/>
          <w:szCs w:val="20"/>
        </w:rPr>
        <w:t>Buenos Aires has some experience in land use planning having realized the land zoning for the Native Forest Law and is working in developing regulations</w:t>
      </w:r>
      <w:r w:rsidR="00375F4A" w:rsidRPr="003F7F6C">
        <w:rPr>
          <w:rFonts w:cs="Calibri"/>
          <w:szCs w:val="20"/>
        </w:rPr>
        <w:t xml:space="preserve">. This provides </w:t>
      </w:r>
      <w:r w:rsidR="00526FDF" w:rsidRPr="003F7F6C">
        <w:rPr>
          <w:rFonts w:cs="Calibri"/>
          <w:szCs w:val="20"/>
        </w:rPr>
        <w:t>an entry point for project support in mainstreaming ELUP in planning and regulatory instruments. Jujuy has acquired experience in participatory land zoning, mainly at urban level</w:t>
      </w:r>
      <w:r w:rsidR="00E61FE1" w:rsidRPr="003F7F6C">
        <w:rPr>
          <w:rFonts w:cs="Calibri"/>
          <w:szCs w:val="20"/>
        </w:rPr>
        <w:t xml:space="preserve"> but no sufficiently in regards to natural resources</w:t>
      </w:r>
      <w:r w:rsidR="00D32DB0" w:rsidRPr="003F7F6C">
        <w:rPr>
          <w:rFonts w:cs="Calibri"/>
          <w:szCs w:val="20"/>
        </w:rPr>
        <w:t>. In this case, the entry point for the project is mainstreaming the environmental dimension through ELUP in planning and regulatory instruments. Mendoza has an ELUP framework comprising provincial regulations and a provincial land use plan; however it is not fully implemented therefore the project will in this province support the implementation of the existing framework.</w:t>
      </w:r>
    </w:p>
    <w:p w14:paraId="3F775706" w14:textId="77777777" w:rsidR="00C84CD9" w:rsidRPr="003F7F6C" w:rsidRDefault="005B2E89" w:rsidP="00E91275">
      <w:pPr>
        <w:numPr>
          <w:ilvl w:val="0"/>
          <w:numId w:val="28"/>
        </w:numPr>
        <w:tabs>
          <w:tab w:val="left" w:pos="426"/>
        </w:tabs>
        <w:spacing w:after="240"/>
        <w:ind w:left="0" w:firstLine="0"/>
        <w:rPr>
          <w:rFonts w:eastAsia="Times New Roman" w:cs="Calibri"/>
          <w:szCs w:val="20"/>
          <w:lang w:eastAsia="es-ES_tradnl"/>
        </w:rPr>
      </w:pPr>
      <w:r w:rsidRPr="003F7F6C">
        <w:rPr>
          <w:rFonts w:cs="Calibri"/>
          <w:szCs w:val="20"/>
        </w:rPr>
        <w:t>A second approach will be to pilot mechanisms for inter-institutional stakeholders and for multi-sectoral decision-making</w:t>
      </w:r>
      <w:r w:rsidR="005D0C0F" w:rsidRPr="003F7F6C">
        <w:rPr>
          <w:rFonts w:cs="Calibri"/>
          <w:szCs w:val="20"/>
        </w:rPr>
        <w:t>,</w:t>
      </w:r>
      <w:r w:rsidRPr="003F7F6C">
        <w:rPr>
          <w:rFonts w:cs="Calibri"/>
          <w:szCs w:val="20"/>
        </w:rPr>
        <w:t xml:space="preserve"> seeking to facilitate the ELUP process and ensure stakeholder participation and buy in.  The third approach will be </w:t>
      </w:r>
      <w:r w:rsidRPr="003F7F6C">
        <w:rPr>
          <w:rFonts w:eastAsia="Times New Roman" w:cs="Calibri"/>
          <w:szCs w:val="20"/>
          <w:lang w:eastAsia="es-ES_tradnl"/>
        </w:rPr>
        <w:t xml:space="preserve">validating and applying a set of instruments to enhance compliance with ELUP and define sector practice limits and production guidance for each zone; and strengthening surveillance and oversight to promote the uptake of the newly defined production practices by sectoral and civil society stakeholders. </w:t>
      </w:r>
      <w:r w:rsidRPr="003F7F6C">
        <w:rPr>
          <w:rFonts w:cs="Calibri"/>
          <w:szCs w:val="20"/>
        </w:rPr>
        <w:t xml:space="preserve"> A key aspect will be focusing on the target production sectors and mainstreaming guidelines and approaches into relevant sectoral programs that channel resources to provinces </w:t>
      </w:r>
      <w:r w:rsidR="00D67F42" w:rsidRPr="003F7F6C">
        <w:rPr>
          <w:rFonts w:cs="Calibri"/>
          <w:szCs w:val="20"/>
        </w:rPr>
        <w:t xml:space="preserve">to </w:t>
      </w:r>
      <w:r w:rsidRPr="003F7F6C">
        <w:rPr>
          <w:rFonts w:cs="Calibri"/>
          <w:szCs w:val="20"/>
        </w:rPr>
        <w:t xml:space="preserve">support production. Incorporating regulations for adoption of specific production practices in the federal programs will further enhance implementation of </w:t>
      </w:r>
      <w:r w:rsidR="009D4CA7" w:rsidRPr="003F7F6C">
        <w:rPr>
          <w:rFonts w:cs="Calibri"/>
          <w:szCs w:val="20"/>
        </w:rPr>
        <w:t xml:space="preserve">the </w:t>
      </w:r>
      <w:r w:rsidRPr="003F7F6C">
        <w:rPr>
          <w:rFonts w:cs="Calibri"/>
          <w:szCs w:val="20"/>
        </w:rPr>
        <w:t>land use restriction</w:t>
      </w:r>
      <w:r w:rsidR="009D4CA7" w:rsidRPr="003F7F6C">
        <w:rPr>
          <w:rFonts w:cs="Calibri"/>
          <w:szCs w:val="20"/>
        </w:rPr>
        <w:t>s</w:t>
      </w:r>
      <w:r w:rsidRPr="003F7F6C">
        <w:rPr>
          <w:rFonts w:cs="Calibri"/>
          <w:szCs w:val="20"/>
        </w:rPr>
        <w:t xml:space="preserve"> defined in provincial ELUP. </w:t>
      </w:r>
      <w:r w:rsidRPr="003F7F6C">
        <w:rPr>
          <w:rFonts w:eastAsia="Times New Roman" w:cs="Calibri"/>
          <w:szCs w:val="20"/>
          <w:lang w:eastAsia="es-ES_tradnl"/>
        </w:rPr>
        <w:t xml:space="preserve">A fourth approach will be the validation and assessment of </w:t>
      </w:r>
      <w:r w:rsidR="009D4CA7" w:rsidRPr="003F7F6C">
        <w:rPr>
          <w:rFonts w:eastAsia="Times New Roman" w:cs="Calibri"/>
          <w:szCs w:val="20"/>
          <w:lang w:eastAsia="es-ES_tradnl"/>
        </w:rPr>
        <w:t xml:space="preserve">the </w:t>
      </w:r>
      <w:r w:rsidRPr="003F7F6C">
        <w:rPr>
          <w:rFonts w:eastAsia="Times New Roman" w:cs="Calibri"/>
          <w:szCs w:val="20"/>
          <w:lang w:eastAsia="es-ES_tradnl"/>
        </w:rPr>
        <w:t xml:space="preserve">production and environmental viability of management practices with </w:t>
      </w:r>
      <w:r w:rsidR="009D4CA7" w:rsidRPr="003F7F6C">
        <w:rPr>
          <w:rFonts w:eastAsia="Times New Roman" w:cs="Calibri"/>
          <w:szCs w:val="20"/>
          <w:lang w:eastAsia="es-ES_tradnl"/>
        </w:rPr>
        <w:t xml:space="preserve">the </w:t>
      </w:r>
      <w:r w:rsidRPr="003F7F6C">
        <w:rPr>
          <w:rFonts w:eastAsia="Times New Roman" w:cs="Calibri"/>
          <w:szCs w:val="20"/>
          <w:lang w:eastAsia="es-ES_tradnl"/>
        </w:rPr>
        <w:t>potential to reduce threats and optimize the flows of ecosystem goods and services in areas identified as priorit</w:t>
      </w:r>
      <w:r w:rsidR="009D4CA7" w:rsidRPr="003F7F6C">
        <w:rPr>
          <w:rFonts w:eastAsia="Times New Roman" w:cs="Calibri"/>
          <w:szCs w:val="20"/>
          <w:lang w:eastAsia="es-ES_tradnl"/>
        </w:rPr>
        <w:t>ies</w:t>
      </w:r>
      <w:r w:rsidRPr="003F7F6C">
        <w:rPr>
          <w:rFonts w:eastAsia="Times New Roman" w:cs="Calibri"/>
          <w:szCs w:val="20"/>
          <w:lang w:eastAsia="es-ES_tradnl"/>
        </w:rPr>
        <w:t xml:space="preserve"> for </w:t>
      </w:r>
      <w:r w:rsidRPr="003F7F6C">
        <w:rPr>
          <w:rFonts w:cs="Calibri"/>
          <w:szCs w:val="20"/>
        </w:rPr>
        <w:t>BD</w:t>
      </w:r>
      <w:r w:rsidRPr="003F7F6C">
        <w:rPr>
          <w:rFonts w:eastAsia="Times New Roman" w:cs="Calibri"/>
          <w:szCs w:val="20"/>
          <w:lang w:eastAsia="es-ES_tradnl"/>
        </w:rPr>
        <w:t xml:space="preserve"> conservation and reduction of LD.  This will deliver direct benefits to ecoregions with globally significant BD or top priorities for combatting LD. </w:t>
      </w:r>
    </w:p>
    <w:p w14:paraId="605266A2" w14:textId="77777777" w:rsidR="005B2E89" w:rsidRPr="003F7F6C" w:rsidRDefault="005B2E89" w:rsidP="00E91275">
      <w:pPr>
        <w:numPr>
          <w:ilvl w:val="0"/>
          <w:numId w:val="28"/>
        </w:numPr>
        <w:tabs>
          <w:tab w:val="left" w:pos="426"/>
        </w:tabs>
        <w:spacing w:after="240"/>
        <w:ind w:left="0" w:firstLine="0"/>
        <w:rPr>
          <w:rFonts w:eastAsia="Times New Roman" w:cs="Calibri"/>
          <w:szCs w:val="20"/>
          <w:lang w:eastAsia="es-ES_tradnl"/>
        </w:rPr>
      </w:pPr>
      <w:r w:rsidRPr="003F7F6C">
        <w:rPr>
          <w:rFonts w:eastAsia="Times New Roman" w:cs="Calibri"/>
          <w:szCs w:val="20"/>
          <w:lang w:eastAsia="es-ES_tradnl"/>
        </w:rPr>
        <w:t xml:space="preserve">The target landscapes in Buenos Aires, Jujuy and Mendoza are representative of the main challenges from the three sectors and therefore the experiences and lessons have a high potential for replicability. They were selected based on the following </w:t>
      </w:r>
      <w:r w:rsidRPr="003F7F6C">
        <w:t xml:space="preserve">criteria: </w:t>
      </w:r>
      <w:r w:rsidR="00F84885" w:rsidRPr="003F7F6C">
        <w:t xml:space="preserve">a) </w:t>
      </w:r>
      <w:r w:rsidRPr="003F7F6C">
        <w:t xml:space="preserve">ecological significance, </w:t>
      </w:r>
      <w:r w:rsidR="00F84885" w:rsidRPr="003F7F6C">
        <w:t xml:space="preserve">b) </w:t>
      </w:r>
      <w:r w:rsidRPr="003F7F6C">
        <w:t>BD</w:t>
      </w:r>
      <w:r w:rsidR="00F84885" w:rsidRPr="003F7F6C">
        <w:t xml:space="preserve"> value</w:t>
      </w:r>
      <w:r w:rsidRPr="003F7F6C">
        <w:t xml:space="preserve">, </w:t>
      </w:r>
      <w:r w:rsidR="00F84885" w:rsidRPr="003F7F6C">
        <w:t xml:space="preserve">c) </w:t>
      </w:r>
      <w:r w:rsidRPr="003F7F6C">
        <w:t xml:space="preserve">impacts </w:t>
      </w:r>
      <w:r w:rsidR="00123568" w:rsidRPr="003F7F6C">
        <w:t xml:space="preserve">of </w:t>
      </w:r>
      <w:r w:rsidRPr="003F7F6C">
        <w:t>the target sectors,</w:t>
      </w:r>
      <w:r w:rsidR="00F84885" w:rsidRPr="003F7F6C">
        <w:t xml:space="preserve"> d)</w:t>
      </w:r>
      <w:r w:rsidRPr="003F7F6C">
        <w:t xml:space="preserve"> potential for improving livelihoods of the inhabitants</w:t>
      </w:r>
      <w:r w:rsidR="00123568" w:rsidRPr="003F7F6C">
        <w:t>,</w:t>
      </w:r>
      <w:r w:rsidRPr="003F7F6C">
        <w:t xml:space="preserve"> and </w:t>
      </w:r>
      <w:r w:rsidR="00F84885" w:rsidRPr="003F7F6C">
        <w:t xml:space="preserve">e) </w:t>
      </w:r>
      <w:r w:rsidRPr="003F7F6C">
        <w:t xml:space="preserve">presence of programs and projects with potential for building synergies as well as local capacities.  To select the target landscapes the territories characterized by socio-environmental problems or imbalances and territories with strategic environmental values to preserve were assessed in each province. The above criteria were applied </w:t>
      </w:r>
      <w:r w:rsidR="00123568" w:rsidRPr="003F7F6C">
        <w:t>i</w:t>
      </w:r>
      <w:r w:rsidRPr="003F7F6C">
        <w:t xml:space="preserve">n these territories incorporating in the analysis </w:t>
      </w:r>
      <w:r w:rsidR="0026303E" w:rsidRPr="003F7F6C">
        <w:t xml:space="preserve">data </w:t>
      </w:r>
      <w:r w:rsidRPr="003F7F6C">
        <w:t xml:space="preserve">such as baseline information; maps of native forest distribution, ecoregions, watersheds, and important BD areas of the province for mammals, birds, reptiles and amphibians, and information on cultural values, as available in each province.  Table </w:t>
      </w:r>
      <w:r w:rsidR="002C1542" w:rsidRPr="003F7F6C">
        <w:t>1</w:t>
      </w:r>
      <w:r w:rsidRPr="003F7F6C">
        <w:t xml:space="preserve"> below summarizes the main characteristics of the selected target landscapes.</w:t>
      </w:r>
      <w:r w:rsidR="003800FF" w:rsidRPr="003F7F6C">
        <w:t xml:space="preserve"> Annex </w:t>
      </w:r>
      <w:r w:rsidR="007F08C0" w:rsidRPr="003F7F6C">
        <w:t xml:space="preserve">L </w:t>
      </w:r>
      <w:r w:rsidR="003800FF" w:rsidRPr="003F7F6C">
        <w:t>includes a more detailed profile of each target landscape.</w:t>
      </w:r>
    </w:p>
    <w:p w14:paraId="54382C71" w14:textId="77777777" w:rsidR="004252AF" w:rsidRPr="003F7F6C" w:rsidRDefault="004252AF" w:rsidP="005B2E89">
      <w:pPr>
        <w:spacing w:before="100" w:beforeAutospacing="1" w:after="100" w:afterAutospacing="1"/>
        <w:rPr>
          <w:rFonts w:cs="Calibri"/>
          <w:szCs w:val="20"/>
        </w:rPr>
      </w:pPr>
    </w:p>
    <w:p w14:paraId="0A0DD1DB" w14:textId="77777777" w:rsidR="004252AF" w:rsidRPr="003F7F6C" w:rsidRDefault="004252AF" w:rsidP="004252AF">
      <w:pPr>
        <w:spacing w:before="100" w:beforeAutospacing="1" w:after="100" w:afterAutospacing="1"/>
        <w:rPr>
          <w:rFonts w:eastAsia="Times New Roman" w:cs="Calibri"/>
          <w:color w:val="000000"/>
          <w:szCs w:val="20"/>
          <w:lang w:eastAsia="es-AR"/>
        </w:rPr>
      </w:pPr>
    </w:p>
    <w:p w14:paraId="4F387A20" w14:textId="77777777" w:rsidR="004252AF" w:rsidRPr="003F7F6C" w:rsidRDefault="004252AF" w:rsidP="005B2E89">
      <w:pPr>
        <w:spacing w:before="100" w:beforeAutospacing="1" w:after="100" w:afterAutospacing="1"/>
        <w:rPr>
          <w:rFonts w:cs="Calibri"/>
          <w:szCs w:val="20"/>
        </w:rPr>
      </w:pPr>
    </w:p>
    <w:p w14:paraId="44B206F9" w14:textId="77777777" w:rsidR="005B2E89" w:rsidRPr="003F7F6C" w:rsidRDefault="005B2E89" w:rsidP="005B2E89">
      <w:pPr>
        <w:spacing w:before="100" w:beforeAutospacing="1" w:after="100" w:afterAutospacing="1"/>
      </w:pPr>
    </w:p>
    <w:p w14:paraId="7CC26721" w14:textId="77777777" w:rsidR="005B2E89" w:rsidRPr="003F7F6C" w:rsidRDefault="005B2E89" w:rsidP="005B2E89">
      <w:pPr>
        <w:spacing w:before="100" w:beforeAutospacing="1" w:after="100" w:afterAutospacing="1"/>
      </w:pPr>
    </w:p>
    <w:p w14:paraId="48FB53AD" w14:textId="77777777" w:rsidR="00C60507" w:rsidRPr="003F7F6C" w:rsidRDefault="00C60507" w:rsidP="005B2E89">
      <w:pPr>
        <w:spacing w:after="0"/>
        <w:jc w:val="left"/>
        <w:sectPr w:rsidR="00C60507" w:rsidRPr="003F7F6C" w:rsidSect="000B3D4F">
          <w:pgSz w:w="12240" w:h="15840" w:code="1"/>
          <w:pgMar w:top="1440" w:right="1440" w:bottom="1440" w:left="1440" w:header="720" w:footer="432" w:gutter="0"/>
          <w:cols w:space="708"/>
          <w:titlePg/>
          <w:docGrid w:linePitch="360"/>
        </w:sectPr>
      </w:pPr>
    </w:p>
    <w:p w14:paraId="6CC5E2E5" w14:textId="77777777" w:rsidR="005B2E89" w:rsidRPr="003F7F6C" w:rsidRDefault="005B2E89" w:rsidP="005B2E89">
      <w:pPr>
        <w:spacing w:after="0"/>
        <w:jc w:val="left"/>
      </w:pPr>
    </w:p>
    <w:p w14:paraId="7E9E5D3B" w14:textId="77777777" w:rsidR="00C60507" w:rsidRPr="003F7F6C" w:rsidRDefault="00C60507" w:rsidP="00C60507">
      <w:pPr>
        <w:rPr>
          <w:color w:val="FF0000"/>
        </w:rPr>
      </w:pPr>
      <w:r w:rsidRPr="003F7F6C">
        <w:t xml:space="preserve">Table </w:t>
      </w:r>
      <w:r w:rsidR="002C1542" w:rsidRPr="003F7F6C">
        <w:t>1</w:t>
      </w:r>
      <w:r w:rsidRPr="003F7F6C">
        <w:t xml:space="preserve"> – Summary of main characteristics of the selected Target Landscapes</w:t>
      </w:r>
      <w:r w:rsidR="00957139" w:rsidRPr="003F7F6C">
        <w:t xml:space="preserve">  </w:t>
      </w:r>
    </w:p>
    <w:tbl>
      <w:tblPr>
        <w:tblW w:w="134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91"/>
        <w:gridCol w:w="1304"/>
        <w:gridCol w:w="1518"/>
        <w:gridCol w:w="1271"/>
        <w:gridCol w:w="1526"/>
        <w:gridCol w:w="1276"/>
        <w:gridCol w:w="1319"/>
        <w:gridCol w:w="1261"/>
        <w:gridCol w:w="1235"/>
        <w:gridCol w:w="1432"/>
      </w:tblGrid>
      <w:tr w:rsidR="00442578" w:rsidRPr="003F7F6C" w14:paraId="2D982722" w14:textId="77777777" w:rsidTr="00E9673C">
        <w:trPr>
          <w:tblHeader/>
        </w:trPr>
        <w:tc>
          <w:tcPr>
            <w:tcW w:w="1252" w:type="dxa"/>
            <w:tcBorders>
              <w:top w:val="single" w:sz="18" w:space="0" w:color="auto"/>
              <w:left w:val="single" w:sz="18" w:space="0" w:color="auto"/>
              <w:right w:val="single" w:sz="18" w:space="0" w:color="auto"/>
            </w:tcBorders>
            <w:shd w:val="clear" w:color="auto" w:fill="D9E2F3"/>
          </w:tcPr>
          <w:p w14:paraId="1C6B8BF5" w14:textId="77777777" w:rsidR="00C60507" w:rsidRPr="003F7F6C" w:rsidRDefault="00C60507" w:rsidP="002B3130">
            <w:pPr>
              <w:spacing w:after="0"/>
              <w:rPr>
                <w:rFonts w:cs="Calibri"/>
                <w:sz w:val="18"/>
                <w:szCs w:val="18"/>
              </w:rPr>
            </w:pPr>
            <w:r w:rsidRPr="003F7F6C">
              <w:rPr>
                <w:rFonts w:cs="Calibri"/>
                <w:sz w:val="18"/>
                <w:szCs w:val="18"/>
              </w:rPr>
              <w:t>Province</w:t>
            </w:r>
          </w:p>
        </w:tc>
        <w:tc>
          <w:tcPr>
            <w:tcW w:w="4097" w:type="dxa"/>
            <w:gridSpan w:val="3"/>
            <w:tcBorders>
              <w:top w:val="single" w:sz="18" w:space="0" w:color="auto"/>
              <w:left w:val="single" w:sz="18" w:space="0" w:color="auto"/>
              <w:right w:val="single" w:sz="18" w:space="0" w:color="auto"/>
            </w:tcBorders>
            <w:shd w:val="clear" w:color="auto" w:fill="D9E2F3"/>
          </w:tcPr>
          <w:p w14:paraId="64E502A7" w14:textId="77777777" w:rsidR="00C60507" w:rsidRPr="003F7F6C" w:rsidRDefault="00C60507" w:rsidP="002B3130">
            <w:pPr>
              <w:spacing w:after="0"/>
              <w:jc w:val="center"/>
              <w:rPr>
                <w:rFonts w:cs="Calibri"/>
                <w:sz w:val="18"/>
                <w:szCs w:val="18"/>
              </w:rPr>
            </w:pPr>
            <w:r w:rsidRPr="003F7F6C">
              <w:rPr>
                <w:rFonts w:cs="Calibri"/>
                <w:sz w:val="18"/>
                <w:szCs w:val="18"/>
              </w:rPr>
              <w:t>Buenos Aires</w:t>
            </w:r>
          </w:p>
        </w:tc>
        <w:tc>
          <w:tcPr>
            <w:tcW w:w="2884" w:type="dxa"/>
            <w:gridSpan w:val="2"/>
            <w:tcBorders>
              <w:top w:val="single" w:sz="18" w:space="0" w:color="auto"/>
              <w:left w:val="single" w:sz="18" w:space="0" w:color="auto"/>
              <w:right w:val="single" w:sz="18" w:space="0" w:color="auto"/>
            </w:tcBorders>
            <w:shd w:val="clear" w:color="auto" w:fill="D9E2F3"/>
          </w:tcPr>
          <w:p w14:paraId="40A3B9E7" w14:textId="77777777" w:rsidR="00C60507" w:rsidRPr="003F7F6C" w:rsidRDefault="00C60507" w:rsidP="002B3130">
            <w:pPr>
              <w:spacing w:after="0"/>
              <w:jc w:val="center"/>
              <w:rPr>
                <w:rFonts w:cs="Calibri"/>
                <w:sz w:val="18"/>
                <w:szCs w:val="18"/>
              </w:rPr>
            </w:pPr>
            <w:r w:rsidRPr="003F7F6C">
              <w:rPr>
                <w:rFonts w:cs="Calibri"/>
                <w:sz w:val="18"/>
                <w:szCs w:val="18"/>
              </w:rPr>
              <w:t>Jujuy</w:t>
            </w:r>
          </w:p>
        </w:tc>
        <w:tc>
          <w:tcPr>
            <w:tcW w:w="5200" w:type="dxa"/>
            <w:gridSpan w:val="4"/>
            <w:tcBorders>
              <w:top w:val="single" w:sz="18" w:space="0" w:color="auto"/>
              <w:left w:val="single" w:sz="18" w:space="0" w:color="auto"/>
              <w:right w:val="single" w:sz="18" w:space="0" w:color="auto"/>
            </w:tcBorders>
            <w:shd w:val="clear" w:color="auto" w:fill="D9E2F3"/>
          </w:tcPr>
          <w:p w14:paraId="641FA8B6" w14:textId="77777777" w:rsidR="00C60507" w:rsidRPr="003F7F6C" w:rsidRDefault="00C60507" w:rsidP="002B3130">
            <w:pPr>
              <w:spacing w:after="0"/>
              <w:jc w:val="center"/>
              <w:rPr>
                <w:rFonts w:cs="Calibri"/>
                <w:sz w:val="18"/>
                <w:szCs w:val="18"/>
              </w:rPr>
            </w:pPr>
            <w:r w:rsidRPr="003F7F6C">
              <w:rPr>
                <w:rFonts w:cs="Calibri"/>
                <w:sz w:val="18"/>
                <w:szCs w:val="18"/>
              </w:rPr>
              <w:t>Mendoza</w:t>
            </w:r>
          </w:p>
        </w:tc>
      </w:tr>
      <w:tr w:rsidR="00287C43" w:rsidRPr="003F7F6C" w14:paraId="4B118A8C" w14:textId="77777777" w:rsidTr="00E9673C">
        <w:trPr>
          <w:tblHeader/>
        </w:trPr>
        <w:tc>
          <w:tcPr>
            <w:tcW w:w="1252" w:type="dxa"/>
            <w:tcBorders>
              <w:left w:val="single" w:sz="18" w:space="0" w:color="auto"/>
              <w:bottom w:val="single" w:sz="18" w:space="0" w:color="auto"/>
              <w:right w:val="single" w:sz="18" w:space="0" w:color="auto"/>
            </w:tcBorders>
            <w:shd w:val="clear" w:color="auto" w:fill="D9E2F3"/>
          </w:tcPr>
          <w:p w14:paraId="41221519" w14:textId="77777777" w:rsidR="00C60507" w:rsidRPr="003F7F6C" w:rsidRDefault="00C60507" w:rsidP="002B3130">
            <w:pPr>
              <w:spacing w:after="0"/>
              <w:rPr>
                <w:rFonts w:cs="Calibri"/>
                <w:sz w:val="18"/>
                <w:szCs w:val="18"/>
              </w:rPr>
            </w:pPr>
            <w:r w:rsidRPr="003F7F6C">
              <w:rPr>
                <w:rFonts w:cs="Calibri"/>
                <w:sz w:val="18"/>
                <w:szCs w:val="18"/>
              </w:rPr>
              <w:t>Target Landscapes</w:t>
            </w:r>
          </w:p>
        </w:tc>
        <w:tc>
          <w:tcPr>
            <w:tcW w:w="1264" w:type="dxa"/>
            <w:tcBorders>
              <w:left w:val="single" w:sz="18" w:space="0" w:color="auto"/>
              <w:bottom w:val="single" w:sz="18" w:space="0" w:color="auto"/>
            </w:tcBorders>
            <w:shd w:val="clear" w:color="auto" w:fill="D9E2F3"/>
          </w:tcPr>
          <w:p w14:paraId="53904070" w14:textId="77777777" w:rsidR="00C60507" w:rsidRPr="003F7F6C" w:rsidRDefault="00C60507" w:rsidP="002B3130">
            <w:pPr>
              <w:spacing w:after="0"/>
              <w:rPr>
                <w:rFonts w:cs="Calibri"/>
                <w:sz w:val="18"/>
                <w:szCs w:val="18"/>
              </w:rPr>
            </w:pPr>
            <w:r w:rsidRPr="003F7F6C">
              <w:rPr>
                <w:rFonts w:eastAsia="Times New Roman" w:cs="Calibri"/>
                <w:bCs/>
                <w:sz w:val="18"/>
                <w:szCs w:val="18"/>
                <w:lang w:eastAsia="es-AR"/>
              </w:rPr>
              <w:t>Riverine Forests, Eastern “Talares” and Samborombon Bay</w:t>
            </w:r>
          </w:p>
        </w:tc>
        <w:tc>
          <w:tcPr>
            <w:tcW w:w="1601" w:type="dxa"/>
            <w:tcBorders>
              <w:bottom w:val="single" w:sz="18" w:space="0" w:color="auto"/>
            </w:tcBorders>
            <w:shd w:val="clear" w:color="auto" w:fill="D9E2F3"/>
          </w:tcPr>
          <w:p w14:paraId="6004F927" w14:textId="77777777" w:rsidR="00C60507" w:rsidRPr="003F7F6C" w:rsidRDefault="00C60507" w:rsidP="002B3130">
            <w:pPr>
              <w:spacing w:after="0"/>
              <w:jc w:val="left"/>
              <w:rPr>
                <w:rFonts w:cs="Calibri"/>
                <w:sz w:val="18"/>
                <w:szCs w:val="18"/>
              </w:rPr>
            </w:pPr>
            <w:r w:rsidRPr="003F7F6C">
              <w:rPr>
                <w:rFonts w:cs="Calibri"/>
                <w:sz w:val="18"/>
                <w:szCs w:val="18"/>
              </w:rPr>
              <w:t>Parana River Delta</w:t>
            </w:r>
          </w:p>
        </w:tc>
        <w:tc>
          <w:tcPr>
            <w:tcW w:w="1232" w:type="dxa"/>
            <w:tcBorders>
              <w:bottom w:val="single" w:sz="18" w:space="0" w:color="auto"/>
              <w:right w:val="single" w:sz="18" w:space="0" w:color="auto"/>
            </w:tcBorders>
            <w:shd w:val="clear" w:color="auto" w:fill="D9E2F3"/>
          </w:tcPr>
          <w:p w14:paraId="39D73FA9" w14:textId="77777777" w:rsidR="00C60507" w:rsidRPr="003F7F6C" w:rsidRDefault="00C60507" w:rsidP="002B3130">
            <w:pPr>
              <w:spacing w:after="0"/>
              <w:jc w:val="left"/>
              <w:rPr>
                <w:rFonts w:cs="Calibri"/>
                <w:sz w:val="18"/>
                <w:szCs w:val="18"/>
              </w:rPr>
            </w:pPr>
            <w:r w:rsidRPr="003F7F6C">
              <w:rPr>
                <w:rFonts w:cs="Calibri"/>
                <w:sz w:val="18"/>
                <w:szCs w:val="18"/>
              </w:rPr>
              <w:t>Southwestern Buenos Aires</w:t>
            </w:r>
          </w:p>
        </w:tc>
        <w:tc>
          <w:tcPr>
            <w:tcW w:w="1647" w:type="dxa"/>
            <w:tcBorders>
              <w:left w:val="single" w:sz="18" w:space="0" w:color="auto"/>
              <w:bottom w:val="single" w:sz="18" w:space="0" w:color="auto"/>
            </w:tcBorders>
            <w:shd w:val="clear" w:color="auto" w:fill="D9E2F3"/>
          </w:tcPr>
          <w:p w14:paraId="11B1FEDA" w14:textId="77777777" w:rsidR="00C60507" w:rsidRPr="003F7F6C" w:rsidRDefault="00C60507" w:rsidP="002B3130">
            <w:pPr>
              <w:spacing w:after="0"/>
              <w:rPr>
                <w:rFonts w:cs="Calibri"/>
                <w:sz w:val="18"/>
                <w:szCs w:val="18"/>
              </w:rPr>
            </w:pPr>
            <w:r w:rsidRPr="003F7F6C">
              <w:rPr>
                <w:rFonts w:cs="Calibri"/>
                <w:sz w:val="18"/>
                <w:szCs w:val="18"/>
              </w:rPr>
              <w:t>Hornocal-Valle Grande</w:t>
            </w:r>
          </w:p>
        </w:tc>
        <w:tc>
          <w:tcPr>
            <w:tcW w:w="1237" w:type="dxa"/>
            <w:tcBorders>
              <w:bottom w:val="single" w:sz="18" w:space="0" w:color="auto"/>
              <w:right w:val="single" w:sz="18" w:space="0" w:color="auto"/>
            </w:tcBorders>
            <w:shd w:val="clear" w:color="auto" w:fill="D9E2F3"/>
          </w:tcPr>
          <w:p w14:paraId="748ABD78" w14:textId="77777777" w:rsidR="00C60507" w:rsidRPr="003F7F6C" w:rsidRDefault="00C60507" w:rsidP="002B3130">
            <w:pPr>
              <w:spacing w:after="0"/>
              <w:rPr>
                <w:rFonts w:cs="Calibri"/>
                <w:sz w:val="18"/>
                <w:szCs w:val="18"/>
              </w:rPr>
            </w:pPr>
            <w:r w:rsidRPr="003F7F6C">
              <w:rPr>
                <w:rFonts w:cs="Calibri"/>
                <w:sz w:val="18"/>
                <w:szCs w:val="18"/>
              </w:rPr>
              <w:t>Susques-Jama-Catua-Olaroz</w:t>
            </w:r>
          </w:p>
        </w:tc>
        <w:tc>
          <w:tcPr>
            <w:tcW w:w="1278" w:type="dxa"/>
            <w:tcBorders>
              <w:left w:val="single" w:sz="18" w:space="0" w:color="auto"/>
              <w:bottom w:val="single" w:sz="18" w:space="0" w:color="auto"/>
            </w:tcBorders>
            <w:shd w:val="clear" w:color="auto" w:fill="D9E2F3"/>
          </w:tcPr>
          <w:p w14:paraId="0993A15A" w14:textId="77777777" w:rsidR="00C60507" w:rsidRPr="003F7F6C" w:rsidRDefault="00C60507" w:rsidP="002B3130">
            <w:pPr>
              <w:spacing w:after="0"/>
              <w:jc w:val="left"/>
              <w:rPr>
                <w:rFonts w:cs="Calibri"/>
                <w:sz w:val="18"/>
                <w:szCs w:val="18"/>
              </w:rPr>
            </w:pPr>
            <w:r w:rsidRPr="003F7F6C">
              <w:rPr>
                <w:rFonts w:cs="Calibri"/>
                <w:sz w:val="18"/>
                <w:szCs w:val="18"/>
              </w:rPr>
              <w:t>Andean Piedmont of the Metropolitan Area of Mendoza</w:t>
            </w:r>
          </w:p>
        </w:tc>
        <w:tc>
          <w:tcPr>
            <w:tcW w:w="1222" w:type="dxa"/>
            <w:tcBorders>
              <w:bottom w:val="single" w:sz="18" w:space="0" w:color="auto"/>
            </w:tcBorders>
            <w:shd w:val="clear" w:color="auto" w:fill="D9E2F3"/>
          </w:tcPr>
          <w:p w14:paraId="7FA1BDCD" w14:textId="77777777" w:rsidR="00C60507" w:rsidRPr="003F7F6C" w:rsidRDefault="00C60507" w:rsidP="002B3130">
            <w:pPr>
              <w:spacing w:after="0"/>
              <w:jc w:val="left"/>
              <w:rPr>
                <w:rFonts w:cs="Calibri"/>
                <w:sz w:val="18"/>
                <w:szCs w:val="18"/>
              </w:rPr>
            </w:pPr>
            <w:r w:rsidRPr="003F7F6C">
              <w:rPr>
                <w:rFonts w:cs="Calibri"/>
                <w:sz w:val="18"/>
                <w:szCs w:val="18"/>
              </w:rPr>
              <w:t>Piedmont of the Uco Valley</w:t>
            </w:r>
          </w:p>
        </w:tc>
        <w:tc>
          <w:tcPr>
            <w:tcW w:w="1197" w:type="dxa"/>
            <w:tcBorders>
              <w:bottom w:val="single" w:sz="18" w:space="0" w:color="auto"/>
            </w:tcBorders>
            <w:shd w:val="clear" w:color="auto" w:fill="D9E2F3"/>
          </w:tcPr>
          <w:p w14:paraId="7AFB65F1" w14:textId="77777777" w:rsidR="00C60507" w:rsidRPr="003F7F6C" w:rsidRDefault="00C60507" w:rsidP="002B3130">
            <w:pPr>
              <w:spacing w:after="0"/>
              <w:jc w:val="left"/>
              <w:rPr>
                <w:rFonts w:cs="Calibri"/>
                <w:sz w:val="18"/>
                <w:szCs w:val="18"/>
                <w:lang w:val="es-ES"/>
              </w:rPr>
            </w:pPr>
            <w:r w:rsidRPr="003F7F6C">
              <w:rPr>
                <w:rFonts w:cs="Calibri"/>
                <w:sz w:val="18"/>
                <w:szCs w:val="18"/>
                <w:lang w:val="es-ES"/>
              </w:rPr>
              <w:t>Llancanelo Lagoon –Malargüe River Basin</w:t>
            </w:r>
          </w:p>
        </w:tc>
        <w:tc>
          <w:tcPr>
            <w:tcW w:w="1503" w:type="dxa"/>
            <w:tcBorders>
              <w:bottom w:val="single" w:sz="18" w:space="0" w:color="auto"/>
              <w:right w:val="single" w:sz="18" w:space="0" w:color="auto"/>
            </w:tcBorders>
            <w:shd w:val="clear" w:color="auto" w:fill="D9E2F3"/>
          </w:tcPr>
          <w:p w14:paraId="1982D427" w14:textId="77777777" w:rsidR="00C60507" w:rsidRPr="003F7F6C" w:rsidRDefault="00C60507" w:rsidP="002B3130">
            <w:pPr>
              <w:spacing w:after="0"/>
              <w:jc w:val="left"/>
              <w:rPr>
                <w:rFonts w:cs="Calibri"/>
                <w:sz w:val="18"/>
                <w:szCs w:val="18"/>
              </w:rPr>
            </w:pPr>
            <w:r w:rsidRPr="003F7F6C">
              <w:rPr>
                <w:rFonts w:cs="Calibri"/>
                <w:sz w:val="18"/>
                <w:szCs w:val="18"/>
              </w:rPr>
              <w:t>Northern Oasis – Green Belt</w:t>
            </w:r>
          </w:p>
        </w:tc>
      </w:tr>
      <w:tr w:rsidR="00287C43" w:rsidRPr="003F7F6C" w14:paraId="68F6EBB2" w14:textId="77777777" w:rsidTr="00E9673C">
        <w:tc>
          <w:tcPr>
            <w:tcW w:w="1252" w:type="dxa"/>
            <w:tcBorders>
              <w:top w:val="single" w:sz="18" w:space="0" w:color="auto"/>
              <w:left w:val="single" w:sz="18" w:space="0" w:color="auto"/>
              <w:right w:val="single" w:sz="18" w:space="0" w:color="auto"/>
            </w:tcBorders>
            <w:shd w:val="clear" w:color="auto" w:fill="auto"/>
          </w:tcPr>
          <w:p w14:paraId="7AFD0767" w14:textId="77777777" w:rsidR="00C60507" w:rsidRPr="003F7F6C" w:rsidRDefault="00C60507" w:rsidP="002B3130">
            <w:pPr>
              <w:spacing w:after="0"/>
              <w:rPr>
                <w:rFonts w:cs="Calibri"/>
                <w:sz w:val="18"/>
                <w:szCs w:val="18"/>
              </w:rPr>
            </w:pPr>
            <w:r w:rsidRPr="003F7F6C">
              <w:rPr>
                <w:rFonts w:cs="Calibri"/>
                <w:sz w:val="18"/>
                <w:szCs w:val="18"/>
              </w:rPr>
              <w:t>Ecoregions</w:t>
            </w:r>
          </w:p>
        </w:tc>
        <w:tc>
          <w:tcPr>
            <w:tcW w:w="1264" w:type="dxa"/>
            <w:tcBorders>
              <w:top w:val="single" w:sz="18" w:space="0" w:color="auto"/>
              <w:left w:val="single" w:sz="18" w:space="0" w:color="auto"/>
            </w:tcBorders>
            <w:shd w:val="clear" w:color="auto" w:fill="auto"/>
          </w:tcPr>
          <w:p w14:paraId="581205DC" w14:textId="77777777" w:rsidR="00C60507" w:rsidRPr="003F7F6C" w:rsidRDefault="00C60507" w:rsidP="002B3130">
            <w:pPr>
              <w:spacing w:after="0"/>
              <w:rPr>
                <w:rFonts w:eastAsia="Times New Roman" w:cs="Calibri"/>
                <w:bCs/>
                <w:sz w:val="18"/>
                <w:szCs w:val="18"/>
                <w:lang w:eastAsia="es-AR"/>
              </w:rPr>
            </w:pPr>
            <w:r w:rsidRPr="003F7F6C">
              <w:rPr>
                <w:rFonts w:eastAsia="Times New Roman" w:cs="Calibri"/>
                <w:bCs/>
                <w:sz w:val="18"/>
                <w:szCs w:val="18"/>
                <w:lang w:eastAsia="es-AR"/>
              </w:rPr>
              <w:t>Pampas</w:t>
            </w:r>
          </w:p>
        </w:tc>
        <w:tc>
          <w:tcPr>
            <w:tcW w:w="1601" w:type="dxa"/>
            <w:tcBorders>
              <w:top w:val="single" w:sz="18" w:space="0" w:color="auto"/>
            </w:tcBorders>
            <w:shd w:val="clear" w:color="auto" w:fill="auto"/>
          </w:tcPr>
          <w:p w14:paraId="4677A41C" w14:textId="77777777" w:rsidR="00C60507" w:rsidRPr="003F7F6C" w:rsidRDefault="00C60507" w:rsidP="002B3130">
            <w:pPr>
              <w:spacing w:after="0"/>
              <w:rPr>
                <w:rFonts w:cs="Calibri"/>
                <w:sz w:val="18"/>
                <w:szCs w:val="18"/>
              </w:rPr>
            </w:pPr>
            <w:r w:rsidRPr="003F7F6C">
              <w:rPr>
                <w:rFonts w:cs="Calibri"/>
                <w:sz w:val="18"/>
                <w:szCs w:val="18"/>
              </w:rPr>
              <w:t xml:space="preserve">Delta and </w:t>
            </w:r>
            <w:r w:rsidR="007A23FE" w:rsidRPr="003F7F6C">
              <w:rPr>
                <w:rFonts w:cs="Calibri"/>
                <w:sz w:val="18"/>
                <w:szCs w:val="18"/>
              </w:rPr>
              <w:t>i</w:t>
            </w:r>
            <w:r w:rsidRPr="003F7F6C">
              <w:rPr>
                <w:rFonts w:cs="Calibri"/>
                <w:sz w:val="18"/>
                <w:szCs w:val="18"/>
              </w:rPr>
              <w:t>slands of the Parana River</w:t>
            </w:r>
          </w:p>
        </w:tc>
        <w:tc>
          <w:tcPr>
            <w:tcW w:w="1232" w:type="dxa"/>
            <w:tcBorders>
              <w:top w:val="single" w:sz="18" w:space="0" w:color="auto"/>
              <w:right w:val="single" w:sz="18" w:space="0" w:color="auto"/>
            </w:tcBorders>
            <w:shd w:val="clear" w:color="auto" w:fill="auto"/>
          </w:tcPr>
          <w:p w14:paraId="76DFA22E" w14:textId="77777777" w:rsidR="00C60507" w:rsidRPr="003F7F6C" w:rsidRDefault="00C60507" w:rsidP="002B3130">
            <w:pPr>
              <w:spacing w:after="0"/>
              <w:rPr>
                <w:rFonts w:cs="Calibri"/>
                <w:sz w:val="18"/>
                <w:szCs w:val="18"/>
              </w:rPr>
            </w:pPr>
            <w:r w:rsidRPr="003F7F6C">
              <w:rPr>
                <w:rFonts w:cs="Calibri"/>
                <w:sz w:val="18"/>
                <w:szCs w:val="18"/>
              </w:rPr>
              <w:t>Espinal</w:t>
            </w:r>
          </w:p>
        </w:tc>
        <w:tc>
          <w:tcPr>
            <w:tcW w:w="1647" w:type="dxa"/>
            <w:tcBorders>
              <w:top w:val="single" w:sz="18" w:space="0" w:color="auto"/>
              <w:left w:val="single" w:sz="18" w:space="0" w:color="auto"/>
            </w:tcBorders>
            <w:shd w:val="clear" w:color="auto" w:fill="auto"/>
          </w:tcPr>
          <w:p w14:paraId="7C5DC102" w14:textId="77777777" w:rsidR="00C60507" w:rsidRPr="003F7F6C" w:rsidRDefault="00C60507" w:rsidP="002B3130">
            <w:pPr>
              <w:spacing w:after="0"/>
              <w:rPr>
                <w:rFonts w:cs="Calibri"/>
                <w:sz w:val="18"/>
                <w:szCs w:val="18"/>
              </w:rPr>
            </w:pPr>
            <w:r w:rsidRPr="003F7F6C">
              <w:rPr>
                <w:rFonts w:eastAsia="Times New Roman" w:cs="Calibri"/>
                <w:bCs/>
                <w:sz w:val="18"/>
                <w:szCs w:val="18"/>
                <w:lang w:eastAsia="es-AR"/>
              </w:rPr>
              <w:t>Puna, Yungas Forest, High Monte</w:t>
            </w:r>
          </w:p>
        </w:tc>
        <w:tc>
          <w:tcPr>
            <w:tcW w:w="1237" w:type="dxa"/>
            <w:tcBorders>
              <w:top w:val="single" w:sz="18" w:space="0" w:color="auto"/>
              <w:right w:val="single" w:sz="18" w:space="0" w:color="auto"/>
            </w:tcBorders>
            <w:shd w:val="clear" w:color="auto" w:fill="auto"/>
          </w:tcPr>
          <w:p w14:paraId="33C26522" w14:textId="77777777" w:rsidR="00C60507" w:rsidRPr="003F7F6C" w:rsidRDefault="00C60507" w:rsidP="002B3130">
            <w:pPr>
              <w:spacing w:after="0"/>
              <w:rPr>
                <w:rFonts w:cs="Calibri"/>
                <w:sz w:val="18"/>
                <w:szCs w:val="18"/>
              </w:rPr>
            </w:pPr>
            <w:r w:rsidRPr="003F7F6C">
              <w:rPr>
                <w:rFonts w:cs="Calibri"/>
                <w:sz w:val="18"/>
                <w:szCs w:val="18"/>
              </w:rPr>
              <w:t>Puna, High Andes</w:t>
            </w:r>
          </w:p>
        </w:tc>
        <w:tc>
          <w:tcPr>
            <w:tcW w:w="1278" w:type="dxa"/>
            <w:tcBorders>
              <w:top w:val="single" w:sz="18" w:space="0" w:color="auto"/>
              <w:left w:val="single" w:sz="18" w:space="0" w:color="auto"/>
            </w:tcBorders>
            <w:shd w:val="clear" w:color="auto" w:fill="auto"/>
          </w:tcPr>
          <w:p w14:paraId="43AEA97C" w14:textId="77777777" w:rsidR="00C60507" w:rsidRPr="003F7F6C" w:rsidRDefault="00C60507" w:rsidP="002B3130">
            <w:pPr>
              <w:spacing w:after="0"/>
              <w:rPr>
                <w:rFonts w:cs="Calibri"/>
                <w:sz w:val="18"/>
                <w:szCs w:val="18"/>
              </w:rPr>
            </w:pPr>
            <w:r w:rsidRPr="003F7F6C">
              <w:rPr>
                <w:rFonts w:cs="Calibri"/>
                <w:sz w:val="18"/>
                <w:szCs w:val="18"/>
              </w:rPr>
              <w:t>High Andes, Low Monte, High Monte</w:t>
            </w:r>
          </w:p>
        </w:tc>
        <w:tc>
          <w:tcPr>
            <w:tcW w:w="1222" w:type="dxa"/>
            <w:tcBorders>
              <w:top w:val="single" w:sz="18" w:space="0" w:color="auto"/>
            </w:tcBorders>
            <w:shd w:val="clear" w:color="auto" w:fill="auto"/>
          </w:tcPr>
          <w:p w14:paraId="1EA8D59D" w14:textId="77777777" w:rsidR="00C60507" w:rsidRPr="003F7F6C" w:rsidRDefault="00C60507" w:rsidP="002B3130">
            <w:pPr>
              <w:spacing w:after="0"/>
              <w:rPr>
                <w:rFonts w:cs="Calibri"/>
                <w:sz w:val="18"/>
                <w:szCs w:val="18"/>
              </w:rPr>
            </w:pPr>
            <w:r w:rsidRPr="003F7F6C">
              <w:rPr>
                <w:rFonts w:cs="Calibri"/>
                <w:sz w:val="18"/>
                <w:szCs w:val="18"/>
              </w:rPr>
              <w:t>High Andes, Low Monte, Patagonian Steppe</w:t>
            </w:r>
          </w:p>
        </w:tc>
        <w:tc>
          <w:tcPr>
            <w:tcW w:w="1197" w:type="dxa"/>
            <w:tcBorders>
              <w:top w:val="single" w:sz="18" w:space="0" w:color="auto"/>
            </w:tcBorders>
            <w:shd w:val="clear" w:color="auto" w:fill="auto"/>
          </w:tcPr>
          <w:p w14:paraId="4E179A29" w14:textId="77777777" w:rsidR="00C60507" w:rsidRPr="003F7F6C" w:rsidRDefault="00C60507" w:rsidP="002B3130">
            <w:pPr>
              <w:spacing w:after="0"/>
              <w:rPr>
                <w:rFonts w:cs="Calibri"/>
                <w:sz w:val="18"/>
                <w:szCs w:val="18"/>
              </w:rPr>
            </w:pPr>
            <w:r w:rsidRPr="003F7F6C">
              <w:rPr>
                <w:rFonts w:cs="Calibri"/>
                <w:color w:val="000000"/>
                <w:sz w:val="18"/>
                <w:szCs w:val="18"/>
              </w:rPr>
              <w:t>High Andes, Patagonian Steppe</w:t>
            </w:r>
          </w:p>
        </w:tc>
        <w:tc>
          <w:tcPr>
            <w:tcW w:w="1503" w:type="dxa"/>
            <w:tcBorders>
              <w:top w:val="single" w:sz="18" w:space="0" w:color="auto"/>
              <w:right w:val="single" w:sz="18" w:space="0" w:color="auto"/>
            </w:tcBorders>
            <w:shd w:val="clear" w:color="auto" w:fill="auto"/>
          </w:tcPr>
          <w:p w14:paraId="7A820496" w14:textId="77777777" w:rsidR="00C60507" w:rsidRPr="003F7F6C" w:rsidRDefault="00C60507" w:rsidP="002B3130">
            <w:pPr>
              <w:spacing w:after="0"/>
              <w:rPr>
                <w:rFonts w:cs="Calibri"/>
                <w:sz w:val="18"/>
                <w:szCs w:val="18"/>
              </w:rPr>
            </w:pPr>
            <w:r w:rsidRPr="003F7F6C">
              <w:rPr>
                <w:rFonts w:cs="Calibri"/>
                <w:color w:val="000000"/>
                <w:sz w:val="18"/>
                <w:szCs w:val="18"/>
              </w:rPr>
              <w:t>Low Monte</w:t>
            </w:r>
          </w:p>
        </w:tc>
      </w:tr>
      <w:tr w:rsidR="00287C43" w:rsidRPr="003F7F6C" w14:paraId="02DF9023" w14:textId="77777777" w:rsidTr="00E9673C">
        <w:tc>
          <w:tcPr>
            <w:tcW w:w="1252" w:type="dxa"/>
            <w:tcBorders>
              <w:left w:val="single" w:sz="18" w:space="0" w:color="auto"/>
              <w:right w:val="single" w:sz="18" w:space="0" w:color="auto"/>
            </w:tcBorders>
            <w:shd w:val="clear" w:color="auto" w:fill="auto"/>
          </w:tcPr>
          <w:p w14:paraId="63BCF995" w14:textId="77777777" w:rsidR="00C60507" w:rsidRPr="003F7F6C" w:rsidRDefault="00C60507" w:rsidP="002B3130">
            <w:pPr>
              <w:spacing w:after="0"/>
              <w:rPr>
                <w:rFonts w:cs="Calibri"/>
                <w:sz w:val="18"/>
                <w:szCs w:val="18"/>
              </w:rPr>
            </w:pPr>
            <w:r w:rsidRPr="003F7F6C">
              <w:rPr>
                <w:rFonts w:cs="Calibri"/>
                <w:sz w:val="18"/>
                <w:szCs w:val="18"/>
              </w:rPr>
              <w:t>Surface area (has)</w:t>
            </w:r>
          </w:p>
        </w:tc>
        <w:tc>
          <w:tcPr>
            <w:tcW w:w="1264" w:type="dxa"/>
            <w:tcBorders>
              <w:left w:val="single" w:sz="18" w:space="0" w:color="auto"/>
            </w:tcBorders>
            <w:shd w:val="clear" w:color="auto" w:fill="auto"/>
          </w:tcPr>
          <w:p w14:paraId="63BFB4E0" w14:textId="77777777" w:rsidR="00C60507" w:rsidRPr="003F7F6C" w:rsidRDefault="00C60507" w:rsidP="002B3130">
            <w:pPr>
              <w:spacing w:after="0"/>
              <w:jc w:val="right"/>
              <w:rPr>
                <w:rFonts w:eastAsia="Times New Roman" w:cs="Calibri"/>
                <w:bCs/>
                <w:sz w:val="18"/>
                <w:szCs w:val="18"/>
                <w:lang w:eastAsia="es-AR"/>
              </w:rPr>
            </w:pPr>
            <w:r w:rsidRPr="003F7F6C">
              <w:rPr>
                <w:rFonts w:eastAsia="Times New Roman" w:cs="Calibri"/>
                <w:bCs/>
                <w:sz w:val="18"/>
                <w:szCs w:val="18"/>
                <w:lang w:eastAsia="es-AR"/>
              </w:rPr>
              <w:t>275,000</w:t>
            </w:r>
          </w:p>
        </w:tc>
        <w:tc>
          <w:tcPr>
            <w:tcW w:w="1601" w:type="dxa"/>
            <w:shd w:val="clear" w:color="auto" w:fill="auto"/>
          </w:tcPr>
          <w:p w14:paraId="4C8AD6DB" w14:textId="77777777" w:rsidR="00C60507" w:rsidRPr="003F7F6C" w:rsidRDefault="00C60507" w:rsidP="002B3130">
            <w:pPr>
              <w:spacing w:after="0"/>
              <w:jc w:val="right"/>
              <w:rPr>
                <w:rFonts w:eastAsia="Times New Roman" w:cs="Calibri"/>
                <w:bCs/>
                <w:sz w:val="18"/>
                <w:szCs w:val="18"/>
                <w:lang w:eastAsia="es-AR"/>
              </w:rPr>
            </w:pPr>
            <w:r w:rsidRPr="003F7F6C">
              <w:rPr>
                <w:rFonts w:eastAsia="Times New Roman" w:cs="Calibri"/>
                <w:bCs/>
                <w:sz w:val="18"/>
                <w:szCs w:val="18"/>
                <w:lang w:eastAsia="es-AR"/>
              </w:rPr>
              <w:t>6,300</w:t>
            </w:r>
          </w:p>
        </w:tc>
        <w:tc>
          <w:tcPr>
            <w:tcW w:w="1232" w:type="dxa"/>
            <w:tcBorders>
              <w:right w:val="single" w:sz="18" w:space="0" w:color="auto"/>
            </w:tcBorders>
            <w:shd w:val="clear" w:color="auto" w:fill="auto"/>
          </w:tcPr>
          <w:p w14:paraId="05617577" w14:textId="77777777" w:rsidR="00C60507" w:rsidRPr="003F7F6C" w:rsidRDefault="00C60507" w:rsidP="002B3130">
            <w:pPr>
              <w:spacing w:after="0"/>
              <w:jc w:val="right"/>
              <w:rPr>
                <w:rFonts w:cs="Calibri"/>
                <w:sz w:val="18"/>
                <w:szCs w:val="18"/>
              </w:rPr>
            </w:pPr>
            <w:r w:rsidRPr="003F7F6C">
              <w:rPr>
                <w:rFonts w:cs="Calibri"/>
                <w:sz w:val="18"/>
                <w:szCs w:val="18"/>
              </w:rPr>
              <w:t>180,400</w:t>
            </w:r>
          </w:p>
        </w:tc>
        <w:tc>
          <w:tcPr>
            <w:tcW w:w="1647" w:type="dxa"/>
            <w:tcBorders>
              <w:left w:val="single" w:sz="18" w:space="0" w:color="auto"/>
            </w:tcBorders>
            <w:shd w:val="clear" w:color="auto" w:fill="auto"/>
          </w:tcPr>
          <w:p w14:paraId="06E40AE9" w14:textId="77777777" w:rsidR="00C60507" w:rsidRPr="003F7F6C" w:rsidRDefault="0064360B" w:rsidP="002B3130">
            <w:pPr>
              <w:spacing w:after="0"/>
              <w:jc w:val="right"/>
              <w:rPr>
                <w:rFonts w:cs="Calibri"/>
                <w:sz w:val="18"/>
                <w:szCs w:val="18"/>
                <w:lang w:val="es-PY"/>
              </w:rPr>
            </w:pPr>
            <w:r w:rsidRPr="003F7F6C">
              <w:rPr>
                <w:rFonts w:cs="Calibri"/>
                <w:sz w:val="18"/>
                <w:szCs w:val="18"/>
                <w:lang w:val="es-PY"/>
              </w:rPr>
              <w:t>86,974</w:t>
            </w:r>
          </w:p>
          <w:p w14:paraId="7583345B" w14:textId="77777777" w:rsidR="00C60507" w:rsidRPr="003F7F6C" w:rsidRDefault="00C60507" w:rsidP="002B3130">
            <w:pPr>
              <w:spacing w:after="0"/>
              <w:rPr>
                <w:rFonts w:cs="Calibri"/>
                <w:sz w:val="18"/>
                <w:szCs w:val="18"/>
                <w:lang w:val="es-PY"/>
              </w:rPr>
            </w:pPr>
          </w:p>
          <w:p w14:paraId="457C6B3D" w14:textId="77777777" w:rsidR="00C60507" w:rsidRPr="003F7F6C" w:rsidRDefault="00C60507" w:rsidP="002B3130">
            <w:pPr>
              <w:spacing w:after="0"/>
              <w:jc w:val="right"/>
              <w:rPr>
                <w:rFonts w:cs="Calibri"/>
                <w:sz w:val="18"/>
                <w:szCs w:val="18"/>
              </w:rPr>
            </w:pPr>
            <w:r w:rsidRPr="003F7F6C">
              <w:rPr>
                <w:rFonts w:cs="Calibri"/>
                <w:sz w:val="18"/>
                <w:szCs w:val="18"/>
              </w:rPr>
              <w:t xml:space="preserve">Puna: </w:t>
            </w:r>
            <w:r w:rsidR="0064360B" w:rsidRPr="003F7F6C">
              <w:rPr>
                <w:rFonts w:cs="Calibri"/>
                <w:sz w:val="18"/>
                <w:szCs w:val="18"/>
              </w:rPr>
              <w:t>51,915</w:t>
            </w:r>
          </w:p>
          <w:p w14:paraId="512AD774" w14:textId="77777777" w:rsidR="00C60507" w:rsidRPr="003F7F6C" w:rsidRDefault="00C60507" w:rsidP="002B3130">
            <w:pPr>
              <w:spacing w:after="0"/>
              <w:jc w:val="right"/>
              <w:rPr>
                <w:rFonts w:cs="Calibri"/>
                <w:sz w:val="18"/>
                <w:szCs w:val="18"/>
              </w:rPr>
            </w:pPr>
            <w:r w:rsidRPr="003F7F6C">
              <w:rPr>
                <w:rFonts w:cs="Calibri"/>
                <w:sz w:val="18"/>
                <w:szCs w:val="18"/>
              </w:rPr>
              <w:t xml:space="preserve">Yungas: </w:t>
            </w:r>
            <w:r w:rsidR="0064360B" w:rsidRPr="003F7F6C">
              <w:rPr>
                <w:rFonts w:cs="Calibri"/>
                <w:sz w:val="18"/>
                <w:szCs w:val="18"/>
              </w:rPr>
              <w:t>14,40</w:t>
            </w:r>
            <w:r w:rsidR="00AF5C1B" w:rsidRPr="003F7F6C">
              <w:rPr>
                <w:rFonts w:cs="Calibri"/>
                <w:sz w:val="18"/>
                <w:szCs w:val="18"/>
              </w:rPr>
              <w:t>3</w:t>
            </w:r>
          </w:p>
          <w:p w14:paraId="7398643D" w14:textId="77777777" w:rsidR="00C60507" w:rsidRPr="003F7F6C" w:rsidRDefault="00C60507" w:rsidP="002B3130">
            <w:pPr>
              <w:spacing w:after="0"/>
              <w:jc w:val="right"/>
              <w:rPr>
                <w:rFonts w:cs="Calibri"/>
                <w:sz w:val="18"/>
                <w:szCs w:val="18"/>
              </w:rPr>
            </w:pPr>
            <w:r w:rsidRPr="003F7F6C">
              <w:rPr>
                <w:rFonts w:cs="Calibri"/>
                <w:sz w:val="18"/>
                <w:szCs w:val="18"/>
              </w:rPr>
              <w:t xml:space="preserve">High Monte: </w:t>
            </w:r>
            <w:r w:rsidR="0064360B" w:rsidRPr="003F7F6C">
              <w:rPr>
                <w:rFonts w:cs="Calibri"/>
                <w:sz w:val="18"/>
                <w:szCs w:val="18"/>
              </w:rPr>
              <w:t>20,656</w:t>
            </w:r>
          </w:p>
        </w:tc>
        <w:tc>
          <w:tcPr>
            <w:tcW w:w="1237" w:type="dxa"/>
            <w:tcBorders>
              <w:right w:val="single" w:sz="18" w:space="0" w:color="auto"/>
            </w:tcBorders>
            <w:shd w:val="clear" w:color="auto" w:fill="auto"/>
          </w:tcPr>
          <w:p w14:paraId="384A75F7" w14:textId="77777777" w:rsidR="00C60507" w:rsidRPr="003F7F6C" w:rsidRDefault="0064360B" w:rsidP="002B3130">
            <w:pPr>
              <w:spacing w:after="0"/>
              <w:jc w:val="right"/>
              <w:rPr>
                <w:rFonts w:cs="Calibri"/>
                <w:sz w:val="18"/>
                <w:szCs w:val="18"/>
                <w:lang w:val="es-PY"/>
              </w:rPr>
            </w:pPr>
            <w:r w:rsidRPr="003F7F6C">
              <w:rPr>
                <w:rFonts w:cs="Calibri"/>
                <w:sz w:val="18"/>
                <w:szCs w:val="18"/>
                <w:lang w:val="es-PY"/>
              </w:rPr>
              <w:t>32,354</w:t>
            </w:r>
          </w:p>
          <w:p w14:paraId="1B9C5DAC" w14:textId="77777777" w:rsidR="00B87174" w:rsidRPr="003F7F6C" w:rsidRDefault="00B87174" w:rsidP="002B3130">
            <w:pPr>
              <w:spacing w:after="0"/>
              <w:jc w:val="right"/>
              <w:rPr>
                <w:rFonts w:cs="Calibri"/>
                <w:sz w:val="18"/>
                <w:szCs w:val="18"/>
                <w:lang w:val="es-PY"/>
              </w:rPr>
            </w:pPr>
          </w:p>
          <w:p w14:paraId="58C25A43" w14:textId="77777777" w:rsidR="00C60507" w:rsidRPr="003F7F6C" w:rsidRDefault="00C60507" w:rsidP="0064360B">
            <w:pPr>
              <w:spacing w:after="0"/>
              <w:jc w:val="right"/>
              <w:rPr>
                <w:rFonts w:cs="Calibri"/>
                <w:sz w:val="18"/>
                <w:szCs w:val="18"/>
              </w:rPr>
            </w:pPr>
            <w:r w:rsidRPr="003F7F6C">
              <w:rPr>
                <w:rFonts w:cs="Calibri"/>
                <w:sz w:val="18"/>
                <w:szCs w:val="18"/>
              </w:rPr>
              <w:t xml:space="preserve">Puna: </w:t>
            </w:r>
            <w:r w:rsidR="0064360B" w:rsidRPr="003F7F6C">
              <w:rPr>
                <w:rFonts w:cs="Calibri"/>
                <w:sz w:val="18"/>
                <w:szCs w:val="18"/>
              </w:rPr>
              <w:t>9,962</w:t>
            </w:r>
          </w:p>
          <w:p w14:paraId="330DA0D2" w14:textId="77777777" w:rsidR="00C60507" w:rsidRPr="003F7F6C" w:rsidRDefault="00C60507" w:rsidP="002B3130">
            <w:pPr>
              <w:spacing w:after="0"/>
              <w:jc w:val="right"/>
              <w:rPr>
                <w:rFonts w:cs="Calibri"/>
                <w:sz w:val="18"/>
                <w:szCs w:val="18"/>
              </w:rPr>
            </w:pPr>
            <w:r w:rsidRPr="003F7F6C">
              <w:rPr>
                <w:rFonts w:cs="Calibri"/>
                <w:sz w:val="18"/>
                <w:szCs w:val="18"/>
              </w:rPr>
              <w:t xml:space="preserve">High Andes: </w:t>
            </w:r>
            <w:r w:rsidR="0064360B" w:rsidRPr="003F7F6C">
              <w:rPr>
                <w:rFonts w:cs="Calibri"/>
                <w:sz w:val="18"/>
                <w:szCs w:val="18"/>
              </w:rPr>
              <w:t>22,392</w:t>
            </w:r>
          </w:p>
          <w:p w14:paraId="2CDF6205" w14:textId="77777777" w:rsidR="00C60507" w:rsidRPr="003F7F6C" w:rsidRDefault="00C60507" w:rsidP="002B3130">
            <w:pPr>
              <w:spacing w:after="0"/>
              <w:rPr>
                <w:rFonts w:cs="Calibri"/>
                <w:sz w:val="18"/>
                <w:szCs w:val="18"/>
              </w:rPr>
            </w:pPr>
          </w:p>
        </w:tc>
        <w:tc>
          <w:tcPr>
            <w:tcW w:w="1278" w:type="dxa"/>
            <w:tcBorders>
              <w:left w:val="single" w:sz="18" w:space="0" w:color="auto"/>
            </w:tcBorders>
            <w:shd w:val="clear" w:color="auto" w:fill="auto"/>
          </w:tcPr>
          <w:p w14:paraId="10C02978" w14:textId="77777777" w:rsidR="00C60507" w:rsidRPr="003F7F6C" w:rsidRDefault="00C60507" w:rsidP="002B3130">
            <w:pPr>
              <w:spacing w:after="0"/>
              <w:jc w:val="right"/>
              <w:rPr>
                <w:rFonts w:cs="Calibri"/>
                <w:sz w:val="18"/>
                <w:szCs w:val="18"/>
              </w:rPr>
            </w:pPr>
            <w:r w:rsidRPr="003F7F6C">
              <w:rPr>
                <w:rFonts w:cs="Calibri"/>
                <w:sz w:val="18"/>
                <w:szCs w:val="18"/>
              </w:rPr>
              <w:t>25,711</w:t>
            </w:r>
          </w:p>
          <w:p w14:paraId="3703974B" w14:textId="77777777" w:rsidR="00C60507" w:rsidRPr="003F7F6C" w:rsidRDefault="00C60507" w:rsidP="002B3130">
            <w:pPr>
              <w:spacing w:after="0"/>
              <w:jc w:val="right"/>
              <w:rPr>
                <w:rFonts w:cs="Calibri"/>
                <w:sz w:val="18"/>
                <w:szCs w:val="18"/>
              </w:rPr>
            </w:pPr>
          </w:p>
          <w:p w14:paraId="1FCFE2A7" w14:textId="77777777" w:rsidR="00C60507" w:rsidRPr="003F7F6C" w:rsidRDefault="00C60507" w:rsidP="002B3130">
            <w:pPr>
              <w:spacing w:after="0"/>
              <w:jc w:val="right"/>
              <w:rPr>
                <w:rFonts w:cs="Calibri"/>
                <w:sz w:val="18"/>
                <w:szCs w:val="18"/>
              </w:rPr>
            </w:pPr>
            <w:r w:rsidRPr="003F7F6C">
              <w:rPr>
                <w:rFonts w:cs="Calibri"/>
                <w:sz w:val="18"/>
                <w:szCs w:val="18"/>
              </w:rPr>
              <w:t>High Andes: 358</w:t>
            </w:r>
          </w:p>
          <w:p w14:paraId="0536E24F" w14:textId="77777777" w:rsidR="00C60507" w:rsidRPr="003F7F6C" w:rsidRDefault="00C60507" w:rsidP="002B3130">
            <w:pPr>
              <w:spacing w:after="0"/>
              <w:jc w:val="right"/>
              <w:rPr>
                <w:rFonts w:cs="Calibri"/>
                <w:sz w:val="18"/>
                <w:szCs w:val="18"/>
              </w:rPr>
            </w:pPr>
            <w:r w:rsidRPr="003F7F6C">
              <w:rPr>
                <w:rFonts w:cs="Calibri"/>
                <w:sz w:val="18"/>
                <w:szCs w:val="18"/>
              </w:rPr>
              <w:t>Low Monte: 19,034</w:t>
            </w:r>
          </w:p>
          <w:p w14:paraId="2594A8AC" w14:textId="77777777" w:rsidR="00C60507" w:rsidRPr="003F7F6C" w:rsidRDefault="00C60507" w:rsidP="002B3130">
            <w:pPr>
              <w:spacing w:after="0"/>
              <w:jc w:val="right"/>
              <w:rPr>
                <w:rFonts w:cs="Calibri"/>
                <w:sz w:val="18"/>
                <w:szCs w:val="18"/>
              </w:rPr>
            </w:pPr>
            <w:r w:rsidRPr="003F7F6C">
              <w:rPr>
                <w:rFonts w:cs="Calibri"/>
                <w:sz w:val="18"/>
                <w:szCs w:val="18"/>
              </w:rPr>
              <w:t>High Monte: 6,319</w:t>
            </w:r>
          </w:p>
        </w:tc>
        <w:tc>
          <w:tcPr>
            <w:tcW w:w="1222" w:type="dxa"/>
            <w:shd w:val="clear" w:color="auto" w:fill="auto"/>
          </w:tcPr>
          <w:p w14:paraId="53179C42" w14:textId="77777777" w:rsidR="00C60507" w:rsidRPr="003F7F6C" w:rsidRDefault="00C60507" w:rsidP="00CB5E8C">
            <w:pPr>
              <w:spacing w:after="0"/>
              <w:jc w:val="right"/>
              <w:rPr>
                <w:rFonts w:cs="Calibri"/>
                <w:sz w:val="18"/>
                <w:szCs w:val="18"/>
              </w:rPr>
            </w:pPr>
            <w:r w:rsidRPr="003F7F6C">
              <w:rPr>
                <w:rFonts w:cs="Calibri"/>
                <w:sz w:val="18"/>
                <w:szCs w:val="18"/>
              </w:rPr>
              <w:t>28,525</w:t>
            </w:r>
          </w:p>
          <w:p w14:paraId="4BD27EA5" w14:textId="77777777" w:rsidR="00C60507" w:rsidRPr="003F7F6C" w:rsidRDefault="00C60507" w:rsidP="002B3130">
            <w:pPr>
              <w:spacing w:after="0"/>
              <w:rPr>
                <w:rFonts w:cs="Calibri"/>
                <w:sz w:val="18"/>
                <w:szCs w:val="18"/>
              </w:rPr>
            </w:pPr>
          </w:p>
          <w:p w14:paraId="655164A5" w14:textId="77777777" w:rsidR="00C60507" w:rsidRPr="003F7F6C" w:rsidRDefault="00C60507" w:rsidP="002B3130">
            <w:pPr>
              <w:spacing w:after="0"/>
              <w:jc w:val="right"/>
              <w:rPr>
                <w:rFonts w:cs="Calibri"/>
                <w:sz w:val="18"/>
                <w:szCs w:val="18"/>
              </w:rPr>
            </w:pPr>
            <w:r w:rsidRPr="003F7F6C">
              <w:rPr>
                <w:rFonts w:cs="Calibri"/>
                <w:sz w:val="18"/>
                <w:szCs w:val="18"/>
              </w:rPr>
              <w:t>High Andes: 2,138</w:t>
            </w:r>
          </w:p>
          <w:p w14:paraId="7E8EEC93" w14:textId="77777777" w:rsidR="00C60507" w:rsidRPr="003F7F6C" w:rsidRDefault="00C60507" w:rsidP="002B3130">
            <w:pPr>
              <w:spacing w:after="0"/>
              <w:jc w:val="right"/>
              <w:rPr>
                <w:rFonts w:cs="Calibri"/>
                <w:sz w:val="18"/>
                <w:szCs w:val="18"/>
              </w:rPr>
            </w:pPr>
            <w:r w:rsidRPr="003F7F6C">
              <w:rPr>
                <w:rFonts w:cs="Calibri"/>
                <w:sz w:val="18"/>
                <w:szCs w:val="18"/>
              </w:rPr>
              <w:t>Low Monte: 200</w:t>
            </w:r>
          </w:p>
          <w:p w14:paraId="4C16AD0D" w14:textId="77777777" w:rsidR="00C60507" w:rsidRPr="003F7F6C" w:rsidRDefault="00C60507" w:rsidP="002B3130">
            <w:pPr>
              <w:spacing w:after="0"/>
              <w:jc w:val="right"/>
              <w:rPr>
                <w:rFonts w:cs="Calibri"/>
                <w:sz w:val="18"/>
                <w:szCs w:val="18"/>
              </w:rPr>
            </w:pPr>
            <w:r w:rsidRPr="003F7F6C">
              <w:rPr>
                <w:rFonts w:cs="Calibri"/>
                <w:sz w:val="18"/>
                <w:szCs w:val="18"/>
              </w:rPr>
              <w:t>Patagonian Steppe: 26,187</w:t>
            </w:r>
          </w:p>
        </w:tc>
        <w:tc>
          <w:tcPr>
            <w:tcW w:w="1197" w:type="dxa"/>
            <w:shd w:val="clear" w:color="auto" w:fill="auto"/>
          </w:tcPr>
          <w:p w14:paraId="1CF9AA0F" w14:textId="77777777" w:rsidR="00C60507" w:rsidRPr="003F7F6C" w:rsidRDefault="00C60507" w:rsidP="00CB5E8C">
            <w:pPr>
              <w:spacing w:after="0"/>
              <w:jc w:val="right"/>
              <w:rPr>
                <w:rFonts w:cs="Calibri"/>
                <w:sz w:val="18"/>
                <w:szCs w:val="18"/>
              </w:rPr>
            </w:pPr>
            <w:r w:rsidRPr="003F7F6C">
              <w:rPr>
                <w:rFonts w:cs="Calibri"/>
                <w:sz w:val="18"/>
                <w:szCs w:val="18"/>
              </w:rPr>
              <w:t>42,884</w:t>
            </w:r>
          </w:p>
          <w:p w14:paraId="30FDCF3A" w14:textId="77777777" w:rsidR="00C60507" w:rsidRPr="003F7F6C" w:rsidRDefault="00C60507" w:rsidP="002B3130">
            <w:pPr>
              <w:spacing w:after="0"/>
              <w:rPr>
                <w:rFonts w:cs="Calibri"/>
                <w:sz w:val="18"/>
                <w:szCs w:val="18"/>
              </w:rPr>
            </w:pPr>
          </w:p>
          <w:p w14:paraId="1403AC61" w14:textId="77777777" w:rsidR="00C60507" w:rsidRPr="003F7F6C" w:rsidRDefault="00C60507" w:rsidP="002B3130">
            <w:pPr>
              <w:spacing w:after="0"/>
              <w:jc w:val="right"/>
              <w:rPr>
                <w:rFonts w:cs="Calibri"/>
                <w:sz w:val="18"/>
                <w:szCs w:val="18"/>
              </w:rPr>
            </w:pPr>
            <w:r w:rsidRPr="003F7F6C">
              <w:rPr>
                <w:rFonts w:cs="Calibri"/>
                <w:sz w:val="18"/>
                <w:szCs w:val="18"/>
              </w:rPr>
              <w:t>High Andes: 29,647</w:t>
            </w:r>
          </w:p>
          <w:p w14:paraId="6BF8C394" w14:textId="77777777" w:rsidR="00C60507" w:rsidRPr="003F7F6C" w:rsidRDefault="00C60507" w:rsidP="002B3130">
            <w:pPr>
              <w:spacing w:after="0"/>
              <w:jc w:val="right"/>
              <w:rPr>
                <w:rFonts w:cs="Calibri"/>
                <w:sz w:val="18"/>
                <w:szCs w:val="18"/>
              </w:rPr>
            </w:pPr>
            <w:r w:rsidRPr="003F7F6C">
              <w:rPr>
                <w:rFonts w:cs="Calibri"/>
                <w:sz w:val="18"/>
                <w:szCs w:val="18"/>
              </w:rPr>
              <w:t>Patagonian Steppe: 13,237</w:t>
            </w:r>
          </w:p>
          <w:p w14:paraId="4173E366" w14:textId="77777777" w:rsidR="00C60507" w:rsidRPr="003F7F6C" w:rsidRDefault="00C60507" w:rsidP="002B3130">
            <w:pPr>
              <w:spacing w:after="0"/>
              <w:rPr>
                <w:rFonts w:cs="Calibri"/>
                <w:sz w:val="18"/>
                <w:szCs w:val="18"/>
              </w:rPr>
            </w:pPr>
          </w:p>
        </w:tc>
        <w:tc>
          <w:tcPr>
            <w:tcW w:w="1503" w:type="dxa"/>
            <w:tcBorders>
              <w:right w:val="single" w:sz="18" w:space="0" w:color="auto"/>
            </w:tcBorders>
            <w:shd w:val="clear" w:color="auto" w:fill="auto"/>
          </w:tcPr>
          <w:p w14:paraId="15E7A9C8" w14:textId="77777777" w:rsidR="00C60507" w:rsidRPr="003F7F6C" w:rsidRDefault="00C60507" w:rsidP="002B3130">
            <w:pPr>
              <w:spacing w:after="0"/>
              <w:rPr>
                <w:rFonts w:cs="Calibri"/>
                <w:sz w:val="18"/>
                <w:szCs w:val="18"/>
              </w:rPr>
            </w:pPr>
            <w:r w:rsidRPr="003F7F6C">
              <w:rPr>
                <w:rFonts w:cs="Calibri"/>
                <w:sz w:val="18"/>
                <w:szCs w:val="18"/>
              </w:rPr>
              <w:t>63,35</w:t>
            </w:r>
            <w:r w:rsidR="00CB5E8C" w:rsidRPr="003F7F6C">
              <w:rPr>
                <w:rFonts w:cs="Calibri"/>
                <w:sz w:val="18"/>
                <w:szCs w:val="18"/>
              </w:rPr>
              <w:t>0</w:t>
            </w:r>
          </w:p>
          <w:p w14:paraId="73691C71" w14:textId="77777777" w:rsidR="00C60507" w:rsidRPr="003F7F6C" w:rsidRDefault="00C60507" w:rsidP="002B3130">
            <w:pPr>
              <w:spacing w:after="0"/>
              <w:rPr>
                <w:rFonts w:cs="Calibri"/>
                <w:sz w:val="18"/>
                <w:szCs w:val="18"/>
              </w:rPr>
            </w:pPr>
          </w:p>
          <w:p w14:paraId="2275237F" w14:textId="77777777" w:rsidR="00C60507" w:rsidRPr="003F7F6C" w:rsidRDefault="00C60507" w:rsidP="002B3130">
            <w:pPr>
              <w:spacing w:after="0"/>
              <w:jc w:val="right"/>
              <w:rPr>
                <w:rFonts w:cs="Calibri"/>
                <w:sz w:val="18"/>
                <w:szCs w:val="18"/>
              </w:rPr>
            </w:pPr>
            <w:r w:rsidRPr="003F7F6C">
              <w:rPr>
                <w:rFonts w:cs="Calibri"/>
                <w:sz w:val="18"/>
                <w:szCs w:val="18"/>
              </w:rPr>
              <w:t>Low Monte: 63,35</w:t>
            </w:r>
            <w:r w:rsidR="00CB5E8C" w:rsidRPr="003F7F6C">
              <w:rPr>
                <w:rFonts w:cs="Calibri"/>
                <w:sz w:val="18"/>
                <w:szCs w:val="18"/>
              </w:rPr>
              <w:t>0</w:t>
            </w:r>
          </w:p>
        </w:tc>
      </w:tr>
      <w:tr w:rsidR="00287C43" w:rsidRPr="003F7F6C" w14:paraId="04CAE98C" w14:textId="77777777" w:rsidTr="00E9673C">
        <w:tc>
          <w:tcPr>
            <w:tcW w:w="1252" w:type="dxa"/>
            <w:tcBorders>
              <w:left w:val="single" w:sz="18" w:space="0" w:color="auto"/>
              <w:right w:val="single" w:sz="18" w:space="0" w:color="auto"/>
            </w:tcBorders>
            <w:shd w:val="clear" w:color="auto" w:fill="auto"/>
          </w:tcPr>
          <w:p w14:paraId="55A94FC0" w14:textId="77777777" w:rsidR="00C60507" w:rsidRPr="003F7F6C" w:rsidRDefault="00C60507" w:rsidP="002B3130">
            <w:pPr>
              <w:spacing w:after="0"/>
              <w:rPr>
                <w:rFonts w:cs="Calibri"/>
                <w:sz w:val="18"/>
                <w:szCs w:val="18"/>
              </w:rPr>
            </w:pPr>
            <w:r w:rsidRPr="003F7F6C">
              <w:rPr>
                <w:rFonts w:cs="Calibri"/>
                <w:sz w:val="18"/>
                <w:szCs w:val="18"/>
              </w:rPr>
              <w:t>Main localities and population</w:t>
            </w:r>
          </w:p>
        </w:tc>
        <w:tc>
          <w:tcPr>
            <w:tcW w:w="1264" w:type="dxa"/>
            <w:tcBorders>
              <w:left w:val="single" w:sz="18" w:space="0" w:color="auto"/>
            </w:tcBorders>
            <w:shd w:val="clear" w:color="auto" w:fill="auto"/>
          </w:tcPr>
          <w:p w14:paraId="5B656C11" w14:textId="77777777" w:rsidR="00C60507" w:rsidRPr="003F7F6C" w:rsidRDefault="00C60507" w:rsidP="002B3130">
            <w:pPr>
              <w:spacing w:after="0"/>
              <w:rPr>
                <w:rFonts w:cs="Calibri"/>
                <w:sz w:val="18"/>
                <w:szCs w:val="18"/>
                <w:lang w:val="es-ES"/>
              </w:rPr>
            </w:pPr>
            <w:r w:rsidRPr="003F7F6C">
              <w:rPr>
                <w:rFonts w:cs="Calibri"/>
                <w:sz w:val="18"/>
                <w:szCs w:val="18"/>
                <w:lang w:val="es-ES"/>
              </w:rPr>
              <w:t>Magdalena, Punta Indio, Chascomús, Lezama,  Castelli</w:t>
            </w:r>
          </w:p>
          <w:p w14:paraId="5CEFA78F" w14:textId="77777777" w:rsidR="00C60507" w:rsidRPr="003F7F6C" w:rsidRDefault="00C60507" w:rsidP="002B3130">
            <w:pPr>
              <w:spacing w:after="0"/>
              <w:rPr>
                <w:rFonts w:cs="Calibri"/>
                <w:sz w:val="18"/>
                <w:szCs w:val="18"/>
                <w:lang w:val="es-ES"/>
              </w:rPr>
            </w:pPr>
          </w:p>
          <w:p w14:paraId="70FBFB8D" w14:textId="77777777" w:rsidR="00C60507" w:rsidRPr="003F7F6C" w:rsidRDefault="00C6220D" w:rsidP="002B3130">
            <w:pPr>
              <w:spacing w:after="0"/>
              <w:rPr>
                <w:rFonts w:eastAsia="Times New Roman" w:cs="Calibri"/>
                <w:bCs/>
                <w:sz w:val="18"/>
                <w:szCs w:val="18"/>
                <w:lang w:eastAsia="es-AR"/>
              </w:rPr>
            </w:pPr>
            <w:r w:rsidRPr="003F7F6C">
              <w:rPr>
                <w:rFonts w:eastAsia="Times New Roman" w:cs="Calibri"/>
                <w:bCs/>
                <w:sz w:val="18"/>
                <w:szCs w:val="18"/>
                <w:lang w:eastAsia="es-AR"/>
              </w:rPr>
              <w:t>67,936 inhabitants, mostly urban (only 4.8% is rural)</w:t>
            </w:r>
            <w:r w:rsidR="00C60507" w:rsidRPr="003F7F6C">
              <w:rPr>
                <w:rFonts w:eastAsia="Times New Roman" w:cs="Calibri"/>
                <w:bCs/>
                <w:color w:val="FF0000"/>
                <w:sz w:val="18"/>
                <w:szCs w:val="18"/>
                <w:lang w:eastAsia="es-AR"/>
              </w:rPr>
              <w:t xml:space="preserve"> </w:t>
            </w:r>
          </w:p>
        </w:tc>
        <w:tc>
          <w:tcPr>
            <w:tcW w:w="1601" w:type="dxa"/>
            <w:shd w:val="clear" w:color="auto" w:fill="auto"/>
          </w:tcPr>
          <w:p w14:paraId="0DEE51ED" w14:textId="77777777" w:rsidR="00C60507" w:rsidRPr="003F7F6C" w:rsidRDefault="00C60507" w:rsidP="002B3130">
            <w:pPr>
              <w:spacing w:after="0"/>
              <w:rPr>
                <w:rFonts w:eastAsia="Times New Roman" w:cs="Calibri"/>
                <w:bCs/>
                <w:sz w:val="18"/>
                <w:szCs w:val="18"/>
                <w:lang w:eastAsia="es-AR"/>
              </w:rPr>
            </w:pPr>
            <w:r w:rsidRPr="003F7F6C">
              <w:rPr>
                <w:rFonts w:eastAsia="Times New Roman" w:cs="Calibri"/>
                <w:bCs/>
                <w:sz w:val="18"/>
                <w:szCs w:val="18"/>
                <w:lang w:eastAsia="es-AR"/>
              </w:rPr>
              <w:t>Campana; San Fernando</w:t>
            </w:r>
          </w:p>
          <w:p w14:paraId="0AC9B4C3" w14:textId="77777777" w:rsidR="00C60507" w:rsidRPr="003F7F6C" w:rsidRDefault="00C60507" w:rsidP="002B3130">
            <w:pPr>
              <w:spacing w:after="0"/>
              <w:rPr>
                <w:rFonts w:eastAsia="Times New Roman" w:cs="Calibri"/>
                <w:bCs/>
                <w:sz w:val="18"/>
                <w:szCs w:val="18"/>
                <w:lang w:eastAsia="es-AR"/>
              </w:rPr>
            </w:pPr>
          </w:p>
          <w:p w14:paraId="77285123" w14:textId="77777777" w:rsidR="00C60507" w:rsidRPr="003F7F6C" w:rsidRDefault="00C60507" w:rsidP="002B3130">
            <w:pPr>
              <w:spacing w:after="0"/>
              <w:rPr>
                <w:rFonts w:eastAsia="Times New Roman" w:cs="Calibri"/>
                <w:bCs/>
                <w:sz w:val="18"/>
                <w:szCs w:val="18"/>
                <w:lang w:eastAsia="es-AR"/>
              </w:rPr>
            </w:pPr>
            <w:r w:rsidRPr="003F7F6C">
              <w:rPr>
                <w:rFonts w:eastAsia="Times New Roman" w:cs="Calibri"/>
                <w:bCs/>
                <w:sz w:val="18"/>
                <w:szCs w:val="18"/>
                <w:lang w:eastAsia="es-AR"/>
              </w:rPr>
              <w:t>Low population density</w:t>
            </w:r>
          </w:p>
        </w:tc>
        <w:tc>
          <w:tcPr>
            <w:tcW w:w="1232" w:type="dxa"/>
            <w:tcBorders>
              <w:right w:val="single" w:sz="18" w:space="0" w:color="auto"/>
            </w:tcBorders>
            <w:shd w:val="clear" w:color="auto" w:fill="auto"/>
          </w:tcPr>
          <w:p w14:paraId="60BDA3AC" w14:textId="77777777" w:rsidR="00C60507" w:rsidRPr="003F7F6C" w:rsidRDefault="00C60507" w:rsidP="002B3130">
            <w:pPr>
              <w:spacing w:after="0"/>
              <w:rPr>
                <w:rFonts w:cs="Calibri"/>
                <w:sz w:val="18"/>
                <w:szCs w:val="18"/>
              </w:rPr>
            </w:pPr>
            <w:r w:rsidRPr="003F7F6C">
              <w:rPr>
                <w:rFonts w:cs="Calibri"/>
                <w:sz w:val="18"/>
                <w:szCs w:val="18"/>
              </w:rPr>
              <w:t>Villarino; Carmen de Patagones</w:t>
            </w:r>
          </w:p>
          <w:p w14:paraId="663CF657" w14:textId="77777777" w:rsidR="00C60507" w:rsidRPr="003F7F6C" w:rsidRDefault="00C60507" w:rsidP="002B3130">
            <w:pPr>
              <w:spacing w:after="0"/>
              <w:rPr>
                <w:rFonts w:cs="Calibri"/>
                <w:sz w:val="18"/>
                <w:szCs w:val="18"/>
              </w:rPr>
            </w:pPr>
          </w:p>
          <w:p w14:paraId="4BC36748" w14:textId="77777777" w:rsidR="00C60507" w:rsidRPr="003F7F6C" w:rsidRDefault="00C60507" w:rsidP="002B3130">
            <w:pPr>
              <w:spacing w:after="0"/>
              <w:jc w:val="left"/>
              <w:rPr>
                <w:rFonts w:cs="Calibri"/>
                <w:sz w:val="18"/>
                <w:szCs w:val="18"/>
              </w:rPr>
            </w:pPr>
            <w:r w:rsidRPr="003F7F6C">
              <w:rPr>
                <w:rFonts w:cs="Calibri"/>
                <w:sz w:val="18"/>
                <w:szCs w:val="18"/>
              </w:rPr>
              <w:t>&gt; 60,000 inhabitants; important rural exodus</w:t>
            </w:r>
          </w:p>
        </w:tc>
        <w:tc>
          <w:tcPr>
            <w:tcW w:w="1647" w:type="dxa"/>
            <w:tcBorders>
              <w:left w:val="single" w:sz="18" w:space="0" w:color="auto"/>
            </w:tcBorders>
            <w:shd w:val="clear" w:color="auto" w:fill="auto"/>
          </w:tcPr>
          <w:p w14:paraId="225E22C7" w14:textId="77777777" w:rsidR="00C60507" w:rsidRPr="003F7F6C" w:rsidRDefault="00C60507" w:rsidP="002B3130">
            <w:pPr>
              <w:spacing w:after="0"/>
              <w:rPr>
                <w:rFonts w:cs="Calibri"/>
                <w:sz w:val="18"/>
                <w:szCs w:val="18"/>
                <w:lang w:val="es-ES"/>
              </w:rPr>
            </w:pPr>
            <w:r w:rsidRPr="003F7F6C">
              <w:rPr>
                <w:rFonts w:cs="Calibri"/>
                <w:sz w:val="18"/>
                <w:szCs w:val="18"/>
                <w:lang w:val="es-ES"/>
              </w:rPr>
              <w:t>Humahuaca, Huacalera,</w:t>
            </w:r>
            <w:r w:rsidRPr="003F7F6C">
              <w:rPr>
                <w:rFonts w:cs="Calibri"/>
                <w:b/>
                <w:sz w:val="18"/>
                <w:szCs w:val="18"/>
                <w:lang w:val="es-ES"/>
              </w:rPr>
              <w:t xml:space="preserve"> </w:t>
            </w:r>
            <w:r w:rsidRPr="003F7F6C">
              <w:rPr>
                <w:rFonts w:cs="Calibri"/>
                <w:sz w:val="18"/>
                <w:szCs w:val="18"/>
                <w:lang w:val="es-ES"/>
              </w:rPr>
              <w:t>Valle Grande, Uquía, San Francisco, Santa Ana, Yacoraite, Caspalá, Valle Colorado, Palca de Aparzo, Coctaca, Pampichuela, Palca de Varas, Cianzo, Aparzo</w:t>
            </w:r>
          </w:p>
          <w:p w14:paraId="1068FC2B" w14:textId="77777777" w:rsidR="00C60507" w:rsidRPr="003F7F6C" w:rsidRDefault="00C60507" w:rsidP="002B3130">
            <w:pPr>
              <w:spacing w:after="0"/>
              <w:rPr>
                <w:rFonts w:cs="Calibri"/>
                <w:sz w:val="18"/>
                <w:szCs w:val="18"/>
                <w:lang w:val="es-ES"/>
              </w:rPr>
            </w:pPr>
          </w:p>
          <w:p w14:paraId="269EC93A" w14:textId="77777777" w:rsidR="00C60507" w:rsidRPr="003F7F6C" w:rsidRDefault="00C60507" w:rsidP="002B3130">
            <w:pPr>
              <w:spacing w:after="0"/>
              <w:rPr>
                <w:rFonts w:cs="Calibri"/>
                <w:sz w:val="18"/>
                <w:szCs w:val="18"/>
              </w:rPr>
            </w:pPr>
            <w:r w:rsidRPr="003F7F6C">
              <w:rPr>
                <w:rFonts w:cs="Calibri"/>
                <w:sz w:val="18"/>
                <w:szCs w:val="18"/>
              </w:rPr>
              <w:t>14,255 inhabitants</w:t>
            </w:r>
          </w:p>
          <w:p w14:paraId="349A741D" w14:textId="77777777" w:rsidR="00C60507" w:rsidRPr="003F7F6C" w:rsidRDefault="00C60507" w:rsidP="002B3130">
            <w:pPr>
              <w:spacing w:after="0"/>
              <w:rPr>
                <w:rFonts w:cs="Calibri"/>
                <w:sz w:val="18"/>
                <w:szCs w:val="18"/>
              </w:rPr>
            </w:pPr>
            <w:r w:rsidRPr="003F7F6C">
              <w:rPr>
                <w:rFonts w:cs="Calibri"/>
                <w:sz w:val="18"/>
                <w:szCs w:val="18"/>
              </w:rPr>
              <w:t>26 indigenous communities</w:t>
            </w:r>
          </w:p>
        </w:tc>
        <w:tc>
          <w:tcPr>
            <w:tcW w:w="1237" w:type="dxa"/>
            <w:tcBorders>
              <w:right w:val="single" w:sz="18" w:space="0" w:color="auto"/>
            </w:tcBorders>
            <w:shd w:val="clear" w:color="auto" w:fill="auto"/>
          </w:tcPr>
          <w:p w14:paraId="24653F4C" w14:textId="77777777" w:rsidR="00C60507" w:rsidRPr="003F7F6C" w:rsidRDefault="00C60507" w:rsidP="002B3130">
            <w:pPr>
              <w:spacing w:after="0"/>
              <w:rPr>
                <w:rFonts w:cs="Calibri"/>
                <w:sz w:val="18"/>
                <w:szCs w:val="18"/>
                <w:lang w:val="pt-BR"/>
              </w:rPr>
            </w:pPr>
            <w:r w:rsidRPr="003F7F6C">
              <w:rPr>
                <w:rFonts w:cs="Calibri"/>
                <w:sz w:val="18"/>
                <w:szCs w:val="18"/>
                <w:lang w:val="pt-BR"/>
              </w:rPr>
              <w:t>Susques, Catua, Olaroz Chico, Jama, Mina Providencia</w:t>
            </w:r>
          </w:p>
          <w:p w14:paraId="5B3A1A61" w14:textId="77777777" w:rsidR="00C60507" w:rsidRPr="003F7F6C" w:rsidRDefault="00C60507" w:rsidP="002B3130">
            <w:pPr>
              <w:spacing w:after="0"/>
              <w:rPr>
                <w:rFonts w:cs="Calibri"/>
                <w:sz w:val="18"/>
                <w:szCs w:val="18"/>
                <w:lang w:val="pt-BR"/>
              </w:rPr>
            </w:pPr>
          </w:p>
          <w:p w14:paraId="5F12D7EC" w14:textId="77777777" w:rsidR="00C60507" w:rsidRPr="003F7F6C" w:rsidRDefault="00C60507" w:rsidP="002B3130">
            <w:pPr>
              <w:spacing w:after="0"/>
              <w:rPr>
                <w:rFonts w:cs="Calibri"/>
                <w:sz w:val="18"/>
                <w:szCs w:val="18"/>
              </w:rPr>
            </w:pPr>
            <w:r w:rsidRPr="003F7F6C">
              <w:rPr>
                <w:rFonts w:cs="Calibri"/>
                <w:sz w:val="18"/>
                <w:szCs w:val="18"/>
              </w:rPr>
              <w:t>2,331 inhabitants</w:t>
            </w:r>
          </w:p>
          <w:p w14:paraId="70F26D05" w14:textId="77777777" w:rsidR="00C60507" w:rsidRPr="003F7F6C" w:rsidRDefault="00C60507" w:rsidP="002B3130">
            <w:pPr>
              <w:spacing w:after="0"/>
              <w:rPr>
                <w:rFonts w:cs="Calibri"/>
                <w:sz w:val="18"/>
                <w:szCs w:val="18"/>
              </w:rPr>
            </w:pPr>
          </w:p>
          <w:p w14:paraId="1F4D556D" w14:textId="77777777" w:rsidR="00C60507" w:rsidRPr="003F7F6C" w:rsidRDefault="00C60507" w:rsidP="002B3130">
            <w:pPr>
              <w:spacing w:after="0"/>
              <w:rPr>
                <w:rFonts w:cs="Calibri"/>
                <w:sz w:val="18"/>
                <w:szCs w:val="18"/>
              </w:rPr>
            </w:pPr>
            <w:r w:rsidRPr="003F7F6C">
              <w:rPr>
                <w:rFonts w:cs="Calibri"/>
                <w:sz w:val="18"/>
                <w:szCs w:val="18"/>
              </w:rPr>
              <w:t>10 indigenous communities</w:t>
            </w:r>
          </w:p>
        </w:tc>
        <w:tc>
          <w:tcPr>
            <w:tcW w:w="1278" w:type="dxa"/>
            <w:tcBorders>
              <w:left w:val="single" w:sz="18" w:space="0" w:color="auto"/>
            </w:tcBorders>
            <w:shd w:val="clear" w:color="auto" w:fill="auto"/>
          </w:tcPr>
          <w:p w14:paraId="74D2ECC5" w14:textId="77777777" w:rsidR="00C60507" w:rsidRPr="003F7F6C" w:rsidRDefault="00C60507" w:rsidP="002B3130">
            <w:pPr>
              <w:spacing w:after="0"/>
              <w:rPr>
                <w:rFonts w:eastAsia="Times New Roman" w:cs="Calibri"/>
                <w:color w:val="000000"/>
                <w:sz w:val="18"/>
                <w:szCs w:val="18"/>
                <w:lang w:val="es-ES" w:eastAsia="es-ES_tradnl"/>
              </w:rPr>
            </w:pPr>
            <w:r w:rsidRPr="003F7F6C">
              <w:rPr>
                <w:rFonts w:eastAsia="Times New Roman" w:cs="Calibri"/>
                <w:color w:val="000000"/>
                <w:sz w:val="18"/>
                <w:szCs w:val="18"/>
                <w:lang w:val="es-ES" w:eastAsia="es-ES_tradnl"/>
              </w:rPr>
              <w:t>Las Heras- Capital- Godoy Cruz- Luján</w:t>
            </w:r>
          </w:p>
          <w:p w14:paraId="5AD227EB" w14:textId="77777777" w:rsidR="00C60507" w:rsidRPr="003F7F6C" w:rsidRDefault="00C60507" w:rsidP="002B3130">
            <w:pPr>
              <w:spacing w:after="0"/>
              <w:rPr>
                <w:rFonts w:eastAsia="Times New Roman" w:cs="Calibri"/>
                <w:color w:val="000000"/>
                <w:sz w:val="18"/>
                <w:szCs w:val="18"/>
                <w:lang w:val="es-ES" w:eastAsia="es-ES_tradnl"/>
              </w:rPr>
            </w:pPr>
          </w:p>
          <w:p w14:paraId="4B524101" w14:textId="77777777" w:rsidR="00C60507" w:rsidRPr="003F7F6C" w:rsidRDefault="00C60507" w:rsidP="002B3130">
            <w:pPr>
              <w:spacing w:after="0"/>
              <w:rPr>
                <w:rFonts w:cs="Calibri"/>
                <w:sz w:val="18"/>
                <w:szCs w:val="18"/>
              </w:rPr>
            </w:pPr>
            <w:r w:rsidRPr="003F7F6C">
              <w:rPr>
                <w:rFonts w:eastAsia="Times New Roman" w:cs="Calibri"/>
                <w:color w:val="000000"/>
                <w:sz w:val="18"/>
                <w:szCs w:val="18"/>
                <w:lang w:eastAsia="es-ES_tradnl"/>
              </w:rPr>
              <w:t>30,000 inhabitants</w:t>
            </w:r>
          </w:p>
        </w:tc>
        <w:tc>
          <w:tcPr>
            <w:tcW w:w="1222" w:type="dxa"/>
            <w:shd w:val="clear" w:color="auto" w:fill="auto"/>
          </w:tcPr>
          <w:p w14:paraId="2D94AD03" w14:textId="77777777" w:rsidR="00C60507" w:rsidRPr="003F7F6C" w:rsidRDefault="00C60507" w:rsidP="002B3130">
            <w:pPr>
              <w:spacing w:after="0"/>
              <w:rPr>
                <w:rFonts w:cs="Calibri"/>
                <w:sz w:val="18"/>
                <w:szCs w:val="18"/>
              </w:rPr>
            </w:pPr>
            <w:r w:rsidRPr="003F7F6C">
              <w:rPr>
                <w:rFonts w:cs="Calibri"/>
                <w:sz w:val="18"/>
                <w:szCs w:val="18"/>
              </w:rPr>
              <w:t>Tunuyán, San Carlos, Tupungato</w:t>
            </w:r>
          </w:p>
          <w:p w14:paraId="3BBE2A46" w14:textId="77777777" w:rsidR="00C60507" w:rsidRPr="003F7F6C" w:rsidRDefault="00C60507" w:rsidP="002B3130">
            <w:pPr>
              <w:spacing w:after="0"/>
              <w:rPr>
                <w:rFonts w:cs="Calibri"/>
                <w:sz w:val="18"/>
                <w:szCs w:val="18"/>
              </w:rPr>
            </w:pPr>
          </w:p>
          <w:p w14:paraId="0968A5A3" w14:textId="77777777" w:rsidR="00C60507" w:rsidRPr="003F7F6C" w:rsidRDefault="00C60507" w:rsidP="002B3130">
            <w:pPr>
              <w:spacing w:after="0"/>
              <w:rPr>
                <w:rFonts w:cs="Calibri"/>
                <w:sz w:val="18"/>
                <w:szCs w:val="18"/>
              </w:rPr>
            </w:pPr>
            <w:r w:rsidRPr="003F7F6C">
              <w:rPr>
                <w:rFonts w:cs="Calibri"/>
                <w:sz w:val="18"/>
                <w:szCs w:val="18"/>
              </w:rPr>
              <w:t xml:space="preserve">Low population density; </w:t>
            </w:r>
            <w:r w:rsidR="00460D05" w:rsidRPr="003F7F6C">
              <w:rPr>
                <w:rFonts w:cs="Calibri"/>
                <w:sz w:val="18"/>
                <w:szCs w:val="18"/>
              </w:rPr>
              <w:t xml:space="preserve">mostly </w:t>
            </w:r>
            <w:r w:rsidRPr="003F7F6C">
              <w:rPr>
                <w:rFonts w:cs="Calibri"/>
                <w:sz w:val="18"/>
                <w:szCs w:val="18"/>
              </w:rPr>
              <w:t>rural landowners</w:t>
            </w:r>
          </w:p>
        </w:tc>
        <w:tc>
          <w:tcPr>
            <w:tcW w:w="1197" w:type="dxa"/>
            <w:shd w:val="clear" w:color="auto" w:fill="auto"/>
          </w:tcPr>
          <w:p w14:paraId="0EA70867" w14:textId="77777777" w:rsidR="00C60507" w:rsidRPr="003F7F6C" w:rsidRDefault="00C60507" w:rsidP="002B3130">
            <w:pPr>
              <w:spacing w:after="0"/>
              <w:rPr>
                <w:rFonts w:cs="Calibri"/>
                <w:sz w:val="18"/>
                <w:szCs w:val="18"/>
              </w:rPr>
            </w:pPr>
            <w:r w:rsidRPr="003F7F6C">
              <w:rPr>
                <w:rFonts w:cs="Calibri"/>
                <w:sz w:val="18"/>
                <w:szCs w:val="18"/>
              </w:rPr>
              <w:t>27,660 inhabitants</w:t>
            </w:r>
          </w:p>
          <w:p w14:paraId="38FA1503" w14:textId="77777777" w:rsidR="00C60507" w:rsidRPr="003F7F6C" w:rsidRDefault="00C60507" w:rsidP="002B3130">
            <w:pPr>
              <w:spacing w:after="0"/>
              <w:rPr>
                <w:rFonts w:cs="Calibri"/>
                <w:sz w:val="18"/>
                <w:szCs w:val="18"/>
              </w:rPr>
            </w:pPr>
            <w:r w:rsidRPr="003F7F6C">
              <w:rPr>
                <w:rFonts w:cs="Calibri"/>
                <w:sz w:val="18"/>
                <w:szCs w:val="18"/>
              </w:rPr>
              <w:t xml:space="preserve">Presence of indigenous peoples: 600 individuals (150 families) </w:t>
            </w:r>
          </w:p>
        </w:tc>
        <w:tc>
          <w:tcPr>
            <w:tcW w:w="1503" w:type="dxa"/>
            <w:tcBorders>
              <w:right w:val="single" w:sz="18" w:space="0" w:color="auto"/>
            </w:tcBorders>
            <w:shd w:val="clear" w:color="auto" w:fill="auto"/>
          </w:tcPr>
          <w:p w14:paraId="6D04D367" w14:textId="77777777" w:rsidR="00C60507" w:rsidRPr="003F7F6C" w:rsidRDefault="00C60507" w:rsidP="002B3130">
            <w:pPr>
              <w:spacing w:after="0"/>
              <w:rPr>
                <w:rFonts w:eastAsia="Times New Roman" w:cs="Calibri"/>
                <w:color w:val="000000"/>
                <w:spacing w:val="-10"/>
                <w:kern w:val="28"/>
                <w:sz w:val="18"/>
                <w:szCs w:val="18"/>
              </w:rPr>
            </w:pPr>
            <w:r w:rsidRPr="003F7F6C">
              <w:rPr>
                <w:rFonts w:eastAsia="Times New Roman" w:cs="Calibri"/>
                <w:color w:val="000000"/>
                <w:spacing w:val="-10"/>
                <w:kern w:val="28"/>
                <w:sz w:val="18"/>
                <w:szCs w:val="18"/>
              </w:rPr>
              <w:t>Guaymallén, Lavalle, Maipú</w:t>
            </w:r>
          </w:p>
          <w:p w14:paraId="6D2F02E9" w14:textId="77777777" w:rsidR="00C60507" w:rsidRPr="003F7F6C" w:rsidRDefault="00C60507" w:rsidP="002B3130">
            <w:pPr>
              <w:spacing w:after="0"/>
              <w:rPr>
                <w:rFonts w:eastAsia="Times New Roman" w:cs="Calibri"/>
                <w:color w:val="000000"/>
                <w:spacing w:val="-10"/>
                <w:kern w:val="28"/>
                <w:sz w:val="18"/>
                <w:szCs w:val="18"/>
              </w:rPr>
            </w:pPr>
          </w:p>
          <w:p w14:paraId="3F8FA572" w14:textId="77777777" w:rsidR="00C60507" w:rsidRPr="003F7F6C" w:rsidRDefault="00C60507" w:rsidP="002B3130">
            <w:pPr>
              <w:spacing w:after="0"/>
              <w:rPr>
                <w:rFonts w:cs="Calibri"/>
                <w:sz w:val="18"/>
                <w:szCs w:val="18"/>
              </w:rPr>
            </w:pPr>
            <w:r w:rsidRPr="003F7F6C">
              <w:rPr>
                <w:rFonts w:eastAsia="Times New Roman" w:cs="Calibri"/>
                <w:color w:val="000000"/>
                <w:spacing w:val="-10"/>
                <w:kern w:val="28"/>
                <w:sz w:val="18"/>
                <w:szCs w:val="18"/>
              </w:rPr>
              <w:t>25,000 inhabitants</w:t>
            </w:r>
          </w:p>
        </w:tc>
      </w:tr>
      <w:tr w:rsidR="00287C43" w:rsidRPr="003F7F6C" w14:paraId="22F138BF" w14:textId="77777777" w:rsidTr="00E9673C">
        <w:tc>
          <w:tcPr>
            <w:tcW w:w="1252" w:type="dxa"/>
            <w:tcBorders>
              <w:left w:val="single" w:sz="18" w:space="0" w:color="auto"/>
              <w:right w:val="single" w:sz="18" w:space="0" w:color="auto"/>
            </w:tcBorders>
            <w:shd w:val="clear" w:color="auto" w:fill="auto"/>
          </w:tcPr>
          <w:p w14:paraId="776E5F3F" w14:textId="77777777" w:rsidR="00C60507" w:rsidRPr="003F7F6C" w:rsidRDefault="00C60507" w:rsidP="002B3130">
            <w:pPr>
              <w:spacing w:after="0"/>
              <w:rPr>
                <w:rFonts w:cs="Calibri"/>
                <w:sz w:val="18"/>
                <w:szCs w:val="18"/>
              </w:rPr>
            </w:pPr>
            <w:r w:rsidRPr="003F7F6C">
              <w:rPr>
                <w:rFonts w:cs="Calibri"/>
                <w:sz w:val="18"/>
                <w:szCs w:val="18"/>
              </w:rPr>
              <w:t xml:space="preserve">Main land uses </w:t>
            </w:r>
          </w:p>
        </w:tc>
        <w:tc>
          <w:tcPr>
            <w:tcW w:w="1264" w:type="dxa"/>
            <w:tcBorders>
              <w:left w:val="single" w:sz="18" w:space="0" w:color="auto"/>
            </w:tcBorders>
            <w:shd w:val="clear" w:color="auto" w:fill="auto"/>
          </w:tcPr>
          <w:p w14:paraId="6048E759" w14:textId="77777777" w:rsidR="00C60507" w:rsidRPr="003F7F6C" w:rsidRDefault="00C60507" w:rsidP="002B3130">
            <w:pPr>
              <w:spacing w:after="0"/>
              <w:jc w:val="left"/>
              <w:rPr>
                <w:sz w:val="18"/>
                <w:szCs w:val="18"/>
              </w:rPr>
            </w:pPr>
            <w:bookmarkStart w:id="8" w:name="_Hlk526943119"/>
            <w:r w:rsidRPr="003F7F6C">
              <w:rPr>
                <w:sz w:val="18"/>
                <w:szCs w:val="18"/>
              </w:rPr>
              <w:t>Livestock; extraction of seashells in coastal areas and wood for fuel</w:t>
            </w:r>
          </w:p>
          <w:bookmarkEnd w:id="8"/>
          <w:p w14:paraId="67E03E16" w14:textId="77777777" w:rsidR="00C60507" w:rsidRPr="003F7F6C" w:rsidRDefault="00C60507" w:rsidP="002B3130">
            <w:pPr>
              <w:spacing w:after="0"/>
              <w:jc w:val="left"/>
              <w:rPr>
                <w:rFonts w:eastAsia="Times New Roman" w:cs="Calibri"/>
                <w:bCs/>
                <w:sz w:val="18"/>
                <w:szCs w:val="18"/>
                <w:lang w:eastAsia="es-AR"/>
              </w:rPr>
            </w:pPr>
          </w:p>
        </w:tc>
        <w:tc>
          <w:tcPr>
            <w:tcW w:w="1601" w:type="dxa"/>
            <w:shd w:val="clear" w:color="auto" w:fill="auto"/>
          </w:tcPr>
          <w:p w14:paraId="20BABC65" w14:textId="77777777" w:rsidR="00C60507" w:rsidRPr="003F7F6C" w:rsidRDefault="00C60507" w:rsidP="002B3130">
            <w:pPr>
              <w:spacing w:after="0"/>
              <w:jc w:val="left"/>
              <w:rPr>
                <w:rFonts w:cs="Calibri"/>
                <w:sz w:val="18"/>
                <w:szCs w:val="18"/>
              </w:rPr>
            </w:pPr>
            <w:r w:rsidRPr="003F7F6C">
              <w:rPr>
                <w:rFonts w:cs="Calibri"/>
                <w:sz w:val="18"/>
                <w:szCs w:val="18"/>
              </w:rPr>
              <w:t>Fishing; hunting; bee-keeping; fruticulture, livestock</w:t>
            </w:r>
          </w:p>
        </w:tc>
        <w:tc>
          <w:tcPr>
            <w:tcW w:w="1232" w:type="dxa"/>
            <w:tcBorders>
              <w:right w:val="single" w:sz="18" w:space="0" w:color="auto"/>
            </w:tcBorders>
            <w:shd w:val="clear" w:color="auto" w:fill="auto"/>
          </w:tcPr>
          <w:p w14:paraId="36DA1F78" w14:textId="77777777" w:rsidR="00C60507" w:rsidRPr="003F7F6C" w:rsidRDefault="00C60507" w:rsidP="002B3130">
            <w:pPr>
              <w:spacing w:after="0"/>
              <w:jc w:val="left"/>
              <w:rPr>
                <w:rFonts w:cs="Calibri"/>
                <w:sz w:val="18"/>
                <w:szCs w:val="18"/>
              </w:rPr>
            </w:pPr>
            <w:r w:rsidRPr="003F7F6C">
              <w:rPr>
                <w:rFonts w:cs="Calibri"/>
                <w:sz w:val="18"/>
                <w:szCs w:val="18"/>
              </w:rPr>
              <w:t xml:space="preserve">Livestock is the main land use;  </w:t>
            </w:r>
          </w:p>
          <w:p w14:paraId="68F621F2" w14:textId="77777777" w:rsidR="00C60507" w:rsidRPr="003F7F6C" w:rsidRDefault="005A0169" w:rsidP="002B3130">
            <w:pPr>
              <w:spacing w:after="0"/>
              <w:jc w:val="left"/>
              <w:rPr>
                <w:rFonts w:cs="Calibri"/>
                <w:sz w:val="18"/>
                <w:szCs w:val="18"/>
              </w:rPr>
            </w:pPr>
            <w:r w:rsidRPr="003F7F6C">
              <w:rPr>
                <w:rFonts w:cs="Calibri"/>
                <w:sz w:val="18"/>
                <w:szCs w:val="18"/>
              </w:rPr>
              <w:t>a</w:t>
            </w:r>
            <w:r w:rsidR="00C60507" w:rsidRPr="003F7F6C">
              <w:rPr>
                <w:rFonts w:cs="Calibri"/>
                <w:sz w:val="18"/>
                <w:szCs w:val="18"/>
              </w:rPr>
              <w:t>griculture (wheat and other winter crops) in areas prone to drought and wind erosion. Irrigation is used in agricultural areas; in non-irrigated areas mixed agriculture-livestock production</w:t>
            </w:r>
          </w:p>
        </w:tc>
        <w:tc>
          <w:tcPr>
            <w:tcW w:w="1647" w:type="dxa"/>
            <w:tcBorders>
              <w:left w:val="single" w:sz="18" w:space="0" w:color="auto"/>
            </w:tcBorders>
            <w:shd w:val="clear" w:color="auto" w:fill="auto"/>
          </w:tcPr>
          <w:p w14:paraId="45813B92" w14:textId="77777777" w:rsidR="00C60507" w:rsidRPr="003F7F6C" w:rsidRDefault="00C60507" w:rsidP="002B3130">
            <w:pPr>
              <w:spacing w:after="0"/>
              <w:jc w:val="left"/>
              <w:rPr>
                <w:rFonts w:cs="Calibri"/>
                <w:sz w:val="18"/>
                <w:szCs w:val="18"/>
              </w:rPr>
            </w:pPr>
            <w:r w:rsidRPr="003F7F6C">
              <w:rPr>
                <w:rFonts w:cs="Calibri"/>
                <w:sz w:val="18"/>
                <w:szCs w:val="18"/>
              </w:rPr>
              <w:t>Commercial horticulture along the Grande River; subsistence agriculture and livestock; tourism in protected areas</w:t>
            </w:r>
          </w:p>
        </w:tc>
        <w:tc>
          <w:tcPr>
            <w:tcW w:w="1237" w:type="dxa"/>
            <w:tcBorders>
              <w:right w:val="single" w:sz="18" w:space="0" w:color="auto"/>
            </w:tcBorders>
            <w:shd w:val="clear" w:color="auto" w:fill="auto"/>
          </w:tcPr>
          <w:p w14:paraId="09D73725" w14:textId="77777777" w:rsidR="00C60507" w:rsidRPr="003F7F6C" w:rsidRDefault="00C60507" w:rsidP="002B3130">
            <w:pPr>
              <w:spacing w:after="0"/>
              <w:jc w:val="left"/>
              <w:rPr>
                <w:rFonts w:cs="Calibri"/>
                <w:sz w:val="18"/>
                <w:szCs w:val="18"/>
              </w:rPr>
            </w:pPr>
            <w:r w:rsidRPr="003F7F6C">
              <w:rPr>
                <w:rFonts w:cs="Calibri"/>
                <w:sz w:val="18"/>
                <w:szCs w:val="18"/>
              </w:rPr>
              <w:t xml:space="preserve">Subsistence agriculture and livestock; tourism in protected areas; area of high commercial transit – Jama Pass to Chile; mining (quarries, prospection; </w:t>
            </w:r>
            <w:r w:rsidR="00924F17" w:rsidRPr="003F7F6C">
              <w:rPr>
                <w:rFonts w:cs="Calibri"/>
                <w:sz w:val="18"/>
                <w:szCs w:val="18"/>
              </w:rPr>
              <w:t>requests for exploration permits and concessions</w:t>
            </w:r>
            <w:r w:rsidRPr="003F7F6C">
              <w:rPr>
                <w:rFonts w:cs="Calibri"/>
                <w:sz w:val="18"/>
                <w:szCs w:val="18"/>
              </w:rPr>
              <w:t>)</w:t>
            </w:r>
          </w:p>
        </w:tc>
        <w:tc>
          <w:tcPr>
            <w:tcW w:w="1278" w:type="dxa"/>
            <w:tcBorders>
              <w:left w:val="single" w:sz="18" w:space="0" w:color="auto"/>
            </w:tcBorders>
            <w:shd w:val="clear" w:color="auto" w:fill="auto"/>
          </w:tcPr>
          <w:p w14:paraId="206B3786" w14:textId="77777777" w:rsidR="00C60507" w:rsidRPr="003F7F6C" w:rsidRDefault="00C60507" w:rsidP="002B3130">
            <w:pPr>
              <w:spacing w:after="0"/>
              <w:jc w:val="left"/>
              <w:rPr>
                <w:rFonts w:cs="Calibri"/>
                <w:sz w:val="18"/>
                <w:szCs w:val="18"/>
              </w:rPr>
            </w:pPr>
            <w:r w:rsidRPr="003F7F6C">
              <w:rPr>
                <w:rFonts w:cs="Calibri"/>
                <w:sz w:val="18"/>
                <w:szCs w:val="18"/>
              </w:rPr>
              <w:t>Urban development; agriculture</w:t>
            </w:r>
          </w:p>
        </w:tc>
        <w:tc>
          <w:tcPr>
            <w:tcW w:w="1222" w:type="dxa"/>
            <w:shd w:val="clear" w:color="auto" w:fill="auto"/>
          </w:tcPr>
          <w:p w14:paraId="4C3DC22E" w14:textId="77777777" w:rsidR="00C60507" w:rsidRPr="003F7F6C" w:rsidRDefault="00C60507" w:rsidP="002B3130">
            <w:pPr>
              <w:spacing w:after="0"/>
              <w:jc w:val="left"/>
              <w:rPr>
                <w:rFonts w:cs="Calibri"/>
                <w:sz w:val="18"/>
                <w:szCs w:val="18"/>
              </w:rPr>
            </w:pPr>
            <w:r w:rsidRPr="003F7F6C">
              <w:rPr>
                <w:rFonts w:cs="Calibri"/>
                <w:sz w:val="18"/>
                <w:szCs w:val="18"/>
              </w:rPr>
              <w:t xml:space="preserve">Large scale commercial agricultural operations (mainly vineyards) using ground and underground water for irrigation; tourism </w:t>
            </w:r>
          </w:p>
        </w:tc>
        <w:tc>
          <w:tcPr>
            <w:tcW w:w="1197" w:type="dxa"/>
            <w:shd w:val="clear" w:color="auto" w:fill="auto"/>
          </w:tcPr>
          <w:p w14:paraId="784F48E2" w14:textId="77777777" w:rsidR="00C60507" w:rsidRPr="003F7F6C" w:rsidRDefault="00C60507" w:rsidP="002B3130">
            <w:pPr>
              <w:spacing w:after="0"/>
              <w:jc w:val="left"/>
              <w:rPr>
                <w:rFonts w:cs="Calibri"/>
                <w:sz w:val="18"/>
                <w:szCs w:val="18"/>
              </w:rPr>
            </w:pPr>
            <w:r w:rsidRPr="003F7F6C">
              <w:rPr>
                <w:rFonts w:cs="Calibri"/>
                <w:sz w:val="18"/>
                <w:szCs w:val="18"/>
              </w:rPr>
              <w:t>Subsistence livestock production (mainly goat); tourism; oil extraction is the main income of the area</w:t>
            </w:r>
          </w:p>
        </w:tc>
        <w:tc>
          <w:tcPr>
            <w:tcW w:w="1503" w:type="dxa"/>
            <w:tcBorders>
              <w:right w:val="single" w:sz="18" w:space="0" w:color="auto"/>
            </w:tcBorders>
            <w:shd w:val="clear" w:color="auto" w:fill="auto"/>
          </w:tcPr>
          <w:p w14:paraId="14ABEEB4" w14:textId="77777777" w:rsidR="00C60507" w:rsidRPr="003F7F6C" w:rsidRDefault="00C60507" w:rsidP="002B3130">
            <w:pPr>
              <w:spacing w:after="0"/>
              <w:jc w:val="left"/>
              <w:rPr>
                <w:rFonts w:cs="Calibri"/>
                <w:sz w:val="18"/>
                <w:szCs w:val="18"/>
              </w:rPr>
            </w:pPr>
            <w:r w:rsidRPr="003F7F6C">
              <w:rPr>
                <w:rFonts w:cs="Calibri"/>
                <w:sz w:val="18"/>
                <w:szCs w:val="18"/>
              </w:rPr>
              <w:t>Commercial and family horticulture, main supplier of fresh vegetables to Mendoza and other provinces</w:t>
            </w:r>
          </w:p>
        </w:tc>
      </w:tr>
      <w:tr w:rsidR="00287C43" w:rsidRPr="003F7F6C" w14:paraId="399FD064" w14:textId="77777777" w:rsidTr="00E9673C">
        <w:tc>
          <w:tcPr>
            <w:tcW w:w="1252" w:type="dxa"/>
            <w:tcBorders>
              <w:left w:val="single" w:sz="18" w:space="0" w:color="auto"/>
              <w:right w:val="single" w:sz="18" w:space="0" w:color="auto"/>
            </w:tcBorders>
            <w:shd w:val="clear" w:color="auto" w:fill="auto"/>
          </w:tcPr>
          <w:p w14:paraId="1B1ACA8F" w14:textId="77777777" w:rsidR="00C60507" w:rsidRPr="003F7F6C" w:rsidRDefault="00C60507" w:rsidP="002B3130">
            <w:pPr>
              <w:spacing w:after="0"/>
              <w:jc w:val="left"/>
              <w:rPr>
                <w:rFonts w:cs="Calibri"/>
                <w:sz w:val="18"/>
                <w:szCs w:val="18"/>
              </w:rPr>
            </w:pPr>
            <w:r w:rsidRPr="003F7F6C">
              <w:rPr>
                <w:rFonts w:cs="Calibri"/>
                <w:sz w:val="18"/>
                <w:szCs w:val="18"/>
              </w:rPr>
              <w:t>Main environmental characteristics -</w:t>
            </w:r>
          </w:p>
          <w:p w14:paraId="6DD99B40" w14:textId="77777777" w:rsidR="00C60507" w:rsidRPr="003F7F6C" w:rsidRDefault="00C60507" w:rsidP="002B3130">
            <w:pPr>
              <w:spacing w:after="0"/>
              <w:rPr>
                <w:rFonts w:cs="Calibri"/>
                <w:sz w:val="18"/>
                <w:szCs w:val="18"/>
              </w:rPr>
            </w:pPr>
            <w:r w:rsidRPr="003F7F6C">
              <w:rPr>
                <w:rFonts w:cs="Calibri"/>
                <w:sz w:val="18"/>
                <w:szCs w:val="18"/>
              </w:rPr>
              <w:t>Global and local values</w:t>
            </w:r>
          </w:p>
        </w:tc>
        <w:tc>
          <w:tcPr>
            <w:tcW w:w="1264" w:type="dxa"/>
            <w:tcBorders>
              <w:left w:val="single" w:sz="18" w:space="0" w:color="auto"/>
            </w:tcBorders>
            <w:shd w:val="clear" w:color="auto" w:fill="auto"/>
          </w:tcPr>
          <w:p w14:paraId="5025D525" w14:textId="77777777" w:rsidR="00FB0B68" w:rsidRPr="003F7F6C" w:rsidRDefault="00C60507" w:rsidP="002B3130">
            <w:pPr>
              <w:spacing w:after="0"/>
              <w:jc w:val="left"/>
              <w:rPr>
                <w:rFonts w:eastAsia="Times New Roman" w:cs="Calibri"/>
                <w:bCs/>
                <w:sz w:val="18"/>
                <w:szCs w:val="18"/>
                <w:lang w:eastAsia="es-AR"/>
              </w:rPr>
            </w:pPr>
            <w:r w:rsidRPr="003F7F6C">
              <w:rPr>
                <w:rFonts w:eastAsia="Times New Roman" w:cs="Calibri"/>
                <w:bCs/>
                <w:sz w:val="18"/>
                <w:szCs w:val="18"/>
                <w:lang w:eastAsia="es-AR"/>
              </w:rPr>
              <w:t xml:space="preserve">BD rich landscape; supply of </w:t>
            </w:r>
            <w:r w:rsidR="000A61A0" w:rsidRPr="003F7F6C">
              <w:rPr>
                <w:rFonts w:eastAsia="Times New Roman" w:cs="Calibri"/>
                <w:bCs/>
                <w:sz w:val="18"/>
                <w:szCs w:val="18"/>
                <w:lang w:eastAsia="es-AR"/>
              </w:rPr>
              <w:t>freshwater</w:t>
            </w:r>
            <w:r w:rsidRPr="003F7F6C">
              <w:rPr>
                <w:rFonts w:eastAsia="Times New Roman" w:cs="Calibri"/>
                <w:bCs/>
                <w:sz w:val="18"/>
                <w:szCs w:val="18"/>
                <w:lang w:eastAsia="es-AR"/>
              </w:rPr>
              <w:t xml:space="preserve"> located under seashell deposits in wetlands; synergies between forests and wetlands; forests located over seashell deposits help fix soils and landscape shapes; ES provided by wetlands and forests</w:t>
            </w:r>
            <w:r w:rsidR="00924F17" w:rsidRPr="003F7F6C">
              <w:rPr>
                <w:rFonts w:eastAsia="Times New Roman" w:cs="Calibri"/>
                <w:bCs/>
                <w:sz w:val="18"/>
                <w:szCs w:val="18"/>
                <w:lang w:eastAsia="es-AR"/>
              </w:rPr>
              <w:t xml:space="preserve">. </w:t>
            </w:r>
            <w:r w:rsidR="00FB0B68" w:rsidRPr="003F7F6C">
              <w:rPr>
                <w:rFonts w:eastAsia="Times New Roman" w:cs="Calibri"/>
                <w:bCs/>
                <w:sz w:val="18"/>
                <w:szCs w:val="18"/>
                <w:lang w:eastAsia="es-AR"/>
              </w:rPr>
              <w:t>Presence of protected areas including Delta del Parana Biosphere Reserve and Otamendi Natural Reserve Ramsar Site.</w:t>
            </w:r>
          </w:p>
          <w:p w14:paraId="566EBFB0" w14:textId="77777777" w:rsidR="00C60507" w:rsidRPr="003F7F6C" w:rsidRDefault="00924F17" w:rsidP="002B3130">
            <w:pPr>
              <w:spacing w:after="0"/>
              <w:jc w:val="left"/>
              <w:rPr>
                <w:rFonts w:eastAsia="Times New Roman" w:cs="Calibri"/>
                <w:bCs/>
                <w:sz w:val="18"/>
                <w:szCs w:val="18"/>
                <w:lang w:eastAsia="es-AR"/>
              </w:rPr>
            </w:pPr>
            <w:r w:rsidRPr="003F7F6C">
              <w:rPr>
                <w:rFonts w:eastAsia="Times New Roman" w:cs="Calibri"/>
                <w:bCs/>
                <w:sz w:val="18"/>
                <w:szCs w:val="18"/>
                <w:lang w:eastAsia="es-AR"/>
              </w:rPr>
              <w:t xml:space="preserve">See Table 2 below for globally significant species in the ecoregions </w:t>
            </w:r>
            <w:r w:rsidR="006F37FA" w:rsidRPr="003F7F6C">
              <w:rPr>
                <w:rFonts w:eastAsia="Times New Roman" w:cs="Calibri"/>
                <w:bCs/>
                <w:sz w:val="18"/>
                <w:szCs w:val="18"/>
                <w:lang w:eastAsia="es-AR"/>
              </w:rPr>
              <w:t>of which this landscape is part</w:t>
            </w:r>
          </w:p>
        </w:tc>
        <w:tc>
          <w:tcPr>
            <w:tcW w:w="1601" w:type="dxa"/>
            <w:shd w:val="clear" w:color="auto" w:fill="auto"/>
          </w:tcPr>
          <w:p w14:paraId="71BC9535" w14:textId="77777777" w:rsidR="003D754B" w:rsidRPr="003F7F6C" w:rsidRDefault="00C60507" w:rsidP="002B3130">
            <w:pPr>
              <w:spacing w:after="0"/>
              <w:jc w:val="left"/>
              <w:rPr>
                <w:rFonts w:cs="Calibri"/>
                <w:sz w:val="18"/>
                <w:szCs w:val="18"/>
              </w:rPr>
            </w:pPr>
            <w:r w:rsidRPr="003F7F6C">
              <w:rPr>
                <w:rFonts w:cs="Calibri"/>
                <w:sz w:val="18"/>
                <w:szCs w:val="18"/>
              </w:rPr>
              <w:t xml:space="preserve">BD rich landscape; </w:t>
            </w:r>
            <w:r w:rsidR="00246F0D" w:rsidRPr="003F7F6C">
              <w:rPr>
                <w:rFonts w:cs="Calibri"/>
                <w:sz w:val="18"/>
                <w:szCs w:val="18"/>
              </w:rPr>
              <w:t xml:space="preserve">wetlands provide </w:t>
            </w:r>
            <w:r w:rsidRPr="003F7F6C">
              <w:rPr>
                <w:rFonts w:cs="Calibri"/>
                <w:sz w:val="18"/>
                <w:szCs w:val="18"/>
              </w:rPr>
              <w:t>aquifer recharge; flood control; sediment retention; stabilization of coasts; erosion control;  resources for local population (fauna, fisheries, forest products; forage); tourism; water supply</w:t>
            </w:r>
            <w:r w:rsidR="000A61A0" w:rsidRPr="003F7F6C">
              <w:rPr>
                <w:rFonts w:cs="Calibri"/>
                <w:sz w:val="18"/>
                <w:szCs w:val="18"/>
              </w:rPr>
              <w:t xml:space="preserve">. </w:t>
            </w:r>
            <w:r w:rsidR="00200633" w:rsidRPr="003F7F6C">
              <w:rPr>
                <w:rFonts w:cs="Calibri"/>
                <w:sz w:val="18"/>
                <w:szCs w:val="18"/>
              </w:rPr>
              <w:t>P</w:t>
            </w:r>
            <w:r w:rsidR="00FB0B68" w:rsidRPr="003F7F6C">
              <w:rPr>
                <w:rFonts w:cs="Calibri"/>
                <w:sz w:val="18"/>
                <w:szCs w:val="18"/>
              </w:rPr>
              <w:t>rotected areas: 2 Biosphere Reserves (El Destino, Parque Costero del Sur) and 3 Ramsar Sites (Bahia Samborombon, Bahia Samborombon Natural Reserve, Bahia Samborombon Wildlife Refuge).</w:t>
            </w:r>
          </w:p>
          <w:p w14:paraId="6AB4FD06" w14:textId="77777777" w:rsidR="00C60507" w:rsidRPr="003F7F6C" w:rsidRDefault="000A61A0" w:rsidP="002B3130">
            <w:pPr>
              <w:spacing w:after="0"/>
              <w:jc w:val="left"/>
              <w:rPr>
                <w:rFonts w:cs="Calibri"/>
                <w:sz w:val="18"/>
                <w:szCs w:val="18"/>
              </w:rPr>
            </w:pPr>
            <w:r w:rsidRPr="003F7F6C">
              <w:rPr>
                <w:rFonts w:eastAsia="Times New Roman" w:cs="Calibri"/>
                <w:bCs/>
                <w:sz w:val="18"/>
                <w:szCs w:val="18"/>
                <w:lang w:eastAsia="es-AR"/>
              </w:rPr>
              <w:t xml:space="preserve">See Table 2 below for globally significant species in the ecoregions </w:t>
            </w:r>
            <w:r w:rsidR="006F37FA" w:rsidRPr="003F7F6C">
              <w:rPr>
                <w:rFonts w:eastAsia="Times New Roman" w:cs="Calibri"/>
                <w:bCs/>
                <w:sz w:val="18"/>
                <w:szCs w:val="18"/>
                <w:lang w:eastAsia="es-AR"/>
              </w:rPr>
              <w:t>of which this landscape is part</w:t>
            </w:r>
          </w:p>
        </w:tc>
        <w:tc>
          <w:tcPr>
            <w:tcW w:w="1232" w:type="dxa"/>
            <w:tcBorders>
              <w:right w:val="single" w:sz="18" w:space="0" w:color="auto"/>
            </w:tcBorders>
            <w:shd w:val="clear" w:color="auto" w:fill="auto"/>
          </w:tcPr>
          <w:p w14:paraId="3C5BC93D" w14:textId="77777777" w:rsidR="00200633" w:rsidRPr="003F7F6C" w:rsidRDefault="00C60507" w:rsidP="002B3130">
            <w:pPr>
              <w:spacing w:after="0"/>
              <w:jc w:val="left"/>
              <w:rPr>
                <w:rFonts w:cs="Calibri"/>
                <w:sz w:val="18"/>
                <w:szCs w:val="18"/>
              </w:rPr>
            </w:pPr>
            <w:r w:rsidRPr="003F7F6C">
              <w:rPr>
                <w:rFonts w:cs="Calibri"/>
                <w:sz w:val="18"/>
                <w:szCs w:val="18"/>
              </w:rPr>
              <w:t>Transition area between semi-arid and humid ecosystems;</w:t>
            </w:r>
            <w:r w:rsidR="005272DF" w:rsidRPr="003F7F6C">
              <w:rPr>
                <w:rFonts w:cs="Calibri"/>
                <w:sz w:val="18"/>
                <w:szCs w:val="18"/>
              </w:rPr>
              <w:t xml:space="preserve"> combines forest patches with grasslands</w:t>
            </w:r>
            <w:r w:rsidRPr="003F7F6C">
              <w:rPr>
                <w:rFonts w:cs="Calibri"/>
                <w:sz w:val="18"/>
                <w:szCs w:val="18"/>
              </w:rPr>
              <w:t xml:space="preserve"> </w:t>
            </w:r>
            <w:r w:rsidR="005272DF" w:rsidRPr="003F7F6C">
              <w:rPr>
                <w:rFonts w:cs="Calibri"/>
                <w:sz w:val="18"/>
                <w:szCs w:val="18"/>
              </w:rPr>
              <w:t xml:space="preserve">and sometimes wetland </w:t>
            </w:r>
            <w:r w:rsidR="00442578" w:rsidRPr="003F7F6C">
              <w:rPr>
                <w:rFonts w:cs="Calibri"/>
                <w:sz w:val="18"/>
                <w:szCs w:val="18"/>
              </w:rPr>
              <w:t xml:space="preserve">communities; </w:t>
            </w:r>
            <w:r w:rsidR="005272DF" w:rsidRPr="003F7F6C">
              <w:rPr>
                <w:rFonts w:cs="Calibri"/>
                <w:sz w:val="18"/>
                <w:szCs w:val="18"/>
              </w:rPr>
              <w:t xml:space="preserve">characterized by the presence of species of the gender </w:t>
            </w:r>
            <w:r w:rsidR="005272DF" w:rsidRPr="003F7F6C">
              <w:rPr>
                <w:rFonts w:cs="Calibri"/>
                <w:i/>
                <w:sz w:val="18"/>
                <w:szCs w:val="18"/>
              </w:rPr>
              <w:t>Prosopis</w:t>
            </w:r>
            <w:r w:rsidR="005272DF" w:rsidRPr="003F7F6C">
              <w:rPr>
                <w:rFonts w:cs="Calibri"/>
                <w:sz w:val="18"/>
                <w:szCs w:val="18"/>
              </w:rPr>
              <w:t xml:space="preserve">; forest remnants provide refuge to threatened </w:t>
            </w:r>
            <w:r w:rsidR="00442578" w:rsidRPr="003F7F6C">
              <w:rPr>
                <w:rFonts w:cs="Calibri"/>
                <w:sz w:val="18"/>
                <w:szCs w:val="18"/>
              </w:rPr>
              <w:t xml:space="preserve">pampean </w:t>
            </w:r>
            <w:r w:rsidR="005272DF" w:rsidRPr="003F7F6C">
              <w:rPr>
                <w:rFonts w:cs="Calibri"/>
                <w:sz w:val="18"/>
                <w:szCs w:val="18"/>
              </w:rPr>
              <w:t>species e.g. Pampas deer</w:t>
            </w:r>
            <w:r w:rsidR="000A61A0" w:rsidRPr="003F7F6C">
              <w:rPr>
                <w:rFonts w:cs="Calibri"/>
                <w:sz w:val="18"/>
                <w:szCs w:val="18"/>
              </w:rPr>
              <w:t xml:space="preserve">. </w:t>
            </w:r>
            <w:r w:rsidR="00200633" w:rsidRPr="003F7F6C">
              <w:rPr>
                <w:rFonts w:cs="Calibri"/>
                <w:sz w:val="18"/>
                <w:szCs w:val="18"/>
              </w:rPr>
              <w:t>Several protected areas (natural reserves and wildlife refuges).</w:t>
            </w:r>
          </w:p>
          <w:p w14:paraId="2843FEE1" w14:textId="77777777" w:rsidR="00C60507" w:rsidRPr="003F7F6C" w:rsidRDefault="000A61A0" w:rsidP="002B3130">
            <w:pPr>
              <w:spacing w:after="0"/>
              <w:jc w:val="left"/>
              <w:rPr>
                <w:rFonts w:cs="Calibri"/>
                <w:sz w:val="18"/>
                <w:szCs w:val="18"/>
              </w:rPr>
            </w:pPr>
            <w:r w:rsidRPr="003F7F6C">
              <w:rPr>
                <w:rFonts w:eastAsia="Times New Roman" w:cs="Calibri"/>
                <w:bCs/>
                <w:sz w:val="18"/>
                <w:szCs w:val="18"/>
                <w:lang w:eastAsia="es-AR"/>
              </w:rPr>
              <w:t xml:space="preserve">See Table 2 below for globally significant species in the ecoregions </w:t>
            </w:r>
            <w:r w:rsidR="006F37FA" w:rsidRPr="003F7F6C">
              <w:rPr>
                <w:rFonts w:eastAsia="Times New Roman" w:cs="Calibri"/>
                <w:bCs/>
                <w:sz w:val="18"/>
                <w:szCs w:val="18"/>
                <w:lang w:eastAsia="es-AR"/>
              </w:rPr>
              <w:t>of which this landscape is part</w:t>
            </w:r>
          </w:p>
        </w:tc>
        <w:tc>
          <w:tcPr>
            <w:tcW w:w="1647" w:type="dxa"/>
            <w:tcBorders>
              <w:left w:val="single" w:sz="18" w:space="0" w:color="auto"/>
            </w:tcBorders>
            <w:shd w:val="clear" w:color="auto" w:fill="auto"/>
          </w:tcPr>
          <w:p w14:paraId="5395CFC9" w14:textId="77777777" w:rsidR="00C60507" w:rsidRPr="003F7F6C" w:rsidRDefault="00C60507" w:rsidP="002B3130">
            <w:pPr>
              <w:spacing w:after="0"/>
              <w:jc w:val="left"/>
              <w:rPr>
                <w:rFonts w:cs="Calibri"/>
                <w:sz w:val="18"/>
                <w:szCs w:val="18"/>
              </w:rPr>
            </w:pPr>
            <w:r w:rsidRPr="003F7F6C">
              <w:rPr>
                <w:rFonts w:cs="Calibri"/>
                <w:sz w:val="18"/>
                <w:szCs w:val="18"/>
              </w:rPr>
              <w:t xml:space="preserve">High ecosystem diversity: </w:t>
            </w:r>
            <w:r w:rsidR="00B939F5" w:rsidRPr="003F7F6C">
              <w:rPr>
                <w:rFonts w:cs="Calibri"/>
                <w:sz w:val="18"/>
                <w:szCs w:val="18"/>
              </w:rPr>
              <w:t>Y</w:t>
            </w:r>
            <w:r w:rsidRPr="003F7F6C">
              <w:rPr>
                <w:rFonts w:cs="Calibri"/>
                <w:sz w:val="18"/>
                <w:szCs w:val="18"/>
              </w:rPr>
              <w:t xml:space="preserve">ungas forest, grasslands, montane forests, </w:t>
            </w:r>
            <w:r w:rsidRPr="003F7F6C">
              <w:rPr>
                <w:rFonts w:cs="Calibri"/>
                <w:i/>
                <w:sz w:val="18"/>
                <w:szCs w:val="18"/>
              </w:rPr>
              <w:t>queñoa</w:t>
            </w:r>
            <w:r w:rsidRPr="003F7F6C">
              <w:rPr>
                <w:rFonts w:cs="Calibri"/>
                <w:sz w:val="18"/>
                <w:szCs w:val="18"/>
              </w:rPr>
              <w:t xml:space="preserve"> and </w:t>
            </w:r>
            <w:r w:rsidRPr="003F7F6C">
              <w:rPr>
                <w:rFonts w:cs="Calibri"/>
                <w:i/>
                <w:sz w:val="18"/>
                <w:szCs w:val="18"/>
              </w:rPr>
              <w:t>churqui</w:t>
            </w:r>
            <w:r w:rsidRPr="003F7F6C">
              <w:rPr>
                <w:rFonts w:cs="Calibri"/>
                <w:sz w:val="18"/>
                <w:szCs w:val="18"/>
              </w:rPr>
              <w:t xml:space="preserve"> forests, </w:t>
            </w:r>
            <w:r w:rsidR="00B939F5" w:rsidRPr="003F7F6C">
              <w:rPr>
                <w:rFonts w:cs="Calibri"/>
                <w:sz w:val="18"/>
                <w:szCs w:val="18"/>
              </w:rPr>
              <w:t>P</w:t>
            </w:r>
            <w:r w:rsidRPr="003F7F6C">
              <w:rPr>
                <w:rFonts w:cs="Calibri"/>
                <w:sz w:val="18"/>
                <w:szCs w:val="18"/>
              </w:rPr>
              <w:t>una shrub steppe, wetlands and water bodies; important protected areas (e.g.</w:t>
            </w:r>
            <w:r w:rsidR="00B939F5" w:rsidRPr="003F7F6C">
              <w:rPr>
                <w:rFonts w:cs="Calibri"/>
                <w:sz w:val="18"/>
                <w:szCs w:val="18"/>
              </w:rPr>
              <w:t>,</w:t>
            </w:r>
            <w:r w:rsidRPr="003F7F6C">
              <w:rPr>
                <w:rFonts w:cs="Calibri"/>
                <w:sz w:val="18"/>
                <w:szCs w:val="18"/>
              </w:rPr>
              <w:t xml:space="preserve"> Quebrada de Humahuaca and Qhapac Ñam or Inca Road are World Heritage Sites, Yungas Biosphere Reserve)</w:t>
            </w:r>
            <w:r w:rsidR="000A61A0" w:rsidRPr="003F7F6C">
              <w:rPr>
                <w:rFonts w:cs="Calibri"/>
                <w:sz w:val="18"/>
                <w:szCs w:val="18"/>
              </w:rPr>
              <w:t xml:space="preserve">. </w:t>
            </w:r>
            <w:r w:rsidR="000A61A0" w:rsidRPr="003F7F6C">
              <w:rPr>
                <w:rFonts w:eastAsia="Times New Roman" w:cs="Calibri"/>
                <w:bCs/>
                <w:sz w:val="18"/>
                <w:szCs w:val="18"/>
                <w:lang w:eastAsia="es-AR"/>
              </w:rPr>
              <w:t>See Table 2 below for globally significant species in the ecoregions i</w:t>
            </w:r>
            <w:r w:rsidR="006F37FA" w:rsidRPr="003F7F6C">
              <w:rPr>
                <w:rFonts w:eastAsia="Times New Roman" w:cs="Calibri"/>
                <w:bCs/>
                <w:sz w:val="18"/>
                <w:szCs w:val="18"/>
                <w:lang w:eastAsia="es-AR"/>
              </w:rPr>
              <w:t xml:space="preserve"> of which this landscape is part</w:t>
            </w:r>
          </w:p>
        </w:tc>
        <w:tc>
          <w:tcPr>
            <w:tcW w:w="1237" w:type="dxa"/>
            <w:tcBorders>
              <w:right w:val="single" w:sz="18" w:space="0" w:color="auto"/>
            </w:tcBorders>
            <w:shd w:val="clear" w:color="auto" w:fill="auto"/>
          </w:tcPr>
          <w:p w14:paraId="355127E3" w14:textId="77777777" w:rsidR="00C60507" w:rsidRPr="003F7F6C" w:rsidRDefault="00C60507" w:rsidP="002B3130">
            <w:pPr>
              <w:spacing w:after="0"/>
              <w:jc w:val="left"/>
              <w:rPr>
                <w:rFonts w:cs="Calibri"/>
                <w:sz w:val="18"/>
                <w:szCs w:val="18"/>
              </w:rPr>
            </w:pPr>
            <w:r w:rsidRPr="003F7F6C">
              <w:rPr>
                <w:rFonts w:cs="Calibri"/>
                <w:sz w:val="18"/>
                <w:szCs w:val="18"/>
              </w:rPr>
              <w:t>Altitudes range from 3,500-6,000</w:t>
            </w:r>
            <w:r w:rsidR="000A61A0" w:rsidRPr="003F7F6C">
              <w:rPr>
                <w:rFonts w:cs="Calibri"/>
                <w:sz w:val="18"/>
                <w:szCs w:val="18"/>
              </w:rPr>
              <w:t xml:space="preserve"> meters above sea level</w:t>
            </w:r>
            <w:r w:rsidRPr="003F7F6C">
              <w:rPr>
                <w:rFonts w:cs="Calibri"/>
                <w:sz w:val="18"/>
                <w:szCs w:val="18"/>
              </w:rPr>
              <w:t>; water is scarce, BD and productive activities concentrate around water bodies; geological attractions (e.g. volcanos, salt flats); presence of protected areas (e.g.</w:t>
            </w:r>
            <w:r w:rsidRPr="003F7F6C">
              <w:rPr>
                <w:rFonts w:cs="Calibri"/>
                <w:color w:val="000000"/>
                <w:sz w:val="18"/>
                <w:szCs w:val="18"/>
              </w:rPr>
              <w:t xml:space="preserve">  Olaroz-Cauchari-Catua Flora and Fauna Reserve)</w:t>
            </w:r>
            <w:r w:rsidR="000A61A0" w:rsidRPr="003F7F6C">
              <w:rPr>
                <w:rFonts w:cs="Calibri"/>
                <w:color w:val="000000"/>
                <w:sz w:val="18"/>
                <w:szCs w:val="18"/>
              </w:rPr>
              <w:t xml:space="preserve">. </w:t>
            </w:r>
            <w:r w:rsidR="000A61A0" w:rsidRPr="003F7F6C">
              <w:rPr>
                <w:rFonts w:eastAsia="Times New Roman" w:cs="Calibri"/>
                <w:bCs/>
                <w:sz w:val="18"/>
                <w:szCs w:val="18"/>
                <w:lang w:eastAsia="es-AR"/>
              </w:rPr>
              <w:t xml:space="preserve">See Table 2 below for globally significant species in the ecoregions </w:t>
            </w:r>
            <w:r w:rsidR="006F37FA" w:rsidRPr="003F7F6C">
              <w:rPr>
                <w:rFonts w:eastAsia="Times New Roman" w:cs="Calibri"/>
                <w:bCs/>
                <w:sz w:val="18"/>
                <w:szCs w:val="18"/>
                <w:lang w:eastAsia="es-AR"/>
              </w:rPr>
              <w:t>of which this landscape is part</w:t>
            </w:r>
          </w:p>
        </w:tc>
        <w:tc>
          <w:tcPr>
            <w:tcW w:w="1278" w:type="dxa"/>
            <w:tcBorders>
              <w:left w:val="single" w:sz="18" w:space="0" w:color="auto"/>
            </w:tcBorders>
            <w:shd w:val="clear" w:color="auto" w:fill="auto"/>
          </w:tcPr>
          <w:p w14:paraId="05740F74" w14:textId="77777777" w:rsidR="00C60507" w:rsidRPr="003F7F6C" w:rsidRDefault="00C60507" w:rsidP="002B3130">
            <w:pPr>
              <w:spacing w:after="0"/>
              <w:jc w:val="left"/>
              <w:rPr>
                <w:rFonts w:cs="Calibri"/>
                <w:sz w:val="18"/>
                <w:szCs w:val="18"/>
              </w:rPr>
            </w:pPr>
            <w:r w:rsidRPr="003F7F6C">
              <w:rPr>
                <w:rFonts w:cs="Calibri"/>
                <w:sz w:val="18"/>
                <w:szCs w:val="18"/>
              </w:rPr>
              <w:t>Transition area between mountain and plains (up to 1,500 meters above sea level) where fauna and flora species of both regions co-exist; dominant shrub steppe is the “jarillal” (</w:t>
            </w:r>
            <w:r w:rsidRPr="003F7F6C">
              <w:rPr>
                <w:rFonts w:cs="Calibri"/>
                <w:i/>
                <w:sz w:val="18"/>
                <w:szCs w:val="18"/>
              </w:rPr>
              <w:t>Larrea spp</w:t>
            </w:r>
            <w:r w:rsidRPr="003F7F6C">
              <w:rPr>
                <w:rFonts w:cs="Calibri"/>
                <w:sz w:val="18"/>
                <w:szCs w:val="18"/>
              </w:rPr>
              <w:t xml:space="preserve">); Divisadero Largo Reserve; there is good vegetation cover in slopes preventing erosion and facilitating infiltration of water reducing probability of landslides over populated areas; </w:t>
            </w:r>
          </w:p>
          <w:p w14:paraId="50817C67" w14:textId="77777777" w:rsidR="00C60507" w:rsidRPr="003F7F6C" w:rsidRDefault="00C60507" w:rsidP="002B3130">
            <w:pPr>
              <w:spacing w:after="0"/>
              <w:jc w:val="left"/>
              <w:rPr>
                <w:rFonts w:cs="Calibri"/>
                <w:sz w:val="18"/>
                <w:szCs w:val="18"/>
              </w:rPr>
            </w:pPr>
            <w:r w:rsidRPr="003F7F6C">
              <w:rPr>
                <w:rFonts w:cs="Calibri"/>
                <w:sz w:val="18"/>
                <w:szCs w:val="18"/>
              </w:rPr>
              <w:t>presence of archaeological sites</w:t>
            </w:r>
            <w:r w:rsidR="000A61A0" w:rsidRPr="003F7F6C">
              <w:rPr>
                <w:rFonts w:cs="Calibri"/>
                <w:sz w:val="18"/>
                <w:szCs w:val="18"/>
              </w:rPr>
              <w:t xml:space="preserve">. </w:t>
            </w:r>
            <w:r w:rsidR="000A61A0" w:rsidRPr="003F7F6C">
              <w:rPr>
                <w:rFonts w:eastAsia="Times New Roman" w:cs="Calibri"/>
                <w:bCs/>
                <w:sz w:val="18"/>
                <w:szCs w:val="18"/>
                <w:lang w:eastAsia="es-AR"/>
              </w:rPr>
              <w:t xml:space="preserve">See Table 2 below for globally significant species in the ecoregions </w:t>
            </w:r>
            <w:r w:rsidR="006F37FA" w:rsidRPr="003F7F6C">
              <w:rPr>
                <w:rFonts w:eastAsia="Times New Roman" w:cs="Calibri"/>
                <w:bCs/>
                <w:sz w:val="18"/>
                <w:szCs w:val="18"/>
                <w:lang w:eastAsia="es-AR"/>
              </w:rPr>
              <w:t>of which this landscape is part</w:t>
            </w:r>
          </w:p>
        </w:tc>
        <w:tc>
          <w:tcPr>
            <w:tcW w:w="1222" w:type="dxa"/>
            <w:shd w:val="clear" w:color="auto" w:fill="auto"/>
          </w:tcPr>
          <w:p w14:paraId="128E5C27" w14:textId="77777777" w:rsidR="00C60507" w:rsidRPr="003F7F6C" w:rsidRDefault="00C60507" w:rsidP="002B3130">
            <w:pPr>
              <w:spacing w:after="0"/>
              <w:jc w:val="left"/>
              <w:rPr>
                <w:rFonts w:cs="Calibri"/>
                <w:sz w:val="18"/>
                <w:szCs w:val="18"/>
              </w:rPr>
            </w:pPr>
            <w:r w:rsidRPr="003F7F6C">
              <w:rPr>
                <w:rFonts w:cs="Calibri"/>
                <w:sz w:val="18"/>
                <w:szCs w:val="18"/>
              </w:rPr>
              <w:t>Transition area between mountain and plains (2,000 meters above sea level and higher); dominant shrub steppe is the “jarillal” (</w:t>
            </w:r>
            <w:r w:rsidRPr="003F7F6C">
              <w:rPr>
                <w:rFonts w:cs="Calibri"/>
                <w:i/>
                <w:sz w:val="18"/>
                <w:szCs w:val="18"/>
              </w:rPr>
              <w:t>Larrea spp</w:t>
            </w:r>
            <w:r w:rsidRPr="003F7F6C">
              <w:rPr>
                <w:rFonts w:cs="Calibri"/>
                <w:sz w:val="18"/>
                <w:szCs w:val="18"/>
              </w:rPr>
              <w:t>); subject to water erosion accelerated by slopes; presence of protected areas (Manzano Historico Natural and Cultural Reserve)</w:t>
            </w:r>
            <w:r w:rsidR="000A61A0" w:rsidRPr="003F7F6C">
              <w:rPr>
                <w:rFonts w:cs="Calibri"/>
                <w:sz w:val="18"/>
                <w:szCs w:val="18"/>
              </w:rPr>
              <w:t xml:space="preserve">. </w:t>
            </w:r>
            <w:r w:rsidR="000A61A0" w:rsidRPr="003F7F6C">
              <w:rPr>
                <w:rFonts w:eastAsia="Times New Roman" w:cs="Calibri"/>
                <w:bCs/>
                <w:sz w:val="18"/>
                <w:szCs w:val="18"/>
                <w:lang w:eastAsia="es-AR"/>
              </w:rPr>
              <w:t xml:space="preserve">See Table 2 below for globally significant species in the ecoregions </w:t>
            </w:r>
            <w:r w:rsidR="006F37FA" w:rsidRPr="003F7F6C">
              <w:rPr>
                <w:rFonts w:eastAsia="Times New Roman" w:cs="Calibri"/>
                <w:bCs/>
                <w:sz w:val="18"/>
                <w:szCs w:val="18"/>
                <w:lang w:eastAsia="es-AR"/>
              </w:rPr>
              <w:t>of which this landscape is part</w:t>
            </w:r>
          </w:p>
        </w:tc>
        <w:tc>
          <w:tcPr>
            <w:tcW w:w="1197" w:type="dxa"/>
            <w:shd w:val="clear" w:color="auto" w:fill="auto"/>
          </w:tcPr>
          <w:p w14:paraId="7A720ABF" w14:textId="77777777" w:rsidR="00C60507" w:rsidRPr="003F7F6C" w:rsidRDefault="00C60507" w:rsidP="002B3130">
            <w:pPr>
              <w:spacing w:after="0"/>
              <w:jc w:val="left"/>
              <w:rPr>
                <w:rFonts w:cs="Calibri"/>
                <w:sz w:val="18"/>
                <w:szCs w:val="18"/>
              </w:rPr>
            </w:pPr>
            <w:r w:rsidRPr="003F7F6C">
              <w:rPr>
                <w:rFonts w:cs="Calibri"/>
                <w:sz w:val="18"/>
                <w:szCs w:val="18"/>
              </w:rPr>
              <w:t>Llancanelo lagoon and salt flat make up an endhoreic basin</w:t>
            </w:r>
            <w:r w:rsidR="005C4634" w:rsidRPr="003F7F6C">
              <w:rPr>
                <w:rStyle w:val="FootnoteReference"/>
                <w:szCs w:val="18"/>
              </w:rPr>
              <w:footnoteReference w:id="18"/>
            </w:r>
            <w:r w:rsidRPr="003F7F6C">
              <w:rPr>
                <w:rFonts w:cs="Calibri"/>
                <w:sz w:val="18"/>
                <w:szCs w:val="18"/>
              </w:rPr>
              <w:t xml:space="preserve"> fed by the Malargüe River; the river and aquifers supply drinking water and for industrial and agricultural use</w:t>
            </w:r>
            <w:r w:rsidR="006337B0" w:rsidRPr="003F7F6C">
              <w:rPr>
                <w:rFonts w:cs="Calibri"/>
                <w:sz w:val="18"/>
                <w:szCs w:val="18"/>
              </w:rPr>
              <w:t>s</w:t>
            </w:r>
            <w:r w:rsidRPr="003F7F6C">
              <w:rPr>
                <w:rFonts w:cs="Calibri"/>
                <w:sz w:val="18"/>
                <w:szCs w:val="18"/>
              </w:rPr>
              <w:t>; it is a Ramsar Site and protects over 150 bird species (flamingo populations are the largest in the world) and numerous mammal species. Aquatic and sub-aquatic plant species are dominant.</w:t>
            </w:r>
            <w:r w:rsidR="000A61A0" w:rsidRPr="003F7F6C">
              <w:rPr>
                <w:rFonts w:cs="Calibri"/>
                <w:sz w:val="18"/>
                <w:szCs w:val="18"/>
              </w:rPr>
              <w:t xml:space="preserve"> </w:t>
            </w:r>
            <w:r w:rsidR="000A61A0" w:rsidRPr="003F7F6C">
              <w:rPr>
                <w:rFonts w:eastAsia="Times New Roman" w:cs="Calibri"/>
                <w:bCs/>
                <w:sz w:val="18"/>
                <w:szCs w:val="18"/>
                <w:lang w:eastAsia="es-AR"/>
              </w:rPr>
              <w:t xml:space="preserve">See Table 2 below for globally significant species in the ecoregions </w:t>
            </w:r>
            <w:r w:rsidR="006F37FA" w:rsidRPr="003F7F6C">
              <w:rPr>
                <w:rFonts w:eastAsia="Times New Roman" w:cs="Calibri"/>
                <w:bCs/>
                <w:sz w:val="18"/>
                <w:szCs w:val="18"/>
                <w:lang w:eastAsia="es-AR"/>
              </w:rPr>
              <w:t>of which this landscape is part</w:t>
            </w:r>
          </w:p>
        </w:tc>
        <w:tc>
          <w:tcPr>
            <w:tcW w:w="1503" w:type="dxa"/>
            <w:tcBorders>
              <w:right w:val="single" w:sz="18" w:space="0" w:color="auto"/>
            </w:tcBorders>
            <w:shd w:val="clear" w:color="auto" w:fill="auto"/>
          </w:tcPr>
          <w:p w14:paraId="041345A4" w14:textId="554CE99E" w:rsidR="00AF7898" w:rsidRPr="003F7F6C" w:rsidRDefault="00CD17CF" w:rsidP="002B3130">
            <w:pPr>
              <w:spacing w:after="0"/>
              <w:jc w:val="left"/>
              <w:rPr>
                <w:rFonts w:cs="Calibri"/>
                <w:sz w:val="18"/>
                <w:szCs w:val="18"/>
              </w:rPr>
            </w:pPr>
            <w:r w:rsidRPr="003F7F6C">
              <w:rPr>
                <w:rFonts w:cs="Calibri"/>
                <w:sz w:val="18"/>
                <w:szCs w:val="18"/>
              </w:rPr>
              <w:t>T</w:t>
            </w:r>
            <w:r w:rsidR="00AF7898" w:rsidRPr="003F7F6C">
              <w:rPr>
                <w:rFonts w:cs="Calibri"/>
                <w:sz w:val="18"/>
                <w:szCs w:val="18"/>
              </w:rPr>
              <w:t>he most important of the province´s oas</w:t>
            </w:r>
            <w:r w:rsidR="0027509C" w:rsidRPr="003F7F6C">
              <w:rPr>
                <w:rFonts w:cs="Calibri"/>
                <w:sz w:val="18"/>
                <w:szCs w:val="18"/>
              </w:rPr>
              <w:t>e</w:t>
            </w:r>
            <w:r w:rsidR="00AF7898" w:rsidRPr="003F7F6C">
              <w:rPr>
                <w:rFonts w:cs="Calibri"/>
                <w:sz w:val="18"/>
                <w:szCs w:val="18"/>
              </w:rPr>
              <w:t xml:space="preserve">s </w:t>
            </w:r>
            <w:r w:rsidRPr="003F7F6C">
              <w:rPr>
                <w:rFonts w:cs="Calibri"/>
                <w:sz w:val="18"/>
                <w:szCs w:val="18"/>
              </w:rPr>
              <w:t>formed by the watersheds of the Mendoza and Tunuyan rivers; important aquifers that provide freshwater for human and animal consumption and irrigation;</w:t>
            </w:r>
          </w:p>
          <w:p w14:paraId="7263489E" w14:textId="77777777" w:rsidR="00C60507" w:rsidRPr="003F7F6C" w:rsidRDefault="00C60507" w:rsidP="002B3130">
            <w:pPr>
              <w:spacing w:after="0"/>
              <w:jc w:val="left"/>
              <w:rPr>
                <w:rFonts w:cs="Calibri"/>
                <w:sz w:val="18"/>
                <w:szCs w:val="18"/>
              </w:rPr>
            </w:pPr>
            <w:r w:rsidRPr="003F7F6C">
              <w:rPr>
                <w:rFonts w:cs="Calibri"/>
                <w:sz w:val="18"/>
                <w:szCs w:val="18"/>
              </w:rPr>
              <w:t>diverse agro-ecosystem where horticulture, vineyards, olive groves and fruit orchards co-exist</w:t>
            </w:r>
            <w:r w:rsidR="00F84885" w:rsidRPr="003F7F6C">
              <w:rPr>
                <w:rFonts w:cs="Calibri"/>
                <w:sz w:val="18"/>
                <w:szCs w:val="18"/>
              </w:rPr>
              <w:t xml:space="preserve"> with natural vegetation</w:t>
            </w:r>
            <w:r w:rsidR="000A61A0" w:rsidRPr="003F7F6C">
              <w:rPr>
                <w:rFonts w:cs="Calibri"/>
                <w:sz w:val="18"/>
                <w:szCs w:val="18"/>
              </w:rPr>
              <w:t xml:space="preserve">. </w:t>
            </w:r>
            <w:r w:rsidR="000A61A0" w:rsidRPr="003F7F6C">
              <w:rPr>
                <w:rFonts w:eastAsia="Times New Roman" w:cs="Calibri"/>
                <w:bCs/>
                <w:sz w:val="18"/>
                <w:szCs w:val="18"/>
                <w:lang w:eastAsia="es-AR"/>
              </w:rPr>
              <w:t xml:space="preserve">See Table 2 below for globally significant species in the ecoregions </w:t>
            </w:r>
            <w:r w:rsidR="006F37FA" w:rsidRPr="003F7F6C">
              <w:rPr>
                <w:rFonts w:eastAsia="Times New Roman" w:cs="Calibri"/>
                <w:bCs/>
                <w:sz w:val="18"/>
                <w:szCs w:val="18"/>
                <w:lang w:eastAsia="es-AR"/>
              </w:rPr>
              <w:t>of which this landscape is part</w:t>
            </w:r>
          </w:p>
          <w:p w14:paraId="65E5BD66" w14:textId="77777777" w:rsidR="00C60507" w:rsidRPr="003F7F6C" w:rsidRDefault="00C60507" w:rsidP="002B3130">
            <w:pPr>
              <w:spacing w:after="0"/>
              <w:jc w:val="left"/>
              <w:rPr>
                <w:rFonts w:cs="Calibri"/>
                <w:sz w:val="18"/>
                <w:szCs w:val="18"/>
              </w:rPr>
            </w:pPr>
          </w:p>
        </w:tc>
      </w:tr>
      <w:tr w:rsidR="00287C43" w:rsidRPr="003F7F6C" w14:paraId="2794319C" w14:textId="77777777" w:rsidTr="00E9673C">
        <w:tc>
          <w:tcPr>
            <w:tcW w:w="1252" w:type="dxa"/>
            <w:tcBorders>
              <w:left w:val="single" w:sz="18" w:space="0" w:color="auto"/>
              <w:right w:val="single" w:sz="18" w:space="0" w:color="auto"/>
            </w:tcBorders>
            <w:shd w:val="clear" w:color="auto" w:fill="auto"/>
          </w:tcPr>
          <w:p w14:paraId="430A5A1B" w14:textId="77777777" w:rsidR="00C60507" w:rsidRPr="003F7F6C" w:rsidRDefault="00C60507" w:rsidP="002B3130">
            <w:pPr>
              <w:spacing w:after="0"/>
              <w:jc w:val="left"/>
              <w:rPr>
                <w:rFonts w:cs="Calibri"/>
                <w:sz w:val="18"/>
                <w:szCs w:val="18"/>
              </w:rPr>
            </w:pPr>
            <w:r w:rsidRPr="003F7F6C">
              <w:rPr>
                <w:rFonts w:cs="Calibri"/>
                <w:sz w:val="18"/>
                <w:szCs w:val="18"/>
              </w:rPr>
              <w:t>Threats to BD conservation and SLM</w:t>
            </w:r>
          </w:p>
        </w:tc>
        <w:tc>
          <w:tcPr>
            <w:tcW w:w="1264" w:type="dxa"/>
            <w:tcBorders>
              <w:left w:val="single" w:sz="18" w:space="0" w:color="auto"/>
            </w:tcBorders>
            <w:shd w:val="clear" w:color="auto" w:fill="auto"/>
          </w:tcPr>
          <w:p w14:paraId="7F2F861C" w14:textId="77777777" w:rsidR="00C60507" w:rsidRPr="003F7F6C" w:rsidRDefault="00C60507" w:rsidP="002B3130">
            <w:pPr>
              <w:spacing w:after="0"/>
              <w:jc w:val="left"/>
              <w:rPr>
                <w:rFonts w:eastAsia="Times New Roman" w:cs="Calibri"/>
                <w:bCs/>
                <w:sz w:val="18"/>
                <w:szCs w:val="18"/>
                <w:lang w:eastAsia="es-AR"/>
              </w:rPr>
            </w:pPr>
            <w:r w:rsidRPr="003F7F6C">
              <w:rPr>
                <w:rFonts w:eastAsia="Times New Roman" w:cs="Calibri"/>
                <w:bCs/>
                <w:sz w:val="18"/>
                <w:szCs w:val="18"/>
                <w:lang w:eastAsia="es-AR"/>
              </w:rPr>
              <w:t>Deforestation of “talar” (</w:t>
            </w:r>
            <w:r w:rsidRPr="003F7F6C">
              <w:rPr>
                <w:rFonts w:eastAsia="Times New Roman" w:cs="Calibri"/>
                <w:bCs/>
                <w:i/>
                <w:sz w:val="18"/>
                <w:szCs w:val="18"/>
                <w:lang w:eastAsia="es-AR"/>
              </w:rPr>
              <w:t>Celtis tala</w:t>
            </w:r>
            <w:r w:rsidRPr="003F7F6C">
              <w:rPr>
                <w:rFonts w:eastAsia="Times New Roman" w:cs="Calibri"/>
                <w:bCs/>
                <w:sz w:val="18"/>
                <w:szCs w:val="18"/>
                <w:lang w:eastAsia="es-AR"/>
              </w:rPr>
              <w:t>) forests for extraction of seashells, agriculture and pastures, fuelwood; use of agro-chemicals over “talares”;</w:t>
            </w:r>
          </w:p>
          <w:p w14:paraId="5D38EB3D" w14:textId="77777777" w:rsidR="00C60507" w:rsidRPr="003F7F6C" w:rsidRDefault="006F37FA" w:rsidP="002B3130">
            <w:pPr>
              <w:spacing w:after="0"/>
              <w:jc w:val="left"/>
              <w:rPr>
                <w:rFonts w:eastAsia="Times New Roman" w:cs="Calibri"/>
                <w:bCs/>
                <w:sz w:val="18"/>
                <w:szCs w:val="18"/>
                <w:lang w:eastAsia="es-AR"/>
              </w:rPr>
            </w:pPr>
            <w:r w:rsidRPr="003F7F6C">
              <w:rPr>
                <w:rFonts w:eastAsia="Times New Roman" w:cs="Calibri"/>
                <w:bCs/>
                <w:sz w:val="18"/>
                <w:szCs w:val="18"/>
                <w:lang w:eastAsia="es-AR"/>
              </w:rPr>
              <w:t>Invasive</w:t>
            </w:r>
            <w:r w:rsidR="00D31F18" w:rsidRPr="003F7F6C">
              <w:rPr>
                <w:rFonts w:eastAsia="Times New Roman" w:cs="Calibri"/>
                <w:bCs/>
                <w:sz w:val="18"/>
                <w:szCs w:val="18"/>
                <w:lang w:eastAsia="es-AR"/>
              </w:rPr>
              <w:t xml:space="preserve"> </w:t>
            </w:r>
            <w:r w:rsidR="00C60507" w:rsidRPr="003F7F6C">
              <w:rPr>
                <w:rFonts w:eastAsia="Times New Roman" w:cs="Calibri"/>
                <w:bCs/>
                <w:sz w:val="18"/>
                <w:szCs w:val="18"/>
                <w:lang w:eastAsia="es-AR"/>
              </w:rPr>
              <w:t xml:space="preserve">alien </w:t>
            </w:r>
            <w:r w:rsidR="00D31F18" w:rsidRPr="003F7F6C">
              <w:rPr>
                <w:rFonts w:eastAsia="Times New Roman" w:cs="Calibri"/>
                <w:bCs/>
                <w:sz w:val="18"/>
                <w:szCs w:val="18"/>
                <w:lang w:eastAsia="es-AR"/>
              </w:rPr>
              <w:t xml:space="preserve">species of </w:t>
            </w:r>
            <w:r w:rsidR="00C60507" w:rsidRPr="003F7F6C">
              <w:rPr>
                <w:rFonts w:eastAsia="Times New Roman" w:cs="Calibri"/>
                <w:bCs/>
                <w:sz w:val="18"/>
                <w:szCs w:val="18"/>
                <w:lang w:eastAsia="es-AR"/>
              </w:rPr>
              <w:t>flora and fauna</w:t>
            </w:r>
            <w:r w:rsidR="00246F0D" w:rsidRPr="003F7F6C">
              <w:rPr>
                <w:rFonts w:eastAsia="Times New Roman" w:cs="Calibri"/>
                <w:bCs/>
                <w:sz w:val="18"/>
                <w:szCs w:val="18"/>
                <w:lang w:eastAsia="es-AR"/>
              </w:rPr>
              <w:t>; urban expansion.</w:t>
            </w:r>
            <w:r w:rsidR="00C60507" w:rsidRPr="003F7F6C">
              <w:rPr>
                <w:rFonts w:eastAsia="Times New Roman" w:cs="Calibri"/>
                <w:bCs/>
                <w:sz w:val="18"/>
                <w:szCs w:val="18"/>
                <w:lang w:eastAsia="es-AR"/>
              </w:rPr>
              <w:t xml:space="preserve">  </w:t>
            </w:r>
          </w:p>
        </w:tc>
        <w:tc>
          <w:tcPr>
            <w:tcW w:w="1601" w:type="dxa"/>
            <w:shd w:val="clear" w:color="auto" w:fill="auto"/>
          </w:tcPr>
          <w:p w14:paraId="6BA561CB" w14:textId="77777777" w:rsidR="00C60507" w:rsidRPr="003F7F6C" w:rsidRDefault="00C60507" w:rsidP="002B3130">
            <w:pPr>
              <w:spacing w:after="0"/>
              <w:jc w:val="left"/>
              <w:rPr>
                <w:rFonts w:cs="Calibri"/>
                <w:sz w:val="18"/>
                <w:szCs w:val="18"/>
              </w:rPr>
            </w:pPr>
            <w:r w:rsidRPr="003F7F6C">
              <w:rPr>
                <w:rFonts w:cs="Calibri"/>
                <w:sz w:val="18"/>
                <w:szCs w:val="18"/>
              </w:rPr>
              <w:t>Wildfires;</w:t>
            </w:r>
          </w:p>
          <w:p w14:paraId="42A59265" w14:textId="77777777" w:rsidR="00C60507" w:rsidRPr="003F7F6C" w:rsidRDefault="00C60507" w:rsidP="002B3130">
            <w:pPr>
              <w:spacing w:after="0"/>
              <w:jc w:val="left"/>
              <w:rPr>
                <w:rFonts w:cs="Calibri"/>
                <w:sz w:val="18"/>
                <w:szCs w:val="18"/>
              </w:rPr>
            </w:pPr>
            <w:r w:rsidRPr="003F7F6C">
              <w:rPr>
                <w:rFonts w:cs="Calibri"/>
                <w:sz w:val="18"/>
                <w:szCs w:val="18"/>
              </w:rPr>
              <w:t>“Imported” practices from other ecosystems (</w:t>
            </w:r>
            <w:r w:rsidR="005A0169" w:rsidRPr="003F7F6C">
              <w:rPr>
                <w:rFonts w:cs="Calibri"/>
                <w:sz w:val="18"/>
                <w:szCs w:val="18"/>
              </w:rPr>
              <w:t xml:space="preserve">invasive </w:t>
            </w:r>
            <w:r w:rsidRPr="003F7F6C">
              <w:rPr>
                <w:rFonts w:cs="Calibri"/>
                <w:sz w:val="18"/>
                <w:szCs w:val="18"/>
              </w:rPr>
              <w:t xml:space="preserve">alien </w:t>
            </w:r>
            <w:r w:rsidR="005A0169" w:rsidRPr="003F7F6C">
              <w:rPr>
                <w:rFonts w:cs="Calibri"/>
                <w:sz w:val="18"/>
                <w:szCs w:val="18"/>
              </w:rPr>
              <w:t xml:space="preserve">species of </w:t>
            </w:r>
            <w:r w:rsidRPr="003F7F6C">
              <w:rPr>
                <w:rFonts w:cs="Calibri"/>
                <w:sz w:val="18"/>
                <w:szCs w:val="18"/>
              </w:rPr>
              <w:t>flora and fauna, construction of retaining walls to stop flooding; alteration of natural ground level, modification or creation of water bodies, housing developments</w:t>
            </w:r>
            <w:r w:rsidR="00246F0D" w:rsidRPr="003F7F6C">
              <w:rPr>
                <w:rFonts w:cs="Calibri"/>
                <w:sz w:val="18"/>
                <w:szCs w:val="18"/>
              </w:rPr>
              <w:t>.</w:t>
            </w:r>
          </w:p>
        </w:tc>
        <w:tc>
          <w:tcPr>
            <w:tcW w:w="1232" w:type="dxa"/>
            <w:tcBorders>
              <w:right w:val="single" w:sz="18" w:space="0" w:color="auto"/>
            </w:tcBorders>
            <w:shd w:val="clear" w:color="auto" w:fill="auto"/>
          </w:tcPr>
          <w:p w14:paraId="64EE0B06" w14:textId="77777777" w:rsidR="00C60507" w:rsidRPr="003F7F6C" w:rsidRDefault="00C60507" w:rsidP="002B3130">
            <w:pPr>
              <w:spacing w:after="0"/>
              <w:jc w:val="left"/>
              <w:rPr>
                <w:rFonts w:cs="Calibri"/>
                <w:sz w:val="18"/>
                <w:szCs w:val="18"/>
              </w:rPr>
            </w:pPr>
            <w:r w:rsidRPr="003F7F6C">
              <w:rPr>
                <w:rFonts w:cs="Calibri"/>
                <w:sz w:val="18"/>
                <w:szCs w:val="18"/>
              </w:rPr>
              <w:t>Loss of forest cover and fragmentation (erosion, salinization, soil loss, rising of water levels); overgrazing; wildfires; agricultural practices no</w:t>
            </w:r>
            <w:r w:rsidR="00620C4C" w:rsidRPr="003F7F6C">
              <w:rPr>
                <w:rFonts w:cs="Calibri"/>
                <w:sz w:val="18"/>
                <w:szCs w:val="18"/>
              </w:rPr>
              <w:t>t</w:t>
            </w:r>
            <w:r w:rsidRPr="003F7F6C">
              <w:rPr>
                <w:rFonts w:cs="Calibri"/>
                <w:sz w:val="18"/>
                <w:szCs w:val="18"/>
              </w:rPr>
              <w:t xml:space="preserve"> adapted to the region</w:t>
            </w:r>
            <w:r w:rsidR="00246F0D" w:rsidRPr="003F7F6C">
              <w:rPr>
                <w:rFonts w:cs="Calibri"/>
                <w:sz w:val="18"/>
                <w:szCs w:val="18"/>
              </w:rPr>
              <w:t>.</w:t>
            </w:r>
          </w:p>
        </w:tc>
        <w:tc>
          <w:tcPr>
            <w:tcW w:w="1647" w:type="dxa"/>
            <w:tcBorders>
              <w:left w:val="single" w:sz="18" w:space="0" w:color="auto"/>
            </w:tcBorders>
            <w:shd w:val="clear" w:color="auto" w:fill="auto"/>
          </w:tcPr>
          <w:p w14:paraId="1B29D952" w14:textId="76E7E077" w:rsidR="00C60507" w:rsidRPr="003F7F6C" w:rsidRDefault="00D31F18" w:rsidP="002B3130">
            <w:pPr>
              <w:spacing w:after="0"/>
              <w:jc w:val="left"/>
              <w:rPr>
                <w:rFonts w:cs="Calibri"/>
                <w:sz w:val="18"/>
                <w:szCs w:val="18"/>
              </w:rPr>
            </w:pPr>
            <w:r w:rsidRPr="003F7F6C">
              <w:rPr>
                <w:rFonts w:cs="Calibri"/>
                <w:sz w:val="18"/>
                <w:szCs w:val="18"/>
              </w:rPr>
              <w:t>Uncontrolled urban expansion; unsustainable extraction of natural resources (e.g.</w:t>
            </w:r>
            <w:r w:rsidR="0027509C" w:rsidRPr="003F7F6C">
              <w:rPr>
                <w:rFonts w:cs="Calibri"/>
                <w:sz w:val="18"/>
                <w:szCs w:val="18"/>
              </w:rPr>
              <w:t>,</w:t>
            </w:r>
            <w:r w:rsidRPr="003F7F6C">
              <w:rPr>
                <w:rFonts w:cs="Calibri"/>
                <w:sz w:val="18"/>
                <w:szCs w:val="18"/>
              </w:rPr>
              <w:t xml:space="preserve"> </w:t>
            </w:r>
            <w:r w:rsidRPr="003F7F6C">
              <w:rPr>
                <w:rFonts w:cs="Calibri"/>
                <w:i/>
                <w:sz w:val="18"/>
                <w:szCs w:val="18"/>
              </w:rPr>
              <w:t>queñoa</w:t>
            </w:r>
            <w:r w:rsidRPr="003F7F6C">
              <w:rPr>
                <w:rFonts w:cs="Calibri"/>
                <w:sz w:val="18"/>
                <w:szCs w:val="18"/>
              </w:rPr>
              <w:t xml:space="preserve"> for fuelwood, hunting); unsustainable livestock practices. Tourism is expected to increase in the future </w:t>
            </w:r>
            <w:r w:rsidR="00C60507" w:rsidRPr="003F7F6C">
              <w:rPr>
                <w:rFonts w:cs="Calibri"/>
                <w:sz w:val="18"/>
                <w:szCs w:val="18"/>
              </w:rPr>
              <w:t>with potential negative impacts (increased solid wastes, road maintenance, use of chemical baths, commercial signing)</w:t>
            </w:r>
            <w:r w:rsidR="00246F0D" w:rsidRPr="003F7F6C">
              <w:rPr>
                <w:rFonts w:cs="Calibri"/>
                <w:sz w:val="18"/>
                <w:szCs w:val="18"/>
              </w:rPr>
              <w:t>.</w:t>
            </w:r>
          </w:p>
        </w:tc>
        <w:tc>
          <w:tcPr>
            <w:tcW w:w="1237" w:type="dxa"/>
            <w:tcBorders>
              <w:right w:val="single" w:sz="18" w:space="0" w:color="auto"/>
            </w:tcBorders>
            <w:shd w:val="clear" w:color="auto" w:fill="auto"/>
          </w:tcPr>
          <w:p w14:paraId="2F82E719" w14:textId="389B26BF" w:rsidR="00D31F18" w:rsidRPr="003F7F6C" w:rsidRDefault="00D31F18" w:rsidP="002B3130">
            <w:pPr>
              <w:spacing w:after="0"/>
              <w:jc w:val="left"/>
              <w:rPr>
                <w:rFonts w:cs="Calibri"/>
                <w:sz w:val="18"/>
                <w:szCs w:val="18"/>
              </w:rPr>
            </w:pPr>
            <w:r w:rsidRPr="003F7F6C">
              <w:rPr>
                <w:rFonts w:cs="Calibri"/>
                <w:sz w:val="18"/>
                <w:szCs w:val="18"/>
              </w:rPr>
              <w:t>Uncontrolled urban expansion; unsustainable extraction of natural resources (e.g.</w:t>
            </w:r>
            <w:r w:rsidR="0027509C" w:rsidRPr="003F7F6C">
              <w:rPr>
                <w:rFonts w:cs="Calibri"/>
                <w:sz w:val="18"/>
                <w:szCs w:val="18"/>
              </w:rPr>
              <w:t>,</w:t>
            </w:r>
            <w:r w:rsidRPr="003F7F6C">
              <w:rPr>
                <w:rFonts w:cs="Calibri"/>
                <w:sz w:val="18"/>
                <w:szCs w:val="18"/>
              </w:rPr>
              <w:t xml:space="preserve"> </w:t>
            </w:r>
            <w:r w:rsidRPr="003F7F6C">
              <w:rPr>
                <w:rFonts w:cs="Calibri"/>
                <w:i/>
                <w:sz w:val="18"/>
                <w:szCs w:val="18"/>
              </w:rPr>
              <w:t>queñoa</w:t>
            </w:r>
            <w:r w:rsidRPr="003F7F6C">
              <w:rPr>
                <w:rFonts w:cs="Calibri"/>
                <w:sz w:val="18"/>
                <w:szCs w:val="18"/>
              </w:rPr>
              <w:t xml:space="preserve"> for fuelwood, hunting); unsustainable livestock practices. Tourism is expected to increase in the future. </w:t>
            </w:r>
          </w:p>
          <w:p w14:paraId="4BE8686C" w14:textId="77777777" w:rsidR="00C60507" w:rsidRPr="003F7F6C" w:rsidRDefault="00C60507" w:rsidP="002B3130">
            <w:pPr>
              <w:spacing w:after="0"/>
              <w:jc w:val="left"/>
              <w:rPr>
                <w:rFonts w:cs="Calibri"/>
                <w:sz w:val="18"/>
                <w:szCs w:val="18"/>
              </w:rPr>
            </w:pPr>
            <w:r w:rsidRPr="003F7F6C">
              <w:rPr>
                <w:rFonts w:cs="Calibri"/>
                <w:sz w:val="18"/>
                <w:szCs w:val="18"/>
              </w:rPr>
              <w:t>Increased tourism forecasts with potential negative impacts (increased solid wastes, road maintenance, use of chemical baths, commercial signing); mining is also expected to increase</w:t>
            </w:r>
          </w:p>
        </w:tc>
        <w:tc>
          <w:tcPr>
            <w:tcW w:w="1278" w:type="dxa"/>
            <w:tcBorders>
              <w:left w:val="single" w:sz="18" w:space="0" w:color="auto"/>
            </w:tcBorders>
            <w:shd w:val="clear" w:color="auto" w:fill="auto"/>
          </w:tcPr>
          <w:p w14:paraId="2DFAD5DF" w14:textId="77777777" w:rsidR="00C60507" w:rsidRPr="003F7F6C" w:rsidRDefault="00C60507" w:rsidP="002B3130">
            <w:pPr>
              <w:spacing w:after="0"/>
              <w:jc w:val="left"/>
              <w:rPr>
                <w:rFonts w:cs="Calibri"/>
                <w:sz w:val="18"/>
                <w:szCs w:val="18"/>
              </w:rPr>
            </w:pPr>
            <w:r w:rsidRPr="003F7F6C">
              <w:rPr>
                <w:rFonts w:cs="Calibri"/>
                <w:sz w:val="18"/>
                <w:szCs w:val="18"/>
              </w:rPr>
              <w:t>Unplanned urban and agricultural expansion along the Andean piedmont increase</w:t>
            </w:r>
            <w:r w:rsidR="00FF1592" w:rsidRPr="003F7F6C">
              <w:rPr>
                <w:rFonts w:cs="Calibri"/>
                <w:sz w:val="18"/>
                <w:szCs w:val="18"/>
              </w:rPr>
              <w:t>s</w:t>
            </w:r>
            <w:r w:rsidRPr="003F7F6C">
              <w:rPr>
                <w:rFonts w:cs="Calibri"/>
                <w:sz w:val="18"/>
                <w:szCs w:val="18"/>
              </w:rPr>
              <w:t xml:space="preserve"> the risk of landslides, habitat fragmentatio</w:t>
            </w:r>
            <w:r w:rsidR="00E9673C" w:rsidRPr="003F7F6C">
              <w:rPr>
                <w:rFonts w:cs="Calibri"/>
                <w:sz w:val="18"/>
                <w:szCs w:val="18"/>
              </w:rPr>
              <w:t>n</w:t>
            </w:r>
            <w:r w:rsidRPr="003F7F6C">
              <w:rPr>
                <w:rFonts w:cs="Calibri"/>
                <w:sz w:val="18"/>
                <w:szCs w:val="18"/>
              </w:rPr>
              <w:t>; unsustainable extraction resources (fuelwood, hunting); unsustainable production practices (e.g.</w:t>
            </w:r>
            <w:r w:rsidR="00FF1592" w:rsidRPr="003F7F6C">
              <w:rPr>
                <w:rFonts w:cs="Calibri"/>
                <w:sz w:val="18"/>
                <w:szCs w:val="18"/>
              </w:rPr>
              <w:t>,</w:t>
            </w:r>
            <w:r w:rsidRPr="003F7F6C">
              <w:rPr>
                <w:rFonts w:cs="Calibri"/>
                <w:sz w:val="18"/>
                <w:szCs w:val="18"/>
              </w:rPr>
              <w:t xml:space="preserve"> overgrazing); lack of effective conservation strategies and management of protected areas</w:t>
            </w:r>
            <w:r w:rsidR="00246F0D" w:rsidRPr="003F7F6C">
              <w:rPr>
                <w:rFonts w:cs="Calibri"/>
                <w:sz w:val="18"/>
                <w:szCs w:val="18"/>
              </w:rPr>
              <w:t>.</w:t>
            </w:r>
          </w:p>
        </w:tc>
        <w:tc>
          <w:tcPr>
            <w:tcW w:w="1222" w:type="dxa"/>
            <w:shd w:val="clear" w:color="auto" w:fill="auto"/>
          </w:tcPr>
          <w:p w14:paraId="0AEB8F4D" w14:textId="77777777" w:rsidR="00C60507" w:rsidRPr="003F7F6C" w:rsidRDefault="00C60507" w:rsidP="002B3130">
            <w:pPr>
              <w:spacing w:after="0"/>
              <w:jc w:val="left"/>
              <w:rPr>
                <w:rFonts w:cs="Calibri"/>
                <w:sz w:val="18"/>
                <w:szCs w:val="18"/>
              </w:rPr>
            </w:pPr>
            <w:r w:rsidRPr="003F7F6C">
              <w:rPr>
                <w:rFonts w:cs="Calibri"/>
                <w:sz w:val="18"/>
                <w:szCs w:val="18"/>
              </w:rPr>
              <w:t>Unplanned urbanization of the piedmont; housing and agricultural developments without considering the piedmont´s hydrological functions and mitigation measures; expansion of agricultural frontier along the valley and Mendoza River due to availability of water and adequate climate for vineyards</w:t>
            </w:r>
            <w:r w:rsidR="00246F0D" w:rsidRPr="003F7F6C">
              <w:rPr>
                <w:rFonts w:cs="Calibri"/>
                <w:sz w:val="18"/>
                <w:szCs w:val="18"/>
              </w:rPr>
              <w:t>.</w:t>
            </w:r>
          </w:p>
        </w:tc>
        <w:tc>
          <w:tcPr>
            <w:tcW w:w="1197" w:type="dxa"/>
            <w:shd w:val="clear" w:color="auto" w:fill="auto"/>
          </w:tcPr>
          <w:p w14:paraId="09E534CC" w14:textId="77777777" w:rsidR="00C60507" w:rsidRPr="003F7F6C" w:rsidRDefault="00C60507" w:rsidP="002B3130">
            <w:pPr>
              <w:spacing w:after="0"/>
              <w:jc w:val="left"/>
              <w:rPr>
                <w:rFonts w:cs="Calibri"/>
                <w:sz w:val="18"/>
                <w:szCs w:val="18"/>
              </w:rPr>
            </w:pPr>
            <w:r w:rsidRPr="003F7F6C">
              <w:rPr>
                <w:rFonts w:cs="Calibri"/>
                <w:sz w:val="18"/>
                <w:szCs w:val="18"/>
              </w:rPr>
              <w:t>Decreased water flow of the Malargüe River due to</w:t>
            </w:r>
          </w:p>
          <w:p w14:paraId="392735F3" w14:textId="77777777" w:rsidR="00C60507" w:rsidRPr="003F7F6C" w:rsidRDefault="00C60507" w:rsidP="002B3130">
            <w:pPr>
              <w:spacing w:after="0"/>
              <w:jc w:val="left"/>
              <w:rPr>
                <w:rFonts w:cs="Calibri"/>
                <w:sz w:val="18"/>
                <w:szCs w:val="18"/>
              </w:rPr>
            </w:pPr>
            <w:r w:rsidRPr="003F7F6C">
              <w:rPr>
                <w:rFonts w:cs="Calibri"/>
                <w:sz w:val="18"/>
                <w:szCs w:val="18"/>
              </w:rPr>
              <w:t>over-use for agriculture; unsustainable extraction of resources (fuelwood, hunting); unsustainable production practices (e.g. overgrazing); lack of effective conservation strategies and management of protected areas; urban growth</w:t>
            </w:r>
            <w:r w:rsidR="00246F0D" w:rsidRPr="003F7F6C">
              <w:rPr>
                <w:rFonts w:cs="Calibri"/>
                <w:sz w:val="18"/>
                <w:szCs w:val="18"/>
              </w:rPr>
              <w:t>.</w:t>
            </w:r>
          </w:p>
        </w:tc>
        <w:tc>
          <w:tcPr>
            <w:tcW w:w="1503" w:type="dxa"/>
            <w:tcBorders>
              <w:right w:val="single" w:sz="18" w:space="0" w:color="auto"/>
            </w:tcBorders>
            <w:shd w:val="clear" w:color="auto" w:fill="auto"/>
          </w:tcPr>
          <w:p w14:paraId="304D7BD4" w14:textId="77777777" w:rsidR="00C60507" w:rsidRPr="003F7F6C" w:rsidRDefault="00C60507" w:rsidP="002B3130">
            <w:pPr>
              <w:spacing w:after="0"/>
              <w:jc w:val="left"/>
              <w:rPr>
                <w:rFonts w:cs="Calibri"/>
                <w:sz w:val="18"/>
                <w:szCs w:val="18"/>
              </w:rPr>
            </w:pPr>
            <w:r w:rsidRPr="003F7F6C">
              <w:rPr>
                <w:rFonts w:cs="Calibri"/>
                <w:sz w:val="18"/>
                <w:szCs w:val="18"/>
              </w:rPr>
              <w:t>Urban expansion over agricultural lands; contamination of soil and water by domestic and industrial wastes and over-use of agro-chemicals; degraded lands and salinization; increasing open dumps</w:t>
            </w:r>
            <w:r w:rsidR="00246F0D" w:rsidRPr="003F7F6C">
              <w:rPr>
                <w:rFonts w:cs="Calibri"/>
                <w:sz w:val="18"/>
                <w:szCs w:val="18"/>
              </w:rPr>
              <w:t>.</w:t>
            </w:r>
          </w:p>
        </w:tc>
      </w:tr>
      <w:tr w:rsidR="00442578" w:rsidRPr="003F7F6C" w14:paraId="52165506" w14:textId="77777777" w:rsidTr="00E9673C">
        <w:tc>
          <w:tcPr>
            <w:tcW w:w="1252" w:type="dxa"/>
            <w:tcBorders>
              <w:left w:val="single" w:sz="18" w:space="0" w:color="auto"/>
              <w:bottom w:val="single" w:sz="4" w:space="0" w:color="auto"/>
              <w:right w:val="single" w:sz="18" w:space="0" w:color="auto"/>
            </w:tcBorders>
            <w:shd w:val="clear" w:color="auto" w:fill="auto"/>
          </w:tcPr>
          <w:p w14:paraId="7B3FECFC" w14:textId="77777777" w:rsidR="00C60507" w:rsidRPr="003F7F6C" w:rsidRDefault="00C60507" w:rsidP="002B3130">
            <w:pPr>
              <w:spacing w:after="0"/>
              <w:rPr>
                <w:rFonts w:cs="Calibri"/>
                <w:sz w:val="18"/>
                <w:szCs w:val="18"/>
              </w:rPr>
            </w:pPr>
            <w:r w:rsidRPr="003F7F6C">
              <w:rPr>
                <w:rFonts w:cs="Calibri"/>
                <w:sz w:val="18"/>
                <w:szCs w:val="18"/>
              </w:rPr>
              <w:t xml:space="preserve">National and/or provincial regulatory framework for </w:t>
            </w:r>
            <w:r w:rsidR="00246F0D" w:rsidRPr="003F7F6C">
              <w:rPr>
                <w:rFonts w:cs="Calibri"/>
                <w:sz w:val="18"/>
                <w:szCs w:val="18"/>
              </w:rPr>
              <w:t>land use and ELUP</w:t>
            </w:r>
          </w:p>
        </w:tc>
        <w:tc>
          <w:tcPr>
            <w:tcW w:w="4097" w:type="dxa"/>
            <w:gridSpan w:val="3"/>
            <w:tcBorders>
              <w:left w:val="single" w:sz="18" w:space="0" w:color="auto"/>
              <w:bottom w:val="single" w:sz="4" w:space="0" w:color="auto"/>
              <w:right w:val="single" w:sz="18" w:space="0" w:color="auto"/>
            </w:tcBorders>
            <w:shd w:val="clear" w:color="auto" w:fill="auto"/>
          </w:tcPr>
          <w:p w14:paraId="5E736C0B" w14:textId="77777777" w:rsidR="00C60507" w:rsidRPr="003F7F6C" w:rsidRDefault="00C60507" w:rsidP="002B3130">
            <w:pPr>
              <w:tabs>
                <w:tab w:val="right" w:pos="2120"/>
              </w:tabs>
              <w:spacing w:after="0"/>
              <w:rPr>
                <w:color w:val="FF0000"/>
                <w:sz w:val="18"/>
                <w:szCs w:val="18"/>
              </w:rPr>
            </w:pPr>
            <w:r w:rsidRPr="003F7F6C">
              <w:rPr>
                <w:sz w:val="18"/>
                <w:szCs w:val="18"/>
              </w:rPr>
              <w:t>A proposal elaborated to develop the ELUP Strategic Plan for Buenos Aires; Federal Native Forest Law Nº26331 and Provincial Native Forest Law Nº14888;</w:t>
            </w:r>
            <w:r w:rsidR="00246F0D" w:rsidRPr="003F7F6C">
              <w:rPr>
                <w:sz w:val="18"/>
                <w:szCs w:val="18"/>
              </w:rPr>
              <w:t xml:space="preserve"> Comprehensive Law on Environment and Natural Resources Nº 11723;</w:t>
            </w:r>
            <w:r w:rsidRPr="003F7F6C">
              <w:rPr>
                <w:sz w:val="18"/>
                <w:szCs w:val="18"/>
              </w:rPr>
              <w:t xml:space="preserve"> </w:t>
            </w:r>
            <w:r w:rsidRPr="003F7F6C">
              <w:rPr>
                <w:rFonts w:cs="Calibri"/>
                <w:sz w:val="18"/>
                <w:szCs w:val="18"/>
              </w:rPr>
              <w:t>ongoing project “Inventory of Wetlands of Buenos Aires”; Strategic Plan for Conservation and Sustainable Use of the Parana River Delta</w:t>
            </w:r>
          </w:p>
        </w:tc>
        <w:tc>
          <w:tcPr>
            <w:tcW w:w="2884" w:type="dxa"/>
            <w:gridSpan w:val="2"/>
            <w:tcBorders>
              <w:left w:val="single" w:sz="18" w:space="0" w:color="auto"/>
              <w:bottom w:val="single" w:sz="4" w:space="0" w:color="auto"/>
              <w:right w:val="single" w:sz="18" w:space="0" w:color="auto"/>
            </w:tcBorders>
            <w:shd w:val="clear" w:color="auto" w:fill="auto"/>
          </w:tcPr>
          <w:p w14:paraId="0D04BC70" w14:textId="77777777" w:rsidR="00C60507" w:rsidRPr="003F7F6C" w:rsidRDefault="00C60507" w:rsidP="002B3130">
            <w:pPr>
              <w:spacing w:after="0"/>
              <w:rPr>
                <w:rFonts w:cs="Calibri"/>
                <w:sz w:val="18"/>
                <w:szCs w:val="18"/>
              </w:rPr>
            </w:pPr>
            <w:r w:rsidRPr="003F7F6C">
              <w:rPr>
                <w:sz w:val="18"/>
                <w:szCs w:val="18"/>
              </w:rPr>
              <w:t>Federal Native Forest Law Nº26331 and Provincial Law Nº5676 Adaptive Land Use Plan for Forest Areas of Jujuy: Law Nº6080 Provincial System of Natural Protected Areas</w:t>
            </w:r>
          </w:p>
        </w:tc>
        <w:tc>
          <w:tcPr>
            <w:tcW w:w="5200" w:type="dxa"/>
            <w:gridSpan w:val="4"/>
            <w:tcBorders>
              <w:left w:val="single" w:sz="18" w:space="0" w:color="auto"/>
              <w:bottom w:val="single" w:sz="4" w:space="0" w:color="auto"/>
              <w:right w:val="single" w:sz="18" w:space="0" w:color="auto"/>
            </w:tcBorders>
            <w:shd w:val="clear" w:color="auto" w:fill="auto"/>
          </w:tcPr>
          <w:p w14:paraId="09BDD162" w14:textId="77777777" w:rsidR="00C60507" w:rsidRPr="003F7F6C" w:rsidRDefault="00C60507" w:rsidP="002B3130">
            <w:pPr>
              <w:spacing w:after="0"/>
              <w:rPr>
                <w:rFonts w:cs="Calibri"/>
                <w:sz w:val="18"/>
                <w:szCs w:val="18"/>
              </w:rPr>
            </w:pPr>
            <w:r w:rsidRPr="003F7F6C">
              <w:rPr>
                <w:rFonts w:cs="Calibri"/>
                <w:sz w:val="18"/>
                <w:szCs w:val="18"/>
              </w:rPr>
              <w:t xml:space="preserve">Provincial laws: Law Nº 8999 approving the Provincial Land Use Plan; Law Nº8051 for Land Use Planning and Land Uses;  Law Nº 4886 establishing zoning and land uses in the Western Area of the City of Mendoza; Law Nº 5804 declaring public interest and land use regulation </w:t>
            </w:r>
            <w:r w:rsidR="00FF1592" w:rsidRPr="003F7F6C">
              <w:rPr>
                <w:rFonts w:cs="Calibri"/>
                <w:sz w:val="18"/>
                <w:szCs w:val="18"/>
              </w:rPr>
              <w:t xml:space="preserve">for </w:t>
            </w:r>
            <w:r w:rsidRPr="003F7F6C">
              <w:rPr>
                <w:rFonts w:cs="Calibri"/>
                <w:sz w:val="18"/>
                <w:szCs w:val="18"/>
              </w:rPr>
              <w:t>an area located to the West of the Mendoza Metropolitan Area; Law Nº6045 Provincial Protected Areas</w:t>
            </w:r>
          </w:p>
        </w:tc>
      </w:tr>
      <w:tr w:rsidR="00287C43" w:rsidRPr="003F7F6C" w14:paraId="0ADF46B5" w14:textId="77777777" w:rsidTr="00E9673C">
        <w:tc>
          <w:tcPr>
            <w:tcW w:w="1252" w:type="dxa"/>
            <w:tcBorders>
              <w:left w:val="single" w:sz="18" w:space="0" w:color="auto"/>
              <w:bottom w:val="single" w:sz="18" w:space="0" w:color="auto"/>
              <w:right w:val="single" w:sz="18" w:space="0" w:color="auto"/>
            </w:tcBorders>
            <w:shd w:val="clear" w:color="auto" w:fill="auto"/>
          </w:tcPr>
          <w:p w14:paraId="3DC89867" w14:textId="77777777" w:rsidR="00C60507" w:rsidRPr="003F7F6C" w:rsidRDefault="00C60507" w:rsidP="002B3130">
            <w:pPr>
              <w:spacing w:after="0"/>
              <w:rPr>
                <w:rFonts w:cs="Calibri"/>
                <w:sz w:val="18"/>
                <w:szCs w:val="18"/>
              </w:rPr>
            </w:pPr>
            <w:r w:rsidRPr="003F7F6C">
              <w:rPr>
                <w:rFonts w:cs="Calibri"/>
                <w:sz w:val="18"/>
                <w:szCs w:val="18"/>
              </w:rPr>
              <w:t xml:space="preserve">Key sectors and expected global benefits </w:t>
            </w:r>
          </w:p>
        </w:tc>
        <w:tc>
          <w:tcPr>
            <w:tcW w:w="1264" w:type="dxa"/>
            <w:tcBorders>
              <w:left w:val="single" w:sz="18" w:space="0" w:color="auto"/>
              <w:bottom w:val="single" w:sz="18" w:space="0" w:color="auto"/>
            </w:tcBorders>
            <w:shd w:val="clear" w:color="auto" w:fill="auto"/>
          </w:tcPr>
          <w:p w14:paraId="538B7D5C" w14:textId="77777777" w:rsidR="00C60507" w:rsidRPr="003F7F6C" w:rsidRDefault="00C60507" w:rsidP="002B3130">
            <w:pPr>
              <w:spacing w:after="0"/>
              <w:jc w:val="left"/>
              <w:rPr>
                <w:rFonts w:eastAsia="Times New Roman" w:cs="Calibri"/>
                <w:bCs/>
                <w:sz w:val="18"/>
                <w:szCs w:val="18"/>
                <w:lang w:eastAsia="es-AR"/>
              </w:rPr>
            </w:pPr>
            <w:r w:rsidRPr="003F7F6C">
              <w:rPr>
                <w:rFonts w:cs="Calibri"/>
                <w:sz w:val="18"/>
                <w:szCs w:val="18"/>
              </w:rPr>
              <w:t>Agriculture and Livestock</w:t>
            </w:r>
          </w:p>
          <w:p w14:paraId="29551960" w14:textId="77777777" w:rsidR="00C60507" w:rsidRPr="003F7F6C" w:rsidRDefault="00C60507" w:rsidP="002B3130">
            <w:pPr>
              <w:spacing w:after="0"/>
              <w:jc w:val="left"/>
              <w:rPr>
                <w:rFonts w:eastAsia="Times New Roman" w:cs="Calibri"/>
                <w:bCs/>
                <w:sz w:val="18"/>
                <w:szCs w:val="18"/>
                <w:lang w:eastAsia="es-AR"/>
              </w:rPr>
            </w:pPr>
          </w:p>
          <w:p w14:paraId="40BB4161" w14:textId="77777777" w:rsidR="00C60507" w:rsidRPr="003F7F6C" w:rsidRDefault="00C60507" w:rsidP="002B3130">
            <w:pPr>
              <w:spacing w:after="0"/>
              <w:jc w:val="left"/>
              <w:rPr>
                <w:rFonts w:eastAsia="Times New Roman" w:cs="Calibri"/>
                <w:bCs/>
                <w:sz w:val="18"/>
                <w:szCs w:val="18"/>
                <w:lang w:eastAsia="es-AR"/>
              </w:rPr>
            </w:pPr>
            <w:r w:rsidRPr="003F7F6C">
              <w:rPr>
                <w:rFonts w:eastAsia="Times New Roman" w:cs="Calibri"/>
                <w:bCs/>
                <w:sz w:val="18"/>
                <w:szCs w:val="18"/>
                <w:lang w:eastAsia="es-AR"/>
              </w:rPr>
              <w:t xml:space="preserve">SLM, reduced pressure on VGA; optimizing sustainable productivity; reduction of pressure on BD </w:t>
            </w:r>
          </w:p>
        </w:tc>
        <w:tc>
          <w:tcPr>
            <w:tcW w:w="1601" w:type="dxa"/>
            <w:tcBorders>
              <w:bottom w:val="single" w:sz="18" w:space="0" w:color="auto"/>
            </w:tcBorders>
            <w:shd w:val="clear" w:color="auto" w:fill="auto"/>
          </w:tcPr>
          <w:p w14:paraId="6AC80758" w14:textId="77777777" w:rsidR="00C60507" w:rsidRPr="003F7F6C" w:rsidRDefault="00C60507" w:rsidP="002B3130">
            <w:pPr>
              <w:spacing w:after="0"/>
              <w:jc w:val="left"/>
              <w:rPr>
                <w:rFonts w:cs="Calibri"/>
                <w:sz w:val="18"/>
                <w:szCs w:val="18"/>
              </w:rPr>
            </w:pPr>
            <w:r w:rsidRPr="003F7F6C">
              <w:rPr>
                <w:rFonts w:cs="Calibri"/>
                <w:sz w:val="18"/>
                <w:szCs w:val="18"/>
              </w:rPr>
              <w:t xml:space="preserve">Agriculture and Livestock; </w:t>
            </w:r>
            <w:r w:rsidR="00000F2B" w:rsidRPr="003F7F6C">
              <w:rPr>
                <w:rFonts w:cs="Calibri"/>
                <w:sz w:val="18"/>
                <w:szCs w:val="18"/>
              </w:rPr>
              <w:t>Peri-urban</w:t>
            </w:r>
            <w:r w:rsidR="00287C43" w:rsidRPr="003F7F6C">
              <w:rPr>
                <w:rFonts w:cs="Calibri"/>
                <w:sz w:val="18"/>
                <w:szCs w:val="18"/>
              </w:rPr>
              <w:t xml:space="preserve"> </w:t>
            </w:r>
            <w:r w:rsidR="00000F2B" w:rsidRPr="003F7F6C">
              <w:rPr>
                <w:rFonts w:cs="Calibri"/>
                <w:sz w:val="18"/>
                <w:szCs w:val="18"/>
              </w:rPr>
              <w:t>infrastructure</w:t>
            </w:r>
          </w:p>
          <w:p w14:paraId="16CEA465" w14:textId="77777777" w:rsidR="00C60507" w:rsidRPr="003F7F6C" w:rsidRDefault="00C60507" w:rsidP="002B3130">
            <w:pPr>
              <w:spacing w:after="0"/>
              <w:jc w:val="left"/>
              <w:rPr>
                <w:rFonts w:cs="Calibri"/>
                <w:sz w:val="18"/>
                <w:szCs w:val="18"/>
              </w:rPr>
            </w:pPr>
          </w:p>
          <w:p w14:paraId="1085800D" w14:textId="77777777" w:rsidR="00C60507" w:rsidRPr="003F7F6C" w:rsidRDefault="00C60507" w:rsidP="002B3130">
            <w:pPr>
              <w:spacing w:after="0"/>
              <w:jc w:val="left"/>
              <w:rPr>
                <w:rFonts w:cs="Calibri"/>
                <w:sz w:val="18"/>
                <w:szCs w:val="18"/>
              </w:rPr>
            </w:pPr>
            <w:r w:rsidRPr="003F7F6C">
              <w:rPr>
                <w:rFonts w:cs="Calibri"/>
                <w:sz w:val="18"/>
                <w:szCs w:val="18"/>
              </w:rPr>
              <w:t>SLM and reduced pressure of urban expansion</w:t>
            </w:r>
          </w:p>
        </w:tc>
        <w:tc>
          <w:tcPr>
            <w:tcW w:w="1232" w:type="dxa"/>
            <w:tcBorders>
              <w:bottom w:val="single" w:sz="18" w:space="0" w:color="auto"/>
              <w:right w:val="single" w:sz="18" w:space="0" w:color="auto"/>
            </w:tcBorders>
            <w:shd w:val="clear" w:color="auto" w:fill="auto"/>
          </w:tcPr>
          <w:p w14:paraId="6C8E1F87" w14:textId="77777777" w:rsidR="00C60507" w:rsidRPr="003F7F6C" w:rsidRDefault="00C60507" w:rsidP="002B3130">
            <w:pPr>
              <w:spacing w:after="0"/>
              <w:jc w:val="left"/>
              <w:rPr>
                <w:rFonts w:eastAsia="Times New Roman" w:cs="Calibri"/>
                <w:bCs/>
                <w:sz w:val="18"/>
                <w:szCs w:val="18"/>
                <w:lang w:eastAsia="es-AR"/>
              </w:rPr>
            </w:pPr>
            <w:r w:rsidRPr="003F7F6C">
              <w:rPr>
                <w:rFonts w:cs="Calibri"/>
                <w:sz w:val="18"/>
                <w:szCs w:val="18"/>
              </w:rPr>
              <w:t>Agriculture and Livestock</w:t>
            </w:r>
          </w:p>
          <w:p w14:paraId="235C6FB6" w14:textId="77777777" w:rsidR="00C60507" w:rsidRPr="003F7F6C" w:rsidRDefault="00C60507" w:rsidP="002B3130">
            <w:pPr>
              <w:spacing w:after="0"/>
              <w:jc w:val="left"/>
              <w:rPr>
                <w:rFonts w:cs="Calibri"/>
                <w:sz w:val="18"/>
                <w:szCs w:val="18"/>
              </w:rPr>
            </w:pPr>
          </w:p>
          <w:p w14:paraId="2C3661B9" w14:textId="77777777" w:rsidR="00000F2B" w:rsidRPr="003F7F6C" w:rsidRDefault="00000F2B" w:rsidP="002B3130">
            <w:pPr>
              <w:spacing w:after="0"/>
              <w:jc w:val="left"/>
              <w:rPr>
                <w:rFonts w:eastAsia="Times New Roman" w:cs="Calibri"/>
                <w:bCs/>
                <w:sz w:val="18"/>
                <w:szCs w:val="18"/>
                <w:lang w:eastAsia="es-AR"/>
              </w:rPr>
            </w:pPr>
          </w:p>
          <w:p w14:paraId="3D4FD06C" w14:textId="77777777" w:rsidR="00C60507" w:rsidRPr="003F7F6C" w:rsidRDefault="00C60507" w:rsidP="002B3130">
            <w:pPr>
              <w:spacing w:after="0"/>
              <w:jc w:val="left"/>
              <w:rPr>
                <w:rFonts w:cs="Calibri"/>
                <w:sz w:val="18"/>
                <w:szCs w:val="18"/>
              </w:rPr>
            </w:pPr>
            <w:r w:rsidRPr="003F7F6C">
              <w:rPr>
                <w:rFonts w:eastAsia="Times New Roman" w:cs="Calibri"/>
                <w:bCs/>
                <w:sz w:val="18"/>
                <w:szCs w:val="18"/>
                <w:lang w:eastAsia="es-AR"/>
              </w:rPr>
              <w:t>SLM; optimizing sustainable productivity; reduction of pressure on BD</w:t>
            </w:r>
          </w:p>
        </w:tc>
        <w:tc>
          <w:tcPr>
            <w:tcW w:w="1647" w:type="dxa"/>
            <w:tcBorders>
              <w:left w:val="single" w:sz="18" w:space="0" w:color="auto"/>
              <w:bottom w:val="single" w:sz="18" w:space="0" w:color="auto"/>
            </w:tcBorders>
            <w:shd w:val="clear" w:color="auto" w:fill="auto"/>
          </w:tcPr>
          <w:p w14:paraId="39FB8D63" w14:textId="77777777" w:rsidR="00C60507" w:rsidRPr="003F7F6C" w:rsidRDefault="00C60507" w:rsidP="002B3130">
            <w:pPr>
              <w:spacing w:after="0"/>
              <w:jc w:val="left"/>
              <w:rPr>
                <w:rFonts w:cs="Calibri"/>
                <w:sz w:val="18"/>
                <w:szCs w:val="18"/>
              </w:rPr>
            </w:pPr>
            <w:r w:rsidRPr="003F7F6C">
              <w:rPr>
                <w:rFonts w:cs="Calibri"/>
                <w:sz w:val="18"/>
                <w:szCs w:val="18"/>
              </w:rPr>
              <w:t xml:space="preserve">Agriculture and Livestock; Tourism; </w:t>
            </w:r>
            <w:r w:rsidR="00000F2B" w:rsidRPr="003F7F6C">
              <w:rPr>
                <w:rFonts w:cs="Calibri"/>
                <w:sz w:val="18"/>
                <w:szCs w:val="18"/>
              </w:rPr>
              <w:t>Peri-urban and tourism infrastructure</w:t>
            </w:r>
            <w:r w:rsidRPr="003F7F6C">
              <w:rPr>
                <w:rFonts w:cs="Calibri"/>
                <w:sz w:val="18"/>
                <w:szCs w:val="18"/>
              </w:rPr>
              <w:t>;</w:t>
            </w:r>
          </w:p>
          <w:p w14:paraId="026BD3C1" w14:textId="77777777" w:rsidR="00C60507" w:rsidRPr="003F7F6C" w:rsidRDefault="00C60507" w:rsidP="002B3130">
            <w:pPr>
              <w:spacing w:after="0"/>
              <w:jc w:val="left"/>
              <w:rPr>
                <w:rFonts w:cs="Calibri"/>
                <w:sz w:val="18"/>
                <w:szCs w:val="18"/>
              </w:rPr>
            </w:pPr>
          </w:p>
          <w:p w14:paraId="7DA73CD8" w14:textId="77777777" w:rsidR="00667A5B" w:rsidRPr="003F7F6C" w:rsidRDefault="00667A5B" w:rsidP="002B3130">
            <w:pPr>
              <w:spacing w:after="0"/>
              <w:jc w:val="left"/>
              <w:rPr>
                <w:rFonts w:cs="Calibri"/>
                <w:sz w:val="18"/>
                <w:szCs w:val="18"/>
              </w:rPr>
            </w:pPr>
            <w:r w:rsidRPr="003F7F6C">
              <w:rPr>
                <w:rFonts w:cs="Calibri"/>
                <w:sz w:val="18"/>
                <w:szCs w:val="18"/>
              </w:rPr>
              <w:t xml:space="preserve">SLM; </w:t>
            </w:r>
            <w:r w:rsidRPr="003F7F6C">
              <w:rPr>
                <w:rFonts w:eastAsia="Times New Roman" w:cs="Calibri"/>
                <w:bCs/>
                <w:sz w:val="18"/>
                <w:szCs w:val="18"/>
                <w:lang w:eastAsia="es-AR"/>
              </w:rPr>
              <w:t>optimizing sustainable productivity; reduced pressure on BD; enhanced BD conservation in PA</w:t>
            </w:r>
          </w:p>
        </w:tc>
        <w:tc>
          <w:tcPr>
            <w:tcW w:w="1237" w:type="dxa"/>
            <w:tcBorders>
              <w:bottom w:val="single" w:sz="18" w:space="0" w:color="auto"/>
              <w:right w:val="single" w:sz="18" w:space="0" w:color="auto"/>
            </w:tcBorders>
            <w:shd w:val="clear" w:color="auto" w:fill="auto"/>
          </w:tcPr>
          <w:p w14:paraId="13D63158" w14:textId="77777777" w:rsidR="00C60507" w:rsidRPr="003F7F6C" w:rsidRDefault="00C60507" w:rsidP="002B3130">
            <w:pPr>
              <w:spacing w:after="0"/>
              <w:jc w:val="left"/>
              <w:rPr>
                <w:rFonts w:cs="Calibri"/>
                <w:sz w:val="18"/>
                <w:szCs w:val="18"/>
              </w:rPr>
            </w:pPr>
            <w:r w:rsidRPr="003F7F6C">
              <w:rPr>
                <w:rFonts w:cs="Calibri"/>
                <w:sz w:val="18"/>
                <w:szCs w:val="18"/>
              </w:rPr>
              <w:t xml:space="preserve">Agriculture and Livestock; Tourism; </w:t>
            </w:r>
            <w:r w:rsidR="00000F2B" w:rsidRPr="003F7F6C">
              <w:rPr>
                <w:rFonts w:cs="Calibri"/>
                <w:sz w:val="18"/>
                <w:szCs w:val="18"/>
              </w:rPr>
              <w:t>Peri-urban and tourism infrastructure</w:t>
            </w:r>
            <w:r w:rsidRPr="003F7F6C">
              <w:rPr>
                <w:rFonts w:cs="Calibri"/>
                <w:sz w:val="18"/>
                <w:szCs w:val="18"/>
              </w:rPr>
              <w:t>; Mining</w:t>
            </w:r>
          </w:p>
          <w:p w14:paraId="1B2FC5BA" w14:textId="77777777" w:rsidR="00C60507" w:rsidRPr="003F7F6C" w:rsidRDefault="00C60507" w:rsidP="002B3130">
            <w:pPr>
              <w:spacing w:after="0"/>
              <w:jc w:val="left"/>
              <w:rPr>
                <w:rFonts w:cs="Calibri"/>
                <w:sz w:val="18"/>
                <w:szCs w:val="18"/>
              </w:rPr>
            </w:pPr>
          </w:p>
          <w:p w14:paraId="12C1325C" w14:textId="77777777" w:rsidR="00667A5B" w:rsidRPr="003F7F6C" w:rsidRDefault="00667A5B" w:rsidP="002B3130">
            <w:pPr>
              <w:spacing w:after="0"/>
              <w:jc w:val="left"/>
              <w:rPr>
                <w:rFonts w:cs="Calibri"/>
                <w:sz w:val="18"/>
                <w:szCs w:val="18"/>
              </w:rPr>
            </w:pPr>
            <w:r w:rsidRPr="003F7F6C">
              <w:rPr>
                <w:rFonts w:cs="Calibri"/>
                <w:sz w:val="18"/>
                <w:szCs w:val="18"/>
              </w:rPr>
              <w:t xml:space="preserve">SLM; </w:t>
            </w:r>
            <w:r w:rsidRPr="003F7F6C">
              <w:rPr>
                <w:rFonts w:eastAsia="Times New Roman" w:cs="Calibri"/>
                <w:bCs/>
                <w:sz w:val="18"/>
                <w:szCs w:val="18"/>
                <w:lang w:eastAsia="es-AR"/>
              </w:rPr>
              <w:t>optimizing sustainable productivity; reduced pressure on BD; enhanced BD conservation in PA</w:t>
            </w:r>
          </w:p>
        </w:tc>
        <w:tc>
          <w:tcPr>
            <w:tcW w:w="1278" w:type="dxa"/>
            <w:tcBorders>
              <w:left w:val="single" w:sz="18" w:space="0" w:color="auto"/>
              <w:bottom w:val="single" w:sz="18" w:space="0" w:color="auto"/>
            </w:tcBorders>
            <w:shd w:val="clear" w:color="auto" w:fill="auto"/>
          </w:tcPr>
          <w:p w14:paraId="18B5B955" w14:textId="77777777" w:rsidR="00C60507" w:rsidRPr="003F7F6C" w:rsidRDefault="00C60507" w:rsidP="002B3130">
            <w:pPr>
              <w:spacing w:after="0"/>
              <w:jc w:val="left"/>
              <w:rPr>
                <w:rFonts w:cs="Calibri"/>
                <w:sz w:val="18"/>
                <w:szCs w:val="18"/>
              </w:rPr>
            </w:pPr>
            <w:r w:rsidRPr="003F7F6C">
              <w:rPr>
                <w:rFonts w:cs="Calibri"/>
                <w:sz w:val="18"/>
                <w:szCs w:val="18"/>
              </w:rPr>
              <w:t xml:space="preserve">Agriculture and Livestock; </w:t>
            </w:r>
            <w:r w:rsidR="00000F2B" w:rsidRPr="003F7F6C">
              <w:rPr>
                <w:rFonts w:cs="Calibri"/>
                <w:sz w:val="18"/>
                <w:szCs w:val="18"/>
              </w:rPr>
              <w:t>Peri-urban and tourism infrastructure</w:t>
            </w:r>
          </w:p>
          <w:p w14:paraId="0E93B76A" w14:textId="77777777" w:rsidR="00C60507" w:rsidRPr="003F7F6C" w:rsidRDefault="00C60507" w:rsidP="002B3130">
            <w:pPr>
              <w:spacing w:after="0"/>
              <w:jc w:val="left"/>
              <w:rPr>
                <w:rFonts w:cs="Calibri"/>
                <w:sz w:val="18"/>
                <w:szCs w:val="18"/>
              </w:rPr>
            </w:pPr>
          </w:p>
          <w:p w14:paraId="53F02690" w14:textId="77777777" w:rsidR="00C60507" w:rsidRPr="003F7F6C" w:rsidRDefault="00C60507" w:rsidP="002B3130">
            <w:pPr>
              <w:spacing w:after="0"/>
              <w:jc w:val="left"/>
              <w:rPr>
                <w:rFonts w:cs="Calibri"/>
                <w:sz w:val="18"/>
                <w:szCs w:val="18"/>
              </w:rPr>
            </w:pPr>
            <w:r w:rsidRPr="003F7F6C">
              <w:rPr>
                <w:rFonts w:cs="Calibri"/>
                <w:sz w:val="18"/>
                <w:szCs w:val="18"/>
              </w:rPr>
              <w:t xml:space="preserve">SLM; </w:t>
            </w:r>
            <w:r w:rsidRPr="003F7F6C">
              <w:rPr>
                <w:rFonts w:eastAsia="Times New Roman" w:cs="Calibri"/>
                <w:bCs/>
                <w:sz w:val="18"/>
                <w:szCs w:val="18"/>
                <w:lang w:eastAsia="es-AR"/>
              </w:rPr>
              <w:t>optimizing sustainable productivity; reduced pressure on BD; enhanced BD conservation in PA</w:t>
            </w:r>
          </w:p>
        </w:tc>
        <w:tc>
          <w:tcPr>
            <w:tcW w:w="1222" w:type="dxa"/>
            <w:tcBorders>
              <w:bottom w:val="single" w:sz="18" w:space="0" w:color="auto"/>
            </w:tcBorders>
            <w:shd w:val="clear" w:color="auto" w:fill="auto"/>
          </w:tcPr>
          <w:p w14:paraId="3F043FF9" w14:textId="77777777" w:rsidR="00000F2B" w:rsidRPr="003F7F6C" w:rsidRDefault="00000F2B" w:rsidP="002B3130">
            <w:pPr>
              <w:spacing w:after="0"/>
              <w:jc w:val="left"/>
              <w:rPr>
                <w:rFonts w:cs="Calibri"/>
                <w:sz w:val="18"/>
                <w:szCs w:val="18"/>
              </w:rPr>
            </w:pPr>
            <w:r w:rsidRPr="003F7F6C">
              <w:rPr>
                <w:rFonts w:cs="Calibri"/>
                <w:sz w:val="18"/>
                <w:szCs w:val="18"/>
              </w:rPr>
              <w:t>Agriculture and Livestock; Peri-urban and tourism infrastructure</w:t>
            </w:r>
          </w:p>
          <w:p w14:paraId="21170F3F" w14:textId="77777777" w:rsidR="00C60507" w:rsidRPr="003F7F6C" w:rsidRDefault="00C60507" w:rsidP="002B3130">
            <w:pPr>
              <w:spacing w:after="0"/>
              <w:jc w:val="left"/>
              <w:rPr>
                <w:rFonts w:cs="Calibri"/>
                <w:sz w:val="18"/>
                <w:szCs w:val="18"/>
              </w:rPr>
            </w:pPr>
          </w:p>
          <w:p w14:paraId="0CB0AAEC" w14:textId="77777777" w:rsidR="00C60507" w:rsidRPr="003F7F6C" w:rsidRDefault="00C60507" w:rsidP="002B3130">
            <w:pPr>
              <w:spacing w:after="0"/>
              <w:jc w:val="left"/>
              <w:rPr>
                <w:rFonts w:cs="Calibri"/>
                <w:sz w:val="18"/>
                <w:szCs w:val="18"/>
              </w:rPr>
            </w:pPr>
            <w:r w:rsidRPr="003F7F6C">
              <w:rPr>
                <w:rFonts w:cs="Calibri"/>
                <w:sz w:val="18"/>
                <w:szCs w:val="18"/>
              </w:rPr>
              <w:t xml:space="preserve">SLM; </w:t>
            </w:r>
            <w:r w:rsidRPr="003F7F6C">
              <w:rPr>
                <w:rFonts w:eastAsia="Times New Roman" w:cs="Calibri"/>
                <w:bCs/>
                <w:sz w:val="18"/>
                <w:szCs w:val="18"/>
                <w:lang w:eastAsia="es-AR"/>
              </w:rPr>
              <w:t>optimizing sustainable productivity; reduced pressure on BD</w:t>
            </w:r>
          </w:p>
        </w:tc>
        <w:tc>
          <w:tcPr>
            <w:tcW w:w="1197" w:type="dxa"/>
            <w:tcBorders>
              <w:bottom w:val="single" w:sz="18" w:space="0" w:color="auto"/>
            </w:tcBorders>
            <w:shd w:val="clear" w:color="auto" w:fill="auto"/>
          </w:tcPr>
          <w:p w14:paraId="7099DAB3" w14:textId="77777777" w:rsidR="00C60507" w:rsidRPr="003F7F6C" w:rsidRDefault="00C60507" w:rsidP="002B3130">
            <w:pPr>
              <w:spacing w:after="0"/>
              <w:jc w:val="left"/>
              <w:rPr>
                <w:rFonts w:cs="Calibri"/>
                <w:sz w:val="18"/>
                <w:szCs w:val="18"/>
              </w:rPr>
            </w:pPr>
            <w:r w:rsidRPr="003F7F6C">
              <w:rPr>
                <w:rFonts w:cs="Calibri"/>
                <w:sz w:val="18"/>
                <w:szCs w:val="18"/>
              </w:rPr>
              <w:t>Agriculture and Livestock</w:t>
            </w:r>
          </w:p>
          <w:p w14:paraId="5968035B" w14:textId="77777777" w:rsidR="00C60507" w:rsidRPr="003F7F6C" w:rsidRDefault="00C60507" w:rsidP="002B3130">
            <w:pPr>
              <w:spacing w:after="0"/>
              <w:jc w:val="left"/>
              <w:rPr>
                <w:rFonts w:cs="Calibri"/>
                <w:sz w:val="18"/>
                <w:szCs w:val="18"/>
              </w:rPr>
            </w:pPr>
          </w:p>
          <w:p w14:paraId="06559D7E" w14:textId="77777777" w:rsidR="00C60507" w:rsidRPr="003F7F6C" w:rsidRDefault="00C60507" w:rsidP="002B3130">
            <w:pPr>
              <w:spacing w:after="0"/>
              <w:jc w:val="left"/>
              <w:rPr>
                <w:rFonts w:cs="Calibri"/>
                <w:sz w:val="18"/>
                <w:szCs w:val="18"/>
              </w:rPr>
            </w:pPr>
            <w:r w:rsidRPr="003F7F6C">
              <w:rPr>
                <w:rFonts w:cs="Calibri"/>
                <w:sz w:val="18"/>
                <w:szCs w:val="18"/>
              </w:rPr>
              <w:t xml:space="preserve">SLM; </w:t>
            </w:r>
            <w:r w:rsidRPr="003F7F6C">
              <w:rPr>
                <w:rFonts w:eastAsia="Times New Roman" w:cs="Calibri"/>
                <w:bCs/>
                <w:sz w:val="18"/>
                <w:szCs w:val="18"/>
                <w:lang w:eastAsia="es-AR"/>
              </w:rPr>
              <w:t xml:space="preserve">optimizing sustainable productivity; </w:t>
            </w:r>
            <w:r w:rsidR="00000F2B" w:rsidRPr="003F7F6C">
              <w:rPr>
                <w:rFonts w:eastAsia="Times New Roman" w:cs="Calibri"/>
                <w:bCs/>
                <w:sz w:val="18"/>
                <w:szCs w:val="18"/>
                <w:lang w:eastAsia="es-AR"/>
              </w:rPr>
              <w:t xml:space="preserve">BD conservation and </w:t>
            </w:r>
            <w:r w:rsidRPr="003F7F6C">
              <w:rPr>
                <w:rFonts w:eastAsia="Times New Roman" w:cs="Calibri"/>
                <w:bCs/>
                <w:sz w:val="18"/>
                <w:szCs w:val="18"/>
                <w:lang w:eastAsia="es-AR"/>
              </w:rPr>
              <w:t>reduced pressure</w:t>
            </w:r>
          </w:p>
        </w:tc>
        <w:tc>
          <w:tcPr>
            <w:tcW w:w="1503" w:type="dxa"/>
            <w:tcBorders>
              <w:bottom w:val="single" w:sz="18" w:space="0" w:color="auto"/>
              <w:right w:val="single" w:sz="18" w:space="0" w:color="auto"/>
            </w:tcBorders>
            <w:shd w:val="clear" w:color="auto" w:fill="auto"/>
          </w:tcPr>
          <w:p w14:paraId="1D879FAD" w14:textId="77777777" w:rsidR="00000F2B" w:rsidRPr="003F7F6C" w:rsidRDefault="00C60507" w:rsidP="002B3130">
            <w:pPr>
              <w:spacing w:after="0"/>
              <w:jc w:val="left"/>
              <w:rPr>
                <w:rFonts w:cs="Calibri"/>
                <w:sz w:val="18"/>
                <w:szCs w:val="18"/>
              </w:rPr>
            </w:pPr>
            <w:r w:rsidRPr="003F7F6C">
              <w:rPr>
                <w:rFonts w:cs="Calibri"/>
                <w:sz w:val="18"/>
                <w:szCs w:val="18"/>
              </w:rPr>
              <w:t xml:space="preserve">Agriculture and Livestock; </w:t>
            </w:r>
            <w:r w:rsidR="00000F2B" w:rsidRPr="003F7F6C">
              <w:rPr>
                <w:rFonts w:cs="Calibri"/>
                <w:sz w:val="18"/>
                <w:szCs w:val="18"/>
              </w:rPr>
              <w:t>Peri-urban and tourism infrastructure</w:t>
            </w:r>
          </w:p>
          <w:p w14:paraId="77056C76" w14:textId="77777777" w:rsidR="00C60507" w:rsidRPr="003F7F6C" w:rsidRDefault="00C60507" w:rsidP="002B3130">
            <w:pPr>
              <w:spacing w:after="0"/>
              <w:jc w:val="left"/>
              <w:rPr>
                <w:rFonts w:cs="Calibri"/>
                <w:sz w:val="18"/>
                <w:szCs w:val="18"/>
              </w:rPr>
            </w:pPr>
          </w:p>
          <w:p w14:paraId="261EE90C" w14:textId="77777777" w:rsidR="00C60507" w:rsidRPr="003F7F6C" w:rsidRDefault="00000F2B" w:rsidP="002B3130">
            <w:pPr>
              <w:spacing w:after="0"/>
              <w:jc w:val="left"/>
              <w:rPr>
                <w:rFonts w:cs="Calibri"/>
                <w:sz w:val="18"/>
                <w:szCs w:val="18"/>
              </w:rPr>
            </w:pPr>
            <w:r w:rsidRPr="003F7F6C">
              <w:rPr>
                <w:rFonts w:cs="Calibri"/>
                <w:sz w:val="18"/>
                <w:szCs w:val="18"/>
              </w:rPr>
              <w:t xml:space="preserve">SLM; </w:t>
            </w:r>
            <w:r w:rsidRPr="003F7F6C">
              <w:rPr>
                <w:rFonts w:eastAsia="Times New Roman" w:cs="Calibri"/>
                <w:bCs/>
                <w:sz w:val="18"/>
                <w:szCs w:val="18"/>
                <w:lang w:eastAsia="es-AR"/>
              </w:rPr>
              <w:t>optimizing sustainable productivity; reduced pressure on BD</w:t>
            </w:r>
          </w:p>
        </w:tc>
      </w:tr>
    </w:tbl>
    <w:p w14:paraId="32A83CF6" w14:textId="77777777" w:rsidR="00C60507" w:rsidRPr="003F7F6C" w:rsidRDefault="00C60507" w:rsidP="005B2E89">
      <w:pPr>
        <w:spacing w:after="0"/>
        <w:jc w:val="left"/>
      </w:pPr>
    </w:p>
    <w:p w14:paraId="7B376D79" w14:textId="77777777" w:rsidR="005B2E89" w:rsidRPr="003F7F6C" w:rsidRDefault="005B2E89" w:rsidP="005B2E89">
      <w:pPr>
        <w:spacing w:before="100" w:beforeAutospacing="1" w:after="100" w:afterAutospacing="1"/>
      </w:pPr>
    </w:p>
    <w:p w14:paraId="186FBF6F" w14:textId="77777777" w:rsidR="00C60507" w:rsidRPr="003F7F6C" w:rsidRDefault="00C60507" w:rsidP="00DA46F2">
      <w:pPr>
        <w:sectPr w:rsidR="00C60507" w:rsidRPr="003F7F6C" w:rsidSect="00C60507">
          <w:pgSz w:w="15840" w:h="12240" w:orient="landscape" w:code="1"/>
          <w:pgMar w:top="1440" w:right="1440" w:bottom="1440" w:left="1440" w:header="720" w:footer="431" w:gutter="0"/>
          <w:cols w:space="708"/>
          <w:titlePg/>
          <w:docGrid w:linePitch="360"/>
        </w:sectPr>
      </w:pPr>
    </w:p>
    <w:p w14:paraId="120FBE33" w14:textId="77777777" w:rsidR="00C418A0" w:rsidRPr="003F7F6C" w:rsidRDefault="00C418A0" w:rsidP="00DA46F2"/>
    <w:p w14:paraId="010058D6" w14:textId="77777777" w:rsidR="00C84CD9" w:rsidRPr="003F7F6C" w:rsidRDefault="005B2E89" w:rsidP="00E91275">
      <w:pPr>
        <w:numPr>
          <w:ilvl w:val="0"/>
          <w:numId w:val="28"/>
        </w:numPr>
        <w:tabs>
          <w:tab w:val="left" w:pos="426"/>
        </w:tabs>
        <w:spacing w:after="240"/>
        <w:ind w:left="0" w:firstLine="0"/>
      </w:pPr>
      <w:r w:rsidRPr="003F7F6C">
        <w:rPr>
          <w:rFonts w:eastAsia="Times New Roman" w:cs="Calibri"/>
          <w:b/>
          <w:szCs w:val="20"/>
          <w:lang w:eastAsia="es-ES_tradnl"/>
        </w:rPr>
        <w:t>Project Outcome 3</w:t>
      </w:r>
      <w:r w:rsidRPr="003F7F6C">
        <w:rPr>
          <w:rFonts w:eastAsia="Times New Roman" w:cs="Calibri"/>
          <w:szCs w:val="20"/>
          <w:lang w:eastAsia="es-ES_tradnl"/>
        </w:rPr>
        <w:t xml:space="preserve"> will support</w:t>
      </w:r>
      <w:r w:rsidRPr="003F7F6C">
        <w:rPr>
          <w:rFonts w:cs="Calibri"/>
          <w:szCs w:val="20"/>
        </w:rPr>
        <w:t xml:space="preserve"> the development of a</w:t>
      </w:r>
      <w:r w:rsidRPr="003F7F6C">
        <w:rPr>
          <w:rFonts w:eastAsia="Times New Roman" w:cs="Calibri"/>
          <w:szCs w:val="20"/>
          <w:lang w:eastAsia="es-ES_tradnl"/>
        </w:rPr>
        <w:t xml:space="preserve"> </w:t>
      </w:r>
      <w:r w:rsidRPr="003F7F6C">
        <w:rPr>
          <w:rFonts w:cs="Calibri"/>
          <w:bCs/>
          <w:szCs w:val="20"/>
        </w:rPr>
        <w:t xml:space="preserve">replicability framework for ELUP uptake in all Argentine provinces </w:t>
      </w:r>
      <w:r w:rsidRPr="003F7F6C">
        <w:rPr>
          <w:rFonts w:eastAsia="Times New Roman" w:cs="Calibri"/>
          <w:szCs w:val="20"/>
          <w:lang w:eastAsia="es-ES_tradnl"/>
        </w:rPr>
        <w:t>by strengthen</w:t>
      </w:r>
      <w:r w:rsidRPr="003F7F6C">
        <w:rPr>
          <w:rFonts w:cs="Calibri"/>
          <w:szCs w:val="20"/>
        </w:rPr>
        <w:t>ing</w:t>
      </w:r>
      <w:r w:rsidRPr="003F7F6C">
        <w:rPr>
          <w:rFonts w:eastAsia="Times New Roman" w:cs="Calibri"/>
          <w:szCs w:val="20"/>
          <w:lang w:eastAsia="es-ES_tradnl"/>
        </w:rPr>
        <w:t xml:space="preserve"> the input of other </w:t>
      </w:r>
      <w:r w:rsidR="00F171A6" w:rsidRPr="003F7F6C">
        <w:rPr>
          <w:rFonts w:eastAsia="Times New Roman" w:cs="Calibri"/>
          <w:szCs w:val="20"/>
          <w:lang w:eastAsia="es-ES_tradnl"/>
        </w:rPr>
        <w:t>p</w:t>
      </w:r>
      <w:r w:rsidRPr="003F7F6C">
        <w:rPr>
          <w:rFonts w:eastAsia="Times New Roman" w:cs="Calibri"/>
          <w:szCs w:val="20"/>
          <w:lang w:eastAsia="es-ES_tradnl"/>
        </w:rPr>
        <w:t xml:space="preserve">rovinces into </w:t>
      </w:r>
      <w:r w:rsidR="00F171A6" w:rsidRPr="003F7F6C">
        <w:rPr>
          <w:rFonts w:eastAsia="Times New Roman" w:cs="Calibri"/>
          <w:szCs w:val="20"/>
          <w:lang w:eastAsia="es-ES_tradnl"/>
        </w:rPr>
        <w:t xml:space="preserve">the </w:t>
      </w:r>
      <w:r w:rsidRPr="003F7F6C">
        <w:rPr>
          <w:rFonts w:eastAsia="Times New Roman" w:cs="Calibri"/>
          <w:szCs w:val="20"/>
          <w:lang w:eastAsia="es-ES_tradnl"/>
        </w:rPr>
        <w:t>develo</w:t>
      </w:r>
      <w:r w:rsidRPr="003F7F6C">
        <w:rPr>
          <w:rFonts w:cs="Calibri"/>
          <w:szCs w:val="20"/>
        </w:rPr>
        <w:t xml:space="preserve">pment of </w:t>
      </w:r>
      <w:r w:rsidR="00287C43" w:rsidRPr="003F7F6C">
        <w:rPr>
          <w:rFonts w:cs="Calibri"/>
          <w:szCs w:val="20"/>
        </w:rPr>
        <w:t>ELUP</w:t>
      </w:r>
      <w:r w:rsidRPr="003F7F6C">
        <w:rPr>
          <w:rFonts w:cs="Calibri"/>
          <w:szCs w:val="20"/>
        </w:rPr>
        <w:t xml:space="preserve"> and enhancing</w:t>
      </w:r>
      <w:r w:rsidRPr="003F7F6C">
        <w:rPr>
          <w:rFonts w:eastAsia="Times New Roman" w:cs="Calibri"/>
          <w:szCs w:val="20"/>
          <w:lang w:eastAsia="es-ES_tradnl"/>
        </w:rPr>
        <w:t xml:space="preserve"> its uptake at scale across the country</w:t>
      </w:r>
      <w:r w:rsidRPr="003F7F6C">
        <w:rPr>
          <w:rFonts w:cs="Calibri"/>
          <w:szCs w:val="20"/>
        </w:rPr>
        <w:t xml:space="preserve"> through a threefold approach</w:t>
      </w:r>
      <w:r w:rsidRPr="003F7F6C">
        <w:rPr>
          <w:rFonts w:eastAsia="Times New Roman" w:cs="Calibri"/>
          <w:szCs w:val="20"/>
          <w:lang w:eastAsia="es-ES_tradnl"/>
        </w:rPr>
        <w:t>.</w:t>
      </w:r>
      <w:r w:rsidRPr="003F7F6C">
        <w:rPr>
          <w:rFonts w:cs="Calibri"/>
          <w:szCs w:val="20"/>
        </w:rPr>
        <w:t xml:space="preserve">  Selection of the non-pilot provinces to participate in this outcome will be undertaken during project implementation and will take into account selecting at least one province representing each of the regions in</w:t>
      </w:r>
      <w:r w:rsidR="00F171A6" w:rsidRPr="003F7F6C">
        <w:rPr>
          <w:rFonts w:cs="Calibri"/>
          <w:szCs w:val="20"/>
        </w:rPr>
        <w:t>to</w:t>
      </w:r>
      <w:r w:rsidRPr="003F7F6C">
        <w:rPr>
          <w:rFonts w:cs="Calibri"/>
          <w:szCs w:val="20"/>
        </w:rPr>
        <w:t xml:space="preserve"> which Argentina is divided, that is, Center, Cuyo, Northeast, Northwest and South. The first approach</w:t>
      </w:r>
      <w:r w:rsidRPr="003F7F6C">
        <w:rPr>
          <w:rFonts w:eastAsia="Times New Roman" w:cs="Calibri"/>
          <w:szCs w:val="20"/>
          <w:lang w:eastAsia="es-ES_tradnl"/>
        </w:rPr>
        <w:t xml:space="preserve"> </w:t>
      </w:r>
      <w:r w:rsidRPr="003F7F6C">
        <w:rPr>
          <w:rFonts w:cs="Calibri"/>
          <w:szCs w:val="20"/>
        </w:rPr>
        <w:t xml:space="preserve">will support a broader analysis of experiences throughout the country.  This will include defining an optimal mix of instruments to implement land use zoning and related requirements for sector production.  This approach will also provide inputs to the processes to be undertaken in Component 1 for mainstreaming ELUP at federal level.  </w:t>
      </w:r>
    </w:p>
    <w:p w14:paraId="055CC6F6" w14:textId="77777777" w:rsidR="00C84CD9" w:rsidRPr="003F7F6C" w:rsidRDefault="005B2E89" w:rsidP="00E91275">
      <w:pPr>
        <w:numPr>
          <w:ilvl w:val="0"/>
          <w:numId w:val="28"/>
        </w:numPr>
        <w:tabs>
          <w:tab w:val="left" w:pos="426"/>
        </w:tabs>
        <w:spacing w:after="240"/>
        <w:ind w:left="0" w:firstLine="0"/>
      </w:pPr>
      <w:r w:rsidRPr="003F7F6C">
        <w:rPr>
          <w:rFonts w:eastAsia="Times New Roman" w:cs="Calibri"/>
          <w:szCs w:val="20"/>
          <w:lang w:eastAsia="es-ES_tradnl"/>
        </w:rPr>
        <w:t xml:space="preserve">The second approach </w:t>
      </w:r>
      <w:r w:rsidR="00F171A6" w:rsidRPr="003F7F6C">
        <w:rPr>
          <w:rFonts w:eastAsia="Times New Roman" w:cs="Calibri"/>
          <w:szCs w:val="20"/>
          <w:lang w:eastAsia="es-ES_tradnl"/>
        </w:rPr>
        <w:t>involves</w:t>
      </w:r>
      <w:r w:rsidRPr="003F7F6C">
        <w:rPr>
          <w:rFonts w:eastAsia="Times New Roman" w:cs="Calibri"/>
          <w:szCs w:val="20"/>
          <w:lang w:eastAsia="es-ES_tradnl"/>
        </w:rPr>
        <w:t xml:space="preserve"> undertaking a program </w:t>
      </w:r>
      <w:r w:rsidR="00AC4AC1" w:rsidRPr="003F7F6C">
        <w:rPr>
          <w:rFonts w:eastAsia="Times New Roman" w:cs="Calibri"/>
          <w:szCs w:val="20"/>
          <w:lang w:eastAsia="es-ES_tradnl"/>
        </w:rPr>
        <w:t xml:space="preserve">to </w:t>
      </w:r>
      <w:r w:rsidRPr="003F7F6C">
        <w:rPr>
          <w:rFonts w:eastAsia="Times New Roman" w:cs="Calibri"/>
          <w:szCs w:val="20"/>
          <w:lang w:eastAsia="es-ES_tradnl"/>
        </w:rPr>
        <w:t>strengthen provincial institutions to carry out ELUP</w:t>
      </w:r>
      <w:r w:rsidR="00AC4AC1" w:rsidRPr="003F7F6C">
        <w:rPr>
          <w:rFonts w:eastAsia="Times New Roman" w:cs="Calibri"/>
          <w:szCs w:val="20"/>
          <w:lang w:eastAsia="es-ES_tradnl"/>
        </w:rPr>
        <w:t>, which will</w:t>
      </w:r>
      <w:r w:rsidRPr="003F7F6C">
        <w:rPr>
          <w:rFonts w:eastAsia="Times New Roman" w:cs="Calibri"/>
          <w:szCs w:val="20"/>
          <w:lang w:eastAsia="es-ES_tradnl"/>
        </w:rPr>
        <w:t xml:space="preserve"> compris</w:t>
      </w:r>
      <w:r w:rsidR="00AC4AC1" w:rsidRPr="003F7F6C">
        <w:rPr>
          <w:rFonts w:eastAsia="Times New Roman" w:cs="Calibri"/>
          <w:szCs w:val="20"/>
          <w:lang w:eastAsia="es-ES_tradnl"/>
        </w:rPr>
        <w:t>e</w:t>
      </w:r>
      <w:r w:rsidRPr="003F7F6C">
        <w:rPr>
          <w:rFonts w:eastAsia="Times New Roman" w:cs="Calibri"/>
          <w:szCs w:val="20"/>
          <w:lang w:eastAsia="es-ES_tradnl"/>
        </w:rPr>
        <w:t xml:space="preserve"> training addressing the non-pilot provinces as well as developing methodological guides for ELUP in pilot provinces, in non-pilot provinces and for upscaling in ecoregions and shared ecosystems.  The third approach will entail developing </w:t>
      </w:r>
      <w:r w:rsidR="002C1542" w:rsidRPr="003F7F6C">
        <w:rPr>
          <w:rFonts w:eastAsia="Times New Roman" w:cs="Calibri"/>
          <w:color w:val="000000"/>
          <w:szCs w:val="20"/>
          <w:lang w:eastAsia="es-AR"/>
        </w:rPr>
        <w:t>a system to evaluate and m</w:t>
      </w:r>
      <w:r w:rsidRPr="003F7F6C">
        <w:rPr>
          <w:rFonts w:eastAsia="Times New Roman" w:cs="Calibri"/>
          <w:color w:val="000000"/>
          <w:szCs w:val="20"/>
          <w:lang w:eastAsia="es-AR"/>
        </w:rPr>
        <w:t>onitor ELUP</w:t>
      </w:r>
      <w:r w:rsidR="002C1542" w:rsidRPr="003F7F6C">
        <w:rPr>
          <w:rFonts w:eastAsia="Times New Roman" w:cs="Calibri"/>
          <w:color w:val="000000"/>
          <w:szCs w:val="20"/>
          <w:lang w:eastAsia="es-AR"/>
        </w:rPr>
        <w:t xml:space="preserve"> i</w:t>
      </w:r>
      <w:r w:rsidRPr="003F7F6C">
        <w:rPr>
          <w:rFonts w:eastAsia="Times New Roman" w:cs="Calibri"/>
          <w:color w:val="000000"/>
          <w:szCs w:val="20"/>
          <w:lang w:eastAsia="es-AR"/>
        </w:rPr>
        <w:t xml:space="preserve">mplementation in Argentina. </w:t>
      </w:r>
      <w:r w:rsidRPr="003F7F6C">
        <w:rPr>
          <w:rFonts w:eastAsia="Times New Roman"/>
          <w:iCs/>
          <w:szCs w:val="20"/>
          <w:lang w:eastAsia="es-AR"/>
        </w:rPr>
        <w:t xml:space="preserve">This system will serve to analyze the process of mainstreaming policies, regulations and instruments in support of public planning and management of the territory under an ELUP approach. </w:t>
      </w:r>
      <w:r w:rsidRPr="003F7F6C">
        <w:rPr>
          <w:rFonts w:eastAsia="Times New Roman" w:cs="Calibri"/>
          <w:color w:val="000000"/>
          <w:szCs w:val="20"/>
          <w:lang w:eastAsia="es-AR"/>
        </w:rPr>
        <w:t xml:space="preserve">It will monitor progress in the implementation of ELUP, evaluate the impacts and degree of acceptance by stakeholders, propose measures and recommendations to decision makers and promote awareness raising within the general public. </w:t>
      </w:r>
    </w:p>
    <w:p w14:paraId="53498E34" w14:textId="77777777" w:rsidR="00C84CD9" w:rsidRPr="003F7F6C" w:rsidRDefault="005B2E89" w:rsidP="00E91275">
      <w:pPr>
        <w:numPr>
          <w:ilvl w:val="0"/>
          <w:numId w:val="28"/>
        </w:numPr>
        <w:tabs>
          <w:tab w:val="left" w:pos="426"/>
        </w:tabs>
        <w:spacing w:after="240"/>
        <w:ind w:left="0" w:firstLine="0"/>
      </w:pPr>
      <w:r w:rsidRPr="003F7F6C">
        <w:rPr>
          <w:rFonts w:cs="Calibri"/>
          <w:b/>
          <w:noProof/>
          <w:szCs w:val="20"/>
        </w:rPr>
        <w:t>Project Outcome 4</w:t>
      </w:r>
      <w:r w:rsidRPr="003F7F6C">
        <w:rPr>
          <w:rFonts w:cs="Calibri"/>
          <w:noProof/>
          <w:szCs w:val="20"/>
        </w:rPr>
        <w:t xml:space="preserve"> will provide the necessary means for the monitoring and evaluation (M&amp;E) of project results in order to </w:t>
      </w:r>
      <w:r w:rsidR="00AC4AC1" w:rsidRPr="003F7F6C">
        <w:rPr>
          <w:rFonts w:cs="Calibri"/>
          <w:noProof/>
          <w:szCs w:val="20"/>
        </w:rPr>
        <w:t xml:space="preserve">contribute to the </w:t>
      </w:r>
      <w:r w:rsidRPr="003F7F6C">
        <w:rPr>
          <w:rFonts w:cs="Calibri"/>
          <w:noProof/>
          <w:szCs w:val="20"/>
        </w:rPr>
        <w:t xml:space="preserve">adaptive management of the </w:t>
      </w:r>
      <w:r w:rsidR="00AC4AC1" w:rsidRPr="003F7F6C">
        <w:rPr>
          <w:rFonts w:cs="Calibri"/>
          <w:noProof/>
          <w:szCs w:val="20"/>
        </w:rPr>
        <w:t xml:space="preserve">project </w:t>
      </w:r>
      <w:r w:rsidRPr="003F7F6C">
        <w:rPr>
          <w:rFonts w:cs="Calibri"/>
          <w:noProof/>
          <w:szCs w:val="20"/>
        </w:rPr>
        <w:t xml:space="preserve">and improve </w:t>
      </w:r>
      <w:r w:rsidR="00AC4AC1" w:rsidRPr="003F7F6C">
        <w:rPr>
          <w:rFonts w:cs="Calibri"/>
          <w:noProof/>
          <w:szCs w:val="20"/>
        </w:rPr>
        <w:t xml:space="preserve">its </w:t>
      </w:r>
      <w:r w:rsidRPr="003F7F6C">
        <w:rPr>
          <w:rFonts w:cs="Calibri"/>
          <w:noProof/>
          <w:szCs w:val="20"/>
        </w:rPr>
        <w:t>implementati</w:t>
      </w:r>
      <w:r w:rsidR="00C84CD9" w:rsidRPr="003F7F6C">
        <w:rPr>
          <w:rFonts w:cs="Calibri"/>
          <w:noProof/>
          <w:szCs w:val="20"/>
        </w:rPr>
        <w:t xml:space="preserve">on. A Mid-term Review (MTR) </w:t>
      </w:r>
      <w:r w:rsidRPr="003F7F6C">
        <w:rPr>
          <w:rFonts w:cs="Calibri"/>
          <w:noProof/>
          <w:szCs w:val="20"/>
        </w:rPr>
        <w:t xml:space="preserve"> will be </w:t>
      </w:r>
      <w:r w:rsidR="00C84CD9" w:rsidRPr="003F7F6C">
        <w:rPr>
          <w:rFonts w:cs="Calibri"/>
          <w:noProof/>
          <w:szCs w:val="20"/>
        </w:rPr>
        <w:t>undertaken</w:t>
      </w:r>
      <w:r w:rsidRPr="003F7F6C">
        <w:rPr>
          <w:rFonts w:cs="Calibri"/>
          <w:noProof/>
          <w:szCs w:val="20"/>
        </w:rPr>
        <w:t xml:space="preserve"> </w:t>
      </w:r>
      <w:r w:rsidR="00F753BA" w:rsidRPr="003F7F6C">
        <w:rPr>
          <w:rFonts w:cs="Calibri"/>
          <w:noProof/>
          <w:szCs w:val="20"/>
        </w:rPr>
        <w:t>after the</w:t>
      </w:r>
      <w:r w:rsidRPr="003F7F6C">
        <w:rPr>
          <w:rFonts w:cs="Calibri"/>
          <w:noProof/>
          <w:szCs w:val="20"/>
        </w:rPr>
        <w:t xml:space="preserve"> third PIR and </w:t>
      </w:r>
      <w:r w:rsidR="00C84CD9" w:rsidRPr="003F7F6C">
        <w:rPr>
          <w:rFonts w:cs="Calibri"/>
          <w:noProof/>
          <w:szCs w:val="20"/>
        </w:rPr>
        <w:t xml:space="preserve"> a Terminal E</w:t>
      </w:r>
      <w:r w:rsidRPr="003F7F6C">
        <w:rPr>
          <w:rFonts w:cs="Calibri"/>
          <w:noProof/>
          <w:szCs w:val="20"/>
        </w:rPr>
        <w:t>valuation (TE) will be prepared by independent evaluation teams and compiled into reports. Outcome 4 will also enable consolidation of lessons learned extracted throughout the course of the project’s implementation and support dissemination of lessons</w:t>
      </w:r>
      <w:r w:rsidR="00F753BA" w:rsidRPr="003F7F6C">
        <w:rPr>
          <w:rFonts w:cs="Calibri"/>
          <w:noProof/>
          <w:szCs w:val="20"/>
        </w:rPr>
        <w:t xml:space="preserve"> </w:t>
      </w:r>
      <w:r w:rsidRPr="003F7F6C">
        <w:rPr>
          <w:rFonts w:cs="Calibri"/>
          <w:noProof/>
          <w:szCs w:val="20"/>
        </w:rPr>
        <w:t xml:space="preserve">learned and experiences at national and provincial levels. The project will systematize and publish best practices and lessons learned, which will help ensure access to this information by the wider stakeholder community to the experiences, failures and successes of the pilots undertaken by the project.  </w:t>
      </w:r>
      <w:r w:rsidR="00287C43" w:rsidRPr="003F7F6C">
        <w:rPr>
          <w:rFonts w:cs="Calibri"/>
          <w:noProof/>
          <w:szCs w:val="20"/>
        </w:rPr>
        <w:t>This outcome will also monitor the effectiveness of implementation of the Gender Mainstreaming Strategy and Action Plan.</w:t>
      </w:r>
    </w:p>
    <w:p w14:paraId="47E14720" w14:textId="77777777" w:rsidR="0059532A" w:rsidRPr="003F7F6C" w:rsidRDefault="005B2E89" w:rsidP="00E91275">
      <w:pPr>
        <w:numPr>
          <w:ilvl w:val="0"/>
          <w:numId w:val="28"/>
        </w:numPr>
        <w:tabs>
          <w:tab w:val="left" w:pos="426"/>
        </w:tabs>
        <w:spacing w:after="240"/>
        <w:ind w:left="0" w:firstLine="0"/>
      </w:pPr>
      <w:r w:rsidRPr="003F7F6C">
        <w:rPr>
          <w:rFonts w:cs="Calibri"/>
          <w:szCs w:val="20"/>
        </w:rPr>
        <w:t xml:space="preserve">Project design takes into account the assumption that achievement of the proposed outcomes relies heavily on the willingness and support of the federal and provincial institutions and key stakeholders to overcome the identified barriers </w:t>
      </w:r>
      <w:r w:rsidRPr="003F7F6C">
        <w:rPr>
          <w:rFonts w:cs="Calibri"/>
          <w:color w:val="000000"/>
          <w:szCs w:val="20"/>
        </w:rPr>
        <w:t xml:space="preserve">that result in inefficiencies, </w:t>
      </w:r>
      <w:r w:rsidR="007D0E84" w:rsidRPr="003F7F6C">
        <w:rPr>
          <w:rFonts w:cs="Calibri"/>
          <w:color w:val="000000"/>
          <w:szCs w:val="20"/>
        </w:rPr>
        <w:t xml:space="preserve">overlap </w:t>
      </w:r>
      <w:r w:rsidRPr="003F7F6C">
        <w:rPr>
          <w:rFonts w:cs="Calibri"/>
          <w:color w:val="000000"/>
          <w:szCs w:val="20"/>
        </w:rPr>
        <w:t>of actions, and missed opportunities for inter-sectoral collaboration</w:t>
      </w:r>
      <w:r w:rsidR="00D02ED0" w:rsidRPr="003F7F6C">
        <w:rPr>
          <w:rFonts w:cs="Calibri"/>
          <w:szCs w:val="20"/>
        </w:rPr>
        <w:t xml:space="preserve">. </w:t>
      </w:r>
      <w:r w:rsidRPr="003F7F6C">
        <w:rPr>
          <w:rFonts w:cs="Calibri"/>
          <w:szCs w:val="20"/>
        </w:rPr>
        <w:t xml:space="preserve">The strategy explained above </w:t>
      </w:r>
      <w:r w:rsidRPr="003F7F6C">
        <w:rPr>
          <w:rFonts w:cs="Calibri"/>
          <w:noProof/>
          <w:szCs w:val="20"/>
        </w:rPr>
        <w:t xml:space="preserve">is built upon the active participation of public, private and civil society partners and is expected to result in the development of an enabling framework for </w:t>
      </w:r>
      <w:r w:rsidRPr="003F7F6C">
        <w:rPr>
          <w:rFonts w:eastAsia="Times New Roman" w:cs="Calibri"/>
          <w:szCs w:val="20"/>
          <w:lang w:eastAsia="es-ES_tradnl"/>
        </w:rPr>
        <w:t>ELUP at federal and provincial levels for reducing biodiversity loss and land degradation and generating multiple benefits for the long</w:t>
      </w:r>
      <w:r w:rsidR="00177B99" w:rsidRPr="003F7F6C">
        <w:rPr>
          <w:rFonts w:eastAsia="Times New Roman" w:cs="Calibri"/>
          <w:szCs w:val="20"/>
          <w:lang w:eastAsia="es-ES_tradnl"/>
        </w:rPr>
        <w:t>-</w:t>
      </w:r>
      <w:r w:rsidRPr="003F7F6C">
        <w:rPr>
          <w:rFonts w:eastAsia="Times New Roman" w:cs="Calibri"/>
          <w:szCs w:val="20"/>
          <w:lang w:eastAsia="es-ES_tradnl"/>
        </w:rPr>
        <w:t>term protection of global and local</w:t>
      </w:r>
      <w:r w:rsidR="006008E7" w:rsidRPr="003F7F6C">
        <w:rPr>
          <w:rFonts w:eastAsia="Times New Roman" w:cs="Calibri"/>
          <w:szCs w:val="20"/>
          <w:lang w:eastAsia="es-ES_tradnl"/>
        </w:rPr>
        <w:t xml:space="preserve"> environmental</w:t>
      </w:r>
      <w:r w:rsidRPr="003F7F6C">
        <w:rPr>
          <w:rFonts w:eastAsia="Times New Roman" w:cs="Calibri"/>
          <w:szCs w:val="20"/>
          <w:lang w:eastAsia="es-ES_tradnl"/>
        </w:rPr>
        <w:t xml:space="preserve"> values in Argentina </w:t>
      </w:r>
      <w:r w:rsidRPr="003F7F6C">
        <w:rPr>
          <w:rFonts w:cs="Calibri"/>
          <w:noProof/>
          <w:szCs w:val="20"/>
        </w:rPr>
        <w:t>(see also Figure 1 – Theory of Change</w:t>
      </w:r>
      <w:r w:rsidR="005169AF" w:rsidRPr="003F7F6C">
        <w:rPr>
          <w:rFonts w:cs="Calibri"/>
          <w:noProof/>
          <w:szCs w:val="20"/>
        </w:rPr>
        <w:t xml:space="preserve"> below</w:t>
      </w:r>
      <w:r w:rsidRPr="003F7F6C">
        <w:rPr>
          <w:rFonts w:cs="Calibri"/>
          <w:noProof/>
          <w:szCs w:val="20"/>
        </w:rPr>
        <w:t>)</w:t>
      </w:r>
      <w:r w:rsidRPr="003F7F6C">
        <w:rPr>
          <w:rFonts w:eastAsia="Times New Roman" w:cs="Calibri"/>
          <w:szCs w:val="20"/>
          <w:lang w:eastAsia="es-ES_tradnl"/>
        </w:rPr>
        <w:t xml:space="preserve">. </w:t>
      </w:r>
    </w:p>
    <w:p w14:paraId="2872763C" w14:textId="790F4153" w:rsidR="0059532A" w:rsidRPr="003F7F6C" w:rsidRDefault="00CB22D1" w:rsidP="00E91275">
      <w:pPr>
        <w:numPr>
          <w:ilvl w:val="0"/>
          <w:numId w:val="28"/>
        </w:numPr>
        <w:tabs>
          <w:tab w:val="left" w:pos="426"/>
        </w:tabs>
        <w:spacing w:after="240"/>
        <w:ind w:left="0" w:firstLine="0"/>
      </w:pPr>
      <w:r w:rsidRPr="003F7F6C">
        <w:rPr>
          <w:rFonts w:eastAsia="Times New Roman" w:cs="Calibri"/>
          <w:szCs w:val="20"/>
          <w:lang w:eastAsia="es-ES_tradnl"/>
        </w:rPr>
        <w:t xml:space="preserve">Gender mainstreaming and empowerment of women is a fundamental part of the intervention strategy.  The project strategy mainstreams gender issues through among others: </w:t>
      </w:r>
      <w:r w:rsidRPr="003F7F6C">
        <w:rPr>
          <w:rFonts w:cs="Calibri"/>
          <w:szCs w:val="20"/>
        </w:rPr>
        <w:t>i) political and technical dialogue at federal level to ensure the participation of women in the development of the instruments and approaches</w:t>
      </w:r>
      <w:r w:rsidR="006008E7" w:rsidRPr="003F7F6C">
        <w:rPr>
          <w:rFonts w:cs="Calibri"/>
          <w:szCs w:val="20"/>
        </w:rPr>
        <w:t xml:space="preserve"> to facilitate ELUP</w:t>
      </w:r>
      <w:r w:rsidRPr="003F7F6C">
        <w:rPr>
          <w:rFonts w:cs="Calibri"/>
          <w:szCs w:val="20"/>
        </w:rPr>
        <w:t xml:space="preserve"> in multi-stakeholder dialogue and coordination spaces</w:t>
      </w:r>
      <w:r w:rsidR="00B26606" w:rsidRPr="003F7F6C">
        <w:rPr>
          <w:rFonts w:cs="Calibri"/>
          <w:szCs w:val="20"/>
        </w:rPr>
        <w:t>,</w:t>
      </w:r>
      <w:r w:rsidRPr="003F7F6C">
        <w:rPr>
          <w:rFonts w:cs="Calibri"/>
          <w:szCs w:val="20"/>
        </w:rPr>
        <w:t xml:space="preserve"> and other project processes; ii) building the capacities of public institutions </w:t>
      </w:r>
      <w:r w:rsidR="00B26606" w:rsidRPr="003F7F6C">
        <w:rPr>
          <w:rFonts w:cs="Calibri"/>
          <w:szCs w:val="20"/>
        </w:rPr>
        <w:t xml:space="preserve">to </w:t>
      </w:r>
      <w:r w:rsidRPr="003F7F6C">
        <w:rPr>
          <w:rFonts w:cs="Calibri"/>
          <w:szCs w:val="20"/>
        </w:rPr>
        <w:t xml:space="preserve">mainstream gender into the ELUP instruments and approaches to be undertaken; iii) </w:t>
      </w:r>
      <w:r w:rsidRPr="003F7F6C">
        <w:rPr>
          <w:rFonts w:cs="Calibri"/>
          <w:szCs w:val="20"/>
          <w:lang w:eastAsia="es-EC"/>
        </w:rPr>
        <w:t xml:space="preserve">targeted training for </w:t>
      </w:r>
      <w:r w:rsidRPr="003F7F6C">
        <w:rPr>
          <w:rFonts w:cs="Calibri"/>
          <w:szCs w:val="20"/>
        </w:rPr>
        <w:t xml:space="preserve">women beneficiaries (indigenous and non-indigenous) in the target landscapes to: promote gender equality in the management, use and conservation of biodiversity; </w:t>
      </w:r>
      <w:r w:rsidR="00393825" w:rsidRPr="003F7F6C">
        <w:rPr>
          <w:rFonts w:cs="Calibri"/>
          <w:szCs w:val="20"/>
        </w:rPr>
        <w:t xml:space="preserve">understand </w:t>
      </w:r>
      <w:r w:rsidRPr="003F7F6C">
        <w:rPr>
          <w:rFonts w:cs="Calibri"/>
          <w:szCs w:val="20"/>
        </w:rPr>
        <w:t xml:space="preserve">the differential roles of women and men </w:t>
      </w:r>
      <w:r w:rsidR="00393825" w:rsidRPr="003F7F6C">
        <w:rPr>
          <w:rFonts w:cs="Calibri"/>
          <w:szCs w:val="20"/>
        </w:rPr>
        <w:t>and ensure that a tailored approach is used for both men and women so that they will benefit from project intervention</w:t>
      </w:r>
      <w:r w:rsidR="0027509C" w:rsidRPr="003F7F6C">
        <w:rPr>
          <w:rFonts w:cs="Calibri"/>
          <w:szCs w:val="20"/>
        </w:rPr>
        <w:t>s</w:t>
      </w:r>
      <w:r w:rsidRPr="003F7F6C">
        <w:rPr>
          <w:rFonts w:cs="Calibri"/>
          <w:szCs w:val="20"/>
        </w:rPr>
        <w:t xml:space="preserve">; and promote the participation and consideration of gender issues in the design and implementation of the project; iv) </w:t>
      </w:r>
      <w:r w:rsidRPr="003F7F6C">
        <w:rPr>
          <w:rFonts w:cs="Calibri"/>
          <w:noProof/>
          <w:szCs w:val="20"/>
        </w:rPr>
        <w:t xml:space="preserve">sex-disaggregated data for M&amp;E; and v) </w:t>
      </w:r>
      <w:r w:rsidRPr="003F7F6C">
        <w:rPr>
          <w:rFonts w:cs="Calibri"/>
          <w:szCs w:val="20"/>
        </w:rPr>
        <w:t>extracting lessons which will be included in the project´s publications.  Further details are included in Section IV Results and Partnerships below</w:t>
      </w:r>
      <w:r w:rsidR="0011122A" w:rsidRPr="003F7F6C">
        <w:rPr>
          <w:rFonts w:cs="Calibri"/>
          <w:szCs w:val="20"/>
        </w:rPr>
        <w:t xml:space="preserve"> on gender mainstreaming</w:t>
      </w:r>
      <w:r w:rsidRPr="003F7F6C">
        <w:rPr>
          <w:rFonts w:cs="Calibri"/>
          <w:szCs w:val="20"/>
        </w:rPr>
        <w:t xml:space="preserve"> and Annex</w:t>
      </w:r>
      <w:r w:rsidR="00170748" w:rsidRPr="003F7F6C">
        <w:rPr>
          <w:rFonts w:cs="Calibri"/>
          <w:szCs w:val="20"/>
        </w:rPr>
        <w:t xml:space="preserve"> G</w:t>
      </w:r>
      <w:r w:rsidRPr="003F7F6C">
        <w:rPr>
          <w:rFonts w:cs="Calibri"/>
          <w:szCs w:val="20"/>
        </w:rPr>
        <w:t xml:space="preserve"> Gender Analysis and Action Plan.</w:t>
      </w:r>
    </w:p>
    <w:p w14:paraId="4A2EACF2" w14:textId="77777777" w:rsidR="002B7260" w:rsidRPr="003F7F6C" w:rsidRDefault="00CB22D1" w:rsidP="00E91275">
      <w:pPr>
        <w:numPr>
          <w:ilvl w:val="0"/>
          <w:numId w:val="28"/>
        </w:numPr>
        <w:tabs>
          <w:tab w:val="left" w:pos="426"/>
        </w:tabs>
        <w:spacing w:after="240"/>
        <w:ind w:left="0" w:firstLine="0"/>
      </w:pPr>
      <w:r w:rsidRPr="003F7F6C">
        <w:rPr>
          <w:rFonts w:cs="Calibri"/>
          <w:szCs w:val="20"/>
        </w:rPr>
        <w:t>Given the presence of indigenous peoples in the Jujuy and Mendoza target landscapes, special attention will be paid to multi-cultural aspe</w:t>
      </w:r>
      <w:r w:rsidR="0011122A" w:rsidRPr="003F7F6C">
        <w:rPr>
          <w:rFonts w:cs="Calibri"/>
          <w:szCs w:val="20"/>
        </w:rPr>
        <w:t xml:space="preserve">cts and participation processes. Interventions addressing indigenous communities will follow and respect their organizational ways and cultural patterns; will ensure that stakeholders show respect for their dignity and human rights and will be carried out with a multi-cultural approach, respecting their collective and individual rights protected by international and national regulations and including safeguards to ensure actions do not negatively affect the livelihoods of indigenous communities. </w:t>
      </w:r>
      <w:r w:rsidR="006457B8" w:rsidRPr="003F7F6C">
        <w:t xml:space="preserve">All actions with indigenous peoples will be guided by the respect to their rights to: a) participation in the design, implementation and evaluation of public policies, plans and programs; b) prior consultation before adopting administrative or regulatory measures that may affect them; and c) Free, Prior and Informed Consent in cases where their fundamental rights may be affected or their integrity may be put at risk. </w:t>
      </w:r>
      <w:r w:rsidR="0011122A" w:rsidRPr="003F7F6C">
        <w:rPr>
          <w:rFonts w:cs="Calibri"/>
          <w:szCs w:val="20"/>
        </w:rPr>
        <w:t>Further details are included in Section IV Results and Partnerships below on stakeholder engagement plan and</w:t>
      </w:r>
      <w:r w:rsidR="0011122A" w:rsidRPr="003F7F6C">
        <w:rPr>
          <w:rFonts w:eastAsia="Times New Roman" w:cs="Calibri"/>
          <w:szCs w:val="20"/>
          <w:lang w:eastAsia="es-ES_tradnl"/>
        </w:rPr>
        <w:t xml:space="preserve"> </w:t>
      </w:r>
      <w:r w:rsidRPr="003F7F6C">
        <w:rPr>
          <w:rFonts w:cs="Calibri"/>
          <w:szCs w:val="20"/>
        </w:rPr>
        <w:t xml:space="preserve">Annex </w:t>
      </w:r>
      <w:r w:rsidR="00170748" w:rsidRPr="003F7F6C">
        <w:rPr>
          <w:rFonts w:cs="Calibri"/>
          <w:szCs w:val="20"/>
        </w:rPr>
        <w:t>F</w:t>
      </w:r>
      <w:r w:rsidRPr="003F7F6C">
        <w:rPr>
          <w:rFonts w:cs="Calibri"/>
          <w:szCs w:val="20"/>
        </w:rPr>
        <w:t xml:space="preserve"> Stakeholder Engagement Plan).</w:t>
      </w:r>
    </w:p>
    <w:p w14:paraId="7BAD8EE3" w14:textId="0EB6A5AE" w:rsidR="0059532A" w:rsidRPr="003F7F6C" w:rsidRDefault="005B2E89" w:rsidP="00E91275">
      <w:pPr>
        <w:numPr>
          <w:ilvl w:val="0"/>
          <w:numId w:val="28"/>
        </w:numPr>
        <w:tabs>
          <w:tab w:val="left" w:pos="426"/>
        </w:tabs>
        <w:spacing w:after="240"/>
        <w:ind w:left="0" w:firstLine="0"/>
      </w:pPr>
      <w:r w:rsidRPr="003F7F6C">
        <w:rPr>
          <w:rFonts w:cs="Calibri"/>
          <w:noProof/>
          <w:szCs w:val="20"/>
        </w:rPr>
        <w:t xml:space="preserve">The project will deliver a number of environmental and socio-economic benefits, which are detailed in the Results Framework (Section VI) and Annex </w:t>
      </w:r>
      <w:r w:rsidR="00170748" w:rsidRPr="003F7F6C">
        <w:rPr>
          <w:rFonts w:cs="Calibri"/>
          <w:noProof/>
          <w:szCs w:val="20"/>
        </w:rPr>
        <w:t>B</w:t>
      </w:r>
      <w:r w:rsidRPr="003F7F6C">
        <w:rPr>
          <w:rFonts w:cs="Calibri"/>
          <w:noProof/>
          <w:szCs w:val="20"/>
        </w:rPr>
        <w:t xml:space="preserve"> </w:t>
      </w:r>
      <w:r w:rsidR="00915379" w:rsidRPr="003F7F6C">
        <w:rPr>
          <w:rFonts w:cs="Calibri"/>
          <w:noProof/>
          <w:szCs w:val="20"/>
        </w:rPr>
        <w:t>GEF Core Indicators</w:t>
      </w:r>
      <w:r w:rsidRPr="003F7F6C">
        <w:rPr>
          <w:rFonts w:cs="Calibri"/>
          <w:noProof/>
          <w:szCs w:val="20"/>
        </w:rPr>
        <w:t xml:space="preserve">, including: </w:t>
      </w:r>
      <w:r w:rsidRPr="003F7F6C">
        <w:rPr>
          <w:rFonts w:cs="Calibri"/>
          <w:bCs/>
          <w:szCs w:val="20"/>
        </w:rPr>
        <w:t xml:space="preserve">a) </w:t>
      </w:r>
      <w:r w:rsidR="00407156" w:rsidRPr="003F7F6C">
        <w:rPr>
          <w:rFonts w:cs="Calibri"/>
          <w:bCs/>
          <w:szCs w:val="20"/>
        </w:rPr>
        <w:t>5,079,2</w:t>
      </w:r>
      <w:r w:rsidR="001029E1" w:rsidRPr="003F7F6C">
        <w:rPr>
          <w:rFonts w:cs="Calibri"/>
          <w:bCs/>
          <w:szCs w:val="20"/>
        </w:rPr>
        <w:t>6</w:t>
      </w:r>
      <w:r w:rsidR="00407156" w:rsidRPr="003F7F6C">
        <w:rPr>
          <w:rFonts w:cs="Calibri"/>
          <w:bCs/>
          <w:szCs w:val="20"/>
        </w:rPr>
        <w:t>0</w:t>
      </w:r>
      <w:r w:rsidRPr="003F7F6C">
        <w:rPr>
          <w:rFonts w:cs="Calibri"/>
          <w:bCs/>
          <w:szCs w:val="20"/>
        </w:rPr>
        <w:t xml:space="preserve"> h</w:t>
      </w:r>
      <w:r w:rsidR="008E40A8" w:rsidRPr="003F7F6C">
        <w:rPr>
          <w:rFonts w:cs="Calibri"/>
          <w:bCs/>
          <w:szCs w:val="20"/>
        </w:rPr>
        <w:t>ectares (h</w:t>
      </w:r>
      <w:r w:rsidRPr="003F7F6C">
        <w:rPr>
          <w:rFonts w:cs="Calibri"/>
          <w:bCs/>
          <w:szCs w:val="20"/>
        </w:rPr>
        <w:t>as</w:t>
      </w:r>
      <w:r w:rsidR="008E40A8" w:rsidRPr="003F7F6C">
        <w:rPr>
          <w:rFonts w:cs="Calibri"/>
          <w:bCs/>
          <w:szCs w:val="20"/>
        </w:rPr>
        <w:t>)</w:t>
      </w:r>
      <w:r w:rsidRPr="003F7F6C">
        <w:rPr>
          <w:rFonts w:cs="Calibri"/>
          <w:bCs/>
          <w:szCs w:val="20"/>
        </w:rPr>
        <w:t xml:space="preserve"> where ELUP has been agreed upon and implemented in priority landscapes </w:t>
      </w:r>
      <w:r w:rsidR="008E40A8" w:rsidRPr="003F7F6C">
        <w:rPr>
          <w:rFonts w:cs="Calibri"/>
          <w:bCs/>
          <w:szCs w:val="20"/>
        </w:rPr>
        <w:t xml:space="preserve">in </w:t>
      </w:r>
      <w:r w:rsidRPr="003F7F6C">
        <w:rPr>
          <w:rFonts w:cs="Calibri"/>
          <w:bCs/>
          <w:szCs w:val="20"/>
        </w:rPr>
        <w:t xml:space="preserve">the three pilot provinces </w:t>
      </w:r>
      <w:r w:rsidRPr="003F7F6C">
        <w:rPr>
          <w:szCs w:val="20"/>
          <w:lang w:val="en-GB"/>
        </w:rPr>
        <w:t xml:space="preserve">through applying regulations, instruments and approaches to enforce modified production; b) </w:t>
      </w:r>
      <w:r w:rsidR="00407156" w:rsidRPr="003F7F6C">
        <w:rPr>
          <w:szCs w:val="20"/>
          <w:lang w:val="en-GB"/>
        </w:rPr>
        <w:t xml:space="preserve">an additional </w:t>
      </w:r>
      <w:r w:rsidR="003B78B0" w:rsidRPr="003F7F6C">
        <w:rPr>
          <w:rFonts w:cs="Calibri"/>
          <w:bCs/>
          <w:szCs w:val="20"/>
        </w:rPr>
        <w:t>507,926</w:t>
      </w:r>
      <w:r w:rsidRPr="003F7F6C">
        <w:rPr>
          <w:rFonts w:cs="Calibri"/>
          <w:bCs/>
          <w:szCs w:val="20"/>
        </w:rPr>
        <w:t xml:space="preserve"> has covering the total surface of  ecoregions in the three pilot provinces </w:t>
      </w:r>
      <w:r w:rsidRPr="003F7F6C">
        <w:rPr>
          <w:szCs w:val="20"/>
        </w:rPr>
        <w:t>in which upscaling is expected due to project dissemination activities and co-financed interventions</w:t>
      </w:r>
      <w:r w:rsidRPr="003F7F6C">
        <w:rPr>
          <w:rFonts w:cs="Calibri"/>
          <w:bCs/>
          <w:szCs w:val="20"/>
        </w:rPr>
        <w:t xml:space="preserve">; </w:t>
      </w:r>
      <w:r w:rsidR="00920533" w:rsidRPr="003F7F6C">
        <w:rPr>
          <w:rFonts w:cs="Calibri"/>
          <w:bCs/>
          <w:szCs w:val="20"/>
        </w:rPr>
        <w:t>c</w:t>
      </w:r>
      <w:r w:rsidRPr="003F7F6C">
        <w:rPr>
          <w:rFonts w:cs="Calibri"/>
          <w:bCs/>
          <w:szCs w:val="20"/>
        </w:rPr>
        <w:t xml:space="preserve">) </w:t>
      </w:r>
      <w:r w:rsidR="00A14F73" w:rsidRPr="003F7F6C">
        <w:rPr>
          <w:rFonts w:cs="Calibri"/>
          <w:bCs/>
          <w:szCs w:val="20"/>
        </w:rPr>
        <w:t>613,128</w:t>
      </w:r>
      <w:r w:rsidRPr="003F7F6C">
        <w:rPr>
          <w:rFonts w:cs="Calibri"/>
          <w:bCs/>
          <w:szCs w:val="20"/>
        </w:rPr>
        <w:t xml:space="preserve"> has in the target landscapes of the pilot provinces under improved practices to benefit BD and sustainable land management in production systems</w:t>
      </w:r>
      <w:r w:rsidR="00920533" w:rsidRPr="003F7F6C">
        <w:rPr>
          <w:rFonts w:cs="Calibri"/>
          <w:bCs/>
          <w:szCs w:val="20"/>
        </w:rPr>
        <w:t xml:space="preserve"> and where BD conservation and LD reduction benefits have been accrued as measured through the level of improvement in Net Primary Productivity (NPP), percentage of land cover and soil organic carbon content </w:t>
      </w:r>
      <w:r w:rsidRPr="003F7F6C">
        <w:rPr>
          <w:rFonts w:cs="Calibri"/>
          <w:bCs/>
          <w:szCs w:val="20"/>
        </w:rPr>
        <w:t xml:space="preserve"> (GEF Core Indicator </w:t>
      </w:r>
      <w:r w:rsidR="00A14F73" w:rsidRPr="003F7F6C">
        <w:rPr>
          <w:rFonts w:cs="Calibri"/>
          <w:bCs/>
          <w:szCs w:val="20"/>
        </w:rPr>
        <w:t>4</w:t>
      </w:r>
      <w:r w:rsidRPr="003F7F6C">
        <w:rPr>
          <w:rFonts w:cs="Calibri"/>
          <w:bCs/>
          <w:szCs w:val="20"/>
        </w:rPr>
        <w:t xml:space="preserve">); </w:t>
      </w:r>
      <w:r w:rsidR="00920533" w:rsidRPr="003F7F6C">
        <w:rPr>
          <w:rFonts w:cs="Calibri"/>
          <w:bCs/>
          <w:szCs w:val="20"/>
        </w:rPr>
        <w:t>d</w:t>
      </w:r>
      <w:r w:rsidRPr="003F7F6C">
        <w:rPr>
          <w:rFonts w:cs="Calibri"/>
          <w:bCs/>
          <w:szCs w:val="20"/>
        </w:rPr>
        <w:t xml:space="preserve">) 128,370 has of land (agricultural, forest and forest lands and natural grass and shrubland) restored in the target landscapes of the pilot provinces (GEF Core Indicator </w:t>
      </w:r>
      <w:r w:rsidR="00A14F73" w:rsidRPr="003F7F6C">
        <w:rPr>
          <w:rFonts w:cs="Calibri"/>
          <w:bCs/>
          <w:szCs w:val="20"/>
        </w:rPr>
        <w:t>3</w:t>
      </w:r>
      <w:r w:rsidRPr="003F7F6C">
        <w:rPr>
          <w:rFonts w:cs="Calibri"/>
          <w:bCs/>
          <w:szCs w:val="20"/>
        </w:rPr>
        <w:t xml:space="preserve">); </w:t>
      </w:r>
      <w:r w:rsidR="00920533" w:rsidRPr="003F7F6C">
        <w:rPr>
          <w:rFonts w:cs="Calibri"/>
          <w:bCs/>
          <w:szCs w:val="20"/>
        </w:rPr>
        <w:t>e</w:t>
      </w:r>
      <w:r w:rsidRPr="003F7F6C">
        <w:rPr>
          <w:rFonts w:cs="Calibri"/>
          <w:bCs/>
          <w:szCs w:val="20"/>
        </w:rPr>
        <w:t>) 11,665 direct project beneficiaries that improve their livelihoods through environmentally</w:t>
      </w:r>
      <w:r w:rsidR="002723EE" w:rsidRPr="003F7F6C">
        <w:rPr>
          <w:rFonts w:cs="Calibri"/>
          <w:bCs/>
          <w:szCs w:val="20"/>
        </w:rPr>
        <w:t>-</w:t>
      </w:r>
      <w:r w:rsidRPr="003F7F6C">
        <w:rPr>
          <w:rFonts w:cs="Calibri"/>
          <w:bCs/>
          <w:szCs w:val="20"/>
        </w:rPr>
        <w:t>friendly natural resource management and sustainable production (at least 40% are women; 10% of total number belong to indigenous groups)</w:t>
      </w:r>
      <w:r w:rsidR="00A14F73" w:rsidRPr="003F7F6C">
        <w:rPr>
          <w:rFonts w:cs="Calibri"/>
          <w:bCs/>
          <w:szCs w:val="20"/>
        </w:rPr>
        <w:t xml:space="preserve"> (GEF Core Indicator 11)</w:t>
      </w:r>
      <w:r w:rsidRPr="003F7F6C">
        <w:rPr>
          <w:rFonts w:cs="Calibri"/>
          <w:bCs/>
          <w:szCs w:val="20"/>
        </w:rPr>
        <w:t xml:space="preserve">; </w:t>
      </w:r>
      <w:r w:rsidR="00920533" w:rsidRPr="003F7F6C">
        <w:rPr>
          <w:rFonts w:cs="Calibri"/>
          <w:bCs/>
          <w:szCs w:val="20"/>
        </w:rPr>
        <w:t>f</w:t>
      </w:r>
      <w:r w:rsidRPr="003F7F6C">
        <w:rPr>
          <w:rFonts w:cs="Calibri"/>
          <w:bCs/>
          <w:szCs w:val="20"/>
        </w:rPr>
        <w:t>) 20% increase in the</w:t>
      </w:r>
      <w:r w:rsidR="005C2C65" w:rsidRPr="003F7F6C">
        <w:rPr>
          <w:rFonts w:cs="Calibri"/>
          <w:bCs/>
          <w:szCs w:val="20"/>
        </w:rPr>
        <w:t xml:space="preserve"> Sustainable</w:t>
      </w:r>
      <w:r w:rsidRPr="003F7F6C">
        <w:rPr>
          <w:rFonts w:cs="Calibri"/>
          <w:bCs/>
          <w:szCs w:val="20"/>
        </w:rPr>
        <w:t xml:space="preserve"> Livelihood</w:t>
      </w:r>
      <w:r w:rsidR="005C2C65" w:rsidRPr="003F7F6C">
        <w:rPr>
          <w:rFonts w:cs="Calibri"/>
          <w:bCs/>
          <w:szCs w:val="20"/>
        </w:rPr>
        <w:t>s Framework</w:t>
      </w:r>
      <w:r w:rsidRPr="003F7F6C">
        <w:rPr>
          <w:rFonts w:cs="Calibri"/>
          <w:bCs/>
          <w:szCs w:val="20"/>
        </w:rPr>
        <w:t xml:space="preserve"> Index</w:t>
      </w:r>
      <w:r w:rsidR="005C2C65" w:rsidRPr="003F7F6C">
        <w:rPr>
          <w:rStyle w:val="FootnoteReference"/>
          <w:bCs/>
          <w:szCs w:val="20"/>
        </w:rPr>
        <w:footnoteReference w:id="19"/>
      </w:r>
      <w:r w:rsidRPr="003F7F6C">
        <w:rPr>
          <w:rFonts w:cs="Calibri"/>
          <w:bCs/>
          <w:szCs w:val="20"/>
          <w:lang w:val="en-GB"/>
        </w:rPr>
        <w:t xml:space="preserve"> of beneficiaries in the target landscapes.</w:t>
      </w:r>
    </w:p>
    <w:p w14:paraId="4C4F8589" w14:textId="77777777" w:rsidR="005B2E89" w:rsidRPr="003F7F6C" w:rsidRDefault="005B2E89" w:rsidP="00E91275">
      <w:pPr>
        <w:numPr>
          <w:ilvl w:val="0"/>
          <w:numId w:val="28"/>
        </w:numPr>
        <w:tabs>
          <w:tab w:val="left" w:pos="426"/>
        </w:tabs>
        <w:spacing w:after="240"/>
        <w:ind w:left="0" w:firstLine="0"/>
      </w:pPr>
      <w:r w:rsidRPr="003F7F6C">
        <w:rPr>
          <w:rFonts w:cs="Calibri"/>
          <w:szCs w:val="20"/>
        </w:rPr>
        <w:t xml:space="preserve">These benefits will also translate into direct benefits for species many of which are </w:t>
      </w:r>
      <w:r w:rsidR="002723EE" w:rsidRPr="003F7F6C">
        <w:rPr>
          <w:rFonts w:cs="Calibri"/>
          <w:szCs w:val="20"/>
        </w:rPr>
        <w:t xml:space="preserve">globally </w:t>
      </w:r>
      <w:r w:rsidRPr="003F7F6C">
        <w:rPr>
          <w:rFonts w:cs="Calibri"/>
          <w:szCs w:val="20"/>
        </w:rPr>
        <w:t xml:space="preserve">significant, as summarized in Table </w:t>
      </w:r>
      <w:r w:rsidR="002C1542" w:rsidRPr="003F7F6C">
        <w:rPr>
          <w:rFonts w:cs="Calibri"/>
          <w:szCs w:val="20"/>
        </w:rPr>
        <w:t xml:space="preserve">2 </w:t>
      </w:r>
      <w:r w:rsidRPr="003F7F6C">
        <w:rPr>
          <w:rFonts w:cs="Calibri"/>
          <w:szCs w:val="20"/>
        </w:rPr>
        <w:t xml:space="preserve">below: </w:t>
      </w:r>
    </w:p>
    <w:p w14:paraId="21C2C857" w14:textId="77777777" w:rsidR="005B2E89" w:rsidRPr="003F7F6C" w:rsidRDefault="005B2E89" w:rsidP="005B2E89">
      <w:pPr>
        <w:spacing w:after="0"/>
        <w:rPr>
          <w:rFonts w:cs="Calibri"/>
          <w:szCs w:val="20"/>
        </w:rPr>
      </w:pPr>
      <w:r w:rsidRPr="003F7F6C">
        <w:rPr>
          <w:rFonts w:cs="Calibri"/>
          <w:szCs w:val="20"/>
        </w:rPr>
        <w:t xml:space="preserve">Table </w:t>
      </w:r>
      <w:r w:rsidR="002C1542" w:rsidRPr="003F7F6C">
        <w:rPr>
          <w:rFonts w:cs="Calibri"/>
          <w:szCs w:val="20"/>
        </w:rPr>
        <w:t>2</w:t>
      </w:r>
      <w:r w:rsidR="0059532A" w:rsidRPr="003F7F6C">
        <w:rPr>
          <w:rFonts w:cs="Calibri"/>
          <w:szCs w:val="20"/>
        </w:rPr>
        <w:t xml:space="preserve"> </w:t>
      </w:r>
      <w:r w:rsidR="001D47C2" w:rsidRPr="003F7F6C">
        <w:rPr>
          <w:rFonts w:cs="Calibri"/>
          <w:szCs w:val="20"/>
        </w:rPr>
        <w:t>–</w:t>
      </w:r>
      <w:r w:rsidR="0059532A" w:rsidRPr="003F7F6C">
        <w:rPr>
          <w:rFonts w:cs="Calibri"/>
          <w:szCs w:val="20"/>
        </w:rPr>
        <w:t xml:space="preserve"> </w:t>
      </w:r>
      <w:r w:rsidR="001D47C2" w:rsidRPr="003F7F6C">
        <w:rPr>
          <w:rFonts w:cs="Calibri"/>
          <w:szCs w:val="20"/>
        </w:rPr>
        <w:t>Globally significant BD in ecoregions of Argentina</w:t>
      </w:r>
      <w:r w:rsidR="00065310" w:rsidRPr="003F7F6C">
        <w:rPr>
          <w:rFonts w:cs="Calibri"/>
          <w:szCs w:val="20"/>
        </w:rPr>
        <w:t xml:space="preserve"> </w:t>
      </w:r>
      <w:r w:rsidR="0060657B" w:rsidRPr="003F7F6C">
        <w:rPr>
          <w:rFonts w:cs="Calibri"/>
          <w:szCs w:val="20"/>
        </w:rPr>
        <w:t>targeted by the project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3"/>
        <w:gridCol w:w="8193"/>
      </w:tblGrid>
      <w:tr w:rsidR="00DA46F2" w:rsidRPr="003F7F6C" w14:paraId="5D8B7373" w14:textId="77777777" w:rsidTr="002B3130">
        <w:tc>
          <w:tcPr>
            <w:tcW w:w="1163" w:type="dxa"/>
            <w:shd w:val="clear" w:color="auto" w:fill="D9E2F3"/>
          </w:tcPr>
          <w:p w14:paraId="488C76D7" w14:textId="77777777" w:rsidR="005B2E89" w:rsidRPr="003F7F6C" w:rsidRDefault="005B2E89" w:rsidP="002B3130">
            <w:pPr>
              <w:spacing w:after="0"/>
              <w:rPr>
                <w:rFonts w:cs="Calibri"/>
                <w:bCs/>
                <w:sz w:val="18"/>
                <w:szCs w:val="18"/>
              </w:rPr>
            </w:pPr>
            <w:r w:rsidRPr="003F7F6C">
              <w:rPr>
                <w:rFonts w:cs="Calibri"/>
                <w:bCs/>
                <w:sz w:val="18"/>
                <w:szCs w:val="18"/>
              </w:rPr>
              <w:t>Ecoregion</w:t>
            </w:r>
          </w:p>
        </w:tc>
        <w:tc>
          <w:tcPr>
            <w:tcW w:w="8193" w:type="dxa"/>
            <w:shd w:val="clear" w:color="auto" w:fill="D9E2F3"/>
          </w:tcPr>
          <w:p w14:paraId="4FB7E9A6" w14:textId="77777777" w:rsidR="005B2E89" w:rsidRPr="003F7F6C" w:rsidRDefault="005B2E89" w:rsidP="002B3130">
            <w:pPr>
              <w:pStyle w:val="NormalWeb"/>
              <w:shd w:val="clear" w:color="auto" w:fill="FFFFFF"/>
              <w:spacing w:before="0" w:beforeAutospacing="0" w:after="0" w:afterAutospacing="0"/>
              <w:rPr>
                <w:rFonts w:ascii="Calibri" w:hAnsi="Calibri" w:cs="Calibri"/>
                <w:sz w:val="18"/>
                <w:szCs w:val="18"/>
              </w:rPr>
            </w:pPr>
            <w:r w:rsidRPr="003F7F6C">
              <w:rPr>
                <w:rFonts w:ascii="Calibri" w:hAnsi="Calibri" w:cs="Calibri"/>
                <w:sz w:val="18"/>
                <w:szCs w:val="18"/>
              </w:rPr>
              <w:t xml:space="preserve">Examples of species </w:t>
            </w:r>
            <w:r w:rsidR="002723EE" w:rsidRPr="003F7F6C">
              <w:rPr>
                <w:rFonts w:ascii="Calibri" w:hAnsi="Calibri" w:cs="Calibri"/>
                <w:sz w:val="18"/>
                <w:szCs w:val="18"/>
              </w:rPr>
              <w:t xml:space="preserve">to </w:t>
            </w:r>
            <w:r w:rsidRPr="003F7F6C">
              <w:rPr>
                <w:rFonts w:ascii="Calibri" w:hAnsi="Calibri" w:cs="Calibri"/>
                <w:sz w:val="18"/>
                <w:szCs w:val="18"/>
              </w:rPr>
              <w:t>benefi</w:t>
            </w:r>
            <w:r w:rsidR="002723EE" w:rsidRPr="003F7F6C">
              <w:rPr>
                <w:rFonts w:ascii="Calibri" w:hAnsi="Calibri" w:cs="Calibri"/>
                <w:sz w:val="18"/>
                <w:szCs w:val="18"/>
              </w:rPr>
              <w:t>t</w:t>
            </w:r>
          </w:p>
        </w:tc>
      </w:tr>
      <w:tr w:rsidR="005B2E89" w:rsidRPr="003F7F6C" w14:paraId="3182E646" w14:textId="77777777" w:rsidTr="002B3130">
        <w:tc>
          <w:tcPr>
            <w:tcW w:w="1163" w:type="dxa"/>
            <w:shd w:val="clear" w:color="auto" w:fill="auto"/>
          </w:tcPr>
          <w:p w14:paraId="49D8DD11" w14:textId="77777777" w:rsidR="005B2E89" w:rsidRPr="003F7F6C" w:rsidRDefault="005B2E89" w:rsidP="002B3130">
            <w:pPr>
              <w:spacing w:after="0"/>
              <w:rPr>
                <w:rFonts w:cs="Calibri"/>
                <w:bCs/>
                <w:sz w:val="18"/>
                <w:szCs w:val="18"/>
              </w:rPr>
            </w:pPr>
            <w:r w:rsidRPr="003F7F6C">
              <w:rPr>
                <w:rFonts w:cs="Calibri"/>
                <w:bCs/>
                <w:sz w:val="18"/>
                <w:szCs w:val="18"/>
              </w:rPr>
              <w:t>Espinal</w:t>
            </w:r>
          </w:p>
        </w:tc>
        <w:tc>
          <w:tcPr>
            <w:tcW w:w="8193" w:type="dxa"/>
            <w:shd w:val="clear" w:color="auto" w:fill="auto"/>
          </w:tcPr>
          <w:p w14:paraId="1FA5AA4C" w14:textId="77777777" w:rsidR="005B2E89" w:rsidRPr="003F7F6C" w:rsidRDefault="005B2E89" w:rsidP="002B3130">
            <w:pPr>
              <w:pStyle w:val="NormalWeb"/>
              <w:shd w:val="clear" w:color="auto" w:fill="FFFFFF"/>
              <w:spacing w:before="0" w:beforeAutospacing="0" w:after="0" w:afterAutospacing="0"/>
              <w:rPr>
                <w:rFonts w:ascii="Calibri" w:hAnsi="Calibri" w:cs="Calibri"/>
                <w:sz w:val="18"/>
                <w:szCs w:val="18"/>
              </w:rPr>
            </w:pPr>
            <w:r w:rsidRPr="003F7F6C">
              <w:rPr>
                <w:rFonts w:ascii="Calibri" w:hAnsi="Calibri" w:cs="Calibri"/>
                <w:sz w:val="18"/>
                <w:szCs w:val="18"/>
              </w:rPr>
              <w:t xml:space="preserve">Reduced pressures on relict populations of endangered species facing conservation problems such as the Pampas deer </w:t>
            </w:r>
            <w:r w:rsidR="0003123C" w:rsidRPr="003F7F6C">
              <w:rPr>
                <w:rFonts w:ascii="Calibri" w:hAnsi="Calibri" w:cs="Calibri"/>
                <w:sz w:val="18"/>
                <w:szCs w:val="18"/>
              </w:rPr>
              <w:t>(</w:t>
            </w:r>
            <w:r w:rsidRPr="003F7F6C">
              <w:rPr>
                <w:rFonts w:ascii="Calibri" w:hAnsi="Calibri" w:cs="Calibri"/>
                <w:i/>
                <w:iCs/>
                <w:sz w:val="18"/>
                <w:szCs w:val="18"/>
              </w:rPr>
              <w:t>Ozotoceros bezoarticus</w:t>
            </w:r>
            <w:r w:rsidR="0003123C" w:rsidRPr="003F7F6C">
              <w:rPr>
                <w:rFonts w:ascii="Calibri" w:hAnsi="Calibri" w:cs="Calibri"/>
                <w:i/>
                <w:iCs/>
                <w:sz w:val="18"/>
                <w:szCs w:val="18"/>
              </w:rPr>
              <w:t>)</w:t>
            </w:r>
            <w:r w:rsidRPr="003F7F6C">
              <w:rPr>
                <w:rFonts w:ascii="Calibri" w:hAnsi="Calibri" w:cs="Calibri"/>
                <w:sz w:val="18"/>
                <w:szCs w:val="18"/>
              </w:rPr>
              <w:t xml:space="preserve"> and the yellow cardinal </w:t>
            </w:r>
            <w:r w:rsidR="0003123C" w:rsidRPr="003F7F6C">
              <w:rPr>
                <w:rFonts w:ascii="Calibri" w:hAnsi="Calibri" w:cs="Calibri"/>
                <w:sz w:val="18"/>
                <w:szCs w:val="18"/>
              </w:rPr>
              <w:t>(</w:t>
            </w:r>
            <w:r w:rsidRPr="003F7F6C">
              <w:rPr>
                <w:rFonts w:ascii="Calibri" w:hAnsi="Calibri" w:cs="Calibri"/>
                <w:i/>
                <w:iCs/>
                <w:sz w:val="18"/>
                <w:szCs w:val="18"/>
              </w:rPr>
              <w:t>Gubernatrix cristata</w:t>
            </w:r>
            <w:r w:rsidR="0003123C" w:rsidRPr="003F7F6C">
              <w:rPr>
                <w:rFonts w:ascii="Calibri" w:hAnsi="Calibri" w:cs="Calibri"/>
                <w:i/>
                <w:iCs/>
                <w:sz w:val="18"/>
                <w:szCs w:val="18"/>
              </w:rPr>
              <w:t>)</w:t>
            </w:r>
            <w:r w:rsidRPr="003F7F6C">
              <w:rPr>
                <w:rFonts w:ascii="Calibri" w:hAnsi="Calibri" w:cs="Calibri"/>
                <w:i/>
                <w:iCs/>
                <w:sz w:val="18"/>
                <w:szCs w:val="18"/>
              </w:rPr>
              <w:t xml:space="preserve"> </w:t>
            </w:r>
          </w:p>
        </w:tc>
      </w:tr>
      <w:tr w:rsidR="005B2E89" w:rsidRPr="003F7F6C" w14:paraId="40EDCCB8" w14:textId="77777777" w:rsidTr="002B3130">
        <w:tc>
          <w:tcPr>
            <w:tcW w:w="1163" w:type="dxa"/>
            <w:shd w:val="clear" w:color="auto" w:fill="auto"/>
          </w:tcPr>
          <w:p w14:paraId="05C8DBE8" w14:textId="77777777" w:rsidR="005B2E89" w:rsidRPr="003F7F6C" w:rsidRDefault="005B2E89" w:rsidP="002B3130">
            <w:pPr>
              <w:spacing w:before="100" w:beforeAutospacing="1" w:after="100" w:afterAutospacing="1"/>
              <w:rPr>
                <w:rFonts w:cs="Calibri"/>
                <w:bCs/>
                <w:sz w:val="18"/>
                <w:szCs w:val="18"/>
              </w:rPr>
            </w:pPr>
            <w:r w:rsidRPr="003F7F6C">
              <w:rPr>
                <w:rFonts w:cs="Calibri"/>
                <w:bCs/>
                <w:sz w:val="18"/>
                <w:szCs w:val="18"/>
              </w:rPr>
              <w:t>Pampas</w:t>
            </w:r>
          </w:p>
        </w:tc>
        <w:tc>
          <w:tcPr>
            <w:tcW w:w="8193" w:type="dxa"/>
            <w:shd w:val="clear" w:color="auto" w:fill="auto"/>
          </w:tcPr>
          <w:p w14:paraId="05A909E8" w14:textId="77777777" w:rsidR="005B2E89" w:rsidRPr="003F7F6C" w:rsidRDefault="005B2E89" w:rsidP="002B3130">
            <w:pPr>
              <w:pStyle w:val="NormalWeb"/>
              <w:shd w:val="clear" w:color="auto" w:fill="FFFFFF"/>
              <w:rPr>
                <w:rFonts w:ascii="Calibri" w:hAnsi="Calibri" w:cs="Calibri"/>
                <w:sz w:val="18"/>
                <w:szCs w:val="18"/>
              </w:rPr>
            </w:pPr>
            <w:r w:rsidRPr="003F7F6C">
              <w:rPr>
                <w:rFonts w:ascii="Calibri" w:hAnsi="Calibri" w:cs="Calibri"/>
                <w:sz w:val="18"/>
                <w:szCs w:val="18"/>
              </w:rPr>
              <w:t xml:space="preserve">Endangered pampas deer </w:t>
            </w:r>
            <w:r w:rsidR="0003123C" w:rsidRPr="003F7F6C">
              <w:rPr>
                <w:rFonts w:ascii="Calibri" w:hAnsi="Calibri" w:cs="Calibri"/>
                <w:sz w:val="18"/>
                <w:szCs w:val="18"/>
              </w:rPr>
              <w:t>(</w:t>
            </w:r>
            <w:r w:rsidRPr="003F7F6C">
              <w:rPr>
                <w:rFonts w:ascii="Calibri" w:hAnsi="Calibri" w:cs="Calibri"/>
                <w:i/>
                <w:iCs/>
                <w:sz w:val="18"/>
                <w:szCs w:val="18"/>
              </w:rPr>
              <w:t>Ozotoceros bezoarticus</w:t>
            </w:r>
            <w:r w:rsidR="000B023F" w:rsidRPr="003F7F6C">
              <w:rPr>
                <w:rFonts w:ascii="Calibri" w:hAnsi="Calibri" w:cs="Calibri"/>
                <w:i/>
                <w:iCs/>
                <w:sz w:val="18"/>
                <w:szCs w:val="18"/>
              </w:rPr>
              <w:t>)</w:t>
            </w:r>
            <w:r w:rsidRPr="003F7F6C">
              <w:rPr>
                <w:rFonts w:ascii="Calibri" w:hAnsi="Calibri" w:cs="Calibri"/>
                <w:sz w:val="18"/>
                <w:szCs w:val="18"/>
              </w:rPr>
              <w:t xml:space="preserve">; ruddy-headed goose </w:t>
            </w:r>
            <w:r w:rsidR="0003123C" w:rsidRPr="003F7F6C">
              <w:rPr>
                <w:rFonts w:ascii="Calibri" w:hAnsi="Calibri" w:cs="Calibri"/>
                <w:sz w:val="18"/>
                <w:szCs w:val="18"/>
              </w:rPr>
              <w:t>(</w:t>
            </w:r>
            <w:r w:rsidRPr="003F7F6C">
              <w:rPr>
                <w:rFonts w:ascii="Calibri" w:hAnsi="Calibri" w:cs="Calibri"/>
                <w:i/>
                <w:iCs/>
                <w:sz w:val="18"/>
                <w:szCs w:val="18"/>
              </w:rPr>
              <w:t>Chloephaga rubidiceps</w:t>
            </w:r>
            <w:r w:rsidR="0003123C" w:rsidRPr="003F7F6C">
              <w:rPr>
                <w:rFonts w:ascii="Calibri" w:hAnsi="Calibri" w:cs="Calibri"/>
                <w:i/>
                <w:iCs/>
                <w:sz w:val="18"/>
                <w:szCs w:val="18"/>
              </w:rPr>
              <w:t>)</w:t>
            </w:r>
            <w:r w:rsidRPr="003F7F6C">
              <w:rPr>
                <w:rFonts w:ascii="Calibri" w:hAnsi="Calibri" w:cs="Calibri"/>
                <w:sz w:val="18"/>
                <w:szCs w:val="18"/>
              </w:rPr>
              <w:t xml:space="preserve"> and the Swainson’s hawk </w:t>
            </w:r>
            <w:r w:rsidR="0003123C" w:rsidRPr="003F7F6C">
              <w:rPr>
                <w:rFonts w:ascii="Calibri" w:hAnsi="Calibri" w:cs="Calibri"/>
                <w:sz w:val="18"/>
                <w:szCs w:val="18"/>
              </w:rPr>
              <w:t>(</w:t>
            </w:r>
            <w:r w:rsidRPr="003F7F6C">
              <w:rPr>
                <w:rFonts w:ascii="Calibri" w:hAnsi="Calibri" w:cs="Calibri"/>
                <w:i/>
                <w:iCs/>
                <w:sz w:val="18"/>
                <w:szCs w:val="18"/>
              </w:rPr>
              <w:t>Buteo swainsoni</w:t>
            </w:r>
            <w:r w:rsidR="0003123C" w:rsidRPr="003F7F6C">
              <w:rPr>
                <w:rFonts w:ascii="Calibri" w:hAnsi="Calibri" w:cs="Calibri"/>
                <w:i/>
                <w:iCs/>
                <w:sz w:val="18"/>
                <w:szCs w:val="18"/>
              </w:rPr>
              <w:t xml:space="preserve">), </w:t>
            </w:r>
            <w:r w:rsidRPr="003F7F6C">
              <w:rPr>
                <w:rFonts w:ascii="Calibri" w:hAnsi="Calibri" w:cs="Calibri"/>
                <w:sz w:val="18"/>
                <w:szCs w:val="18"/>
              </w:rPr>
              <w:t xml:space="preserve">migratory birds, the endangered species Pampas Meadowlark </w:t>
            </w:r>
            <w:r w:rsidR="0003123C" w:rsidRPr="003F7F6C">
              <w:rPr>
                <w:rFonts w:ascii="Calibri" w:hAnsi="Calibri" w:cs="Calibri"/>
                <w:sz w:val="18"/>
                <w:szCs w:val="18"/>
              </w:rPr>
              <w:t>(</w:t>
            </w:r>
            <w:r w:rsidRPr="003F7F6C">
              <w:rPr>
                <w:rFonts w:ascii="Calibri" w:hAnsi="Calibri" w:cs="Calibri"/>
                <w:i/>
                <w:iCs/>
                <w:sz w:val="18"/>
                <w:szCs w:val="18"/>
              </w:rPr>
              <w:t>Sturnella defilippii</w:t>
            </w:r>
            <w:r w:rsidRPr="003F7F6C">
              <w:rPr>
                <w:rFonts w:ascii="Calibri" w:hAnsi="Calibri" w:cs="Calibri"/>
                <w:sz w:val="18"/>
                <w:szCs w:val="18"/>
              </w:rPr>
              <w:t xml:space="preserve">-). </w:t>
            </w:r>
          </w:p>
        </w:tc>
      </w:tr>
      <w:tr w:rsidR="005B2E89" w:rsidRPr="003F7F6C" w14:paraId="40AE36BB" w14:textId="77777777" w:rsidTr="002B3130">
        <w:tc>
          <w:tcPr>
            <w:tcW w:w="1163" w:type="dxa"/>
            <w:shd w:val="clear" w:color="auto" w:fill="auto"/>
          </w:tcPr>
          <w:p w14:paraId="7DD37499" w14:textId="77777777" w:rsidR="005B2E89" w:rsidRPr="003F7F6C" w:rsidRDefault="005B2E89" w:rsidP="002B3130">
            <w:pPr>
              <w:spacing w:before="100" w:beforeAutospacing="1" w:after="100" w:afterAutospacing="1"/>
              <w:rPr>
                <w:rFonts w:cs="Calibri"/>
                <w:bCs/>
                <w:sz w:val="18"/>
                <w:szCs w:val="18"/>
              </w:rPr>
            </w:pPr>
            <w:r w:rsidRPr="003F7F6C">
              <w:rPr>
                <w:rFonts w:cs="Calibri"/>
                <w:bCs/>
                <w:sz w:val="18"/>
                <w:szCs w:val="18"/>
              </w:rPr>
              <w:t>Low Monte</w:t>
            </w:r>
          </w:p>
        </w:tc>
        <w:tc>
          <w:tcPr>
            <w:tcW w:w="8193" w:type="dxa"/>
            <w:shd w:val="clear" w:color="auto" w:fill="auto"/>
          </w:tcPr>
          <w:p w14:paraId="342D15E8" w14:textId="77777777" w:rsidR="005B2E89" w:rsidRPr="003F7F6C" w:rsidRDefault="005B2E89" w:rsidP="002B3130">
            <w:pPr>
              <w:pStyle w:val="NormalWeb"/>
              <w:shd w:val="clear" w:color="auto" w:fill="FFFFFF"/>
              <w:rPr>
                <w:rFonts w:ascii="Calibri" w:hAnsi="Calibri" w:cs="Calibri"/>
                <w:sz w:val="18"/>
                <w:szCs w:val="18"/>
              </w:rPr>
            </w:pPr>
            <w:r w:rsidRPr="003F7F6C">
              <w:rPr>
                <w:rFonts w:ascii="Calibri" w:hAnsi="Calibri" w:cs="Calibri"/>
                <w:sz w:val="18"/>
                <w:szCs w:val="18"/>
              </w:rPr>
              <w:t>Fragile ecosystems with endemic flora and fauna with var</w:t>
            </w:r>
            <w:r w:rsidR="000B023F" w:rsidRPr="003F7F6C">
              <w:rPr>
                <w:rFonts w:ascii="Calibri" w:hAnsi="Calibri" w:cs="Calibri"/>
                <w:sz w:val="18"/>
                <w:szCs w:val="18"/>
              </w:rPr>
              <w:t>ying</w:t>
            </w:r>
            <w:r w:rsidRPr="003F7F6C">
              <w:rPr>
                <w:rFonts w:ascii="Calibri" w:hAnsi="Calibri" w:cs="Calibri"/>
                <w:sz w:val="18"/>
                <w:szCs w:val="18"/>
              </w:rPr>
              <w:t xml:space="preserve"> degrees of endangerment; pressures reduced on shrubs and steppes and their related fauna</w:t>
            </w:r>
            <w:r w:rsidR="000B023F" w:rsidRPr="003F7F6C">
              <w:rPr>
                <w:rFonts w:ascii="Calibri" w:hAnsi="Calibri" w:cs="Calibri"/>
                <w:sz w:val="18"/>
                <w:szCs w:val="18"/>
              </w:rPr>
              <w:t>:</w:t>
            </w:r>
            <w:r w:rsidRPr="003F7F6C">
              <w:rPr>
                <w:rFonts w:ascii="Calibri" w:hAnsi="Calibri" w:cs="Calibri"/>
                <w:sz w:val="18"/>
                <w:szCs w:val="18"/>
              </w:rPr>
              <w:t xml:space="preserve"> Andean fox </w:t>
            </w:r>
            <w:r w:rsidR="0003123C" w:rsidRPr="003F7F6C">
              <w:rPr>
                <w:rFonts w:ascii="Calibri" w:hAnsi="Calibri" w:cs="Calibri"/>
                <w:sz w:val="18"/>
                <w:szCs w:val="18"/>
              </w:rPr>
              <w:t>(</w:t>
            </w:r>
            <w:r w:rsidRPr="003F7F6C">
              <w:rPr>
                <w:rFonts w:ascii="Calibri" w:hAnsi="Calibri" w:cs="Calibri"/>
                <w:i/>
                <w:iCs/>
                <w:sz w:val="18"/>
                <w:szCs w:val="18"/>
              </w:rPr>
              <w:t>Lycalopex culpaeus</w:t>
            </w:r>
            <w:r w:rsidR="0003123C" w:rsidRPr="003F7F6C">
              <w:rPr>
                <w:rFonts w:ascii="Calibri" w:hAnsi="Calibri" w:cs="Calibri"/>
                <w:i/>
                <w:iCs/>
                <w:sz w:val="18"/>
                <w:szCs w:val="18"/>
              </w:rPr>
              <w:t>)</w:t>
            </w:r>
            <w:r w:rsidRPr="003F7F6C">
              <w:rPr>
                <w:rFonts w:ascii="Calibri" w:hAnsi="Calibri" w:cs="Calibri"/>
                <w:sz w:val="18"/>
                <w:szCs w:val="18"/>
              </w:rPr>
              <w:t xml:space="preserve">, Molina's Hog-nosed Skunk </w:t>
            </w:r>
            <w:r w:rsidR="0003123C" w:rsidRPr="003F7F6C">
              <w:rPr>
                <w:rFonts w:ascii="Calibri" w:hAnsi="Calibri" w:cs="Calibri"/>
                <w:sz w:val="18"/>
                <w:szCs w:val="18"/>
              </w:rPr>
              <w:t>(</w:t>
            </w:r>
            <w:r w:rsidRPr="003F7F6C">
              <w:rPr>
                <w:rFonts w:ascii="Calibri" w:hAnsi="Calibri" w:cs="Calibri"/>
                <w:i/>
                <w:iCs/>
                <w:sz w:val="18"/>
                <w:szCs w:val="18"/>
              </w:rPr>
              <w:t>Conepatus chinga</w:t>
            </w:r>
            <w:r w:rsidR="000B023F" w:rsidRPr="003F7F6C">
              <w:rPr>
                <w:rFonts w:ascii="Calibri" w:hAnsi="Calibri" w:cs="Calibri"/>
                <w:i/>
                <w:iCs/>
                <w:sz w:val="18"/>
                <w:szCs w:val="18"/>
              </w:rPr>
              <w:t>)</w:t>
            </w:r>
            <w:r w:rsidRPr="003F7F6C">
              <w:rPr>
                <w:rFonts w:ascii="Calibri" w:hAnsi="Calibri" w:cs="Calibri"/>
                <w:sz w:val="18"/>
                <w:szCs w:val="18"/>
              </w:rPr>
              <w:t xml:space="preserve">, common yellow-toothed cavy </w:t>
            </w:r>
            <w:r w:rsidR="0003123C" w:rsidRPr="003F7F6C">
              <w:rPr>
                <w:rFonts w:ascii="Calibri" w:hAnsi="Calibri" w:cs="Calibri"/>
                <w:sz w:val="18"/>
                <w:szCs w:val="18"/>
              </w:rPr>
              <w:t>(</w:t>
            </w:r>
            <w:r w:rsidRPr="003F7F6C">
              <w:rPr>
                <w:rFonts w:ascii="Calibri" w:hAnsi="Calibri" w:cs="Calibri"/>
                <w:i/>
                <w:iCs/>
                <w:sz w:val="18"/>
                <w:szCs w:val="18"/>
              </w:rPr>
              <w:t>Galea musteloides</w:t>
            </w:r>
            <w:r w:rsidR="0003123C" w:rsidRPr="003F7F6C">
              <w:rPr>
                <w:rFonts w:ascii="Calibri" w:hAnsi="Calibri" w:cs="Calibri"/>
                <w:i/>
                <w:iCs/>
                <w:sz w:val="18"/>
                <w:szCs w:val="18"/>
              </w:rPr>
              <w:t>)</w:t>
            </w:r>
            <w:r w:rsidRPr="003F7F6C">
              <w:rPr>
                <w:rFonts w:ascii="Calibri" w:hAnsi="Calibri" w:cs="Calibri"/>
                <w:i/>
                <w:iCs/>
                <w:sz w:val="18"/>
                <w:szCs w:val="18"/>
              </w:rPr>
              <w:t xml:space="preserve"> </w:t>
            </w:r>
          </w:p>
        </w:tc>
      </w:tr>
      <w:tr w:rsidR="005B2E89" w:rsidRPr="003F7F6C" w14:paraId="440E9892" w14:textId="77777777" w:rsidTr="002B3130">
        <w:tc>
          <w:tcPr>
            <w:tcW w:w="1163" w:type="dxa"/>
            <w:shd w:val="clear" w:color="auto" w:fill="auto"/>
          </w:tcPr>
          <w:p w14:paraId="7676686A" w14:textId="77777777" w:rsidR="005B2E89" w:rsidRPr="003F7F6C" w:rsidRDefault="005B2E89" w:rsidP="002B3130">
            <w:pPr>
              <w:spacing w:before="100" w:beforeAutospacing="1" w:after="100" w:afterAutospacing="1"/>
              <w:rPr>
                <w:rFonts w:cs="Calibri"/>
                <w:bCs/>
                <w:sz w:val="18"/>
                <w:szCs w:val="18"/>
              </w:rPr>
            </w:pPr>
            <w:r w:rsidRPr="003F7F6C">
              <w:rPr>
                <w:rFonts w:cs="Calibri"/>
                <w:bCs/>
                <w:sz w:val="18"/>
                <w:szCs w:val="18"/>
              </w:rPr>
              <w:t>High Andes</w:t>
            </w:r>
          </w:p>
        </w:tc>
        <w:tc>
          <w:tcPr>
            <w:tcW w:w="8193" w:type="dxa"/>
            <w:shd w:val="clear" w:color="auto" w:fill="auto"/>
          </w:tcPr>
          <w:p w14:paraId="3790AB76" w14:textId="77777777" w:rsidR="005B2E89" w:rsidRPr="003F7F6C" w:rsidRDefault="005B2E89" w:rsidP="002B3130">
            <w:pPr>
              <w:pStyle w:val="NormalWeb"/>
              <w:shd w:val="clear" w:color="auto" w:fill="FFFFFF"/>
              <w:rPr>
                <w:rFonts w:ascii="Calibri" w:hAnsi="Calibri" w:cs="Calibri"/>
                <w:sz w:val="18"/>
                <w:szCs w:val="18"/>
              </w:rPr>
            </w:pPr>
            <w:r w:rsidRPr="003F7F6C">
              <w:rPr>
                <w:rFonts w:ascii="Calibri" w:hAnsi="Calibri" w:cs="Calibri"/>
                <w:sz w:val="18"/>
                <w:szCs w:val="18"/>
              </w:rPr>
              <w:t xml:space="preserve">Andean condor </w:t>
            </w:r>
            <w:r w:rsidR="0003123C" w:rsidRPr="003F7F6C">
              <w:rPr>
                <w:rFonts w:ascii="Calibri" w:hAnsi="Calibri" w:cs="Calibri"/>
                <w:sz w:val="18"/>
                <w:szCs w:val="18"/>
              </w:rPr>
              <w:t>(</w:t>
            </w:r>
            <w:r w:rsidRPr="003F7F6C">
              <w:rPr>
                <w:rFonts w:ascii="Calibri" w:hAnsi="Calibri" w:cs="Calibri"/>
                <w:i/>
                <w:iCs/>
                <w:sz w:val="18"/>
                <w:szCs w:val="18"/>
              </w:rPr>
              <w:t>Vultur gryphus</w:t>
            </w:r>
            <w:r w:rsidR="0003123C" w:rsidRPr="003F7F6C">
              <w:rPr>
                <w:rFonts w:ascii="Calibri" w:hAnsi="Calibri" w:cs="Calibri"/>
                <w:i/>
                <w:iCs/>
                <w:sz w:val="18"/>
                <w:szCs w:val="18"/>
              </w:rPr>
              <w:t>)</w:t>
            </w:r>
            <w:r w:rsidRPr="003F7F6C">
              <w:rPr>
                <w:rFonts w:ascii="Calibri" w:hAnsi="Calibri" w:cs="Calibri"/>
                <w:sz w:val="18"/>
                <w:szCs w:val="18"/>
              </w:rPr>
              <w:t>, pressure will be reduced on species such as the guanacos -</w:t>
            </w:r>
            <w:r w:rsidR="0003123C" w:rsidRPr="003F7F6C">
              <w:rPr>
                <w:rFonts w:ascii="Calibri" w:hAnsi="Calibri" w:cs="Calibri"/>
                <w:sz w:val="18"/>
                <w:szCs w:val="18"/>
              </w:rPr>
              <w:t>(</w:t>
            </w:r>
            <w:r w:rsidRPr="003F7F6C">
              <w:rPr>
                <w:rFonts w:ascii="Calibri" w:hAnsi="Calibri" w:cs="Calibri"/>
                <w:i/>
                <w:iCs/>
                <w:sz w:val="18"/>
                <w:szCs w:val="18"/>
              </w:rPr>
              <w:t>Lama guanicoe</w:t>
            </w:r>
            <w:r w:rsidR="0003123C" w:rsidRPr="003F7F6C">
              <w:rPr>
                <w:rFonts w:ascii="Calibri" w:hAnsi="Calibri" w:cs="Calibri"/>
                <w:i/>
                <w:iCs/>
                <w:sz w:val="18"/>
                <w:szCs w:val="18"/>
              </w:rPr>
              <w:t>)</w:t>
            </w:r>
            <w:r w:rsidRPr="003F7F6C">
              <w:rPr>
                <w:rFonts w:ascii="Calibri" w:hAnsi="Calibri" w:cs="Calibri"/>
                <w:i/>
                <w:iCs/>
                <w:sz w:val="18"/>
                <w:szCs w:val="18"/>
              </w:rPr>
              <w:t xml:space="preserve"> </w:t>
            </w:r>
          </w:p>
        </w:tc>
      </w:tr>
      <w:tr w:rsidR="005B2E89" w:rsidRPr="003F7F6C" w14:paraId="3973A141" w14:textId="77777777" w:rsidTr="002B3130">
        <w:tc>
          <w:tcPr>
            <w:tcW w:w="1163" w:type="dxa"/>
            <w:shd w:val="clear" w:color="auto" w:fill="auto"/>
          </w:tcPr>
          <w:p w14:paraId="7EFFF68C" w14:textId="77777777" w:rsidR="005B2E89" w:rsidRPr="003F7F6C" w:rsidRDefault="005B2E89" w:rsidP="002B3130">
            <w:pPr>
              <w:spacing w:before="100" w:beforeAutospacing="1" w:after="100" w:afterAutospacing="1"/>
              <w:rPr>
                <w:rFonts w:cs="Calibri"/>
                <w:bCs/>
                <w:sz w:val="18"/>
                <w:szCs w:val="18"/>
              </w:rPr>
            </w:pPr>
            <w:r w:rsidRPr="003F7F6C">
              <w:rPr>
                <w:rFonts w:cs="Calibri"/>
                <w:bCs/>
                <w:sz w:val="18"/>
                <w:szCs w:val="18"/>
              </w:rPr>
              <w:t>High Monte</w:t>
            </w:r>
          </w:p>
        </w:tc>
        <w:tc>
          <w:tcPr>
            <w:tcW w:w="8193" w:type="dxa"/>
            <w:shd w:val="clear" w:color="auto" w:fill="auto"/>
          </w:tcPr>
          <w:p w14:paraId="3CA24D13" w14:textId="77777777" w:rsidR="005B2E89" w:rsidRPr="003F7F6C" w:rsidRDefault="005B2E89" w:rsidP="002B3130">
            <w:pPr>
              <w:pStyle w:val="NormalWeb"/>
              <w:shd w:val="clear" w:color="auto" w:fill="FFFFFF"/>
              <w:rPr>
                <w:rFonts w:ascii="Calibri" w:hAnsi="Calibri" w:cs="Calibri"/>
                <w:sz w:val="18"/>
                <w:szCs w:val="18"/>
              </w:rPr>
            </w:pPr>
            <w:r w:rsidRPr="003F7F6C">
              <w:rPr>
                <w:rFonts w:ascii="Calibri" w:hAnsi="Calibri" w:cs="Calibri"/>
                <w:sz w:val="18"/>
                <w:szCs w:val="18"/>
              </w:rPr>
              <w:t>Fragile ecosystems, with land degradation and desertification risks: benefits to wild fauna</w:t>
            </w:r>
            <w:r w:rsidR="000B023F" w:rsidRPr="003F7F6C">
              <w:rPr>
                <w:rFonts w:ascii="Calibri" w:hAnsi="Calibri" w:cs="Calibri"/>
                <w:sz w:val="18"/>
                <w:szCs w:val="18"/>
              </w:rPr>
              <w:t>:</w:t>
            </w:r>
            <w:r w:rsidRPr="003F7F6C">
              <w:rPr>
                <w:rFonts w:ascii="Calibri" w:hAnsi="Calibri" w:cs="Calibri"/>
                <w:sz w:val="18"/>
                <w:szCs w:val="18"/>
              </w:rPr>
              <w:t xml:space="preserve"> golden lancehead </w:t>
            </w:r>
            <w:r w:rsidR="0003123C" w:rsidRPr="003F7F6C">
              <w:rPr>
                <w:rFonts w:ascii="Calibri" w:hAnsi="Calibri" w:cs="Calibri"/>
                <w:sz w:val="18"/>
                <w:szCs w:val="18"/>
              </w:rPr>
              <w:t>(</w:t>
            </w:r>
            <w:r w:rsidRPr="003F7F6C">
              <w:rPr>
                <w:rFonts w:ascii="Calibri" w:hAnsi="Calibri" w:cs="Calibri"/>
                <w:i/>
                <w:iCs/>
                <w:sz w:val="18"/>
                <w:szCs w:val="18"/>
              </w:rPr>
              <w:t>Bothrops ammodytoides</w:t>
            </w:r>
            <w:r w:rsidR="000B023F" w:rsidRPr="003F7F6C">
              <w:rPr>
                <w:rFonts w:ascii="Calibri" w:hAnsi="Calibri" w:cs="Calibri"/>
                <w:i/>
                <w:iCs/>
                <w:sz w:val="18"/>
                <w:szCs w:val="18"/>
              </w:rPr>
              <w:t>)</w:t>
            </w:r>
            <w:r w:rsidRPr="003F7F6C">
              <w:rPr>
                <w:rFonts w:ascii="Calibri" w:hAnsi="Calibri" w:cs="Calibri"/>
                <w:sz w:val="18"/>
                <w:szCs w:val="18"/>
              </w:rPr>
              <w:t xml:space="preserve">, Amazon false coral snake </w:t>
            </w:r>
            <w:r w:rsidR="0003123C" w:rsidRPr="003F7F6C">
              <w:rPr>
                <w:rFonts w:ascii="Calibri" w:hAnsi="Calibri" w:cs="Calibri"/>
                <w:sz w:val="18"/>
                <w:szCs w:val="18"/>
              </w:rPr>
              <w:t>(</w:t>
            </w:r>
            <w:r w:rsidRPr="003F7F6C">
              <w:rPr>
                <w:rFonts w:ascii="Calibri" w:hAnsi="Calibri" w:cs="Calibri"/>
                <w:i/>
                <w:iCs/>
                <w:sz w:val="18"/>
                <w:szCs w:val="18"/>
              </w:rPr>
              <w:t>Oxyrhopus rhombifer</w:t>
            </w:r>
            <w:r w:rsidR="0003123C" w:rsidRPr="003F7F6C">
              <w:rPr>
                <w:rFonts w:ascii="Calibri" w:hAnsi="Calibri" w:cs="Calibri"/>
                <w:i/>
                <w:iCs/>
                <w:sz w:val="18"/>
                <w:szCs w:val="18"/>
              </w:rPr>
              <w:t>)</w:t>
            </w:r>
            <w:r w:rsidRPr="003F7F6C">
              <w:rPr>
                <w:rFonts w:ascii="Calibri" w:hAnsi="Calibri" w:cs="Calibri"/>
                <w:sz w:val="18"/>
                <w:szCs w:val="18"/>
              </w:rPr>
              <w:t xml:space="preserve">, burrowing parrot </w:t>
            </w:r>
            <w:r w:rsidR="0003123C" w:rsidRPr="003F7F6C">
              <w:rPr>
                <w:rFonts w:ascii="Calibri" w:hAnsi="Calibri" w:cs="Calibri"/>
                <w:sz w:val="18"/>
                <w:szCs w:val="18"/>
              </w:rPr>
              <w:t>(</w:t>
            </w:r>
            <w:r w:rsidRPr="003F7F6C">
              <w:rPr>
                <w:rFonts w:ascii="Calibri" w:hAnsi="Calibri" w:cs="Calibri"/>
                <w:i/>
                <w:iCs/>
                <w:sz w:val="18"/>
                <w:szCs w:val="18"/>
              </w:rPr>
              <w:t>Cyanoliseus patagonus</w:t>
            </w:r>
            <w:r w:rsidR="0003123C" w:rsidRPr="003F7F6C">
              <w:rPr>
                <w:rFonts w:ascii="Calibri" w:hAnsi="Calibri" w:cs="Calibri"/>
                <w:i/>
                <w:iCs/>
                <w:sz w:val="18"/>
                <w:szCs w:val="18"/>
              </w:rPr>
              <w:t>)</w:t>
            </w:r>
            <w:r w:rsidRPr="003F7F6C">
              <w:rPr>
                <w:rFonts w:ascii="Calibri" w:hAnsi="Calibri" w:cs="Calibri"/>
                <w:sz w:val="18"/>
                <w:szCs w:val="18"/>
              </w:rPr>
              <w:t xml:space="preserve">, puma </w:t>
            </w:r>
            <w:r w:rsidR="0003123C" w:rsidRPr="003F7F6C">
              <w:rPr>
                <w:rFonts w:ascii="Calibri" w:hAnsi="Calibri" w:cs="Calibri"/>
                <w:sz w:val="18"/>
                <w:szCs w:val="18"/>
              </w:rPr>
              <w:t>(</w:t>
            </w:r>
            <w:r w:rsidRPr="003F7F6C">
              <w:rPr>
                <w:rFonts w:ascii="Calibri" w:hAnsi="Calibri" w:cs="Calibri"/>
                <w:i/>
                <w:iCs/>
                <w:sz w:val="18"/>
                <w:szCs w:val="18"/>
              </w:rPr>
              <w:t>Puma concolor</w:t>
            </w:r>
            <w:r w:rsidR="000B023F" w:rsidRPr="003F7F6C">
              <w:rPr>
                <w:rFonts w:ascii="Calibri" w:hAnsi="Calibri" w:cs="Calibri"/>
                <w:i/>
                <w:iCs/>
                <w:sz w:val="18"/>
                <w:szCs w:val="18"/>
              </w:rPr>
              <w:t>)</w:t>
            </w:r>
            <w:r w:rsidRPr="003F7F6C">
              <w:rPr>
                <w:rFonts w:ascii="Calibri" w:hAnsi="Calibri" w:cs="Calibri"/>
                <w:sz w:val="18"/>
                <w:szCs w:val="18"/>
              </w:rPr>
              <w:t xml:space="preserve">, and also on endemic fauna and flora </w:t>
            </w:r>
          </w:p>
        </w:tc>
      </w:tr>
      <w:tr w:rsidR="005B2E89" w:rsidRPr="003F7F6C" w14:paraId="7B7A29EC" w14:textId="77777777" w:rsidTr="002B3130">
        <w:tc>
          <w:tcPr>
            <w:tcW w:w="1163" w:type="dxa"/>
            <w:shd w:val="clear" w:color="auto" w:fill="auto"/>
          </w:tcPr>
          <w:p w14:paraId="23FDFBCE" w14:textId="77777777" w:rsidR="005B2E89" w:rsidRPr="003F7F6C" w:rsidRDefault="005B2E89" w:rsidP="002B3130">
            <w:pPr>
              <w:spacing w:before="100" w:beforeAutospacing="1" w:after="100" w:afterAutospacing="1"/>
              <w:rPr>
                <w:rFonts w:cs="Calibri"/>
                <w:bCs/>
                <w:sz w:val="18"/>
                <w:szCs w:val="18"/>
              </w:rPr>
            </w:pPr>
            <w:r w:rsidRPr="003F7F6C">
              <w:rPr>
                <w:rFonts w:cs="Calibri"/>
                <w:bCs/>
                <w:sz w:val="18"/>
                <w:szCs w:val="18"/>
              </w:rPr>
              <w:t>Puna, High Andes</w:t>
            </w:r>
          </w:p>
        </w:tc>
        <w:tc>
          <w:tcPr>
            <w:tcW w:w="8193" w:type="dxa"/>
            <w:shd w:val="clear" w:color="auto" w:fill="auto"/>
          </w:tcPr>
          <w:p w14:paraId="61B1C25C" w14:textId="77777777" w:rsidR="005B2E89" w:rsidRPr="003F7F6C" w:rsidRDefault="005B2E89" w:rsidP="002B3130">
            <w:pPr>
              <w:pStyle w:val="NormalWeb"/>
              <w:shd w:val="clear" w:color="auto" w:fill="FFFFFF"/>
              <w:rPr>
                <w:rFonts w:ascii="Calibri" w:hAnsi="Calibri" w:cs="Calibri"/>
                <w:sz w:val="18"/>
                <w:szCs w:val="18"/>
              </w:rPr>
            </w:pPr>
            <w:r w:rsidRPr="003F7F6C">
              <w:rPr>
                <w:rFonts w:ascii="Calibri" w:hAnsi="Calibri" w:cs="Calibri"/>
                <w:sz w:val="18"/>
                <w:szCs w:val="18"/>
              </w:rPr>
              <w:t xml:space="preserve">Andean cat </w:t>
            </w:r>
            <w:r w:rsidR="0003123C" w:rsidRPr="003F7F6C">
              <w:rPr>
                <w:rFonts w:ascii="Calibri" w:hAnsi="Calibri" w:cs="Calibri"/>
                <w:sz w:val="18"/>
                <w:szCs w:val="18"/>
              </w:rPr>
              <w:t>(</w:t>
            </w:r>
            <w:r w:rsidRPr="003F7F6C">
              <w:rPr>
                <w:rFonts w:ascii="Calibri" w:hAnsi="Calibri" w:cs="Calibri"/>
                <w:i/>
                <w:iCs/>
                <w:sz w:val="18"/>
                <w:szCs w:val="18"/>
              </w:rPr>
              <w:t>Leopardus jacobita</w:t>
            </w:r>
            <w:r w:rsidR="0003123C" w:rsidRPr="003F7F6C">
              <w:rPr>
                <w:rFonts w:ascii="Calibri" w:hAnsi="Calibri" w:cs="Calibri"/>
                <w:i/>
                <w:iCs/>
                <w:sz w:val="18"/>
                <w:szCs w:val="18"/>
              </w:rPr>
              <w:t>)</w:t>
            </w:r>
            <w:r w:rsidRPr="003F7F6C">
              <w:rPr>
                <w:rFonts w:ascii="Calibri" w:hAnsi="Calibri" w:cs="Calibri"/>
                <w:sz w:val="18"/>
                <w:szCs w:val="18"/>
              </w:rPr>
              <w:t xml:space="preserve">, Lesser Rhea </w:t>
            </w:r>
            <w:r w:rsidR="0003123C" w:rsidRPr="003F7F6C">
              <w:rPr>
                <w:rFonts w:ascii="Calibri" w:hAnsi="Calibri" w:cs="Calibri"/>
                <w:sz w:val="18"/>
                <w:szCs w:val="18"/>
              </w:rPr>
              <w:t>(</w:t>
            </w:r>
            <w:r w:rsidRPr="003F7F6C">
              <w:rPr>
                <w:rFonts w:ascii="Calibri" w:hAnsi="Calibri" w:cs="Calibri"/>
                <w:i/>
                <w:iCs/>
                <w:sz w:val="18"/>
                <w:szCs w:val="18"/>
              </w:rPr>
              <w:t>Pterocnemia pennata</w:t>
            </w:r>
            <w:r w:rsidR="0003123C" w:rsidRPr="003F7F6C">
              <w:rPr>
                <w:rFonts w:ascii="Calibri" w:hAnsi="Calibri" w:cs="Calibri"/>
                <w:i/>
                <w:iCs/>
                <w:sz w:val="18"/>
                <w:szCs w:val="18"/>
              </w:rPr>
              <w:t>)</w:t>
            </w:r>
            <w:r w:rsidRPr="003F7F6C">
              <w:rPr>
                <w:rFonts w:ascii="Calibri" w:hAnsi="Calibri" w:cs="Calibri"/>
                <w:sz w:val="18"/>
                <w:szCs w:val="18"/>
              </w:rPr>
              <w:t xml:space="preserve">, puma </w:t>
            </w:r>
            <w:r w:rsidR="0003123C" w:rsidRPr="003F7F6C">
              <w:rPr>
                <w:rFonts w:ascii="Calibri" w:hAnsi="Calibri" w:cs="Calibri"/>
                <w:sz w:val="18"/>
                <w:szCs w:val="18"/>
              </w:rPr>
              <w:t>(</w:t>
            </w:r>
            <w:r w:rsidRPr="003F7F6C">
              <w:rPr>
                <w:rFonts w:ascii="Calibri" w:hAnsi="Calibri" w:cs="Calibri"/>
                <w:i/>
                <w:iCs/>
                <w:sz w:val="18"/>
                <w:szCs w:val="18"/>
              </w:rPr>
              <w:t>Puma concolor</w:t>
            </w:r>
            <w:r w:rsidR="0003123C" w:rsidRPr="003F7F6C">
              <w:rPr>
                <w:rFonts w:ascii="Calibri" w:hAnsi="Calibri" w:cs="Calibri"/>
                <w:i/>
                <w:iCs/>
                <w:sz w:val="18"/>
                <w:szCs w:val="18"/>
              </w:rPr>
              <w:t>),</w:t>
            </w:r>
            <w:r w:rsidRPr="003F7F6C">
              <w:rPr>
                <w:rFonts w:ascii="Calibri" w:hAnsi="Calibri" w:cs="Calibri"/>
                <w:sz w:val="18"/>
                <w:szCs w:val="18"/>
              </w:rPr>
              <w:t xml:space="preserve"> Andean condor </w:t>
            </w:r>
            <w:r w:rsidR="000B023F" w:rsidRPr="003F7F6C">
              <w:rPr>
                <w:rFonts w:ascii="Calibri" w:hAnsi="Calibri" w:cs="Calibri"/>
                <w:sz w:val="18"/>
                <w:szCs w:val="18"/>
              </w:rPr>
              <w:t>(</w:t>
            </w:r>
            <w:r w:rsidRPr="003F7F6C">
              <w:rPr>
                <w:rFonts w:ascii="Calibri" w:hAnsi="Calibri" w:cs="Calibri"/>
                <w:i/>
                <w:iCs/>
                <w:sz w:val="18"/>
                <w:szCs w:val="18"/>
              </w:rPr>
              <w:t>Vultur gryphus</w:t>
            </w:r>
            <w:r w:rsidRPr="003F7F6C">
              <w:rPr>
                <w:rFonts w:ascii="Calibri" w:hAnsi="Calibri" w:cs="Calibri"/>
                <w:sz w:val="18"/>
                <w:szCs w:val="18"/>
              </w:rPr>
              <w:t>), wetland bird congregations such as the Chilean flamenco -</w:t>
            </w:r>
            <w:r w:rsidR="000B023F" w:rsidRPr="003F7F6C">
              <w:rPr>
                <w:rFonts w:ascii="Calibri" w:hAnsi="Calibri" w:cs="Calibri"/>
                <w:sz w:val="18"/>
                <w:szCs w:val="18"/>
              </w:rPr>
              <w:t>(</w:t>
            </w:r>
            <w:r w:rsidRPr="003F7F6C">
              <w:rPr>
                <w:rFonts w:ascii="Calibri" w:hAnsi="Calibri" w:cs="Calibri"/>
                <w:i/>
                <w:iCs/>
                <w:sz w:val="18"/>
                <w:szCs w:val="18"/>
              </w:rPr>
              <w:t>Phoenicopterus chilensis</w:t>
            </w:r>
            <w:r w:rsidR="0003123C" w:rsidRPr="003F7F6C">
              <w:rPr>
                <w:rFonts w:ascii="Calibri" w:hAnsi="Calibri" w:cs="Calibri"/>
                <w:i/>
                <w:iCs/>
                <w:sz w:val="18"/>
                <w:szCs w:val="18"/>
              </w:rPr>
              <w:t>)</w:t>
            </w:r>
            <w:r w:rsidRPr="003F7F6C">
              <w:rPr>
                <w:rFonts w:ascii="Calibri" w:hAnsi="Calibri" w:cs="Calibri"/>
                <w:sz w:val="18"/>
                <w:szCs w:val="18"/>
              </w:rPr>
              <w:t xml:space="preserve">, Andean flamingo </w:t>
            </w:r>
            <w:r w:rsidR="0003123C" w:rsidRPr="003F7F6C">
              <w:rPr>
                <w:rFonts w:ascii="Calibri" w:hAnsi="Calibri" w:cs="Calibri"/>
                <w:sz w:val="18"/>
                <w:szCs w:val="18"/>
              </w:rPr>
              <w:t>(</w:t>
            </w:r>
            <w:r w:rsidRPr="003F7F6C">
              <w:rPr>
                <w:rFonts w:ascii="Calibri" w:hAnsi="Calibri" w:cs="Calibri"/>
                <w:i/>
                <w:iCs/>
                <w:sz w:val="18"/>
                <w:szCs w:val="18"/>
              </w:rPr>
              <w:t>Phoenicoparrus andinus</w:t>
            </w:r>
            <w:r w:rsidR="0003123C" w:rsidRPr="003F7F6C">
              <w:rPr>
                <w:rFonts w:ascii="Calibri" w:hAnsi="Calibri" w:cs="Calibri"/>
                <w:i/>
                <w:iCs/>
                <w:sz w:val="18"/>
                <w:szCs w:val="18"/>
              </w:rPr>
              <w:t>)</w:t>
            </w:r>
            <w:r w:rsidRPr="003F7F6C">
              <w:rPr>
                <w:rFonts w:ascii="Calibri" w:hAnsi="Calibri" w:cs="Calibri"/>
                <w:sz w:val="18"/>
                <w:szCs w:val="18"/>
              </w:rPr>
              <w:t xml:space="preserve">, Puna flamingo </w:t>
            </w:r>
            <w:r w:rsidR="0003123C" w:rsidRPr="003F7F6C">
              <w:rPr>
                <w:rFonts w:ascii="Calibri" w:hAnsi="Calibri" w:cs="Calibri"/>
                <w:sz w:val="18"/>
                <w:szCs w:val="18"/>
              </w:rPr>
              <w:t>(</w:t>
            </w:r>
            <w:r w:rsidRPr="003F7F6C">
              <w:rPr>
                <w:rFonts w:ascii="Calibri" w:hAnsi="Calibri" w:cs="Calibri"/>
                <w:i/>
                <w:iCs/>
                <w:sz w:val="18"/>
                <w:szCs w:val="18"/>
              </w:rPr>
              <w:t>Phoenicoparrus jamesi</w:t>
            </w:r>
            <w:r w:rsidR="0003123C" w:rsidRPr="003F7F6C">
              <w:rPr>
                <w:rFonts w:ascii="Calibri" w:hAnsi="Calibri" w:cs="Calibri"/>
                <w:i/>
                <w:iCs/>
                <w:sz w:val="18"/>
                <w:szCs w:val="18"/>
              </w:rPr>
              <w:t>)</w:t>
            </w:r>
            <w:r w:rsidRPr="003F7F6C">
              <w:rPr>
                <w:rFonts w:ascii="Calibri" w:hAnsi="Calibri" w:cs="Calibri"/>
                <w:sz w:val="18"/>
                <w:szCs w:val="18"/>
              </w:rPr>
              <w:t xml:space="preserve"> and the horned coot </w:t>
            </w:r>
            <w:r w:rsidR="0003123C" w:rsidRPr="003F7F6C">
              <w:rPr>
                <w:rFonts w:ascii="Calibri" w:hAnsi="Calibri" w:cs="Calibri"/>
                <w:sz w:val="18"/>
                <w:szCs w:val="18"/>
              </w:rPr>
              <w:t>(</w:t>
            </w:r>
            <w:r w:rsidRPr="003F7F6C">
              <w:rPr>
                <w:rFonts w:ascii="Calibri" w:hAnsi="Calibri" w:cs="Calibri"/>
                <w:i/>
                <w:iCs/>
                <w:sz w:val="18"/>
                <w:szCs w:val="18"/>
              </w:rPr>
              <w:t>Fulica cornuta</w:t>
            </w:r>
            <w:r w:rsidR="0003123C" w:rsidRPr="003F7F6C">
              <w:rPr>
                <w:rFonts w:ascii="Calibri" w:hAnsi="Calibri" w:cs="Calibri"/>
                <w:i/>
                <w:iCs/>
                <w:sz w:val="18"/>
                <w:szCs w:val="18"/>
              </w:rPr>
              <w:t>)</w:t>
            </w:r>
            <w:r w:rsidRPr="003F7F6C">
              <w:rPr>
                <w:rFonts w:ascii="Calibri" w:hAnsi="Calibri" w:cs="Calibri"/>
                <w:sz w:val="18"/>
                <w:szCs w:val="18"/>
              </w:rPr>
              <w:t xml:space="preserve">; Andean fox </w:t>
            </w:r>
            <w:r w:rsidR="0003123C" w:rsidRPr="003F7F6C">
              <w:rPr>
                <w:rFonts w:ascii="Calibri" w:hAnsi="Calibri" w:cs="Calibri"/>
                <w:sz w:val="18"/>
                <w:szCs w:val="18"/>
              </w:rPr>
              <w:t>(</w:t>
            </w:r>
            <w:r w:rsidRPr="003F7F6C">
              <w:rPr>
                <w:rFonts w:ascii="Calibri" w:hAnsi="Calibri" w:cs="Calibri"/>
                <w:i/>
                <w:iCs/>
                <w:sz w:val="18"/>
                <w:szCs w:val="18"/>
              </w:rPr>
              <w:t>Lycalopex culpaeus</w:t>
            </w:r>
            <w:r w:rsidR="0003123C" w:rsidRPr="003F7F6C">
              <w:rPr>
                <w:rFonts w:ascii="Calibri" w:hAnsi="Calibri" w:cs="Calibri"/>
                <w:i/>
                <w:iCs/>
                <w:sz w:val="18"/>
                <w:szCs w:val="18"/>
              </w:rPr>
              <w:t>)</w:t>
            </w:r>
            <w:r w:rsidRPr="003F7F6C">
              <w:rPr>
                <w:rFonts w:ascii="Calibri" w:hAnsi="Calibri" w:cs="Calibri"/>
                <w:sz w:val="18"/>
                <w:szCs w:val="18"/>
              </w:rPr>
              <w:t xml:space="preserve">, puma </w:t>
            </w:r>
            <w:r w:rsidR="0003123C" w:rsidRPr="003F7F6C">
              <w:rPr>
                <w:rFonts w:ascii="Calibri" w:hAnsi="Calibri" w:cs="Calibri"/>
                <w:sz w:val="18"/>
                <w:szCs w:val="18"/>
              </w:rPr>
              <w:t>(</w:t>
            </w:r>
            <w:r w:rsidRPr="003F7F6C">
              <w:rPr>
                <w:rFonts w:ascii="Calibri" w:hAnsi="Calibri" w:cs="Calibri"/>
                <w:i/>
                <w:iCs/>
                <w:sz w:val="18"/>
                <w:szCs w:val="18"/>
              </w:rPr>
              <w:t>Puma concolor</w:t>
            </w:r>
            <w:r w:rsidR="0003123C" w:rsidRPr="003F7F6C">
              <w:rPr>
                <w:rFonts w:ascii="Calibri" w:hAnsi="Calibri" w:cs="Calibri"/>
                <w:i/>
                <w:iCs/>
                <w:sz w:val="18"/>
                <w:szCs w:val="18"/>
              </w:rPr>
              <w:t>)</w:t>
            </w:r>
            <w:r w:rsidRPr="003F7F6C">
              <w:rPr>
                <w:rFonts w:ascii="Calibri" w:hAnsi="Calibri" w:cs="Calibri"/>
                <w:sz w:val="18"/>
                <w:szCs w:val="18"/>
              </w:rPr>
              <w:t xml:space="preserve">, amphibians and invertebrates. </w:t>
            </w:r>
          </w:p>
        </w:tc>
      </w:tr>
      <w:tr w:rsidR="005B2E89" w:rsidRPr="003F7F6C" w14:paraId="1608F80D" w14:textId="77777777" w:rsidTr="002B3130">
        <w:tc>
          <w:tcPr>
            <w:tcW w:w="1163" w:type="dxa"/>
            <w:shd w:val="clear" w:color="auto" w:fill="auto"/>
          </w:tcPr>
          <w:p w14:paraId="18A72F29" w14:textId="77777777" w:rsidR="005B2E89" w:rsidRPr="003F7F6C" w:rsidRDefault="005B2E89" w:rsidP="002B3130">
            <w:pPr>
              <w:spacing w:before="100" w:beforeAutospacing="1" w:after="100" w:afterAutospacing="1"/>
              <w:rPr>
                <w:rFonts w:cs="Calibri"/>
                <w:bCs/>
                <w:sz w:val="18"/>
                <w:szCs w:val="18"/>
              </w:rPr>
            </w:pPr>
            <w:r w:rsidRPr="003F7F6C">
              <w:rPr>
                <w:rFonts w:cs="Calibri"/>
                <w:bCs/>
                <w:sz w:val="18"/>
                <w:szCs w:val="18"/>
              </w:rPr>
              <w:t>Yungas Forest</w:t>
            </w:r>
          </w:p>
        </w:tc>
        <w:tc>
          <w:tcPr>
            <w:tcW w:w="8193" w:type="dxa"/>
            <w:shd w:val="clear" w:color="auto" w:fill="auto"/>
          </w:tcPr>
          <w:p w14:paraId="60C8E513" w14:textId="77777777" w:rsidR="005B2E89" w:rsidRPr="003F7F6C" w:rsidRDefault="005B2E89" w:rsidP="002B3130">
            <w:pPr>
              <w:pStyle w:val="NormalWeb"/>
              <w:shd w:val="clear" w:color="auto" w:fill="FFFFFF"/>
              <w:rPr>
                <w:rFonts w:ascii="Calibri" w:hAnsi="Calibri" w:cs="Calibri"/>
                <w:sz w:val="18"/>
                <w:szCs w:val="18"/>
              </w:rPr>
            </w:pPr>
            <w:r w:rsidRPr="003F7F6C">
              <w:rPr>
                <w:rFonts w:ascii="Calibri" w:hAnsi="Calibri" w:cs="Calibri"/>
                <w:sz w:val="18"/>
                <w:szCs w:val="18"/>
              </w:rPr>
              <w:t>Important flora: trees</w:t>
            </w:r>
            <w:r w:rsidR="000B023F" w:rsidRPr="003F7F6C">
              <w:rPr>
                <w:rFonts w:ascii="Calibri" w:hAnsi="Calibri" w:cs="Calibri"/>
                <w:sz w:val="18"/>
                <w:szCs w:val="18"/>
              </w:rPr>
              <w:t>,</w:t>
            </w:r>
            <w:r w:rsidRPr="003F7F6C">
              <w:rPr>
                <w:rFonts w:ascii="Calibri" w:hAnsi="Calibri" w:cs="Calibri"/>
                <w:sz w:val="18"/>
                <w:szCs w:val="18"/>
              </w:rPr>
              <w:t xml:space="preserve"> e.g</w:t>
            </w:r>
            <w:r w:rsidR="000B023F" w:rsidRPr="003F7F6C">
              <w:rPr>
                <w:rFonts w:ascii="Calibri" w:hAnsi="Calibri" w:cs="Calibri"/>
                <w:sz w:val="18"/>
                <w:szCs w:val="18"/>
              </w:rPr>
              <w:t>.,</w:t>
            </w:r>
            <w:r w:rsidRPr="003F7F6C">
              <w:rPr>
                <w:rFonts w:ascii="Calibri" w:hAnsi="Calibri" w:cs="Calibri"/>
                <w:sz w:val="18"/>
                <w:szCs w:val="18"/>
              </w:rPr>
              <w:t xml:space="preserve"> palo blanco </w:t>
            </w:r>
            <w:r w:rsidR="000B023F" w:rsidRPr="003F7F6C">
              <w:rPr>
                <w:rFonts w:ascii="Calibri" w:hAnsi="Calibri" w:cs="Calibri"/>
                <w:sz w:val="18"/>
                <w:szCs w:val="18"/>
              </w:rPr>
              <w:t>(</w:t>
            </w:r>
            <w:r w:rsidRPr="003F7F6C">
              <w:rPr>
                <w:rFonts w:ascii="Calibri" w:hAnsi="Calibri" w:cs="Calibri"/>
                <w:i/>
                <w:iCs/>
                <w:sz w:val="18"/>
                <w:szCs w:val="18"/>
              </w:rPr>
              <w:t>Calycophyllum multiflorum</w:t>
            </w:r>
            <w:r w:rsidR="000B023F" w:rsidRPr="003F7F6C">
              <w:rPr>
                <w:rFonts w:ascii="Calibri" w:hAnsi="Calibri" w:cs="Calibri"/>
                <w:i/>
                <w:iCs/>
                <w:sz w:val="18"/>
                <w:szCs w:val="18"/>
              </w:rPr>
              <w:t>)</w:t>
            </w:r>
            <w:r w:rsidRPr="003F7F6C">
              <w:rPr>
                <w:rFonts w:ascii="Calibri" w:hAnsi="Calibri" w:cs="Calibri"/>
                <w:sz w:val="18"/>
                <w:szCs w:val="18"/>
              </w:rPr>
              <w:t xml:space="preserve">, palo amarillo </w:t>
            </w:r>
            <w:r w:rsidR="000B023F" w:rsidRPr="003F7F6C">
              <w:rPr>
                <w:rFonts w:ascii="Calibri" w:hAnsi="Calibri" w:cs="Calibri"/>
                <w:sz w:val="18"/>
                <w:szCs w:val="18"/>
              </w:rPr>
              <w:t>(</w:t>
            </w:r>
            <w:r w:rsidRPr="003F7F6C">
              <w:rPr>
                <w:rFonts w:ascii="Calibri" w:hAnsi="Calibri" w:cs="Calibri"/>
                <w:i/>
                <w:iCs/>
                <w:sz w:val="18"/>
                <w:szCs w:val="18"/>
              </w:rPr>
              <w:t>Phyllostylon rhamnoides</w:t>
            </w:r>
            <w:r w:rsidR="0003123C" w:rsidRPr="003F7F6C">
              <w:rPr>
                <w:rFonts w:ascii="Calibri" w:hAnsi="Calibri" w:cs="Calibri"/>
                <w:i/>
                <w:iCs/>
                <w:sz w:val="18"/>
                <w:szCs w:val="18"/>
              </w:rPr>
              <w:t>)</w:t>
            </w:r>
            <w:r w:rsidRPr="003F7F6C">
              <w:rPr>
                <w:rFonts w:ascii="Calibri" w:hAnsi="Calibri" w:cs="Calibri"/>
                <w:i/>
                <w:iCs/>
                <w:sz w:val="18"/>
                <w:szCs w:val="18"/>
              </w:rPr>
              <w:t xml:space="preserve">, </w:t>
            </w:r>
            <w:r w:rsidRPr="003F7F6C">
              <w:rPr>
                <w:rFonts w:ascii="Calibri" w:hAnsi="Calibri" w:cs="Calibri"/>
                <w:sz w:val="18"/>
                <w:szCs w:val="18"/>
              </w:rPr>
              <w:t xml:space="preserve">pink lapacho </w:t>
            </w:r>
            <w:r w:rsidR="0003123C" w:rsidRPr="003F7F6C">
              <w:rPr>
                <w:rFonts w:ascii="Calibri" w:hAnsi="Calibri" w:cs="Calibri"/>
                <w:sz w:val="18"/>
                <w:szCs w:val="18"/>
              </w:rPr>
              <w:t>(</w:t>
            </w:r>
            <w:r w:rsidRPr="003F7F6C">
              <w:rPr>
                <w:rFonts w:ascii="Calibri" w:hAnsi="Calibri" w:cs="Calibri"/>
                <w:i/>
                <w:iCs/>
                <w:sz w:val="18"/>
                <w:szCs w:val="18"/>
              </w:rPr>
              <w:t>Handroanthus impetiginosus</w:t>
            </w:r>
            <w:r w:rsidR="000B023F" w:rsidRPr="003F7F6C">
              <w:rPr>
                <w:rFonts w:ascii="Calibri" w:hAnsi="Calibri" w:cs="Calibri"/>
                <w:i/>
                <w:iCs/>
                <w:sz w:val="18"/>
                <w:szCs w:val="18"/>
              </w:rPr>
              <w:t>)</w:t>
            </w:r>
            <w:r w:rsidRPr="003F7F6C">
              <w:rPr>
                <w:rFonts w:ascii="Calibri" w:hAnsi="Calibri" w:cs="Calibri"/>
                <w:sz w:val="18"/>
                <w:szCs w:val="18"/>
              </w:rPr>
              <w:t xml:space="preserve">- and endangered fauna: jaguar </w:t>
            </w:r>
            <w:r w:rsidR="000B023F" w:rsidRPr="003F7F6C">
              <w:rPr>
                <w:rFonts w:ascii="Calibri" w:hAnsi="Calibri" w:cs="Calibri"/>
                <w:sz w:val="18"/>
                <w:szCs w:val="18"/>
              </w:rPr>
              <w:t>(</w:t>
            </w:r>
            <w:r w:rsidRPr="003F7F6C">
              <w:rPr>
                <w:rFonts w:ascii="Calibri" w:hAnsi="Calibri" w:cs="Calibri"/>
                <w:i/>
                <w:iCs/>
                <w:sz w:val="18"/>
                <w:szCs w:val="18"/>
              </w:rPr>
              <w:t>Panthera onca</w:t>
            </w:r>
            <w:r w:rsidR="0003123C" w:rsidRPr="003F7F6C">
              <w:rPr>
                <w:rFonts w:ascii="Calibri" w:hAnsi="Calibri" w:cs="Calibri"/>
                <w:i/>
                <w:iCs/>
                <w:sz w:val="18"/>
                <w:szCs w:val="18"/>
              </w:rPr>
              <w:t>)</w:t>
            </w:r>
            <w:r w:rsidRPr="003F7F6C">
              <w:rPr>
                <w:rFonts w:ascii="Calibri" w:hAnsi="Calibri" w:cs="Calibri"/>
                <w:sz w:val="18"/>
                <w:szCs w:val="18"/>
              </w:rPr>
              <w:t xml:space="preserve">, lowland tapir </w:t>
            </w:r>
            <w:r w:rsidR="0003123C" w:rsidRPr="003F7F6C">
              <w:rPr>
                <w:rFonts w:ascii="Calibri" w:hAnsi="Calibri" w:cs="Calibri"/>
                <w:sz w:val="18"/>
                <w:szCs w:val="18"/>
              </w:rPr>
              <w:t>(</w:t>
            </w:r>
            <w:r w:rsidRPr="003F7F6C">
              <w:rPr>
                <w:rFonts w:ascii="Calibri" w:hAnsi="Calibri" w:cs="Calibri"/>
                <w:i/>
                <w:iCs/>
                <w:sz w:val="18"/>
                <w:szCs w:val="18"/>
              </w:rPr>
              <w:t>Tapirus terrestris</w:t>
            </w:r>
            <w:r w:rsidRPr="003F7F6C">
              <w:rPr>
                <w:rFonts w:ascii="Calibri" w:hAnsi="Calibri" w:cs="Calibri"/>
                <w:sz w:val="18"/>
                <w:szCs w:val="18"/>
              </w:rPr>
              <w:t xml:space="preserve">, N. Andean Deer </w:t>
            </w:r>
            <w:r w:rsidR="0003123C" w:rsidRPr="003F7F6C">
              <w:rPr>
                <w:rFonts w:ascii="Calibri" w:hAnsi="Calibri" w:cs="Calibri"/>
                <w:sz w:val="18"/>
                <w:szCs w:val="18"/>
              </w:rPr>
              <w:t>(</w:t>
            </w:r>
            <w:r w:rsidRPr="003F7F6C">
              <w:rPr>
                <w:rFonts w:ascii="Calibri" w:hAnsi="Calibri" w:cs="Calibri"/>
                <w:i/>
                <w:iCs/>
                <w:sz w:val="18"/>
                <w:szCs w:val="18"/>
              </w:rPr>
              <w:t>Hippocamelus antisensis</w:t>
            </w:r>
            <w:r w:rsidR="000B023F" w:rsidRPr="003F7F6C">
              <w:rPr>
                <w:rFonts w:ascii="Calibri" w:hAnsi="Calibri" w:cs="Calibri"/>
                <w:i/>
                <w:iCs/>
                <w:sz w:val="18"/>
                <w:szCs w:val="18"/>
              </w:rPr>
              <w:t>)</w:t>
            </w:r>
            <w:r w:rsidRPr="003F7F6C">
              <w:rPr>
                <w:rFonts w:ascii="Calibri" w:hAnsi="Calibri" w:cs="Calibri"/>
                <w:sz w:val="18"/>
                <w:szCs w:val="18"/>
              </w:rPr>
              <w:t xml:space="preserve">, solitary eagle </w:t>
            </w:r>
            <w:r w:rsidR="0003123C" w:rsidRPr="003F7F6C">
              <w:rPr>
                <w:rFonts w:ascii="Calibri" w:hAnsi="Calibri" w:cs="Calibri"/>
                <w:sz w:val="18"/>
                <w:szCs w:val="18"/>
              </w:rPr>
              <w:t>(</w:t>
            </w:r>
            <w:r w:rsidRPr="003F7F6C">
              <w:rPr>
                <w:rFonts w:ascii="Calibri" w:hAnsi="Calibri" w:cs="Calibri"/>
                <w:i/>
                <w:iCs/>
                <w:sz w:val="18"/>
                <w:szCs w:val="18"/>
              </w:rPr>
              <w:t>Buteogallus solitarius</w:t>
            </w:r>
            <w:r w:rsidR="0003123C" w:rsidRPr="003F7F6C">
              <w:rPr>
                <w:rFonts w:ascii="Calibri" w:hAnsi="Calibri" w:cs="Calibri"/>
                <w:i/>
                <w:iCs/>
                <w:sz w:val="18"/>
                <w:szCs w:val="18"/>
              </w:rPr>
              <w:t>)</w:t>
            </w:r>
            <w:r w:rsidRPr="003F7F6C">
              <w:rPr>
                <w:rFonts w:ascii="Calibri" w:hAnsi="Calibri" w:cs="Calibri"/>
                <w:sz w:val="18"/>
                <w:szCs w:val="18"/>
              </w:rPr>
              <w:t xml:space="preserve">, Chaco eagle </w:t>
            </w:r>
            <w:r w:rsidR="0003123C" w:rsidRPr="003F7F6C">
              <w:rPr>
                <w:rFonts w:ascii="Calibri" w:hAnsi="Calibri" w:cs="Calibri"/>
                <w:sz w:val="18"/>
                <w:szCs w:val="18"/>
              </w:rPr>
              <w:t>(</w:t>
            </w:r>
            <w:r w:rsidRPr="003F7F6C">
              <w:rPr>
                <w:rFonts w:ascii="Calibri" w:hAnsi="Calibri" w:cs="Calibri"/>
                <w:i/>
                <w:iCs/>
                <w:sz w:val="18"/>
                <w:szCs w:val="18"/>
              </w:rPr>
              <w:t>Buteogallus coronatu</w:t>
            </w:r>
            <w:r w:rsidR="0003123C" w:rsidRPr="003F7F6C">
              <w:rPr>
                <w:rFonts w:ascii="Calibri" w:hAnsi="Calibri" w:cs="Calibri"/>
                <w:i/>
                <w:iCs/>
                <w:sz w:val="18"/>
                <w:szCs w:val="18"/>
              </w:rPr>
              <w:t>)</w:t>
            </w:r>
            <w:r w:rsidRPr="003F7F6C">
              <w:rPr>
                <w:rFonts w:ascii="Calibri" w:hAnsi="Calibri" w:cs="Calibri"/>
                <w:i/>
                <w:iCs/>
                <w:sz w:val="18"/>
                <w:szCs w:val="18"/>
              </w:rPr>
              <w:t xml:space="preserve"> </w:t>
            </w:r>
          </w:p>
        </w:tc>
      </w:tr>
      <w:tr w:rsidR="005B2E89" w:rsidRPr="003F7F6C" w14:paraId="51A90543" w14:textId="77777777" w:rsidTr="002B3130">
        <w:tc>
          <w:tcPr>
            <w:tcW w:w="1163" w:type="dxa"/>
            <w:shd w:val="clear" w:color="auto" w:fill="auto"/>
          </w:tcPr>
          <w:p w14:paraId="7120BEA5" w14:textId="77777777" w:rsidR="005B2E89" w:rsidRPr="003F7F6C" w:rsidRDefault="005B2E89" w:rsidP="002B3130">
            <w:pPr>
              <w:spacing w:before="100" w:beforeAutospacing="1" w:after="100" w:afterAutospacing="1"/>
              <w:rPr>
                <w:rFonts w:cs="Calibri"/>
                <w:bCs/>
                <w:sz w:val="18"/>
                <w:szCs w:val="18"/>
              </w:rPr>
            </w:pPr>
            <w:r w:rsidRPr="003F7F6C">
              <w:rPr>
                <w:rFonts w:cs="Calibri"/>
                <w:bCs/>
                <w:sz w:val="18"/>
                <w:szCs w:val="18"/>
              </w:rPr>
              <w:t>Patagonian Steppe</w:t>
            </w:r>
          </w:p>
        </w:tc>
        <w:tc>
          <w:tcPr>
            <w:tcW w:w="8193" w:type="dxa"/>
            <w:shd w:val="clear" w:color="auto" w:fill="auto"/>
          </w:tcPr>
          <w:p w14:paraId="103EBB6D" w14:textId="77777777" w:rsidR="005B2E89" w:rsidRPr="003F7F6C" w:rsidRDefault="005B2E89" w:rsidP="002B3130">
            <w:pPr>
              <w:pStyle w:val="NormalWeb"/>
              <w:shd w:val="clear" w:color="auto" w:fill="FFFFFF"/>
              <w:rPr>
                <w:rFonts w:ascii="Calibri" w:hAnsi="Calibri" w:cs="Calibri"/>
                <w:sz w:val="18"/>
                <w:szCs w:val="18"/>
              </w:rPr>
            </w:pPr>
            <w:r w:rsidRPr="003F7F6C">
              <w:rPr>
                <w:rFonts w:ascii="Calibri" w:hAnsi="Calibri" w:cs="Calibri"/>
                <w:sz w:val="18"/>
                <w:szCs w:val="18"/>
              </w:rPr>
              <w:t xml:space="preserve">Threatened macá tobiano </w:t>
            </w:r>
            <w:r w:rsidR="0003123C" w:rsidRPr="003F7F6C">
              <w:rPr>
                <w:rFonts w:ascii="Calibri" w:hAnsi="Calibri" w:cs="Calibri"/>
                <w:sz w:val="18"/>
                <w:szCs w:val="18"/>
              </w:rPr>
              <w:t>(</w:t>
            </w:r>
            <w:r w:rsidRPr="003F7F6C">
              <w:rPr>
                <w:rFonts w:ascii="Calibri" w:hAnsi="Calibri" w:cs="Calibri"/>
                <w:i/>
                <w:iCs/>
                <w:sz w:val="18"/>
                <w:szCs w:val="18"/>
              </w:rPr>
              <w:t>Podiceps gallardoi</w:t>
            </w:r>
            <w:r w:rsidRPr="003F7F6C">
              <w:rPr>
                <w:rFonts w:ascii="Calibri" w:hAnsi="Calibri" w:cs="Calibri"/>
                <w:sz w:val="18"/>
                <w:szCs w:val="18"/>
              </w:rPr>
              <w:t xml:space="preserve">); endemic reptiles </w:t>
            </w:r>
            <w:r w:rsidR="0003123C" w:rsidRPr="003F7F6C">
              <w:rPr>
                <w:rFonts w:ascii="Calibri" w:hAnsi="Calibri" w:cs="Calibri"/>
                <w:sz w:val="18"/>
                <w:szCs w:val="18"/>
              </w:rPr>
              <w:t>(</w:t>
            </w:r>
            <w:r w:rsidRPr="003F7F6C">
              <w:rPr>
                <w:rFonts w:ascii="Calibri" w:hAnsi="Calibri" w:cs="Calibri"/>
                <w:i/>
                <w:iCs/>
                <w:sz w:val="18"/>
                <w:szCs w:val="18"/>
              </w:rPr>
              <w:t xml:space="preserve">Diplolaemus </w:t>
            </w:r>
            <w:r w:rsidRPr="003F7F6C">
              <w:rPr>
                <w:rFonts w:ascii="Calibri" w:hAnsi="Calibri" w:cs="Calibri"/>
                <w:sz w:val="18"/>
                <w:szCs w:val="18"/>
              </w:rPr>
              <w:t>genus); restricted distribution Somuncura frog</w:t>
            </w:r>
            <w:r w:rsidR="0003123C" w:rsidRPr="003F7F6C">
              <w:rPr>
                <w:rFonts w:ascii="Calibri" w:hAnsi="Calibri" w:cs="Calibri"/>
                <w:sz w:val="18"/>
                <w:szCs w:val="18"/>
              </w:rPr>
              <w:t xml:space="preserve"> (</w:t>
            </w:r>
            <w:r w:rsidRPr="003F7F6C">
              <w:rPr>
                <w:rFonts w:ascii="Calibri" w:hAnsi="Calibri" w:cs="Calibri"/>
                <w:i/>
                <w:iCs/>
                <w:sz w:val="18"/>
                <w:szCs w:val="18"/>
              </w:rPr>
              <w:t>Somuncuria somuncurensis</w:t>
            </w:r>
            <w:r w:rsidR="000B023F" w:rsidRPr="003F7F6C">
              <w:rPr>
                <w:rFonts w:ascii="Calibri" w:hAnsi="Calibri" w:cs="Calibri"/>
                <w:i/>
                <w:iCs/>
                <w:sz w:val="18"/>
                <w:szCs w:val="18"/>
              </w:rPr>
              <w:t>)</w:t>
            </w:r>
            <w:r w:rsidRPr="003F7F6C">
              <w:rPr>
                <w:rFonts w:ascii="Calibri" w:hAnsi="Calibri" w:cs="Calibri"/>
                <w:i/>
                <w:iCs/>
                <w:sz w:val="18"/>
                <w:szCs w:val="18"/>
              </w:rPr>
              <w:t xml:space="preserve"> </w:t>
            </w:r>
          </w:p>
        </w:tc>
      </w:tr>
      <w:tr w:rsidR="005B2E89" w:rsidRPr="003F7F6C" w14:paraId="10690FA9" w14:textId="77777777" w:rsidTr="002B3130">
        <w:tc>
          <w:tcPr>
            <w:tcW w:w="1163" w:type="dxa"/>
            <w:shd w:val="clear" w:color="auto" w:fill="auto"/>
          </w:tcPr>
          <w:p w14:paraId="5C3BABD0" w14:textId="77777777" w:rsidR="005B2E89" w:rsidRPr="003F7F6C" w:rsidRDefault="005B2E89" w:rsidP="002B3130">
            <w:pPr>
              <w:spacing w:before="100" w:beforeAutospacing="1" w:after="100" w:afterAutospacing="1"/>
              <w:rPr>
                <w:rFonts w:cs="Calibri"/>
                <w:bCs/>
                <w:sz w:val="18"/>
                <w:szCs w:val="18"/>
              </w:rPr>
            </w:pPr>
            <w:r w:rsidRPr="003F7F6C">
              <w:rPr>
                <w:rFonts w:cs="Calibri"/>
                <w:bCs/>
                <w:sz w:val="18"/>
                <w:szCs w:val="18"/>
              </w:rPr>
              <w:t>Parana Delta</w:t>
            </w:r>
          </w:p>
        </w:tc>
        <w:tc>
          <w:tcPr>
            <w:tcW w:w="8193" w:type="dxa"/>
            <w:shd w:val="clear" w:color="auto" w:fill="auto"/>
          </w:tcPr>
          <w:p w14:paraId="783B278C" w14:textId="77777777" w:rsidR="005B2E89" w:rsidRPr="003F7F6C" w:rsidRDefault="005B2E89" w:rsidP="002B3130">
            <w:pPr>
              <w:pStyle w:val="NormalWeb"/>
              <w:shd w:val="clear" w:color="auto" w:fill="FFFFFF"/>
              <w:rPr>
                <w:rFonts w:ascii="Calibri" w:hAnsi="Calibri" w:cs="Calibri"/>
                <w:sz w:val="18"/>
                <w:szCs w:val="18"/>
              </w:rPr>
            </w:pPr>
            <w:r w:rsidRPr="003F7F6C">
              <w:rPr>
                <w:rFonts w:ascii="Calibri" w:hAnsi="Calibri" w:cs="Calibri"/>
                <w:sz w:val="18"/>
                <w:szCs w:val="18"/>
              </w:rPr>
              <w:t>Reduced pressure on wetlands benefits wild fauna e</w:t>
            </w:r>
            <w:r w:rsidR="0003123C" w:rsidRPr="003F7F6C">
              <w:rPr>
                <w:rFonts w:ascii="Calibri" w:hAnsi="Calibri" w:cs="Calibri"/>
                <w:sz w:val="18"/>
                <w:szCs w:val="18"/>
              </w:rPr>
              <w:t>.</w:t>
            </w:r>
            <w:r w:rsidRPr="003F7F6C">
              <w:rPr>
                <w:rFonts w:ascii="Calibri" w:hAnsi="Calibri" w:cs="Calibri"/>
                <w:sz w:val="18"/>
                <w:szCs w:val="18"/>
              </w:rPr>
              <w:t>g</w:t>
            </w:r>
            <w:r w:rsidR="0003123C" w:rsidRPr="003F7F6C">
              <w:rPr>
                <w:rFonts w:ascii="Calibri" w:hAnsi="Calibri" w:cs="Calibri"/>
                <w:sz w:val="18"/>
                <w:szCs w:val="18"/>
              </w:rPr>
              <w:t>.,</w:t>
            </w:r>
            <w:r w:rsidRPr="003F7F6C">
              <w:rPr>
                <w:rFonts w:ascii="Calibri" w:hAnsi="Calibri" w:cs="Calibri"/>
                <w:sz w:val="18"/>
                <w:szCs w:val="18"/>
              </w:rPr>
              <w:t xml:space="preserve"> Marsh Deer </w:t>
            </w:r>
            <w:r w:rsidR="0003123C" w:rsidRPr="003F7F6C">
              <w:rPr>
                <w:rFonts w:ascii="Calibri" w:hAnsi="Calibri" w:cs="Calibri"/>
                <w:sz w:val="18"/>
                <w:szCs w:val="18"/>
              </w:rPr>
              <w:t>(</w:t>
            </w:r>
            <w:r w:rsidRPr="003F7F6C">
              <w:rPr>
                <w:rFonts w:ascii="Calibri" w:hAnsi="Calibri" w:cs="Calibri"/>
                <w:i/>
                <w:iCs/>
                <w:sz w:val="18"/>
                <w:szCs w:val="18"/>
              </w:rPr>
              <w:t>Blastocerus dichotomus</w:t>
            </w:r>
            <w:r w:rsidR="000B023F" w:rsidRPr="003F7F6C">
              <w:rPr>
                <w:rFonts w:ascii="Calibri" w:hAnsi="Calibri" w:cs="Calibri"/>
                <w:i/>
                <w:iCs/>
                <w:sz w:val="18"/>
                <w:szCs w:val="18"/>
              </w:rPr>
              <w:t>)</w:t>
            </w:r>
            <w:r w:rsidRPr="003F7F6C">
              <w:rPr>
                <w:rFonts w:ascii="Calibri" w:hAnsi="Calibri" w:cs="Calibri"/>
                <w:sz w:val="18"/>
                <w:szCs w:val="18"/>
              </w:rPr>
              <w:t xml:space="preserve">, Dusky-Legged Guan </w:t>
            </w:r>
            <w:r w:rsidR="0003123C" w:rsidRPr="003F7F6C">
              <w:rPr>
                <w:rFonts w:ascii="Calibri" w:hAnsi="Calibri" w:cs="Calibri"/>
                <w:sz w:val="18"/>
                <w:szCs w:val="18"/>
              </w:rPr>
              <w:t>(</w:t>
            </w:r>
            <w:r w:rsidRPr="003F7F6C">
              <w:rPr>
                <w:rFonts w:ascii="Calibri" w:hAnsi="Calibri" w:cs="Calibri"/>
                <w:i/>
                <w:iCs/>
                <w:sz w:val="18"/>
                <w:szCs w:val="18"/>
              </w:rPr>
              <w:t>Penelope obscura</w:t>
            </w:r>
            <w:r w:rsidR="000B023F" w:rsidRPr="003F7F6C">
              <w:rPr>
                <w:rFonts w:ascii="Calibri" w:hAnsi="Calibri" w:cs="Calibri"/>
                <w:i/>
                <w:iCs/>
                <w:sz w:val="18"/>
                <w:szCs w:val="18"/>
              </w:rPr>
              <w:t>)</w:t>
            </w:r>
            <w:r w:rsidRPr="003F7F6C">
              <w:rPr>
                <w:rFonts w:ascii="Calibri" w:hAnsi="Calibri" w:cs="Calibri"/>
                <w:sz w:val="18"/>
                <w:szCs w:val="18"/>
              </w:rPr>
              <w:t xml:space="preserve">, long-tailed otter </w:t>
            </w:r>
            <w:r w:rsidR="0003123C" w:rsidRPr="003F7F6C">
              <w:rPr>
                <w:rFonts w:ascii="Calibri" w:hAnsi="Calibri" w:cs="Calibri"/>
                <w:sz w:val="18"/>
                <w:szCs w:val="18"/>
              </w:rPr>
              <w:t>(</w:t>
            </w:r>
            <w:r w:rsidRPr="003F7F6C">
              <w:rPr>
                <w:rFonts w:ascii="Calibri" w:hAnsi="Calibri" w:cs="Calibri"/>
                <w:i/>
                <w:iCs/>
                <w:sz w:val="18"/>
                <w:szCs w:val="18"/>
              </w:rPr>
              <w:t>Lontra longicaudis</w:t>
            </w:r>
            <w:r w:rsidR="000B023F" w:rsidRPr="003F7F6C">
              <w:rPr>
                <w:rFonts w:ascii="Calibri" w:hAnsi="Calibri" w:cs="Calibri"/>
                <w:i/>
                <w:iCs/>
                <w:sz w:val="18"/>
                <w:szCs w:val="18"/>
              </w:rPr>
              <w:t>)</w:t>
            </w:r>
            <w:r w:rsidRPr="003F7F6C">
              <w:rPr>
                <w:rFonts w:ascii="Calibri" w:hAnsi="Calibri" w:cs="Calibri"/>
                <w:sz w:val="18"/>
                <w:szCs w:val="18"/>
              </w:rPr>
              <w:t xml:space="preserve"> and Geoffroy’s Cat </w:t>
            </w:r>
            <w:r w:rsidR="0003123C" w:rsidRPr="003F7F6C">
              <w:rPr>
                <w:rFonts w:ascii="Calibri" w:hAnsi="Calibri" w:cs="Calibri"/>
                <w:sz w:val="18"/>
                <w:szCs w:val="18"/>
              </w:rPr>
              <w:t>(</w:t>
            </w:r>
            <w:r w:rsidRPr="003F7F6C">
              <w:rPr>
                <w:rFonts w:ascii="Calibri" w:hAnsi="Calibri" w:cs="Calibri"/>
                <w:i/>
                <w:iCs/>
                <w:sz w:val="18"/>
                <w:szCs w:val="18"/>
              </w:rPr>
              <w:t>Leopardus geoffroyi</w:t>
            </w:r>
            <w:r w:rsidR="000B023F" w:rsidRPr="003F7F6C">
              <w:rPr>
                <w:rFonts w:ascii="Calibri" w:hAnsi="Calibri" w:cs="Calibri"/>
                <w:i/>
                <w:iCs/>
                <w:sz w:val="18"/>
                <w:szCs w:val="18"/>
              </w:rPr>
              <w:t>)</w:t>
            </w:r>
          </w:p>
        </w:tc>
      </w:tr>
      <w:tr w:rsidR="005B2E89" w:rsidRPr="003F7F6C" w14:paraId="1305CD4A" w14:textId="77777777" w:rsidTr="002B3130">
        <w:tc>
          <w:tcPr>
            <w:tcW w:w="1163" w:type="dxa"/>
            <w:shd w:val="clear" w:color="auto" w:fill="auto"/>
          </w:tcPr>
          <w:p w14:paraId="298A8C28" w14:textId="77777777" w:rsidR="005B2E89" w:rsidRPr="003F7F6C" w:rsidRDefault="005B2E89" w:rsidP="002B3130">
            <w:pPr>
              <w:spacing w:before="100" w:beforeAutospacing="1" w:after="100" w:afterAutospacing="1"/>
              <w:rPr>
                <w:rFonts w:cs="Calibri"/>
                <w:bCs/>
                <w:sz w:val="18"/>
                <w:szCs w:val="18"/>
              </w:rPr>
            </w:pPr>
            <w:r w:rsidRPr="003F7F6C">
              <w:rPr>
                <w:rFonts w:cs="Calibri"/>
                <w:bCs/>
                <w:sz w:val="18"/>
                <w:szCs w:val="18"/>
              </w:rPr>
              <w:t>Coastal Ecosystems</w:t>
            </w:r>
          </w:p>
        </w:tc>
        <w:tc>
          <w:tcPr>
            <w:tcW w:w="8193" w:type="dxa"/>
            <w:shd w:val="clear" w:color="auto" w:fill="auto"/>
          </w:tcPr>
          <w:p w14:paraId="432F9221" w14:textId="77777777" w:rsidR="005B2E89" w:rsidRPr="003F7F6C" w:rsidRDefault="005B2E89" w:rsidP="002B3130">
            <w:pPr>
              <w:pStyle w:val="NormalWeb"/>
              <w:shd w:val="clear" w:color="auto" w:fill="FFFFFF"/>
              <w:rPr>
                <w:rFonts w:ascii="Calibri" w:hAnsi="Calibri" w:cs="Calibri"/>
                <w:sz w:val="18"/>
                <w:szCs w:val="18"/>
              </w:rPr>
            </w:pPr>
            <w:r w:rsidRPr="003F7F6C">
              <w:rPr>
                <w:rFonts w:ascii="Calibri" w:hAnsi="Calibri" w:cs="Calibri"/>
                <w:sz w:val="18"/>
                <w:szCs w:val="18"/>
              </w:rPr>
              <w:t>Reduced LD protects dune ecosystems and the habitats of species important for conservation</w:t>
            </w:r>
            <w:r w:rsidR="000B023F" w:rsidRPr="003F7F6C">
              <w:rPr>
                <w:rFonts w:ascii="Calibri" w:hAnsi="Calibri" w:cs="Calibri"/>
                <w:sz w:val="18"/>
                <w:szCs w:val="18"/>
              </w:rPr>
              <w:t>,</w:t>
            </w:r>
            <w:r w:rsidRPr="003F7F6C">
              <w:rPr>
                <w:rFonts w:ascii="Calibri" w:hAnsi="Calibri" w:cs="Calibri"/>
                <w:sz w:val="18"/>
                <w:szCs w:val="18"/>
              </w:rPr>
              <w:t xml:space="preserve"> e</w:t>
            </w:r>
            <w:r w:rsidR="000B023F" w:rsidRPr="003F7F6C">
              <w:rPr>
                <w:rFonts w:ascii="Calibri" w:hAnsi="Calibri" w:cs="Calibri"/>
                <w:sz w:val="18"/>
                <w:szCs w:val="18"/>
              </w:rPr>
              <w:t>.</w:t>
            </w:r>
            <w:r w:rsidRPr="003F7F6C">
              <w:rPr>
                <w:rFonts w:ascii="Calibri" w:hAnsi="Calibri" w:cs="Calibri"/>
                <w:sz w:val="18"/>
                <w:szCs w:val="18"/>
              </w:rPr>
              <w:t>g</w:t>
            </w:r>
            <w:r w:rsidR="000B023F" w:rsidRPr="003F7F6C">
              <w:rPr>
                <w:rFonts w:ascii="Calibri" w:hAnsi="Calibri" w:cs="Calibri"/>
                <w:sz w:val="18"/>
                <w:szCs w:val="18"/>
              </w:rPr>
              <w:t>-,</w:t>
            </w:r>
            <w:r w:rsidRPr="003F7F6C">
              <w:rPr>
                <w:rFonts w:ascii="Calibri" w:hAnsi="Calibri" w:cs="Calibri"/>
                <w:sz w:val="18"/>
                <w:szCs w:val="18"/>
              </w:rPr>
              <w:t xml:space="preserve"> spotted tree iguana </w:t>
            </w:r>
            <w:r w:rsidR="000B023F" w:rsidRPr="003F7F6C">
              <w:rPr>
                <w:rFonts w:ascii="Calibri" w:hAnsi="Calibri" w:cs="Calibri"/>
                <w:sz w:val="18"/>
                <w:szCs w:val="18"/>
              </w:rPr>
              <w:t>(</w:t>
            </w:r>
            <w:r w:rsidRPr="003F7F6C">
              <w:rPr>
                <w:rFonts w:ascii="Calibri" w:hAnsi="Calibri" w:cs="Calibri"/>
                <w:i/>
                <w:iCs/>
                <w:sz w:val="18"/>
                <w:szCs w:val="18"/>
              </w:rPr>
              <w:t>Liolaemus multimaculatus</w:t>
            </w:r>
            <w:r w:rsidR="000B023F" w:rsidRPr="003F7F6C">
              <w:rPr>
                <w:rFonts w:ascii="Calibri" w:hAnsi="Calibri" w:cs="Calibri"/>
                <w:i/>
                <w:iCs/>
                <w:sz w:val="18"/>
                <w:szCs w:val="18"/>
              </w:rPr>
              <w:t>)</w:t>
            </w:r>
            <w:r w:rsidRPr="003F7F6C">
              <w:rPr>
                <w:rFonts w:ascii="Calibri" w:hAnsi="Calibri" w:cs="Calibri"/>
                <w:sz w:val="18"/>
                <w:szCs w:val="18"/>
              </w:rPr>
              <w:t xml:space="preserve">, Southern tuco-tuco </w:t>
            </w:r>
            <w:r w:rsidR="0003123C" w:rsidRPr="003F7F6C">
              <w:rPr>
                <w:rFonts w:ascii="Calibri" w:hAnsi="Calibri" w:cs="Calibri"/>
                <w:sz w:val="18"/>
                <w:szCs w:val="18"/>
              </w:rPr>
              <w:t>(</w:t>
            </w:r>
            <w:r w:rsidRPr="003F7F6C">
              <w:rPr>
                <w:rFonts w:ascii="Calibri" w:hAnsi="Calibri" w:cs="Calibri"/>
                <w:i/>
                <w:iCs/>
                <w:sz w:val="18"/>
                <w:szCs w:val="18"/>
              </w:rPr>
              <w:t>Ctenomys australis</w:t>
            </w:r>
            <w:r w:rsidR="00C537C8" w:rsidRPr="003F7F6C">
              <w:rPr>
                <w:rFonts w:ascii="Calibri" w:hAnsi="Calibri" w:cs="Calibri"/>
                <w:i/>
                <w:iCs/>
                <w:sz w:val="18"/>
                <w:szCs w:val="18"/>
              </w:rPr>
              <w:t>)</w:t>
            </w:r>
            <w:r w:rsidRPr="003F7F6C">
              <w:rPr>
                <w:rFonts w:ascii="Calibri" w:hAnsi="Calibri" w:cs="Calibri"/>
                <w:sz w:val="18"/>
                <w:szCs w:val="18"/>
              </w:rPr>
              <w:t xml:space="preserve">, black-and-white monjita </w:t>
            </w:r>
            <w:r w:rsidR="0003123C" w:rsidRPr="003F7F6C">
              <w:rPr>
                <w:rFonts w:ascii="Calibri" w:hAnsi="Calibri" w:cs="Calibri"/>
                <w:sz w:val="18"/>
                <w:szCs w:val="18"/>
              </w:rPr>
              <w:t>(</w:t>
            </w:r>
            <w:r w:rsidRPr="003F7F6C">
              <w:rPr>
                <w:rFonts w:ascii="Calibri" w:hAnsi="Calibri" w:cs="Calibri"/>
                <w:i/>
                <w:iCs/>
                <w:sz w:val="18"/>
                <w:szCs w:val="18"/>
              </w:rPr>
              <w:t>Xolmis dominicanus</w:t>
            </w:r>
            <w:r w:rsidR="000B023F" w:rsidRPr="003F7F6C">
              <w:rPr>
                <w:rFonts w:ascii="Calibri" w:hAnsi="Calibri" w:cs="Calibri"/>
                <w:i/>
                <w:iCs/>
                <w:sz w:val="18"/>
                <w:szCs w:val="18"/>
              </w:rPr>
              <w:t>)</w:t>
            </w:r>
            <w:r w:rsidRPr="003F7F6C">
              <w:rPr>
                <w:rFonts w:ascii="Calibri" w:hAnsi="Calibri" w:cs="Calibri"/>
                <w:sz w:val="18"/>
                <w:szCs w:val="18"/>
              </w:rPr>
              <w:t xml:space="preserve">, Olrog’s Gull </w:t>
            </w:r>
            <w:r w:rsidR="0003123C" w:rsidRPr="003F7F6C">
              <w:rPr>
                <w:rFonts w:ascii="Calibri" w:hAnsi="Calibri" w:cs="Calibri"/>
                <w:sz w:val="18"/>
                <w:szCs w:val="18"/>
              </w:rPr>
              <w:t>(</w:t>
            </w:r>
            <w:r w:rsidRPr="003F7F6C">
              <w:rPr>
                <w:rFonts w:ascii="Calibri" w:hAnsi="Calibri" w:cs="Calibri"/>
                <w:i/>
                <w:iCs/>
                <w:sz w:val="18"/>
                <w:szCs w:val="18"/>
              </w:rPr>
              <w:t>Larus atlanticus</w:t>
            </w:r>
            <w:r w:rsidR="000B023F" w:rsidRPr="003F7F6C">
              <w:rPr>
                <w:rFonts w:ascii="Calibri" w:hAnsi="Calibri" w:cs="Calibri"/>
                <w:i/>
                <w:iCs/>
                <w:sz w:val="18"/>
                <w:szCs w:val="18"/>
              </w:rPr>
              <w:t>)</w:t>
            </w:r>
            <w:r w:rsidRPr="003F7F6C">
              <w:rPr>
                <w:rFonts w:ascii="Calibri" w:hAnsi="Calibri" w:cs="Calibri"/>
                <w:sz w:val="18"/>
                <w:szCs w:val="18"/>
              </w:rPr>
              <w:t xml:space="preserve">, Magellanic Plover </w:t>
            </w:r>
            <w:r w:rsidR="0003123C" w:rsidRPr="003F7F6C">
              <w:rPr>
                <w:rFonts w:ascii="Calibri" w:hAnsi="Calibri" w:cs="Calibri"/>
                <w:sz w:val="18"/>
                <w:szCs w:val="18"/>
              </w:rPr>
              <w:t>(</w:t>
            </w:r>
            <w:r w:rsidRPr="003F7F6C">
              <w:rPr>
                <w:rFonts w:ascii="Calibri" w:hAnsi="Calibri" w:cs="Calibri"/>
                <w:i/>
                <w:iCs/>
                <w:sz w:val="18"/>
                <w:szCs w:val="18"/>
              </w:rPr>
              <w:t>Pluvianellus socialis</w:t>
            </w:r>
            <w:r w:rsidR="000B023F" w:rsidRPr="003F7F6C">
              <w:rPr>
                <w:rFonts w:ascii="Calibri" w:hAnsi="Calibri" w:cs="Calibri"/>
                <w:i/>
                <w:iCs/>
                <w:sz w:val="18"/>
                <w:szCs w:val="18"/>
              </w:rPr>
              <w:t>)</w:t>
            </w:r>
            <w:r w:rsidR="0003123C" w:rsidRPr="003F7F6C">
              <w:rPr>
                <w:rFonts w:ascii="Calibri" w:hAnsi="Calibri" w:cs="Calibri"/>
                <w:iCs/>
                <w:sz w:val="18"/>
                <w:szCs w:val="18"/>
              </w:rPr>
              <w:t>,</w:t>
            </w:r>
            <w:r w:rsidRPr="003F7F6C">
              <w:rPr>
                <w:rFonts w:ascii="Calibri" w:hAnsi="Calibri" w:cs="Calibri"/>
                <w:i/>
                <w:iCs/>
                <w:sz w:val="18"/>
                <w:szCs w:val="18"/>
              </w:rPr>
              <w:t xml:space="preserve"> </w:t>
            </w:r>
            <w:r w:rsidRPr="003F7F6C">
              <w:rPr>
                <w:rFonts w:ascii="Calibri" w:hAnsi="Calibri" w:cs="Calibri"/>
                <w:sz w:val="18"/>
                <w:szCs w:val="18"/>
              </w:rPr>
              <w:t xml:space="preserve">migratory shorebirds </w:t>
            </w:r>
          </w:p>
        </w:tc>
      </w:tr>
    </w:tbl>
    <w:p w14:paraId="60A1466E" w14:textId="77777777" w:rsidR="005823E8" w:rsidRPr="003F7F6C" w:rsidRDefault="005823E8" w:rsidP="005B2E89">
      <w:pPr>
        <w:spacing w:before="100" w:beforeAutospacing="1" w:after="100" w:afterAutospacing="1"/>
        <w:rPr>
          <w:rFonts w:cs="Calibri"/>
          <w:bCs/>
          <w:szCs w:val="20"/>
        </w:rPr>
      </w:pPr>
    </w:p>
    <w:p w14:paraId="2617CCCB" w14:textId="77777777" w:rsidR="00641B93" w:rsidRPr="003F7F6C" w:rsidRDefault="00641B93" w:rsidP="00973146">
      <w:pPr>
        <w:spacing w:before="100" w:beforeAutospacing="1" w:after="100" w:afterAutospacing="1"/>
        <w:rPr>
          <w:rFonts w:cs="Calibri"/>
          <w:bCs/>
          <w:szCs w:val="20"/>
        </w:rPr>
        <w:sectPr w:rsidR="00641B93" w:rsidRPr="003F7F6C" w:rsidSect="000B3D4F">
          <w:pgSz w:w="12240" w:h="15840" w:code="1"/>
          <w:pgMar w:top="1440" w:right="1440" w:bottom="1440" w:left="1440" w:header="720" w:footer="432" w:gutter="0"/>
          <w:cols w:space="708"/>
          <w:titlePg/>
          <w:docGrid w:linePitch="360"/>
        </w:sectPr>
      </w:pPr>
    </w:p>
    <w:p w14:paraId="7A18519F" w14:textId="2ABDD7F6" w:rsidR="00641B93" w:rsidRPr="003F7F6C" w:rsidRDefault="001029E1" w:rsidP="00641B93">
      <w:pPr>
        <w:spacing w:line="220" w:lineRule="exact"/>
        <w:rPr>
          <w:rFonts w:cs="Calibri"/>
        </w:rPr>
      </w:pPr>
      <w:r w:rsidRPr="003F7F6C">
        <w:rPr>
          <w:noProof/>
        </w:rPr>
        <mc:AlternateContent>
          <mc:Choice Requires="wps">
            <w:drawing>
              <wp:anchor distT="0" distB="0" distL="114300" distR="114300" simplePos="0" relativeHeight="251680768" behindDoc="0" locked="0" layoutInCell="1" allowOverlap="1" wp14:anchorId="7A193224" wp14:editId="5BEB6DEE">
                <wp:simplePos x="0" y="0"/>
                <wp:positionH relativeFrom="margin">
                  <wp:posOffset>6011056</wp:posOffset>
                </wp:positionH>
                <wp:positionV relativeFrom="paragraph">
                  <wp:posOffset>-569626</wp:posOffset>
                </wp:positionV>
                <wp:extent cx="1046917" cy="685800"/>
                <wp:effectExtent l="0" t="0" r="7620" b="12700"/>
                <wp:wrapNone/>
                <wp:docPr id="1926"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46917" cy="685800"/>
                        </a:xfrm>
                        <a:prstGeom prst="rect">
                          <a:avLst/>
                        </a:prstGeom>
                        <a:noFill/>
                        <a:ln>
                          <a:solidFill>
                            <a:srgbClr val="4BACC6"/>
                          </a:solidFill>
                        </a:ln>
                      </wps:spPr>
                      <wps:txbx>
                        <w:txbxContent>
                          <w:p w14:paraId="11300A00" w14:textId="77777777" w:rsidR="00A925EE" w:rsidRPr="00CE78A2" w:rsidRDefault="00A925EE" w:rsidP="00641B93">
                            <w:pPr>
                              <w:pStyle w:val="NormalWeb"/>
                              <w:spacing w:before="0" w:beforeAutospacing="0" w:after="0" w:afterAutospacing="0"/>
                              <w:jc w:val="center"/>
                              <w:rPr>
                                <w:rFonts w:ascii="Calibri" w:hAnsi="Calibri" w:cs="Calibri"/>
                                <w:sz w:val="16"/>
                                <w:szCs w:val="16"/>
                              </w:rPr>
                            </w:pPr>
                            <w:r w:rsidRPr="00CE78A2">
                              <w:rPr>
                                <w:rFonts w:ascii="Calibri" w:hAnsi="Calibri" w:cs="Calibri"/>
                                <w:bCs/>
                                <w:sz w:val="16"/>
                                <w:szCs w:val="16"/>
                              </w:rPr>
                              <w:t xml:space="preserve">128,370 has of land restored in the target landscapes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7A193224" id="_x0000_t202" coordsize="21600,21600" o:spt="202" path="m,l,21600r21600,l21600,xe">
                <v:stroke joinstyle="miter"/>
                <v:path gradientshapeok="t" o:connecttype="rect"/>
              </v:shapetype>
              <v:shape id="TextBox 100" o:spid="_x0000_s1026" type="#_x0000_t202" style="position:absolute;left:0;text-align:left;margin-left:473.3pt;margin-top:-44.85pt;width:82.45pt;height:54pt;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" filled="f" strokecolor="#4bacc6">
                <v:path arrowok="t"/>
                <v:textbox>
                  <w:txbxContent>
                    <w:p w14:paraId="11300A00" w14:textId="77777777" w:rsidR="00A925EE" w:rsidRPr="00CE78A2" w:rsidRDefault="00A925EE" w:rsidP="00641B93">
                      <w:pPr>
                        <w:pStyle w:val="NormalWeb"/>
                        <w:spacing w:before="0" w:beforeAutospacing="0" w:after="0" w:afterAutospacing="0"/>
                        <w:jc w:val="center"/>
                        <w:rPr>
                          <w:rFonts w:ascii="Calibri" w:hAnsi="Calibri" w:cs="Calibri"/>
                          <w:sz w:val="16"/>
                          <w:szCs w:val="16"/>
                        </w:rPr>
                      </w:pPr>
                      <w:r w:rsidRPr="00CE78A2">
                        <w:rPr>
                          <w:rFonts w:ascii="Calibri" w:hAnsi="Calibri" w:cs="Calibri"/>
                          <w:bCs/>
                          <w:sz w:val="16"/>
                          <w:szCs w:val="16"/>
                        </w:rPr>
                        <w:t xml:space="preserve">128,370 has of land restored in the target landscapes </w:t>
                      </w:r>
                    </w:p>
                  </w:txbxContent>
                </v:textbox>
                <w10:wrap anchorx="margin"/>
              </v:shape>
            </w:pict>
          </mc:Fallback>
        </mc:AlternateContent>
      </w:r>
      <w:r w:rsidRPr="003F7F6C">
        <w:rPr>
          <w:noProof/>
        </w:rPr>
        <mc:AlternateContent>
          <mc:Choice Requires="wps">
            <w:drawing>
              <wp:anchor distT="0" distB="0" distL="114300" distR="114300" simplePos="0" relativeHeight="251668480" behindDoc="0" locked="0" layoutInCell="1" allowOverlap="1" wp14:anchorId="4F5402B3" wp14:editId="70527343">
                <wp:simplePos x="0" y="0"/>
                <wp:positionH relativeFrom="margin">
                  <wp:posOffset>2098623</wp:posOffset>
                </wp:positionH>
                <wp:positionV relativeFrom="paragraph">
                  <wp:posOffset>-622092</wp:posOffset>
                </wp:positionV>
                <wp:extent cx="1618938" cy="800100"/>
                <wp:effectExtent l="0" t="0" r="6985" b="12700"/>
                <wp:wrapNone/>
                <wp:docPr id="1923"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18938" cy="800100"/>
                        </a:xfrm>
                        <a:prstGeom prst="rect">
                          <a:avLst/>
                        </a:prstGeom>
                        <a:noFill/>
                        <a:ln>
                          <a:solidFill>
                            <a:srgbClr val="4BACC6"/>
                          </a:solidFill>
                        </a:ln>
                      </wps:spPr>
                      <wps:txbx>
                        <w:txbxContent>
                          <w:p w14:paraId="04684F20" w14:textId="7F02E439" w:rsidR="00A925EE" w:rsidRPr="00CE78A2" w:rsidRDefault="00A925EE" w:rsidP="00641B93">
                            <w:pPr>
                              <w:pStyle w:val="NormalWeb"/>
                              <w:spacing w:before="0" w:beforeAutospacing="0" w:after="0" w:afterAutospacing="0"/>
                              <w:jc w:val="center"/>
                              <w:rPr>
                                <w:rFonts w:ascii="Calibri" w:hAnsi="Calibri" w:cs="Calibri"/>
                                <w:color w:val="FF0000"/>
                                <w:sz w:val="16"/>
                                <w:szCs w:val="16"/>
                              </w:rPr>
                            </w:pPr>
                            <w:r w:rsidRPr="00A14F73">
                              <w:rPr>
                                <w:rFonts w:ascii="Calibri" w:hAnsi="Calibri" w:cs="Calibri"/>
                                <w:bCs/>
                                <w:sz w:val="16"/>
                                <w:szCs w:val="16"/>
                              </w:rPr>
                              <w:t xml:space="preserve">Additional 507,926 </w:t>
                            </w:r>
                            <w:r w:rsidRPr="00407156">
                              <w:rPr>
                                <w:rFonts w:ascii="Calibri" w:hAnsi="Calibri" w:cs="Calibri"/>
                                <w:bCs/>
                                <w:sz w:val="16"/>
                                <w:szCs w:val="16"/>
                              </w:rPr>
                              <w:t xml:space="preserve">has in the three pilot provinces </w:t>
                            </w:r>
                            <w:r w:rsidRPr="00407156">
                              <w:rPr>
                                <w:rFonts w:ascii="Calibri" w:hAnsi="Calibri" w:cs="Calibri"/>
                                <w:sz w:val="16"/>
                                <w:szCs w:val="16"/>
                              </w:rPr>
                              <w:t>where upscaling is expected due to project dissemination activities and co-financing</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F5402B3" id="_x0000_s1027" type="#_x0000_t202" style="position:absolute;left:0;text-align:left;margin-left:165.25pt;margin-top:-49pt;width:127.5pt;height:63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" filled="f" strokecolor="#4bacc6">
                <v:path arrowok="t"/>
                <v:textbox>
                  <w:txbxContent>
                    <w:p w14:paraId="04684F20" w14:textId="7F02E439" w:rsidR="00A925EE" w:rsidRPr="00CE78A2" w:rsidRDefault="00A925EE" w:rsidP="00641B93">
                      <w:pPr>
                        <w:pStyle w:val="NormalWeb"/>
                        <w:spacing w:before="0" w:beforeAutospacing="0" w:after="0" w:afterAutospacing="0"/>
                        <w:jc w:val="center"/>
                        <w:rPr>
                          <w:rFonts w:ascii="Calibri" w:hAnsi="Calibri" w:cs="Calibri"/>
                          <w:color w:val="FF0000"/>
                          <w:sz w:val="16"/>
                          <w:szCs w:val="16"/>
                        </w:rPr>
                      </w:pPr>
                      <w:r w:rsidRPr="00A14F73">
                        <w:rPr>
                          <w:rFonts w:ascii="Calibri" w:hAnsi="Calibri" w:cs="Calibri"/>
                          <w:bCs/>
                          <w:sz w:val="16"/>
                          <w:szCs w:val="16"/>
                        </w:rPr>
                        <w:t xml:space="preserve">Additional 507,926 </w:t>
                      </w:r>
                      <w:r w:rsidRPr="00407156">
                        <w:rPr>
                          <w:rFonts w:ascii="Calibri" w:hAnsi="Calibri" w:cs="Calibri"/>
                          <w:bCs/>
                          <w:sz w:val="16"/>
                          <w:szCs w:val="16"/>
                        </w:rPr>
                        <w:t xml:space="preserve">has in the three pilot provinces </w:t>
                      </w:r>
                      <w:r w:rsidRPr="00407156">
                        <w:rPr>
                          <w:rFonts w:ascii="Calibri" w:hAnsi="Calibri" w:cs="Calibri"/>
                          <w:sz w:val="16"/>
                          <w:szCs w:val="16"/>
                        </w:rPr>
                        <w:t>where upscaling is expected due to project dissemination activities and co-financing</w:t>
                      </w:r>
                    </w:p>
                  </w:txbxContent>
                </v:textbox>
                <w10:wrap anchorx="margin"/>
              </v:shape>
            </w:pict>
          </mc:Fallback>
        </mc:AlternateContent>
      </w:r>
      <w:r w:rsidRPr="003F7F6C">
        <w:rPr>
          <w:noProof/>
        </w:rPr>
        <mc:AlternateContent>
          <mc:Choice Requires="wps">
            <w:drawing>
              <wp:anchor distT="0" distB="0" distL="114300" distR="114300" simplePos="0" relativeHeight="251679744" behindDoc="0" locked="0" layoutInCell="1" allowOverlap="1" wp14:anchorId="72510512" wp14:editId="3383059F">
                <wp:simplePos x="0" y="0"/>
                <wp:positionH relativeFrom="margin">
                  <wp:posOffset>3795520</wp:posOffset>
                </wp:positionH>
                <wp:positionV relativeFrom="paragraph">
                  <wp:posOffset>-569595</wp:posOffset>
                </wp:positionV>
                <wp:extent cx="2103932" cy="685800"/>
                <wp:effectExtent l="0" t="0" r="17145" b="12700"/>
                <wp:wrapNone/>
                <wp:docPr id="1925"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03932" cy="685800"/>
                        </a:xfrm>
                        <a:prstGeom prst="rect">
                          <a:avLst/>
                        </a:prstGeom>
                        <a:noFill/>
                        <a:ln>
                          <a:solidFill>
                            <a:srgbClr val="4BACC6"/>
                          </a:solidFill>
                        </a:ln>
                      </wps:spPr>
                      <wps:txbx>
                        <w:txbxContent>
                          <w:p w14:paraId="3E64EF9D" w14:textId="2A3B40EA" w:rsidR="00A925EE" w:rsidRPr="00641B93" w:rsidRDefault="00A925EE" w:rsidP="00641B93">
                            <w:pPr>
                              <w:pStyle w:val="NormalWeb"/>
                              <w:spacing w:before="0" w:beforeAutospacing="0" w:after="0" w:afterAutospacing="0"/>
                              <w:jc w:val="center"/>
                              <w:rPr>
                                <w:rFonts w:ascii="Calibri" w:hAnsi="Calibri" w:cs="Calibri"/>
                                <w:sz w:val="16"/>
                                <w:szCs w:val="16"/>
                              </w:rPr>
                            </w:pPr>
                            <w:r>
                              <w:rPr>
                                <w:rFonts w:ascii="Calibri" w:hAnsi="Calibri" w:cs="Calibri"/>
                                <w:bCs/>
                                <w:sz w:val="16"/>
                                <w:szCs w:val="16"/>
                              </w:rPr>
                              <w:t>613,128</w:t>
                            </w:r>
                            <w:r w:rsidRPr="00641B93">
                              <w:rPr>
                                <w:rFonts w:ascii="Calibri" w:hAnsi="Calibri" w:cs="Calibri"/>
                                <w:bCs/>
                                <w:sz w:val="16"/>
                                <w:szCs w:val="16"/>
                              </w:rPr>
                              <w:t xml:space="preserve"> has in the target landscapes under improved practices to benefit BD and SLM in production systems</w:t>
                            </w:r>
                            <w:r>
                              <w:rPr>
                                <w:rFonts w:ascii="Calibri" w:hAnsi="Calibri" w:cs="Calibri"/>
                                <w:bCs/>
                                <w:sz w:val="16"/>
                                <w:szCs w:val="16"/>
                              </w:rPr>
                              <w:t xml:space="preserve"> and where </w:t>
                            </w:r>
                            <w:r w:rsidRPr="00641B93">
                              <w:rPr>
                                <w:rFonts w:ascii="Calibri" w:hAnsi="Calibri" w:cs="Calibri"/>
                                <w:bCs/>
                                <w:sz w:val="16"/>
                                <w:szCs w:val="16"/>
                              </w:rPr>
                              <w:t>BD conservation and LD reduction benefits accrued</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2510512" id="_x0000_s1028" type="#_x0000_t202" style="position:absolute;left:0;text-align:left;margin-left:298.85pt;margin-top:-44.85pt;width:165.65pt;height:54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" filled="f" strokecolor="#4bacc6">
                <v:path arrowok="t"/>
                <v:textbox>
                  <w:txbxContent>
                    <w:p w14:paraId="3E64EF9D" w14:textId="2A3B40EA" w:rsidR="00A925EE" w:rsidRPr="00641B93" w:rsidRDefault="00A925EE" w:rsidP="00641B93">
                      <w:pPr>
                        <w:pStyle w:val="NormalWeb"/>
                        <w:spacing w:before="0" w:beforeAutospacing="0" w:after="0" w:afterAutospacing="0"/>
                        <w:jc w:val="center"/>
                        <w:rPr>
                          <w:rFonts w:ascii="Calibri" w:hAnsi="Calibri" w:cs="Calibri"/>
                          <w:sz w:val="16"/>
                          <w:szCs w:val="16"/>
                        </w:rPr>
                      </w:pPr>
                      <w:r>
                        <w:rPr>
                          <w:rFonts w:ascii="Calibri" w:hAnsi="Calibri" w:cs="Calibri"/>
                          <w:bCs/>
                          <w:sz w:val="16"/>
                          <w:szCs w:val="16"/>
                        </w:rPr>
                        <w:t>613,128</w:t>
                      </w:r>
                      <w:r w:rsidRPr="00641B93">
                        <w:rPr>
                          <w:rFonts w:ascii="Calibri" w:hAnsi="Calibri" w:cs="Calibri"/>
                          <w:bCs/>
                          <w:sz w:val="16"/>
                          <w:szCs w:val="16"/>
                        </w:rPr>
                        <w:t xml:space="preserve"> has in the target landscapes under improved practices to benefit BD and SLM in production systems</w:t>
                      </w:r>
                      <w:r>
                        <w:rPr>
                          <w:rFonts w:ascii="Calibri" w:hAnsi="Calibri" w:cs="Calibri"/>
                          <w:bCs/>
                          <w:sz w:val="16"/>
                          <w:szCs w:val="16"/>
                        </w:rPr>
                        <w:t xml:space="preserve"> and where </w:t>
                      </w:r>
                      <w:r w:rsidRPr="00641B93">
                        <w:rPr>
                          <w:rFonts w:ascii="Calibri" w:hAnsi="Calibri" w:cs="Calibri"/>
                          <w:bCs/>
                          <w:sz w:val="16"/>
                          <w:szCs w:val="16"/>
                        </w:rPr>
                        <w:t>BD conservation and LD reduction benefits accrued</w:t>
                      </w:r>
                    </w:p>
                  </w:txbxContent>
                </v:textbox>
                <w10:wrap anchorx="margin"/>
              </v:shape>
            </w:pict>
          </mc:Fallback>
        </mc:AlternateContent>
      </w:r>
      <w:r w:rsidR="008659EB" w:rsidRPr="003F7F6C">
        <w:rPr>
          <w:noProof/>
        </w:rPr>
        <mc:AlternateContent>
          <mc:Choice Requires="wps">
            <w:drawing>
              <wp:anchor distT="0" distB="0" distL="114300" distR="114300" simplePos="0" relativeHeight="251681792" behindDoc="0" locked="0" layoutInCell="1" allowOverlap="1" wp14:anchorId="5AA45F4D" wp14:editId="4A12F60D">
                <wp:simplePos x="0" y="0"/>
                <wp:positionH relativeFrom="margin">
                  <wp:posOffset>7128510</wp:posOffset>
                </wp:positionH>
                <wp:positionV relativeFrom="paragraph">
                  <wp:posOffset>-577850</wp:posOffset>
                </wp:positionV>
                <wp:extent cx="1386205" cy="694055"/>
                <wp:effectExtent l="0" t="0" r="0" b="4445"/>
                <wp:wrapNone/>
                <wp:docPr id="1927"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86205" cy="694055"/>
                        </a:xfrm>
                        <a:prstGeom prst="rect">
                          <a:avLst/>
                        </a:prstGeom>
                        <a:noFill/>
                        <a:ln>
                          <a:solidFill>
                            <a:srgbClr val="4BACC6"/>
                          </a:solidFill>
                        </a:ln>
                      </wps:spPr>
                      <wps:txbx>
                        <w:txbxContent>
                          <w:p w14:paraId="0275CCA2" w14:textId="70BAA887" w:rsidR="00A925EE" w:rsidRPr="00641B93" w:rsidRDefault="00A925EE" w:rsidP="00641B93">
                            <w:pPr>
                              <w:pStyle w:val="NormalWeb"/>
                              <w:spacing w:before="0" w:beforeAutospacing="0" w:after="0" w:afterAutospacing="0"/>
                              <w:jc w:val="center"/>
                              <w:rPr>
                                <w:rFonts w:ascii="Calibri" w:hAnsi="Calibri" w:cs="Calibri"/>
                                <w:sz w:val="16"/>
                                <w:szCs w:val="16"/>
                              </w:rPr>
                            </w:pPr>
                            <w:r w:rsidRPr="00641B93">
                              <w:rPr>
                                <w:rFonts w:ascii="Calibri" w:hAnsi="Calibri" w:cs="Calibri"/>
                                <w:bCs/>
                                <w:sz w:val="16"/>
                                <w:szCs w:val="16"/>
                              </w:rPr>
                              <w:t xml:space="preserve">11,665 direct project beneficiaries improve their livelihoods (20% increase in </w:t>
                            </w:r>
                            <w:r>
                              <w:rPr>
                                <w:rFonts w:ascii="Calibri" w:hAnsi="Calibri" w:cs="Calibri"/>
                                <w:bCs/>
                                <w:sz w:val="16"/>
                                <w:szCs w:val="16"/>
                              </w:rPr>
                              <w:t>Sustainable Livelihoods Framework</w:t>
                            </w:r>
                            <w:r w:rsidRPr="00641B93">
                              <w:rPr>
                                <w:rFonts w:ascii="Calibri" w:hAnsi="Calibri" w:cs="Calibri"/>
                                <w:bCs/>
                                <w:sz w:val="16"/>
                                <w:szCs w:val="16"/>
                              </w:rPr>
                              <w:t xml:space="preserve"> Index</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AA45F4D" id="_x0000_s1029" type="#_x0000_t202" style="position:absolute;left:0;text-align:left;margin-left:561.3pt;margin-top:-45.5pt;width:109.15pt;height:54.65pt;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" filled="f" strokecolor="#4bacc6">
                <v:path arrowok="t"/>
                <v:textbox>
                  <w:txbxContent>
                    <w:p w14:paraId="0275CCA2" w14:textId="70BAA887" w:rsidR="00A925EE" w:rsidRPr="00641B93" w:rsidRDefault="00A925EE" w:rsidP="00641B93">
                      <w:pPr>
                        <w:pStyle w:val="NormalWeb"/>
                        <w:spacing w:before="0" w:beforeAutospacing="0" w:after="0" w:afterAutospacing="0"/>
                        <w:jc w:val="center"/>
                        <w:rPr>
                          <w:rFonts w:ascii="Calibri" w:hAnsi="Calibri" w:cs="Calibri"/>
                          <w:sz w:val="16"/>
                          <w:szCs w:val="16"/>
                        </w:rPr>
                      </w:pPr>
                      <w:r w:rsidRPr="00641B93">
                        <w:rPr>
                          <w:rFonts w:ascii="Calibri" w:hAnsi="Calibri" w:cs="Calibri"/>
                          <w:bCs/>
                          <w:sz w:val="16"/>
                          <w:szCs w:val="16"/>
                        </w:rPr>
                        <w:t xml:space="preserve">11,665 direct project beneficiaries improve their livelihoods (20% increase in </w:t>
                      </w:r>
                      <w:r>
                        <w:rPr>
                          <w:rFonts w:ascii="Calibri" w:hAnsi="Calibri" w:cs="Calibri"/>
                          <w:bCs/>
                          <w:sz w:val="16"/>
                          <w:szCs w:val="16"/>
                        </w:rPr>
                        <w:t>Sustainable Livelihoods Framework</w:t>
                      </w:r>
                      <w:r w:rsidRPr="00641B93">
                        <w:rPr>
                          <w:rFonts w:ascii="Calibri" w:hAnsi="Calibri" w:cs="Calibri"/>
                          <w:bCs/>
                          <w:sz w:val="16"/>
                          <w:szCs w:val="16"/>
                        </w:rPr>
                        <w:t xml:space="preserve"> Index</w:t>
                      </w:r>
                    </w:p>
                  </w:txbxContent>
                </v:textbox>
                <w10:wrap anchorx="margin"/>
              </v:shape>
            </w:pict>
          </mc:Fallback>
        </mc:AlternateContent>
      </w:r>
      <w:r w:rsidR="008659EB" w:rsidRPr="003F7F6C">
        <w:rPr>
          <w:noProof/>
        </w:rPr>
        <mc:AlternateContent>
          <mc:Choice Requires="wps">
            <w:drawing>
              <wp:anchor distT="0" distB="0" distL="114300" distR="114300" simplePos="0" relativeHeight="251635712" behindDoc="0" locked="0" layoutInCell="1" allowOverlap="1" wp14:anchorId="2AB9EB5D" wp14:editId="39870C14">
                <wp:simplePos x="0" y="0"/>
                <wp:positionH relativeFrom="margin">
                  <wp:posOffset>349250</wp:posOffset>
                </wp:positionH>
                <wp:positionV relativeFrom="paragraph">
                  <wp:posOffset>-609600</wp:posOffset>
                </wp:positionV>
                <wp:extent cx="1676400" cy="800100"/>
                <wp:effectExtent l="0" t="0" r="0" b="0"/>
                <wp:wrapNone/>
                <wp:docPr id="1922" name="TextBox 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76400" cy="800100"/>
                        </a:xfrm>
                        <a:prstGeom prst="rect">
                          <a:avLst/>
                        </a:prstGeom>
                        <a:noFill/>
                        <a:ln>
                          <a:solidFill>
                            <a:srgbClr val="4472C4"/>
                          </a:solidFill>
                        </a:ln>
                      </wps:spPr>
                      <wps:txbx>
                        <w:txbxContent>
                          <w:p w14:paraId="7433CD75" w14:textId="1CBBBAF3" w:rsidR="00A925EE" w:rsidRPr="00641B93" w:rsidRDefault="00A925EE" w:rsidP="00641B93">
                            <w:pPr>
                              <w:pStyle w:val="NormalWeb"/>
                              <w:spacing w:before="0" w:beforeAutospacing="0" w:after="0" w:afterAutospacing="0"/>
                              <w:jc w:val="center"/>
                              <w:rPr>
                                <w:rFonts w:ascii="Calibri" w:hAnsi="Calibri" w:cs="Calibri"/>
                                <w:sz w:val="16"/>
                                <w:szCs w:val="16"/>
                              </w:rPr>
                            </w:pPr>
                            <w:r>
                              <w:rPr>
                                <w:rFonts w:ascii="Calibri" w:hAnsi="Calibri" w:cs="Calibri"/>
                                <w:bCs/>
                                <w:sz w:val="16"/>
                                <w:szCs w:val="16"/>
                              </w:rPr>
                              <w:t>5,079,260</w:t>
                            </w:r>
                            <w:r w:rsidRPr="00641B93">
                              <w:rPr>
                                <w:rFonts w:ascii="Calibri" w:hAnsi="Calibri" w:cs="Calibri"/>
                                <w:bCs/>
                                <w:sz w:val="16"/>
                                <w:szCs w:val="16"/>
                              </w:rPr>
                              <w:t xml:space="preserve"> has where ELUP has been agreed upon and implemented in priority landscapes of the three pilot provinces</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AB9EB5D" id="TextBox 86" o:spid="_x0000_s1030" type="#_x0000_t202" style="position:absolute;left:0;text-align:left;margin-left:27.5pt;margin-top:-48pt;width:132pt;height:63pt;z-index:2516357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" filled="f" strokecolor="#4472c4">
                <v:path arrowok="t"/>
                <v:textbox>
                  <w:txbxContent>
                    <w:p w14:paraId="7433CD75" w14:textId="1CBBBAF3" w:rsidR="00A925EE" w:rsidRPr="00641B93" w:rsidRDefault="00A925EE" w:rsidP="00641B93">
                      <w:pPr>
                        <w:pStyle w:val="NormalWeb"/>
                        <w:spacing w:before="0" w:beforeAutospacing="0" w:after="0" w:afterAutospacing="0"/>
                        <w:jc w:val="center"/>
                        <w:rPr>
                          <w:rFonts w:ascii="Calibri" w:hAnsi="Calibri" w:cs="Calibri"/>
                          <w:sz w:val="16"/>
                          <w:szCs w:val="16"/>
                        </w:rPr>
                      </w:pPr>
                      <w:r>
                        <w:rPr>
                          <w:rFonts w:ascii="Calibri" w:hAnsi="Calibri" w:cs="Calibri"/>
                          <w:bCs/>
                          <w:sz w:val="16"/>
                          <w:szCs w:val="16"/>
                        </w:rPr>
                        <w:t>5,079,260</w:t>
                      </w:r>
                      <w:r w:rsidRPr="00641B93">
                        <w:rPr>
                          <w:rFonts w:ascii="Calibri" w:hAnsi="Calibri" w:cs="Calibri"/>
                          <w:bCs/>
                          <w:sz w:val="16"/>
                          <w:szCs w:val="16"/>
                        </w:rPr>
                        <w:t xml:space="preserve"> has where ELUP has been agreed upon and implemented in priority landscapes of the three pilot provinces</w:t>
                      </w:r>
                    </w:p>
                  </w:txbxContent>
                </v:textbox>
                <w10:wrap anchorx="margin"/>
              </v:shape>
            </w:pict>
          </mc:Fallback>
        </mc:AlternateContent>
      </w:r>
      <w:r w:rsidR="008659EB" w:rsidRPr="003F7F6C">
        <w:rPr>
          <w:noProof/>
        </w:rPr>
        <mc:AlternateContent>
          <mc:Choice Requires="wps">
            <w:drawing>
              <wp:anchor distT="0" distB="0" distL="114300" distR="114300" simplePos="0" relativeHeight="251633664" behindDoc="0" locked="0" layoutInCell="1" allowOverlap="1" wp14:anchorId="0CE72513" wp14:editId="1A85FA29">
                <wp:simplePos x="0" y="0"/>
                <wp:positionH relativeFrom="margin">
                  <wp:posOffset>4230370</wp:posOffset>
                </wp:positionH>
                <wp:positionV relativeFrom="paragraph">
                  <wp:posOffset>-713740</wp:posOffset>
                </wp:positionV>
                <wp:extent cx="322580" cy="8242300"/>
                <wp:effectExtent l="2540" t="0" r="0" b="0"/>
                <wp:wrapNone/>
                <wp:docPr id="1919" name="Left Brace 1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322580" cy="8242300"/>
                        </a:xfrm>
                        <a:prstGeom prst="leftBrace">
                          <a:avLst>
                            <a:gd name="adj1" fmla="val 8333"/>
                            <a:gd name="adj2" fmla="val 51973"/>
                          </a:avLst>
                        </a:prstGeom>
                        <a:noFill/>
                        <a:ln w="9525" cap="flat" cmpd="sng" algn="ctr">
                          <a:solidFill>
                            <a:srgbClr val="4F81BD">
                              <a:shade val="95000"/>
                              <a:satMod val="105000"/>
                            </a:srgbClr>
                          </a:solidFill>
                          <a:prstDash val="solid"/>
                        </a:ln>
                        <a:effectLst/>
                      </wps:spPr>
                      <wps:bodyPr rtlCol="0" anchor="ctr"/>
                    </wps:wsp>
                  </a:graphicData>
                </a:graphic>
                <wp14:sizeRelH relativeFrom="page">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74F44F2A"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Left Brace 147" o:spid="_x0000_s1026" type="#_x0000_t87" style="position:absolute;margin-left:333.1pt;margin-top:-56.2pt;width:25.4pt;height:649pt;rotation:-90;z-index:2516367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" adj="70,11226" strokecolor="#4a7ebb">
                <w10:wrap anchorx="margin"/>
              </v:shape>
            </w:pict>
          </mc:Fallback>
        </mc:AlternateContent>
      </w:r>
      <w:r w:rsidR="008659EB" w:rsidRPr="003F7F6C">
        <w:rPr>
          <w:noProof/>
        </w:rPr>
        <mc:AlternateContent>
          <mc:Choice Requires="wps">
            <w:drawing>
              <wp:anchor distT="0" distB="0" distL="114300" distR="114300" simplePos="0" relativeHeight="251657216" behindDoc="0" locked="0" layoutInCell="1" allowOverlap="1" wp14:anchorId="20DAA979" wp14:editId="7FA451BB">
                <wp:simplePos x="0" y="0"/>
                <wp:positionH relativeFrom="margin">
                  <wp:posOffset>-698500</wp:posOffset>
                </wp:positionH>
                <wp:positionV relativeFrom="paragraph">
                  <wp:posOffset>-457200</wp:posOffset>
                </wp:positionV>
                <wp:extent cx="861695" cy="457200"/>
                <wp:effectExtent l="12700" t="12700" r="1905" b="0"/>
                <wp:wrapNone/>
                <wp:docPr id="1918"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457200"/>
                        </a:xfrm>
                        <a:prstGeom prst="rect">
                          <a:avLst/>
                        </a:prstGeom>
                        <a:solidFill>
                          <a:sysClr val="window" lastClr="FFFFFF"/>
                        </a:solidFill>
                        <a:ln w="25400" cap="flat" cmpd="sng" algn="ctr">
                          <a:solidFill>
                            <a:srgbClr val="4472C4"/>
                          </a:solidFill>
                          <a:prstDash val="solid"/>
                        </a:ln>
                        <a:effectLst/>
                      </wps:spPr>
                      <wps:txbx>
                        <w:txbxContent>
                          <w:p w14:paraId="69802500" w14:textId="77777777" w:rsidR="00A925EE" w:rsidRPr="00641B93" w:rsidRDefault="00A925EE" w:rsidP="00641B93">
                            <w:pPr>
                              <w:pStyle w:val="NormalWeb"/>
                              <w:spacing w:before="0" w:beforeAutospacing="0" w:after="0" w:afterAutospacing="0"/>
                              <w:jc w:val="center"/>
                              <w:rPr>
                                <w:rFonts w:ascii="Calibri" w:hAnsi="Calibri" w:cs="Calibri"/>
                                <w:sz w:val="16"/>
                                <w:szCs w:val="16"/>
                              </w:rPr>
                            </w:pPr>
                            <w:r w:rsidRPr="00641B93">
                              <w:rPr>
                                <w:rFonts w:ascii="Calibri" w:hAnsi="Calibri" w:cs="Calibri"/>
                                <w:b/>
                                <w:bCs/>
                                <w:color w:val="000000"/>
                                <w:kern w:val="24"/>
                                <w:sz w:val="16"/>
                                <w:szCs w:val="16"/>
                              </w:rPr>
                              <w:t>Project Impacts</w:t>
                            </w:r>
                          </w:p>
                        </w:txbxContent>
                      </wps:txbx>
                      <wps:bodyPr lIns="121789" tIns="60894" rIns="121789" bIns="60894" spcCol="0" rtlCol="0" anchor="ctr">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0DAA979" id="10 Rectángulo" o:spid="_x0000_s1031" style="position:absolute;left:0;text-align:left;margin-left:-55pt;margin-top:-36pt;width:67.85pt;height:36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" fillcolor="window" strokecolor="#4472c4" strokeweight="2pt">
                <v:path arrowok="t"/>
                <v:textbox inset="3.38303mm,1.6915mm,3.38303mm,1.6915mm">
                  <w:txbxContent>
                    <w:p w14:paraId="69802500" w14:textId="77777777" w:rsidR="00A925EE" w:rsidRPr="00641B93" w:rsidRDefault="00A925EE" w:rsidP="00641B93">
                      <w:pPr>
                        <w:pStyle w:val="NormalWeb"/>
                        <w:spacing w:before="0" w:beforeAutospacing="0" w:after="0" w:afterAutospacing="0"/>
                        <w:jc w:val="center"/>
                        <w:rPr>
                          <w:rFonts w:ascii="Calibri" w:hAnsi="Calibri" w:cs="Calibri"/>
                          <w:sz w:val="16"/>
                          <w:szCs w:val="16"/>
                        </w:rPr>
                      </w:pPr>
                      <w:r w:rsidRPr="00641B93">
                        <w:rPr>
                          <w:rFonts w:ascii="Calibri" w:hAnsi="Calibri" w:cs="Calibri"/>
                          <w:b/>
                          <w:bCs/>
                          <w:color w:val="000000"/>
                          <w:kern w:val="24"/>
                          <w:sz w:val="16"/>
                          <w:szCs w:val="16"/>
                        </w:rPr>
                        <w:t>Project Impacts</w:t>
                      </w:r>
                    </w:p>
                  </w:txbxContent>
                </v:textbox>
                <w10:wrap anchorx="margin"/>
              </v:rect>
            </w:pict>
          </mc:Fallback>
        </mc:AlternateContent>
      </w:r>
    </w:p>
    <w:p w14:paraId="120044B7" w14:textId="77777777" w:rsidR="00641B93" w:rsidRPr="003F7F6C" w:rsidRDefault="008659EB" w:rsidP="00641B93">
      <w:pPr>
        <w:spacing w:line="220" w:lineRule="exact"/>
        <w:rPr>
          <w:rFonts w:cs="Calibri"/>
        </w:rPr>
      </w:pPr>
      <w:r w:rsidRPr="003F7F6C">
        <w:rPr>
          <w:noProof/>
        </w:rPr>
        <mc:AlternateContent>
          <mc:Choice Requires="wps">
            <w:drawing>
              <wp:anchor distT="0" distB="0" distL="114300" distR="114300" simplePos="0" relativeHeight="251632640" behindDoc="0" locked="0" layoutInCell="1" allowOverlap="1" wp14:anchorId="5DE07DC6" wp14:editId="0846051A">
                <wp:simplePos x="0" y="0"/>
                <wp:positionH relativeFrom="margin">
                  <wp:posOffset>4248150</wp:posOffset>
                </wp:positionH>
                <wp:positionV relativeFrom="paragraph">
                  <wp:posOffset>39370</wp:posOffset>
                </wp:positionV>
                <wp:extent cx="209550" cy="7768590"/>
                <wp:effectExtent l="5080" t="0" r="0" b="0"/>
                <wp:wrapNone/>
                <wp:docPr id="1917" name="Left Brace 1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5400000">
                          <a:off x="0" y="0"/>
                          <a:ext cx="209550" cy="7768590"/>
                        </a:xfrm>
                        <a:prstGeom prst="leftBrace">
                          <a:avLst>
                            <a:gd name="adj1" fmla="val 8333"/>
                            <a:gd name="adj2" fmla="val 47516"/>
                          </a:avLst>
                        </a:prstGeom>
                        <a:noFill/>
                        <a:ln w="9525" cap="flat" cmpd="sng" algn="ctr">
                          <a:solidFill>
                            <a:srgbClr val="4F81BD">
                              <a:shade val="95000"/>
                              <a:satMod val="105000"/>
                            </a:srgbClr>
                          </a:solidFill>
                          <a:prstDash val="solid"/>
                        </a:ln>
                        <a:effectLst/>
                      </wps:spPr>
                      <wps:bodyPr wrap="square" rtlCol="0" anchor="ctr">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4BFDC08" id="Left Brace 145" o:spid="_x0000_s1026" type="#_x0000_t87" style="position:absolute;margin-left:334.5pt;margin-top:3.1pt;width:16.5pt;height:611.7pt;rotation:90;z-index:2516357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" adj="49,10263" strokecolor="#4a7ebb">
                <w10:wrap anchorx="margin"/>
              </v:shape>
            </w:pict>
          </mc:Fallback>
        </mc:AlternateContent>
      </w:r>
      <w:r w:rsidRPr="003F7F6C">
        <w:rPr>
          <w:noProof/>
        </w:rPr>
        <mc:AlternateContent>
          <mc:Choice Requires="wps">
            <w:drawing>
              <wp:anchor distT="0" distB="0" distL="114300" distR="114300" simplePos="0" relativeHeight="251673600" behindDoc="0" locked="0" layoutInCell="1" allowOverlap="1" wp14:anchorId="013E66B4" wp14:editId="51F6B9F7">
                <wp:simplePos x="0" y="0"/>
                <wp:positionH relativeFrom="margin">
                  <wp:posOffset>7105650</wp:posOffset>
                </wp:positionH>
                <wp:positionV relativeFrom="paragraph">
                  <wp:posOffset>95250</wp:posOffset>
                </wp:positionV>
                <wp:extent cx="1308100" cy="2863850"/>
                <wp:effectExtent l="12700" t="12700" r="0" b="6350"/>
                <wp:wrapNone/>
                <wp:docPr id="1916" name="Rounded Rectangle 1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08100" cy="2863850"/>
                        </a:xfrm>
                        <a:prstGeom prst="roundRect">
                          <a:avLst/>
                        </a:prstGeom>
                        <a:noFill/>
                        <a:ln w="25400" cap="flat" cmpd="sng" algn="ctr">
                          <a:solidFill>
                            <a:srgbClr val="4F81BD">
                              <a:shade val="50000"/>
                            </a:srgbClr>
                          </a:solidFill>
                          <a:prstDash val="sysDot"/>
                        </a:ln>
                        <a:effectLst/>
                      </wps:spPr>
                      <wps:bodyPr rtlCol="0" anchor="ct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003813CF" id="Rounded Rectangle 187" o:spid="_x0000_s1026" style="position:absolute;margin-left:559.5pt;margin-top:7.5pt;width:103pt;height:225.5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" filled="f" strokecolor="#385d8a" strokeweight="2pt">
                <v:stroke dashstyle="1 1"/>
                <v:path arrowok="t"/>
                <w10:wrap anchorx="margin"/>
              </v:roundrect>
            </w:pict>
          </mc:Fallback>
        </mc:AlternateContent>
      </w:r>
      <w:r w:rsidRPr="003F7F6C">
        <w:rPr>
          <w:noProof/>
        </w:rPr>
        <mc:AlternateContent>
          <mc:Choice Requires="wps">
            <w:drawing>
              <wp:anchor distT="0" distB="0" distL="114300" distR="114300" simplePos="0" relativeHeight="251672576" behindDoc="0" locked="0" layoutInCell="1" allowOverlap="1" wp14:anchorId="014929E1" wp14:editId="6ED83FF4">
                <wp:simplePos x="0" y="0"/>
                <wp:positionH relativeFrom="margin">
                  <wp:posOffset>5092700</wp:posOffset>
                </wp:positionH>
                <wp:positionV relativeFrom="paragraph">
                  <wp:posOffset>95250</wp:posOffset>
                </wp:positionV>
                <wp:extent cx="1885950" cy="2863850"/>
                <wp:effectExtent l="12700" t="12700" r="6350" b="6350"/>
                <wp:wrapNone/>
                <wp:docPr id="1915" name="Rounded Rectangle 1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85950" cy="2863850"/>
                        </a:xfrm>
                        <a:prstGeom prst="roundRect">
                          <a:avLst/>
                        </a:prstGeom>
                        <a:noFill/>
                        <a:ln w="25400" cap="flat" cmpd="sng" algn="ctr">
                          <a:solidFill>
                            <a:srgbClr val="4F81BD">
                              <a:shade val="50000"/>
                            </a:srgbClr>
                          </a:solidFill>
                          <a:prstDash val="sysDot"/>
                        </a:ln>
                        <a:effectLst/>
                      </wps:spPr>
                      <wps:bodyPr rtlCol="0" anchor="ct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579037AE" id="Rounded Rectangle 187" o:spid="_x0000_s1026" style="position:absolute;margin-left:401pt;margin-top:7.5pt;width:148.5pt;height:225.5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" filled="f" strokecolor="#385d8a" strokeweight="2pt">
                <v:stroke dashstyle="1 1"/>
                <v:path arrowok="t"/>
                <w10:wrap anchorx="margin"/>
              </v:roundrect>
            </w:pict>
          </mc:Fallback>
        </mc:AlternateContent>
      </w:r>
      <w:r w:rsidRPr="003F7F6C">
        <w:rPr>
          <w:noProof/>
        </w:rPr>
        <mc:AlternateContent>
          <mc:Choice Requires="wps">
            <w:drawing>
              <wp:anchor distT="0" distB="0" distL="114300" distR="114300" simplePos="0" relativeHeight="251659264" behindDoc="0" locked="0" layoutInCell="1" allowOverlap="1" wp14:anchorId="791A5BB7" wp14:editId="033D6C67">
                <wp:simplePos x="0" y="0"/>
                <wp:positionH relativeFrom="margin">
                  <wp:posOffset>2781300</wp:posOffset>
                </wp:positionH>
                <wp:positionV relativeFrom="paragraph">
                  <wp:posOffset>95250</wp:posOffset>
                </wp:positionV>
                <wp:extent cx="2235200" cy="2908300"/>
                <wp:effectExtent l="12700" t="12700" r="0" b="0"/>
                <wp:wrapNone/>
                <wp:docPr id="1914" name="Rounded Rectangle 1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35200" cy="2908300"/>
                        </a:xfrm>
                        <a:prstGeom prst="roundRect">
                          <a:avLst/>
                        </a:prstGeom>
                        <a:noFill/>
                        <a:ln w="25400" cap="flat" cmpd="sng" algn="ctr">
                          <a:solidFill>
                            <a:srgbClr val="4F81BD">
                              <a:shade val="50000"/>
                            </a:srgbClr>
                          </a:solidFill>
                          <a:prstDash val="sysDot"/>
                        </a:ln>
                        <a:effectLst/>
                      </wps:spPr>
                      <wps:bodyPr rtlCol="0" anchor="ct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6EF5E11F" id="Rounded Rectangle 187" o:spid="_x0000_s1026" style="position:absolute;margin-left:219pt;margin-top:7.5pt;width:176pt;height:229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" filled="f" strokecolor="#385d8a" strokeweight="2pt">
                <v:stroke dashstyle="1 1"/>
                <v:path arrowok="t"/>
                <w10:wrap anchorx="margin"/>
              </v:roundrect>
            </w:pict>
          </mc:Fallback>
        </mc:AlternateContent>
      </w:r>
      <w:r w:rsidRPr="003F7F6C">
        <w:rPr>
          <w:noProof/>
        </w:rPr>
        <mc:AlternateContent>
          <mc:Choice Requires="wps">
            <w:drawing>
              <wp:anchor distT="0" distB="0" distL="114300" distR="114300" simplePos="0" relativeHeight="251666432" behindDoc="0" locked="0" layoutInCell="1" allowOverlap="1" wp14:anchorId="667454B4" wp14:editId="17E25A75">
                <wp:simplePos x="0" y="0"/>
                <wp:positionH relativeFrom="margin">
                  <wp:posOffset>273050</wp:posOffset>
                </wp:positionH>
                <wp:positionV relativeFrom="paragraph">
                  <wp:posOffset>88900</wp:posOffset>
                </wp:positionV>
                <wp:extent cx="2432050" cy="2870200"/>
                <wp:effectExtent l="12700" t="12700" r="6350" b="0"/>
                <wp:wrapNone/>
                <wp:docPr id="1913" name="Rounded Rectangle 1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32050" cy="2870200"/>
                        </a:xfrm>
                        <a:prstGeom prst="roundRect">
                          <a:avLst/>
                        </a:prstGeom>
                        <a:noFill/>
                        <a:ln w="25400" cap="flat" cmpd="sng" algn="ctr">
                          <a:solidFill>
                            <a:srgbClr val="4F81BD">
                              <a:shade val="50000"/>
                            </a:srgbClr>
                          </a:solidFill>
                          <a:prstDash val="sysDot"/>
                        </a:ln>
                        <a:effectLst/>
                      </wps:spPr>
                      <wps:bodyPr rtlCol="0" anchor="ctr"/>
                    </wps:wsp>
                  </a:graphicData>
                </a:graphic>
                <wp14:sizeRelH relativeFrom="margin">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664B7E71" id="Rounded Rectangle 185" o:spid="_x0000_s1026" style="position:absolute;margin-left:21.5pt;margin-top:7pt;width:191.5pt;height:226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" filled="f" strokecolor="#385d8a" strokeweight="2pt">
                <v:stroke dashstyle="1 1"/>
                <v:path arrowok="t"/>
                <w10:wrap anchorx="margin"/>
              </v:roundrect>
            </w:pict>
          </mc:Fallback>
        </mc:AlternateContent>
      </w:r>
    </w:p>
    <w:p w14:paraId="2F58CF03" w14:textId="77777777" w:rsidR="00641B93" w:rsidRPr="003F7F6C" w:rsidRDefault="008659EB" w:rsidP="00641B93">
      <w:pPr>
        <w:spacing w:line="220" w:lineRule="exact"/>
        <w:rPr>
          <w:rFonts w:cs="Calibri"/>
        </w:rPr>
      </w:pPr>
      <w:r w:rsidRPr="003F7F6C">
        <w:rPr>
          <w:noProof/>
        </w:rPr>
        <mc:AlternateContent>
          <mc:Choice Requires="wps">
            <w:drawing>
              <wp:anchor distT="0" distB="0" distL="114300" distR="114300" simplePos="0" relativeHeight="251655168" behindDoc="0" locked="0" layoutInCell="1" allowOverlap="1" wp14:anchorId="61B4F58C" wp14:editId="763CDACA">
                <wp:simplePos x="0" y="0"/>
                <wp:positionH relativeFrom="margin">
                  <wp:posOffset>7264400</wp:posOffset>
                </wp:positionH>
                <wp:positionV relativeFrom="paragraph">
                  <wp:posOffset>123190</wp:posOffset>
                </wp:positionV>
                <wp:extent cx="977900" cy="444500"/>
                <wp:effectExtent l="12700" t="12700" r="0" b="0"/>
                <wp:wrapNone/>
                <wp:docPr id="1912" name="Rectangle 1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77900" cy="444500"/>
                        </a:xfrm>
                        <a:prstGeom prst="rect">
                          <a:avLst/>
                        </a:prstGeom>
                        <a:noFill/>
                        <a:ln w="19050">
                          <a:solidFill>
                            <a:srgbClr val="70AD47"/>
                          </a:solidFill>
                        </a:ln>
                      </wps:spPr>
                      <wps:txbx>
                        <w:txbxContent>
                          <w:p w14:paraId="67EFA9BF" w14:textId="77777777" w:rsidR="00A925EE" w:rsidRPr="008E0A65" w:rsidRDefault="00A925EE" w:rsidP="00641B93">
                            <w:pPr>
                              <w:pStyle w:val="NormalWeb"/>
                              <w:spacing w:before="0" w:beforeAutospacing="0" w:after="0" w:afterAutospacing="0"/>
                              <w:jc w:val="center"/>
                              <w:rPr>
                                <w:sz w:val="16"/>
                                <w:szCs w:val="16"/>
                              </w:rPr>
                            </w:pPr>
                            <w:r>
                              <w:rPr>
                                <w:color w:val="000000"/>
                                <w:kern w:val="24"/>
                                <w:sz w:val="16"/>
                                <w:szCs w:val="16"/>
                              </w:rPr>
                              <w:t xml:space="preserve">Knowledge management, </w:t>
                            </w:r>
                            <w:r w:rsidRPr="00E37F26">
                              <w:rPr>
                                <w:color w:val="000000"/>
                                <w:kern w:val="24"/>
                                <w:sz w:val="16"/>
                                <w:szCs w:val="16"/>
                              </w:rPr>
                              <w:t>M&amp;E</w:t>
                            </w:r>
                          </w:p>
                        </w:txbxContent>
                      </wps:txbx>
                      <wps:bodyPr wrap="square" rtlCol="0">
                        <a:noAutofit/>
                      </wps:bodyPr>
                    </wps:wsp>
                  </a:graphicData>
                </a:graphic>
                <wp14:sizeRelH relativeFrom="page">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1B4F58C" id="Rectangle 170" o:spid="_x0000_s1032" style="position:absolute;left:0;text-align:left;margin-left:572pt;margin-top:9.7pt;width:77pt;height:35pt;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" filled="f" strokecolor="#70ad47" strokeweight="1.5pt">
                <v:path arrowok="t"/>
                <v:textbox>
                  <w:txbxContent>
                    <w:p w14:paraId="67EFA9BF" w14:textId="77777777" w:rsidR="00A925EE" w:rsidRPr="008E0A65" w:rsidRDefault="00A925EE" w:rsidP="00641B93">
                      <w:pPr>
                        <w:pStyle w:val="NormalWeb"/>
                        <w:spacing w:before="0" w:beforeAutospacing="0" w:after="0" w:afterAutospacing="0"/>
                        <w:jc w:val="center"/>
                        <w:rPr>
                          <w:sz w:val="16"/>
                          <w:szCs w:val="16"/>
                        </w:rPr>
                      </w:pPr>
                      <w:r>
                        <w:rPr>
                          <w:color w:val="000000"/>
                          <w:kern w:val="24"/>
                          <w:sz w:val="16"/>
                          <w:szCs w:val="16"/>
                        </w:rPr>
                        <w:t xml:space="preserve">Knowledge management, </w:t>
                      </w:r>
                      <w:r w:rsidRPr="00E37F26">
                        <w:rPr>
                          <w:color w:val="000000"/>
                          <w:kern w:val="24"/>
                          <w:sz w:val="16"/>
                          <w:szCs w:val="16"/>
                        </w:rPr>
                        <w:t>M&amp;E</w:t>
                      </w:r>
                    </w:p>
                  </w:txbxContent>
                </v:textbox>
                <w10:wrap anchorx="margin"/>
              </v:rect>
            </w:pict>
          </mc:Fallback>
        </mc:AlternateContent>
      </w:r>
      <w:r w:rsidRPr="003F7F6C">
        <w:rPr>
          <w:noProof/>
        </w:rPr>
        <mc:AlternateContent>
          <mc:Choice Requires="wps">
            <w:drawing>
              <wp:anchor distT="0" distB="0" distL="114300" distR="114300" simplePos="0" relativeHeight="251671552" behindDoc="0" locked="0" layoutInCell="1" allowOverlap="1" wp14:anchorId="17A27CE8" wp14:editId="4F9E9E22">
                <wp:simplePos x="0" y="0"/>
                <wp:positionH relativeFrom="margin">
                  <wp:posOffset>5169535</wp:posOffset>
                </wp:positionH>
                <wp:positionV relativeFrom="paragraph">
                  <wp:posOffset>113665</wp:posOffset>
                </wp:positionV>
                <wp:extent cx="1649730" cy="351155"/>
                <wp:effectExtent l="12700" t="12700" r="1270" b="4445"/>
                <wp:wrapNone/>
                <wp:docPr id="1911"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49730" cy="351155"/>
                        </a:xfrm>
                        <a:prstGeom prst="rect">
                          <a:avLst/>
                        </a:prstGeom>
                        <a:noFill/>
                        <a:ln w="19050">
                          <a:solidFill>
                            <a:srgbClr val="70AD47"/>
                          </a:solidFill>
                        </a:ln>
                      </wps:spPr>
                      <wps:txbx>
                        <w:txbxContent>
                          <w:p w14:paraId="45408F65" w14:textId="77777777" w:rsidR="00A925EE" w:rsidRPr="00D91BC1" w:rsidRDefault="00A925EE" w:rsidP="00641B93">
                            <w:pPr>
                              <w:shd w:val="clear" w:color="auto" w:fill="FFFFFF"/>
                              <w:spacing w:before="100" w:beforeAutospacing="1" w:after="100" w:afterAutospacing="1"/>
                              <w:rPr>
                                <w:rFonts w:ascii="Times New Roman" w:eastAsia="Times New Roman" w:hAnsi="Times New Roman"/>
                                <w:sz w:val="14"/>
                                <w:szCs w:val="14"/>
                                <w:lang w:eastAsia="es-ES_tradnl"/>
                              </w:rPr>
                            </w:pPr>
                            <w:r w:rsidRPr="00D91BC1">
                              <w:rPr>
                                <w:rFonts w:ascii="TimesNewRomanPSMT" w:eastAsia="Times New Roman" w:hAnsi="TimesNewRomanPSMT" w:cs="TimesNewRomanPSMT"/>
                                <w:sz w:val="14"/>
                                <w:szCs w:val="14"/>
                                <w:lang w:eastAsia="es-ES_tradnl"/>
                              </w:rPr>
                              <w:t>Replicability framework for ELUP uptake in all Argentine provinces</w:t>
                            </w:r>
                          </w:p>
                          <w:p w14:paraId="58C9ED22" w14:textId="77777777" w:rsidR="00A925EE" w:rsidRPr="00D91BC1" w:rsidRDefault="00A925EE" w:rsidP="00641B93">
                            <w:pPr>
                              <w:pStyle w:val="NormalWeb"/>
                              <w:spacing w:before="0" w:beforeAutospacing="0" w:after="0" w:afterAutospacing="0"/>
                              <w:jc w:val="center"/>
                              <w:rPr>
                                <w:sz w:val="14"/>
                                <w:szCs w:val="14"/>
                              </w:rPr>
                            </w:pP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7A27CE8" id="_x0000_s1033" type="#_x0000_t202" style="position:absolute;left:0;text-align:left;margin-left:407.05pt;margin-top:8.95pt;width:129.9pt;height:27.6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" filled="f" strokecolor="#70ad47" strokeweight="1.5pt">
                <v:path arrowok="t"/>
                <v:textbox>
                  <w:txbxContent>
                    <w:p w14:paraId="45408F65" w14:textId="77777777" w:rsidR="00A925EE" w:rsidRPr="00D91BC1" w:rsidRDefault="00A925EE" w:rsidP="00641B93">
                      <w:pPr>
                        <w:shd w:val="clear" w:color="auto" w:fill="FFFFFF"/>
                        <w:spacing w:before="100" w:beforeAutospacing="1" w:after="100" w:afterAutospacing="1"/>
                        <w:rPr>
                          <w:rFonts w:ascii="Times New Roman" w:eastAsia="Times New Roman" w:hAnsi="Times New Roman"/>
                          <w:sz w:val="14"/>
                          <w:szCs w:val="14"/>
                          <w:lang w:eastAsia="es-ES_tradnl"/>
                        </w:rPr>
                      </w:pPr>
                      <w:r w:rsidRPr="00D91BC1">
                        <w:rPr>
                          <w:rFonts w:ascii="TimesNewRomanPSMT" w:eastAsia="Times New Roman" w:hAnsi="TimesNewRomanPSMT" w:cs="TimesNewRomanPSMT"/>
                          <w:sz w:val="14"/>
                          <w:szCs w:val="14"/>
                          <w:lang w:eastAsia="es-ES_tradnl"/>
                        </w:rPr>
                        <w:t>Replicability framework for ELUP uptake in all Argentine provinces</w:t>
                      </w:r>
                    </w:p>
                    <w:p w14:paraId="58C9ED22" w14:textId="77777777" w:rsidR="00A925EE" w:rsidRPr="00D91BC1" w:rsidRDefault="00A925EE" w:rsidP="00641B93">
                      <w:pPr>
                        <w:pStyle w:val="NormalWeb"/>
                        <w:spacing w:before="0" w:beforeAutospacing="0" w:after="0" w:afterAutospacing="0"/>
                        <w:jc w:val="center"/>
                        <w:rPr>
                          <w:sz w:val="14"/>
                          <w:szCs w:val="14"/>
                        </w:rPr>
                      </w:pPr>
                    </w:p>
                  </w:txbxContent>
                </v:textbox>
                <w10:wrap anchorx="margin"/>
              </v:shape>
            </w:pict>
          </mc:Fallback>
        </mc:AlternateContent>
      </w:r>
      <w:r w:rsidRPr="003F7F6C">
        <w:rPr>
          <w:noProof/>
        </w:rPr>
        <mc:AlternateContent>
          <mc:Choice Requires="wps">
            <w:drawing>
              <wp:anchor distT="0" distB="0" distL="114300" distR="114300" simplePos="0" relativeHeight="251636736" behindDoc="0" locked="0" layoutInCell="1" allowOverlap="1" wp14:anchorId="13254DA1" wp14:editId="191FD3B6">
                <wp:simplePos x="0" y="0"/>
                <wp:positionH relativeFrom="margin">
                  <wp:posOffset>3049270</wp:posOffset>
                </wp:positionH>
                <wp:positionV relativeFrom="paragraph">
                  <wp:posOffset>57150</wp:posOffset>
                </wp:positionV>
                <wp:extent cx="1813560" cy="444500"/>
                <wp:effectExtent l="12700" t="12700" r="2540" b="0"/>
                <wp:wrapNone/>
                <wp:docPr id="1910" name="TextBox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13560" cy="444500"/>
                        </a:xfrm>
                        <a:prstGeom prst="rect">
                          <a:avLst/>
                        </a:prstGeom>
                        <a:noFill/>
                        <a:ln w="19050">
                          <a:solidFill>
                            <a:srgbClr val="70AD47"/>
                          </a:solidFill>
                        </a:ln>
                      </wps:spPr>
                      <wps:txbx>
                        <w:txbxContent>
                          <w:p w14:paraId="37E3CA28" w14:textId="77777777" w:rsidR="00A925EE" w:rsidRPr="00523780" w:rsidRDefault="00A925EE" w:rsidP="00641B93">
                            <w:pPr>
                              <w:spacing w:before="100" w:beforeAutospacing="1" w:after="100" w:afterAutospacing="1"/>
                              <w:rPr>
                                <w:rFonts w:ascii="Times New Roman" w:eastAsia="Times New Roman" w:hAnsi="Times New Roman"/>
                                <w:sz w:val="14"/>
                                <w:szCs w:val="14"/>
                                <w:lang w:eastAsia="es-ES_tradnl"/>
                              </w:rPr>
                            </w:pPr>
                            <w:r w:rsidRPr="00523780">
                              <w:rPr>
                                <w:rFonts w:ascii="TimesNewRomanPSMT" w:eastAsia="Times New Roman" w:hAnsi="TimesNewRomanPSMT" w:cs="TimesNewRomanPSMT"/>
                                <w:sz w:val="14"/>
                                <w:szCs w:val="14"/>
                                <w:lang w:eastAsia="es-ES_tradnl"/>
                              </w:rPr>
                              <w:t xml:space="preserve">Application of ELUP procedures and instruments in pilot </w:t>
                            </w:r>
                            <w:r>
                              <w:rPr>
                                <w:rFonts w:ascii="TimesNewRomanPSMT" w:eastAsia="Times New Roman" w:hAnsi="TimesNewRomanPSMT" w:cs="TimesNewRomanPSMT"/>
                                <w:sz w:val="14"/>
                                <w:szCs w:val="14"/>
                                <w:lang w:eastAsia="es-ES_tradnl"/>
                              </w:rPr>
                              <w:t>p</w:t>
                            </w:r>
                            <w:r w:rsidRPr="00523780">
                              <w:rPr>
                                <w:rFonts w:ascii="TimesNewRomanPSMT" w:eastAsia="Times New Roman" w:hAnsi="TimesNewRomanPSMT" w:cs="TimesNewRomanPSMT"/>
                                <w:sz w:val="14"/>
                                <w:szCs w:val="14"/>
                                <w:lang w:eastAsia="es-ES_tradnl"/>
                              </w:rPr>
                              <w:t xml:space="preserve">rovinces with targeted ecoregions and production sector land uses </w:t>
                            </w:r>
                          </w:p>
                          <w:p w14:paraId="38CF22C5" w14:textId="77777777" w:rsidR="00A925EE" w:rsidRPr="00523780" w:rsidRDefault="00A925EE" w:rsidP="00641B93">
                            <w:pPr>
                              <w:pStyle w:val="NormalWeb"/>
                              <w:spacing w:before="0" w:beforeAutospacing="0" w:after="0" w:afterAutospacing="0"/>
                              <w:jc w:val="center"/>
                              <w:rPr>
                                <w:sz w:val="14"/>
                                <w:szCs w:val="14"/>
                              </w:rPr>
                            </w:pP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3254DA1" id="TextBox 88" o:spid="_x0000_s1034" type="#_x0000_t202" style="position:absolute;left:0;text-align:left;margin-left:240.1pt;margin-top:4.5pt;width:142.8pt;height:35pt;z-index:2516367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" filled="f" strokecolor="#70ad47" strokeweight="1.5pt">
                <v:path arrowok="t"/>
                <v:textbox>
                  <w:txbxContent>
                    <w:p w14:paraId="37E3CA28" w14:textId="77777777" w:rsidR="00A925EE" w:rsidRPr="00523780" w:rsidRDefault="00A925EE" w:rsidP="00641B93">
                      <w:pPr>
                        <w:spacing w:before="100" w:beforeAutospacing="1" w:after="100" w:afterAutospacing="1"/>
                        <w:rPr>
                          <w:rFonts w:ascii="Times New Roman" w:eastAsia="Times New Roman" w:hAnsi="Times New Roman"/>
                          <w:sz w:val="14"/>
                          <w:szCs w:val="14"/>
                          <w:lang w:eastAsia="es-ES_tradnl"/>
                        </w:rPr>
                      </w:pPr>
                      <w:r w:rsidRPr="00523780">
                        <w:rPr>
                          <w:rFonts w:ascii="TimesNewRomanPSMT" w:eastAsia="Times New Roman" w:hAnsi="TimesNewRomanPSMT" w:cs="TimesNewRomanPSMT"/>
                          <w:sz w:val="14"/>
                          <w:szCs w:val="14"/>
                          <w:lang w:eastAsia="es-ES_tradnl"/>
                        </w:rPr>
                        <w:t xml:space="preserve">Application of ELUP procedures and instruments in pilot </w:t>
                      </w:r>
                      <w:r>
                        <w:rPr>
                          <w:rFonts w:ascii="TimesNewRomanPSMT" w:eastAsia="Times New Roman" w:hAnsi="TimesNewRomanPSMT" w:cs="TimesNewRomanPSMT"/>
                          <w:sz w:val="14"/>
                          <w:szCs w:val="14"/>
                          <w:lang w:eastAsia="es-ES_tradnl"/>
                        </w:rPr>
                        <w:t>p</w:t>
                      </w:r>
                      <w:r w:rsidRPr="00523780">
                        <w:rPr>
                          <w:rFonts w:ascii="TimesNewRomanPSMT" w:eastAsia="Times New Roman" w:hAnsi="TimesNewRomanPSMT" w:cs="TimesNewRomanPSMT"/>
                          <w:sz w:val="14"/>
                          <w:szCs w:val="14"/>
                          <w:lang w:eastAsia="es-ES_tradnl"/>
                        </w:rPr>
                        <w:t xml:space="preserve">rovinces with targeted ecoregions and production sector land uses </w:t>
                      </w:r>
                    </w:p>
                    <w:p w14:paraId="38CF22C5" w14:textId="77777777" w:rsidR="00A925EE" w:rsidRPr="00523780" w:rsidRDefault="00A925EE" w:rsidP="00641B93">
                      <w:pPr>
                        <w:pStyle w:val="NormalWeb"/>
                        <w:spacing w:before="0" w:beforeAutospacing="0" w:after="0" w:afterAutospacing="0"/>
                        <w:jc w:val="center"/>
                        <w:rPr>
                          <w:sz w:val="14"/>
                          <w:szCs w:val="14"/>
                        </w:rPr>
                      </w:pPr>
                    </w:p>
                  </w:txbxContent>
                </v:textbox>
                <w10:wrap anchorx="margin"/>
              </v:shape>
            </w:pict>
          </mc:Fallback>
        </mc:AlternateContent>
      </w:r>
      <w:r w:rsidRPr="003F7F6C">
        <w:rPr>
          <w:noProof/>
        </w:rPr>
        <mc:AlternateContent>
          <mc:Choice Requires="wps">
            <w:drawing>
              <wp:anchor distT="0" distB="0" distL="114300" distR="114300" simplePos="0" relativeHeight="251634688" behindDoc="0" locked="0" layoutInCell="1" allowOverlap="1" wp14:anchorId="7509A5C3" wp14:editId="0E290FF8">
                <wp:simplePos x="0" y="0"/>
                <wp:positionH relativeFrom="margin">
                  <wp:posOffset>590550</wp:posOffset>
                </wp:positionH>
                <wp:positionV relativeFrom="paragraph">
                  <wp:posOffset>65405</wp:posOffset>
                </wp:positionV>
                <wp:extent cx="1884045" cy="569595"/>
                <wp:effectExtent l="12700" t="12700" r="0" b="1905"/>
                <wp:wrapNone/>
                <wp:docPr id="1909"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84045" cy="569595"/>
                        </a:xfrm>
                        <a:prstGeom prst="rect">
                          <a:avLst/>
                        </a:prstGeom>
                        <a:noFill/>
                        <a:ln w="19050">
                          <a:solidFill>
                            <a:srgbClr val="70AD47"/>
                          </a:solidFill>
                        </a:ln>
                      </wps:spPr>
                      <wps:txbx>
                        <w:txbxContent>
                          <w:p w14:paraId="25DE38E8" w14:textId="77777777" w:rsidR="00A925EE" w:rsidRPr="007B11FF" w:rsidRDefault="00A925EE" w:rsidP="00641B93">
                            <w:pPr>
                              <w:shd w:val="clear" w:color="auto" w:fill="FFFFFF"/>
                              <w:spacing w:before="100" w:beforeAutospacing="1" w:after="100" w:afterAutospacing="1"/>
                              <w:rPr>
                                <w:rFonts w:ascii="Times New Roman" w:eastAsia="Times New Roman" w:hAnsi="Times New Roman"/>
                                <w:lang w:eastAsia="es-ES_tradnl"/>
                              </w:rPr>
                            </w:pPr>
                            <w:r w:rsidRPr="00C21241">
                              <w:rPr>
                                <w:rFonts w:ascii="TimesNewRomanPS" w:eastAsia="Times New Roman" w:hAnsi="TimesNewRomanPS"/>
                                <w:bCs/>
                                <w:sz w:val="14"/>
                                <w:szCs w:val="14"/>
                                <w:lang w:eastAsia="es-ES_tradnl"/>
                              </w:rPr>
                              <w:t>Federal</w:t>
                            </w:r>
                            <w:r w:rsidRPr="007B11FF">
                              <w:rPr>
                                <w:rFonts w:ascii="TimesNewRomanPS" w:eastAsia="Times New Roman" w:hAnsi="TimesNewRomanPS"/>
                                <w:b/>
                                <w:bCs/>
                                <w:sz w:val="14"/>
                                <w:szCs w:val="14"/>
                                <w:lang w:eastAsia="es-ES_tradnl"/>
                              </w:rPr>
                              <w:t xml:space="preserve"> </w:t>
                            </w:r>
                            <w:r w:rsidRPr="007B11FF">
                              <w:rPr>
                                <w:rFonts w:ascii="TimesNewRomanPSMT" w:eastAsia="Times New Roman" w:hAnsi="TimesNewRomanPSMT" w:cs="TimesNewRomanPSMT"/>
                                <w:sz w:val="14"/>
                                <w:szCs w:val="14"/>
                                <w:lang w:eastAsia="es-ES_tradnl"/>
                              </w:rPr>
                              <w:t>enabling framework and strategies to reinforce ELUP, and underpin implementation in</w:t>
                            </w:r>
                            <w:r w:rsidRPr="007B11FF">
                              <w:rPr>
                                <w:rFonts w:ascii="TimesNewRomanPSMT" w:eastAsia="Times New Roman" w:hAnsi="TimesNewRomanPSMT" w:cs="TimesNewRomanPSMT"/>
                                <w:sz w:val="18"/>
                                <w:szCs w:val="18"/>
                                <w:lang w:eastAsia="es-ES_tradnl"/>
                              </w:rPr>
                              <w:t xml:space="preserve"> </w:t>
                            </w:r>
                            <w:r w:rsidRPr="007B11FF">
                              <w:rPr>
                                <w:rFonts w:ascii="TimesNewRomanPSMT" w:eastAsia="Times New Roman" w:hAnsi="TimesNewRomanPSMT" w:cs="TimesNewRomanPSMT"/>
                                <w:sz w:val="14"/>
                                <w:szCs w:val="14"/>
                                <w:lang w:eastAsia="es-ES_tradnl"/>
                              </w:rPr>
                              <w:t>priority ecosystems and habitats to reduc</w:t>
                            </w:r>
                            <w:r>
                              <w:rPr>
                                <w:rFonts w:ascii="TimesNewRomanPSMT" w:eastAsia="Times New Roman" w:hAnsi="TimesNewRomanPSMT" w:cs="TimesNewRomanPSMT"/>
                                <w:sz w:val="14"/>
                                <w:szCs w:val="14"/>
                                <w:lang w:eastAsia="es-ES_tradnl"/>
                              </w:rPr>
                              <w:t>e</w:t>
                            </w:r>
                            <w:r w:rsidRPr="007B11FF">
                              <w:rPr>
                                <w:rFonts w:ascii="TimesNewRomanPSMT" w:eastAsia="Times New Roman" w:hAnsi="TimesNewRomanPSMT" w:cs="TimesNewRomanPSMT"/>
                                <w:sz w:val="14"/>
                                <w:szCs w:val="14"/>
                                <w:lang w:eastAsia="es-ES_tradnl"/>
                              </w:rPr>
                              <w:t xml:space="preserve"> pressure from key production sectors</w:t>
                            </w:r>
                            <w:r w:rsidRPr="007B11FF">
                              <w:rPr>
                                <w:rFonts w:ascii="TimesNewRomanPSMT" w:eastAsia="Times New Roman" w:hAnsi="TimesNewRomanPSMT" w:cs="TimesNewRomanPSMT"/>
                                <w:sz w:val="18"/>
                                <w:szCs w:val="18"/>
                                <w:lang w:eastAsia="es-ES_tradnl"/>
                              </w:rPr>
                              <w:t xml:space="preserve"> </w:t>
                            </w:r>
                          </w:p>
                          <w:p w14:paraId="5939E7BC" w14:textId="77777777" w:rsidR="00A925EE" w:rsidRPr="00C960F9" w:rsidRDefault="00A925EE" w:rsidP="00641B93">
                            <w:pPr>
                              <w:pStyle w:val="NormalWeb"/>
                              <w:spacing w:before="0" w:beforeAutospacing="0" w:after="0" w:afterAutospacing="0"/>
                              <w:jc w:val="center"/>
                              <w:rPr>
                                <w:sz w:val="14"/>
                                <w:szCs w:val="14"/>
                              </w:rPr>
                            </w:pP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509A5C3" id="TextBox 85" o:spid="_x0000_s1035" type="#_x0000_t202" style="position:absolute;left:0;text-align:left;margin-left:46.5pt;margin-top:5.15pt;width:148.35pt;height:44.85pt;z-index:2516346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" filled="f" strokecolor="#70ad47" strokeweight="1.5pt">
                <v:path arrowok="t"/>
                <v:textbox>
                  <w:txbxContent>
                    <w:p w14:paraId="25DE38E8" w14:textId="77777777" w:rsidR="00A925EE" w:rsidRPr="007B11FF" w:rsidRDefault="00A925EE" w:rsidP="00641B93">
                      <w:pPr>
                        <w:shd w:val="clear" w:color="auto" w:fill="FFFFFF"/>
                        <w:spacing w:before="100" w:beforeAutospacing="1" w:after="100" w:afterAutospacing="1"/>
                        <w:rPr>
                          <w:rFonts w:ascii="Times New Roman" w:eastAsia="Times New Roman" w:hAnsi="Times New Roman"/>
                          <w:lang w:eastAsia="es-ES_tradnl"/>
                        </w:rPr>
                      </w:pPr>
                      <w:r w:rsidRPr="00C21241">
                        <w:rPr>
                          <w:rFonts w:ascii="TimesNewRomanPS" w:eastAsia="Times New Roman" w:hAnsi="TimesNewRomanPS"/>
                          <w:bCs/>
                          <w:sz w:val="14"/>
                          <w:szCs w:val="14"/>
                          <w:lang w:eastAsia="es-ES_tradnl"/>
                        </w:rPr>
                        <w:t>Federal</w:t>
                      </w:r>
                      <w:r w:rsidRPr="007B11FF">
                        <w:rPr>
                          <w:rFonts w:ascii="TimesNewRomanPS" w:eastAsia="Times New Roman" w:hAnsi="TimesNewRomanPS"/>
                          <w:b/>
                          <w:bCs/>
                          <w:sz w:val="14"/>
                          <w:szCs w:val="14"/>
                          <w:lang w:eastAsia="es-ES_tradnl"/>
                        </w:rPr>
                        <w:t xml:space="preserve"> </w:t>
                      </w:r>
                      <w:r w:rsidRPr="007B11FF">
                        <w:rPr>
                          <w:rFonts w:ascii="TimesNewRomanPSMT" w:eastAsia="Times New Roman" w:hAnsi="TimesNewRomanPSMT" w:cs="TimesNewRomanPSMT"/>
                          <w:sz w:val="14"/>
                          <w:szCs w:val="14"/>
                          <w:lang w:eastAsia="es-ES_tradnl"/>
                        </w:rPr>
                        <w:t>enabling framework and strategies to reinforce ELUP, and underpin implementation in</w:t>
                      </w:r>
                      <w:r w:rsidRPr="007B11FF">
                        <w:rPr>
                          <w:rFonts w:ascii="TimesNewRomanPSMT" w:eastAsia="Times New Roman" w:hAnsi="TimesNewRomanPSMT" w:cs="TimesNewRomanPSMT"/>
                          <w:sz w:val="18"/>
                          <w:szCs w:val="18"/>
                          <w:lang w:eastAsia="es-ES_tradnl"/>
                        </w:rPr>
                        <w:t xml:space="preserve"> </w:t>
                      </w:r>
                      <w:r w:rsidRPr="007B11FF">
                        <w:rPr>
                          <w:rFonts w:ascii="TimesNewRomanPSMT" w:eastAsia="Times New Roman" w:hAnsi="TimesNewRomanPSMT" w:cs="TimesNewRomanPSMT"/>
                          <w:sz w:val="14"/>
                          <w:szCs w:val="14"/>
                          <w:lang w:eastAsia="es-ES_tradnl"/>
                        </w:rPr>
                        <w:t>priority ecosystems and habitats to reduc</w:t>
                      </w:r>
                      <w:r>
                        <w:rPr>
                          <w:rFonts w:ascii="TimesNewRomanPSMT" w:eastAsia="Times New Roman" w:hAnsi="TimesNewRomanPSMT" w:cs="TimesNewRomanPSMT"/>
                          <w:sz w:val="14"/>
                          <w:szCs w:val="14"/>
                          <w:lang w:eastAsia="es-ES_tradnl"/>
                        </w:rPr>
                        <w:t>e</w:t>
                      </w:r>
                      <w:r w:rsidRPr="007B11FF">
                        <w:rPr>
                          <w:rFonts w:ascii="TimesNewRomanPSMT" w:eastAsia="Times New Roman" w:hAnsi="TimesNewRomanPSMT" w:cs="TimesNewRomanPSMT"/>
                          <w:sz w:val="14"/>
                          <w:szCs w:val="14"/>
                          <w:lang w:eastAsia="es-ES_tradnl"/>
                        </w:rPr>
                        <w:t xml:space="preserve"> pressure from key production sectors</w:t>
                      </w:r>
                      <w:r w:rsidRPr="007B11FF">
                        <w:rPr>
                          <w:rFonts w:ascii="TimesNewRomanPSMT" w:eastAsia="Times New Roman" w:hAnsi="TimesNewRomanPSMT" w:cs="TimesNewRomanPSMT"/>
                          <w:sz w:val="18"/>
                          <w:szCs w:val="18"/>
                          <w:lang w:eastAsia="es-ES_tradnl"/>
                        </w:rPr>
                        <w:t xml:space="preserve"> </w:t>
                      </w:r>
                    </w:p>
                    <w:p w14:paraId="5939E7BC" w14:textId="77777777" w:rsidR="00A925EE" w:rsidRPr="00C960F9" w:rsidRDefault="00A925EE" w:rsidP="00641B93">
                      <w:pPr>
                        <w:pStyle w:val="NormalWeb"/>
                        <w:spacing w:before="0" w:beforeAutospacing="0" w:after="0" w:afterAutospacing="0"/>
                        <w:jc w:val="center"/>
                        <w:rPr>
                          <w:sz w:val="14"/>
                          <w:szCs w:val="14"/>
                        </w:rPr>
                      </w:pPr>
                    </w:p>
                  </w:txbxContent>
                </v:textbox>
                <w10:wrap anchorx="margin"/>
              </v:shape>
            </w:pict>
          </mc:Fallback>
        </mc:AlternateContent>
      </w:r>
      <w:r w:rsidRPr="003F7F6C">
        <w:rPr>
          <w:noProof/>
        </w:rPr>
        <mc:AlternateContent>
          <mc:Choice Requires="wps">
            <w:drawing>
              <wp:anchor distT="0" distB="0" distL="114300" distR="114300" simplePos="0" relativeHeight="251651072" behindDoc="0" locked="0" layoutInCell="1" allowOverlap="1" wp14:anchorId="585666BF" wp14:editId="05B09C6F">
                <wp:simplePos x="0" y="0"/>
                <wp:positionH relativeFrom="margin">
                  <wp:posOffset>-698500</wp:posOffset>
                </wp:positionH>
                <wp:positionV relativeFrom="paragraph">
                  <wp:posOffset>64135</wp:posOffset>
                </wp:positionV>
                <wp:extent cx="861695" cy="456565"/>
                <wp:effectExtent l="12700" t="12700" r="1905" b="635"/>
                <wp:wrapNone/>
                <wp:docPr id="1908"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456565"/>
                        </a:xfrm>
                        <a:prstGeom prst="rect">
                          <a:avLst/>
                        </a:prstGeom>
                        <a:solidFill>
                          <a:sysClr val="window" lastClr="FFFFFF"/>
                        </a:solidFill>
                        <a:ln w="25400" cap="flat" cmpd="sng" algn="ctr">
                          <a:solidFill>
                            <a:srgbClr val="70AD47"/>
                          </a:solidFill>
                          <a:prstDash val="solid"/>
                        </a:ln>
                        <a:effectLst/>
                      </wps:spPr>
                      <wps:txbx>
                        <w:txbxContent>
                          <w:p w14:paraId="365D4335" w14:textId="77777777" w:rsidR="00A925EE" w:rsidRPr="00641B93" w:rsidRDefault="00A925EE" w:rsidP="00641B93">
                            <w:pPr>
                              <w:pStyle w:val="NormalWeb"/>
                              <w:spacing w:before="0" w:beforeAutospacing="0" w:after="0" w:afterAutospacing="0"/>
                              <w:jc w:val="center"/>
                              <w:rPr>
                                <w:rFonts w:ascii="Calibri" w:hAnsi="Calibri" w:cs="Calibri"/>
                                <w:sz w:val="16"/>
                                <w:szCs w:val="16"/>
                              </w:rPr>
                            </w:pPr>
                            <w:r w:rsidRPr="00641B93">
                              <w:rPr>
                                <w:rFonts w:ascii="Calibri" w:hAnsi="Calibri" w:cs="Calibri"/>
                                <w:b/>
                                <w:bCs/>
                                <w:color w:val="000000"/>
                                <w:kern w:val="24"/>
                                <w:sz w:val="16"/>
                                <w:szCs w:val="16"/>
                              </w:rPr>
                              <w:t>Project Outcomes</w:t>
                            </w:r>
                          </w:p>
                        </w:txbxContent>
                      </wps:txbx>
                      <wps:bodyPr lIns="121789" tIns="60894" rIns="121789" bIns="60894" spcCol="0" rtlCol="0" anchor="ct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85666BF" id="_x0000_s1036" style="position:absolute;left:0;text-align:left;margin-left:-55pt;margin-top:5.05pt;width:67.85pt;height:35.95pt;z-index:2516510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" fillcolor="window" strokecolor="#70ad47" strokeweight="2pt">
                <v:path arrowok="t"/>
                <v:textbox inset="3.38303mm,1.6915mm,3.38303mm,1.6915mm">
                  <w:txbxContent>
                    <w:p w14:paraId="365D4335" w14:textId="77777777" w:rsidR="00A925EE" w:rsidRPr="00641B93" w:rsidRDefault="00A925EE" w:rsidP="00641B93">
                      <w:pPr>
                        <w:pStyle w:val="NormalWeb"/>
                        <w:spacing w:before="0" w:beforeAutospacing="0" w:after="0" w:afterAutospacing="0"/>
                        <w:jc w:val="center"/>
                        <w:rPr>
                          <w:rFonts w:ascii="Calibri" w:hAnsi="Calibri" w:cs="Calibri"/>
                          <w:sz w:val="16"/>
                          <w:szCs w:val="16"/>
                        </w:rPr>
                      </w:pPr>
                      <w:r w:rsidRPr="00641B93">
                        <w:rPr>
                          <w:rFonts w:ascii="Calibri" w:hAnsi="Calibri" w:cs="Calibri"/>
                          <w:b/>
                          <w:bCs/>
                          <w:color w:val="000000"/>
                          <w:kern w:val="24"/>
                          <w:sz w:val="16"/>
                          <w:szCs w:val="16"/>
                        </w:rPr>
                        <w:t>Project Outcomes</w:t>
                      </w:r>
                    </w:p>
                  </w:txbxContent>
                </v:textbox>
                <w10:wrap anchorx="margin"/>
              </v:rect>
            </w:pict>
          </mc:Fallback>
        </mc:AlternateContent>
      </w:r>
    </w:p>
    <w:p w14:paraId="7D0A7835" w14:textId="77777777" w:rsidR="00641B93" w:rsidRPr="003F7F6C" w:rsidRDefault="00641B93" w:rsidP="00641B93">
      <w:pPr>
        <w:spacing w:line="220" w:lineRule="exact"/>
        <w:rPr>
          <w:rFonts w:cs="Calibri"/>
        </w:rPr>
      </w:pPr>
    </w:p>
    <w:p w14:paraId="15B28C75" w14:textId="77777777" w:rsidR="00641B93" w:rsidRPr="003F7F6C" w:rsidRDefault="00641B93" w:rsidP="00641B93">
      <w:pPr>
        <w:spacing w:line="220" w:lineRule="exact"/>
        <w:rPr>
          <w:rFonts w:cs="Calibri"/>
        </w:rPr>
      </w:pPr>
    </w:p>
    <w:p w14:paraId="7DC31A13" w14:textId="77777777" w:rsidR="00641B93" w:rsidRPr="003F7F6C" w:rsidRDefault="00641B93" w:rsidP="00641B93">
      <w:pPr>
        <w:spacing w:line="220" w:lineRule="exact"/>
        <w:rPr>
          <w:rFonts w:cs="Calibri"/>
        </w:rPr>
      </w:pPr>
    </w:p>
    <w:p w14:paraId="40CC463C" w14:textId="77777777" w:rsidR="00641B93" w:rsidRPr="003F7F6C" w:rsidRDefault="008659EB" w:rsidP="00641B93">
      <w:pPr>
        <w:spacing w:line="220" w:lineRule="exact"/>
        <w:rPr>
          <w:rFonts w:cs="Calibri"/>
        </w:rPr>
      </w:pPr>
      <w:r w:rsidRPr="003F7F6C">
        <w:rPr>
          <w:noProof/>
        </w:rPr>
        <mc:AlternateContent>
          <mc:Choice Requires="wps">
            <w:drawing>
              <wp:anchor distT="0" distB="0" distL="114300" distR="114300" simplePos="0" relativeHeight="251656192" behindDoc="0" locked="0" layoutInCell="1" allowOverlap="1" wp14:anchorId="636E0924" wp14:editId="0F619A79">
                <wp:simplePos x="0" y="0"/>
                <wp:positionH relativeFrom="margin">
                  <wp:posOffset>5238750</wp:posOffset>
                </wp:positionH>
                <wp:positionV relativeFrom="paragraph">
                  <wp:posOffset>126365</wp:posOffset>
                </wp:positionV>
                <wp:extent cx="1536700" cy="342900"/>
                <wp:effectExtent l="0" t="0" r="0" b="0"/>
                <wp:wrapNone/>
                <wp:docPr id="1907"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6700" cy="342900"/>
                        </a:xfrm>
                        <a:prstGeom prst="rect">
                          <a:avLst/>
                        </a:prstGeom>
                        <a:noFill/>
                        <a:ln>
                          <a:solidFill>
                            <a:srgbClr val="4BACC6"/>
                          </a:solidFill>
                        </a:ln>
                      </wps:spPr>
                      <wps:txbx>
                        <w:txbxContent>
                          <w:p w14:paraId="0D6B302A" w14:textId="77777777" w:rsidR="00A925EE" w:rsidRPr="009E57C5" w:rsidRDefault="00A925EE" w:rsidP="00641B93">
                            <w:pPr>
                              <w:shd w:val="clear" w:color="auto" w:fill="FFFFFF"/>
                              <w:spacing w:before="100" w:beforeAutospacing="1" w:after="100" w:afterAutospacing="1"/>
                              <w:rPr>
                                <w:rFonts w:ascii="Times New Roman" w:eastAsia="Times New Roman" w:hAnsi="Times New Roman"/>
                                <w:sz w:val="14"/>
                                <w:szCs w:val="14"/>
                                <w:lang w:eastAsia="es-ES_tradnl"/>
                              </w:rPr>
                            </w:pPr>
                            <w:r w:rsidRPr="009E57C5">
                              <w:rPr>
                                <w:rFonts w:ascii="TimesNewRomanPS" w:eastAsia="Times New Roman" w:hAnsi="TimesNewRomanPS"/>
                                <w:bCs/>
                                <w:sz w:val="14"/>
                                <w:szCs w:val="14"/>
                                <w:lang w:eastAsia="es-ES_tradnl"/>
                              </w:rPr>
                              <w:t xml:space="preserve">Nationwide ELUP experiences and related instruments evaluated </w:t>
                            </w:r>
                          </w:p>
                          <w:p w14:paraId="642365AA" w14:textId="77777777" w:rsidR="00A925EE" w:rsidRPr="009E57C5" w:rsidRDefault="00A925EE" w:rsidP="00641B93">
                            <w:pPr>
                              <w:pStyle w:val="NormalWeb"/>
                              <w:spacing w:before="0" w:beforeAutospacing="0" w:after="0" w:afterAutospacing="0"/>
                              <w:jc w:val="center"/>
                              <w:rPr>
                                <w:sz w:val="14"/>
                                <w:szCs w:val="14"/>
                              </w:rPr>
                            </w:pPr>
                          </w:p>
                        </w:txbxContent>
                      </wps:txbx>
                      <wps:bodyPr wrap="square" rtlCol="0">
                        <a:noAutofit/>
                      </wps:bodyPr>
                    </wps:wsp>
                  </a:graphicData>
                </a:graphic>
                <wp14:sizeRelH relativeFrom="page">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36E0924" id="_x0000_s1037" type="#_x0000_t202" style="position:absolute;left:0;text-align:left;margin-left:412.5pt;margin-top:9.95pt;width:121pt;height:27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" filled="f" strokecolor="#4bacc6">
                <v:path arrowok="t"/>
                <v:textbox>
                  <w:txbxContent>
                    <w:p w14:paraId="0D6B302A" w14:textId="77777777" w:rsidR="00A925EE" w:rsidRPr="009E57C5" w:rsidRDefault="00A925EE" w:rsidP="00641B93">
                      <w:pPr>
                        <w:shd w:val="clear" w:color="auto" w:fill="FFFFFF"/>
                        <w:spacing w:before="100" w:beforeAutospacing="1" w:after="100" w:afterAutospacing="1"/>
                        <w:rPr>
                          <w:rFonts w:ascii="Times New Roman" w:eastAsia="Times New Roman" w:hAnsi="Times New Roman"/>
                          <w:sz w:val="14"/>
                          <w:szCs w:val="14"/>
                          <w:lang w:eastAsia="es-ES_tradnl"/>
                        </w:rPr>
                      </w:pPr>
                      <w:r w:rsidRPr="009E57C5">
                        <w:rPr>
                          <w:rFonts w:ascii="TimesNewRomanPS" w:eastAsia="Times New Roman" w:hAnsi="TimesNewRomanPS"/>
                          <w:bCs/>
                          <w:sz w:val="14"/>
                          <w:szCs w:val="14"/>
                          <w:lang w:eastAsia="es-ES_tradnl"/>
                        </w:rPr>
                        <w:t xml:space="preserve">Nationwide ELUP experiences and related instruments evaluated </w:t>
                      </w:r>
                    </w:p>
                    <w:p w14:paraId="642365AA" w14:textId="77777777" w:rsidR="00A925EE" w:rsidRPr="009E57C5" w:rsidRDefault="00A925EE" w:rsidP="00641B93">
                      <w:pPr>
                        <w:pStyle w:val="NormalWeb"/>
                        <w:spacing w:before="0" w:beforeAutospacing="0" w:after="0" w:afterAutospacing="0"/>
                        <w:jc w:val="center"/>
                        <w:rPr>
                          <w:sz w:val="14"/>
                          <w:szCs w:val="14"/>
                        </w:rPr>
                      </w:pPr>
                    </w:p>
                  </w:txbxContent>
                </v:textbox>
                <w10:wrap anchorx="margin"/>
              </v:shape>
            </w:pict>
          </mc:Fallback>
        </mc:AlternateContent>
      </w:r>
      <w:r w:rsidRPr="003F7F6C">
        <w:rPr>
          <w:noProof/>
        </w:rPr>
        <mc:AlternateContent>
          <mc:Choice Requires="wps">
            <w:drawing>
              <wp:anchor distT="0" distB="0" distL="114300" distR="114300" simplePos="0" relativeHeight="251658240" behindDoc="0" locked="0" layoutInCell="1" allowOverlap="1" wp14:anchorId="2E6FD91E" wp14:editId="13E9207A">
                <wp:simplePos x="0" y="0"/>
                <wp:positionH relativeFrom="margin">
                  <wp:posOffset>3081020</wp:posOffset>
                </wp:positionH>
                <wp:positionV relativeFrom="paragraph">
                  <wp:posOffset>13335</wp:posOffset>
                </wp:positionV>
                <wp:extent cx="1736725" cy="337185"/>
                <wp:effectExtent l="0" t="0" r="3175" b="5715"/>
                <wp:wrapNone/>
                <wp:docPr id="1906" name="TextBox 1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36725" cy="337185"/>
                        </a:xfrm>
                        <a:prstGeom prst="rect">
                          <a:avLst/>
                        </a:prstGeom>
                        <a:solidFill>
                          <a:sysClr val="window" lastClr="FFFFFF"/>
                        </a:solidFill>
                        <a:ln>
                          <a:solidFill>
                            <a:srgbClr val="4BACC6"/>
                          </a:solidFill>
                        </a:ln>
                      </wps:spPr>
                      <wps:txbx>
                        <w:txbxContent>
                          <w:p w14:paraId="49633DB6" w14:textId="77777777" w:rsidR="00A925EE" w:rsidRPr="00523780" w:rsidRDefault="00A925EE" w:rsidP="00641B93">
                            <w:pPr>
                              <w:shd w:val="clear" w:color="auto" w:fill="FFFFFF"/>
                              <w:spacing w:before="100" w:beforeAutospacing="1" w:after="100" w:afterAutospacing="1"/>
                              <w:rPr>
                                <w:rFonts w:ascii="Times New Roman" w:eastAsia="Times New Roman" w:hAnsi="Times New Roman"/>
                                <w:sz w:val="14"/>
                                <w:szCs w:val="14"/>
                                <w:lang w:eastAsia="es-ES_tradnl"/>
                              </w:rPr>
                            </w:pPr>
                            <w:r w:rsidRPr="00523780">
                              <w:rPr>
                                <w:rFonts w:ascii="TimesNewRomanPS" w:eastAsia="Times New Roman" w:hAnsi="TimesNewRomanPS"/>
                                <w:bCs/>
                                <w:sz w:val="14"/>
                                <w:szCs w:val="14"/>
                                <w:lang w:eastAsia="es-ES_tradnl"/>
                              </w:rPr>
                              <w:t xml:space="preserve">Provincial </w:t>
                            </w:r>
                            <w:r>
                              <w:rPr>
                                <w:rFonts w:ascii="TimesNewRomanPS" w:eastAsia="Times New Roman" w:hAnsi="TimesNewRomanPS"/>
                                <w:bCs/>
                                <w:sz w:val="14"/>
                                <w:szCs w:val="14"/>
                                <w:lang w:eastAsia="es-ES_tradnl"/>
                              </w:rPr>
                              <w:t>r</w:t>
                            </w:r>
                            <w:r w:rsidRPr="00523780">
                              <w:rPr>
                                <w:rFonts w:ascii="TimesNewRomanPS" w:eastAsia="Times New Roman" w:hAnsi="TimesNewRomanPS"/>
                                <w:bCs/>
                                <w:sz w:val="14"/>
                                <w:szCs w:val="14"/>
                                <w:lang w:eastAsia="es-ES_tradnl"/>
                              </w:rPr>
                              <w:t xml:space="preserve">egulatory </w:t>
                            </w:r>
                            <w:r>
                              <w:rPr>
                                <w:rFonts w:ascii="TimesNewRomanPS" w:eastAsia="Times New Roman" w:hAnsi="TimesNewRomanPS"/>
                                <w:bCs/>
                                <w:sz w:val="14"/>
                                <w:szCs w:val="14"/>
                                <w:lang w:eastAsia="es-ES_tradnl"/>
                              </w:rPr>
                              <w:t>f</w:t>
                            </w:r>
                            <w:r w:rsidRPr="00523780">
                              <w:rPr>
                                <w:rFonts w:ascii="TimesNewRomanPS" w:eastAsia="Times New Roman" w:hAnsi="TimesNewRomanPS"/>
                                <w:bCs/>
                                <w:sz w:val="14"/>
                                <w:szCs w:val="14"/>
                                <w:lang w:eastAsia="es-ES_tradnl"/>
                              </w:rPr>
                              <w:t xml:space="preserve">ramework for ELUP strengthened </w:t>
                            </w:r>
                          </w:p>
                          <w:p w14:paraId="7F435CBC" w14:textId="77777777" w:rsidR="00A925EE" w:rsidRPr="00523780" w:rsidRDefault="00A925EE" w:rsidP="00641B93">
                            <w:pPr>
                              <w:pStyle w:val="NormalWeb"/>
                              <w:spacing w:before="0" w:beforeAutospacing="0" w:after="0" w:afterAutospacing="0"/>
                              <w:jc w:val="center"/>
                              <w:rPr>
                                <w:sz w:val="14"/>
                                <w:szCs w:val="14"/>
                              </w:rPr>
                            </w:pP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E6FD91E" id="TextBox 114" o:spid="_x0000_s1038" type="#_x0000_t202" style="position:absolute;left:0;text-align:left;margin-left:242.6pt;margin-top:1.05pt;width:136.75pt;height:26.5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" fillcolor="window" strokecolor="#4bacc6">
                <v:path arrowok="t"/>
                <v:textbox>
                  <w:txbxContent>
                    <w:p w14:paraId="49633DB6" w14:textId="77777777" w:rsidR="00A925EE" w:rsidRPr="00523780" w:rsidRDefault="00A925EE" w:rsidP="00641B93">
                      <w:pPr>
                        <w:shd w:val="clear" w:color="auto" w:fill="FFFFFF"/>
                        <w:spacing w:before="100" w:beforeAutospacing="1" w:after="100" w:afterAutospacing="1"/>
                        <w:rPr>
                          <w:rFonts w:ascii="Times New Roman" w:eastAsia="Times New Roman" w:hAnsi="Times New Roman"/>
                          <w:sz w:val="14"/>
                          <w:szCs w:val="14"/>
                          <w:lang w:eastAsia="es-ES_tradnl"/>
                        </w:rPr>
                      </w:pPr>
                      <w:r w:rsidRPr="00523780">
                        <w:rPr>
                          <w:rFonts w:ascii="TimesNewRomanPS" w:eastAsia="Times New Roman" w:hAnsi="TimesNewRomanPS"/>
                          <w:bCs/>
                          <w:sz w:val="14"/>
                          <w:szCs w:val="14"/>
                          <w:lang w:eastAsia="es-ES_tradnl"/>
                        </w:rPr>
                        <w:t xml:space="preserve">Provincial </w:t>
                      </w:r>
                      <w:r>
                        <w:rPr>
                          <w:rFonts w:ascii="TimesNewRomanPS" w:eastAsia="Times New Roman" w:hAnsi="TimesNewRomanPS"/>
                          <w:bCs/>
                          <w:sz w:val="14"/>
                          <w:szCs w:val="14"/>
                          <w:lang w:eastAsia="es-ES_tradnl"/>
                        </w:rPr>
                        <w:t>r</w:t>
                      </w:r>
                      <w:r w:rsidRPr="00523780">
                        <w:rPr>
                          <w:rFonts w:ascii="TimesNewRomanPS" w:eastAsia="Times New Roman" w:hAnsi="TimesNewRomanPS"/>
                          <w:bCs/>
                          <w:sz w:val="14"/>
                          <w:szCs w:val="14"/>
                          <w:lang w:eastAsia="es-ES_tradnl"/>
                        </w:rPr>
                        <w:t xml:space="preserve">egulatory </w:t>
                      </w:r>
                      <w:r>
                        <w:rPr>
                          <w:rFonts w:ascii="TimesNewRomanPS" w:eastAsia="Times New Roman" w:hAnsi="TimesNewRomanPS"/>
                          <w:bCs/>
                          <w:sz w:val="14"/>
                          <w:szCs w:val="14"/>
                          <w:lang w:eastAsia="es-ES_tradnl"/>
                        </w:rPr>
                        <w:t>f</w:t>
                      </w:r>
                      <w:r w:rsidRPr="00523780">
                        <w:rPr>
                          <w:rFonts w:ascii="TimesNewRomanPS" w:eastAsia="Times New Roman" w:hAnsi="TimesNewRomanPS"/>
                          <w:bCs/>
                          <w:sz w:val="14"/>
                          <w:szCs w:val="14"/>
                          <w:lang w:eastAsia="es-ES_tradnl"/>
                        </w:rPr>
                        <w:t xml:space="preserve">ramework for ELUP strengthened </w:t>
                      </w:r>
                    </w:p>
                    <w:p w14:paraId="7F435CBC" w14:textId="77777777" w:rsidR="00A925EE" w:rsidRPr="00523780" w:rsidRDefault="00A925EE" w:rsidP="00641B93">
                      <w:pPr>
                        <w:pStyle w:val="NormalWeb"/>
                        <w:spacing w:before="0" w:beforeAutospacing="0" w:after="0" w:afterAutospacing="0"/>
                        <w:jc w:val="center"/>
                        <w:rPr>
                          <w:sz w:val="14"/>
                          <w:szCs w:val="14"/>
                        </w:rPr>
                      </w:pPr>
                    </w:p>
                  </w:txbxContent>
                </v:textbox>
                <w10:wrap anchorx="margin"/>
              </v:shape>
            </w:pict>
          </mc:Fallback>
        </mc:AlternateContent>
      </w:r>
      <w:r w:rsidRPr="003F7F6C">
        <w:rPr>
          <w:noProof/>
        </w:rPr>
        <mc:AlternateContent>
          <mc:Choice Requires="wps">
            <w:drawing>
              <wp:anchor distT="0" distB="0" distL="114300" distR="114300" simplePos="0" relativeHeight="251664384" behindDoc="0" locked="0" layoutInCell="1" allowOverlap="1" wp14:anchorId="718FB438" wp14:editId="3101C89F">
                <wp:simplePos x="0" y="0"/>
                <wp:positionH relativeFrom="margin">
                  <wp:posOffset>590550</wp:posOffset>
                </wp:positionH>
                <wp:positionV relativeFrom="paragraph">
                  <wp:posOffset>118110</wp:posOffset>
                </wp:positionV>
                <wp:extent cx="1884045" cy="457200"/>
                <wp:effectExtent l="0" t="0" r="0" b="0"/>
                <wp:wrapNone/>
                <wp:docPr id="1905"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84045" cy="457200"/>
                        </a:xfrm>
                        <a:prstGeom prst="rect">
                          <a:avLst/>
                        </a:prstGeom>
                        <a:noFill/>
                        <a:ln>
                          <a:solidFill>
                            <a:srgbClr val="4BACC6"/>
                          </a:solidFill>
                        </a:ln>
                      </wps:spPr>
                      <wps:txbx>
                        <w:txbxContent>
                          <w:p w14:paraId="5EEDE985" w14:textId="77777777" w:rsidR="00A925EE" w:rsidRPr="007B11FF" w:rsidRDefault="00A925EE" w:rsidP="00641B93">
                            <w:pPr>
                              <w:shd w:val="clear" w:color="auto" w:fill="FFFFFF"/>
                              <w:spacing w:before="100" w:beforeAutospacing="1" w:after="100" w:afterAutospacing="1"/>
                              <w:rPr>
                                <w:rFonts w:ascii="Times New Roman" w:eastAsia="Times New Roman" w:hAnsi="Times New Roman"/>
                                <w:sz w:val="14"/>
                                <w:szCs w:val="14"/>
                                <w:lang w:eastAsia="es-ES_tradnl"/>
                              </w:rPr>
                            </w:pPr>
                            <w:r w:rsidRPr="007B11FF">
                              <w:rPr>
                                <w:rFonts w:ascii="TimesNewRomanPS" w:eastAsia="Times New Roman" w:hAnsi="TimesNewRomanPS"/>
                                <w:bCs/>
                                <w:sz w:val="14"/>
                                <w:szCs w:val="14"/>
                                <w:lang w:eastAsia="es-ES_tradnl"/>
                              </w:rPr>
                              <w:t xml:space="preserve">Environmental information system updated and standardized to support the ELUP process </w:t>
                            </w:r>
                            <w:r w:rsidRPr="007B11FF">
                              <w:rPr>
                                <w:rFonts w:ascii="TimesNewRomanPSMT" w:eastAsia="Times New Roman" w:hAnsi="TimesNewRomanPSMT" w:cs="TimesNewRomanPSMT"/>
                                <w:sz w:val="14"/>
                                <w:szCs w:val="14"/>
                                <w:lang w:eastAsia="es-ES_tradnl"/>
                              </w:rPr>
                              <w:t xml:space="preserve">&amp; </w:t>
                            </w:r>
                            <w:r w:rsidRPr="007B11FF">
                              <w:rPr>
                                <w:rFonts w:ascii="TimesNewRomanPS" w:eastAsia="Times New Roman" w:hAnsi="TimesNewRomanPS"/>
                                <w:bCs/>
                                <w:sz w:val="14"/>
                                <w:szCs w:val="14"/>
                                <w:lang w:eastAsia="es-ES_tradnl"/>
                              </w:rPr>
                              <w:t xml:space="preserve">decision- making </w:t>
                            </w:r>
                          </w:p>
                          <w:p w14:paraId="682485A8" w14:textId="77777777" w:rsidR="00A925EE" w:rsidRPr="007B11FF" w:rsidRDefault="00A925EE" w:rsidP="00641B93">
                            <w:pPr>
                              <w:pStyle w:val="NormalWeb"/>
                              <w:spacing w:before="0" w:beforeAutospacing="0" w:after="0" w:afterAutospacing="0"/>
                              <w:jc w:val="center"/>
                              <w:rPr>
                                <w:sz w:val="14"/>
                                <w:szCs w:val="14"/>
                              </w:rPr>
                            </w:pP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18FB438" id="_x0000_s1039" type="#_x0000_t202" style="position:absolute;left:0;text-align:left;margin-left:46.5pt;margin-top:9.3pt;width:148.35pt;height:36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" filled="f" strokecolor="#4bacc6">
                <v:path arrowok="t"/>
                <v:textbox>
                  <w:txbxContent>
                    <w:p w14:paraId="5EEDE985" w14:textId="77777777" w:rsidR="00A925EE" w:rsidRPr="007B11FF" w:rsidRDefault="00A925EE" w:rsidP="00641B93">
                      <w:pPr>
                        <w:shd w:val="clear" w:color="auto" w:fill="FFFFFF"/>
                        <w:spacing w:before="100" w:beforeAutospacing="1" w:after="100" w:afterAutospacing="1"/>
                        <w:rPr>
                          <w:rFonts w:ascii="Times New Roman" w:eastAsia="Times New Roman" w:hAnsi="Times New Roman"/>
                          <w:sz w:val="14"/>
                          <w:szCs w:val="14"/>
                          <w:lang w:eastAsia="es-ES_tradnl"/>
                        </w:rPr>
                      </w:pPr>
                      <w:r w:rsidRPr="007B11FF">
                        <w:rPr>
                          <w:rFonts w:ascii="TimesNewRomanPS" w:eastAsia="Times New Roman" w:hAnsi="TimesNewRomanPS"/>
                          <w:bCs/>
                          <w:sz w:val="14"/>
                          <w:szCs w:val="14"/>
                          <w:lang w:eastAsia="es-ES_tradnl"/>
                        </w:rPr>
                        <w:t xml:space="preserve">Environmental information system updated and standardized to support the ELUP process </w:t>
                      </w:r>
                      <w:r w:rsidRPr="007B11FF">
                        <w:rPr>
                          <w:rFonts w:ascii="TimesNewRomanPSMT" w:eastAsia="Times New Roman" w:hAnsi="TimesNewRomanPSMT" w:cs="TimesNewRomanPSMT"/>
                          <w:sz w:val="14"/>
                          <w:szCs w:val="14"/>
                          <w:lang w:eastAsia="es-ES_tradnl"/>
                        </w:rPr>
                        <w:t xml:space="preserve">&amp; </w:t>
                      </w:r>
                      <w:r w:rsidRPr="007B11FF">
                        <w:rPr>
                          <w:rFonts w:ascii="TimesNewRomanPS" w:eastAsia="Times New Roman" w:hAnsi="TimesNewRomanPS"/>
                          <w:bCs/>
                          <w:sz w:val="14"/>
                          <w:szCs w:val="14"/>
                          <w:lang w:eastAsia="es-ES_tradnl"/>
                        </w:rPr>
                        <w:t xml:space="preserve">decision- making </w:t>
                      </w:r>
                    </w:p>
                    <w:p w14:paraId="682485A8" w14:textId="77777777" w:rsidR="00A925EE" w:rsidRPr="007B11FF" w:rsidRDefault="00A925EE" w:rsidP="00641B93">
                      <w:pPr>
                        <w:pStyle w:val="NormalWeb"/>
                        <w:spacing w:before="0" w:beforeAutospacing="0" w:after="0" w:afterAutospacing="0"/>
                        <w:jc w:val="center"/>
                        <w:rPr>
                          <w:sz w:val="14"/>
                          <w:szCs w:val="14"/>
                        </w:rPr>
                      </w:pPr>
                    </w:p>
                  </w:txbxContent>
                </v:textbox>
                <w10:wrap anchorx="margin"/>
              </v:shape>
            </w:pict>
          </mc:Fallback>
        </mc:AlternateContent>
      </w:r>
      <w:r w:rsidRPr="003F7F6C">
        <w:rPr>
          <w:noProof/>
        </w:rPr>
        <mc:AlternateContent>
          <mc:Choice Requires="wps">
            <w:drawing>
              <wp:anchor distT="0" distB="0" distL="114300" distR="114300" simplePos="0" relativeHeight="251646976" behindDoc="0" locked="0" layoutInCell="1" allowOverlap="1" wp14:anchorId="2C7A5467" wp14:editId="6C04C8AF">
                <wp:simplePos x="0" y="0"/>
                <wp:positionH relativeFrom="margin">
                  <wp:posOffset>-698500</wp:posOffset>
                </wp:positionH>
                <wp:positionV relativeFrom="paragraph">
                  <wp:posOffset>76200</wp:posOffset>
                </wp:positionV>
                <wp:extent cx="861695" cy="1600200"/>
                <wp:effectExtent l="12700" t="12700" r="1905" b="0"/>
                <wp:wrapNone/>
                <wp:docPr id="1904"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1600200"/>
                        </a:xfrm>
                        <a:prstGeom prst="rect">
                          <a:avLst/>
                        </a:prstGeom>
                        <a:solidFill>
                          <a:sysClr val="window" lastClr="FFFFFF"/>
                        </a:solidFill>
                        <a:ln w="25400" cap="flat" cmpd="sng" algn="ctr">
                          <a:solidFill>
                            <a:srgbClr val="4BACC6"/>
                          </a:solidFill>
                          <a:prstDash val="solid"/>
                        </a:ln>
                        <a:effectLst/>
                      </wps:spPr>
                      <wps:txbx>
                        <w:txbxContent>
                          <w:p w14:paraId="13CE0B88" w14:textId="77777777" w:rsidR="00A925EE" w:rsidRPr="002B3130" w:rsidRDefault="00A925EE" w:rsidP="00641B93">
                            <w:pPr>
                              <w:pStyle w:val="NormalWeb"/>
                              <w:spacing w:before="0" w:beforeAutospacing="0" w:after="0" w:afterAutospacing="0"/>
                              <w:jc w:val="center"/>
                              <w:rPr>
                                <w:rFonts w:ascii="Calibri" w:hAnsi="Calibri"/>
                                <w:sz w:val="16"/>
                                <w:szCs w:val="16"/>
                              </w:rPr>
                            </w:pPr>
                            <w:r w:rsidRPr="002B3130">
                              <w:rPr>
                                <w:rFonts w:ascii="Calibri" w:hAnsi="Calibri"/>
                                <w:b/>
                                <w:bCs/>
                                <w:color w:val="000000"/>
                                <w:kern w:val="24"/>
                                <w:sz w:val="16"/>
                                <w:szCs w:val="16"/>
                              </w:rPr>
                              <w:t>Project Outputs</w:t>
                            </w:r>
                          </w:p>
                        </w:txbxContent>
                      </wps:txbx>
                      <wps:bodyPr lIns="121789" tIns="60894" rIns="121789" bIns="60894" spcCol="0" rtlCol="0" anchor="ctr">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C7A5467" id="_x0000_s1040" style="position:absolute;left:0;text-align:left;margin-left:-55pt;margin-top:6pt;width:67.85pt;height:126pt;z-index:2516469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" fillcolor="window" strokecolor="#4bacc6" strokeweight="2pt">
                <v:path arrowok="t"/>
                <v:textbox inset="3.38303mm,1.6915mm,3.38303mm,1.6915mm">
                  <w:txbxContent>
                    <w:p w14:paraId="13CE0B88" w14:textId="77777777" w:rsidR="00A925EE" w:rsidRPr="002B3130" w:rsidRDefault="00A925EE" w:rsidP="00641B93">
                      <w:pPr>
                        <w:pStyle w:val="NormalWeb"/>
                        <w:spacing w:before="0" w:beforeAutospacing="0" w:after="0" w:afterAutospacing="0"/>
                        <w:jc w:val="center"/>
                        <w:rPr>
                          <w:rFonts w:ascii="Calibri" w:hAnsi="Calibri"/>
                          <w:sz w:val="16"/>
                          <w:szCs w:val="16"/>
                        </w:rPr>
                      </w:pPr>
                      <w:r w:rsidRPr="002B3130">
                        <w:rPr>
                          <w:rFonts w:ascii="Calibri" w:hAnsi="Calibri"/>
                          <w:b/>
                          <w:bCs/>
                          <w:color w:val="000000"/>
                          <w:kern w:val="24"/>
                          <w:sz w:val="16"/>
                          <w:szCs w:val="16"/>
                        </w:rPr>
                        <w:t>Project Outputs</w:t>
                      </w:r>
                    </w:p>
                  </w:txbxContent>
                </v:textbox>
                <w10:wrap anchorx="margin"/>
              </v:rect>
            </w:pict>
          </mc:Fallback>
        </mc:AlternateContent>
      </w:r>
    </w:p>
    <w:p w14:paraId="77AF4509" w14:textId="77777777" w:rsidR="00641B93" w:rsidRPr="003F7F6C" w:rsidRDefault="008659EB" w:rsidP="00641B93">
      <w:pPr>
        <w:spacing w:line="220" w:lineRule="exact"/>
        <w:rPr>
          <w:rFonts w:cs="Calibri"/>
        </w:rPr>
      </w:pPr>
      <w:r w:rsidRPr="003F7F6C">
        <w:rPr>
          <w:noProof/>
        </w:rPr>
        <mc:AlternateContent>
          <mc:Choice Requires="wps">
            <w:drawing>
              <wp:anchor distT="0" distB="0" distL="114300" distR="114300" simplePos="0" relativeHeight="251637760" behindDoc="0" locked="0" layoutInCell="1" allowOverlap="1" wp14:anchorId="0E93D68A" wp14:editId="589A3470">
                <wp:simplePos x="0" y="0"/>
                <wp:positionH relativeFrom="margin">
                  <wp:posOffset>7264400</wp:posOffset>
                </wp:positionH>
                <wp:positionV relativeFrom="paragraph">
                  <wp:posOffset>130810</wp:posOffset>
                </wp:positionV>
                <wp:extent cx="977900" cy="441960"/>
                <wp:effectExtent l="0" t="0" r="0" b="2540"/>
                <wp:wrapNone/>
                <wp:docPr id="1903" name="Text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77900" cy="441960"/>
                        </a:xfrm>
                        <a:prstGeom prst="rect">
                          <a:avLst/>
                        </a:prstGeom>
                        <a:noFill/>
                        <a:ln>
                          <a:solidFill>
                            <a:srgbClr val="4BACC6"/>
                          </a:solidFill>
                        </a:ln>
                      </wps:spPr>
                      <wps:txbx>
                        <w:txbxContent>
                          <w:p w14:paraId="3E6F9E04" w14:textId="77777777" w:rsidR="00A925EE" w:rsidRPr="008E0A65" w:rsidRDefault="00A925EE" w:rsidP="00641B93">
                            <w:pPr>
                              <w:pStyle w:val="NormalWeb"/>
                              <w:spacing w:before="0" w:beforeAutospacing="0" w:after="0" w:afterAutospacing="0"/>
                              <w:jc w:val="center"/>
                              <w:rPr>
                                <w:sz w:val="16"/>
                                <w:szCs w:val="16"/>
                              </w:rPr>
                            </w:pPr>
                            <w:r w:rsidRPr="00E37F26">
                              <w:rPr>
                                <w:color w:val="000000"/>
                                <w:kern w:val="24"/>
                                <w:sz w:val="16"/>
                                <w:szCs w:val="16"/>
                              </w:rPr>
                              <w:t>Lesson</w:t>
                            </w:r>
                            <w:r>
                              <w:rPr>
                                <w:color w:val="000000"/>
                                <w:kern w:val="24"/>
                                <w:sz w:val="16"/>
                                <w:szCs w:val="16"/>
                              </w:rPr>
                              <w:t xml:space="preserve"> </w:t>
                            </w:r>
                            <w:r w:rsidRPr="00E37F26">
                              <w:rPr>
                                <w:color w:val="000000"/>
                                <w:kern w:val="24"/>
                                <w:sz w:val="16"/>
                                <w:szCs w:val="16"/>
                              </w:rPr>
                              <w:t>learned publications</w:t>
                            </w:r>
                          </w:p>
                        </w:txbxContent>
                      </wps:txbx>
                      <wps:bodyPr wrap="square" rtlCol="0">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E93D68A" id="TextBox 90" o:spid="_x0000_s1041" type="#_x0000_t202" style="position:absolute;left:0;text-align:left;margin-left:572pt;margin-top:10.3pt;width:77pt;height:34.8pt;z-index:2516377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" filled="f" strokecolor="#4bacc6">
                <v:path arrowok="t"/>
                <v:textbox>
                  <w:txbxContent>
                    <w:p w14:paraId="3E6F9E04" w14:textId="77777777" w:rsidR="00A925EE" w:rsidRPr="008E0A65" w:rsidRDefault="00A925EE" w:rsidP="00641B93">
                      <w:pPr>
                        <w:pStyle w:val="NormalWeb"/>
                        <w:spacing w:before="0" w:beforeAutospacing="0" w:after="0" w:afterAutospacing="0"/>
                        <w:jc w:val="center"/>
                        <w:rPr>
                          <w:sz w:val="16"/>
                          <w:szCs w:val="16"/>
                        </w:rPr>
                      </w:pPr>
                      <w:r w:rsidRPr="00E37F26">
                        <w:rPr>
                          <w:color w:val="000000"/>
                          <w:kern w:val="24"/>
                          <w:sz w:val="16"/>
                          <w:szCs w:val="16"/>
                        </w:rPr>
                        <w:t>Lesson</w:t>
                      </w:r>
                      <w:r>
                        <w:rPr>
                          <w:color w:val="000000"/>
                          <w:kern w:val="24"/>
                          <w:sz w:val="16"/>
                          <w:szCs w:val="16"/>
                        </w:rPr>
                        <w:t xml:space="preserve"> </w:t>
                      </w:r>
                      <w:r w:rsidRPr="00E37F26">
                        <w:rPr>
                          <w:color w:val="000000"/>
                          <w:kern w:val="24"/>
                          <w:sz w:val="16"/>
                          <w:szCs w:val="16"/>
                        </w:rPr>
                        <w:t>learned publications</w:t>
                      </w:r>
                    </w:p>
                  </w:txbxContent>
                </v:textbox>
                <w10:wrap anchorx="margin"/>
              </v:shape>
            </w:pict>
          </mc:Fallback>
        </mc:AlternateContent>
      </w:r>
    </w:p>
    <w:p w14:paraId="19F850ED" w14:textId="77777777" w:rsidR="00641B93" w:rsidRPr="003F7F6C" w:rsidRDefault="008659EB" w:rsidP="00641B93">
      <w:pPr>
        <w:spacing w:line="220" w:lineRule="exact"/>
        <w:rPr>
          <w:rFonts w:cs="Calibri"/>
        </w:rPr>
      </w:pPr>
      <w:r w:rsidRPr="003F7F6C">
        <w:rPr>
          <w:noProof/>
        </w:rPr>
        <mc:AlternateContent>
          <mc:Choice Requires="wps">
            <w:drawing>
              <wp:anchor distT="0" distB="0" distL="114300" distR="114300" simplePos="0" relativeHeight="251654144" behindDoc="0" locked="0" layoutInCell="1" allowOverlap="1" wp14:anchorId="2EDA9164" wp14:editId="120887F7">
                <wp:simplePos x="0" y="0"/>
                <wp:positionH relativeFrom="margin">
                  <wp:posOffset>3079750</wp:posOffset>
                </wp:positionH>
                <wp:positionV relativeFrom="paragraph">
                  <wp:posOffset>132080</wp:posOffset>
                </wp:positionV>
                <wp:extent cx="1737360" cy="400685"/>
                <wp:effectExtent l="0" t="0" r="2540" b="5715"/>
                <wp:wrapNone/>
                <wp:docPr id="1902" name="Rectangle 1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37360" cy="400685"/>
                        </a:xfrm>
                        <a:prstGeom prst="rect">
                          <a:avLst/>
                        </a:prstGeom>
                        <a:noFill/>
                        <a:ln>
                          <a:solidFill>
                            <a:srgbClr val="4BACC6"/>
                          </a:solidFill>
                        </a:ln>
                      </wps:spPr>
                      <wps:txbx>
                        <w:txbxContent>
                          <w:p w14:paraId="3D5BA3A9" w14:textId="77777777" w:rsidR="00A925EE" w:rsidRPr="00523780" w:rsidRDefault="00A925EE" w:rsidP="00641B93">
                            <w:pPr>
                              <w:shd w:val="clear" w:color="auto" w:fill="FFFFFF"/>
                              <w:spacing w:before="100" w:beforeAutospacing="1" w:after="100" w:afterAutospacing="1"/>
                              <w:rPr>
                                <w:rFonts w:ascii="Times New Roman" w:eastAsia="Times New Roman" w:hAnsi="Times New Roman"/>
                                <w:sz w:val="14"/>
                                <w:szCs w:val="14"/>
                                <w:lang w:eastAsia="es-ES_tradnl"/>
                              </w:rPr>
                            </w:pPr>
                            <w:r w:rsidRPr="00523780">
                              <w:rPr>
                                <w:rFonts w:ascii="TimesNewRomanPS" w:eastAsia="Times New Roman" w:hAnsi="TimesNewRomanPS"/>
                                <w:bCs/>
                                <w:sz w:val="14"/>
                                <w:szCs w:val="14"/>
                                <w:lang w:eastAsia="es-ES_tradnl"/>
                              </w:rPr>
                              <w:t xml:space="preserve">Provincial </w:t>
                            </w:r>
                            <w:r>
                              <w:rPr>
                                <w:rFonts w:ascii="TimesNewRomanPS" w:eastAsia="Times New Roman" w:hAnsi="TimesNewRomanPS"/>
                                <w:bCs/>
                                <w:sz w:val="14"/>
                                <w:szCs w:val="14"/>
                                <w:lang w:eastAsia="es-ES_tradnl"/>
                              </w:rPr>
                              <w:t>g</w:t>
                            </w:r>
                            <w:r w:rsidRPr="00523780">
                              <w:rPr>
                                <w:rFonts w:ascii="TimesNewRomanPS" w:eastAsia="Times New Roman" w:hAnsi="TimesNewRomanPS"/>
                                <w:bCs/>
                                <w:sz w:val="14"/>
                                <w:szCs w:val="14"/>
                                <w:lang w:eastAsia="es-ES_tradnl"/>
                              </w:rPr>
                              <w:t xml:space="preserve">overnance </w:t>
                            </w:r>
                            <w:r>
                              <w:rPr>
                                <w:rFonts w:ascii="TimesNewRomanPS" w:eastAsia="Times New Roman" w:hAnsi="TimesNewRomanPS"/>
                                <w:bCs/>
                                <w:sz w:val="14"/>
                                <w:szCs w:val="14"/>
                                <w:lang w:eastAsia="es-ES_tradnl"/>
                              </w:rPr>
                              <w:t>f</w:t>
                            </w:r>
                            <w:r w:rsidRPr="00523780">
                              <w:rPr>
                                <w:rFonts w:ascii="TimesNewRomanPS" w:eastAsia="Times New Roman" w:hAnsi="TimesNewRomanPS"/>
                                <w:bCs/>
                                <w:sz w:val="14"/>
                                <w:szCs w:val="14"/>
                                <w:lang w:eastAsia="es-ES_tradnl"/>
                              </w:rPr>
                              <w:t xml:space="preserve">ramework for participatory ELUP &amp; sector consensus building </w:t>
                            </w:r>
                          </w:p>
                          <w:p w14:paraId="7FA25B8A" w14:textId="77777777" w:rsidR="00A925EE" w:rsidRPr="00523780" w:rsidRDefault="00A925EE" w:rsidP="00641B93">
                            <w:pPr>
                              <w:pStyle w:val="NormalWeb"/>
                              <w:spacing w:before="0" w:beforeAutospacing="0" w:after="0" w:afterAutospacing="0"/>
                              <w:jc w:val="center"/>
                              <w:rPr>
                                <w:sz w:val="14"/>
                                <w:szCs w:val="14"/>
                              </w:rPr>
                            </w:pP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EDA9164" id="Rectangle 168" o:spid="_x0000_s1042" style="position:absolute;left:0;text-align:left;margin-left:242.5pt;margin-top:10.4pt;width:136.8pt;height:31.55pt;z-index:2516541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" filled="f" strokecolor="#4bacc6">
                <v:path arrowok="t"/>
                <v:textbox>
                  <w:txbxContent>
                    <w:p w14:paraId="3D5BA3A9" w14:textId="77777777" w:rsidR="00A925EE" w:rsidRPr="00523780" w:rsidRDefault="00A925EE" w:rsidP="00641B93">
                      <w:pPr>
                        <w:shd w:val="clear" w:color="auto" w:fill="FFFFFF"/>
                        <w:spacing w:before="100" w:beforeAutospacing="1" w:after="100" w:afterAutospacing="1"/>
                        <w:rPr>
                          <w:rFonts w:ascii="Times New Roman" w:eastAsia="Times New Roman" w:hAnsi="Times New Roman"/>
                          <w:sz w:val="14"/>
                          <w:szCs w:val="14"/>
                          <w:lang w:eastAsia="es-ES_tradnl"/>
                        </w:rPr>
                      </w:pPr>
                      <w:r w:rsidRPr="00523780">
                        <w:rPr>
                          <w:rFonts w:ascii="TimesNewRomanPS" w:eastAsia="Times New Roman" w:hAnsi="TimesNewRomanPS"/>
                          <w:bCs/>
                          <w:sz w:val="14"/>
                          <w:szCs w:val="14"/>
                          <w:lang w:eastAsia="es-ES_tradnl"/>
                        </w:rPr>
                        <w:t xml:space="preserve">Provincial </w:t>
                      </w:r>
                      <w:r>
                        <w:rPr>
                          <w:rFonts w:ascii="TimesNewRomanPS" w:eastAsia="Times New Roman" w:hAnsi="TimesNewRomanPS"/>
                          <w:bCs/>
                          <w:sz w:val="14"/>
                          <w:szCs w:val="14"/>
                          <w:lang w:eastAsia="es-ES_tradnl"/>
                        </w:rPr>
                        <w:t>g</w:t>
                      </w:r>
                      <w:r w:rsidRPr="00523780">
                        <w:rPr>
                          <w:rFonts w:ascii="TimesNewRomanPS" w:eastAsia="Times New Roman" w:hAnsi="TimesNewRomanPS"/>
                          <w:bCs/>
                          <w:sz w:val="14"/>
                          <w:szCs w:val="14"/>
                          <w:lang w:eastAsia="es-ES_tradnl"/>
                        </w:rPr>
                        <w:t xml:space="preserve">overnance </w:t>
                      </w:r>
                      <w:r>
                        <w:rPr>
                          <w:rFonts w:ascii="TimesNewRomanPS" w:eastAsia="Times New Roman" w:hAnsi="TimesNewRomanPS"/>
                          <w:bCs/>
                          <w:sz w:val="14"/>
                          <w:szCs w:val="14"/>
                          <w:lang w:eastAsia="es-ES_tradnl"/>
                        </w:rPr>
                        <w:t>f</w:t>
                      </w:r>
                      <w:r w:rsidRPr="00523780">
                        <w:rPr>
                          <w:rFonts w:ascii="TimesNewRomanPS" w:eastAsia="Times New Roman" w:hAnsi="TimesNewRomanPS"/>
                          <w:bCs/>
                          <w:sz w:val="14"/>
                          <w:szCs w:val="14"/>
                          <w:lang w:eastAsia="es-ES_tradnl"/>
                        </w:rPr>
                        <w:t xml:space="preserve">ramework for participatory ELUP &amp; sector consensus building </w:t>
                      </w:r>
                    </w:p>
                    <w:p w14:paraId="7FA25B8A" w14:textId="77777777" w:rsidR="00A925EE" w:rsidRPr="00523780" w:rsidRDefault="00A925EE" w:rsidP="00641B93">
                      <w:pPr>
                        <w:pStyle w:val="NormalWeb"/>
                        <w:spacing w:before="0" w:beforeAutospacing="0" w:after="0" w:afterAutospacing="0"/>
                        <w:jc w:val="center"/>
                        <w:rPr>
                          <w:sz w:val="14"/>
                          <w:szCs w:val="14"/>
                        </w:rPr>
                      </w:pPr>
                    </w:p>
                  </w:txbxContent>
                </v:textbox>
                <w10:wrap anchorx="margin"/>
              </v:rect>
            </w:pict>
          </mc:Fallback>
        </mc:AlternateContent>
      </w:r>
    </w:p>
    <w:p w14:paraId="664541E0" w14:textId="77777777" w:rsidR="00641B93" w:rsidRPr="003F7F6C" w:rsidRDefault="008659EB" w:rsidP="00641B93">
      <w:pPr>
        <w:spacing w:line="220" w:lineRule="exact"/>
        <w:rPr>
          <w:rFonts w:cs="Calibri"/>
        </w:rPr>
      </w:pPr>
      <w:r w:rsidRPr="003F7F6C">
        <w:rPr>
          <w:noProof/>
        </w:rPr>
        <mc:AlternateContent>
          <mc:Choice Requires="wps">
            <w:drawing>
              <wp:anchor distT="0" distB="0" distL="114300" distR="114300" simplePos="0" relativeHeight="251648000" behindDoc="0" locked="0" layoutInCell="1" allowOverlap="1" wp14:anchorId="6C54D204" wp14:editId="0D09C1A4">
                <wp:simplePos x="0" y="0"/>
                <wp:positionH relativeFrom="margin">
                  <wp:posOffset>5240020</wp:posOffset>
                </wp:positionH>
                <wp:positionV relativeFrom="paragraph">
                  <wp:posOffset>106045</wp:posOffset>
                </wp:positionV>
                <wp:extent cx="1536700" cy="386715"/>
                <wp:effectExtent l="0" t="0" r="0" b="0"/>
                <wp:wrapNone/>
                <wp:docPr id="1901" name="Text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6700" cy="386715"/>
                        </a:xfrm>
                        <a:prstGeom prst="rect">
                          <a:avLst/>
                        </a:prstGeom>
                        <a:noFill/>
                        <a:ln>
                          <a:solidFill>
                            <a:srgbClr val="4BACC6"/>
                          </a:solidFill>
                        </a:ln>
                      </wps:spPr>
                      <wps:txbx>
                        <w:txbxContent>
                          <w:p w14:paraId="6D3190D0" w14:textId="77777777" w:rsidR="00A925EE" w:rsidRPr="009E57C5" w:rsidRDefault="00A925EE" w:rsidP="00641B93">
                            <w:pPr>
                              <w:shd w:val="clear" w:color="auto" w:fill="FFFFFF"/>
                              <w:spacing w:before="100" w:beforeAutospacing="1" w:after="100" w:afterAutospacing="1"/>
                              <w:rPr>
                                <w:rFonts w:ascii="Times New Roman" w:eastAsia="Times New Roman" w:hAnsi="Times New Roman"/>
                                <w:sz w:val="14"/>
                                <w:szCs w:val="14"/>
                                <w:lang w:eastAsia="es-ES_tradnl"/>
                              </w:rPr>
                            </w:pPr>
                            <w:r w:rsidRPr="009E57C5">
                              <w:rPr>
                                <w:rFonts w:ascii="TimesNewRomanPS" w:eastAsia="Times New Roman" w:hAnsi="TimesNewRomanPS"/>
                                <w:bCs/>
                                <w:sz w:val="14"/>
                                <w:szCs w:val="14"/>
                                <w:lang w:eastAsia="es-ES_tradnl"/>
                              </w:rPr>
                              <w:t xml:space="preserve">Nationwide ELUP </w:t>
                            </w:r>
                            <w:r>
                              <w:rPr>
                                <w:rFonts w:ascii="TimesNewRomanPS" w:eastAsia="Times New Roman" w:hAnsi="TimesNewRomanPS"/>
                                <w:bCs/>
                                <w:sz w:val="14"/>
                                <w:szCs w:val="14"/>
                                <w:lang w:eastAsia="es-ES_tradnl"/>
                              </w:rPr>
                              <w:t>c</w:t>
                            </w:r>
                            <w:r w:rsidRPr="009E57C5">
                              <w:rPr>
                                <w:rFonts w:ascii="TimesNewRomanPS" w:eastAsia="Times New Roman" w:hAnsi="TimesNewRomanPS"/>
                                <w:bCs/>
                                <w:sz w:val="14"/>
                                <w:szCs w:val="14"/>
                                <w:lang w:eastAsia="es-ES_tradnl"/>
                              </w:rPr>
                              <w:t xml:space="preserve">apacity </w:t>
                            </w:r>
                            <w:r>
                              <w:rPr>
                                <w:rFonts w:ascii="TimesNewRomanPS" w:eastAsia="Times New Roman" w:hAnsi="TimesNewRomanPS"/>
                                <w:bCs/>
                                <w:sz w:val="14"/>
                                <w:szCs w:val="14"/>
                                <w:lang w:eastAsia="es-ES_tradnl"/>
                              </w:rPr>
                              <w:t>s</w:t>
                            </w:r>
                            <w:r w:rsidRPr="009E57C5">
                              <w:rPr>
                                <w:rFonts w:ascii="TimesNewRomanPS" w:eastAsia="Times New Roman" w:hAnsi="TimesNewRomanPS"/>
                                <w:bCs/>
                                <w:sz w:val="14"/>
                                <w:szCs w:val="14"/>
                                <w:lang w:eastAsia="es-ES_tradnl"/>
                              </w:rPr>
                              <w:t xml:space="preserve">trengthening </w:t>
                            </w:r>
                            <w:r>
                              <w:rPr>
                                <w:rFonts w:ascii="TimesNewRomanPS" w:eastAsia="Times New Roman" w:hAnsi="TimesNewRomanPS"/>
                                <w:bCs/>
                                <w:sz w:val="14"/>
                                <w:szCs w:val="14"/>
                                <w:lang w:eastAsia="es-ES_tradnl"/>
                              </w:rPr>
                              <w:t>p</w:t>
                            </w:r>
                            <w:r w:rsidRPr="009E57C5">
                              <w:rPr>
                                <w:rFonts w:ascii="TimesNewRomanPS" w:eastAsia="Times New Roman" w:hAnsi="TimesNewRomanPS"/>
                                <w:bCs/>
                                <w:sz w:val="14"/>
                                <w:szCs w:val="14"/>
                                <w:lang w:eastAsia="es-ES_tradnl"/>
                              </w:rPr>
                              <w:t xml:space="preserve">rogramme for </w:t>
                            </w:r>
                            <w:r>
                              <w:rPr>
                                <w:rFonts w:ascii="TimesNewRomanPS" w:eastAsia="Times New Roman" w:hAnsi="TimesNewRomanPS"/>
                                <w:bCs/>
                                <w:sz w:val="14"/>
                                <w:szCs w:val="14"/>
                                <w:lang w:eastAsia="es-ES_tradnl"/>
                              </w:rPr>
                              <w:t>p</w:t>
                            </w:r>
                            <w:r w:rsidRPr="009E57C5">
                              <w:rPr>
                                <w:rFonts w:ascii="TimesNewRomanPS" w:eastAsia="Times New Roman" w:hAnsi="TimesNewRomanPS"/>
                                <w:bCs/>
                                <w:sz w:val="14"/>
                                <w:szCs w:val="14"/>
                                <w:lang w:eastAsia="es-ES_tradnl"/>
                              </w:rPr>
                              <w:t xml:space="preserve">rovincial </w:t>
                            </w:r>
                            <w:r>
                              <w:rPr>
                                <w:rFonts w:ascii="TimesNewRomanPS" w:eastAsia="Times New Roman" w:hAnsi="TimesNewRomanPS"/>
                                <w:bCs/>
                                <w:sz w:val="14"/>
                                <w:szCs w:val="14"/>
                                <w:lang w:eastAsia="es-ES_tradnl"/>
                              </w:rPr>
                              <w:t>a</w:t>
                            </w:r>
                            <w:r w:rsidRPr="009E57C5">
                              <w:rPr>
                                <w:rFonts w:ascii="TimesNewRomanPS" w:eastAsia="Times New Roman" w:hAnsi="TimesNewRomanPS"/>
                                <w:bCs/>
                                <w:sz w:val="14"/>
                                <w:szCs w:val="14"/>
                                <w:lang w:eastAsia="es-ES_tradnl"/>
                              </w:rPr>
                              <w:t xml:space="preserve">uthorities </w:t>
                            </w:r>
                          </w:p>
                          <w:p w14:paraId="218D78FF" w14:textId="77777777" w:rsidR="00A925EE" w:rsidRPr="009E57C5" w:rsidRDefault="00A925EE" w:rsidP="00641B93">
                            <w:pPr>
                              <w:pStyle w:val="NormalWeb"/>
                              <w:spacing w:before="0" w:beforeAutospacing="0" w:after="0" w:afterAutospacing="0"/>
                              <w:jc w:val="center"/>
                              <w:rPr>
                                <w:sz w:val="14"/>
                                <w:szCs w:val="14"/>
                              </w:rPr>
                            </w:pPr>
                          </w:p>
                        </w:txbxContent>
                      </wps:txbx>
                      <wps:bodyPr wrap="square" rtlCol="0">
                        <a:noAutofit/>
                      </wps:bodyPr>
                    </wps:wsp>
                  </a:graphicData>
                </a:graphic>
                <wp14:sizeRelH relativeFrom="page">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C54D204" id="TextBox 96" o:spid="_x0000_s1043" type="#_x0000_t202" style="position:absolute;left:0;text-align:left;margin-left:412.6pt;margin-top:8.35pt;width:121pt;height:30.45pt;z-index:2516480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" filled="f" strokecolor="#4bacc6">
                <v:path arrowok="t"/>
                <v:textbox>
                  <w:txbxContent>
                    <w:p w14:paraId="6D3190D0" w14:textId="77777777" w:rsidR="00A925EE" w:rsidRPr="009E57C5" w:rsidRDefault="00A925EE" w:rsidP="00641B93">
                      <w:pPr>
                        <w:shd w:val="clear" w:color="auto" w:fill="FFFFFF"/>
                        <w:spacing w:before="100" w:beforeAutospacing="1" w:after="100" w:afterAutospacing="1"/>
                        <w:rPr>
                          <w:rFonts w:ascii="Times New Roman" w:eastAsia="Times New Roman" w:hAnsi="Times New Roman"/>
                          <w:sz w:val="14"/>
                          <w:szCs w:val="14"/>
                          <w:lang w:eastAsia="es-ES_tradnl"/>
                        </w:rPr>
                      </w:pPr>
                      <w:r w:rsidRPr="009E57C5">
                        <w:rPr>
                          <w:rFonts w:ascii="TimesNewRomanPS" w:eastAsia="Times New Roman" w:hAnsi="TimesNewRomanPS"/>
                          <w:bCs/>
                          <w:sz w:val="14"/>
                          <w:szCs w:val="14"/>
                          <w:lang w:eastAsia="es-ES_tradnl"/>
                        </w:rPr>
                        <w:t xml:space="preserve">Nationwide ELUP </w:t>
                      </w:r>
                      <w:r>
                        <w:rPr>
                          <w:rFonts w:ascii="TimesNewRomanPS" w:eastAsia="Times New Roman" w:hAnsi="TimesNewRomanPS"/>
                          <w:bCs/>
                          <w:sz w:val="14"/>
                          <w:szCs w:val="14"/>
                          <w:lang w:eastAsia="es-ES_tradnl"/>
                        </w:rPr>
                        <w:t>c</w:t>
                      </w:r>
                      <w:r w:rsidRPr="009E57C5">
                        <w:rPr>
                          <w:rFonts w:ascii="TimesNewRomanPS" w:eastAsia="Times New Roman" w:hAnsi="TimesNewRomanPS"/>
                          <w:bCs/>
                          <w:sz w:val="14"/>
                          <w:szCs w:val="14"/>
                          <w:lang w:eastAsia="es-ES_tradnl"/>
                        </w:rPr>
                        <w:t xml:space="preserve">apacity </w:t>
                      </w:r>
                      <w:r>
                        <w:rPr>
                          <w:rFonts w:ascii="TimesNewRomanPS" w:eastAsia="Times New Roman" w:hAnsi="TimesNewRomanPS"/>
                          <w:bCs/>
                          <w:sz w:val="14"/>
                          <w:szCs w:val="14"/>
                          <w:lang w:eastAsia="es-ES_tradnl"/>
                        </w:rPr>
                        <w:t>s</w:t>
                      </w:r>
                      <w:r w:rsidRPr="009E57C5">
                        <w:rPr>
                          <w:rFonts w:ascii="TimesNewRomanPS" w:eastAsia="Times New Roman" w:hAnsi="TimesNewRomanPS"/>
                          <w:bCs/>
                          <w:sz w:val="14"/>
                          <w:szCs w:val="14"/>
                          <w:lang w:eastAsia="es-ES_tradnl"/>
                        </w:rPr>
                        <w:t xml:space="preserve">trengthening </w:t>
                      </w:r>
                      <w:r>
                        <w:rPr>
                          <w:rFonts w:ascii="TimesNewRomanPS" w:eastAsia="Times New Roman" w:hAnsi="TimesNewRomanPS"/>
                          <w:bCs/>
                          <w:sz w:val="14"/>
                          <w:szCs w:val="14"/>
                          <w:lang w:eastAsia="es-ES_tradnl"/>
                        </w:rPr>
                        <w:t>p</w:t>
                      </w:r>
                      <w:r w:rsidRPr="009E57C5">
                        <w:rPr>
                          <w:rFonts w:ascii="TimesNewRomanPS" w:eastAsia="Times New Roman" w:hAnsi="TimesNewRomanPS"/>
                          <w:bCs/>
                          <w:sz w:val="14"/>
                          <w:szCs w:val="14"/>
                          <w:lang w:eastAsia="es-ES_tradnl"/>
                        </w:rPr>
                        <w:t xml:space="preserve">rogramme for </w:t>
                      </w:r>
                      <w:r>
                        <w:rPr>
                          <w:rFonts w:ascii="TimesNewRomanPS" w:eastAsia="Times New Roman" w:hAnsi="TimesNewRomanPS"/>
                          <w:bCs/>
                          <w:sz w:val="14"/>
                          <w:szCs w:val="14"/>
                          <w:lang w:eastAsia="es-ES_tradnl"/>
                        </w:rPr>
                        <w:t>p</w:t>
                      </w:r>
                      <w:r w:rsidRPr="009E57C5">
                        <w:rPr>
                          <w:rFonts w:ascii="TimesNewRomanPS" w:eastAsia="Times New Roman" w:hAnsi="TimesNewRomanPS"/>
                          <w:bCs/>
                          <w:sz w:val="14"/>
                          <w:szCs w:val="14"/>
                          <w:lang w:eastAsia="es-ES_tradnl"/>
                        </w:rPr>
                        <w:t xml:space="preserve">rovincial </w:t>
                      </w:r>
                      <w:r>
                        <w:rPr>
                          <w:rFonts w:ascii="TimesNewRomanPS" w:eastAsia="Times New Roman" w:hAnsi="TimesNewRomanPS"/>
                          <w:bCs/>
                          <w:sz w:val="14"/>
                          <w:szCs w:val="14"/>
                          <w:lang w:eastAsia="es-ES_tradnl"/>
                        </w:rPr>
                        <w:t>a</w:t>
                      </w:r>
                      <w:r w:rsidRPr="009E57C5">
                        <w:rPr>
                          <w:rFonts w:ascii="TimesNewRomanPS" w:eastAsia="Times New Roman" w:hAnsi="TimesNewRomanPS"/>
                          <w:bCs/>
                          <w:sz w:val="14"/>
                          <w:szCs w:val="14"/>
                          <w:lang w:eastAsia="es-ES_tradnl"/>
                        </w:rPr>
                        <w:t xml:space="preserve">uthorities </w:t>
                      </w:r>
                    </w:p>
                    <w:p w14:paraId="218D78FF" w14:textId="77777777" w:rsidR="00A925EE" w:rsidRPr="009E57C5" w:rsidRDefault="00A925EE" w:rsidP="00641B93">
                      <w:pPr>
                        <w:pStyle w:val="NormalWeb"/>
                        <w:spacing w:before="0" w:beforeAutospacing="0" w:after="0" w:afterAutospacing="0"/>
                        <w:jc w:val="center"/>
                        <w:rPr>
                          <w:sz w:val="14"/>
                          <w:szCs w:val="14"/>
                        </w:rPr>
                      </w:pPr>
                    </w:p>
                  </w:txbxContent>
                </v:textbox>
                <w10:wrap anchorx="margin"/>
              </v:shape>
            </w:pict>
          </mc:Fallback>
        </mc:AlternateContent>
      </w:r>
    </w:p>
    <w:p w14:paraId="09FD2DE8" w14:textId="77777777" w:rsidR="00641B93" w:rsidRPr="003F7F6C" w:rsidRDefault="008659EB" w:rsidP="00641B93">
      <w:pPr>
        <w:spacing w:line="220" w:lineRule="exact"/>
        <w:rPr>
          <w:rFonts w:cs="Calibri"/>
        </w:rPr>
      </w:pPr>
      <w:r w:rsidRPr="003F7F6C">
        <w:rPr>
          <w:noProof/>
        </w:rPr>
        <mc:AlternateContent>
          <mc:Choice Requires="wps">
            <w:drawing>
              <wp:anchor distT="0" distB="0" distL="114300" distR="114300" simplePos="0" relativeHeight="251652096" behindDoc="0" locked="0" layoutInCell="1" allowOverlap="1" wp14:anchorId="4A56707E" wp14:editId="71266949">
                <wp:simplePos x="0" y="0"/>
                <wp:positionH relativeFrom="margin">
                  <wp:posOffset>590550</wp:posOffset>
                </wp:positionH>
                <wp:positionV relativeFrom="paragraph">
                  <wp:posOffset>86995</wp:posOffset>
                </wp:positionV>
                <wp:extent cx="1885950" cy="230505"/>
                <wp:effectExtent l="0" t="0" r="6350" b="0"/>
                <wp:wrapNone/>
                <wp:docPr id="1900" name="Rectangle 1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85950" cy="230505"/>
                        </a:xfrm>
                        <a:prstGeom prst="rect">
                          <a:avLst/>
                        </a:prstGeom>
                        <a:noFill/>
                        <a:ln>
                          <a:solidFill>
                            <a:srgbClr val="4BACC6"/>
                          </a:solidFill>
                        </a:ln>
                      </wps:spPr>
                      <wps:txbx>
                        <w:txbxContent>
                          <w:p w14:paraId="5D5EDF8D" w14:textId="77777777" w:rsidR="00A925EE" w:rsidRPr="007B11FF" w:rsidRDefault="00A925EE" w:rsidP="00641B93">
                            <w:pPr>
                              <w:shd w:val="clear" w:color="auto" w:fill="FFFFFF"/>
                              <w:spacing w:before="100" w:beforeAutospacing="1" w:after="100" w:afterAutospacing="1"/>
                              <w:rPr>
                                <w:rFonts w:ascii="Times New Roman" w:eastAsia="Times New Roman" w:hAnsi="Times New Roman"/>
                                <w:sz w:val="14"/>
                                <w:szCs w:val="14"/>
                                <w:lang w:eastAsia="es-ES_tradnl"/>
                              </w:rPr>
                            </w:pPr>
                            <w:r w:rsidRPr="007B11FF">
                              <w:rPr>
                                <w:rFonts w:ascii="TimesNewRomanPS" w:eastAsia="Times New Roman" w:hAnsi="TimesNewRomanPS"/>
                                <w:bCs/>
                                <w:sz w:val="14"/>
                                <w:szCs w:val="14"/>
                                <w:lang w:eastAsia="es-ES_tradnl"/>
                              </w:rPr>
                              <w:t>Federal level ELUP criteria agreed</w:t>
                            </w:r>
                            <w:r>
                              <w:rPr>
                                <w:rFonts w:ascii="TimesNewRomanPS" w:eastAsia="Times New Roman" w:hAnsi="TimesNewRomanPS"/>
                                <w:bCs/>
                                <w:sz w:val="14"/>
                                <w:szCs w:val="14"/>
                                <w:lang w:eastAsia="es-ES_tradnl"/>
                              </w:rPr>
                              <w:t xml:space="preserve"> </w:t>
                            </w:r>
                            <w:r w:rsidRPr="007B11FF">
                              <w:rPr>
                                <w:rFonts w:ascii="TimesNewRomanPS" w:eastAsia="Times New Roman" w:hAnsi="TimesNewRomanPS"/>
                                <w:bCs/>
                                <w:sz w:val="14"/>
                                <w:szCs w:val="14"/>
                                <w:lang w:eastAsia="es-ES_tradnl"/>
                              </w:rPr>
                              <w:t xml:space="preserve">upon </w:t>
                            </w:r>
                          </w:p>
                          <w:p w14:paraId="1BB302B6" w14:textId="77777777" w:rsidR="00A925EE" w:rsidRPr="007B11FF" w:rsidRDefault="00A925EE" w:rsidP="00641B93">
                            <w:pPr>
                              <w:pStyle w:val="NormalWeb"/>
                              <w:spacing w:before="0" w:beforeAutospacing="0" w:after="0" w:afterAutospacing="0"/>
                              <w:jc w:val="center"/>
                              <w:rPr>
                                <w:sz w:val="14"/>
                                <w:szCs w:val="14"/>
                              </w:rPr>
                            </w:pPr>
                          </w:p>
                        </w:txbxContent>
                      </wps:txbx>
                      <wps:bodyPr wrap="square" rtlCol="0">
                        <a:noAutofit/>
                      </wps:bodyPr>
                    </wps:wsp>
                  </a:graphicData>
                </a:graphic>
                <wp14:sizeRelH relativeFrom="page">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4A56707E" id="Rectangle 167" o:spid="_x0000_s1044" style="position:absolute;left:0;text-align:left;margin-left:46.5pt;margin-top:6.85pt;width:148.5pt;height:18.15pt;z-index:2516520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" filled="f" strokecolor="#4bacc6">
                <v:path arrowok="t"/>
                <v:textbox>
                  <w:txbxContent>
                    <w:p w14:paraId="5D5EDF8D" w14:textId="77777777" w:rsidR="00A925EE" w:rsidRPr="007B11FF" w:rsidRDefault="00A925EE" w:rsidP="00641B93">
                      <w:pPr>
                        <w:shd w:val="clear" w:color="auto" w:fill="FFFFFF"/>
                        <w:spacing w:before="100" w:beforeAutospacing="1" w:after="100" w:afterAutospacing="1"/>
                        <w:rPr>
                          <w:rFonts w:ascii="Times New Roman" w:eastAsia="Times New Roman" w:hAnsi="Times New Roman"/>
                          <w:sz w:val="14"/>
                          <w:szCs w:val="14"/>
                          <w:lang w:eastAsia="es-ES_tradnl"/>
                        </w:rPr>
                      </w:pPr>
                      <w:r w:rsidRPr="007B11FF">
                        <w:rPr>
                          <w:rFonts w:ascii="TimesNewRomanPS" w:eastAsia="Times New Roman" w:hAnsi="TimesNewRomanPS"/>
                          <w:bCs/>
                          <w:sz w:val="14"/>
                          <w:szCs w:val="14"/>
                          <w:lang w:eastAsia="es-ES_tradnl"/>
                        </w:rPr>
                        <w:t>Federal level ELUP criteria agreed</w:t>
                      </w:r>
                      <w:r>
                        <w:rPr>
                          <w:rFonts w:ascii="TimesNewRomanPS" w:eastAsia="Times New Roman" w:hAnsi="TimesNewRomanPS"/>
                          <w:bCs/>
                          <w:sz w:val="14"/>
                          <w:szCs w:val="14"/>
                          <w:lang w:eastAsia="es-ES_tradnl"/>
                        </w:rPr>
                        <w:t xml:space="preserve"> </w:t>
                      </w:r>
                      <w:r w:rsidRPr="007B11FF">
                        <w:rPr>
                          <w:rFonts w:ascii="TimesNewRomanPS" w:eastAsia="Times New Roman" w:hAnsi="TimesNewRomanPS"/>
                          <w:bCs/>
                          <w:sz w:val="14"/>
                          <w:szCs w:val="14"/>
                          <w:lang w:eastAsia="es-ES_tradnl"/>
                        </w:rPr>
                        <w:t xml:space="preserve">upon </w:t>
                      </w:r>
                    </w:p>
                    <w:p w14:paraId="1BB302B6" w14:textId="77777777" w:rsidR="00A925EE" w:rsidRPr="007B11FF" w:rsidRDefault="00A925EE" w:rsidP="00641B93">
                      <w:pPr>
                        <w:pStyle w:val="NormalWeb"/>
                        <w:spacing w:before="0" w:beforeAutospacing="0" w:after="0" w:afterAutospacing="0"/>
                        <w:jc w:val="center"/>
                        <w:rPr>
                          <w:sz w:val="14"/>
                          <w:szCs w:val="14"/>
                        </w:rPr>
                      </w:pPr>
                    </w:p>
                  </w:txbxContent>
                </v:textbox>
                <w10:wrap anchorx="margin"/>
              </v:rect>
            </w:pict>
          </mc:Fallback>
        </mc:AlternateContent>
      </w:r>
    </w:p>
    <w:p w14:paraId="50D6D69A" w14:textId="77777777" w:rsidR="00641B93" w:rsidRPr="003F7F6C" w:rsidRDefault="008659EB" w:rsidP="00641B93">
      <w:pPr>
        <w:spacing w:line="220" w:lineRule="exact"/>
        <w:rPr>
          <w:rFonts w:cs="Calibri"/>
        </w:rPr>
      </w:pPr>
      <w:r w:rsidRPr="003F7F6C">
        <w:rPr>
          <w:noProof/>
        </w:rPr>
        <mc:AlternateContent>
          <mc:Choice Requires="wps">
            <w:drawing>
              <wp:anchor distT="0" distB="0" distL="114300" distR="114300" simplePos="0" relativeHeight="251653120" behindDoc="0" locked="0" layoutInCell="1" allowOverlap="1" wp14:anchorId="69A21BB7" wp14:editId="0B0E219C">
                <wp:simplePos x="0" y="0"/>
                <wp:positionH relativeFrom="margin">
                  <wp:posOffset>7264400</wp:posOffset>
                </wp:positionH>
                <wp:positionV relativeFrom="paragraph">
                  <wp:posOffset>117475</wp:posOffset>
                </wp:positionV>
                <wp:extent cx="977900" cy="325120"/>
                <wp:effectExtent l="0" t="0" r="0" b="5080"/>
                <wp:wrapNone/>
                <wp:docPr id="1899" name="TextBox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77900" cy="325120"/>
                        </a:xfrm>
                        <a:prstGeom prst="rect">
                          <a:avLst/>
                        </a:prstGeom>
                        <a:noFill/>
                        <a:ln>
                          <a:solidFill>
                            <a:srgbClr val="4BACC6"/>
                          </a:solidFill>
                        </a:ln>
                      </wps:spPr>
                      <wps:txbx>
                        <w:txbxContent>
                          <w:p w14:paraId="4DED7CA8" w14:textId="77777777" w:rsidR="00A925EE" w:rsidRPr="008E0A65" w:rsidRDefault="00A925EE" w:rsidP="00641B93">
                            <w:pPr>
                              <w:pStyle w:val="NormalWeb"/>
                              <w:spacing w:before="0" w:beforeAutospacing="0" w:after="0" w:afterAutospacing="0"/>
                              <w:jc w:val="center"/>
                              <w:rPr>
                                <w:sz w:val="16"/>
                                <w:szCs w:val="16"/>
                              </w:rPr>
                            </w:pPr>
                            <w:r w:rsidRPr="00E37F26">
                              <w:rPr>
                                <w:color w:val="000000"/>
                                <w:kern w:val="24"/>
                                <w:sz w:val="16"/>
                                <w:szCs w:val="16"/>
                              </w:rPr>
                              <w:t xml:space="preserve">Dissemination </w:t>
                            </w:r>
                            <w:r>
                              <w:rPr>
                                <w:color w:val="000000"/>
                                <w:kern w:val="24"/>
                                <w:sz w:val="16"/>
                                <w:szCs w:val="16"/>
                              </w:rPr>
                              <w:t>to</w:t>
                            </w:r>
                            <w:r w:rsidRPr="00E37F26">
                              <w:rPr>
                                <w:color w:val="000000"/>
                                <w:kern w:val="24"/>
                                <w:sz w:val="16"/>
                                <w:szCs w:val="16"/>
                              </w:rPr>
                              <w:t xml:space="preserve"> sectors</w:t>
                            </w:r>
                          </w:p>
                        </w:txbxContent>
                      </wps:txbx>
                      <wps:bodyPr wrap="square" rtlCol="0">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9A21BB7" id="TextBox 97" o:spid="_x0000_s1045" type="#_x0000_t202" style="position:absolute;left:0;text-align:left;margin-left:572pt;margin-top:9.25pt;width:77pt;height:25.6pt;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" filled="f" strokecolor="#4bacc6">
                <v:path arrowok="t"/>
                <v:textbox>
                  <w:txbxContent>
                    <w:p w14:paraId="4DED7CA8" w14:textId="77777777" w:rsidR="00A925EE" w:rsidRPr="008E0A65" w:rsidRDefault="00A925EE" w:rsidP="00641B93">
                      <w:pPr>
                        <w:pStyle w:val="NormalWeb"/>
                        <w:spacing w:before="0" w:beforeAutospacing="0" w:after="0" w:afterAutospacing="0"/>
                        <w:jc w:val="center"/>
                        <w:rPr>
                          <w:sz w:val="16"/>
                          <w:szCs w:val="16"/>
                        </w:rPr>
                      </w:pPr>
                      <w:r w:rsidRPr="00E37F26">
                        <w:rPr>
                          <w:color w:val="000000"/>
                          <w:kern w:val="24"/>
                          <w:sz w:val="16"/>
                          <w:szCs w:val="16"/>
                        </w:rPr>
                        <w:t xml:space="preserve">Dissemination </w:t>
                      </w:r>
                      <w:r>
                        <w:rPr>
                          <w:color w:val="000000"/>
                          <w:kern w:val="24"/>
                          <w:sz w:val="16"/>
                          <w:szCs w:val="16"/>
                        </w:rPr>
                        <w:t>to</w:t>
                      </w:r>
                      <w:r w:rsidRPr="00E37F26">
                        <w:rPr>
                          <w:color w:val="000000"/>
                          <w:kern w:val="24"/>
                          <w:sz w:val="16"/>
                          <w:szCs w:val="16"/>
                        </w:rPr>
                        <w:t xml:space="preserve"> sectors</w:t>
                      </w:r>
                    </w:p>
                  </w:txbxContent>
                </v:textbox>
                <w10:wrap anchorx="margin"/>
              </v:shape>
            </w:pict>
          </mc:Fallback>
        </mc:AlternateContent>
      </w:r>
    </w:p>
    <w:p w14:paraId="5CF3AA0F" w14:textId="77777777" w:rsidR="00641B93" w:rsidRPr="003F7F6C" w:rsidRDefault="008659EB" w:rsidP="00641B93">
      <w:pPr>
        <w:spacing w:line="220" w:lineRule="exact"/>
        <w:rPr>
          <w:rFonts w:cs="Calibri"/>
        </w:rPr>
      </w:pPr>
      <w:r w:rsidRPr="003F7F6C">
        <w:rPr>
          <w:noProof/>
        </w:rPr>
        <mc:AlternateContent>
          <mc:Choice Requires="wps">
            <w:drawing>
              <wp:anchor distT="0" distB="0" distL="114300" distR="114300" simplePos="0" relativeHeight="251669504" behindDoc="0" locked="0" layoutInCell="1" allowOverlap="1" wp14:anchorId="382C2741" wp14:editId="10EAAA54">
                <wp:simplePos x="0" y="0"/>
                <wp:positionH relativeFrom="margin">
                  <wp:posOffset>5240020</wp:posOffset>
                </wp:positionH>
                <wp:positionV relativeFrom="paragraph">
                  <wp:posOffset>124460</wp:posOffset>
                </wp:positionV>
                <wp:extent cx="1536700" cy="421640"/>
                <wp:effectExtent l="0" t="0" r="0" b="0"/>
                <wp:wrapNone/>
                <wp:docPr id="1898" name="Text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6700" cy="421640"/>
                        </a:xfrm>
                        <a:prstGeom prst="rect">
                          <a:avLst/>
                        </a:prstGeom>
                        <a:noFill/>
                        <a:ln>
                          <a:solidFill>
                            <a:srgbClr val="4BACC6"/>
                          </a:solidFill>
                        </a:ln>
                      </wps:spPr>
                      <wps:txbx>
                        <w:txbxContent>
                          <w:p w14:paraId="26A252A4" w14:textId="77777777" w:rsidR="00A925EE" w:rsidRPr="009E57C5" w:rsidRDefault="00A925EE" w:rsidP="00641B93">
                            <w:pPr>
                              <w:shd w:val="clear" w:color="auto" w:fill="FFFFFF"/>
                              <w:spacing w:before="100" w:beforeAutospacing="1" w:after="100" w:afterAutospacing="1"/>
                              <w:rPr>
                                <w:rFonts w:ascii="Times New Roman" w:eastAsia="Times New Roman" w:hAnsi="Times New Roman"/>
                                <w:sz w:val="14"/>
                                <w:szCs w:val="14"/>
                                <w:lang w:eastAsia="es-ES_tradnl"/>
                              </w:rPr>
                            </w:pPr>
                            <w:r w:rsidRPr="009E57C5">
                              <w:rPr>
                                <w:rFonts w:ascii="TimesNewRomanPS" w:eastAsia="Times New Roman" w:hAnsi="TimesNewRomanPS"/>
                                <w:bCs/>
                                <w:sz w:val="14"/>
                                <w:szCs w:val="14"/>
                                <w:lang w:eastAsia="es-ES_tradnl"/>
                              </w:rPr>
                              <w:t xml:space="preserve">System to </w:t>
                            </w:r>
                            <w:r>
                              <w:rPr>
                                <w:rFonts w:ascii="TimesNewRomanPS" w:eastAsia="Times New Roman" w:hAnsi="TimesNewRomanPS"/>
                                <w:bCs/>
                                <w:sz w:val="14"/>
                                <w:szCs w:val="14"/>
                                <w:lang w:eastAsia="es-ES_tradnl"/>
                              </w:rPr>
                              <w:t>m</w:t>
                            </w:r>
                            <w:r w:rsidRPr="009E57C5">
                              <w:rPr>
                                <w:rFonts w:ascii="TimesNewRomanPS" w:eastAsia="Times New Roman" w:hAnsi="TimesNewRomanPS"/>
                                <w:bCs/>
                                <w:sz w:val="14"/>
                                <w:szCs w:val="14"/>
                                <w:lang w:eastAsia="es-ES_tradnl"/>
                              </w:rPr>
                              <w:t xml:space="preserve">onitor ELUP implementation nationwide established </w:t>
                            </w:r>
                          </w:p>
                          <w:p w14:paraId="3C491E04" w14:textId="77777777" w:rsidR="00A925EE" w:rsidRPr="009E57C5" w:rsidRDefault="00A925EE" w:rsidP="00641B93">
                            <w:pPr>
                              <w:pStyle w:val="NormalWeb"/>
                              <w:spacing w:before="0" w:beforeAutospacing="0" w:after="0" w:afterAutospacing="0"/>
                              <w:jc w:val="center"/>
                              <w:rPr>
                                <w:sz w:val="14"/>
                                <w:szCs w:val="14"/>
                              </w:rPr>
                            </w:pPr>
                          </w:p>
                        </w:txbxContent>
                      </wps:txbx>
                      <wps:bodyPr wrap="square" rtlCol="0">
                        <a:noAutofit/>
                      </wps:bodyPr>
                    </wps:wsp>
                  </a:graphicData>
                </a:graphic>
                <wp14:sizeRelH relativeFrom="page">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82C2741" id="_x0000_s1046" type="#_x0000_t202" style="position:absolute;left:0;text-align:left;margin-left:412.6pt;margin-top:9.8pt;width:121pt;height:33.2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" filled="f" strokecolor="#4bacc6">
                <v:path arrowok="t"/>
                <v:textbox>
                  <w:txbxContent>
                    <w:p w14:paraId="26A252A4" w14:textId="77777777" w:rsidR="00A925EE" w:rsidRPr="009E57C5" w:rsidRDefault="00A925EE" w:rsidP="00641B93">
                      <w:pPr>
                        <w:shd w:val="clear" w:color="auto" w:fill="FFFFFF"/>
                        <w:spacing w:before="100" w:beforeAutospacing="1" w:after="100" w:afterAutospacing="1"/>
                        <w:rPr>
                          <w:rFonts w:ascii="Times New Roman" w:eastAsia="Times New Roman" w:hAnsi="Times New Roman"/>
                          <w:sz w:val="14"/>
                          <w:szCs w:val="14"/>
                          <w:lang w:eastAsia="es-ES_tradnl"/>
                        </w:rPr>
                      </w:pPr>
                      <w:r w:rsidRPr="009E57C5">
                        <w:rPr>
                          <w:rFonts w:ascii="TimesNewRomanPS" w:eastAsia="Times New Roman" w:hAnsi="TimesNewRomanPS"/>
                          <w:bCs/>
                          <w:sz w:val="14"/>
                          <w:szCs w:val="14"/>
                          <w:lang w:eastAsia="es-ES_tradnl"/>
                        </w:rPr>
                        <w:t xml:space="preserve">System to </w:t>
                      </w:r>
                      <w:r>
                        <w:rPr>
                          <w:rFonts w:ascii="TimesNewRomanPS" w:eastAsia="Times New Roman" w:hAnsi="TimesNewRomanPS"/>
                          <w:bCs/>
                          <w:sz w:val="14"/>
                          <w:szCs w:val="14"/>
                          <w:lang w:eastAsia="es-ES_tradnl"/>
                        </w:rPr>
                        <w:t>m</w:t>
                      </w:r>
                      <w:r w:rsidRPr="009E57C5">
                        <w:rPr>
                          <w:rFonts w:ascii="TimesNewRomanPS" w:eastAsia="Times New Roman" w:hAnsi="TimesNewRomanPS"/>
                          <w:bCs/>
                          <w:sz w:val="14"/>
                          <w:szCs w:val="14"/>
                          <w:lang w:eastAsia="es-ES_tradnl"/>
                        </w:rPr>
                        <w:t xml:space="preserve">onitor ELUP implementation nationwide established </w:t>
                      </w:r>
                    </w:p>
                    <w:p w14:paraId="3C491E04" w14:textId="77777777" w:rsidR="00A925EE" w:rsidRPr="009E57C5" w:rsidRDefault="00A925EE" w:rsidP="00641B93">
                      <w:pPr>
                        <w:pStyle w:val="NormalWeb"/>
                        <w:spacing w:before="0" w:beforeAutospacing="0" w:after="0" w:afterAutospacing="0"/>
                        <w:jc w:val="center"/>
                        <w:rPr>
                          <w:sz w:val="14"/>
                          <w:szCs w:val="14"/>
                        </w:rPr>
                      </w:pPr>
                    </w:p>
                  </w:txbxContent>
                </v:textbox>
                <w10:wrap anchorx="margin"/>
              </v:shape>
            </w:pict>
          </mc:Fallback>
        </mc:AlternateContent>
      </w:r>
      <w:r w:rsidRPr="003F7F6C">
        <w:rPr>
          <w:noProof/>
        </w:rPr>
        <mc:AlternateContent>
          <mc:Choice Requires="wps">
            <w:drawing>
              <wp:anchor distT="0" distB="0" distL="114300" distR="114300" simplePos="0" relativeHeight="251667456" behindDoc="0" locked="0" layoutInCell="1" allowOverlap="1" wp14:anchorId="15951775" wp14:editId="13B1AD29">
                <wp:simplePos x="0" y="0"/>
                <wp:positionH relativeFrom="margin">
                  <wp:posOffset>3081020</wp:posOffset>
                </wp:positionH>
                <wp:positionV relativeFrom="paragraph">
                  <wp:posOffset>40005</wp:posOffset>
                </wp:positionV>
                <wp:extent cx="1736725" cy="400685"/>
                <wp:effectExtent l="0" t="0" r="3175" b="5715"/>
                <wp:wrapNone/>
                <wp:docPr id="1897" name="Rectangle 1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36725" cy="400685"/>
                        </a:xfrm>
                        <a:prstGeom prst="rect">
                          <a:avLst/>
                        </a:prstGeom>
                        <a:noFill/>
                        <a:ln>
                          <a:solidFill>
                            <a:srgbClr val="4BACC6"/>
                          </a:solidFill>
                        </a:ln>
                      </wps:spPr>
                      <wps:txbx>
                        <w:txbxContent>
                          <w:p w14:paraId="21D1D5F4" w14:textId="77777777" w:rsidR="00A925EE" w:rsidRPr="00523780" w:rsidRDefault="00A925EE" w:rsidP="00641B93">
                            <w:pPr>
                              <w:shd w:val="clear" w:color="auto" w:fill="FFFFFF"/>
                              <w:spacing w:before="100" w:beforeAutospacing="1" w:after="100" w:afterAutospacing="1"/>
                              <w:rPr>
                                <w:rFonts w:ascii="Times New Roman" w:eastAsia="Times New Roman" w:hAnsi="Times New Roman"/>
                                <w:sz w:val="14"/>
                                <w:szCs w:val="14"/>
                                <w:lang w:eastAsia="es-ES_tradnl"/>
                              </w:rPr>
                            </w:pPr>
                            <w:r w:rsidRPr="00523780">
                              <w:rPr>
                                <w:rFonts w:ascii="TimesNewRomanPS" w:eastAsia="Times New Roman" w:hAnsi="TimesNewRomanPS"/>
                                <w:bCs/>
                                <w:sz w:val="14"/>
                                <w:szCs w:val="14"/>
                                <w:lang w:eastAsia="es-ES_tradnl"/>
                              </w:rPr>
                              <w:t xml:space="preserve">Set of instruments validated in pilot landscapes for defining and implementing ELUP </w:t>
                            </w:r>
                          </w:p>
                          <w:p w14:paraId="0A09B3F5" w14:textId="77777777" w:rsidR="00A925EE" w:rsidRPr="00523780" w:rsidRDefault="00A925EE" w:rsidP="00641B93">
                            <w:pPr>
                              <w:pStyle w:val="NormalWeb"/>
                              <w:spacing w:before="0" w:beforeAutospacing="0" w:after="0" w:afterAutospacing="0"/>
                              <w:jc w:val="center"/>
                              <w:rPr>
                                <w:sz w:val="14"/>
                                <w:szCs w:val="14"/>
                              </w:rPr>
                            </w:pP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5951775" id="_x0000_s1047" style="position:absolute;left:0;text-align:left;margin-left:242.6pt;margin-top:3.15pt;width:136.75pt;height:31.5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" filled="f" strokecolor="#4bacc6">
                <v:path arrowok="t"/>
                <v:textbox>
                  <w:txbxContent>
                    <w:p w14:paraId="21D1D5F4" w14:textId="77777777" w:rsidR="00A925EE" w:rsidRPr="00523780" w:rsidRDefault="00A925EE" w:rsidP="00641B93">
                      <w:pPr>
                        <w:shd w:val="clear" w:color="auto" w:fill="FFFFFF"/>
                        <w:spacing w:before="100" w:beforeAutospacing="1" w:after="100" w:afterAutospacing="1"/>
                        <w:rPr>
                          <w:rFonts w:ascii="Times New Roman" w:eastAsia="Times New Roman" w:hAnsi="Times New Roman"/>
                          <w:sz w:val="14"/>
                          <w:szCs w:val="14"/>
                          <w:lang w:eastAsia="es-ES_tradnl"/>
                        </w:rPr>
                      </w:pPr>
                      <w:r w:rsidRPr="00523780">
                        <w:rPr>
                          <w:rFonts w:ascii="TimesNewRomanPS" w:eastAsia="Times New Roman" w:hAnsi="TimesNewRomanPS"/>
                          <w:bCs/>
                          <w:sz w:val="14"/>
                          <w:szCs w:val="14"/>
                          <w:lang w:eastAsia="es-ES_tradnl"/>
                        </w:rPr>
                        <w:t xml:space="preserve">Set of instruments validated in pilot landscapes for defining and implementing ELUP </w:t>
                      </w:r>
                    </w:p>
                    <w:p w14:paraId="0A09B3F5" w14:textId="77777777" w:rsidR="00A925EE" w:rsidRPr="00523780" w:rsidRDefault="00A925EE" w:rsidP="00641B93">
                      <w:pPr>
                        <w:pStyle w:val="NormalWeb"/>
                        <w:spacing w:before="0" w:beforeAutospacing="0" w:after="0" w:afterAutospacing="0"/>
                        <w:jc w:val="center"/>
                        <w:rPr>
                          <w:sz w:val="14"/>
                          <w:szCs w:val="14"/>
                        </w:rPr>
                      </w:pPr>
                    </w:p>
                  </w:txbxContent>
                </v:textbox>
                <w10:wrap anchorx="margin"/>
              </v:rect>
            </w:pict>
          </mc:Fallback>
        </mc:AlternateContent>
      </w:r>
      <w:r w:rsidRPr="003F7F6C">
        <w:rPr>
          <w:noProof/>
        </w:rPr>
        <mc:AlternateContent>
          <mc:Choice Requires="wps">
            <w:drawing>
              <wp:anchor distT="0" distB="0" distL="114300" distR="114300" simplePos="0" relativeHeight="251665408" behindDoc="0" locked="0" layoutInCell="1" allowOverlap="1" wp14:anchorId="224CC694" wp14:editId="766AD695">
                <wp:simplePos x="0" y="0"/>
                <wp:positionH relativeFrom="margin">
                  <wp:posOffset>590550</wp:posOffset>
                </wp:positionH>
                <wp:positionV relativeFrom="paragraph">
                  <wp:posOffset>81915</wp:posOffset>
                </wp:positionV>
                <wp:extent cx="1885950" cy="302260"/>
                <wp:effectExtent l="0" t="0" r="6350" b="2540"/>
                <wp:wrapNone/>
                <wp:docPr id="1896"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85950" cy="302260"/>
                        </a:xfrm>
                        <a:prstGeom prst="rect">
                          <a:avLst/>
                        </a:prstGeom>
                        <a:noFill/>
                        <a:ln>
                          <a:solidFill>
                            <a:srgbClr val="4BACC6"/>
                          </a:solidFill>
                        </a:ln>
                      </wps:spPr>
                      <wps:txbx>
                        <w:txbxContent>
                          <w:p w14:paraId="68263DC7" w14:textId="77777777" w:rsidR="00A925EE" w:rsidRPr="007B11FF" w:rsidRDefault="00A925EE" w:rsidP="00641B93">
                            <w:pPr>
                              <w:shd w:val="clear" w:color="auto" w:fill="FFFFFF"/>
                              <w:spacing w:before="100" w:beforeAutospacing="1" w:after="100" w:afterAutospacing="1"/>
                              <w:rPr>
                                <w:rFonts w:ascii="Times New Roman" w:eastAsia="Times New Roman" w:hAnsi="Times New Roman"/>
                                <w:sz w:val="14"/>
                                <w:szCs w:val="14"/>
                                <w:lang w:eastAsia="es-ES_tradnl"/>
                              </w:rPr>
                            </w:pPr>
                            <w:r w:rsidRPr="007B11FF">
                              <w:rPr>
                                <w:rFonts w:ascii="TimesNewRomanPS" w:eastAsia="Times New Roman" w:hAnsi="TimesNewRomanPS"/>
                                <w:bCs/>
                                <w:sz w:val="14"/>
                                <w:szCs w:val="14"/>
                                <w:lang w:eastAsia="es-ES_tradnl"/>
                              </w:rPr>
                              <w:t xml:space="preserve">Standardized instruments for implementing ELUP for targeted sectors </w:t>
                            </w:r>
                          </w:p>
                          <w:p w14:paraId="1E1CED56" w14:textId="77777777" w:rsidR="00A925EE" w:rsidRPr="007B11FF" w:rsidRDefault="00A925EE" w:rsidP="00641B93">
                            <w:pPr>
                              <w:pStyle w:val="NormalWeb"/>
                              <w:spacing w:before="0" w:beforeAutospacing="0" w:after="0" w:afterAutospacing="0"/>
                              <w:jc w:val="center"/>
                              <w:rPr>
                                <w:sz w:val="14"/>
                                <w:szCs w:val="14"/>
                              </w:rPr>
                            </w:pP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24CC694" id="_x0000_s1048" type="#_x0000_t202" style="position:absolute;left:0;text-align:left;margin-left:46.5pt;margin-top:6.45pt;width:148.5pt;height:23.8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" filled="f" strokecolor="#4bacc6">
                <v:path arrowok="t"/>
                <v:textbox>
                  <w:txbxContent>
                    <w:p w14:paraId="68263DC7" w14:textId="77777777" w:rsidR="00A925EE" w:rsidRPr="007B11FF" w:rsidRDefault="00A925EE" w:rsidP="00641B93">
                      <w:pPr>
                        <w:shd w:val="clear" w:color="auto" w:fill="FFFFFF"/>
                        <w:spacing w:before="100" w:beforeAutospacing="1" w:after="100" w:afterAutospacing="1"/>
                        <w:rPr>
                          <w:rFonts w:ascii="Times New Roman" w:eastAsia="Times New Roman" w:hAnsi="Times New Roman"/>
                          <w:sz w:val="14"/>
                          <w:szCs w:val="14"/>
                          <w:lang w:eastAsia="es-ES_tradnl"/>
                        </w:rPr>
                      </w:pPr>
                      <w:r w:rsidRPr="007B11FF">
                        <w:rPr>
                          <w:rFonts w:ascii="TimesNewRomanPS" w:eastAsia="Times New Roman" w:hAnsi="TimesNewRomanPS"/>
                          <w:bCs/>
                          <w:sz w:val="14"/>
                          <w:szCs w:val="14"/>
                          <w:lang w:eastAsia="es-ES_tradnl"/>
                        </w:rPr>
                        <w:t xml:space="preserve">Standardized instruments for implementing ELUP for targeted sectors </w:t>
                      </w:r>
                    </w:p>
                    <w:p w14:paraId="1E1CED56" w14:textId="77777777" w:rsidR="00A925EE" w:rsidRPr="007B11FF" w:rsidRDefault="00A925EE" w:rsidP="00641B93">
                      <w:pPr>
                        <w:pStyle w:val="NormalWeb"/>
                        <w:spacing w:before="0" w:beforeAutospacing="0" w:after="0" w:afterAutospacing="0"/>
                        <w:jc w:val="center"/>
                        <w:rPr>
                          <w:sz w:val="14"/>
                          <w:szCs w:val="14"/>
                        </w:rPr>
                      </w:pPr>
                    </w:p>
                  </w:txbxContent>
                </v:textbox>
                <w10:wrap anchorx="margin"/>
              </v:shape>
            </w:pict>
          </mc:Fallback>
        </mc:AlternateContent>
      </w:r>
    </w:p>
    <w:p w14:paraId="0ACFF2AB" w14:textId="77777777" w:rsidR="00641B93" w:rsidRPr="003F7F6C" w:rsidRDefault="00641B93" w:rsidP="00641B93">
      <w:pPr>
        <w:spacing w:line="220" w:lineRule="exact"/>
        <w:rPr>
          <w:rFonts w:cs="Calibri"/>
        </w:rPr>
      </w:pPr>
    </w:p>
    <w:p w14:paraId="669D4F34" w14:textId="77777777" w:rsidR="00641B93" w:rsidRPr="003F7F6C" w:rsidRDefault="00641B93" w:rsidP="00641B93">
      <w:pPr>
        <w:spacing w:line="220" w:lineRule="exact"/>
        <w:rPr>
          <w:rFonts w:cs="Calibri"/>
        </w:rPr>
      </w:pPr>
    </w:p>
    <w:p w14:paraId="3BF469DD" w14:textId="77777777" w:rsidR="00641B93" w:rsidRPr="003F7F6C" w:rsidRDefault="008659EB" w:rsidP="00641B93">
      <w:pPr>
        <w:spacing w:line="220" w:lineRule="exact"/>
        <w:rPr>
          <w:rFonts w:cs="Calibri"/>
        </w:rPr>
      </w:pPr>
      <w:r w:rsidRPr="003F7F6C">
        <w:rPr>
          <w:noProof/>
        </w:rPr>
        <mc:AlternateContent>
          <mc:Choice Requires="wps">
            <w:drawing>
              <wp:anchor distT="0" distB="0" distL="114300" distR="114300" simplePos="0" relativeHeight="251650048" behindDoc="0" locked="0" layoutInCell="1" allowOverlap="1" wp14:anchorId="7BB70285" wp14:editId="36E893D7">
                <wp:simplePos x="0" y="0"/>
                <wp:positionH relativeFrom="margin">
                  <wp:posOffset>3081020</wp:posOffset>
                </wp:positionH>
                <wp:positionV relativeFrom="paragraph">
                  <wp:posOffset>78105</wp:posOffset>
                </wp:positionV>
                <wp:extent cx="1736725" cy="393700"/>
                <wp:effectExtent l="0" t="0" r="3175" b="0"/>
                <wp:wrapNone/>
                <wp:docPr id="1895" name="TextBox 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36725" cy="393700"/>
                        </a:xfrm>
                        <a:prstGeom prst="rect">
                          <a:avLst/>
                        </a:prstGeom>
                        <a:noFill/>
                        <a:ln>
                          <a:solidFill>
                            <a:srgbClr val="4BACC6"/>
                          </a:solidFill>
                        </a:ln>
                      </wps:spPr>
                      <wps:txbx>
                        <w:txbxContent>
                          <w:p w14:paraId="15079942" w14:textId="77777777" w:rsidR="00A925EE" w:rsidRPr="00523780" w:rsidRDefault="00A925EE" w:rsidP="00641B93">
                            <w:pPr>
                              <w:shd w:val="clear" w:color="auto" w:fill="FFFFFF"/>
                              <w:spacing w:before="100" w:beforeAutospacing="1" w:after="100" w:afterAutospacing="1"/>
                              <w:rPr>
                                <w:rFonts w:ascii="Times New Roman" w:eastAsia="Times New Roman" w:hAnsi="Times New Roman"/>
                                <w:sz w:val="14"/>
                                <w:szCs w:val="14"/>
                                <w:lang w:eastAsia="es-ES_tradnl"/>
                              </w:rPr>
                            </w:pPr>
                            <w:r w:rsidRPr="00523780">
                              <w:rPr>
                                <w:rFonts w:ascii="TimesNewRomanPS" w:eastAsia="Times New Roman" w:hAnsi="TimesNewRomanPS"/>
                                <w:bCs/>
                                <w:sz w:val="14"/>
                                <w:szCs w:val="14"/>
                                <w:lang w:eastAsia="es-ES_tradnl"/>
                              </w:rPr>
                              <w:t xml:space="preserve">SLM and biodiversity-friendly production practices validated for different ELUP land use zones </w:t>
                            </w:r>
                          </w:p>
                          <w:p w14:paraId="5F8F26C2" w14:textId="77777777" w:rsidR="00A925EE" w:rsidRPr="00523780" w:rsidRDefault="00A925EE" w:rsidP="00641B93">
                            <w:pPr>
                              <w:pStyle w:val="NormalWeb"/>
                              <w:spacing w:before="0" w:beforeAutospacing="0" w:after="0" w:afterAutospacing="0"/>
                              <w:jc w:val="center"/>
                              <w:rPr>
                                <w:sz w:val="14"/>
                                <w:szCs w:val="14"/>
                              </w:rPr>
                            </w:pP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BB70285" id="TextBox 79" o:spid="_x0000_s1049" type="#_x0000_t202" style="position:absolute;left:0;text-align:left;margin-left:242.6pt;margin-top:6.15pt;width:136.75pt;height:31pt;z-index:251650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" filled="f" strokecolor="#4bacc6">
                <v:path arrowok="t"/>
                <v:textbox>
                  <w:txbxContent>
                    <w:p w14:paraId="15079942" w14:textId="77777777" w:rsidR="00A925EE" w:rsidRPr="00523780" w:rsidRDefault="00A925EE" w:rsidP="00641B93">
                      <w:pPr>
                        <w:shd w:val="clear" w:color="auto" w:fill="FFFFFF"/>
                        <w:spacing w:before="100" w:beforeAutospacing="1" w:after="100" w:afterAutospacing="1"/>
                        <w:rPr>
                          <w:rFonts w:ascii="Times New Roman" w:eastAsia="Times New Roman" w:hAnsi="Times New Roman"/>
                          <w:sz w:val="14"/>
                          <w:szCs w:val="14"/>
                          <w:lang w:eastAsia="es-ES_tradnl"/>
                        </w:rPr>
                      </w:pPr>
                      <w:r w:rsidRPr="00523780">
                        <w:rPr>
                          <w:rFonts w:ascii="TimesNewRomanPS" w:eastAsia="Times New Roman" w:hAnsi="TimesNewRomanPS"/>
                          <w:bCs/>
                          <w:sz w:val="14"/>
                          <w:szCs w:val="14"/>
                          <w:lang w:eastAsia="es-ES_tradnl"/>
                        </w:rPr>
                        <w:t xml:space="preserve">SLM and biodiversity-friendly production practices validated for different ELUP land use zones </w:t>
                      </w:r>
                    </w:p>
                    <w:p w14:paraId="5F8F26C2" w14:textId="77777777" w:rsidR="00A925EE" w:rsidRPr="00523780" w:rsidRDefault="00A925EE" w:rsidP="00641B93">
                      <w:pPr>
                        <w:pStyle w:val="NormalWeb"/>
                        <w:spacing w:before="0" w:beforeAutospacing="0" w:after="0" w:afterAutospacing="0"/>
                        <w:jc w:val="center"/>
                        <w:rPr>
                          <w:sz w:val="14"/>
                          <w:szCs w:val="14"/>
                        </w:rPr>
                      </w:pPr>
                    </w:p>
                  </w:txbxContent>
                </v:textbox>
                <w10:wrap anchorx="margin"/>
              </v:shape>
            </w:pict>
          </mc:Fallback>
        </mc:AlternateContent>
      </w:r>
      <w:r w:rsidRPr="003F7F6C">
        <w:rPr>
          <w:noProof/>
        </w:rPr>
        <mc:AlternateContent>
          <mc:Choice Requires="wps">
            <w:drawing>
              <wp:anchor distT="0" distB="0" distL="114300" distR="114300" simplePos="0" relativeHeight="251649024" behindDoc="0" locked="0" layoutInCell="1" allowOverlap="1" wp14:anchorId="137C6BC3" wp14:editId="273EC459">
                <wp:simplePos x="0" y="0"/>
                <wp:positionH relativeFrom="margin">
                  <wp:posOffset>590550</wp:posOffset>
                </wp:positionH>
                <wp:positionV relativeFrom="paragraph">
                  <wp:posOffset>21590</wp:posOffset>
                </wp:positionV>
                <wp:extent cx="1885950" cy="325120"/>
                <wp:effectExtent l="0" t="0" r="6350" b="5080"/>
                <wp:wrapNone/>
                <wp:docPr id="1894" name="TextBox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85950" cy="325120"/>
                        </a:xfrm>
                        <a:prstGeom prst="rect">
                          <a:avLst/>
                        </a:prstGeom>
                        <a:noFill/>
                        <a:ln>
                          <a:solidFill>
                            <a:srgbClr val="4BACC6"/>
                          </a:solidFill>
                        </a:ln>
                      </wps:spPr>
                      <wps:txbx>
                        <w:txbxContent>
                          <w:p w14:paraId="42B4A843" w14:textId="77777777" w:rsidR="00A925EE" w:rsidRPr="007B11FF" w:rsidRDefault="00A925EE" w:rsidP="00641B93">
                            <w:pPr>
                              <w:shd w:val="clear" w:color="auto" w:fill="FFFFFF"/>
                              <w:spacing w:before="100" w:beforeAutospacing="1" w:after="100" w:afterAutospacing="1"/>
                              <w:rPr>
                                <w:rFonts w:ascii="Times New Roman" w:eastAsia="Times New Roman" w:hAnsi="Times New Roman"/>
                                <w:sz w:val="14"/>
                                <w:szCs w:val="14"/>
                                <w:lang w:eastAsia="es-ES_tradnl"/>
                              </w:rPr>
                            </w:pPr>
                            <w:r w:rsidRPr="007B11FF">
                              <w:rPr>
                                <w:rFonts w:ascii="TimesNewRomanPS" w:eastAsia="Times New Roman" w:hAnsi="TimesNewRomanPS"/>
                                <w:bCs/>
                                <w:sz w:val="14"/>
                                <w:szCs w:val="14"/>
                                <w:lang w:eastAsia="es-ES_tradnl"/>
                              </w:rPr>
                              <w:t xml:space="preserve">Inter-sectoral and inter jurisdictional co-ordination mechanisms </w:t>
                            </w:r>
                          </w:p>
                          <w:p w14:paraId="27A7EA75" w14:textId="77777777" w:rsidR="00A925EE" w:rsidRPr="007B11FF" w:rsidRDefault="00A925EE" w:rsidP="00641B93">
                            <w:pPr>
                              <w:pStyle w:val="NormalWeb"/>
                              <w:spacing w:before="0" w:beforeAutospacing="0" w:after="0" w:afterAutospacing="0"/>
                              <w:jc w:val="center"/>
                              <w:rPr>
                                <w:sz w:val="14"/>
                                <w:szCs w:val="14"/>
                              </w:rPr>
                            </w:pPr>
                            <w:r w:rsidRPr="007B11FF">
                              <w:rPr>
                                <w:sz w:val="14"/>
                                <w:szCs w:val="14"/>
                              </w:rPr>
                              <w:t>systems</w:t>
                            </w:r>
                          </w:p>
                        </w:txbxContent>
                      </wps:txbx>
                      <wps:bodyPr wrap="square" rtlCol="0">
                        <a:noAutofit/>
                      </wps:bodyPr>
                    </wps:wsp>
                  </a:graphicData>
                </a:graphic>
                <wp14:sizeRelH relativeFrom="margin">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37C6BC3" id="TextBox 78" o:spid="_x0000_s1050" type="#_x0000_t202" style="position:absolute;left:0;text-align:left;margin-left:46.5pt;margin-top:1.7pt;width:148.5pt;height:25.6pt;z-index:2516490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" filled="f" strokecolor="#4bacc6">
                <v:path arrowok="t"/>
                <v:textbox>
                  <w:txbxContent>
                    <w:p w14:paraId="42B4A843" w14:textId="77777777" w:rsidR="00A925EE" w:rsidRPr="007B11FF" w:rsidRDefault="00A925EE" w:rsidP="00641B93">
                      <w:pPr>
                        <w:shd w:val="clear" w:color="auto" w:fill="FFFFFF"/>
                        <w:spacing w:before="100" w:beforeAutospacing="1" w:after="100" w:afterAutospacing="1"/>
                        <w:rPr>
                          <w:rFonts w:ascii="Times New Roman" w:eastAsia="Times New Roman" w:hAnsi="Times New Roman"/>
                          <w:sz w:val="14"/>
                          <w:szCs w:val="14"/>
                          <w:lang w:eastAsia="es-ES_tradnl"/>
                        </w:rPr>
                      </w:pPr>
                      <w:r w:rsidRPr="007B11FF">
                        <w:rPr>
                          <w:rFonts w:ascii="TimesNewRomanPS" w:eastAsia="Times New Roman" w:hAnsi="TimesNewRomanPS"/>
                          <w:bCs/>
                          <w:sz w:val="14"/>
                          <w:szCs w:val="14"/>
                          <w:lang w:eastAsia="es-ES_tradnl"/>
                        </w:rPr>
                        <w:t xml:space="preserve">Inter-sectoral and inter jurisdictional co-ordination mechanisms </w:t>
                      </w:r>
                    </w:p>
                    <w:p w14:paraId="27A7EA75" w14:textId="77777777" w:rsidR="00A925EE" w:rsidRPr="007B11FF" w:rsidRDefault="00A925EE" w:rsidP="00641B93">
                      <w:pPr>
                        <w:pStyle w:val="NormalWeb"/>
                        <w:spacing w:before="0" w:beforeAutospacing="0" w:after="0" w:afterAutospacing="0"/>
                        <w:jc w:val="center"/>
                        <w:rPr>
                          <w:sz w:val="14"/>
                          <w:szCs w:val="14"/>
                        </w:rPr>
                      </w:pPr>
                      <w:r w:rsidRPr="007B11FF">
                        <w:rPr>
                          <w:sz w:val="14"/>
                          <w:szCs w:val="14"/>
                        </w:rPr>
                        <w:t>systems</w:t>
                      </w:r>
                    </w:p>
                  </w:txbxContent>
                </v:textbox>
                <w10:wrap anchorx="margin"/>
              </v:shape>
            </w:pict>
          </mc:Fallback>
        </mc:AlternateContent>
      </w:r>
    </w:p>
    <w:p w14:paraId="2A8E134F" w14:textId="77777777" w:rsidR="00641B93" w:rsidRPr="003F7F6C" w:rsidRDefault="00641B93" w:rsidP="00641B93">
      <w:pPr>
        <w:spacing w:line="220" w:lineRule="exact"/>
        <w:rPr>
          <w:rFonts w:cs="Calibri"/>
        </w:rPr>
      </w:pPr>
    </w:p>
    <w:p w14:paraId="2787973E" w14:textId="77777777" w:rsidR="00641B93" w:rsidRPr="003F7F6C" w:rsidRDefault="008659EB" w:rsidP="00641B93">
      <w:pPr>
        <w:spacing w:line="220" w:lineRule="exact"/>
        <w:rPr>
          <w:rFonts w:cs="Calibri"/>
        </w:rPr>
      </w:pPr>
      <w:r w:rsidRPr="003F7F6C">
        <w:rPr>
          <w:noProof/>
        </w:rPr>
        <mc:AlternateContent>
          <mc:Choice Requires="wps">
            <w:drawing>
              <wp:anchor distT="0" distB="0" distL="114300" distR="114300" simplePos="0" relativeHeight="251663360" behindDoc="0" locked="0" layoutInCell="1" allowOverlap="1" wp14:anchorId="2DFF6020" wp14:editId="391784A4">
                <wp:simplePos x="0" y="0"/>
                <wp:positionH relativeFrom="column">
                  <wp:posOffset>6915150</wp:posOffset>
                </wp:positionH>
                <wp:positionV relativeFrom="paragraph">
                  <wp:posOffset>127000</wp:posOffset>
                </wp:positionV>
                <wp:extent cx="1657350" cy="227965"/>
                <wp:effectExtent l="0" t="0" r="0" b="0"/>
                <wp:wrapSquare wrapText="bothSides"/>
                <wp:docPr id="189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7350" cy="227965"/>
                        </a:xfrm>
                        <a:prstGeom prst="rect">
                          <a:avLst/>
                        </a:prstGeom>
                        <a:noFill/>
                        <a:ln>
                          <a:noFill/>
                        </a:ln>
                        <a:effectLst/>
                        <a:extLst>
                          <a:ext uri="{C572A759-6A51-4108-AA02-DFA0A04FC94B}"/>
                        </a:extLst>
                      </wps:spPr>
                      <wps:txbx>
                        <w:txbxContent>
                          <w:p w14:paraId="26096F82" w14:textId="77777777" w:rsidR="00A925EE" w:rsidRPr="00410386" w:rsidRDefault="00A925EE" w:rsidP="00641B93">
                            <w:pPr>
                              <w:jc w:val="center"/>
                              <w:rPr>
                                <w:rFonts w:ascii="Times New Roman" w:hAnsi="Times New Roman"/>
                                <w:b/>
                                <w:sz w:val="16"/>
                                <w:szCs w:val="16"/>
                              </w:rPr>
                            </w:pPr>
                            <w:r w:rsidRPr="00410386">
                              <w:rPr>
                                <w:rFonts w:ascii="Times New Roman" w:hAnsi="Times New Roman"/>
                                <w:b/>
                                <w:sz w:val="16"/>
                                <w:szCs w:val="16"/>
                              </w:rPr>
                              <w:t xml:space="preserve">Project </w:t>
                            </w:r>
                            <w:r>
                              <w:rPr>
                                <w:rFonts w:ascii="Times New Roman" w:hAnsi="Times New Roman"/>
                                <w:b/>
                                <w:sz w:val="16"/>
                                <w:szCs w:val="16"/>
                              </w:rPr>
                              <w:t>Outcome</w:t>
                            </w:r>
                            <w:r w:rsidRPr="00410386">
                              <w:rPr>
                                <w:rFonts w:ascii="Times New Roman" w:hAnsi="Times New Roman"/>
                                <w:b/>
                                <w:sz w:val="16"/>
                                <w:szCs w:val="16"/>
                              </w:rPr>
                              <w:t xml:space="preserve"> </w:t>
                            </w:r>
                            <w:r>
                              <w:rPr>
                                <w:rFonts w:ascii="Times New Roman" w:hAnsi="Times New Roman"/>
                                <w:b/>
                                <w:sz w:val="16"/>
                                <w:szCs w:val="16"/>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DFF6020" id="Text Box 20" o:spid="_x0000_s1051" type="#_x0000_t202" style="position:absolute;left:0;text-align:left;margin-left:544.5pt;margin-top:10pt;width:130.5pt;height:17.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" filled="f" stroked="f">
                <v:textbox>
                  <w:txbxContent>
                    <w:p w14:paraId="26096F82" w14:textId="77777777" w:rsidR="00A925EE" w:rsidRPr="00410386" w:rsidRDefault="00A925EE" w:rsidP="00641B93">
                      <w:pPr>
                        <w:jc w:val="center"/>
                        <w:rPr>
                          <w:rFonts w:ascii="Times New Roman" w:hAnsi="Times New Roman"/>
                          <w:b/>
                          <w:sz w:val="16"/>
                          <w:szCs w:val="16"/>
                        </w:rPr>
                      </w:pPr>
                      <w:r w:rsidRPr="00410386">
                        <w:rPr>
                          <w:rFonts w:ascii="Times New Roman" w:hAnsi="Times New Roman"/>
                          <w:b/>
                          <w:sz w:val="16"/>
                          <w:szCs w:val="16"/>
                        </w:rPr>
                        <w:t xml:space="preserve">Project </w:t>
                      </w:r>
                      <w:r>
                        <w:rPr>
                          <w:rFonts w:ascii="Times New Roman" w:hAnsi="Times New Roman"/>
                          <w:b/>
                          <w:sz w:val="16"/>
                          <w:szCs w:val="16"/>
                        </w:rPr>
                        <w:t>Outcome</w:t>
                      </w:r>
                      <w:r w:rsidRPr="00410386">
                        <w:rPr>
                          <w:rFonts w:ascii="Times New Roman" w:hAnsi="Times New Roman"/>
                          <w:b/>
                          <w:sz w:val="16"/>
                          <w:szCs w:val="16"/>
                        </w:rPr>
                        <w:t xml:space="preserve"> </w:t>
                      </w:r>
                      <w:r>
                        <w:rPr>
                          <w:rFonts w:ascii="Times New Roman" w:hAnsi="Times New Roman"/>
                          <w:b/>
                          <w:sz w:val="16"/>
                          <w:szCs w:val="16"/>
                        </w:rPr>
                        <w:t>4</w:t>
                      </w:r>
                    </w:p>
                  </w:txbxContent>
                </v:textbox>
                <w10:wrap type="square"/>
              </v:shape>
            </w:pict>
          </mc:Fallback>
        </mc:AlternateContent>
      </w:r>
      <w:r w:rsidRPr="003F7F6C">
        <w:rPr>
          <w:noProof/>
        </w:rPr>
        <mc:AlternateContent>
          <mc:Choice Requires="wps">
            <w:drawing>
              <wp:anchor distT="0" distB="0" distL="114300" distR="114300" simplePos="0" relativeHeight="251662336" behindDoc="0" locked="0" layoutInCell="1" allowOverlap="1" wp14:anchorId="56485953" wp14:editId="3097A583">
                <wp:simplePos x="0" y="0"/>
                <wp:positionH relativeFrom="column">
                  <wp:posOffset>4819650</wp:posOffset>
                </wp:positionH>
                <wp:positionV relativeFrom="paragraph">
                  <wp:posOffset>133350</wp:posOffset>
                </wp:positionV>
                <wp:extent cx="2286000" cy="228600"/>
                <wp:effectExtent l="0" t="0" r="0" b="0"/>
                <wp:wrapSquare wrapText="bothSides"/>
                <wp:docPr id="1892"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0" cy="228600"/>
                        </a:xfrm>
                        <a:prstGeom prst="rect">
                          <a:avLst/>
                        </a:prstGeom>
                        <a:noFill/>
                        <a:ln>
                          <a:noFill/>
                        </a:ln>
                        <a:effectLst/>
                        <a:extLst>
                          <a:ext uri="{C572A759-6A51-4108-AA02-DFA0A04FC94B}"/>
                        </a:extLst>
                      </wps:spPr>
                      <wps:txbx>
                        <w:txbxContent>
                          <w:p w14:paraId="64C50881" w14:textId="77777777" w:rsidR="00A925EE" w:rsidRPr="00410386" w:rsidRDefault="00A925EE" w:rsidP="00641B93">
                            <w:pPr>
                              <w:jc w:val="center"/>
                              <w:rPr>
                                <w:rFonts w:ascii="Times New Roman" w:hAnsi="Times New Roman"/>
                                <w:b/>
                                <w:sz w:val="16"/>
                                <w:szCs w:val="16"/>
                              </w:rPr>
                            </w:pPr>
                            <w:r w:rsidRPr="00410386">
                              <w:rPr>
                                <w:rFonts w:ascii="Times New Roman" w:hAnsi="Times New Roman"/>
                                <w:b/>
                                <w:sz w:val="16"/>
                                <w:szCs w:val="16"/>
                              </w:rPr>
                              <w:t xml:space="preserve">Project </w:t>
                            </w:r>
                            <w:r>
                              <w:rPr>
                                <w:rFonts w:ascii="Times New Roman" w:hAnsi="Times New Roman"/>
                                <w:b/>
                                <w:sz w:val="16"/>
                                <w:szCs w:val="16"/>
                              </w:rPr>
                              <w:t>Outcome</w:t>
                            </w:r>
                            <w:r w:rsidRPr="00410386">
                              <w:rPr>
                                <w:rFonts w:ascii="Times New Roman" w:hAnsi="Times New Roman"/>
                                <w:b/>
                                <w:sz w:val="16"/>
                                <w:szCs w:val="16"/>
                              </w:rPr>
                              <w:t xml:space="preserve"> </w:t>
                            </w:r>
                            <w:r>
                              <w:rPr>
                                <w:rFonts w:ascii="Times New Roman" w:hAnsi="Times New Roman"/>
                                <w:b/>
                                <w:sz w:val="16"/>
                                <w:szCs w:val="16"/>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6485953" id="Text Box 17" o:spid="_x0000_s1052" type="#_x0000_t202" style="position:absolute;left:0;text-align:left;margin-left:379.5pt;margin-top:10.5pt;width:180pt;height:1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" filled="f" stroked="f">
                <v:textbox>
                  <w:txbxContent>
                    <w:p w14:paraId="64C50881" w14:textId="77777777" w:rsidR="00A925EE" w:rsidRPr="00410386" w:rsidRDefault="00A925EE" w:rsidP="00641B93">
                      <w:pPr>
                        <w:jc w:val="center"/>
                        <w:rPr>
                          <w:rFonts w:ascii="Times New Roman" w:hAnsi="Times New Roman"/>
                          <w:b/>
                          <w:sz w:val="16"/>
                          <w:szCs w:val="16"/>
                        </w:rPr>
                      </w:pPr>
                      <w:r w:rsidRPr="00410386">
                        <w:rPr>
                          <w:rFonts w:ascii="Times New Roman" w:hAnsi="Times New Roman"/>
                          <w:b/>
                          <w:sz w:val="16"/>
                          <w:szCs w:val="16"/>
                        </w:rPr>
                        <w:t xml:space="preserve">Project </w:t>
                      </w:r>
                      <w:r>
                        <w:rPr>
                          <w:rFonts w:ascii="Times New Roman" w:hAnsi="Times New Roman"/>
                          <w:b/>
                          <w:sz w:val="16"/>
                          <w:szCs w:val="16"/>
                        </w:rPr>
                        <w:t>Outcome</w:t>
                      </w:r>
                      <w:r w:rsidRPr="00410386">
                        <w:rPr>
                          <w:rFonts w:ascii="Times New Roman" w:hAnsi="Times New Roman"/>
                          <w:b/>
                          <w:sz w:val="16"/>
                          <w:szCs w:val="16"/>
                        </w:rPr>
                        <w:t xml:space="preserve"> </w:t>
                      </w:r>
                      <w:r>
                        <w:rPr>
                          <w:rFonts w:ascii="Times New Roman" w:hAnsi="Times New Roman"/>
                          <w:b/>
                          <w:sz w:val="16"/>
                          <w:szCs w:val="16"/>
                        </w:rPr>
                        <w:t>3</w:t>
                      </w:r>
                    </w:p>
                  </w:txbxContent>
                </v:textbox>
                <w10:wrap type="square"/>
              </v:shape>
            </w:pict>
          </mc:Fallback>
        </mc:AlternateContent>
      </w:r>
      <w:r w:rsidRPr="003F7F6C">
        <w:rPr>
          <w:noProof/>
        </w:rPr>
        <mc:AlternateContent>
          <mc:Choice Requires="wps">
            <w:drawing>
              <wp:anchor distT="0" distB="0" distL="114300" distR="114300" simplePos="0" relativeHeight="251661312" behindDoc="0" locked="0" layoutInCell="1" allowOverlap="1" wp14:anchorId="44B55CB2" wp14:editId="7CB1E4CA">
                <wp:simplePos x="0" y="0"/>
                <wp:positionH relativeFrom="column">
                  <wp:posOffset>2794000</wp:posOffset>
                </wp:positionH>
                <wp:positionV relativeFrom="paragraph">
                  <wp:posOffset>171450</wp:posOffset>
                </wp:positionV>
                <wp:extent cx="2286000" cy="228600"/>
                <wp:effectExtent l="0" t="0" r="0" b="0"/>
                <wp:wrapSquare wrapText="bothSides"/>
                <wp:docPr id="189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0" cy="228600"/>
                        </a:xfrm>
                        <a:prstGeom prst="rect">
                          <a:avLst/>
                        </a:prstGeom>
                        <a:noFill/>
                        <a:ln>
                          <a:noFill/>
                        </a:ln>
                        <a:effectLst/>
                        <a:extLst>
                          <a:ext uri="{C572A759-6A51-4108-AA02-DFA0A04FC94B}"/>
                        </a:extLst>
                      </wps:spPr>
                      <wps:txbx>
                        <w:txbxContent>
                          <w:p w14:paraId="4EBFD597" w14:textId="77777777" w:rsidR="00A925EE" w:rsidRPr="00410386" w:rsidRDefault="00A925EE" w:rsidP="00641B93">
                            <w:pPr>
                              <w:jc w:val="center"/>
                              <w:rPr>
                                <w:rFonts w:ascii="Times New Roman" w:hAnsi="Times New Roman"/>
                                <w:b/>
                                <w:sz w:val="16"/>
                                <w:szCs w:val="16"/>
                              </w:rPr>
                            </w:pPr>
                            <w:r w:rsidRPr="00410386">
                              <w:rPr>
                                <w:rFonts w:ascii="Times New Roman" w:hAnsi="Times New Roman"/>
                                <w:b/>
                                <w:sz w:val="16"/>
                                <w:szCs w:val="16"/>
                              </w:rPr>
                              <w:t xml:space="preserve">Project </w:t>
                            </w:r>
                            <w:r>
                              <w:rPr>
                                <w:rFonts w:ascii="Times New Roman" w:hAnsi="Times New Roman"/>
                                <w:b/>
                                <w:sz w:val="16"/>
                                <w:szCs w:val="16"/>
                              </w:rPr>
                              <w:t>Outcome</w:t>
                            </w:r>
                            <w:r w:rsidRPr="00410386">
                              <w:rPr>
                                <w:rFonts w:ascii="Times New Roman" w:hAnsi="Times New Roman"/>
                                <w:b/>
                                <w:sz w:val="16"/>
                                <w:szCs w:val="16"/>
                              </w:rPr>
                              <w:t xml:space="preserve">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4B55CB2" id="Text Box 16" o:spid="_x0000_s1053" type="#_x0000_t202" style="position:absolute;left:0;text-align:left;margin-left:220pt;margin-top:13.5pt;width:180pt;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" filled="f" stroked="f">
                <v:textbox>
                  <w:txbxContent>
                    <w:p w14:paraId="4EBFD597" w14:textId="77777777" w:rsidR="00A925EE" w:rsidRPr="00410386" w:rsidRDefault="00A925EE" w:rsidP="00641B93">
                      <w:pPr>
                        <w:jc w:val="center"/>
                        <w:rPr>
                          <w:rFonts w:ascii="Times New Roman" w:hAnsi="Times New Roman"/>
                          <w:b/>
                          <w:sz w:val="16"/>
                          <w:szCs w:val="16"/>
                        </w:rPr>
                      </w:pPr>
                      <w:r w:rsidRPr="00410386">
                        <w:rPr>
                          <w:rFonts w:ascii="Times New Roman" w:hAnsi="Times New Roman"/>
                          <w:b/>
                          <w:sz w:val="16"/>
                          <w:szCs w:val="16"/>
                        </w:rPr>
                        <w:t xml:space="preserve">Project </w:t>
                      </w:r>
                      <w:r>
                        <w:rPr>
                          <w:rFonts w:ascii="Times New Roman" w:hAnsi="Times New Roman"/>
                          <w:b/>
                          <w:sz w:val="16"/>
                          <w:szCs w:val="16"/>
                        </w:rPr>
                        <w:t>Outcome</w:t>
                      </w:r>
                      <w:r w:rsidRPr="00410386">
                        <w:rPr>
                          <w:rFonts w:ascii="Times New Roman" w:hAnsi="Times New Roman"/>
                          <w:b/>
                          <w:sz w:val="16"/>
                          <w:szCs w:val="16"/>
                        </w:rPr>
                        <w:t xml:space="preserve"> 2</w:t>
                      </w:r>
                    </w:p>
                  </w:txbxContent>
                </v:textbox>
                <w10:wrap type="square"/>
              </v:shape>
            </w:pict>
          </mc:Fallback>
        </mc:AlternateContent>
      </w:r>
      <w:r w:rsidRPr="003F7F6C">
        <w:rPr>
          <w:noProof/>
        </w:rPr>
        <mc:AlternateContent>
          <mc:Choice Requires="wps">
            <w:drawing>
              <wp:anchor distT="0" distB="0" distL="114300" distR="114300" simplePos="0" relativeHeight="251660288" behindDoc="0" locked="0" layoutInCell="1" allowOverlap="1" wp14:anchorId="4FA30833" wp14:editId="3C7E7F3E">
                <wp:simplePos x="0" y="0"/>
                <wp:positionH relativeFrom="column">
                  <wp:posOffset>349250</wp:posOffset>
                </wp:positionH>
                <wp:positionV relativeFrom="paragraph">
                  <wp:posOffset>158750</wp:posOffset>
                </wp:positionV>
                <wp:extent cx="2286000" cy="228600"/>
                <wp:effectExtent l="0" t="0" r="0" b="0"/>
                <wp:wrapSquare wrapText="bothSides"/>
                <wp:docPr id="1890"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0" cy="228600"/>
                        </a:xfrm>
                        <a:prstGeom prst="rect">
                          <a:avLst/>
                        </a:prstGeom>
                        <a:noFill/>
                        <a:ln>
                          <a:noFill/>
                        </a:ln>
                        <a:effectLst/>
                        <a:extLst>
                          <a:ext uri="{C572A759-6A51-4108-AA02-DFA0A04FC94B}"/>
                        </a:extLst>
                      </wps:spPr>
                      <wps:txbx>
                        <w:txbxContent>
                          <w:p w14:paraId="1C5EFDD2" w14:textId="77777777" w:rsidR="00A925EE" w:rsidRPr="00410386" w:rsidRDefault="00A925EE" w:rsidP="00641B93">
                            <w:pPr>
                              <w:jc w:val="center"/>
                              <w:rPr>
                                <w:rFonts w:ascii="Times New Roman" w:hAnsi="Times New Roman"/>
                                <w:b/>
                                <w:sz w:val="16"/>
                                <w:szCs w:val="16"/>
                              </w:rPr>
                            </w:pPr>
                            <w:r w:rsidRPr="00410386">
                              <w:rPr>
                                <w:rFonts w:ascii="Times New Roman" w:hAnsi="Times New Roman"/>
                                <w:b/>
                                <w:sz w:val="16"/>
                                <w:szCs w:val="16"/>
                              </w:rPr>
                              <w:t xml:space="preserve">Project </w:t>
                            </w:r>
                            <w:r>
                              <w:rPr>
                                <w:rFonts w:ascii="Times New Roman" w:hAnsi="Times New Roman"/>
                                <w:b/>
                                <w:sz w:val="16"/>
                                <w:szCs w:val="16"/>
                              </w:rPr>
                              <w:t>Outcome</w:t>
                            </w:r>
                            <w:r w:rsidRPr="00410386">
                              <w:rPr>
                                <w:rFonts w:ascii="Times New Roman" w:hAnsi="Times New Roman"/>
                                <w:b/>
                                <w:sz w:val="16"/>
                                <w:szCs w:val="16"/>
                              </w:rPr>
                              <w:t xml:space="preserve">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FA30833" id="Text Box 15" o:spid="_x0000_s1054" type="#_x0000_t202" style="position:absolute;left:0;text-align:left;margin-left:27.5pt;margin-top:12.5pt;width:180pt;height:1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" filled="f" stroked="f">
                <v:textbox>
                  <w:txbxContent>
                    <w:p w14:paraId="1C5EFDD2" w14:textId="77777777" w:rsidR="00A925EE" w:rsidRPr="00410386" w:rsidRDefault="00A925EE" w:rsidP="00641B93">
                      <w:pPr>
                        <w:jc w:val="center"/>
                        <w:rPr>
                          <w:rFonts w:ascii="Times New Roman" w:hAnsi="Times New Roman"/>
                          <w:b/>
                          <w:sz w:val="16"/>
                          <w:szCs w:val="16"/>
                        </w:rPr>
                      </w:pPr>
                      <w:r w:rsidRPr="00410386">
                        <w:rPr>
                          <w:rFonts w:ascii="Times New Roman" w:hAnsi="Times New Roman"/>
                          <w:b/>
                          <w:sz w:val="16"/>
                          <w:szCs w:val="16"/>
                        </w:rPr>
                        <w:t xml:space="preserve">Project </w:t>
                      </w:r>
                      <w:r>
                        <w:rPr>
                          <w:rFonts w:ascii="Times New Roman" w:hAnsi="Times New Roman"/>
                          <w:b/>
                          <w:sz w:val="16"/>
                          <w:szCs w:val="16"/>
                        </w:rPr>
                        <w:t>Outcome</w:t>
                      </w:r>
                      <w:r w:rsidRPr="00410386">
                        <w:rPr>
                          <w:rFonts w:ascii="Times New Roman" w:hAnsi="Times New Roman"/>
                          <w:b/>
                          <w:sz w:val="16"/>
                          <w:szCs w:val="16"/>
                        </w:rPr>
                        <w:t xml:space="preserve"> 1</w:t>
                      </w:r>
                    </w:p>
                  </w:txbxContent>
                </v:textbox>
                <w10:wrap type="square"/>
              </v:shape>
            </w:pict>
          </mc:Fallback>
        </mc:AlternateContent>
      </w:r>
    </w:p>
    <w:p w14:paraId="17C1DB53" w14:textId="77777777" w:rsidR="00641B93" w:rsidRPr="003F7F6C" w:rsidRDefault="00641B93" w:rsidP="00641B93">
      <w:pPr>
        <w:spacing w:line="220" w:lineRule="exact"/>
        <w:rPr>
          <w:rFonts w:cs="Calibri"/>
        </w:rPr>
      </w:pPr>
    </w:p>
    <w:p w14:paraId="0307C2AB" w14:textId="77777777" w:rsidR="00641B93" w:rsidRPr="003F7F6C" w:rsidRDefault="008659EB" w:rsidP="00641B93">
      <w:pPr>
        <w:spacing w:line="220" w:lineRule="exact"/>
        <w:jc w:val="right"/>
        <w:rPr>
          <w:rFonts w:cs="Calibri"/>
          <w:b/>
        </w:rPr>
      </w:pPr>
      <w:r w:rsidRPr="003F7F6C">
        <w:rPr>
          <w:noProof/>
        </w:rPr>
        <mc:AlternateContent>
          <mc:Choice Requires="wps">
            <w:drawing>
              <wp:anchor distT="0" distB="0" distL="114300" distR="114300" simplePos="0" relativeHeight="251643904" behindDoc="0" locked="0" layoutInCell="1" allowOverlap="1" wp14:anchorId="5BE44AE2" wp14:editId="6019A661">
                <wp:simplePos x="0" y="0"/>
                <wp:positionH relativeFrom="margin">
                  <wp:posOffset>-698500</wp:posOffset>
                </wp:positionH>
                <wp:positionV relativeFrom="paragraph">
                  <wp:posOffset>205105</wp:posOffset>
                </wp:positionV>
                <wp:extent cx="861695" cy="456565"/>
                <wp:effectExtent l="12700" t="12700" r="1905" b="635"/>
                <wp:wrapNone/>
                <wp:docPr id="1889"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456565"/>
                        </a:xfrm>
                        <a:prstGeom prst="rect">
                          <a:avLst/>
                        </a:prstGeom>
                        <a:solidFill>
                          <a:sysClr val="window" lastClr="FFFFFF"/>
                        </a:solidFill>
                        <a:ln w="25400" cap="flat" cmpd="sng" algn="ctr">
                          <a:solidFill>
                            <a:srgbClr val="C0504D"/>
                          </a:solidFill>
                          <a:prstDash val="solid"/>
                        </a:ln>
                        <a:effectLst/>
                      </wps:spPr>
                      <wps:txbx>
                        <w:txbxContent>
                          <w:p w14:paraId="33852E69" w14:textId="77777777" w:rsidR="00A925EE" w:rsidRPr="002B3130" w:rsidRDefault="00A925EE" w:rsidP="00641B93">
                            <w:pPr>
                              <w:pStyle w:val="NormalWeb"/>
                              <w:spacing w:before="0" w:beforeAutospacing="0" w:after="0" w:afterAutospacing="0"/>
                              <w:jc w:val="center"/>
                              <w:rPr>
                                <w:rFonts w:ascii="Calibri" w:hAnsi="Calibri" w:cs="Calibri Light"/>
                                <w:sz w:val="16"/>
                                <w:szCs w:val="16"/>
                              </w:rPr>
                            </w:pPr>
                            <w:r w:rsidRPr="002B3130">
                              <w:rPr>
                                <w:rFonts w:ascii="Calibri" w:hAnsi="Calibri" w:cs="Calibri Light"/>
                                <w:b/>
                                <w:bCs/>
                                <w:color w:val="000000"/>
                                <w:kern w:val="24"/>
                                <w:sz w:val="16"/>
                                <w:szCs w:val="16"/>
                              </w:rPr>
                              <w:t>Development Challenge</w:t>
                            </w:r>
                          </w:p>
                        </w:txbxContent>
                      </wps:txbx>
                      <wps:bodyPr lIns="121789" tIns="60894" rIns="121789" bIns="60894" spcCol="0" rtlCol="0" anchor="ct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BE44AE2" id="_x0000_s1055" style="position:absolute;left:0;text-align:left;margin-left:-55pt;margin-top:16.15pt;width:67.85pt;height:35.95pt;z-index:2516439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" fillcolor="window" strokecolor="#c0504d" strokeweight="2pt">
                <v:path arrowok="t"/>
                <v:textbox inset="3.38303mm,1.6915mm,3.38303mm,1.6915mm">
                  <w:txbxContent>
                    <w:p w14:paraId="33852E69" w14:textId="77777777" w:rsidR="00A925EE" w:rsidRPr="002B3130" w:rsidRDefault="00A925EE" w:rsidP="00641B93">
                      <w:pPr>
                        <w:pStyle w:val="NormalWeb"/>
                        <w:spacing w:before="0" w:beforeAutospacing="0" w:after="0" w:afterAutospacing="0"/>
                        <w:jc w:val="center"/>
                        <w:rPr>
                          <w:rFonts w:ascii="Calibri" w:hAnsi="Calibri" w:cs="Calibri Light"/>
                          <w:sz w:val="16"/>
                          <w:szCs w:val="16"/>
                        </w:rPr>
                      </w:pPr>
                      <w:r w:rsidRPr="002B3130">
                        <w:rPr>
                          <w:rFonts w:ascii="Calibri" w:hAnsi="Calibri" w:cs="Calibri Light"/>
                          <w:b/>
                          <w:bCs/>
                          <w:color w:val="000000"/>
                          <w:kern w:val="24"/>
                          <w:sz w:val="16"/>
                          <w:szCs w:val="16"/>
                        </w:rPr>
                        <w:t>Development Challenge</w:t>
                      </w:r>
                    </w:p>
                  </w:txbxContent>
                </v:textbox>
                <w10:wrap anchorx="margin"/>
              </v:rect>
            </w:pict>
          </mc:Fallback>
        </mc:AlternateContent>
      </w:r>
    </w:p>
    <w:p w14:paraId="5BC3C07C" w14:textId="77777777" w:rsidR="00641B93" w:rsidRPr="003F7F6C" w:rsidRDefault="008659EB" w:rsidP="00641B93">
      <w:pPr>
        <w:spacing w:line="220" w:lineRule="exact"/>
        <w:jc w:val="right"/>
        <w:rPr>
          <w:rFonts w:cs="Calibri"/>
          <w:b/>
        </w:rPr>
      </w:pPr>
      <w:r w:rsidRPr="003F7F6C">
        <w:rPr>
          <w:noProof/>
        </w:rPr>
        <mc:AlternateContent>
          <mc:Choice Requires="wps">
            <w:drawing>
              <wp:anchor distT="0" distB="0" distL="114300" distR="114300" simplePos="0" relativeHeight="251638784" behindDoc="0" locked="0" layoutInCell="1" allowOverlap="1" wp14:anchorId="5310AEC1" wp14:editId="420D01F2">
                <wp:simplePos x="0" y="0"/>
                <wp:positionH relativeFrom="margin">
                  <wp:posOffset>730250</wp:posOffset>
                </wp:positionH>
                <wp:positionV relativeFrom="paragraph">
                  <wp:posOffset>38100</wp:posOffset>
                </wp:positionV>
                <wp:extent cx="7632700" cy="387350"/>
                <wp:effectExtent l="12700" t="12700" r="0" b="6350"/>
                <wp:wrapNone/>
                <wp:docPr id="1888"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632700" cy="387350"/>
                        </a:xfrm>
                        <a:prstGeom prst="rect">
                          <a:avLst/>
                        </a:prstGeom>
                        <a:solidFill>
                          <a:sysClr val="window" lastClr="FFFFFF"/>
                        </a:solidFill>
                        <a:ln w="25400" cap="flat" cmpd="sng" algn="ctr">
                          <a:solidFill>
                            <a:srgbClr val="C0504D"/>
                          </a:solidFill>
                          <a:prstDash val="solid"/>
                        </a:ln>
                        <a:effectLst/>
                      </wps:spPr>
                      <wps:txbx>
                        <w:txbxContent>
                          <w:p w14:paraId="49068492" w14:textId="77777777" w:rsidR="00A925EE" w:rsidRPr="002B3130" w:rsidRDefault="00A925EE" w:rsidP="00641B93">
                            <w:pPr>
                              <w:shd w:val="clear" w:color="auto" w:fill="FFFFFF"/>
                              <w:spacing w:before="100" w:beforeAutospacing="1" w:after="100" w:afterAutospacing="1"/>
                              <w:rPr>
                                <w:rFonts w:eastAsia="Times New Roman"/>
                                <w:sz w:val="15"/>
                                <w:szCs w:val="15"/>
                                <w:lang w:eastAsia="es-ES_tradnl"/>
                              </w:rPr>
                            </w:pPr>
                            <w:r w:rsidRPr="002B3130">
                              <w:rPr>
                                <w:rFonts w:eastAsia="Times New Roman"/>
                                <w:sz w:val="15"/>
                                <w:szCs w:val="15"/>
                                <w:lang w:eastAsia="es-ES_tradnl"/>
                              </w:rPr>
                              <w:t xml:space="preserve">Generate multiple biodiversity and land degradation benefits by developing a system of policy, economic, financial and technical instruments and governance mechanisms for environmental land use planning (ELUP) to mainstream socioeconomic and environmental evaluation of ecosystem goods and services (ES&amp;G) in decision-making at different government levels and sectors </w:t>
                            </w:r>
                          </w:p>
                          <w:p w14:paraId="1A18A776" w14:textId="77777777" w:rsidR="00A925EE" w:rsidRPr="002B3130" w:rsidRDefault="00A925EE" w:rsidP="00641B93">
                            <w:pPr>
                              <w:pStyle w:val="CommentText"/>
                              <w:rPr>
                                <w:sz w:val="15"/>
                                <w:szCs w:val="15"/>
                              </w:rPr>
                            </w:pP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310AEC1" id="TextBox 2" o:spid="_x0000_s1056" type="#_x0000_t202" style="position:absolute;left:0;text-align:left;margin-left:57.5pt;margin-top:3pt;width:601pt;height:30.5pt;z-index:2516387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" fillcolor="window" strokecolor="#c0504d" strokeweight="2pt">
                <v:path arrowok="t"/>
                <v:textbox inset="3.38303mm,1.6915mm,3.38303mm,1.6915mm">
                  <w:txbxContent>
                    <w:p w14:paraId="49068492" w14:textId="77777777" w:rsidR="00A925EE" w:rsidRPr="002B3130" w:rsidRDefault="00A925EE" w:rsidP="00641B93">
                      <w:pPr>
                        <w:shd w:val="clear" w:color="auto" w:fill="FFFFFF"/>
                        <w:spacing w:before="100" w:beforeAutospacing="1" w:after="100" w:afterAutospacing="1"/>
                        <w:rPr>
                          <w:rFonts w:eastAsia="Times New Roman"/>
                          <w:sz w:val="15"/>
                          <w:szCs w:val="15"/>
                          <w:lang w:eastAsia="es-ES_tradnl"/>
                        </w:rPr>
                      </w:pPr>
                      <w:r w:rsidRPr="002B3130">
                        <w:rPr>
                          <w:rFonts w:eastAsia="Times New Roman"/>
                          <w:sz w:val="15"/>
                          <w:szCs w:val="15"/>
                          <w:lang w:eastAsia="es-ES_tradnl"/>
                        </w:rPr>
                        <w:t xml:space="preserve">Generate multiple biodiversity and land degradation benefits by developing a system of policy, economic, financial and technical instruments and governance mechanisms for environmental land use planning (ELUP) to mainstream socioeconomic and environmental evaluation of ecosystem goods and services (ES&amp;G) in decision-making at different government levels and sectors </w:t>
                      </w:r>
                    </w:p>
                    <w:p w14:paraId="1A18A776" w14:textId="77777777" w:rsidR="00A925EE" w:rsidRPr="002B3130" w:rsidRDefault="00A925EE" w:rsidP="00641B93">
                      <w:pPr>
                        <w:pStyle w:val="CommentText"/>
                        <w:rPr>
                          <w:sz w:val="15"/>
                          <w:szCs w:val="15"/>
                        </w:rPr>
                      </w:pPr>
                    </w:p>
                  </w:txbxContent>
                </v:textbox>
                <w10:wrap anchorx="margin"/>
              </v:shape>
            </w:pict>
          </mc:Fallback>
        </mc:AlternateContent>
      </w:r>
    </w:p>
    <w:p w14:paraId="7FBC2EE2" w14:textId="77777777" w:rsidR="00641B93" w:rsidRPr="003F7F6C" w:rsidRDefault="00641B93" w:rsidP="00641B93">
      <w:pPr>
        <w:spacing w:line="220" w:lineRule="exact"/>
        <w:rPr>
          <w:rFonts w:cs="Calibri"/>
          <w:b/>
        </w:rPr>
      </w:pPr>
    </w:p>
    <w:p w14:paraId="715FA323" w14:textId="77777777" w:rsidR="00641B93" w:rsidRPr="003F7F6C" w:rsidRDefault="00641B93" w:rsidP="00641B93">
      <w:pPr>
        <w:spacing w:line="220" w:lineRule="exact"/>
        <w:rPr>
          <w:rFonts w:cs="Calibri"/>
          <w:b/>
        </w:rPr>
      </w:pPr>
    </w:p>
    <w:p w14:paraId="7D026C79" w14:textId="77777777" w:rsidR="00641B93" w:rsidRPr="003F7F6C" w:rsidRDefault="008659EB" w:rsidP="00641B93">
      <w:pPr>
        <w:spacing w:line="220" w:lineRule="exact"/>
        <w:rPr>
          <w:rFonts w:cs="Calibri"/>
          <w:b/>
        </w:rPr>
      </w:pPr>
      <w:r w:rsidRPr="003F7F6C">
        <w:rPr>
          <w:noProof/>
        </w:rPr>
        <mc:AlternateContent>
          <mc:Choice Requires="wps">
            <w:drawing>
              <wp:anchor distT="0" distB="0" distL="114300" distR="114300" simplePos="0" relativeHeight="251644928" behindDoc="0" locked="0" layoutInCell="1" allowOverlap="1" wp14:anchorId="081086F8" wp14:editId="7D169AB4">
                <wp:simplePos x="0" y="0"/>
                <wp:positionH relativeFrom="margin">
                  <wp:posOffset>-698500</wp:posOffset>
                </wp:positionH>
                <wp:positionV relativeFrom="paragraph">
                  <wp:posOffset>172720</wp:posOffset>
                </wp:positionV>
                <wp:extent cx="861695" cy="421640"/>
                <wp:effectExtent l="12700" t="12700" r="1905" b="0"/>
                <wp:wrapNone/>
                <wp:docPr id="1887"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421640"/>
                        </a:xfrm>
                        <a:prstGeom prst="rect">
                          <a:avLst/>
                        </a:prstGeom>
                        <a:solidFill>
                          <a:sysClr val="window" lastClr="FFFFFF"/>
                        </a:solidFill>
                        <a:ln w="25400" cap="flat" cmpd="sng" algn="ctr">
                          <a:solidFill>
                            <a:srgbClr val="FFFF00"/>
                          </a:solidFill>
                          <a:prstDash val="solid"/>
                        </a:ln>
                        <a:effectLst/>
                      </wps:spPr>
                      <wps:txbx>
                        <w:txbxContent>
                          <w:p w14:paraId="45F6055C" w14:textId="77777777" w:rsidR="00A925EE" w:rsidRPr="002B3130" w:rsidRDefault="00A925EE" w:rsidP="00641B93">
                            <w:pPr>
                              <w:pStyle w:val="NormalWeb"/>
                              <w:spacing w:before="0" w:beforeAutospacing="0" w:after="0" w:afterAutospacing="0"/>
                              <w:jc w:val="center"/>
                              <w:rPr>
                                <w:rFonts w:ascii="Calibri" w:hAnsi="Calibri"/>
                                <w:sz w:val="16"/>
                                <w:szCs w:val="16"/>
                                <w:lang w:val="es-ES"/>
                              </w:rPr>
                            </w:pPr>
                            <w:r w:rsidRPr="00D149C1">
                              <w:rPr>
                                <w:rFonts w:ascii="Calibri" w:hAnsi="Calibri"/>
                                <w:b/>
                                <w:bCs/>
                                <w:color w:val="000000"/>
                                <w:kern w:val="24"/>
                                <w:sz w:val="16"/>
                                <w:szCs w:val="16"/>
                              </w:rPr>
                              <w:t>Barriers</w:t>
                            </w:r>
                          </w:p>
                        </w:txbxContent>
                      </wps:txbx>
                      <wps:bodyPr lIns="121789" tIns="60894" rIns="121789" bIns="60894" spcCol="0" rtlCol="0" anchor="ct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81086F8" id="_x0000_s1057" style="position:absolute;left:0;text-align:left;margin-left:-55pt;margin-top:13.6pt;width:67.85pt;height:33.2pt;z-index:2516449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" fillcolor="window" strokecolor="yellow" strokeweight="2pt">
                <v:path arrowok="t"/>
                <v:textbox inset="3.38303mm,1.6915mm,3.38303mm,1.6915mm">
                  <w:txbxContent>
                    <w:p w14:paraId="45F6055C" w14:textId="77777777" w:rsidR="00A925EE" w:rsidRPr="002B3130" w:rsidRDefault="00A925EE" w:rsidP="00641B93">
                      <w:pPr>
                        <w:pStyle w:val="NormalWeb"/>
                        <w:spacing w:before="0" w:beforeAutospacing="0" w:after="0" w:afterAutospacing="0"/>
                        <w:jc w:val="center"/>
                        <w:rPr>
                          <w:rFonts w:ascii="Calibri" w:hAnsi="Calibri"/>
                          <w:sz w:val="16"/>
                          <w:szCs w:val="16"/>
                          <w:lang w:val="es-ES"/>
                        </w:rPr>
                      </w:pPr>
                      <w:r w:rsidRPr="00D149C1">
                        <w:rPr>
                          <w:rFonts w:ascii="Calibri" w:hAnsi="Calibri"/>
                          <w:b/>
                          <w:bCs/>
                          <w:color w:val="000000"/>
                          <w:kern w:val="24"/>
                          <w:sz w:val="16"/>
                          <w:szCs w:val="16"/>
                        </w:rPr>
                        <w:t>Barriers</w:t>
                      </w:r>
                    </w:p>
                  </w:txbxContent>
                </v:textbox>
                <w10:wrap anchorx="margin"/>
              </v:rect>
            </w:pict>
          </mc:Fallback>
        </mc:AlternateContent>
      </w:r>
      <w:r w:rsidRPr="003F7F6C">
        <w:rPr>
          <w:noProof/>
        </w:rPr>
        <mc:AlternateContent>
          <mc:Choice Requires="wps">
            <w:drawing>
              <wp:anchor distT="0" distB="0" distL="114300" distR="114300" simplePos="0" relativeHeight="251677696" behindDoc="0" locked="0" layoutInCell="1" allowOverlap="1" wp14:anchorId="6739D796" wp14:editId="31107A6C">
                <wp:simplePos x="0" y="0"/>
                <wp:positionH relativeFrom="margin">
                  <wp:posOffset>5799455</wp:posOffset>
                </wp:positionH>
                <wp:positionV relativeFrom="paragraph">
                  <wp:posOffset>86995</wp:posOffset>
                </wp:positionV>
                <wp:extent cx="2305050" cy="509905"/>
                <wp:effectExtent l="12700" t="12700" r="6350" b="0"/>
                <wp:wrapThrough wrapText="bothSides">
                  <wp:wrapPolygon edited="0">
                    <wp:start x="-119" y="-538"/>
                    <wp:lineTo x="-119" y="21519"/>
                    <wp:lineTo x="21660" y="21519"/>
                    <wp:lineTo x="21660" y="-538"/>
                    <wp:lineTo x="-119" y="-538"/>
                  </wp:wrapPolygon>
                </wp:wrapThrough>
                <wp:docPr id="1886"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05050" cy="509905"/>
                        </a:xfrm>
                        <a:prstGeom prst="rect">
                          <a:avLst/>
                        </a:prstGeom>
                        <a:solidFill>
                          <a:sysClr val="window" lastClr="FFFFFF"/>
                        </a:solidFill>
                        <a:ln w="25400" cap="flat" cmpd="sng" algn="ctr">
                          <a:solidFill>
                            <a:srgbClr val="FFFF00"/>
                          </a:solidFill>
                          <a:prstDash val="solid"/>
                        </a:ln>
                        <a:effectLst/>
                      </wps:spPr>
                      <wps:txbx>
                        <w:txbxContent>
                          <w:p w14:paraId="314451DC" w14:textId="77777777" w:rsidR="00A925EE" w:rsidRPr="002B3130" w:rsidRDefault="00A925EE" w:rsidP="00641B93">
                            <w:pPr>
                              <w:pStyle w:val="NormalWeb"/>
                              <w:spacing w:before="0" w:beforeAutospacing="0" w:after="0" w:afterAutospacing="0"/>
                              <w:rPr>
                                <w:rFonts w:ascii="Calibri" w:hAnsi="Calibri"/>
                                <w:sz w:val="16"/>
                                <w:szCs w:val="16"/>
                              </w:rPr>
                            </w:pPr>
                            <w:r w:rsidRPr="002B3130">
                              <w:rPr>
                                <w:rFonts w:ascii="Calibri" w:hAnsi="Calibri"/>
                                <w:sz w:val="16"/>
                                <w:szCs w:val="16"/>
                              </w:rPr>
                              <w:t xml:space="preserve">Dispersed knowledge and insufficient sharing of environmental management practices </w:t>
                            </w:r>
                            <w:r>
                              <w:rPr>
                                <w:rFonts w:ascii="Calibri" w:hAnsi="Calibri"/>
                                <w:sz w:val="16"/>
                                <w:szCs w:val="16"/>
                              </w:rPr>
                              <w:t>at</w:t>
                            </w:r>
                            <w:r w:rsidRPr="002B3130">
                              <w:rPr>
                                <w:rFonts w:ascii="Calibri" w:hAnsi="Calibri"/>
                                <w:sz w:val="16"/>
                                <w:szCs w:val="16"/>
                              </w:rPr>
                              <w:t xml:space="preserve"> provincial and interprovincial levels</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739D796" id="TextBox 19" o:spid="_x0000_s1058" type="#_x0000_t202" style="position:absolute;left:0;text-align:left;margin-left:456.65pt;margin-top:6.85pt;width:181.5pt;height:40.15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" fillcolor="window" strokecolor="yellow" strokeweight="2pt">
                <v:path arrowok="t"/>
                <v:textbox inset="3.38303mm,1.6915mm,3.38303mm,1.6915mm">
                  <w:txbxContent>
                    <w:p w14:paraId="314451DC" w14:textId="77777777" w:rsidR="00A925EE" w:rsidRPr="002B3130" w:rsidRDefault="00A925EE" w:rsidP="00641B93">
                      <w:pPr>
                        <w:pStyle w:val="NormalWeb"/>
                        <w:spacing w:before="0" w:beforeAutospacing="0" w:after="0" w:afterAutospacing="0"/>
                        <w:rPr>
                          <w:rFonts w:ascii="Calibri" w:hAnsi="Calibri"/>
                          <w:sz w:val="16"/>
                          <w:szCs w:val="16"/>
                        </w:rPr>
                      </w:pPr>
                      <w:r w:rsidRPr="002B3130">
                        <w:rPr>
                          <w:rFonts w:ascii="Calibri" w:hAnsi="Calibri"/>
                          <w:sz w:val="16"/>
                          <w:szCs w:val="16"/>
                        </w:rPr>
                        <w:t xml:space="preserve">Dispersed knowledge and insufficient sharing of environmental management practices </w:t>
                      </w:r>
                      <w:r>
                        <w:rPr>
                          <w:rFonts w:ascii="Calibri" w:hAnsi="Calibri"/>
                          <w:sz w:val="16"/>
                          <w:szCs w:val="16"/>
                        </w:rPr>
                        <w:t>at</w:t>
                      </w:r>
                      <w:r w:rsidRPr="002B3130">
                        <w:rPr>
                          <w:rFonts w:ascii="Calibri" w:hAnsi="Calibri"/>
                          <w:sz w:val="16"/>
                          <w:szCs w:val="16"/>
                        </w:rPr>
                        <w:t xml:space="preserve"> provincial and interprovincial levels</w:t>
                      </w:r>
                    </w:p>
                  </w:txbxContent>
                </v:textbox>
                <w10:wrap type="through" anchorx="margin"/>
              </v:shape>
            </w:pict>
          </mc:Fallback>
        </mc:AlternateContent>
      </w:r>
      <w:r w:rsidRPr="003F7F6C">
        <w:rPr>
          <w:noProof/>
        </w:rPr>
        <mc:AlternateContent>
          <mc:Choice Requires="wps">
            <w:drawing>
              <wp:anchor distT="0" distB="0" distL="114300" distR="114300" simplePos="0" relativeHeight="251641856" behindDoc="0" locked="0" layoutInCell="1" allowOverlap="1" wp14:anchorId="60354E69" wp14:editId="780DEF6D">
                <wp:simplePos x="0" y="0"/>
                <wp:positionH relativeFrom="margin">
                  <wp:posOffset>3259455</wp:posOffset>
                </wp:positionH>
                <wp:positionV relativeFrom="paragraph">
                  <wp:posOffset>110490</wp:posOffset>
                </wp:positionV>
                <wp:extent cx="2262505" cy="467995"/>
                <wp:effectExtent l="12700" t="12700" r="0" b="1905"/>
                <wp:wrapNone/>
                <wp:docPr id="1885"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62505" cy="467995"/>
                        </a:xfrm>
                        <a:prstGeom prst="rect">
                          <a:avLst/>
                        </a:prstGeom>
                        <a:solidFill>
                          <a:sysClr val="window" lastClr="FFFFFF"/>
                        </a:solidFill>
                        <a:ln w="25400" cap="flat" cmpd="sng" algn="ctr">
                          <a:solidFill>
                            <a:srgbClr val="FFFF00"/>
                          </a:solidFill>
                          <a:prstDash val="solid"/>
                        </a:ln>
                        <a:effectLst/>
                      </wps:spPr>
                      <wps:txbx>
                        <w:txbxContent>
                          <w:p w14:paraId="54319CED" w14:textId="77777777" w:rsidR="00A925EE" w:rsidRPr="002B3130" w:rsidRDefault="00A925EE" w:rsidP="00641B93">
                            <w:pPr>
                              <w:pStyle w:val="NormalWeb"/>
                              <w:spacing w:before="0" w:beforeAutospacing="0" w:after="0" w:afterAutospacing="0"/>
                              <w:rPr>
                                <w:rFonts w:ascii="Calibri" w:hAnsi="Calibri"/>
                                <w:sz w:val="16"/>
                                <w:szCs w:val="16"/>
                              </w:rPr>
                            </w:pPr>
                            <w:r w:rsidRPr="002B3130">
                              <w:rPr>
                                <w:rFonts w:ascii="Calibri" w:hAnsi="Calibri"/>
                                <w:sz w:val="16"/>
                                <w:szCs w:val="16"/>
                              </w:rPr>
                              <w:t>Weakness in provincial tools and instruments to approve, implement and oversee ELUP</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0354E69" id="_x0000_s1059" type="#_x0000_t202" style="position:absolute;left:0;text-align:left;margin-left:256.65pt;margin-top:8.7pt;width:178.15pt;height:36.85pt;z-index:2516418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" fillcolor="window" strokecolor="yellow" strokeweight="2pt">
                <v:path arrowok="t"/>
                <v:textbox inset="3.38303mm,1.6915mm,3.38303mm,1.6915mm">
                  <w:txbxContent>
                    <w:p w14:paraId="54319CED" w14:textId="77777777" w:rsidR="00A925EE" w:rsidRPr="002B3130" w:rsidRDefault="00A925EE" w:rsidP="00641B93">
                      <w:pPr>
                        <w:pStyle w:val="NormalWeb"/>
                        <w:spacing w:before="0" w:beforeAutospacing="0" w:after="0" w:afterAutospacing="0"/>
                        <w:rPr>
                          <w:rFonts w:ascii="Calibri" w:hAnsi="Calibri"/>
                          <w:sz w:val="16"/>
                          <w:szCs w:val="16"/>
                        </w:rPr>
                      </w:pPr>
                      <w:r w:rsidRPr="002B3130">
                        <w:rPr>
                          <w:rFonts w:ascii="Calibri" w:hAnsi="Calibri"/>
                          <w:sz w:val="16"/>
                          <w:szCs w:val="16"/>
                        </w:rPr>
                        <w:t>Weakness in provincial tools and instruments to approve, implement and oversee ELUP</w:t>
                      </w:r>
                    </w:p>
                  </w:txbxContent>
                </v:textbox>
                <w10:wrap anchorx="margin"/>
              </v:shape>
            </w:pict>
          </mc:Fallback>
        </mc:AlternateContent>
      </w:r>
      <w:r w:rsidRPr="003F7F6C">
        <w:rPr>
          <w:noProof/>
        </w:rPr>
        <mc:AlternateContent>
          <mc:Choice Requires="wps">
            <w:drawing>
              <wp:anchor distT="0" distB="0" distL="114300" distR="114300" simplePos="0" relativeHeight="251642880" behindDoc="0" locked="0" layoutInCell="1" allowOverlap="1" wp14:anchorId="49A72E45" wp14:editId="2DA6E8B5">
                <wp:simplePos x="0" y="0"/>
                <wp:positionH relativeFrom="margin">
                  <wp:posOffset>626110</wp:posOffset>
                </wp:positionH>
                <wp:positionV relativeFrom="paragraph">
                  <wp:posOffset>103505</wp:posOffset>
                </wp:positionV>
                <wp:extent cx="2167255" cy="507365"/>
                <wp:effectExtent l="12700" t="12700" r="4445" b="635"/>
                <wp:wrapNone/>
                <wp:docPr id="1884"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67255" cy="507365"/>
                        </a:xfrm>
                        <a:prstGeom prst="rect">
                          <a:avLst/>
                        </a:prstGeom>
                        <a:solidFill>
                          <a:sysClr val="window" lastClr="FFFFFF"/>
                        </a:solidFill>
                        <a:ln w="25400" cap="flat" cmpd="sng" algn="ctr">
                          <a:solidFill>
                            <a:srgbClr val="FFFF00"/>
                          </a:solidFill>
                          <a:prstDash val="solid"/>
                        </a:ln>
                        <a:effectLst/>
                      </wps:spPr>
                      <wps:txbx>
                        <w:txbxContent>
                          <w:p w14:paraId="4A6AB9F1" w14:textId="77777777" w:rsidR="00A925EE" w:rsidRPr="002B3130" w:rsidRDefault="00A925EE" w:rsidP="00641B93">
                            <w:pPr>
                              <w:pStyle w:val="NormalWeb"/>
                              <w:spacing w:before="0" w:beforeAutospacing="0" w:after="0" w:afterAutospacing="0"/>
                              <w:rPr>
                                <w:rFonts w:ascii="Calibri" w:hAnsi="Calibri"/>
                                <w:sz w:val="16"/>
                                <w:szCs w:val="16"/>
                              </w:rPr>
                            </w:pPr>
                            <w:r w:rsidRPr="002B3130">
                              <w:rPr>
                                <w:rFonts w:ascii="Calibri" w:hAnsi="Calibri"/>
                                <w:sz w:val="16"/>
                                <w:szCs w:val="16"/>
                              </w:rPr>
                              <w:t>In</w:t>
                            </w:r>
                            <w:r>
                              <w:rPr>
                                <w:rFonts w:ascii="Calibri" w:hAnsi="Calibri"/>
                                <w:sz w:val="16"/>
                                <w:szCs w:val="16"/>
                              </w:rPr>
                              <w:t>adequate</w:t>
                            </w:r>
                            <w:r w:rsidRPr="002B3130">
                              <w:rPr>
                                <w:rFonts w:ascii="Calibri" w:hAnsi="Calibri"/>
                                <w:sz w:val="16"/>
                                <w:szCs w:val="16"/>
                              </w:rPr>
                              <w:t xml:space="preserve"> policy &amp; regulatory framework and reliable information to effectively develop ELUP at national and provincial levels</w:t>
                            </w:r>
                          </w:p>
                        </w:txbxContent>
                      </wps:txbx>
                      <wps:bodyPr wrap="square" lIns="121789" tIns="60894" rIns="121789" bIns="60894" spcCol="0" rtlCol="0" anchor="ctr">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9A72E45" id="TextBox 20" o:spid="_x0000_s1060" type="#_x0000_t202" style="position:absolute;left:0;text-align:left;margin-left:49.3pt;margin-top:8.15pt;width:170.65pt;height:39.95pt;z-index:2516428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" fillcolor="window" strokecolor="yellow" strokeweight="2pt">
                <v:path arrowok="t"/>
                <v:textbox inset="3.38303mm,1.6915mm,3.38303mm,1.6915mm">
                  <w:txbxContent>
                    <w:p w14:paraId="4A6AB9F1" w14:textId="77777777" w:rsidR="00A925EE" w:rsidRPr="002B3130" w:rsidRDefault="00A925EE" w:rsidP="00641B93">
                      <w:pPr>
                        <w:pStyle w:val="NormalWeb"/>
                        <w:spacing w:before="0" w:beforeAutospacing="0" w:after="0" w:afterAutospacing="0"/>
                        <w:rPr>
                          <w:rFonts w:ascii="Calibri" w:hAnsi="Calibri"/>
                          <w:sz w:val="16"/>
                          <w:szCs w:val="16"/>
                        </w:rPr>
                      </w:pPr>
                      <w:r w:rsidRPr="002B3130">
                        <w:rPr>
                          <w:rFonts w:ascii="Calibri" w:hAnsi="Calibri"/>
                          <w:sz w:val="16"/>
                          <w:szCs w:val="16"/>
                        </w:rPr>
                        <w:t>In</w:t>
                      </w:r>
                      <w:r>
                        <w:rPr>
                          <w:rFonts w:ascii="Calibri" w:hAnsi="Calibri"/>
                          <w:sz w:val="16"/>
                          <w:szCs w:val="16"/>
                        </w:rPr>
                        <w:t>adequate</w:t>
                      </w:r>
                      <w:r w:rsidRPr="002B3130">
                        <w:rPr>
                          <w:rFonts w:ascii="Calibri" w:hAnsi="Calibri"/>
                          <w:sz w:val="16"/>
                          <w:szCs w:val="16"/>
                        </w:rPr>
                        <w:t xml:space="preserve"> policy &amp; regulatory framework and reliable information to effectively develop ELUP at national and provincial levels</w:t>
                      </w:r>
                    </w:p>
                  </w:txbxContent>
                </v:textbox>
                <w10:wrap anchorx="margin"/>
              </v:shape>
            </w:pict>
          </mc:Fallback>
        </mc:AlternateContent>
      </w:r>
    </w:p>
    <w:p w14:paraId="61085A69" w14:textId="77777777" w:rsidR="00641B93" w:rsidRPr="003F7F6C" w:rsidRDefault="00641B93" w:rsidP="00641B93">
      <w:pPr>
        <w:spacing w:line="220" w:lineRule="exact"/>
        <w:rPr>
          <w:rFonts w:cs="Calibri"/>
          <w:b/>
        </w:rPr>
      </w:pPr>
    </w:p>
    <w:p w14:paraId="1881631C" w14:textId="77777777" w:rsidR="00641B93" w:rsidRPr="003F7F6C" w:rsidRDefault="00641B93" w:rsidP="00641B93">
      <w:pPr>
        <w:spacing w:line="220" w:lineRule="exact"/>
        <w:rPr>
          <w:rFonts w:cs="Calibri"/>
          <w:b/>
        </w:rPr>
      </w:pPr>
    </w:p>
    <w:p w14:paraId="36C3F167" w14:textId="77777777" w:rsidR="00641B93" w:rsidRPr="003F7F6C" w:rsidRDefault="008659EB" w:rsidP="00641B93">
      <w:pPr>
        <w:spacing w:line="220" w:lineRule="exact"/>
        <w:rPr>
          <w:rFonts w:cs="Calibri"/>
          <w:b/>
        </w:rPr>
      </w:pPr>
      <w:r w:rsidRPr="003F7F6C">
        <w:rPr>
          <w:noProof/>
        </w:rPr>
        <mc:AlternateContent>
          <mc:Choice Requires="wps">
            <w:drawing>
              <wp:anchor distT="0" distB="0" distL="114300" distR="114300" simplePos="0" relativeHeight="251639808" behindDoc="0" locked="0" layoutInCell="1" allowOverlap="1" wp14:anchorId="773A20D9" wp14:editId="0C0B0E69">
                <wp:simplePos x="0" y="0"/>
                <wp:positionH relativeFrom="margin">
                  <wp:posOffset>5839460</wp:posOffset>
                </wp:positionH>
                <wp:positionV relativeFrom="paragraph">
                  <wp:posOffset>211455</wp:posOffset>
                </wp:positionV>
                <wp:extent cx="2305050" cy="798195"/>
                <wp:effectExtent l="12700" t="12700" r="6350" b="1905"/>
                <wp:wrapNone/>
                <wp:docPr id="188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05050" cy="798195"/>
                        </a:xfrm>
                        <a:prstGeom prst="rect">
                          <a:avLst/>
                        </a:prstGeom>
                        <a:solidFill>
                          <a:sysClr val="window" lastClr="FFFFFF"/>
                        </a:solidFill>
                        <a:ln w="25400" cap="flat" cmpd="sng" algn="ctr">
                          <a:solidFill>
                            <a:srgbClr val="00B050"/>
                          </a:solidFill>
                          <a:prstDash val="solid"/>
                        </a:ln>
                        <a:effectLst/>
                      </wps:spPr>
                      <wps:txbx>
                        <w:txbxContent>
                          <w:p w14:paraId="027F2C85" w14:textId="77777777" w:rsidR="00A925EE" w:rsidRPr="002B3130" w:rsidRDefault="00A925EE" w:rsidP="00641B93">
                            <w:pPr>
                              <w:rPr>
                                <w:sz w:val="16"/>
                                <w:szCs w:val="16"/>
                              </w:rPr>
                            </w:pPr>
                            <w:r w:rsidRPr="002B3130">
                              <w:rPr>
                                <w:sz w:val="16"/>
                                <w:szCs w:val="16"/>
                              </w:rPr>
                              <w:t xml:space="preserve">Disperse knowledge within and across provinces; insufficient lessons extracted; repetition of sub-optimal approaches; reduced capacity for uptake of positive experiences; few ELUP experiences in provinces </w:t>
                            </w:r>
                          </w:p>
                          <w:p w14:paraId="63DB8A9C" w14:textId="77777777" w:rsidR="00A925EE" w:rsidRPr="002B3130" w:rsidRDefault="00A925EE" w:rsidP="00641B93">
                            <w:pPr>
                              <w:pStyle w:val="NormalWeb"/>
                              <w:spacing w:before="0" w:beforeAutospacing="0" w:after="0" w:afterAutospacing="0"/>
                              <w:jc w:val="center"/>
                              <w:rPr>
                                <w:rFonts w:ascii="Calibri" w:hAnsi="Calibri"/>
                                <w:sz w:val="16"/>
                                <w:szCs w:val="16"/>
                              </w:rPr>
                            </w:pP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73A20D9" id="TextBox 3" o:spid="_x0000_s1061" type="#_x0000_t202" style="position:absolute;left:0;text-align:left;margin-left:459.8pt;margin-top:16.65pt;width:181.5pt;height:62.85pt;z-index:2516398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" fillcolor="window" strokecolor="#00b050" strokeweight="2pt">
                <v:path arrowok="t"/>
                <v:textbox inset="3.38303mm,1.6915mm,3.38303mm,1.6915mm">
                  <w:txbxContent>
                    <w:p w14:paraId="027F2C85" w14:textId="77777777" w:rsidR="00A925EE" w:rsidRPr="002B3130" w:rsidRDefault="00A925EE" w:rsidP="00641B93">
                      <w:pPr>
                        <w:rPr>
                          <w:sz w:val="16"/>
                          <w:szCs w:val="16"/>
                        </w:rPr>
                      </w:pPr>
                      <w:r w:rsidRPr="002B3130">
                        <w:rPr>
                          <w:sz w:val="16"/>
                          <w:szCs w:val="16"/>
                        </w:rPr>
                        <w:t xml:space="preserve">Disperse knowledge within and across provinces; insufficient lessons extracted; repetition of sub-optimal approaches; reduced capacity for uptake of positive experiences; few ELUP experiences in provinces </w:t>
                      </w:r>
                    </w:p>
                    <w:p w14:paraId="63DB8A9C" w14:textId="77777777" w:rsidR="00A925EE" w:rsidRPr="002B3130" w:rsidRDefault="00A925EE" w:rsidP="00641B93">
                      <w:pPr>
                        <w:pStyle w:val="NormalWeb"/>
                        <w:spacing w:before="0" w:beforeAutospacing="0" w:after="0" w:afterAutospacing="0"/>
                        <w:jc w:val="center"/>
                        <w:rPr>
                          <w:rFonts w:ascii="Calibri" w:hAnsi="Calibri"/>
                          <w:sz w:val="16"/>
                          <w:szCs w:val="16"/>
                        </w:rPr>
                      </w:pPr>
                    </w:p>
                  </w:txbxContent>
                </v:textbox>
                <w10:wrap anchorx="margin"/>
              </v:shape>
            </w:pict>
          </mc:Fallback>
        </mc:AlternateContent>
      </w:r>
      <w:r w:rsidRPr="003F7F6C">
        <w:rPr>
          <w:noProof/>
        </w:rPr>
        <mc:AlternateContent>
          <mc:Choice Requires="wps">
            <w:drawing>
              <wp:anchor distT="0" distB="0" distL="114300" distR="114300" simplePos="0" relativeHeight="251640832" behindDoc="0" locked="0" layoutInCell="1" allowOverlap="1" wp14:anchorId="1F348313" wp14:editId="3C953AD5">
                <wp:simplePos x="0" y="0"/>
                <wp:positionH relativeFrom="margin">
                  <wp:posOffset>3257550</wp:posOffset>
                </wp:positionH>
                <wp:positionV relativeFrom="paragraph">
                  <wp:posOffset>159385</wp:posOffset>
                </wp:positionV>
                <wp:extent cx="2305050" cy="787400"/>
                <wp:effectExtent l="12700" t="12700" r="6350" b="0"/>
                <wp:wrapNone/>
                <wp:docPr id="1882"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05050" cy="787400"/>
                        </a:xfrm>
                        <a:prstGeom prst="rect">
                          <a:avLst/>
                        </a:prstGeom>
                        <a:solidFill>
                          <a:sysClr val="window" lastClr="FFFFFF"/>
                        </a:solidFill>
                        <a:ln w="25400" cap="flat" cmpd="sng" algn="ctr">
                          <a:solidFill>
                            <a:srgbClr val="00B050"/>
                          </a:solidFill>
                          <a:prstDash val="solid"/>
                        </a:ln>
                        <a:effectLst/>
                      </wps:spPr>
                      <wps:txbx>
                        <w:txbxContent>
                          <w:p w14:paraId="4BCD8341" w14:textId="77777777" w:rsidR="00A925EE" w:rsidRPr="002B3130" w:rsidRDefault="00A925EE" w:rsidP="00641B93">
                            <w:pPr>
                              <w:pStyle w:val="NormalWeb"/>
                              <w:spacing w:before="0" w:beforeAutospacing="0" w:after="0" w:afterAutospacing="0"/>
                              <w:jc w:val="center"/>
                              <w:rPr>
                                <w:rFonts w:ascii="Calibri" w:hAnsi="Calibri"/>
                                <w:sz w:val="14"/>
                                <w:szCs w:val="14"/>
                              </w:rPr>
                            </w:pPr>
                            <w:r w:rsidRPr="002B3130">
                              <w:rPr>
                                <w:rFonts w:ascii="Calibri" w:hAnsi="Calibri"/>
                                <w:color w:val="000000"/>
                                <w:sz w:val="14"/>
                                <w:szCs w:val="14"/>
                              </w:rPr>
                              <w:t>Information gaps and regulatory constraints; provinces have few staff members and scarce resources; insufficient mechanisms and spaces for participation; insufficient awareness of negative impacts of production; inadequate experience to implement ELUP; information and data do not reflect the value of ES&amp;G</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F348313" id="TextBox 15" o:spid="_x0000_s1062" type="#_x0000_t202" style="position:absolute;left:0;text-align:left;margin-left:256.5pt;margin-top:12.55pt;width:181.5pt;height:62pt;z-index:2516408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" fillcolor="window" strokecolor="#00b050" strokeweight="2pt">
                <v:path arrowok="t"/>
                <v:textbox inset="3.38303mm,1.6915mm,3.38303mm,1.6915mm">
                  <w:txbxContent>
                    <w:p w14:paraId="4BCD8341" w14:textId="77777777" w:rsidR="00A925EE" w:rsidRPr="002B3130" w:rsidRDefault="00A925EE" w:rsidP="00641B93">
                      <w:pPr>
                        <w:pStyle w:val="NormalWeb"/>
                        <w:spacing w:before="0" w:beforeAutospacing="0" w:after="0" w:afterAutospacing="0"/>
                        <w:jc w:val="center"/>
                        <w:rPr>
                          <w:rFonts w:ascii="Calibri" w:hAnsi="Calibri"/>
                          <w:sz w:val="14"/>
                          <w:szCs w:val="14"/>
                        </w:rPr>
                      </w:pPr>
                      <w:r w:rsidRPr="002B3130">
                        <w:rPr>
                          <w:rFonts w:ascii="Calibri" w:hAnsi="Calibri"/>
                          <w:color w:val="000000"/>
                          <w:sz w:val="14"/>
                          <w:szCs w:val="14"/>
                        </w:rPr>
                        <w:t>Information gaps and regulatory constraints; provinces have few staff members and scarce resources; insufficient mechanisms and spaces for participation; insufficient awareness of negative impacts of production; inadequate experience to implement ELUP; information and data do not reflect the value of ES&amp;G</w:t>
                      </w:r>
                    </w:p>
                  </w:txbxContent>
                </v:textbox>
                <w10:wrap anchorx="margin"/>
              </v:shape>
            </w:pict>
          </mc:Fallback>
        </mc:AlternateContent>
      </w:r>
    </w:p>
    <w:p w14:paraId="1610DA28" w14:textId="77777777" w:rsidR="00641B93" w:rsidRPr="003F7F6C" w:rsidRDefault="008659EB" w:rsidP="00641B93">
      <w:pPr>
        <w:spacing w:line="220" w:lineRule="exact"/>
        <w:rPr>
          <w:rFonts w:cs="Calibri"/>
          <w:b/>
        </w:rPr>
      </w:pPr>
      <w:r w:rsidRPr="003F7F6C">
        <w:rPr>
          <w:noProof/>
        </w:rPr>
        <mc:AlternateContent>
          <mc:Choice Requires="wps">
            <w:drawing>
              <wp:anchor distT="0" distB="0" distL="114300" distR="114300" simplePos="0" relativeHeight="251675648" behindDoc="0" locked="0" layoutInCell="1" allowOverlap="1" wp14:anchorId="43FEC96E" wp14:editId="208268D0">
                <wp:simplePos x="0" y="0"/>
                <wp:positionH relativeFrom="margin">
                  <wp:posOffset>590550</wp:posOffset>
                </wp:positionH>
                <wp:positionV relativeFrom="paragraph">
                  <wp:posOffset>11430</wp:posOffset>
                </wp:positionV>
                <wp:extent cx="2238375" cy="825500"/>
                <wp:effectExtent l="12700" t="12700" r="0" b="0"/>
                <wp:wrapThrough wrapText="bothSides">
                  <wp:wrapPolygon edited="0">
                    <wp:start x="-123" y="-332"/>
                    <wp:lineTo x="-123" y="21600"/>
                    <wp:lineTo x="21569" y="21600"/>
                    <wp:lineTo x="21569" y="-332"/>
                    <wp:lineTo x="-123" y="-332"/>
                  </wp:wrapPolygon>
                </wp:wrapThrough>
                <wp:docPr id="1881"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38375" cy="825500"/>
                        </a:xfrm>
                        <a:prstGeom prst="rect">
                          <a:avLst/>
                        </a:prstGeom>
                        <a:solidFill>
                          <a:sysClr val="window" lastClr="FFFFFF"/>
                        </a:solidFill>
                        <a:ln w="25400" cap="flat" cmpd="sng" algn="ctr">
                          <a:solidFill>
                            <a:srgbClr val="00B050"/>
                          </a:solidFill>
                          <a:prstDash val="solid"/>
                        </a:ln>
                        <a:effectLst/>
                      </wps:spPr>
                      <wps:txbx>
                        <w:txbxContent>
                          <w:p w14:paraId="47966C66" w14:textId="77777777" w:rsidR="00A925EE" w:rsidRPr="002B3130" w:rsidRDefault="00A925EE" w:rsidP="00641B93">
                            <w:pPr>
                              <w:pStyle w:val="NormalWeb"/>
                              <w:spacing w:before="0" w:beforeAutospacing="0" w:after="0" w:afterAutospacing="0"/>
                              <w:jc w:val="center"/>
                              <w:rPr>
                                <w:rFonts w:ascii="Calibri" w:hAnsi="Calibri"/>
                                <w:sz w:val="14"/>
                                <w:szCs w:val="14"/>
                              </w:rPr>
                            </w:pPr>
                            <w:r w:rsidRPr="002B3130">
                              <w:rPr>
                                <w:rFonts w:ascii="Calibri" w:hAnsi="Calibri"/>
                                <w:color w:val="000000"/>
                                <w:sz w:val="14"/>
                                <w:szCs w:val="14"/>
                              </w:rPr>
                              <w:t>ELUP missing in most provinces; sector based approaches; regulations and standards not set for ELUP; limited capacity to reduce impact of production sectors; no assessment of ES loss; lack of inter-institutional and inter-sectoral coordination; disperse environmental information; low level of awareness</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3FEC96E" id="_x0000_s1063" type="#_x0000_t202" style="position:absolute;left:0;text-align:left;margin-left:46.5pt;margin-top:.9pt;width:176.25pt;height:65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" fillcolor="window" strokecolor="#00b050" strokeweight="2pt">
                <v:path arrowok="t"/>
                <v:textbox inset="3.38303mm,1.6915mm,3.38303mm,1.6915mm">
                  <w:txbxContent>
                    <w:p w14:paraId="47966C66" w14:textId="77777777" w:rsidR="00A925EE" w:rsidRPr="002B3130" w:rsidRDefault="00A925EE" w:rsidP="00641B93">
                      <w:pPr>
                        <w:pStyle w:val="NormalWeb"/>
                        <w:spacing w:before="0" w:beforeAutospacing="0" w:after="0" w:afterAutospacing="0"/>
                        <w:jc w:val="center"/>
                        <w:rPr>
                          <w:rFonts w:ascii="Calibri" w:hAnsi="Calibri"/>
                          <w:sz w:val="14"/>
                          <w:szCs w:val="14"/>
                        </w:rPr>
                      </w:pPr>
                      <w:r w:rsidRPr="002B3130">
                        <w:rPr>
                          <w:rFonts w:ascii="Calibri" w:hAnsi="Calibri"/>
                          <w:color w:val="000000"/>
                          <w:sz w:val="14"/>
                          <w:szCs w:val="14"/>
                        </w:rPr>
                        <w:t>ELUP missing in most provinces; sector based approaches; regulations and standards not set for ELUP; limited capacity to reduce impact of production sectors; no assessment of ES loss; lack of inter-institutional and inter-sectoral coordination; disperse environmental information; low level of awareness</w:t>
                      </w:r>
                    </w:p>
                  </w:txbxContent>
                </v:textbox>
                <w10:wrap type="through" anchorx="margin"/>
              </v:shape>
            </w:pict>
          </mc:Fallback>
        </mc:AlternateContent>
      </w:r>
      <w:r w:rsidRPr="003F7F6C">
        <w:rPr>
          <w:noProof/>
        </w:rPr>
        <mc:AlternateContent>
          <mc:Choice Requires="wps">
            <w:drawing>
              <wp:anchor distT="0" distB="0" distL="114300" distR="114300" simplePos="0" relativeHeight="251645952" behindDoc="0" locked="0" layoutInCell="1" allowOverlap="1" wp14:anchorId="45FBC3F6" wp14:editId="66998A62">
                <wp:simplePos x="0" y="0"/>
                <wp:positionH relativeFrom="margin">
                  <wp:posOffset>-698500</wp:posOffset>
                </wp:positionH>
                <wp:positionV relativeFrom="paragraph">
                  <wp:posOffset>214630</wp:posOffset>
                </wp:positionV>
                <wp:extent cx="861695" cy="496570"/>
                <wp:effectExtent l="12700" t="12700" r="1905" b="0"/>
                <wp:wrapNone/>
                <wp:docPr id="1880" name="3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496570"/>
                        </a:xfrm>
                        <a:prstGeom prst="rect">
                          <a:avLst/>
                        </a:prstGeom>
                        <a:solidFill>
                          <a:sysClr val="window" lastClr="FFFFFF"/>
                        </a:solidFill>
                        <a:ln w="25400" cap="flat" cmpd="sng" algn="ctr">
                          <a:solidFill>
                            <a:srgbClr val="00B050"/>
                          </a:solidFill>
                          <a:prstDash val="solid"/>
                        </a:ln>
                        <a:effectLst/>
                      </wps:spPr>
                      <wps:txbx>
                        <w:txbxContent>
                          <w:p w14:paraId="79137FCF" w14:textId="77777777" w:rsidR="00A925EE" w:rsidRPr="002B3130" w:rsidRDefault="00A925EE" w:rsidP="00641B93">
                            <w:pPr>
                              <w:pStyle w:val="NormalWeb"/>
                              <w:spacing w:before="0" w:beforeAutospacing="0" w:after="0" w:afterAutospacing="0"/>
                              <w:jc w:val="center"/>
                              <w:rPr>
                                <w:rFonts w:ascii="Calibri" w:hAnsi="Calibri"/>
                                <w:sz w:val="16"/>
                                <w:szCs w:val="16"/>
                              </w:rPr>
                            </w:pPr>
                            <w:r w:rsidRPr="002B3130">
                              <w:rPr>
                                <w:rFonts w:ascii="Calibri" w:hAnsi="Calibri"/>
                                <w:b/>
                                <w:bCs/>
                                <w:color w:val="000000"/>
                                <w:kern w:val="24"/>
                                <w:sz w:val="16"/>
                                <w:szCs w:val="16"/>
                              </w:rPr>
                              <w:t>Structural/ Root Causes</w:t>
                            </w:r>
                          </w:p>
                        </w:txbxContent>
                      </wps:txbx>
                      <wps:bodyPr lIns="121789" tIns="60894" rIns="121789" bIns="60894" spcCol="0" rtlCol="0" anchor="ct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45FBC3F6" id="3 Rectángulo" o:spid="_x0000_s1064" style="position:absolute;left:0;text-align:left;margin-left:-55pt;margin-top:16.9pt;width:67.85pt;height:39.1pt;z-index:2516459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" fillcolor="window" strokecolor="#00b050" strokeweight="2pt">
                <v:path arrowok="t"/>
                <v:textbox inset="3.38303mm,1.6915mm,3.38303mm,1.6915mm">
                  <w:txbxContent>
                    <w:p w14:paraId="79137FCF" w14:textId="77777777" w:rsidR="00A925EE" w:rsidRPr="002B3130" w:rsidRDefault="00A925EE" w:rsidP="00641B93">
                      <w:pPr>
                        <w:pStyle w:val="NormalWeb"/>
                        <w:spacing w:before="0" w:beforeAutospacing="0" w:after="0" w:afterAutospacing="0"/>
                        <w:jc w:val="center"/>
                        <w:rPr>
                          <w:rFonts w:ascii="Calibri" w:hAnsi="Calibri"/>
                          <w:sz w:val="16"/>
                          <w:szCs w:val="16"/>
                        </w:rPr>
                      </w:pPr>
                      <w:r w:rsidRPr="002B3130">
                        <w:rPr>
                          <w:rFonts w:ascii="Calibri" w:hAnsi="Calibri"/>
                          <w:b/>
                          <w:bCs/>
                          <w:color w:val="000000"/>
                          <w:kern w:val="24"/>
                          <w:sz w:val="16"/>
                          <w:szCs w:val="16"/>
                        </w:rPr>
                        <w:t>Structural/ Root Causes</w:t>
                      </w:r>
                    </w:p>
                  </w:txbxContent>
                </v:textbox>
                <w10:wrap anchorx="margin"/>
              </v:rect>
            </w:pict>
          </mc:Fallback>
        </mc:AlternateContent>
      </w:r>
    </w:p>
    <w:p w14:paraId="1F8DECED" w14:textId="77777777" w:rsidR="00641B93" w:rsidRPr="003F7F6C" w:rsidRDefault="00641B93" w:rsidP="00641B93">
      <w:pPr>
        <w:spacing w:line="220" w:lineRule="exact"/>
        <w:rPr>
          <w:rFonts w:cs="Calibri"/>
          <w:b/>
        </w:rPr>
      </w:pPr>
    </w:p>
    <w:p w14:paraId="22C70303" w14:textId="77777777" w:rsidR="00641B93" w:rsidRPr="003F7F6C" w:rsidRDefault="00641B93" w:rsidP="00641B93">
      <w:pPr>
        <w:spacing w:line="220" w:lineRule="exact"/>
        <w:rPr>
          <w:rFonts w:cs="Calibri"/>
          <w:b/>
        </w:rPr>
      </w:pPr>
    </w:p>
    <w:p w14:paraId="47CB456F" w14:textId="77777777" w:rsidR="00641B93" w:rsidRPr="003F7F6C" w:rsidRDefault="00641B93" w:rsidP="00641B93">
      <w:pPr>
        <w:spacing w:line="220" w:lineRule="exact"/>
        <w:rPr>
          <w:rFonts w:cs="Calibri"/>
          <w:b/>
        </w:rPr>
      </w:pPr>
    </w:p>
    <w:p w14:paraId="5C3387C4" w14:textId="77777777" w:rsidR="00915379" w:rsidRPr="003F7F6C" w:rsidRDefault="00915379" w:rsidP="00CC5967">
      <w:pPr>
        <w:spacing w:line="220" w:lineRule="exact"/>
        <w:jc w:val="left"/>
        <w:rPr>
          <w:rFonts w:cs="Calibri"/>
          <w:b/>
        </w:rPr>
      </w:pPr>
    </w:p>
    <w:p w14:paraId="3FEC5F3E" w14:textId="77777777" w:rsidR="004B6727" w:rsidRPr="003F7F6C" w:rsidRDefault="00641B93" w:rsidP="00CC5967">
      <w:pPr>
        <w:spacing w:line="220" w:lineRule="exact"/>
        <w:jc w:val="left"/>
        <w:rPr>
          <w:rFonts w:cs="Calibri"/>
          <w:b/>
          <w:szCs w:val="20"/>
        </w:rPr>
        <w:sectPr w:rsidR="004B6727" w:rsidRPr="003F7F6C" w:rsidSect="002B3130">
          <w:pgSz w:w="15842" w:h="12242" w:orient="landscape" w:code="1"/>
          <w:pgMar w:top="1440" w:right="1440" w:bottom="1440" w:left="1440" w:header="720" w:footer="431" w:gutter="0"/>
          <w:cols w:space="708"/>
          <w:titlePg/>
          <w:docGrid w:linePitch="360"/>
        </w:sectPr>
      </w:pPr>
      <w:r w:rsidRPr="003F7F6C">
        <w:rPr>
          <w:rFonts w:cs="Calibri"/>
          <w:b/>
          <w:szCs w:val="20"/>
        </w:rPr>
        <w:t>Figure 1. Theory of Chang</w:t>
      </w:r>
      <w:r w:rsidR="004B6727" w:rsidRPr="003F7F6C">
        <w:rPr>
          <w:rFonts w:cs="Calibri"/>
          <w:b/>
          <w:szCs w:val="20"/>
        </w:rPr>
        <w:t>e</w:t>
      </w:r>
    </w:p>
    <w:p w14:paraId="6A0E9CB8" w14:textId="77777777" w:rsidR="00973146" w:rsidRPr="003F7F6C" w:rsidRDefault="00973146" w:rsidP="00841551">
      <w:pPr>
        <w:spacing w:after="0"/>
        <w:jc w:val="left"/>
        <w:rPr>
          <w:i/>
          <w:szCs w:val="20"/>
          <w:lang w:val="es-PY"/>
        </w:rPr>
      </w:pPr>
    </w:p>
    <w:p w14:paraId="4D9F3ED2" w14:textId="77777777" w:rsidR="0096798B" w:rsidRPr="003F7F6C" w:rsidRDefault="0032007D" w:rsidP="00337639">
      <w:pPr>
        <w:pStyle w:val="Heading1"/>
        <w:spacing w:before="0" w:after="240"/>
        <w:rPr>
          <w:rFonts w:ascii="Calibri" w:hAnsi="Calibri"/>
          <w:szCs w:val="28"/>
        </w:rPr>
      </w:pPr>
      <w:bookmarkStart w:id="9" w:name="_Toc529891410"/>
      <w:r w:rsidRPr="003F7F6C">
        <w:rPr>
          <w:rFonts w:ascii="Calibri" w:hAnsi="Calibri"/>
          <w:szCs w:val="28"/>
        </w:rPr>
        <w:t>Results and P</w:t>
      </w:r>
      <w:r w:rsidR="00DA3833" w:rsidRPr="003F7F6C">
        <w:rPr>
          <w:rFonts w:ascii="Calibri" w:hAnsi="Calibri"/>
          <w:szCs w:val="28"/>
        </w:rPr>
        <w:t>artnerships</w:t>
      </w:r>
      <w:bookmarkEnd w:id="9"/>
      <w:r w:rsidR="0094042F" w:rsidRPr="003F7F6C">
        <w:rPr>
          <w:rFonts w:ascii="Calibri" w:hAnsi="Calibri"/>
          <w:szCs w:val="28"/>
        </w:rPr>
        <w:t xml:space="preserve"> </w:t>
      </w:r>
    </w:p>
    <w:p w14:paraId="7139E16B" w14:textId="77777777" w:rsidR="005F3E50" w:rsidRPr="003F7F6C" w:rsidRDefault="00C644BD" w:rsidP="005F3E50">
      <w:pPr>
        <w:tabs>
          <w:tab w:val="left" w:pos="426"/>
        </w:tabs>
        <w:spacing w:after="240"/>
        <w:jc w:val="left"/>
        <w:rPr>
          <w:bCs/>
          <w:i/>
          <w:szCs w:val="20"/>
        </w:rPr>
      </w:pPr>
      <w:r w:rsidRPr="003F7F6C">
        <w:rPr>
          <w:szCs w:val="20"/>
          <w:u w:val="single"/>
        </w:rPr>
        <w:t>Expected Results</w:t>
      </w:r>
      <w:r w:rsidRPr="003F7F6C">
        <w:rPr>
          <w:i/>
          <w:szCs w:val="20"/>
        </w:rPr>
        <w:t xml:space="preserve">:  </w:t>
      </w:r>
    </w:p>
    <w:p w14:paraId="5489AB9F" w14:textId="77777777" w:rsidR="005F3E50" w:rsidRPr="003F7F6C" w:rsidRDefault="00337639" w:rsidP="00E91275">
      <w:pPr>
        <w:numPr>
          <w:ilvl w:val="0"/>
          <w:numId w:val="28"/>
        </w:numPr>
        <w:tabs>
          <w:tab w:val="left" w:pos="426"/>
        </w:tabs>
        <w:spacing w:after="240"/>
        <w:ind w:left="0" w:firstLine="0"/>
        <w:rPr>
          <w:bCs/>
          <w:i/>
          <w:szCs w:val="20"/>
        </w:rPr>
      </w:pPr>
      <w:r w:rsidRPr="003F7F6C">
        <w:rPr>
          <w:rFonts w:cs="Calibri"/>
          <w:szCs w:val="20"/>
        </w:rPr>
        <w:t>The principal outputs of the project, which will support the achievement of the project’s four (4) outcomes, are the following:</w:t>
      </w:r>
    </w:p>
    <w:p w14:paraId="4089E660" w14:textId="77777777" w:rsidR="005F3E50" w:rsidRPr="003F7F6C" w:rsidRDefault="00337639" w:rsidP="005F3E50">
      <w:pPr>
        <w:tabs>
          <w:tab w:val="left" w:pos="426"/>
        </w:tabs>
        <w:spacing w:after="240"/>
        <w:rPr>
          <w:bCs/>
          <w:i/>
          <w:szCs w:val="20"/>
        </w:rPr>
      </w:pPr>
      <w:r w:rsidRPr="003F7F6C">
        <w:rPr>
          <w:rFonts w:cs="Calibri"/>
          <w:b/>
          <w:bCs/>
          <w:szCs w:val="20"/>
        </w:rPr>
        <w:t xml:space="preserve">Outcome 1: </w:t>
      </w:r>
      <w:r w:rsidRPr="003F7F6C">
        <w:rPr>
          <w:rFonts w:eastAsia="Times New Roman" w:cs="Calibri"/>
          <w:b/>
          <w:bCs/>
          <w:szCs w:val="20"/>
          <w:lang w:eastAsia="es-ES_tradnl"/>
        </w:rPr>
        <w:t xml:space="preserve">Federal </w:t>
      </w:r>
      <w:r w:rsidRPr="003F7F6C">
        <w:rPr>
          <w:rFonts w:eastAsia="Times New Roman" w:cs="Calibri"/>
          <w:b/>
          <w:szCs w:val="20"/>
          <w:lang w:eastAsia="es-ES_tradnl"/>
        </w:rPr>
        <w:t>enabling framework and strategies to reinforce ELUP, and underpin implementation in priority ecosystems and habitats to reduc</w:t>
      </w:r>
      <w:r w:rsidR="00ED122B" w:rsidRPr="003F7F6C">
        <w:rPr>
          <w:rFonts w:eastAsia="Times New Roman" w:cs="Calibri"/>
          <w:b/>
          <w:szCs w:val="20"/>
          <w:lang w:eastAsia="es-ES_tradnl"/>
        </w:rPr>
        <w:t>e</w:t>
      </w:r>
      <w:r w:rsidRPr="003F7F6C">
        <w:rPr>
          <w:rFonts w:eastAsia="Times New Roman" w:cs="Calibri"/>
          <w:b/>
          <w:szCs w:val="20"/>
          <w:lang w:eastAsia="es-ES_tradnl"/>
        </w:rPr>
        <w:t xml:space="preserve"> pressure from key production sectors (</w:t>
      </w:r>
      <w:r w:rsidRPr="003F7F6C">
        <w:rPr>
          <w:rFonts w:eastAsia="Times New Roman" w:cs="Calibri"/>
          <w:b/>
          <w:bCs/>
          <w:szCs w:val="20"/>
          <w:lang w:eastAsia="es-ES_tradnl"/>
        </w:rPr>
        <w:t>target sectors</w:t>
      </w:r>
      <w:r w:rsidRPr="003F7F6C">
        <w:rPr>
          <w:rFonts w:eastAsia="Times New Roman" w:cs="Calibri"/>
          <w:b/>
          <w:szCs w:val="20"/>
          <w:lang w:eastAsia="es-ES_tradnl"/>
        </w:rPr>
        <w:t xml:space="preserve">: agriculture &amp; livestock; tourism, mining and peri-urban infrastructure) </w:t>
      </w:r>
    </w:p>
    <w:p w14:paraId="0557D522" w14:textId="77777777" w:rsidR="005F3E50" w:rsidRPr="003F7F6C" w:rsidRDefault="00337639" w:rsidP="005F3E50">
      <w:pPr>
        <w:tabs>
          <w:tab w:val="left" w:pos="426"/>
        </w:tabs>
        <w:spacing w:after="240"/>
        <w:rPr>
          <w:bCs/>
          <w:i/>
          <w:szCs w:val="20"/>
        </w:rPr>
      </w:pPr>
      <w:r w:rsidRPr="003F7F6C">
        <w:rPr>
          <w:rFonts w:cs="Calibri"/>
          <w:i/>
          <w:szCs w:val="20"/>
        </w:rPr>
        <w:t xml:space="preserve">Output 1.1: </w:t>
      </w:r>
      <w:r w:rsidRPr="003F7F6C">
        <w:rPr>
          <w:rFonts w:cs="Calibri"/>
          <w:bCs/>
          <w:i/>
          <w:szCs w:val="20"/>
        </w:rPr>
        <w:t xml:space="preserve">Information system for analysis of environmental variables to support the ELUP process </w:t>
      </w:r>
      <w:r w:rsidRPr="003F7F6C">
        <w:rPr>
          <w:rFonts w:cs="Calibri"/>
          <w:i/>
          <w:szCs w:val="20"/>
        </w:rPr>
        <w:t xml:space="preserve">&amp; </w:t>
      </w:r>
      <w:r w:rsidRPr="003F7F6C">
        <w:rPr>
          <w:rFonts w:cs="Calibri"/>
          <w:bCs/>
          <w:i/>
          <w:szCs w:val="20"/>
        </w:rPr>
        <w:t>decision- making</w:t>
      </w:r>
    </w:p>
    <w:p w14:paraId="15982E2E" w14:textId="77777777" w:rsidR="005F3E50" w:rsidRPr="003F7F6C" w:rsidRDefault="00337639" w:rsidP="00E91275">
      <w:pPr>
        <w:numPr>
          <w:ilvl w:val="0"/>
          <w:numId w:val="28"/>
        </w:numPr>
        <w:tabs>
          <w:tab w:val="left" w:pos="426"/>
        </w:tabs>
        <w:spacing w:after="240"/>
        <w:ind w:left="0" w:firstLine="0"/>
        <w:rPr>
          <w:bCs/>
          <w:i/>
          <w:szCs w:val="20"/>
        </w:rPr>
      </w:pPr>
      <w:r w:rsidRPr="003F7F6C">
        <w:rPr>
          <w:rFonts w:cs="Calibri"/>
          <w:szCs w:val="20"/>
        </w:rPr>
        <w:t>The project will technically assist the SGAyDS in developing an information system for analysis of environmental variables in support of the ELUP process. This system will build on existing data banks and will have the objectives of consolidating environmental information and evaluating and monitoring environmental parameters and variables to provide key input</w:t>
      </w:r>
      <w:r w:rsidR="000655F6" w:rsidRPr="003F7F6C">
        <w:rPr>
          <w:rFonts w:cs="Calibri"/>
          <w:szCs w:val="20"/>
        </w:rPr>
        <w:t>s</w:t>
      </w:r>
      <w:r w:rsidRPr="003F7F6C">
        <w:rPr>
          <w:rFonts w:cs="Calibri"/>
          <w:szCs w:val="20"/>
        </w:rPr>
        <w:t xml:space="preserve"> for better decision-making at all levels.</w:t>
      </w:r>
      <w:r w:rsidR="00B757FB" w:rsidRPr="003F7F6C">
        <w:rPr>
          <w:rFonts w:cs="Calibri"/>
          <w:szCs w:val="20"/>
        </w:rPr>
        <w:t xml:space="preserve"> Environmental variables will be defined, validated and finally measured in a collaborative manner through inter-institutional coordination.</w:t>
      </w:r>
      <w:r w:rsidR="000737D4" w:rsidRPr="003F7F6C">
        <w:rPr>
          <w:rFonts w:cs="Calibri"/>
          <w:szCs w:val="20"/>
        </w:rPr>
        <w:t xml:space="preserve"> </w:t>
      </w:r>
      <w:r w:rsidRPr="003F7F6C">
        <w:rPr>
          <w:rFonts w:cs="Calibri"/>
          <w:szCs w:val="20"/>
        </w:rPr>
        <w:t xml:space="preserve">This will both guide work under </w:t>
      </w:r>
      <w:r w:rsidR="00B757FB" w:rsidRPr="003F7F6C">
        <w:rPr>
          <w:rFonts w:cs="Calibri"/>
          <w:szCs w:val="20"/>
        </w:rPr>
        <w:t xml:space="preserve">Outcome </w:t>
      </w:r>
      <w:r w:rsidRPr="003F7F6C">
        <w:rPr>
          <w:rFonts w:cs="Calibri"/>
          <w:szCs w:val="20"/>
        </w:rPr>
        <w:t xml:space="preserve">2 and also be the receptacle of new information as this arises in the pilot </w:t>
      </w:r>
      <w:r w:rsidR="000655F6" w:rsidRPr="003F7F6C">
        <w:rPr>
          <w:rFonts w:cs="Calibri"/>
          <w:szCs w:val="20"/>
        </w:rPr>
        <w:t>p</w:t>
      </w:r>
      <w:r w:rsidRPr="003F7F6C">
        <w:rPr>
          <w:rFonts w:cs="Calibri"/>
          <w:szCs w:val="20"/>
        </w:rPr>
        <w:t xml:space="preserve">rovinces. </w:t>
      </w:r>
    </w:p>
    <w:p w14:paraId="0A30505D" w14:textId="77777777" w:rsidR="005F3E50" w:rsidRPr="003F7F6C" w:rsidRDefault="00337639" w:rsidP="00E91275">
      <w:pPr>
        <w:numPr>
          <w:ilvl w:val="0"/>
          <w:numId w:val="28"/>
        </w:numPr>
        <w:tabs>
          <w:tab w:val="left" w:pos="426"/>
        </w:tabs>
        <w:spacing w:after="240"/>
        <w:ind w:left="0" w:firstLine="0"/>
        <w:rPr>
          <w:bCs/>
          <w:i/>
          <w:szCs w:val="20"/>
        </w:rPr>
      </w:pPr>
      <w:r w:rsidRPr="003F7F6C">
        <w:rPr>
          <w:rFonts w:eastAsia="Times New Roman" w:cs="Calibri"/>
          <w:color w:val="000000"/>
          <w:szCs w:val="20"/>
          <w:lang w:eastAsia="es-AR"/>
        </w:rPr>
        <w:t>Building on the experience of the National Observatory on Land Degradation and Desertification (ONDTyD)</w:t>
      </w:r>
      <w:r w:rsidRPr="003F7F6C">
        <w:rPr>
          <w:rStyle w:val="FootnoteReference"/>
          <w:rFonts w:eastAsia="Times New Roman" w:cs="Calibri"/>
          <w:color w:val="000000"/>
          <w:szCs w:val="20"/>
          <w:lang w:eastAsia="es-AR"/>
        </w:rPr>
        <w:footnoteReference w:id="20"/>
      </w:r>
      <w:r w:rsidR="000655F6" w:rsidRPr="003F7F6C">
        <w:rPr>
          <w:rFonts w:eastAsia="Times New Roman" w:cs="Calibri"/>
          <w:color w:val="000000"/>
          <w:szCs w:val="20"/>
          <w:lang w:eastAsia="es-AR"/>
        </w:rPr>
        <w:t>,</w:t>
      </w:r>
      <w:r w:rsidRPr="003F7F6C">
        <w:rPr>
          <w:rFonts w:eastAsia="Times New Roman" w:cs="Calibri"/>
          <w:color w:val="000000"/>
          <w:szCs w:val="20"/>
          <w:lang w:eastAsia="es-AR"/>
        </w:rPr>
        <w:t xml:space="preserve"> the system will comprise a network of political, technical and scientific institutions that will provide data and knowledge and at the same time are the users of the information.  This will include identifying the relevant organizations and inviting them to participate in the network, convening meetings to agree on objectives, rules and procedures. </w:t>
      </w:r>
    </w:p>
    <w:p w14:paraId="7A87B55B" w14:textId="77777777" w:rsidR="005F3E50" w:rsidRPr="003F7F6C" w:rsidRDefault="00337639" w:rsidP="00E91275">
      <w:pPr>
        <w:numPr>
          <w:ilvl w:val="0"/>
          <w:numId w:val="28"/>
        </w:numPr>
        <w:tabs>
          <w:tab w:val="left" w:pos="426"/>
        </w:tabs>
        <w:spacing w:after="240"/>
        <w:ind w:left="0" w:firstLine="0"/>
        <w:rPr>
          <w:bCs/>
          <w:i/>
          <w:szCs w:val="20"/>
        </w:rPr>
      </w:pPr>
      <w:r w:rsidRPr="003F7F6C">
        <w:rPr>
          <w:rFonts w:cs="Calibri"/>
          <w:szCs w:val="20"/>
        </w:rPr>
        <w:t xml:space="preserve">There is </w:t>
      </w:r>
      <w:r w:rsidRPr="003F7F6C">
        <w:rPr>
          <w:rFonts w:cs="Calibri"/>
          <w:color w:val="212121"/>
          <w:szCs w:val="20"/>
          <w:lang w:val="en"/>
        </w:rPr>
        <w:t xml:space="preserve">a large volume of data and information useful for </w:t>
      </w:r>
      <w:r w:rsidRPr="003F7F6C">
        <w:rPr>
          <w:rFonts w:cs="Calibri"/>
          <w:szCs w:val="20"/>
        </w:rPr>
        <w:t>ELUP decision making that are</w:t>
      </w:r>
      <w:r w:rsidRPr="003F7F6C">
        <w:rPr>
          <w:rFonts w:cs="Calibri"/>
          <w:color w:val="212121"/>
          <w:szCs w:val="20"/>
          <w:lang w:val="en"/>
        </w:rPr>
        <w:t xml:space="preserve"> available </w:t>
      </w:r>
      <w:r w:rsidRPr="003F7F6C">
        <w:rPr>
          <w:rFonts w:cs="Calibri"/>
          <w:szCs w:val="20"/>
        </w:rPr>
        <w:t xml:space="preserve">at national, provincial and local levels </w:t>
      </w:r>
      <w:r w:rsidRPr="003F7F6C">
        <w:rPr>
          <w:rFonts w:cs="Calibri"/>
          <w:color w:val="212121"/>
          <w:szCs w:val="20"/>
          <w:lang w:val="en"/>
        </w:rPr>
        <w:t xml:space="preserve">from numerous sources, but </w:t>
      </w:r>
      <w:r w:rsidR="000655F6" w:rsidRPr="003F7F6C">
        <w:rPr>
          <w:rFonts w:cs="Calibri"/>
          <w:color w:val="212121"/>
          <w:szCs w:val="20"/>
          <w:lang w:val="en"/>
        </w:rPr>
        <w:t xml:space="preserve">this </w:t>
      </w:r>
      <w:r w:rsidRPr="003F7F6C">
        <w:rPr>
          <w:rFonts w:cs="Calibri"/>
          <w:color w:val="212121"/>
          <w:szCs w:val="20"/>
          <w:lang w:val="en"/>
        </w:rPr>
        <w:t>needs to be standardized and systematized in order to develop a comprehensive database and to facilitate identifying and filling gaps, both in terms of themes and at the different geographical and jurisdictional scales considered.  Between Project Year (PY) 1 and PY2</w:t>
      </w:r>
      <w:r w:rsidR="000655F6" w:rsidRPr="003F7F6C">
        <w:rPr>
          <w:rFonts w:cs="Calibri"/>
          <w:color w:val="212121"/>
          <w:szCs w:val="20"/>
          <w:lang w:val="en"/>
        </w:rPr>
        <w:t>,</w:t>
      </w:r>
      <w:r w:rsidRPr="003F7F6C">
        <w:rPr>
          <w:rFonts w:cs="Calibri"/>
          <w:color w:val="212121"/>
          <w:szCs w:val="20"/>
          <w:lang w:val="en"/>
        </w:rPr>
        <w:t xml:space="preserve"> </w:t>
      </w:r>
      <w:r w:rsidRPr="003F7F6C">
        <w:rPr>
          <w:rFonts w:cs="Calibri"/>
          <w:szCs w:val="20"/>
        </w:rPr>
        <w:t xml:space="preserve">the data </w:t>
      </w:r>
      <w:r w:rsidRPr="003F7F6C">
        <w:rPr>
          <w:rFonts w:cs="Calibri"/>
          <w:color w:val="212121"/>
          <w:szCs w:val="20"/>
          <w:lang w:val="en"/>
        </w:rPr>
        <w:t>banks identified during the PPG phase</w:t>
      </w:r>
      <w:r w:rsidRPr="003F7F6C">
        <w:rPr>
          <w:rStyle w:val="FootnoteReference"/>
          <w:rFonts w:ascii="Calibri" w:hAnsi="Calibri" w:cs="Calibri"/>
          <w:color w:val="212121"/>
          <w:szCs w:val="20"/>
          <w:lang w:val="en"/>
        </w:rPr>
        <w:footnoteReference w:id="21"/>
      </w:r>
      <w:r w:rsidRPr="003F7F6C">
        <w:rPr>
          <w:rFonts w:cs="Calibri"/>
          <w:color w:val="212121"/>
          <w:szCs w:val="20"/>
          <w:lang w:val="en"/>
        </w:rPr>
        <w:t xml:space="preserve"> as well as others that may be identified during project implementation will be unified. Given that information is disperse among numerous institutions, an ELUP sub-system within SGAyDS´s Environmental Spatial Infrastructure Data (IDE Ambiente) will be developed to concentrate all the ELUP</w:t>
      </w:r>
      <w:r w:rsidR="000655F6" w:rsidRPr="003F7F6C">
        <w:rPr>
          <w:rFonts w:cs="Calibri"/>
          <w:color w:val="212121"/>
          <w:szCs w:val="20"/>
          <w:lang w:val="en"/>
        </w:rPr>
        <w:t>-</w:t>
      </w:r>
      <w:r w:rsidRPr="003F7F6C">
        <w:rPr>
          <w:rFonts w:cs="Calibri"/>
          <w:color w:val="212121"/>
          <w:szCs w:val="20"/>
          <w:lang w:val="en"/>
        </w:rPr>
        <w:t xml:space="preserve"> related information of interest.  Information and metadata available in the data banks will be standardized and systematized. The existing information within IDE Ambiente will be migrated by the SGAyDS to the sub-system while the information available in other online data bases will be uploaded remotely by each institution, following the existing information sharing protocols of the different IDEs.  The project will provide support for training of technical staff in the protocols and processes for standardizing, systematizing and sharing data and information. In parallel, the environmental variables </w:t>
      </w:r>
      <w:r w:rsidR="000737D4" w:rsidRPr="003F7F6C">
        <w:rPr>
          <w:rFonts w:cs="Calibri"/>
          <w:color w:val="212121"/>
          <w:szCs w:val="20"/>
          <w:lang w:val="en"/>
        </w:rPr>
        <w:t xml:space="preserve">as well as the methodology for measuring them </w:t>
      </w:r>
      <w:r w:rsidRPr="003F7F6C">
        <w:rPr>
          <w:rFonts w:cs="Calibri"/>
          <w:color w:val="212121"/>
          <w:szCs w:val="20"/>
          <w:lang w:val="en"/>
        </w:rPr>
        <w:t>will be identified and validated with</w:t>
      </w:r>
      <w:r w:rsidR="000655F6" w:rsidRPr="003F7F6C">
        <w:rPr>
          <w:rFonts w:cs="Calibri"/>
          <w:color w:val="212121"/>
          <w:szCs w:val="20"/>
          <w:lang w:val="en"/>
        </w:rPr>
        <w:t>in</w:t>
      </w:r>
      <w:r w:rsidRPr="003F7F6C">
        <w:rPr>
          <w:rFonts w:cs="Calibri"/>
          <w:color w:val="212121"/>
          <w:szCs w:val="20"/>
          <w:lang w:val="en"/>
        </w:rPr>
        <w:t xml:space="preserve"> the inter-institutional dialogue spaces to be established </w:t>
      </w:r>
      <w:r w:rsidR="000655F6" w:rsidRPr="003F7F6C">
        <w:rPr>
          <w:rFonts w:cs="Calibri"/>
          <w:color w:val="212121"/>
          <w:szCs w:val="20"/>
          <w:lang w:val="en"/>
        </w:rPr>
        <w:t xml:space="preserve">under </w:t>
      </w:r>
      <w:r w:rsidRPr="003F7F6C">
        <w:rPr>
          <w:rFonts w:cs="Calibri"/>
          <w:color w:val="212121"/>
          <w:szCs w:val="20"/>
          <w:lang w:val="en"/>
        </w:rPr>
        <w:t>Output 1.4 below.</w:t>
      </w:r>
    </w:p>
    <w:p w14:paraId="43455F64" w14:textId="77777777" w:rsidR="005F3E50" w:rsidRPr="003F7F6C" w:rsidRDefault="00337639" w:rsidP="00E91275">
      <w:pPr>
        <w:numPr>
          <w:ilvl w:val="0"/>
          <w:numId w:val="28"/>
        </w:numPr>
        <w:tabs>
          <w:tab w:val="left" w:pos="426"/>
        </w:tabs>
        <w:spacing w:after="240"/>
        <w:ind w:left="0" w:firstLine="0"/>
        <w:rPr>
          <w:bCs/>
          <w:i/>
          <w:szCs w:val="20"/>
        </w:rPr>
      </w:pPr>
      <w:r w:rsidRPr="003F7F6C">
        <w:rPr>
          <w:rFonts w:eastAsia="Times New Roman" w:cs="Calibri"/>
          <w:color w:val="000000"/>
          <w:szCs w:val="20"/>
          <w:lang w:eastAsia="es-AR"/>
        </w:rPr>
        <w:t>Once established</w:t>
      </w:r>
      <w:r w:rsidR="000655F6" w:rsidRPr="003F7F6C">
        <w:rPr>
          <w:rFonts w:eastAsia="Times New Roman" w:cs="Calibri"/>
          <w:color w:val="000000"/>
          <w:szCs w:val="20"/>
          <w:lang w:eastAsia="es-AR"/>
        </w:rPr>
        <w:t>,</w:t>
      </w:r>
      <w:r w:rsidRPr="003F7F6C">
        <w:rPr>
          <w:rFonts w:eastAsia="Times New Roman" w:cs="Calibri"/>
          <w:color w:val="000000"/>
          <w:szCs w:val="20"/>
          <w:lang w:eastAsia="es-AR"/>
        </w:rPr>
        <w:t xml:space="preserve"> </w:t>
      </w:r>
      <w:r w:rsidRPr="003F7F6C">
        <w:rPr>
          <w:rFonts w:eastAsia="Times New Roman" w:cs="Calibri"/>
          <w:szCs w:val="20"/>
          <w:lang w:eastAsia="es-AR"/>
        </w:rPr>
        <w:t xml:space="preserve">this system </w:t>
      </w:r>
      <w:r w:rsidRPr="003F7F6C">
        <w:rPr>
          <w:rFonts w:eastAsia="Times New Roman" w:cs="Calibri"/>
          <w:color w:val="000000"/>
          <w:szCs w:val="20"/>
          <w:lang w:eastAsia="es-AR"/>
        </w:rPr>
        <w:t>will define and/or update a set of SMART and cost-effective indicators for ELUP monitoring and establish the protocols for measuring the different indicators.</w:t>
      </w:r>
      <w:r w:rsidR="00B757FB" w:rsidRPr="003F7F6C">
        <w:rPr>
          <w:rFonts w:eastAsia="Times New Roman" w:cs="Calibri"/>
          <w:color w:val="000000"/>
          <w:szCs w:val="20"/>
          <w:lang w:eastAsia="es-AR"/>
        </w:rPr>
        <w:t xml:space="preserve"> SDGAyDS and INTA will collaborate to undertake monitoring of indicators.</w:t>
      </w:r>
      <w:r w:rsidRPr="003F7F6C">
        <w:rPr>
          <w:rFonts w:eastAsia="Times New Roman" w:cs="Calibri"/>
          <w:color w:val="000000"/>
          <w:szCs w:val="20"/>
          <w:lang w:eastAsia="es-AR"/>
        </w:rPr>
        <w:t xml:space="preserve"> The ELUP sub-system of IDE Ambiente will be the information platform where all the information generated and/or compiled by the project will be uploaded hence facilitating access and dissemination. This will include</w:t>
      </w:r>
      <w:r w:rsidR="000655F6" w:rsidRPr="003F7F6C">
        <w:rPr>
          <w:rFonts w:eastAsia="Times New Roman" w:cs="Calibri"/>
          <w:color w:val="000000"/>
          <w:szCs w:val="20"/>
          <w:lang w:eastAsia="es-AR"/>
        </w:rPr>
        <w:t>,</w:t>
      </w:r>
      <w:r w:rsidRPr="003F7F6C">
        <w:rPr>
          <w:rFonts w:eastAsia="Times New Roman" w:cs="Calibri"/>
          <w:color w:val="000000"/>
          <w:szCs w:val="20"/>
          <w:lang w:eastAsia="es-AR"/>
        </w:rPr>
        <w:t xml:space="preserve"> among others</w:t>
      </w:r>
      <w:r w:rsidR="000655F6" w:rsidRPr="003F7F6C">
        <w:rPr>
          <w:rFonts w:eastAsia="Times New Roman" w:cs="Calibri"/>
          <w:color w:val="000000"/>
          <w:szCs w:val="20"/>
          <w:lang w:eastAsia="es-AR"/>
        </w:rPr>
        <w:t>,</w:t>
      </w:r>
      <w:r w:rsidRPr="003F7F6C">
        <w:rPr>
          <w:rFonts w:eastAsia="Times New Roman" w:cs="Calibri"/>
          <w:color w:val="000000"/>
          <w:szCs w:val="20"/>
          <w:lang w:eastAsia="es-AR"/>
        </w:rPr>
        <w:t xml:space="preserve"> geographical information and documentary and audio-visual information.</w:t>
      </w:r>
      <w:r w:rsidRPr="003F7F6C">
        <w:rPr>
          <w:color w:val="7030A0"/>
        </w:rPr>
        <w:t xml:space="preserve"> </w:t>
      </w:r>
    </w:p>
    <w:p w14:paraId="57695891" w14:textId="77777777" w:rsidR="005F3E50" w:rsidRPr="003F7F6C" w:rsidRDefault="00337639" w:rsidP="00E91275">
      <w:pPr>
        <w:numPr>
          <w:ilvl w:val="0"/>
          <w:numId w:val="28"/>
        </w:numPr>
        <w:tabs>
          <w:tab w:val="left" w:pos="426"/>
        </w:tabs>
        <w:spacing w:after="240"/>
        <w:ind w:left="0" w:firstLine="0"/>
        <w:rPr>
          <w:bCs/>
          <w:i/>
          <w:szCs w:val="20"/>
        </w:rPr>
      </w:pPr>
      <w:r w:rsidRPr="003F7F6C">
        <w:rPr>
          <w:rFonts w:cs="Calibri"/>
          <w:color w:val="212121"/>
          <w:szCs w:val="20"/>
          <w:lang w:val="en"/>
        </w:rPr>
        <w:t>Beginning in PY2 and as the information is consolidated and uploaded it will be made available online following the criteria established by the Spatial Data Infrastructure of the Republic of Argentina (IDERA)</w:t>
      </w:r>
      <w:r w:rsidRPr="003F7F6C">
        <w:rPr>
          <w:rStyle w:val="FootnoteReference"/>
          <w:rFonts w:ascii="Calibri" w:hAnsi="Calibri" w:cs="Calibri"/>
          <w:color w:val="212121"/>
          <w:szCs w:val="20"/>
          <w:lang w:val="en"/>
        </w:rPr>
        <w:footnoteReference w:id="22"/>
      </w:r>
      <w:r w:rsidRPr="003F7F6C">
        <w:rPr>
          <w:rFonts w:cs="Calibri"/>
          <w:color w:val="212121"/>
          <w:szCs w:val="20"/>
          <w:lang w:val="en"/>
        </w:rPr>
        <w:t>. It will also be continuously updated as new information is generated.  Updating of information will entail the SGAyDS uploading data internally to IDE Ambiente while the other institutions will improve/update their respective information within their own data banks, and the new information will be reflected in the ELUP sub-system.  The environmental variables defined and the results of their application and measurement will also be made available.</w:t>
      </w:r>
      <w:r w:rsidR="00B757FB" w:rsidRPr="003F7F6C">
        <w:rPr>
          <w:rFonts w:cs="Calibri"/>
          <w:color w:val="212121"/>
          <w:szCs w:val="20"/>
          <w:lang w:val="en"/>
        </w:rPr>
        <w:t xml:space="preserve">  All the information produced by the provinces within the framework of the project will be made available to the SGAyDS.</w:t>
      </w:r>
    </w:p>
    <w:p w14:paraId="7F779953" w14:textId="77777777" w:rsidR="005F3E50" w:rsidRPr="003F7F6C" w:rsidRDefault="00337639" w:rsidP="00E91275">
      <w:pPr>
        <w:numPr>
          <w:ilvl w:val="0"/>
          <w:numId w:val="28"/>
        </w:numPr>
        <w:tabs>
          <w:tab w:val="left" w:pos="426"/>
        </w:tabs>
        <w:spacing w:after="240"/>
        <w:ind w:left="0" w:firstLine="0"/>
        <w:rPr>
          <w:bCs/>
          <w:i/>
          <w:szCs w:val="20"/>
        </w:rPr>
      </w:pPr>
      <w:r w:rsidRPr="003F7F6C">
        <w:rPr>
          <w:rFonts w:eastAsia="Times New Roman" w:cs="Calibri"/>
          <w:color w:val="000000"/>
          <w:szCs w:val="20"/>
          <w:lang w:eastAsia="es-AR"/>
        </w:rPr>
        <w:t xml:space="preserve">A key aspect in the functioning of the information system will be </w:t>
      </w:r>
      <w:r w:rsidR="000655F6" w:rsidRPr="003F7F6C">
        <w:rPr>
          <w:rFonts w:eastAsia="Times New Roman" w:cs="Calibri"/>
          <w:color w:val="000000"/>
          <w:szCs w:val="20"/>
          <w:lang w:eastAsia="es-AR"/>
        </w:rPr>
        <w:t xml:space="preserve">the </w:t>
      </w:r>
      <w:r w:rsidRPr="003F7F6C">
        <w:rPr>
          <w:rFonts w:eastAsia="Times New Roman" w:cs="Calibri"/>
          <w:color w:val="000000"/>
          <w:szCs w:val="20"/>
          <w:lang w:eastAsia="es-AR"/>
        </w:rPr>
        <w:t>active participation in IDERA. This will be undertaken through sharing information using the IDE Ambiente platform as a tool for online coordination with different government areas, jurisdictions and technical and scientific organizations; and participating in the meetings (annual or bi-annual) of the different IDERA working groups (e.g.</w:t>
      </w:r>
      <w:r w:rsidR="000655F6" w:rsidRPr="003F7F6C">
        <w:rPr>
          <w:rFonts w:eastAsia="Times New Roman" w:cs="Calibri"/>
          <w:color w:val="000000"/>
          <w:szCs w:val="20"/>
          <w:lang w:eastAsia="es-AR"/>
        </w:rPr>
        <w:t>,</w:t>
      </w:r>
      <w:r w:rsidRPr="003F7F6C">
        <w:rPr>
          <w:rFonts w:eastAsia="Times New Roman" w:cs="Calibri"/>
          <w:color w:val="000000"/>
          <w:szCs w:val="20"/>
          <w:lang w:eastAsia="es-AR"/>
        </w:rPr>
        <w:t xml:space="preserve"> cartography, platform, metadata, services) where issues related to information management are discussed and defined.</w:t>
      </w:r>
      <w:r w:rsidR="00B757FB" w:rsidRPr="003F7F6C">
        <w:rPr>
          <w:rFonts w:eastAsia="Times New Roman" w:cs="Calibri"/>
          <w:color w:val="000000"/>
          <w:szCs w:val="20"/>
          <w:lang w:eastAsia="es-AR"/>
        </w:rPr>
        <w:t xml:space="preserve"> The SGAyDS will participate through IDE Ambiente.</w:t>
      </w:r>
      <w:r w:rsidRPr="003F7F6C">
        <w:rPr>
          <w:rFonts w:eastAsia="Times New Roman" w:cs="Calibri"/>
          <w:color w:val="000000"/>
          <w:szCs w:val="20"/>
          <w:lang w:eastAsia="es-AR"/>
        </w:rPr>
        <w:t xml:space="preserve"> This will help to promote the SGAyDS vision on ELUP and </w:t>
      </w:r>
      <w:r w:rsidR="000655F6" w:rsidRPr="003F7F6C">
        <w:rPr>
          <w:rFonts w:eastAsia="Times New Roman" w:cs="Calibri"/>
          <w:color w:val="000000"/>
          <w:szCs w:val="20"/>
          <w:lang w:eastAsia="es-AR"/>
        </w:rPr>
        <w:t xml:space="preserve">support </w:t>
      </w:r>
      <w:r w:rsidRPr="003F7F6C">
        <w:rPr>
          <w:rFonts w:eastAsia="Times New Roman" w:cs="Calibri"/>
          <w:color w:val="000000"/>
          <w:szCs w:val="20"/>
          <w:lang w:eastAsia="es-AR"/>
        </w:rPr>
        <w:t>coordinat</w:t>
      </w:r>
      <w:r w:rsidR="000655F6" w:rsidRPr="003F7F6C">
        <w:rPr>
          <w:rFonts w:eastAsia="Times New Roman" w:cs="Calibri"/>
          <w:color w:val="000000"/>
          <w:szCs w:val="20"/>
          <w:lang w:eastAsia="es-AR"/>
        </w:rPr>
        <w:t>ion</w:t>
      </w:r>
      <w:r w:rsidRPr="003F7F6C">
        <w:rPr>
          <w:rFonts w:eastAsia="Times New Roman" w:cs="Calibri"/>
          <w:color w:val="000000"/>
          <w:szCs w:val="20"/>
          <w:lang w:eastAsia="es-AR"/>
        </w:rPr>
        <w:t xml:space="preserve"> with the participating institutions.</w:t>
      </w:r>
    </w:p>
    <w:p w14:paraId="2A41FF83" w14:textId="77777777" w:rsidR="005F3E50" w:rsidRPr="003F7F6C" w:rsidRDefault="005F3E50" w:rsidP="005F3E50">
      <w:pPr>
        <w:tabs>
          <w:tab w:val="left" w:pos="426"/>
        </w:tabs>
        <w:spacing w:after="240"/>
        <w:rPr>
          <w:rFonts w:eastAsia="Times New Roman" w:cs="Calibri"/>
          <w:bCs/>
          <w:i/>
          <w:szCs w:val="20"/>
          <w:lang w:eastAsia="es-ES_tradnl"/>
        </w:rPr>
      </w:pPr>
    </w:p>
    <w:p w14:paraId="40F40FE5" w14:textId="77777777" w:rsidR="005F3E50" w:rsidRPr="003F7F6C" w:rsidRDefault="00AF4207" w:rsidP="005F3E50">
      <w:pPr>
        <w:tabs>
          <w:tab w:val="left" w:pos="426"/>
        </w:tabs>
        <w:spacing w:after="240"/>
        <w:rPr>
          <w:bCs/>
          <w:i/>
          <w:szCs w:val="20"/>
        </w:rPr>
      </w:pPr>
      <w:r w:rsidRPr="003F7F6C">
        <w:rPr>
          <w:rFonts w:eastAsia="Times New Roman" w:cs="Calibri"/>
          <w:bCs/>
          <w:i/>
          <w:szCs w:val="20"/>
          <w:lang w:eastAsia="es-ES_tradnl"/>
        </w:rPr>
        <w:t>Output 1.2: Federal level ELUP criteria agreed</w:t>
      </w:r>
      <w:r w:rsidR="000655F6" w:rsidRPr="003F7F6C">
        <w:rPr>
          <w:rFonts w:eastAsia="Times New Roman" w:cs="Calibri"/>
          <w:bCs/>
          <w:i/>
          <w:szCs w:val="20"/>
          <w:lang w:eastAsia="es-ES_tradnl"/>
        </w:rPr>
        <w:t xml:space="preserve"> </w:t>
      </w:r>
      <w:r w:rsidRPr="003F7F6C">
        <w:rPr>
          <w:rFonts w:eastAsia="Times New Roman" w:cs="Calibri"/>
          <w:bCs/>
          <w:i/>
          <w:szCs w:val="20"/>
          <w:lang w:eastAsia="es-ES_tradnl"/>
        </w:rPr>
        <w:t>upon</w:t>
      </w:r>
    </w:p>
    <w:p w14:paraId="6E128CB8" w14:textId="77777777" w:rsidR="007205BB" w:rsidRPr="003F7F6C" w:rsidRDefault="00AF4207" w:rsidP="00E91275">
      <w:pPr>
        <w:numPr>
          <w:ilvl w:val="0"/>
          <w:numId w:val="28"/>
        </w:numPr>
        <w:tabs>
          <w:tab w:val="left" w:pos="426"/>
        </w:tabs>
        <w:spacing w:after="240"/>
        <w:ind w:left="0" w:firstLine="0"/>
        <w:rPr>
          <w:bCs/>
          <w:i/>
          <w:szCs w:val="20"/>
        </w:rPr>
      </w:pPr>
      <w:r w:rsidRPr="003F7F6C">
        <w:rPr>
          <w:rFonts w:eastAsia="Times New Roman" w:cs="Calibri"/>
          <w:szCs w:val="20"/>
          <w:lang w:eastAsia="es-ES_tradnl"/>
        </w:rPr>
        <w:t xml:space="preserve">This output will support defining and agreeing upon ELUP criteria at the Federal level to guide ongoing and future processes in the </w:t>
      </w:r>
      <w:r w:rsidR="000655F6" w:rsidRPr="003F7F6C">
        <w:rPr>
          <w:rFonts w:eastAsia="Times New Roman" w:cs="Calibri"/>
          <w:szCs w:val="20"/>
          <w:lang w:eastAsia="es-ES_tradnl"/>
        </w:rPr>
        <w:t>p</w:t>
      </w:r>
      <w:r w:rsidRPr="003F7F6C">
        <w:rPr>
          <w:rFonts w:eastAsia="Times New Roman" w:cs="Calibri"/>
          <w:szCs w:val="20"/>
          <w:lang w:eastAsia="es-ES_tradnl"/>
        </w:rPr>
        <w:t xml:space="preserve">rovinces and provide </w:t>
      </w:r>
      <w:r w:rsidR="000655F6" w:rsidRPr="003F7F6C">
        <w:rPr>
          <w:rFonts w:eastAsia="Times New Roman" w:cs="Calibri"/>
          <w:szCs w:val="20"/>
          <w:lang w:eastAsia="es-ES_tradnl"/>
        </w:rPr>
        <w:t xml:space="preserve">a </w:t>
      </w:r>
      <w:r w:rsidRPr="003F7F6C">
        <w:rPr>
          <w:rFonts w:eastAsia="Calibri" w:cs="Calibri"/>
          <w:color w:val="000000"/>
          <w:szCs w:val="20"/>
        </w:rPr>
        <w:t>public policy framework and strategies to reinforce existing territorial planning and advance ELUP as a</w:t>
      </w:r>
      <w:r w:rsidR="00197380" w:rsidRPr="003F7F6C">
        <w:rPr>
          <w:rFonts w:eastAsia="Calibri" w:cs="Calibri"/>
          <w:color w:val="000000"/>
          <w:szCs w:val="20"/>
        </w:rPr>
        <w:t xml:space="preserve"> Federal</w:t>
      </w:r>
      <w:r w:rsidRPr="003F7F6C">
        <w:rPr>
          <w:rFonts w:eastAsia="Calibri" w:cs="Calibri"/>
          <w:color w:val="000000"/>
          <w:szCs w:val="20"/>
        </w:rPr>
        <w:t xml:space="preserve"> instrument to mainstream environmental, social and economic aspects into development planning and finance. </w:t>
      </w:r>
      <w:r w:rsidRPr="003F7F6C">
        <w:rPr>
          <w:rFonts w:eastAsia="Times New Roman" w:cs="Calibri"/>
          <w:szCs w:val="20"/>
          <w:lang w:eastAsia="es-ES_tradnl"/>
        </w:rPr>
        <w:t xml:space="preserve">Working in close coordination with results from </w:t>
      </w:r>
      <w:r w:rsidR="00197380" w:rsidRPr="003F7F6C">
        <w:rPr>
          <w:rFonts w:eastAsia="Times New Roman" w:cs="Calibri"/>
          <w:szCs w:val="20"/>
          <w:lang w:eastAsia="es-ES_tradnl"/>
        </w:rPr>
        <w:t xml:space="preserve">Outcomes </w:t>
      </w:r>
      <w:r w:rsidRPr="003F7F6C">
        <w:rPr>
          <w:rFonts w:eastAsia="Times New Roman" w:cs="Calibri"/>
          <w:szCs w:val="20"/>
          <w:lang w:eastAsia="es-ES_tradnl"/>
        </w:rPr>
        <w:t>2 and 3, the project will support the national framework for procedures</w:t>
      </w:r>
      <w:r w:rsidR="00A33AC6" w:rsidRPr="003F7F6C">
        <w:rPr>
          <w:rFonts w:eastAsia="Times New Roman" w:cs="Calibri"/>
          <w:szCs w:val="20"/>
          <w:lang w:eastAsia="es-ES_tradnl"/>
        </w:rPr>
        <w:t>,</w:t>
      </w:r>
      <w:r w:rsidRPr="003F7F6C">
        <w:rPr>
          <w:rFonts w:eastAsia="Times New Roman" w:cs="Calibri"/>
          <w:szCs w:val="20"/>
          <w:lang w:eastAsia="es-ES_tradnl"/>
        </w:rPr>
        <w:t xml:space="preserve"> instruments and tools to be used at different levels to define and implement ELUP.  This output will strengthen the SGAyDS as the national leader of ELUP and will benefit decision</w:t>
      </w:r>
      <w:r w:rsidR="00A33AC6" w:rsidRPr="003F7F6C">
        <w:rPr>
          <w:rFonts w:eastAsia="Times New Roman" w:cs="Calibri"/>
          <w:szCs w:val="20"/>
          <w:lang w:eastAsia="es-ES_tradnl"/>
        </w:rPr>
        <w:t>-</w:t>
      </w:r>
      <w:r w:rsidRPr="003F7F6C">
        <w:rPr>
          <w:rFonts w:eastAsia="Times New Roman" w:cs="Calibri"/>
          <w:szCs w:val="20"/>
          <w:lang w:eastAsia="es-ES_tradnl"/>
        </w:rPr>
        <w:t>makers at federal level.</w:t>
      </w:r>
    </w:p>
    <w:p w14:paraId="58AD6874" w14:textId="77777777" w:rsidR="00760FF7" w:rsidRPr="003F7F6C" w:rsidRDefault="00AF4207" w:rsidP="00E91275">
      <w:pPr>
        <w:numPr>
          <w:ilvl w:val="0"/>
          <w:numId w:val="28"/>
        </w:numPr>
        <w:tabs>
          <w:tab w:val="left" w:pos="426"/>
        </w:tabs>
        <w:spacing w:after="240"/>
        <w:ind w:left="0" w:firstLine="0"/>
        <w:rPr>
          <w:bCs/>
          <w:i/>
          <w:szCs w:val="20"/>
        </w:rPr>
      </w:pPr>
      <w:r w:rsidRPr="003F7F6C">
        <w:rPr>
          <w:rFonts w:eastAsia="Times New Roman" w:cs="Calibri"/>
          <w:szCs w:val="20"/>
          <w:lang w:eastAsia="es-ES_tradnl"/>
        </w:rPr>
        <w:t xml:space="preserve">A first set of activities will include assessing </w:t>
      </w:r>
      <w:r w:rsidRPr="003F7F6C">
        <w:rPr>
          <w:rFonts w:eastAsia="Times New Roman" w:cs="Calibri"/>
          <w:bCs/>
          <w:szCs w:val="20"/>
          <w:lang w:eastAsia="es-ES_tradnl"/>
        </w:rPr>
        <w:t>mechanisms for ES valuation, BD conservation and SLM practices and developing strategies to promote areas for conservation and restoration with compensation schemes for ELUP implementation. During PY1-PY2 the project will work with SGAyDS, INTA and key stakeholders to undertake these assessments.  For ES valuation this will include further analyzing the viability of three pre-selected methodologies: a) INTA´s ECOSER protocol</w:t>
      </w:r>
      <w:r w:rsidRPr="003F7F6C">
        <w:rPr>
          <w:rStyle w:val="FootnoteReference"/>
          <w:rFonts w:ascii="Calibri" w:eastAsia="Times New Roman" w:hAnsi="Calibri" w:cs="Calibri"/>
          <w:bCs/>
          <w:szCs w:val="20"/>
          <w:lang w:eastAsia="es-ES_tradnl"/>
        </w:rPr>
        <w:footnoteReference w:id="23"/>
      </w:r>
      <w:r w:rsidRPr="003F7F6C">
        <w:rPr>
          <w:rFonts w:eastAsia="Times New Roman" w:cs="Calibri"/>
          <w:bCs/>
          <w:szCs w:val="20"/>
          <w:lang w:eastAsia="es-ES_tradnl"/>
        </w:rPr>
        <w:t>, b) Targeted Scenario Analysis (TSA)</w:t>
      </w:r>
      <w:r w:rsidR="0082666F" w:rsidRPr="003F7F6C">
        <w:rPr>
          <w:rStyle w:val="FootnoteReference"/>
          <w:rFonts w:eastAsia="Times New Roman"/>
          <w:bCs/>
          <w:szCs w:val="20"/>
          <w:lang w:eastAsia="es-ES_tradnl"/>
        </w:rPr>
        <w:footnoteReference w:id="24"/>
      </w:r>
      <w:r w:rsidRPr="003F7F6C">
        <w:rPr>
          <w:rFonts w:eastAsia="Times New Roman" w:cs="Calibri"/>
          <w:bCs/>
          <w:szCs w:val="20"/>
          <w:lang w:eastAsia="es-ES_tradnl"/>
        </w:rPr>
        <w:t>, and c) Multi-criteria analysis with Geographical Information Systems (GIS)</w:t>
      </w:r>
      <w:r w:rsidRPr="003F7F6C">
        <w:rPr>
          <w:rStyle w:val="FootnoteReference"/>
          <w:rFonts w:ascii="Calibri" w:eastAsia="Times New Roman" w:hAnsi="Calibri" w:cs="Calibri"/>
          <w:bCs/>
          <w:szCs w:val="20"/>
          <w:lang w:eastAsia="es-ES_tradnl"/>
        </w:rPr>
        <w:footnoteReference w:id="25"/>
      </w:r>
      <w:r w:rsidRPr="003F7F6C">
        <w:rPr>
          <w:rFonts w:eastAsia="Times New Roman" w:cs="Calibri"/>
          <w:bCs/>
          <w:szCs w:val="20"/>
          <w:lang w:eastAsia="es-ES_tradnl"/>
        </w:rPr>
        <w:t xml:space="preserve"> in the different target landscapes and confirming the methodology to be used in each, as well as identifying and agreeing on the ES to be valued based on experiences of past and ongoing projects (see below). Valuation will be undertaken in the pilot provinces under Output 2.3.</w:t>
      </w:r>
    </w:p>
    <w:p w14:paraId="0F8CFC7D" w14:textId="77777777" w:rsidR="00760FF7" w:rsidRPr="003F7F6C" w:rsidRDefault="00AF4207" w:rsidP="00E91275">
      <w:pPr>
        <w:numPr>
          <w:ilvl w:val="0"/>
          <w:numId w:val="28"/>
        </w:numPr>
        <w:tabs>
          <w:tab w:val="left" w:pos="426"/>
        </w:tabs>
        <w:spacing w:after="240"/>
        <w:ind w:left="0" w:firstLine="0"/>
        <w:rPr>
          <w:bCs/>
          <w:i/>
          <w:szCs w:val="20"/>
        </w:rPr>
      </w:pPr>
      <w:r w:rsidRPr="003F7F6C">
        <w:rPr>
          <w:rFonts w:eastAsia="Times New Roman" w:cs="Calibri"/>
          <w:bCs/>
          <w:szCs w:val="20"/>
          <w:lang w:eastAsia="es-ES_tradnl"/>
        </w:rPr>
        <w:t>For BD conservation the measures proposed under the 2016-2020 National Biodiversity Strategy and Action Plan (NBSAP) will be assessed. This will include analyzing in PY1 with the SGAyDS and the environmental authorities of the pilot provinces the categorization of existing species in the target landscapes to define the conservation status of each species</w:t>
      </w:r>
      <w:r w:rsidRPr="003F7F6C">
        <w:rPr>
          <w:rStyle w:val="FootnoteReference"/>
          <w:rFonts w:ascii="Calibri" w:eastAsia="Times New Roman" w:hAnsi="Calibri" w:cs="Calibri"/>
          <w:bCs/>
          <w:szCs w:val="20"/>
          <w:lang w:eastAsia="es-ES_tradnl"/>
        </w:rPr>
        <w:footnoteReference w:id="26"/>
      </w:r>
      <w:r w:rsidRPr="003F7F6C">
        <w:rPr>
          <w:rFonts w:eastAsia="Times New Roman" w:cs="Calibri"/>
          <w:bCs/>
          <w:szCs w:val="20"/>
          <w:lang w:eastAsia="es-ES_tradnl"/>
        </w:rPr>
        <w:t xml:space="preserve"> and gather the related data. This will be done with information that exists </w:t>
      </w:r>
      <w:r w:rsidR="00181102" w:rsidRPr="003F7F6C">
        <w:rPr>
          <w:rFonts w:eastAsia="Times New Roman" w:cs="Calibri"/>
          <w:bCs/>
          <w:szCs w:val="20"/>
          <w:lang w:eastAsia="es-ES_tradnl"/>
        </w:rPr>
        <w:t xml:space="preserve">at </w:t>
      </w:r>
      <w:r w:rsidRPr="003F7F6C">
        <w:rPr>
          <w:rFonts w:eastAsia="Times New Roman" w:cs="Calibri"/>
          <w:bCs/>
          <w:szCs w:val="20"/>
          <w:lang w:eastAsia="es-ES_tradnl"/>
        </w:rPr>
        <w:t>project start-up</w:t>
      </w:r>
      <w:r w:rsidRPr="003F7F6C">
        <w:rPr>
          <w:rFonts w:ascii="Times New Roman" w:eastAsia="Times New Roman" w:hAnsi="Times New Roman"/>
          <w:bCs/>
          <w:color w:val="7030A0"/>
          <w:sz w:val="22"/>
          <w:szCs w:val="22"/>
          <w:lang w:eastAsia="es-ES_tradnl"/>
        </w:rPr>
        <w:t xml:space="preserve">. </w:t>
      </w:r>
      <w:r w:rsidRPr="003F7F6C">
        <w:rPr>
          <w:rFonts w:eastAsia="Times New Roman" w:cs="Calibri"/>
          <w:bCs/>
          <w:szCs w:val="20"/>
          <w:lang w:eastAsia="es-ES_tradnl"/>
        </w:rPr>
        <w:t xml:space="preserve">For </w:t>
      </w:r>
      <w:r w:rsidR="002C1542" w:rsidRPr="003F7F6C">
        <w:rPr>
          <w:rFonts w:eastAsia="Times New Roman" w:cs="Calibri"/>
          <w:bCs/>
          <w:szCs w:val="20"/>
          <w:lang w:eastAsia="es-ES_tradnl"/>
        </w:rPr>
        <w:t>SLM</w:t>
      </w:r>
      <w:r w:rsidRPr="003F7F6C">
        <w:rPr>
          <w:rFonts w:eastAsia="Times New Roman" w:cs="Calibri"/>
          <w:bCs/>
          <w:szCs w:val="20"/>
          <w:lang w:eastAsia="es-ES_tradnl"/>
        </w:rPr>
        <w:t xml:space="preserve"> practices the project will work with the SGAyDS, INTA and pilot provinces environmental authorities to further assess the practices identified during the PPG and those published by the ONDTyD as well as analyzing the status of soils in the target landscapes to confirm which practices are the most feasible (a list of practices is included under Output 2.4)</w:t>
      </w:r>
      <w:r w:rsidRPr="003F7F6C">
        <w:rPr>
          <w:rFonts w:eastAsia="Times New Roman" w:cs="Calibri"/>
          <w:bCs/>
          <w:color w:val="538135"/>
          <w:szCs w:val="20"/>
          <w:lang w:eastAsia="es-ES_tradnl"/>
        </w:rPr>
        <w:t xml:space="preserve">.  </w:t>
      </w:r>
      <w:r w:rsidRPr="003F7F6C">
        <w:rPr>
          <w:rFonts w:eastAsia="Times New Roman" w:cs="Calibri"/>
          <w:bCs/>
          <w:szCs w:val="20"/>
          <w:lang w:eastAsia="es-ES_tradnl"/>
        </w:rPr>
        <w:t xml:space="preserve">These different options will be discussed and agreed </w:t>
      </w:r>
      <w:r w:rsidR="00181102" w:rsidRPr="003F7F6C">
        <w:rPr>
          <w:rFonts w:eastAsia="Times New Roman" w:cs="Calibri"/>
          <w:bCs/>
          <w:szCs w:val="20"/>
          <w:lang w:eastAsia="es-ES_tradnl"/>
        </w:rPr>
        <w:t xml:space="preserve">upon </w:t>
      </w:r>
      <w:r w:rsidRPr="003F7F6C">
        <w:rPr>
          <w:rFonts w:eastAsia="Times New Roman" w:cs="Calibri"/>
          <w:bCs/>
          <w:szCs w:val="20"/>
          <w:lang w:eastAsia="es-ES_tradnl"/>
        </w:rPr>
        <w:t>with key stakeholders through participatory mechanisms, including the multi-stakeholder dialogue spaces to be established (Outputs 1.4 and 2.2). The results of these assessments and participatory validation will help consolidate the identification of the ES in each target landscape, key species for conservation and soil condition</w:t>
      </w:r>
      <w:r w:rsidR="00181102" w:rsidRPr="003F7F6C">
        <w:rPr>
          <w:rFonts w:eastAsia="Times New Roman" w:cs="Calibri"/>
          <w:bCs/>
          <w:szCs w:val="20"/>
          <w:lang w:eastAsia="es-ES_tradnl"/>
        </w:rPr>
        <w:t>s</w:t>
      </w:r>
      <w:r w:rsidRPr="003F7F6C">
        <w:rPr>
          <w:rFonts w:eastAsia="Times New Roman" w:cs="Calibri"/>
          <w:bCs/>
          <w:szCs w:val="20"/>
          <w:lang w:eastAsia="es-ES_tradnl"/>
        </w:rPr>
        <w:t xml:space="preserve"> resulting in agreed practices to be implemented </w:t>
      </w:r>
      <w:r w:rsidR="00181102" w:rsidRPr="003F7F6C">
        <w:rPr>
          <w:rFonts w:eastAsia="Times New Roman" w:cs="Calibri"/>
          <w:bCs/>
          <w:szCs w:val="20"/>
          <w:lang w:eastAsia="es-ES_tradnl"/>
        </w:rPr>
        <w:t xml:space="preserve">under </w:t>
      </w:r>
      <w:r w:rsidRPr="003F7F6C">
        <w:rPr>
          <w:rFonts w:eastAsia="Times New Roman" w:cs="Calibri"/>
          <w:bCs/>
          <w:szCs w:val="20"/>
          <w:lang w:eastAsia="es-ES_tradnl"/>
        </w:rPr>
        <w:t xml:space="preserve">Output 2.4.  </w:t>
      </w:r>
    </w:p>
    <w:p w14:paraId="2EBF12CA" w14:textId="77777777" w:rsidR="00760FF7" w:rsidRPr="003F7F6C" w:rsidRDefault="00AF4207" w:rsidP="00E91275">
      <w:pPr>
        <w:numPr>
          <w:ilvl w:val="0"/>
          <w:numId w:val="28"/>
        </w:numPr>
        <w:tabs>
          <w:tab w:val="left" w:pos="426"/>
        </w:tabs>
        <w:spacing w:after="240"/>
        <w:ind w:left="0" w:firstLine="0"/>
        <w:rPr>
          <w:bCs/>
          <w:i/>
          <w:szCs w:val="20"/>
        </w:rPr>
      </w:pPr>
      <w:r w:rsidRPr="003F7F6C">
        <w:rPr>
          <w:rFonts w:eastAsia="Times New Roman" w:cs="Calibri"/>
          <w:bCs/>
          <w:szCs w:val="20"/>
          <w:lang w:eastAsia="es-ES_tradnl"/>
        </w:rPr>
        <w:t xml:space="preserve">Between PY1 and PY3 the project will technically assist the SGAyDS to assess experiences and lessons </w:t>
      </w:r>
      <w:r w:rsidR="00E04726" w:rsidRPr="003F7F6C">
        <w:rPr>
          <w:rFonts w:eastAsia="Times New Roman" w:cs="Calibri"/>
          <w:bCs/>
          <w:szCs w:val="20"/>
          <w:lang w:eastAsia="es-ES_tradnl"/>
        </w:rPr>
        <w:t xml:space="preserve">learned </w:t>
      </w:r>
      <w:r w:rsidRPr="003F7F6C">
        <w:rPr>
          <w:rFonts w:eastAsia="Times New Roman" w:cs="Calibri"/>
          <w:bCs/>
          <w:szCs w:val="20"/>
          <w:lang w:eastAsia="es-ES_tradnl"/>
        </w:rPr>
        <w:t>from compensation schemes. This will include the compensations schemes tested by the UNDP-UNEP-GEF Project 3623 “Incentives for Conservation of Globally Significant Ecosystem Services”. The former tested several schemes, namely: PES for water ecosystem services and BD in the Province of Misiones (deductions in the water bill)</w:t>
      </w:r>
      <w:r w:rsidRPr="003F7F6C">
        <w:rPr>
          <w:rStyle w:val="FootnoteReference"/>
          <w:rFonts w:ascii="Calibri" w:eastAsia="Times New Roman" w:hAnsi="Calibri" w:cs="Calibri"/>
          <w:bCs/>
          <w:szCs w:val="20"/>
          <w:lang w:eastAsia="es-ES_tradnl"/>
        </w:rPr>
        <w:footnoteReference w:id="27"/>
      </w:r>
      <w:r w:rsidRPr="003F7F6C">
        <w:rPr>
          <w:rFonts w:eastAsia="Times New Roman" w:cs="Calibri"/>
          <w:bCs/>
          <w:szCs w:val="20"/>
          <w:lang w:eastAsia="es-ES_tradnl"/>
        </w:rPr>
        <w:t xml:space="preserve">; PES for conservation of native forests focusing mainly </w:t>
      </w:r>
      <w:r w:rsidR="00BC7B8F" w:rsidRPr="003F7F6C">
        <w:rPr>
          <w:rFonts w:eastAsia="Times New Roman" w:cs="Calibri"/>
          <w:bCs/>
          <w:szCs w:val="20"/>
          <w:lang w:eastAsia="es-ES_tradnl"/>
        </w:rPr>
        <w:t>o</w:t>
      </w:r>
      <w:r w:rsidRPr="003F7F6C">
        <w:rPr>
          <w:rFonts w:eastAsia="Times New Roman" w:cs="Calibri"/>
          <w:bCs/>
          <w:szCs w:val="20"/>
          <w:lang w:eastAsia="es-ES_tradnl"/>
        </w:rPr>
        <w:t>n carbon and BD in the Provinces of Chaco and Formosa (payments through forest management plans)</w:t>
      </w:r>
      <w:r w:rsidRPr="003F7F6C">
        <w:rPr>
          <w:rStyle w:val="FootnoteReference"/>
          <w:rFonts w:ascii="Calibri" w:eastAsia="Times New Roman" w:hAnsi="Calibri" w:cs="Calibri"/>
          <w:bCs/>
          <w:szCs w:val="20"/>
          <w:lang w:eastAsia="es-ES_tradnl"/>
        </w:rPr>
        <w:footnoteReference w:id="28"/>
      </w:r>
      <w:r w:rsidRPr="003F7F6C">
        <w:rPr>
          <w:rFonts w:eastAsia="Times New Roman" w:cs="Calibri"/>
          <w:bCs/>
          <w:szCs w:val="20"/>
          <w:lang w:eastAsia="es-ES_tradnl"/>
        </w:rPr>
        <w:t xml:space="preserve">; and </w:t>
      </w:r>
      <w:r w:rsidR="00433665" w:rsidRPr="003F7F6C">
        <w:rPr>
          <w:rFonts w:eastAsia="Times New Roman" w:cs="Calibri"/>
          <w:bCs/>
          <w:szCs w:val="20"/>
          <w:lang w:eastAsia="es-ES_tradnl"/>
        </w:rPr>
        <w:t>payment</w:t>
      </w:r>
      <w:r w:rsidR="00BC7B8F" w:rsidRPr="003F7F6C">
        <w:rPr>
          <w:rFonts w:eastAsia="Times New Roman" w:cs="Calibri"/>
          <w:bCs/>
          <w:szCs w:val="20"/>
          <w:lang w:eastAsia="es-ES_tradnl"/>
        </w:rPr>
        <w:t>s</w:t>
      </w:r>
      <w:r w:rsidR="00433665" w:rsidRPr="003F7F6C">
        <w:rPr>
          <w:rFonts w:eastAsia="Times New Roman" w:cs="Calibri"/>
          <w:bCs/>
          <w:szCs w:val="20"/>
          <w:lang w:eastAsia="es-ES_tradnl"/>
        </w:rPr>
        <w:t xml:space="preserve"> for ecosystem services (</w:t>
      </w:r>
      <w:r w:rsidRPr="003F7F6C">
        <w:rPr>
          <w:rFonts w:eastAsia="Times New Roman" w:cs="Calibri"/>
          <w:bCs/>
          <w:szCs w:val="20"/>
          <w:lang w:eastAsia="es-ES_tradnl"/>
        </w:rPr>
        <w:t>PES</w:t>
      </w:r>
      <w:r w:rsidR="00433665" w:rsidRPr="003F7F6C">
        <w:rPr>
          <w:rFonts w:eastAsia="Times New Roman" w:cs="Calibri"/>
          <w:bCs/>
          <w:szCs w:val="20"/>
          <w:lang w:eastAsia="es-ES_tradnl"/>
        </w:rPr>
        <w:t>)</w:t>
      </w:r>
      <w:r w:rsidRPr="003F7F6C">
        <w:rPr>
          <w:rFonts w:eastAsia="Times New Roman" w:cs="Calibri"/>
          <w:bCs/>
          <w:szCs w:val="20"/>
          <w:lang w:eastAsia="es-ES_tradnl"/>
        </w:rPr>
        <w:t xml:space="preserve"> based on incentives foreseen in the Soil Law of the Province of Entre Rios for BD and soils (tax deductions)</w:t>
      </w:r>
      <w:r w:rsidRPr="003F7F6C">
        <w:rPr>
          <w:rStyle w:val="FootnoteReference"/>
          <w:rFonts w:ascii="Calibri" w:eastAsia="Times New Roman" w:hAnsi="Calibri" w:cs="Calibri"/>
          <w:bCs/>
          <w:szCs w:val="20"/>
          <w:lang w:eastAsia="es-ES_tradnl"/>
        </w:rPr>
        <w:footnoteReference w:id="29"/>
      </w:r>
      <w:r w:rsidRPr="003F7F6C">
        <w:rPr>
          <w:rFonts w:eastAsia="Times New Roman" w:cs="Calibri"/>
          <w:bCs/>
          <w:szCs w:val="20"/>
          <w:lang w:eastAsia="es-ES_tradnl"/>
        </w:rPr>
        <w:t>.  In addition</w:t>
      </w:r>
      <w:r w:rsidR="00BC7B8F" w:rsidRPr="003F7F6C">
        <w:rPr>
          <w:rFonts w:eastAsia="Times New Roman" w:cs="Calibri"/>
          <w:bCs/>
          <w:szCs w:val="20"/>
          <w:lang w:eastAsia="es-ES_tradnl"/>
        </w:rPr>
        <w:t>,</w:t>
      </w:r>
      <w:r w:rsidRPr="003F7F6C">
        <w:rPr>
          <w:rFonts w:eastAsia="Times New Roman" w:cs="Calibri"/>
          <w:bCs/>
          <w:szCs w:val="20"/>
          <w:lang w:eastAsia="es-ES_tradnl"/>
        </w:rPr>
        <w:t xml:space="preserve"> experiences in implementing the compensation schemes un</w:t>
      </w:r>
      <w:r w:rsidR="00433665" w:rsidRPr="003F7F6C">
        <w:rPr>
          <w:rFonts w:eastAsia="Times New Roman" w:cs="Calibri"/>
          <w:bCs/>
          <w:szCs w:val="20"/>
          <w:lang w:eastAsia="es-ES_tradnl"/>
        </w:rPr>
        <w:t>der the Native Forest Law Nº 26</w:t>
      </w:r>
      <w:r w:rsidRPr="003F7F6C">
        <w:rPr>
          <w:rFonts w:eastAsia="Times New Roman" w:cs="Calibri"/>
          <w:bCs/>
          <w:szCs w:val="20"/>
          <w:lang w:eastAsia="es-ES_tradnl"/>
        </w:rPr>
        <w:t>331</w:t>
      </w:r>
      <w:r w:rsidRPr="003F7F6C">
        <w:rPr>
          <w:rStyle w:val="FootnoteReference"/>
          <w:rFonts w:ascii="Calibri" w:eastAsia="Times New Roman" w:hAnsi="Calibri" w:cs="Calibri"/>
          <w:bCs/>
          <w:szCs w:val="20"/>
          <w:lang w:eastAsia="es-ES_tradnl"/>
        </w:rPr>
        <w:footnoteReference w:id="30"/>
      </w:r>
      <w:r w:rsidRPr="003F7F6C">
        <w:rPr>
          <w:rFonts w:eastAsia="Times New Roman" w:cs="Calibri"/>
          <w:bCs/>
          <w:szCs w:val="20"/>
          <w:lang w:eastAsia="es-ES_tradnl"/>
        </w:rPr>
        <w:t xml:space="preserve"> in different provinces will also be evaluated.  These different options will be discussed and agreed with key stakeholders through participatory mechanisms, including the multi-stakeholder dialogue spaces to be established</w:t>
      </w:r>
      <w:r w:rsidRPr="003F7F6C">
        <w:rPr>
          <w:rFonts w:ascii="Times New Roman" w:eastAsia="Times New Roman" w:hAnsi="Times New Roman"/>
          <w:b/>
          <w:bCs/>
          <w:sz w:val="22"/>
          <w:szCs w:val="22"/>
          <w:lang w:eastAsia="es-ES_tradnl"/>
        </w:rPr>
        <w:t xml:space="preserve">. </w:t>
      </w:r>
      <w:r w:rsidRPr="003F7F6C">
        <w:rPr>
          <w:rFonts w:eastAsia="Times New Roman" w:cs="Calibri"/>
          <w:bCs/>
          <w:szCs w:val="20"/>
          <w:lang w:eastAsia="es-ES_tradnl"/>
        </w:rPr>
        <w:t>The results of these assessments will be taken into account in developing compensation schemes in the pilot provinces under Output 2.3.</w:t>
      </w:r>
    </w:p>
    <w:p w14:paraId="73409EE1" w14:textId="77777777" w:rsidR="00760FF7" w:rsidRPr="003F7F6C" w:rsidRDefault="00AF4207" w:rsidP="00E91275">
      <w:pPr>
        <w:numPr>
          <w:ilvl w:val="0"/>
          <w:numId w:val="28"/>
        </w:numPr>
        <w:tabs>
          <w:tab w:val="left" w:pos="426"/>
        </w:tabs>
        <w:spacing w:after="240"/>
        <w:ind w:left="0" w:firstLine="0"/>
        <w:rPr>
          <w:bCs/>
          <w:i/>
          <w:szCs w:val="20"/>
        </w:rPr>
      </w:pPr>
      <w:r w:rsidRPr="003F7F6C">
        <w:rPr>
          <w:rFonts w:eastAsia="Times New Roman" w:cs="Calibri"/>
          <w:bCs/>
          <w:szCs w:val="20"/>
          <w:lang w:eastAsia="es-ES_tradnl"/>
        </w:rPr>
        <w:t xml:space="preserve">The selected methodologies and schemes will be tested through </w:t>
      </w:r>
      <w:r w:rsidR="00197380" w:rsidRPr="003F7F6C">
        <w:rPr>
          <w:rFonts w:eastAsia="Times New Roman" w:cs="Calibri"/>
          <w:bCs/>
          <w:szCs w:val="20"/>
          <w:lang w:eastAsia="es-ES_tradnl"/>
        </w:rPr>
        <w:t xml:space="preserve">Outcome </w:t>
      </w:r>
      <w:r w:rsidRPr="003F7F6C">
        <w:rPr>
          <w:rFonts w:eastAsia="Times New Roman" w:cs="Calibri"/>
          <w:bCs/>
          <w:szCs w:val="20"/>
          <w:lang w:eastAsia="es-ES_tradnl"/>
        </w:rPr>
        <w:t xml:space="preserve">2 beginning in PY3. The results of the above processes together with the results of the implementation of ground work in </w:t>
      </w:r>
      <w:r w:rsidR="00197380" w:rsidRPr="003F7F6C">
        <w:rPr>
          <w:rFonts w:eastAsia="Times New Roman" w:cs="Calibri"/>
          <w:bCs/>
          <w:szCs w:val="20"/>
          <w:lang w:eastAsia="es-ES_tradnl"/>
        </w:rPr>
        <w:t xml:space="preserve">Outcome </w:t>
      </w:r>
      <w:r w:rsidRPr="003F7F6C">
        <w:rPr>
          <w:rFonts w:eastAsia="Times New Roman" w:cs="Calibri"/>
          <w:bCs/>
          <w:szCs w:val="20"/>
          <w:lang w:eastAsia="es-ES_tradnl"/>
        </w:rPr>
        <w:t>2 will serve as inputs to develop by</w:t>
      </w:r>
      <w:r w:rsidRPr="003F7F6C">
        <w:rPr>
          <w:rFonts w:eastAsia="Times New Roman" w:cs="Calibri"/>
          <w:bCs/>
          <w:color w:val="7030A0"/>
          <w:szCs w:val="20"/>
          <w:lang w:eastAsia="es-ES_tradnl"/>
        </w:rPr>
        <w:t xml:space="preserve"> </w:t>
      </w:r>
      <w:r w:rsidRPr="003F7F6C">
        <w:rPr>
          <w:rFonts w:eastAsia="Times New Roman" w:cs="Calibri"/>
          <w:bCs/>
          <w:szCs w:val="20"/>
          <w:lang w:eastAsia="es-ES_tradnl"/>
        </w:rPr>
        <w:t>PY5 two documents: one document containing criteria to determine land uses and restrictions to productive activities that are compatible with local realities and one document containing the strategies to promote areas for conservation and restoration with compensation schemes. These documents will provide inputs to national and provincial ELUP regulations (</w:t>
      </w:r>
      <w:r w:rsidR="00197380" w:rsidRPr="003F7F6C">
        <w:rPr>
          <w:rFonts w:eastAsia="Times New Roman" w:cs="Calibri"/>
          <w:bCs/>
          <w:szCs w:val="20"/>
          <w:lang w:eastAsia="es-ES_tradnl"/>
        </w:rPr>
        <w:t xml:space="preserve">Outcomes </w:t>
      </w:r>
      <w:r w:rsidRPr="003F7F6C">
        <w:rPr>
          <w:rFonts w:eastAsia="Times New Roman" w:cs="Calibri"/>
          <w:bCs/>
          <w:szCs w:val="20"/>
          <w:lang w:eastAsia="es-ES_tradnl"/>
        </w:rPr>
        <w:t xml:space="preserve">1 and 2) and will also be the basis for preparing methodological guides for ELUP (to be prepared under </w:t>
      </w:r>
      <w:r w:rsidR="00197380" w:rsidRPr="003F7F6C">
        <w:rPr>
          <w:rFonts w:eastAsia="Times New Roman" w:cs="Calibri"/>
          <w:bCs/>
          <w:szCs w:val="20"/>
          <w:lang w:eastAsia="es-ES_tradnl"/>
        </w:rPr>
        <w:t xml:space="preserve">Outcome </w:t>
      </w:r>
      <w:r w:rsidRPr="003F7F6C">
        <w:rPr>
          <w:rFonts w:eastAsia="Times New Roman" w:cs="Calibri"/>
          <w:bCs/>
          <w:szCs w:val="20"/>
          <w:lang w:eastAsia="es-ES_tradnl"/>
        </w:rPr>
        <w:t>3).</w:t>
      </w:r>
    </w:p>
    <w:p w14:paraId="111C133B" w14:textId="77777777" w:rsidR="00760FF7" w:rsidRPr="003F7F6C" w:rsidRDefault="00AF4207" w:rsidP="00E91275">
      <w:pPr>
        <w:numPr>
          <w:ilvl w:val="0"/>
          <w:numId w:val="28"/>
        </w:numPr>
        <w:tabs>
          <w:tab w:val="left" w:pos="426"/>
        </w:tabs>
        <w:spacing w:after="240"/>
        <w:ind w:left="0" w:firstLine="0"/>
        <w:rPr>
          <w:bCs/>
          <w:i/>
          <w:szCs w:val="20"/>
        </w:rPr>
      </w:pPr>
      <w:r w:rsidRPr="003F7F6C">
        <w:rPr>
          <w:rFonts w:eastAsia="Times New Roman" w:cs="Calibri"/>
          <w:bCs/>
          <w:szCs w:val="20"/>
          <w:lang w:eastAsia="es-ES_tradnl"/>
        </w:rPr>
        <w:t>A second set of activities will entail strengthening the regulatory framework for implementation of ELUP. This will include undertaking between PY1 and PY2 a comparative study of the ELUP</w:t>
      </w:r>
      <w:r w:rsidR="00280835" w:rsidRPr="003F7F6C">
        <w:rPr>
          <w:rFonts w:eastAsia="Times New Roman" w:cs="Calibri"/>
          <w:bCs/>
          <w:szCs w:val="20"/>
          <w:lang w:eastAsia="es-ES_tradnl"/>
        </w:rPr>
        <w:t>-</w:t>
      </w:r>
      <w:r w:rsidRPr="003F7F6C">
        <w:rPr>
          <w:rFonts w:eastAsia="Times New Roman" w:cs="Calibri"/>
          <w:bCs/>
          <w:szCs w:val="20"/>
          <w:lang w:eastAsia="es-ES_tradnl"/>
        </w:rPr>
        <w:t>related regulations to assess experiences and lessons on how other countries have mainstreamed ELUP; as well as an analysis of the existing ELUP</w:t>
      </w:r>
      <w:r w:rsidR="00DF5DAB" w:rsidRPr="003F7F6C">
        <w:rPr>
          <w:rFonts w:eastAsia="Times New Roman" w:cs="Calibri"/>
          <w:bCs/>
          <w:szCs w:val="20"/>
          <w:lang w:eastAsia="es-ES_tradnl"/>
        </w:rPr>
        <w:t>-</w:t>
      </w:r>
      <w:r w:rsidRPr="003F7F6C">
        <w:rPr>
          <w:rFonts w:eastAsia="Times New Roman" w:cs="Calibri"/>
          <w:bCs/>
          <w:szCs w:val="20"/>
          <w:lang w:eastAsia="es-ES_tradnl"/>
        </w:rPr>
        <w:t xml:space="preserve">related regulations at national and provincial levels to identify gaps and gather information on the approaches to ELUP taken by each province.  </w:t>
      </w:r>
      <w:r w:rsidRPr="003F7F6C">
        <w:rPr>
          <w:rFonts w:cs="Calibri"/>
          <w:bCs/>
          <w:szCs w:val="20"/>
        </w:rPr>
        <w:t>These will generate inputs to develop between PY3 and PY4 proposals to fill in the identified gaps as well as proposals for harmonizing and adjusting the regulatory framework for ELUP mainstreaming BD conservation and SLM. The experiences and lessons acquired in developing and implementing sectoral regulations</w:t>
      </w:r>
      <w:r w:rsidRPr="003F7F6C">
        <w:rPr>
          <w:rStyle w:val="FootnoteReference"/>
          <w:rFonts w:ascii="Calibri" w:hAnsi="Calibri" w:cs="Calibri"/>
          <w:bCs/>
          <w:szCs w:val="20"/>
        </w:rPr>
        <w:footnoteReference w:id="31"/>
      </w:r>
      <w:r w:rsidRPr="003F7F6C">
        <w:rPr>
          <w:rFonts w:cs="Calibri"/>
          <w:bCs/>
          <w:szCs w:val="20"/>
        </w:rPr>
        <w:t xml:space="preserve"> will be also assessed, analyzing the processes undertaken for their elaboration and adoption, as well as the criteria employed to develop their contents. The above activities will lead to </w:t>
      </w:r>
      <w:r w:rsidRPr="003F7F6C">
        <w:rPr>
          <w:rFonts w:eastAsia="Times New Roman" w:cs="Calibri"/>
          <w:bCs/>
          <w:szCs w:val="20"/>
          <w:lang w:eastAsia="es-ES_tradnl"/>
        </w:rPr>
        <w:t>developing a federal minimum standard regulation for ELUP</w:t>
      </w:r>
      <w:r w:rsidRPr="003F7F6C">
        <w:rPr>
          <w:rStyle w:val="FootnoteReference"/>
          <w:rFonts w:ascii="Calibri" w:eastAsia="Times New Roman" w:hAnsi="Calibri" w:cs="Calibri"/>
          <w:bCs/>
          <w:szCs w:val="20"/>
          <w:lang w:eastAsia="es-ES_tradnl"/>
        </w:rPr>
        <w:footnoteReference w:id="32"/>
      </w:r>
      <w:r w:rsidRPr="003F7F6C">
        <w:rPr>
          <w:rFonts w:eastAsia="Times New Roman" w:cs="Calibri"/>
          <w:bCs/>
          <w:szCs w:val="20"/>
          <w:lang w:eastAsia="es-ES_tradnl"/>
        </w:rPr>
        <w:t xml:space="preserve"> (PY5-PY6). </w:t>
      </w:r>
      <w:r w:rsidRPr="003F7F6C">
        <w:rPr>
          <w:rFonts w:cs="Calibri"/>
          <w:bCs/>
          <w:szCs w:val="20"/>
        </w:rPr>
        <w:t xml:space="preserve">These different assessments, processes and proposals will be discussed and agreed upon through sectoral fora and in the dialogue spaces </w:t>
      </w:r>
      <w:r w:rsidR="00DF5DAB" w:rsidRPr="003F7F6C">
        <w:rPr>
          <w:rFonts w:cs="Calibri"/>
          <w:bCs/>
          <w:szCs w:val="20"/>
        </w:rPr>
        <w:t xml:space="preserve">under </w:t>
      </w:r>
      <w:r w:rsidRPr="003F7F6C">
        <w:rPr>
          <w:rFonts w:cs="Calibri"/>
          <w:bCs/>
          <w:szCs w:val="20"/>
        </w:rPr>
        <w:t>Output 1.4 (and including the selected target sectors</w:t>
      </w:r>
      <w:r w:rsidRPr="003F7F6C">
        <w:rPr>
          <w:rFonts w:cs="Calibri"/>
          <w:szCs w:val="20"/>
        </w:rPr>
        <w:t>)</w:t>
      </w:r>
      <w:r w:rsidRPr="003F7F6C">
        <w:rPr>
          <w:rFonts w:cs="Calibri"/>
          <w:bCs/>
          <w:szCs w:val="20"/>
        </w:rPr>
        <w:t>.</w:t>
      </w:r>
      <w:r w:rsidRPr="003F7F6C">
        <w:rPr>
          <w:rFonts w:cs="Calibri"/>
          <w:bCs/>
          <w:color w:val="FF0000"/>
          <w:szCs w:val="20"/>
        </w:rPr>
        <w:t xml:space="preserve"> </w:t>
      </w:r>
      <w:r w:rsidRPr="003F7F6C">
        <w:rPr>
          <w:rFonts w:cs="Calibri"/>
          <w:szCs w:val="20"/>
        </w:rPr>
        <w:t xml:space="preserve">At provincial level the results of these processes will serve to strengthen regulations and instruments in </w:t>
      </w:r>
      <w:r w:rsidR="00426C59" w:rsidRPr="003F7F6C">
        <w:rPr>
          <w:rFonts w:cs="Calibri"/>
          <w:szCs w:val="20"/>
        </w:rPr>
        <w:t xml:space="preserve">Outcome </w:t>
      </w:r>
      <w:r w:rsidRPr="003F7F6C">
        <w:rPr>
          <w:rFonts w:cs="Calibri"/>
          <w:szCs w:val="20"/>
        </w:rPr>
        <w:t>2 (e.g.</w:t>
      </w:r>
      <w:r w:rsidR="00DF5DAB" w:rsidRPr="003F7F6C">
        <w:rPr>
          <w:rFonts w:cs="Calibri"/>
          <w:szCs w:val="20"/>
        </w:rPr>
        <w:t>,</w:t>
      </w:r>
      <w:r w:rsidRPr="003F7F6C">
        <w:rPr>
          <w:rFonts w:cs="Calibri"/>
          <w:szCs w:val="20"/>
        </w:rPr>
        <w:t xml:space="preserve"> planning instruments and regulations in Buenos Aires and Jujuy that currently do not mainstream ELUP criteria and ELUP regulations in Mendoza that are not fully implemented).</w:t>
      </w:r>
    </w:p>
    <w:p w14:paraId="7D1A6AB6" w14:textId="13FF25E6" w:rsidR="00AF4207" w:rsidRPr="003F7F6C" w:rsidRDefault="00AF4207" w:rsidP="00E91275">
      <w:pPr>
        <w:numPr>
          <w:ilvl w:val="0"/>
          <w:numId w:val="28"/>
        </w:numPr>
        <w:tabs>
          <w:tab w:val="left" w:pos="426"/>
        </w:tabs>
        <w:spacing w:after="240"/>
        <w:ind w:left="0" w:firstLine="0"/>
        <w:rPr>
          <w:bCs/>
          <w:i/>
          <w:szCs w:val="20"/>
        </w:rPr>
      </w:pPr>
      <w:r w:rsidRPr="003F7F6C">
        <w:rPr>
          <w:rFonts w:cs="Calibri"/>
          <w:szCs w:val="20"/>
        </w:rPr>
        <w:t xml:space="preserve">A third set of activities will address </w:t>
      </w:r>
      <w:r w:rsidRPr="003F7F6C">
        <w:rPr>
          <w:rFonts w:eastAsia="Calibri" w:cs="Calibri"/>
          <w:color w:val="000000"/>
          <w:szCs w:val="20"/>
        </w:rPr>
        <w:t>mainstreaming ELUP criteria in</w:t>
      </w:r>
      <w:r w:rsidRPr="003F7F6C">
        <w:rPr>
          <w:rFonts w:cs="Calibri"/>
          <w:szCs w:val="20"/>
        </w:rPr>
        <w:t xml:space="preserve"> </w:t>
      </w:r>
      <w:r w:rsidRPr="003F7F6C">
        <w:rPr>
          <w:rFonts w:eastAsia="Calibri" w:cs="Calibri"/>
          <w:color w:val="000000"/>
          <w:szCs w:val="20"/>
        </w:rPr>
        <w:t xml:space="preserve">sector planning and finance frameworks.  Several national level public and private economic instruments </w:t>
      </w:r>
      <w:r w:rsidRPr="003F7F6C">
        <w:rPr>
          <w:rFonts w:cs="Calibri"/>
          <w:bCs/>
          <w:szCs w:val="20"/>
        </w:rPr>
        <w:t>related to LD, BD and sustainable development</w:t>
      </w:r>
      <w:r w:rsidRPr="003F7F6C">
        <w:rPr>
          <w:rFonts w:eastAsia="Calibri" w:cs="Calibri"/>
          <w:color w:val="000000"/>
          <w:szCs w:val="20"/>
        </w:rPr>
        <w:t xml:space="preserve"> were identified during the PPG</w:t>
      </w:r>
      <w:r w:rsidRPr="003F7F6C">
        <w:rPr>
          <w:rStyle w:val="FootnoteReference"/>
          <w:rFonts w:ascii="Calibri" w:eastAsia="Calibri" w:hAnsi="Calibri" w:cs="Calibri"/>
          <w:color w:val="000000"/>
          <w:szCs w:val="20"/>
        </w:rPr>
        <w:footnoteReference w:id="33"/>
      </w:r>
      <w:r w:rsidRPr="003F7F6C">
        <w:rPr>
          <w:rFonts w:eastAsia="Calibri" w:cs="Calibri"/>
          <w:color w:val="000000"/>
          <w:szCs w:val="20"/>
        </w:rPr>
        <w:t xml:space="preserve">, of which the following have been selected for work under this output: a) </w:t>
      </w:r>
      <w:r w:rsidRPr="003F7F6C">
        <w:t>Forest Plantations Fund (Forest Plantations Investment Law Nº 25 080)</w:t>
      </w:r>
      <w:r w:rsidRPr="003F7F6C">
        <w:rPr>
          <w:rStyle w:val="FootnoteReference"/>
          <w:rFonts w:ascii="Calibri" w:hAnsi="Calibri" w:cs="Calibri"/>
          <w:bCs/>
          <w:szCs w:val="20"/>
        </w:rPr>
        <w:t xml:space="preserve"> </w:t>
      </w:r>
      <w:r w:rsidRPr="003F7F6C">
        <w:rPr>
          <w:rStyle w:val="FootnoteReference"/>
          <w:rFonts w:ascii="Calibri" w:hAnsi="Calibri" w:cs="Calibri"/>
          <w:bCs/>
          <w:szCs w:val="20"/>
        </w:rPr>
        <w:footnoteReference w:id="34"/>
      </w:r>
      <w:r w:rsidRPr="003F7F6C">
        <w:t>; b) Sheep Recovery Fund (</w:t>
      </w:r>
      <w:r w:rsidRPr="003F7F6C">
        <w:rPr>
          <w:rFonts w:cs="Calibri"/>
          <w:szCs w:val="20"/>
        </w:rPr>
        <w:t>National Sheep and Wool Recovery Law Nº25 422</w:t>
      </w:r>
      <w:r w:rsidRPr="003F7F6C">
        <w:rPr>
          <w:rStyle w:val="FootnoteReference"/>
          <w:rFonts w:cs="Calibri"/>
          <w:szCs w:val="20"/>
        </w:rPr>
        <w:footnoteReference w:id="35"/>
      </w:r>
      <w:r w:rsidRPr="003F7F6C">
        <w:rPr>
          <w:rFonts w:cs="Calibri"/>
          <w:szCs w:val="20"/>
        </w:rPr>
        <w:t>); c) Recovery, Promotion and Development of Goat Production Law Nº 26 141</w:t>
      </w:r>
      <w:r w:rsidRPr="003F7F6C">
        <w:rPr>
          <w:rStyle w:val="FootnoteReference"/>
          <w:rFonts w:cs="Calibri"/>
          <w:szCs w:val="20"/>
        </w:rPr>
        <w:footnoteReference w:id="36"/>
      </w:r>
      <w:r w:rsidRPr="003F7F6C">
        <w:rPr>
          <w:rFonts w:cs="Calibri"/>
          <w:szCs w:val="20"/>
        </w:rPr>
        <w:t>; and d) Galicia Bank Mezzanine Financing credit line</w:t>
      </w:r>
      <w:r w:rsidRPr="003F7F6C">
        <w:rPr>
          <w:rStyle w:val="FootnoteReference"/>
          <w:rFonts w:cs="Calibri"/>
          <w:szCs w:val="20"/>
        </w:rPr>
        <w:footnoteReference w:id="37"/>
      </w:r>
      <w:r w:rsidRPr="003F7F6C">
        <w:rPr>
          <w:rFonts w:cs="Calibri"/>
          <w:szCs w:val="20"/>
        </w:rPr>
        <w:t xml:space="preserve">.  The project will provide technical assistance to mainstream ELUP criteria in the eligibility criteria of these funds. This will include establishing dialogue and agreements with the institutions in PY2 and from PY3 onward working together to adjust the eligibility criteria, validate them through the dialogue spaces (Outputs 1.4 and 2.2), and testing them through ongoing bottom-up and top-down approaches where the results in the target landscapes (Output 2.3) will provide inputs to undertake such adjustments, which will in turn be then applied in the target landscapes to gain experience and extract lessons for continuous improvement. In addition, the project will continue to assess the instruments identified during the PPG to identify other instruments in which the above process may be replicated, hence increasing the number of instruments mainstreaming ELUP criteria by end of project. Besides the above instruments, Output 2.3 will also assess other instruments which have been identified focusing </w:t>
      </w:r>
      <w:r w:rsidR="003552A0" w:rsidRPr="003F7F6C">
        <w:rPr>
          <w:rFonts w:cs="Calibri"/>
          <w:szCs w:val="20"/>
        </w:rPr>
        <w:t>o</w:t>
      </w:r>
      <w:r w:rsidRPr="003F7F6C">
        <w:rPr>
          <w:rFonts w:cs="Calibri"/>
          <w:szCs w:val="20"/>
        </w:rPr>
        <w:t>n the target landscapes. This will serve to develop</w:t>
      </w:r>
      <w:r w:rsidR="003552A0" w:rsidRPr="003F7F6C">
        <w:rPr>
          <w:rFonts w:cs="Calibri"/>
          <w:szCs w:val="20"/>
        </w:rPr>
        <w:t>,</w:t>
      </w:r>
      <w:r w:rsidRPr="003F7F6C">
        <w:rPr>
          <w:rFonts w:cs="Calibri"/>
          <w:szCs w:val="20"/>
        </w:rPr>
        <w:t xml:space="preserve"> e.g.</w:t>
      </w:r>
      <w:r w:rsidR="003552A0" w:rsidRPr="003F7F6C">
        <w:rPr>
          <w:rFonts w:cs="Calibri"/>
          <w:szCs w:val="20"/>
        </w:rPr>
        <w:t>,</w:t>
      </w:r>
      <w:r w:rsidRPr="003F7F6C">
        <w:rPr>
          <w:rFonts w:cs="Calibri"/>
          <w:szCs w:val="20"/>
        </w:rPr>
        <w:t xml:space="preserve"> specific financing lines adapted to the characteristics of each landscape and of the provinces, which will be tested for lessons and upscaling.</w:t>
      </w:r>
      <w:r w:rsidR="00FB7250" w:rsidRPr="003F7F6C">
        <w:rPr>
          <w:rFonts w:cs="Calibri"/>
          <w:szCs w:val="20"/>
        </w:rPr>
        <w:t xml:space="preserve"> </w:t>
      </w:r>
      <w:r w:rsidR="00FB7250" w:rsidRPr="003F7F6C">
        <w:rPr>
          <w:rFonts w:asciiTheme="minorHAnsi" w:hAnsiTheme="minorHAnsi" w:cstheme="minorHAnsi"/>
        </w:rPr>
        <w:t xml:space="preserve"> The work </w:t>
      </w:r>
      <w:r w:rsidR="00292107" w:rsidRPr="003F7F6C">
        <w:rPr>
          <w:rFonts w:asciiTheme="minorHAnsi" w:hAnsiTheme="minorHAnsi" w:cstheme="minorHAnsi"/>
        </w:rPr>
        <w:t>will include</w:t>
      </w:r>
      <w:r w:rsidR="00FB7250" w:rsidRPr="003F7F6C">
        <w:rPr>
          <w:rFonts w:asciiTheme="minorHAnsi" w:hAnsiTheme="minorHAnsi" w:cstheme="minorHAnsi"/>
        </w:rPr>
        <w:t xml:space="preserve"> mainstreaming climate change considerations (e.g. incentives for practices that favor adaptation) in the</w:t>
      </w:r>
      <w:r w:rsidR="00292107" w:rsidRPr="003F7F6C">
        <w:rPr>
          <w:rFonts w:asciiTheme="minorHAnsi" w:hAnsiTheme="minorHAnsi" w:cstheme="minorHAnsi"/>
        </w:rPr>
        <w:t xml:space="preserve"> above</w:t>
      </w:r>
      <w:r w:rsidR="00FB7250" w:rsidRPr="003F7F6C">
        <w:rPr>
          <w:rFonts w:asciiTheme="minorHAnsi" w:hAnsiTheme="minorHAnsi" w:cstheme="minorHAnsi"/>
        </w:rPr>
        <w:t xml:space="preserve"> instruments.</w:t>
      </w:r>
    </w:p>
    <w:p w14:paraId="797CD5BA" w14:textId="77777777" w:rsidR="00760FF7" w:rsidRPr="003F7F6C" w:rsidRDefault="00760FF7" w:rsidP="00E91275">
      <w:pPr>
        <w:numPr>
          <w:ilvl w:val="0"/>
          <w:numId w:val="28"/>
        </w:numPr>
        <w:tabs>
          <w:tab w:val="left" w:pos="426"/>
        </w:tabs>
        <w:spacing w:after="240"/>
        <w:ind w:left="0" w:firstLine="0"/>
        <w:rPr>
          <w:bCs/>
          <w:i/>
          <w:szCs w:val="20"/>
        </w:rPr>
      </w:pPr>
      <w:r w:rsidRPr="003F7F6C">
        <w:rPr>
          <w:rFonts w:eastAsia="Times New Roman" w:cs="Calibri"/>
          <w:bCs/>
          <w:szCs w:val="20"/>
          <w:lang w:eastAsia="es-ES_tradnl"/>
        </w:rPr>
        <w:t xml:space="preserve">Participation of key stakeholders will be fostered in the above activities through the dialogue spaces to be established in Outputs 1.4 and 2.2 to introduce, discuss and agree on the proposals developed. This will include discussing and agreeing </w:t>
      </w:r>
      <w:r w:rsidR="003552A0" w:rsidRPr="003F7F6C">
        <w:rPr>
          <w:rFonts w:eastAsia="Times New Roman" w:cs="Calibri"/>
          <w:bCs/>
          <w:szCs w:val="20"/>
          <w:lang w:eastAsia="es-ES_tradnl"/>
        </w:rPr>
        <w:t xml:space="preserve">on </w:t>
      </w:r>
      <w:r w:rsidRPr="003F7F6C">
        <w:rPr>
          <w:rFonts w:eastAsia="Times New Roman" w:cs="Calibri"/>
          <w:bCs/>
          <w:szCs w:val="20"/>
          <w:lang w:eastAsia="es-ES_tradnl"/>
        </w:rPr>
        <w:t xml:space="preserve">the results of the assessments, proposed methodologies and schemes, how to implement the methodologies and how to use them to regulate land uses, and validating those that best suit the local realities and adapting them to each target landscape. </w:t>
      </w:r>
    </w:p>
    <w:p w14:paraId="45204C76" w14:textId="77777777" w:rsidR="00760FF7" w:rsidRPr="003F7F6C" w:rsidRDefault="00760FF7" w:rsidP="00760FF7">
      <w:pPr>
        <w:tabs>
          <w:tab w:val="left" w:pos="426"/>
        </w:tabs>
        <w:spacing w:after="240"/>
        <w:rPr>
          <w:rFonts w:eastAsia="Times New Roman" w:cs="Calibri"/>
          <w:i/>
          <w:szCs w:val="20"/>
          <w:lang w:eastAsia="es-ES_tradnl"/>
        </w:rPr>
      </w:pPr>
      <w:bookmarkStart w:id="10" w:name="_Hlk526944025"/>
    </w:p>
    <w:p w14:paraId="03222981" w14:textId="77777777" w:rsidR="00760FF7" w:rsidRPr="003F7F6C" w:rsidRDefault="0096011C" w:rsidP="00760FF7">
      <w:pPr>
        <w:tabs>
          <w:tab w:val="left" w:pos="426"/>
        </w:tabs>
        <w:spacing w:after="240"/>
        <w:rPr>
          <w:bCs/>
          <w:i/>
          <w:szCs w:val="20"/>
        </w:rPr>
      </w:pPr>
      <w:r w:rsidRPr="003F7F6C">
        <w:rPr>
          <w:rFonts w:eastAsia="Times New Roman" w:cs="Calibri"/>
          <w:i/>
          <w:szCs w:val="20"/>
          <w:lang w:eastAsia="es-ES_tradnl"/>
        </w:rPr>
        <w:t xml:space="preserve">Output 1.3: </w:t>
      </w:r>
      <w:r w:rsidRPr="003F7F6C">
        <w:rPr>
          <w:rFonts w:eastAsia="Times New Roman" w:cs="Calibri"/>
          <w:bCs/>
          <w:i/>
          <w:szCs w:val="20"/>
          <w:lang w:eastAsia="es-ES_tradnl"/>
        </w:rPr>
        <w:t>Standardized instruments for implementing ELUP for targeted sectors</w:t>
      </w:r>
    </w:p>
    <w:p w14:paraId="509EFD26" w14:textId="77777777" w:rsidR="00760FF7" w:rsidRPr="003F7F6C" w:rsidRDefault="0096011C" w:rsidP="00E91275">
      <w:pPr>
        <w:numPr>
          <w:ilvl w:val="0"/>
          <w:numId w:val="28"/>
        </w:numPr>
        <w:tabs>
          <w:tab w:val="left" w:pos="426"/>
        </w:tabs>
        <w:spacing w:after="240"/>
        <w:ind w:left="0" w:firstLine="0"/>
        <w:rPr>
          <w:bCs/>
          <w:i/>
          <w:szCs w:val="20"/>
        </w:rPr>
      </w:pPr>
      <w:r w:rsidRPr="003F7F6C">
        <w:rPr>
          <w:rFonts w:eastAsia="Calibri" w:cs="Calibri"/>
          <w:color w:val="000000"/>
          <w:szCs w:val="20"/>
        </w:rPr>
        <w:t>This output will support developing agreed instruments to mainstream ELUP in the target sectors (agriculture and livestock, tourism, peri-urban infrastructure and mining). This includes: a) criteria and mapping of priority areas of environmental value</w:t>
      </w:r>
      <w:bookmarkEnd w:id="10"/>
      <w:r w:rsidRPr="003F7F6C">
        <w:rPr>
          <w:rFonts w:eastAsia="Calibri" w:cs="Calibri"/>
          <w:color w:val="000000"/>
          <w:szCs w:val="20"/>
        </w:rPr>
        <w:t>; b) criteria and standards for production practices in restricted use area</w:t>
      </w:r>
      <w:r w:rsidR="000A58B2" w:rsidRPr="003F7F6C">
        <w:rPr>
          <w:rFonts w:eastAsia="Calibri" w:cs="Calibri"/>
          <w:color w:val="000000"/>
          <w:szCs w:val="20"/>
        </w:rPr>
        <w:t>s</w:t>
      </w:r>
      <w:r w:rsidRPr="003F7F6C">
        <w:rPr>
          <w:rFonts w:eastAsia="Calibri" w:cs="Calibri"/>
          <w:color w:val="000000"/>
          <w:szCs w:val="20"/>
        </w:rPr>
        <w:t xml:space="preserve"> </w:t>
      </w:r>
      <w:r w:rsidR="000A58B2" w:rsidRPr="003F7F6C">
        <w:rPr>
          <w:rFonts w:eastAsia="Calibri" w:cs="Calibri"/>
          <w:color w:val="000000"/>
          <w:szCs w:val="20"/>
        </w:rPr>
        <w:t xml:space="preserve">that are a </w:t>
      </w:r>
      <w:r w:rsidRPr="003F7F6C">
        <w:rPr>
          <w:rFonts w:eastAsia="Calibri" w:cs="Calibri"/>
          <w:color w:val="000000"/>
          <w:szCs w:val="20"/>
        </w:rPr>
        <w:t>priority for BD &amp; ES conservation; c) protocol for setting up</w:t>
      </w:r>
      <w:r w:rsidR="0023027F" w:rsidRPr="003F7F6C">
        <w:rPr>
          <w:rFonts w:eastAsia="Calibri" w:cs="Calibri"/>
          <w:color w:val="000000"/>
          <w:szCs w:val="20"/>
        </w:rPr>
        <w:t xml:space="preserve"> protected areas</w:t>
      </w:r>
      <w:r w:rsidRPr="003F7F6C">
        <w:rPr>
          <w:rFonts w:eastAsia="Calibri" w:cs="Calibri"/>
          <w:color w:val="000000"/>
          <w:szCs w:val="20"/>
        </w:rPr>
        <w:t xml:space="preserve"> </w:t>
      </w:r>
      <w:r w:rsidR="0023027F" w:rsidRPr="003F7F6C">
        <w:rPr>
          <w:rFonts w:eastAsia="Calibri" w:cs="Calibri"/>
          <w:color w:val="000000"/>
          <w:szCs w:val="20"/>
        </w:rPr>
        <w:t>(</w:t>
      </w:r>
      <w:r w:rsidRPr="003F7F6C">
        <w:rPr>
          <w:rFonts w:eastAsia="Calibri" w:cs="Calibri"/>
          <w:color w:val="000000"/>
          <w:szCs w:val="20"/>
        </w:rPr>
        <w:t>PA</w:t>
      </w:r>
      <w:r w:rsidR="0023027F" w:rsidRPr="003F7F6C">
        <w:rPr>
          <w:rFonts w:eastAsia="Calibri" w:cs="Calibri"/>
          <w:color w:val="000000"/>
          <w:szCs w:val="20"/>
        </w:rPr>
        <w:t>)</w:t>
      </w:r>
      <w:r w:rsidRPr="003F7F6C">
        <w:rPr>
          <w:rFonts w:eastAsia="Calibri" w:cs="Calibri"/>
          <w:color w:val="000000"/>
          <w:szCs w:val="20"/>
        </w:rPr>
        <w:t xml:space="preserve"> as a basis for ELUP; and d) tools for Strategic Environmental </w:t>
      </w:r>
      <w:r w:rsidR="0070511D" w:rsidRPr="003F7F6C">
        <w:rPr>
          <w:rFonts w:eastAsia="Calibri" w:cs="Calibri"/>
          <w:color w:val="000000"/>
          <w:szCs w:val="20"/>
        </w:rPr>
        <w:t xml:space="preserve">Assessment </w:t>
      </w:r>
      <w:r w:rsidRPr="003F7F6C">
        <w:rPr>
          <w:rFonts w:eastAsia="Calibri" w:cs="Calibri"/>
          <w:color w:val="000000"/>
          <w:szCs w:val="20"/>
        </w:rPr>
        <w:t>tailored to ELUP zoning.</w:t>
      </w:r>
    </w:p>
    <w:p w14:paraId="7E6278FD" w14:textId="77777777" w:rsidR="00760FF7" w:rsidRPr="003F7F6C" w:rsidRDefault="0096011C" w:rsidP="00E91275">
      <w:pPr>
        <w:numPr>
          <w:ilvl w:val="0"/>
          <w:numId w:val="28"/>
        </w:numPr>
        <w:tabs>
          <w:tab w:val="left" w:pos="426"/>
        </w:tabs>
        <w:spacing w:after="240"/>
        <w:ind w:left="0" w:firstLine="0"/>
        <w:rPr>
          <w:bCs/>
          <w:i/>
          <w:szCs w:val="20"/>
        </w:rPr>
      </w:pPr>
      <w:r w:rsidRPr="003F7F6C">
        <w:rPr>
          <w:rFonts w:eastAsia="Times New Roman" w:cs="Calibri"/>
          <w:color w:val="000000"/>
          <w:szCs w:val="20"/>
          <w:lang w:eastAsia="es-AR"/>
        </w:rPr>
        <w:t>Project assistance to the SGAyDS will address developing between PY1 and PY3 criteria to define priority areas of environmental value for ELUP to guide the mapping of such areas and initiate a land zoning and land use planning process. Based on the previous inputs, the project will work with the SGAyDS in defining the criteria and guidelines to assess, identify and map the priority area</w:t>
      </w:r>
      <w:r w:rsidRPr="003F7F6C">
        <w:rPr>
          <w:rFonts w:eastAsia="Times New Roman" w:cs="Calibri"/>
          <w:szCs w:val="20"/>
          <w:lang w:eastAsia="es-AR"/>
        </w:rPr>
        <w:t>s, as well as the methodology for the analysis and mapping.</w:t>
      </w:r>
      <w:r w:rsidRPr="003F7F6C">
        <w:rPr>
          <w:rFonts w:ascii="Times New Roman" w:eastAsia="MS Mincho" w:hAnsi="Times New Roman"/>
          <w:sz w:val="22"/>
          <w:szCs w:val="22"/>
        </w:rPr>
        <w:t xml:space="preserve"> </w:t>
      </w:r>
      <w:r w:rsidRPr="003F7F6C">
        <w:rPr>
          <w:rFonts w:eastAsia="Times New Roman" w:cs="Calibri"/>
          <w:szCs w:val="20"/>
          <w:lang w:eastAsia="es-AR"/>
        </w:rPr>
        <w:t>A document will be prepared</w:t>
      </w:r>
      <w:r w:rsidR="00111B30" w:rsidRPr="003F7F6C">
        <w:rPr>
          <w:rFonts w:eastAsia="Times New Roman" w:cs="Calibri"/>
          <w:szCs w:val="20"/>
          <w:lang w:eastAsia="es-AR"/>
        </w:rPr>
        <w:t xml:space="preserve"> </w:t>
      </w:r>
      <w:r w:rsidRPr="003F7F6C">
        <w:rPr>
          <w:rFonts w:eastAsia="Times New Roman" w:cs="Calibri"/>
          <w:szCs w:val="20"/>
          <w:lang w:eastAsia="es-AR"/>
        </w:rPr>
        <w:t>containing the bas</w:t>
      </w:r>
      <w:r w:rsidRPr="003F7F6C">
        <w:rPr>
          <w:rFonts w:eastAsia="Times New Roman" w:cs="Calibri"/>
          <w:color w:val="000000"/>
          <w:szCs w:val="20"/>
          <w:lang w:eastAsia="es-AR"/>
        </w:rPr>
        <w:t xml:space="preserve">ic and auxiliary criteria and selected methodology to guide the process. </w:t>
      </w:r>
      <w:r w:rsidR="00111B30" w:rsidRPr="003F7F6C">
        <w:rPr>
          <w:rFonts w:eastAsia="Times New Roman" w:cs="Calibri"/>
          <w:color w:val="000000"/>
          <w:szCs w:val="20"/>
          <w:lang w:eastAsia="es-AR"/>
        </w:rPr>
        <w:t xml:space="preserve"> The SGAyDS and INTA will work together in evaluating the natural resources through satellite imagery.</w:t>
      </w:r>
      <w:r w:rsidRPr="003F7F6C">
        <w:rPr>
          <w:rFonts w:eastAsia="Times New Roman" w:cs="Calibri"/>
          <w:color w:val="000000"/>
          <w:szCs w:val="20"/>
          <w:lang w:eastAsia="es-AR"/>
        </w:rPr>
        <w:t xml:space="preserve"> The project will then work with SGAyDS in collecting, analyzing and processing information and finally elaborating a Map of Priority Areas of Environmental Values for ELUP. </w:t>
      </w:r>
      <w:r w:rsidRPr="003F7F6C">
        <w:rPr>
          <w:rFonts w:eastAsia="Times New Roman" w:cs="Calibri"/>
          <w:szCs w:val="20"/>
          <w:lang w:eastAsia="es-AR"/>
        </w:rPr>
        <w:t xml:space="preserve">To ensure accurateness and representativity of the map the project will support between PY2 and PY4 validation of </w:t>
      </w:r>
      <w:r w:rsidR="0070511D" w:rsidRPr="003F7F6C">
        <w:rPr>
          <w:rFonts w:eastAsia="Times New Roman" w:cs="Calibri"/>
          <w:szCs w:val="20"/>
          <w:lang w:eastAsia="es-AR"/>
        </w:rPr>
        <w:t xml:space="preserve">the </w:t>
      </w:r>
      <w:r w:rsidRPr="003F7F6C">
        <w:rPr>
          <w:rFonts w:eastAsia="Times New Roman" w:cs="Calibri"/>
          <w:szCs w:val="20"/>
          <w:lang w:eastAsia="es-AR"/>
        </w:rPr>
        <w:t>criteria and map with scientific committees, experts, and national and provincial technicians through participatory workshops and online. In PY4 based on the results of the validation process the maps will be adjusted as needed and will be published and made available online through IDE Ambiente (Output 1.1) to provinces and institutions to support decision</w:t>
      </w:r>
      <w:r w:rsidR="0070511D" w:rsidRPr="003F7F6C">
        <w:rPr>
          <w:rFonts w:eastAsia="Times New Roman" w:cs="Calibri"/>
          <w:szCs w:val="20"/>
          <w:lang w:eastAsia="es-AR"/>
        </w:rPr>
        <w:t>-</w:t>
      </w:r>
      <w:r w:rsidRPr="003F7F6C">
        <w:rPr>
          <w:rFonts w:eastAsia="Times New Roman" w:cs="Calibri"/>
          <w:szCs w:val="20"/>
          <w:lang w:eastAsia="es-AR"/>
        </w:rPr>
        <w:t xml:space="preserve">making processes </w:t>
      </w:r>
      <w:r w:rsidRPr="003F7F6C">
        <w:rPr>
          <w:rFonts w:eastAsia="Times New Roman" w:cs="Calibri"/>
          <w:color w:val="000000"/>
          <w:szCs w:val="20"/>
          <w:lang w:eastAsia="es-AR"/>
        </w:rPr>
        <w:t>(e.g.</w:t>
      </w:r>
      <w:r w:rsidR="0070511D" w:rsidRPr="003F7F6C">
        <w:rPr>
          <w:rFonts w:eastAsia="Times New Roman" w:cs="Calibri"/>
          <w:color w:val="000000"/>
          <w:szCs w:val="20"/>
          <w:lang w:eastAsia="es-AR"/>
        </w:rPr>
        <w:t>,</w:t>
      </w:r>
      <w:r w:rsidRPr="003F7F6C">
        <w:rPr>
          <w:rFonts w:eastAsia="Times New Roman" w:cs="Calibri"/>
          <w:color w:val="000000"/>
          <w:szCs w:val="20"/>
          <w:lang w:eastAsia="es-AR"/>
        </w:rPr>
        <w:t xml:space="preserve"> identifying if a proposal for a certain land use affects a protected area or a native forest or a territory </w:t>
      </w:r>
      <w:r w:rsidR="0070511D" w:rsidRPr="003F7F6C">
        <w:rPr>
          <w:rFonts w:eastAsia="Times New Roman" w:cs="Calibri"/>
          <w:color w:val="000000"/>
          <w:szCs w:val="20"/>
          <w:lang w:eastAsia="es-AR"/>
        </w:rPr>
        <w:t xml:space="preserve">inhabited by </w:t>
      </w:r>
      <w:r w:rsidRPr="003F7F6C">
        <w:rPr>
          <w:rFonts w:eastAsia="Times New Roman" w:cs="Calibri"/>
          <w:color w:val="000000"/>
          <w:szCs w:val="20"/>
          <w:lang w:eastAsia="es-AR"/>
        </w:rPr>
        <w:t xml:space="preserve">endangered species). </w:t>
      </w:r>
    </w:p>
    <w:p w14:paraId="22C87F1E" w14:textId="5FDE46DB" w:rsidR="00760FF7" w:rsidRPr="003F7F6C" w:rsidRDefault="0096011C" w:rsidP="00E91275">
      <w:pPr>
        <w:numPr>
          <w:ilvl w:val="0"/>
          <w:numId w:val="28"/>
        </w:numPr>
        <w:tabs>
          <w:tab w:val="left" w:pos="426"/>
        </w:tabs>
        <w:spacing w:after="240"/>
        <w:ind w:left="0" w:firstLine="0"/>
        <w:rPr>
          <w:bCs/>
          <w:i/>
          <w:szCs w:val="20"/>
        </w:rPr>
      </w:pPr>
      <w:r w:rsidRPr="003F7F6C">
        <w:rPr>
          <w:rFonts w:eastAsia="MS Mincho" w:cs="Calibri"/>
          <w:szCs w:val="20"/>
        </w:rPr>
        <w:t xml:space="preserve">In parallel the project will work with the SGAyDS, INTA, pilot provinces and key stakeholders to develop and agree: a) </w:t>
      </w:r>
      <w:r w:rsidRPr="003F7F6C">
        <w:rPr>
          <w:rFonts w:eastAsia="Calibri" w:cs="Calibri"/>
          <w:color w:val="000000"/>
          <w:szCs w:val="20"/>
        </w:rPr>
        <w:t>criteria and standards for production practices in the priority areas of environmental value and key sectors</w:t>
      </w:r>
      <w:r w:rsidRPr="003F7F6C">
        <w:rPr>
          <w:rFonts w:eastAsia="Calibri" w:cs="Calibri"/>
          <w:szCs w:val="20"/>
        </w:rPr>
        <w:t>; and b) a protocol for setting</w:t>
      </w:r>
      <w:r w:rsidR="0070511D" w:rsidRPr="003F7F6C">
        <w:rPr>
          <w:rFonts w:eastAsia="Calibri" w:cs="Calibri"/>
          <w:szCs w:val="20"/>
        </w:rPr>
        <w:t xml:space="preserve"> </w:t>
      </w:r>
      <w:r w:rsidRPr="003F7F6C">
        <w:rPr>
          <w:rFonts w:eastAsia="Calibri" w:cs="Calibri"/>
          <w:szCs w:val="20"/>
        </w:rPr>
        <w:t>up PA as the basis for ELUP. In undertaking these activities the project will also work in close coordination with Output 1.2 above, in particular the process for defining the SLM, BD conservation and ES valuation criteria for defining different land</w:t>
      </w:r>
      <w:r w:rsidR="0070511D" w:rsidRPr="003F7F6C">
        <w:rPr>
          <w:rFonts w:eastAsia="Calibri" w:cs="Calibri"/>
          <w:szCs w:val="20"/>
        </w:rPr>
        <w:t xml:space="preserve"> </w:t>
      </w:r>
      <w:r w:rsidRPr="003F7F6C">
        <w:rPr>
          <w:rFonts w:eastAsia="Calibri" w:cs="Calibri"/>
          <w:szCs w:val="20"/>
        </w:rPr>
        <w:t>use zones and production practices restrictions. Likewise</w:t>
      </w:r>
      <w:r w:rsidR="004D0D7E" w:rsidRPr="003F7F6C">
        <w:rPr>
          <w:rFonts w:eastAsia="Calibri" w:cs="Calibri"/>
          <w:szCs w:val="20"/>
        </w:rPr>
        <w:t>,</w:t>
      </w:r>
      <w:r w:rsidRPr="003F7F6C">
        <w:rPr>
          <w:rFonts w:eastAsia="Calibri" w:cs="Calibri"/>
          <w:szCs w:val="20"/>
        </w:rPr>
        <w:t xml:space="preserve"> there will be an iterative process between the federal and provincial levels through feeding inputs in design and implementation of activities under Component 2 and in turn receiving feedback o</w:t>
      </w:r>
      <w:r w:rsidR="0070511D" w:rsidRPr="003F7F6C">
        <w:rPr>
          <w:rFonts w:eastAsia="Calibri" w:cs="Calibri"/>
          <w:szCs w:val="20"/>
        </w:rPr>
        <w:t>n</w:t>
      </w:r>
      <w:r w:rsidRPr="003F7F6C">
        <w:rPr>
          <w:rFonts w:eastAsia="Calibri" w:cs="Calibri"/>
          <w:szCs w:val="20"/>
        </w:rPr>
        <w:t xml:space="preserve"> inputs, experiences and lessons especially from the target landscapes. As part of this process</w:t>
      </w:r>
      <w:r w:rsidR="0070511D" w:rsidRPr="003F7F6C">
        <w:rPr>
          <w:rFonts w:eastAsia="Calibri" w:cs="Calibri"/>
          <w:szCs w:val="20"/>
        </w:rPr>
        <w:t>,</w:t>
      </w:r>
      <w:r w:rsidRPr="003F7F6C">
        <w:rPr>
          <w:rFonts w:eastAsia="Calibri" w:cs="Calibri"/>
          <w:szCs w:val="20"/>
        </w:rPr>
        <w:t xml:space="preserve"> instruments for Strategic Environmental Assessment (SEA)</w:t>
      </w:r>
      <w:r w:rsidRPr="003F7F6C">
        <w:rPr>
          <w:rStyle w:val="FootnoteReference"/>
          <w:rFonts w:ascii="Calibri" w:eastAsia="Calibri" w:hAnsi="Calibri" w:cs="Calibri"/>
          <w:szCs w:val="20"/>
        </w:rPr>
        <w:footnoteReference w:id="38"/>
      </w:r>
      <w:r w:rsidRPr="003F7F6C">
        <w:rPr>
          <w:rFonts w:eastAsia="Calibri" w:cs="Calibri"/>
          <w:szCs w:val="20"/>
        </w:rPr>
        <w:t xml:space="preserve"> will be assessed and developed. The planning experiences and lessons acquired in the target landscapes (Component 2) will serve to define guidelines that may contribute to the development of SEA as a planning instrument for ELUP.</w:t>
      </w:r>
    </w:p>
    <w:p w14:paraId="00C16976" w14:textId="77777777" w:rsidR="00760FF7" w:rsidRPr="003F7F6C" w:rsidRDefault="00760FF7" w:rsidP="00760FF7">
      <w:pPr>
        <w:tabs>
          <w:tab w:val="left" w:pos="426"/>
        </w:tabs>
        <w:spacing w:after="240"/>
        <w:rPr>
          <w:rFonts w:eastAsia="Times New Roman" w:cs="Calibri"/>
          <w:i/>
          <w:szCs w:val="20"/>
          <w:lang w:eastAsia="es-ES_tradnl"/>
        </w:rPr>
      </w:pPr>
    </w:p>
    <w:p w14:paraId="16F772E4" w14:textId="77777777" w:rsidR="00760FF7" w:rsidRPr="003F7F6C" w:rsidRDefault="0096011C" w:rsidP="00760FF7">
      <w:pPr>
        <w:tabs>
          <w:tab w:val="left" w:pos="426"/>
        </w:tabs>
        <w:spacing w:after="240"/>
        <w:rPr>
          <w:bCs/>
          <w:i/>
          <w:szCs w:val="20"/>
        </w:rPr>
      </w:pPr>
      <w:r w:rsidRPr="003F7F6C">
        <w:rPr>
          <w:rFonts w:eastAsia="Times New Roman" w:cs="Calibri"/>
          <w:i/>
          <w:szCs w:val="20"/>
          <w:lang w:eastAsia="es-ES_tradnl"/>
        </w:rPr>
        <w:t xml:space="preserve">Output 1.4 </w:t>
      </w:r>
      <w:r w:rsidRPr="003F7F6C">
        <w:rPr>
          <w:rFonts w:eastAsia="Times New Roman" w:cs="Calibri"/>
          <w:bCs/>
          <w:i/>
          <w:szCs w:val="20"/>
          <w:lang w:eastAsia="es-ES_tradnl"/>
        </w:rPr>
        <w:t>Inter-sectoral and inter jurisdictional coordination mechanisms</w:t>
      </w:r>
    </w:p>
    <w:p w14:paraId="2DFF4FF3" w14:textId="77777777" w:rsidR="00760FF7" w:rsidRPr="003F7F6C" w:rsidRDefault="0096011C" w:rsidP="00E91275">
      <w:pPr>
        <w:numPr>
          <w:ilvl w:val="0"/>
          <w:numId w:val="28"/>
        </w:numPr>
        <w:tabs>
          <w:tab w:val="left" w:pos="426"/>
        </w:tabs>
        <w:spacing w:after="240"/>
        <w:ind w:left="0" w:firstLine="0"/>
        <w:rPr>
          <w:bCs/>
          <w:i/>
          <w:szCs w:val="20"/>
        </w:rPr>
      </w:pPr>
      <w:r w:rsidRPr="003F7F6C">
        <w:rPr>
          <w:rFonts w:cs="Calibri"/>
          <w:szCs w:val="20"/>
        </w:rPr>
        <w:t>The project will support the development of a twofold approach to promote the permanent dialogue and coordination between institutions, productive sectors and jurisdictions, including public and private sectors and civil society at horizontal (national) and vertical (national, provincial and municipal) levels. This will include: a) multi-stakeholder dialogue and coordination; and b) capacity building for dialogue, coordination and participation.</w:t>
      </w:r>
    </w:p>
    <w:p w14:paraId="36AAE852" w14:textId="77777777" w:rsidR="00760FF7" w:rsidRPr="003F7F6C" w:rsidRDefault="0096011C" w:rsidP="00E91275">
      <w:pPr>
        <w:numPr>
          <w:ilvl w:val="0"/>
          <w:numId w:val="28"/>
        </w:numPr>
        <w:tabs>
          <w:tab w:val="left" w:pos="426"/>
        </w:tabs>
        <w:spacing w:after="240"/>
        <w:ind w:left="0" w:firstLine="0"/>
        <w:rPr>
          <w:bCs/>
          <w:i/>
          <w:szCs w:val="20"/>
        </w:rPr>
      </w:pPr>
      <w:r w:rsidRPr="003F7F6C">
        <w:rPr>
          <w:rFonts w:cs="Calibri"/>
          <w:szCs w:val="20"/>
        </w:rPr>
        <w:t>The first approach will entail developing multi-stakeholder dialogue and coordination spaces. These will be led by the SGAyDS and will have the objective of providing long-term spaces where the different sectors and institutions can align, take ownership and develop joint concrete actions for mainstreaming of BD conservation and SLM and ELUP in key sectors; generating proposals for inter-sectoral and inter-jurisdictional coordination to prepare and implement ELUP related plans, programs and projects; sectoral planning and mainstreaming provincial ELUP in federal programs; as well as multi-sectoral decision</w:t>
      </w:r>
      <w:r w:rsidR="0070511D" w:rsidRPr="003F7F6C">
        <w:rPr>
          <w:rFonts w:cs="Calibri"/>
          <w:szCs w:val="20"/>
        </w:rPr>
        <w:t>-</w:t>
      </w:r>
      <w:r w:rsidRPr="003F7F6C">
        <w:rPr>
          <w:rFonts w:cs="Calibri"/>
          <w:szCs w:val="20"/>
        </w:rPr>
        <w:t xml:space="preserve">making to facilitate ELUP implementation; sharing information, lessons and experiences; and optimizing the impact of the different interventions. </w:t>
      </w:r>
    </w:p>
    <w:p w14:paraId="1FE927AB" w14:textId="249ECB03" w:rsidR="00FB7250" w:rsidRPr="003F7F6C" w:rsidRDefault="0096011C" w:rsidP="00E91275">
      <w:pPr>
        <w:numPr>
          <w:ilvl w:val="0"/>
          <w:numId w:val="28"/>
        </w:numPr>
        <w:tabs>
          <w:tab w:val="left" w:pos="426"/>
        </w:tabs>
        <w:spacing w:after="240"/>
        <w:ind w:left="0" w:firstLine="0"/>
        <w:rPr>
          <w:rFonts w:asciiTheme="minorHAnsi" w:hAnsiTheme="minorHAnsi" w:cstheme="minorHAnsi"/>
          <w:bCs/>
          <w:i/>
          <w:szCs w:val="20"/>
        </w:rPr>
      </w:pPr>
      <w:r w:rsidRPr="003F7F6C">
        <w:rPr>
          <w:rFonts w:cs="Calibri"/>
          <w:szCs w:val="20"/>
        </w:rPr>
        <w:t xml:space="preserve">In PY1 the project will </w:t>
      </w:r>
      <w:r w:rsidR="002F6E43" w:rsidRPr="003F7F6C">
        <w:rPr>
          <w:rFonts w:cs="Calibri"/>
          <w:szCs w:val="20"/>
        </w:rPr>
        <w:t xml:space="preserve">work with the SGAyDS and pilot provinces to develop a detailed Indigenous Peoples Plan (IPP) following UNDP standards (a draft IPP is included in Annex E-1) . The project will </w:t>
      </w:r>
      <w:r w:rsidRPr="003F7F6C">
        <w:rPr>
          <w:rFonts w:cs="Calibri"/>
          <w:szCs w:val="20"/>
        </w:rPr>
        <w:t>support the SGAyDS in designing the dialogue spaces, including updating the stakeholder mapping undertaken during the PPG and identifying other institutions that may be invited to participate, convening meetings and agreeing on their structure and functioning (e.g.</w:t>
      </w:r>
      <w:r w:rsidR="00E655F1" w:rsidRPr="003F7F6C">
        <w:rPr>
          <w:rFonts w:cs="Calibri"/>
          <w:szCs w:val="20"/>
        </w:rPr>
        <w:t>,</w:t>
      </w:r>
      <w:r w:rsidRPr="003F7F6C">
        <w:rPr>
          <w:rFonts w:cs="Calibri"/>
          <w:szCs w:val="20"/>
        </w:rPr>
        <w:t xml:space="preserve"> terms of reference, rules of procedure, protocol for meetings, record keeping, decision making and coordination mechanisms), as well as promoting agreements between the key stakeholders involved to establish dialogue and coordination, and ensuring adequate representation of women and indigenous peoples. Establishment of these spaces will take into account existing national level spaces such as the Federal Council of Environment Ministers (COFEMA)</w:t>
      </w:r>
      <w:r w:rsidRPr="003F7F6C">
        <w:rPr>
          <w:rStyle w:val="FootnoteReference"/>
          <w:rFonts w:ascii="Calibri" w:hAnsi="Calibri" w:cs="Calibri"/>
          <w:szCs w:val="20"/>
        </w:rPr>
        <w:footnoteReference w:id="39"/>
      </w:r>
      <w:r w:rsidRPr="003F7F6C">
        <w:rPr>
          <w:rFonts w:cs="Calibri"/>
          <w:szCs w:val="20"/>
        </w:rPr>
        <w:t>, National Advisory Committee for Conservation and Sustainable Use of Biodiversity (CONADIBIO)</w:t>
      </w:r>
      <w:r w:rsidRPr="003F7F6C">
        <w:rPr>
          <w:rStyle w:val="FootnoteReference"/>
          <w:rFonts w:ascii="Calibri" w:hAnsi="Calibri" w:cs="Calibri"/>
          <w:szCs w:val="20"/>
        </w:rPr>
        <w:footnoteReference w:id="40"/>
      </w:r>
      <w:r w:rsidRPr="003F7F6C">
        <w:rPr>
          <w:rFonts w:cs="Calibri"/>
          <w:szCs w:val="20"/>
        </w:rPr>
        <w:t>, Federal Council for Planning and Land use Planning (COFEPLAN)</w:t>
      </w:r>
      <w:r w:rsidRPr="003F7F6C">
        <w:rPr>
          <w:rStyle w:val="FootnoteReference"/>
          <w:rFonts w:ascii="Calibri" w:hAnsi="Calibri" w:cs="Calibri"/>
          <w:szCs w:val="20"/>
        </w:rPr>
        <w:footnoteReference w:id="41"/>
      </w:r>
      <w:r w:rsidRPr="003F7F6C">
        <w:rPr>
          <w:rFonts w:cs="Calibri"/>
          <w:szCs w:val="20"/>
        </w:rPr>
        <w:t xml:space="preserve"> and Federal Legislative Council for Environment (COFELMA)</w:t>
      </w:r>
      <w:r w:rsidRPr="003F7F6C">
        <w:rPr>
          <w:rStyle w:val="FootnoteReference"/>
          <w:rFonts w:ascii="Calibri" w:hAnsi="Calibri" w:cs="Calibri"/>
          <w:szCs w:val="20"/>
        </w:rPr>
        <w:footnoteReference w:id="42"/>
      </w:r>
      <w:r w:rsidRPr="003F7F6C">
        <w:rPr>
          <w:rFonts w:cs="Calibri"/>
          <w:szCs w:val="20"/>
        </w:rPr>
        <w:t xml:space="preserve">, which can provide experiences and lessons on inter-institutional and inter-disciplinary participation as well as synergies.  Participants will include </w:t>
      </w:r>
      <w:r w:rsidRPr="003F7F6C">
        <w:rPr>
          <w:szCs w:val="20"/>
        </w:rPr>
        <w:t xml:space="preserve">national public institutions, technical and scientific committees, pilot provinces, private sector, universities, CSOs and NGOs (the list of institutions identified during the PPG is included in Table 1 of Annex </w:t>
      </w:r>
      <w:r w:rsidR="00170748" w:rsidRPr="003F7F6C">
        <w:rPr>
          <w:szCs w:val="20"/>
        </w:rPr>
        <w:t>F</w:t>
      </w:r>
      <w:r w:rsidRPr="003F7F6C">
        <w:rPr>
          <w:szCs w:val="20"/>
        </w:rPr>
        <w:t xml:space="preserve"> </w:t>
      </w:r>
      <w:r w:rsidR="001928B1" w:rsidRPr="003F7F6C">
        <w:rPr>
          <w:szCs w:val="20"/>
        </w:rPr>
        <w:t>-</w:t>
      </w:r>
      <w:r w:rsidRPr="003F7F6C">
        <w:rPr>
          <w:szCs w:val="20"/>
        </w:rPr>
        <w:t xml:space="preserve">Stakeholder Engagement Plan).  </w:t>
      </w:r>
      <w:r w:rsidR="00FB7250" w:rsidRPr="003F7F6C">
        <w:rPr>
          <w:rFonts w:asciiTheme="minorHAnsi" w:eastAsia="Times New Roman" w:hAnsiTheme="minorHAnsi" w:cstheme="minorHAnsi"/>
          <w:szCs w:val="20"/>
          <w:lang w:eastAsia="es-EC"/>
        </w:rPr>
        <w:t>As part of the multi-stakeholder coordination under Outcome 1 the project will participate in the roundtables of the National Climate Change Cabinet</w:t>
      </w:r>
      <w:r w:rsidR="00FB7250" w:rsidRPr="003F7F6C">
        <w:rPr>
          <w:rStyle w:val="FootnoteReference"/>
          <w:rFonts w:asciiTheme="minorHAnsi" w:eastAsia="Times New Roman" w:hAnsiTheme="minorHAnsi" w:cstheme="minorHAnsi"/>
          <w:sz w:val="20"/>
          <w:szCs w:val="20"/>
          <w:lang w:eastAsia="es-EC"/>
        </w:rPr>
        <w:footnoteReference w:id="43"/>
      </w:r>
      <w:r w:rsidR="00FB7250" w:rsidRPr="003F7F6C">
        <w:rPr>
          <w:rFonts w:asciiTheme="minorHAnsi" w:eastAsia="Times New Roman" w:hAnsiTheme="minorHAnsi" w:cstheme="minorHAnsi"/>
          <w:szCs w:val="20"/>
          <w:lang w:eastAsia="es-EC"/>
        </w:rPr>
        <w:t xml:space="preserve"> and in turn the institutions that comprise this cabinet will be invited to participate in the dialogue spaces for participatory ELUP where the proposals for regulations and instruments will be discussed and validated. Climate change considerations will be mainstreamed in these processes through these participatory spaces. Discussions on climate change and its potential impacts will also be a part of the participatory dialogue spaces at provincial level under Outcome 2.</w:t>
      </w:r>
    </w:p>
    <w:p w14:paraId="559F551C" w14:textId="73CF33C2" w:rsidR="00760FF7" w:rsidRPr="003F7F6C" w:rsidRDefault="0096011C" w:rsidP="00E91275">
      <w:pPr>
        <w:numPr>
          <w:ilvl w:val="0"/>
          <w:numId w:val="28"/>
        </w:numPr>
        <w:tabs>
          <w:tab w:val="left" w:pos="426"/>
        </w:tabs>
        <w:spacing w:after="240"/>
        <w:ind w:left="0" w:firstLine="0"/>
        <w:rPr>
          <w:bCs/>
          <w:i/>
          <w:szCs w:val="20"/>
        </w:rPr>
      </w:pPr>
      <w:r w:rsidRPr="003F7F6C">
        <w:rPr>
          <w:szCs w:val="20"/>
        </w:rPr>
        <w:t xml:space="preserve">These spaces will begin to operate in PY2 and throughout the project´s lifetime through </w:t>
      </w:r>
      <w:r w:rsidRPr="003F7F6C">
        <w:rPr>
          <w:rFonts w:cs="Calibri"/>
          <w:szCs w:val="20"/>
        </w:rPr>
        <w:t xml:space="preserve">– among others to be defined – plenary sessions, working groups, round tables, public audiences, dialogues and fora where the different instruments and approaches developed under the project´s outputs will be discussed with, standardized and agreed </w:t>
      </w:r>
      <w:r w:rsidR="001928B1" w:rsidRPr="003F7F6C">
        <w:rPr>
          <w:rFonts w:cs="Calibri"/>
          <w:szCs w:val="20"/>
        </w:rPr>
        <w:t xml:space="preserve">upon </w:t>
      </w:r>
      <w:r w:rsidRPr="003F7F6C">
        <w:rPr>
          <w:rFonts w:cs="Calibri"/>
          <w:szCs w:val="20"/>
        </w:rPr>
        <w:t>by the main sectors and key stakeholders.</w:t>
      </w:r>
      <w:r w:rsidRPr="003F7F6C">
        <w:rPr>
          <w:szCs w:val="20"/>
        </w:rPr>
        <w:t xml:space="preserve"> </w:t>
      </w:r>
      <w:r w:rsidRPr="003F7F6C">
        <w:rPr>
          <w:rFonts w:cs="Calibri"/>
          <w:szCs w:val="20"/>
        </w:rPr>
        <w:t>The project will undertake a financial sustainability study during the first year of their operation to identify funding sources to sustain the dialogue spaces.</w:t>
      </w:r>
    </w:p>
    <w:p w14:paraId="5C91080F" w14:textId="77777777" w:rsidR="00760FF7" w:rsidRPr="003F7F6C" w:rsidRDefault="0096011C" w:rsidP="00E91275">
      <w:pPr>
        <w:numPr>
          <w:ilvl w:val="0"/>
          <w:numId w:val="28"/>
        </w:numPr>
        <w:tabs>
          <w:tab w:val="left" w:pos="426"/>
        </w:tabs>
        <w:spacing w:after="240"/>
        <w:ind w:left="0" w:firstLine="0"/>
        <w:rPr>
          <w:bCs/>
          <w:i/>
          <w:szCs w:val="20"/>
        </w:rPr>
      </w:pPr>
      <w:r w:rsidRPr="003F7F6C">
        <w:rPr>
          <w:rFonts w:cs="Calibri"/>
          <w:szCs w:val="20"/>
        </w:rPr>
        <w:t xml:space="preserve">The second approach will include developing a capacity building program for mainstreaming ELUP, BD conservation and SLM. </w:t>
      </w:r>
      <w:r w:rsidRPr="003F7F6C">
        <w:rPr>
          <w:rFonts w:cs="Calibri"/>
        </w:rPr>
        <w:t xml:space="preserve">The capacity building program will include different formats and contents and will </w:t>
      </w:r>
      <w:r w:rsidRPr="003F7F6C">
        <w:rPr>
          <w:rFonts w:cs="Calibri"/>
          <w:szCs w:val="20"/>
        </w:rPr>
        <w:t xml:space="preserve">be implemented at national level through this Output, for pilot provinces and target landscapes through Output 2.2 and for non-pilot provinces through Output 3.2.  </w:t>
      </w:r>
    </w:p>
    <w:p w14:paraId="42EF0F13" w14:textId="19C3104E" w:rsidR="0096011C" w:rsidRPr="003F7F6C" w:rsidRDefault="0096011C" w:rsidP="00E91275">
      <w:pPr>
        <w:numPr>
          <w:ilvl w:val="0"/>
          <w:numId w:val="28"/>
        </w:numPr>
        <w:tabs>
          <w:tab w:val="left" w:pos="426"/>
        </w:tabs>
        <w:spacing w:after="240"/>
        <w:ind w:left="0" w:firstLine="0"/>
        <w:rPr>
          <w:bCs/>
          <w:i/>
          <w:szCs w:val="20"/>
        </w:rPr>
      </w:pPr>
      <w:r w:rsidRPr="003F7F6C">
        <w:rPr>
          <w:rFonts w:cs="Calibri"/>
          <w:szCs w:val="20"/>
        </w:rPr>
        <w:t>The project will technically assist the SGAyDS in PY1 to design the capacity building program</w:t>
      </w:r>
      <w:r w:rsidR="00D813A5" w:rsidRPr="003F7F6C">
        <w:rPr>
          <w:rFonts w:cs="Calibri"/>
          <w:szCs w:val="20"/>
        </w:rPr>
        <w:t xml:space="preserve"> for national and provincial levels</w:t>
      </w:r>
      <w:r w:rsidRPr="003F7F6C">
        <w:rPr>
          <w:rFonts w:cs="Calibri"/>
          <w:szCs w:val="20"/>
        </w:rPr>
        <w:t xml:space="preserve"> and it will be implemented throughout the project´s lifetime. </w:t>
      </w:r>
      <w:r w:rsidRPr="003F7F6C">
        <w:rPr>
          <w:rFonts w:cs="Calibri"/>
        </w:rPr>
        <w:t>Capacity building</w:t>
      </w:r>
      <w:r w:rsidR="00D813A5" w:rsidRPr="003F7F6C">
        <w:rPr>
          <w:rFonts w:cs="Calibri"/>
        </w:rPr>
        <w:t xml:space="preserve"> </w:t>
      </w:r>
      <w:r w:rsidRPr="003F7F6C">
        <w:rPr>
          <w:rFonts w:cs="Calibri"/>
        </w:rPr>
        <w:t>will target staff from the SGAyDS and government sectoral institutions</w:t>
      </w:r>
      <w:r w:rsidR="00D813A5" w:rsidRPr="003F7F6C">
        <w:rPr>
          <w:rFonts w:cs="Calibri"/>
        </w:rPr>
        <w:t>, provincial governments</w:t>
      </w:r>
      <w:r w:rsidR="00AB3C4D" w:rsidRPr="003F7F6C">
        <w:rPr>
          <w:rFonts w:cs="Calibri"/>
        </w:rPr>
        <w:t xml:space="preserve"> as well as </w:t>
      </w:r>
      <w:r w:rsidR="00AB3C4D" w:rsidRPr="003F7F6C">
        <w:rPr>
          <w:rFonts w:asciiTheme="minorHAnsi" w:hAnsiTheme="minorHAnsi" w:cstheme="minorHAnsi"/>
        </w:rPr>
        <w:t>academia, private sector and NGOs,</w:t>
      </w:r>
      <w:r w:rsidR="00D813A5" w:rsidRPr="003F7F6C">
        <w:rPr>
          <w:rFonts w:asciiTheme="minorHAnsi" w:hAnsiTheme="minorHAnsi" w:cstheme="minorHAnsi"/>
        </w:rPr>
        <w:t xml:space="preserve"> CSOs, producers and communities </w:t>
      </w:r>
      <w:r w:rsidRPr="003F7F6C">
        <w:rPr>
          <w:rFonts w:cs="Calibri"/>
        </w:rPr>
        <w:t>covering key themes including: ELUP as a tool, BD, SLM, livelihoods, key aspects of social participation, skills and tools for participation and conflict resolution (with a special focus on indigenous peoples participation). The program will seek to: a) assess the training needs and demands of the different national level stakeholders and beneficiaries; b) define objectives, prioritize themes and develop materials; c) establish the methodologies for each type of capacity building activity proposed, identifying the tools to be used, which must include both theory and practice; and d) evaluat</w:t>
      </w:r>
      <w:r w:rsidR="00ED565D" w:rsidRPr="003F7F6C">
        <w:rPr>
          <w:rFonts w:cs="Calibri"/>
        </w:rPr>
        <w:t>e</w:t>
      </w:r>
      <w:r w:rsidRPr="003F7F6C">
        <w:rPr>
          <w:rFonts w:cs="Calibri"/>
        </w:rPr>
        <w:t xml:space="preserve"> the capacity building activities and the program itself to determine changes in knowledge, understanding and skills for ELUP. </w:t>
      </w:r>
      <w:r w:rsidRPr="003F7F6C">
        <w:rPr>
          <w:rFonts w:cs="Calibri"/>
          <w:szCs w:val="20"/>
        </w:rPr>
        <w:t>Training will be supported by communication and information materials to raise awareness about ELUP and about the economic value of ecosystem goods and services.</w:t>
      </w:r>
      <w:r w:rsidRPr="003F7F6C">
        <w:rPr>
          <w:rFonts w:cs="Calibri"/>
        </w:rPr>
        <w:t xml:space="preserve"> Table </w:t>
      </w:r>
      <w:r w:rsidR="00433665" w:rsidRPr="003F7F6C">
        <w:rPr>
          <w:rFonts w:cs="Calibri"/>
        </w:rPr>
        <w:t xml:space="preserve">3 </w:t>
      </w:r>
      <w:r w:rsidRPr="003F7F6C">
        <w:rPr>
          <w:rFonts w:cs="Calibri"/>
        </w:rPr>
        <w:t>below summarizes the preliminary design of the capacity building program.</w:t>
      </w:r>
    </w:p>
    <w:p w14:paraId="68222DC2" w14:textId="77777777" w:rsidR="0096011C" w:rsidRPr="003F7F6C" w:rsidRDefault="0096011C" w:rsidP="0096011C">
      <w:pPr>
        <w:spacing w:after="0"/>
        <w:jc w:val="left"/>
        <w:rPr>
          <w:rFonts w:eastAsia="Times New Roman" w:cs="Calibri"/>
          <w:color w:val="222222"/>
          <w:szCs w:val="20"/>
          <w:lang w:eastAsia="es-ES_tradnl"/>
        </w:rPr>
      </w:pPr>
      <w:r w:rsidRPr="003F7F6C">
        <w:rPr>
          <w:rFonts w:eastAsia="Times New Roman" w:cs="Calibri"/>
          <w:color w:val="222222"/>
          <w:szCs w:val="20"/>
          <w:lang w:eastAsia="es-ES_tradnl"/>
        </w:rPr>
        <w:t xml:space="preserve">Table </w:t>
      </w:r>
      <w:r w:rsidR="00433665" w:rsidRPr="003F7F6C">
        <w:rPr>
          <w:rFonts w:eastAsia="Times New Roman" w:cs="Calibri"/>
          <w:color w:val="222222"/>
          <w:szCs w:val="20"/>
          <w:lang w:eastAsia="es-ES_tradnl"/>
        </w:rPr>
        <w:t>3</w:t>
      </w:r>
      <w:r w:rsidRPr="003F7F6C">
        <w:rPr>
          <w:rFonts w:eastAsia="Times New Roman" w:cs="Calibri"/>
          <w:color w:val="222222"/>
          <w:szCs w:val="20"/>
          <w:lang w:eastAsia="es-ES_tradnl"/>
        </w:rPr>
        <w:t xml:space="preserve"> – Main aspects of the capacity building program (national level</w:t>
      </w:r>
      <w:r w:rsidR="00253D5F" w:rsidRPr="003F7F6C">
        <w:rPr>
          <w:rFonts w:eastAsia="Times New Roman" w:cs="Calibri"/>
          <w:color w:val="222222"/>
          <w:szCs w:val="20"/>
          <w:lang w:eastAsia="es-ES_tradnl"/>
        </w:rPr>
        <w:t xml:space="preserve"> and provincial levels</w:t>
      </w:r>
      <w:r w:rsidRPr="003F7F6C">
        <w:rPr>
          <w:rFonts w:eastAsia="Times New Roman" w:cs="Calibri"/>
          <w:color w:val="222222"/>
          <w:szCs w:val="20"/>
          <w:lang w:eastAsia="es-ES_tradnl"/>
        </w:rPr>
        <w:t xml:space="preserve">) </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7"/>
        <w:gridCol w:w="3373"/>
        <w:gridCol w:w="1843"/>
        <w:gridCol w:w="1843"/>
      </w:tblGrid>
      <w:tr w:rsidR="0096011C" w:rsidRPr="003F7F6C" w14:paraId="0404DD45" w14:textId="77777777" w:rsidTr="002B3130">
        <w:trPr>
          <w:tblHeader/>
        </w:trPr>
        <w:tc>
          <w:tcPr>
            <w:tcW w:w="2297" w:type="dxa"/>
            <w:shd w:val="clear" w:color="auto" w:fill="D9E2F3"/>
          </w:tcPr>
          <w:p w14:paraId="02424DDD" w14:textId="77777777" w:rsidR="0096011C" w:rsidRPr="003F7F6C" w:rsidRDefault="0096011C" w:rsidP="002B3130">
            <w:pPr>
              <w:spacing w:after="0"/>
              <w:jc w:val="left"/>
              <w:rPr>
                <w:rFonts w:eastAsia="Times New Roman" w:cs="Calibri"/>
                <w:b/>
                <w:color w:val="222222"/>
                <w:sz w:val="18"/>
                <w:szCs w:val="18"/>
                <w:lang w:eastAsia="es-ES_tradnl"/>
              </w:rPr>
            </w:pPr>
            <w:r w:rsidRPr="003F7F6C">
              <w:rPr>
                <w:rFonts w:eastAsia="Times New Roman" w:cs="Calibri"/>
                <w:b/>
                <w:color w:val="222222"/>
                <w:sz w:val="18"/>
                <w:szCs w:val="18"/>
                <w:lang w:eastAsia="es-ES_tradnl"/>
              </w:rPr>
              <w:t>Type of Activity</w:t>
            </w:r>
          </w:p>
        </w:tc>
        <w:tc>
          <w:tcPr>
            <w:tcW w:w="3373" w:type="dxa"/>
            <w:shd w:val="clear" w:color="auto" w:fill="D9E2F3"/>
          </w:tcPr>
          <w:p w14:paraId="44B1B75B" w14:textId="77777777" w:rsidR="0096011C" w:rsidRPr="003F7F6C" w:rsidRDefault="0096011C" w:rsidP="002B3130">
            <w:pPr>
              <w:spacing w:after="0"/>
              <w:jc w:val="left"/>
              <w:rPr>
                <w:rFonts w:eastAsia="Times New Roman" w:cs="Calibri"/>
                <w:b/>
                <w:color w:val="222222"/>
                <w:sz w:val="18"/>
                <w:szCs w:val="18"/>
                <w:lang w:eastAsia="es-ES_tradnl"/>
              </w:rPr>
            </w:pPr>
            <w:r w:rsidRPr="003F7F6C">
              <w:rPr>
                <w:rFonts w:eastAsia="Times New Roman" w:cs="Calibri"/>
                <w:b/>
                <w:color w:val="222222"/>
                <w:sz w:val="18"/>
                <w:szCs w:val="18"/>
                <w:lang w:eastAsia="es-ES_tradnl"/>
              </w:rPr>
              <w:t>Subjects</w:t>
            </w:r>
          </w:p>
        </w:tc>
        <w:tc>
          <w:tcPr>
            <w:tcW w:w="1843" w:type="dxa"/>
            <w:shd w:val="clear" w:color="auto" w:fill="D9E2F3"/>
          </w:tcPr>
          <w:p w14:paraId="70D3EE02" w14:textId="77777777" w:rsidR="0096011C" w:rsidRPr="003F7F6C" w:rsidRDefault="0096011C" w:rsidP="002B3130">
            <w:pPr>
              <w:spacing w:after="0"/>
              <w:jc w:val="left"/>
              <w:rPr>
                <w:rFonts w:eastAsia="Times New Roman" w:cs="Calibri"/>
                <w:b/>
                <w:color w:val="222222"/>
                <w:sz w:val="18"/>
                <w:szCs w:val="18"/>
                <w:lang w:eastAsia="es-ES_tradnl"/>
              </w:rPr>
            </w:pPr>
            <w:r w:rsidRPr="003F7F6C">
              <w:rPr>
                <w:rFonts w:eastAsia="Times New Roman" w:cs="Calibri"/>
                <w:b/>
                <w:color w:val="222222"/>
                <w:sz w:val="18"/>
                <w:szCs w:val="18"/>
                <w:lang w:eastAsia="es-ES_tradnl"/>
              </w:rPr>
              <w:t>Available Resources</w:t>
            </w:r>
          </w:p>
        </w:tc>
        <w:tc>
          <w:tcPr>
            <w:tcW w:w="1843" w:type="dxa"/>
            <w:shd w:val="clear" w:color="auto" w:fill="D9E2F3"/>
          </w:tcPr>
          <w:p w14:paraId="0D5EAC4E" w14:textId="77777777" w:rsidR="0096011C" w:rsidRPr="003F7F6C" w:rsidRDefault="0096011C" w:rsidP="002B3130">
            <w:pPr>
              <w:spacing w:after="0"/>
              <w:jc w:val="left"/>
              <w:rPr>
                <w:rFonts w:eastAsia="Times New Roman" w:cs="Calibri"/>
                <w:b/>
                <w:color w:val="222222"/>
                <w:sz w:val="18"/>
                <w:szCs w:val="18"/>
                <w:lang w:eastAsia="es-ES_tradnl"/>
              </w:rPr>
            </w:pPr>
            <w:r w:rsidRPr="003F7F6C">
              <w:rPr>
                <w:rFonts w:eastAsia="Times New Roman" w:cs="Calibri"/>
                <w:b/>
                <w:color w:val="222222"/>
                <w:sz w:val="18"/>
                <w:szCs w:val="18"/>
                <w:lang w:eastAsia="es-ES_tradnl"/>
              </w:rPr>
              <w:t>Participants</w:t>
            </w:r>
          </w:p>
        </w:tc>
      </w:tr>
      <w:tr w:rsidR="0096011C" w:rsidRPr="003F7F6C" w14:paraId="58EFE7C1" w14:textId="77777777" w:rsidTr="002B3130">
        <w:tc>
          <w:tcPr>
            <w:tcW w:w="2297" w:type="dxa"/>
            <w:shd w:val="clear" w:color="auto" w:fill="auto"/>
          </w:tcPr>
          <w:p w14:paraId="49A944A2" w14:textId="77777777" w:rsidR="0096011C" w:rsidRPr="003F7F6C" w:rsidRDefault="0096011C" w:rsidP="002B3130">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Capacity building workshops</w:t>
            </w:r>
          </w:p>
          <w:p w14:paraId="7DBAC6E6" w14:textId="77777777" w:rsidR="0096011C" w:rsidRPr="003F7F6C" w:rsidRDefault="0096011C" w:rsidP="002B3130">
            <w:pPr>
              <w:spacing w:after="0"/>
              <w:jc w:val="left"/>
              <w:rPr>
                <w:rFonts w:eastAsia="Times New Roman" w:cs="Calibri"/>
                <w:color w:val="222222"/>
                <w:sz w:val="18"/>
                <w:szCs w:val="18"/>
                <w:lang w:eastAsia="es-ES_tradnl"/>
              </w:rPr>
            </w:pPr>
          </w:p>
          <w:p w14:paraId="016D73C6" w14:textId="77777777" w:rsidR="0096011C" w:rsidRPr="003F7F6C" w:rsidRDefault="0096011C" w:rsidP="002B3130">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Face-to-face modality</w:t>
            </w:r>
          </w:p>
          <w:p w14:paraId="5EFF1D1D" w14:textId="77777777" w:rsidR="0096011C" w:rsidRPr="003F7F6C" w:rsidRDefault="0096011C" w:rsidP="002B3130">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8-16 hour workshops</w:t>
            </w:r>
          </w:p>
          <w:p w14:paraId="7C0CC57D" w14:textId="77777777" w:rsidR="0096011C" w:rsidRPr="003F7F6C" w:rsidRDefault="0096011C" w:rsidP="002B3130">
            <w:pPr>
              <w:spacing w:after="0"/>
              <w:jc w:val="left"/>
              <w:rPr>
                <w:rFonts w:eastAsia="Times New Roman" w:cs="Calibri"/>
                <w:color w:val="222222"/>
                <w:sz w:val="18"/>
                <w:szCs w:val="18"/>
                <w:lang w:eastAsia="es-ES_tradnl"/>
              </w:rPr>
            </w:pPr>
          </w:p>
          <w:p w14:paraId="11013D8E" w14:textId="77777777" w:rsidR="0096011C" w:rsidRPr="003F7F6C" w:rsidRDefault="0096011C" w:rsidP="002B3130">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Objective: Presentation and discussion and mainstreaming of ELUP and fundamental concepts</w:t>
            </w:r>
          </w:p>
        </w:tc>
        <w:tc>
          <w:tcPr>
            <w:tcW w:w="3373" w:type="dxa"/>
            <w:shd w:val="clear" w:color="auto" w:fill="auto"/>
          </w:tcPr>
          <w:p w14:paraId="77A32ED9" w14:textId="77777777" w:rsidR="0096011C" w:rsidRPr="003F7F6C" w:rsidRDefault="0096011C" w:rsidP="002B3130">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ELUP: a) Conceptual and legal framework; b) Public management aspects; c) Experiences at national, regional and international levels; d) Ecosystem goods and services; e) Environment</w:t>
            </w:r>
            <w:r w:rsidR="00ED565D" w:rsidRPr="003F7F6C">
              <w:rPr>
                <w:rFonts w:eastAsia="Times New Roman" w:cs="Calibri"/>
                <w:color w:val="222222"/>
                <w:sz w:val="18"/>
                <w:szCs w:val="18"/>
                <w:lang w:eastAsia="es-ES_tradnl"/>
              </w:rPr>
              <w:t>ally</w:t>
            </w:r>
            <w:r w:rsidRPr="003F7F6C">
              <w:rPr>
                <w:rFonts w:eastAsia="Times New Roman" w:cs="Calibri"/>
                <w:color w:val="222222"/>
                <w:sz w:val="18"/>
                <w:szCs w:val="18"/>
                <w:lang w:eastAsia="es-ES_tradnl"/>
              </w:rPr>
              <w:t xml:space="preserve"> friendly productive practices; f) BD; g) Land uses; h) Economic, fiscal, social instruments for ELUP; i) </w:t>
            </w:r>
            <w:r w:rsidR="00A4008B" w:rsidRPr="003F7F6C">
              <w:rPr>
                <w:rFonts w:eastAsia="Times New Roman" w:cs="Calibri"/>
                <w:color w:val="222222"/>
                <w:sz w:val="18"/>
                <w:szCs w:val="18"/>
                <w:lang w:eastAsia="es-ES_tradnl"/>
              </w:rPr>
              <w:t>Climate change (vulnerabilities and expected impacts)</w:t>
            </w:r>
          </w:p>
        </w:tc>
        <w:tc>
          <w:tcPr>
            <w:tcW w:w="1843" w:type="dxa"/>
            <w:shd w:val="clear" w:color="auto" w:fill="auto"/>
          </w:tcPr>
          <w:p w14:paraId="4A4938DC" w14:textId="77777777" w:rsidR="0096011C" w:rsidRPr="003F7F6C" w:rsidRDefault="0096011C" w:rsidP="002B3130">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SGAyDS</w:t>
            </w:r>
          </w:p>
          <w:p w14:paraId="76173DD7" w14:textId="77777777" w:rsidR="0096011C" w:rsidRPr="003F7F6C" w:rsidRDefault="0096011C" w:rsidP="002B3130">
            <w:pPr>
              <w:spacing w:after="0"/>
              <w:jc w:val="left"/>
              <w:rPr>
                <w:rFonts w:eastAsia="Times New Roman" w:cs="Calibri"/>
                <w:color w:val="222222"/>
                <w:sz w:val="18"/>
                <w:szCs w:val="18"/>
                <w:lang w:eastAsia="es-ES_tradnl"/>
              </w:rPr>
            </w:pPr>
          </w:p>
          <w:p w14:paraId="74AC4CD9" w14:textId="77777777" w:rsidR="0096011C" w:rsidRPr="003F7F6C" w:rsidRDefault="00384646" w:rsidP="002B3130">
            <w:pPr>
              <w:spacing w:after="0"/>
              <w:jc w:val="left"/>
              <w:rPr>
                <w:rFonts w:eastAsia="Times New Roman" w:cs="Calibri"/>
                <w:color w:val="FF0000"/>
                <w:sz w:val="18"/>
                <w:szCs w:val="18"/>
                <w:lang w:eastAsia="es-ES_tradnl"/>
              </w:rPr>
            </w:pPr>
            <w:r w:rsidRPr="003F7F6C">
              <w:rPr>
                <w:rFonts w:eastAsia="Times New Roman" w:cs="Calibri"/>
                <w:color w:val="222222"/>
                <w:sz w:val="18"/>
                <w:szCs w:val="18"/>
                <w:lang w:eastAsia="es-ES_tradnl"/>
              </w:rPr>
              <w:t>Universities</w:t>
            </w:r>
          </w:p>
          <w:p w14:paraId="110D28D4" w14:textId="77777777" w:rsidR="0096011C" w:rsidRPr="003F7F6C" w:rsidRDefault="0096011C" w:rsidP="002B3130">
            <w:pPr>
              <w:spacing w:after="0"/>
              <w:jc w:val="left"/>
              <w:rPr>
                <w:rFonts w:eastAsia="Times New Roman" w:cs="Calibri"/>
                <w:color w:val="222222"/>
                <w:sz w:val="18"/>
                <w:szCs w:val="18"/>
                <w:lang w:eastAsia="es-ES_tradnl"/>
              </w:rPr>
            </w:pPr>
          </w:p>
          <w:p w14:paraId="40E41A91" w14:textId="77777777" w:rsidR="0096011C" w:rsidRPr="003F7F6C" w:rsidRDefault="0096011C" w:rsidP="002B3130">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NGOs (e.g.</w:t>
            </w:r>
            <w:r w:rsidR="00ED565D" w:rsidRPr="003F7F6C">
              <w:rPr>
                <w:rFonts w:eastAsia="Times New Roman" w:cs="Calibri"/>
                <w:color w:val="222222"/>
                <w:sz w:val="18"/>
                <w:szCs w:val="18"/>
                <w:lang w:eastAsia="es-ES_tradnl"/>
              </w:rPr>
              <w:t>,</w:t>
            </w:r>
            <w:r w:rsidRPr="003F7F6C">
              <w:rPr>
                <w:rFonts w:eastAsia="Times New Roman" w:cs="Calibri"/>
                <w:color w:val="222222"/>
                <w:sz w:val="18"/>
                <w:szCs w:val="18"/>
                <w:lang w:eastAsia="es-ES_tradnl"/>
              </w:rPr>
              <w:t xml:space="preserve"> Environment and Natural Resources Foundation)</w:t>
            </w:r>
          </w:p>
        </w:tc>
        <w:tc>
          <w:tcPr>
            <w:tcW w:w="1843" w:type="dxa"/>
            <w:shd w:val="clear" w:color="auto" w:fill="auto"/>
          </w:tcPr>
          <w:p w14:paraId="09DC0672" w14:textId="7F36A3EB" w:rsidR="0096011C" w:rsidRPr="003F7F6C" w:rsidRDefault="0096011C" w:rsidP="002B3130">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 xml:space="preserve">SGAyDS (areas both working </w:t>
            </w:r>
            <w:r w:rsidR="00ED565D" w:rsidRPr="003F7F6C">
              <w:rPr>
                <w:rFonts w:eastAsia="Times New Roman" w:cs="Calibri"/>
                <w:color w:val="222222"/>
                <w:sz w:val="18"/>
                <w:szCs w:val="18"/>
                <w:lang w:eastAsia="es-ES_tradnl"/>
              </w:rPr>
              <w:t xml:space="preserve">with </w:t>
            </w:r>
            <w:r w:rsidRPr="003F7F6C">
              <w:rPr>
                <w:rFonts w:eastAsia="Times New Roman" w:cs="Calibri"/>
                <w:color w:val="222222"/>
                <w:sz w:val="18"/>
                <w:szCs w:val="18"/>
                <w:lang w:eastAsia="es-ES_tradnl"/>
              </w:rPr>
              <w:t xml:space="preserve">and not </w:t>
            </w:r>
            <w:r w:rsidR="00ED565D" w:rsidRPr="003F7F6C">
              <w:rPr>
                <w:rFonts w:eastAsia="Times New Roman" w:cs="Calibri"/>
                <w:color w:val="222222"/>
                <w:sz w:val="18"/>
                <w:szCs w:val="18"/>
                <w:lang w:eastAsia="es-ES_tradnl"/>
              </w:rPr>
              <w:t xml:space="preserve">working </w:t>
            </w:r>
            <w:r w:rsidRPr="003F7F6C">
              <w:rPr>
                <w:rFonts w:eastAsia="Times New Roman" w:cs="Calibri"/>
                <w:color w:val="222222"/>
                <w:sz w:val="18"/>
                <w:szCs w:val="18"/>
                <w:lang w:eastAsia="es-ES_tradnl"/>
              </w:rPr>
              <w:t>with ELUP); INTA; sector</w:t>
            </w:r>
            <w:r w:rsidR="00ED565D" w:rsidRPr="003F7F6C">
              <w:rPr>
                <w:rFonts w:eastAsia="Times New Roman" w:cs="Calibri"/>
                <w:color w:val="222222"/>
                <w:sz w:val="18"/>
                <w:szCs w:val="18"/>
                <w:lang w:eastAsia="es-ES_tradnl"/>
              </w:rPr>
              <w:t>al</w:t>
            </w:r>
            <w:r w:rsidRPr="003F7F6C">
              <w:rPr>
                <w:rFonts w:eastAsia="Times New Roman" w:cs="Calibri"/>
                <w:color w:val="222222"/>
                <w:sz w:val="18"/>
                <w:szCs w:val="18"/>
                <w:lang w:eastAsia="es-ES_tradnl"/>
              </w:rPr>
              <w:t xml:space="preserve"> institutions (agriculture and livestock, infrastructure, mining, tourism)</w:t>
            </w:r>
            <w:r w:rsidR="00D813A5" w:rsidRPr="003F7F6C">
              <w:rPr>
                <w:rFonts w:eastAsia="Times New Roman" w:cs="Calibri"/>
                <w:color w:val="222222"/>
                <w:sz w:val="18"/>
                <w:szCs w:val="18"/>
                <w:lang w:eastAsia="es-ES_tradnl"/>
              </w:rPr>
              <w:t>; academia, NGOs, CSOs, producers, communities</w:t>
            </w:r>
          </w:p>
        </w:tc>
      </w:tr>
      <w:tr w:rsidR="0096011C" w:rsidRPr="003F7F6C" w14:paraId="7F1FEAB8" w14:textId="77777777" w:rsidTr="002B3130">
        <w:tc>
          <w:tcPr>
            <w:tcW w:w="2297" w:type="dxa"/>
            <w:shd w:val="clear" w:color="auto" w:fill="auto"/>
          </w:tcPr>
          <w:p w14:paraId="069AB4A1" w14:textId="77777777" w:rsidR="0096011C" w:rsidRPr="003F7F6C" w:rsidRDefault="0096011C" w:rsidP="002B3130">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Workshops and clinics for exchange of best practices and lessons learned</w:t>
            </w:r>
          </w:p>
        </w:tc>
        <w:tc>
          <w:tcPr>
            <w:tcW w:w="3373" w:type="dxa"/>
            <w:shd w:val="clear" w:color="auto" w:fill="auto"/>
          </w:tcPr>
          <w:p w14:paraId="78102BF9" w14:textId="6D511AD2" w:rsidR="0096011C" w:rsidRPr="003F7F6C" w:rsidRDefault="00384646" w:rsidP="002B3130">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 xml:space="preserve">Existing experiences in design, management and implementation of ELUP in the public sector </w:t>
            </w:r>
          </w:p>
        </w:tc>
        <w:tc>
          <w:tcPr>
            <w:tcW w:w="1843" w:type="dxa"/>
            <w:shd w:val="clear" w:color="auto" w:fill="auto"/>
          </w:tcPr>
          <w:p w14:paraId="1F73E519" w14:textId="77777777" w:rsidR="0096011C" w:rsidRPr="003F7F6C" w:rsidRDefault="0096011C" w:rsidP="002B3130">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Project technical team</w:t>
            </w:r>
          </w:p>
        </w:tc>
        <w:tc>
          <w:tcPr>
            <w:tcW w:w="1843" w:type="dxa"/>
            <w:shd w:val="clear" w:color="auto" w:fill="auto"/>
          </w:tcPr>
          <w:p w14:paraId="3C28AA74" w14:textId="0F7B9C11" w:rsidR="0096011C" w:rsidRPr="003F7F6C" w:rsidRDefault="0096011C" w:rsidP="002B3130">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 xml:space="preserve">SGAyDS (staff working in ELUP); INTA; </w:t>
            </w:r>
            <w:r w:rsidR="00D813A5" w:rsidRPr="003F7F6C">
              <w:rPr>
                <w:rFonts w:eastAsia="Times New Roman" w:cs="Calibri"/>
                <w:color w:val="222222"/>
                <w:sz w:val="18"/>
                <w:szCs w:val="18"/>
                <w:lang w:eastAsia="es-ES_tradnl"/>
              </w:rPr>
              <w:t>academia, NGOs, CSOs,</w:t>
            </w:r>
          </w:p>
        </w:tc>
      </w:tr>
      <w:tr w:rsidR="0096011C" w:rsidRPr="003F7F6C" w14:paraId="5A22BB4D" w14:textId="77777777" w:rsidTr="002B3130">
        <w:tc>
          <w:tcPr>
            <w:tcW w:w="2297" w:type="dxa"/>
            <w:shd w:val="clear" w:color="auto" w:fill="auto"/>
          </w:tcPr>
          <w:p w14:paraId="067C9919" w14:textId="77777777" w:rsidR="0096011C" w:rsidRPr="003F7F6C" w:rsidRDefault="0096011C" w:rsidP="002B3130">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Capacity building workshops</w:t>
            </w:r>
          </w:p>
          <w:p w14:paraId="7509F81F" w14:textId="77777777" w:rsidR="0096011C" w:rsidRPr="003F7F6C" w:rsidRDefault="0096011C" w:rsidP="002B3130">
            <w:pPr>
              <w:spacing w:after="0"/>
              <w:jc w:val="left"/>
              <w:rPr>
                <w:rFonts w:eastAsia="Times New Roman" w:cs="Calibri"/>
                <w:color w:val="222222"/>
                <w:sz w:val="18"/>
                <w:szCs w:val="18"/>
                <w:lang w:eastAsia="es-ES_tradnl"/>
              </w:rPr>
            </w:pPr>
          </w:p>
          <w:p w14:paraId="1A80A544" w14:textId="77777777" w:rsidR="0096011C" w:rsidRPr="003F7F6C" w:rsidRDefault="0096011C" w:rsidP="002B3130">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Face-to-face modality</w:t>
            </w:r>
          </w:p>
          <w:p w14:paraId="5450D9AC" w14:textId="77777777" w:rsidR="0096011C" w:rsidRPr="003F7F6C" w:rsidRDefault="0096011C" w:rsidP="002B3130">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8-16 hour workshops</w:t>
            </w:r>
          </w:p>
          <w:p w14:paraId="3CBB8FA0" w14:textId="77777777" w:rsidR="0096011C" w:rsidRPr="003F7F6C" w:rsidRDefault="0096011C" w:rsidP="002B3130">
            <w:pPr>
              <w:spacing w:after="0"/>
              <w:jc w:val="left"/>
              <w:rPr>
                <w:rFonts w:eastAsia="Times New Roman" w:cs="Calibri"/>
                <w:color w:val="222222"/>
                <w:sz w:val="18"/>
                <w:szCs w:val="18"/>
                <w:lang w:eastAsia="es-ES_tradnl"/>
              </w:rPr>
            </w:pPr>
          </w:p>
          <w:p w14:paraId="0281B56F" w14:textId="77777777" w:rsidR="0096011C" w:rsidRPr="003F7F6C" w:rsidRDefault="0096011C" w:rsidP="002B3130">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Objective: Improve institutional and sectoral capacities, coordination, and management of interests, and practices in relation to ELUP</w:t>
            </w:r>
          </w:p>
        </w:tc>
        <w:tc>
          <w:tcPr>
            <w:tcW w:w="3373" w:type="dxa"/>
            <w:shd w:val="clear" w:color="auto" w:fill="auto"/>
          </w:tcPr>
          <w:p w14:paraId="451A21AA" w14:textId="77777777" w:rsidR="0096011C" w:rsidRPr="003F7F6C" w:rsidRDefault="0096011C" w:rsidP="002B3130">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 xml:space="preserve">Participation, collaboration and dialogue for ELUP: a) ELUP conceptual framework; b) Processes and tools for participation; c) Conflict management and strategies: dialogue-negotiation or mediation; d) Project mechanisms to manage consultations and conflicts; e) </w:t>
            </w:r>
            <w:r w:rsidRPr="003F7F6C">
              <w:rPr>
                <w:sz w:val="18"/>
                <w:szCs w:val="18"/>
              </w:rPr>
              <w:t>promotion of participation of women (indigenous and non-indigenous) and consideration of gender issues in the design and implementation of project interventions</w:t>
            </w:r>
          </w:p>
        </w:tc>
        <w:tc>
          <w:tcPr>
            <w:tcW w:w="1843" w:type="dxa"/>
            <w:shd w:val="clear" w:color="auto" w:fill="auto"/>
          </w:tcPr>
          <w:p w14:paraId="168A5566" w14:textId="77777777" w:rsidR="0096011C" w:rsidRPr="003F7F6C" w:rsidRDefault="0096011C" w:rsidP="002B3130">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Specialists in participation systems and coordination with ELUP</w:t>
            </w:r>
          </w:p>
        </w:tc>
        <w:tc>
          <w:tcPr>
            <w:tcW w:w="1843" w:type="dxa"/>
            <w:shd w:val="clear" w:color="auto" w:fill="auto"/>
          </w:tcPr>
          <w:p w14:paraId="53FADDFB" w14:textId="21A7328A" w:rsidR="0096011C" w:rsidRPr="003F7F6C" w:rsidRDefault="0096011C" w:rsidP="002B3130">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 xml:space="preserve">SGAyDS; INTA; </w:t>
            </w:r>
            <w:r w:rsidR="00ED565D" w:rsidRPr="003F7F6C">
              <w:rPr>
                <w:rFonts w:eastAsia="Times New Roman" w:cs="Calibri"/>
                <w:color w:val="222222"/>
                <w:sz w:val="18"/>
                <w:szCs w:val="18"/>
                <w:lang w:eastAsia="es-ES_tradnl"/>
              </w:rPr>
              <w:t>s</w:t>
            </w:r>
            <w:r w:rsidRPr="003F7F6C">
              <w:rPr>
                <w:rFonts w:eastAsia="Times New Roman" w:cs="Calibri"/>
                <w:color w:val="222222"/>
                <w:sz w:val="18"/>
                <w:szCs w:val="18"/>
                <w:lang w:eastAsia="es-ES_tradnl"/>
              </w:rPr>
              <w:t>ector</w:t>
            </w:r>
            <w:r w:rsidR="00ED565D" w:rsidRPr="003F7F6C">
              <w:rPr>
                <w:rFonts w:eastAsia="Times New Roman" w:cs="Calibri"/>
                <w:color w:val="222222"/>
                <w:sz w:val="18"/>
                <w:szCs w:val="18"/>
                <w:lang w:eastAsia="es-ES_tradnl"/>
              </w:rPr>
              <w:t>al</w:t>
            </w:r>
            <w:r w:rsidRPr="003F7F6C">
              <w:rPr>
                <w:rFonts w:eastAsia="Times New Roman" w:cs="Calibri"/>
                <w:color w:val="222222"/>
                <w:sz w:val="18"/>
                <w:szCs w:val="18"/>
                <w:lang w:eastAsia="es-ES_tradnl"/>
              </w:rPr>
              <w:t xml:space="preserve"> institutions (agriculture and livestock, infrastructure, mining, tourism); </w:t>
            </w:r>
            <w:r w:rsidR="00D813A5" w:rsidRPr="003F7F6C">
              <w:rPr>
                <w:rFonts w:eastAsia="Times New Roman" w:cs="Calibri"/>
                <w:color w:val="222222"/>
                <w:sz w:val="18"/>
                <w:szCs w:val="18"/>
                <w:lang w:eastAsia="es-ES_tradnl"/>
              </w:rPr>
              <w:t xml:space="preserve">academia, NGOs, CSOs, </w:t>
            </w:r>
          </w:p>
        </w:tc>
      </w:tr>
      <w:tr w:rsidR="0096011C" w:rsidRPr="003F7F6C" w14:paraId="5FFF37B3" w14:textId="77777777" w:rsidTr="002B3130">
        <w:tc>
          <w:tcPr>
            <w:tcW w:w="2297" w:type="dxa"/>
            <w:shd w:val="clear" w:color="auto" w:fill="auto"/>
          </w:tcPr>
          <w:p w14:paraId="01786001" w14:textId="77777777" w:rsidR="0096011C" w:rsidRPr="003F7F6C" w:rsidRDefault="0096011C" w:rsidP="002B3130">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Capacity building workshops</w:t>
            </w:r>
          </w:p>
          <w:p w14:paraId="0207B07A" w14:textId="77777777" w:rsidR="0096011C" w:rsidRPr="003F7F6C" w:rsidRDefault="0096011C" w:rsidP="002B3130">
            <w:pPr>
              <w:spacing w:after="0"/>
              <w:jc w:val="left"/>
              <w:rPr>
                <w:rFonts w:eastAsia="Times New Roman" w:cs="Calibri"/>
                <w:color w:val="222222"/>
                <w:sz w:val="18"/>
                <w:szCs w:val="18"/>
                <w:lang w:eastAsia="es-ES_tradnl"/>
              </w:rPr>
            </w:pPr>
          </w:p>
          <w:p w14:paraId="7C09EEF1" w14:textId="77777777" w:rsidR="0096011C" w:rsidRPr="003F7F6C" w:rsidRDefault="0096011C" w:rsidP="002B3130">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Face-to-face modality</w:t>
            </w:r>
          </w:p>
          <w:p w14:paraId="242088DA" w14:textId="77777777" w:rsidR="0096011C" w:rsidRPr="003F7F6C" w:rsidRDefault="0096011C" w:rsidP="002B3130">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8 hour workshops</w:t>
            </w:r>
          </w:p>
          <w:p w14:paraId="0F2ED0B7" w14:textId="77777777" w:rsidR="0096011C" w:rsidRPr="003F7F6C" w:rsidRDefault="0096011C" w:rsidP="002B3130">
            <w:pPr>
              <w:spacing w:after="0"/>
              <w:jc w:val="left"/>
              <w:rPr>
                <w:rFonts w:eastAsia="Times New Roman" w:cs="Calibri"/>
                <w:color w:val="222222"/>
                <w:sz w:val="18"/>
                <w:szCs w:val="18"/>
                <w:lang w:eastAsia="es-ES_tradnl"/>
              </w:rPr>
            </w:pPr>
          </w:p>
          <w:p w14:paraId="1209B4D4" w14:textId="77777777" w:rsidR="0096011C" w:rsidRPr="003F7F6C" w:rsidRDefault="0096011C" w:rsidP="002B3130">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Objective: Improve institutional capacities on traditional knowledge and practices</w:t>
            </w:r>
          </w:p>
        </w:tc>
        <w:tc>
          <w:tcPr>
            <w:tcW w:w="3373" w:type="dxa"/>
            <w:shd w:val="clear" w:color="auto" w:fill="auto"/>
          </w:tcPr>
          <w:p w14:paraId="196AF346" w14:textId="77777777" w:rsidR="0096011C" w:rsidRPr="003F7F6C" w:rsidRDefault="0096011C" w:rsidP="002B3130">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Role of Indigenous Peoples in ELUP: a) legal framework for Indigenous Peoples; b) productive experiences and livelihoods of indigenous peoples in target landscapes; c) project´s social safeguards; d) participation schemes (free, prior and informed consent); e</w:t>
            </w:r>
            <w:r w:rsidRPr="003F7F6C">
              <w:rPr>
                <w:rFonts w:eastAsia="Times New Roman" w:cs="Calibri"/>
                <w:sz w:val="18"/>
                <w:szCs w:val="18"/>
                <w:lang w:eastAsia="es-ES_tradnl"/>
              </w:rPr>
              <w:t xml:space="preserve">) </w:t>
            </w:r>
            <w:r w:rsidRPr="003F7F6C">
              <w:rPr>
                <w:sz w:val="18"/>
                <w:szCs w:val="18"/>
              </w:rPr>
              <w:t>promotion of participation of women and consideration of gender issues in the design and implementation of project interventions</w:t>
            </w:r>
          </w:p>
        </w:tc>
        <w:tc>
          <w:tcPr>
            <w:tcW w:w="1843" w:type="dxa"/>
            <w:shd w:val="clear" w:color="auto" w:fill="auto"/>
          </w:tcPr>
          <w:p w14:paraId="37037822" w14:textId="77777777" w:rsidR="0096011C" w:rsidRPr="003F7F6C" w:rsidRDefault="0096011C" w:rsidP="002B3130">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Specialists in Indigenous Peoples issues (preferably representatives of indigenous peoples)</w:t>
            </w:r>
          </w:p>
        </w:tc>
        <w:tc>
          <w:tcPr>
            <w:tcW w:w="1843" w:type="dxa"/>
            <w:shd w:val="clear" w:color="auto" w:fill="auto"/>
          </w:tcPr>
          <w:p w14:paraId="1B247091" w14:textId="316A224F" w:rsidR="0096011C" w:rsidRPr="003F7F6C" w:rsidRDefault="0096011C" w:rsidP="002B3130">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 xml:space="preserve">SGAyDS; INTA; </w:t>
            </w:r>
            <w:r w:rsidR="00ED565D" w:rsidRPr="003F7F6C">
              <w:rPr>
                <w:rFonts w:eastAsia="Times New Roman" w:cs="Calibri"/>
                <w:color w:val="222222"/>
                <w:sz w:val="18"/>
                <w:szCs w:val="18"/>
                <w:lang w:eastAsia="es-ES_tradnl"/>
              </w:rPr>
              <w:t>s</w:t>
            </w:r>
            <w:r w:rsidRPr="003F7F6C">
              <w:rPr>
                <w:rFonts w:eastAsia="Times New Roman" w:cs="Calibri"/>
                <w:color w:val="222222"/>
                <w:sz w:val="18"/>
                <w:szCs w:val="18"/>
                <w:lang w:eastAsia="es-ES_tradnl"/>
              </w:rPr>
              <w:t>ector</w:t>
            </w:r>
            <w:r w:rsidR="00ED565D" w:rsidRPr="003F7F6C">
              <w:rPr>
                <w:rFonts w:eastAsia="Times New Roman" w:cs="Calibri"/>
                <w:color w:val="222222"/>
                <w:sz w:val="18"/>
                <w:szCs w:val="18"/>
                <w:lang w:eastAsia="es-ES_tradnl"/>
              </w:rPr>
              <w:t>al</w:t>
            </w:r>
            <w:r w:rsidRPr="003F7F6C">
              <w:rPr>
                <w:rFonts w:eastAsia="Times New Roman" w:cs="Calibri"/>
                <w:color w:val="222222"/>
                <w:sz w:val="18"/>
                <w:szCs w:val="18"/>
                <w:lang w:eastAsia="es-ES_tradnl"/>
              </w:rPr>
              <w:t xml:space="preserve"> institutions (agriculture and livestock, infrastructure, mining, tourism); </w:t>
            </w:r>
            <w:r w:rsidR="00D813A5" w:rsidRPr="003F7F6C">
              <w:rPr>
                <w:rFonts w:eastAsia="Times New Roman" w:cs="Calibri"/>
                <w:color w:val="222222"/>
                <w:sz w:val="18"/>
                <w:szCs w:val="18"/>
                <w:lang w:eastAsia="es-ES_tradnl"/>
              </w:rPr>
              <w:t>academia, NGOs, CSOs, producers, communities</w:t>
            </w:r>
          </w:p>
        </w:tc>
      </w:tr>
      <w:tr w:rsidR="00384646" w:rsidRPr="003F7F6C" w14:paraId="6F60647F" w14:textId="77777777" w:rsidTr="002B3130">
        <w:tc>
          <w:tcPr>
            <w:tcW w:w="2297" w:type="dxa"/>
            <w:shd w:val="clear" w:color="auto" w:fill="auto"/>
          </w:tcPr>
          <w:p w14:paraId="5D08C3BD" w14:textId="77777777" w:rsidR="00384646" w:rsidRPr="003F7F6C" w:rsidRDefault="00384646" w:rsidP="002B3130">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Training and awareness raising workshops</w:t>
            </w:r>
          </w:p>
          <w:p w14:paraId="344A1136" w14:textId="77777777" w:rsidR="00384646" w:rsidRPr="003F7F6C" w:rsidRDefault="00384646" w:rsidP="002B3130">
            <w:pPr>
              <w:spacing w:after="0"/>
              <w:jc w:val="left"/>
              <w:rPr>
                <w:rFonts w:eastAsia="Times New Roman" w:cs="Calibri"/>
                <w:color w:val="222222"/>
                <w:sz w:val="18"/>
                <w:szCs w:val="18"/>
                <w:lang w:eastAsia="es-ES_tradnl"/>
              </w:rPr>
            </w:pPr>
          </w:p>
          <w:p w14:paraId="18831F82" w14:textId="77777777" w:rsidR="00384646" w:rsidRPr="003F7F6C" w:rsidRDefault="00384646" w:rsidP="00384646">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Face-to-face modality</w:t>
            </w:r>
          </w:p>
          <w:p w14:paraId="795C7E5D" w14:textId="77777777" w:rsidR="00384646" w:rsidRPr="003F7F6C" w:rsidRDefault="00384646" w:rsidP="00384646">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8 hour workshops</w:t>
            </w:r>
          </w:p>
          <w:p w14:paraId="6C68A234" w14:textId="77777777" w:rsidR="00384646" w:rsidRPr="003F7F6C" w:rsidRDefault="00384646" w:rsidP="002B3130">
            <w:pPr>
              <w:spacing w:after="0"/>
              <w:jc w:val="left"/>
              <w:rPr>
                <w:rFonts w:eastAsia="Times New Roman" w:cs="Calibri"/>
                <w:color w:val="222222"/>
                <w:sz w:val="18"/>
                <w:szCs w:val="18"/>
                <w:lang w:eastAsia="es-ES_tradnl"/>
              </w:rPr>
            </w:pPr>
          </w:p>
          <w:p w14:paraId="05239ECE" w14:textId="77777777" w:rsidR="00384646" w:rsidRPr="003F7F6C" w:rsidRDefault="00384646" w:rsidP="002B3130">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Objective: improve institutional capacities for gender mainstreaming</w:t>
            </w:r>
          </w:p>
        </w:tc>
        <w:tc>
          <w:tcPr>
            <w:tcW w:w="3373" w:type="dxa"/>
            <w:shd w:val="clear" w:color="auto" w:fill="auto"/>
          </w:tcPr>
          <w:p w14:paraId="428FE654" w14:textId="77777777" w:rsidR="00384646" w:rsidRPr="003F7F6C" w:rsidRDefault="00384646" w:rsidP="002B3130">
            <w:pPr>
              <w:spacing w:after="0"/>
              <w:jc w:val="left"/>
              <w:rPr>
                <w:rFonts w:eastAsia="Times New Roman" w:cs="Calibri"/>
                <w:color w:val="222222"/>
                <w:sz w:val="18"/>
                <w:szCs w:val="18"/>
                <w:lang w:eastAsia="es-ES_tradnl"/>
              </w:rPr>
            </w:pPr>
            <w:r w:rsidRPr="003F7F6C">
              <w:rPr>
                <w:sz w:val="18"/>
                <w:szCs w:val="18"/>
              </w:rPr>
              <w:t>Promotion of participation of women,  gender approach and gender mainstreaming in the design and implementation of project interventions</w:t>
            </w:r>
          </w:p>
        </w:tc>
        <w:tc>
          <w:tcPr>
            <w:tcW w:w="1843" w:type="dxa"/>
            <w:shd w:val="clear" w:color="auto" w:fill="auto"/>
          </w:tcPr>
          <w:p w14:paraId="258405C6" w14:textId="77777777" w:rsidR="00384646" w:rsidRPr="003F7F6C" w:rsidRDefault="00384646" w:rsidP="002B3130">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Specialists in gender mainstreaming</w:t>
            </w:r>
          </w:p>
        </w:tc>
        <w:tc>
          <w:tcPr>
            <w:tcW w:w="1843" w:type="dxa"/>
            <w:shd w:val="clear" w:color="auto" w:fill="auto"/>
          </w:tcPr>
          <w:p w14:paraId="54DE4DED" w14:textId="3F41094D" w:rsidR="00384646" w:rsidRPr="003F7F6C" w:rsidRDefault="00384646" w:rsidP="002B3130">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 xml:space="preserve">SGAyDS; INTA; sectoral institutions (agriculture and livestock, infrastructure, mining, tourism); </w:t>
            </w:r>
            <w:r w:rsidR="00D813A5" w:rsidRPr="003F7F6C">
              <w:rPr>
                <w:rFonts w:eastAsia="Times New Roman" w:cs="Calibri"/>
                <w:color w:val="222222"/>
                <w:sz w:val="18"/>
                <w:szCs w:val="18"/>
                <w:lang w:eastAsia="es-ES_tradnl"/>
              </w:rPr>
              <w:t>academia, NGOs, CSOs, producers, communities</w:t>
            </w:r>
          </w:p>
        </w:tc>
      </w:tr>
    </w:tbl>
    <w:p w14:paraId="5FFC4F73" w14:textId="77777777" w:rsidR="0096011C" w:rsidRPr="003F7F6C" w:rsidRDefault="0096011C" w:rsidP="0096011C">
      <w:pPr>
        <w:pStyle w:val="ListParagraph"/>
        <w:tabs>
          <w:tab w:val="left" w:pos="426"/>
        </w:tabs>
        <w:spacing w:after="240"/>
        <w:ind w:left="0"/>
        <w:contextualSpacing w:val="0"/>
        <w:rPr>
          <w:rFonts w:eastAsia="Times New Roman" w:cs="Calibri"/>
          <w:color w:val="1F497D"/>
          <w:szCs w:val="20"/>
          <w:lang w:eastAsia="es-ES_tradnl"/>
        </w:rPr>
      </w:pPr>
    </w:p>
    <w:p w14:paraId="6D80DD98" w14:textId="77777777" w:rsidR="006D5ACA" w:rsidRPr="003F7F6C" w:rsidRDefault="006D5ACA" w:rsidP="00185D9B">
      <w:pPr>
        <w:pStyle w:val="ListParagraph"/>
        <w:tabs>
          <w:tab w:val="left" w:pos="284"/>
          <w:tab w:val="left" w:pos="426"/>
        </w:tabs>
        <w:spacing w:after="240"/>
        <w:ind w:left="0"/>
        <w:contextualSpacing w:val="0"/>
        <w:rPr>
          <w:rFonts w:eastAsia="Times New Roman" w:cs="Calibri"/>
          <w:szCs w:val="20"/>
          <w:lang w:eastAsia="es-ES_tradnl"/>
        </w:rPr>
      </w:pPr>
    </w:p>
    <w:p w14:paraId="03C202DD" w14:textId="77777777" w:rsidR="0059667F" w:rsidRPr="003F7F6C" w:rsidRDefault="006D5ACA" w:rsidP="0059667F">
      <w:pPr>
        <w:pStyle w:val="ListParagraph"/>
        <w:tabs>
          <w:tab w:val="left" w:pos="426"/>
        </w:tabs>
        <w:spacing w:after="240"/>
        <w:ind w:left="0"/>
        <w:contextualSpacing w:val="0"/>
        <w:rPr>
          <w:rFonts w:cs="Calibri"/>
          <w:bCs/>
          <w:szCs w:val="20"/>
        </w:rPr>
      </w:pPr>
      <w:r w:rsidRPr="003F7F6C">
        <w:rPr>
          <w:rFonts w:eastAsia="Times New Roman" w:cs="Calibri"/>
          <w:b/>
          <w:bCs/>
          <w:szCs w:val="20"/>
          <w:lang w:eastAsia="es-ES_tradnl"/>
        </w:rPr>
        <w:t xml:space="preserve">Outcome 2: </w:t>
      </w:r>
      <w:r w:rsidRPr="003F7F6C">
        <w:rPr>
          <w:rFonts w:eastAsia="Times New Roman" w:cs="Calibri"/>
          <w:b/>
          <w:szCs w:val="20"/>
          <w:lang w:eastAsia="es-ES_tradnl"/>
        </w:rPr>
        <w:t xml:space="preserve">Application of ELUP procedures and instruments in pilot </w:t>
      </w:r>
      <w:r w:rsidR="00D12469" w:rsidRPr="003F7F6C">
        <w:rPr>
          <w:rFonts w:eastAsia="Times New Roman" w:cs="Calibri"/>
          <w:b/>
          <w:szCs w:val="20"/>
          <w:lang w:eastAsia="es-ES_tradnl"/>
        </w:rPr>
        <w:t>p</w:t>
      </w:r>
      <w:r w:rsidRPr="003F7F6C">
        <w:rPr>
          <w:rFonts w:eastAsia="Times New Roman" w:cs="Calibri"/>
          <w:b/>
          <w:szCs w:val="20"/>
          <w:lang w:eastAsia="es-ES_tradnl"/>
        </w:rPr>
        <w:t xml:space="preserve">rovinces </w:t>
      </w:r>
      <w:r w:rsidR="00D12469" w:rsidRPr="003F7F6C">
        <w:rPr>
          <w:rFonts w:eastAsia="Times New Roman" w:cs="Calibri"/>
          <w:b/>
          <w:szCs w:val="20"/>
          <w:lang w:eastAsia="es-ES_tradnl"/>
        </w:rPr>
        <w:t xml:space="preserve">in </w:t>
      </w:r>
      <w:r w:rsidRPr="003F7F6C">
        <w:rPr>
          <w:rFonts w:eastAsia="Times New Roman" w:cs="Calibri"/>
          <w:b/>
          <w:szCs w:val="20"/>
          <w:lang w:eastAsia="es-ES_tradnl"/>
        </w:rPr>
        <w:t>targeted ecoregions and production sector land uses</w:t>
      </w:r>
    </w:p>
    <w:p w14:paraId="44F48877" w14:textId="77777777" w:rsidR="0059667F" w:rsidRPr="003F7F6C" w:rsidRDefault="006D5ACA" w:rsidP="0059667F">
      <w:pPr>
        <w:pStyle w:val="ListParagraph"/>
        <w:tabs>
          <w:tab w:val="left" w:pos="426"/>
        </w:tabs>
        <w:spacing w:after="240"/>
        <w:ind w:left="0"/>
        <w:contextualSpacing w:val="0"/>
        <w:rPr>
          <w:rFonts w:cs="Calibri"/>
          <w:bCs/>
          <w:szCs w:val="20"/>
        </w:rPr>
      </w:pPr>
      <w:r w:rsidRPr="003F7F6C">
        <w:rPr>
          <w:rFonts w:eastAsia="Times New Roman" w:cs="Calibri"/>
          <w:bCs/>
          <w:i/>
          <w:szCs w:val="20"/>
          <w:lang w:eastAsia="es-ES_tradnl"/>
        </w:rPr>
        <w:t xml:space="preserve">Output 2.1. Provincial Regulatory Framework for ELUP strengthened </w:t>
      </w:r>
    </w:p>
    <w:p w14:paraId="74240F33" w14:textId="77777777" w:rsidR="0059667F" w:rsidRPr="003F7F6C" w:rsidRDefault="006D5ACA" w:rsidP="00E91275">
      <w:pPr>
        <w:pStyle w:val="ListParagraph"/>
        <w:numPr>
          <w:ilvl w:val="0"/>
          <w:numId w:val="28"/>
        </w:numPr>
        <w:tabs>
          <w:tab w:val="left" w:pos="426"/>
        </w:tabs>
        <w:spacing w:after="240"/>
        <w:ind w:left="0" w:firstLine="0"/>
        <w:contextualSpacing w:val="0"/>
        <w:rPr>
          <w:rFonts w:cs="Calibri"/>
          <w:bCs/>
          <w:szCs w:val="20"/>
        </w:rPr>
      </w:pPr>
      <w:r w:rsidRPr="003F7F6C">
        <w:rPr>
          <w:noProof/>
        </w:rPr>
        <w:t>The project will support the provinces of Buenos Aires, Jujuy and Mendoza in strengthening the provincial regulatory framework for ELUP. This will done through: a) strengthening existing provincial laws through criteria, methodological protocols, legal and administrative procedures</w:t>
      </w:r>
      <w:r w:rsidR="00D12469" w:rsidRPr="003F7F6C">
        <w:rPr>
          <w:noProof/>
        </w:rPr>
        <w:t>,</w:t>
      </w:r>
      <w:r w:rsidRPr="003F7F6C">
        <w:rPr>
          <w:noProof/>
        </w:rPr>
        <w:t xml:space="preserve"> and technical, economic and financial instruments for ELUP, incentive mechanisms, credit restrictions, or trade-off mechanisms; b) developing regulations and </w:t>
      </w:r>
      <w:r w:rsidRPr="003F7F6C">
        <w:rPr>
          <w:noProof/>
          <w:szCs w:val="20"/>
        </w:rPr>
        <w:t xml:space="preserve">instruments </w:t>
      </w:r>
      <w:r w:rsidRPr="003F7F6C">
        <w:rPr>
          <w:rFonts w:cs="Calibri"/>
          <w:bCs/>
          <w:szCs w:val="20"/>
        </w:rPr>
        <w:t>to implement ELUP at provincial and/or municipal level</w:t>
      </w:r>
      <w:r w:rsidR="00D12469" w:rsidRPr="003F7F6C">
        <w:rPr>
          <w:rFonts w:cs="Calibri"/>
          <w:bCs/>
          <w:szCs w:val="20"/>
        </w:rPr>
        <w:t>s</w:t>
      </w:r>
      <w:r w:rsidRPr="003F7F6C">
        <w:rPr>
          <w:rFonts w:cs="Calibri"/>
          <w:bCs/>
          <w:szCs w:val="20"/>
        </w:rPr>
        <w:t xml:space="preserve">; and </w:t>
      </w:r>
      <w:r w:rsidRPr="003F7F6C">
        <w:rPr>
          <w:noProof/>
        </w:rPr>
        <w:t xml:space="preserve">c) analysis of alternative strategies to identify “best-bet” approaches for internalizing </w:t>
      </w:r>
      <w:r w:rsidR="00D12469" w:rsidRPr="003F7F6C">
        <w:rPr>
          <w:noProof/>
        </w:rPr>
        <w:t xml:space="preserve">the </w:t>
      </w:r>
      <w:r w:rsidRPr="003F7F6C">
        <w:rPr>
          <w:noProof/>
        </w:rPr>
        <w:t xml:space="preserve">flows of costs and benefits </w:t>
      </w:r>
      <w:r w:rsidR="00D12469" w:rsidRPr="003F7F6C">
        <w:rPr>
          <w:noProof/>
        </w:rPr>
        <w:t xml:space="preserve">of </w:t>
      </w:r>
      <w:r w:rsidRPr="003F7F6C">
        <w:rPr>
          <w:noProof/>
        </w:rPr>
        <w:t xml:space="preserve">different environmental management approaches. The different proposals developed for strengthening the regulatory frameworks of the provinces will be discussed and agreed </w:t>
      </w:r>
      <w:r w:rsidR="00D12469" w:rsidRPr="003F7F6C">
        <w:rPr>
          <w:noProof/>
        </w:rPr>
        <w:t xml:space="preserve">upon </w:t>
      </w:r>
      <w:r w:rsidRPr="003F7F6C">
        <w:rPr>
          <w:noProof/>
        </w:rPr>
        <w:t>in the multi-stakeholder dialogue spaces to be established under Output 2.2.</w:t>
      </w:r>
      <w:r w:rsidR="00F9707F" w:rsidRPr="003F7F6C">
        <w:rPr>
          <w:noProof/>
        </w:rPr>
        <w:t xml:space="preserve"> All the information produced by the provinces within the framework of the project and related to ELUP will be made available to the SGAyDS.</w:t>
      </w:r>
    </w:p>
    <w:p w14:paraId="26680CCB" w14:textId="77777777" w:rsidR="0059667F" w:rsidRPr="003F7F6C" w:rsidRDefault="006D5ACA" w:rsidP="00E91275">
      <w:pPr>
        <w:pStyle w:val="ListParagraph"/>
        <w:numPr>
          <w:ilvl w:val="0"/>
          <w:numId w:val="28"/>
        </w:numPr>
        <w:tabs>
          <w:tab w:val="left" w:pos="426"/>
        </w:tabs>
        <w:spacing w:after="240"/>
        <w:ind w:left="0" w:firstLine="0"/>
        <w:contextualSpacing w:val="0"/>
        <w:rPr>
          <w:rFonts w:cs="Calibri"/>
          <w:bCs/>
          <w:szCs w:val="20"/>
        </w:rPr>
      </w:pPr>
      <w:r w:rsidRPr="003F7F6C">
        <w:rPr>
          <w:rFonts w:eastAsia="Times New Roman" w:cs="Calibri"/>
          <w:bCs/>
          <w:szCs w:val="20"/>
          <w:u w:val="single"/>
          <w:lang w:eastAsia="es-ES_tradnl"/>
        </w:rPr>
        <w:t>Buenos Aires</w:t>
      </w:r>
      <w:r w:rsidRPr="003F7F6C">
        <w:rPr>
          <w:rFonts w:eastAsia="Times New Roman" w:cs="Calibri"/>
          <w:bCs/>
          <w:szCs w:val="20"/>
          <w:lang w:eastAsia="es-ES_tradnl"/>
        </w:rPr>
        <w:t>: The project will support OPDS in developing in PY1-PY2 a proposal (e.g.</w:t>
      </w:r>
      <w:r w:rsidR="00D12469" w:rsidRPr="003F7F6C">
        <w:rPr>
          <w:rFonts w:eastAsia="Times New Roman" w:cs="Calibri"/>
          <w:bCs/>
          <w:szCs w:val="20"/>
          <w:lang w:eastAsia="es-ES_tradnl"/>
        </w:rPr>
        <w:t>,</w:t>
      </w:r>
      <w:r w:rsidRPr="003F7F6C">
        <w:rPr>
          <w:rFonts w:eastAsia="Times New Roman" w:cs="Calibri"/>
          <w:bCs/>
          <w:szCs w:val="20"/>
          <w:lang w:eastAsia="es-ES_tradnl"/>
        </w:rPr>
        <w:t xml:space="preserve"> decree or resolution) to regulate articles 7 and 9 of the Law Nº 11 723 for Environment and Natural Resources of </w:t>
      </w:r>
      <w:r w:rsidR="00D12469" w:rsidRPr="003F7F6C">
        <w:rPr>
          <w:rFonts w:eastAsia="Times New Roman" w:cs="Calibri"/>
          <w:bCs/>
          <w:szCs w:val="20"/>
          <w:lang w:eastAsia="es-ES_tradnl"/>
        </w:rPr>
        <w:t xml:space="preserve">the </w:t>
      </w:r>
      <w:r w:rsidRPr="003F7F6C">
        <w:rPr>
          <w:rFonts w:eastAsia="Times New Roman" w:cs="Calibri"/>
          <w:bCs/>
          <w:szCs w:val="20"/>
          <w:lang w:eastAsia="es-ES_tradnl"/>
        </w:rPr>
        <w:t>Province of Buenos Aires</w:t>
      </w:r>
      <w:r w:rsidRPr="003F7F6C">
        <w:rPr>
          <w:rStyle w:val="FootnoteReference"/>
          <w:rFonts w:ascii="Calibri" w:eastAsia="Times New Roman" w:hAnsi="Calibri" w:cs="Calibri"/>
          <w:bCs/>
          <w:szCs w:val="20"/>
          <w:lang w:eastAsia="es-ES_tradnl"/>
        </w:rPr>
        <w:footnoteReference w:id="44"/>
      </w:r>
      <w:r w:rsidRPr="003F7F6C">
        <w:rPr>
          <w:rFonts w:eastAsia="Times New Roman" w:cs="Calibri"/>
          <w:bCs/>
          <w:szCs w:val="20"/>
          <w:lang w:eastAsia="es-ES_tradnl"/>
        </w:rPr>
        <w:t xml:space="preserve"> mainstreaming ELUP. In addition, in PY1 and PY2 the project will assist in developing guidelines for all sectors mainstreaming ES and watershed perspectives, and beginning in PY3 through the remainder of the project in promoting the adoption of these guidelines in the design and implementation of provincial and municipal initiatives. At the same time the project will support the assessment of strategies to identify the best options for mainstreaming costs and benefits in accordance with different approaches to environmental management. </w:t>
      </w:r>
    </w:p>
    <w:p w14:paraId="00BF8591" w14:textId="77777777" w:rsidR="0059667F" w:rsidRPr="003F7F6C" w:rsidRDefault="006D5ACA" w:rsidP="00E91275">
      <w:pPr>
        <w:pStyle w:val="ListParagraph"/>
        <w:numPr>
          <w:ilvl w:val="0"/>
          <w:numId w:val="28"/>
        </w:numPr>
        <w:tabs>
          <w:tab w:val="left" w:pos="426"/>
        </w:tabs>
        <w:spacing w:after="240"/>
        <w:ind w:left="0" w:firstLine="0"/>
        <w:contextualSpacing w:val="0"/>
        <w:rPr>
          <w:rFonts w:cs="Calibri"/>
          <w:bCs/>
          <w:szCs w:val="20"/>
        </w:rPr>
      </w:pPr>
      <w:r w:rsidRPr="003F7F6C">
        <w:rPr>
          <w:rFonts w:cs="Calibri"/>
          <w:bCs/>
          <w:szCs w:val="20"/>
        </w:rPr>
        <w:t>The project will also assist in establishing two Observatories</w:t>
      </w:r>
      <w:r w:rsidR="00BF28C5" w:rsidRPr="003F7F6C">
        <w:rPr>
          <w:rStyle w:val="FootnoteReference"/>
          <w:bCs/>
          <w:szCs w:val="20"/>
        </w:rPr>
        <w:footnoteReference w:id="45"/>
      </w:r>
      <w:r w:rsidRPr="003F7F6C">
        <w:rPr>
          <w:rFonts w:cs="Calibri"/>
          <w:bCs/>
          <w:szCs w:val="20"/>
        </w:rPr>
        <w:t xml:space="preserve">. The first one will be an Environmental Observatory to oversee interventions in the target landscapes; it will have the objectives of: a) assisting OPDS in evaluating and implementing environmentally sound practices adopted by urban, peri-urban and rural stakeholders, and b) selecting and validating indicators addressing soil, water and BD for monitoring </w:t>
      </w:r>
      <w:r w:rsidR="00D12469" w:rsidRPr="003F7F6C">
        <w:rPr>
          <w:rFonts w:cs="Calibri"/>
          <w:bCs/>
          <w:szCs w:val="20"/>
        </w:rPr>
        <w:t xml:space="preserve">the </w:t>
      </w:r>
      <w:r w:rsidRPr="003F7F6C">
        <w:rPr>
          <w:rFonts w:cs="Calibri"/>
          <w:bCs/>
          <w:szCs w:val="20"/>
        </w:rPr>
        <w:t>sustainability of relevant production systems in the target landscapes.  The second one will be a Territorial Practices Observatory to promote new development perspectives and share information and knowledge between stakeholders in defined areas, e.g.</w:t>
      </w:r>
      <w:r w:rsidR="00F1411D" w:rsidRPr="003F7F6C">
        <w:rPr>
          <w:rFonts w:cs="Calibri"/>
          <w:bCs/>
          <w:szCs w:val="20"/>
        </w:rPr>
        <w:t>,</w:t>
      </w:r>
      <w:r w:rsidRPr="003F7F6C">
        <w:rPr>
          <w:rFonts w:cs="Calibri"/>
          <w:bCs/>
          <w:szCs w:val="20"/>
        </w:rPr>
        <w:t xml:space="preserve"> the project´s target landscapes.</w:t>
      </w:r>
    </w:p>
    <w:p w14:paraId="4E73B988" w14:textId="77777777" w:rsidR="0059667F" w:rsidRPr="003F7F6C" w:rsidRDefault="006D5ACA" w:rsidP="00E91275">
      <w:pPr>
        <w:pStyle w:val="ListParagraph"/>
        <w:numPr>
          <w:ilvl w:val="0"/>
          <w:numId w:val="28"/>
        </w:numPr>
        <w:tabs>
          <w:tab w:val="left" w:pos="426"/>
        </w:tabs>
        <w:spacing w:after="240"/>
        <w:ind w:left="0" w:firstLine="0"/>
        <w:contextualSpacing w:val="0"/>
        <w:rPr>
          <w:rFonts w:cs="Calibri"/>
          <w:bCs/>
          <w:szCs w:val="20"/>
        </w:rPr>
      </w:pPr>
      <w:r w:rsidRPr="003F7F6C">
        <w:rPr>
          <w:rFonts w:eastAsia="Times New Roman" w:cs="Calibri"/>
          <w:bCs/>
          <w:szCs w:val="20"/>
          <w:u w:val="single"/>
          <w:lang w:eastAsia="es-ES_tradnl"/>
        </w:rPr>
        <w:t>Jujuy</w:t>
      </w:r>
      <w:r w:rsidRPr="003F7F6C">
        <w:rPr>
          <w:rFonts w:eastAsia="Times New Roman" w:cs="Calibri"/>
          <w:bCs/>
          <w:szCs w:val="20"/>
          <w:lang w:eastAsia="es-ES_tradnl"/>
        </w:rPr>
        <w:t>: The project will support the Ministry of Environment in improving the provincial regulatory framework through mainstreaming ELUP criteria in</w:t>
      </w:r>
      <w:r w:rsidR="00F1411D" w:rsidRPr="003F7F6C">
        <w:rPr>
          <w:rFonts w:eastAsia="Times New Roman" w:cs="Calibri"/>
          <w:bCs/>
          <w:szCs w:val="20"/>
          <w:lang w:eastAsia="es-ES_tradnl"/>
        </w:rPr>
        <w:t>to</w:t>
      </w:r>
      <w:r w:rsidRPr="003F7F6C">
        <w:rPr>
          <w:rFonts w:eastAsia="Times New Roman" w:cs="Calibri"/>
          <w:bCs/>
          <w:szCs w:val="20"/>
          <w:lang w:eastAsia="es-ES_tradnl"/>
        </w:rPr>
        <w:t xml:space="preserve"> provincial laws.  Two laws have been identified, namely </w:t>
      </w:r>
      <w:r w:rsidRPr="003F7F6C">
        <w:rPr>
          <w:szCs w:val="20"/>
        </w:rPr>
        <w:t>Law Nº 5 676 which approves the Adaptive Land Use Plan for Forest Areas of Jujuy</w:t>
      </w:r>
      <w:r w:rsidRPr="003F7F6C">
        <w:rPr>
          <w:rStyle w:val="FootnoteReference"/>
          <w:szCs w:val="20"/>
        </w:rPr>
        <w:footnoteReference w:id="46"/>
      </w:r>
      <w:r w:rsidRPr="003F7F6C">
        <w:rPr>
          <w:szCs w:val="20"/>
        </w:rPr>
        <w:t xml:space="preserve"> and the General Environment Law Nº 5 063</w:t>
      </w:r>
      <w:r w:rsidRPr="003F7F6C">
        <w:rPr>
          <w:rStyle w:val="FootnoteReference"/>
          <w:szCs w:val="20"/>
        </w:rPr>
        <w:footnoteReference w:id="47"/>
      </w:r>
      <w:r w:rsidRPr="003F7F6C">
        <w:rPr>
          <w:szCs w:val="20"/>
        </w:rPr>
        <w:t xml:space="preserve">.  </w:t>
      </w:r>
      <w:r w:rsidR="00BF28C5" w:rsidRPr="003F7F6C">
        <w:rPr>
          <w:szCs w:val="20"/>
        </w:rPr>
        <w:t>T</w:t>
      </w:r>
      <w:r w:rsidRPr="003F7F6C">
        <w:rPr>
          <w:szCs w:val="20"/>
        </w:rPr>
        <w:t xml:space="preserve">he project and provincial authorities will agree </w:t>
      </w:r>
      <w:r w:rsidR="00F1411D" w:rsidRPr="003F7F6C">
        <w:rPr>
          <w:szCs w:val="20"/>
        </w:rPr>
        <w:t xml:space="preserve">on </w:t>
      </w:r>
      <w:r w:rsidRPr="003F7F6C">
        <w:rPr>
          <w:szCs w:val="20"/>
        </w:rPr>
        <w:t xml:space="preserve">a workplan to strengthen these laws. This may include developing guidelines and/or regulations for ELUP as well as incorporating the results of economic valuations and the economic and financial instruments assessed and developed </w:t>
      </w:r>
      <w:r w:rsidR="00F1411D" w:rsidRPr="003F7F6C">
        <w:rPr>
          <w:szCs w:val="20"/>
        </w:rPr>
        <w:t xml:space="preserve">under </w:t>
      </w:r>
      <w:r w:rsidRPr="003F7F6C">
        <w:rPr>
          <w:szCs w:val="20"/>
        </w:rPr>
        <w:t xml:space="preserve">Output 2.3, which will be undertaken between PY2 and PY3.  As the results of the activities undertaken in Output 2.3 are made available, these will feed </w:t>
      </w:r>
      <w:r w:rsidR="00F1411D" w:rsidRPr="003F7F6C">
        <w:rPr>
          <w:szCs w:val="20"/>
        </w:rPr>
        <w:t xml:space="preserve">into </w:t>
      </w:r>
      <w:r w:rsidRPr="003F7F6C">
        <w:rPr>
          <w:szCs w:val="20"/>
        </w:rPr>
        <w:t>this Output and new guides or regulations may be developed throughout the remainder of the project. The proposals developed will be discussed and agreed within the multi-stakeholder dialogue spaces to be established under Output 2.2. In addition, project support will address evaluating the implementation of Law Nº 6 080 Provincial System of Natural Protected Areas</w:t>
      </w:r>
      <w:r w:rsidRPr="003F7F6C">
        <w:rPr>
          <w:rStyle w:val="FootnoteReference"/>
          <w:szCs w:val="20"/>
        </w:rPr>
        <w:footnoteReference w:id="48"/>
      </w:r>
      <w:r w:rsidRPr="003F7F6C">
        <w:rPr>
          <w:szCs w:val="20"/>
        </w:rPr>
        <w:t xml:space="preserve">, extracting experiences and lessons and based on them developing a Management Plan for the system (PY1-PY3). Project support will also address designing specific instruments for the target landscapes (PY1-PY3) to be implemented under Output 2.4 through the remainder of the project. These include developing: a) guidelines for strategic planning of the Hornocal-Valle Grande corridor with an integrated approach that incorporates environmental, social and economic variables; b) a schematic plan to implement the Urban Solid Waste Management System </w:t>
      </w:r>
      <w:r w:rsidRPr="003F7F6C">
        <w:rPr>
          <w:rFonts w:cs="Calibri"/>
          <w:szCs w:val="20"/>
        </w:rPr>
        <w:t>within the framework of the Provincial Urban Solid Waste Management Law Nº 5954</w:t>
      </w:r>
      <w:r w:rsidRPr="003F7F6C">
        <w:rPr>
          <w:rStyle w:val="FootnoteReference"/>
          <w:rFonts w:cs="Calibri"/>
          <w:szCs w:val="20"/>
        </w:rPr>
        <w:footnoteReference w:id="49"/>
      </w:r>
      <w:r w:rsidRPr="003F7F6C">
        <w:rPr>
          <w:rFonts w:cs="Calibri"/>
          <w:szCs w:val="20"/>
        </w:rPr>
        <w:t xml:space="preserve">; c) tourist corridor from Susques to Catua in the Susques-Jama-Catua-Olaroz target landscape; and d) management plan for the </w:t>
      </w:r>
      <w:r w:rsidRPr="003F7F6C">
        <w:rPr>
          <w:rFonts w:eastAsia="Times New Roman"/>
          <w:color w:val="000000"/>
          <w:szCs w:val="20"/>
          <w:lang w:eastAsia="es-AR"/>
        </w:rPr>
        <w:t>Olaroz-Cauchari / Catua Fauna and Flora Reserve.</w:t>
      </w:r>
    </w:p>
    <w:p w14:paraId="48A1768A" w14:textId="77777777" w:rsidR="0059667F" w:rsidRPr="003F7F6C" w:rsidRDefault="006D5ACA" w:rsidP="00E91275">
      <w:pPr>
        <w:pStyle w:val="ListParagraph"/>
        <w:numPr>
          <w:ilvl w:val="0"/>
          <w:numId w:val="28"/>
        </w:numPr>
        <w:tabs>
          <w:tab w:val="left" w:pos="426"/>
        </w:tabs>
        <w:spacing w:after="240"/>
        <w:ind w:left="0" w:firstLine="0"/>
        <w:contextualSpacing w:val="0"/>
        <w:rPr>
          <w:rFonts w:cs="Calibri"/>
          <w:bCs/>
          <w:szCs w:val="20"/>
        </w:rPr>
      </w:pPr>
      <w:r w:rsidRPr="003F7F6C">
        <w:rPr>
          <w:rFonts w:eastAsia="Times New Roman" w:cs="Calibri"/>
          <w:bCs/>
          <w:szCs w:val="20"/>
          <w:u w:val="single"/>
          <w:lang w:eastAsia="es-ES_tradnl"/>
        </w:rPr>
        <w:t>Mendoza</w:t>
      </w:r>
      <w:r w:rsidRPr="003F7F6C">
        <w:rPr>
          <w:rFonts w:eastAsia="Times New Roman" w:cs="Calibri"/>
          <w:bCs/>
          <w:szCs w:val="20"/>
          <w:lang w:eastAsia="es-ES_tradnl"/>
        </w:rPr>
        <w:t>: Project assistance will address supporting the</w:t>
      </w:r>
      <w:r w:rsidR="00CC6C33" w:rsidRPr="003F7F6C">
        <w:rPr>
          <w:rFonts w:eastAsia="Times New Roman" w:cs="Calibri"/>
          <w:bCs/>
          <w:szCs w:val="20"/>
          <w:lang w:eastAsia="es-ES_tradnl"/>
        </w:rPr>
        <w:t xml:space="preserve"> </w:t>
      </w:r>
      <w:r w:rsidR="00DC22C9" w:rsidRPr="003F7F6C">
        <w:rPr>
          <w:rFonts w:eastAsia="Times New Roman" w:cs="Calibri"/>
          <w:bCs/>
          <w:szCs w:val="20"/>
          <w:lang w:eastAsia="es-ES_tradnl"/>
        </w:rPr>
        <w:t xml:space="preserve">Secretariat of Environment and Land Use Planning </w:t>
      </w:r>
      <w:r w:rsidR="00CC6C33" w:rsidRPr="003F7F6C">
        <w:rPr>
          <w:rFonts w:eastAsia="Times New Roman" w:cs="Calibri"/>
          <w:bCs/>
          <w:szCs w:val="20"/>
          <w:lang w:eastAsia="es-ES_tradnl"/>
        </w:rPr>
        <w:t>(</w:t>
      </w:r>
      <w:r w:rsidRPr="003F7F6C">
        <w:rPr>
          <w:rFonts w:eastAsia="Times New Roman" w:cs="Calibri"/>
          <w:bCs/>
          <w:szCs w:val="20"/>
          <w:lang w:eastAsia="es-ES_tradnl"/>
        </w:rPr>
        <w:t>SAOT</w:t>
      </w:r>
      <w:r w:rsidR="00CC6C33" w:rsidRPr="003F7F6C">
        <w:rPr>
          <w:rFonts w:eastAsia="Times New Roman" w:cs="Calibri"/>
          <w:bCs/>
          <w:szCs w:val="20"/>
          <w:lang w:eastAsia="es-ES_tradnl"/>
        </w:rPr>
        <w:t>)</w:t>
      </w:r>
      <w:r w:rsidRPr="003F7F6C">
        <w:rPr>
          <w:rFonts w:eastAsia="Times New Roman" w:cs="Calibri"/>
          <w:bCs/>
          <w:szCs w:val="20"/>
          <w:lang w:eastAsia="es-ES_tradnl"/>
        </w:rPr>
        <w:t xml:space="preserve"> in the implementation of </w:t>
      </w:r>
      <w:r w:rsidRPr="003F7F6C">
        <w:rPr>
          <w:rFonts w:cs="Calibri"/>
          <w:bCs/>
          <w:szCs w:val="20"/>
        </w:rPr>
        <w:t>Law Nº 8 051 Land Use Planning of Mendoza</w:t>
      </w:r>
      <w:r w:rsidRPr="003F7F6C">
        <w:rPr>
          <w:rStyle w:val="FootnoteReference"/>
          <w:rFonts w:cs="Calibri"/>
          <w:bCs/>
          <w:szCs w:val="20"/>
        </w:rPr>
        <w:footnoteReference w:id="50"/>
      </w:r>
      <w:r w:rsidRPr="003F7F6C">
        <w:rPr>
          <w:rFonts w:cs="Calibri"/>
          <w:bCs/>
          <w:szCs w:val="20"/>
        </w:rPr>
        <w:t>. This will be done through strengthening existing regulations and mainstreaming ELUP criteria in</w:t>
      </w:r>
      <w:r w:rsidR="000E4993" w:rsidRPr="003F7F6C">
        <w:rPr>
          <w:rFonts w:cs="Calibri"/>
          <w:bCs/>
          <w:szCs w:val="20"/>
        </w:rPr>
        <w:t>to</w:t>
      </w:r>
      <w:r w:rsidRPr="003F7F6C">
        <w:rPr>
          <w:rFonts w:cs="Calibri"/>
          <w:bCs/>
          <w:szCs w:val="20"/>
        </w:rPr>
        <w:t xml:space="preserve"> regulatory instruments. This will include developing specific regulations to operationalize the law and to strengthen ELUP schemes, as well as strengthening land use planning programs at </w:t>
      </w:r>
      <w:r w:rsidR="000E4993" w:rsidRPr="003F7F6C">
        <w:rPr>
          <w:rFonts w:cs="Calibri"/>
          <w:bCs/>
          <w:szCs w:val="20"/>
        </w:rPr>
        <w:t xml:space="preserve">the </w:t>
      </w:r>
      <w:r w:rsidRPr="003F7F6C">
        <w:rPr>
          <w:rFonts w:cs="Calibri"/>
          <w:bCs/>
          <w:szCs w:val="20"/>
        </w:rPr>
        <w:t>municipal level to operationalize ELUP provincial regulations.  The project will support assessing implementation and enforcement through protocols, methodological guidelines, strategic plans, and economic and financial instruments.</w:t>
      </w:r>
    </w:p>
    <w:p w14:paraId="754D7328" w14:textId="77777777" w:rsidR="0059667F" w:rsidRPr="003F7F6C" w:rsidRDefault="00BF2CB4" w:rsidP="00E91275">
      <w:pPr>
        <w:pStyle w:val="ListParagraph"/>
        <w:numPr>
          <w:ilvl w:val="0"/>
          <w:numId w:val="28"/>
        </w:numPr>
        <w:tabs>
          <w:tab w:val="left" w:pos="426"/>
        </w:tabs>
        <w:spacing w:after="240"/>
        <w:ind w:left="0" w:firstLine="0"/>
        <w:contextualSpacing w:val="0"/>
        <w:rPr>
          <w:rFonts w:cs="Calibri"/>
          <w:bCs/>
          <w:szCs w:val="20"/>
        </w:rPr>
      </w:pPr>
      <w:r w:rsidRPr="003F7F6C">
        <w:rPr>
          <w:rFonts w:cs="Calibri"/>
          <w:bCs/>
          <w:szCs w:val="20"/>
        </w:rPr>
        <w:t>The</w:t>
      </w:r>
      <w:r w:rsidR="006D5ACA" w:rsidRPr="003F7F6C">
        <w:rPr>
          <w:rFonts w:cs="Calibri"/>
          <w:bCs/>
          <w:szCs w:val="20"/>
        </w:rPr>
        <w:t xml:space="preserve"> project will support strengthening the regulatory and control framework regarding land uses and development of activities in the piedmont of the Pre-Andean Range and the Front Andean Range. This will include several approaches.  One approach will be to define criteria for land uses compatible with natural and cultural values and their functionality, and incorporating environmental risk considerations</w:t>
      </w:r>
      <w:r w:rsidR="00F9707F" w:rsidRPr="003F7F6C">
        <w:rPr>
          <w:rFonts w:cs="Calibri"/>
          <w:bCs/>
          <w:szCs w:val="20"/>
        </w:rPr>
        <w:t xml:space="preserve"> – particularly the risk of alluvial fan hazards that may be created by land clearing - </w:t>
      </w:r>
      <w:r w:rsidR="006D5ACA" w:rsidRPr="003F7F6C">
        <w:rPr>
          <w:rFonts w:cs="Calibri"/>
          <w:bCs/>
          <w:szCs w:val="20"/>
        </w:rPr>
        <w:t xml:space="preserve"> and mainstreaming these criteria in regulations. This activity will be based on Law Nº 5804 </w:t>
      </w:r>
      <w:r w:rsidR="006D5ACA" w:rsidRPr="003F7F6C">
        <w:rPr>
          <w:rFonts w:cs="Calibri"/>
          <w:szCs w:val="20"/>
        </w:rPr>
        <w:t>declaring of public interest and land use regulation an area located to the West of the Mendoza Metropolitan Area</w:t>
      </w:r>
      <w:r w:rsidR="006D5ACA" w:rsidRPr="003F7F6C">
        <w:rPr>
          <w:rStyle w:val="FootnoteReference"/>
          <w:rFonts w:cs="Calibri"/>
          <w:szCs w:val="20"/>
        </w:rPr>
        <w:footnoteReference w:id="51"/>
      </w:r>
      <w:r w:rsidR="006D5ACA" w:rsidRPr="003F7F6C">
        <w:rPr>
          <w:rFonts w:cs="Calibri"/>
          <w:bCs/>
          <w:szCs w:val="20"/>
        </w:rPr>
        <w:t xml:space="preserve"> and zoning that incorporate</w:t>
      </w:r>
      <w:r w:rsidR="000E4993" w:rsidRPr="003F7F6C">
        <w:rPr>
          <w:rFonts w:cs="Calibri"/>
          <w:bCs/>
          <w:szCs w:val="20"/>
        </w:rPr>
        <w:t>s</w:t>
      </w:r>
      <w:r w:rsidR="006D5ACA" w:rsidRPr="003F7F6C">
        <w:rPr>
          <w:rFonts w:cs="Calibri"/>
          <w:bCs/>
          <w:szCs w:val="20"/>
        </w:rPr>
        <w:t xml:space="preserve"> productive and conservation areas as well as management criteria of the productive units.  </w:t>
      </w:r>
      <w:r w:rsidR="006D5ACA" w:rsidRPr="003F7F6C">
        <w:rPr>
          <w:rFonts w:cs="Calibri"/>
          <w:bCs/>
          <w:strike/>
          <w:szCs w:val="20"/>
        </w:rPr>
        <w:t xml:space="preserve">  </w:t>
      </w:r>
    </w:p>
    <w:p w14:paraId="3747BC5E" w14:textId="77777777" w:rsidR="0059667F" w:rsidRPr="003F7F6C" w:rsidRDefault="006D5ACA" w:rsidP="00E91275">
      <w:pPr>
        <w:pStyle w:val="ListParagraph"/>
        <w:numPr>
          <w:ilvl w:val="0"/>
          <w:numId w:val="28"/>
        </w:numPr>
        <w:tabs>
          <w:tab w:val="left" w:pos="426"/>
        </w:tabs>
        <w:spacing w:after="240"/>
        <w:ind w:left="0" w:firstLine="0"/>
        <w:contextualSpacing w:val="0"/>
        <w:rPr>
          <w:rFonts w:cs="Calibri"/>
          <w:bCs/>
          <w:szCs w:val="20"/>
        </w:rPr>
      </w:pPr>
      <w:r w:rsidRPr="003F7F6C">
        <w:rPr>
          <w:rFonts w:cs="Calibri"/>
          <w:bCs/>
          <w:szCs w:val="20"/>
        </w:rPr>
        <w:t>For the Mendoza Green Belt the project will support developing planning instruments specifically addressing SLM, BD and ES (PY1-PY6).  This could include for instance mainstreaming soil management and BD conservation criteria in the corporate social responsibility programs of the large scale agricultural operations in this landscape. In addition, the project will assist in generating baseline information to understand and zone territories in rural areas and the urban-rural interface to elaborate municipal ELUP plans that mainstream the results of the ES valuation exerci</w:t>
      </w:r>
      <w:r w:rsidR="00433665" w:rsidRPr="003F7F6C">
        <w:rPr>
          <w:rFonts w:cs="Calibri"/>
          <w:bCs/>
          <w:szCs w:val="20"/>
        </w:rPr>
        <w:t>ses under Output 2.3. For the Uco</w:t>
      </w:r>
      <w:r w:rsidRPr="003F7F6C">
        <w:rPr>
          <w:rFonts w:cs="Calibri"/>
          <w:bCs/>
          <w:szCs w:val="20"/>
        </w:rPr>
        <w:t xml:space="preserve"> Valley target landscape the project will assist in developing integrated plans for restoration of degraded areas due to mining operations.</w:t>
      </w:r>
    </w:p>
    <w:p w14:paraId="56123F49" w14:textId="77777777" w:rsidR="0059667F" w:rsidRPr="003F7F6C" w:rsidRDefault="006D5ACA" w:rsidP="00E91275">
      <w:pPr>
        <w:pStyle w:val="ListParagraph"/>
        <w:numPr>
          <w:ilvl w:val="0"/>
          <w:numId w:val="28"/>
        </w:numPr>
        <w:tabs>
          <w:tab w:val="left" w:pos="426"/>
        </w:tabs>
        <w:spacing w:after="240"/>
        <w:ind w:left="0" w:firstLine="0"/>
        <w:contextualSpacing w:val="0"/>
        <w:rPr>
          <w:rFonts w:cs="Calibri"/>
          <w:bCs/>
          <w:szCs w:val="20"/>
        </w:rPr>
      </w:pPr>
      <w:r w:rsidRPr="003F7F6C">
        <w:rPr>
          <w:rFonts w:cs="Calibri"/>
          <w:bCs/>
          <w:szCs w:val="20"/>
        </w:rPr>
        <w:t xml:space="preserve">In addition, the project will support approaches targeting protected areas: a) assessing Law Nº4 902 that creates the Divisadero Largo Reserve (Piedmont AMM target landscape) to develop regulations for conservation compatible activities (agriculture, industry and tourism);  b) analyzing and developing instruments to establish private protected areas with </w:t>
      </w:r>
      <w:r w:rsidR="000E4993" w:rsidRPr="003F7F6C">
        <w:rPr>
          <w:rFonts w:cs="Calibri"/>
          <w:bCs/>
          <w:szCs w:val="20"/>
        </w:rPr>
        <w:t xml:space="preserve">the </w:t>
      </w:r>
      <w:r w:rsidRPr="003F7F6C">
        <w:rPr>
          <w:rFonts w:cs="Calibri"/>
          <w:bCs/>
          <w:szCs w:val="20"/>
        </w:rPr>
        <w:t>active participation of the private sector; c) developing a comprehensive plan for public use infrastructure in protected areas and other strategic sites; d) developing management models that mainstream sustainable natural resource management following criteria such as those of UNESCO´s Man and Biosphere Program. Moreover, the assistance will be provided to discussions and agreements to focus the provincial policy toward integrated management of water resources as a basic tool for strategic development and land use planning.</w:t>
      </w:r>
    </w:p>
    <w:p w14:paraId="1512A4E5" w14:textId="77777777" w:rsidR="0059667F" w:rsidRPr="003F7F6C" w:rsidRDefault="0059667F" w:rsidP="0059667F">
      <w:pPr>
        <w:pStyle w:val="ListParagraph"/>
        <w:tabs>
          <w:tab w:val="left" w:pos="426"/>
        </w:tabs>
        <w:spacing w:after="240"/>
        <w:ind w:left="0"/>
        <w:contextualSpacing w:val="0"/>
        <w:rPr>
          <w:rFonts w:eastAsia="Times New Roman" w:cs="Calibri"/>
          <w:bCs/>
          <w:i/>
          <w:szCs w:val="20"/>
          <w:lang w:eastAsia="es-ES_tradnl"/>
        </w:rPr>
      </w:pPr>
    </w:p>
    <w:p w14:paraId="074CA2B6" w14:textId="77777777" w:rsidR="0059667F" w:rsidRPr="003F7F6C" w:rsidRDefault="00E6764E" w:rsidP="0059667F">
      <w:pPr>
        <w:pStyle w:val="ListParagraph"/>
        <w:tabs>
          <w:tab w:val="left" w:pos="426"/>
        </w:tabs>
        <w:spacing w:after="240"/>
        <w:ind w:left="0"/>
        <w:contextualSpacing w:val="0"/>
        <w:rPr>
          <w:rFonts w:cs="Calibri"/>
          <w:bCs/>
          <w:szCs w:val="20"/>
        </w:rPr>
      </w:pPr>
      <w:r w:rsidRPr="003F7F6C">
        <w:rPr>
          <w:rFonts w:eastAsia="Times New Roman" w:cs="Calibri"/>
          <w:bCs/>
          <w:i/>
          <w:szCs w:val="20"/>
          <w:lang w:eastAsia="es-ES_tradnl"/>
        </w:rPr>
        <w:t>Output 2.2 Provincial Governance Framework for participatory ELUP &amp; sector consensus building</w:t>
      </w:r>
    </w:p>
    <w:p w14:paraId="220AD877" w14:textId="77777777" w:rsidR="0059667F" w:rsidRPr="003F7F6C" w:rsidRDefault="00E6764E" w:rsidP="00E91275">
      <w:pPr>
        <w:pStyle w:val="ListParagraph"/>
        <w:numPr>
          <w:ilvl w:val="0"/>
          <w:numId w:val="28"/>
        </w:numPr>
        <w:tabs>
          <w:tab w:val="left" w:pos="426"/>
        </w:tabs>
        <w:spacing w:after="240"/>
        <w:ind w:left="0" w:firstLine="0"/>
        <w:contextualSpacing w:val="0"/>
        <w:rPr>
          <w:rFonts w:cs="Calibri"/>
          <w:bCs/>
          <w:szCs w:val="20"/>
        </w:rPr>
      </w:pPr>
      <w:r w:rsidRPr="003F7F6C">
        <w:rPr>
          <w:rFonts w:eastAsia="Times New Roman" w:cs="Calibri"/>
          <w:szCs w:val="20"/>
          <w:lang w:eastAsia="es-ES_tradnl"/>
        </w:rPr>
        <w:t xml:space="preserve">The project will promote participatory ELUP and sector consensus building through: </w:t>
      </w:r>
      <w:r w:rsidRPr="003F7F6C">
        <w:rPr>
          <w:rFonts w:cs="Calibri"/>
          <w:szCs w:val="20"/>
        </w:rPr>
        <w:t>a) inter-institutional dialogue spaces for multi-sectoral decision-making in the three pilot provinces, to contribute to and facilitate ELUP zoning and coordinate production changes with sectors in programs and policies at the eco-regional level; b) a sustainable commodities platform for</w:t>
      </w:r>
      <w:r w:rsidR="00BF2CB4" w:rsidRPr="003F7F6C">
        <w:rPr>
          <w:rFonts w:cs="Calibri"/>
          <w:szCs w:val="20"/>
        </w:rPr>
        <w:t xml:space="preserve"> beef</w:t>
      </w:r>
      <w:r w:rsidRPr="003F7F6C">
        <w:rPr>
          <w:rFonts w:cs="Calibri"/>
          <w:szCs w:val="20"/>
        </w:rPr>
        <w:t xml:space="preserve"> in Buenos Aires; and a c) capacity building program to train and raise awareness on ELUP to increase participation and implementation, on the economic appraisal of </w:t>
      </w:r>
      <w:r w:rsidR="00A905DA" w:rsidRPr="003F7F6C">
        <w:rPr>
          <w:rFonts w:cs="Calibri"/>
          <w:szCs w:val="20"/>
        </w:rPr>
        <w:t>economic goods and services (</w:t>
      </w:r>
      <w:r w:rsidRPr="003F7F6C">
        <w:rPr>
          <w:rFonts w:cs="Calibri"/>
          <w:szCs w:val="20"/>
        </w:rPr>
        <w:t>E</w:t>
      </w:r>
      <w:r w:rsidR="00A905DA" w:rsidRPr="003F7F6C">
        <w:rPr>
          <w:rFonts w:cs="Calibri"/>
          <w:szCs w:val="20"/>
        </w:rPr>
        <w:t>G</w:t>
      </w:r>
      <w:r w:rsidRPr="003F7F6C">
        <w:rPr>
          <w:rFonts w:cs="Calibri"/>
          <w:szCs w:val="20"/>
        </w:rPr>
        <w:t>&amp;</w:t>
      </w:r>
      <w:r w:rsidR="00A905DA" w:rsidRPr="003F7F6C">
        <w:rPr>
          <w:rFonts w:cs="Calibri"/>
          <w:szCs w:val="20"/>
        </w:rPr>
        <w:t>S)</w:t>
      </w:r>
      <w:r w:rsidRPr="003F7F6C">
        <w:rPr>
          <w:rFonts w:cs="Calibri"/>
          <w:szCs w:val="20"/>
        </w:rPr>
        <w:t xml:space="preserve">, and the consequences of land use management options in target sectors and ecosystems. </w:t>
      </w:r>
    </w:p>
    <w:p w14:paraId="151F177D" w14:textId="77777777" w:rsidR="0059667F" w:rsidRPr="003F7F6C" w:rsidRDefault="00E6764E" w:rsidP="00E91275">
      <w:pPr>
        <w:pStyle w:val="ListParagraph"/>
        <w:numPr>
          <w:ilvl w:val="0"/>
          <w:numId w:val="28"/>
        </w:numPr>
        <w:tabs>
          <w:tab w:val="left" w:pos="426"/>
        </w:tabs>
        <w:spacing w:after="240"/>
        <w:ind w:left="0" w:firstLine="0"/>
        <w:contextualSpacing w:val="0"/>
        <w:rPr>
          <w:rFonts w:cs="Calibri"/>
          <w:bCs/>
          <w:szCs w:val="20"/>
        </w:rPr>
      </w:pPr>
      <w:r w:rsidRPr="003F7F6C">
        <w:rPr>
          <w:rFonts w:cs="Calibri"/>
          <w:i/>
          <w:szCs w:val="20"/>
        </w:rPr>
        <w:t>Inter-institutional dialogue spaces for multi-sectoral decision-making in Buenos Aires, Jujuy and Mendoza</w:t>
      </w:r>
      <w:r w:rsidRPr="003F7F6C">
        <w:rPr>
          <w:rFonts w:cs="Calibri"/>
          <w:szCs w:val="20"/>
        </w:rPr>
        <w:t>: In recognition that multiple stakeholders are needed for ELUP, the project will support the three provinces to pilot mechanisms for inter-institutional stakeholder dialogue, coordination and for multi-sectoral decision-making to facilitate the ELUP process and ensure stakeholder participation and buy</w:t>
      </w:r>
      <w:r w:rsidR="00BD23C2" w:rsidRPr="003F7F6C">
        <w:rPr>
          <w:rFonts w:cs="Calibri"/>
          <w:szCs w:val="20"/>
        </w:rPr>
        <w:t>-</w:t>
      </w:r>
      <w:r w:rsidRPr="003F7F6C">
        <w:rPr>
          <w:rFonts w:cs="Calibri"/>
          <w:szCs w:val="20"/>
        </w:rPr>
        <w:t>in.  This will allow for horizontal coordination (between institutions of the same government level) and vertical (between national, provincial and municipal levels) in ELUP processes and facilitate implementation through enhanced coordination</w:t>
      </w:r>
      <w:r w:rsidR="00BD23C2" w:rsidRPr="003F7F6C">
        <w:rPr>
          <w:rFonts w:cs="Calibri"/>
          <w:szCs w:val="20"/>
        </w:rPr>
        <w:t>,</w:t>
      </w:r>
      <w:r w:rsidRPr="003F7F6C">
        <w:rPr>
          <w:rFonts w:cs="Calibri"/>
          <w:szCs w:val="20"/>
        </w:rPr>
        <w:t xml:space="preserve"> joint planning and implementation of ELUP policies. Moreover, strengthened coordination between local communities, governments and sector stakeholders will improve efforts </w:t>
      </w:r>
      <w:r w:rsidR="00BD23C2" w:rsidRPr="003F7F6C">
        <w:rPr>
          <w:rFonts w:cs="Calibri"/>
          <w:szCs w:val="20"/>
        </w:rPr>
        <w:t xml:space="preserve">to </w:t>
      </w:r>
      <w:r w:rsidRPr="003F7F6C">
        <w:rPr>
          <w:rFonts w:cs="Calibri"/>
          <w:szCs w:val="20"/>
        </w:rPr>
        <w:t>generat</w:t>
      </w:r>
      <w:r w:rsidR="00BD23C2" w:rsidRPr="003F7F6C">
        <w:rPr>
          <w:rFonts w:cs="Calibri"/>
          <w:szCs w:val="20"/>
        </w:rPr>
        <w:t>e</w:t>
      </w:r>
      <w:r w:rsidRPr="003F7F6C">
        <w:rPr>
          <w:rFonts w:cs="Calibri"/>
          <w:szCs w:val="20"/>
        </w:rPr>
        <w:t xml:space="preserve"> broader participation in monitoring and surveillance and to support sustainable production.</w:t>
      </w:r>
    </w:p>
    <w:p w14:paraId="64D4CA1C" w14:textId="77777777" w:rsidR="0059667F" w:rsidRPr="003F7F6C" w:rsidRDefault="00E6764E" w:rsidP="00E91275">
      <w:pPr>
        <w:pStyle w:val="ListParagraph"/>
        <w:numPr>
          <w:ilvl w:val="0"/>
          <w:numId w:val="28"/>
        </w:numPr>
        <w:tabs>
          <w:tab w:val="left" w:pos="426"/>
        </w:tabs>
        <w:spacing w:after="240"/>
        <w:ind w:left="0" w:firstLine="0"/>
        <w:contextualSpacing w:val="0"/>
        <w:rPr>
          <w:rFonts w:cs="Calibri"/>
          <w:bCs/>
          <w:szCs w:val="20"/>
        </w:rPr>
      </w:pPr>
      <w:r w:rsidRPr="003F7F6C">
        <w:rPr>
          <w:rFonts w:cs="Calibri"/>
          <w:szCs w:val="20"/>
        </w:rPr>
        <w:t>The project will take into account existing experiences. In Buenos Aires two experiences will be considered. One is the Inter-ministerial Commission for Urban and Territorial Land Use Planning (CIOUT)</w:t>
      </w:r>
      <w:r w:rsidRPr="003F7F6C">
        <w:rPr>
          <w:rStyle w:val="FootnoteReference"/>
          <w:rFonts w:ascii="Calibri" w:hAnsi="Calibri" w:cs="Calibri"/>
          <w:szCs w:val="20"/>
        </w:rPr>
        <w:footnoteReference w:id="52"/>
      </w:r>
      <w:r w:rsidRPr="003F7F6C">
        <w:rPr>
          <w:rFonts w:cs="Calibri"/>
          <w:szCs w:val="20"/>
        </w:rPr>
        <w:t>. And the second one is an Inter-sectoral Roundtable for Land Use Planning of the Province of Buenos Aires</w:t>
      </w:r>
      <w:r w:rsidR="00BD23C2" w:rsidRPr="003F7F6C">
        <w:rPr>
          <w:rFonts w:cs="Calibri"/>
          <w:szCs w:val="20"/>
        </w:rPr>
        <w:t>, which</w:t>
      </w:r>
      <w:r w:rsidRPr="003F7F6C">
        <w:rPr>
          <w:rFonts w:cs="Calibri"/>
          <w:szCs w:val="20"/>
        </w:rPr>
        <w:t xml:space="preserve"> was established in 2016 with a multi-sectoral composition and rules of procedure and was operational for one year until 2017. Mendoza has established a Provincial Council for Land Use Planning (CPOT)</w:t>
      </w:r>
      <w:r w:rsidRPr="003F7F6C">
        <w:rPr>
          <w:rStyle w:val="FootnoteReference"/>
          <w:rFonts w:ascii="Calibri" w:hAnsi="Calibri" w:cs="Calibri"/>
          <w:szCs w:val="20"/>
        </w:rPr>
        <w:footnoteReference w:id="53"/>
      </w:r>
      <w:r w:rsidRPr="003F7F6C">
        <w:rPr>
          <w:rFonts w:cs="Calibri"/>
          <w:szCs w:val="20"/>
        </w:rPr>
        <w:t xml:space="preserve">, which has the potential to act as the space for dialogue and coordination.  In addition, the experience acquired in designing an Environmental and Territorial Council in the Malargüe River target landscape, which includes local and multi-sectoral stakeholders will be taken into account.  Jujuy does not have a provincial level space but </w:t>
      </w:r>
      <w:r w:rsidRPr="003F7F6C">
        <w:rPr>
          <w:rFonts w:eastAsia="Times New Roman" w:cs="Calibri"/>
          <w:szCs w:val="20"/>
          <w:lang w:eastAsia="es-ES_tradnl"/>
        </w:rPr>
        <w:t xml:space="preserve">there are several local experiences in multi-sectoral coordination such as the </w:t>
      </w:r>
      <w:r w:rsidRPr="003F7F6C">
        <w:rPr>
          <w:rFonts w:eastAsia="Times New Roman" w:cs="Calibri"/>
          <w:i/>
          <w:szCs w:val="20"/>
          <w:lang w:eastAsia="es-ES_tradnl"/>
        </w:rPr>
        <w:t>Qhapac Ñam</w:t>
      </w:r>
      <w:r w:rsidRPr="003F7F6C">
        <w:rPr>
          <w:rFonts w:eastAsia="Times New Roman" w:cs="Calibri"/>
          <w:szCs w:val="20"/>
          <w:lang w:eastAsia="es-ES_tradnl"/>
        </w:rPr>
        <w:t xml:space="preserve"> Management Unit</w:t>
      </w:r>
      <w:r w:rsidRPr="003F7F6C">
        <w:rPr>
          <w:rStyle w:val="FootnoteReference"/>
          <w:rFonts w:ascii="Calibri" w:eastAsia="Times New Roman" w:hAnsi="Calibri" w:cs="Calibri"/>
          <w:szCs w:val="20"/>
          <w:lang w:eastAsia="es-ES_tradnl"/>
        </w:rPr>
        <w:footnoteReference w:id="54"/>
      </w:r>
      <w:r w:rsidRPr="003F7F6C">
        <w:rPr>
          <w:rFonts w:eastAsia="Times New Roman" w:cs="Calibri"/>
          <w:szCs w:val="20"/>
          <w:lang w:eastAsia="es-ES_tradnl"/>
        </w:rPr>
        <w:t xml:space="preserve"> or local committees in the </w:t>
      </w:r>
      <w:r w:rsidRPr="003F7F6C">
        <w:rPr>
          <w:rFonts w:eastAsia="Times New Roman" w:cs="Calibri"/>
          <w:i/>
          <w:szCs w:val="20"/>
          <w:lang w:eastAsia="es-ES_tradnl"/>
        </w:rPr>
        <w:t>Quebrada de Humahuaca</w:t>
      </w:r>
      <w:r w:rsidRPr="003F7F6C">
        <w:rPr>
          <w:rFonts w:eastAsia="Times New Roman" w:cs="Calibri"/>
          <w:szCs w:val="20"/>
          <w:lang w:eastAsia="es-ES_tradnl"/>
        </w:rPr>
        <w:t>.</w:t>
      </w:r>
    </w:p>
    <w:p w14:paraId="525A7ABF" w14:textId="77777777" w:rsidR="0059667F" w:rsidRPr="003F7F6C" w:rsidRDefault="00E6764E" w:rsidP="00E91275">
      <w:pPr>
        <w:pStyle w:val="ListParagraph"/>
        <w:numPr>
          <w:ilvl w:val="0"/>
          <w:numId w:val="28"/>
        </w:numPr>
        <w:tabs>
          <w:tab w:val="left" w:pos="426"/>
        </w:tabs>
        <w:spacing w:after="240"/>
        <w:ind w:left="0" w:firstLine="0"/>
        <w:contextualSpacing w:val="0"/>
        <w:rPr>
          <w:rFonts w:cs="Calibri"/>
          <w:bCs/>
          <w:szCs w:val="20"/>
        </w:rPr>
      </w:pPr>
      <w:r w:rsidRPr="003F7F6C">
        <w:rPr>
          <w:rFonts w:cs="Calibri"/>
          <w:szCs w:val="20"/>
        </w:rPr>
        <w:t>In PY1 the project will assess these experiences and undertake stakeholder mapping to identify key stakeholders to be involved in the dialogue and coordination spaces in each province. These will be led</w:t>
      </w:r>
      <w:r w:rsidR="00433665" w:rsidRPr="003F7F6C">
        <w:rPr>
          <w:rFonts w:cs="Calibri"/>
          <w:szCs w:val="20"/>
        </w:rPr>
        <w:t xml:space="preserve"> by the OPDS in Buenos Aires, S</w:t>
      </w:r>
      <w:r w:rsidRPr="003F7F6C">
        <w:rPr>
          <w:rFonts w:cs="Calibri"/>
          <w:szCs w:val="20"/>
        </w:rPr>
        <w:t>A</w:t>
      </w:r>
      <w:r w:rsidR="00433665" w:rsidRPr="003F7F6C">
        <w:rPr>
          <w:rFonts w:cs="Calibri"/>
          <w:szCs w:val="20"/>
        </w:rPr>
        <w:t>O</w:t>
      </w:r>
      <w:r w:rsidRPr="003F7F6C">
        <w:rPr>
          <w:rFonts w:cs="Calibri"/>
          <w:szCs w:val="20"/>
        </w:rPr>
        <w:t xml:space="preserve">T in Mendoza and Ministry of Environment in Jujuy and will have the objective of providing long-term spaces where the different sectors and institutions can align, take ownership and develop joint concrete actions for mainstreaming BD conservation and SLM and ELUP in key sectors; generating proposals for inter-sectoral and inter-jurisdictional coordination to prepare and implement ELUP related plans, programs and projects; sectoral planning and mainstreaming provincial ELUP in federal programs; as well as multi-sectoral decision making to facilitate ELUP implementation; sharing information, lessons and experiences; and optimizing the impact of the different interventions. </w:t>
      </w:r>
    </w:p>
    <w:p w14:paraId="7423E4C6" w14:textId="77777777" w:rsidR="0059667F" w:rsidRPr="003F7F6C" w:rsidRDefault="00E6764E" w:rsidP="00E91275">
      <w:pPr>
        <w:pStyle w:val="ListParagraph"/>
        <w:numPr>
          <w:ilvl w:val="0"/>
          <w:numId w:val="28"/>
        </w:numPr>
        <w:tabs>
          <w:tab w:val="left" w:pos="426"/>
        </w:tabs>
        <w:spacing w:after="240"/>
        <w:ind w:left="0" w:firstLine="0"/>
        <w:contextualSpacing w:val="0"/>
        <w:rPr>
          <w:rFonts w:cs="Calibri"/>
          <w:bCs/>
          <w:szCs w:val="20"/>
        </w:rPr>
      </w:pPr>
      <w:r w:rsidRPr="003F7F6C">
        <w:rPr>
          <w:rFonts w:cs="Calibri"/>
          <w:szCs w:val="20"/>
        </w:rPr>
        <w:t>Design will include convening meetings and agreeing on structure and functioning of the spaces (e.g.</w:t>
      </w:r>
      <w:r w:rsidR="00A62238" w:rsidRPr="003F7F6C">
        <w:rPr>
          <w:rFonts w:cs="Calibri"/>
          <w:szCs w:val="20"/>
        </w:rPr>
        <w:t>,</w:t>
      </w:r>
      <w:r w:rsidRPr="003F7F6C">
        <w:rPr>
          <w:rFonts w:cs="Calibri"/>
          <w:szCs w:val="20"/>
        </w:rPr>
        <w:t xml:space="preserve"> terms of reference, rules of procedure, protocol for meetings, record keeping, decision making and coordination mechanisms), as well as promoting agreements between the key stakeholders involved to establish dialogue and coordination, and ensuring adequate representation of women and indigenous peoples (the latter In Jujuy and Mendoza).  Participants will include </w:t>
      </w:r>
      <w:r w:rsidRPr="003F7F6C">
        <w:rPr>
          <w:szCs w:val="20"/>
        </w:rPr>
        <w:t xml:space="preserve">national public institutions, technical and scientific organizations, private sector, universities, CSOs and NGOs (the list of institutions identified during the PPG is included in Table 1 of Annex </w:t>
      </w:r>
      <w:r w:rsidR="00170748" w:rsidRPr="003F7F6C">
        <w:rPr>
          <w:szCs w:val="20"/>
        </w:rPr>
        <w:t>F</w:t>
      </w:r>
      <w:r w:rsidR="00A62238" w:rsidRPr="003F7F6C">
        <w:rPr>
          <w:szCs w:val="20"/>
        </w:rPr>
        <w:t>-</w:t>
      </w:r>
      <w:r w:rsidRPr="003F7F6C">
        <w:rPr>
          <w:szCs w:val="20"/>
        </w:rPr>
        <w:t xml:space="preserve"> Stakeholder Engagement Plan).  These spaces will begin to operate in PY2 and throughout the project´s lifetime through </w:t>
      </w:r>
      <w:r w:rsidRPr="003F7F6C">
        <w:rPr>
          <w:rFonts w:cs="Calibri"/>
          <w:szCs w:val="20"/>
        </w:rPr>
        <w:t xml:space="preserve">– among others to be defined – plenary sessions, working groups, round tables, public audiences, dialogues and fora where the different instruments and approaches developed under the project´s outputs will be discussed with, standardized and agreed </w:t>
      </w:r>
      <w:r w:rsidR="00A62238" w:rsidRPr="003F7F6C">
        <w:rPr>
          <w:rFonts w:cs="Calibri"/>
          <w:szCs w:val="20"/>
        </w:rPr>
        <w:t xml:space="preserve">upon </w:t>
      </w:r>
      <w:r w:rsidRPr="003F7F6C">
        <w:rPr>
          <w:rFonts w:cs="Calibri"/>
          <w:szCs w:val="20"/>
        </w:rPr>
        <w:t>by the main sectors and key stakeholders.</w:t>
      </w:r>
      <w:r w:rsidRPr="003F7F6C">
        <w:rPr>
          <w:szCs w:val="20"/>
        </w:rPr>
        <w:t xml:space="preserve"> </w:t>
      </w:r>
      <w:r w:rsidRPr="003F7F6C">
        <w:rPr>
          <w:rFonts w:cs="Calibri"/>
          <w:szCs w:val="20"/>
        </w:rPr>
        <w:t>The project will undertake a financial sustainability study during the first year of their operation to identify funding sources to sustain the dialogue spaces.</w:t>
      </w:r>
    </w:p>
    <w:p w14:paraId="200C75A5" w14:textId="77777777" w:rsidR="0059667F" w:rsidRPr="003F7F6C" w:rsidRDefault="00E6764E" w:rsidP="00E91275">
      <w:pPr>
        <w:pStyle w:val="ListParagraph"/>
        <w:numPr>
          <w:ilvl w:val="0"/>
          <w:numId w:val="28"/>
        </w:numPr>
        <w:tabs>
          <w:tab w:val="left" w:pos="426"/>
        </w:tabs>
        <w:spacing w:after="240"/>
        <w:ind w:left="0" w:firstLine="0"/>
        <w:contextualSpacing w:val="0"/>
        <w:rPr>
          <w:rFonts w:cs="Calibri"/>
          <w:bCs/>
          <w:szCs w:val="20"/>
        </w:rPr>
      </w:pPr>
      <w:r w:rsidRPr="003F7F6C">
        <w:rPr>
          <w:rFonts w:cs="Calibri"/>
          <w:i/>
          <w:szCs w:val="20"/>
        </w:rPr>
        <w:t xml:space="preserve">Sustainable commodities platform in Buenos Aires: </w:t>
      </w:r>
      <w:r w:rsidRPr="003F7F6C">
        <w:rPr>
          <w:rFonts w:cs="Calibri"/>
          <w:szCs w:val="20"/>
        </w:rPr>
        <w:t xml:space="preserve">The project will support OPDS in establishing a sustainable commodities platform for </w:t>
      </w:r>
      <w:r w:rsidR="00BF2CB4" w:rsidRPr="003F7F6C">
        <w:rPr>
          <w:rFonts w:cs="Calibri"/>
          <w:szCs w:val="20"/>
        </w:rPr>
        <w:t>beef</w:t>
      </w:r>
      <w:r w:rsidRPr="003F7F6C">
        <w:rPr>
          <w:rFonts w:cs="Calibri"/>
          <w:szCs w:val="20"/>
        </w:rPr>
        <w:t>. This sector</w:t>
      </w:r>
      <w:r w:rsidR="007B13FF" w:rsidRPr="003F7F6C">
        <w:rPr>
          <w:rFonts w:cs="Calibri"/>
          <w:szCs w:val="20"/>
        </w:rPr>
        <w:t>al</w:t>
      </w:r>
      <w:r w:rsidRPr="003F7F6C">
        <w:rPr>
          <w:rFonts w:cs="Calibri"/>
          <w:szCs w:val="20"/>
        </w:rPr>
        <w:t xml:space="preserve"> platform will constitute the mechanism to convene and coordinate the public and private sector stakeholders to promote sustainable production; to define potential approaches and policies for complying with ELUP in priority areas; and to reach agreement on possible instruments and minimal standards e.g. sowing methods, reduced agro-chemicals (fertilizers, insecticides, fungicides and herbicides). The project will seek to help the platform members develop a long-term space where the different sectors can align, take ownership and develop joint concrete actions to mitigate the negative impacts of commodity production and maximize productivity, hence strengthening the country's enabling environment for sustainable commodity production. The platforms will be based on the following principles: neutral</w:t>
      </w:r>
      <w:r w:rsidR="00BF2CB4" w:rsidRPr="003F7F6C">
        <w:rPr>
          <w:rFonts w:cs="Calibri"/>
          <w:szCs w:val="20"/>
        </w:rPr>
        <w:t>ity</w:t>
      </w:r>
      <w:r w:rsidRPr="003F7F6C">
        <w:rPr>
          <w:rFonts w:cs="Calibri"/>
          <w:szCs w:val="20"/>
        </w:rPr>
        <w:t>, empowerment and social inclusion, multi-stakeholder, strong facilitation, and conflict resolution.</w:t>
      </w:r>
    </w:p>
    <w:p w14:paraId="1909FC35" w14:textId="77777777" w:rsidR="0059667F" w:rsidRPr="003F7F6C" w:rsidRDefault="00625316" w:rsidP="00E91275">
      <w:pPr>
        <w:pStyle w:val="ListParagraph"/>
        <w:numPr>
          <w:ilvl w:val="0"/>
          <w:numId w:val="28"/>
        </w:numPr>
        <w:tabs>
          <w:tab w:val="left" w:pos="426"/>
        </w:tabs>
        <w:spacing w:after="240"/>
        <w:ind w:left="0" w:firstLine="0"/>
        <w:contextualSpacing w:val="0"/>
        <w:rPr>
          <w:rFonts w:cs="Calibri"/>
          <w:bCs/>
          <w:szCs w:val="20"/>
        </w:rPr>
      </w:pPr>
      <w:r w:rsidRPr="003F7F6C">
        <w:rPr>
          <w:rFonts w:cs="Calibri"/>
          <w:szCs w:val="20"/>
        </w:rPr>
        <w:t>The e</w:t>
      </w:r>
      <w:r w:rsidR="00E6764E" w:rsidRPr="003F7F6C">
        <w:rPr>
          <w:rFonts w:cs="Calibri"/>
          <w:szCs w:val="20"/>
        </w:rPr>
        <w:t xml:space="preserve">stablishment of the platform will build upon UNDP´s Green Commodities Program, providing lessons learned and guidelines to facilitate multi-stakeholder dialogue and providing the expertise and analysis to scale up action to other areas of the country. Coordination will be made with similar supply chain approaches to commodities supported through GEF funds in Brazil, Paraguay, Peru and Ecuador. A detailed stakeholder mapping will be undertaken in PY1 and PY2 and the identified institutions will be invited to participate in the platform. </w:t>
      </w:r>
      <w:r w:rsidRPr="003F7F6C">
        <w:rPr>
          <w:rFonts w:cs="Calibri"/>
          <w:szCs w:val="20"/>
        </w:rPr>
        <w:t>The p</w:t>
      </w:r>
      <w:r w:rsidR="00E6764E" w:rsidRPr="003F7F6C">
        <w:rPr>
          <w:rFonts w:cs="Calibri"/>
          <w:szCs w:val="20"/>
        </w:rPr>
        <w:t xml:space="preserve">articipation of women representing their organizations will be encouraged.  Upon establishment of the platforms, the Project will support drafting of Codes of Conduct, which will be discussed and agreed </w:t>
      </w:r>
      <w:r w:rsidRPr="003F7F6C">
        <w:rPr>
          <w:rFonts w:cs="Calibri"/>
          <w:szCs w:val="20"/>
        </w:rPr>
        <w:t xml:space="preserve">upon </w:t>
      </w:r>
      <w:r w:rsidR="00E6764E" w:rsidRPr="003F7F6C">
        <w:rPr>
          <w:rFonts w:cs="Calibri"/>
          <w:szCs w:val="20"/>
        </w:rPr>
        <w:t xml:space="preserve">by the platform members.  The Code of Conduct will define the rules of procedure for the platform, including objectives, protocol for meetings, record keeping, decision making and coordination mechanisms. </w:t>
      </w:r>
    </w:p>
    <w:p w14:paraId="2F1D38C0" w14:textId="77777777" w:rsidR="0059667F" w:rsidRPr="003F7F6C" w:rsidRDefault="00E6764E" w:rsidP="00E91275">
      <w:pPr>
        <w:pStyle w:val="ListParagraph"/>
        <w:numPr>
          <w:ilvl w:val="0"/>
          <w:numId w:val="28"/>
        </w:numPr>
        <w:tabs>
          <w:tab w:val="left" w:pos="426"/>
        </w:tabs>
        <w:spacing w:after="240"/>
        <w:ind w:left="0" w:firstLine="0"/>
        <w:contextualSpacing w:val="0"/>
        <w:rPr>
          <w:rFonts w:cs="Calibri"/>
          <w:bCs/>
          <w:szCs w:val="20"/>
        </w:rPr>
      </w:pPr>
      <w:r w:rsidRPr="003F7F6C">
        <w:rPr>
          <w:rFonts w:cs="Calibri"/>
          <w:szCs w:val="20"/>
        </w:rPr>
        <w:t xml:space="preserve">The project will undertake studies that will provide inputs to the platform so that it may undertake the assessment processes leading to the development of action plans for sustainable </w:t>
      </w:r>
      <w:r w:rsidR="00BF2CB4" w:rsidRPr="003F7F6C">
        <w:rPr>
          <w:rFonts w:cs="Calibri"/>
          <w:szCs w:val="20"/>
        </w:rPr>
        <w:t>beef</w:t>
      </w:r>
      <w:r w:rsidRPr="003F7F6C">
        <w:rPr>
          <w:rFonts w:cs="Calibri"/>
          <w:szCs w:val="20"/>
        </w:rPr>
        <w:t xml:space="preserve">. The studies may include among others, markets, commercialization processes and channels, stakeholders, relevant case studies, and methods for assessing and measuring the demand for sustainable products. Between PY3 and PY4 and based on the previous studies the platform will undertake </w:t>
      </w:r>
      <w:r w:rsidR="006E6E69" w:rsidRPr="003F7F6C">
        <w:rPr>
          <w:rFonts w:cs="Calibri"/>
          <w:szCs w:val="20"/>
        </w:rPr>
        <w:t xml:space="preserve">a </w:t>
      </w:r>
      <w:r w:rsidRPr="003F7F6C">
        <w:rPr>
          <w:rFonts w:cs="Calibri"/>
          <w:szCs w:val="20"/>
        </w:rPr>
        <w:t xml:space="preserve">root cause analysis of the supply chain, identifying the root causes of the socio-environmental externalities, as well as preparation of an Action Plan for Sustainable </w:t>
      </w:r>
      <w:r w:rsidR="00BF2CB4" w:rsidRPr="003F7F6C">
        <w:rPr>
          <w:rFonts w:cs="Calibri"/>
          <w:szCs w:val="20"/>
        </w:rPr>
        <w:t>Beef</w:t>
      </w:r>
      <w:r w:rsidRPr="003F7F6C">
        <w:rPr>
          <w:rFonts w:cs="Calibri"/>
          <w:szCs w:val="20"/>
        </w:rPr>
        <w:t>. The analyses will also include organizational aspects, links between producers and supply chains at local level, and inter-institutional coordination between national and provincial public and private institutions.</w:t>
      </w:r>
      <w:r w:rsidRPr="003F7F6C">
        <w:rPr>
          <w:rFonts w:cs="Calibri"/>
          <w:szCs w:val="20"/>
          <w:u w:val="single"/>
        </w:rPr>
        <w:t xml:space="preserve"> </w:t>
      </w:r>
      <w:r w:rsidRPr="003F7F6C">
        <w:rPr>
          <w:rFonts w:cs="Calibri"/>
          <w:szCs w:val="20"/>
        </w:rPr>
        <w:t>It will identify the strategies and lines of work for</w:t>
      </w:r>
      <w:r w:rsidR="00BF2CB4" w:rsidRPr="003F7F6C">
        <w:rPr>
          <w:rFonts w:cs="Calibri"/>
          <w:szCs w:val="20"/>
        </w:rPr>
        <w:t xml:space="preserve"> sustainable</w:t>
      </w:r>
      <w:r w:rsidRPr="003F7F6C">
        <w:rPr>
          <w:rFonts w:cs="Calibri"/>
          <w:szCs w:val="20"/>
        </w:rPr>
        <w:t xml:space="preserve"> </w:t>
      </w:r>
      <w:r w:rsidR="00BF2CB4" w:rsidRPr="003F7F6C">
        <w:rPr>
          <w:rFonts w:cs="Calibri"/>
          <w:szCs w:val="20"/>
        </w:rPr>
        <w:t>beef</w:t>
      </w:r>
      <w:r w:rsidRPr="003F7F6C">
        <w:rPr>
          <w:rFonts w:cs="Calibri"/>
          <w:szCs w:val="20"/>
        </w:rPr>
        <w:t xml:space="preserve">, including assessing and verifying the legal mandates and competencies of institutional stakeholders, and assessing public sector budgets. The Action Plan will be validated through the plenary sessions and formally adopted. </w:t>
      </w:r>
    </w:p>
    <w:p w14:paraId="0F16D9C5" w14:textId="3BA910C4" w:rsidR="0059667F" w:rsidRPr="003F7F6C" w:rsidRDefault="00E6764E" w:rsidP="00E91275">
      <w:pPr>
        <w:pStyle w:val="ListParagraph"/>
        <w:numPr>
          <w:ilvl w:val="0"/>
          <w:numId w:val="28"/>
        </w:numPr>
        <w:tabs>
          <w:tab w:val="left" w:pos="426"/>
        </w:tabs>
        <w:spacing w:after="240"/>
        <w:ind w:left="0" w:firstLine="0"/>
        <w:contextualSpacing w:val="0"/>
        <w:rPr>
          <w:rFonts w:cs="Calibri"/>
          <w:bCs/>
          <w:szCs w:val="20"/>
        </w:rPr>
      </w:pPr>
      <w:r w:rsidRPr="003F7F6C">
        <w:rPr>
          <w:rFonts w:cs="Calibri"/>
          <w:szCs w:val="20"/>
        </w:rPr>
        <w:t xml:space="preserve">The project will also support the platform with a financial sustainability study to ensure the continuation of the actions initiated under the project. The platform will hold plenary meetings throughout the project´s lifetime where representatives of each of the </w:t>
      </w:r>
      <w:r w:rsidR="008C3C10" w:rsidRPr="003F7F6C">
        <w:rPr>
          <w:rFonts w:cs="Calibri"/>
          <w:szCs w:val="20"/>
        </w:rPr>
        <w:t>beef value chain</w:t>
      </w:r>
      <w:r w:rsidR="00477A7E" w:rsidRPr="003F7F6C">
        <w:rPr>
          <w:rFonts w:cs="Calibri"/>
          <w:szCs w:val="20"/>
        </w:rPr>
        <w:t>s</w:t>
      </w:r>
      <w:r w:rsidRPr="003F7F6C">
        <w:rPr>
          <w:rFonts w:cs="Calibri"/>
          <w:szCs w:val="20"/>
        </w:rPr>
        <w:t xml:space="preserve"> will be convened. All members will be invited. The plenary sessions will consist of presentations given by different working groups, stakeholders and institutions related to issues identified in the action plan and that have a direct relation to defining the model for responsible production and trade under the project.  </w:t>
      </w:r>
      <w:r w:rsidR="00BF2CB4" w:rsidRPr="003F7F6C">
        <w:rPr>
          <w:rFonts w:cs="Calibri"/>
          <w:szCs w:val="20"/>
        </w:rPr>
        <w:t xml:space="preserve">These sessions </w:t>
      </w:r>
      <w:r w:rsidRPr="003F7F6C">
        <w:rPr>
          <w:rFonts w:cs="Calibri"/>
          <w:szCs w:val="20"/>
        </w:rPr>
        <w:t xml:space="preserve">will be an opportunity for stakeholders to voice opinions and reach consensus on key issues. </w:t>
      </w:r>
    </w:p>
    <w:p w14:paraId="7AAD20FF" w14:textId="77777777" w:rsidR="0059667F" w:rsidRPr="003F7F6C" w:rsidRDefault="00E6764E" w:rsidP="00E91275">
      <w:pPr>
        <w:pStyle w:val="ListParagraph"/>
        <w:numPr>
          <w:ilvl w:val="0"/>
          <w:numId w:val="28"/>
        </w:numPr>
        <w:tabs>
          <w:tab w:val="left" w:pos="426"/>
        </w:tabs>
        <w:spacing w:after="240"/>
        <w:ind w:left="0" w:firstLine="0"/>
        <w:contextualSpacing w:val="0"/>
        <w:rPr>
          <w:rFonts w:cs="Calibri"/>
          <w:bCs/>
          <w:szCs w:val="20"/>
        </w:rPr>
      </w:pPr>
      <w:r w:rsidRPr="003F7F6C">
        <w:rPr>
          <w:rFonts w:cs="Calibri"/>
          <w:szCs w:val="20"/>
        </w:rPr>
        <w:t>In recognition that land use change faces market barriers beyond the specific site</w:t>
      </w:r>
      <w:r w:rsidR="000A7257" w:rsidRPr="003F7F6C">
        <w:rPr>
          <w:rFonts w:cs="Calibri"/>
          <w:szCs w:val="20"/>
        </w:rPr>
        <w:t>s</w:t>
      </w:r>
      <w:r w:rsidRPr="003F7F6C">
        <w:rPr>
          <w:rFonts w:cs="Calibri"/>
          <w:szCs w:val="20"/>
        </w:rPr>
        <w:t xml:space="preserve"> of production, the project will support between PY5 and PY6 </w:t>
      </w:r>
      <w:r w:rsidR="000A7257" w:rsidRPr="003F7F6C">
        <w:rPr>
          <w:rFonts w:cs="Calibri"/>
          <w:szCs w:val="20"/>
        </w:rPr>
        <w:t xml:space="preserve">the promotion of </w:t>
      </w:r>
      <w:r w:rsidRPr="003F7F6C">
        <w:rPr>
          <w:rFonts w:cs="Calibri"/>
          <w:szCs w:val="20"/>
        </w:rPr>
        <w:t xml:space="preserve">sustainable products from Argentina at </w:t>
      </w:r>
      <w:r w:rsidR="000A7257" w:rsidRPr="003F7F6C">
        <w:rPr>
          <w:rFonts w:cs="Calibri"/>
          <w:szCs w:val="20"/>
        </w:rPr>
        <w:t xml:space="preserve">the </w:t>
      </w:r>
      <w:r w:rsidRPr="003F7F6C">
        <w:rPr>
          <w:rFonts w:cs="Calibri"/>
          <w:szCs w:val="20"/>
        </w:rPr>
        <w:t xml:space="preserve">international level through a marketing and outreach program that will help advertise a differentiated approach to production in vulnerable environmental areas. This will include fostering partnerships between producers and buyers of sustainable products; and participating in events such as </w:t>
      </w:r>
      <w:r w:rsidRPr="003F7F6C">
        <w:rPr>
          <w:rFonts w:eastAsia="MS Mincho" w:cs="Calibri"/>
          <w:color w:val="222222"/>
          <w:szCs w:val="20"/>
          <w:lang w:eastAsia="ja-JP" w:bidi="th-TH"/>
        </w:rPr>
        <w:t>interviews and business conferences with international buyers of sustainable products; national fairs and other events. Implementation of the Action Plan will be monitored and adjustments and improvements made.</w:t>
      </w:r>
    </w:p>
    <w:p w14:paraId="5ED7CCF2" w14:textId="7D8D9CC7" w:rsidR="00E6764E" w:rsidRPr="003F7F6C" w:rsidRDefault="00E6764E" w:rsidP="00E91275">
      <w:pPr>
        <w:pStyle w:val="ListParagraph"/>
        <w:numPr>
          <w:ilvl w:val="0"/>
          <w:numId w:val="28"/>
        </w:numPr>
        <w:tabs>
          <w:tab w:val="left" w:pos="426"/>
        </w:tabs>
        <w:spacing w:after="240"/>
        <w:ind w:left="0" w:firstLine="0"/>
        <w:contextualSpacing w:val="0"/>
        <w:rPr>
          <w:rFonts w:cs="Calibri"/>
          <w:bCs/>
          <w:szCs w:val="20"/>
        </w:rPr>
      </w:pPr>
      <w:r w:rsidRPr="003F7F6C">
        <w:rPr>
          <w:rFonts w:cs="Calibri"/>
          <w:i/>
          <w:szCs w:val="20"/>
        </w:rPr>
        <w:t xml:space="preserve">Capacity building: </w:t>
      </w:r>
      <w:r w:rsidRPr="003F7F6C">
        <w:rPr>
          <w:rFonts w:cs="Calibri"/>
          <w:szCs w:val="20"/>
        </w:rPr>
        <w:t xml:space="preserve">The capacity building program for ELUP at </w:t>
      </w:r>
      <w:r w:rsidR="000A7257" w:rsidRPr="003F7F6C">
        <w:rPr>
          <w:rFonts w:cs="Calibri"/>
          <w:szCs w:val="20"/>
        </w:rPr>
        <w:t xml:space="preserve">the </w:t>
      </w:r>
      <w:r w:rsidRPr="003F7F6C">
        <w:rPr>
          <w:rFonts w:cs="Calibri"/>
          <w:szCs w:val="20"/>
        </w:rPr>
        <w:t>provincial level will include different formats and contents. It will target staff from the environmental authorities of Buenos Aires, Jujuy and Mendoza, regional INTA offices, sectoral institutions, universities, and producers,</w:t>
      </w:r>
      <w:r w:rsidR="00AB3C4D" w:rsidRPr="003F7F6C">
        <w:rPr>
          <w:rFonts w:cs="Calibri"/>
          <w:szCs w:val="20"/>
        </w:rPr>
        <w:t xml:space="preserve"> NGOs and CSOs</w:t>
      </w:r>
      <w:r w:rsidRPr="003F7F6C">
        <w:rPr>
          <w:rFonts w:cs="Calibri"/>
          <w:szCs w:val="20"/>
        </w:rPr>
        <w:t xml:space="preserve"> and communities of the target landscapes. The program will seek to: a) assess the training needs and demands of the different national level stakeholders and beneficiaries; b) define objectives, prioritize themes and develop materials; c) establish the methodologies for each type of capacity building activity proposed, identifying the tools to be used, which must include both theory and practice; and d) evaluat</w:t>
      </w:r>
      <w:r w:rsidR="000A7257" w:rsidRPr="003F7F6C">
        <w:rPr>
          <w:rFonts w:cs="Calibri"/>
          <w:szCs w:val="20"/>
        </w:rPr>
        <w:t>e</w:t>
      </w:r>
      <w:r w:rsidRPr="003F7F6C">
        <w:rPr>
          <w:rFonts w:cs="Calibri"/>
          <w:szCs w:val="20"/>
        </w:rPr>
        <w:t xml:space="preserve"> the capacity building activities and the program itself to determine changes in knowledge, understanding and skills for ELUP. Training will be supported by communication and information materials to raise awareness about ELUP and about the economic value of ecosystem goods and services. </w:t>
      </w:r>
      <w:r w:rsidR="00253D5F" w:rsidRPr="003F7F6C">
        <w:rPr>
          <w:rFonts w:cs="Calibri"/>
          <w:szCs w:val="20"/>
        </w:rPr>
        <w:t xml:space="preserve">Please refer to </w:t>
      </w:r>
      <w:r w:rsidRPr="003F7F6C">
        <w:rPr>
          <w:rFonts w:cs="Calibri"/>
          <w:szCs w:val="20"/>
        </w:rPr>
        <w:t xml:space="preserve">Table </w:t>
      </w:r>
      <w:r w:rsidR="00253D5F" w:rsidRPr="003F7F6C">
        <w:rPr>
          <w:rFonts w:cs="Calibri"/>
          <w:szCs w:val="20"/>
        </w:rPr>
        <w:t>3</w:t>
      </w:r>
      <w:r w:rsidRPr="003F7F6C">
        <w:rPr>
          <w:rFonts w:cs="Calibri"/>
          <w:szCs w:val="20"/>
        </w:rPr>
        <w:t xml:space="preserve"> </w:t>
      </w:r>
      <w:r w:rsidR="00253D5F" w:rsidRPr="003F7F6C">
        <w:rPr>
          <w:rFonts w:cs="Calibri"/>
          <w:szCs w:val="20"/>
        </w:rPr>
        <w:t xml:space="preserve">above for information on the </w:t>
      </w:r>
      <w:r w:rsidRPr="003F7F6C">
        <w:rPr>
          <w:rFonts w:cs="Calibri"/>
          <w:szCs w:val="20"/>
        </w:rPr>
        <w:t xml:space="preserve"> capacity building program.</w:t>
      </w:r>
    </w:p>
    <w:p w14:paraId="6CB878B8" w14:textId="77777777" w:rsidR="0059667F" w:rsidRPr="003F7F6C" w:rsidRDefault="0059667F" w:rsidP="0059667F">
      <w:pPr>
        <w:pStyle w:val="ListParagraph"/>
        <w:tabs>
          <w:tab w:val="left" w:pos="426"/>
        </w:tabs>
        <w:spacing w:after="240"/>
        <w:ind w:left="0"/>
        <w:contextualSpacing w:val="0"/>
        <w:rPr>
          <w:rFonts w:eastAsia="Times New Roman" w:cs="Calibri"/>
          <w:bCs/>
          <w:i/>
          <w:szCs w:val="20"/>
          <w:lang w:eastAsia="es-ES_tradnl"/>
        </w:rPr>
      </w:pPr>
    </w:p>
    <w:p w14:paraId="7BFC15C3" w14:textId="77777777" w:rsidR="0059667F" w:rsidRPr="003F7F6C" w:rsidRDefault="00E145BD" w:rsidP="0059667F">
      <w:pPr>
        <w:pStyle w:val="ListParagraph"/>
        <w:tabs>
          <w:tab w:val="left" w:pos="426"/>
        </w:tabs>
        <w:spacing w:after="240"/>
        <w:ind w:left="0"/>
        <w:contextualSpacing w:val="0"/>
        <w:rPr>
          <w:rFonts w:cs="Calibri"/>
          <w:bCs/>
          <w:szCs w:val="20"/>
        </w:rPr>
      </w:pPr>
      <w:r w:rsidRPr="003F7F6C">
        <w:rPr>
          <w:rFonts w:eastAsia="Times New Roman" w:cs="Calibri"/>
          <w:bCs/>
          <w:i/>
          <w:szCs w:val="20"/>
          <w:lang w:eastAsia="es-ES_tradnl"/>
        </w:rPr>
        <w:t xml:space="preserve">Output 2.3. Set of instruments validated in pilot landscapes for defining and implementing ELUP </w:t>
      </w:r>
    </w:p>
    <w:p w14:paraId="10DBE1D7" w14:textId="5C7E9CD8" w:rsidR="0059667F" w:rsidRPr="003F7F6C" w:rsidRDefault="00E145BD" w:rsidP="00E91275">
      <w:pPr>
        <w:pStyle w:val="ListParagraph"/>
        <w:numPr>
          <w:ilvl w:val="0"/>
          <w:numId w:val="28"/>
        </w:numPr>
        <w:tabs>
          <w:tab w:val="left" w:pos="426"/>
        </w:tabs>
        <w:spacing w:after="240"/>
        <w:ind w:left="0" w:firstLine="0"/>
        <w:contextualSpacing w:val="0"/>
        <w:rPr>
          <w:rFonts w:cs="Calibri"/>
          <w:bCs/>
          <w:szCs w:val="20"/>
        </w:rPr>
      </w:pPr>
      <w:r w:rsidRPr="003F7F6C">
        <w:rPr>
          <w:rFonts w:eastAsia="Times New Roman" w:cs="Calibri"/>
          <w:szCs w:val="20"/>
          <w:lang w:eastAsia="es-ES_tradnl"/>
        </w:rPr>
        <w:t xml:space="preserve">The project will support ground level work to develop decision-making instruments to facilitate ELUP in the selected target landscapes of the pilot provinces. This will include instruments needed to define ELUP and the respective types of land use restriction for specific locations.  </w:t>
      </w:r>
      <w:r w:rsidRPr="003F7F6C">
        <w:rPr>
          <w:rFonts w:cs="Calibri"/>
          <w:szCs w:val="20"/>
        </w:rPr>
        <w:t xml:space="preserve">These will include methodologies to assess the valuation of ecosystem goods and services and scenario analysis in different ecoregions and land uses to provide decision makers with </w:t>
      </w:r>
      <w:r w:rsidR="000824AF" w:rsidRPr="003F7F6C">
        <w:rPr>
          <w:rFonts w:cs="Calibri"/>
          <w:szCs w:val="20"/>
        </w:rPr>
        <w:t xml:space="preserve">information on </w:t>
      </w:r>
      <w:r w:rsidRPr="003F7F6C">
        <w:rPr>
          <w:rFonts w:cs="Calibri"/>
          <w:szCs w:val="20"/>
        </w:rPr>
        <w:t xml:space="preserve">the implications of different courses of action affecting natural resources and global environmental values. It will also include </w:t>
      </w:r>
      <w:r w:rsidR="000824AF" w:rsidRPr="003F7F6C">
        <w:rPr>
          <w:rFonts w:cs="Calibri"/>
          <w:szCs w:val="20"/>
        </w:rPr>
        <w:t xml:space="preserve">an </w:t>
      </w:r>
      <w:r w:rsidRPr="003F7F6C">
        <w:rPr>
          <w:rFonts w:cs="Calibri"/>
          <w:szCs w:val="20"/>
        </w:rPr>
        <w:t xml:space="preserve">assessment of the influence </w:t>
      </w:r>
      <w:r w:rsidR="000824AF" w:rsidRPr="003F7F6C">
        <w:rPr>
          <w:rFonts w:cs="Calibri"/>
          <w:szCs w:val="20"/>
        </w:rPr>
        <w:t>o</w:t>
      </w:r>
      <w:r w:rsidRPr="003F7F6C">
        <w:rPr>
          <w:rFonts w:cs="Calibri"/>
          <w:szCs w:val="20"/>
        </w:rPr>
        <w:t>n these sector practices on the ecosystem goods and services under alternative macroeconomic and climate change scenarios. Careful coordination will be made with ex-post evaluations in Component 3 and other projects. In addition to the economic valuation of ecosystem services and trade off scenarios, methodologies for evaluation of ecosystem functions will be undertaken to further determine priority areas for conservation based on ecosystem values and or vulnerability. Moreover</w:t>
      </w:r>
      <w:r w:rsidR="00252492" w:rsidRPr="003F7F6C">
        <w:rPr>
          <w:rFonts w:cs="Calibri"/>
          <w:szCs w:val="20"/>
        </w:rPr>
        <w:t>,</w:t>
      </w:r>
      <w:r w:rsidRPr="003F7F6C">
        <w:rPr>
          <w:rFonts w:cs="Calibri"/>
          <w:szCs w:val="20"/>
        </w:rPr>
        <w:t xml:space="preserve"> instruments related to land use restrictions will also be tested to implement ELUP, including  command and control instruments to deter incompliance with established land use zones, incentives for transitions to new production practices or new approaches, and instruments to compensate for opportunity costs for land owners that are required to reduce or change production in areas designated in ELUP for strict conservation of biodiversity or those where extreme measures are needed to reduce land degradation. </w:t>
      </w:r>
      <w:r w:rsidR="00FB7250" w:rsidRPr="003F7F6C">
        <w:rPr>
          <w:rFonts w:asciiTheme="minorHAnsi" w:hAnsiTheme="minorHAnsi" w:cstheme="minorHAnsi"/>
        </w:rPr>
        <w:t xml:space="preserve">Development of economic and financial instruments will </w:t>
      </w:r>
      <w:r w:rsidR="00292107" w:rsidRPr="003F7F6C">
        <w:rPr>
          <w:rFonts w:asciiTheme="minorHAnsi" w:hAnsiTheme="minorHAnsi" w:cstheme="minorHAnsi"/>
        </w:rPr>
        <w:t>include</w:t>
      </w:r>
      <w:r w:rsidR="00FB7250" w:rsidRPr="003F7F6C">
        <w:rPr>
          <w:rFonts w:asciiTheme="minorHAnsi" w:hAnsiTheme="minorHAnsi" w:cstheme="minorHAnsi"/>
        </w:rPr>
        <w:t xml:space="preserve"> mainstreaming climate change considerations (e.g.</w:t>
      </w:r>
      <w:r w:rsidR="001030B5" w:rsidRPr="003F7F6C">
        <w:rPr>
          <w:rFonts w:asciiTheme="minorHAnsi" w:hAnsiTheme="minorHAnsi" w:cstheme="minorHAnsi"/>
        </w:rPr>
        <w:t>,</w:t>
      </w:r>
      <w:r w:rsidR="00FB7250" w:rsidRPr="003F7F6C">
        <w:rPr>
          <w:rFonts w:asciiTheme="minorHAnsi" w:hAnsiTheme="minorHAnsi" w:cstheme="minorHAnsi"/>
        </w:rPr>
        <w:t xml:space="preserve"> incentives for practices that favor adaptation) in these instruments</w:t>
      </w:r>
      <w:r w:rsidR="00292107" w:rsidRPr="003F7F6C">
        <w:rPr>
          <w:rFonts w:asciiTheme="minorHAnsi" w:hAnsiTheme="minorHAnsi" w:cstheme="minorHAnsi"/>
        </w:rPr>
        <w:t>.</w:t>
      </w:r>
    </w:p>
    <w:p w14:paraId="5E739C4B" w14:textId="77777777" w:rsidR="0059667F" w:rsidRPr="003F7F6C" w:rsidRDefault="00E145BD" w:rsidP="00E91275">
      <w:pPr>
        <w:pStyle w:val="ListParagraph"/>
        <w:numPr>
          <w:ilvl w:val="0"/>
          <w:numId w:val="28"/>
        </w:numPr>
        <w:tabs>
          <w:tab w:val="left" w:pos="426"/>
        </w:tabs>
        <w:spacing w:after="240"/>
        <w:ind w:left="0" w:firstLine="0"/>
        <w:contextualSpacing w:val="0"/>
        <w:rPr>
          <w:rFonts w:cs="Calibri"/>
          <w:bCs/>
          <w:szCs w:val="20"/>
        </w:rPr>
      </w:pPr>
      <w:r w:rsidRPr="003F7F6C">
        <w:rPr>
          <w:rFonts w:cs="Calibri"/>
          <w:szCs w:val="20"/>
          <w:u w:val="single"/>
        </w:rPr>
        <w:t>Buenos Aires:</w:t>
      </w:r>
      <w:r w:rsidRPr="003F7F6C">
        <w:rPr>
          <w:rFonts w:cs="Calibri"/>
          <w:i/>
          <w:szCs w:val="20"/>
          <w:u w:val="single"/>
        </w:rPr>
        <w:t xml:space="preserve"> </w:t>
      </w:r>
      <w:r w:rsidRPr="003F7F6C">
        <w:rPr>
          <w:rFonts w:cs="Calibri"/>
          <w:szCs w:val="20"/>
        </w:rPr>
        <w:t>Three approaches will be undertaken, namely: a) ES valuation; b) assessment of incentives for changing land uses in areas defined as priority in ELUP, and c) development of protocols for implementing ELUP.</w:t>
      </w:r>
      <w:r w:rsidR="0048553A" w:rsidRPr="003F7F6C">
        <w:rPr>
          <w:rFonts w:cs="Calibri"/>
          <w:szCs w:val="20"/>
        </w:rPr>
        <w:t xml:space="preserve"> </w:t>
      </w:r>
    </w:p>
    <w:p w14:paraId="143FC303" w14:textId="5CB87ADF" w:rsidR="0059667F" w:rsidRPr="003F7F6C" w:rsidRDefault="00E145BD" w:rsidP="00E91275">
      <w:pPr>
        <w:pStyle w:val="ListParagraph"/>
        <w:numPr>
          <w:ilvl w:val="0"/>
          <w:numId w:val="28"/>
        </w:numPr>
        <w:tabs>
          <w:tab w:val="left" w:pos="426"/>
        </w:tabs>
        <w:spacing w:after="240"/>
        <w:ind w:left="0" w:firstLine="0"/>
        <w:contextualSpacing w:val="0"/>
        <w:rPr>
          <w:rFonts w:cs="Calibri"/>
          <w:bCs/>
          <w:szCs w:val="20"/>
        </w:rPr>
      </w:pPr>
      <w:r w:rsidRPr="003F7F6C">
        <w:rPr>
          <w:rFonts w:cs="Calibri"/>
          <w:i/>
          <w:szCs w:val="20"/>
        </w:rPr>
        <w:t>Valuation of ecosystem goods and services:</w:t>
      </w:r>
      <w:r w:rsidRPr="003F7F6C">
        <w:rPr>
          <w:rFonts w:cs="Calibri"/>
          <w:szCs w:val="20"/>
        </w:rPr>
        <w:t xml:space="preserve"> Under Output 1.2 above the project will assess in detail the feasibility of two pre-selected ES evaluation methodologies, namely ECOSER and multi-criteria analysis with GIS. In each target landscape the project will support the application of the selected methodology to undertake a bio-physical evaluation which will be followed by an economic valuation as a basis to define policies and management instruments for ELUP that mainstream BD conservation and SLM. INTA will provide training to OPDS in approaches, methodologies and tools for ES valuation and their use in ELUP. </w:t>
      </w:r>
      <w:r w:rsidR="0046431F" w:rsidRPr="003F7F6C">
        <w:rPr>
          <w:rFonts w:cs="Calibri"/>
          <w:szCs w:val="20"/>
        </w:rPr>
        <w:t>T</w:t>
      </w:r>
      <w:r w:rsidRPr="003F7F6C">
        <w:rPr>
          <w:rFonts w:cs="Calibri"/>
          <w:szCs w:val="20"/>
        </w:rPr>
        <w:t xml:space="preserve">he project will support OPDS in: a) </w:t>
      </w:r>
      <w:r w:rsidR="0046431F" w:rsidRPr="003F7F6C">
        <w:rPr>
          <w:rFonts w:cs="Calibri"/>
          <w:szCs w:val="20"/>
        </w:rPr>
        <w:t>identifying strategic ecosystems for their provision of ES (e.g.</w:t>
      </w:r>
      <w:r w:rsidR="00477A7E" w:rsidRPr="003F7F6C">
        <w:rPr>
          <w:rFonts w:cs="Calibri"/>
          <w:szCs w:val="20"/>
        </w:rPr>
        <w:t>,</w:t>
      </w:r>
      <w:r w:rsidR="0046431F" w:rsidRPr="003F7F6C">
        <w:rPr>
          <w:rFonts w:cs="Calibri"/>
          <w:szCs w:val="20"/>
        </w:rPr>
        <w:t>wetlands, native forests, Valuable Grassland Areas (VGA)); areas of high ecological fragility due to their vulnerability to anthropogenic activity (e.g.</w:t>
      </w:r>
      <w:r w:rsidR="00477A7E" w:rsidRPr="003F7F6C">
        <w:rPr>
          <w:rFonts w:cs="Calibri"/>
          <w:szCs w:val="20"/>
        </w:rPr>
        <w:t>,</w:t>
      </w:r>
      <w:r w:rsidR="0046431F" w:rsidRPr="003F7F6C">
        <w:rPr>
          <w:rFonts w:cs="Calibri"/>
          <w:szCs w:val="20"/>
        </w:rPr>
        <w:t xml:space="preserve"> soils prone to erosion); and areas </w:t>
      </w:r>
      <w:r w:rsidR="0027665B" w:rsidRPr="003F7F6C">
        <w:rPr>
          <w:rFonts w:cs="Calibri"/>
          <w:szCs w:val="20"/>
        </w:rPr>
        <w:t xml:space="preserve">of </w:t>
      </w:r>
      <w:r w:rsidR="0027665B" w:rsidRPr="003F7F6C">
        <w:rPr>
          <w:rFonts w:cs="Calibri"/>
          <w:bCs/>
          <w:szCs w:val="20"/>
        </w:rPr>
        <w:t xml:space="preserve">probable occurrence of </w:t>
      </w:r>
      <w:r w:rsidR="0027665B" w:rsidRPr="003F7F6C">
        <w:rPr>
          <w:rFonts w:cs="Calibri"/>
          <w:szCs w:val="20"/>
        </w:rPr>
        <w:t xml:space="preserve">physical </w:t>
      </w:r>
      <w:r w:rsidR="0046431F" w:rsidRPr="003F7F6C">
        <w:rPr>
          <w:rFonts w:cs="Calibri"/>
          <w:szCs w:val="20"/>
        </w:rPr>
        <w:t>hazards due to environmental degradation or human intervention (e.g.</w:t>
      </w:r>
      <w:r w:rsidR="00477A7E" w:rsidRPr="003F7F6C">
        <w:rPr>
          <w:rFonts w:cs="Calibri"/>
          <w:szCs w:val="20"/>
        </w:rPr>
        <w:t>,</w:t>
      </w:r>
      <w:r w:rsidR="0046431F" w:rsidRPr="003F7F6C">
        <w:rPr>
          <w:rFonts w:cs="Calibri"/>
          <w:szCs w:val="20"/>
        </w:rPr>
        <w:t xml:space="preserve"> urban expansion over floodplains or </w:t>
      </w:r>
      <w:r w:rsidR="0027665B" w:rsidRPr="003F7F6C">
        <w:rPr>
          <w:rFonts w:cs="Calibri"/>
          <w:szCs w:val="20"/>
        </w:rPr>
        <w:t>water recharge areas</w:t>
      </w:r>
      <w:r w:rsidR="0046431F" w:rsidRPr="003F7F6C">
        <w:rPr>
          <w:rFonts w:cs="Calibri"/>
          <w:szCs w:val="20"/>
        </w:rPr>
        <w:t>, filling of wetlands</w:t>
      </w:r>
      <w:r w:rsidR="0027665B" w:rsidRPr="003F7F6C">
        <w:rPr>
          <w:rFonts w:cs="Calibri"/>
          <w:szCs w:val="20"/>
        </w:rPr>
        <w:t>, expansion of agriculture over grasslands); and b</w:t>
      </w:r>
      <w:r w:rsidRPr="003F7F6C">
        <w:rPr>
          <w:rFonts w:cs="Calibri"/>
          <w:szCs w:val="20"/>
        </w:rPr>
        <w:t xml:space="preserve">) generating together with INTA baseline information, systematizing the information and defining the methodology for economic valuation of ES.  The results will be validated with key stakeholders.  </w:t>
      </w:r>
    </w:p>
    <w:p w14:paraId="6D2914CA" w14:textId="77777777" w:rsidR="0059667F" w:rsidRPr="003F7F6C" w:rsidRDefault="0027665B" w:rsidP="00E91275">
      <w:pPr>
        <w:pStyle w:val="ListParagraph"/>
        <w:numPr>
          <w:ilvl w:val="0"/>
          <w:numId w:val="28"/>
        </w:numPr>
        <w:tabs>
          <w:tab w:val="left" w:pos="426"/>
        </w:tabs>
        <w:spacing w:after="240"/>
        <w:ind w:left="0" w:firstLine="0"/>
        <w:contextualSpacing w:val="0"/>
        <w:rPr>
          <w:rFonts w:cs="Calibri"/>
          <w:bCs/>
          <w:szCs w:val="20"/>
        </w:rPr>
      </w:pPr>
      <w:r w:rsidRPr="003F7F6C">
        <w:rPr>
          <w:rFonts w:cs="Calibri"/>
          <w:szCs w:val="20"/>
        </w:rPr>
        <w:t>T</w:t>
      </w:r>
      <w:r w:rsidR="00E145BD" w:rsidRPr="003F7F6C">
        <w:rPr>
          <w:rFonts w:cs="Calibri"/>
          <w:szCs w:val="20"/>
        </w:rPr>
        <w:t>he</w:t>
      </w:r>
      <w:r w:rsidRPr="003F7F6C">
        <w:rPr>
          <w:rFonts w:cs="Calibri"/>
          <w:szCs w:val="20"/>
        </w:rPr>
        <w:t xml:space="preserve"> selected</w:t>
      </w:r>
      <w:r w:rsidR="00E145BD" w:rsidRPr="003F7F6C">
        <w:rPr>
          <w:rFonts w:cs="Calibri"/>
          <w:szCs w:val="20"/>
        </w:rPr>
        <w:t xml:space="preserve"> economic valuation methodology will be applied in each target landscape calculating the willingness-to-pay for the prioritized ES.  In the Parana Delta landscape the ES valuation will build on the Comprehensive Strategic Plan for Conservation and Sustainable Use of the Parana Delta (PIECAS), which has generated baseline information, stakeholder mapping and a strategic environmental evaluation. The results of the ES valuation will serve to strengthen the long</w:t>
      </w:r>
      <w:r w:rsidR="000824AF" w:rsidRPr="003F7F6C">
        <w:rPr>
          <w:rFonts w:cs="Calibri"/>
          <w:szCs w:val="20"/>
        </w:rPr>
        <w:t>-</w:t>
      </w:r>
      <w:r w:rsidR="00E145BD" w:rsidRPr="003F7F6C">
        <w:rPr>
          <w:rFonts w:cs="Calibri"/>
          <w:szCs w:val="20"/>
        </w:rPr>
        <w:t>term implementation of the PIECAS.</w:t>
      </w:r>
    </w:p>
    <w:p w14:paraId="5C0F8D41" w14:textId="77777777" w:rsidR="0059667F" w:rsidRPr="003F7F6C" w:rsidRDefault="00E145BD" w:rsidP="00E91275">
      <w:pPr>
        <w:pStyle w:val="ListParagraph"/>
        <w:numPr>
          <w:ilvl w:val="0"/>
          <w:numId w:val="28"/>
        </w:numPr>
        <w:tabs>
          <w:tab w:val="left" w:pos="426"/>
        </w:tabs>
        <w:spacing w:after="240"/>
        <w:ind w:left="0" w:firstLine="0"/>
        <w:contextualSpacing w:val="0"/>
        <w:rPr>
          <w:rFonts w:cs="Calibri"/>
          <w:szCs w:val="20"/>
        </w:rPr>
      </w:pPr>
      <w:r w:rsidRPr="003F7F6C">
        <w:rPr>
          <w:rFonts w:cs="Calibri"/>
          <w:i/>
          <w:szCs w:val="20"/>
        </w:rPr>
        <w:t>Economic, financial and fiscal incentives</w:t>
      </w:r>
      <w:r w:rsidRPr="003F7F6C">
        <w:rPr>
          <w:rFonts w:cs="Calibri"/>
          <w:szCs w:val="20"/>
        </w:rPr>
        <w:t xml:space="preserve">: Project assistance will address the agriculture and livestock, tourism, </w:t>
      </w:r>
      <w:r w:rsidR="0048553A" w:rsidRPr="003F7F6C">
        <w:rPr>
          <w:rFonts w:cs="Calibri"/>
          <w:szCs w:val="20"/>
        </w:rPr>
        <w:t xml:space="preserve">and </w:t>
      </w:r>
      <w:r w:rsidRPr="003F7F6C">
        <w:rPr>
          <w:rFonts w:cs="Calibri"/>
          <w:szCs w:val="20"/>
        </w:rPr>
        <w:t>peri-urban insfrastructure</w:t>
      </w:r>
      <w:r w:rsidRPr="003F7F6C">
        <w:rPr>
          <w:rFonts w:cs="Calibri"/>
          <w:color w:val="7030A0"/>
          <w:szCs w:val="20"/>
        </w:rPr>
        <w:t xml:space="preserve"> </w:t>
      </w:r>
      <w:r w:rsidR="0048553A" w:rsidRPr="003F7F6C">
        <w:rPr>
          <w:rFonts w:cs="Calibri"/>
          <w:szCs w:val="20"/>
        </w:rPr>
        <w:t xml:space="preserve">sectors </w:t>
      </w:r>
      <w:r w:rsidRPr="003F7F6C">
        <w:rPr>
          <w:szCs w:val="20"/>
        </w:rPr>
        <w:t xml:space="preserve">working through the different levels of institutions and sectors to link environmental sustainability of production practices and location in ELUP zoning as criteria in different incentive programs currently supported by </w:t>
      </w:r>
      <w:r w:rsidRPr="003F7F6C">
        <w:rPr>
          <w:rFonts w:cs="Calibri"/>
          <w:szCs w:val="20"/>
        </w:rPr>
        <w:t>government. The project will assist OPDS beginning in PY2 and throughout the project´s lifetime in promoting in the three target landscapes access of landowners that have management plans, to payments under the compensation schemes for producers that apply SLM under the federal Native Forest Law Nº26331</w:t>
      </w:r>
      <w:r w:rsidR="00DA54F8" w:rsidRPr="003F7F6C">
        <w:rPr>
          <w:rFonts w:cs="Calibri"/>
          <w:szCs w:val="20"/>
        </w:rPr>
        <w:t>,</w:t>
      </w:r>
      <w:r w:rsidRPr="003F7F6C">
        <w:rPr>
          <w:rFonts w:cs="Calibri"/>
          <w:szCs w:val="20"/>
        </w:rPr>
        <w:t xml:space="preserve"> Forest Plantation Investment Law Nº25080, and the Provincial Native Forest Law Nº 14 888</w:t>
      </w:r>
      <w:r w:rsidRPr="003F7F6C">
        <w:footnoteReference w:id="55"/>
      </w:r>
      <w:r w:rsidRPr="003F7F6C">
        <w:rPr>
          <w:rFonts w:cs="Calibri"/>
          <w:szCs w:val="20"/>
        </w:rPr>
        <w:t xml:space="preserve">. </w:t>
      </w:r>
    </w:p>
    <w:p w14:paraId="5BAAEAD3" w14:textId="77777777" w:rsidR="0027665B" w:rsidRPr="003F7F6C" w:rsidRDefault="0027665B" w:rsidP="00E91275">
      <w:pPr>
        <w:pStyle w:val="ListParagraph"/>
        <w:numPr>
          <w:ilvl w:val="0"/>
          <w:numId w:val="28"/>
        </w:numPr>
        <w:tabs>
          <w:tab w:val="left" w:pos="426"/>
        </w:tabs>
        <w:spacing w:after="240"/>
        <w:ind w:left="0" w:firstLine="0"/>
        <w:contextualSpacing w:val="0"/>
        <w:rPr>
          <w:rFonts w:cs="Calibri"/>
          <w:bCs/>
          <w:szCs w:val="20"/>
        </w:rPr>
      </w:pPr>
      <w:r w:rsidRPr="003F7F6C">
        <w:rPr>
          <w:rFonts w:cs="Calibri"/>
          <w:szCs w:val="20"/>
        </w:rPr>
        <w:t>T</w:t>
      </w:r>
      <w:r w:rsidR="00E145BD" w:rsidRPr="003F7F6C">
        <w:rPr>
          <w:rFonts w:cs="Calibri"/>
          <w:szCs w:val="20"/>
        </w:rPr>
        <w:t>he project will assess national funding programs to develop specific financing lines to address land uses defined in the ELUP instruments to be developed by the project, and for promoting environment</w:t>
      </w:r>
      <w:r w:rsidR="009626B9" w:rsidRPr="003F7F6C">
        <w:rPr>
          <w:rFonts w:cs="Calibri"/>
          <w:szCs w:val="20"/>
        </w:rPr>
        <w:t>ally</w:t>
      </w:r>
      <w:r w:rsidR="00E145BD" w:rsidRPr="003F7F6C">
        <w:rPr>
          <w:rFonts w:cs="Calibri"/>
          <w:szCs w:val="20"/>
        </w:rPr>
        <w:t>-friendly BD and SLM practices that are adapted to the province for testing in the target landscapes. These include the Seed Funds of the Ministry of Production</w:t>
      </w:r>
      <w:r w:rsidR="00E145BD" w:rsidRPr="003F7F6C">
        <w:rPr>
          <w:rStyle w:val="FootnoteReference"/>
          <w:rFonts w:ascii="Calibri" w:hAnsi="Calibri" w:cs="Calibri"/>
          <w:szCs w:val="20"/>
        </w:rPr>
        <w:footnoteReference w:id="56"/>
      </w:r>
      <w:r w:rsidR="00E145BD" w:rsidRPr="003F7F6C">
        <w:rPr>
          <w:rFonts w:cs="Calibri"/>
          <w:szCs w:val="20"/>
        </w:rPr>
        <w:t xml:space="preserve"> (soft loans), ArgenINTA Foundation</w:t>
      </w:r>
      <w:r w:rsidR="00E145BD" w:rsidRPr="003F7F6C">
        <w:rPr>
          <w:rStyle w:val="FootnoteReference"/>
          <w:rFonts w:ascii="Calibri" w:hAnsi="Calibri" w:cs="Calibri"/>
        </w:rPr>
        <w:footnoteReference w:id="57"/>
      </w:r>
      <w:r w:rsidR="00E145BD" w:rsidRPr="003F7F6C">
        <w:rPr>
          <w:rFonts w:cs="Calibri"/>
          <w:szCs w:val="20"/>
        </w:rPr>
        <w:t xml:space="preserve"> (soft loans) and the Ministry of Tourism</w:t>
      </w:r>
      <w:r w:rsidR="00E145BD" w:rsidRPr="003F7F6C">
        <w:rPr>
          <w:rStyle w:val="FootnoteReference"/>
          <w:rFonts w:cs="Calibri"/>
          <w:szCs w:val="20"/>
        </w:rPr>
        <w:footnoteReference w:id="58"/>
      </w:r>
      <w:r w:rsidR="00E145BD" w:rsidRPr="003F7F6C">
        <w:rPr>
          <w:rFonts w:cs="Calibri"/>
          <w:szCs w:val="20"/>
        </w:rPr>
        <w:t xml:space="preserve"> (non-reimbursable funding); and banks, namely Bank of the Province of Buenos Aires (BAPRO)</w:t>
      </w:r>
      <w:r w:rsidR="00E145BD" w:rsidRPr="003F7F6C">
        <w:rPr>
          <w:rStyle w:val="FootnoteReference"/>
          <w:rFonts w:cs="Calibri"/>
          <w:szCs w:val="20"/>
        </w:rPr>
        <w:t xml:space="preserve"> </w:t>
      </w:r>
      <w:r w:rsidR="00E145BD" w:rsidRPr="003F7F6C">
        <w:rPr>
          <w:rStyle w:val="FootnoteReference"/>
          <w:rFonts w:cs="Calibri"/>
          <w:szCs w:val="20"/>
        </w:rPr>
        <w:footnoteReference w:id="59"/>
      </w:r>
      <w:r w:rsidR="00E145BD" w:rsidRPr="003F7F6C">
        <w:rPr>
          <w:rFonts w:cs="Calibri"/>
          <w:szCs w:val="20"/>
        </w:rPr>
        <w:t xml:space="preserve"> </w:t>
      </w:r>
      <w:r w:rsidR="001F4C17" w:rsidRPr="003F7F6C">
        <w:rPr>
          <w:rFonts w:cs="Calibri"/>
          <w:szCs w:val="20"/>
        </w:rPr>
        <w:t>Argentine National Bank</w:t>
      </w:r>
      <w:r w:rsidR="00E145BD" w:rsidRPr="003F7F6C">
        <w:rPr>
          <w:rFonts w:cs="Calibri"/>
          <w:szCs w:val="20"/>
        </w:rPr>
        <w:t xml:space="preserve"> (BNA)</w:t>
      </w:r>
      <w:r w:rsidR="00E145BD" w:rsidRPr="003F7F6C">
        <w:rPr>
          <w:rStyle w:val="FootnoteReference"/>
          <w:rFonts w:cs="Calibri"/>
          <w:szCs w:val="20"/>
        </w:rPr>
        <w:footnoteReference w:id="60"/>
      </w:r>
      <w:r w:rsidR="00E145BD" w:rsidRPr="003F7F6C">
        <w:rPr>
          <w:rFonts w:cs="Calibri"/>
          <w:szCs w:val="20"/>
        </w:rPr>
        <w:t xml:space="preserve"> and </w:t>
      </w:r>
      <w:r w:rsidR="00433665" w:rsidRPr="003F7F6C">
        <w:rPr>
          <w:rFonts w:cs="Calibri"/>
          <w:szCs w:val="20"/>
        </w:rPr>
        <w:t>Galicia Bank</w:t>
      </w:r>
      <w:r w:rsidR="00E145BD" w:rsidRPr="003F7F6C">
        <w:rPr>
          <w:rFonts w:cs="Calibri"/>
          <w:szCs w:val="20"/>
        </w:rPr>
        <w:t xml:space="preserve">. </w:t>
      </w:r>
      <w:r w:rsidR="00E145BD" w:rsidRPr="003F7F6C">
        <w:rPr>
          <w:szCs w:val="20"/>
        </w:rPr>
        <w:t>The project will also support the assessment of other options such as tax exemptions and incentives.</w:t>
      </w:r>
    </w:p>
    <w:p w14:paraId="46FF964A" w14:textId="1B241584" w:rsidR="004B1724" w:rsidRPr="003F7F6C" w:rsidRDefault="00E145BD" w:rsidP="00E91275">
      <w:pPr>
        <w:pStyle w:val="ListParagraph"/>
        <w:numPr>
          <w:ilvl w:val="0"/>
          <w:numId w:val="28"/>
        </w:numPr>
        <w:tabs>
          <w:tab w:val="left" w:pos="426"/>
        </w:tabs>
        <w:spacing w:after="240"/>
        <w:ind w:left="0" w:firstLine="0"/>
        <w:contextualSpacing w:val="0"/>
        <w:rPr>
          <w:rFonts w:cs="Calibri"/>
          <w:bCs/>
          <w:szCs w:val="20"/>
        </w:rPr>
      </w:pPr>
      <w:r w:rsidRPr="003F7F6C">
        <w:rPr>
          <w:rFonts w:cs="Calibri"/>
          <w:szCs w:val="20"/>
        </w:rPr>
        <w:t xml:space="preserve">The results of the ES valuation above together with the assessment of compensation schemes in Output 1.3 will serve as the basis for designing PES schemes to be tested.  Potential PES schemes to be analyzed include: </w:t>
      </w:r>
      <w:r w:rsidR="004B1724" w:rsidRPr="003F7F6C">
        <w:rPr>
          <w:rFonts w:cs="Calibri"/>
          <w:szCs w:val="20"/>
        </w:rPr>
        <w:t>a</w:t>
      </w:r>
      <w:r w:rsidRPr="003F7F6C">
        <w:rPr>
          <w:rFonts w:cs="Calibri"/>
          <w:szCs w:val="20"/>
        </w:rPr>
        <w:t xml:space="preserve">) payments addressing conservation and sustainable use of wetlands within the framework of the Inventory of Wetlands of the Buenos Aires Province Project being implemented by OPDS to be applied in the Delta and Talares target landscapes and potentially to </w:t>
      </w:r>
      <w:r w:rsidR="00A10428" w:rsidRPr="003F7F6C">
        <w:rPr>
          <w:rFonts w:cs="Calibri"/>
          <w:szCs w:val="20"/>
        </w:rPr>
        <w:t>South-western Buenos Aires</w:t>
      </w:r>
      <w:r w:rsidRPr="003F7F6C">
        <w:rPr>
          <w:rFonts w:cs="Calibri"/>
          <w:szCs w:val="20"/>
        </w:rPr>
        <w:t xml:space="preserve"> if soil preservation services are included; and </w:t>
      </w:r>
      <w:r w:rsidR="004B1724" w:rsidRPr="003F7F6C">
        <w:rPr>
          <w:rFonts w:cs="Calibri"/>
          <w:szCs w:val="20"/>
        </w:rPr>
        <w:t>b</w:t>
      </w:r>
      <w:r w:rsidRPr="003F7F6C">
        <w:rPr>
          <w:rFonts w:cs="Calibri"/>
          <w:szCs w:val="20"/>
        </w:rPr>
        <w:t>) payments for private protected areas and municipalities.</w:t>
      </w:r>
      <w:r w:rsidR="004B1724" w:rsidRPr="003F7F6C">
        <w:rPr>
          <w:rFonts w:cs="Calibri"/>
          <w:szCs w:val="20"/>
        </w:rPr>
        <w:t xml:space="preserve">  The assessment will also include reviewing the Provincial Emergency Law Nº10390</w:t>
      </w:r>
      <w:r w:rsidR="004B1724" w:rsidRPr="003F7F6C">
        <w:footnoteReference w:id="61"/>
      </w:r>
      <w:r w:rsidR="005212C7" w:rsidRPr="003F7F6C">
        <w:rPr>
          <w:rFonts w:cs="Calibri"/>
          <w:szCs w:val="20"/>
        </w:rPr>
        <w:t>,</w:t>
      </w:r>
      <w:r w:rsidR="004B1724" w:rsidRPr="003F7F6C">
        <w:rPr>
          <w:rFonts w:cs="Calibri"/>
          <w:szCs w:val="20"/>
        </w:rPr>
        <w:t xml:space="preserve"> which provides grants to producers affected by natural disasters to analyze if this compensation scheme could be linked to</w:t>
      </w:r>
      <w:r w:rsidR="0065210A" w:rsidRPr="003F7F6C">
        <w:rPr>
          <w:rFonts w:cs="Calibri"/>
          <w:szCs w:val="20"/>
        </w:rPr>
        <w:t xml:space="preserve"> the</w:t>
      </w:r>
      <w:r w:rsidR="004B1724" w:rsidRPr="003F7F6C">
        <w:rPr>
          <w:rFonts w:cs="Calibri"/>
          <w:szCs w:val="20"/>
        </w:rPr>
        <w:t xml:space="preserve"> provision of environmental services.</w:t>
      </w:r>
    </w:p>
    <w:p w14:paraId="56357577" w14:textId="77777777" w:rsidR="0059667F" w:rsidRPr="003F7F6C" w:rsidRDefault="00E145BD" w:rsidP="00E91275">
      <w:pPr>
        <w:pStyle w:val="ListParagraph"/>
        <w:numPr>
          <w:ilvl w:val="0"/>
          <w:numId w:val="28"/>
        </w:numPr>
        <w:tabs>
          <w:tab w:val="left" w:pos="426"/>
        </w:tabs>
        <w:spacing w:after="240"/>
        <w:ind w:left="0" w:firstLine="0"/>
        <w:contextualSpacing w:val="0"/>
        <w:rPr>
          <w:rFonts w:cs="Calibri"/>
          <w:bCs/>
          <w:szCs w:val="20"/>
        </w:rPr>
      </w:pPr>
      <w:r w:rsidRPr="003F7F6C">
        <w:rPr>
          <w:rFonts w:cs="Calibri"/>
          <w:i/>
          <w:szCs w:val="20"/>
        </w:rPr>
        <w:t xml:space="preserve">Protocols for implementing ELUP: </w:t>
      </w:r>
      <w:r w:rsidRPr="003F7F6C">
        <w:rPr>
          <w:rFonts w:cs="Calibri"/>
          <w:szCs w:val="20"/>
        </w:rPr>
        <w:t>The project will assist OPDS in developing ELUP protocols. This will include undertaking between scenario analyses through applying a prospective</w:t>
      </w:r>
      <w:r w:rsidR="004B1724" w:rsidRPr="003F7F6C">
        <w:rPr>
          <w:rFonts w:cs="Calibri"/>
          <w:szCs w:val="20"/>
        </w:rPr>
        <w:t xml:space="preserve"> environmental</w:t>
      </w:r>
      <w:r w:rsidRPr="003F7F6C">
        <w:rPr>
          <w:rFonts w:cs="Calibri"/>
          <w:szCs w:val="20"/>
        </w:rPr>
        <w:t xml:space="preserve"> analysis</w:t>
      </w:r>
      <w:r w:rsidR="004B1724" w:rsidRPr="003F7F6C">
        <w:rPr>
          <w:rStyle w:val="FootnoteReference"/>
          <w:szCs w:val="20"/>
        </w:rPr>
        <w:footnoteReference w:id="62"/>
      </w:r>
      <w:r w:rsidRPr="003F7F6C">
        <w:rPr>
          <w:rFonts w:cs="Calibri"/>
          <w:szCs w:val="20"/>
        </w:rPr>
        <w:t>, and incorporating the criteria used for valuation of ecosystem goods and services as well as the results of the valuations; undertaking vulnerability assessments of ecosystems and comparing them with productive activities; and defining sustainability indicators. As the results of these activities are available the protocols to approach the vulnerability in the ecosystem-productive activity links will be elaborated.  The different economic and financial instruments will be incorporated in the protocols and linked to the productive activities.</w:t>
      </w:r>
    </w:p>
    <w:p w14:paraId="5BE8353D" w14:textId="77777777" w:rsidR="0059667F" w:rsidRPr="003F7F6C" w:rsidRDefault="00E145BD" w:rsidP="00E91275">
      <w:pPr>
        <w:pStyle w:val="ListParagraph"/>
        <w:numPr>
          <w:ilvl w:val="0"/>
          <w:numId w:val="28"/>
        </w:numPr>
        <w:tabs>
          <w:tab w:val="left" w:pos="426"/>
        </w:tabs>
        <w:spacing w:after="240"/>
        <w:ind w:left="0" w:firstLine="0"/>
        <w:contextualSpacing w:val="0"/>
        <w:rPr>
          <w:rFonts w:cs="Calibri"/>
          <w:bCs/>
          <w:szCs w:val="20"/>
        </w:rPr>
      </w:pPr>
      <w:r w:rsidRPr="003F7F6C">
        <w:rPr>
          <w:rFonts w:cs="Calibri"/>
          <w:szCs w:val="20"/>
          <w:u w:val="single"/>
        </w:rPr>
        <w:t>Mendoza</w:t>
      </w:r>
      <w:r w:rsidRPr="003F7F6C">
        <w:rPr>
          <w:rFonts w:cs="Calibri"/>
          <w:szCs w:val="20"/>
        </w:rPr>
        <w:t>.</w:t>
      </w:r>
      <w:r w:rsidRPr="003F7F6C">
        <w:rPr>
          <w:rFonts w:cs="Calibri"/>
          <w:b/>
          <w:szCs w:val="20"/>
        </w:rPr>
        <w:t xml:space="preserve"> </w:t>
      </w:r>
      <w:r w:rsidRPr="003F7F6C">
        <w:rPr>
          <w:rFonts w:cs="Calibri"/>
          <w:i/>
          <w:szCs w:val="20"/>
        </w:rPr>
        <w:t>Valuation of ecosystem goods and services</w:t>
      </w:r>
      <w:r w:rsidRPr="003F7F6C">
        <w:rPr>
          <w:rFonts w:cs="Calibri"/>
          <w:szCs w:val="20"/>
        </w:rPr>
        <w:t xml:space="preserve">: </w:t>
      </w:r>
      <w:r w:rsidR="0027665B" w:rsidRPr="003F7F6C">
        <w:rPr>
          <w:rFonts w:cs="Calibri"/>
          <w:szCs w:val="20"/>
        </w:rPr>
        <w:t>T</w:t>
      </w:r>
      <w:r w:rsidRPr="003F7F6C">
        <w:rPr>
          <w:rFonts w:cs="Calibri"/>
          <w:szCs w:val="20"/>
        </w:rPr>
        <w:t>he project will support the S</w:t>
      </w:r>
      <w:r w:rsidR="0027665B" w:rsidRPr="003F7F6C">
        <w:rPr>
          <w:rFonts w:cs="Calibri"/>
          <w:szCs w:val="20"/>
        </w:rPr>
        <w:t>AO</w:t>
      </w:r>
      <w:r w:rsidRPr="003F7F6C">
        <w:rPr>
          <w:rFonts w:cs="Calibri"/>
          <w:szCs w:val="20"/>
        </w:rPr>
        <w:t>T and INTA to undertake ES valuation as the basis to design compensation schemes for PES.  In North Oasis-Green Belt</w:t>
      </w:r>
      <w:r w:rsidR="008318AB" w:rsidRPr="003F7F6C">
        <w:rPr>
          <w:rFonts w:cs="Calibri"/>
          <w:szCs w:val="20"/>
        </w:rPr>
        <w:t>,</w:t>
      </w:r>
      <w:r w:rsidRPr="003F7F6C">
        <w:rPr>
          <w:rFonts w:cs="Calibri"/>
          <w:szCs w:val="20"/>
        </w:rPr>
        <w:t xml:space="preserve"> INTA is piloting the ECOSER methodology in the locality of Guaymallen, which will serve to prioritize ES in this target landscape. The project will support systematizing the available information on ELUP in rural areas; identifying information gaps on ES; and agreeing on criteria for identifying and prioritizing functions an</w:t>
      </w:r>
      <w:r w:rsidR="00C609EA" w:rsidRPr="003F7F6C">
        <w:rPr>
          <w:rFonts w:cs="Calibri"/>
          <w:szCs w:val="20"/>
        </w:rPr>
        <w:t>d</w:t>
      </w:r>
      <w:r w:rsidRPr="003F7F6C">
        <w:rPr>
          <w:rFonts w:cs="Calibri"/>
          <w:szCs w:val="20"/>
        </w:rPr>
        <w:t xml:space="preserve"> ES related to agricultural and livestock production as well as an agreed list of local ES in the target landscape. Information produced by INTA </w:t>
      </w:r>
      <w:r w:rsidR="00CD58C5" w:rsidRPr="003F7F6C">
        <w:rPr>
          <w:rFonts w:cs="Calibri"/>
          <w:szCs w:val="20"/>
        </w:rPr>
        <w:t xml:space="preserve">by </w:t>
      </w:r>
      <w:r w:rsidRPr="003F7F6C">
        <w:rPr>
          <w:rFonts w:cs="Calibri"/>
          <w:szCs w:val="20"/>
        </w:rPr>
        <w:t xml:space="preserve">preparing and monitoring LUP plans, and training stakeholders will be incorporated in the analyses. </w:t>
      </w:r>
    </w:p>
    <w:p w14:paraId="764F4B49" w14:textId="77777777" w:rsidR="0059667F" w:rsidRPr="003F7F6C" w:rsidRDefault="00E145BD" w:rsidP="00E91275">
      <w:pPr>
        <w:pStyle w:val="ListParagraph"/>
        <w:numPr>
          <w:ilvl w:val="0"/>
          <w:numId w:val="28"/>
        </w:numPr>
        <w:tabs>
          <w:tab w:val="left" w:pos="426"/>
        </w:tabs>
        <w:spacing w:after="240"/>
        <w:ind w:left="0" w:firstLine="0"/>
        <w:contextualSpacing w:val="0"/>
        <w:rPr>
          <w:rFonts w:cs="Calibri"/>
          <w:bCs/>
          <w:szCs w:val="20"/>
        </w:rPr>
      </w:pPr>
      <w:r w:rsidRPr="003F7F6C">
        <w:rPr>
          <w:rFonts w:cs="Calibri"/>
          <w:szCs w:val="20"/>
        </w:rPr>
        <w:t xml:space="preserve">In the Uco Valley the project </w:t>
      </w:r>
      <w:r w:rsidR="00CD58C5" w:rsidRPr="003F7F6C">
        <w:rPr>
          <w:rFonts w:cs="Calibri"/>
          <w:szCs w:val="20"/>
        </w:rPr>
        <w:t xml:space="preserve">through INTA </w:t>
      </w:r>
      <w:r w:rsidRPr="003F7F6C">
        <w:rPr>
          <w:rFonts w:cs="Calibri"/>
          <w:szCs w:val="20"/>
        </w:rPr>
        <w:t>will support assessing how territorial transformations influence rural stakeholders as well as the value chains comprising the provincial agri-food system. This will serve to include ES valuation and generate criteria for soil management to be included in the EIA</w:t>
      </w:r>
      <w:r w:rsidR="00C609EA" w:rsidRPr="003F7F6C">
        <w:rPr>
          <w:rFonts w:cs="Calibri"/>
          <w:szCs w:val="20"/>
        </w:rPr>
        <w:t>s of agricultural projects</w:t>
      </w:r>
      <w:r w:rsidRPr="003F7F6C">
        <w:rPr>
          <w:rFonts w:cs="Calibri"/>
          <w:szCs w:val="20"/>
        </w:rPr>
        <w:t>, as well as identifying which economic and/or financial instrument is more effective in the different links of the value chains. In the Piedmont Area of AMM the project will assess several initiatives that can provide background</w:t>
      </w:r>
      <w:r w:rsidR="00C609EA" w:rsidRPr="003F7F6C">
        <w:rPr>
          <w:rFonts w:cs="Calibri"/>
          <w:szCs w:val="20"/>
        </w:rPr>
        <w:t xml:space="preserve"> information</w:t>
      </w:r>
      <w:r w:rsidRPr="003F7F6C">
        <w:rPr>
          <w:rFonts w:cs="Calibri"/>
          <w:szCs w:val="20"/>
        </w:rPr>
        <w:t xml:space="preserve"> for ES valuation in protected areas, namely: in Mendoza the Villavicencio Natural Reserve (private protected area with conservation compatible productive activities) and the law proposal to establish an ES fee to finance protected areas; in other provinces the Private Natural Reserves Network of Argentina; incentives targeting private protected areas; and</w:t>
      </w:r>
      <w:r w:rsidR="00041684" w:rsidRPr="003F7F6C">
        <w:rPr>
          <w:rFonts w:cs="Calibri"/>
          <w:szCs w:val="20"/>
        </w:rPr>
        <w:t xml:space="preserve"> the lessons learned in the GEF-UNDP-</w:t>
      </w:r>
      <w:r w:rsidRPr="003F7F6C">
        <w:rPr>
          <w:rFonts w:cs="Calibri"/>
          <w:szCs w:val="20"/>
        </w:rPr>
        <w:t>UNEP PES Project. Based on the results of the above assessments, a valuation methodology will be selected and applied.</w:t>
      </w:r>
    </w:p>
    <w:p w14:paraId="5B081F76" w14:textId="77777777" w:rsidR="0059667F" w:rsidRPr="003F7F6C" w:rsidRDefault="00E145BD" w:rsidP="00E91275">
      <w:pPr>
        <w:pStyle w:val="ListParagraph"/>
        <w:numPr>
          <w:ilvl w:val="0"/>
          <w:numId w:val="28"/>
        </w:numPr>
        <w:tabs>
          <w:tab w:val="left" w:pos="426"/>
        </w:tabs>
        <w:spacing w:after="240"/>
        <w:ind w:left="0" w:firstLine="0"/>
        <w:contextualSpacing w:val="0"/>
        <w:rPr>
          <w:rFonts w:cs="Calibri"/>
          <w:bCs/>
          <w:szCs w:val="20"/>
        </w:rPr>
      </w:pPr>
      <w:r w:rsidRPr="003F7F6C">
        <w:rPr>
          <w:rFonts w:cs="Calibri"/>
          <w:i/>
          <w:szCs w:val="20"/>
        </w:rPr>
        <w:t>Economic, financial and fiscal instruments</w:t>
      </w:r>
      <w:r w:rsidRPr="003F7F6C">
        <w:rPr>
          <w:rFonts w:cs="Calibri"/>
          <w:szCs w:val="20"/>
        </w:rPr>
        <w:t xml:space="preserve">: Mendoza has prioritized making use of the provincial economic, financial and fiscal instruments while the national level instruments will be considered as complimentary. Project assistance will address the agriculture and livestock, tourism, </w:t>
      </w:r>
      <w:r w:rsidR="002C2B93" w:rsidRPr="003F7F6C">
        <w:rPr>
          <w:rFonts w:cs="Calibri"/>
          <w:szCs w:val="20"/>
        </w:rPr>
        <w:t xml:space="preserve">and </w:t>
      </w:r>
      <w:r w:rsidRPr="003F7F6C">
        <w:rPr>
          <w:rFonts w:cs="Calibri"/>
          <w:szCs w:val="20"/>
        </w:rPr>
        <w:t>peri-urban infrastructure</w:t>
      </w:r>
      <w:r w:rsidRPr="003F7F6C">
        <w:rPr>
          <w:rFonts w:cs="Calibri"/>
          <w:color w:val="FF0000"/>
          <w:szCs w:val="20"/>
        </w:rPr>
        <w:t xml:space="preserve"> </w:t>
      </w:r>
      <w:r w:rsidR="002C2B93" w:rsidRPr="003F7F6C">
        <w:rPr>
          <w:rFonts w:cs="Calibri"/>
          <w:szCs w:val="20"/>
        </w:rPr>
        <w:t>sectors</w:t>
      </w:r>
      <w:r w:rsidR="002C2B93" w:rsidRPr="003F7F6C">
        <w:rPr>
          <w:rFonts w:cs="Calibri"/>
          <w:color w:val="FF0000"/>
          <w:szCs w:val="20"/>
        </w:rPr>
        <w:t xml:space="preserve"> </w:t>
      </w:r>
      <w:r w:rsidRPr="003F7F6C">
        <w:rPr>
          <w:szCs w:val="20"/>
        </w:rPr>
        <w:t>working through the different levels of institutions and sectors to link environmental sustainability of production practices and location in ELUP zoning as criteria in different incentive programs currently supported by government.</w:t>
      </w:r>
    </w:p>
    <w:p w14:paraId="61ABDA17" w14:textId="77777777" w:rsidR="00CB2DA4" w:rsidRPr="003F7F6C" w:rsidRDefault="00E145BD" w:rsidP="00E91275">
      <w:pPr>
        <w:pStyle w:val="ListParagraph"/>
        <w:numPr>
          <w:ilvl w:val="0"/>
          <w:numId w:val="28"/>
        </w:numPr>
        <w:tabs>
          <w:tab w:val="left" w:pos="426"/>
        </w:tabs>
        <w:spacing w:after="240"/>
        <w:ind w:left="0" w:firstLine="0"/>
        <w:contextualSpacing w:val="0"/>
        <w:rPr>
          <w:rFonts w:cs="Calibri"/>
          <w:bCs/>
          <w:szCs w:val="20"/>
        </w:rPr>
      </w:pPr>
      <w:r w:rsidRPr="003F7F6C">
        <w:rPr>
          <w:rFonts w:cs="Calibri"/>
          <w:szCs w:val="20"/>
        </w:rPr>
        <w:t xml:space="preserve">The project will assist </w:t>
      </w:r>
      <w:r w:rsidR="003C4D5F" w:rsidRPr="003F7F6C">
        <w:rPr>
          <w:rFonts w:cs="Calibri"/>
          <w:szCs w:val="20"/>
        </w:rPr>
        <w:t>in</w:t>
      </w:r>
      <w:r w:rsidRPr="003F7F6C">
        <w:rPr>
          <w:rFonts w:cs="Calibri"/>
          <w:szCs w:val="20"/>
        </w:rPr>
        <w:t xml:space="preserve"> the implementation of the Provincial Land Use Plan</w:t>
      </w:r>
      <w:r w:rsidRPr="003F7F6C">
        <w:rPr>
          <w:rStyle w:val="FootnoteReference"/>
          <w:rFonts w:cs="Calibri"/>
          <w:szCs w:val="20"/>
        </w:rPr>
        <w:footnoteReference w:id="63"/>
      </w:r>
      <w:r w:rsidRPr="003F7F6C">
        <w:rPr>
          <w:rFonts w:cs="Calibri"/>
          <w:szCs w:val="20"/>
        </w:rPr>
        <w:t xml:space="preserve"> through providing support to economic instruments foreseen in the plan. This will include designing and testing compensation schemes through PES addressing the conservation and protection of natural areas in public and private protected areas of all four target landscapes, including components addressing ecotourism and conservation of vegetation cover. This will entail applying economic valuation methodologies, designing the scheme and testing it in small scale pilot projects for validation and extracting lessons that can be replicated elsewhere in the province throughout the remainder of the project. </w:t>
      </w:r>
    </w:p>
    <w:p w14:paraId="18DA9799" w14:textId="40D45A8B" w:rsidR="00CB2DA4" w:rsidRPr="003F7F6C" w:rsidRDefault="00E145BD" w:rsidP="00E91275">
      <w:pPr>
        <w:pStyle w:val="ListParagraph"/>
        <w:numPr>
          <w:ilvl w:val="0"/>
          <w:numId w:val="28"/>
        </w:numPr>
        <w:tabs>
          <w:tab w:val="left" w:pos="426"/>
        </w:tabs>
        <w:spacing w:after="240"/>
        <w:ind w:left="0" w:firstLine="0"/>
        <w:contextualSpacing w:val="0"/>
        <w:rPr>
          <w:rFonts w:cs="Calibri"/>
          <w:bCs/>
          <w:szCs w:val="20"/>
        </w:rPr>
      </w:pPr>
      <w:r w:rsidRPr="003F7F6C">
        <w:rPr>
          <w:rFonts w:cs="Calibri"/>
          <w:szCs w:val="20"/>
        </w:rPr>
        <w:t xml:space="preserve">Moreover, project support will </w:t>
      </w:r>
      <w:r w:rsidR="002C2B93" w:rsidRPr="003F7F6C">
        <w:rPr>
          <w:rFonts w:cs="Calibri"/>
          <w:szCs w:val="20"/>
        </w:rPr>
        <w:t>enable the development of</w:t>
      </w:r>
      <w:r w:rsidRPr="003F7F6C">
        <w:rPr>
          <w:rFonts w:cs="Calibri"/>
          <w:szCs w:val="20"/>
          <w:lang w:eastAsia="en-GB"/>
        </w:rPr>
        <w:t xml:space="preserve"> technical and legal terminology to forward the elaboration of regulations to implement other instruments contained in the land use plan, namely: property tax, capital gain and promotion. In addition, for property tax</w:t>
      </w:r>
      <w:r w:rsidR="002C2B93" w:rsidRPr="003F7F6C">
        <w:rPr>
          <w:rFonts w:cs="Calibri"/>
          <w:szCs w:val="20"/>
          <w:lang w:eastAsia="en-GB"/>
        </w:rPr>
        <w:t>,</w:t>
      </w:r>
      <w:r w:rsidRPr="003F7F6C">
        <w:rPr>
          <w:rFonts w:cs="Calibri"/>
          <w:szCs w:val="20"/>
          <w:lang w:eastAsia="en-GB"/>
        </w:rPr>
        <w:t xml:space="preserve"> econometric and geostatistical models will be used to value properties and implement mechanisms for real time updating of </w:t>
      </w:r>
      <w:r w:rsidR="0027665B" w:rsidRPr="003F7F6C">
        <w:rPr>
          <w:rFonts w:cs="Calibri"/>
          <w:szCs w:val="20"/>
          <w:lang w:eastAsia="en-GB"/>
        </w:rPr>
        <w:t>fiscal values</w:t>
      </w:r>
      <w:r w:rsidRPr="003F7F6C">
        <w:rPr>
          <w:rFonts w:cs="Calibri"/>
          <w:szCs w:val="20"/>
          <w:lang w:eastAsia="en-GB"/>
        </w:rPr>
        <w:t xml:space="preserve"> to generate incentives (e.g.</w:t>
      </w:r>
      <w:r w:rsidR="008D0C86" w:rsidRPr="003F7F6C">
        <w:rPr>
          <w:rFonts w:cs="Calibri"/>
          <w:szCs w:val="20"/>
          <w:lang w:eastAsia="en-GB"/>
        </w:rPr>
        <w:t>,</w:t>
      </w:r>
      <w:r w:rsidRPr="003F7F6C">
        <w:rPr>
          <w:rFonts w:cs="Calibri"/>
          <w:szCs w:val="20"/>
          <w:lang w:eastAsia="en-GB"/>
        </w:rPr>
        <w:t xml:space="preserve"> exemptions, discounts). For capital gain analyzing the implementation of the Commission for Analysis of Regulations </w:t>
      </w:r>
      <w:r w:rsidR="00AB18E0" w:rsidRPr="003F7F6C">
        <w:rPr>
          <w:rFonts w:cs="Calibri"/>
          <w:szCs w:val="20"/>
          <w:lang w:eastAsia="en-GB"/>
        </w:rPr>
        <w:t xml:space="preserve">is </w:t>
      </w:r>
      <w:r w:rsidRPr="003F7F6C">
        <w:rPr>
          <w:rFonts w:cs="Calibri"/>
          <w:szCs w:val="20"/>
          <w:lang w:eastAsia="en-GB"/>
        </w:rPr>
        <w:t>foreseen in the provincial plan to propose regulations to capture capital gains according to zoning at municipal level. In the case of promotion (group of economic tools</w:t>
      </w:r>
      <w:r w:rsidR="00D875E9" w:rsidRPr="003F7F6C">
        <w:rPr>
          <w:rFonts w:cs="Calibri"/>
          <w:szCs w:val="20"/>
          <w:lang w:eastAsia="en-GB"/>
        </w:rPr>
        <w:t>,</w:t>
      </w:r>
      <w:r w:rsidRPr="003F7F6C">
        <w:rPr>
          <w:rFonts w:cs="Calibri"/>
          <w:szCs w:val="20"/>
          <w:lang w:eastAsia="en-GB"/>
        </w:rPr>
        <w:t xml:space="preserve"> e.g.</w:t>
      </w:r>
      <w:r w:rsidR="00D875E9" w:rsidRPr="003F7F6C">
        <w:rPr>
          <w:rFonts w:cs="Calibri"/>
          <w:szCs w:val="20"/>
          <w:lang w:eastAsia="en-GB"/>
        </w:rPr>
        <w:t>,</w:t>
      </w:r>
      <w:r w:rsidRPr="003F7F6C">
        <w:rPr>
          <w:rFonts w:cs="Calibri"/>
          <w:szCs w:val="20"/>
          <w:lang w:eastAsia="en-GB"/>
        </w:rPr>
        <w:t xml:space="preserve"> exemption, discounts, grants, loans with preferential conditions, training, to support municipal zoning and foster investment and efficiency of productive activities)</w:t>
      </w:r>
      <w:r w:rsidR="00D875E9" w:rsidRPr="003F7F6C">
        <w:rPr>
          <w:rFonts w:cs="Calibri"/>
          <w:szCs w:val="20"/>
          <w:lang w:eastAsia="en-GB"/>
        </w:rPr>
        <w:t>,</w:t>
      </w:r>
      <w:r w:rsidRPr="003F7F6C">
        <w:rPr>
          <w:rFonts w:cs="Calibri"/>
          <w:szCs w:val="20"/>
          <w:lang w:eastAsia="en-GB"/>
        </w:rPr>
        <w:t xml:space="preserve"> baseline information will be generated within the framework of Municipal Land Use Plans to adjust these instruments to </w:t>
      </w:r>
      <w:r w:rsidR="00D875E9" w:rsidRPr="003F7F6C">
        <w:rPr>
          <w:rFonts w:cs="Calibri"/>
          <w:szCs w:val="20"/>
          <w:lang w:eastAsia="en-GB"/>
        </w:rPr>
        <w:t xml:space="preserve">the </w:t>
      </w:r>
      <w:r w:rsidRPr="003F7F6C">
        <w:rPr>
          <w:rFonts w:cs="Calibri"/>
          <w:szCs w:val="20"/>
          <w:lang w:eastAsia="en-GB"/>
        </w:rPr>
        <w:t>characteristics of the territory.</w:t>
      </w:r>
    </w:p>
    <w:p w14:paraId="14F689FF" w14:textId="1C761DCF" w:rsidR="00CB2DA4" w:rsidRPr="003F7F6C" w:rsidRDefault="00E145BD" w:rsidP="00E91275">
      <w:pPr>
        <w:pStyle w:val="ListParagraph"/>
        <w:numPr>
          <w:ilvl w:val="0"/>
          <w:numId w:val="28"/>
        </w:numPr>
        <w:tabs>
          <w:tab w:val="left" w:pos="426"/>
        </w:tabs>
        <w:spacing w:after="240"/>
        <w:ind w:left="0" w:firstLine="0"/>
        <w:contextualSpacing w:val="0"/>
        <w:rPr>
          <w:rFonts w:cs="Calibri"/>
          <w:bCs/>
          <w:szCs w:val="20"/>
        </w:rPr>
      </w:pPr>
      <w:r w:rsidRPr="003F7F6C">
        <w:rPr>
          <w:rFonts w:cs="Calibri"/>
          <w:szCs w:val="20"/>
        </w:rPr>
        <w:t>The project will support several additional approaches according to the characteristics of each target landscape. In the Piedmont AMM landscape the project will address: a) assessing funding options (e.g.</w:t>
      </w:r>
      <w:r w:rsidR="00D875E9" w:rsidRPr="003F7F6C">
        <w:rPr>
          <w:rFonts w:cs="Calibri"/>
          <w:szCs w:val="20"/>
        </w:rPr>
        <w:t>,</w:t>
      </w:r>
      <w:r w:rsidRPr="003F7F6C">
        <w:rPr>
          <w:rFonts w:cs="Calibri"/>
          <w:szCs w:val="20"/>
        </w:rPr>
        <w:t xml:space="preserve"> from the Ministry of Tourism)  to develop specific financing lines to address land uses defined in the ELUP instruments to be developed by the project, and for promoting environment</w:t>
      </w:r>
      <w:r w:rsidR="00D875E9" w:rsidRPr="003F7F6C">
        <w:rPr>
          <w:rFonts w:cs="Calibri"/>
          <w:szCs w:val="20"/>
        </w:rPr>
        <w:t>ally</w:t>
      </w:r>
      <w:r w:rsidRPr="003F7F6C">
        <w:rPr>
          <w:rFonts w:cs="Calibri"/>
          <w:szCs w:val="20"/>
        </w:rPr>
        <w:t>-friendly BD and SLM practices that are adapted to the province for testing in the target landscapes; b) developing the instruments</w:t>
      </w:r>
      <w:r w:rsidRPr="003F7F6C">
        <w:rPr>
          <w:rFonts w:cs="Calibri"/>
          <w:color w:val="FF0000"/>
          <w:szCs w:val="20"/>
        </w:rPr>
        <w:t xml:space="preserve"> </w:t>
      </w:r>
      <w:r w:rsidRPr="003F7F6C">
        <w:rPr>
          <w:rFonts w:cs="Calibri"/>
          <w:szCs w:val="20"/>
        </w:rPr>
        <w:t>foreseen under the Provincial Protected Areas Law Nº 6045</w:t>
      </w:r>
      <w:r w:rsidRPr="003F7F6C">
        <w:rPr>
          <w:rStyle w:val="FootnoteReference"/>
          <w:rFonts w:cs="Calibri"/>
          <w:szCs w:val="20"/>
        </w:rPr>
        <w:footnoteReference w:id="64"/>
      </w:r>
      <w:r w:rsidRPr="003F7F6C">
        <w:rPr>
          <w:rFonts w:cs="Calibri"/>
          <w:szCs w:val="20"/>
        </w:rPr>
        <w:t xml:space="preserve"> and more specifically targeting the Divisadero Largo Reserve located in the Piedmont AMM landscape and the Llancanelo Wetland located in the Llancanelo-Malargüe landscape and facilitating access to funding to strengthen those PA</w:t>
      </w:r>
      <w:r w:rsidR="00D875E9" w:rsidRPr="003F7F6C">
        <w:rPr>
          <w:rFonts w:cs="Calibri"/>
          <w:szCs w:val="20"/>
        </w:rPr>
        <w:t>s</w:t>
      </w:r>
      <w:r w:rsidRPr="003F7F6C">
        <w:rPr>
          <w:rFonts w:cs="Calibri"/>
          <w:szCs w:val="20"/>
        </w:rPr>
        <w:t>; and c) exploring and establishing synergies between the SA</w:t>
      </w:r>
      <w:r w:rsidR="00B77F4E" w:rsidRPr="003F7F6C">
        <w:rPr>
          <w:rFonts w:cs="Calibri"/>
          <w:szCs w:val="20"/>
        </w:rPr>
        <w:t>O</w:t>
      </w:r>
      <w:r w:rsidRPr="003F7F6C">
        <w:rPr>
          <w:rFonts w:cs="Calibri"/>
          <w:szCs w:val="20"/>
        </w:rPr>
        <w:t xml:space="preserve">T and the University of Cuyo </w:t>
      </w:r>
      <w:r w:rsidR="00D875E9" w:rsidRPr="003F7F6C">
        <w:rPr>
          <w:rFonts w:cs="Calibri"/>
          <w:szCs w:val="20"/>
        </w:rPr>
        <w:t xml:space="preserve">to </w:t>
      </w:r>
      <w:r w:rsidRPr="003F7F6C">
        <w:rPr>
          <w:rFonts w:cs="Calibri"/>
          <w:szCs w:val="20"/>
        </w:rPr>
        <w:t xml:space="preserve">implement research activities and projects in the Piedmont AMM target landscape addressing productive innovation.  </w:t>
      </w:r>
    </w:p>
    <w:p w14:paraId="5118C511" w14:textId="694BB3BD" w:rsidR="00CB2DA4" w:rsidRPr="003F7F6C" w:rsidRDefault="00E145BD" w:rsidP="00E91275">
      <w:pPr>
        <w:pStyle w:val="ListParagraph"/>
        <w:numPr>
          <w:ilvl w:val="0"/>
          <w:numId w:val="28"/>
        </w:numPr>
        <w:tabs>
          <w:tab w:val="left" w:pos="426"/>
        </w:tabs>
        <w:spacing w:after="240"/>
        <w:ind w:left="0" w:firstLine="0"/>
        <w:contextualSpacing w:val="0"/>
        <w:rPr>
          <w:rFonts w:cs="Calibri"/>
          <w:bCs/>
          <w:szCs w:val="20"/>
        </w:rPr>
      </w:pPr>
      <w:r w:rsidRPr="003F7F6C">
        <w:rPr>
          <w:rFonts w:cs="Calibri"/>
          <w:szCs w:val="20"/>
        </w:rPr>
        <w:t>In the Green Belt landscape</w:t>
      </w:r>
      <w:r w:rsidR="005212C7" w:rsidRPr="003F7F6C">
        <w:rPr>
          <w:rFonts w:cs="Calibri"/>
          <w:szCs w:val="20"/>
        </w:rPr>
        <w:t>,</w:t>
      </w:r>
      <w:r w:rsidRPr="003F7F6C">
        <w:rPr>
          <w:rFonts w:cs="Calibri"/>
          <w:szCs w:val="20"/>
        </w:rPr>
        <w:t xml:space="preserve"> the project will support developing regulations for ELUP restrictions in those cases where economic and/or financial instruments would not produce a substantial impact in terms of the restrictions.  In the Uco Valley landscape the project will support generating criteria for soil management to be included in EIA procedures</w:t>
      </w:r>
      <w:r w:rsidRPr="003F7F6C">
        <w:rPr>
          <w:rStyle w:val="FootnoteReference"/>
          <w:rFonts w:cs="Calibri"/>
          <w:szCs w:val="20"/>
        </w:rPr>
        <w:footnoteReference w:id="65"/>
      </w:r>
      <w:r w:rsidR="00064914" w:rsidRPr="003F7F6C">
        <w:rPr>
          <w:rFonts w:cs="Calibri"/>
          <w:szCs w:val="20"/>
        </w:rPr>
        <w:t xml:space="preserve"> for agricultural projects</w:t>
      </w:r>
      <w:r w:rsidRPr="003F7F6C">
        <w:rPr>
          <w:rFonts w:cs="Calibri"/>
          <w:szCs w:val="20"/>
        </w:rPr>
        <w:t xml:space="preserve"> based on work undertaken by the INTA. In the Malargüe landscape the project will assess the implementation of the National Sheep and Wool Recovery Law Nº25422</w:t>
      </w:r>
      <w:r w:rsidRPr="003F7F6C">
        <w:rPr>
          <w:rStyle w:val="FootnoteReference"/>
          <w:rFonts w:cs="Calibri"/>
          <w:szCs w:val="20"/>
        </w:rPr>
        <w:footnoteReference w:id="66"/>
      </w:r>
      <w:r w:rsidRPr="003F7F6C">
        <w:rPr>
          <w:rFonts w:cs="Calibri"/>
          <w:szCs w:val="20"/>
        </w:rPr>
        <w:t xml:space="preserve"> and the Goat Value Chain Development Program (PRODECCA)</w:t>
      </w:r>
      <w:r w:rsidRPr="003F7F6C">
        <w:rPr>
          <w:rStyle w:val="FootnoteReference"/>
          <w:rFonts w:cs="Calibri"/>
          <w:szCs w:val="20"/>
        </w:rPr>
        <w:footnoteReference w:id="67"/>
      </w:r>
      <w:r w:rsidRPr="003F7F6C">
        <w:rPr>
          <w:rFonts w:cs="Calibri"/>
          <w:szCs w:val="20"/>
        </w:rPr>
        <w:t xml:space="preserve"> to extract lessons that can be used to improve access</w:t>
      </w:r>
      <w:r w:rsidR="0080121F" w:rsidRPr="003F7F6C">
        <w:rPr>
          <w:rFonts w:cs="Calibri"/>
          <w:szCs w:val="20"/>
        </w:rPr>
        <w:t xml:space="preserve"> to </w:t>
      </w:r>
      <w:r w:rsidRPr="003F7F6C">
        <w:rPr>
          <w:rFonts w:cs="Calibri"/>
          <w:szCs w:val="20"/>
        </w:rPr>
        <w:t xml:space="preserve"> funding by producers in the target landscape to finance the implementation of environment</w:t>
      </w:r>
      <w:r w:rsidR="00CB2A8D" w:rsidRPr="003F7F6C">
        <w:rPr>
          <w:rFonts w:cs="Calibri"/>
          <w:szCs w:val="20"/>
        </w:rPr>
        <w:t>ally</w:t>
      </w:r>
      <w:r w:rsidRPr="003F7F6C">
        <w:rPr>
          <w:rFonts w:cs="Calibri"/>
          <w:szCs w:val="20"/>
        </w:rPr>
        <w:t xml:space="preserve"> friendly and SLM practices and will promote improved access to funds during the remainder of the project.  For small and medium sized producers in the target landscapes the project will support channeling financing options with more favorable conditions for environment</w:t>
      </w:r>
      <w:r w:rsidR="00CB2A8D" w:rsidRPr="003F7F6C">
        <w:rPr>
          <w:rFonts w:cs="Calibri"/>
          <w:szCs w:val="20"/>
        </w:rPr>
        <w:t>ally</w:t>
      </w:r>
      <w:r w:rsidRPr="003F7F6C">
        <w:rPr>
          <w:rFonts w:cs="Calibri"/>
          <w:szCs w:val="20"/>
        </w:rPr>
        <w:t>-friendly and SLM practices, particularly credit lines from Galicia</w:t>
      </w:r>
      <w:r w:rsidR="00041684" w:rsidRPr="003F7F6C">
        <w:rPr>
          <w:rFonts w:cs="Calibri"/>
          <w:szCs w:val="20"/>
        </w:rPr>
        <w:t xml:space="preserve"> Bank</w:t>
      </w:r>
      <w:r w:rsidRPr="003F7F6C">
        <w:rPr>
          <w:rFonts w:cs="Calibri"/>
          <w:szCs w:val="20"/>
        </w:rPr>
        <w:t xml:space="preserve"> and </w:t>
      </w:r>
      <w:r w:rsidR="001F4C17" w:rsidRPr="003F7F6C">
        <w:rPr>
          <w:rFonts w:cs="Calibri"/>
          <w:szCs w:val="20"/>
        </w:rPr>
        <w:t>Argentine National Bank</w:t>
      </w:r>
      <w:r w:rsidRPr="003F7F6C">
        <w:rPr>
          <w:rFonts w:cs="Calibri"/>
          <w:szCs w:val="20"/>
        </w:rPr>
        <w:t>.</w:t>
      </w:r>
    </w:p>
    <w:p w14:paraId="3E4CF751" w14:textId="77777777" w:rsidR="00194D34" w:rsidRPr="003F7F6C" w:rsidRDefault="00E145BD" w:rsidP="00E91275">
      <w:pPr>
        <w:pStyle w:val="ListParagraph"/>
        <w:numPr>
          <w:ilvl w:val="0"/>
          <w:numId w:val="28"/>
        </w:numPr>
        <w:tabs>
          <w:tab w:val="left" w:pos="426"/>
        </w:tabs>
        <w:spacing w:after="240"/>
        <w:ind w:left="0" w:firstLine="0"/>
        <w:contextualSpacing w:val="0"/>
        <w:rPr>
          <w:rFonts w:cs="Calibri"/>
          <w:bCs/>
          <w:szCs w:val="20"/>
        </w:rPr>
      </w:pPr>
      <w:r w:rsidRPr="003F7F6C">
        <w:rPr>
          <w:rFonts w:cs="Calibri"/>
          <w:szCs w:val="20"/>
          <w:u w:val="single"/>
        </w:rPr>
        <w:t>Jujuy.</w:t>
      </w:r>
      <w:r w:rsidRPr="003F7F6C">
        <w:rPr>
          <w:rFonts w:cs="Calibri"/>
          <w:b/>
          <w:szCs w:val="20"/>
        </w:rPr>
        <w:t xml:space="preserve">  </w:t>
      </w:r>
      <w:r w:rsidRPr="003F7F6C">
        <w:rPr>
          <w:rFonts w:cs="Calibri"/>
          <w:i/>
          <w:szCs w:val="20"/>
        </w:rPr>
        <w:t>Valuation of ecosystem goods and services</w:t>
      </w:r>
      <w:r w:rsidRPr="003F7F6C">
        <w:rPr>
          <w:rFonts w:cs="Calibri"/>
          <w:szCs w:val="20"/>
        </w:rPr>
        <w:t xml:space="preserve">: </w:t>
      </w:r>
      <w:r w:rsidR="003C4D5F" w:rsidRPr="003F7F6C">
        <w:rPr>
          <w:rFonts w:cs="Calibri"/>
          <w:szCs w:val="20"/>
        </w:rPr>
        <w:t>T</w:t>
      </w:r>
      <w:r w:rsidRPr="003F7F6C">
        <w:rPr>
          <w:rFonts w:cs="Calibri"/>
          <w:szCs w:val="20"/>
        </w:rPr>
        <w:t xml:space="preserve">he project will support </w:t>
      </w:r>
      <w:r w:rsidRPr="003F7F6C">
        <w:rPr>
          <w:rFonts w:eastAsia="Times New Roman" w:cs="Calibri"/>
          <w:szCs w:val="20"/>
          <w:lang w:eastAsia="es-ES_tradnl"/>
        </w:rPr>
        <w:t>a Targeted Scenario Analysis (TSA) in Jujuy to provide a framework for facilitating ES valuation and analyzing the impacts of policies and looking at tradeoffs in specific landscapes and sectors under different production practices.</w:t>
      </w:r>
      <w:r w:rsidRPr="003F7F6C">
        <w:rPr>
          <w:rFonts w:cs="Calibri"/>
          <w:szCs w:val="20"/>
        </w:rPr>
        <w:t xml:space="preserve"> Socio-economic valuation of ES will be emphasized here since most of the population in the target landscapes belong</w:t>
      </w:r>
      <w:r w:rsidR="00CB2A8D" w:rsidRPr="003F7F6C">
        <w:rPr>
          <w:rFonts w:cs="Calibri"/>
          <w:szCs w:val="20"/>
        </w:rPr>
        <w:t>s</w:t>
      </w:r>
      <w:r w:rsidRPr="003F7F6C">
        <w:rPr>
          <w:rFonts w:cs="Calibri"/>
          <w:szCs w:val="20"/>
        </w:rPr>
        <w:t xml:space="preserve"> to indigenous groups for whom ecosystem services are highly significant and therefore the valuation of cultural services provided by ecosystems </w:t>
      </w:r>
      <w:r w:rsidR="002F0121" w:rsidRPr="003F7F6C">
        <w:rPr>
          <w:rFonts w:cs="Calibri"/>
          <w:szCs w:val="20"/>
        </w:rPr>
        <w:t xml:space="preserve">is </w:t>
      </w:r>
      <w:r w:rsidRPr="003F7F6C">
        <w:rPr>
          <w:rFonts w:cs="Calibri"/>
          <w:szCs w:val="20"/>
        </w:rPr>
        <w:t xml:space="preserve">more </w:t>
      </w:r>
      <w:r w:rsidR="002F0121" w:rsidRPr="003F7F6C">
        <w:rPr>
          <w:rFonts w:cs="Calibri"/>
          <w:szCs w:val="20"/>
        </w:rPr>
        <w:t xml:space="preserve">important </w:t>
      </w:r>
      <w:r w:rsidRPr="003F7F6C">
        <w:rPr>
          <w:rFonts w:cs="Calibri"/>
          <w:szCs w:val="20"/>
        </w:rPr>
        <w:t>in these areas.  ES valuation will build upon a land use planning experience in the Santa Rita stream basin undertaken by INTA</w:t>
      </w:r>
      <w:r w:rsidRPr="003F7F6C">
        <w:rPr>
          <w:rStyle w:val="FootnoteReference"/>
          <w:rFonts w:cs="Calibri"/>
          <w:szCs w:val="20"/>
        </w:rPr>
        <w:footnoteReference w:id="68"/>
      </w:r>
      <w:r w:rsidRPr="003F7F6C">
        <w:rPr>
          <w:rFonts w:cs="Calibri"/>
          <w:szCs w:val="20"/>
        </w:rPr>
        <w:t xml:space="preserve">, INTA experience in the ECOSER methodology and </w:t>
      </w:r>
      <w:r w:rsidRPr="003F7F6C">
        <w:rPr>
          <w:rFonts w:eastAsia="Times New Roman" w:cs="Calibri"/>
          <w:szCs w:val="20"/>
          <w:lang w:eastAsia="es-ES_tradnl"/>
        </w:rPr>
        <w:t>land use scenarios developed by the</w:t>
      </w:r>
      <w:r w:rsidRPr="003F7F6C">
        <w:rPr>
          <w:rFonts w:cs="Calibri"/>
          <w:szCs w:val="20"/>
        </w:rPr>
        <w:t xml:space="preserve"> </w:t>
      </w:r>
      <w:r w:rsidR="00C84561" w:rsidRPr="003F7F6C">
        <w:rPr>
          <w:rFonts w:eastAsia="Times New Roman" w:cs="Calibri"/>
          <w:szCs w:val="20"/>
          <w:lang w:eastAsia="es-ES_tradnl"/>
        </w:rPr>
        <w:t>GEF-UNEP-UNDP</w:t>
      </w:r>
      <w:r w:rsidRPr="003F7F6C">
        <w:rPr>
          <w:rFonts w:eastAsia="Times New Roman" w:cs="Calibri"/>
          <w:szCs w:val="20"/>
          <w:lang w:eastAsia="es-ES_tradnl"/>
        </w:rPr>
        <w:t xml:space="preserve"> funded PES project to determine differential payments under the Native Forest Law.  </w:t>
      </w:r>
      <w:r w:rsidR="003C4D5F" w:rsidRPr="003F7F6C">
        <w:rPr>
          <w:rFonts w:eastAsia="Times New Roman" w:cs="Calibri"/>
          <w:szCs w:val="20"/>
          <w:lang w:eastAsia="es-ES_tradnl"/>
        </w:rPr>
        <w:t>B</w:t>
      </w:r>
      <w:r w:rsidRPr="003F7F6C">
        <w:rPr>
          <w:rFonts w:eastAsia="Times New Roman" w:cs="Calibri"/>
          <w:szCs w:val="20"/>
          <w:lang w:eastAsia="es-ES_tradnl"/>
        </w:rPr>
        <w:t>ased on the previous results the project will support developing and testing compensation schemes based on PES.</w:t>
      </w:r>
    </w:p>
    <w:p w14:paraId="29B8A59C" w14:textId="77777777" w:rsidR="00194D34" w:rsidRPr="003F7F6C" w:rsidRDefault="00E145BD" w:rsidP="00E91275">
      <w:pPr>
        <w:pStyle w:val="ListParagraph"/>
        <w:numPr>
          <w:ilvl w:val="0"/>
          <w:numId w:val="28"/>
        </w:numPr>
        <w:tabs>
          <w:tab w:val="left" w:pos="426"/>
        </w:tabs>
        <w:spacing w:after="240"/>
        <w:ind w:left="0" w:firstLine="0"/>
        <w:contextualSpacing w:val="0"/>
        <w:rPr>
          <w:rFonts w:cs="Calibri"/>
          <w:bCs/>
          <w:szCs w:val="20"/>
        </w:rPr>
      </w:pPr>
      <w:r w:rsidRPr="003F7F6C">
        <w:rPr>
          <w:rFonts w:eastAsia="Times New Roman" w:cs="Calibri"/>
          <w:i/>
          <w:szCs w:val="20"/>
          <w:lang w:eastAsia="es-ES_tradnl"/>
        </w:rPr>
        <w:t>Economic, financial and fiscal incentives</w:t>
      </w:r>
      <w:r w:rsidRPr="003F7F6C">
        <w:rPr>
          <w:rFonts w:eastAsia="Times New Roman" w:cs="Calibri"/>
          <w:szCs w:val="20"/>
          <w:lang w:eastAsia="es-ES_tradnl"/>
        </w:rPr>
        <w:t>: The project will support the implementation of economic, financial and fiscal incentives addressing the agriculture and livestock, tourism and mining</w:t>
      </w:r>
      <w:r w:rsidR="005D1B9F" w:rsidRPr="003F7F6C">
        <w:rPr>
          <w:rFonts w:eastAsia="Times New Roman" w:cs="Calibri"/>
          <w:szCs w:val="20"/>
          <w:lang w:eastAsia="es-ES_tradnl"/>
        </w:rPr>
        <w:t xml:space="preserve"> sectors</w:t>
      </w:r>
      <w:r w:rsidRPr="003F7F6C">
        <w:rPr>
          <w:rFonts w:eastAsia="Times New Roman" w:cs="Calibri"/>
          <w:szCs w:val="20"/>
          <w:lang w:eastAsia="es-ES_tradnl"/>
        </w:rPr>
        <w:t xml:space="preserve">, and in addition in the areas of forests and biodiversity, renewable energies and solid waste. </w:t>
      </w:r>
      <w:r w:rsidR="003C4D5F" w:rsidRPr="003F7F6C">
        <w:rPr>
          <w:rFonts w:eastAsia="Times New Roman" w:cs="Calibri"/>
          <w:szCs w:val="20"/>
          <w:lang w:eastAsia="es-ES_tradnl"/>
        </w:rPr>
        <w:t>T</w:t>
      </w:r>
      <w:r w:rsidRPr="003F7F6C">
        <w:rPr>
          <w:rFonts w:eastAsia="Times New Roman" w:cs="Calibri"/>
          <w:szCs w:val="20"/>
          <w:lang w:eastAsia="es-ES_tradnl"/>
        </w:rPr>
        <w:t>he project will support partnering with national funds to develop specific funding lines adapted to the characteristics of the province and for testing in the target landscapes. For tourism it will explore two options. One will be</w:t>
      </w:r>
      <w:r w:rsidRPr="003F7F6C">
        <w:rPr>
          <w:rFonts w:cs="Calibri"/>
          <w:szCs w:val="20"/>
        </w:rPr>
        <w:t xml:space="preserve"> funding from the Ministry of Tourism (Emprender Turismo, Fondetur and international cooperation funds). The second option will be improving the instruments included in the Provincial Law for Promotion of Tourism Development Nº 5428</w:t>
      </w:r>
      <w:r w:rsidRPr="003F7F6C">
        <w:rPr>
          <w:rStyle w:val="FootnoteReference"/>
          <w:rFonts w:cs="Calibri"/>
          <w:szCs w:val="20"/>
        </w:rPr>
        <w:footnoteReference w:id="69"/>
      </w:r>
      <w:r w:rsidRPr="003F7F6C">
        <w:rPr>
          <w:rFonts w:cs="Calibri"/>
        </w:rPr>
        <w:t xml:space="preserve"> (e.g.</w:t>
      </w:r>
      <w:r w:rsidR="005D1B9F" w:rsidRPr="003F7F6C">
        <w:rPr>
          <w:rFonts w:cs="Calibri"/>
        </w:rPr>
        <w:t>,</w:t>
      </w:r>
      <w:r w:rsidRPr="003F7F6C">
        <w:rPr>
          <w:rFonts w:cs="Calibri"/>
        </w:rPr>
        <w:t xml:space="preserve"> f</w:t>
      </w:r>
      <w:r w:rsidRPr="003F7F6C">
        <w:rPr>
          <w:rFonts w:cs="Calibri"/>
          <w:szCs w:val="20"/>
        </w:rPr>
        <w:t xml:space="preserve">iscal credits; </w:t>
      </w:r>
      <w:r w:rsidRPr="003F7F6C">
        <w:rPr>
          <w:rFonts w:cs="Calibri"/>
        </w:rPr>
        <w:t>d</w:t>
      </w:r>
      <w:r w:rsidRPr="003F7F6C">
        <w:rPr>
          <w:rFonts w:cs="Calibri"/>
          <w:szCs w:val="20"/>
        </w:rPr>
        <w:t>eferral in fulfilment of fiscal obligations; favorable credit conditions; grants, scholarships and technical assistance; public-private partnerships; provincial support to facilitate tax exemptions, tax deferrals and discounts). This will include adjusting documents, procedures or regulations pertaining to the instruments to facilitate their implementation within the framework of ELUP initiatives.  Moreover, the project will assist in reviewing the results and impacts of the Provincial Fund for Tourism Promotion and Development</w:t>
      </w:r>
      <w:r w:rsidRPr="003F7F6C">
        <w:rPr>
          <w:rStyle w:val="FootnoteReference"/>
          <w:rFonts w:cs="Calibri"/>
          <w:szCs w:val="20"/>
        </w:rPr>
        <w:footnoteReference w:id="70"/>
      </w:r>
      <w:r w:rsidRPr="003F7F6C">
        <w:rPr>
          <w:rFonts w:cs="Calibri"/>
          <w:szCs w:val="20"/>
        </w:rPr>
        <w:t xml:space="preserve"> and analyzing the options to improve its implementation. </w:t>
      </w:r>
    </w:p>
    <w:p w14:paraId="2BB61A94" w14:textId="77777777" w:rsidR="00194D34" w:rsidRPr="003F7F6C" w:rsidRDefault="00E145BD" w:rsidP="00E91275">
      <w:pPr>
        <w:pStyle w:val="ListParagraph"/>
        <w:numPr>
          <w:ilvl w:val="0"/>
          <w:numId w:val="28"/>
        </w:numPr>
        <w:tabs>
          <w:tab w:val="left" w:pos="426"/>
        </w:tabs>
        <w:spacing w:after="240"/>
        <w:ind w:left="0" w:firstLine="0"/>
        <w:contextualSpacing w:val="0"/>
        <w:rPr>
          <w:rFonts w:cs="Calibri"/>
          <w:bCs/>
          <w:szCs w:val="20"/>
        </w:rPr>
      </w:pPr>
      <w:r w:rsidRPr="003F7F6C">
        <w:rPr>
          <w:rFonts w:cs="Calibri"/>
          <w:szCs w:val="20"/>
        </w:rPr>
        <w:t>For forests and biodiversity the project will support several approaches. One will be analyzing within the framework of the Native Forest Law the effectiveness of the implementation of Land Use Plans and proposing improvements for implementing the plans and for landowner access to the compensations foreseen by the law</w:t>
      </w:r>
      <w:r w:rsidRPr="003F7F6C">
        <w:rPr>
          <w:rStyle w:val="FootnoteReference"/>
          <w:rFonts w:cs="Calibri"/>
          <w:szCs w:val="20"/>
        </w:rPr>
        <w:footnoteReference w:id="71"/>
      </w:r>
      <w:r w:rsidRPr="003F7F6C">
        <w:rPr>
          <w:rFonts w:cs="Calibri"/>
          <w:szCs w:val="20"/>
        </w:rPr>
        <w:t>, as well as analyzing the implementation of the National Forest Management Plan with Integrated Livestock</w:t>
      </w:r>
      <w:r w:rsidRPr="003F7F6C">
        <w:rPr>
          <w:rStyle w:val="FootnoteReference"/>
          <w:rFonts w:cs="Calibri"/>
          <w:szCs w:val="20"/>
        </w:rPr>
        <w:footnoteReference w:id="72"/>
      </w:r>
      <w:r w:rsidRPr="003F7F6C">
        <w:rPr>
          <w:rFonts w:cs="Calibri"/>
          <w:szCs w:val="20"/>
        </w:rPr>
        <w:t xml:space="preserve"> and propose measures to promote silvo-pastoral production in the target landscapes. A second approach will be to assess the interventions of, and explore synergies with, the UNDP-GEF Sustainable Use of Biodiversity Project in the Yungas ecoregion to implement in the target landscapes, namely: a) lessons acquired by USUBI </w:t>
      </w:r>
      <w:r w:rsidR="005D1B9F" w:rsidRPr="003F7F6C">
        <w:rPr>
          <w:rFonts w:cs="Calibri"/>
          <w:szCs w:val="20"/>
        </w:rPr>
        <w:t xml:space="preserve">in </w:t>
      </w:r>
      <w:r w:rsidRPr="003F7F6C">
        <w:rPr>
          <w:rFonts w:cs="Calibri"/>
          <w:szCs w:val="20"/>
        </w:rPr>
        <w:t xml:space="preserve">the production of vicuña and vicuña wool, and conservation of the environmental, cultural and tourism values of BD associated with the harvesting of vicuña wool; b) branding of local products; and d) replicating experiences of adding value to textile handcrafts.  The third approach will entail evaluating the implementation of federal programs, assessing the existing instruments and adapting them to the local realities and needs and the characteristics of the target groups, namely </w:t>
      </w:r>
      <w:r w:rsidRPr="003F7F6C">
        <w:rPr>
          <w:rFonts w:cs="Calibri"/>
          <w:bCs/>
          <w:szCs w:val="20"/>
        </w:rPr>
        <w:t>Social Actors Demand Council Program (PROCODAS)</w:t>
      </w:r>
      <w:r w:rsidRPr="003F7F6C">
        <w:rPr>
          <w:rStyle w:val="FootnoteReference"/>
          <w:rFonts w:ascii="Calibri" w:hAnsi="Calibri" w:cs="Calibri"/>
          <w:bCs/>
          <w:szCs w:val="20"/>
        </w:rPr>
        <w:footnoteReference w:id="73"/>
      </w:r>
      <w:r w:rsidRPr="003F7F6C">
        <w:rPr>
          <w:rFonts w:cs="Calibri"/>
          <w:szCs w:val="20"/>
        </w:rPr>
        <w:t xml:space="preserve"> (grants that can be directed to family agriculture), </w:t>
      </w:r>
      <w:r w:rsidRPr="003F7F6C">
        <w:rPr>
          <w:rFonts w:cs="Calibri"/>
          <w:bCs/>
          <w:szCs w:val="20"/>
        </w:rPr>
        <w:t>Inclusive Rural Development Program (PRODERI)</w:t>
      </w:r>
      <w:r w:rsidRPr="003F7F6C">
        <w:rPr>
          <w:rStyle w:val="FootnoteReference"/>
          <w:rFonts w:ascii="Calibri" w:hAnsi="Calibri" w:cs="Calibri"/>
          <w:bCs/>
          <w:szCs w:val="20"/>
        </w:rPr>
        <w:footnoteReference w:id="74"/>
      </w:r>
      <w:r w:rsidRPr="003F7F6C">
        <w:rPr>
          <w:rFonts w:cs="Calibri"/>
          <w:szCs w:val="20"/>
        </w:rPr>
        <w:t xml:space="preserve"> (livestock production in high-level valleys), </w:t>
      </w:r>
      <w:r w:rsidRPr="003F7F6C">
        <w:rPr>
          <w:rFonts w:cs="Calibri"/>
          <w:bCs/>
          <w:szCs w:val="20"/>
        </w:rPr>
        <w:t>Rural Area Development Program (PRODEAR)</w:t>
      </w:r>
      <w:r w:rsidRPr="003F7F6C">
        <w:rPr>
          <w:rStyle w:val="FootnoteReference"/>
          <w:rFonts w:ascii="Calibri" w:hAnsi="Calibri" w:cs="Calibri"/>
          <w:bCs/>
          <w:szCs w:val="20"/>
        </w:rPr>
        <w:footnoteReference w:id="75"/>
      </w:r>
      <w:r w:rsidRPr="003F7F6C">
        <w:rPr>
          <w:rFonts w:cs="Calibri"/>
          <w:szCs w:val="20"/>
        </w:rPr>
        <w:t xml:space="preserve"> (non-reimbursable funds for community projects) and PROLANA (best practices for llama wool harvesting) and propose measures to improve the implementation of these programs to address land uses defined in the ELUP instruments to be developed by the project, and for promoting environment</w:t>
      </w:r>
      <w:r w:rsidR="009B2681" w:rsidRPr="003F7F6C">
        <w:rPr>
          <w:rFonts w:cs="Calibri"/>
          <w:szCs w:val="20"/>
        </w:rPr>
        <w:t>ally</w:t>
      </w:r>
      <w:r w:rsidRPr="003F7F6C">
        <w:rPr>
          <w:rFonts w:cs="Calibri"/>
          <w:szCs w:val="20"/>
        </w:rPr>
        <w:t xml:space="preserve">-friendly BD and SLM practices. For renewable energies the project will support </w:t>
      </w:r>
      <w:r w:rsidR="009B2681" w:rsidRPr="003F7F6C">
        <w:rPr>
          <w:rFonts w:cs="Calibri"/>
          <w:szCs w:val="20"/>
        </w:rPr>
        <w:t xml:space="preserve">the analysis of </w:t>
      </w:r>
      <w:r w:rsidRPr="003F7F6C">
        <w:rPr>
          <w:rFonts w:cs="Calibri"/>
          <w:szCs w:val="20"/>
        </w:rPr>
        <w:t>instruments and incentives to access credit to promote renewable energies</w:t>
      </w:r>
      <w:r w:rsidR="00D156D4" w:rsidRPr="003F7F6C">
        <w:rPr>
          <w:rFonts w:cs="Calibri"/>
          <w:szCs w:val="20"/>
        </w:rPr>
        <w:t>,</w:t>
      </w:r>
      <w:r w:rsidRPr="003F7F6C">
        <w:rPr>
          <w:rFonts w:cs="Calibri"/>
          <w:szCs w:val="20"/>
        </w:rPr>
        <w:t xml:space="preserve"> such as the Galicia</w:t>
      </w:r>
      <w:r w:rsidR="00C84561" w:rsidRPr="003F7F6C">
        <w:rPr>
          <w:rFonts w:cs="Calibri"/>
          <w:szCs w:val="20"/>
        </w:rPr>
        <w:t xml:space="preserve"> Bank</w:t>
      </w:r>
      <w:r w:rsidRPr="003F7F6C">
        <w:rPr>
          <w:rFonts w:cs="Calibri"/>
          <w:szCs w:val="20"/>
        </w:rPr>
        <w:t xml:space="preserve"> credit lines to finance renewable energy projects (e.g.</w:t>
      </w:r>
      <w:r w:rsidR="00D156D4" w:rsidRPr="003F7F6C">
        <w:rPr>
          <w:rFonts w:cs="Calibri"/>
          <w:szCs w:val="20"/>
        </w:rPr>
        <w:t>,</w:t>
      </w:r>
      <w:r w:rsidRPr="003F7F6C">
        <w:rPr>
          <w:rFonts w:cs="Calibri"/>
          <w:szCs w:val="20"/>
        </w:rPr>
        <w:t xml:space="preserve"> solar energy and biomass) and green bonds</w:t>
      </w:r>
      <w:r w:rsidRPr="003F7F6C">
        <w:rPr>
          <w:rStyle w:val="FootnoteReference"/>
          <w:rFonts w:cs="Calibri"/>
          <w:szCs w:val="20"/>
        </w:rPr>
        <w:footnoteReference w:id="76"/>
      </w:r>
      <w:r w:rsidRPr="003F7F6C">
        <w:rPr>
          <w:rFonts w:cs="Calibri"/>
          <w:szCs w:val="20"/>
        </w:rPr>
        <w:t>.</w:t>
      </w:r>
    </w:p>
    <w:p w14:paraId="518FF270" w14:textId="1607D5CF" w:rsidR="00194D34" w:rsidRPr="003F7F6C" w:rsidRDefault="00E145BD" w:rsidP="00E91275">
      <w:pPr>
        <w:pStyle w:val="ListParagraph"/>
        <w:numPr>
          <w:ilvl w:val="0"/>
          <w:numId w:val="28"/>
        </w:numPr>
        <w:tabs>
          <w:tab w:val="left" w:pos="426"/>
        </w:tabs>
        <w:spacing w:after="240"/>
        <w:ind w:left="0" w:firstLine="0"/>
        <w:contextualSpacing w:val="0"/>
        <w:rPr>
          <w:rFonts w:cs="Calibri"/>
          <w:i/>
          <w:szCs w:val="20"/>
        </w:rPr>
      </w:pPr>
      <w:r w:rsidRPr="003F7F6C">
        <w:rPr>
          <w:rFonts w:cs="Calibri"/>
          <w:szCs w:val="20"/>
        </w:rPr>
        <w:t>For the mining sector the project will provide technical assistance the development of coordination mechanisms for public-private partnerships to contribute to the sustainable productive development of communities</w:t>
      </w:r>
      <w:r w:rsidR="00F50170" w:rsidRPr="003F7F6C">
        <w:rPr>
          <w:rFonts w:cs="Calibri"/>
          <w:szCs w:val="20"/>
        </w:rPr>
        <w:t xml:space="preserve"> living in the area of influence of the mining operations.</w:t>
      </w:r>
    </w:p>
    <w:p w14:paraId="1A549F56" w14:textId="77777777" w:rsidR="00194D34" w:rsidRPr="003F7F6C" w:rsidRDefault="00837694" w:rsidP="00194D34">
      <w:pPr>
        <w:pStyle w:val="ListParagraph"/>
        <w:tabs>
          <w:tab w:val="left" w:pos="426"/>
        </w:tabs>
        <w:spacing w:after="240"/>
        <w:ind w:left="0"/>
        <w:contextualSpacing w:val="0"/>
        <w:rPr>
          <w:rFonts w:cs="Calibri"/>
          <w:bCs/>
          <w:szCs w:val="20"/>
        </w:rPr>
      </w:pPr>
      <w:r w:rsidRPr="003F7F6C">
        <w:rPr>
          <w:rFonts w:cs="Calibri"/>
          <w:i/>
          <w:szCs w:val="20"/>
        </w:rPr>
        <w:t xml:space="preserve">Output 2.4 </w:t>
      </w:r>
      <w:r w:rsidRPr="003F7F6C">
        <w:rPr>
          <w:rFonts w:cs="Calibri"/>
          <w:bCs/>
          <w:i/>
          <w:szCs w:val="20"/>
        </w:rPr>
        <w:t xml:space="preserve">SLM and biodiversity-friendly production practices validated for different ELUP land use zones </w:t>
      </w:r>
    </w:p>
    <w:p w14:paraId="3B716841" w14:textId="77777777" w:rsidR="008B4064" w:rsidRPr="003F7F6C" w:rsidRDefault="00837694" w:rsidP="00E91275">
      <w:pPr>
        <w:pStyle w:val="ListParagraph"/>
        <w:numPr>
          <w:ilvl w:val="0"/>
          <w:numId w:val="28"/>
        </w:numPr>
        <w:tabs>
          <w:tab w:val="left" w:pos="426"/>
        </w:tabs>
        <w:spacing w:after="240"/>
        <w:ind w:left="0" w:firstLine="0"/>
        <w:contextualSpacing w:val="0"/>
        <w:rPr>
          <w:rFonts w:cs="Calibri"/>
          <w:bCs/>
          <w:szCs w:val="20"/>
        </w:rPr>
      </w:pPr>
      <w:r w:rsidRPr="003F7F6C">
        <w:rPr>
          <w:rFonts w:cs="Calibri"/>
          <w:szCs w:val="20"/>
        </w:rPr>
        <w:t xml:space="preserve">This output will serve the purpose of validating and assessing </w:t>
      </w:r>
      <w:r w:rsidR="00CE204E" w:rsidRPr="003F7F6C">
        <w:rPr>
          <w:rFonts w:cs="Calibri"/>
          <w:szCs w:val="20"/>
        </w:rPr>
        <w:t xml:space="preserve">the </w:t>
      </w:r>
      <w:r w:rsidRPr="003F7F6C">
        <w:rPr>
          <w:rFonts w:cs="Calibri"/>
          <w:szCs w:val="20"/>
        </w:rPr>
        <w:t xml:space="preserve">production and environmental viability of management practices with </w:t>
      </w:r>
      <w:r w:rsidR="00CE204E" w:rsidRPr="003F7F6C">
        <w:rPr>
          <w:rFonts w:cs="Calibri"/>
          <w:szCs w:val="20"/>
        </w:rPr>
        <w:t xml:space="preserve">the </w:t>
      </w:r>
      <w:r w:rsidRPr="003F7F6C">
        <w:rPr>
          <w:rFonts w:cs="Calibri"/>
          <w:szCs w:val="20"/>
        </w:rPr>
        <w:t xml:space="preserve">potential to reduce threats and optimize the flows of ecosystem goods and services in </w:t>
      </w:r>
      <w:r w:rsidR="00CE204E" w:rsidRPr="003F7F6C">
        <w:rPr>
          <w:rFonts w:cs="Calibri"/>
          <w:szCs w:val="20"/>
        </w:rPr>
        <w:t xml:space="preserve">the </w:t>
      </w:r>
      <w:r w:rsidRPr="003F7F6C">
        <w:rPr>
          <w:rFonts w:cs="Calibri"/>
          <w:szCs w:val="20"/>
        </w:rPr>
        <w:t xml:space="preserve">target landscapes identified as </w:t>
      </w:r>
      <w:r w:rsidR="00CE204E" w:rsidRPr="003F7F6C">
        <w:rPr>
          <w:rFonts w:cs="Calibri"/>
          <w:szCs w:val="20"/>
        </w:rPr>
        <w:t xml:space="preserve">a </w:t>
      </w:r>
      <w:r w:rsidRPr="003F7F6C">
        <w:rPr>
          <w:rFonts w:cs="Calibri"/>
          <w:szCs w:val="20"/>
        </w:rPr>
        <w:t>priority for BD conservation and reduction of LD. These will provide costs and efficiency data to guide the definition of production practice restriction</w:t>
      </w:r>
      <w:r w:rsidR="00CE204E" w:rsidRPr="003F7F6C">
        <w:rPr>
          <w:rFonts w:cs="Calibri"/>
          <w:szCs w:val="20"/>
        </w:rPr>
        <w:t>s</w:t>
      </w:r>
      <w:r w:rsidRPr="003F7F6C">
        <w:rPr>
          <w:rFonts w:cs="Calibri"/>
          <w:szCs w:val="20"/>
        </w:rPr>
        <w:t xml:space="preserve"> in priority areas and feed into the regulatory framework being defined in Output 2.1. These demonstrations will take into account the results of ecosystem valuations and economic evaluations and the potential implications of changes in macroeconomic and climatic conditions developed </w:t>
      </w:r>
      <w:r w:rsidR="00CE204E" w:rsidRPr="003F7F6C">
        <w:rPr>
          <w:rFonts w:cs="Calibri"/>
          <w:szCs w:val="20"/>
        </w:rPr>
        <w:t xml:space="preserve">under </w:t>
      </w:r>
      <w:r w:rsidRPr="003F7F6C">
        <w:rPr>
          <w:rFonts w:cs="Calibri"/>
          <w:szCs w:val="20"/>
        </w:rPr>
        <w:t>Output 2.3.  The economic and financial instruments assessed and developed in Output 2.3 will provide incentives for transitions to new production practices or new approaches, and/or compensation for</w:t>
      </w:r>
      <w:r w:rsidR="00CE204E" w:rsidRPr="003F7F6C">
        <w:rPr>
          <w:rFonts w:cs="Calibri"/>
          <w:szCs w:val="20"/>
        </w:rPr>
        <w:t xml:space="preserve"> the</w:t>
      </w:r>
      <w:r w:rsidRPr="003F7F6C">
        <w:rPr>
          <w:rFonts w:cs="Calibri"/>
          <w:szCs w:val="20"/>
        </w:rPr>
        <w:t xml:space="preserve"> opportunity costs for landowners that are required to reduce or change production in accordance with ELUP criteria and zoning.</w:t>
      </w:r>
    </w:p>
    <w:p w14:paraId="08B9606E" w14:textId="2DA24F1A" w:rsidR="008B4064" w:rsidRPr="003F7F6C" w:rsidRDefault="00837694" w:rsidP="00E91275">
      <w:pPr>
        <w:pStyle w:val="ListParagraph"/>
        <w:numPr>
          <w:ilvl w:val="0"/>
          <w:numId w:val="28"/>
        </w:numPr>
        <w:tabs>
          <w:tab w:val="left" w:pos="426"/>
        </w:tabs>
        <w:spacing w:after="240"/>
        <w:ind w:left="0" w:firstLine="0"/>
        <w:contextualSpacing w:val="0"/>
        <w:rPr>
          <w:rFonts w:cs="Calibri"/>
          <w:bCs/>
          <w:szCs w:val="20"/>
        </w:rPr>
      </w:pPr>
      <w:r w:rsidRPr="003F7F6C">
        <w:rPr>
          <w:rFonts w:cs="Calibri"/>
          <w:szCs w:val="20"/>
        </w:rPr>
        <w:t xml:space="preserve">Table </w:t>
      </w:r>
      <w:r w:rsidR="008B4064" w:rsidRPr="003F7F6C">
        <w:rPr>
          <w:rFonts w:cs="Calibri"/>
          <w:szCs w:val="20"/>
        </w:rPr>
        <w:t>4</w:t>
      </w:r>
      <w:r w:rsidRPr="003F7F6C">
        <w:rPr>
          <w:rFonts w:cs="Calibri"/>
          <w:szCs w:val="20"/>
        </w:rPr>
        <w:t xml:space="preserve"> below summarize</w:t>
      </w:r>
      <w:r w:rsidR="00DE7B1C" w:rsidRPr="003F7F6C">
        <w:rPr>
          <w:rFonts w:cs="Calibri"/>
          <w:szCs w:val="20"/>
        </w:rPr>
        <w:t>s</w:t>
      </w:r>
      <w:r w:rsidRPr="003F7F6C">
        <w:rPr>
          <w:rFonts w:cs="Calibri"/>
          <w:szCs w:val="20"/>
        </w:rPr>
        <w:t xml:space="preserve"> the sustainable and environment</w:t>
      </w:r>
      <w:r w:rsidR="00CE204E" w:rsidRPr="003F7F6C">
        <w:rPr>
          <w:rFonts w:cs="Calibri"/>
          <w:szCs w:val="20"/>
        </w:rPr>
        <w:t>ally</w:t>
      </w:r>
      <w:r w:rsidRPr="003F7F6C">
        <w:rPr>
          <w:rFonts w:cs="Calibri"/>
          <w:szCs w:val="20"/>
        </w:rPr>
        <w:t xml:space="preserve"> friendly practices </w:t>
      </w:r>
      <w:r w:rsidR="00CE204E" w:rsidRPr="003F7F6C">
        <w:rPr>
          <w:rFonts w:cs="Calibri"/>
          <w:szCs w:val="20"/>
        </w:rPr>
        <w:t xml:space="preserve">that were </w:t>
      </w:r>
      <w:r w:rsidRPr="003F7F6C">
        <w:rPr>
          <w:rFonts w:cs="Calibri"/>
          <w:szCs w:val="20"/>
        </w:rPr>
        <w:t xml:space="preserve">pre-selected during the PPG </w:t>
      </w:r>
      <w:r w:rsidR="008B4064" w:rsidRPr="003F7F6C">
        <w:t>based on existing experiences and the needs expressed by the three provinces. During project implementation</w:t>
      </w:r>
      <w:r w:rsidR="00C15333" w:rsidRPr="003F7F6C">
        <w:t>,</w:t>
      </w:r>
      <w:r w:rsidR="008B4064" w:rsidRPr="003F7F6C">
        <w:t xml:space="preserve"> these practices will be further assessed and costed to ensure their technical and economic feasibility. </w:t>
      </w:r>
      <w:r w:rsidR="00195C17" w:rsidRPr="003F7F6C">
        <w:t xml:space="preserve">The assessment will also take into </w:t>
      </w:r>
      <w:r w:rsidR="00195C17" w:rsidRPr="003F7F6C">
        <w:rPr>
          <w:szCs w:val="20"/>
        </w:rPr>
        <w:t xml:space="preserve">account </w:t>
      </w:r>
      <w:r w:rsidR="00195C17" w:rsidRPr="003F7F6C">
        <w:rPr>
          <w:rFonts w:cs="Calibri"/>
          <w:szCs w:val="20"/>
        </w:rPr>
        <w:t>the vulnerabilities and impacts of climate change identified for the different regions of Argentina so that the analysis will consider the</w:t>
      </w:r>
      <w:r w:rsidR="0027665B" w:rsidRPr="003F7F6C">
        <w:rPr>
          <w:rFonts w:cs="Calibri"/>
          <w:szCs w:val="20"/>
        </w:rPr>
        <w:t>ir</w:t>
      </w:r>
      <w:r w:rsidR="00195C17" w:rsidRPr="003F7F6C">
        <w:rPr>
          <w:rFonts w:cs="Calibri"/>
          <w:szCs w:val="20"/>
        </w:rPr>
        <w:t xml:space="preserve"> potential to </w:t>
      </w:r>
      <w:r w:rsidR="0027665B" w:rsidRPr="003F7F6C">
        <w:rPr>
          <w:rFonts w:cs="Calibri"/>
          <w:szCs w:val="20"/>
        </w:rPr>
        <w:t>comply with</w:t>
      </w:r>
      <w:r w:rsidR="00195C17" w:rsidRPr="003F7F6C">
        <w:rPr>
          <w:rFonts w:cs="Calibri"/>
          <w:szCs w:val="20"/>
        </w:rPr>
        <w:t xml:space="preserve"> the adaptation needs of each region. </w:t>
      </w:r>
      <w:r w:rsidR="008B4064" w:rsidRPr="003F7F6C">
        <w:t xml:space="preserve">Based on the results of this assessment they will be prioritized for testing and validation </w:t>
      </w:r>
      <w:r w:rsidRPr="003F7F6C">
        <w:rPr>
          <w:rFonts w:cs="Calibri"/>
          <w:szCs w:val="20"/>
        </w:rPr>
        <w:t xml:space="preserve">in the target landscapes of the province. During project implementation other practices may be identified and included for </w:t>
      </w:r>
      <w:r w:rsidR="008B4064" w:rsidRPr="003F7F6C">
        <w:rPr>
          <w:rFonts w:cs="Calibri"/>
          <w:szCs w:val="20"/>
        </w:rPr>
        <w:t xml:space="preserve">assessment and </w:t>
      </w:r>
      <w:r w:rsidRPr="003F7F6C">
        <w:rPr>
          <w:rFonts w:cs="Calibri"/>
          <w:szCs w:val="20"/>
        </w:rPr>
        <w:t xml:space="preserve">testing. </w:t>
      </w:r>
      <w:r w:rsidRPr="003F7F6C">
        <w:rPr>
          <w:rFonts w:cs="Calibri"/>
          <w:color w:val="000000"/>
          <w:szCs w:val="20"/>
        </w:rPr>
        <w:t xml:space="preserve">Implementation of the proposed practices will include defining the specific methodologies to be used in each province and target landscape to disseminate practices, promote their adoption and upscaling according to the local realities and target groups. Methodologies will emphasize “learning-by-doing” approaches and may include: training workshops; field visits; exchange of experiences between producers/communities within a target landscape or within target landscapes in the same province with similar problems; demonstration units; and farmer field schools that include in-farm theoretical and practical participatory training; and </w:t>
      </w:r>
      <w:r w:rsidRPr="003F7F6C">
        <w:rPr>
          <w:rFonts w:cs="Calibri"/>
          <w:szCs w:val="20"/>
          <w:lang w:eastAsia="es-EC"/>
        </w:rPr>
        <w:t xml:space="preserve">learning and listening to traditional knowledge. </w:t>
      </w:r>
    </w:p>
    <w:p w14:paraId="4AB51522" w14:textId="77777777" w:rsidR="008B4064" w:rsidRPr="003F7F6C" w:rsidRDefault="00837694" w:rsidP="00E91275">
      <w:pPr>
        <w:pStyle w:val="ListParagraph"/>
        <w:numPr>
          <w:ilvl w:val="0"/>
          <w:numId w:val="28"/>
        </w:numPr>
        <w:tabs>
          <w:tab w:val="left" w:pos="426"/>
        </w:tabs>
        <w:spacing w:after="240"/>
        <w:ind w:left="0" w:firstLine="0"/>
        <w:contextualSpacing w:val="0"/>
        <w:rPr>
          <w:rFonts w:cs="Calibri"/>
          <w:bCs/>
          <w:szCs w:val="20"/>
        </w:rPr>
      </w:pPr>
      <w:r w:rsidRPr="003F7F6C">
        <w:rPr>
          <w:rFonts w:cs="Calibri"/>
          <w:szCs w:val="20"/>
          <w:lang w:eastAsia="es-EC"/>
        </w:rPr>
        <w:t xml:space="preserve">Training and technical assistance will take into account the work schedules of producers and their families, and communities, for minimum interference with the daily chores of men and women in order to ensure their participation in the activities organized by the project. Specific training will be developed targeting </w:t>
      </w:r>
      <w:r w:rsidRPr="003F7F6C">
        <w:rPr>
          <w:rFonts w:cs="Calibri"/>
          <w:szCs w:val="20"/>
        </w:rPr>
        <w:t xml:space="preserve">women beneficiaries (indigenous and non-indigenous) in the target landscapes to: i) promote gender equality in the management, use and conservation of biodiversity; </w:t>
      </w:r>
      <w:r w:rsidR="00C70848" w:rsidRPr="003F7F6C">
        <w:rPr>
          <w:rFonts w:cs="Calibri"/>
          <w:szCs w:val="20"/>
        </w:rPr>
        <w:t xml:space="preserve">and ii) </w:t>
      </w:r>
      <w:r w:rsidR="00C70848" w:rsidRPr="003F7F6C">
        <w:t>ensure that both women and men´s needs are addressed through the project interventions</w:t>
      </w:r>
      <w:r w:rsidRPr="003F7F6C">
        <w:rPr>
          <w:rFonts w:cs="Calibri"/>
          <w:szCs w:val="20"/>
        </w:rPr>
        <w:t>.</w:t>
      </w:r>
      <w:r w:rsidRPr="003F7F6C">
        <w:rPr>
          <w:rFonts w:cs="Calibri"/>
          <w:szCs w:val="20"/>
          <w:lang w:eastAsia="es-EC"/>
        </w:rPr>
        <w:t xml:space="preserve"> Practices will be implemented beginning in PY3 and throughout the project´s lifetime. Experiences and lessons will be extracted periodically during implementation and will provide feedback to other project outputs for adjustment and improvement of regulations and/or instruments under development.</w:t>
      </w:r>
    </w:p>
    <w:p w14:paraId="1FF88388" w14:textId="77777777" w:rsidR="008B4064" w:rsidRPr="003F7F6C" w:rsidRDefault="008B4064" w:rsidP="008B4064">
      <w:pPr>
        <w:pStyle w:val="ListParagraph"/>
        <w:tabs>
          <w:tab w:val="left" w:pos="426"/>
        </w:tabs>
        <w:spacing w:after="240"/>
        <w:contextualSpacing w:val="0"/>
        <w:rPr>
          <w:rFonts w:cs="Calibri"/>
          <w:bCs/>
          <w:szCs w:val="20"/>
        </w:rPr>
      </w:pPr>
    </w:p>
    <w:p w14:paraId="1BDACB81" w14:textId="77777777" w:rsidR="004D0D7E" w:rsidRPr="003F7F6C" w:rsidRDefault="004D0D7E" w:rsidP="00CC2C21">
      <w:pPr>
        <w:pStyle w:val="ListParagraph"/>
        <w:tabs>
          <w:tab w:val="left" w:pos="426"/>
        </w:tabs>
        <w:spacing w:after="240"/>
        <w:ind w:left="0"/>
        <w:contextualSpacing w:val="0"/>
        <w:rPr>
          <w:rFonts w:cs="Calibri"/>
          <w:color w:val="000000"/>
        </w:rPr>
        <w:sectPr w:rsidR="004D0D7E" w:rsidRPr="003F7F6C" w:rsidSect="000B3D4F">
          <w:pgSz w:w="12240" w:h="15840" w:code="1"/>
          <w:pgMar w:top="1440" w:right="1440" w:bottom="1440" w:left="1440" w:header="720" w:footer="432" w:gutter="0"/>
          <w:cols w:space="708"/>
          <w:titlePg/>
          <w:docGrid w:linePitch="360"/>
        </w:sectPr>
      </w:pPr>
    </w:p>
    <w:p w14:paraId="33BDD833" w14:textId="77777777" w:rsidR="00A90966" w:rsidRPr="003F7F6C" w:rsidRDefault="00A90966" w:rsidP="00A90966">
      <w:pPr>
        <w:pStyle w:val="xmsonormal"/>
        <w:spacing w:before="0" w:beforeAutospacing="0" w:after="0" w:afterAutospacing="0"/>
        <w:jc w:val="both"/>
        <w:rPr>
          <w:rFonts w:ascii="Calibri" w:hAnsi="Calibri" w:cs="Calibri"/>
          <w:color w:val="000000"/>
          <w:lang w:val="en-US"/>
        </w:rPr>
      </w:pPr>
    </w:p>
    <w:p w14:paraId="151BE92F" w14:textId="77777777" w:rsidR="00A90966" w:rsidRPr="003F7F6C" w:rsidRDefault="00A90966" w:rsidP="00A90966">
      <w:pPr>
        <w:pStyle w:val="xmsonormal"/>
        <w:spacing w:before="0" w:beforeAutospacing="0" w:after="0" w:afterAutospacing="0"/>
        <w:jc w:val="both"/>
        <w:rPr>
          <w:rFonts w:ascii="Calibri" w:hAnsi="Calibri" w:cs="Calibri"/>
          <w:color w:val="000000"/>
          <w:sz w:val="20"/>
          <w:szCs w:val="20"/>
          <w:lang w:val="en-US"/>
        </w:rPr>
      </w:pPr>
      <w:r w:rsidRPr="003F7F6C">
        <w:rPr>
          <w:rFonts w:ascii="Calibri" w:hAnsi="Calibri" w:cs="Calibri"/>
          <w:color w:val="000000"/>
          <w:sz w:val="20"/>
          <w:szCs w:val="20"/>
          <w:lang w:val="en-US"/>
        </w:rPr>
        <w:t>Table</w:t>
      </w:r>
      <w:r w:rsidR="00DE7B1C" w:rsidRPr="003F7F6C">
        <w:rPr>
          <w:rFonts w:ascii="Calibri" w:hAnsi="Calibri" w:cs="Calibri"/>
          <w:color w:val="000000"/>
          <w:sz w:val="20"/>
          <w:szCs w:val="20"/>
          <w:lang w:val="en-US"/>
        </w:rPr>
        <w:t xml:space="preserve"> </w:t>
      </w:r>
      <w:r w:rsidR="00064914" w:rsidRPr="003F7F6C">
        <w:rPr>
          <w:rFonts w:ascii="Calibri" w:hAnsi="Calibri" w:cs="Calibri"/>
          <w:color w:val="000000"/>
          <w:sz w:val="20"/>
          <w:szCs w:val="20"/>
          <w:lang w:val="en-US"/>
        </w:rPr>
        <w:t>4</w:t>
      </w:r>
      <w:r w:rsidRPr="003F7F6C">
        <w:rPr>
          <w:rFonts w:ascii="Calibri" w:hAnsi="Calibri" w:cs="Calibri"/>
          <w:color w:val="000000"/>
          <w:sz w:val="20"/>
          <w:szCs w:val="20"/>
          <w:lang w:val="en-US"/>
        </w:rPr>
        <w:t xml:space="preserve"> – Summary of sustainable and environment</w:t>
      </w:r>
      <w:r w:rsidR="00014B18" w:rsidRPr="003F7F6C">
        <w:rPr>
          <w:rFonts w:ascii="Calibri" w:hAnsi="Calibri" w:cs="Calibri"/>
          <w:color w:val="000000"/>
          <w:sz w:val="20"/>
          <w:szCs w:val="20"/>
          <w:lang w:val="en-US"/>
        </w:rPr>
        <w:t>ally</w:t>
      </w:r>
      <w:r w:rsidRPr="003F7F6C">
        <w:rPr>
          <w:rFonts w:ascii="Calibri" w:hAnsi="Calibri" w:cs="Calibri"/>
          <w:color w:val="000000"/>
          <w:sz w:val="20"/>
          <w:szCs w:val="20"/>
          <w:lang w:val="en-US"/>
        </w:rPr>
        <w:t xml:space="preserve"> friendly practices in target landscapes</w:t>
      </w:r>
    </w:p>
    <w:tbl>
      <w:tblPr>
        <w:tblW w:w="133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0"/>
        <w:gridCol w:w="1410"/>
        <w:gridCol w:w="1279"/>
        <w:gridCol w:w="1701"/>
        <w:gridCol w:w="8080"/>
      </w:tblGrid>
      <w:tr w:rsidR="00A90966" w:rsidRPr="003F7F6C" w14:paraId="3F98AC72" w14:textId="77777777" w:rsidTr="002B3130">
        <w:trPr>
          <w:tblHeader/>
        </w:trPr>
        <w:tc>
          <w:tcPr>
            <w:tcW w:w="850" w:type="dxa"/>
            <w:tcBorders>
              <w:top w:val="single" w:sz="18" w:space="0" w:color="auto"/>
              <w:left w:val="single" w:sz="18" w:space="0" w:color="auto"/>
              <w:bottom w:val="single" w:sz="18" w:space="0" w:color="auto"/>
            </w:tcBorders>
            <w:shd w:val="clear" w:color="auto" w:fill="D9E2F3"/>
          </w:tcPr>
          <w:p w14:paraId="6ACD5C94"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r w:rsidRPr="003F7F6C">
              <w:rPr>
                <w:rFonts w:ascii="Calibri" w:hAnsi="Calibri" w:cs="Calibri"/>
                <w:color w:val="000000"/>
                <w:sz w:val="18"/>
                <w:szCs w:val="18"/>
                <w:lang w:val="en-US"/>
              </w:rPr>
              <w:t>Province</w:t>
            </w:r>
          </w:p>
        </w:tc>
        <w:tc>
          <w:tcPr>
            <w:tcW w:w="1410" w:type="dxa"/>
            <w:tcBorders>
              <w:top w:val="single" w:sz="18" w:space="0" w:color="auto"/>
              <w:bottom w:val="single" w:sz="18" w:space="0" w:color="auto"/>
            </w:tcBorders>
            <w:shd w:val="clear" w:color="auto" w:fill="D9E2F3"/>
          </w:tcPr>
          <w:p w14:paraId="636595EC"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r w:rsidRPr="003F7F6C">
              <w:rPr>
                <w:rFonts w:ascii="Calibri" w:hAnsi="Calibri" w:cs="Calibri"/>
                <w:color w:val="000000"/>
                <w:sz w:val="18"/>
                <w:szCs w:val="18"/>
                <w:lang w:val="en-US"/>
              </w:rPr>
              <w:t>Target Landscape</w:t>
            </w:r>
          </w:p>
        </w:tc>
        <w:tc>
          <w:tcPr>
            <w:tcW w:w="1279" w:type="dxa"/>
            <w:tcBorders>
              <w:top w:val="single" w:sz="18" w:space="0" w:color="auto"/>
              <w:bottom w:val="single" w:sz="18" w:space="0" w:color="auto"/>
            </w:tcBorders>
            <w:shd w:val="clear" w:color="auto" w:fill="D9E2F3"/>
          </w:tcPr>
          <w:p w14:paraId="4B3557D3"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r w:rsidRPr="003F7F6C">
              <w:rPr>
                <w:rFonts w:ascii="Calibri" w:hAnsi="Calibri" w:cs="Calibri"/>
                <w:color w:val="000000"/>
                <w:sz w:val="18"/>
                <w:szCs w:val="18"/>
                <w:lang w:val="en-US"/>
              </w:rPr>
              <w:t>Sector</w:t>
            </w:r>
          </w:p>
        </w:tc>
        <w:tc>
          <w:tcPr>
            <w:tcW w:w="1701" w:type="dxa"/>
            <w:tcBorders>
              <w:top w:val="single" w:sz="18" w:space="0" w:color="auto"/>
              <w:bottom w:val="single" w:sz="18" w:space="0" w:color="auto"/>
            </w:tcBorders>
            <w:shd w:val="clear" w:color="auto" w:fill="D9E2F3"/>
          </w:tcPr>
          <w:p w14:paraId="5877125E"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r w:rsidRPr="003F7F6C">
              <w:rPr>
                <w:rFonts w:ascii="Calibri" w:hAnsi="Calibri" w:cs="Calibri"/>
                <w:color w:val="000000"/>
                <w:sz w:val="18"/>
                <w:szCs w:val="18"/>
                <w:lang w:val="en-US"/>
              </w:rPr>
              <w:t>Stakeholders involved/ Beneficiaries</w:t>
            </w:r>
          </w:p>
        </w:tc>
        <w:tc>
          <w:tcPr>
            <w:tcW w:w="8080" w:type="dxa"/>
            <w:tcBorders>
              <w:top w:val="single" w:sz="18" w:space="0" w:color="auto"/>
              <w:bottom w:val="single" w:sz="18" w:space="0" w:color="auto"/>
              <w:right w:val="single" w:sz="18" w:space="0" w:color="auto"/>
            </w:tcBorders>
            <w:shd w:val="clear" w:color="auto" w:fill="D9E2F3"/>
          </w:tcPr>
          <w:p w14:paraId="6B087C62"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r w:rsidRPr="003F7F6C">
              <w:rPr>
                <w:rFonts w:ascii="Calibri" w:hAnsi="Calibri" w:cs="Calibri"/>
                <w:color w:val="000000"/>
                <w:sz w:val="18"/>
                <w:szCs w:val="18"/>
                <w:lang w:val="en-US"/>
              </w:rPr>
              <w:t>BD friendly and SLM practices</w:t>
            </w:r>
          </w:p>
        </w:tc>
      </w:tr>
      <w:tr w:rsidR="00A90966" w:rsidRPr="003F7F6C" w14:paraId="35896583" w14:textId="77777777" w:rsidTr="002B3130">
        <w:tc>
          <w:tcPr>
            <w:tcW w:w="850" w:type="dxa"/>
            <w:vMerge w:val="restart"/>
            <w:tcBorders>
              <w:top w:val="single" w:sz="18" w:space="0" w:color="auto"/>
              <w:left w:val="single" w:sz="18" w:space="0" w:color="auto"/>
            </w:tcBorders>
            <w:shd w:val="clear" w:color="auto" w:fill="auto"/>
            <w:textDirection w:val="btLr"/>
          </w:tcPr>
          <w:p w14:paraId="5F1C5A2B" w14:textId="77777777" w:rsidR="00A90966" w:rsidRPr="003F7F6C" w:rsidRDefault="00A90966" w:rsidP="002B3130">
            <w:pPr>
              <w:pStyle w:val="xmsonormal"/>
              <w:spacing w:before="0" w:beforeAutospacing="0" w:after="0" w:afterAutospacing="0"/>
              <w:ind w:left="113" w:right="113"/>
              <w:jc w:val="center"/>
              <w:rPr>
                <w:rFonts w:ascii="Calibri" w:hAnsi="Calibri" w:cs="Calibri"/>
                <w:color w:val="000000"/>
                <w:sz w:val="18"/>
                <w:szCs w:val="18"/>
                <w:lang w:val="es-PY"/>
              </w:rPr>
            </w:pPr>
            <w:r w:rsidRPr="003F7F6C">
              <w:rPr>
                <w:rFonts w:ascii="Calibri" w:hAnsi="Calibri" w:cs="Calibri"/>
                <w:color w:val="000000"/>
                <w:sz w:val="18"/>
                <w:szCs w:val="18"/>
                <w:lang w:val="es-PY"/>
              </w:rPr>
              <w:t>BUENOS AIRES</w:t>
            </w:r>
          </w:p>
        </w:tc>
        <w:tc>
          <w:tcPr>
            <w:tcW w:w="1410" w:type="dxa"/>
            <w:vMerge w:val="restart"/>
            <w:tcBorders>
              <w:top w:val="single" w:sz="18" w:space="0" w:color="auto"/>
            </w:tcBorders>
            <w:shd w:val="clear" w:color="auto" w:fill="auto"/>
          </w:tcPr>
          <w:p w14:paraId="5DBC0BC5"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s-PY"/>
              </w:rPr>
            </w:pPr>
            <w:r w:rsidRPr="003F7F6C">
              <w:rPr>
                <w:rFonts w:ascii="Calibri" w:hAnsi="Calibri" w:cs="Calibri"/>
                <w:color w:val="000000"/>
                <w:sz w:val="18"/>
                <w:szCs w:val="18"/>
                <w:lang w:val="es-PY"/>
              </w:rPr>
              <w:t>Talares del Este – Bahia de Samborombon</w:t>
            </w:r>
          </w:p>
        </w:tc>
        <w:tc>
          <w:tcPr>
            <w:tcW w:w="1279" w:type="dxa"/>
            <w:vMerge w:val="restart"/>
            <w:tcBorders>
              <w:top w:val="single" w:sz="18" w:space="0" w:color="auto"/>
            </w:tcBorders>
            <w:shd w:val="clear" w:color="auto" w:fill="auto"/>
          </w:tcPr>
          <w:p w14:paraId="121C70D7"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r w:rsidRPr="003F7F6C">
              <w:rPr>
                <w:rFonts w:ascii="Calibri" w:hAnsi="Calibri" w:cs="Calibri"/>
                <w:color w:val="000000"/>
                <w:sz w:val="18"/>
                <w:szCs w:val="18"/>
                <w:lang w:val="en-US"/>
              </w:rPr>
              <w:t>Agriculture and Livestock</w:t>
            </w:r>
          </w:p>
        </w:tc>
        <w:tc>
          <w:tcPr>
            <w:tcW w:w="1701" w:type="dxa"/>
            <w:tcBorders>
              <w:top w:val="single" w:sz="18" w:space="0" w:color="auto"/>
              <w:bottom w:val="single" w:sz="4" w:space="0" w:color="auto"/>
            </w:tcBorders>
            <w:shd w:val="clear" w:color="auto" w:fill="auto"/>
          </w:tcPr>
          <w:p w14:paraId="6821ADA3"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r w:rsidRPr="003F7F6C">
              <w:rPr>
                <w:rFonts w:ascii="Calibri" w:hAnsi="Calibri" w:cs="Calibri"/>
                <w:color w:val="000000"/>
                <w:sz w:val="18"/>
                <w:szCs w:val="18"/>
                <w:lang w:val="en-US"/>
              </w:rPr>
              <w:t xml:space="preserve">Horticultural farmers </w:t>
            </w:r>
          </w:p>
        </w:tc>
        <w:tc>
          <w:tcPr>
            <w:tcW w:w="8080" w:type="dxa"/>
            <w:tcBorders>
              <w:top w:val="single" w:sz="18" w:space="0" w:color="auto"/>
              <w:bottom w:val="single" w:sz="4" w:space="0" w:color="auto"/>
              <w:right w:val="single" w:sz="18" w:space="0" w:color="auto"/>
            </w:tcBorders>
            <w:shd w:val="clear" w:color="auto" w:fill="auto"/>
          </w:tcPr>
          <w:p w14:paraId="6F0F35A1" w14:textId="77777777" w:rsidR="00A90966" w:rsidRPr="003F7F6C" w:rsidRDefault="00A90966" w:rsidP="00E91275">
            <w:pPr>
              <w:pStyle w:val="xmsonormal"/>
              <w:numPr>
                <w:ilvl w:val="0"/>
                <w:numId w:val="35"/>
              </w:numPr>
              <w:spacing w:before="0" w:beforeAutospacing="0" w:after="0" w:afterAutospacing="0"/>
              <w:ind w:left="174" w:hanging="174"/>
              <w:jc w:val="both"/>
              <w:rPr>
                <w:rFonts w:ascii="Calibri" w:hAnsi="Calibri" w:cs="Calibri"/>
                <w:color w:val="000000"/>
                <w:sz w:val="18"/>
                <w:szCs w:val="18"/>
                <w:lang w:val="en-US"/>
              </w:rPr>
            </w:pPr>
            <w:r w:rsidRPr="003F7F6C">
              <w:rPr>
                <w:rFonts w:ascii="Calibri" w:hAnsi="Calibri" w:cs="Calibri"/>
                <w:color w:val="000000"/>
                <w:sz w:val="18"/>
                <w:szCs w:val="18"/>
                <w:lang w:val="en-US"/>
              </w:rPr>
              <w:t>Agro-ecological practices: organic fertilizers; substitution of agro-chemicals with bio-preparations and/or products with low or no environmental impact, use of biogas and/or compost, crop rotation, inter-cropping, green fertilizers</w:t>
            </w:r>
          </w:p>
        </w:tc>
      </w:tr>
      <w:tr w:rsidR="00A90966" w:rsidRPr="003F7F6C" w14:paraId="4E2385AA" w14:textId="77777777" w:rsidTr="002B3130">
        <w:trPr>
          <w:trHeight w:val="2288"/>
        </w:trPr>
        <w:tc>
          <w:tcPr>
            <w:tcW w:w="850" w:type="dxa"/>
            <w:vMerge/>
            <w:tcBorders>
              <w:left w:val="single" w:sz="18" w:space="0" w:color="auto"/>
            </w:tcBorders>
            <w:shd w:val="clear" w:color="auto" w:fill="auto"/>
          </w:tcPr>
          <w:p w14:paraId="73082E86"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p>
        </w:tc>
        <w:tc>
          <w:tcPr>
            <w:tcW w:w="1410" w:type="dxa"/>
            <w:vMerge/>
            <w:shd w:val="clear" w:color="auto" w:fill="auto"/>
          </w:tcPr>
          <w:p w14:paraId="1BEDC604"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p>
        </w:tc>
        <w:tc>
          <w:tcPr>
            <w:tcW w:w="1279" w:type="dxa"/>
            <w:vMerge/>
            <w:shd w:val="clear" w:color="auto" w:fill="auto"/>
          </w:tcPr>
          <w:p w14:paraId="0BD23A55"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p>
        </w:tc>
        <w:tc>
          <w:tcPr>
            <w:tcW w:w="1701" w:type="dxa"/>
            <w:tcBorders>
              <w:top w:val="single" w:sz="4" w:space="0" w:color="auto"/>
              <w:bottom w:val="single" w:sz="4" w:space="0" w:color="auto"/>
            </w:tcBorders>
            <w:shd w:val="clear" w:color="auto" w:fill="auto"/>
          </w:tcPr>
          <w:p w14:paraId="1B148F2C"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r w:rsidRPr="003F7F6C">
              <w:rPr>
                <w:rFonts w:ascii="Calibri" w:hAnsi="Calibri" w:cs="Calibri"/>
                <w:color w:val="000000"/>
                <w:sz w:val="18"/>
                <w:szCs w:val="18"/>
                <w:lang w:val="en-US"/>
              </w:rPr>
              <w:t xml:space="preserve">Livestock producers </w:t>
            </w:r>
          </w:p>
        </w:tc>
        <w:tc>
          <w:tcPr>
            <w:tcW w:w="8080" w:type="dxa"/>
            <w:tcBorders>
              <w:top w:val="single" w:sz="4" w:space="0" w:color="auto"/>
              <w:bottom w:val="single" w:sz="4" w:space="0" w:color="auto"/>
              <w:right w:val="single" w:sz="18" w:space="0" w:color="auto"/>
            </w:tcBorders>
            <w:shd w:val="clear" w:color="auto" w:fill="auto"/>
          </w:tcPr>
          <w:p w14:paraId="7EC5389D" w14:textId="77777777" w:rsidR="00A90966" w:rsidRPr="003F7F6C" w:rsidRDefault="00A90966" w:rsidP="00E91275">
            <w:pPr>
              <w:pStyle w:val="xmsonormal"/>
              <w:numPr>
                <w:ilvl w:val="0"/>
                <w:numId w:val="35"/>
              </w:numPr>
              <w:spacing w:before="0" w:beforeAutospacing="0" w:after="0" w:afterAutospacing="0"/>
              <w:ind w:left="174" w:hanging="174"/>
              <w:jc w:val="both"/>
              <w:rPr>
                <w:rFonts w:ascii="Calibri" w:hAnsi="Calibri" w:cs="Calibri"/>
                <w:color w:val="000000"/>
                <w:sz w:val="18"/>
                <w:szCs w:val="18"/>
                <w:lang w:val="en-US"/>
              </w:rPr>
            </w:pPr>
            <w:r w:rsidRPr="003F7F6C">
              <w:rPr>
                <w:rFonts w:ascii="Calibri" w:hAnsi="Calibri" w:cs="Calibri"/>
                <w:color w:val="000000"/>
                <w:sz w:val="18"/>
                <w:szCs w:val="18"/>
                <w:lang w:val="en-US"/>
              </w:rPr>
              <w:t>Seasonal monitoring of the status of natural grasslands in livestock ranches, considering management practices and planning, species in different environments (Magdalena, Punta Indio, Chascomus area)</w:t>
            </w:r>
          </w:p>
          <w:p w14:paraId="6F19D0A0" w14:textId="77777777" w:rsidR="00A90966" w:rsidRPr="003F7F6C" w:rsidRDefault="00A90966" w:rsidP="00E91275">
            <w:pPr>
              <w:pStyle w:val="xmsonormal"/>
              <w:numPr>
                <w:ilvl w:val="0"/>
                <w:numId w:val="35"/>
              </w:numPr>
              <w:spacing w:before="0" w:beforeAutospacing="0" w:after="0" w:afterAutospacing="0"/>
              <w:ind w:left="174" w:hanging="174"/>
              <w:jc w:val="both"/>
              <w:rPr>
                <w:rFonts w:ascii="Calibri" w:hAnsi="Calibri" w:cs="Calibri"/>
                <w:color w:val="000000"/>
                <w:sz w:val="18"/>
                <w:szCs w:val="18"/>
                <w:lang w:val="en-US"/>
              </w:rPr>
            </w:pPr>
            <w:r w:rsidRPr="003F7F6C">
              <w:rPr>
                <w:rFonts w:ascii="Calibri" w:hAnsi="Calibri" w:cs="Calibri"/>
                <w:color w:val="000000"/>
                <w:sz w:val="18"/>
                <w:szCs w:val="18"/>
                <w:lang w:val="en-US"/>
              </w:rPr>
              <w:t>Preliminary studies and silvo-pastoral management practices (Coastal areas)</w:t>
            </w:r>
          </w:p>
          <w:p w14:paraId="4C65720D" w14:textId="77777777" w:rsidR="00A90966" w:rsidRPr="003F7F6C" w:rsidRDefault="00A90966" w:rsidP="00E91275">
            <w:pPr>
              <w:pStyle w:val="xmsonormal"/>
              <w:numPr>
                <w:ilvl w:val="0"/>
                <w:numId w:val="35"/>
              </w:numPr>
              <w:spacing w:before="0" w:beforeAutospacing="0" w:after="0" w:afterAutospacing="0"/>
              <w:ind w:left="174" w:hanging="174"/>
              <w:jc w:val="both"/>
              <w:rPr>
                <w:rFonts w:ascii="Calibri" w:hAnsi="Calibri" w:cs="Calibri"/>
                <w:color w:val="000000"/>
                <w:sz w:val="18"/>
                <w:szCs w:val="18"/>
                <w:lang w:val="en-US"/>
              </w:rPr>
            </w:pPr>
            <w:r w:rsidRPr="003F7F6C">
              <w:rPr>
                <w:rFonts w:ascii="Calibri" w:hAnsi="Calibri" w:cs="Calibri"/>
                <w:color w:val="000000"/>
                <w:sz w:val="18"/>
                <w:szCs w:val="18"/>
                <w:lang w:val="en-US"/>
              </w:rPr>
              <w:t xml:space="preserve">Implementation of a commercial scale demonstration module for validation of sustainable management practices </w:t>
            </w:r>
            <w:r w:rsidR="008F3B2B" w:rsidRPr="003F7F6C">
              <w:rPr>
                <w:rFonts w:ascii="Calibri" w:hAnsi="Calibri" w:cs="Calibri"/>
                <w:color w:val="000000"/>
                <w:sz w:val="18"/>
                <w:szCs w:val="18"/>
                <w:lang w:val="en-US"/>
              </w:rPr>
              <w:t>for</w:t>
            </w:r>
            <w:r w:rsidRPr="003F7F6C">
              <w:rPr>
                <w:rFonts w:ascii="Calibri" w:hAnsi="Calibri" w:cs="Calibri"/>
                <w:color w:val="000000"/>
                <w:sz w:val="18"/>
                <w:szCs w:val="18"/>
                <w:lang w:val="en-US"/>
              </w:rPr>
              <w:t xml:space="preserve"> natural grasslands (Chascomus area)</w:t>
            </w:r>
          </w:p>
          <w:p w14:paraId="6AD53429" w14:textId="77777777" w:rsidR="00A90966" w:rsidRPr="003F7F6C" w:rsidRDefault="00A90966" w:rsidP="00E91275">
            <w:pPr>
              <w:pStyle w:val="xmsonormal"/>
              <w:numPr>
                <w:ilvl w:val="0"/>
                <w:numId w:val="35"/>
              </w:numPr>
              <w:spacing w:before="0" w:beforeAutospacing="0" w:after="0" w:afterAutospacing="0"/>
              <w:ind w:left="174" w:hanging="174"/>
              <w:jc w:val="both"/>
              <w:rPr>
                <w:rFonts w:ascii="Calibri" w:hAnsi="Calibri" w:cs="Calibri"/>
                <w:color w:val="000000"/>
                <w:sz w:val="18"/>
                <w:szCs w:val="18"/>
                <w:lang w:val="en-US"/>
              </w:rPr>
            </w:pPr>
            <w:r w:rsidRPr="003F7F6C">
              <w:rPr>
                <w:rFonts w:ascii="Calibri" w:hAnsi="Calibri" w:cs="Calibri"/>
                <w:color w:val="000000"/>
                <w:sz w:val="18"/>
                <w:szCs w:val="18"/>
                <w:lang w:val="en-US"/>
              </w:rPr>
              <w:t>Monitoring of a site for recovery of natural grasslands following agricultural use through grazing management (Chascomus)</w:t>
            </w:r>
          </w:p>
          <w:p w14:paraId="103F0820" w14:textId="77777777" w:rsidR="00A90966" w:rsidRPr="003F7F6C" w:rsidRDefault="00A90966" w:rsidP="00E91275">
            <w:pPr>
              <w:pStyle w:val="xmsonormal"/>
              <w:numPr>
                <w:ilvl w:val="0"/>
                <w:numId w:val="35"/>
              </w:numPr>
              <w:spacing w:before="0" w:beforeAutospacing="0" w:after="0" w:afterAutospacing="0"/>
              <w:ind w:left="174" w:hanging="174"/>
              <w:jc w:val="both"/>
              <w:rPr>
                <w:rFonts w:ascii="Calibri" w:hAnsi="Calibri" w:cs="Calibri"/>
                <w:color w:val="000000"/>
                <w:sz w:val="18"/>
                <w:szCs w:val="18"/>
                <w:lang w:val="en-US"/>
              </w:rPr>
            </w:pPr>
            <w:r w:rsidRPr="003F7F6C">
              <w:rPr>
                <w:rFonts w:ascii="Calibri" w:hAnsi="Calibri" w:cs="Calibri"/>
                <w:color w:val="000000"/>
                <w:sz w:val="18"/>
                <w:szCs w:val="18"/>
                <w:lang w:val="en-US"/>
              </w:rPr>
              <w:t>Monitoring of physical-chemical evolution of soil and condition of natural grasslands following management differentiated by environments (Punta Indio area)</w:t>
            </w:r>
          </w:p>
          <w:p w14:paraId="5D277795" w14:textId="77777777" w:rsidR="00A90966" w:rsidRPr="003F7F6C" w:rsidRDefault="00A90966" w:rsidP="00E91275">
            <w:pPr>
              <w:pStyle w:val="xmsonormal"/>
              <w:numPr>
                <w:ilvl w:val="0"/>
                <w:numId w:val="35"/>
              </w:numPr>
              <w:spacing w:before="0" w:beforeAutospacing="0" w:after="0" w:afterAutospacing="0"/>
              <w:ind w:left="174" w:hanging="174"/>
              <w:jc w:val="both"/>
              <w:rPr>
                <w:rFonts w:ascii="Calibri" w:hAnsi="Calibri" w:cs="Calibri"/>
                <w:color w:val="000000"/>
                <w:sz w:val="18"/>
                <w:szCs w:val="18"/>
                <w:lang w:val="en-US"/>
              </w:rPr>
            </w:pPr>
            <w:r w:rsidRPr="003F7F6C">
              <w:rPr>
                <w:rFonts w:ascii="Calibri" w:hAnsi="Calibri" w:cs="Calibri"/>
                <w:color w:val="000000"/>
                <w:sz w:val="18"/>
                <w:szCs w:val="18"/>
                <w:lang w:val="en-US"/>
              </w:rPr>
              <w:t>Evaluation of optimum grazing height in lowland grassland communities for maximum secondary production and conservation of grassland biodiversity (Chascomus)</w:t>
            </w:r>
          </w:p>
        </w:tc>
      </w:tr>
      <w:tr w:rsidR="00A90966" w:rsidRPr="003F7F6C" w14:paraId="4539A32A" w14:textId="77777777" w:rsidTr="002B3130">
        <w:tc>
          <w:tcPr>
            <w:tcW w:w="850" w:type="dxa"/>
            <w:vMerge/>
            <w:tcBorders>
              <w:left w:val="single" w:sz="18" w:space="0" w:color="auto"/>
            </w:tcBorders>
            <w:shd w:val="clear" w:color="auto" w:fill="auto"/>
          </w:tcPr>
          <w:p w14:paraId="43CBB23C"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p>
        </w:tc>
        <w:tc>
          <w:tcPr>
            <w:tcW w:w="1410" w:type="dxa"/>
            <w:vMerge w:val="restart"/>
            <w:shd w:val="clear" w:color="auto" w:fill="auto"/>
          </w:tcPr>
          <w:p w14:paraId="78817BB7"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r w:rsidRPr="003F7F6C">
              <w:rPr>
                <w:rFonts w:ascii="Calibri" w:hAnsi="Calibri" w:cs="Calibri"/>
                <w:color w:val="000000"/>
                <w:sz w:val="18"/>
                <w:szCs w:val="18"/>
                <w:lang w:val="en-US"/>
              </w:rPr>
              <w:t>SOBA</w:t>
            </w:r>
          </w:p>
          <w:p w14:paraId="1A74061B"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p>
          <w:p w14:paraId="701AFF90"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p>
        </w:tc>
        <w:tc>
          <w:tcPr>
            <w:tcW w:w="1279" w:type="dxa"/>
            <w:vMerge w:val="restart"/>
            <w:shd w:val="clear" w:color="auto" w:fill="auto"/>
          </w:tcPr>
          <w:p w14:paraId="56CB3BA3"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r w:rsidRPr="003F7F6C">
              <w:rPr>
                <w:rFonts w:ascii="Calibri" w:hAnsi="Calibri" w:cs="Calibri"/>
                <w:color w:val="000000"/>
                <w:sz w:val="18"/>
                <w:szCs w:val="18"/>
                <w:lang w:val="en-US"/>
              </w:rPr>
              <w:t>Agriculture and Livestock</w:t>
            </w:r>
          </w:p>
        </w:tc>
        <w:tc>
          <w:tcPr>
            <w:tcW w:w="1701" w:type="dxa"/>
            <w:tcBorders>
              <w:bottom w:val="single" w:sz="4" w:space="0" w:color="auto"/>
            </w:tcBorders>
            <w:shd w:val="clear" w:color="auto" w:fill="auto"/>
          </w:tcPr>
          <w:p w14:paraId="4DBBADA9"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r w:rsidRPr="003F7F6C">
              <w:rPr>
                <w:rFonts w:ascii="Calibri" w:hAnsi="Calibri" w:cs="Calibri"/>
                <w:color w:val="000000"/>
                <w:sz w:val="18"/>
                <w:szCs w:val="18"/>
                <w:lang w:val="en-US"/>
              </w:rPr>
              <w:t>Farmers (mainly wheat producers)</w:t>
            </w:r>
          </w:p>
        </w:tc>
        <w:tc>
          <w:tcPr>
            <w:tcW w:w="8080" w:type="dxa"/>
            <w:tcBorders>
              <w:bottom w:val="single" w:sz="4" w:space="0" w:color="auto"/>
              <w:right w:val="single" w:sz="18" w:space="0" w:color="auto"/>
            </w:tcBorders>
            <w:shd w:val="clear" w:color="auto" w:fill="auto"/>
          </w:tcPr>
          <w:p w14:paraId="3402173E" w14:textId="77777777" w:rsidR="00A90966" w:rsidRPr="003F7F6C" w:rsidRDefault="00A90966" w:rsidP="00E91275">
            <w:pPr>
              <w:pStyle w:val="xmsonormal"/>
              <w:numPr>
                <w:ilvl w:val="0"/>
                <w:numId w:val="35"/>
              </w:numPr>
              <w:spacing w:before="0" w:beforeAutospacing="0" w:after="0" w:afterAutospacing="0"/>
              <w:ind w:left="149" w:hanging="141"/>
              <w:jc w:val="both"/>
              <w:rPr>
                <w:rFonts w:ascii="Calibri" w:hAnsi="Calibri" w:cs="Calibri"/>
                <w:sz w:val="18"/>
                <w:szCs w:val="18"/>
                <w:lang w:val="en-US"/>
              </w:rPr>
            </w:pPr>
            <w:r w:rsidRPr="003F7F6C">
              <w:rPr>
                <w:rFonts w:ascii="Calibri" w:hAnsi="Calibri" w:cs="Calibri"/>
                <w:sz w:val="18"/>
                <w:szCs w:val="18"/>
                <w:lang w:val="en-US"/>
              </w:rPr>
              <w:t>Conservation agriculture: rotation with green fertilizers, zero-tilling, cover crops</w:t>
            </w:r>
          </w:p>
          <w:p w14:paraId="4F42801C"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p>
        </w:tc>
      </w:tr>
      <w:tr w:rsidR="00A90966" w:rsidRPr="003F7F6C" w14:paraId="78E70009" w14:textId="77777777" w:rsidTr="002B3130">
        <w:tc>
          <w:tcPr>
            <w:tcW w:w="850" w:type="dxa"/>
            <w:vMerge/>
            <w:tcBorders>
              <w:left w:val="single" w:sz="18" w:space="0" w:color="auto"/>
            </w:tcBorders>
            <w:shd w:val="clear" w:color="auto" w:fill="auto"/>
          </w:tcPr>
          <w:p w14:paraId="4F3558CD"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p>
        </w:tc>
        <w:tc>
          <w:tcPr>
            <w:tcW w:w="1410" w:type="dxa"/>
            <w:vMerge/>
            <w:shd w:val="clear" w:color="auto" w:fill="auto"/>
          </w:tcPr>
          <w:p w14:paraId="4C9C8272"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p>
        </w:tc>
        <w:tc>
          <w:tcPr>
            <w:tcW w:w="1279" w:type="dxa"/>
            <w:vMerge/>
            <w:shd w:val="clear" w:color="auto" w:fill="auto"/>
          </w:tcPr>
          <w:p w14:paraId="2B451E51"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p>
        </w:tc>
        <w:tc>
          <w:tcPr>
            <w:tcW w:w="1701" w:type="dxa"/>
            <w:tcBorders>
              <w:top w:val="single" w:sz="4" w:space="0" w:color="auto"/>
              <w:bottom w:val="single" w:sz="4" w:space="0" w:color="auto"/>
            </w:tcBorders>
            <w:shd w:val="clear" w:color="auto" w:fill="auto"/>
          </w:tcPr>
          <w:p w14:paraId="15A8C72B"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r w:rsidRPr="003F7F6C">
              <w:rPr>
                <w:rFonts w:ascii="Calibri" w:hAnsi="Calibri" w:cs="Calibri"/>
                <w:color w:val="000000"/>
                <w:sz w:val="18"/>
                <w:szCs w:val="18"/>
                <w:lang w:val="en-US"/>
              </w:rPr>
              <w:t>Livestock producers</w:t>
            </w:r>
          </w:p>
        </w:tc>
        <w:tc>
          <w:tcPr>
            <w:tcW w:w="8080" w:type="dxa"/>
            <w:tcBorders>
              <w:top w:val="single" w:sz="4" w:space="0" w:color="auto"/>
              <w:bottom w:val="single" w:sz="4" w:space="0" w:color="auto"/>
              <w:right w:val="single" w:sz="18" w:space="0" w:color="auto"/>
            </w:tcBorders>
            <w:shd w:val="clear" w:color="auto" w:fill="auto"/>
          </w:tcPr>
          <w:p w14:paraId="06ED89E0" w14:textId="77777777" w:rsidR="00A90966" w:rsidRPr="003F7F6C" w:rsidRDefault="00A90966" w:rsidP="00E91275">
            <w:pPr>
              <w:pStyle w:val="xmsonormal"/>
              <w:numPr>
                <w:ilvl w:val="0"/>
                <w:numId w:val="35"/>
              </w:numPr>
              <w:spacing w:before="0" w:beforeAutospacing="0" w:after="0" w:afterAutospacing="0"/>
              <w:ind w:left="149" w:hanging="149"/>
              <w:jc w:val="both"/>
              <w:rPr>
                <w:rFonts w:ascii="Calibri" w:hAnsi="Calibri" w:cs="Calibri"/>
                <w:color w:val="000000"/>
                <w:sz w:val="18"/>
                <w:szCs w:val="18"/>
                <w:lang w:val="en-US"/>
              </w:rPr>
            </w:pPr>
            <w:r w:rsidRPr="003F7F6C">
              <w:rPr>
                <w:rFonts w:ascii="Calibri" w:hAnsi="Calibri" w:cs="Calibri"/>
                <w:color w:val="000000"/>
                <w:sz w:val="18"/>
                <w:szCs w:val="18"/>
                <w:lang w:val="en-US"/>
              </w:rPr>
              <w:t>Ecosystem restoration in large ranches by improving grazing methods through sub-division of paddocks and locating water supply in strategic places for a homogeneous distribution of grazing pressure to increase BD.</w:t>
            </w:r>
          </w:p>
          <w:p w14:paraId="61CF1444" w14:textId="77777777" w:rsidR="00A90966" w:rsidRPr="003F7F6C" w:rsidRDefault="00A90966" w:rsidP="00E91275">
            <w:pPr>
              <w:pStyle w:val="xmsonormal"/>
              <w:numPr>
                <w:ilvl w:val="0"/>
                <w:numId w:val="35"/>
              </w:numPr>
              <w:spacing w:before="0" w:beforeAutospacing="0" w:after="0" w:afterAutospacing="0"/>
              <w:ind w:left="149" w:hanging="149"/>
              <w:jc w:val="both"/>
              <w:rPr>
                <w:rFonts w:ascii="Calibri" w:hAnsi="Calibri" w:cs="Calibri"/>
                <w:color w:val="000000"/>
                <w:sz w:val="18"/>
                <w:szCs w:val="18"/>
                <w:lang w:val="en-US"/>
              </w:rPr>
            </w:pPr>
            <w:r w:rsidRPr="003F7F6C">
              <w:rPr>
                <w:rFonts w:ascii="Calibri" w:hAnsi="Calibri" w:cs="Calibri"/>
                <w:color w:val="000000"/>
                <w:sz w:val="18"/>
                <w:szCs w:val="18"/>
                <w:lang w:val="en-US"/>
              </w:rPr>
              <w:t>Subsoiling to reduce soil compaction in grassland areas turned to agricultural use allowing cultivation of pastures and regeneration of species with forage value.</w:t>
            </w:r>
          </w:p>
          <w:p w14:paraId="60494FE4" w14:textId="77777777" w:rsidR="00A90966" w:rsidRPr="003F7F6C" w:rsidRDefault="00A90966" w:rsidP="00E91275">
            <w:pPr>
              <w:pStyle w:val="xmsonormal"/>
              <w:numPr>
                <w:ilvl w:val="0"/>
                <w:numId w:val="35"/>
              </w:numPr>
              <w:spacing w:before="0" w:beforeAutospacing="0" w:after="0" w:afterAutospacing="0"/>
              <w:ind w:left="149" w:hanging="149"/>
              <w:jc w:val="both"/>
              <w:rPr>
                <w:rFonts w:ascii="Calibri" w:hAnsi="Calibri" w:cs="Calibri"/>
                <w:color w:val="000000"/>
                <w:sz w:val="18"/>
                <w:szCs w:val="18"/>
                <w:lang w:val="en-US"/>
              </w:rPr>
            </w:pPr>
            <w:r w:rsidRPr="003F7F6C">
              <w:rPr>
                <w:rFonts w:ascii="Calibri" w:hAnsi="Calibri" w:cs="Calibri"/>
                <w:color w:val="000000"/>
                <w:sz w:val="18"/>
                <w:szCs w:val="18"/>
                <w:lang w:val="en-US"/>
              </w:rPr>
              <w:t>Cultivation of adapted perennial pastures to improve livestock efficiency</w:t>
            </w:r>
          </w:p>
          <w:p w14:paraId="778AB9D6" w14:textId="77777777" w:rsidR="00A90966" w:rsidRPr="003F7F6C" w:rsidRDefault="00A90966" w:rsidP="00E91275">
            <w:pPr>
              <w:pStyle w:val="xmsonormal"/>
              <w:numPr>
                <w:ilvl w:val="0"/>
                <w:numId w:val="35"/>
              </w:numPr>
              <w:spacing w:before="0" w:beforeAutospacing="0" w:after="0" w:afterAutospacing="0"/>
              <w:ind w:left="149" w:hanging="149"/>
              <w:jc w:val="both"/>
              <w:rPr>
                <w:rFonts w:ascii="Calibri" w:hAnsi="Calibri" w:cs="Calibri"/>
                <w:color w:val="000000"/>
                <w:sz w:val="18"/>
                <w:szCs w:val="18"/>
                <w:lang w:val="en-US"/>
              </w:rPr>
            </w:pPr>
            <w:r w:rsidRPr="003F7F6C">
              <w:rPr>
                <w:rFonts w:ascii="Calibri" w:hAnsi="Calibri" w:cs="Calibri"/>
                <w:color w:val="000000"/>
                <w:sz w:val="18"/>
                <w:szCs w:val="18"/>
                <w:lang w:val="en-US"/>
              </w:rPr>
              <w:t>Recovery of natural grasslands turned to agricultural use through: a) managing recovery periods to stimulate germination of seeds in soils and establishing in-situ seed banks, b) inter-cropping with forage legumes (e.g</w:t>
            </w:r>
            <w:r w:rsidRPr="003F7F6C">
              <w:rPr>
                <w:rFonts w:ascii="Calibri" w:hAnsi="Calibri" w:cs="Calibri"/>
                <w:i/>
                <w:color w:val="000000"/>
                <w:sz w:val="18"/>
                <w:szCs w:val="18"/>
                <w:lang w:val="en-US"/>
              </w:rPr>
              <w:t>.</w:t>
            </w:r>
            <w:r w:rsidR="008F3B2B" w:rsidRPr="003F7F6C">
              <w:rPr>
                <w:rFonts w:ascii="Calibri" w:hAnsi="Calibri" w:cs="Calibri"/>
                <w:i/>
                <w:color w:val="000000"/>
                <w:sz w:val="18"/>
                <w:szCs w:val="18"/>
                <w:lang w:val="en-US"/>
              </w:rPr>
              <w:t>,</w:t>
            </w:r>
            <w:r w:rsidRPr="003F7F6C">
              <w:rPr>
                <w:rFonts w:ascii="Calibri" w:hAnsi="Calibri" w:cs="Calibri"/>
                <w:i/>
                <w:color w:val="000000"/>
                <w:sz w:val="18"/>
                <w:szCs w:val="18"/>
                <w:lang w:val="en-US"/>
              </w:rPr>
              <w:t xml:space="preserve"> Vicia villosa</w:t>
            </w:r>
            <w:r w:rsidRPr="003F7F6C">
              <w:rPr>
                <w:rFonts w:ascii="Calibri" w:hAnsi="Calibri" w:cs="Calibri"/>
                <w:color w:val="000000"/>
                <w:sz w:val="18"/>
                <w:szCs w:val="18"/>
                <w:lang w:val="en-US"/>
              </w:rPr>
              <w:t>) to recover degraded soils.</w:t>
            </w:r>
          </w:p>
          <w:p w14:paraId="2008490B" w14:textId="77777777" w:rsidR="00A90966" w:rsidRPr="003F7F6C" w:rsidRDefault="00BB3499" w:rsidP="00E91275">
            <w:pPr>
              <w:pStyle w:val="xmsonormal"/>
              <w:numPr>
                <w:ilvl w:val="0"/>
                <w:numId w:val="35"/>
              </w:numPr>
              <w:spacing w:before="0" w:beforeAutospacing="0" w:after="0" w:afterAutospacing="0"/>
              <w:ind w:left="149" w:hanging="149"/>
              <w:jc w:val="both"/>
              <w:rPr>
                <w:rFonts w:ascii="Calibri" w:hAnsi="Calibri" w:cs="Calibri"/>
                <w:color w:val="000000"/>
                <w:sz w:val="18"/>
                <w:szCs w:val="18"/>
                <w:lang w:val="en-US"/>
              </w:rPr>
            </w:pPr>
            <w:r w:rsidRPr="003F7F6C">
              <w:rPr>
                <w:rFonts w:ascii="Calibri" w:hAnsi="Calibri" w:cs="Calibri"/>
                <w:color w:val="000000"/>
                <w:sz w:val="18"/>
                <w:szCs w:val="18"/>
                <w:lang w:val="en-US"/>
              </w:rPr>
              <w:t>M</w:t>
            </w:r>
            <w:r w:rsidR="00A90966" w:rsidRPr="003F7F6C">
              <w:rPr>
                <w:rFonts w:ascii="Calibri" w:hAnsi="Calibri" w:cs="Calibri"/>
                <w:color w:val="000000"/>
                <w:sz w:val="18"/>
                <w:szCs w:val="18"/>
                <w:lang w:val="en-US"/>
              </w:rPr>
              <w:t>anagement of herd stocks, including adjusting carrying capacity of paddock according to forage availability and paddock rotations to avoid overgrazing and under-grazing.</w:t>
            </w:r>
          </w:p>
        </w:tc>
      </w:tr>
      <w:tr w:rsidR="00A90966" w:rsidRPr="003F7F6C" w14:paraId="7EF48033" w14:textId="77777777" w:rsidTr="002B3130">
        <w:tc>
          <w:tcPr>
            <w:tcW w:w="850" w:type="dxa"/>
            <w:vMerge/>
            <w:tcBorders>
              <w:left w:val="single" w:sz="18" w:space="0" w:color="auto"/>
              <w:bottom w:val="single" w:sz="18" w:space="0" w:color="auto"/>
            </w:tcBorders>
            <w:shd w:val="clear" w:color="auto" w:fill="auto"/>
          </w:tcPr>
          <w:p w14:paraId="50F95FB1"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p>
        </w:tc>
        <w:tc>
          <w:tcPr>
            <w:tcW w:w="1410" w:type="dxa"/>
            <w:tcBorders>
              <w:bottom w:val="single" w:sz="18" w:space="0" w:color="auto"/>
            </w:tcBorders>
            <w:shd w:val="clear" w:color="auto" w:fill="auto"/>
          </w:tcPr>
          <w:p w14:paraId="09D8DE0C"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r w:rsidRPr="003F7F6C">
              <w:rPr>
                <w:rFonts w:ascii="Calibri" w:hAnsi="Calibri" w:cs="Calibri"/>
                <w:color w:val="000000"/>
                <w:sz w:val="18"/>
                <w:szCs w:val="18"/>
                <w:lang w:val="en-US"/>
              </w:rPr>
              <w:t>Parana River Delta</w:t>
            </w:r>
          </w:p>
        </w:tc>
        <w:tc>
          <w:tcPr>
            <w:tcW w:w="1279" w:type="dxa"/>
            <w:tcBorders>
              <w:bottom w:val="single" w:sz="18" w:space="0" w:color="auto"/>
            </w:tcBorders>
            <w:shd w:val="clear" w:color="auto" w:fill="auto"/>
          </w:tcPr>
          <w:p w14:paraId="5FCB368B" w14:textId="77777777" w:rsidR="00A90966" w:rsidRPr="003F7F6C" w:rsidRDefault="00A90966" w:rsidP="002B3130">
            <w:pPr>
              <w:pStyle w:val="xmsonormal"/>
              <w:spacing w:before="0" w:beforeAutospacing="0" w:after="0" w:afterAutospacing="0"/>
              <w:jc w:val="both"/>
              <w:rPr>
                <w:rFonts w:ascii="Calibri" w:hAnsi="Calibri" w:cs="Calibri"/>
                <w:sz w:val="18"/>
                <w:szCs w:val="18"/>
                <w:lang w:val="en-US"/>
              </w:rPr>
            </w:pPr>
            <w:r w:rsidRPr="003F7F6C">
              <w:rPr>
                <w:rFonts w:ascii="Calibri" w:hAnsi="Calibri" w:cs="Calibri"/>
                <w:sz w:val="18"/>
                <w:szCs w:val="18"/>
                <w:lang w:val="en-US"/>
              </w:rPr>
              <w:t>Urban expansion</w:t>
            </w:r>
          </w:p>
          <w:p w14:paraId="11F85794"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r w:rsidRPr="003F7F6C">
              <w:rPr>
                <w:rFonts w:ascii="Calibri" w:hAnsi="Calibri" w:cs="Calibri"/>
                <w:sz w:val="18"/>
                <w:szCs w:val="18"/>
                <w:lang w:val="en-US"/>
              </w:rPr>
              <w:t>Agriculture and Livestock</w:t>
            </w:r>
          </w:p>
        </w:tc>
        <w:tc>
          <w:tcPr>
            <w:tcW w:w="1701" w:type="dxa"/>
            <w:tcBorders>
              <w:top w:val="single" w:sz="4" w:space="0" w:color="auto"/>
              <w:bottom w:val="single" w:sz="18" w:space="0" w:color="auto"/>
            </w:tcBorders>
            <w:shd w:val="clear" w:color="auto" w:fill="auto"/>
          </w:tcPr>
          <w:p w14:paraId="7F447D83" w14:textId="77777777" w:rsidR="00A90966" w:rsidRPr="003F7F6C" w:rsidRDefault="00A90966" w:rsidP="002B3130">
            <w:pPr>
              <w:pStyle w:val="xmsonormal"/>
              <w:spacing w:before="0" w:beforeAutospacing="0" w:after="0" w:afterAutospacing="0"/>
              <w:jc w:val="both"/>
              <w:rPr>
                <w:rFonts w:ascii="Calibri" w:hAnsi="Calibri" w:cs="Calibri"/>
                <w:color w:val="FF0000"/>
                <w:sz w:val="18"/>
                <w:szCs w:val="18"/>
                <w:lang w:val="en-US"/>
              </w:rPr>
            </w:pPr>
            <w:r w:rsidRPr="003F7F6C">
              <w:rPr>
                <w:rFonts w:ascii="Calibri" w:hAnsi="Calibri" w:cs="Calibri"/>
                <w:sz w:val="18"/>
                <w:szCs w:val="18"/>
                <w:lang w:val="en-US"/>
              </w:rPr>
              <w:t>Communities and inhabitants of the Delta</w:t>
            </w:r>
          </w:p>
        </w:tc>
        <w:tc>
          <w:tcPr>
            <w:tcW w:w="8080" w:type="dxa"/>
            <w:tcBorders>
              <w:top w:val="single" w:sz="4" w:space="0" w:color="auto"/>
              <w:bottom w:val="single" w:sz="18" w:space="0" w:color="auto"/>
              <w:right w:val="single" w:sz="18" w:space="0" w:color="auto"/>
            </w:tcBorders>
            <w:shd w:val="clear" w:color="auto" w:fill="auto"/>
          </w:tcPr>
          <w:p w14:paraId="01900600" w14:textId="77777777" w:rsidR="00F11D4E" w:rsidRPr="003F7F6C" w:rsidRDefault="00F11D4E" w:rsidP="00E91275">
            <w:pPr>
              <w:pStyle w:val="xmsonormal"/>
              <w:numPr>
                <w:ilvl w:val="0"/>
                <w:numId w:val="35"/>
              </w:numPr>
              <w:spacing w:before="0" w:beforeAutospacing="0" w:after="0" w:afterAutospacing="0"/>
              <w:ind w:left="149" w:hanging="149"/>
              <w:jc w:val="both"/>
              <w:rPr>
                <w:rFonts w:ascii="Calibri" w:hAnsi="Calibri" w:cs="Calibri"/>
                <w:color w:val="000000"/>
                <w:sz w:val="18"/>
                <w:szCs w:val="18"/>
                <w:lang w:val="en-US"/>
              </w:rPr>
            </w:pPr>
            <w:r w:rsidRPr="003F7F6C">
              <w:rPr>
                <w:rFonts w:ascii="Calibri" w:hAnsi="Calibri" w:cs="Calibri"/>
                <w:color w:val="000000"/>
                <w:sz w:val="18"/>
                <w:szCs w:val="18"/>
                <w:lang w:val="en-US"/>
              </w:rPr>
              <w:t>Demarcation and characterization of wetland units</w:t>
            </w:r>
          </w:p>
          <w:p w14:paraId="0D42E7C6" w14:textId="77777777" w:rsidR="00A90966" w:rsidRPr="003F7F6C" w:rsidRDefault="00A90966" w:rsidP="00E91275">
            <w:pPr>
              <w:pStyle w:val="xmsonormal"/>
              <w:numPr>
                <w:ilvl w:val="0"/>
                <w:numId w:val="35"/>
              </w:numPr>
              <w:spacing w:before="0" w:beforeAutospacing="0" w:after="0" w:afterAutospacing="0"/>
              <w:ind w:left="149" w:hanging="149"/>
              <w:jc w:val="both"/>
              <w:rPr>
                <w:rFonts w:ascii="Calibri" w:hAnsi="Calibri" w:cs="Calibri"/>
                <w:color w:val="000000"/>
                <w:sz w:val="18"/>
                <w:szCs w:val="18"/>
                <w:lang w:val="en-US"/>
              </w:rPr>
            </w:pPr>
            <w:r w:rsidRPr="003F7F6C">
              <w:rPr>
                <w:rFonts w:ascii="Calibri" w:hAnsi="Calibri" w:cs="Calibri"/>
                <w:color w:val="000000"/>
                <w:sz w:val="18"/>
                <w:szCs w:val="18"/>
                <w:lang w:val="en-US"/>
              </w:rPr>
              <w:t xml:space="preserve">Define zoning of priority wetlands and coastal habitats to strengthen sustainable uses and practices within the PIECAS. </w:t>
            </w:r>
          </w:p>
          <w:p w14:paraId="5AC24C21" w14:textId="77777777" w:rsidR="00A90966" w:rsidRPr="003F7F6C" w:rsidRDefault="00A90966" w:rsidP="00E91275">
            <w:pPr>
              <w:pStyle w:val="xmsonormal"/>
              <w:numPr>
                <w:ilvl w:val="0"/>
                <w:numId w:val="35"/>
              </w:numPr>
              <w:spacing w:before="0" w:beforeAutospacing="0" w:after="0" w:afterAutospacing="0"/>
              <w:ind w:left="149" w:hanging="149"/>
              <w:jc w:val="both"/>
              <w:rPr>
                <w:rFonts w:ascii="Calibri" w:hAnsi="Calibri" w:cs="Calibri"/>
                <w:color w:val="000000"/>
                <w:sz w:val="18"/>
                <w:szCs w:val="18"/>
                <w:lang w:val="en-US"/>
              </w:rPr>
            </w:pPr>
            <w:r w:rsidRPr="003F7F6C">
              <w:rPr>
                <w:rFonts w:ascii="Calibri" w:hAnsi="Calibri" w:cs="Calibri"/>
                <w:color w:val="000000"/>
                <w:sz w:val="18"/>
                <w:szCs w:val="18"/>
                <w:lang w:val="en-US"/>
              </w:rPr>
              <w:t>Restrictions to urban expansion and traditional tourism</w:t>
            </w:r>
          </w:p>
          <w:p w14:paraId="6AEF71FA" w14:textId="77777777" w:rsidR="00A90966" w:rsidRPr="003F7F6C" w:rsidRDefault="00A90966" w:rsidP="00E91275">
            <w:pPr>
              <w:pStyle w:val="xmsonormal"/>
              <w:numPr>
                <w:ilvl w:val="0"/>
                <w:numId w:val="35"/>
              </w:numPr>
              <w:spacing w:before="0" w:beforeAutospacing="0" w:after="0" w:afterAutospacing="0"/>
              <w:ind w:left="149" w:hanging="149"/>
              <w:jc w:val="both"/>
              <w:rPr>
                <w:rFonts w:ascii="Calibri" w:hAnsi="Calibri" w:cs="Calibri"/>
                <w:color w:val="000000"/>
                <w:sz w:val="18"/>
                <w:szCs w:val="18"/>
                <w:lang w:val="en-US"/>
              </w:rPr>
            </w:pPr>
            <w:r w:rsidRPr="003F7F6C">
              <w:rPr>
                <w:rFonts w:ascii="Calibri" w:hAnsi="Calibri" w:cs="Calibri"/>
                <w:color w:val="000000"/>
                <w:sz w:val="18"/>
                <w:szCs w:val="18"/>
                <w:lang w:val="en-US"/>
              </w:rPr>
              <w:t>Practices include: silvo-pastoral systems; livestock production in islands with natural grassland management, forestation with water management; bee-keeping; artisanal fisheries; game management; fruits especially pecan nuts; rural tourism; protected areas; birdwatching; forest tree and ornamental nurseries</w:t>
            </w:r>
          </w:p>
        </w:tc>
      </w:tr>
      <w:tr w:rsidR="00A90966" w:rsidRPr="003F7F6C" w14:paraId="5CEF18A1" w14:textId="77777777" w:rsidTr="002B3130">
        <w:trPr>
          <w:cantSplit/>
          <w:trHeight w:val="1134"/>
        </w:trPr>
        <w:tc>
          <w:tcPr>
            <w:tcW w:w="850" w:type="dxa"/>
            <w:vMerge w:val="restart"/>
            <w:tcBorders>
              <w:top w:val="single" w:sz="18" w:space="0" w:color="auto"/>
              <w:left w:val="single" w:sz="18" w:space="0" w:color="auto"/>
            </w:tcBorders>
            <w:shd w:val="clear" w:color="auto" w:fill="auto"/>
            <w:textDirection w:val="btLr"/>
          </w:tcPr>
          <w:p w14:paraId="04E71273" w14:textId="77777777" w:rsidR="00A90966" w:rsidRPr="003F7F6C" w:rsidRDefault="00A90966" w:rsidP="002B3130">
            <w:pPr>
              <w:pStyle w:val="xmsonormal"/>
              <w:spacing w:before="0" w:beforeAutospacing="0" w:after="0" w:afterAutospacing="0"/>
              <w:ind w:left="113" w:right="113"/>
              <w:jc w:val="center"/>
              <w:rPr>
                <w:rFonts w:ascii="Calibri" w:hAnsi="Calibri" w:cs="Calibri"/>
                <w:color w:val="000000"/>
                <w:sz w:val="18"/>
                <w:szCs w:val="18"/>
                <w:lang w:val="en-US"/>
              </w:rPr>
            </w:pPr>
            <w:r w:rsidRPr="003F7F6C">
              <w:rPr>
                <w:rFonts w:ascii="Calibri" w:hAnsi="Calibri" w:cs="Calibri"/>
                <w:color w:val="000000"/>
                <w:sz w:val="18"/>
                <w:szCs w:val="18"/>
                <w:lang w:val="en-US"/>
              </w:rPr>
              <w:t>JUJUY</w:t>
            </w:r>
          </w:p>
        </w:tc>
        <w:tc>
          <w:tcPr>
            <w:tcW w:w="1410" w:type="dxa"/>
            <w:vMerge w:val="restart"/>
            <w:tcBorders>
              <w:top w:val="single" w:sz="18" w:space="0" w:color="auto"/>
            </w:tcBorders>
            <w:shd w:val="clear" w:color="auto" w:fill="auto"/>
          </w:tcPr>
          <w:p w14:paraId="2FBB8B3D" w14:textId="77777777" w:rsidR="00A90966" w:rsidRPr="003F7F6C" w:rsidRDefault="00A90966" w:rsidP="002B3130">
            <w:pPr>
              <w:pStyle w:val="xmsonormal"/>
              <w:tabs>
                <w:tab w:val="left" w:pos="174"/>
                <w:tab w:val="left" w:pos="316"/>
              </w:tabs>
              <w:spacing w:before="0" w:beforeAutospacing="0" w:after="0" w:afterAutospacing="0"/>
              <w:ind w:right="175"/>
              <w:jc w:val="both"/>
              <w:rPr>
                <w:rFonts w:ascii="Calibri" w:hAnsi="Calibri" w:cs="Calibri"/>
                <w:sz w:val="18"/>
                <w:szCs w:val="18"/>
                <w:lang w:val="es-PY"/>
              </w:rPr>
            </w:pPr>
            <w:r w:rsidRPr="003F7F6C">
              <w:rPr>
                <w:rFonts w:ascii="Calibri" w:hAnsi="Calibri" w:cs="Calibri"/>
                <w:sz w:val="18"/>
                <w:szCs w:val="18"/>
                <w:lang w:val="es-PY"/>
              </w:rPr>
              <w:t>Hornocal-Valle Grande</w:t>
            </w:r>
          </w:p>
          <w:p w14:paraId="48D9653F" w14:textId="77777777" w:rsidR="00A90966" w:rsidRPr="003F7F6C" w:rsidRDefault="00A90966" w:rsidP="002B3130">
            <w:pPr>
              <w:pStyle w:val="xmsonormal"/>
              <w:spacing w:before="0" w:beforeAutospacing="0" w:after="0" w:afterAutospacing="0"/>
              <w:jc w:val="both"/>
              <w:rPr>
                <w:rFonts w:ascii="Calibri" w:hAnsi="Calibri" w:cs="Calibri"/>
                <w:sz w:val="18"/>
                <w:szCs w:val="18"/>
                <w:lang w:val="es-PY"/>
              </w:rPr>
            </w:pPr>
          </w:p>
          <w:p w14:paraId="570E03AB" w14:textId="77777777" w:rsidR="00A90966" w:rsidRPr="003F7F6C" w:rsidRDefault="00A90966" w:rsidP="002B3130">
            <w:pPr>
              <w:pStyle w:val="xmsonormal"/>
              <w:spacing w:before="0" w:beforeAutospacing="0" w:after="0" w:afterAutospacing="0"/>
              <w:ind w:right="317"/>
              <w:jc w:val="both"/>
              <w:rPr>
                <w:rFonts w:ascii="Calibri" w:hAnsi="Calibri" w:cs="Calibri"/>
                <w:color w:val="000000"/>
                <w:sz w:val="18"/>
                <w:szCs w:val="18"/>
                <w:lang w:val="es-PY"/>
              </w:rPr>
            </w:pPr>
          </w:p>
        </w:tc>
        <w:tc>
          <w:tcPr>
            <w:tcW w:w="1279" w:type="dxa"/>
            <w:tcBorders>
              <w:top w:val="single" w:sz="18" w:space="0" w:color="auto"/>
            </w:tcBorders>
            <w:shd w:val="clear" w:color="auto" w:fill="auto"/>
          </w:tcPr>
          <w:p w14:paraId="4FAF9288"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r w:rsidRPr="003F7F6C">
              <w:rPr>
                <w:rFonts w:ascii="Calibri" w:hAnsi="Calibri" w:cs="Calibri"/>
                <w:sz w:val="18"/>
                <w:szCs w:val="18"/>
                <w:lang w:val="en-US"/>
              </w:rPr>
              <w:t>Tourism</w:t>
            </w:r>
          </w:p>
        </w:tc>
        <w:tc>
          <w:tcPr>
            <w:tcW w:w="1701" w:type="dxa"/>
            <w:tcBorders>
              <w:top w:val="single" w:sz="18" w:space="0" w:color="auto"/>
              <w:bottom w:val="single" w:sz="4" w:space="0" w:color="auto"/>
            </w:tcBorders>
            <w:shd w:val="clear" w:color="auto" w:fill="auto"/>
          </w:tcPr>
          <w:p w14:paraId="1D955C53"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r w:rsidRPr="003F7F6C">
              <w:rPr>
                <w:rFonts w:ascii="Calibri" w:hAnsi="Calibri" w:cs="Calibri"/>
                <w:color w:val="000000"/>
                <w:sz w:val="18"/>
                <w:szCs w:val="18"/>
                <w:lang w:val="en-US"/>
              </w:rPr>
              <w:t>Tourism operators</w:t>
            </w:r>
          </w:p>
          <w:p w14:paraId="0603ABBB"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r w:rsidRPr="003F7F6C">
              <w:rPr>
                <w:rFonts w:ascii="Calibri" w:hAnsi="Calibri" w:cs="Calibri"/>
                <w:color w:val="000000"/>
                <w:sz w:val="18"/>
                <w:szCs w:val="18"/>
                <w:lang w:val="en-US"/>
              </w:rPr>
              <w:t>Family producers</w:t>
            </w:r>
          </w:p>
          <w:p w14:paraId="55DFD4A9"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r w:rsidRPr="003F7F6C">
              <w:rPr>
                <w:rFonts w:ascii="Calibri" w:hAnsi="Calibri" w:cs="Calibri"/>
                <w:color w:val="000000"/>
                <w:sz w:val="18"/>
                <w:szCs w:val="18"/>
                <w:lang w:val="en-US"/>
              </w:rPr>
              <w:t>Indigenous communities</w:t>
            </w:r>
          </w:p>
        </w:tc>
        <w:tc>
          <w:tcPr>
            <w:tcW w:w="8080" w:type="dxa"/>
            <w:tcBorders>
              <w:top w:val="single" w:sz="18" w:space="0" w:color="auto"/>
              <w:bottom w:val="single" w:sz="4" w:space="0" w:color="auto"/>
              <w:right w:val="single" w:sz="18" w:space="0" w:color="auto"/>
            </w:tcBorders>
            <w:shd w:val="clear" w:color="auto" w:fill="auto"/>
          </w:tcPr>
          <w:p w14:paraId="06EE4C49" w14:textId="77777777" w:rsidR="00A90966" w:rsidRPr="003F7F6C" w:rsidRDefault="00A90966" w:rsidP="00E91275">
            <w:pPr>
              <w:pStyle w:val="xmsonormal"/>
              <w:numPr>
                <w:ilvl w:val="0"/>
                <w:numId w:val="35"/>
              </w:numPr>
              <w:spacing w:before="0" w:beforeAutospacing="0" w:after="0" w:afterAutospacing="0"/>
              <w:ind w:left="142" w:hanging="142"/>
              <w:jc w:val="both"/>
              <w:rPr>
                <w:rFonts w:ascii="Calibri" w:hAnsi="Calibri" w:cs="Calibri"/>
                <w:color w:val="000000"/>
                <w:sz w:val="18"/>
                <w:szCs w:val="18"/>
                <w:lang w:val="en-US"/>
              </w:rPr>
            </w:pPr>
            <w:r w:rsidRPr="003F7F6C">
              <w:rPr>
                <w:rFonts w:ascii="Calibri" w:hAnsi="Calibri" w:cs="Calibri"/>
                <w:color w:val="000000"/>
                <w:sz w:val="18"/>
                <w:szCs w:val="18"/>
                <w:lang w:val="en-US"/>
              </w:rPr>
              <w:t>Tourism Environmental Information System for the San Franciso-Hornocal corridor, which will</w:t>
            </w:r>
            <w:r w:rsidR="004A5246" w:rsidRPr="003F7F6C">
              <w:rPr>
                <w:rFonts w:ascii="Calibri" w:hAnsi="Calibri" w:cs="Calibri"/>
                <w:color w:val="000000"/>
                <w:sz w:val="18"/>
                <w:szCs w:val="18"/>
                <w:lang w:val="en-US"/>
              </w:rPr>
              <w:t xml:space="preserve"> include an </w:t>
            </w:r>
            <w:r w:rsidRPr="003F7F6C">
              <w:rPr>
                <w:rFonts w:ascii="Calibri" w:hAnsi="Calibri" w:cs="Calibri"/>
                <w:color w:val="000000"/>
                <w:sz w:val="18"/>
                <w:szCs w:val="18"/>
                <w:lang w:val="en-US"/>
              </w:rPr>
              <w:t>ELUP module for decision making</w:t>
            </w:r>
          </w:p>
          <w:p w14:paraId="7EF14DC7" w14:textId="77777777" w:rsidR="00A90966" w:rsidRPr="003F7F6C" w:rsidRDefault="00A90966" w:rsidP="00E91275">
            <w:pPr>
              <w:pStyle w:val="xmsonormal"/>
              <w:numPr>
                <w:ilvl w:val="0"/>
                <w:numId w:val="35"/>
              </w:numPr>
              <w:spacing w:before="0" w:beforeAutospacing="0" w:after="0" w:afterAutospacing="0"/>
              <w:ind w:left="149" w:hanging="149"/>
              <w:jc w:val="both"/>
              <w:rPr>
                <w:rFonts w:ascii="Calibri" w:hAnsi="Calibri" w:cs="Calibri"/>
                <w:color w:val="000000"/>
                <w:sz w:val="18"/>
                <w:szCs w:val="18"/>
                <w:lang w:val="en-US"/>
              </w:rPr>
            </w:pPr>
            <w:r w:rsidRPr="003F7F6C">
              <w:rPr>
                <w:rFonts w:ascii="Calibri" w:hAnsi="Calibri" w:cs="Calibri"/>
                <w:color w:val="000000"/>
                <w:sz w:val="18"/>
                <w:szCs w:val="18"/>
                <w:lang w:val="en-US"/>
              </w:rPr>
              <w:t xml:space="preserve">Tourism Development Plan including sustainable tourism activities in Qhapac Ñam and Jordan River Hot Springs, </w:t>
            </w:r>
          </w:p>
          <w:p w14:paraId="0A41D384" w14:textId="77777777" w:rsidR="00A90966" w:rsidRPr="003F7F6C" w:rsidRDefault="008E5A9A" w:rsidP="00E91275">
            <w:pPr>
              <w:pStyle w:val="xmsonormal"/>
              <w:numPr>
                <w:ilvl w:val="0"/>
                <w:numId w:val="35"/>
              </w:numPr>
              <w:spacing w:before="0" w:beforeAutospacing="0" w:after="0" w:afterAutospacing="0"/>
              <w:ind w:left="149" w:hanging="149"/>
              <w:jc w:val="both"/>
              <w:rPr>
                <w:rFonts w:ascii="Calibri" w:hAnsi="Calibri" w:cs="Calibri"/>
                <w:color w:val="000000"/>
                <w:sz w:val="18"/>
                <w:szCs w:val="18"/>
                <w:lang w:val="en-US"/>
              </w:rPr>
            </w:pPr>
            <w:r w:rsidRPr="003F7F6C">
              <w:rPr>
                <w:rFonts w:ascii="Calibri" w:hAnsi="Calibri" w:cs="Calibri"/>
                <w:sz w:val="18"/>
                <w:szCs w:val="18"/>
                <w:lang w:val="en-US"/>
              </w:rPr>
              <w:t xml:space="preserve">Dissemination of information </w:t>
            </w:r>
            <w:r w:rsidR="004A5246" w:rsidRPr="003F7F6C">
              <w:rPr>
                <w:rFonts w:ascii="Calibri" w:hAnsi="Calibri" w:cs="Calibri"/>
                <w:sz w:val="18"/>
                <w:szCs w:val="18"/>
                <w:lang w:val="en-US"/>
              </w:rPr>
              <w:t>on</w:t>
            </w:r>
            <w:r w:rsidR="00A90966" w:rsidRPr="003F7F6C">
              <w:rPr>
                <w:rFonts w:ascii="Calibri" w:hAnsi="Calibri" w:cs="Calibri"/>
                <w:color w:val="000000"/>
                <w:sz w:val="18"/>
                <w:szCs w:val="18"/>
                <w:lang w:val="en-US"/>
              </w:rPr>
              <w:t xml:space="preserve"> regional festivities and products (e.g.</w:t>
            </w:r>
            <w:r w:rsidR="00DF2ED2" w:rsidRPr="003F7F6C">
              <w:rPr>
                <w:rFonts w:ascii="Calibri" w:hAnsi="Calibri" w:cs="Calibri"/>
                <w:color w:val="000000"/>
                <w:sz w:val="18"/>
                <w:szCs w:val="18"/>
                <w:lang w:val="en-US"/>
              </w:rPr>
              <w:t>,</w:t>
            </w:r>
            <w:r w:rsidR="00A90966" w:rsidRPr="003F7F6C">
              <w:rPr>
                <w:rFonts w:ascii="Calibri" w:hAnsi="Calibri" w:cs="Calibri"/>
                <w:color w:val="000000"/>
                <w:sz w:val="18"/>
                <w:szCs w:val="18"/>
                <w:lang w:val="en-US"/>
              </w:rPr>
              <w:t xml:space="preserve"> handcrafts)</w:t>
            </w:r>
          </w:p>
          <w:p w14:paraId="1A5C2B20" w14:textId="77777777" w:rsidR="00A90966" w:rsidRPr="003F7F6C" w:rsidRDefault="00A90966" w:rsidP="00E91275">
            <w:pPr>
              <w:pStyle w:val="xmsonormal"/>
              <w:numPr>
                <w:ilvl w:val="0"/>
                <w:numId w:val="35"/>
              </w:numPr>
              <w:spacing w:before="0" w:beforeAutospacing="0" w:after="0" w:afterAutospacing="0"/>
              <w:ind w:left="149" w:hanging="149"/>
              <w:jc w:val="both"/>
              <w:rPr>
                <w:rFonts w:ascii="Calibri" w:hAnsi="Calibri" w:cs="Calibri"/>
                <w:color w:val="000000"/>
                <w:sz w:val="18"/>
                <w:szCs w:val="18"/>
                <w:lang w:val="en-US"/>
              </w:rPr>
            </w:pPr>
            <w:r w:rsidRPr="003F7F6C">
              <w:rPr>
                <w:rFonts w:ascii="Calibri" w:hAnsi="Calibri" w:cs="Calibri"/>
                <w:color w:val="000000"/>
                <w:sz w:val="18"/>
                <w:szCs w:val="18"/>
                <w:lang w:val="en-US"/>
              </w:rPr>
              <w:t>Dialogue spaces with stakeholders of the San Francisco-Hornocal corridor</w:t>
            </w:r>
          </w:p>
        </w:tc>
      </w:tr>
      <w:tr w:rsidR="00A90966" w:rsidRPr="003F7F6C" w14:paraId="5592D927" w14:textId="77777777" w:rsidTr="002B3130">
        <w:trPr>
          <w:cantSplit/>
          <w:trHeight w:val="1134"/>
        </w:trPr>
        <w:tc>
          <w:tcPr>
            <w:tcW w:w="850" w:type="dxa"/>
            <w:vMerge/>
            <w:tcBorders>
              <w:left w:val="single" w:sz="18" w:space="0" w:color="auto"/>
            </w:tcBorders>
            <w:shd w:val="clear" w:color="auto" w:fill="auto"/>
            <w:textDirection w:val="btLr"/>
          </w:tcPr>
          <w:p w14:paraId="5B90C68E" w14:textId="77777777" w:rsidR="00A90966" w:rsidRPr="003F7F6C" w:rsidRDefault="00A90966" w:rsidP="002B3130">
            <w:pPr>
              <w:pStyle w:val="xmsonormal"/>
              <w:spacing w:before="0" w:beforeAutospacing="0" w:after="0" w:afterAutospacing="0"/>
              <w:ind w:left="113" w:right="113"/>
              <w:jc w:val="center"/>
              <w:rPr>
                <w:rFonts w:ascii="Calibri" w:hAnsi="Calibri" w:cs="Calibri"/>
                <w:color w:val="000000"/>
                <w:sz w:val="18"/>
                <w:szCs w:val="18"/>
                <w:lang w:val="en-US"/>
              </w:rPr>
            </w:pPr>
          </w:p>
        </w:tc>
        <w:tc>
          <w:tcPr>
            <w:tcW w:w="1410" w:type="dxa"/>
            <w:vMerge/>
            <w:shd w:val="clear" w:color="auto" w:fill="auto"/>
          </w:tcPr>
          <w:p w14:paraId="5C1E2F45" w14:textId="77777777" w:rsidR="00A90966" w:rsidRPr="003F7F6C" w:rsidRDefault="00A90966" w:rsidP="002B3130">
            <w:pPr>
              <w:pStyle w:val="xmsonormal"/>
              <w:spacing w:before="0" w:beforeAutospacing="0" w:after="0" w:afterAutospacing="0"/>
              <w:jc w:val="both"/>
              <w:rPr>
                <w:rFonts w:ascii="Calibri" w:hAnsi="Calibri" w:cs="Calibri"/>
                <w:color w:val="FF0000"/>
                <w:sz w:val="18"/>
                <w:szCs w:val="18"/>
                <w:lang w:val="en-US"/>
              </w:rPr>
            </w:pPr>
          </w:p>
        </w:tc>
        <w:tc>
          <w:tcPr>
            <w:tcW w:w="1279" w:type="dxa"/>
            <w:shd w:val="clear" w:color="auto" w:fill="auto"/>
          </w:tcPr>
          <w:p w14:paraId="0D08434F" w14:textId="77777777" w:rsidR="00A90966" w:rsidRPr="003F7F6C" w:rsidRDefault="00A90966" w:rsidP="002B3130">
            <w:pPr>
              <w:pStyle w:val="xmsonormal"/>
              <w:spacing w:before="0" w:beforeAutospacing="0" w:after="0" w:afterAutospacing="0"/>
              <w:jc w:val="both"/>
              <w:rPr>
                <w:rFonts w:ascii="Calibri" w:hAnsi="Calibri" w:cs="Calibri"/>
                <w:sz w:val="18"/>
                <w:szCs w:val="18"/>
                <w:lang w:val="en-US"/>
              </w:rPr>
            </w:pPr>
            <w:r w:rsidRPr="003F7F6C">
              <w:rPr>
                <w:rFonts w:ascii="Calibri" w:hAnsi="Calibri" w:cs="Calibri"/>
                <w:sz w:val="18"/>
                <w:szCs w:val="18"/>
                <w:lang w:val="en-US"/>
              </w:rPr>
              <w:t>Agriculture and Livestock</w:t>
            </w:r>
          </w:p>
          <w:p w14:paraId="110AEDFE"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p>
        </w:tc>
        <w:tc>
          <w:tcPr>
            <w:tcW w:w="1701" w:type="dxa"/>
            <w:tcBorders>
              <w:top w:val="single" w:sz="4" w:space="0" w:color="auto"/>
              <w:bottom w:val="single" w:sz="4" w:space="0" w:color="auto"/>
            </w:tcBorders>
            <w:shd w:val="clear" w:color="auto" w:fill="auto"/>
          </w:tcPr>
          <w:p w14:paraId="6B58D6E7"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r w:rsidRPr="003F7F6C">
              <w:rPr>
                <w:rFonts w:ascii="Calibri" w:hAnsi="Calibri" w:cs="Calibri"/>
                <w:color w:val="000000"/>
                <w:sz w:val="18"/>
                <w:szCs w:val="18"/>
                <w:lang w:val="en-US"/>
              </w:rPr>
              <w:t>Family producers</w:t>
            </w:r>
          </w:p>
          <w:p w14:paraId="4A394D82"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r w:rsidRPr="003F7F6C">
              <w:rPr>
                <w:rFonts w:ascii="Calibri" w:hAnsi="Calibri" w:cs="Calibri"/>
                <w:color w:val="000000"/>
                <w:sz w:val="18"/>
                <w:szCs w:val="18"/>
                <w:lang w:val="en-US"/>
              </w:rPr>
              <w:t>Indigenous communities</w:t>
            </w:r>
          </w:p>
        </w:tc>
        <w:tc>
          <w:tcPr>
            <w:tcW w:w="8080" w:type="dxa"/>
            <w:tcBorders>
              <w:top w:val="single" w:sz="4" w:space="0" w:color="auto"/>
              <w:bottom w:val="single" w:sz="4" w:space="0" w:color="auto"/>
              <w:right w:val="single" w:sz="18" w:space="0" w:color="auto"/>
            </w:tcBorders>
            <w:shd w:val="clear" w:color="auto" w:fill="auto"/>
          </w:tcPr>
          <w:p w14:paraId="135F5C28" w14:textId="77777777" w:rsidR="00BB3499" w:rsidRPr="003F7F6C" w:rsidRDefault="00A90966" w:rsidP="00E91275">
            <w:pPr>
              <w:pStyle w:val="xmsonormal"/>
              <w:numPr>
                <w:ilvl w:val="0"/>
                <w:numId w:val="35"/>
              </w:numPr>
              <w:spacing w:before="0" w:beforeAutospacing="0" w:after="0" w:afterAutospacing="0"/>
              <w:ind w:left="146" w:hanging="146"/>
              <w:jc w:val="both"/>
              <w:rPr>
                <w:rFonts w:ascii="Calibri" w:hAnsi="Calibri" w:cs="Calibri"/>
                <w:color w:val="000000"/>
                <w:sz w:val="18"/>
                <w:szCs w:val="18"/>
                <w:lang w:val="en-US"/>
              </w:rPr>
            </w:pPr>
            <w:r w:rsidRPr="003F7F6C">
              <w:rPr>
                <w:rFonts w:ascii="Calibri" w:hAnsi="Calibri" w:cs="Calibri"/>
                <w:color w:val="000000"/>
                <w:sz w:val="18"/>
                <w:szCs w:val="18"/>
                <w:lang w:val="en-US"/>
              </w:rPr>
              <w:t xml:space="preserve">Best livestock practices (cattle, sheep, camelids): </w:t>
            </w:r>
            <w:r w:rsidR="008E5A9A" w:rsidRPr="003F7F6C">
              <w:rPr>
                <w:rFonts w:ascii="Calibri" w:hAnsi="Calibri" w:cs="Calibri"/>
                <w:color w:val="000000"/>
                <w:sz w:val="18"/>
                <w:szCs w:val="18"/>
                <w:lang w:val="en-US"/>
              </w:rPr>
              <w:t xml:space="preserve">e.g. </w:t>
            </w:r>
            <w:r w:rsidRPr="003F7F6C">
              <w:rPr>
                <w:rFonts w:ascii="Calibri" w:hAnsi="Calibri" w:cs="Calibri"/>
                <w:color w:val="000000"/>
                <w:sz w:val="18"/>
                <w:szCs w:val="18"/>
                <w:lang w:val="en-US"/>
              </w:rPr>
              <w:t>silvo-pastoral schemes, tree barriers, trees/grasses for dune fixation/restoration of degraded areas; grazing management (length of grazing and recovery periods)</w:t>
            </w:r>
          </w:p>
          <w:p w14:paraId="4C5F1B89" w14:textId="77777777" w:rsidR="00BB3499" w:rsidRPr="003F7F6C" w:rsidRDefault="008E5A9A" w:rsidP="00E91275">
            <w:pPr>
              <w:pStyle w:val="xmsonormal"/>
              <w:numPr>
                <w:ilvl w:val="0"/>
                <w:numId w:val="35"/>
              </w:numPr>
              <w:spacing w:before="0" w:beforeAutospacing="0" w:after="0" w:afterAutospacing="0"/>
              <w:ind w:left="146" w:hanging="146"/>
              <w:jc w:val="both"/>
              <w:rPr>
                <w:rFonts w:ascii="Calibri" w:hAnsi="Calibri" w:cs="Calibri"/>
                <w:color w:val="000000"/>
                <w:sz w:val="18"/>
                <w:szCs w:val="18"/>
                <w:lang w:val="en-US"/>
              </w:rPr>
            </w:pPr>
            <w:r w:rsidRPr="003F7F6C">
              <w:rPr>
                <w:rFonts w:ascii="Calibri" w:hAnsi="Calibri" w:cs="Calibri"/>
                <w:color w:val="000000"/>
                <w:sz w:val="18"/>
                <w:szCs w:val="18"/>
                <w:lang w:val="en-US"/>
              </w:rPr>
              <w:t>A</w:t>
            </w:r>
            <w:r w:rsidR="00A90966" w:rsidRPr="003F7F6C">
              <w:rPr>
                <w:rFonts w:ascii="Calibri" w:hAnsi="Calibri" w:cs="Calibri"/>
                <w:color w:val="000000"/>
                <w:sz w:val="18"/>
                <w:szCs w:val="18"/>
                <w:lang w:val="en-US"/>
              </w:rPr>
              <w:t>gro-ecological practices</w:t>
            </w:r>
            <w:r w:rsidRPr="003F7F6C">
              <w:rPr>
                <w:rFonts w:ascii="Calibri" w:hAnsi="Calibri" w:cs="Calibri"/>
                <w:color w:val="000000"/>
                <w:sz w:val="18"/>
                <w:szCs w:val="18"/>
                <w:lang w:val="en-US"/>
              </w:rPr>
              <w:t>: e.g.</w:t>
            </w:r>
            <w:r w:rsidR="00A90966" w:rsidRPr="003F7F6C">
              <w:rPr>
                <w:rFonts w:ascii="Calibri" w:hAnsi="Calibri" w:cs="Calibri"/>
                <w:color w:val="000000"/>
                <w:sz w:val="18"/>
                <w:szCs w:val="18"/>
                <w:lang w:val="en-US"/>
              </w:rPr>
              <w:t xml:space="preserve"> organic fertilizers, compost, bio-preparations to reduce agro-chemicals, crop rotation, cover crops; planting of trees/grasses for dune fixation/restoration of degraded areas; rainwater harvesting), tree barriers</w:t>
            </w:r>
          </w:p>
          <w:p w14:paraId="77B028AA" w14:textId="77777777" w:rsidR="00BB3499" w:rsidRPr="003F7F6C" w:rsidRDefault="00A90966" w:rsidP="00E91275">
            <w:pPr>
              <w:pStyle w:val="xmsonormal"/>
              <w:numPr>
                <w:ilvl w:val="0"/>
                <w:numId w:val="35"/>
              </w:numPr>
              <w:spacing w:before="0" w:beforeAutospacing="0" w:after="0" w:afterAutospacing="0"/>
              <w:ind w:left="146" w:hanging="146"/>
              <w:jc w:val="both"/>
              <w:rPr>
                <w:rFonts w:ascii="Calibri" w:hAnsi="Calibri" w:cs="Calibri"/>
                <w:color w:val="000000"/>
                <w:sz w:val="18"/>
                <w:szCs w:val="18"/>
                <w:lang w:val="en-US"/>
              </w:rPr>
            </w:pPr>
            <w:r w:rsidRPr="003F7F6C">
              <w:rPr>
                <w:rFonts w:ascii="Calibri" w:hAnsi="Calibri" w:cs="Calibri"/>
                <w:color w:val="000000"/>
                <w:sz w:val="18"/>
                <w:szCs w:val="18"/>
                <w:lang w:val="en-US"/>
              </w:rPr>
              <w:t xml:space="preserve">Promotion of non-timber </w:t>
            </w:r>
            <w:r w:rsidR="00DF2ED2" w:rsidRPr="003F7F6C">
              <w:rPr>
                <w:rFonts w:ascii="Calibri" w:hAnsi="Calibri" w:cs="Calibri"/>
                <w:color w:val="000000"/>
                <w:sz w:val="18"/>
                <w:szCs w:val="18"/>
                <w:lang w:val="en-US"/>
              </w:rPr>
              <w:t xml:space="preserve">forest </w:t>
            </w:r>
            <w:r w:rsidRPr="003F7F6C">
              <w:rPr>
                <w:rFonts w:ascii="Calibri" w:hAnsi="Calibri" w:cs="Calibri"/>
                <w:color w:val="000000"/>
                <w:sz w:val="18"/>
                <w:szCs w:val="18"/>
                <w:lang w:val="en-US"/>
              </w:rPr>
              <w:t>products e.g.</w:t>
            </w:r>
            <w:r w:rsidR="00DF2ED2" w:rsidRPr="003F7F6C">
              <w:rPr>
                <w:rFonts w:ascii="Calibri" w:hAnsi="Calibri" w:cs="Calibri"/>
                <w:color w:val="000000"/>
                <w:sz w:val="18"/>
                <w:szCs w:val="18"/>
                <w:lang w:val="en-US"/>
              </w:rPr>
              <w:t>,</w:t>
            </w:r>
            <w:r w:rsidRPr="003F7F6C">
              <w:rPr>
                <w:rFonts w:ascii="Calibri" w:hAnsi="Calibri" w:cs="Calibri"/>
                <w:color w:val="000000"/>
                <w:sz w:val="18"/>
                <w:szCs w:val="18"/>
                <w:lang w:val="en-US"/>
              </w:rPr>
              <w:t xml:space="preserve"> beekeeping</w:t>
            </w:r>
          </w:p>
          <w:p w14:paraId="3C14F00E" w14:textId="77777777" w:rsidR="00BB3499" w:rsidRPr="003F7F6C" w:rsidRDefault="00A90966" w:rsidP="00E91275">
            <w:pPr>
              <w:pStyle w:val="xmsonormal"/>
              <w:numPr>
                <w:ilvl w:val="0"/>
                <w:numId w:val="35"/>
              </w:numPr>
              <w:spacing w:before="0" w:beforeAutospacing="0" w:after="0" w:afterAutospacing="0"/>
              <w:ind w:left="146" w:hanging="146"/>
              <w:jc w:val="both"/>
              <w:rPr>
                <w:rFonts w:ascii="Calibri" w:hAnsi="Calibri" w:cs="Calibri"/>
                <w:color w:val="000000"/>
                <w:sz w:val="18"/>
                <w:szCs w:val="18"/>
                <w:lang w:val="en-US"/>
              </w:rPr>
            </w:pPr>
            <w:r w:rsidRPr="003F7F6C">
              <w:rPr>
                <w:rFonts w:ascii="Calibri" w:hAnsi="Calibri" w:cs="Calibri"/>
                <w:color w:val="000000"/>
                <w:sz w:val="18"/>
                <w:szCs w:val="18"/>
                <w:lang w:val="en-US"/>
              </w:rPr>
              <w:t>Management Plan for Queñoa (</w:t>
            </w:r>
            <w:r w:rsidRPr="003F7F6C">
              <w:rPr>
                <w:rFonts w:ascii="Calibri" w:hAnsi="Calibri" w:cs="Calibri"/>
                <w:i/>
                <w:color w:val="000000"/>
                <w:sz w:val="18"/>
                <w:szCs w:val="18"/>
                <w:lang w:val="en-US"/>
              </w:rPr>
              <w:t>Polylepis spp)</w:t>
            </w:r>
            <w:r w:rsidRPr="003F7F6C">
              <w:rPr>
                <w:rFonts w:ascii="Calibri" w:hAnsi="Calibri" w:cs="Calibri"/>
                <w:color w:val="000000"/>
                <w:sz w:val="18"/>
                <w:szCs w:val="18"/>
                <w:lang w:val="en-US"/>
              </w:rPr>
              <w:t xml:space="preserve"> and Churcal (shrubby forest with predominance of churqui </w:t>
            </w:r>
            <w:r w:rsidR="00DF2ED2" w:rsidRPr="003F7F6C">
              <w:rPr>
                <w:rFonts w:ascii="Calibri" w:hAnsi="Calibri" w:cs="Calibri"/>
                <w:color w:val="000000"/>
                <w:sz w:val="18"/>
                <w:szCs w:val="18"/>
                <w:lang w:val="en-US"/>
              </w:rPr>
              <w:t>(</w:t>
            </w:r>
            <w:r w:rsidRPr="003F7F6C">
              <w:rPr>
                <w:rFonts w:ascii="Calibri" w:hAnsi="Calibri" w:cs="Calibri"/>
                <w:i/>
                <w:color w:val="000000"/>
                <w:sz w:val="18"/>
                <w:szCs w:val="18"/>
                <w:lang w:val="en-US"/>
              </w:rPr>
              <w:t>Prosopis ferox</w:t>
            </w:r>
            <w:r w:rsidRPr="003F7F6C">
              <w:rPr>
                <w:rFonts w:ascii="Calibri" w:hAnsi="Calibri" w:cs="Calibri"/>
                <w:color w:val="000000"/>
                <w:sz w:val="18"/>
                <w:szCs w:val="18"/>
                <w:lang w:val="en-US"/>
              </w:rPr>
              <w:t>):</w:t>
            </w:r>
            <w:r w:rsidRPr="003F7F6C">
              <w:rPr>
                <w:rFonts w:ascii="Calibri" w:hAnsi="Calibri" w:cs="Calibri"/>
                <w:sz w:val="18"/>
                <w:szCs w:val="18"/>
                <w:lang w:val="en-US"/>
              </w:rPr>
              <w:t xml:space="preserve"> (e.g.</w:t>
            </w:r>
            <w:r w:rsidR="00DF2ED2" w:rsidRPr="003F7F6C">
              <w:rPr>
                <w:rFonts w:ascii="Calibri" w:hAnsi="Calibri" w:cs="Calibri"/>
                <w:sz w:val="18"/>
                <w:szCs w:val="18"/>
                <w:lang w:val="en-US"/>
              </w:rPr>
              <w:t>,</w:t>
            </w:r>
            <w:r w:rsidRPr="003F7F6C">
              <w:rPr>
                <w:rFonts w:ascii="Calibri" w:hAnsi="Calibri" w:cs="Calibri"/>
                <w:sz w:val="18"/>
                <w:szCs w:val="18"/>
                <w:lang w:val="en-US"/>
              </w:rPr>
              <w:t xml:space="preserve"> use of fuelwood saving stoves)</w:t>
            </w:r>
          </w:p>
          <w:p w14:paraId="0A4A0AF4" w14:textId="77777777" w:rsidR="00A90966" w:rsidRPr="003F7F6C" w:rsidRDefault="00A90966" w:rsidP="00E91275">
            <w:pPr>
              <w:pStyle w:val="xmsonormal"/>
              <w:numPr>
                <w:ilvl w:val="0"/>
                <w:numId w:val="35"/>
              </w:numPr>
              <w:spacing w:before="0" w:beforeAutospacing="0" w:after="0" w:afterAutospacing="0"/>
              <w:ind w:left="146" w:hanging="146"/>
              <w:jc w:val="both"/>
              <w:rPr>
                <w:rFonts w:ascii="Calibri" w:hAnsi="Calibri" w:cs="Calibri"/>
                <w:color w:val="000000"/>
                <w:sz w:val="18"/>
                <w:szCs w:val="18"/>
                <w:lang w:val="en-US"/>
              </w:rPr>
            </w:pPr>
            <w:r w:rsidRPr="003F7F6C">
              <w:rPr>
                <w:rFonts w:ascii="Calibri" w:hAnsi="Calibri" w:cs="Calibri"/>
                <w:color w:val="000000"/>
                <w:sz w:val="18"/>
                <w:szCs w:val="18"/>
                <w:lang w:val="en-US"/>
              </w:rPr>
              <w:t>Management Plan for wildlife (e.g.</w:t>
            </w:r>
            <w:r w:rsidR="00DF2ED2" w:rsidRPr="003F7F6C">
              <w:rPr>
                <w:rFonts w:ascii="Calibri" w:hAnsi="Calibri" w:cs="Calibri"/>
                <w:color w:val="000000"/>
                <w:sz w:val="18"/>
                <w:szCs w:val="18"/>
                <w:lang w:val="en-US"/>
              </w:rPr>
              <w:t>,</w:t>
            </w:r>
            <w:r w:rsidRPr="003F7F6C">
              <w:rPr>
                <w:rFonts w:ascii="Calibri" w:hAnsi="Calibri" w:cs="Calibri"/>
                <w:color w:val="000000"/>
                <w:sz w:val="18"/>
                <w:szCs w:val="18"/>
                <w:lang w:val="en-US"/>
              </w:rPr>
              <w:t xml:space="preserve"> management of predator/livestock relations)</w:t>
            </w:r>
          </w:p>
        </w:tc>
      </w:tr>
      <w:tr w:rsidR="00A90966" w:rsidRPr="003F7F6C" w14:paraId="5768742B" w14:textId="77777777" w:rsidTr="002B3130">
        <w:trPr>
          <w:cantSplit/>
          <w:trHeight w:val="399"/>
        </w:trPr>
        <w:tc>
          <w:tcPr>
            <w:tcW w:w="850" w:type="dxa"/>
            <w:vMerge/>
            <w:tcBorders>
              <w:left w:val="single" w:sz="18" w:space="0" w:color="auto"/>
            </w:tcBorders>
            <w:shd w:val="clear" w:color="auto" w:fill="auto"/>
            <w:textDirection w:val="btLr"/>
          </w:tcPr>
          <w:p w14:paraId="7DA194F1" w14:textId="77777777" w:rsidR="00A90966" w:rsidRPr="003F7F6C" w:rsidRDefault="00A90966" w:rsidP="002B3130">
            <w:pPr>
              <w:pStyle w:val="xmsonormal"/>
              <w:spacing w:before="0" w:beforeAutospacing="0" w:after="0" w:afterAutospacing="0"/>
              <w:ind w:left="113" w:right="113"/>
              <w:jc w:val="center"/>
              <w:rPr>
                <w:rFonts w:ascii="Calibri" w:hAnsi="Calibri" w:cs="Calibri"/>
                <w:color w:val="000000"/>
                <w:sz w:val="18"/>
                <w:szCs w:val="18"/>
                <w:lang w:val="en-US"/>
              </w:rPr>
            </w:pPr>
          </w:p>
        </w:tc>
        <w:tc>
          <w:tcPr>
            <w:tcW w:w="1410" w:type="dxa"/>
            <w:vMerge/>
            <w:shd w:val="clear" w:color="auto" w:fill="auto"/>
          </w:tcPr>
          <w:p w14:paraId="3ADBD158" w14:textId="77777777" w:rsidR="00A90966" w:rsidRPr="003F7F6C" w:rsidRDefault="00A90966" w:rsidP="002B3130">
            <w:pPr>
              <w:pStyle w:val="xmsonormal"/>
              <w:spacing w:before="0" w:beforeAutospacing="0" w:after="0" w:afterAutospacing="0"/>
              <w:jc w:val="both"/>
              <w:rPr>
                <w:rFonts w:ascii="Calibri" w:hAnsi="Calibri" w:cs="Calibri"/>
                <w:color w:val="FF0000"/>
                <w:sz w:val="18"/>
                <w:szCs w:val="18"/>
                <w:lang w:val="en-US"/>
              </w:rPr>
            </w:pPr>
          </w:p>
        </w:tc>
        <w:tc>
          <w:tcPr>
            <w:tcW w:w="1279" w:type="dxa"/>
            <w:shd w:val="clear" w:color="auto" w:fill="auto"/>
          </w:tcPr>
          <w:p w14:paraId="1DFAF71C" w14:textId="77777777" w:rsidR="00A90966" w:rsidRPr="003F7F6C" w:rsidRDefault="00A90966" w:rsidP="002B3130">
            <w:pPr>
              <w:pStyle w:val="xmsonormal"/>
              <w:spacing w:before="0" w:beforeAutospacing="0" w:after="0" w:afterAutospacing="0"/>
              <w:jc w:val="both"/>
              <w:rPr>
                <w:rFonts w:ascii="Calibri" w:hAnsi="Calibri" w:cs="Calibri"/>
                <w:sz w:val="18"/>
                <w:szCs w:val="18"/>
                <w:lang w:val="en-US"/>
              </w:rPr>
            </w:pPr>
            <w:r w:rsidRPr="003F7F6C">
              <w:rPr>
                <w:rFonts w:ascii="Calibri" w:hAnsi="Calibri" w:cs="Calibri"/>
                <w:sz w:val="18"/>
                <w:szCs w:val="18"/>
                <w:lang w:val="en-US"/>
              </w:rPr>
              <w:t>Urban expansion</w:t>
            </w:r>
          </w:p>
        </w:tc>
        <w:tc>
          <w:tcPr>
            <w:tcW w:w="1701" w:type="dxa"/>
            <w:tcBorders>
              <w:top w:val="single" w:sz="4" w:space="0" w:color="auto"/>
              <w:bottom w:val="single" w:sz="4" w:space="0" w:color="auto"/>
            </w:tcBorders>
            <w:shd w:val="clear" w:color="auto" w:fill="auto"/>
          </w:tcPr>
          <w:p w14:paraId="3FE6B45B"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r w:rsidRPr="003F7F6C">
              <w:rPr>
                <w:rFonts w:ascii="Calibri" w:hAnsi="Calibri" w:cs="Calibri"/>
                <w:color w:val="000000"/>
                <w:sz w:val="18"/>
                <w:szCs w:val="18"/>
                <w:lang w:val="en-US"/>
              </w:rPr>
              <w:t>Municipalities</w:t>
            </w:r>
          </w:p>
        </w:tc>
        <w:tc>
          <w:tcPr>
            <w:tcW w:w="8080" w:type="dxa"/>
            <w:tcBorders>
              <w:top w:val="single" w:sz="4" w:space="0" w:color="auto"/>
              <w:bottom w:val="single" w:sz="4" w:space="0" w:color="auto"/>
              <w:right w:val="single" w:sz="18" w:space="0" w:color="auto"/>
            </w:tcBorders>
            <w:shd w:val="clear" w:color="auto" w:fill="auto"/>
          </w:tcPr>
          <w:p w14:paraId="10A1CFF8" w14:textId="77777777" w:rsidR="00BB3499" w:rsidRPr="003F7F6C" w:rsidRDefault="00A90966" w:rsidP="00E91275">
            <w:pPr>
              <w:pStyle w:val="xmsonormal"/>
              <w:numPr>
                <w:ilvl w:val="0"/>
                <w:numId w:val="35"/>
              </w:numPr>
              <w:spacing w:before="0" w:beforeAutospacing="0" w:after="0" w:afterAutospacing="0"/>
              <w:ind w:left="146" w:hanging="142"/>
              <w:jc w:val="both"/>
              <w:rPr>
                <w:rFonts w:ascii="Calibri" w:hAnsi="Calibri" w:cs="Calibri"/>
                <w:sz w:val="18"/>
                <w:szCs w:val="18"/>
                <w:lang w:val="en-US"/>
              </w:rPr>
            </w:pPr>
            <w:r w:rsidRPr="003F7F6C">
              <w:rPr>
                <w:rFonts w:ascii="Calibri" w:hAnsi="Calibri" w:cs="Calibri"/>
                <w:color w:val="000000"/>
                <w:sz w:val="18"/>
                <w:szCs w:val="18"/>
                <w:lang w:val="en-US"/>
              </w:rPr>
              <w:t>Solid waste management</w:t>
            </w:r>
          </w:p>
          <w:p w14:paraId="2AB40675" w14:textId="77777777" w:rsidR="00A90966" w:rsidRPr="003F7F6C" w:rsidRDefault="00A90966" w:rsidP="00E91275">
            <w:pPr>
              <w:pStyle w:val="xmsonormal"/>
              <w:numPr>
                <w:ilvl w:val="0"/>
                <w:numId w:val="35"/>
              </w:numPr>
              <w:spacing w:before="0" w:beforeAutospacing="0" w:after="0" w:afterAutospacing="0"/>
              <w:ind w:left="146" w:hanging="142"/>
              <w:jc w:val="both"/>
              <w:rPr>
                <w:rFonts w:ascii="Calibri" w:hAnsi="Calibri" w:cs="Calibri"/>
                <w:sz w:val="18"/>
                <w:szCs w:val="18"/>
                <w:lang w:val="en-US"/>
              </w:rPr>
            </w:pPr>
            <w:r w:rsidRPr="003F7F6C">
              <w:rPr>
                <w:rFonts w:ascii="Calibri" w:hAnsi="Calibri" w:cs="Calibri"/>
                <w:color w:val="000000"/>
                <w:sz w:val="18"/>
                <w:szCs w:val="18"/>
                <w:lang w:val="en-US"/>
              </w:rPr>
              <w:t>Risk studies to identify vulnerabilities and threats of urban expansion in Valle Grande</w:t>
            </w:r>
          </w:p>
        </w:tc>
      </w:tr>
      <w:tr w:rsidR="00A90966" w:rsidRPr="003F7F6C" w14:paraId="4A7D5BBE" w14:textId="77777777" w:rsidTr="002B3130">
        <w:trPr>
          <w:cantSplit/>
          <w:trHeight w:val="399"/>
        </w:trPr>
        <w:tc>
          <w:tcPr>
            <w:tcW w:w="850" w:type="dxa"/>
            <w:vMerge/>
            <w:tcBorders>
              <w:left w:val="single" w:sz="18" w:space="0" w:color="auto"/>
            </w:tcBorders>
            <w:shd w:val="clear" w:color="auto" w:fill="auto"/>
            <w:textDirection w:val="btLr"/>
          </w:tcPr>
          <w:p w14:paraId="5D3D8244" w14:textId="77777777" w:rsidR="00A90966" w:rsidRPr="003F7F6C" w:rsidRDefault="00A90966" w:rsidP="002B3130">
            <w:pPr>
              <w:pStyle w:val="xmsonormal"/>
              <w:spacing w:before="0" w:beforeAutospacing="0" w:after="0" w:afterAutospacing="0"/>
              <w:ind w:left="113" w:right="113"/>
              <w:jc w:val="center"/>
              <w:rPr>
                <w:rFonts w:ascii="Calibri" w:hAnsi="Calibri" w:cs="Calibri"/>
                <w:color w:val="000000"/>
                <w:sz w:val="18"/>
                <w:szCs w:val="18"/>
                <w:lang w:val="en-US"/>
              </w:rPr>
            </w:pPr>
          </w:p>
        </w:tc>
        <w:tc>
          <w:tcPr>
            <w:tcW w:w="1410" w:type="dxa"/>
            <w:vMerge w:val="restart"/>
            <w:shd w:val="clear" w:color="auto" w:fill="auto"/>
          </w:tcPr>
          <w:p w14:paraId="1BBB5315" w14:textId="77777777" w:rsidR="00A90966" w:rsidRPr="003F7F6C" w:rsidRDefault="00A90966" w:rsidP="002B3130">
            <w:pPr>
              <w:pStyle w:val="xmsonormal"/>
              <w:spacing w:before="0" w:beforeAutospacing="0" w:after="0" w:afterAutospacing="0"/>
              <w:rPr>
                <w:rFonts w:ascii="Calibri" w:hAnsi="Calibri" w:cs="Calibri"/>
                <w:color w:val="FF0000"/>
                <w:sz w:val="18"/>
                <w:szCs w:val="18"/>
                <w:lang w:val="en-US"/>
              </w:rPr>
            </w:pPr>
            <w:r w:rsidRPr="003F7F6C">
              <w:rPr>
                <w:rFonts w:ascii="Calibri" w:hAnsi="Calibri" w:cs="Calibri"/>
                <w:sz w:val="18"/>
                <w:szCs w:val="18"/>
                <w:lang w:val="es-PY"/>
              </w:rPr>
              <w:t>Susques-Jama-Catua-Olaroz</w:t>
            </w:r>
          </w:p>
        </w:tc>
        <w:tc>
          <w:tcPr>
            <w:tcW w:w="1279" w:type="dxa"/>
            <w:shd w:val="clear" w:color="auto" w:fill="auto"/>
          </w:tcPr>
          <w:p w14:paraId="7C6F0113" w14:textId="77777777" w:rsidR="00A90966" w:rsidRPr="003F7F6C" w:rsidRDefault="00A90966" w:rsidP="002B3130">
            <w:pPr>
              <w:pStyle w:val="xmsonormal"/>
              <w:spacing w:before="0" w:beforeAutospacing="0" w:after="0" w:afterAutospacing="0"/>
              <w:jc w:val="both"/>
              <w:rPr>
                <w:rFonts w:ascii="Calibri" w:hAnsi="Calibri" w:cs="Calibri"/>
                <w:sz w:val="18"/>
                <w:szCs w:val="18"/>
                <w:lang w:val="en-US"/>
              </w:rPr>
            </w:pPr>
            <w:r w:rsidRPr="003F7F6C">
              <w:rPr>
                <w:rFonts w:ascii="Calibri" w:hAnsi="Calibri" w:cs="Calibri"/>
                <w:sz w:val="18"/>
                <w:szCs w:val="18"/>
                <w:lang w:val="en-US"/>
              </w:rPr>
              <w:t>Tourism</w:t>
            </w:r>
          </w:p>
        </w:tc>
        <w:tc>
          <w:tcPr>
            <w:tcW w:w="1701" w:type="dxa"/>
            <w:tcBorders>
              <w:top w:val="single" w:sz="4" w:space="0" w:color="auto"/>
              <w:bottom w:val="single" w:sz="4" w:space="0" w:color="auto"/>
            </w:tcBorders>
            <w:shd w:val="clear" w:color="auto" w:fill="auto"/>
          </w:tcPr>
          <w:p w14:paraId="49893BCD"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r w:rsidRPr="003F7F6C">
              <w:rPr>
                <w:rFonts w:ascii="Calibri" w:hAnsi="Calibri" w:cs="Calibri"/>
                <w:color w:val="000000"/>
                <w:sz w:val="18"/>
                <w:szCs w:val="18"/>
                <w:lang w:val="en-US"/>
              </w:rPr>
              <w:t>Tourism operators</w:t>
            </w:r>
          </w:p>
          <w:p w14:paraId="30C7F1BA"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r w:rsidRPr="003F7F6C">
              <w:rPr>
                <w:rFonts w:ascii="Calibri" w:hAnsi="Calibri" w:cs="Calibri"/>
                <w:color w:val="000000"/>
                <w:sz w:val="18"/>
                <w:szCs w:val="18"/>
                <w:lang w:val="en-US"/>
              </w:rPr>
              <w:t>Indigenous and non-indigenous communities</w:t>
            </w:r>
          </w:p>
        </w:tc>
        <w:tc>
          <w:tcPr>
            <w:tcW w:w="8080" w:type="dxa"/>
            <w:tcBorders>
              <w:top w:val="single" w:sz="4" w:space="0" w:color="auto"/>
              <w:bottom w:val="single" w:sz="4" w:space="0" w:color="auto"/>
              <w:right w:val="single" w:sz="18" w:space="0" w:color="auto"/>
            </w:tcBorders>
            <w:shd w:val="clear" w:color="auto" w:fill="auto"/>
          </w:tcPr>
          <w:p w14:paraId="019146A3" w14:textId="77777777" w:rsidR="008E5A9A" w:rsidRPr="003F7F6C" w:rsidRDefault="00A90966" w:rsidP="00E91275">
            <w:pPr>
              <w:pStyle w:val="xmsonormal"/>
              <w:numPr>
                <w:ilvl w:val="0"/>
                <w:numId w:val="35"/>
              </w:numPr>
              <w:spacing w:before="0" w:beforeAutospacing="0" w:after="0" w:afterAutospacing="0"/>
              <w:ind w:left="146" w:hanging="142"/>
              <w:jc w:val="both"/>
              <w:rPr>
                <w:rFonts w:ascii="Calibri" w:hAnsi="Calibri" w:cs="Calibri"/>
                <w:sz w:val="18"/>
                <w:szCs w:val="18"/>
                <w:lang w:val="en-US"/>
              </w:rPr>
            </w:pPr>
            <w:r w:rsidRPr="003F7F6C">
              <w:rPr>
                <w:rFonts w:ascii="Calibri" w:hAnsi="Calibri" w:cs="Calibri"/>
                <w:sz w:val="18"/>
                <w:szCs w:val="18"/>
                <w:lang w:val="en-US"/>
              </w:rPr>
              <w:t>Design of tourist corridor Susques-Catua</w:t>
            </w:r>
          </w:p>
          <w:p w14:paraId="3D4F9B6E" w14:textId="77777777" w:rsidR="008E5A9A" w:rsidRPr="003F7F6C" w:rsidRDefault="008E5A9A" w:rsidP="00E91275">
            <w:pPr>
              <w:pStyle w:val="xmsonormal"/>
              <w:numPr>
                <w:ilvl w:val="0"/>
                <w:numId w:val="35"/>
              </w:numPr>
              <w:spacing w:before="0" w:beforeAutospacing="0" w:after="0" w:afterAutospacing="0"/>
              <w:ind w:left="146" w:hanging="142"/>
              <w:jc w:val="both"/>
              <w:rPr>
                <w:rFonts w:ascii="Calibri" w:hAnsi="Calibri" w:cs="Calibri"/>
                <w:sz w:val="18"/>
                <w:szCs w:val="18"/>
                <w:lang w:val="en-US"/>
              </w:rPr>
            </w:pPr>
            <w:r w:rsidRPr="003F7F6C">
              <w:rPr>
                <w:rFonts w:ascii="Calibri" w:hAnsi="Calibri" w:cs="Calibri"/>
                <w:sz w:val="18"/>
                <w:szCs w:val="18"/>
                <w:lang w:val="en-US"/>
              </w:rPr>
              <w:t>Design a t</w:t>
            </w:r>
            <w:r w:rsidR="00A90966" w:rsidRPr="003F7F6C">
              <w:rPr>
                <w:rFonts w:ascii="Calibri" w:hAnsi="Calibri" w:cs="Calibri"/>
                <w:sz w:val="18"/>
                <w:szCs w:val="18"/>
                <w:lang w:val="en-US"/>
              </w:rPr>
              <w:t>ourist promotion strategy for Olaroz salt flats, Cauchari solar park and Olaroz Reserve</w:t>
            </w:r>
          </w:p>
          <w:p w14:paraId="320A97FD" w14:textId="77777777" w:rsidR="008E5A9A" w:rsidRPr="003F7F6C" w:rsidRDefault="00A90966" w:rsidP="00E91275">
            <w:pPr>
              <w:pStyle w:val="xmsonormal"/>
              <w:numPr>
                <w:ilvl w:val="0"/>
                <w:numId w:val="35"/>
              </w:numPr>
              <w:spacing w:before="0" w:beforeAutospacing="0" w:after="0" w:afterAutospacing="0"/>
              <w:ind w:left="146" w:hanging="142"/>
              <w:jc w:val="both"/>
              <w:rPr>
                <w:rFonts w:ascii="Calibri" w:hAnsi="Calibri" w:cs="Calibri"/>
                <w:sz w:val="18"/>
                <w:szCs w:val="18"/>
                <w:lang w:val="en-US"/>
              </w:rPr>
            </w:pPr>
            <w:r w:rsidRPr="003F7F6C">
              <w:rPr>
                <w:rFonts w:ascii="Calibri" w:hAnsi="Calibri" w:cs="Calibri"/>
                <w:sz w:val="18"/>
                <w:szCs w:val="18"/>
                <w:lang w:val="en-US"/>
              </w:rPr>
              <w:t xml:space="preserve">Promotion of Renewable energy </w:t>
            </w:r>
            <w:r w:rsidR="008E5A9A" w:rsidRPr="003F7F6C">
              <w:rPr>
                <w:rFonts w:ascii="Calibri" w:hAnsi="Calibri" w:cs="Calibri"/>
                <w:sz w:val="18"/>
                <w:szCs w:val="18"/>
                <w:lang w:val="en-US"/>
              </w:rPr>
              <w:t xml:space="preserve">through </w:t>
            </w:r>
            <w:r w:rsidRPr="003F7F6C">
              <w:rPr>
                <w:rFonts w:ascii="Calibri" w:hAnsi="Calibri" w:cs="Calibri"/>
                <w:sz w:val="18"/>
                <w:szCs w:val="18"/>
                <w:lang w:val="en-US"/>
              </w:rPr>
              <w:t>visits to Cauchari solar park</w:t>
            </w:r>
          </w:p>
          <w:p w14:paraId="5B759FB9" w14:textId="77777777" w:rsidR="00A90966" w:rsidRPr="003F7F6C" w:rsidRDefault="00A90966" w:rsidP="00E91275">
            <w:pPr>
              <w:pStyle w:val="xmsonormal"/>
              <w:numPr>
                <w:ilvl w:val="0"/>
                <w:numId w:val="35"/>
              </w:numPr>
              <w:spacing w:before="0" w:beforeAutospacing="0" w:after="0" w:afterAutospacing="0"/>
              <w:ind w:left="146" w:hanging="142"/>
              <w:jc w:val="both"/>
              <w:rPr>
                <w:rFonts w:ascii="Calibri" w:hAnsi="Calibri" w:cs="Calibri"/>
                <w:sz w:val="18"/>
                <w:szCs w:val="18"/>
                <w:lang w:val="en-US"/>
              </w:rPr>
            </w:pPr>
            <w:r w:rsidRPr="003F7F6C">
              <w:rPr>
                <w:rFonts w:ascii="Calibri" w:hAnsi="Calibri" w:cs="Calibri"/>
                <w:color w:val="000000"/>
                <w:sz w:val="18"/>
                <w:szCs w:val="18"/>
                <w:lang w:val="en-US"/>
              </w:rPr>
              <w:t>Management plan for Olaroz-Cauchari-Catua Flora and Fauna Reserve</w:t>
            </w:r>
          </w:p>
        </w:tc>
      </w:tr>
      <w:tr w:rsidR="00A90966" w:rsidRPr="003F7F6C" w14:paraId="5E6D468B" w14:textId="77777777" w:rsidTr="002B3130">
        <w:trPr>
          <w:cantSplit/>
          <w:trHeight w:val="399"/>
        </w:trPr>
        <w:tc>
          <w:tcPr>
            <w:tcW w:w="850" w:type="dxa"/>
            <w:vMerge/>
            <w:tcBorders>
              <w:left w:val="single" w:sz="18" w:space="0" w:color="auto"/>
            </w:tcBorders>
            <w:shd w:val="clear" w:color="auto" w:fill="auto"/>
            <w:textDirection w:val="btLr"/>
          </w:tcPr>
          <w:p w14:paraId="46355234" w14:textId="77777777" w:rsidR="00A90966" w:rsidRPr="003F7F6C" w:rsidRDefault="00A90966" w:rsidP="002B3130">
            <w:pPr>
              <w:pStyle w:val="xmsonormal"/>
              <w:spacing w:before="0" w:beforeAutospacing="0" w:after="0" w:afterAutospacing="0"/>
              <w:ind w:left="113" w:right="113"/>
              <w:jc w:val="center"/>
              <w:rPr>
                <w:rFonts w:ascii="Calibri" w:hAnsi="Calibri" w:cs="Calibri"/>
                <w:color w:val="000000"/>
                <w:sz w:val="18"/>
                <w:szCs w:val="18"/>
                <w:lang w:val="en-US"/>
              </w:rPr>
            </w:pPr>
          </w:p>
        </w:tc>
        <w:tc>
          <w:tcPr>
            <w:tcW w:w="1410" w:type="dxa"/>
            <w:vMerge/>
            <w:shd w:val="clear" w:color="auto" w:fill="auto"/>
          </w:tcPr>
          <w:p w14:paraId="069F67FD" w14:textId="77777777" w:rsidR="00A90966" w:rsidRPr="003F7F6C" w:rsidRDefault="00A90966" w:rsidP="002B3130">
            <w:pPr>
              <w:pStyle w:val="xmsonormal"/>
              <w:spacing w:before="0" w:beforeAutospacing="0" w:after="0" w:afterAutospacing="0"/>
              <w:jc w:val="both"/>
              <w:rPr>
                <w:rFonts w:ascii="Calibri" w:hAnsi="Calibri" w:cs="Calibri"/>
                <w:color w:val="FF0000"/>
                <w:sz w:val="18"/>
                <w:szCs w:val="18"/>
                <w:lang w:val="en-US"/>
              </w:rPr>
            </w:pPr>
          </w:p>
        </w:tc>
        <w:tc>
          <w:tcPr>
            <w:tcW w:w="1279" w:type="dxa"/>
            <w:shd w:val="clear" w:color="auto" w:fill="auto"/>
          </w:tcPr>
          <w:p w14:paraId="2C65193F" w14:textId="77777777" w:rsidR="00A90966" w:rsidRPr="003F7F6C" w:rsidRDefault="00A90966" w:rsidP="002B3130">
            <w:pPr>
              <w:pStyle w:val="xmsonormal"/>
              <w:spacing w:before="0" w:beforeAutospacing="0" w:after="0" w:afterAutospacing="0"/>
              <w:jc w:val="both"/>
              <w:rPr>
                <w:rFonts w:ascii="Calibri" w:hAnsi="Calibri" w:cs="Calibri"/>
                <w:sz w:val="18"/>
                <w:szCs w:val="18"/>
                <w:lang w:val="en-US"/>
              </w:rPr>
            </w:pPr>
            <w:r w:rsidRPr="003F7F6C">
              <w:rPr>
                <w:rFonts w:ascii="Calibri" w:hAnsi="Calibri" w:cs="Calibri"/>
                <w:sz w:val="18"/>
                <w:szCs w:val="18"/>
                <w:lang w:val="en-US"/>
              </w:rPr>
              <w:t>Livestock</w:t>
            </w:r>
          </w:p>
          <w:p w14:paraId="3D86528A" w14:textId="77777777" w:rsidR="00A90966" w:rsidRPr="003F7F6C" w:rsidRDefault="00A90966" w:rsidP="002B3130">
            <w:pPr>
              <w:pStyle w:val="xmsonormal"/>
              <w:spacing w:before="0" w:beforeAutospacing="0" w:after="0" w:afterAutospacing="0"/>
              <w:jc w:val="both"/>
              <w:rPr>
                <w:rFonts w:ascii="Calibri" w:hAnsi="Calibri" w:cs="Calibri"/>
                <w:sz w:val="18"/>
                <w:szCs w:val="18"/>
                <w:lang w:val="en-US"/>
              </w:rPr>
            </w:pPr>
          </w:p>
        </w:tc>
        <w:tc>
          <w:tcPr>
            <w:tcW w:w="1701" w:type="dxa"/>
            <w:tcBorders>
              <w:top w:val="single" w:sz="4" w:space="0" w:color="auto"/>
              <w:bottom w:val="single" w:sz="4" w:space="0" w:color="auto"/>
            </w:tcBorders>
            <w:shd w:val="clear" w:color="auto" w:fill="auto"/>
          </w:tcPr>
          <w:p w14:paraId="65194B00" w14:textId="7C258530"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fr-CA"/>
              </w:rPr>
            </w:pPr>
            <w:r w:rsidRPr="003F7F6C">
              <w:rPr>
                <w:rFonts w:ascii="Calibri" w:hAnsi="Calibri" w:cs="Calibri"/>
                <w:color w:val="000000"/>
                <w:sz w:val="18"/>
                <w:szCs w:val="18"/>
                <w:lang w:val="fr-CA"/>
              </w:rPr>
              <w:t xml:space="preserve">Indigenous and non-indigenous communities </w:t>
            </w:r>
          </w:p>
        </w:tc>
        <w:tc>
          <w:tcPr>
            <w:tcW w:w="8080" w:type="dxa"/>
            <w:tcBorders>
              <w:top w:val="single" w:sz="4" w:space="0" w:color="auto"/>
              <w:bottom w:val="single" w:sz="4" w:space="0" w:color="auto"/>
              <w:right w:val="single" w:sz="18" w:space="0" w:color="auto"/>
            </w:tcBorders>
            <w:shd w:val="clear" w:color="auto" w:fill="auto"/>
          </w:tcPr>
          <w:p w14:paraId="165F3B29" w14:textId="77777777" w:rsidR="00A90966" w:rsidRPr="003F7F6C" w:rsidRDefault="00A90966" w:rsidP="00E91275">
            <w:pPr>
              <w:pStyle w:val="xmsonormal"/>
              <w:numPr>
                <w:ilvl w:val="0"/>
                <w:numId w:val="35"/>
              </w:numPr>
              <w:spacing w:before="0" w:beforeAutospacing="0" w:after="0" w:afterAutospacing="0"/>
              <w:ind w:left="146" w:hanging="146"/>
              <w:jc w:val="both"/>
              <w:rPr>
                <w:rFonts w:ascii="Calibri" w:hAnsi="Calibri" w:cs="Calibri"/>
                <w:color w:val="000000"/>
                <w:sz w:val="18"/>
                <w:szCs w:val="18"/>
                <w:lang w:val="en-US"/>
              </w:rPr>
            </w:pPr>
            <w:r w:rsidRPr="003F7F6C">
              <w:rPr>
                <w:rFonts w:ascii="Calibri" w:hAnsi="Calibri" w:cs="Calibri"/>
                <w:color w:val="000000"/>
                <w:sz w:val="18"/>
                <w:szCs w:val="18"/>
                <w:lang w:val="en-US"/>
              </w:rPr>
              <w:t xml:space="preserve">Best livestock practices (camelids): </w:t>
            </w:r>
            <w:r w:rsidR="008E5A9A" w:rsidRPr="003F7F6C">
              <w:rPr>
                <w:rFonts w:ascii="Calibri" w:hAnsi="Calibri" w:cs="Calibri"/>
                <w:color w:val="000000"/>
                <w:sz w:val="18"/>
                <w:szCs w:val="18"/>
                <w:lang w:val="en-US"/>
              </w:rPr>
              <w:t xml:space="preserve">e.g. </w:t>
            </w:r>
            <w:r w:rsidRPr="003F7F6C">
              <w:rPr>
                <w:rFonts w:ascii="Calibri" w:hAnsi="Calibri" w:cs="Calibri"/>
                <w:color w:val="000000"/>
                <w:sz w:val="18"/>
                <w:szCs w:val="18"/>
                <w:lang w:val="en-US"/>
              </w:rPr>
              <w:t>silvo-pastoral schemes, tree barriers, trees/grasses for dune fixation/restoration of degraded areas; grazing management (length of grazing and recovery periods)</w:t>
            </w:r>
          </w:p>
        </w:tc>
      </w:tr>
      <w:tr w:rsidR="00A90966" w:rsidRPr="003F7F6C" w14:paraId="2CF2EED3" w14:textId="77777777" w:rsidTr="002B3130">
        <w:trPr>
          <w:cantSplit/>
          <w:trHeight w:val="399"/>
        </w:trPr>
        <w:tc>
          <w:tcPr>
            <w:tcW w:w="850" w:type="dxa"/>
            <w:vMerge/>
            <w:tcBorders>
              <w:left w:val="single" w:sz="18" w:space="0" w:color="auto"/>
            </w:tcBorders>
            <w:shd w:val="clear" w:color="auto" w:fill="auto"/>
            <w:textDirection w:val="btLr"/>
          </w:tcPr>
          <w:p w14:paraId="21383A9C" w14:textId="77777777" w:rsidR="00A90966" w:rsidRPr="003F7F6C" w:rsidRDefault="00A90966" w:rsidP="002B3130">
            <w:pPr>
              <w:pStyle w:val="xmsonormal"/>
              <w:spacing w:before="0" w:beforeAutospacing="0" w:after="0" w:afterAutospacing="0"/>
              <w:ind w:left="113" w:right="113"/>
              <w:jc w:val="center"/>
              <w:rPr>
                <w:rFonts w:ascii="Calibri" w:hAnsi="Calibri" w:cs="Calibri"/>
                <w:color w:val="000000"/>
                <w:sz w:val="18"/>
                <w:szCs w:val="18"/>
                <w:lang w:val="en-US"/>
              </w:rPr>
            </w:pPr>
          </w:p>
        </w:tc>
        <w:tc>
          <w:tcPr>
            <w:tcW w:w="1410" w:type="dxa"/>
            <w:vMerge/>
            <w:shd w:val="clear" w:color="auto" w:fill="auto"/>
          </w:tcPr>
          <w:p w14:paraId="052D2CAC" w14:textId="77777777" w:rsidR="00A90966" w:rsidRPr="003F7F6C" w:rsidRDefault="00A90966" w:rsidP="002B3130">
            <w:pPr>
              <w:pStyle w:val="xmsonormal"/>
              <w:spacing w:before="0" w:beforeAutospacing="0" w:after="0" w:afterAutospacing="0"/>
              <w:jc w:val="both"/>
              <w:rPr>
                <w:rFonts w:ascii="Calibri" w:hAnsi="Calibri" w:cs="Calibri"/>
                <w:color w:val="FF0000"/>
                <w:sz w:val="18"/>
                <w:szCs w:val="18"/>
                <w:lang w:val="en-US"/>
              </w:rPr>
            </w:pPr>
          </w:p>
        </w:tc>
        <w:tc>
          <w:tcPr>
            <w:tcW w:w="1279" w:type="dxa"/>
            <w:shd w:val="clear" w:color="auto" w:fill="auto"/>
          </w:tcPr>
          <w:p w14:paraId="3117663A" w14:textId="77777777" w:rsidR="00A90966" w:rsidRPr="003F7F6C" w:rsidRDefault="00A90966" w:rsidP="002B3130">
            <w:pPr>
              <w:pStyle w:val="xmsonormal"/>
              <w:spacing w:before="0" w:beforeAutospacing="0" w:after="0" w:afterAutospacing="0"/>
              <w:jc w:val="both"/>
              <w:rPr>
                <w:rFonts w:ascii="Calibri" w:hAnsi="Calibri" w:cs="Calibri"/>
                <w:sz w:val="18"/>
                <w:szCs w:val="18"/>
                <w:lang w:val="en-US"/>
              </w:rPr>
            </w:pPr>
            <w:r w:rsidRPr="003F7F6C">
              <w:rPr>
                <w:rFonts w:ascii="Calibri" w:hAnsi="Calibri" w:cs="Calibri"/>
                <w:sz w:val="18"/>
                <w:szCs w:val="18"/>
                <w:lang w:val="en-US"/>
              </w:rPr>
              <w:t>Urban expansion</w:t>
            </w:r>
          </w:p>
        </w:tc>
        <w:tc>
          <w:tcPr>
            <w:tcW w:w="1701" w:type="dxa"/>
            <w:tcBorders>
              <w:top w:val="single" w:sz="4" w:space="0" w:color="auto"/>
              <w:bottom w:val="single" w:sz="4" w:space="0" w:color="auto"/>
            </w:tcBorders>
            <w:shd w:val="clear" w:color="auto" w:fill="auto"/>
          </w:tcPr>
          <w:p w14:paraId="69B98B32"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r w:rsidRPr="003F7F6C">
              <w:rPr>
                <w:rFonts w:ascii="Calibri" w:hAnsi="Calibri" w:cs="Calibri"/>
                <w:color w:val="000000"/>
                <w:sz w:val="18"/>
                <w:szCs w:val="18"/>
                <w:lang w:val="en-US"/>
              </w:rPr>
              <w:t>Municipalities</w:t>
            </w:r>
          </w:p>
        </w:tc>
        <w:tc>
          <w:tcPr>
            <w:tcW w:w="8080" w:type="dxa"/>
            <w:tcBorders>
              <w:top w:val="single" w:sz="4" w:space="0" w:color="auto"/>
              <w:bottom w:val="single" w:sz="4" w:space="0" w:color="auto"/>
              <w:right w:val="single" w:sz="18" w:space="0" w:color="auto"/>
            </w:tcBorders>
            <w:shd w:val="clear" w:color="auto" w:fill="auto"/>
          </w:tcPr>
          <w:p w14:paraId="0E1DEBFD" w14:textId="77777777" w:rsidR="00A90966" w:rsidRPr="003F7F6C" w:rsidRDefault="00A90966" w:rsidP="00E91275">
            <w:pPr>
              <w:pStyle w:val="xmsonormal"/>
              <w:numPr>
                <w:ilvl w:val="0"/>
                <w:numId w:val="35"/>
              </w:numPr>
              <w:spacing w:before="0" w:beforeAutospacing="0" w:after="0" w:afterAutospacing="0"/>
              <w:ind w:left="312"/>
              <w:jc w:val="both"/>
              <w:rPr>
                <w:rFonts w:ascii="Calibri" w:hAnsi="Calibri" w:cs="Calibri"/>
                <w:sz w:val="18"/>
                <w:szCs w:val="18"/>
                <w:lang w:val="en-US"/>
              </w:rPr>
            </w:pPr>
            <w:r w:rsidRPr="003F7F6C">
              <w:rPr>
                <w:rFonts w:ascii="Calibri" w:hAnsi="Calibri" w:cs="Calibri"/>
                <w:color w:val="000000"/>
                <w:sz w:val="18"/>
                <w:szCs w:val="18"/>
                <w:lang w:val="en-US"/>
              </w:rPr>
              <w:t>Solid waste management</w:t>
            </w:r>
          </w:p>
        </w:tc>
      </w:tr>
      <w:tr w:rsidR="00A90966" w:rsidRPr="003F7F6C" w14:paraId="002F0B52" w14:textId="77777777" w:rsidTr="002B3130">
        <w:trPr>
          <w:cantSplit/>
          <w:trHeight w:val="399"/>
        </w:trPr>
        <w:tc>
          <w:tcPr>
            <w:tcW w:w="850" w:type="dxa"/>
            <w:vMerge/>
            <w:tcBorders>
              <w:left w:val="single" w:sz="18" w:space="0" w:color="auto"/>
              <w:bottom w:val="single" w:sz="18" w:space="0" w:color="auto"/>
            </w:tcBorders>
            <w:shd w:val="clear" w:color="auto" w:fill="auto"/>
            <w:textDirection w:val="btLr"/>
          </w:tcPr>
          <w:p w14:paraId="7EC0EB0B" w14:textId="77777777" w:rsidR="00A90966" w:rsidRPr="003F7F6C" w:rsidRDefault="00A90966" w:rsidP="002B3130">
            <w:pPr>
              <w:pStyle w:val="xmsonormal"/>
              <w:spacing w:before="0" w:beforeAutospacing="0" w:after="0" w:afterAutospacing="0"/>
              <w:ind w:left="113" w:right="113"/>
              <w:jc w:val="center"/>
              <w:rPr>
                <w:rFonts w:ascii="Calibri" w:hAnsi="Calibri" w:cs="Calibri"/>
                <w:color w:val="000000"/>
                <w:sz w:val="18"/>
                <w:szCs w:val="18"/>
                <w:lang w:val="en-US"/>
              </w:rPr>
            </w:pPr>
          </w:p>
        </w:tc>
        <w:tc>
          <w:tcPr>
            <w:tcW w:w="1410" w:type="dxa"/>
            <w:vMerge/>
            <w:tcBorders>
              <w:bottom w:val="single" w:sz="18" w:space="0" w:color="auto"/>
            </w:tcBorders>
            <w:shd w:val="clear" w:color="auto" w:fill="auto"/>
          </w:tcPr>
          <w:p w14:paraId="4A05EF65" w14:textId="77777777" w:rsidR="00A90966" w:rsidRPr="003F7F6C" w:rsidRDefault="00A90966" w:rsidP="002B3130">
            <w:pPr>
              <w:pStyle w:val="xmsonormal"/>
              <w:spacing w:before="0" w:beforeAutospacing="0" w:after="0" w:afterAutospacing="0"/>
              <w:jc w:val="both"/>
              <w:rPr>
                <w:rFonts w:ascii="Calibri" w:hAnsi="Calibri" w:cs="Calibri"/>
                <w:color w:val="FF0000"/>
                <w:sz w:val="18"/>
                <w:szCs w:val="18"/>
                <w:lang w:val="en-US"/>
              </w:rPr>
            </w:pPr>
          </w:p>
        </w:tc>
        <w:tc>
          <w:tcPr>
            <w:tcW w:w="1279" w:type="dxa"/>
            <w:tcBorders>
              <w:bottom w:val="single" w:sz="18" w:space="0" w:color="auto"/>
            </w:tcBorders>
            <w:shd w:val="clear" w:color="auto" w:fill="auto"/>
          </w:tcPr>
          <w:p w14:paraId="60BDCCD5" w14:textId="77777777" w:rsidR="00A90966" w:rsidRPr="003F7F6C" w:rsidRDefault="00A90966" w:rsidP="002B3130">
            <w:pPr>
              <w:pStyle w:val="xmsonormal"/>
              <w:spacing w:before="0" w:beforeAutospacing="0" w:after="0" w:afterAutospacing="0"/>
              <w:jc w:val="both"/>
              <w:rPr>
                <w:rFonts w:ascii="Calibri" w:hAnsi="Calibri" w:cs="Calibri"/>
                <w:sz w:val="18"/>
                <w:szCs w:val="18"/>
                <w:lang w:val="en-US"/>
              </w:rPr>
            </w:pPr>
            <w:r w:rsidRPr="003F7F6C">
              <w:rPr>
                <w:rFonts w:ascii="Calibri" w:hAnsi="Calibri" w:cs="Calibri"/>
                <w:sz w:val="18"/>
                <w:szCs w:val="18"/>
                <w:lang w:val="en-US"/>
              </w:rPr>
              <w:t>Mining</w:t>
            </w:r>
          </w:p>
          <w:p w14:paraId="6C67EABB" w14:textId="77777777" w:rsidR="00A90966" w:rsidRPr="003F7F6C" w:rsidRDefault="00A90966" w:rsidP="002B3130">
            <w:pPr>
              <w:pStyle w:val="xmsonormal"/>
              <w:spacing w:before="0" w:beforeAutospacing="0" w:after="0" w:afterAutospacing="0"/>
              <w:jc w:val="both"/>
              <w:rPr>
                <w:rFonts w:ascii="Calibri" w:hAnsi="Calibri" w:cs="Calibri"/>
                <w:sz w:val="18"/>
                <w:szCs w:val="18"/>
                <w:lang w:val="en-US"/>
              </w:rPr>
            </w:pPr>
          </w:p>
        </w:tc>
        <w:tc>
          <w:tcPr>
            <w:tcW w:w="1701" w:type="dxa"/>
            <w:tcBorders>
              <w:top w:val="single" w:sz="4" w:space="0" w:color="auto"/>
              <w:bottom w:val="single" w:sz="18" w:space="0" w:color="auto"/>
            </w:tcBorders>
            <w:shd w:val="clear" w:color="auto" w:fill="auto"/>
          </w:tcPr>
          <w:p w14:paraId="69A50297"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r w:rsidRPr="003F7F6C">
              <w:rPr>
                <w:rFonts w:ascii="Calibri" w:hAnsi="Calibri" w:cs="Calibri"/>
                <w:color w:val="000000"/>
                <w:sz w:val="18"/>
                <w:szCs w:val="18"/>
                <w:lang w:val="en-US"/>
              </w:rPr>
              <w:t>Indigenous and non-indigenous communities Mining companies</w:t>
            </w:r>
          </w:p>
        </w:tc>
        <w:tc>
          <w:tcPr>
            <w:tcW w:w="8080" w:type="dxa"/>
            <w:tcBorders>
              <w:top w:val="single" w:sz="4" w:space="0" w:color="auto"/>
              <w:bottom w:val="single" w:sz="18" w:space="0" w:color="auto"/>
              <w:right w:val="single" w:sz="18" w:space="0" w:color="auto"/>
            </w:tcBorders>
            <w:shd w:val="clear" w:color="auto" w:fill="auto"/>
          </w:tcPr>
          <w:p w14:paraId="7A614207" w14:textId="2AECCE2A" w:rsidR="00A90966" w:rsidRPr="003F7F6C" w:rsidRDefault="00A90966" w:rsidP="00E91275">
            <w:pPr>
              <w:pStyle w:val="xmsonormal"/>
              <w:numPr>
                <w:ilvl w:val="0"/>
                <w:numId w:val="35"/>
              </w:numPr>
              <w:spacing w:before="0" w:beforeAutospacing="0" w:after="0" w:afterAutospacing="0"/>
              <w:ind w:left="312"/>
              <w:jc w:val="both"/>
              <w:rPr>
                <w:rFonts w:ascii="Calibri" w:hAnsi="Calibri" w:cs="Calibri"/>
                <w:color w:val="000000"/>
                <w:sz w:val="18"/>
                <w:szCs w:val="18"/>
                <w:lang w:val="en-US"/>
              </w:rPr>
            </w:pPr>
            <w:r w:rsidRPr="003F7F6C">
              <w:rPr>
                <w:rFonts w:ascii="Calibri" w:hAnsi="Calibri" w:cs="Calibri"/>
                <w:sz w:val="18"/>
                <w:szCs w:val="18"/>
                <w:lang w:val="en-US"/>
              </w:rPr>
              <w:t>Public-private partnerships to contribute to the sustainable productive development of communities</w:t>
            </w:r>
            <w:r w:rsidR="008E5A9A" w:rsidRPr="003F7F6C">
              <w:rPr>
                <w:rFonts w:ascii="Calibri" w:hAnsi="Calibri" w:cs="Calibri"/>
                <w:sz w:val="18"/>
                <w:szCs w:val="18"/>
                <w:lang w:val="en-US"/>
              </w:rPr>
              <w:t xml:space="preserve"> </w:t>
            </w:r>
            <w:r w:rsidR="004A5246" w:rsidRPr="003F7F6C">
              <w:rPr>
                <w:rFonts w:ascii="Calibri" w:hAnsi="Calibri" w:cs="Calibri"/>
                <w:sz w:val="18"/>
                <w:szCs w:val="18"/>
                <w:lang w:val="en-US"/>
              </w:rPr>
              <w:t>living in the area of influence of mining operations (evaluate experiences and lessons of initiatives to support communities</w:t>
            </w:r>
            <w:r w:rsidR="00C15333" w:rsidRPr="003F7F6C">
              <w:rPr>
                <w:rFonts w:ascii="Calibri" w:hAnsi="Calibri" w:cs="Calibri"/>
                <w:sz w:val="18"/>
                <w:szCs w:val="18"/>
                <w:lang w:val="en-US"/>
              </w:rPr>
              <w:t>,</w:t>
            </w:r>
            <w:r w:rsidR="004A5246" w:rsidRPr="003F7F6C">
              <w:rPr>
                <w:rFonts w:ascii="Calibri" w:hAnsi="Calibri" w:cs="Calibri"/>
                <w:sz w:val="18"/>
                <w:szCs w:val="18"/>
                <w:lang w:val="en-US"/>
              </w:rPr>
              <w:t xml:space="preserve"> e.g.</w:t>
            </w:r>
            <w:r w:rsidR="00C15333" w:rsidRPr="003F7F6C">
              <w:rPr>
                <w:rFonts w:ascii="Calibri" w:hAnsi="Calibri" w:cs="Calibri"/>
                <w:sz w:val="18"/>
                <w:szCs w:val="18"/>
                <w:lang w:val="en-US"/>
              </w:rPr>
              <w:t>,</w:t>
            </w:r>
            <w:r w:rsidR="004A5246" w:rsidRPr="003F7F6C">
              <w:rPr>
                <w:rFonts w:ascii="Calibri" w:hAnsi="Calibri" w:cs="Calibri"/>
                <w:sz w:val="18"/>
                <w:szCs w:val="18"/>
                <w:lang w:val="en-US"/>
              </w:rPr>
              <w:t xml:space="preserve"> participatory monitoring, promotion of renewable energies, BD conservation that may be replicated within the target landscapes.</w:t>
            </w:r>
          </w:p>
        </w:tc>
      </w:tr>
      <w:tr w:rsidR="00A90966" w:rsidRPr="003F7F6C" w14:paraId="32BE673B" w14:textId="77777777" w:rsidTr="002B3130">
        <w:trPr>
          <w:cantSplit/>
          <w:trHeight w:val="459"/>
        </w:trPr>
        <w:tc>
          <w:tcPr>
            <w:tcW w:w="850" w:type="dxa"/>
            <w:vMerge w:val="restart"/>
            <w:tcBorders>
              <w:top w:val="single" w:sz="18" w:space="0" w:color="auto"/>
              <w:left w:val="single" w:sz="18" w:space="0" w:color="auto"/>
            </w:tcBorders>
            <w:shd w:val="clear" w:color="auto" w:fill="auto"/>
            <w:textDirection w:val="btLr"/>
          </w:tcPr>
          <w:p w14:paraId="27D1F72C" w14:textId="77777777" w:rsidR="00A90966" w:rsidRPr="003F7F6C" w:rsidRDefault="00A90966" w:rsidP="002B3130">
            <w:pPr>
              <w:pStyle w:val="xmsonormal"/>
              <w:spacing w:before="0" w:beforeAutospacing="0" w:after="0" w:afterAutospacing="0"/>
              <w:ind w:left="113" w:right="113"/>
              <w:jc w:val="center"/>
              <w:rPr>
                <w:rFonts w:ascii="Calibri" w:hAnsi="Calibri" w:cs="Calibri"/>
                <w:color w:val="000000"/>
                <w:sz w:val="18"/>
                <w:szCs w:val="18"/>
                <w:lang w:val="en-US"/>
              </w:rPr>
            </w:pPr>
            <w:r w:rsidRPr="003F7F6C">
              <w:rPr>
                <w:rFonts w:ascii="Calibri" w:hAnsi="Calibri" w:cs="Calibri"/>
                <w:color w:val="000000"/>
                <w:sz w:val="18"/>
                <w:szCs w:val="18"/>
                <w:lang w:val="en-US"/>
              </w:rPr>
              <w:t>MENDOZA</w:t>
            </w:r>
          </w:p>
        </w:tc>
        <w:tc>
          <w:tcPr>
            <w:tcW w:w="1410" w:type="dxa"/>
            <w:vMerge w:val="restart"/>
            <w:tcBorders>
              <w:top w:val="single" w:sz="18" w:space="0" w:color="auto"/>
            </w:tcBorders>
            <w:shd w:val="clear" w:color="auto" w:fill="auto"/>
          </w:tcPr>
          <w:p w14:paraId="3D04172C" w14:textId="77777777" w:rsidR="00A90966" w:rsidRPr="003F7F6C" w:rsidRDefault="00A90966" w:rsidP="002B3130">
            <w:pPr>
              <w:pStyle w:val="xmsonormal"/>
              <w:spacing w:before="0" w:beforeAutospacing="0" w:after="0" w:afterAutospacing="0"/>
              <w:jc w:val="both"/>
              <w:rPr>
                <w:rFonts w:ascii="Calibri" w:hAnsi="Calibri" w:cs="Calibri"/>
                <w:color w:val="FF0000"/>
                <w:sz w:val="18"/>
                <w:szCs w:val="18"/>
                <w:lang w:val="en-US"/>
              </w:rPr>
            </w:pPr>
            <w:r w:rsidRPr="003F7F6C">
              <w:rPr>
                <w:rFonts w:ascii="Calibri" w:hAnsi="Calibri" w:cs="Calibri"/>
                <w:color w:val="000000"/>
                <w:sz w:val="18"/>
                <w:szCs w:val="18"/>
                <w:lang w:val="en-US"/>
              </w:rPr>
              <w:t>Piedmont AMM</w:t>
            </w:r>
          </w:p>
        </w:tc>
        <w:tc>
          <w:tcPr>
            <w:tcW w:w="1279" w:type="dxa"/>
            <w:tcBorders>
              <w:top w:val="single" w:sz="18" w:space="0" w:color="auto"/>
            </w:tcBorders>
            <w:shd w:val="clear" w:color="auto" w:fill="auto"/>
          </w:tcPr>
          <w:p w14:paraId="60F9C015"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r w:rsidRPr="003F7F6C">
              <w:rPr>
                <w:rFonts w:ascii="Calibri" w:hAnsi="Calibri" w:cs="Calibri"/>
                <w:color w:val="000000"/>
                <w:sz w:val="18"/>
                <w:szCs w:val="18"/>
                <w:lang w:val="en-US"/>
              </w:rPr>
              <w:t>Tourism/Protected areas</w:t>
            </w:r>
          </w:p>
          <w:p w14:paraId="684AE24F" w14:textId="77777777" w:rsidR="00A90966" w:rsidRPr="003F7F6C" w:rsidRDefault="00A90966" w:rsidP="002B3130">
            <w:pPr>
              <w:pStyle w:val="xmsonormal"/>
              <w:spacing w:before="0" w:beforeAutospacing="0" w:after="0" w:afterAutospacing="0"/>
              <w:jc w:val="both"/>
              <w:rPr>
                <w:rFonts w:ascii="Calibri" w:hAnsi="Calibri" w:cs="Calibri"/>
                <w:sz w:val="18"/>
                <w:szCs w:val="18"/>
                <w:lang w:val="en-US"/>
              </w:rPr>
            </w:pPr>
          </w:p>
        </w:tc>
        <w:tc>
          <w:tcPr>
            <w:tcW w:w="1701" w:type="dxa"/>
            <w:tcBorders>
              <w:top w:val="single" w:sz="18" w:space="0" w:color="auto"/>
              <w:bottom w:val="single" w:sz="4" w:space="0" w:color="auto"/>
            </w:tcBorders>
            <w:shd w:val="clear" w:color="auto" w:fill="auto"/>
          </w:tcPr>
          <w:p w14:paraId="1BD8D422"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r w:rsidRPr="003F7F6C">
              <w:rPr>
                <w:rFonts w:ascii="Calibri" w:hAnsi="Calibri" w:cs="Calibri"/>
                <w:color w:val="000000"/>
                <w:sz w:val="18"/>
                <w:szCs w:val="18"/>
                <w:lang w:val="en-US"/>
              </w:rPr>
              <w:t>Protected area managers</w:t>
            </w:r>
          </w:p>
        </w:tc>
        <w:tc>
          <w:tcPr>
            <w:tcW w:w="8080" w:type="dxa"/>
            <w:tcBorders>
              <w:top w:val="single" w:sz="18" w:space="0" w:color="auto"/>
              <w:bottom w:val="single" w:sz="4" w:space="0" w:color="auto"/>
              <w:right w:val="single" w:sz="18" w:space="0" w:color="auto"/>
            </w:tcBorders>
            <w:shd w:val="clear" w:color="auto" w:fill="auto"/>
          </w:tcPr>
          <w:p w14:paraId="684ED140" w14:textId="77777777" w:rsidR="00A90966" w:rsidRPr="003F7F6C" w:rsidRDefault="00A90966" w:rsidP="00E91275">
            <w:pPr>
              <w:pStyle w:val="xmsonormal"/>
              <w:numPr>
                <w:ilvl w:val="0"/>
                <w:numId w:val="35"/>
              </w:numPr>
              <w:spacing w:before="0" w:beforeAutospacing="0" w:after="0" w:afterAutospacing="0"/>
              <w:ind w:left="291" w:hanging="283"/>
              <w:jc w:val="both"/>
              <w:rPr>
                <w:rFonts w:ascii="Calibri" w:hAnsi="Calibri" w:cs="Calibri"/>
                <w:strike/>
                <w:color w:val="000000"/>
                <w:sz w:val="18"/>
                <w:szCs w:val="18"/>
                <w:lang w:val="en-US"/>
              </w:rPr>
            </w:pPr>
            <w:r w:rsidRPr="003F7F6C">
              <w:rPr>
                <w:rFonts w:ascii="Calibri" w:hAnsi="Calibri" w:cs="Calibri"/>
                <w:color w:val="000000"/>
                <w:sz w:val="18"/>
                <w:szCs w:val="18"/>
                <w:lang w:val="en-US"/>
              </w:rPr>
              <w:t>Best practice manual for ecotourism in protected areas: evaluate carrying capacity, trail design, incorporating locals as guides.</w:t>
            </w:r>
          </w:p>
        </w:tc>
      </w:tr>
      <w:tr w:rsidR="00A90966" w:rsidRPr="003F7F6C" w14:paraId="569DF288" w14:textId="77777777" w:rsidTr="002B3130">
        <w:trPr>
          <w:cantSplit/>
          <w:trHeight w:val="884"/>
        </w:trPr>
        <w:tc>
          <w:tcPr>
            <w:tcW w:w="850" w:type="dxa"/>
            <w:vMerge/>
            <w:tcBorders>
              <w:left w:val="single" w:sz="18" w:space="0" w:color="auto"/>
            </w:tcBorders>
            <w:shd w:val="clear" w:color="auto" w:fill="auto"/>
            <w:textDirection w:val="btLr"/>
          </w:tcPr>
          <w:p w14:paraId="4D8B1A40" w14:textId="77777777" w:rsidR="00A90966" w:rsidRPr="003F7F6C" w:rsidRDefault="00A90966" w:rsidP="002B3130">
            <w:pPr>
              <w:pStyle w:val="xmsonormal"/>
              <w:spacing w:before="0" w:beforeAutospacing="0" w:after="0" w:afterAutospacing="0"/>
              <w:ind w:left="113" w:right="113"/>
              <w:jc w:val="center"/>
              <w:rPr>
                <w:rFonts w:ascii="Calibri" w:hAnsi="Calibri" w:cs="Calibri"/>
                <w:color w:val="000000"/>
                <w:sz w:val="18"/>
                <w:szCs w:val="18"/>
                <w:lang w:val="en-US"/>
              </w:rPr>
            </w:pPr>
          </w:p>
        </w:tc>
        <w:tc>
          <w:tcPr>
            <w:tcW w:w="1410" w:type="dxa"/>
            <w:vMerge/>
            <w:shd w:val="clear" w:color="auto" w:fill="auto"/>
          </w:tcPr>
          <w:p w14:paraId="6C7ADE97" w14:textId="77777777" w:rsidR="00A90966" w:rsidRPr="003F7F6C" w:rsidRDefault="00A90966" w:rsidP="002B3130">
            <w:pPr>
              <w:pStyle w:val="xmsonormal"/>
              <w:spacing w:before="0" w:beforeAutospacing="0" w:after="0" w:afterAutospacing="0"/>
              <w:jc w:val="both"/>
              <w:rPr>
                <w:rFonts w:ascii="Calibri" w:hAnsi="Calibri" w:cs="Calibri"/>
                <w:color w:val="FF0000"/>
                <w:sz w:val="18"/>
                <w:szCs w:val="18"/>
                <w:lang w:val="en-US"/>
              </w:rPr>
            </w:pPr>
          </w:p>
        </w:tc>
        <w:tc>
          <w:tcPr>
            <w:tcW w:w="1279" w:type="dxa"/>
            <w:shd w:val="clear" w:color="auto" w:fill="auto"/>
          </w:tcPr>
          <w:p w14:paraId="40BA42CA"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r w:rsidRPr="003F7F6C">
              <w:rPr>
                <w:rFonts w:ascii="Calibri" w:hAnsi="Calibri" w:cs="Calibri"/>
                <w:color w:val="000000"/>
                <w:sz w:val="18"/>
                <w:szCs w:val="18"/>
                <w:lang w:val="en-US"/>
              </w:rPr>
              <w:t>Agriculture and Livestock</w:t>
            </w:r>
          </w:p>
          <w:p w14:paraId="44A103A4"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p>
          <w:p w14:paraId="7015969F" w14:textId="77777777" w:rsidR="00A90966" w:rsidRPr="003F7F6C" w:rsidRDefault="00A90966" w:rsidP="002B3130">
            <w:pPr>
              <w:pStyle w:val="xmsonormal"/>
              <w:spacing w:before="0" w:beforeAutospacing="0" w:after="0" w:afterAutospacing="0"/>
              <w:jc w:val="both"/>
              <w:rPr>
                <w:rFonts w:ascii="Calibri" w:hAnsi="Calibri" w:cs="Calibri"/>
                <w:sz w:val="18"/>
                <w:szCs w:val="18"/>
                <w:lang w:val="en-US"/>
              </w:rPr>
            </w:pPr>
            <w:r w:rsidRPr="003F7F6C">
              <w:rPr>
                <w:rFonts w:ascii="Calibri" w:hAnsi="Calibri" w:cs="Calibri"/>
                <w:color w:val="000000"/>
                <w:sz w:val="18"/>
                <w:szCs w:val="18"/>
                <w:lang w:val="en-US"/>
              </w:rPr>
              <w:t>Urban expansion</w:t>
            </w:r>
          </w:p>
        </w:tc>
        <w:tc>
          <w:tcPr>
            <w:tcW w:w="1701" w:type="dxa"/>
            <w:tcBorders>
              <w:top w:val="single" w:sz="4" w:space="0" w:color="auto"/>
              <w:bottom w:val="single" w:sz="4" w:space="0" w:color="auto"/>
            </w:tcBorders>
            <w:shd w:val="clear" w:color="auto" w:fill="auto"/>
          </w:tcPr>
          <w:p w14:paraId="07404F1F" w14:textId="77777777" w:rsidR="00A90966" w:rsidRPr="003F7F6C" w:rsidRDefault="00A90966" w:rsidP="002B3130">
            <w:pPr>
              <w:pStyle w:val="xmsonormal"/>
              <w:spacing w:before="0" w:beforeAutospacing="0" w:after="0" w:afterAutospacing="0"/>
              <w:rPr>
                <w:rFonts w:ascii="Calibri" w:hAnsi="Calibri" w:cs="Calibri"/>
                <w:color w:val="000000"/>
                <w:sz w:val="18"/>
                <w:szCs w:val="18"/>
                <w:lang w:val="en-US"/>
              </w:rPr>
            </w:pPr>
            <w:r w:rsidRPr="003F7F6C">
              <w:rPr>
                <w:rFonts w:ascii="Calibri" w:hAnsi="Calibri" w:cs="Calibri"/>
                <w:color w:val="000000"/>
                <w:sz w:val="18"/>
                <w:szCs w:val="18"/>
                <w:lang w:val="en-US"/>
              </w:rPr>
              <w:t>Producers</w:t>
            </w:r>
          </w:p>
        </w:tc>
        <w:tc>
          <w:tcPr>
            <w:tcW w:w="8080" w:type="dxa"/>
            <w:tcBorders>
              <w:top w:val="single" w:sz="4" w:space="0" w:color="auto"/>
              <w:bottom w:val="single" w:sz="4" w:space="0" w:color="auto"/>
              <w:right w:val="single" w:sz="18" w:space="0" w:color="auto"/>
            </w:tcBorders>
            <w:shd w:val="clear" w:color="auto" w:fill="auto"/>
          </w:tcPr>
          <w:p w14:paraId="49280764" w14:textId="77777777" w:rsidR="00A90966" w:rsidRPr="003F7F6C" w:rsidRDefault="00A90966" w:rsidP="00E91275">
            <w:pPr>
              <w:pStyle w:val="xmsonormal"/>
              <w:numPr>
                <w:ilvl w:val="0"/>
                <w:numId w:val="35"/>
              </w:numPr>
              <w:spacing w:before="0" w:beforeAutospacing="0" w:after="0" w:afterAutospacing="0"/>
              <w:ind w:left="291" w:hanging="283"/>
              <w:jc w:val="both"/>
              <w:rPr>
                <w:rFonts w:ascii="Calibri" w:hAnsi="Calibri" w:cs="Calibri"/>
                <w:color w:val="000000"/>
                <w:sz w:val="18"/>
                <w:szCs w:val="18"/>
                <w:lang w:val="en-US"/>
              </w:rPr>
            </w:pPr>
            <w:r w:rsidRPr="003F7F6C">
              <w:rPr>
                <w:rFonts w:ascii="Calibri" w:hAnsi="Calibri" w:cs="Calibri"/>
                <w:color w:val="000000"/>
                <w:sz w:val="18"/>
                <w:szCs w:val="18"/>
                <w:lang w:val="en-US"/>
              </w:rPr>
              <w:t>Improved grazing practices e.g.</w:t>
            </w:r>
            <w:r w:rsidR="00D43408" w:rsidRPr="003F7F6C">
              <w:rPr>
                <w:rFonts w:ascii="Calibri" w:hAnsi="Calibri" w:cs="Calibri"/>
                <w:color w:val="000000"/>
                <w:sz w:val="18"/>
                <w:szCs w:val="18"/>
                <w:lang w:val="en-US"/>
              </w:rPr>
              <w:t>,</w:t>
            </w:r>
            <w:r w:rsidRPr="003F7F6C">
              <w:rPr>
                <w:rFonts w:ascii="Calibri" w:hAnsi="Calibri" w:cs="Calibri"/>
                <w:color w:val="000000"/>
                <w:sz w:val="18"/>
                <w:szCs w:val="18"/>
                <w:lang w:val="en-US"/>
              </w:rPr>
              <w:t xml:space="preserve"> adjusting carrying capacity, paddock rotation, managing length of grazing and recovery periods to reduce overgrazing and under-grazing</w:t>
            </w:r>
          </w:p>
          <w:p w14:paraId="1FB06AD6" w14:textId="77777777" w:rsidR="00A90966" w:rsidRPr="003F7F6C" w:rsidRDefault="00A90966" w:rsidP="00E91275">
            <w:pPr>
              <w:pStyle w:val="xmsonormal"/>
              <w:numPr>
                <w:ilvl w:val="0"/>
                <w:numId w:val="35"/>
              </w:numPr>
              <w:spacing w:before="0" w:beforeAutospacing="0" w:after="0" w:afterAutospacing="0"/>
              <w:ind w:left="291" w:hanging="283"/>
              <w:jc w:val="both"/>
              <w:rPr>
                <w:rFonts w:ascii="Calibri" w:hAnsi="Calibri" w:cs="Calibri"/>
                <w:color w:val="000000"/>
                <w:sz w:val="18"/>
                <w:szCs w:val="18"/>
                <w:lang w:val="en-US"/>
              </w:rPr>
            </w:pPr>
            <w:r w:rsidRPr="003F7F6C">
              <w:rPr>
                <w:rFonts w:ascii="Calibri" w:hAnsi="Calibri" w:cs="Calibri"/>
                <w:color w:val="000000"/>
                <w:sz w:val="18"/>
                <w:szCs w:val="18"/>
                <w:lang w:val="en-US"/>
              </w:rPr>
              <w:t>Restoration of degraded non-irrigated areas</w:t>
            </w:r>
          </w:p>
          <w:p w14:paraId="4DFF4F9C" w14:textId="77777777" w:rsidR="00A90966" w:rsidRPr="003F7F6C" w:rsidRDefault="00A90966" w:rsidP="00CB75B8">
            <w:pPr>
              <w:pStyle w:val="xmsonormal"/>
              <w:spacing w:before="0" w:beforeAutospacing="0" w:after="0" w:afterAutospacing="0"/>
              <w:jc w:val="both"/>
              <w:rPr>
                <w:rFonts w:ascii="Calibri" w:hAnsi="Calibri" w:cs="Calibri"/>
                <w:strike/>
                <w:color w:val="000000"/>
                <w:sz w:val="18"/>
                <w:szCs w:val="18"/>
                <w:lang w:val="en-US"/>
              </w:rPr>
            </w:pPr>
          </w:p>
        </w:tc>
      </w:tr>
      <w:tr w:rsidR="00A90966" w:rsidRPr="003F7F6C" w14:paraId="3ACBC065" w14:textId="77777777" w:rsidTr="002B3130">
        <w:trPr>
          <w:cantSplit/>
          <w:trHeight w:val="1134"/>
        </w:trPr>
        <w:tc>
          <w:tcPr>
            <w:tcW w:w="850" w:type="dxa"/>
            <w:vMerge/>
            <w:tcBorders>
              <w:left w:val="single" w:sz="18" w:space="0" w:color="auto"/>
            </w:tcBorders>
            <w:shd w:val="clear" w:color="auto" w:fill="auto"/>
            <w:textDirection w:val="btLr"/>
          </w:tcPr>
          <w:p w14:paraId="046E239A" w14:textId="77777777" w:rsidR="00A90966" w:rsidRPr="003F7F6C" w:rsidRDefault="00A90966" w:rsidP="002B3130">
            <w:pPr>
              <w:pStyle w:val="xmsonormal"/>
              <w:spacing w:before="0" w:beforeAutospacing="0" w:after="0" w:afterAutospacing="0"/>
              <w:ind w:left="113" w:right="113"/>
              <w:jc w:val="center"/>
              <w:rPr>
                <w:rFonts w:ascii="Calibri" w:hAnsi="Calibri" w:cs="Calibri"/>
                <w:color w:val="000000"/>
                <w:sz w:val="18"/>
                <w:szCs w:val="18"/>
                <w:lang w:val="en-US"/>
              </w:rPr>
            </w:pPr>
          </w:p>
        </w:tc>
        <w:tc>
          <w:tcPr>
            <w:tcW w:w="1410" w:type="dxa"/>
            <w:shd w:val="clear" w:color="auto" w:fill="auto"/>
          </w:tcPr>
          <w:p w14:paraId="10587668" w14:textId="77777777" w:rsidR="00A90966" w:rsidRPr="003F7F6C" w:rsidRDefault="00A90966" w:rsidP="002B3130">
            <w:pPr>
              <w:pStyle w:val="xmsonormal"/>
              <w:spacing w:before="0" w:beforeAutospacing="0" w:after="0" w:afterAutospacing="0"/>
              <w:jc w:val="both"/>
              <w:rPr>
                <w:rFonts w:ascii="Calibri" w:hAnsi="Calibri" w:cs="Calibri"/>
                <w:color w:val="FF0000"/>
                <w:sz w:val="18"/>
                <w:szCs w:val="18"/>
                <w:lang w:val="en-US"/>
              </w:rPr>
            </w:pPr>
            <w:r w:rsidRPr="003F7F6C">
              <w:rPr>
                <w:rFonts w:ascii="Calibri" w:hAnsi="Calibri" w:cs="Calibri"/>
                <w:color w:val="000000"/>
                <w:sz w:val="18"/>
                <w:szCs w:val="18"/>
                <w:lang w:val="es-PY"/>
              </w:rPr>
              <w:t>Northern Oasis- Green Belt</w:t>
            </w:r>
          </w:p>
        </w:tc>
        <w:tc>
          <w:tcPr>
            <w:tcW w:w="1279" w:type="dxa"/>
            <w:shd w:val="clear" w:color="auto" w:fill="auto"/>
          </w:tcPr>
          <w:p w14:paraId="2CC334BF"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r w:rsidRPr="003F7F6C">
              <w:rPr>
                <w:rFonts w:ascii="Calibri" w:hAnsi="Calibri" w:cs="Calibri"/>
                <w:color w:val="000000"/>
                <w:sz w:val="18"/>
                <w:szCs w:val="18"/>
                <w:lang w:val="en-US"/>
              </w:rPr>
              <w:t>Agriculture and Livestock</w:t>
            </w:r>
          </w:p>
          <w:p w14:paraId="57CB495E"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p>
          <w:p w14:paraId="2CCA8E04"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r w:rsidRPr="003F7F6C">
              <w:rPr>
                <w:rFonts w:ascii="Calibri" w:hAnsi="Calibri" w:cs="Calibri"/>
                <w:color w:val="000000"/>
                <w:sz w:val="18"/>
                <w:szCs w:val="18"/>
                <w:lang w:val="en-US"/>
              </w:rPr>
              <w:t>Urban expansion</w:t>
            </w:r>
          </w:p>
          <w:p w14:paraId="71B6F462"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p>
          <w:p w14:paraId="12CA5801" w14:textId="77777777" w:rsidR="00A90966" w:rsidRPr="003F7F6C" w:rsidRDefault="00A90966" w:rsidP="002B3130">
            <w:pPr>
              <w:pStyle w:val="xmsonormal"/>
              <w:spacing w:before="0" w:beforeAutospacing="0" w:after="0" w:afterAutospacing="0"/>
              <w:jc w:val="both"/>
              <w:rPr>
                <w:rFonts w:ascii="Calibri" w:hAnsi="Calibri" w:cs="Calibri"/>
                <w:sz w:val="18"/>
                <w:szCs w:val="18"/>
                <w:lang w:val="en-US"/>
              </w:rPr>
            </w:pPr>
          </w:p>
        </w:tc>
        <w:tc>
          <w:tcPr>
            <w:tcW w:w="1701" w:type="dxa"/>
            <w:tcBorders>
              <w:top w:val="single" w:sz="4" w:space="0" w:color="auto"/>
              <w:bottom w:val="single" w:sz="4" w:space="0" w:color="auto"/>
            </w:tcBorders>
            <w:shd w:val="clear" w:color="auto" w:fill="auto"/>
          </w:tcPr>
          <w:p w14:paraId="779ED056" w14:textId="77777777" w:rsidR="00A90966" w:rsidRPr="003F7F6C" w:rsidRDefault="00DE7B1C" w:rsidP="002B3130">
            <w:pPr>
              <w:pStyle w:val="xmsonormal"/>
              <w:spacing w:before="0" w:beforeAutospacing="0" w:after="0" w:afterAutospacing="0"/>
              <w:jc w:val="both"/>
              <w:rPr>
                <w:rFonts w:ascii="Calibri" w:hAnsi="Calibri" w:cs="Calibri"/>
                <w:color w:val="000000"/>
                <w:sz w:val="18"/>
                <w:szCs w:val="18"/>
                <w:lang w:val="en-US"/>
              </w:rPr>
            </w:pPr>
            <w:r w:rsidRPr="003F7F6C">
              <w:rPr>
                <w:rFonts w:ascii="Calibri" w:hAnsi="Calibri" w:cs="Calibri"/>
                <w:color w:val="000000"/>
                <w:sz w:val="18"/>
                <w:szCs w:val="18"/>
                <w:lang w:val="en-US"/>
              </w:rPr>
              <w:t>Large scale p</w:t>
            </w:r>
            <w:r w:rsidR="00A90966" w:rsidRPr="003F7F6C">
              <w:rPr>
                <w:rFonts w:ascii="Calibri" w:hAnsi="Calibri" w:cs="Calibri"/>
                <w:color w:val="000000"/>
                <w:sz w:val="18"/>
                <w:szCs w:val="18"/>
                <w:lang w:val="en-US"/>
              </w:rPr>
              <w:t>roducers</w:t>
            </w:r>
          </w:p>
          <w:p w14:paraId="22AB795E"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p>
        </w:tc>
        <w:tc>
          <w:tcPr>
            <w:tcW w:w="8080" w:type="dxa"/>
            <w:tcBorders>
              <w:top w:val="single" w:sz="4" w:space="0" w:color="auto"/>
              <w:bottom w:val="single" w:sz="4" w:space="0" w:color="auto"/>
              <w:right w:val="single" w:sz="18" w:space="0" w:color="auto"/>
            </w:tcBorders>
            <w:shd w:val="clear" w:color="auto" w:fill="auto"/>
          </w:tcPr>
          <w:p w14:paraId="275BC405" w14:textId="77777777" w:rsidR="00A90966" w:rsidRPr="003F7F6C" w:rsidRDefault="00A90966" w:rsidP="00E91275">
            <w:pPr>
              <w:pStyle w:val="xmsonormal"/>
              <w:numPr>
                <w:ilvl w:val="0"/>
                <w:numId w:val="35"/>
              </w:numPr>
              <w:spacing w:before="0" w:beforeAutospacing="0" w:after="0" w:afterAutospacing="0"/>
              <w:ind w:left="291" w:hanging="283"/>
              <w:jc w:val="both"/>
              <w:rPr>
                <w:rFonts w:ascii="Calibri" w:hAnsi="Calibri" w:cs="Calibri"/>
                <w:color w:val="000000"/>
                <w:sz w:val="18"/>
                <w:szCs w:val="18"/>
                <w:lang w:val="en-US"/>
              </w:rPr>
            </w:pPr>
            <w:r w:rsidRPr="003F7F6C">
              <w:rPr>
                <w:rFonts w:ascii="Calibri" w:hAnsi="Calibri" w:cs="Calibri"/>
                <w:color w:val="000000"/>
                <w:sz w:val="18"/>
                <w:szCs w:val="18"/>
                <w:lang w:val="en-US"/>
              </w:rPr>
              <w:t xml:space="preserve">Horticultural community parks with agro-ecological practices: </w:t>
            </w:r>
            <w:r w:rsidR="005B3FCA" w:rsidRPr="003F7F6C">
              <w:rPr>
                <w:rFonts w:ascii="Calibri" w:hAnsi="Calibri" w:cs="Calibri"/>
                <w:color w:val="000000"/>
                <w:sz w:val="18"/>
                <w:szCs w:val="18"/>
                <w:lang w:val="en-US"/>
              </w:rPr>
              <w:t xml:space="preserve">e.g. </w:t>
            </w:r>
            <w:r w:rsidRPr="003F7F6C">
              <w:rPr>
                <w:rFonts w:ascii="Calibri" w:hAnsi="Calibri" w:cs="Calibri"/>
                <w:color w:val="000000"/>
                <w:sz w:val="18"/>
                <w:szCs w:val="18"/>
                <w:lang w:val="en-US"/>
              </w:rPr>
              <w:t>organic fertilizers; substitution of agro-chemicals with bio-preparations and/or products with low or no environmental impact, use of biogas and/or compost, crop rotation, management of plastic wastes (from greenhouses)</w:t>
            </w:r>
          </w:p>
          <w:p w14:paraId="067BC87D" w14:textId="77777777" w:rsidR="00A90966" w:rsidRPr="003F7F6C" w:rsidRDefault="00A90966" w:rsidP="00E91275">
            <w:pPr>
              <w:pStyle w:val="xmsonormal"/>
              <w:numPr>
                <w:ilvl w:val="0"/>
                <w:numId w:val="35"/>
              </w:numPr>
              <w:spacing w:before="0" w:beforeAutospacing="0" w:after="0" w:afterAutospacing="0"/>
              <w:ind w:left="291" w:hanging="283"/>
              <w:jc w:val="both"/>
              <w:rPr>
                <w:rFonts w:ascii="Calibri" w:hAnsi="Calibri" w:cs="Calibri"/>
                <w:color w:val="000000"/>
                <w:sz w:val="18"/>
                <w:szCs w:val="18"/>
                <w:lang w:val="en-US"/>
              </w:rPr>
            </w:pPr>
            <w:r w:rsidRPr="003F7F6C">
              <w:rPr>
                <w:rFonts w:ascii="Calibri" w:hAnsi="Calibri" w:cs="Calibri"/>
                <w:color w:val="000000"/>
                <w:sz w:val="18"/>
                <w:szCs w:val="18"/>
                <w:lang w:val="en-US"/>
              </w:rPr>
              <w:t>Livestock parks (demonstration plots) with improved grazing practices e.g.</w:t>
            </w:r>
            <w:r w:rsidR="00D43408" w:rsidRPr="003F7F6C">
              <w:rPr>
                <w:rFonts w:ascii="Calibri" w:hAnsi="Calibri" w:cs="Calibri"/>
                <w:color w:val="000000"/>
                <w:sz w:val="18"/>
                <w:szCs w:val="18"/>
                <w:lang w:val="en-US"/>
              </w:rPr>
              <w:t>,</w:t>
            </w:r>
            <w:r w:rsidRPr="003F7F6C">
              <w:rPr>
                <w:rFonts w:ascii="Calibri" w:hAnsi="Calibri" w:cs="Calibri"/>
                <w:color w:val="000000"/>
                <w:sz w:val="18"/>
                <w:szCs w:val="18"/>
                <w:lang w:val="en-US"/>
              </w:rPr>
              <w:t xml:space="preserve"> adjusting carrying capacity, paddock rotation, managing length of grazing and recovery periods to reduce overgrazing and under-grazing</w:t>
            </w:r>
          </w:p>
          <w:p w14:paraId="55C720A0" w14:textId="77777777" w:rsidR="00A90966" w:rsidRPr="003F7F6C" w:rsidRDefault="00360819" w:rsidP="00E91275">
            <w:pPr>
              <w:pStyle w:val="xmsonormal"/>
              <w:numPr>
                <w:ilvl w:val="0"/>
                <w:numId w:val="35"/>
              </w:numPr>
              <w:spacing w:before="0" w:beforeAutospacing="0" w:after="0" w:afterAutospacing="0"/>
              <w:ind w:left="291" w:hanging="283"/>
              <w:jc w:val="both"/>
              <w:rPr>
                <w:rFonts w:ascii="Calibri" w:hAnsi="Calibri" w:cs="Calibri"/>
                <w:color w:val="000000"/>
                <w:sz w:val="18"/>
                <w:szCs w:val="18"/>
                <w:lang w:val="en-US"/>
              </w:rPr>
            </w:pPr>
            <w:r w:rsidRPr="003F7F6C">
              <w:rPr>
                <w:rFonts w:ascii="Calibri" w:hAnsi="Calibri" w:cs="Calibri"/>
                <w:sz w:val="18"/>
                <w:szCs w:val="18"/>
                <w:lang w:val="en-US"/>
              </w:rPr>
              <w:t>M</w:t>
            </w:r>
            <w:r w:rsidR="00A90966" w:rsidRPr="003F7F6C">
              <w:rPr>
                <w:rFonts w:ascii="Calibri" w:hAnsi="Calibri" w:cs="Calibri"/>
                <w:sz w:val="18"/>
                <w:szCs w:val="18"/>
                <w:lang w:val="en-US"/>
              </w:rPr>
              <w:t>anage</w:t>
            </w:r>
            <w:r w:rsidRPr="003F7F6C">
              <w:rPr>
                <w:rFonts w:ascii="Calibri" w:hAnsi="Calibri" w:cs="Calibri"/>
                <w:sz w:val="18"/>
                <w:szCs w:val="18"/>
                <w:lang w:val="en-US"/>
              </w:rPr>
              <w:t>ment of</w:t>
            </w:r>
            <w:r w:rsidR="00A90966" w:rsidRPr="003F7F6C">
              <w:rPr>
                <w:rFonts w:ascii="Calibri" w:hAnsi="Calibri" w:cs="Calibri"/>
                <w:sz w:val="18"/>
                <w:szCs w:val="18"/>
                <w:lang w:val="en-US"/>
              </w:rPr>
              <w:t xml:space="preserve"> water and drains in the areas of water table outcrops for recovery of wetlands and optimizing productive uses</w:t>
            </w:r>
          </w:p>
          <w:p w14:paraId="533B8353" w14:textId="77777777" w:rsidR="00A90966" w:rsidRPr="003F7F6C" w:rsidRDefault="00A90966" w:rsidP="00E91275">
            <w:pPr>
              <w:pStyle w:val="xmsonormal"/>
              <w:numPr>
                <w:ilvl w:val="0"/>
                <w:numId w:val="35"/>
              </w:numPr>
              <w:spacing w:before="0" w:beforeAutospacing="0" w:after="0" w:afterAutospacing="0"/>
              <w:ind w:left="291" w:hanging="283"/>
              <w:jc w:val="both"/>
              <w:rPr>
                <w:rFonts w:ascii="Calibri" w:hAnsi="Calibri" w:cs="Calibri"/>
                <w:color w:val="000000"/>
                <w:sz w:val="18"/>
                <w:szCs w:val="18"/>
                <w:lang w:val="en-US"/>
              </w:rPr>
            </w:pPr>
            <w:r w:rsidRPr="003F7F6C">
              <w:rPr>
                <w:rFonts w:ascii="Calibri" w:hAnsi="Calibri" w:cs="Calibri"/>
                <w:sz w:val="18"/>
                <w:szCs w:val="18"/>
                <w:lang w:val="en-US"/>
              </w:rPr>
              <w:t>Recovery of wetlands and awareness raising on their value</w:t>
            </w:r>
          </w:p>
          <w:p w14:paraId="2D29E1E4" w14:textId="77777777" w:rsidR="00A90966" w:rsidRPr="003F7F6C" w:rsidRDefault="00A90966" w:rsidP="00E91275">
            <w:pPr>
              <w:pStyle w:val="xmsonormal"/>
              <w:numPr>
                <w:ilvl w:val="0"/>
                <w:numId w:val="35"/>
              </w:numPr>
              <w:spacing w:before="0" w:beforeAutospacing="0" w:after="0" w:afterAutospacing="0"/>
              <w:ind w:left="291" w:hanging="283"/>
              <w:jc w:val="both"/>
              <w:rPr>
                <w:rFonts w:ascii="Calibri" w:hAnsi="Calibri" w:cs="Calibri"/>
                <w:color w:val="000000"/>
                <w:sz w:val="18"/>
                <w:szCs w:val="18"/>
                <w:lang w:val="en-US"/>
              </w:rPr>
            </w:pPr>
            <w:r w:rsidRPr="003F7F6C">
              <w:rPr>
                <w:rFonts w:ascii="Calibri" w:hAnsi="Calibri" w:cs="Calibri"/>
                <w:sz w:val="18"/>
                <w:szCs w:val="18"/>
                <w:lang w:val="en-US"/>
              </w:rPr>
              <w:t>Systems to reuse water for production in areas with restrictions</w:t>
            </w:r>
          </w:p>
        </w:tc>
      </w:tr>
      <w:tr w:rsidR="00A90966" w:rsidRPr="003F7F6C" w14:paraId="45806DC6" w14:textId="77777777" w:rsidTr="004D0D7E">
        <w:trPr>
          <w:cantSplit/>
          <w:trHeight w:val="898"/>
        </w:trPr>
        <w:tc>
          <w:tcPr>
            <w:tcW w:w="850" w:type="dxa"/>
            <w:vMerge/>
            <w:tcBorders>
              <w:left w:val="single" w:sz="18" w:space="0" w:color="auto"/>
            </w:tcBorders>
            <w:shd w:val="clear" w:color="auto" w:fill="auto"/>
            <w:textDirection w:val="btLr"/>
          </w:tcPr>
          <w:p w14:paraId="35A0B0FE" w14:textId="77777777" w:rsidR="00A90966" w:rsidRPr="003F7F6C" w:rsidRDefault="00A90966" w:rsidP="002B3130">
            <w:pPr>
              <w:pStyle w:val="xmsonormal"/>
              <w:spacing w:before="0" w:beforeAutospacing="0" w:after="0" w:afterAutospacing="0"/>
              <w:ind w:left="113" w:right="113"/>
              <w:jc w:val="center"/>
              <w:rPr>
                <w:rFonts w:ascii="Calibri" w:hAnsi="Calibri" w:cs="Calibri"/>
                <w:color w:val="000000"/>
                <w:sz w:val="18"/>
                <w:szCs w:val="18"/>
                <w:lang w:val="en-US"/>
              </w:rPr>
            </w:pPr>
          </w:p>
        </w:tc>
        <w:tc>
          <w:tcPr>
            <w:tcW w:w="1410" w:type="dxa"/>
            <w:shd w:val="clear" w:color="auto" w:fill="auto"/>
          </w:tcPr>
          <w:p w14:paraId="70B2D2FE" w14:textId="77777777" w:rsidR="00A90966" w:rsidRPr="003F7F6C" w:rsidRDefault="00A90966" w:rsidP="002B3130">
            <w:pPr>
              <w:pStyle w:val="xmsonormal"/>
              <w:spacing w:before="0" w:beforeAutospacing="0" w:after="0" w:afterAutospacing="0"/>
              <w:jc w:val="both"/>
              <w:rPr>
                <w:rFonts w:ascii="Calibri" w:hAnsi="Calibri" w:cs="Calibri"/>
                <w:color w:val="FF0000"/>
                <w:sz w:val="18"/>
                <w:szCs w:val="18"/>
                <w:lang w:val="en-US"/>
              </w:rPr>
            </w:pPr>
            <w:r w:rsidRPr="003F7F6C">
              <w:rPr>
                <w:rFonts w:ascii="Calibri" w:hAnsi="Calibri" w:cs="Calibri"/>
                <w:color w:val="000000"/>
                <w:sz w:val="18"/>
                <w:szCs w:val="18"/>
                <w:lang w:val="en-US"/>
              </w:rPr>
              <w:t>Uco Valley</w:t>
            </w:r>
          </w:p>
        </w:tc>
        <w:tc>
          <w:tcPr>
            <w:tcW w:w="1279" w:type="dxa"/>
            <w:shd w:val="clear" w:color="auto" w:fill="auto"/>
          </w:tcPr>
          <w:p w14:paraId="1755487F"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r w:rsidRPr="003F7F6C">
              <w:rPr>
                <w:rFonts w:ascii="Calibri" w:hAnsi="Calibri" w:cs="Calibri"/>
                <w:color w:val="000000"/>
                <w:sz w:val="18"/>
                <w:szCs w:val="18"/>
                <w:lang w:val="en-US"/>
              </w:rPr>
              <w:t>Agriculture and Livestock</w:t>
            </w:r>
          </w:p>
          <w:p w14:paraId="3DCAEB1B" w14:textId="77777777" w:rsidR="00A90966" w:rsidRPr="003F7F6C" w:rsidRDefault="00A90966" w:rsidP="002B3130">
            <w:pPr>
              <w:pStyle w:val="xmsonormal"/>
              <w:spacing w:before="0" w:beforeAutospacing="0" w:after="0" w:afterAutospacing="0"/>
              <w:jc w:val="both"/>
              <w:rPr>
                <w:rFonts w:ascii="Calibri" w:hAnsi="Calibri" w:cs="Calibri"/>
                <w:sz w:val="18"/>
                <w:szCs w:val="18"/>
                <w:lang w:val="en-US"/>
              </w:rPr>
            </w:pPr>
            <w:r w:rsidRPr="003F7F6C">
              <w:rPr>
                <w:rFonts w:ascii="Calibri" w:hAnsi="Calibri" w:cs="Calibri"/>
                <w:color w:val="000000"/>
                <w:sz w:val="18"/>
                <w:szCs w:val="18"/>
                <w:lang w:val="en-US"/>
              </w:rPr>
              <w:t>Urban expansion</w:t>
            </w:r>
          </w:p>
        </w:tc>
        <w:tc>
          <w:tcPr>
            <w:tcW w:w="1701" w:type="dxa"/>
            <w:tcBorders>
              <w:top w:val="single" w:sz="4" w:space="0" w:color="auto"/>
              <w:bottom w:val="single" w:sz="4" w:space="0" w:color="auto"/>
            </w:tcBorders>
            <w:shd w:val="clear" w:color="auto" w:fill="auto"/>
          </w:tcPr>
          <w:p w14:paraId="2CAA42C7"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r w:rsidRPr="003F7F6C">
              <w:rPr>
                <w:rFonts w:ascii="Calibri" w:hAnsi="Calibri" w:cs="Calibri"/>
                <w:sz w:val="18"/>
                <w:szCs w:val="18"/>
                <w:lang w:val="en-US"/>
              </w:rPr>
              <w:t>Producers</w:t>
            </w:r>
          </w:p>
        </w:tc>
        <w:tc>
          <w:tcPr>
            <w:tcW w:w="8080" w:type="dxa"/>
            <w:tcBorders>
              <w:top w:val="single" w:sz="4" w:space="0" w:color="auto"/>
              <w:bottom w:val="single" w:sz="4" w:space="0" w:color="auto"/>
              <w:right w:val="single" w:sz="18" w:space="0" w:color="auto"/>
            </w:tcBorders>
            <w:shd w:val="clear" w:color="auto" w:fill="auto"/>
          </w:tcPr>
          <w:p w14:paraId="1AD08936" w14:textId="77777777" w:rsidR="00A90966" w:rsidRPr="003F7F6C" w:rsidRDefault="00A90966" w:rsidP="00E91275">
            <w:pPr>
              <w:pStyle w:val="xmsonormal"/>
              <w:numPr>
                <w:ilvl w:val="0"/>
                <w:numId w:val="35"/>
              </w:numPr>
              <w:spacing w:before="0" w:beforeAutospacing="0" w:after="0" w:afterAutospacing="0"/>
              <w:ind w:left="291" w:hanging="283"/>
              <w:jc w:val="both"/>
              <w:rPr>
                <w:rFonts w:ascii="Calibri" w:hAnsi="Calibri" w:cs="Calibri"/>
                <w:color w:val="000000"/>
                <w:sz w:val="18"/>
                <w:szCs w:val="18"/>
                <w:lang w:val="en-US"/>
              </w:rPr>
            </w:pPr>
            <w:r w:rsidRPr="003F7F6C">
              <w:rPr>
                <w:rFonts w:ascii="Calibri" w:hAnsi="Calibri" w:cs="Calibri"/>
                <w:color w:val="000000"/>
                <w:sz w:val="18"/>
                <w:szCs w:val="18"/>
                <w:lang w:val="en-US"/>
              </w:rPr>
              <w:t xml:space="preserve">Soil conservation and management in piedmont transition areas between oasis and dryland </w:t>
            </w:r>
          </w:p>
          <w:p w14:paraId="4D2CA9F1" w14:textId="77777777" w:rsidR="00A90966" w:rsidRPr="003F7F6C" w:rsidRDefault="00A90966" w:rsidP="00E91275">
            <w:pPr>
              <w:pStyle w:val="xmsonormal"/>
              <w:numPr>
                <w:ilvl w:val="0"/>
                <w:numId w:val="35"/>
              </w:numPr>
              <w:spacing w:before="0" w:beforeAutospacing="0" w:after="0" w:afterAutospacing="0"/>
              <w:ind w:left="291" w:hanging="283"/>
              <w:jc w:val="both"/>
              <w:rPr>
                <w:rFonts w:ascii="Calibri" w:hAnsi="Calibri" w:cs="Calibri"/>
                <w:color w:val="000000"/>
                <w:sz w:val="18"/>
                <w:szCs w:val="18"/>
                <w:lang w:val="en-US"/>
              </w:rPr>
            </w:pPr>
            <w:r w:rsidRPr="003F7F6C">
              <w:rPr>
                <w:rFonts w:ascii="Calibri" w:hAnsi="Calibri" w:cs="Calibri"/>
                <w:color w:val="000000"/>
                <w:sz w:val="18"/>
                <w:szCs w:val="18"/>
                <w:lang w:val="en-US"/>
              </w:rPr>
              <w:t>BD connectivity from agroecosystem to landscape levels</w:t>
            </w:r>
          </w:p>
        </w:tc>
      </w:tr>
      <w:tr w:rsidR="00A90966" w:rsidRPr="003F7F6C" w14:paraId="22BCA86E" w14:textId="77777777" w:rsidTr="002B3130">
        <w:trPr>
          <w:cantSplit/>
          <w:trHeight w:val="1134"/>
        </w:trPr>
        <w:tc>
          <w:tcPr>
            <w:tcW w:w="850" w:type="dxa"/>
            <w:vMerge/>
            <w:tcBorders>
              <w:left w:val="single" w:sz="18" w:space="0" w:color="auto"/>
              <w:bottom w:val="single" w:sz="18" w:space="0" w:color="auto"/>
            </w:tcBorders>
            <w:shd w:val="clear" w:color="auto" w:fill="auto"/>
            <w:textDirection w:val="btLr"/>
          </w:tcPr>
          <w:p w14:paraId="6B001BFE" w14:textId="77777777" w:rsidR="00A90966" w:rsidRPr="003F7F6C" w:rsidRDefault="00A90966" w:rsidP="002B3130">
            <w:pPr>
              <w:pStyle w:val="xmsonormal"/>
              <w:spacing w:before="0" w:beforeAutospacing="0" w:after="0" w:afterAutospacing="0"/>
              <w:ind w:left="113" w:right="113"/>
              <w:jc w:val="center"/>
              <w:rPr>
                <w:rFonts w:ascii="Calibri" w:hAnsi="Calibri" w:cs="Calibri"/>
                <w:color w:val="000000"/>
                <w:sz w:val="18"/>
                <w:szCs w:val="18"/>
                <w:lang w:val="en-US"/>
              </w:rPr>
            </w:pPr>
          </w:p>
        </w:tc>
        <w:tc>
          <w:tcPr>
            <w:tcW w:w="1410" w:type="dxa"/>
            <w:tcBorders>
              <w:bottom w:val="single" w:sz="18" w:space="0" w:color="auto"/>
            </w:tcBorders>
            <w:shd w:val="clear" w:color="auto" w:fill="auto"/>
          </w:tcPr>
          <w:p w14:paraId="7E3EE205" w14:textId="77777777" w:rsidR="00A90966" w:rsidRPr="003F7F6C" w:rsidRDefault="00A90966" w:rsidP="002B3130">
            <w:pPr>
              <w:pStyle w:val="xmsonormal"/>
              <w:spacing w:before="0" w:beforeAutospacing="0" w:after="0" w:afterAutospacing="0"/>
              <w:jc w:val="both"/>
              <w:rPr>
                <w:rFonts w:ascii="Calibri" w:hAnsi="Calibri" w:cs="Calibri"/>
                <w:color w:val="FF0000"/>
                <w:sz w:val="18"/>
                <w:szCs w:val="18"/>
                <w:lang w:val="en-US"/>
              </w:rPr>
            </w:pPr>
            <w:r w:rsidRPr="003F7F6C">
              <w:rPr>
                <w:rFonts w:ascii="Calibri" w:hAnsi="Calibri" w:cs="Calibri"/>
                <w:color w:val="000000"/>
                <w:sz w:val="18"/>
                <w:szCs w:val="18"/>
                <w:lang w:val="en-US"/>
              </w:rPr>
              <w:t>Malargüe</w:t>
            </w:r>
          </w:p>
        </w:tc>
        <w:tc>
          <w:tcPr>
            <w:tcW w:w="1279" w:type="dxa"/>
            <w:tcBorders>
              <w:bottom w:val="single" w:sz="18" w:space="0" w:color="auto"/>
            </w:tcBorders>
            <w:shd w:val="clear" w:color="auto" w:fill="auto"/>
          </w:tcPr>
          <w:p w14:paraId="4D71D8AB"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r w:rsidRPr="003F7F6C">
              <w:rPr>
                <w:rFonts w:ascii="Calibri" w:hAnsi="Calibri" w:cs="Calibri"/>
                <w:color w:val="000000"/>
                <w:sz w:val="18"/>
                <w:szCs w:val="18"/>
                <w:lang w:val="en-US"/>
              </w:rPr>
              <w:t>Agriculture and Livestock</w:t>
            </w:r>
          </w:p>
          <w:p w14:paraId="239205E5" w14:textId="77777777" w:rsidR="00A90966" w:rsidRPr="003F7F6C" w:rsidRDefault="00A90966" w:rsidP="002B3130">
            <w:pPr>
              <w:pStyle w:val="xmsonormal"/>
              <w:spacing w:before="0" w:beforeAutospacing="0" w:after="0" w:afterAutospacing="0"/>
              <w:jc w:val="both"/>
              <w:rPr>
                <w:rFonts w:ascii="Calibri" w:hAnsi="Calibri" w:cs="Calibri"/>
                <w:sz w:val="18"/>
                <w:szCs w:val="18"/>
                <w:lang w:val="en-US"/>
              </w:rPr>
            </w:pPr>
          </w:p>
        </w:tc>
        <w:tc>
          <w:tcPr>
            <w:tcW w:w="1701" w:type="dxa"/>
            <w:tcBorders>
              <w:top w:val="single" w:sz="4" w:space="0" w:color="auto"/>
              <w:bottom w:val="single" w:sz="18" w:space="0" w:color="auto"/>
            </w:tcBorders>
            <w:shd w:val="clear" w:color="auto" w:fill="auto"/>
          </w:tcPr>
          <w:p w14:paraId="33F8D9A4"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r w:rsidRPr="003F7F6C">
              <w:rPr>
                <w:rFonts w:ascii="Calibri" w:hAnsi="Calibri" w:cs="Calibri"/>
                <w:color w:val="000000"/>
                <w:sz w:val="18"/>
                <w:szCs w:val="18"/>
                <w:lang w:val="en-US"/>
              </w:rPr>
              <w:t>Producers</w:t>
            </w:r>
          </w:p>
          <w:p w14:paraId="6CC22BF0"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r w:rsidRPr="003F7F6C">
              <w:rPr>
                <w:rFonts w:ascii="Calibri" w:hAnsi="Calibri" w:cs="Calibri"/>
                <w:color w:val="000000"/>
                <w:sz w:val="18"/>
                <w:szCs w:val="18"/>
                <w:lang w:val="en-US"/>
              </w:rPr>
              <w:t>Communities</w:t>
            </w:r>
          </w:p>
          <w:p w14:paraId="701C7B57" w14:textId="77777777" w:rsidR="00A90966" w:rsidRPr="003F7F6C" w:rsidRDefault="00A90966" w:rsidP="002B3130">
            <w:pPr>
              <w:pStyle w:val="xmsonormal"/>
              <w:spacing w:before="0" w:beforeAutospacing="0" w:after="0" w:afterAutospacing="0"/>
              <w:jc w:val="both"/>
              <w:rPr>
                <w:rFonts w:ascii="Calibri" w:hAnsi="Calibri" w:cs="Calibri"/>
                <w:color w:val="000000"/>
                <w:sz w:val="18"/>
                <w:szCs w:val="18"/>
                <w:lang w:val="en-US"/>
              </w:rPr>
            </w:pPr>
            <w:r w:rsidRPr="003F7F6C">
              <w:rPr>
                <w:rFonts w:ascii="Calibri" w:hAnsi="Calibri" w:cs="Calibri"/>
                <w:color w:val="000000"/>
                <w:sz w:val="18"/>
                <w:szCs w:val="18"/>
                <w:lang w:val="en-US"/>
              </w:rPr>
              <w:t>(including indigenous communities)</w:t>
            </w:r>
          </w:p>
        </w:tc>
        <w:tc>
          <w:tcPr>
            <w:tcW w:w="8080" w:type="dxa"/>
            <w:tcBorders>
              <w:top w:val="single" w:sz="4" w:space="0" w:color="auto"/>
              <w:bottom w:val="single" w:sz="18" w:space="0" w:color="auto"/>
              <w:right w:val="single" w:sz="18" w:space="0" w:color="auto"/>
            </w:tcBorders>
            <w:shd w:val="clear" w:color="auto" w:fill="auto"/>
          </w:tcPr>
          <w:p w14:paraId="0FB49AD7" w14:textId="77777777" w:rsidR="00A90966" w:rsidRPr="003F7F6C" w:rsidRDefault="00A90966" w:rsidP="00E91275">
            <w:pPr>
              <w:pStyle w:val="xmsonormal"/>
              <w:numPr>
                <w:ilvl w:val="0"/>
                <w:numId w:val="35"/>
              </w:numPr>
              <w:spacing w:before="0" w:beforeAutospacing="0" w:after="0" w:afterAutospacing="0"/>
              <w:ind w:left="291" w:hanging="283"/>
              <w:jc w:val="both"/>
              <w:rPr>
                <w:rFonts w:ascii="Calibri" w:hAnsi="Calibri" w:cs="Calibri"/>
                <w:color w:val="000000"/>
                <w:sz w:val="18"/>
                <w:szCs w:val="18"/>
                <w:lang w:val="en-US"/>
              </w:rPr>
            </w:pPr>
            <w:r w:rsidRPr="003F7F6C">
              <w:rPr>
                <w:rFonts w:ascii="Calibri" w:hAnsi="Calibri" w:cs="Calibri"/>
                <w:color w:val="000000"/>
                <w:sz w:val="18"/>
                <w:szCs w:val="18"/>
                <w:lang w:val="en-US"/>
              </w:rPr>
              <w:t>Reconversion of traditional migratory goat production for ecosystem conservation through sustainable intensification models: infrastructure to manage herds (e.g.</w:t>
            </w:r>
            <w:r w:rsidR="00D43408" w:rsidRPr="003F7F6C">
              <w:rPr>
                <w:rFonts w:ascii="Calibri" w:hAnsi="Calibri" w:cs="Calibri"/>
                <w:color w:val="000000"/>
                <w:sz w:val="18"/>
                <w:szCs w:val="18"/>
                <w:lang w:val="en-US"/>
              </w:rPr>
              <w:t>,</w:t>
            </w:r>
            <w:r w:rsidRPr="003F7F6C">
              <w:rPr>
                <w:rFonts w:ascii="Calibri" w:hAnsi="Calibri" w:cs="Calibri"/>
                <w:color w:val="000000"/>
                <w:sz w:val="18"/>
                <w:szCs w:val="18"/>
                <w:lang w:val="en-US"/>
              </w:rPr>
              <w:t xml:space="preserve"> corrals, paddocks); cultivation of irrigated pasture areas to reduce herd stocks in higher areas; grazing management; herd management to increase productivity</w:t>
            </w:r>
          </w:p>
          <w:p w14:paraId="1EA4E2AE" w14:textId="77777777" w:rsidR="00A90966" w:rsidRPr="003F7F6C" w:rsidRDefault="00A90966" w:rsidP="00E91275">
            <w:pPr>
              <w:pStyle w:val="xmsonormal"/>
              <w:numPr>
                <w:ilvl w:val="0"/>
                <w:numId w:val="35"/>
              </w:numPr>
              <w:spacing w:before="0" w:beforeAutospacing="0" w:after="0" w:afterAutospacing="0"/>
              <w:ind w:left="291" w:hanging="283"/>
              <w:jc w:val="both"/>
              <w:rPr>
                <w:rFonts w:ascii="Calibri" w:hAnsi="Calibri" w:cs="Calibri"/>
                <w:color w:val="000000"/>
                <w:sz w:val="18"/>
                <w:szCs w:val="18"/>
                <w:lang w:val="en-US"/>
              </w:rPr>
            </w:pPr>
            <w:r w:rsidRPr="003F7F6C">
              <w:rPr>
                <w:rFonts w:ascii="Calibri" w:hAnsi="Calibri" w:cs="Calibri"/>
                <w:color w:val="000000"/>
                <w:sz w:val="18"/>
                <w:szCs w:val="18"/>
                <w:lang w:val="en-US"/>
              </w:rPr>
              <w:t>Establish guidelines for sustainable use of wetlands: adjust herd stock density</w:t>
            </w:r>
          </w:p>
          <w:p w14:paraId="3698E602" w14:textId="77777777" w:rsidR="00A90966" w:rsidRPr="003F7F6C" w:rsidRDefault="00A90966" w:rsidP="00E91275">
            <w:pPr>
              <w:pStyle w:val="xmsonormal"/>
              <w:numPr>
                <w:ilvl w:val="0"/>
                <w:numId w:val="35"/>
              </w:numPr>
              <w:spacing w:before="0" w:beforeAutospacing="0" w:after="0" w:afterAutospacing="0"/>
              <w:ind w:left="291" w:hanging="283"/>
              <w:jc w:val="both"/>
              <w:rPr>
                <w:rFonts w:ascii="Calibri" w:hAnsi="Calibri" w:cs="Calibri"/>
                <w:color w:val="000000"/>
                <w:sz w:val="18"/>
                <w:szCs w:val="18"/>
                <w:lang w:val="en-US"/>
              </w:rPr>
            </w:pPr>
            <w:r w:rsidRPr="003F7F6C">
              <w:rPr>
                <w:rFonts w:ascii="Calibri" w:hAnsi="Calibri" w:cs="Calibri"/>
                <w:color w:val="000000"/>
                <w:sz w:val="18"/>
                <w:szCs w:val="18"/>
                <w:lang w:val="en-US"/>
              </w:rPr>
              <w:t>Afforestation and reforestation with communities in buffer areas of alluvial</w:t>
            </w:r>
            <w:r w:rsidR="00CB75B8" w:rsidRPr="003F7F6C">
              <w:rPr>
                <w:rFonts w:ascii="Calibri" w:hAnsi="Calibri" w:cs="Calibri"/>
                <w:color w:val="000000"/>
                <w:sz w:val="18"/>
                <w:szCs w:val="18"/>
                <w:lang w:val="en-US"/>
              </w:rPr>
              <w:t xml:space="preserve"> fan</w:t>
            </w:r>
            <w:r w:rsidRPr="003F7F6C">
              <w:rPr>
                <w:rFonts w:ascii="Calibri" w:hAnsi="Calibri" w:cs="Calibri"/>
                <w:color w:val="000000"/>
                <w:sz w:val="18"/>
                <w:szCs w:val="18"/>
                <w:lang w:val="en-US"/>
              </w:rPr>
              <w:t xml:space="preserve"> hazard</w:t>
            </w:r>
          </w:p>
        </w:tc>
      </w:tr>
    </w:tbl>
    <w:p w14:paraId="3A96454D" w14:textId="77777777" w:rsidR="00A90966" w:rsidRPr="003F7F6C" w:rsidRDefault="00A90966" w:rsidP="00E6764E">
      <w:pPr>
        <w:pStyle w:val="ListParagraph"/>
        <w:tabs>
          <w:tab w:val="left" w:pos="426"/>
        </w:tabs>
        <w:spacing w:after="240"/>
        <w:ind w:left="0"/>
        <w:contextualSpacing w:val="0"/>
        <w:rPr>
          <w:rFonts w:eastAsia="Times New Roman"/>
          <w:color w:val="000000"/>
          <w:szCs w:val="20"/>
          <w:lang w:eastAsia="es-AR"/>
        </w:rPr>
      </w:pPr>
    </w:p>
    <w:p w14:paraId="31ED5D6F" w14:textId="77777777" w:rsidR="00EC6C81" w:rsidRPr="003F7F6C" w:rsidRDefault="00EC6C81" w:rsidP="00185D9B">
      <w:pPr>
        <w:pStyle w:val="ListParagraph"/>
        <w:tabs>
          <w:tab w:val="left" w:pos="284"/>
          <w:tab w:val="left" w:pos="426"/>
        </w:tabs>
        <w:spacing w:after="240"/>
        <w:ind w:left="0"/>
        <w:contextualSpacing w:val="0"/>
        <w:rPr>
          <w:rFonts w:eastAsia="Times New Roman" w:cs="Calibri"/>
          <w:szCs w:val="20"/>
          <w:lang w:eastAsia="es-ES_tradnl"/>
        </w:rPr>
        <w:sectPr w:rsidR="00EC6C81" w:rsidRPr="003F7F6C" w:rsidSect="00EC6C81">
          <w:pgSz w:w="15840" w:h="12240" w:orient="landscape" w:code="1"/>
          <w:pgMar w:top="1440" w:right="1440" w:bottom="1440" w:left="1440" w:header="720" w:footer="431" w:gutter="0"/>
          <w:cols w:space="708"/>
          <w:titlePg/>
          <w:docGrid w:linePitch="360"/>
        </w:sectPr>
      </w:pPr>
    </w:p>
    <w:p w14:paraId="7A264995" w14:textId="77777777" w:rsidR="006D5ACA" w:rsidRPr="003F7F6C" w:rsidRDefault="006D5ACA" w:rsidP="00185D9B">
      <w:pPr>
        <w:pStyle w:val="ListParagraph"/>
        <w:tabs>
          <w:tab w:val="left" w:pos="284"/>
          <w:tab w:val="left" w:pos="426"/>
        </w:tabs>
        <w:spacing w:after="240"/>
        <w:ind w:left="0"/>
        <w:contextualSpacing w:val="0"/>
        <w:rPr>
          <w:rFonts w:eastAsia="Times New Roman" w:cs="Calibri"/>
          <w:szCs w:val="20"/>
          <w:lang w:eastAsia="es-ES_tradnl"/>
        </w:rPr>
      </w:pPr>
    </w:p>
    <w:p w14:paraId="29E1C64D" w14:textId="77777777" w:rsidR="00762BD2" w:rsidRPr="003F7F6C" w:rsidRDefault="00A52B68" w:rsidP="00762BD2">
      <w:pPr>
        <w:pStyle w:val="ListParagraph"/>
        <w:tabs>
          <w:tab w:val="left" w:pos="426"/>
        </w:tabs>
        <w:spacing w:after="240"/>
        <w:ind w:left="0"/>
        <w:contextualSpacing w:val="0"/>
        <w:rPr>
          <w:rFonts w:cs="Calibri"/>
          <w:bCs/>
          <w:szCs w:val="20"/>
        </w:rPr>
      </w:pPr>
      <w:r w:rsidRPr="003F7F6C">
        <w:rPr>
          <w:rFonts w:eastAsia="Times New Roman" w:cs="Calibri"/>
          <w:b/>
          <w:szCs w:val="20"/>
          <w:lang w:eastAsia="es-ES_tradnl"/>
        </w:rPr>
        <w:t>Outcome 3: Replicability framework for ELUP uptake in all Argentine provinces</w:t>
      </w:r>
    </w:p>
    <w:p w14:paraId="55814479" w14:textId="3488B880" w:rsidR="00762BD2" w:rsidRPr="003F7F6C" w:rsidRDefault="00A52B68" w:rsidP="00762BD2">
      <w:pPr>
        <w:pStyle w:val="ListParagraph"/>
        <w:tabs>
          <w:tab w:val="left" w:pos="426"/>
        </w:tabs>
        <w:spacing w:after="240"/>
        <w:ind w:left="0"/>
        <w:contextualSpacing w:val="0"/>
        <w:rPr>
          <w:rFonts w:cs="Calibri"/>
          <w:bCs/>
          <w:szCs w:val="20"/>
        </w:rPr>
      </w:pPr>
      <w:r w:rsidRPr="003F7F6C">
        <w:rPr>
          <w:rFonts w:eastAsia="Times New Roman" w:cs="Calibri"/>
          <w:i/>
          <w:szCs w:val="20"/>
          <w:lang w:eastAsia="es-ES_tradnl"/>
        </w:rPr>
        <w:t xml:space="preserve">Output 3.1 </w:t>
      </w:r>
      <w:r w:rsidRPr="003F7F6C">
        <w:rPr>
          <w:rFonts w:eastAsia="Times New Roman" w:cs="Calibri"/>
          <w:bCs/>
          <w:i/>
          <w:szCs w:val="20"/>
          <w:lang w:eastAsia="es-ES_tradnl"/>
        </w:rPr>
        <w:t xml:space="preserve">Nationwide ELUP experiences and related instruments evaluated </w:t>
      </w:r>
      <w:r w:rsidRPr="003F7F6C">
        <w:rPr>
          <w:rFonts w:eastAsia="Times New Roman" w:cs="Calibri"/>
          <w:i/>
          <w:szCs w:val="20"/>
          <w:lang w:eastAsia="es-ES_tradnl"/>
        </w:rPr>
        <w:t xml:space="preserve">as an input to determine the best mix of instruments for different </w:t>
      </w:r>
      <w:r w:rsidR="009C53FC" w:rsidRPr="003F7F6C">
        <w:rPr>
          <w:rFonts w:eastAsia="Times New Roman" w:cs="Calibri"/>
          <w:i/>
          <w:szCs w:val="20"/>
          <w:lang w:eastAsia="es-ES_tradnl"/>
        </w:rPr>
        <w:t>productive sectors</w:t>
      </w:r>
      <w:r w:rsidRPr="003F7F6C">
        <w:rPr>
          <w:rFonts w:eastAsia="Times New Roman" w:cs="Calibri"/>
          <w:i/>
          <w:szCs w:val="20"/>
          <w:lang w:eastAsia="es-ES_tradnl"/>
        </w:rPr>
        <w:t xml:space="preserve"> and ecoregion</w:t>
      </w:r>
      <w:r w:rsidR="00300C9D" w:rsidRPr="003F7F6C">
        <w:rPr>
          <w:rFonts w:eastAsia="Times New Roman" w:cs="Calibri"/>
          <w:i/>
          <w:szCs w:val="20"/>
          <w:lang w:eastAsia="es-ES_tradnl"/>
        </w:rPr>
        <w:t>s</w:t>
      </w:r>
    </w:p>
    <w:p w14:paraId="5B2CC141" w14:textId="77777777" w:rsidR="00762BD2" w:rsidRPr="003F7F6C" w:rsidRDefault="00A52B68" w:rsidP="00E91275">
      <w:pPr>
        <w:pStyle w:val="ListParagraph"/>
        <w:numPr>
          <w:ilvl w:val="0"/>
          <w:numId w:val="28"/>
        </w:numPr>
        <w:tabs>
          <w:tab w:val="left" w:pos="426"/>
        </w:tabs>
        <w:spacing w:after="240"/>
        <w:ind w:left="0" w:firstLine="0"/>
        <w:contextualSpacing w:val="0"/>
        <w:rPr>
          <w:rFonts w:cs="Calibri"/>
          <w:bCs/>
          <w:szCs w:val="20"/>
        </w:rPr>
      </w:pPr>
      <w:r w:rsidRPr="003F7F6C">
        <w:rPr>
          <w:rFonts w:eastAsia="Times New Roman" w:cs="Calibri"/>
          <w:szCs w:val="20"/>
          <w:lang w:eastAsia="es-ES_tradnl"/>
        </w:rPr>
        <w:t>To optimize the development of the ELUP process and increase the uptake across the country this output will support a broader analysis of experiences throughout the country. The project will support the SGAyDS in defining an optimal mix of instruments to implement land use zoning and related requirements for sector production. This will include ex-ante and ex-post assessments of project</w:t>
      </w:r>
      <w:r w:rsidR="008318AB" w:rsidRPr="003F7F6C">
        <w:rPr>
          <w:rFonts w:eastAsia="Times New Roman" w:cs="Calibri"/>
          <w:szCs w:val="20"/>
          <w:lang w:eastAsia="es-ES_tradnl"/>
        </w:rPr>
        <w:t>s</w:t>
      </w:r>
      <w:r w:rsidRPr="003F7F6C">
        <w:rPr>
          <w:rFonts w:eastAsia="Times New Roman" w:cs="Calibri"/>
          <w:szCs w:val="20"/>
          <w:lang w:eastAsia="es-ES_tradnl"/>
        </w:rPr>
        <w:t xml:space="preserve"> and programs in non-pilot provinces that have applied ELUP and related instruments or innovative instruments for addressing the various causes of environmental degradation. In PY1 and PY2 the project will work with the SGAyDS in assessing projects and programs</w:t>
      </w:r>
      <w:r w:rsidR="007D3413" w:rsidRPr="003F7F6C">
        <w:rPr>
          <w:rFonts w:eastAsia="Times New Roman" w:cs="Calibri"/>
          <w:szCs w:val="20"/>
          <w:lang w:eastAsia="es-ES_tradnl"/>
        </w:rPr>
        <w:t>.</w:t>
      </w:r>
    </w:p>
    <w:p w14:paraId="5EFEB8A6" w14:textId="51975FB0" w:rsidR="00762BD2" w:rsidRPr="003F7F6C" w:rsidRDefault="00A52B68" w:rsidP="00E91275">
      <w:pPr>
        <w:pStyle w:val="ListParagraph"/>
        <w:numPr>
          <w:ilvl w:val="0"/>
          <w:numId w:val="28"/>
        </w:numPr>
        <w:tabs>
          <w:tab w:val="left" w:pos="426"/>
        </w:tabs>
        <w:spacing w:after="240"/>
        <w:ind w:left="0" w:firstLine="0"/>
        <w:contextualSpacing w:val="0"/>
        <w:rPr>
          <w:rFonts w:cs="Calibri"/>
          <w:bCs/>
          <w:szCs w:val="20"/>
        </w:rPr>
      </w:pPr>
      <w:r w:rsidRPr="003F7F6C">
        <w:rPr>
          <w:rFonts w:cs="Calibri"/>
          <w:bCs/>
          <w:szCs w:val="20"/>
        </w:rPr>
        <w:t>The assessment will take into account</w:t>
      </w:r>
      <w:r w:rsidRPr="003F7F6C">
        <w:rPr>
          <w:rFonts w:eastAsia="Times New Roman" w:cs="Calibri"/>
          <w:szCs w:val="20"/>
          <w:lang w:eastAsia="es-ES_tradnl"/>
        </w:rPr>
        <w:t xml:space="preserve"> relevant projects </w:t>
      </w:r>
      <w:r w:rsidR="008318AB" w:rsidRPr="003F7F6C">
        <w:rPr>
          <w:rFonts w:eastAsia="Times New Roman" w:cs="Calibri"/>
          <w:szCs w:val="20"/>
          <w:lang w:eastAsia="es-ES_tradnl"/>
        </w:rPr>
        <w:t xml:space="preserve">that have been </w:t>
      </w:r>
      <w:r w:rsidRPr="003F7F6C">
        <w:rPr>
          <w:rFonts w:eastAsia="Times New Roman" w:cs="Calibri"/>
          <w:szCs w:val="20"/>
          <w:lang w:eastAsia="es-ES_tradnl"/>
        </w:rPr>
        <w:t xml:space="preserve">recently completed or </w:t>
      </w:r>
      <w:r w:rsidR="008318AB" w:rsidRPr="003F7F6C">
        <w:rPr>
          <w:rFonts w:eastAsia="Times New Roman" w:cs="Calibri"/>
          <w:szCs w:val="20"/>
          <w:lang w:eastAsia="es-ES_tradnl"/>
        </w:rPr>
        <w:t xml:space="preserve">are </w:t>
      </w:r>
      <w:r w:rsidRPr="003F7F6C">
        <w:rPr>
          <w:rFonts w:eastAsia="Times New Roman" w:cs="Calibri"/>
          <w:szCs w:val="20"/>
          <w:lang w:eastAsia="es-ES_tradnl"/>
        </w:rPr>
        <w:t>nearing completion including "Restoration and Control of Factors leading to Deterioration of Native Forests in National Parks 2010-2013"; “Incentives for the Conservation of Globally Important Ecosystem Services, 2010-201</w:t>
      </w:r>
      <w:r w:rsidR="0007591D" w:rsidRPr="003F7F6C">
        <w:rPr>
          <w:rFonts w:eastAsia="Times New Roman" w:cs="Calibri"/>
          <w:szCs w:val="20"/>
          <w:lang w:eastAsia="es-ES_tradnl"/>
        </w:rPr>
        <w:t>8</w:t>
      </w:r>
      <w:r w:rsidRPr="003F7F6C">
        <w:rPr>
          <w:rFonts w:eastAsia="Times New Roman" w:cs="Calibri"/>
          <w:szCs w:val="20"/>
          <w:lang w:eastAsia="es-ES_tradnl"/>
        </w:rPr>
        <w:t xml:space="preserve">; “Sustainable </w:t>
      </w:r>
      <w:r w:rsidR="007B4429" w:rsidRPr="003F7F6C">
        <w:rPr>
          <w:rFonts w:eastAsia="Times New Roman" w:cs="Calibri"/>
          <w:szCs w:val="20"/>
          <w:lang w:eastAsia="es-ES_tradnl"/>
        </w:rPr>
        <w:t>Forest Management in the Trans-</w:t>
      </w:r>
      <w:r w:rsidRPr="003F7F6C">
        <w:rPr>
          <w:rFonts w:eastAsia="Times New Roman" w:cs="Calibri"/>
          <w:szCs w:val="20"/>
          <w:lang w:eastAsia="es-ES_tradnl"/>
        </w:rPr>
        <w:t xml:space="preserve">border Ecosystem of the Gran Chaco Americano, 2010-2015”, “Support to the Implementation of the National Programme on Native Forest Protection, 2012-2017; “Conservation of Native Forests at landscape level and social and environmental inter-relationships in the San Luis centre-area hills 2015; “Rural Corridors and Biodiversity” and “Native Forests and the Community” that started up in 2015; "Increasing Climate Resilience and Improving Sustainable Land Management in Buenos Aires Province, 2011-2016; Land Assessment in Dryland Areas – LADA- Project.  </w:t>
      </w:r>
      <w:r w:rsidR="00D52EE4" w:rsidRPr="003F7F6C">
        <w:rPr>
          <w:rFonts w:cs="Calibri"/>
          <w:bCs/>
          <w:szCs w:val="20"/>
        </w:rPr>
        <w:t xml:space="preserve">The assessment </w:t>
      </w:r>
      <w:r w:rsidRPr="003F7F6C">
        <w:rPr>
          <w:rFonts w:cs="Calibri"/>
          <w:bCs/>
          <w:szCs w:val="20"/>
        </w:rPr>
        <w:t>will also review financial flows for BD and for SLM and how these can be increased to support ELUP</w:t>
      </w:r>
      <w:r w:rsidR="00FB7250" w:rsidRPr="003F7F6C">
        <w:rPr>
          <w:rFonts w:cs="Calibri"/>
          <w:bCs/>
          <w:szCs w:val="20"/>
        </w:rPr>
        <w:t xml:space="preserve"> </w:t>
      </w:r>
      <w:r w:rsidR="00FB7250" w:rsidRPr="003F7F6C">
        <w:rPr>
          <w:rFonts w:asciiTheme="minorHAnsi" w:hAnsiTheme="minorHAnsi" w:cstheme="minorHAnsi"/>
          <w:color w:val="000000"/>
        </w:rPr>
        <w:t xml:space="preserve">as well as the </w:t>
      </w:r>
      <w:r w:rsidR="00FB7250" w:rsidRPr="003F7F6C">
        <w:rPr>
          <w:rFonts w:asciiTheme="minorHAnsi" w:eastAsia="Times New Roman" w:hAnsiTheme="minorHAnsi" w:cstheme="minorHAnsi"/>
          <w:lang w:eastAsia="es-EC"/>
        </w:rPr>
        <w:t>knowledge generated by these initiatives in regards to climate change.</w:t>
      </w:r>
      <w:r w:rsidR="00FB7250" w:rsidRPr="003F7F6C">
        <w:rPr>
          <w:rFonts w:cs="Calibri"/>
          <w:bCs/>
          <w:szCs w:val="20"/>
        </w:rPr>
        <w:t xml:space="preserve"> </w:t>
      </w:r>
      <w:r w:rsidRPr="003F7F6C">
        <w:rPr>
          <w:rFonts w:eastAsia="Times New Roman" w:cs="Calibri"/>
          <w:szCs w:val="20"/>
          <w:lang w:eastAsia="es-ES_tradnl"/>
        </w:rPr>
        <w:t>The findings will be evaluated and systematized according to efficiencies and outcomes, lessons learnt for eco-regional, social and typology-based land use/land use systems. They will be used as inputs to federal level regulations (Output 1.2), to the capacity building program (Output 3.2) and to the methodological guides for ELUP (Output 3.3).</w:t>
      </w:r>
    </w:p>
    <w:p w14:paraId="6CFE9091" w14:textId="77777777" w:rsidR="00762BD2" w:rsidRPr="003F7F6C" w:rsidRDefault="00762BD2" w:rsidP="00762BD2">
      <w:pPr>
        <w:pStyle w:val="ListParagraph"/>
        <w:tabs>
          <w:tab w:val="left" w:pos="426"/>
        </w:tabs>
        <w:spacing w:after="240"/>
        <w:ind w:left="0"/>
        <w:contextualSpacing w:val="0"/>
        <w:rPr>
          <w:rFonts w:eastAsia="Times New Roman" w:cs="Calibri"/>
          <w:i/>
          <w:szCs w:val="20"/>
          <w:lang w:eastAsia="es-ES_tradnl"/>
        </w:rPr>
      </w:pPr>
    </w:p>
    <w:p w14:paraId="7CFD09D3" w14:textId="77777777" w:rsidR="00762BD2" w:rsidRPr="003F7F6C" w:rsidRDefault="00A52B68" w:rsidP="00762BD2">
      <w:pPr>
        <w:pStyle w:val="ListParagraph"/>
        <w:tabs>
          <w:tab w:val="left" w:pos="426"/>
        </w:tabs>
        <w:spacing w:after="240"/>
        <w:ind w:left="0"/>
        <w:contextualSpacing w:val="0"/>
        <w:rPr>
          <w:rFonts w:cs="Calibri"/>
          <w:bCs/>
          <w:szCs w:val="20"/>
        </w:rPr>
      </w:pPr>
      <w:r w:rsidRPr="003F7F6C">
        <w:rPr>
          <w:rFonts w:eastAsia="Times New Roman" w:cs="Calibri"/>
          <w:i/>
          <w:szCs w:val="20"/>
          <w:lang w:eastAsia="es-ES_tradnl"/>
        </w:rPr>
        <w:t xml:space="preserve">Output 3.2. </w:t>
      </w:r>
      <w:r w:rsidRPr="003F7F6C">
        <w:rPr>
          <w:rFonts w:eastAsia="Times New Roman" w:cs="Calibri"/>
          <w:bCs/>
          <w:i/>
          <w:szCs w:val="20"/>
          <w:lang w:eastAsia="es-ES_tradnl"/>
        </w:rPr>
        <w:t>Nationwide ELUP Capacity Strengthening Program for</w:t>
      </w:r>
      <w:r w:rsidR="002945DB" w:rsidRPr="003F7F6C">
        <w:rPr>
          <w:rFonts w:eastAsia="Times New Roman" w:cs="Calibri"/>
          <w:bCs/>
          <w:i/>
          <w:szCs w:val="20"/>
          <w:lang w:eastAsia="es-ES_tradnl"/>
        </w:rPr>
        <w:t xml:space="preserve"> all</w:t>
      </w:r>
      <w:r w:rsidRPr="003F7F6C">
        <w:rPr>
          <w:rFonts w:eastAsia="Times New Roman" w:cs="Calibri"/>
          <w:bCs/>
          <w:i/>
          <w:szCs w:val="20"/>
          <w:lang w:eastAsia="es-ES_tradnl"/>
        </w:rPr>
        <w:t xml:space="preserve"> Provincial Authorities </w:t>
      </w:r>
    </w:p>
    <w:p w14:paraId="126EED4C" w14:textId="77777777" w:rsidR="00762BD2" w:rsidRPr="003F7F6C" w:rsidRDefault="00A52B68" w:rsidP="00E91275">
      <w:pPr>
        <w:pStyle w:val="ListParagraph"/>
        <w:numPr>
          <w:ilvl w:val="0"/>
          <w:numId w:val="28"/>
        </w:numPr>
        <w:tabs>
          <w:tab w:val="left" w:pos="426"/>
        </w:tabs>
        <w:spacing w:after="240"/>
        <w:ind w:left="0" w:firstLine="0"/>
        <w:contextualSpacing w:val="0"/>
        <w:rPr>
          <w:rFonts w:cs="Calibri"/>
          <w:bCs/>
          <w:szCs w:val="20"/>
        </w:rPr>
      </w:pPr>
      <w:r w:rsidRPr="003F7F6C">
        <w:rPr>
          <w:rFonts w:eastAsia="Times New Roman" w:cs="Calibri"/>
          <w:szCs w:val="20"/>
          <w:lang w:eastAsia="es-ES_tradnl"/>
        </w:rPr>
        <w:t xml:space="preserve">The project will undertake a twofold approach to strengthen the capacities of provincial institutions (intra and inter-provincial) to carry out ELUP.  The first approach envisages a </w:t>
      </w:r>
      <w:r w:rsidRPr="003F7F6C">
        <w:rPr>
          <w:rFonts w:cs="Calibri"/>
          <w:szCs w:val="20"/>
        </w:rPr>
        <w:t>capacity building program for non-pilot provinces. It will comprise different formats and contents, including</w:t>
      </w:r>
      <w:r w:rsidRPr="003F7F6C">
        <w:rPr>
          <w:rFonts w:eastAsia="Times New Roman" w:cs="Calibri"/>
          <w:szCs w:val="20"/>
          <w:lang w:eastAsia="es-ES_tradnl"/>
        </w:rPr>
        <w:t xml:space="preserve">: a) presenting and discussing ELUP processes, biodiversity conservation and ecosystem criteria, policies, strategies, methodologies, instruments and practices in different ecosystems; and b) exchange of lessons learned to make ELUP operational in the different pilot provinces and ecoregions, according to their ecosystem characteristics, problems, drivers, barriers, typology of social actors involved, and typology of land use and occupation. The availability of methodologies, proven in different ecoregions, on the application of economic and financial instruments to evaluate ecosystem services and their consideration in ELUP will entail a significant step forward for decision-making in various sectors and government levels.  </w:t>
      </w:r>
    </w:p>
    <w:p w14:paraId="44924A03" w14:textId="30923808" w:rsidR="00A52B68" w:rsidRPr="003F7F6C" w:rsidRDefault="00A52B68" w:rsidP="00E91275">
      <w:pPr>
        <w:pStyle w:val="ListParagraph"/>
        <w:numPr>
          <w:ilvl w:val="0"/>
          <w:numId w:val="28"/>
        </w:numPr>
        <w:tabs>
          <w:tab w:val="left" w:pos="426"/>
        </w:tabs>
        <w:spacing w:after="240"/>
        <w:ind w:left="0" w:firstLine="0"/>
        <w:contextualSpacing w:val="0"/>
        <w:rPr>
          <w:rFonts w:cs="Calibri"/>
          <w:bCs/>
          <w:szCs w:val="20"/>
        </w:rPr>
      </w:pPr>
      <w:r w:rsidRPr="003F7F6C">
        <w:rPr>
          <w:rFonts w:cs="Calibri"/>
          <w:szCs w:val="20"/>
        </w:rPr>
        <w:t xml:space="preserve">The capacity building program will be implemented between PY3 and PY6 and will target staff from the environmental authorities of non-pilot provinces, regional INTA offices, sectoral institutions, universities, NGOs and CSOs. </w:t>
      </w:r>
      <w:r w:rsidRPr="003F7F6C">
        <w:rPr>
          <w:rFonts w:eastAsia="Times New Roman" w:cs="Calibri"/>
          <w:szCs w:val="20"/>
          <w:lang w:eastAsia="es-ES_tradnl"/>
        </w:rPr>
        <w:t xml:space="preserve">Different provinces will take the protagonist roles leading sessions and </w:t>
      </w:r>
      <w:r w:rsidR="006C4B76" w:rsidRPr="003F7F6C">
        <w:rPr>
          <w:rFonts w:eastAsia="Times New Roman" w:cs="Calibri"/>
          <w:szCs w:val="20"/>
          <w:lang w:eastAsia="es-ES_tradnl"/>
        </w:rPr>
        <w:t xml:space="preserve">imparting </w:t>
      </w:r>
      <w:r w:rsidRPr="003F7F6C">
        <w:rPr>
          <w:rFonts w:eastAsia="Times New Roman" w:cs="Calibri"/>
          <w:szCs w:val="20"/>
          <w:lang w:eastAsia="es-ES_tradnl"/>
        </w:rPr>
        <w:t>know</w:t>
      </w:r>
      <w:r w:rsidR="006C4B76" w:rsidRPr="003F7F6C">
        <w:rPr>
          <w:rFonts w:eastAsia="Times New Roman" w:cs="Calibri"/>
          <w:szCs w:val="20"/>
          <w:lang w:eastAsia="es-ES_tradnl"/>
        </w:rPr>
        <w:t>-</w:t>
      </w:r>
      <w:r w:rsidRPr="003F7F6C">
        <w:rPr>
          <w:rFonts w:eastAsia="Times New Roman" w:cs="Calibri"/>
          <w:szCs w:val="20"/>
          <w:lang w:eastAsia="es-ES_tradnl"/>
        </w:rPr>
        <w:t xml:space="preserve">how according to their strengths. </w:t>
      </w:r>
      <w:r w:rsidR="006C4B76" w:rsidRPr="003F7F6C">
        <w:rPr>
          <w:rFonts w:cs="Calibri"/>
        </w:rPr>
        <w:t xml:space="preserve">The program </w:t>
      </w:r>
      <w:r w:rsidRPr="003F7F6C">
        <w:rPr>
          <w:rFonts w:cs="Calibri"/>
        </w:rPr>
        <w:t xml:space="preserve">will seek to: a) assess the training needs and demands of the different national level stakeholders and beneficiaries; b) define objectives, prioritize themes and develop materials; c) establish the methodologies for each type of capacity building activity proposed, identifying the tools to be used, which must include both theory and practice; and d) evaluation of the capacity building activities and the program itself to determine changes in knowledge, understanding and skills for ELUP. </w:t>
      </w:r>
      <w:r w:rsidRPr="003F7F6C">
        <w:rPr>
          <w:rFonts w:cs="Calibri"/>
          <w:szCs w:val="20"/>
        </w:rPr>
        <w:t>Training will be supported by communication and information materials to raise awareness about ELUP and about the economic value of ecosystem goods and services.</w:t>
      </w:r>
      <w:r w:rsidR="0012251D" w:rsidRPr="003F7F6C">
        <w:rPr>
          <w:rFonts w:cs="Calibri"/>
          <w:szCs w:val="20"/>
        </w:rPr>
        <w:t xml:space="preserve"> </w:t>
      </w:r>
      <w:r w:rsidR="00582C22" w:rsidRPr="003F7F6C">
        <w:rPr>
          <w:rFonts w:cs="Calibri"/>
          <w:szCs w:val="20"/>
        </w:rPr>
        <w:t xml:space="preserve">The project will promote dialogue with institutions </w:t>
      </w:r>
      <w:r w:rsidR="00122412" w:rsidRPr="003F7F6C">
        <w:rPr>
          <w:rFonts w:cs="Calibri"/>
          <w:szCs w:val="20"/>
        </w:rPr>
        <w:t>(e.g.</w:t>
      </w:r>
      <w:r w:rsidR="001030B5" w:rsidRPr="003F7F6C">
        <w:rPr>
          <w:rFonts w:cs="Calibri"/>
          <w:szCs w:val="20"/>
        </w:rPr>
        <w:t>,</w:t>
      </w:r>
      <w:r w:rsidR="00122412" w:rsidRPr="003F7F6C">
        <w:rPr>
          <w:rFonts w:cs="Calibri"/>
          <w:szCs w:val="20"/>
        </w:rPr>
        <w:t xml:space="preserve"> universities)</w:t>
      </w:r>
      <w:r w:rsidR="0012251D" w:rsidRPr="003F7F6C">
        <w:rPr>
          <w:rFonts w:cs="Calibri"/>
          <w:szCs w:val="20"/>
        </w:rPr>
        <w:t xml:space="preserve"> </w:t>
      </w:r>
      <w:r w:rsidR="00582C22" w:rsidRPr="003F7F6C">
        <w:rPr>
          <w:rFonts w:cs="Calibri"/>
          <w:szCs w:val="20"/>
        </w:rPr>
        <w:t>to encourage the</w:t>
      </w:r>
      <w:r w:rsidR="0012251D" w:rsidRPr="003F7F6C">
        <w:rPr>
          <w:rFonts w:cs="Calibri"/>
          <w:szCs w:val="20"/>
        </w:rPr>
        <w:t xml:space="preserve"> incorporat</w:t>
      </w:r>
      <w:r w:rsidR="00582C22" w:rsidRPr="003F7F6C">
        <w:rPr>
          <w:rFonts w:cs="Calibri"/>
          <w:szCs w:val="20"/>
        </w:rPr>
        <w:t>ion of</w:t>
      </w:r>
      <w:r w:rsidR="0012251D" w:rsidRPr="003F7F6C">
        <w:rPr>
          <w:rFonts w:cs="Calibri"/>
          <w:szCs w:val="20"/>
        </w:rPr>
        <w:t xml:space="preserve"> </w:t>
      </w:r>
      <w:r w:rsidR="00122412" w:rsidRPr="003F7F6C">
        <w:rPr>
          <w:rFonts w:cs="Calibri"/>
          <w:szCs w:val="20"/>
        </w:rPr>
        <w:t>ELUP</w:t>
      </w:r>
      <w:r w:rsidR="0012251D" w:rsidRPr="003F7F6C">
        <w:rPr>
          <w:rFonts w:cs="Calibri"/>
          <w:szCs w:val="20"/>
        </w:rPr>
        <w:t xml:space="preserve"> into the</w:t>
      </w:r>
      <w:r w:rsidR="00E7323B" w:rsidRPr="003F7F6C">
        <w:rPr>
          <w:rFonts w:cs="Calibri"/>
          <w:szCs w:val="20"/>
        </w:rPr>
        <w:t>ir</w:t>
      </w:r>
      <w:r w:rsidR="0012251D" w:rsidRPr="003F7F6C">
        <w:rPr>
          <w:rFonts w:cs="Calibri"/>
          <w:szCs w:val="20"/>
        </w:rPr>
        <w:t xml:space="preserve"> academic</w:t>
      </w:r>
      <w:r w:rsidR="00E7323B" w:rsidRPr="003F7F6C">
        <w:rPr>
          <w:rFonts w:cs="Calibri"/>
          <w:szCs w:val="20"/>
        </w:rPr>
        <w:t xml:space="preserve"> and/or training</w:t>
      </w:r>
      <w:r w:rsidR="0012251D" w:rsidRPr="003F7F6C">
        <w:rPr>
          <w:rFonts w:cs="Calibri"/>
          <w:szCs w:val="20"/>
        </w:rPr>
        <w:t xml:space="preserve"> programs</w:t>
      </w:r>
      <w:r w:rsidR="00E7323B" w:rsidRPr="003F7F6C">
        <w:rPr>
          <w:rFonts w:cs="Calibri"/>
          <w:szCs w:val="20"/>
        </w:rPr>
        <w:t xml:space="preserve"> and develop scholarship or research programs related to ELUP</w:t>
      </w:r>
      <w:r w:rsidR="0012251D" w:rsidRPr="003F7F6C">
        <w:rPr>
          <w:rFonts w:cs="Calibri"/>
          <w:szCs w:val="20"/>
        </w:rPr>
        <w:t>.</w:t>
      </w:r>
      <w:r w:rsidR="00F7475C" w:rsidRPr="003F7F6C">
        <w:rPr>
          <w:rFonts w:cs="Calibri"/>
          <w:szCs w:val="20"/>
        </w:rPr>
        <w:t xml:space="preserve"> The experiences and lessons learned by the project will </w:t>
      </w:r>
      <w:r w:rsidR="00BC1B1A" w:rsidRPr="003F7F6C">
        <w:rPr>
          <w:rFonts w:cs="Calibri"/>
          <w:szCs w:val="20"/>
        </w:rPr>
        <w:t xml:space="preserve">strengthen and enrich </w:t>
      </w:r>
      <w:r w:rsidR="003F2481" w:rsidRPr="003F7F6C">
        <w:rPr>
          <w:rFonts w:cs="Calibri"/>
          <w:szCs w:val="20"/>
        </w:rPr>
        <w:t xml:space="preserve">these </w:t>
      </w:r>
      <w:r w:rsidR="00BC1B1A" w:rsidRPr="003F7F6C">
        <w:rPr>
          <w:rFonts w:cs="Calibri"/>
          <w:szCs w:val="20"/>
        </w:rPr>
        <w:t>study programs.</w:t>
      </w:r>
      <w:r w:rsidR="0012251D" w:rsidRPr="003F7F6C">
        <w:rPr>
          <w:rFonts w:cs="Calibri"/>
          <w:szCs w:val="20"/>
        </w:rPr>
        <w:t xml:space="preserve"> </w:t>
      </w:r>
      <w:r w:rsidRPr="003F7F6C">
        <w:rPr>
          <w:rFonts w:cs="Calibri"/>
        </w:rPr>
        <w:t xml:space="preserve">Table </w:t>
      </w:r>
      <w:r w:rsidR="007B4429" w:rsidRPr="003F7F6C">
        <w:rPr>
          <w:rFonts w:cs="Calibri"/>
        </w:rPr>
        <w:t>6</w:t>
      </w:r>
      <w:r w:rsidRPr="003F7F6C">
        <w:rPr>
          <w:rFonts w:cs="Calibri"/>
        </w:rPr>
        <w:t xml:space="preserve"> below summarizes the preliminary design of the capacity building program.</w:t>
      </w:r>
      <w:r w:rsidR="0012251D" w:rsidRPr="003F7F6C">
        <w:rPr>
          <w:rFonts w:cs="Calibri"/>
        </w:rPr>
        <w:t xml:space="preserve"> </w:t>
      </w:r>
    </w:p>
    <w:p w14:paraId="4B3C8484" w14:textId="77777777" w:rsidR="0012251D" w:rsidRPr="003F7F6C" w:rsidRDefault="0012251D" w:rsidP="00E7323B">
      <w:pPr>
        <w:tabs>
          <w:tab w:val="left" w:pos="426"/>
        </w:tabs>
        <w:spacing w:after="240"/>
        <w:rPr>
          <w:rFonts w:cs="Calibri"/>
          <w:bCs/>
          <w:szCs w:val="20"/>
        </w:rPr>
      </w:pPr>
    </w:p>
    <w:p w14:paraId="3B2E20EB" w14:textId="77777777" w:rsidR="00A52B68" w:rsidRPr="003F7F6C" w:rsidRDefault="00A52B68" w:rsidP="00A52B68">
      <w:pPr>
        <w:spacing w:after="0"/>
        <w:jc w:val="left"/>
        <w:rPr>
          <w:rFonts w:eastAsia="Times New Roman" w:cs="Calibri"/>
          <w:color w:val="222222"/>
          <w:szCs w:val="20"/>
          <w:lang w:eastAsia="es-ES_tradnl"/>
        </w:rPr>
      </w:pPr>
      <w:r w:rsidRPr="003F7F6C">
        <w:rPr>
          <w:rFonts w:eastAsia="Times New Roman" w:cs="Calibri"/>
          <w:color w:val="222222"/>
          <w:szCs w:val="20"/>
          <w:lang w:eastAsia="es-ES_tradnl"/>
        </w:rPr>
        <w:t xml:space="preserve">Table </w:t>
      </w:r>
      <w:r w:rsidR="00064914" w:rsidRPr="003F7F6C">
        <w:rPr>
          <w:rFonts w:eastAsia="Times New Roman" w:cs="Calibri"/>
          <w:color w:val="222222"/>
          <w:szCs w:val="20"/>
          <w:lang w:eastAsia="es-ES_tradnl"/>
        </w:rPr>
        <w:t>5</w:t>
      </w:r>
      <w:r w:rsidR="007B4429" w:rsidRPr="003F7F6C">
        <w:rPr>
          <w:rFonts w:eastAsia="Times New Roman" w:cs="Calibri"/>
          <w:color w:val="222222"/>
          <w:szCs w:val="20"/>
          <w:lang w:eastAsia="es-ES_tradnl"/>
        </w:rPr>
        <w:t xml:space="preserve"> </w:t>
      </w:r>
      <w:r w:rsidRPr="003F7F6C">
        <w:rPr>
          <w:rFonts w:eastAsia="Times New Roman" w:cs="Calibri"/>
          <w:color w:val="222222"/>
          <w:szCs w:val="20"/>
          <w:lang w:eastAsia="es-ES_tradnl"/>
        </w:rPr>
        <w:t xml:space="preserve">– Main aspects of the capacity building program (non-pilot provinces)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3515"/>
        <w:gridCol w:w="1559"/>
        <w:gridCol w:w="1985"/>
      </w:tblGrid>
      <w:tr w:rsidR="00A52B68" w:rsidRPr="003F7F6C" w14:paraId="5F323A9D" w14:textId="77777777" w:rsidTr="002B3130">
        <w:tc>
          <w:tcPr>
            <w:tcW w:w="2405" w:type="dxa"/>
            <w:shd w:val="clear" w:color="auto" w:fill="D9E2F3"/>
          </w:tcPr>
          <w:p w14:paraId="73B1AA50" w14:textId="77777777" w:rsidR="00A52B68" w:rsidRPr="003F7F6C" w:rsidRDefault="00A52B68" w:rsidP="002B3130">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Type of Activity</w:t>
            </w:r>
          </w:p>
        </w:tc>
        <w:tc>
          <w:tcPr>
            <w:tcW w:w="3515" w:type="dxa"/>
            <w:shd w:val="clear" w:color="auto" w:fill="D9E2F3"/>
          </w:tcPr>
          <w:p w14:paraId="01DFC231" w14:textId="77777777" w:rsidR="00A52B68" w:rsidRPr="003F7F6C" w:rsidRDefault="00A52B68" w:rsidP="002B3130">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Subjects</w:t>
            </w:r>
          </w:p>
        </w:tc>
        <w:tc>
          <w:tcPr>
            <w:tcW w:w="1559" w:type="dxa"/>
            <w:shd w:val="clear" w:color="auto" w:fill="D9E2F3"/>
          </w:tcPr>
          <w:p w14:paraId="0029807C" w14:textId="77777777" w:rsidR="00A52B68" w:rsidRPr="003F7F6C" w:rsidRDefault="00A52B68" w:rsidP="002B3130">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Available Resources</w:t>
            </w:r>
          </w:p>
        </w:tc>
        <w:tc>
          <w:tcPr>
            <w:tcW w:w="1985" w:type="dxa"/>
            <w:shd w:val="clear" w:color="auto" w:fill="D9E2F3"/>
          </w:tcPr>
          <w:p w14:paraId="5332CEBE" w14:textId="77777777" w:rsidR="00A52B68" w:rsidRPr="003F7F6C" w:rsidRDefault="00A52B68" w:rsidP="002B3130">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Participants</w:t>
            </w:r>
          </w:p>
        </w:tc>
      </w:tr>
      <w:tr w:rsidR="00A52B68" w:rsidRPr="003F7F6C" w14:paraId="32E6A22C" w14:textId="77777777" w:rsidTr="002B3130">
        <w:tc>
          <w:tcPr>
            <w:tcW w:w="2405" w:type="dxa"/>
            <w:shd w:val="clear" w:color="auto" w:fill="auto"/>
          </w:tcPr>
          <w:p w14:paraId="24FF82B0" w14:textId="77777777" w:rsidR="007E1724" w:rsidRPr="003F7F6C" w:rsidRDefault="007E1724" w:rsidP="007E1724">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Capacity building workshops</w:t>
            </w:r>
          </w:p>
          <w:p w14:paraId="794551C2" w14:textId="77777777" w:rsidR="00A52B68" w:rsidRPr="003F7F6C" w:rsidRDefault="00A52B68" w:rsidP="002B3130">
            <w:pPr>
              <w:spacing w:after="0"/>
              <w:jc w:val="left"/>
              <w:rPr>
                <w:rFonts w:eastAsia="Times New Roman" w:cs="Calibri"/>
                <w:color w:val="222222"/>
                <w:sz w:val="18"/>
                <w:szCs w:val="18"/>
                <w:lang w:eastAsia="es-ES_tradnl"/>
              </w:rPr>
            </w:pPr>
          </w:p>
          <w:p w14:paraId="735E65AD" w14:textId="77777777" w:rsidR="00A52B68" w:rsidRPr="003F7F6C" w:rsidRDefault="00A52B68" w:rsidP="002B3130">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Face-to-face modality</w:t>
            </w:r>
          </w:p>
          <w:p w14:paraId="076F94C3" w14:textId="77777777" w:rsidR="00A52B68" w:rsidRPr="003F7F6C" w:rsidRDefault="00A52B68" w:rsidP="002B3130">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8-16 hour workshops</w:t>
            </w:r>
          </w:p>
          <w:p w14:paraId="5EAABA81" w14:textId="77777777" w:rsidR="00A52B68" w:rsidRPr="003F7F6C" w:rsidRDefault="00A52B68" w:rsidP="002B3130">
            <w:pPr>
              <w:spacing w:after="0"/>
              <w:jc w:val="left"/>
              <w:rPr>
                <w:rFonts w:eastAsia="Times New Roman" w:cs="Calibri"/>
                <w:color w:val="222222"/>
                <w:sz w:val="18"/>
                <w:szCs w:val="18"/>
                <w:lang w:eastAsia="es-ES_tradnl"/>
              </w:rPr>
            </w:pPr>
          </w:p>
          <w:p w14:paraId="56C1D382" w14:textId="77777777" w:rsidR="00A52B68" w:rsidRPr="003F7F6C" w:rsidRDefault="00A52B68" w:rsidP="002B3130">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Objective: Presentation and discussion and mainstreaming of ELUP and fundamental concepts</w:t>
            </w:r>
          </w:p>
        </w:tc>
        <w:tc>
          <w:tcPr>
            <w:tcW w:w="3515" w:type="dxa"/>
            <w:shd w:val="clear" w:color="auto" w:fill="auto"/>
          </w:tcPr>
          <w:p w14:paraId="64DC0A9A" w14:textId="77777777" w:rsidR="00FF7DEB" w:rsidRPr="003F7F6C" w:rsidRDefault="00A52B68" w:rsidP="002B3130">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ELUP: a) Conceptual and legal framework; b) Public management aspects; c) Experiences at national, regional and international levels; d) Ecosystem goods and services; e) Environment</w:t>
            </w:r>
            <w:r w:rsidR="00A17480" w:rsidRPr="003F7F6C">
              <w:rPr>
                <w:rFonts w:eastAsia="Times New Roman" w:cs="Calibri"/>
                <w:color w:val="222222"/>
                <w:sz w:val="18"/>
                <w:szCs w:val="18"/>
                <w:lang w:eastAsia="es-ES_tradnl"/>
              </w:rPr>
              <w:t>ally-</w:t>
            </w:r>
            <w:r w:rsidRPr="003F7F6C">
              <w:rPr>
                <w:rFonts w:eastAsia="Times New Roman" w:cs="Calibri"/>
                <w:color w:val="222222"/>
                <w:sz w:val="18"/>
                <w:szCs w:val="18"/>
                <w:lang w:eastAsia="es-ES_tradnl"/>
              </w:rPr>
              <w:t xml:space="preserve"> friendly productive practices; f) BD; g) Land uses; h) Economic, fiscal, social instruments for ELUP; i) </w:t>
            </w:r>
            <w:r w:rsidR="00FF7DEB" w:rsidRPr="003F7F6C">
              <w:rPr>
                <w:rFonts w:eastAsia="Times New Roman" w:cs="Calibri"/>
                <w:color w:val="222222"/>
                <w:sz w:val="18"/>
                <w:szCs w:val="18"/>
                <w:lang w:eastAsia="es-ES_tradnl"/>
              </w:rPr>
              <w:t>Climate change (expected impacts and mitigation/adaptation)</w:t>
            </w:r>
          </w:p>
          <w:p w14:paraId="688F90C2" w14:textId="77777777" w:rsidR="00A52B68" w:rsidRPr="003F7F6C" w:rsidRDefault="00A52B68" w:rsidP="002B3130">
            <w:pPr>
              <w:spacing w:after="0"/>
              <w:jc w:val="left"/>
              <w:rPr>
                <w:rFonts w:eastAsia="Times New Roman" w:cs="Calibri"/>
                <w:color w:val="222222"/>
                <w:sz w:val="18"/>
                <w:szCs w:val="18"/>
                <w:lang w:eastAsia="es-ES_tradnl"/>
              </w:rPr>
            </w:pPr>
          </w:p>
        </w:tc>
        <w:tc>
          <w:tcPr>
            <w:tcW w:w="1559" w:type="dxa"/>
            <w:shd w:val="clear" w:color="auto" w:fill="auto"/>
          </w:tcPr>
          <w:p w14:paraId="66B14202" w14:textId="77777777" w:rsidR="00A52B68" w:rsidRPr="003F7F6C" w:rsidRDefault="00A52B68" w:rsidP="002B3130">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SGAyDS</w:t>
            </w:r>
          </w:p>
          <w:p w14:paraId="393E3745" w14:textId="77777777" w:rsidR="00A52B68" w:rsidRPr="003F7F6C" w:rsidRDefault="00A52B68" w:rsidP="002B3130">
            <w:pPr>
              <w:spacing w:after="0"/>
              <w:jc w:val="left"/>
              <w:rPr>
                <w:rFonts w:eastAsia="Times New Roman" w:cs="Calibri"/>
                <w:color w:val="222222"/>
                <w:sz w:val="18"/>
                <w:szCs w:val="18"/>
                <w:lang w:eastAsia="es-ES_tradnl"/>
              </w:rPr>
            </w:pPr>
          </w:p>
          <w:p w14:paraId="22DB252A" w14:textId="325FBB2E" w:rsidR="00A52B68" w:rsidRPr="003F7F6C" w:rsidRDefault="00A52B68" w:rsidP="002B3130">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Universit</w:t>
            </w:r>
            <w:r w:rsidR="0087121F" w:rsidRPr="003F7F6C">
              <w:rPr>
                <w:rFonts w:eastAsia="Times New Roman" w:cs="Calibri"/>
                <w:color w:val="222222"/>
                <w:sz w:val="18"/>
                <w:szCs w:val="18"/>
                <w:lang w:eastAsia="es-ES_tradnl"/>
              </w:rPr>
              <w:t>ies</w:t>
            </w:r>
          </w:p>
          <w:p w14:paraId="4C2D8098" w14:textId="77777777" w:rsidR="00A52B68" w:rsidRPr="003F7F6C" w:rsidRDefault="00A52B68" w:rsidP="002B3130">
            <w:pPr>
              <w:spacing w:after="0"/>
              <w:jc w:val="left"/>
              <w:rPr>
                <w:rFonts w:eastAsia="Times New Roman" w:cs="Calibri"/>
                <w:color w:val="222222"/>
                <w:sz w:val="18"/>
                <w:szCs w:val="18"/>
                <w:lang w:eastAsia="es-ES_tradnl"/>
              </w:rPr>
            </w:pPr>
          </w:p>
          <w:p w14:paraId="08AB13E0" w14:textId="77777777" w:rsidR="00A52B68" w:rsidRPr="003F7F6C" w:rsidRDefault="00A52B68" w:rsidP="002B3130">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NGOs (e.g.</w:t>
            </w:r>
            <w:r w:rsidR="00A17480" w:rsidRPr="003F7F6C">
              <w:rPr>
                <w:rFonts w:eastAsia="Times New Roman" w:cs="Calibri"/>
                <w:color w:val="222222"/>
                <w:sz w:val="18"/>
                <w:szCs w:val="18"/>
                <w:lang w:eastAsia="es-ES_tradnl"/>
              </w:rPr>
              <w:t>,</w:t>
            </w:r>
            <w:r w:rsidRPr="003F7F6C">
              <w:rPr>
                <w:rFonts w:eastAsia="Times New Roman" w:cs="Calibri"/>
                <w:color w:val="222222"/>
                <w:sz w:val="18"/>
                <w:szCs w:val="18"/>
                <w:lang w:eastAsia="es-ES_tradnl"/>
              </w:rPr>
              <w:t xml:space="preserve"> Environment and Natural Resources Foundation)</w:t>
            </w:r>
          </w:p>
          <w:p w14:paraId="262624E2" w14:textId="77777777" w:rsidR="00A52B68" w:rsidRPr="003F7F6C" w:rsidRDefault="00A52B68" w:rsidP="002B3130">
            <w:pPr>
              <w:spacing w:after="0"/>
              <w:jc w:val="left"/>
              <w:rPr>
                <w:rFonts w:eastAsia="Times New Roman" w:cs="Calibri"/>
                <w:color w:val="222222"/>
                <w:sz w:val="18"/>
                <w:szCs w:val="18"/>
                <w:lang w:eastAsia="es-ES_tradnl"/>
              </w:rPr>
            </w:pPr>
          </w:p>
        </w:tc>
        <w:tc>
          <w:tcPr>
            <w:tcW w:w="1985" w:type="dxa"/>
            <w:shd w:val="clear" w:color="auto" w:fill="auto"/>
          </w:tcPr>
          <w:p w14:paraId="2061C7E6" w14:textId="77777777" w:rsidR="00A52B68" w:rsidRPr="003F7F6C" w:rsidRDefault="00A52B68" w:rsidP="002B3130">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Authorities and technical staff of provinces</w:t>
            </w:r>
          </w:p>
          <w:p w14:paraId="623E7534" w14:textId="77777777" w:rsidR="00A52B68" w:rsidRPr="003F7F6C" w:rsidRDefault="00A52B68" w:rsidP="002B3130">
            <w:pPr>
              <w:spacing w:after="0"/>
              <w:jc w:val="left"/>
              <w:rPr>
                <w:rFonts w:eastAsia="Times New Roman" w:cs="Calibri"/>
                <w:color w:val="222222"/>
                <w:sz w:val="18"/>
                <w:szCs w:val="18"/>
                <w:lang w:eastAsia="es-ES_tradnl"/>
              </w:rPr>
            </w:pPr>
          </w:p>
          <w:p w14:paraId="11234401" w14:textId="77777777" w:rsidR="00A52B68" w:rsidRPr="003F7F6C" w:rsidRDefault="00A52B68" w:rsidP="002B3130">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Technical and scientific organizations</w:t>
            </w:r>
          </w:p>
          <w:p w14:paraId="10F4945C" w14:textId="77777777" w:rsidR="00A52B68" w:rsidRPr="003F7F6C" w:rsidRDefault="00A52B68" w:rsidP="002B3130">
            <w:pPr>
              <w:spacing w:after="0"/>
              <w:jc w:val="left"/>
              <w:rPr>
                <w:rFonts w:eastAsia="Times New Roman" w:cs="Calibri"/>
                <w:color w:val="222222"/>
                <w:sz w:val="18"/>
                <w:szCs w:val="18"/>
                <w:lang w:eastAsia="es-ES_tradnl"/>
              </w:rPr>
            </w:pPr>
          </w:p>
          <w:p w14:paraId="11EC5787" w14:textId="77777777" w:rsidR="00A52B68" w:rsidRPr="003F7F6C" w:rsidRDefault="00A52B68" w:rsidP="002B3130">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NGOS and CSOs involved in productive activities</w:t>
            </w:r>
          </w:p>
        </w:tc>
      </w:tr>
      <w:tr w:rsidR="007E1724" w:rsidRPr="003F7F6C" w14:paraId="6662AB6D" w14:textId="77777777" w:rsidTr="002B3130">
        <w:tc>
          <w:tcPr>
            <w:tcW w:w="2405" w:type="dxa"/>
            <w:shd w:val="clear" w:color="auto" w:fill="auto"/>
          </w:tcPr>
          <w:p w14:paraId="54E83A70" w14:textId="77777777" w:rsidR="007E1724" w:rsidRPr="003F7F6C" w:rsidRDefault="007E1724" w:rsidP="007E1724">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Capacity building workshops</w:t>
            </w:r>
          </w:p>
          <w:p w14:paraId="6C16CD53" w14:textId="77777777" w:rsidR="007E1724" w:rsidRPr="003F7F6C" w:rsidRDefault="007E1724" w:rsidP="007E1724">
            <w:pPr>
              <w:spacing w:after="0"/>
              <w:jc w:val="left"/>
              <w:rPr>
                <w:rFonts w:eastAsia="Times New Roman" w:cs="Calibri"/>
                <w:color w:val="222222"/>
                <w:sz w:val="18"/>
                <w:szCs w:val="18"/>
                <w:lang w:eastAsia="es-ES_tradnl"/>
              </w:rPr>
            </w:pPr>
          </w:p>
          <w:p w14:paraId="41CFE5E8" w14:textId="77777777" w:rsidR="007E1724" w:rsidRPr="003F7F6C" w:rsidRDefault="007E1724" w:rsidP="007E1724">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Face-to-face modality</w:t>
            </w:r>
          </w:p>
          <w:p w14:paraId="5FB3DFC1" w14:textId="77777777" w:rsidR="007E1724" w:rsidRPr="003F7F6C" w:rsidRDefault="007E1724" w:rsidP="007E1724">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8 hour workshops</w:t>
            </w:r>
          </w:p>
          <w:p w14:paraId="129BCD3A" w14:textId="77777777" w:rsidR="007E1724" w:rsidRPr="003F7F6C" w:rsidRDefault="007E1724" w:rsidP="007E1724">
            <w:pPr>
              <w:spacing w:after="0"/>
              <w:jc w:val="left"/>
              <w:rPr>
                <w:rFonts w:eastAsia="Times New Roman" w:cs="Calibri"/>
                <w:color w:val="222222"/>
                <w:sz w:val="18"/>
                <w:szCs w:val="18"/>
                <w:lang w:eastAsia="es-ES_tradnl"/>
              </w:rPr>
            </w:pPr>
          </w:p>
          <w:p w14:paraId="7E1CE2F0" w14:textId="77777777" w:rsidR="007E1724" w:rsidRPr="003F7F6C" w:rsidRDefault="007E1724" w:rsidP="007E1724">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 xml:space="preserve">Objective: </w:t>
            </w:r>
            <w:r w:rsidR="00DC1A0B" w:rsidRPr="003F7F6C">
              <w:rPr>
                <w:rFonts w:eastAsia="Times New Roman" w:cs="Calibri"/>
                <w:color w:val="222222"/>
                <w:sz w:val="18"/>
                <w:szCs w:val="18"/>
                <w:lang w:eastAsia="es-ES_tradnl"/>
              </w:rPr>
              <w:t>Raise awareness and p</w:t>
            </w:r>
            <w:r w:rsidRPr="003F7F6C">
              <w:rPr>
                <w:rFonts w:eastAsia="Times New Roman" w:cs="Calibri"/>
                <w:color w:val="222222"/>
                <w:sz w:val="18"/>
                <w:szCs w:val="18"/>
                <w:lang w:eastAsia="es-ES_tradnl"/>
              </w:rPr>
              <w:t>rovide tools for stakeholder participation and gender mainstreaming</w:t>
            </w:r>
          </w:p>
        </w:tc>
        <w:tc>
          <w:tcPr>
            <w:tcW w:w="3515" w:type="dxa"/>
            <w:shd w:val="clear" w:color="auto" w:fill="auto"/>
          </w:tcPr>
          <w:p w14:paraId="353B0C39" w14:textId="4F7E0FC8" w:rsidR="007E1724" w:rsidRPr="003F7F6C" w:rsidRDefault="006E6826" w:rsidP="007E1724">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 xml:space="preserve">Participation: </w:t>
            </w:r>
            <w:r w:rsidR="007E1724" w:rsidRPr="003F7F6C">
              <w:rPr>
                <w:rFonts w:eastAsia="Times New Roman" w:cs="Calibri"/>
                <w:color w:val="222222"/>
                <w:sz w:val="18"/>
                <w:szCs w:val="18"/>
                <w:lang w:eastAsia="es-ES_tradnl"/>
              </w:rPr>
              <w:t>a) Inter-sectoral and inter-institutional coordination; b) project dialogue spaces; c) legal framework for participation and Indigenous Peoples; d) project´s social safeguards; e) participation and consultation schemes; f</w:t>
            </w:r>
            <w:r w:rsidR="007E1724" w:rsidRPr="003F7F6C">
              <w:rPr>
                <w:rFonts w:eastAsia="Times New Roman" w:cs="Calibri"/>
                <w:sz w:val="18"/>
                <w:szCs w:val="18"/>
                <w:lang w:eastAsia="es-ES_tradnl"/>
              </w:rPr>
              <w:t xml:space="preserve">) </w:t>
            </w:r>
            <w:r w:rsidR="007E1724" w:rsidRPr="003F7F6C">
              <w:rPr>
                <w:sz w:val="18"/>
                <w:szCs w:val="18"/>
              </w:rPr>
              <w:t>promotion of participation of women and consideration of gender issues in the design and implementation of interventions</w:t>
            </w:r>
          </w:p>
        </w:tc>
        <w:tc>
          <w:tcPr>
            <w:tcW w:w="1559" w:type="dxa"/>
            <w:shd w:val="clear" w:color="auto" w:fill="auto"/>
          </w:tcPr>
          <w:p w14:paraId="3550A413" w14:textId="77777777" w:rsidR="007E1724" w:rsidRPr="003F7F6C" w:rsidRDefault="007E1724" w:rsidP="007E1724">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Indigenous Peoples and Gender specialists</w:t>
            </w:r>
          </w:p>
        </w:tc>
        <w:tc>
          <w:tcPr>
            <w:tcW w:w="1985" w:type="dxa"/>
            <w:shd w:val="clear" w:color="auto" w:fill="auto"/>
          </w:tcPr>
          <w:p w14:paraId="71B33DAC" w14:textId="77777777" w:rsidR="007E1724" w:rsidRPr="003F7F6C" w:rsidRDefault="007E1724" w:rsidP="007E1724">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Authorities and technical staff of provinces</w:t>
            </w:r>
          </w:p>
          <w:p w14:paraId="0451E859" w14:textId="77777777" w:rsidR="007E1724" w:rsidRPr="003F7F6C" w:rsidRDefault="007E1724" w:rsidP="007E1724">
            <w:pPr>
              <w:spacing w:after="0"/>
              <w:jc w:val="left"/>
              <w:rPr>
                <w:rFonts w:eastAsia="Times New Roman" w:cs="Calibri"/>
                <w:color w:val="222222"/>
                <w:sz w:val="18"/>
                <w:szCs w:val="18"/>
                <w:lang w:eastAsia="es-ES_tradnl"/>
              </w:rPr>
            </w:pPr>
          </w:p>
          <w:p w14:paraId="554B515B" w14:textId="77777777" w:rsidR="007E1724" w:rsidRPr="003F7F6C" w:rsidRDefault="007E1724" w:rsidP="007E1724">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Technical and scientific organizations</w:t>
            </w:r>
          </w:p>
          <w:p w14:paraId="457D04A6" w14:textId="77777777" w:rsidR="007E1724" w:rsidRPr="003F7F6C" w:rsidRDefault="007E1724" w:rsidP="007E1724">
            <w:pPr>
              <w:spacing w:after="0"/>
              <w:jc w:val="left"/>
              <w:rPr>
                <w:rFonts w:eastAsia="Times New Roman" w:cs="Calibri"/>
                <w:color w:val="222222"/>
                <w:sz w:val="18"/>
                <w:szCs w:val="18"/>
                <w:lang w:eastAsia="es-ES_tradnl"/>
              </w:rPr>
            </w:pPr>
          </w:p>
          <w:p w14:paraId="6828200E" w14:textId="77777777" w:rsidR="007E1724" w:rsidRPr="003F7F6C" w:rsidRDefault="007E1724" w:rsidP="007E1724">
            <w:pPr>
              <w:spacing w:after="0"/>
              <w:jc w:val="left"/>
              <w:rPr>
                <w:rFonts w:eastAsia="Times New Roman" w:cs="Calibri"/>
                <w:color w:val="222222"/>
                <w:sz w:val="18"/>
                <w:szCs w:val="18"/>
                <w:lang w:eastAsia="es-ES_tradnl"/>
              </w:rPr>
            </w:pPr>
            <w:r w:rsidRPr="003F7F6C">
              <w:rPr>
                <w:rFonts w:eastAsia="Times New Roman" w:cs="Calibri"/>
                <w:color w:val="222222"/>
                <w:sz w:val="18"/>
                <w:szCs w:val="18"/>
                <w:lang w:eastAsia="es-ES_tradnl"/>
              </w:rPr>
              <w:t>NGOS and CSOs involved in productive activities</w:t>
            </w:r>
          </w:p>
        </w:tc>
      </w:tr>
    </w:tbl>
    <w:p w14:paraId="7257557A" w14:textId="77777777" w:rsidR="00A52B68" w:rsidRPr="003F7F6C" w:rsidRDefault="00A52B68" w:rsidP="00A52B68">
      <w:pPr>
        <w:spacing w:after="0"/>
        <w:jc w:val="left"/>
        <w:rPr>
          <w:rFonts w:eastAsia="Times New Roman" w:cs="Calibri"/>
          <w:color w:val="1F497D"/>
          <w:szCs w:val="20"/>
          <w:lang w:eastAsia="es-ES_tradnl"/>
        </w:rPr>
      </w:pPr>
    </w:p>
    <w:p w14:paraId="1B772435" w14:textId="77777777" w:rsidR="00A52B68" w:rsidRPr="003F7F6C" w:rsidRDefault="00A52B68" w:rsidP="00A52B68">
      <w:pPr>
        <w:pStyle w:val="ListParagraph"/>
        <w:tabs>
          <w:tab w:val="left" w:pos="426"/>
        </w:tabs>
        <w:spacing w:after="240"/>
        <w:ind w:left="0"/>
        <w:contextualSpacing w:val="0"/>
        <w:rPr>
          <w:rFonts w:eastAsia="Times New Roman" w:cs="Calibri"/>
          <w:szCs w:val="20"/>
          <w:lang w:eastAsia="es-ES_tradnl"/>
        </w:rPr>
      </w:pPr>
    </w:p>
    <w:p w14:paraId="44B4B489" w14:textId="77777777" w:rsidR="00926B3A" w:rsidRPr="003F7F6C" w:rsidRDefault="00A52B68" w:rsidP="00E91275">
      <w:pPr>
        <w:pStyle w:val="ListParagraph"/>
        <w:numPr>
          <w:ilvl w:val="0"/>
          <w:numId w:val="28"/>
        </w:numPr>
        <w:tabs>
          <w:tab w:val="left" w:pos="426"/>
        </w:tabs>
        <w:spacing w:after="240"/>
        <w:ind w:left="0" w:firstLine="0"/>
        <w:contextualSpacing w:val="0"/>
        <w:rPr>
          <w:rFonts w:eastAsia="Times New Roman" w:cs="Calibri"/>
          <w:szCs w:val="20"/>
          <w:lang w:eastAsia="es-ES_tradnl"/>
        </w:rPr>
      </w:pPr>
      <w:r w:rsidRPr="003F7F6C">
        <w:rPr>
          <w:rFonts w:eastAsia="Times New Roman" w:cs="Calibri"/>
          <w:szCs w:val="20"/>
          <w:lang w:eastAsia="es-ES_tradnl"/>
        </w:rPr>
        <w:t xml:space="preserve">The second approach </w:t>
      </w:r>
      <w:r w:rsidR="00343923" w:rsidRPr="003F7F6C">
        <w:rPr>
          <w:rFonts w:eastAsia="Times New Roman" w:cs="Calibri"/>
          <w:szCs w:val="20"/>
          <w:lang w:eastAsia="es-ES_tradnl"/>
        </w:rPr>
        <w:t xml:space="preserve">to capacity-building </w:t>
      </w:r>
      <w:r w:rsidRPr="003F7F6C">
        <w:rPr>
          <w:rFonts w:eastAsia="Times New Roman" w:cs="Calibri"/>
          <w:szCs w:val="20"/>
          <w:lang w:eastAsia="es-ES_tradnl"/>
        </w:rPr>
        <w:t xml:space="preserve">will </w:t>
      </w:r>
      <w:r w:rsidR="00343923" w:rsidRPr="003F7F6C">
        <w:rPr>
          <w:rFonts w:eastAsia="Times New Roman" w:cs="Calibri"/>
          <w:szCs w:val="20"/>
          <w:lang w:eastAsia="es-ES_tradnl"/>
        </w:rPr>
        <w:t xml:space="preserve">include </w:t>
      </w:r>
      <w:r w:rsidRPr="003F7F6C">
        <w:rPr>
          <w:rFonts w:eastAsia="Times New Roman" w:cs="Calibri"/>
          <w:szCs w:val="20"/>
          <w:lang w:eastAsia="es-ES_tradnl"/>
        </w:rPr>
        <w:t xml:space="preserve">developing methodological guides for upscaling ELUP to the different ecoregions and for implementing ELUP in shared ecosystems at national, provincial and local levels.  The project will provide technical assistance to the SGAyDS to elaborate the guides drawing on the experiences and lessons extracted under Outputs 2.4 and 3.1 above.  </w:t>
      </w:r>
    </w:p>
    <w:p w14:paraId="637EB6D9" w14:textId="46C172A9" w:rsidR="00926B3A" w:rsidRPr="003F7F6C" w:rsidRDefault="00A52B68" w:rsidP="00E91275">
      <w:pPr>
        <w:pStyle w:val="ListParagraph"/>
        <w:numPr>
          <w:ilvl w:val="0"/>
          <w:numId w:val="28"/>
        </w:numPr>
        <w:tabs>
          <w:tab w:val="left" w:pos="426"/>
        </w:tabs>
        <w:spacing w:after="240"/>
        <w:ind w:left="0" w:firstLine="0"/>
        <w:contextualSpacing w:val="0"/>
        <w:rPr>
          <w:rFonts w:eastAsia="Times New Roman" w:cs="Calibri"/>
          <w:szCs w:val="20"/>
          <w:lang w:eastAsia="es-ES_tradnl"/>
        </w:rPr>
      </w:pPr>
      <w:r w:rsidRPr="003F7F6C">
        <w:rPr>
          <w:rFonts w:eastAsia="Times New Roman" w:cs="Calibri"/>
          <w:szCs w:val="20"/>
          <w:lang w:eastAsia="es-ES_tradnl"/>
        </w:rPr>
        <w:t xml:space="preserve">In PY3 and PY4 two guides will be developed: a) Methodological Guide for implementing ELUP in pilot provinces, and b) Methodological Guide for implementing ELUP in non-pilot provinces.  These guides will be discussed and reviewed in the multi-stakeholder dialogue spaces to obtain inputs and suggestions.  In parallel, the non-pilot provinces will be selected for validating and upscaling ELUP experiences and lessons, based on progress made in ELUP, pressures, expected impacts, operational capacity and risks among other criteria, and agreements will be signed with these provinces. </w:t>
      </w:r>
      <w:r w:rsidR="002A02C6" w:rsidRPr="003F7F6C">
        <w:rPr>
          <w:rFonts w:eastAsia="Times New Roman" w:cs="Calibri"/>
          <w:szCs w:val="20"/>
          <w:lang w:eastAsia="es-ES_tradnl"/>
        </w:rPr>
        <w:t>To define the number of provinces one of two criteria could be used:</w:t>
      </w:r>
      <w:r w:rsidR="002945DB" w:rsidRPr="003F7F6C">
        <w:rPr>
          <w:rFonts w:eastAsia="Times New Roman" w:cs="Calibri"/>
          <w:szCs w:val="20"/>
          <w:lang w:eastAsia="es-ES_tradnl"/>
        </w:rPr>
        <w:t xml:space="preserve"> one province per </w:t>
      </w:r>
      <w:r w:rsidR="002A02C6" w:rsidRPr="003F7F6C">
        <w:rPr>
          <w:rFonts w:eastAsia="Times New Roman" w:cs="Calibri"/>
          <w:szCs w:val="20"/>
          <w:lang w:eastAsia="es-ES_tradnl"/>
        </w:rPr>
        <w:t xml:space="preserve">geographical </w:t>
      </w:r>
      <w:r w:rsidR="002945DB" w:rsidRPr="003F7F6C">
        <w:rPr>
          <w:rFonts w:eastAsia="Times New Roman" w:cs="Calibri"/>
          <w:szCs w:val="20"/>
          <w:lang w:eastAsia="es-ES_tradnl"/>
        </w:rPr>
        <w:t>region (</w:t>
      </w:r>
      <w:r w:rsidR="002A02C6" w:rsidRPr="003F7F6C">
        <w:rPr>
          <w:rFonts w:eastAsia="Times New Roman" w:cs="Calibri"/>
          <w:szCs w:val="20"/>
          <w:lang w:eastAsia="es-ES_tradnl"/>
        </w:rPr>
        <w:t>Center, Cuyo, Northeast, Northwest and South</w:t>
      </w:r>
      <w:r w:rsidR="00EE2A6C" w:rsidRPr="003F7F6C">
        <w:rPr>
          <w:rFonts w:eastAsia="Times New Roman" w:cs="Calibri"/>
          <w:szCs w:val="20"/>
          <w:lang w:eastAsia="es-ES_tradnl"/>
        </w:rPr>
        <w:t>) or one province per ecoregion (</w:t>
      </w:r>
      <w:r w:rsidR="00EE2A6C" w:rsidRPr="003F7F6C">
        <w:rPr>
          <w:szCs w:val="20"/>
          <w:lang w:val="en-GB"/>
        </w:rPr>
        <w:t>Pampas, Delta and Islands of the Parana River, Espinal, Puna, Yungas Forest, High Monte, Low Monte, High Andes</w:t>
      </w:r>
      <w:r w:rsidR="00770A90" w:rsidRPr="003F7F6C">
        <w:rPr>
          <w:szCs w:val="20"/>
          <w:lang w:val="en-GB"/>
        </w:rPr>
        <w:t xml:space="preserve">, </w:t>
      </w:r>
      <w:r w:rsidR="00EE2A6C" w:rsidRPr="003F7F6C">
        <w:rPr>
          <w:szCs w:val="20"/>
          <w:lang w:val="en-GB"/>
        </w:rPr>
        <w:t xml:space="preserve"> </w:t>
      </w:r>
      <w:r w:rsidR="00770A90" w:rsidRPr="003F7F6C">
        <w:rPr>
          <w:szCs w:val="20"/>
          <w:lang w:val="en-GB"/>
        </w:rPr>
        <w:t xml:space="preserve">Dry Chaco </w:t>
      </w:r>
      <w:r w:rsidR="00EE2A6C" w:rsidRPr="003F7F6C">
        <w:rPr>
          <w:szCs w:val="20"/>
          <w:lang w:val="en-GB"/>
        </w:rPr>
        <w:t>and Patagonian Steppe)</w:t>
      </w:r>
      <w:r w:rsidR="002A02C6" w:rsidRPr="003F7F6C">
        <w:rPr>
          <w:szCs w:val="20"/>
          <w:lang w:val="en-GB"/>
        </w:rPr>
        <w:t>. This will be defined during project implementation.</w:t>
      </w:r>
      <w:r w:rsidR="00B03719" w:rsidRPr="003F7F6C">
        <w:rPr>
          <w:rFonts w:eastAsia="Times New Roman" w:cs="Calibri"/>
          <w:szCs w:val="20"/>
          <w:lang w:eastAsia="es-ES_tradnl"/>
        </w:rPr>
        <w:t xml:space="preserve">  </w:t>
      </w:r>
      <w:r w:rsidRPr="003F7F6C">
        <w:rPr>
          <w:rFonts w:eastAsia="Times New Roman" w:cs="Calibri"/>
          <w:szCs w:val="20"/>
          <w:lang w:eastAsia="es-ES_tradnl"/>
        </w:rPr>
        <w:t xml:space="preserve">Between PY5 and PY6 the guides will be piloted in the selected provinces. A third guide will be developed in PY5 and PY6, namely a Methodological Guide for upscaling of ELUP in ecoregions and shared ecosystems. </w:t>
      </w:r>
    </w:p>
    <w:p w14:paraId="0F397CD3" w14:textId="77777777" w:rsidR="002A02C6" w:rsidRPr="003F7F6C" w:rsidRDefault="002A02C6" w:rsidP="00926B3A">
      <w:pPr>
        <w:pStyle w:val="ListParagraph"/>
        <w:tabs>
          <w:tab w:val="left" w:pos="426"/>
        </w:tabs>
        <w:spacing w:after="240"/>
        <w:ind w:left="0"/>
        <w:contextualSpacing w:val="0"/>
        <w:rPr>
          <w:rFonts w:eastAsia="Times New Roman" w:cs="Calibri"/>
          <w:i/>
          <w:szCs w:val="20"/>
          <w:lang w:eastAsia="es-ES_tradnl"/>
        </w:rPr>
      </w:pPr>
    </w:p>
    <w:p w14:paraId="2B7663E6" w14:textId="77777777" w:rsidR="00926B3A" w:rsidRPr="003F7F6C" w:rsidRDefault="00A52B68" w:rsidP="00926B3A">
      <w:pPr>
        <w:pStyle w:val="ListParagraph"/>
        <w:tabs>
          <w:tab w:val="left" w:pos="426"/>
        </w:tabs>
        <w:spacing w:after="240"/>
        <w:ind w:left="0"/>
        <w:contextualSpacing w:val="0"/>
        <w:rPr>
          <w:rFonts w:eastAsia="Times New Roman" w:cs="Calibri"/>
          <w:szCs w:val="20"/>
          <w:lang w:eastAsia="es-ES_tradnl"/>
        </w:rPr>
      </w:pPr>
      <w:r w:rsidRPr="003F7F6C">
        <w:rPr>
          <w:rFonts w:eastAsia="Times New Roman" w:cs="Calibri"/>
          <w:i/>
          <w:szCs w:val="20"/>
          <w:lang w:eastAsia="es-ES_tradnl"/>
        </w:rPr>
        <w:t xml:space="preserve">Output 3.3. </w:t>
      </w:r>
      <w:r w:rsidRPr="003F7F6C">
        <w:rPr>
          <w:rFonts w:eastAsia="Times New Roman" w:cs="Calibri"/>
          <w:bCs/>
          <w:i/>
          <w:szCs w:val="20"/>
          <w:lang w:eastAsia="es-ES_tradnl"/>
        </w:rPr>
        <w:t xml:space="preserve">System to Evaluate and Monitor ELUP implementation nationwide established </w:t>
      </w:r>
    </w:p>
    <w:p w14:paraId="77E33FB3" w14:textId="77777777" w:rsidR="00926B3A" w:rsidRPr="003F7F6C" w:rsidRDefault="00A52B68" w:rsidP="00E91275">
      <w:pPr>
        <w:pStyle w:val="ListParagraph"/>
        <w:numPr>
          <w:ilvl w:val="0"/>
          <w:numId w:val="28"/>
        </w:numPr>
        <w:tabs>
          <w:tab w:val="left" w:pos="426"/>
        </w:tabs>
        <w:spacing w:after="240"/>
        <w:ind w:left="0" w:firstLine="0"/>
        <w:contextualSpacing w:val="0"/>
        <w:rPr>
          <w:rFonts w:eastAsia="Times New Roman" w:cs="Calibri"/>
          <w:szCs w:val="20"/>
          <w:lang w:eastAsia="es-ES_tradnl"/>
        </w:rPr>
      </w:pPr>
      <w:r w:rsidRPr="003F7F6C">
        <w:rPr>
          <w:rFonts w:eastAsia="Times New Roman" w:cs="Calibri"/>
          <w:color w:val="000000"/>
          <w:szCs w:val="20"/>
          <w:lang w:eastAsia="es-AR"/>
        </w:rPr>
        <w:t xml:space="preserve">The project will support the establishment of a System to Evaluate and Monitor ELUP Implementation in Argentina (SEM-OAT). </w:t>
      </w:r>
      <w:r w:rsidRPr="003F7F6C">
        <w:rPr>
          <w:rFonts w:eastAsia="Times New Roman"/>
          <w:iCs/>
          <w:szCs w:val="20"/>
          <w:lang w:eastAsia="es-AR"/>
        </w:rPr>
        <w:t xml:space="preserve">The SEM-OAT will be a system to analyze the process of mainstreaming policies, regulations and instruments in support </w:t>
      </w:r>
      <w:r w:rsidR="004F11F1" w:rsidRPr="003F7F6C">
        <w:rPr>
          <w:rFonts w:eastAsia="Times New Roman"/>
          <w:iCs/>
          <w:szCs w:val="20"/>
          <w:lang w:eastAsia="es-AR"/>
        </w:rPr>
        <w:t xml:space="preserve">of </w:t>
      </w:r>
      <w:r w:rsidRPr="003F7F6C">
        <w:rPr>
          <w:rFonts w:eastAsia="Times New Roman"/>
          <w:iCs/>
          <w:szCs w:val="20"/>
          <w:lang w:eastAsia="es-AR"/>
        </w:rPr>
        <w:t xml:space="preserve">public planning and management of the territory under an ELUP approach. </w:t>
      </w:r>
      <w:r w:rsidRPr="003F7F6C">
        <w:rPr>
          <w:rFonts w:eastAsia="Times New Roman" w:cs="Calibri"/>
          <w:color w:val="000000"/>
          <w:szCs w:val="20"/>
          <w:lang w:eastAsia="es-AR"/>
        </w:rPr>
        <w:t xml:space="preserve">It will monitor progress in the implementation of ELUP, evaluate the impacts and degree of acceptance by stakeholders, propose measures and recommendations to decision makers and promote awareness raising within the general public. </w:t>
      </w:r>
    </w:p>
    <w:p w14:paraId="640FAB5D" w14:textId="77777777" w:rsidR="00926B3A" w:rsidRPr="003F7F6C" w:rsidRDefault="00A52B68" w:rsidP="00E91275">
      <w:pPr>
        <w:pStyle w:val="ListParagraph"/>
        <w:numPr>
          <w:ilvl w:val="0"/>
          <w:numId w:val="28"/>
        </w:numPr>
        <w:tabs>
          <w:tab w:val="left" w:pos="426"/>
        </w:tabs>
        <w:spacing w:after="240"/>
        <w:ind w:left="0" w:firstLine="0"/>
        <w:contextualSpacing w:val="0"/>
        <w:rPr>
          <w:rFonts w:eastAsia="Times New Roman" w:cs="Calibri"/>
          <w:szCs w:val="20"/>
          <w:lang w:eastAsia="es-ES_tradnl"/>
        </w:rPr>
      </w:pPr>
      <w:r w:rsidRPr="003F7F6C">
        <w:rPr>
          <w:rFonts w:eastAsia="Times New Roman" w:cs="Calibri"/>
          <w:color w:val="000000"/>
          <w:szCs w:val="20"/>
          <w:lang w:eastAsia="es-AR"/>
        </w:rPr>
        <w:t xml:space="preserve">Detailed design and establishment of the SEM-OAT will be undertaken </w:t>
      </w:r>
      <w:r w:rsidR="00637B3A" w:rsidRPr="003F7F6C">
        <w:rPr>
          <w:rFonts w:eastAsia="Times New Roman" w:cs="Calibri"/>
          <w:color w:val="000000"/>
          <w:szCs w:val="20"/>
          <w:lang w:eastAsia="es-AR"/>
        </w:rPr>
        <w:t>during project implementation based on discussions with stakeholders of the provinces</w:t>
      </w:r>
      <w:r w:rsidRPr="003F7F6C">
        <w:rPr>
          <w:rFonts w:eastAsia="Times New Roman" w:cs="Calibri"/>
          <w:color w:val="000000"/>
          <w:szCs w:val="20"/>
          <w:lang w:eastAsia="es-AR"/>
        </w:rPr>
        <w:t xml:space="preserve">. </w:t>
      </w:r>
      <w:r w:rsidR="00637B3A" w:rsidRPr="003F7F6C">
        <w:rPr>
          <w:rFonts w:eastAsia="Times New Roman" w:cs="Calibri"/>
          <w:color w:val="000000"/>
          <w:szCs w:val="20"/>
          <w:lang w:eastAsia="es-AR"/>
        </w:rPr>
        <w:t xml:space="preserve">The SEM-OAT will be a system to enable the analysis of the process of mainstreaming regulatory policies and practices to support public planning and management of the territory under an ELUP approach. </w:t>
      </w:r>
      <w:r w:rsidRPr="003F7F6C">
        <w:rPr>
          <w:rFonts w:eastAsia="Times New Roman" w:cs="Calibri"/>
          <w:color w:val="000000"/>
          <w:szCs w:val="20"/>
          <w:lang w:eastAsia="es-AR"/>
        </w:rPr>
        <w:t xml:space="preserve">Once the system is operational, it will </w:t>
      </w:r>
      <w:r w:rsidRPr="003F7F6C">
        <w:rPr>
          <w:rFonts w:eastAsia="Times New Roman" w:cs="Calibri"/>
          <w:szCs w:val="20"/>
          <w:lang w:eastAsia="es-AR"/>
        </w:rPr>
        <w:t>initially monitor progress in the target landscapes, followed by the non-pilot provinces toward the end of the project and in the long</w:t>
      </w:r>
      <w:r w:rsidR="004F11F1" w:rsidRPr="003F7F6C">
        <w:rPr>
          <w:rFonts w:eastAsia="Times New Roman" w:cs="Calibri"/>
          <w:szCs w:val="20"/>
          <w:lang w:eastAsia="es-AR"/>
        </w:rPr>
        <w:t>-</w:t>
      </w:r>
      <w:r w:rsidRPr="003F7F6C">
        <w:rPr>
          <w:rFonts w:eastAsia="Times New Roman" w:cs="Calibri"/>
          <w:szCs w:val="20"/>
          <w:lang w:eastAsia="es-AR"/>
        </w:rPr>
        <w:t>term the whole country.</w:t>
      </w:r>
      <w:r w:rsidRPr="003F7F6C">
        <w:rPr>
          <w:rFonts w:cs="Calibri"/>
          <w:b/>
          <w:bCs/>
          <w:szCs w:val="20"/>
        </w:rPr>
        <w:t xml:space="preserve"> </w:t>
      </w:r>
      <w:r w:rsidRPr="003F7F6C">
        <w:rPr>
          <w:rFonts w:eastAsia="Times New Roman" w:cs="Calibri"/>
          <w:szCs w:val="20"/>
          <w:lang w:eastAsia="es-ES_tradnl"/>
        </w:rPr>
        <w:t xml:space="preserve">A protocol and financial plan will be </w:t>
      </w:r>
      <w:r w:rsidR="004F11F1" w:rsidRPr="003F7F6C">
        <w:rPr>
          <w:rFonts w:eastAsia="Times New Roman" w:cs="Calibri"/>
          <w:szCs w:val="20"/>
          <w:lang w:eastAsia="es-ES_tradnl"/>
        </w:rPr>
        <w:t>developed to</w:t>
      </w:r>
      <w:r w:rsidRPr="003F7F6C">
        <w:rPr>
          <w:rFonts w:eastAsia="Times New Roman" w:cs="Calibri"/>
          <w:szCs w:val="20"/>
          <w:lang w:eastAsia="es-ES_tradnl"/>
        </w:rPr>
        <w:t xml:space="preserve"> ensur</w:t>
      </w:r>
      <w:r w:rsidR="004F11F1" w:rsidRPr="003F7F6C">
        <w:rPr>
          <w:rFonts w:eastAsia="Times New Roman" w:cs="Calibri"/>
          <w:szCs w:val="20"/>
          <w:lang w:eastAsia="es-ES_tradnl"/>
        </w:rPr>
        <w:t>e</w:t>
      </w:r>
      <w:r w:rsidRPr="003F7F6C">
        <w:rPr>
          <w:rFonts w:eastAsia="Times New Roman" w:cs="Calibri"/>
          <w:szCs w:val="20"/>
          <w:lang w:eastAsia="es-ES_tradnl"/>
        </w:rPr>
        <w:t xml:space="preserve"> sustainability of the SEM-OAT.</w:t>
      </w:r>
      <w:r w:rsidRPr="003F7F6C">
        <w:rPr>
          <w:rFonts w:eastAsia="Times New Roman" w:cs="Calibri"/>
          <w:color w:val="000000"/>
          <w:szCs w:val="20"/>
          <w:lang w:eastAsia="es-AR"/>
        </w:rPr>
        <w:t xml:space="preserve"> </w:t>
      </w:r>
      <w:r w:rsidR="00637B3A" w:rsidRPr="003F7F6C">
        <w:rPr>
          <w:rFonts w:eastAsia="Times New Roman" w:cs="Calibri"/>
          <w:color w:val="000000"/>
          <w:szCs w:val="20"/>
          <w:lang w:eastAsia="es-AR"/>
        </w:rPr>
        <w:t xml:space="preserve"> The National Directorate of Planning and Environmental Land Use Planning of the SGAyDS will be the focal point to develop and implement the system with the information fed by the provinces.</w:t>
      </w:r>
    </w:p>
    <w:p w14:paraId="482DFA02" w14:textId="77777777" w:rsidR="00926B3A" w:rsidRPr="003F7F6C" w:rsidRDefault="00926B3A" w:rsidP="00926B3A">
      <w:pPr>
        <w:pStyle w:val="ListParagraph"/>
        <w:tabs>
          <w:tab w:val="left" w:pos="426"/>
        </w:tabs>
        <w:spacing w:after="240"/>
        <w:ind w:left="0"/>
        <w:contextualSpacing w:val="0"/>
        <w:rPr>
          <w:rFonts w:cs="Calibri"/>
          <w:b/>
          <w:bCs/>
          <w:szCs w:val="20"/>
        </w:rPr>
      </w:pPr>
    </w:p>
    <w:p w14:paraId="26DCF5CC" w14:textId="77777777" w:rsidR="00926B3A" w:rsidRPr="003F7F6C" w:rsidRDefault="00A52B68" w:rsidP="00926B3A">
      <w:pPr>
        <w:pStyle w:val="ListParagraph"/>
        <w:tabs>
          <w:tab w:val="left" w:pos="426"/>
        </w:tabs>
        <w:spacing w:after="240"/>
        <w:ind w:left="0"/>
        <w:contextualSpacing w:val="0"/>
        <w:rPr>
          <w:rFonts w:eastAsia="Times New Roman" w:cs="Calibri"/>
          <w:szCs w:val="20"/>
          <w:lang w:eastAsia="es-ES_tradnl"/>
        </w:rPr>
      </w:pPr>
      <w:r w:rsidRPr="003F7F6C">
        <w:rPr>
          <w:rFonts w:cs="Calibri"/>
          <w:b/>
          <w:bCs/>
          <w:szCs w:val="20"/>
        </w:rPr>
        <w:t xml:space="preserve">Outcome 4: </w:t>
      </w:r>
      <w:r w:rsidRPr="003F7F6C">
        <w:rPr>
          <w:rFonts w:cs="Calibri"/>
          <w:b/>
          <w:color w:val="000000"/>
          <w:szCs w:val="20"/>
        </w:rPr>
        <w:t xml:space="preserve">Dissemination of lessons learned, monitoring &amp; </w:t>
      </w:r>
      <w:r w:rsidRPr="003F7F6C">
        <w:rPr>
          <w:rFonts w:cs="Calibri"/>
          <w:b/>
          <w:szCs w:val="20"/>
        </w:rPr>
        <w:t>e</w:t>
      </w:r>
      <w:r w:rsidRPr="003F7F6C">
        <w:rPr>
          <w:rFonts w:cs="Calibri"/>
          <w:b/>
          <w:color w:val="000000"/>
          <w:szCs w:val="20"/>
        </w:rPr>
        <w:t>valuation</w:t>
      </w:r>
    </w:p>
    <w:p w14:paraId="05CE4923" w14:textId="77777777" w:rsidR="00926B3A" w:rsidRPr="003F7F6C" w:rsidRDefault="00A52B68" w:rsidP="00926B3A">
      <w:pPr>
        <w:pStyle w:val="ListParagraph"/>
        <w:tabs>
          <w:tab w:val="left" w:pos="426"/>
        </w:tabs>
        <w:spacing w:after="240"/>
        <w:ind w:left="0"/>
        <w:contextualSpacing w:val="0"/>
        <w:rPr>
          <w:rFonts w:eastAsia="Times New Roman" w:cs="Calibri"/>
          <w:szCs w:val="20"/>
          <w:lang w:eastAsia="es-ES_tradnl"/>
        </w:rPr>
      </w:pPr>
      <w:r w:rsidRPr="003F7F6C">
        <w:rPr>
          <w:rFonts w:cs="Calibri"/>
          <w:bCs/>
          <w:i/>
          <w:szCs w:val="20"/>
        </w:rPr>
        <w:t>Output 4.1: Project M&amp;E system operational and generating periodic reports</w:t>
      </w:r>
    </w:p>
    <w:p w14:paraId="55D875C4" w14:textId="77777777" w:rsidR="00926B3A" w:rsidRPr="003F7F6C" w:rsidRDefault="00A52B68" w:rsidP="00E91275">
      <w:pPr>
        <w:pStyle w:val="ListParagraph"/>
        <w:numPr>
          <w:ilvl w:val="0"/>
          <w:numId w:val="28"/>
        </w:numPr>
        <w:tabs>
          <w:tab w:val="left" w:pos="426"/>
        </w:tabs>
        <w:spacing w:after="240"/>
        <w:ind w:left="0" w:firstLine="0"/>
        <w:contextualSpacing w:val="0"/>
        <w:rPr>
          <w:rFonts w:eastAsia="Times New Roman" w:cs="Calibri"/>
          <w:szCs w:val="20"/>
          <w:lang w:eastAsia="es-ES_tradnl"/>
        </w:rPr>
      </w:pPr>
      <w:r w:rsidRPr="003F7F6C">
        <w:rPr>
          <w:rFonts w:cs="Calibri"/>
          <w:bCs/>
          <w:szCs w:val="20"/>
        </w:rPr>
        <w:t>The Project Technical Team</w:t>
      </w:r>
      <w:r w:rsidRPr="003F7F6C">
        <w:rPr>
          <w:rFonts w:cs="Calibri"/>
          <w:bCs/>
          <w:color w:val="FF0000"/>
          <w:szCs w:val="20"/>
        </w:rPr>
        <w:t xml:space="preserve"> </w:t>
      </w:r>
      <w:r w:rsidRPr="003F7F6C">
        <w:rPr>
          <w:rFonts w:cs="Calibri"/>
          <w:bCs/>
          <w:szCs w:val="20"/>
        </w:rPr>
        <w:t xml:space="preserve">(PT) (see section VIII below on governance and management arrangements for detailed information) will be responsible for implementing the project´s M&amp;E plan, including the project´s inception workshop, annual planning workshops, monitoring of activities, outputs and outcomes, </w:t>
      </w:r>
      <w:r w:rsidRPr="003F7F6C">
        <w:rPr>
          <w:rFonts w:cs="Calibri"/>
          <w:color w:val="000000"/>
          <w:szCs w:val="20"/>
        </w:rPr>
        <w:t xml:space="preserve">monitoring of the risk matrix and identifying potential risks and mitigation measures to reduce those unexpected risks (see section VII for further details). The </w:t>
      </w:r>
      <w:r w:rsidRPr="003F7F6C">
        <w:rPr>
          <w:rFonts w:cs="Calibri"/>
          <w:szCs w:val="20"/>
        </w:rPr>
        <w:t>Project Coordinator</w:t>
      </w:r>
      <w:r w:rsidRPr="003F7F6C">
        <w:rPr>
          <w:rFonts w:cs="Calibri"/>
          <w:color w:val="FF0000"/>
          <w:szCs w:val="20"/>
        </w:rPr>
        <w:t xml:space="preserve"> </w:t>
      </w:r>
      <w:r w:rsidRPr="003F7F6C">
        <w:rPr>
          <w:rFonts w:cs="Calibri"/>
          <w:color w:val="000000"/>
          <w:szCs w:val="20"/>
        </w:rPr>
        <w:t xml:space="preserve">will provide inputs to the UNDP-CO for </w:t>
      </w:r>
      <w:r w:rsidR="004F7C0D" w:rsidRPr="003F7F6C">
        <w:rPr>
          <w:rFonts w:cs="Calibri"/>
          <w:color w:val="000000"/>
          <w:szCs w:val="20"/>
        </w:rPr>
        <w:t xml:space="preserve">the </w:t>
      </w:r>
      <w:r w:rsidRPr="003F7F6C">
        <w:rPr>
          <w:rFonts w:cs="Calibri"/>
          <w:color w:val="000000"/>
          <w:szCs w:val="20"/>
        </w:rPr>
        <w:t>prepar</w:t>
      </w:r>
      <w:r w:rsidR="004F7C0D" w:rsidRPr="003F7F6C">
        <w:rPr>
          <w:rFonts w:cs="Calibri"/>
          <w:color w:val="000000"/>
          <w:szCs w:val="20"/>
        </w:rPr>
        <w:t>ation of</w:t>
      </w:r>
      <w:r w:rsidRPr="003F7F6C">
        <w:rPr>
          <w:rFonts w:cs="Calibri"/>
          <w:color w:val="000000"/>
          <w:szCs w:val="20"/>
        </w:rPr>
        <w:t xml:space="preserve"> the annual Project Implementation Report</w:t>
      </w:r>
      <w:r w:rsidR="004F7C0D" w:rsidRPr="003F7F6C">
        <w:rPr>
          <w:rFonts w:cs="Calibri"/>
          <w:color w:val="000000"/>
          <w:szCs w:val="20"/>
        </w:rPr>
        <w:t>s</w:t>
      </w:r>
      <w:r w:rsidRPr="003F7F6C">
        <w:rPr>
          <w:rFonts w:cs="Calibri"/>
          <w:color w:val="000000"/>
          <w:szCs w:val="20"/>
        </w:rPr>
        <w:t xml:space="preserve"> (PIR). These reports will also include </w:t>
      </w:r>
      <w:r w:rsidR="0007591D" w:rsidRPr="003F7F6C">
        <w:rPr>
          <w:rFonts w:cs="Calibri"/>
          <w:color w:val="000000"/>
          <w:szCs w:val="20"/>
        </w:rPr>
        <w:t>gathering of information on the</w:t>
      </w:r>
      <w:r w:rsidR="00A91A70" w:rsidRPr="003F7F6C">
        <w:rPr>
          <w:rFonts w:cs="Calibri"/>
          <w:color w:val="000000"/>
          <w:szCs w:val="20"/>
        </w:rPr>
        <w:t xml:space="preserve"> GEF</w:t>
      </w:r>
      <w:r w:rsidR="0007591D" w:rsidRPr="003F7F6C">
        <w:rPr>
          <w:rFonts w:cs="Calibri"/>
          <w:color w:val="000000"/>
          <w:szCs w:val="20"/>
        </w:rPr>
        <w:t xml:space="preserve"> core indicator data</w:t>
      </w:r>
      <w:r w:rsidRPr="003F7F6C">
        <w:rPr>
          <w:rFonts w:cs="Calibri"/>
          <w:color w:val="000000"/>
          <w:szCs w:val="20"/>
        </w:rPr>
        <w:t xml:space="preserve"> and the UNDP Capacity Scorecard at mid-term and end of project.</w:t>
      </w:r>
    </w:p>
    <w:p w14:paraId="6C2AC6ED" w14:textId="77777777" w:rsidR="00926B3A" w:rsidRPr="003F7F6C" w:rsidRDefault="00A52B68" w:rsidP="00E91275">
      <w:pPr>
        <w:pStyle w:val="ListParagraph"/>
        <w:numPr>
          <w:ilvl w:val="0"/>
          <w:numId w:val="28"/>
        </w:numPr>
        <w:tabs>
          <w:tab w:val="left" w:pos="426"/>
        </w:tabs>
        <w:spacing w:after="240"/>
        <w:ind w:left="0" w:firstLine="0"/>
        <w:contextualSpacing w:val="0"/>
        <w:rPr>
          <w:rFonts w:eastAsia="Times New Roman" w:cs="Calibri"/>
          <w:szCs w:val="20"/>
          <w:lang w:eastAsia="es-ES_tradnl"/>
        </w:rPr>
      </w:pPr>
      <w:r w:rsidRPr="003F7F6C">
        <w:rPr>
          <w:rFonts w:cs="Calibri"/>
          <w:szCs w:val="20"/>
        </w:rPr>
        <w:t xml:space="preserve">Project M&amp;E will collect sex-disaggregated and multi-cultural data related to governance and regulatory frameworks, participation, access to economic and financial incentives, and sustainable production among others. </w:t>
      </w:r>
      <w:r w:rsidR="00A91A70" w:rsidRPr="003F7F6C">
        <w:rPr>
          <w:rFonts w:cs="Calibri"/>
          <w:szCs w:val="20"/>
        </w:rPr>
        <w:t xml:space="preserve"> As part of the project M&amp;E, the nature, extent and effectiveness of gender mainstreaming actions will be assessed periodically</w:t>
      </w:r>
      <w:r w:rsidRPr="003F7F6C">
        <w:rPr>
          <w:rFonts w:cs="Calibri"/>
          <w:szCs w:val="20"/>
        </w:rPr>
        <w:t>.</w:t>
      </w:r>
    </w:p>
    <w:p w14:paraId="401E736D" w14:textId="77777777" w:rsidR="00926B3A" w:rsidRPr="003F7F6C" w:rsidRDefault="00926B3A" w:rsidP="00926B3A">
      <w:pPr>
        <w:pStyle w:val="ListParagraph"/>
        <w:tabs>
          <w:tab w:val="left" w:pos="426"/>
        </w:tabs>
        <w:spacing w:after="240"/>
        <w:ind w:left="0"/>
        <w:contextualSpacing w:val="0"/>
        <w:rPr>
          <w:rFonts w:eastAsia="Times New Roman" w:cs="Calibri"/>
          <w:i/>
          <w:szCs w:val="20"/>
          <w:lang w:eastAsia="es-ES_tradnl"/>
        </w:rPr>
      </w:pPr>
    </w:p>
    <w:p w14:paraId="6B3EE3DA" w14:textId="77777777" w:rsidR="00926B3A" w:rsidRPr="003F7F6C" w:rsidRDefault="00A52B68" w:rsidP="00926B3A">
      <w:pPr>
        <w:pStyle w:val="ListParagraph"/>
        <w:tabs>
          <w:tab w:val="left" w:pos="426"/>
        </w:tabs>
        <w:spacing w:after="240"/>
        <w:ind w:left="0"/>
        <w:contextualSpacing w:val="0"/>
        <w:rPr>
          <w:rFonts w:eastAsia="Times New Roman" w:cs="Calibri"/>
          <w:szCs w:val="20"/>
          <w:lang w:eastAsia="es-ES_tradnl"/>
        </w:rPr>
      </w:pPr>
      <w:r w:rsidRPr="003F7F6C">
        <w:rPr>
          <w:rFonts w:eastAsia="Times New Roman" w:cs="Calibri"/>
          <w:i/>
          <w:szCs w:val="20"/>
          <w:lang w:eastAsia="es-ES_tradnl"/>
        </w:rPr>
        <w:t xml:space="preserve">Output 4.2: </w:t>
      </w:r>
      <w:r w:rsidRPr="003F7F6C">
        <w:rPr>
          <w:rFonts w:eastAsia="Times New Roman" w:cs="Calibri"/>
          <w:bCs/>
          <w:i/>
          <w:szCs w:val="20"/>
          <w:lang w:eastAsia="es-ES_tradnl"/>
        </w:rPr>
        <w:t xml:space="preserve">Knowledge management system </w:t>
      </w:r>
      <w:r w:rsidRPr="003F7F6C">
        <w:rPr>
          <w:rFonts w:eastAsia="Times New Roman" w:cs="Calibri"/>
          <w:i/>
          <w:szCs w:val="20"/>
          <w:lang w:eastAsia="es-ES_tradnl"/>
        </w:rPr>
        <w:t xml:space="preserve">set up to disseminate good practices and lessons learned </w:t>
      </w:r>
    </w:p>
    <w:p w14:paraId="66B8186E" w14:textId="77777777" w:rsidR="00926B3A" w:rsidRPr="003F7F6C" w:rsidRDefault="00A52B68" w:rsidP="00E91275">
      <w:pPr>
        <w:pStyle w:val="ListParagraph"/>
        <w:numPr>
          <w:ilvl w:val="0"/>
          <w:numId w:val="28"/>
        </w:numPr>
        <w:tabs>
          <w:tab w:val="left" w:pos="426"/>
        </w:tabs>
        <w:spacing w:after="240"/>
        <w:ind w:left="0" w:firstLine="0"/>
        <w:contextualSpacing w:val="0"/>
        <w:rPr>
          <w:rFonts w:eastAsia="Times New Roman" w:cs="Calibri"/>
          <w:szCs w:val="20"/>
          <w:lang w:eastAsia="es-ES_tradnl"/>
        </w:rPr>
      </w:pPr>
      <w:r w:rsidRPr="003F7F6C">
        <w:rPr>
          <w:rFonts w:cs="Calibri"/>
          <w:szCs w:val="20"/>
          <w:lang w:val="en"/>
        </w:rPr>
        <w:t xml:space="preserve">Dissemination will be undertaken through the project´s communication and information strategy. </w:t>
      </w:r>
      <w:r w:rsidRPr="003F7F6C">
        <w:rPr>
          <w:szCs w:val="20"/>
        </w:rPr>
        <w:t xml:space="preserve">The strategy will have the following objectives: a) raising awareness on ELUP, inform project progress and results of project M&amp;E, among others; b) managing technical information regarding ELUP and processing it to develop communication products to provide key stakeholders information that is reliable, clear and accessible; and c) systematizing project information, results and lessons to disseminate the knowledge generated and provide input for learnings and adjustments in the M&amp;E process.  Through it the project will guarantee: a) timely dissemination of information on social and environmental implications before decisions are taken; b) easy access to information related to the project by project stakeholders and </w:t>
      </w:r>
      <w:r w:rsidR="008A3A89" w:rsidRPr="003F7F6C">
        <w:rPr>
          <w:szCs w:val="20"/>
        </w:rPr>
        <w:t xml:space="preserve">the </w:t>
      </w:r>
      <w:r w:rsidRPr="003F7F6C">
        <w:rPr>
          <w:szCs w:val="20"/>
        </w:rPr>
        <w:t>public; and c) appropriate formats and languages adapted to the different target audiences (e.g.</w:t>
      </w:r>
      <w:r w:rsidR="008A3A89" w:rsidRPr="003F7F6C">
        <w:rPr>
          <w:szCs w:val="20"/>
        </w:rPr>
        <w:t>,</w:t>
      </w:r>
      <w:r w:rsidRPr="003F7F6C">
        <w:rPr>
          <w:szCs w:val="20"/>
        </w:rPr>
        <w:t xml:space="preserve"> authorities, technicians, academia, communities).</w:t>
      </w:r>
    </w:p>
    <w:p w14:paraId="3F8E2614" w14:textId="77777777" w:rsidR="00926B3A" w:rsidRPr="003F7F6C" w:rsidRDefault="00A52B68" w:rsidP="00E91275">
      <w:pPr>
        <w:pStyle w:val="ListParagraph"/>
        <w:numPr>
          <w:ilvl w:val="0"/>
          <w:numId w:val="28"/>
        </w:numPr>
        <w:tabs>
          <w:tab w:val="left" w:pos="426"/>
        </w:tabs>
        <w:spacing w:after="240"/>
        <w:ind w:left="0" w:firstLine="0"/>
        <w:contextualSpacing w:val="0"/>
        <w:rPr>
          <w:rFonts w:eastAsia="Times New Roman" w:cs="Calibri"/>
          <w:szCs w:val="20"/>
          <w:lang w:eastAsia="es-ES_tradnl"/>
        </w:rPr>
      </w:pPr>
      <w:r w:rsidRPr="003F7F6C">
        <w:rPr>
          <w:rFonts w:eastAsia="Times New Roman" w:cs="Calibri"/>
          <w:szCs w:val="20"/>
          <w:lang w:eastAsia="es-ES_tradnl"/>
        </w:rPr>
        <w:t xml:space="preserve">A number of communications products will be developed and disseminated throughout the life of the project </w:t>
      </w:r>
      <w:r w:rsidRPr="003F7F6C">
        <w:rPr>
          <w:rFonts w:cs="Calibri"/>
          <w:bCs/>
          <w:szCs w:val="20"/>
        </w:rPr>
        <w:t>in printed and electronic formats as well as on-line (mailing lists, SGAyDS and other partners´ websites, radio and television, and social media)</w:t>
      </w:r>
      <w:r w:rsidRPr="003F7F6C">
        <w:rPr>
          <w:rFonts w:eastAsia="Times New Roman" w:cs="Calibri"/>
          <w:szCs w:val="20"/>
          <w:lang w:eastAsia="es-ES_tradnl"/>
        </w:rPr>
        <w:t xml:space="preserve">. These will include: a) Information materials on the project approach and proposals, in order to generate interest in collaboration, as well as to prepare target audiences to receive and take on board subsequent messages and results; b) briefing documents for policy makers, in order to stimulate discussion and serve as inputs for policy influence; c) communication materials aimed at communicating project results to decision makers, institutional stakeholders and project managers beyond the project area, in order to contribute to up-scaling; d) awareness raising and communication materials related to gender issues and the project’s approach and impacts in relation to gender equality; e) communication materials aimed at local and regional stakeholders to encourage their engagement </w:t>
      </w:r>
      <w:r w:rsidR="008A3A89" w:rsidRPr="003F7F6C">
        <w:rPr>
          <w:rFonts w:eastAsia="Times New Roman" w:cs="Calibri"/>
          <w:szCs w:val="20"/>
          <w:lang w:eastAsia="es-ES_tradnl"/>
        </w:rPr>
        <w:t xml:space="preserve">in </w:t>
      </w:r>
      <w:r w:rsidRPr="003F7F6C">
        <w:rPr>
          <w:rFonts w:eastAsia="Times New Roman" w:cs="Calibri"/>
          <w:szCs w:val="20"/>
          <w:lang w:eastAsia="es-ES_tradnl"/>
        </w:rPr>
        <w:t xml:space="preserve">raising awareness regarding the project´s objectives. </w:t>
      </w:r>
    </w:p>
    <w:p w14:paraId="4B57993E" w14:textId="77777777" w:rsidR="00926B3A" w:rsidRPr="003F7F6C" w:rsidRDefault="00A52B68" w:rsidP="00E91275">
      <w:pPr>
        <w:pStyle w:val="ListParagraph"/>
        <w:numPr>
          <w:ilvl w:val="0"/>
          <w:numId w:val="28"/>
        </w:numPr>
        <w:tabs>
          <w:tab w:val="left" w:pos="426"/>
        </w:tabs>
        <w:spacing w:after="240"/>
        <w:ind w:left="0" w:firstLine="0"/>
        <w:contextualSpacing w:val="0"/>
        <w:rPr>
          <w:rFonts w:eastAsia="Times New Roman" w:cs="Calibri"/>
          <w:szCs w:val="20"/>
          <w:lang w:eastAsia="es-ES_tradnl"/>
        </w:rPr>
      </w:pPr>
      <w:r w:rsidRPr="003F7F6C">
        <w:rPr>
          <w:rFonts w:cs="Calibri"/>
          <w:bCs/>
          <w:szCs w:val="20"/>
        </w:rPr>
        <w:t xml:space="preserve">The project will prepare and disseminate reports systematizing project experiences, best practices and lessons learned. These reports will </w:t>
      </w:r>
      <w:r w:rsidR="008A3A89" w:rsidRPr="003F7F6C">
        <w:rPr>
          <w:rFonts w:cs="Calibri"/>
          <w:bCs/>
          <w:szCs w:val="20"/>
        </w:rPr>
        <w:t xml:space="preserve">tackle </w:t>
      </w:r>
      <w:r w:rsidRPr="003F7F6C">
        <w:rPr>
          <w:rFonts w:cs="Calibri"/>
          <w:bCs/>
          <w:szCs w:val="20"/>
        </w:rPr>
        <w:t xml:space="preserve">different themes such as: economic and financial instruments for ELUP; environmentally friendly and sustainable practices in the target landscapes; ELUP implementation in pilot provinces; gender mainstreaming; multi-stakeholder dialogue spaces and participation and particularly </w:t>
      </w:r>
      <w:r w:rsidRPr="003F7F6C">
        <w:t>women’s participation</w:t>
      </w:r>
      <w:r w:rsidRPr="003F7F6C">
        <w:rPr>
          <w:rFonts w:cs="Calibri"/>
          <w:bCs/>
          <w:szCs w:val="20"/>
        </w:rPr>
        <w:t xml:space="preserve">; and ELUP methodological guidelines at national and provincial levels. </w:t>
      </w:r>
      <w:r w:rsidRPr="003F7F6C">
        <w:rPr>
          <w:rFonts w:eastAsia="MS Gothic" w:cs="Calibri"/>
          <w:szCs w:val="20"/>
        </w:rPr>
        <w:t xml:space="preserve">Publications will include information on the methodologies applied, the difficulties encountered, as well as </w:t>
      </w:r>
      <w:r w:rsidRPr="003F7F6C">
        <w:rPr>
          <w:rStyle w:val="hps"/>
          <w:rFonts w:cs="Calibri"/>
          <w:szCs w:val="20"/>
          <w:lang w:val="en"/>
        </w:rPr>
        <w:t>success</w:t>
      </w:r>
      <w:r w:rsidR="004A477F" w:rsidRPr="003F7F6C">
        <w:rPr>
          <w:rStyle w:val="hps"/>
          <w:rFonts w:cs="Calibri"/>
          <w:szCs w:val="20"/>
          <w:lang w:val="en"/>
        </w:rPr>
        <w:t xml:space="preserve"> stories</w:t>
      </w:r>
      <w:r w:rsidRPr="003F7F6C">
        <w:rPr>
          <w:rFonts w:cs="Calibri"/>
          <w:szCs w:val="20"/>
          <w:lang w:val="en"/>
        </w:rPr>
        <w:t xml:space="preserve"> </w:t>
      </w:r>
      <w:r w:rsidRPr="003F7F6C">
        <w:rPr>
          <w:rStyle w:val="hps"/>
          <w:rFonts w:cs="Calibri"/>
          <w:szCs w:val="20"/>
          <w:lang w:val="en"/>
        </w:rPr>
        <w:t xml:space="preserve">and their </w:t>
      </w:r>
      <w:r w:rsidR="004A477F" w:rsidRPr="003F7F6C">
        <w:rPr>
          <w:rStyle w:val="hps"/>
          <w:rFonts w:cs="Calibri"/>
          <w:szCs w:val="20"/>
          <w:lang w:val="en"/>
        </w:rPr>
        <w:t>contribution to</w:t>
      </w:r>
      <w:r w:rsidR="004A477F" w:rsidRPr="003F7F6C">
        <w:rPr>
          <w:rFonts w:cs="Calibri"/>
          <w:szCs w:val="20"/>
          <w:lang w:val="en"/>
        </w:rPr>
        <w:t xml:space="preserve"> </w:t>
      </w:r>
      <w:r w:rsidRPr="003F7F6C">
        <w:rPr>
          <w:rFonts w:cs="Calibri"/>
          <w:szCs w:val="20"/>
          <w:lang w:val="en"/>
        </w:rPr>
        <w:t xml:space="preserve">the </w:t>
      </w:r>
      <w:r w:rsidRPr="003F7F6C">
        <w:rPr>
          <w:rStyle w:val="hps"/>
          <w:rFonts w:cs="Calibri"/>
          <w:szCs w:val="20"/>
          <w:lang w:val="en"/>
        </w:rPr>
        <w:t>project’s objectives</w:t>
      </w:r>
      <w:r w:rsidRPr="003F7F6C">
        <w:rPr>
          <w:rFonts w:cs="Calibri"/>
          <w:szCs w:val="20"/>
          <w:lang w:val="en"/>
        </w:rPr>
        <w:t xml:space="preserve">. </w:t>
      </w:r>
    </w:p>
    <w:p w14:paraId="7A9EC067" w14:textId="77777777" w:rsidR="006B1FC1" w:rsidRPr="003F7F6C" w:rsidRDefault="00A52B68" w:rsidP="00E91275">
      <w:pPr>
        <w:pStyle w:val="ListParagraph"/>
        <w:numPr>
          <w:ilvl w:val="0"/>
          <w:numId w:val="28"/>
        </w:numPr>
        <w:tabs>
          <w:tab w:val="left" w:pos="426"/>
        </w:tabs>
        <w:spacing w:after="240"/>
        <w:ind w:left="0" w:firstLine="0"/>
        <w:contextualSpacing w:val="0"/>
        <w:rPr>
          <w:rFonts w:eastAsia="Times New Roman" w:cs="Calibri"/>
          <w:szCs w:val="20"/>
          <w:lang w:eastAsia="es-ES_tradnl"/>
        </w:rPr>
      </w:pPr>
      <w:r w:rsidRPr="003F7F6C">
        <w:rPr>
          <w:rFonts w:eastAsia="Times New Roman" w:cs="Calibri"/>
          <w:szCs w:val="20"/>
          <w:lang w:eastAsia="es-ES_tradnl"/>
        </w:rPr>
        <w:t>These reports will also be disseminated to a broader range of stakeholders through communication channels such as websites, information networks, fora and publications, among others, to support the implementation of similar projects in the region. COFEMA, CONADIBIO, COFEPLAN and COFELMA will also serve as conduit</w:t>
      </w:r>
      <w:r w:rsidR="00B1239F" w:rsidRPr="003F7F6C">
        <w:rPr>
          <w:rFonts w:eastAsia="Times New Roman" w:cs="Calibri"/>
          <w:szCs w:val="20"/>
          <w:lang w:eastAsia="es-ES_tradnl"/>
        </w:rPr>
        <w:t>s</w:t>
      </w:r>
      <w:r w:rsidRPr="003F7F6C">
        <w:rPr>
          <w:rFonts w:eastAsia="Times New Roman" w:cs="Calibri"/>
          <w:szCs w:val="20"/>
          <w:lang w:eastAsia="es-ES_tradnl"/>
        </w:rPr>
        <w:t xml:space="preserve"> for dissemination of best practices and for management, dialogue and consensus building at the federal level to implement ELUP.</w:t>
      </w:r>
      <w:r w:rsidR="00D15182" w:rsidRPr="003F7F6C">
        <w:rPr>
          <w:rFonts w:eastAsia="Times New Roman" w:cs="Calibri"/>
          <w:szCs w:val="20"/>
          <w:lang w:eastAsia="es-ES_tradnl"/>
        </w:rPr>
        <w:t xml:space="preserve"> In addition, t</w:t>
      </w:r>
      <w:r w:rsidRPr="003F7F6C">
        <w:rPr>
          <w:rFonts w:eastAsia="Times New Roman" w:cs="Calibri"/>
          <w:szCs w:val="20"/>
          <w:lang w:eastAsia="es-ES_tradnl"/>
        </w:rPr>
        <w:t xml:space="preserve">he project will participate, as relevant and appropriate, in networks sponsored by UNDP/GEF, organized by expert staff who work in projects that share common characteristics. </w:t>
      </w:r>
    </w:p>
    <w:p w14:paraId="37482A4D" w14:textId="77777777" w:rsidR="006B1FC1" w:rsidRPr="003F7F6C" w:rsidRDefault="006B1FC1" w:rsidP="006B1FC1">
      <w:pPr>
        <w:pStyle w:val="ListParagraph"/>
        <w:tabs>
          <w:tab w:val="left" w:pos="426"/>
        </w:tabs>
        <w:spacing w:after="240"/>
        <w:ind w:left="0"/>
        <w:contextualSpacing w:val="0"/>
        <w:rPr>
          <w:szCs w:val="20"/>
          <w:u w:val="single"/>
        </w:rPr>
      </w:pPr>
    </w:p>
    <w:p w14:paraId="668BA19D" w14:textId="77777777" w:rsidR="006B1FC1" w:rsidRPr="003F7F6C" w:rsidRDefault="00A91A62" w:rsidP="006B1FC1">
      <w:pPr>
        <w:pStyle w:val="ListParagraph"/>
        <w:tabs>
          <w:tab w:val="left" w:pos="426"/>
        </w:tabs>
        <w:spacing w:after="240"/>
        <w:ind w:left="0"/>
        <w:contextualSpacing w:val="0"/>
        <w:rPr>
          <w:rFonts w:eastAsia="Times New Roman" w:cs="Calibri"/>
          <w:szCs w:val="20"/>
          <w:lang w:eastAsia="es-ES_tradnl"/>
        </w:rPr>
      </w:pPr>
      <w:r w:rsidRPr="003F7F6C">
        <w:rPr>
          <w:szCs w:val="20"/>
          <w:u w:val="single"/>
        </w:rPr>
        <w:t>P</w:t>
      </w:r>
      <w:r w:rsidR="00C644BD" w:rsidRPr="003F7F6C">
        <w:rPr>
          <w:szCs w:val="20"/>
          <w:u w:val="single"/>
        </w:rPr>
        <w:t>artnerships</w:t>
      </w:r>
      <w:r w:rsidR="00C644BD" w:rsidRPr="003F7F6C">
        <w:rPr>
          <w:szCs w:val="20"/>
        </w:rPr>
        <w:t>:</w:t>
      </w:r>
      <w:r w:rsidR="00C644BD" w:rsidRPr="003F7F6C">
        <w:rPr>
          <w:i/>
          <w:szCs w:val="20"/>
        </w:rPr>
        <w:t xml:space="preserve">  </w:t>
      </w:r>
    </w:p>
    <w:p w14:paraId="15C3F57B" w14:textId="77777777" w:rsidR="003565A9" w:rsidRPr="003F7F6C" w:rsidRDefault="003565A9" w:rsidP="00E91275">
      <w:pPr>
        <w:pStyle w:val="ListParagraph"/>
        <w:numPr>
          <w:ilvl w:val="0"/>
          <w:numId w:val="28"/>
        </w:numPr>
        <w:tabs>
          <w:tab w:val="left" w:pos="426"/>
        </w:tabs>
        <w:spacing w:after="240"/>
        <w:ind w:left="0" w:firstLine="0"/>
        <w:contextualSpacing w:val="0"/>
        <w:rPr>
          <w:rFonts w:eastAsia="Times New Roman" w:cs="Calibri"/>
          <w:szCs w:val="20"/>
          <w:lang w:eastAsia="es-ES_tradnl"/>
        </w:rPr>
      </w:pPr>
      <w:r w:rsidRPr="003F7F6C">
        <w:rPr>
          <w:rFonts w:eastAsia="Times New Roman" w:cs="Calibri"/>
          <w:szCs w:val="20"/>
          <w:lang w:eastAsia="es-ES_tradnl"/>
        </w:rPr>
        <w:t xml:space="preserve">The ELUP project will coordinate with several ongoing projects financed by GEF as well as </w:t>
      </w:r>
      <w:r w:rsidR="004B22DA" w:rsidRPr="003F7F6C">
        <w:rPr>
          <w:rFonts w:eastAsia="Times New Roman" w:cs="Calibri"/>
          <w:szCs w:val="20"/>
          <w:lang w:eastAsia="es-ES_tradnl"/>
        </w:rPr>
        <w:t>national programs and projects.</w:t>
      </w:r>
      <w:r w:rsidR="004B22DA" w:rsidRPr="003F7F6C">
        <w:rPr>
          <w:rFonts w:cs="Calibri"/>
          <w:szCs w:val="20"/>
        </w:rPr>
        <w:t xml:space="preserve"> </w:t>
      </w:r>
      <w:r w:rsidRPr="003F7F6C">
        <w:rPr>
          <w:rFonts w:eastAsia="Times New Roman" w:cs="Calibri"/>
          <w:szCs w:val="20"/>
          <w:lang w:eastAsia="es-ES_tradnl"/>
        </w:rPr>
        <w:t xml:space="preserve">A set of specific mechanisms will be used for such coordination: </w:t>
      </w:r>
      <w:r w:rsidR="00710937" w:rsidRPr="003F7F6C">
        <w:rPr>
          <w:rFonts w:eastAsia="Times New Roman" w:cs="Calibri"/>
          <w:szCs w:val="20"/>
          <w:lang w:eastAsia="es-ES_tradnl"/>
        </w:rPr>
        <w:t>a</w:t>
      </w:r>
      <w:r w:rsidRPr="003F7F6C">
        <w:rPr>
          <w:rFonts w:eastAsia="Times New Roman" w:cs="Calibri"/>
          <w:szCs w:val="20"/>
          <w:lang w:eastAsia="es-ES_tradnl"/>
        </w:rPr>
        <w:t xml:space="preserve">) annual coordination and planning meetings; b) technical meetings for sector-specific matters; c) meetings and activities to exchange lessons learned and good practices, with the authorities and technical and other sectors. The </w:t>
      </w:r>
      <w:r w:rsidR="004B22DA" w:rsidRPr="003F7F6C">
        <w:rPr>
          <w:rFonts w:eastAsia="Times New Roman" w:cs="Calibri"/>
          <w:szCs w:val="20"/>
          <w:lang w:eastAsia="es-ES_tradnl"/>
        </w:rPr>
        <w:t>role of SG</w:t>
      </w:r>
      <w:r w:rsidRPr="003F7F6C">
        <w:rPr>
          <w:rFonts w:eastAsia="Times New Roman" w:cs="Calibri"/>
          <w:szCs w:val="20"/>
          <w:lang w:eastAsia="es-ES_tradnl"/>
        </w:rPr>
        <w:t>AyDS as a national executing agency will facilitate coordination, supplementation and synergies with other initiatives and will also help to tap lessons learned. Implementation through UNDP will also make coordination easier, and its experience in implementing other sustainable deve</w:t>
      </w:r>
      <w:r w:rsidR="004B22DA" w:rsidRPr="003F7F6C">
        <w:rPr>
          <w:rFonts w:eastAsia="Times New Roman" w:cs="Calibri"/>
          <w:szCs w:val="20"/>
          <w:lang w:eastAsia="es-ES_tradnl"/>
        </w:rPr>
        <w:t>lopment projects together with SG</w:t>
      </w:r>
      <w:r w:rsidRPr="003F7F6C">
        <w:rPr>
          <w:rFonts w:eastAsia="Times New Roman" w:cs="Calibri"/>
          <w:szCs w:val="20"/>
          <w:lang w:eastAsia="es-ES_tradnl"/>
        </w:rPr>
        <w:t>AyDS in Argentina will be key to programming activities and fulfilling objectives.</w:t>
      </w:r>
    </w:p>
    <w:p w14:paraId="19AD2350" w14:textId="77777777" w:rsidR="00BF204C" w:rsidRPr="003F7F6C" w:rsidRDefault="00BF204C" w:rsidP="00E91275">
      <w:pPr>
        <w:numPr>
          <w:ilvl w:val="0"/>
          <w:numId w:val="32"/>
        </w:numPr>
        <w:spacing w:after="0"/>
        <w:jc w:val="left"/>
        <w:rPr>
          <w:rFonts w:cs="Segoe UI"/>
          <w:color w:val="000000"/>
          <w:szCs w:val="20"/>
        </w:rPr>
      </w:pPr>
      <w:r w:rsidRPr="003F7F6C">
        <w:rPr>
          <w:rFonts w:cs="Segoe UI"/>
          <w:color w:val="000000"/>
          <w:szCs w:val="20"/>
        </w:rPr>
        <w:t>GEF-UNDP Full Size</w:t>
      </w:r>
      <w:r w:rsidR="007B4429" w:rsidRPr="003F7F6C">
        <w:rPr>
          <w:rFonts w:cs="Segoe UI"/>
          <w:color w:val="000000"/>
          <w:szCs w:val="20"/>
        </w:rPr>
        <w:t>d</w:t>
      </w:r>
      <w:r w:rsidRPr="003F7F6C">
        <w:rPr>
          <w:rFonts w:cs="Segoe UI"/>
          <w:color w:val="000000"/>
          <w:szCs w:val="20"/>
        </w:rPr>
        <w:t xml:space="preserve"> Project 5734 “Sustainable Business Models for Biogas Production from Organic Municipal Solid Waste” which seeks to introduce biogas technologies for energy generation as part of the national program for integrated municipal solid waste management.  Production of biogas may be an eligible option in several localities of the target landscapes of the three provinces.</w:t>
      </w:r>
    </w:p>
    <w:p w14:paraId="22306D4F" w14:textId="77777777" w:rsidR="00BF204C" w:rsidRPr="003F7F6C" w:rsidRDefault="00BF204C" w:rsidP="00E91275">
      <w:pPr>
        <w:numPr>
          <w:ilvl w:val="0"/>
          <w:numId w:val="32"/>
        </w:numPr>
        <w:spacing w:after="0"/>
        <w:jc w:val="left"/>
        <w:rPr>
          <w:rFonts w:cs="Segoe UI"/>
          <w:color w:val="000000"/>
          <w:szCs w:val="20"/>
        </w:rPr>
      </w:pPr>
      <w:r w:rsidRPr="003F7F6C">
        <w:rPr>
          <w:rFonts w:cs="Segoe UI"/>
          <w:color w:val="000000"/>
          <w:szCs w:val="20"/>
        </w:rPr>
        <w:t>GEF-UNDP Full Size</w:t>
      </w:r>
      <w:r w:rsidR="007B4429" w:rsidRPr="003F7F6C">
        <w:rPr>
          <w:rFonts w:cs="Segoe UI"/>
          <w:color w:val="000000"/>
          <w:szCs w:val="20"/>
        </w:rPr>
        <w:t>d</w:t>
      </w:r>
      <w:r w:rsidRPr="003F7F6C">
        <w:rPr>
          <w:rFonts w:cs="Segoe UI"/>
          <w:color w:val="000000"/>
          <w:szCs w:val="20"/>
        </w:rPr>
        <w:t xml:space="preserve"> Project 5044 “Sustainable Land Use Management in the Drylands of North-west Argentina” with the objective of building a sustainable land management framework to alleviate land degradation, maintain ecosystem services and improve rural livelihoods.  This project includes developing integrated management plans and tools and met</w:t>
      </w:r>
      <w:r w:rsidR="004F6E06" w:rsidRPr="003F7F6C">
        <w:rPr>
          <w:rFonts w:cs="Segoe UI"/>
          <w:color w:val="000000"/>
          <w:szCs w:val="20"/>
        </w:rPr>
        <w:t xml:space="preserve">hodologies in </w:t>
      </w:r>
      <w:r w:rsidR="00B1239F" w:rsidRPr="003F7F6C">
        <w:rPr>
          <w:rFonts w:cs="Segoe UI"/>
          <w:color w:val="000000"/>
          <w:szCs w:val="20"/>
        </w:rPr>
        <w:t xml:space="preserve">the </w:t>
      </w:r>
      <w:r w:rsidR="004F6E06" w:rsidRPr="003F7F6C">
        <w:rPr>
          <w:rFonts w:cs="Segoe UI"/>
          <w:color w:val="000000"/>
          <w:szCs w:val="20"/>
        </w:rPr>
        <w:t xml:space="preserve">ecoregions of Jujuy and Mendoza that are </w:t>
      </w:r>
      <w:r w:rsidR="00B1239F" w:rsidRPr="003F7F6C">
        <w:rPr>
          <w:rFonts w:cs="Segoe UI"/>
          <w:color w:val="000000"/>
          <w:szCs w:val="20"/>
        </w:rPr>
        <w:t xml:space="preserve">shared </w:t>
      </w:r>
      <w:r w:rsidR="004F6E06" w:rsidRPr="003F7F6C">
        <w:rPr>
          <w:rFonts w:cs="Segoe UI"/>
          <w:color w:val="000000"/>
          <w:szCs w:val="20"/>
        </w:rPr>
        <w:t>with the ELUP project.</w:t>
      </w:r>
    </w:p>
    <w:p w14:paraId="36DE40D9" w14:textId="77777777" w:rsidR="004F6E06" w:rsidRPr="003F7F6C" w:rsidRDefault="004F6E06" w:rsidP="00E91275">
      <w:pPr>
        <w:numPr>
          <w:ilvl w:val="0"/>
          <w:numId w:val="32"/>
        </w:numPr>
        <w:spacing w:after="0"/>
        <w:rPr>
          <w:rFonts w:cs="Segoe UI"/>
          <w:color w:val="000000"/>
          <w:szCs w:val="20"/>
        </w:rPr>
      </w:pPr>
      <w:r w:rsidRPr="003F7F6C">
        <w:rPr>
          <w:rFonts w:cs="Segoe UI"/>
          <w:color w:val="000000"/>
          <w:szCs w:val="20"/>
        </w:rPr>
        <w:t>GEF-FAO Full Size</w:t>
      </w:r>
      <w:r w:rsidR="007B4429" w:rsidRPr="003F7F6C">
        <w:rPr>
          <w:rFonts w:cs="Segoe UI"/>
          <w:color w:val="000000"/>
          <w:szCs w:val="20"/>
        </w:rPr>
        <w:t>d</w:t>
      </w:r>
      <w:r w:rsidRPr="003F7F6C">
        <w:rPr>
          <w:rFonts w:cs="Segoe UI"/>
          <w:color w:val="000000"/>
          <w:szCs w:val="20"/>
        </w:rPr>
        <w:t xml:space="preserve"> Project 4768 “Strengthening the Governance for Protection of Biodiversity through the Formulation and Implementation of the National Strategy on Invasive Alien Species” seeking the effective protection of biodiversity against the impact of invasive alien species, which may provide experiences to strengthen BD protection in the ELUP project in target landscapes where there a</w:t>
      </w:r>
      <w:r w:rsidR="00B1239F" w:rsidRPr="003F7F6C">
        <w:rPr>
          <w:rFonts w:cs="Segoe UI"/>
          <w:color w:val="000000"/>
          <w:szCs w:val="20"/>
        </w:rPr>
        <w:t>re</w:t>
      </w:r>
      <w:r w:rsidRPr="003F7F6C">
        <w:rPr>
          <w:rFonts w:cs="Segoe UI"/>
          <w:color w:val="000000"/>
          <w:szCs w:val="20"/>
        </w:rPr>
        <w:t xml:space="preserve"> problems with invasive alien species.</w:t>
      </w:r>
    </w:p>
    <w:p w14:paraId="076A93CF" w14:textId="77777777" w:rsidR="00F64CD1" w:rsidRPr="003F7F6C" w:rsidRDefault="00F64CD1" w:rsidP="00E91275">
      <w:pPr>
        <w:numPr>
          <w:ilvl w:val="0"/>
          <w:numId w:val="32"/>
        </w:numPr>
        <w:spacing w:after="0"/>
        <w:jc w:val="left"/>
        <w:rPr>
          <w:rFonts w:cs="Segoe UI"/>
          <w:color w:val="000000"/>
          <w:szCs w:val="20"/>
        </w:rPr>
      </w:pPr>
      <w:r w:rsidRPr="003F7F6C">
        <w:rPr>
          <w:rFonts w:cs="Segoe UI"/>
          <w:color w:val="000000"/>
          <w:szCs w:val="20"/>
        </w:rPr>
        <w:t>GEF-FAO Enabling Activity 5897 “Alignment of the National Action Programs of Argentina with the UNCCD Ten-Year Strategy” which seeks to control desertification through practices which can be coordinated with the ELUP project in target landscapes.</w:t>
      </w:r>
    </w:p>
    <w:p w14:paraId="1EB530E9" w14:textId="77777777" w:rsidR="00C801A8" w:rsidRPr="003F7F6C" w:rsidRDefault="00C801A8" w:rsidP="00C10750">
      <w:pPr>
        <w:spacing w:after="240"/>
        <w:ind w:left="720"/>
        <w:rPr>
          <w:rFonts w:cs="Segoe UI"/>
          <w:color w:val="000000"/>
          <w:szCs w:val="20"/>
        </w:rPr>
      </w:pPr>
    </w:p>
    <w:p w14:paraId="282223C7" w14:textId="77777777" w:rsidR="006B1FC1" w:rsidRPr="003F7F6C" w:rsidRDefault="00F64CD1" w:rsidP="00E91275">
      <w:pPr>
        <w:numPr>
          <w:ilvl w:val="0"/>
          <w:numId w:val="28"/>
        </w:numPr>
        <w:tabs>
          <w:tab w:val="left" w:pos="426"/>
        </w:tabs>
        <w:spacing w:after="240"/>
        <w:ind w:left="0" w:firstLine="0"/>
        <w:rPr>
          <w:rFonts w:cs="Segoe UI"/>
          <w:color w:val="000000"/>
          <w:szCs w:val="20"/>
        </w:rPr>
      </w:pPr>
      <w:r w:rsidRPr="003F7F6C">
        <w:rPr>
          <w:rFonts w:cs="Segoe UI"/>
          <w:color w:val="000000"/>
          <w:szCs w:val="20"/>
        </w:rPr>
        <w:t xml:space="preserve">The project will also coordinate and establish synergies </w:t>
      </w:r>
      <w:r w:rsidR="00195DCA" w:rsidRPr="003F7F6C">
        <w:rPr>
          <w:rFonts w:cs="Segoe UI"/>
          <w:color w:val="000000"/>
          <w:szCs w:val="20"/>
        </w:rPr>
        <w:t xml:space="preserve">with </w:t>
      </w:r>
      <w:r w:rsidR="009A6E14" w:rsidRPr="003F7F6C">
        <w:rPr>
          <w:rFonts w:cs="Segoe UI"/>
          <w:color w:val="000000"/>
          <w:szCs w:val="20"/>
        </w:rPr>
        <w:t>SGAyDS</w:t>
      </w:r>
      <w:r w:rsidR="00C801A8" w:rsidRPr="003F7F6C">
        <w:rPr>
          <w:rFonts w:cs="Segoe UI"/>
          <w:color w:val="000000"/>
          <w:szCs w:val="20"/>
        </w:rPr>
        <w:t xml:space="preserve"> programs and projects,</w:t>
      </w:r>
      <w:r w:rsidR="00195DCA" w:rsidRPr="003F7F6C">
        <w:rPr>
          <w:rFonts w:cs="Segoe UI"/>
          <w:color w:val="000000"/>
          <w:szCs w:val="20"/>
        </w:rPr>
        <w:t xml:space="preserve"> such as</w:t>
      </w:r>
      <w:r w:rsidR="00C801A8" w:rsidRPr="003F7F6C">
        <w:rPr>
          <w:rFonts w:cs="Segoe UI"/>
          <w:color w:val="000000"/>
          <w:szCs w:val="20"/>
        </w:rPr>
        <w:t xml:space="preserve"> </w:t>
      </w:r>
      <w:r w:rsidR="009A6E14" w:rsidRPr="003F7F6C">
        <w:rPr>
          <w:rFonts w:cs="Segoe UI"/>
          <w:color w:val="000000"/>
          <w:szCs w:val="20"/>
        </w:rPr>
        <w:t xml:space="preserve">the </w:t>
      </w:r>
      <w:r w:rsidR="00C801A8" w:rsidRPr="003F7F6C">
        <w:rPr>
          <w:rFonts w:cs="Segoe UI"/>
          <w:color w:val="000000"/>
          <w:szCs w:val="20"/>
        </w:rPr>
        <w:t>“</w:t>
      </w:r>
      <w:r w:rsidR="009A6E14" w:rsidRPr="003F7F6C">
        <w:rPr>
          <w:rFonts w:cs="Segoe UI"/>
          <w:color w:val="000000"/>
          <w:szCs w:val="20"/>
        </w:rPr>
        <w:t>National Plan for Res</w:t>
      </w:r>
      <w:r w:rsidR="00C801A8" w:rsidRPr="003F7F6C">
        <w:rPr>
          <w:rFonts w:cs="Segoe UI"/>
          <w:color w:val="000000"/>
          <w:szCs w:val="20"/>
        </w:rPr>
        <w:t xml:space="preserve">toration of Native Forests”, </w:t>
      </w:r>
      <w:r w:rsidR="009A6E14" w:rsidRPr="003F7F6C">
        <w:rPr>
          <w:rFonts w:cs="Segoe UI"/>
          <w:color w:val="000000"/>
          <w:szCs w:val="20"/>
        </w:rPr>
        <w:t xml:space="preserve">the </w:t>
      </w:r>
      <w:r w:rsidR="00C801A8" w:rsidRPr="003F7F6C">
        <w:rPr>
          <w:rFonts w:cs="Segoe UI"/>
          <w:color w:val="000000"/>
          <w:szCs w:val="20"/>
        </w:rPr>
        <w:t>“</w:t>
      </w:r>
      <w:r w:rsidR="009A6E14" w:rsidRPr="003F7F6C">
        <w:rPr>
          <w:rFonts w:cs="Segoe UI"/>
          <w:color w:val="000000"/>
          <w:szCs w:val="20"/>
        </w:rPr>
        <w:t>Zero Extinction Action Plan</w:t>
      </w:r>
      <w:r w:rsidR="00C801A8" w:rsidRPr="003F7F6C">
        <w:rPr>
          <w:rFonts w:cs="Segoe UI"/>
          <w:color w:val="000000"/>
          <w:szCs w:val="20"/>
        </w:rPr>
        <w:t>”, and the Adaptation Fund Project “Increasing climate resilience and improving sustainable land management in the South-west of the Province of Buenos Aires</w:t>
      </w:r>
      <w:r w:rsidR="009A6E14" w:rsidRPr="003F7F6C">
        <w:rPr>
          <w:rFonts w:cs="Segoe UI"/>
          <w:color w:val="000000"/>
          <w:szCs w:val="20"/>
        </w:rPr>
        <w:t>.  Likewise, it will coordinate with several INTA projects that may provide inputs for developing ELUP instruments and designing best practices in the target landscapes. At national level</w:t>
      </w:r>
      <w:r w:rsidR="00CB67DE" w:rsidRPr="003F7F6C">
        <w:rPr>
          <w:rFonts w:cs="Segoe UI"/>
          <w:color w:val="000000"/>
          <w:szCs w:val="20"/>
        </w:rPr>
        <w:t>, these include</w:t>
      </w:r>
      <w:r w:rsidR="009A6E14" w:rsidRPr="003F7F6C">
        <w:rPr>
          <w:rFonts w:cs="Segoe UI"/>
          <w:color w:val="000000"/>
          <w:szCs w:val="20"/>
        </w:rPr>
        <w:t xml:space="preserve"> the projects “Territorial Information Systems for decision making at national and local level”; “Land use planning of the rural territory”; “Observatories of rural sustainability”</w:t>
      </w:r>
      <w:r w:rsidR="00E41ED7" w:rsidRPr="003F7F6C">
        <w:rPr>
          <w:rFonts w:cs="Segoe UI"/>
          <w:color w:val="000000"/>
          <w:szCs w:val="20"/>
        </w:rPr>
        <w:t xml:space="preserve"> and</w:t>
      </w:r>
      <w:r w:rsidR="009A6E14" w:rsidRPr="003F7F6C">
        <w:rPr>
          <w:rFonts w:cs="Segoe UI"/>
          <w:color w:val="000000"/>
          <w:szCs w:val="20"/>
        </w:rPr>
        <w:t xml:space="preserve"> </w:t>
      </w:r>
      <w:r w:rsidR="00E41ED7" w:rsidRPr="003F7F6C">
        <w:rPr>
          <w:rFonts w:cs="Segoe UI"/>
          <w:color w:val="000000"/>
          <w:szCs w:val="20"/>
        </w:rPr>
        <w:t>i</w:t>
      </w:r>
      <w:r w:rsidR="009A6E14" w:rsidRPr="003F7F6C">
        <w:rPr>
          <w:rFonts w:cs="Segoe UI"/>
          <w:color w:val="000000"/>
          <w:szCs w:val="20"/>
        </w:rPr>
        <w:t xml:space="preserve">n Mendoza and Jujuy </w:t>
      </w:r>
      <w:r w:rsidR="005D67FD" w:rsidRPr="003F7F6C">
        <w:rPr>
          <w:rFonts w:cs="Segoe UI"/>
          <w:color w:val="000000"/>
          <w:szCs w:val="20"/>
        </w:rPr>
        <w:t>the</w:t>
      </w:r>
      <w:r w:rsidR="009A6E14" w:rsidRPr="003F7F6C">
        <w:rPr>
          <w:rFonts w:cs="Segoe UI"/>
          <w:color w:val="000000"/>
          <w:szCs w:val="20"/>
        </w:rPr>
        <w:t xml:space="preserve"> projects “Territorial dynamic in land use and cover in the Argentine Republic” and “Technical support and training in rural land use processes”.</w:t>
      </w:r>
      <w:r w:rsidR="00C801A8" w:rsidRPr="003F7F6C">
        <w:rPr>
          <w:rFonts w:cs="Segoe UI"/>
          <w:color w:val="000000"/>
          <w:szCs w:val="20"/>
        </w:rPr>
        <w:t xml:space="preserve">  The project will also coordinate with the pilot site implemented by the ONDTyD in Jujuy where LD indicators are being measured and the methodology for evaluating lands and best management practices is being implemented.</w:t>
      </w:r>
    </w:p>
    <w:p w14:paraId="1E9D109E" w14:textId="4402FF67" w:rsidR="006B1FC1" w:rsidRPr="003F7F6C" w:rsidRDefault="002565E7" w:rsidP="00E91275">
      <w:pPr>
        <w:numPr>
          <w:ilvl w:val="0"/>
          <w:numId w:val="28"/>
        </w:numPr>
        <w:tabs>
          <w:tab w:val="left" w:pos="426"/>
        </w:tabs>
        <w:spacing w:after="240"/>
        <w:ind w:left="0" w:firstLine="0"/>
        <w:rPr>
          <w:u w:val="single"/>
        </w:rPr>
      </w:pPr>
      <w:r w:rsidRPr="003F7F6C">
        <w:rPr>
          <w:rFonts w:cs="Calibri"/>
          <w:color w:val="000000"/>
          <w:szCs w:val="20"/>
        </w:rPr>
        <w:t xml:space="preserve">The project will </w:t>
      </w:r>
      <w:r w:rsidR="005D67FD" w:rsidRPr="003F7F6C">
        <w:rPr>
          <w:rFonts w:eastAsia="Times New Roman" w:cs="Calibri"/>
          <w:szCs w:val="20"/>
          <w:lang w:eastAsia="es-ES_tradnl"/>
        </w:rPr>
        <w:t>place special emphasis on</w:t>
      </w:r>
      <w:r w:rsidRPr="003F7F6C">
        <w:rPr>
          <w:rFonts w:eastAsia="Times New Roman" w:cs="Calibri"/>
          <w:szCs w:val="20"/>
          <w:lang w:eastAsia="es-ES_tradnl"/>
        </w:rPr>
        <w:t xml:space="preserve"> assessing lessons learned</w:t>
      </w:r>
      <w:r w:rsidR="00710937" w:rsidRPr="003F7F6C">
        <w:rPr>
          <w:rFonts w:eastAsia="Times New Roman" w:cs="Calibri"/>
          <w:szCs w:val="20"/>
          <w:lang w:eastAsia="es-ES_tradnl"/>
        </w:rPr>
        <w:t xml:space="preserve"> from relevant project</w:t>
      </w:r>
      <w:r w:rsidR="005D67FD" w:rsidRPr="003F7F6C">
        <w:rPr>
          <w:rFonts w:eastAsia="Times New Roman" w:cs="Calibri"/>
          <w:szCs w:val="20"/>
          <w:lang w:eastAsia="es-ES_tradnl"/>
        </w:rPr>
        <w:t>s</w:t>
      </w:r>
      <w:r w:rsidR="00710937" w:rsidRPr="003F7F6C">
        <w:rPr>
          <w:rFonts w:eastAsia="Times New Roman" w:cs="Calibri"/>
          <w:szCs w:val="20"/>
          <w:lang w:eastAsia="es-ES_tradnl"/>
        </w:rPr>
        <w:t xml:space="preserve"> </w:t>
      </w:r>
      <w:r w:rsidR="005D67FD" w:rsidRPr="003F7F6C">
        <w:rPr>
          <w:rFonts w:eastAsia="Times New Roman" w:cs="Calibri"/>
          <w:szCs w:val="20"/>
          <w:lang w:eastAsia="es-ES_tradnl"/>
        </w:rPr>
        <w:t xml:space="preserve">that are </w:t>
      </w:r>
      <w:r w:rsidR="00710937" w:rsidRPr="003F7F6C">
        <w:rPr>
          <w:rFonts w:eastAsia="Times New Roman" w:cs="Calibri"/>
          <w:szCs w:val="20"/>
          <w:lang w:eastAsia="es-ES_tradnl"/>
        </w:rPr>
        <w:t>recently completed or nearing completion</w:t>
      </w:r>
      <w:r w:rsidRPr="003F7F6C">
        <w:rPr>
          <w:rFonts w:eastAsia="Times New Roman" w:cs="Calibri"/>
          <w:szCs w:val="20"/>
          <w:lang w:eastAsia="es-ES_tradnl"/>
        </w:rPr>
        <w:t>. The list of identified projects has been included in Output 3.1 above.  During project implementation other projects may be identified and w</w:t>
      </w:r>
      <w:r w:rsidR="00FE16C5" w:rsidRPr="003F7F6C">
        <w:rPr>
          <w:rFonts w:eastAsia="Times New Roman" w:cs="Calibri"/>
          <w:szCs w:val="20"/>
          <w:lang w:eastAsia="es-ES_tradnl"/>
        </w:rPr>
        <w:t>ill be included for assessment.</w:t>
      </w:r>
    </w:p>
    <w:p w14:paraId="312CE554" w14:textId="77777777" w:rsidR="00610ADB" w:rsidRPr="003F7F6C" w:rsidRDefault="00610ADB" w:rsidP="006B1FC1">
      <w:pPr>
        <w:spacing w:after="240"/>
        <w:rPr>
          <w:u w:val="single"/>
        </w:rPr>
      </w:pPr>
    </w:p>
    <w:p w14:paraId="0A9344CF" w14:textId="16A0C832" w:rsidR="006B1FC1" w:rsidRPr="003F7F6C" w:rsidRDefault="00677513" w:rsidP="006B1FC1">
      <w:pPr>
        <w:spacing w:after="240"/>
        <w:rPr>
          <w:rFonts w:cs="Segoe UI"/>
          <w:color w:val="000000"/>
          <w:szCs w:val="20"/>
        </w:rPr>
      </w:pPr>
      <w:r w:rsidRPr="003F7F6C">
        <w:rPr>
          <w:u w:val="single"/>
        </w:rPr>
        <w:t>Risks and Assumptions</w:t>
      </w:r>
      <w:r w:rsidRPr="003F7F6C">
        <w:rPr>
          <w:i/>
        </w:rPr>
        <w:t>:</w:t>
      </w:r>
      <w:r w:rsidRPr="003F7F6C">
        <w:rPr>
          <w:b/>
          <w:i/>
        </w:rPr>
        <w:t xml:space="preserve"> </w:t>
      </w:r>
    </w:p>
    <w:p w14:paraId="3AC553AA" w14:textId="1CC81772" w:rsidR="006B1FC1" w:rsidRPr="003F7F6C" w:rsidRDefault="008C0CDD" w:rsidP="00E91275">
      <w:pPr>
        <w:numPr>
          <w:ilvl w:val="0"/>
          <w:numId w:val="28"/>
        </w:numPr>
        <w:tabs>
          <w:tab w:val="left" w:pos="426"/>
        </w:tabs>
        <w:spacing w:after="240"/>
        <w:ind w:left="0" w:firstLine="0"/>
        <w:rPr>
          <w:szCs w:val="20"/>
          <w:u w:val="single"/>
        </w:rPr>
      </w:pPr>
      <w:r w:rsidRPr="003F7F6C">
        <w:rPr>
          <w:rFonts w:eastAsia="Times New Roman" w:cs="Calibri"/>
          <w:szCs w:val="20"/>
          <w:lang w:eastAsia="es-ES_tradnl"/>
        </w:rPr>
        <w:t xml:space="preserve">As per standard UNDP requirements, the Project </w:t>
      </w:r>
      <w:r w:rsidR="006B1FC1" w:rsidRPr="003F7F6C">
        <w:rPr>
          <w:rFonts w:eastAsia="Times New Roman" w:cs="Calibri"/>
          <w:szCs w:val="20"/>
          <w:lang w:eastAsia="es-ES_tradnl"/>
        </w:rPr>
        <w:t>Coordinator</w:t>
      </w:r>
      <w:r w:rsidRPr="003F7F6C">
        <w:rPr>
          <w:rFonts w:eastAsia="Times New Roman" w:cs="Calibri"/>
          <w:szCs w:val="20"/>
          <w:lang w:eastAsia="es-ES_tradnl"/>
        </w:rPr>
        <w:t xml:space="preserve"> will monitor risks on a quarterly basis and report on the status of risks to the UNDP Country Office. The UNDP Country Office will record progress in the UNDP ATLAS risk log. Risks will be reported as critical when the impact and probability are high (i.e., when impact is rated as 5, and when impact is rated as 4 and probability is rated at 3 or higher). Management responses to critical risks will also be reported to the GEF in the annual Project Implementation Report (PIR). The detailed </w:t>
      </w:r>
      <w:r w:rsidR="002F6E43" w:rsidRPr="003F7F6C">
        <w:rPr>
          <w:rFonts w:eastAsia="Times New Roman" w:cs="Calibri"/>
          <w:szCs w:val="20"/>
          <w:lang w:eastAsia="es-ES_tradnl"/>
        </w:rPr>
        <w:t>UNDP Risk Log</w:t>
      </w:r>
      <w:r w:rsidRPr="003F7F6C">
        <w:rPr>
          <w:rFonts w:eastAsia="Times New Roman" w:cs="Calibri"/>
          <w:szCs w:val="20"/>
          <w:lang w:eastAsia="es-ES_tradnl"/>
        </w:rPr>
        <w:t xml:space="preserve"> is included in Annex </w:t>
      </w:r>
      <w:r w:rsidR="00170748" w:rsidRPr="003F7F6C">
        <w:rPr>
          <w:rFonts w:eastAsia="Times New Roman" w:cs="Calibri"/>
          <w:szCs w:val="20"/>
          <w:lang w:eastAsia="es-ES_tradnl"/>
        </w:rPr>
        <w:t>H</w:t>
      </w:r>
      <w:r w:rsidRPr="003F7F6C">
        <w:rPr>
          <w:rFonts w:eastAsia="Times New Roman" w:cs="Calibri"/>
          <w:szCs w:val="20"/>
          <w:lang w:eastAsia="es-ES_tradnl"/>
        </w:rPr>
        <w:t xml:space="preserve">. </w:t>
      </w:r>
    </w:p>
    <w:p w14:paraId="5B3BB9B5" w14:textId="77777777" w:rsidR="002F6E43" w:rsidRPr="003F7F6C" w:rsidRDefault="002F6E43" w:rsidP="00E91275">
      <w:pPr>
        <w:numPr>
          <w:ilvl w:val="0"/>
          <w:numId w:val="28"/>
        </w:numPr>
        <w:tabs>
          <w:tab w:val="left" w:pos="426"/>
        </w:tabs>
        <w:spacing w:after="240"/>
        <w:ind w:left="0" w:firstLine="0"/>
        <w:rPr>
          <w:rFonts w:asciiTheme="minorHAnsi" w:hAnsiTheme="minorHAnsi" w:cstheme="minorHAnsi"/>
          <w:szCs w:val="20"/>
        </w:rPr>
      </w:pPr>
      <w:r w:rsidRPr="003F7F6C">
        <w:t xml:space="preserve">As per the social and environmental risk screening exercise conducted at PPG stage </w:t>
      </w:r>
      <w:r w:rsidRPr="003F7F6C">
        <w:rPr>
          <w:rFonts w:asciiTheme="minorHAnsi" w:hAnsiTheme="minorHAnsi" w:cstheme="minorHAnsi"/>
          <w:szCs w:val="20"/>
        </w:rPr>
        <w:t>the project risk has been categorized as moderate.  Annex E includes the project´s Social and Environmental Screening Procedure detailing the identified risks and management measures.</w:t>
      </w:r>
    </w:p>
    <w:p w14:paraId="4338204B" w14:textId="177AA086" w:rsidR="002F6E43" w:rsidRPr="003F7F6C" w:rsidRDefault="002F6E43" w:rsidP="00E91275">
      <w:pPr>
        <w:numPr>
          <w:ilvl w:val="0"/>
          <w:numId w:val="28"/>
        </w:numPr>
        <w:tabs>
          <w:tab w:val="left" w:pos="426"/>
        </w:tabs>
        <w:spacing w:after="240"/>
        <w:ind w:left="0" w:firstLine="0"/>
        <w:rPr>
          <w:szCs w:val="20"/>
          <w:u w:val="single"/>
        </w:rPr>
      </w:pPr>
      <w:r w:rsidRPr="003F7F6C">
        <w:rPr>
          <w:rFonts w:eastAsia="Times New Roman" w:cs="Calibri"/>
          <w:szCs w:val="20"/>
          <w:lang w:eastAsia="es-ES_tradnl"/>
        </w:rPr>
        <w:t xml:space="preserve">Management responses to critical risks as well as the </w:t>
      </w:r>
      <w:r w:rsidRPr="003F7F6C">
        <w:rPr>
          <w:rFonts w:asciiTheme="minorHAnsi" w:hAnsiTheme="minorHAnsi" w:cstheme="minorHAnsi"/>
          <w:noProof/>
          <w:szCs w:val="20"/>
          <w:lang w:eastAsia="zh-CN"/>
        </w:rPr>
        <w:t xml:space="preserve">environmental and social grievances will be reported to the GEF in the annual </w:t>
      </w:r>
      <w:r w:rsidRPr="003F7F6C">
        <w:rPr>
          <w:rFonts w:eastAsia="Times New Roman" w:cs="Calibri"/>
          <w:szCs w:val="20"/>
          <w:lang w:eastAsia="es-ES_tradnl"/>
        </w:rPr>
        <w:t xml:space="preserve">Project Implementation </w:t>
      </w:r>
      <w:r w:rsidRPr="003F7F6C">
        <w:rPr>
          <w:rFonts w:asciiTheme="minorHAnsi" w:eastAsia="Times New Roman" w:hAnsiTheme="minorHAnsi" w:cstheme="minorHAnsi"/>
          <w:szCs w:val="20"/>
          <w:lang w:eastAsia="es-ES_tradnl"/>
        </w:rPr>
        <w:t xml:space="preserve">Report (PIR). </w:t>
      </w:r>
    </w:p>
    <w:p w14:paraId="56FE0995" w14:textId="77777777" w:rsidR="00610ADB" w:rsidRPr="003F7F6C" w:rsidRDefault="00610ADB" w:rsidP="006B1FC1">
      <w:pPr>
        <w:spacing w:after="240"/>
        <w:rPr>
          <w:szCs w:val="20"/>
          <w:u w:val="single"/>
        </w:rPr>
      </w:pPr>
    </w:p>
    <w:p w14:paraId="3F2785E9" w14:textId="2266A614" w:rsidR="006B1FC1" w:rsidRPr="003F7F6C" w:rsidRDefault="00A572FB" w:rsidP="006B1FC1">
      <w:pPr>
        <w:spacing w:after="240"/>
        <w:rPr>
          <w:rFonts w:cs="Segoe UI"/>
          <w:color w:val="000000"/>
          <w:szCs w:val="20"/>
        </w:rPr>
      </w:pPr>
      <w:r w:rsidRPr="003F7F6C">
        <w:rPr>
          <w:szCs w:val="20"/>
          <w:u w:val="single"/>
        </w:rPr>
        <w:t>Stakeholder engagement</w:t>
      </w:r>
      <w:r w:rsidR="0036517D" w:rsidRPr="003F7F6C">
        <w:rPr>
          <w:szCs w:val="20"/>
          <w:u w:val="single"/>
        </w:rPr>
        <w:t xml:space="preserve"> plan</w:t>
      </w:r>
      <w:r w:rsidR="00707A93" w:rsidRPr="003F7F6C">
        <w:rPr>
          <w:szCs w:val="20"/>
        </w:rPr>
        <w:t xml:space="preserve">: </w:t>
      </w:r>
    </w:p>
    <w:p w14:paraId="6A491DB9" w14:textId="77777777" w:rsidR="006B1FC1" w:rsidRPr="003F7F6C" w:rsidRDefault="00125BA3" w:rsidP="00E91275">
      <w:pPr>
        <w:numPr>
          <w:ilvl w:val="0"/>
          <w:numId w:val="28"/>
        </w:numPr>
        <w:tabs>
          <w:tab w:val="left" w:pos="426"/>
        </w:tabs>
        <w:spacing w:after="240"/>
        <w:ind w:left="0" w:firstLine="0"/>
        <w:rPr>
          <w:rFonts w:cs="Segoe UI"/>
          <w:color w:val="000000"/>
          <w:szCs w:val="20"/>
        </w:rPr>
      </w:pPr>
      <w:r w:rsidRPr="003F7F6C">
        <w:rPr>
          <w:rFonts w:cs="Calibri"/>
        </w:rPr>
        <w:t>During the PPG phase</w:t>
      </w:r>
      <w:r w:rsidR="005D67FD" w:rsidRPr="003F7F6C">
        <w:rPr>
          <w:rFonts w:cs="Calibri"/>
        </w:rPr>
        <w:t>,</w:t>
      </w:r>
      <w:r w:rsidRPr="003F7F6C">
        <w:rPr>
          <w:rFonts w:cs="Calibri"/>
        </w:rPr>
        <w:t xml:space="preserve"> key stakeholders participated in project planning and design workshops and focus group meetings.  These participative fora included: a) PPG inception workshop; b) provincial level workshops with local authorities, staff of the regional INTA offices and other social stakeholders in Buenos Aires, Jujuy and Mendoza; c) individual meetings and consultations with key national and local in</w:t>
      </w:r>
      <w:r w:rsidR="004443A6" w:rsidRPr="003F7F6C">
        <w:rPr>
          <w:rFonts w:cs="Calibri"/>
        </w:rPr>
        <w:t>stitutions, UNDP Argentina and SG</w:t>
      </w:r>
      <w:r w:rsidRPr="003F7F6C">
        <w:rPr>
          <w:rFonts w:cs="Calibri"/>
        </w:rPr>
        <w:t>AyDS authorities; and d) meetings with national level CSOs to gather information.</w:t>
      </w:r>
      <w:r w:rsidR="002B6EC2" w:rsidRPr="003F7F6C">
        <w:rPr>
          <w:rFonts w:cs="Calibri"/>
        </w:rPr>
        <w:t xml:space="preserve"> Based on these consultation</w:t>
      </w:r>
      <w:r w:rsidR="005D67FD" w:rsidRPr="003F7F6C">
        <w:rPr>
          <w:rFonts w:cs="Calibri"/>
        </w:rPr>
        <w:t>s</w:t>
      </w:r>
      <w:r w:rsidR="002B6EC2" w:rsidRPr="003F7F6C">
        <w:rPr>
          <w:rFonts w:cs="Calibri"/>
        </w:rPr>
        <w:t xml:space="preserve"> and assessments a Stakeholder Engagement Plan was developed and is included in Annex </w:t>
      </w:r>
      <w:r w:rsidR="00170748" w:rsidRPr="003F7F6C">
        <w:rPr>
          <w:rFonts w:cs="Calibri"/>
        </w:rPr>
        <w:t>F</w:t>
      </w:r>
      <w:r w:rsidR="002B6EC2" w:rsidRPr="003F7F6C">
        <w:rPr>
          <w:rFonts w:cs="Calibri"/>
        </w:rPr>
        <w:t>.</w:t>
      </w:r>
    </w:p>
    <w:p w14:paraId="1206397F" w14:textId="78D1C569" w:rsidR="006B1FC1" w:rsidRPr="003F7F6C" w:rsidRDefault="004443A6" w:rsidP="00E91275">
      <w:pPr>
        <w:numPr>
          <w:ilvl w:val="0"/>
          <w:numId w:val="28"/>
        </w:numPr>
        <w:tabs>
          <w:tab w:val="left" w:pos="426"/>
        </w:tabs>
        <w:spacing w:after="240"/>
        <w:ind w:left="0" w:firstLine="0"/>
        <w:rPr>
          <w:rFonts w:cs="Segoe UI"/>
          <w:color w:val="000000"/>
          <w:szCs w:val="20"/>
        </w:rPr>
      </w:pPr>
      <w:r w:rsidRPr="003F7F6C">
        <w:rPr>
          <w:rFonts w:cs="Calibri"/>
        </w:rPr>
        <w:t>At national level the SG</w:t>
      </w:r>
      <w:r w:rsidR="00125BA3" w:rsidRPr="003F7F6C">
        <w:rPr>
          <w:rFonts w:cs="Calibri"/>
        </w:rPr>
        <w:t>AyDS is the main institutional stakeholder as well as the COFEMA as the space for national level coordination.  Moreover, the project will interact with other key ministries, national secretariats and institutions, being of greater relevance</w:t>
      </w:r>
      <w:r w:rsidRPr="003F7F6C">
        <w:rPr>
          <w:rFonts w:cs="Calibri"/>
        </w:rPr>
        <w:t xml:space="preserve"> the National Agricultural Technology Institute (</w:t>
      </w:r>
      <w:r w:rsidR="00125BA3" w:rsidRPr="003F7F6C">
        <w:rPr>
          <w:rFonts w:cs="Calibri"/>
        </w:rPr>
        <w:t>INTA</w:t>
      </w:r>
      <w:r w:rsidRPr="003F7F6C">
        <w:rPr>
          <w:rFonts w:cs="Calibri"/>
        </w:rPr>
        <w:t>)</w:t>
      </w:r>
      <w:r w:rsidR="00125BA3" w:rsidRPr="003F7F6C">
        <w:rPr>
          <w:rFonts w:cs="Calibri"/>
        </w:rPr>
        <w:t>,</w:t>
      </w:r>
      <w:r w:rsidRPr="003F7F6C">
        <w:rPr>
          <w:rFonts w:cs="Calibri"/>
        </w:rPr>
        <w:t xml:space="preserve"> National Parks Administration (</w:t>
      </w:r>
      <w:r w:rsidR="00125BA3" w:rsidRPr="003F7F6C">
        <w:rPr>
          <w:rFonts w:cs="Calibri"/>
        </w:rPr>
        <w:t>APN</w:t>
      </w:r>
      <w:r w:rsidRPr="003F7F6C">
        <w:rPr>
          <w:rFonts w:cs="Calibri"/>
        </w:rPr>
        <w:t>)</w:t>
      </w:r>
      <w:r w:rsidR="00125BA3" w:rsidRPr="003F7F6C">
        <w:rPr>
          <w:rFonts w:cs="Calibri"/>
        </w:rPr>
        <w:t>,</w:t>
      </w:r>
      <w:r w:rsidRPr="003F7F6C">
        <w:rPr>
          <w:rFonts w:cs="Calibri"/>
        </w:rPr>
        <w:t xml:space="preserve"> National Indigenous Peoples Institute (</w:t>
      </w:r>
      <w:r w:rsidR="00125BA3" w:rsidRPr="003F7F6C">
        <w:rPr>
          <w:rFonts w:cs="Calibri"/>
        </w:rPr>
        <w:t>INAI</w:t>
      </w:r>
      <w:r w:rsidRPr="003F7F6C">
        <w:rPr>
          <w:rFonts w:cs="Calibri"/>
        </w:rPr>
        <w:t>)</w:t>
      </w:r>
      <w:r w:rsidR="00125BA3" w:rsidRPr="003F7F6C">
        <w:rPr>
          <w:rFonts w:cs="Calibri"/>
        </w:rPr>
        <w:t>,</w:t>
      </w:r>
      <w:r w:rsidRPr="003F7F6C">
        <w:rPr>
          <w:rFonts w:cs="Calibri"/>
        </w:rPr>
        <w:t xml:space="preserve"> University of Buenos Aires</w:t>
      </w:r>
      <w:r w:rsidR="00125BA3" w:rsidRPr="003F7F6C">
        <w:rPr>
          <w:rFonts w:cs="Calibri"/>
        </w:rPr>
        <w:t xml:space="preserve"> </w:t>
      </w:r>
      <w:r w:rsidRPr="003F7F6C">
        <w:rPr>
          <w:rFonts w:cs="Calibri"/>
        </w:rPr>
        <w:t>(</w:t>
      </w:r>
      <w:r w:rsidR="00125BA3" w:rsidRPr="003F7F6C">
        <w:rPr>
          <w:rFonts w:cs="Calibri"/>
        </w:rPr>
        <w:t>UBA</w:t>
      </w:r>
      <w:r w:rsidRPr="003F7F6C">
        <w:rPr>
          <w:rFonts w:cs="Calibri"/>
        </w:rPr>
        <w:t>)</w:t>
      </w:r>
      <w:r w:rsidR="00125BA3" w:rsidRPr="003F7F6C">
        <w:rPr>
          <w:rFonts w:cs="Calibri"/>
        </w:rPr>
        <w:t xml:space="preserve"> and CSOs such as </w:t>
      </w:r>
      <w:r w:rsidR="009213A7" w:rsidRPr="003F7F6C">
        <w:rPr>
          <w:rFonts w:cs="Calibri"/>
        </w:rPr>
        <w:t xml:space="preserve">the Environment and Natural Resources Foundation (FARN) and the Wildlife Foundation (FVS). </w:t>
      </w:r>
      <w:r w:rsidR="00ED0727" w:rsidRPr="003F7F6C">
        <w:rPr>
          <w:rFonts w:cs="Calibri"/>
        </w:rPr>
        <w:t xml:space="preserve">The different coordination spaces such as CONADIBIO, </w:t>
      </w:r>
      <w:r w:rsidR="007B4429" w:rsidRPr="003F7F6C">
        <w:rPr>
          <w:rFonts w:cs="Calibri"/>
        </w:rPr>
        <w:t>National Council for Technical and Scientific Research (</w:t>
      </w:r>
      <w:r w:rsidR="00ED0727" w:rsidRPr="003F7F6C">
        <w:rPr>
          <w:rFonts w:cs="Calibri"/>
        </w:rPr>
        <w:t>CONICET</w:t>
      </w:r>
      <w:r w:rsidR="007B4429" w:rsidRPr="003F7F6C">
        <w:rPr>
          <w:rFonts w:cs="Calibri"/>
        </w:rPr>
        <w:t>)</w:t>
      </w:r>
      <w:r w:rsidR="00ED0727" w:rsidRPr="003F7F6C">
        <w:rPr>
          <w:rFonts w:cs="Calibri"/>
        </w:rPr>
        <w:t>,</w:t>
      </w:r>
      <w:r w:rsidRPr="003F7F6C">
        <w:rPr>
          <w:rFonts w:cs="Calibri"/>
        </w:rPr>
        <w:t xml:space="preserve"> </w:t>
      </w:r>
      <w:r w:rsidR="007B4429" w:rsidRPr="003F7F6C">
        <w:rPr>
          <w:rFonts w:cs="Calibri"/>
        </w:rPr>
        <w:t>ONDTyD</w:t>
      </w:r>
      <w:r w:rsidRPr="003F7F6C">
        <w:rPr>
          <w:rFonts w:cs="Calibri"/>
        </w:rPr>
        <w:t xml:space="preserve"> and the National Biodiversity Observatory (O</w:t>
      </w:r>
      <w:r w:rsidR="006851C5" w:rsidRPr="003F7F6C">
        <w:rPr>
          <w:rFonts w:cs="Calibri"/>
        </w:rPr>
        <w:t>BIO</w:t>
      </w:r>
      <w:r w:rsidRPr="003F7F6C">
        <w:rPr>
          <w:rFonts w:cs="Calibri"/>
        </w:rPr>
        <w:t>)</w:t>
      </w:r>
      <w:r w:rsidR="00ED0727" w:rsidRPr="003F7F6C">
        <w:rPr>
          <w:rFonts w:cs="Calibri"/>
        </w:rPr>
        <w:t xml:space="preserve"> will be </w:t>
      </w:r>
      <w:r w:rsidR="005A7F7D" w:rsidRPr="003F7F6C">
        <w:rPr>
          <w:rFonts w:cs="Calibri"/>
        </w:rPr>
        <w:t>taken into account</w:t>
      </w:r>
      <w:r w:rsidRPr="003F7F6C">
        <w:rPr>
          <w:rFonts w:cs="Calibri"/>
        </w:rPr>
        <w:t xml:space="preserve"> in developing multi-stakeholder dialogue and coordination spaces</w:t>
      </w:r>
      <w:r w:rsidR="005A7F7D" w:rsidRPr="003F7F6C">
        <w:rPr>
          <w:rFonts w:cs="Calibri"/>
        </w:rPr>
        <w:t>.</w:t>
      </w:r>
    </w:p>
    <w:p w14:paraId="13D87736" w14:textId="77777777" w:rsidR="006B1FC1" w:rsidRPr="003F7F6C" w:rsidRDefault="005A7F7D" w:rsidP="00E91275">
      <w:pPr>
        <w:numPr>
          <w:ilvl w:val="0"/>
          <w:numId w:val="28"/>
        </w:numPr>
        <w:tabs>
          <w:tab w:val="left" w:pos="426"/>
        </w:tabs>
        <w:spacing w:after="240"/>
        <w:ind w:left="0" w:firstLine="0"/>
        <w:rPr>
          <w:rFonts w:cs="Segoe UI"/>
          <w:color w:val="000000"/>
          <w:szCs w:val="20"/>
        </w:rPr>
      </w:pPr>
      <w:r w:rsidRPr="003F7F6C">
        <w:rPr>
          <w:rFonts w:cs="Calibri"/>
        </w:rPr>
        <w:t>Key provincial government stakeholders are in Mendoza the Secretariat for Environment and Land Use Planning</w:t>
      </w:r>
      <w:r w:rsidR="007B4429" w:rsidRPr="003F7F6C">
        <w:rPr>
          <w:rFonts w:cs="Calibri"/>
        </w:rPr>
        <w:t xml:space="preserve"> (S</w:t>
      </w:r>
      <w:r w:rsidR="006851C5" w:rsidRPr="003F7F6C">
        <w:rPr>
          <w:rFonts w:cs="Calibri"/>
        </w:rPr>
        <w:t>A</w:t>
      </w:r>
      <w:r w:rsidR="007B4429" w:rsidRPr="003F7F6C">
        <w:rPr>
          <w:rFonts w:cs="Calibri"/>
        </w:rPr>
        <w:t>O</w:t>
      </w:r>
      <w:r w:rsidR="006851C5" w:rsidRPr="003F7F6C">
        <w:rPr>
          <w:rFonts w:cs="Calibri"/>
        </w:rPr>
        <w:t>T)</w:t>
      </w:r>
      <w:r w:rsidRPr="003F7F6C">
        <w:rPr>
          <w:rFonts w:cs="Calibri"/>
        </w:rPr>
        <w:t>, through its Land Use Planning Provincial Agency</w:t>
      </w:r>
      <w:r w:rsidR="006851C5" w:rsidRPr="003F7F6C">
        <w:rPr>
          <w:rFonts w:cs="Calibri"/>
        </w:rPr>
        <w:t xml:space="preserve"> (APOT)</w:t>
      </w:r>
      <w:r w:rsidRPr="003F7F6C">
        <w:rPr>
          <w:rFonts w:cs="Calibri"/>
        </w:rPr>
        <w:t xml:space="preserve">; in Buenos Aires the Provincial </w:t>
      </w:r>
      <w:r w:rsidR="00C667D3" w:rsidRPr="003F7F6C">
        <w:rPr>
          <w:rFonts w:cs="Calibri"/>
        </w:rPr>
        <w:t>Agency</w:t>
      </w:r>
      <w:r w:rsidRPr="003F7F6C">
        <w:rPr>
          <w:rFonts w:cs="Calibri"/>
        </w:rPr>
        <w:t xml:space="preserve"> for Sustainable Development</w:t>
      </w:r>
      <w:r w:rsidR="006851C5" w:rsidRPr="003F7F6C">
        <w:rPr>
          <w:rFonts w:cs="Calibri"/>
        </w:rPr>
        <w:t xml:space="preserve"> (OPDS)</w:t>
      </w:r>
      <w:r w:rsidRPr="003F7F6C">
        <w:rPr>
          <w:rFonts w:cs="Calibri"/>
        </w:rPr>
        <w:t xml:space="preserve"> through its Provincial Directorate of Natural Resources and Environmental Land Use Planning; and the Sub-secretariat for Environment Planning and Sustainable Development through its Provincial Directorate for Sustainable Development and Climate Change</w:t>
      </w:r>
      <w:r w:rsidR="005D67FD" w:rsidRPr="003F7F6C">
        <w:rPr>
          <w:rFonts w:cs="Calibri"/>
        </w:rPr>
        <w:t>;</w:t>
      </w:r>
      <w:r w:rsidRPr="003F7F6C">
        <w:rPr>
          <w:rFonts w:cs="Calibri"/>
        </w:rPr>
        <w:t xml:space="preserve"> </w:t>
      </w:r>
      <w:r w:rsidR="005D67FD" w:rsidRPr="003F7F6C">
        <w:rPr>
          <w:rFonts w:cs="Calibri"/>
        </w:rPr>
        <w:t>i</w:t>
      </w:r>
      <w:r w:rsidRPr="003F7F6C">
        <w:rPr>
          <w:rFonts w:cs="Calibri"/>
        </w:rPr>
        <w:t>n Jujuy the Ministry of Environment through the Environmental Land Use Planning Directorate and the Biodiversity Secretariat.</w:t>
      </w:r>
      <w:r w:rsidR="00C170ED" w:rsidRPr="003F7F6C">
        <w:rPr>
          <w:rFonts w:cs="Calibri"/>
        </w:rPr>
        <w:t xml:space="preserve"> T</w:t>
      </w:r>
      <w:r w:rsidRPr="003F7F6C">
        <w:rPr>
          <w:rFonts w:cs="Calibri"/>
        </w:rPr>
        <w:t xml:space="preserve">he INTA regional offices – INTA Salta-Jujuy, INTA Mendoza-San Juan and INTA Buenos Aires North and South </w:t>
      </w:r>
      <w:r w:rsidR="00C170ED" w:rsidRPr="003F7F6C">
        <w:rPr>
          <w:rFonts w:cs="Calibri"/>
        </w:rPr>
        <w:t xml:space="preserve">- </w:t>
      </w:r>
      <w:r w:rsidRPr="003F7F6C">
        <w:rPr>
          <w:rFonts w:cs="Calibri"/>
        </w:rPr>
        <w:t xml:space="preserve">will </w:t>
      </w:r>
      <w:r w:rsidR="005D67FD" w:rsidRPr="003F7F6C">
        <w:rPr>
          <w:rFonts w:cs="Calibri"/>
        </w:rPr>
        <w:t xml:space="preserve">also </w:t>
      </w:r>
      <w:r w:rsidRPr="003F7F6C">
        <w:rPr>
          <w:rFonts w:cs="Calibri"/>
        </w:rPr>
        <w:t>participate in project implementation.  Coordination will be undertaken with other government stake</w:t>
      </w:r>
      <w:r w:rsidR="00C170ED" w:rsidRPr="003F7F6C">
        <w:rPr>
          <w:rFonts w:cs="Calibri"/>
        </w:rPr>
        <w:t xml:space="preserve">holders, institutions, universities and CSOs such as the Irrigation Directorate of Mendoza, </w:t>
      </w:r>
      <w:r w:rsidR="001B0AF8" w:rsidRPr="003F7F6C">
        <w:rPr>
          <w:rFonts w:cs="Calibri"/>
        </w:rPr>
        <w:t xml:space="preserve">In Jujuy the </w:t>
      </w:r>
      <w:r w:rsidR="00C170ED" w:rsidRPr="003F7F6C">
        <w:rPr>
          <w:rFonts w:cs="Calibri"/>
        </w:rPr>
        <w:t xml:space="preserve">Indigenous Peoples Secretariat, Urban Solid Waste Management System, Tourism Secretariat </w:t>
      </w:r>
      <w:r w:rsidR="001B0AF8" w:rsidRPr="003F7F6C">
        <w:rPr>
          <w:rFonts w:cs="Calibri"/>
        </w:rPr>
        <w:t>and Production Ministry</w:t>
      </w:r>
      <w:r w:rsidR="00C170ED" w:rsidRPr="003F7F6C">
        <w:rPr>
          <w:rFonts w:cs="Calibri"/>
        </w:rPr>
        <w:t>,</w:t>
      </w:r>
      <w:r w:rsidR="001B0AF8" w:rsidRPr="003F7F6C">
        <w:rPr>
          <w:rFonts w:cs="Calibri"/>
        </w:rPr>
        <w:t xml:space="preserve"> </w:t>
      </w:r>
      <w:r w:rsidR="005D67FD" w:rsidRPr="003F7F6C">
        <w:rPr>
          <w:rFonts w:cs="Calibri"/>
        </w:rPr>
        <w:t xml:space="preserve">and </w:t>
      </w:r>
      <w:r w:rsidR="001B0AF8" w:rsidRPr="003F7F6C">
        <w:rPr>
          <w:rFonts w:cs="Calibri"/>
        </w:rPr>
        <w:t>in Buenos Aires with</w:t>
      </w:r>
      <w:r w:rsidR="00C170ED" w:rsidRPr="003F7F6C">
        <w:rPr>
          <w:rFonts w:cs="Calibri"/>
        </w:rPr>
        <w:t xml:space="preserve"> the Revenue Agency and the Water Authority.</w:t>
      </w:r>
    </w:p>
    <w:p w14:paraId="7261FD53" w14:textId="77777777" w:rsidR="006B1FC1" w:rsidRPr="003F7F6C" w:rsidRDefault="00C170ED" w:rsidP="00E91275">
      <w:pPr>
        <w:numPr>
          <w:ilvl w:val="0"/>
          <w:numId w:val="28"/>
        </w:numPr>
        <w:tabs>
          <w:tab w:val="left" w:pos="426"/>
        </w:tabs>
        <w:spacing w:after="240"/>
        <w:ind w:left="0" w:firstLine="0"/>
        <w:rPr>
          <w:rFonts w:cs="Segoe UI"/>
          <w:color w:val="000000"/>
          <w:szCs w:val="20"/>
        </w:rPr>
      </w:pPr>
      <w:r w:rsidRPr="003F7F6C">
        <w:rPr>
          <w:rFonts w:cs="Calibri"/>
        </w:rPr>
        <w:t xml:space="preserve">Key stakeholders at </w:t>
      </w:r>
      <w:r w:rsidR="00A51154" w:rsidRPr="003F7F6C">
        <w:rPr>
          <w:rFonts w:cs="Calibri"/>
        </w:rPr>
        <w:t>target landscape</w:t>
      </w:r>
      <w:r w:rsidRPr="003F7F6C">
        <w:rPr>
          <w:rFonts w:cs="Calibri"/>
        </w:rPr>
        <w:t xml:space="preserve"> level will be the local communities and organizations. Each </w:t>
      </w:r>
      <w:r w:rsidR="00A51154" w:rsidRPr="003F7F6C">
        <w:rPr>
          <w:rFonts w:cs="Calibri"/>
        </w:rPr>
        <w:t>target landscape has its own characteristic</w:t>
      </w:r>
      <w:r w:rsidR="002703BB" w:rsidRPr="003F7F6C">
        <w:rPr>
          <w:rFonts w:cs="Calibri"/>
        </w:rPr>
        <w:t>s</w:t>
      </w:r>
      <w:r w:rsidRPr="003F7F6C">
        <w:rPr>
          <w:rFonts w:cs="Calibri"/>
        </w:rPr>
        <w:t xml:space="preserve"> and a number of stakeholders have been identified. In Mendoza these include the Municipalities of Malargüe, Mendoza, San Carlos, Las Heras, Tunuyán, Tupungato, Luján de Cuyo and Godoy Cruz; the Malalweche Mapuche Organization of Malargüe, the Livestock Advisory Council and the Agricultural Advisory Council of Malargüe, the Association of Bolivian Producers, Guaymallen Concentration Market, wine producers of the Argentine Wine Corporation and/or Bodegas Argentinas. In Jujuy</w:t>
      </w:r>
      <w:r w:rsidR="00846444" w:rsidRPr="003F7F6C">
        <w:rPr>
          <w:rFonts w:cs="Calibri"/>
        </w:rPr>
        <w:t>,</w:t>
      </w:r>
      <w:r w:rsidR="005609A9" w:rsidRPr="003F7F6C">
        <w:rPr>
          <w:rFonts w:cs="Calibri"/>
        </w:rPr>
        <w:t xml:space="preserve"> they include 36 indigenous communities in the Departments of Susques, Humahuaca and Valle Grande, the Qhapac Ñac Management Unit, the Quebrada de Humahuaca Management Unit, Jujuy Salt </w:t>
      </w:r>
      <w:r w:rsidR="004355CC" w:rsidRPr="003F7F6C">
        <w:rPr>
          <w:rFonts w:cs="Calibri"/>
        </w:rPr>
        <w:t>Company</w:t>
      </w:r>
      <w:r w:rsidR="005609A9" w:rsidRPr="003F7F6C">
        <w:rPr>
          <w:rFonts w:cs="Calibri"/>
        </w:rPr>
        <w:t xml:space="preserve"> and CSOs such as Proyungas or CEBIO Foundation, the tourist operators in </w:t>
      </w:r>
      <w:r w:rsidRPr="003F7F6C">
        <w:rPr>
          <w:rFonts w:cs="Calibri"/>
        </w:rPr>
        <w:t>Humahuaca, San Fran</w:t>
      </w:r>
      <w:r w:rsidR="005609A9" w:rsidRPr="003F7F6C">
        <w:rPr>
          <w:rFonts w:cs="Calibri"/>
        </w:rPr>
        <w:t>cisco, Valle Grande, Santa Ana and</w:t>
      </w:r>
      <w:r w:rsidRPr="003F7F6C">
        <w:rPr>
          <w:rFonts w:cs="Calibri"/>
        </w:rPr>
        <w:t xml:space="preserve"> Valle Colorado</w:t>
      </w:r>
      <w:r w:rsidR="005609A9" w:rsidRPr="003F7F6C">
        <w:rPr>
          <w:rFonts w:cs="Calibri"/>
        </w:rPr>
        <w:t>. In Buenos Aires</w:t>
      </w:r>
      <w:r w:rsidR="00846444" w:rsidRPr="003F7F6C">
        <w:rPr>
          <w:rFonts w:cs="Calibri"/>
        </w:rPr>
        <w:t>,</w:t>
      </w:r>
      <w:r w:rsidR="005609A9" w:rsidRPr="003F7F6C">
        <w:rPr>
          <w:rFonts w:cs="Calibri"/>
        </w:rPr>
        <w:t xml:space="preserve"> the Municipalities of Campana, San Fernando, Magdalena, Punta Indio, Chascomús, Lezama, Castelli, Villarino and Carmen de Patagones; the Risk Management and Emergency Directorate and CSOs such as Fundacion Humedales </w:t>
      </w:r>
      <w:r w:rsidR="005609A9" w:rsidRPr="003F7F6C">
        <w:rPr>
          <w:rFonts w:cs="Calibri"/>
          <w:szCs w:val="20"/>
        </w:rPr>
        <w:t>and the Argentine Flower Cooperative.</w:t>
      </w:r>
      <w:r w:rsidR="004355CC" w:rsidRPr="003F7F6C">
        <w:rPr>
          <w:rFonts w:cs="Calibri"/>
          <w:szCs w:val="20"/>
        </w:rPr>
        <w:t xml:space="preserve"> </w:t>
      </w:r>
    </w:p>
    <w:p w14:paraId="34404786" w14:textId="77777777" w:rsidR="006B1FC1" w:rsidRPr="003F7F6C" w:rsidRDefault="00DC746C" w:rsidP="00E91275">
      <w:pPr>
        <w:numPr>
          <w:ilvl w:val="0"/>
          <w:numId w:val="28"/>
        </w:numPr>
        <w:tabs>
          <w:tab w:val="left" w:pos="426"/>
        </w:tabs>
        <w:spacing w:after="240"/>
        <w:ind w:left="0" w:firstLine="0"/>
        <w:rPr>
          <w:rFonts w:cs="Segoe UI"/>
          <w:color w:val="000000"/>
          <w:szCs w:val="20"/>
        </w:rPr>
      </w:pPr>
      <w:r w:rsidRPr="003F7F6C">
        <w:rPr>
          <w:rFonts w:cs="Calibri"/>
          <w:szCs w:val="20"/>
        </w:rPr>
        <w:t>T</w:t>
      </w:r>
      <w:r w:rsidRPr="003F7F6C">
        <w:rPr>
          <w:rFonts w:eastAsia="Times New Roman" w:cs="Calibri"/>
          <w:szCs w:val="20"/>
          <w:lang w:eastAsia="es-ES_tradnl"/>
        </w:rPr>
        <w:t>he successful implementation of the project will largely depend on effective communication</w:t>
      </w:r>
      <w:r w:rsidR="00846444" w:rsidRPr="003F7F6C">
        <w:rPr>
          <w:rFonts w:eastAsia="Times New Roman" w:cs="Calibri"/>
          <w:szCs w:val="20"/>
          <w:lang w:eastAsia="es-ES_tradnl"/>
        </w:rPr>
        <w:t xml:space="preserve"> and</w:t>
      </w:r>
      <w:r w:rsidRPr="003F7F6C">
        <w:rPr>
          <w:rFonts w:eastAsia="Times New Roman" w:cs="Calibri"/>
          <w:szCs w:val="20"/>
          <w:lang w:eastAsia="es-ES_tradnl"/>
        </w:rPr>
        <w:t xml:space="preserve"> coordination with the multiple project stakeholders, capacity building and the implementation of mechanisms to ensure these stakeholders’ participation.  These include: a) communication and capacity building; b) dialogue mechanisms; and c) conflict prevention and management.  </w:t>
      </w:r>
      <w:r w:rsidRPr="003F7F6C">
        <w:rPr>
          <w:rFonts w:cs="Calibri"/>
          <w:szCs w:val="20"/>
        </w:rPr>
        <w:t xml:space="preserve">The stakeholder engagement plan includes the stakeholder mapping and describes the above stakeholders in more detail including their role in project implementation and participation in the project components; as well as the mechanisms to foster participation, which have been included in the project </w:t>
      </w:r>
      <w:r w:rsidR="00182C69" w:rsidRPr="003F7F6C">
        <w:rPr>
          <w:rFonts w:cs="Calibri"/>
          <w:szCs w:val="20"/>
        </w:rPr>
        <w:t xml:space="preserve">intervention </w:t>
      </w:r>
      <w:r w:rsidRPr="003F7F6C">
        <w:rPr>
          <w:rFonts w:cs="Calibri"/>
          <w:szCs w:val="20"/>
        </w:rPr>
        <w:t>strategy.</w:t>
      </w:r>
    </w:p>
    <w:p w14:paraId="2104A896" w14:textId="0AB81EEB" w:rsidR="006E1463" w:rsidRPr="003F7F6C" w:rsidRDefault="00A51154" w:rsidP="00E91275">
      <w:pPr>
        <w:numPr>
          <w:ilvl w:val="0"/>
          <w:numId w:val="28"/>
        </w:numPr>
        <w:tabs>
          <w:tab w:val="left" w:pos="426"/>
        </w:tabs>
        <w:spacing w:after="240"/>
        <w:ind w:left="0" w:firstLine="0"/>
        <w:rPr>
          <w:rFonts w:cs="Segoe UI"/>
          <w:color w:val="000000"/>
          <w:szCs w:val="20"/>
        </w:rPr>
      </w:pPr>
      <w:r w:rsidRPr="003F7F6C">
        <w:rPr>
          <w:rFonts w:cs="Calibri"/>
          <w:szCs w:val="20"/>
        </w:rPr>
        <w:t xml:space="preserve">The Jujuy and Mendoza target landscapes involve indigenous communities. The project will respect the ethno-cultural characteristics of the indigenous communities to be involved (Omaguaca, Kolla, Atacama in Jujuy and Mapuche in Mendoza) in the design of interventions. The project will work with the existing organizational structures and decision making processes of each group and will take advantage of the dialogue and work spaces already developed between provincial governments and communities. Representatives of indigenous communities/organizations will be invited to participate in project planning, implementation and monitoring and evaluation.  </w:t>
      </w:r>
      <w:r w:rsidR="00846444" w:rsidRPr="003F7F6C">
        <w:rPr>
          <w:rFonts w:cs="Calibri"/>
          <w:szCs w:val="20"/>
        </w:rPr>
        <w:t>P</w:t>
      </w:r>
      <w:r w:rsidRPr="003F7F6C">
        <w:rPr>
          <w:rFonts w:cs="Calibri"/>
          <w:szCs w:val="20"/>
        </w:rPr>
        <w:t>articipatory dialogue and coordination will be established with communities to report, motivate, engage and to receive feedback in regards to project planning and implementation.</w:t>
      </w:r>
      <w:r w:rsidR="004A522F" w:rsidRPr="003F7F6C">
        <w:rPr>
          <w:rFonts w:cs="Calibri"/>
          <w:szCs w:val="20"/>
        </w:rPr>
        <w:t xml:space="preserve"> </w:t>
      </w:r>
      <w:r w:rsidR="006E1463" w:rsidRPr="003F7F6C">
        <w:t>All actions with indigenous peoples will be guided by the respect to their rights to: a) participation in the design, implementation and evaluation of public policies, plans and programs; b) Prior Consultation before adopting administrative or regulatory measures that may affect them; and c) Free, Prior and Informed Consent in cases where their fundamental rights may be affected or their integrity may be put at risk.</w:t>
      </w:r>
      <w:r w:rsidR="00B153F5" w:rsidRPr="003F7F6C">
        <w:t xml:space="preserve">  </w:t>
      </w:r>
      <w:r w:rsidR="00B153F5" w:rsidRPr="003F7F6C">
        <w:rPr>
          <w:szCs w:val="20"/>
        </w:rPr>
        <w:t>During the first year of project implementation</w:t>
      </w:r>
      <w:r w:rsidR="007C3242" w:rsidRPr="003F7F6C">
        <w:rPr>
          <w:szCs w:val="20"/>
        </w:rPr>
        <w:t xml:space="preserve"> the project will develop a detailed Indigenous Peoples Plan (a draft plan is included in Annex F), which will be the basis for the</w:t>
      </w:r>
      <w:r w:rsidR="00B153F5" w:rsidRPr="003F7F6C">
        <w:rPr>
          <w:szCs w:val="20"/>
        </w:rPr>
        <w:t xml:space="preserve"> </w:t>
      </w:r>
      <w:r w:rsidR="007C3242" w:rsidRPr="003F7F6C">
        <w:rPr>
          <w:szCs w:val="20"/>
        </w:rPr>
        <w:t xml:space="preserve">project and </w:t>
      </w:r>
      <w:r w:rsidR="00B153F5" w:rsidRPr="003F7F6C">
        <w:rPr>
          <w:szCs w:val="20"/>
        </w:rPr>
        <w:t xml:space="preserve">provincial authorities </w:t>
      </w:r>
      <w:r w:rsidR="007C3242" w:rsidRPr="003F7F6C">
        <w:rPr>
          <w:szCs w:val="20"/>
        </w:rPr>
        <w:t xml:space="preserve">to </w:t>
      </w:r>
      <w:r w:rsidR="00B153F5" w:rsidRPr="003F7F6C">
        <w:rPr>
          <w:szCs w:val="20"/>
        </w:rPr>
        <w:t>undertake prior consultations and FPIC processes (as per ILO 169) to obtain consent in those cases where potential activities are identified as framed in the cases pointed out by the international framework and UNDP guidelines (e.g extraction of natural resources such as felling or mining or agricultural developments in their lands or territories; a decision that could affect the status or rights of people to their lands/territories, resources or livelihoods; access to traditional knowledge, innovations and practices; commercial use of natural and/or cultural resources in lands subject to traditional ownership or under traditional use by Indigenous Peoples; decisions in regards to benefit sharing when such benefits derive from their lands, territories or resources). At target landscape level the action lines outlined in the previous section above will be defined in detail during project implementation. For this the project will apply prior consultations at all times and FPIC will be ensured on any matters that may affect the rights and interests, lands, resources and territories.</w:t>
      </w:r>
      <w:r w:rsidR="000C45FE" w:rsidRPr="003F7F6C">
        <w:rPr>
          <w:szCs w:val="20"/>
        </w:rPr>
        <w:t xml:space="preserve"> </w:t>
      </w:r>
    </w:p>
    <w:p w14:paraId="4AC45237" w14:textId="77777777" w:rsidR="006B1FC1" w:rsidRPr="003F7F6C" w:rsidRDefault="004A522F" w:rsidP="00E91275">
      <w:pPr>
        <w:numPr>
          <w:ilvl w:val="0"/>
          <w:numId w:val="28"/>
        </w:numPr>
        <w:tabs>
          <w:tab w:val="left" w:pos="426"/>
        </w:tabs>
        <w:spacing w:after="240"/>
        <w:ind w:left="0" w:firstLine="0"/>
        <w:rPr>
          <w:rFonts w:cs="Segoe UI"/>
          <w:color w:val="000000"/>
          <w:szCs w:val="20"/>
        </w:rPr>
      </w:pPr>
      <w:r w:rsidRPr="003F7F6C">
        <w:rPr>
          <w:rFonts w:cs="Calibri"/>
          <w:szCs w:val="20"/>
        </w:rPr>
        <w:t xml:space="preserve">The stakeholder engagement plan and the Social and Environmental Screening Template (Annex </w:t>
      </w:r>
      <w:r w:rsidR="00170748" w:rsidRPr="003F7F6C">
        <w:rPr>
          <w:rFonts w:cs="Calibri"/>
          <w:szCs w:val="20"/>
        </w:rPr>
        <w:t>E</w:t>
      </w:r>
      <w:r w:rsidRPr="003F7F6C">
        <w:rPr>
          <w:rFonts w:cs="Calibri"/>
          <w:szCs w:val="20"/>
        </w:rPr>
        <w:t>) include more detailed information.</w:t>
      </w:r>
    </w:p>
    <w:p w14:paraId="6892EC02" w14:textId="77777777" w:rsidR="006B1FC1" w:rsidRPr="003F7F6C" w:rsidRDefault="006B1FC1" w:rsidP="006B1FC1">
      <w:pPr>
        <w:tabs>
          <w:tab w:val="left" w:pos="426"/>
        </w:tabs>
        <w:spacing w:after="240"/>
        <w:rPr>
          <w:szCs w:val="20"/>
          <w:u w:val="single"/>
        </w:rPr>
      </w:pPr>
    </w:p>
    <w:p w14:paraId="6774F55F" w14:textId="77777777" w:rsidR="006B1FC1" w:rsidRPr="003F7F6C" w:rsidRDefault="0036517D" w:rsidP="006B1FC1">
      <w:pPr>
        <w:tabs>
          <w:tab w:val="left" w:pos="426"/>
        </w:tabs>
        <w:spacing w:after="240"/>
        <w:rPr>
          <w:rFonts w:cs="Segoe UI"/>
          <w:color w:val="000000"/>
          <w:szCs w:val="20"/>
        </w:rPr>
      </w:pPr>
      <w:r w:rsidRPr="003F7F6C">
        <w:rPr>
          <w:szCs w:val="20"/>
          <w:u w:val="single"/>
        </w:rPr>
        <w:t>Gender equality and empowering women</w:t>
      </w:r>
      <w:r w:rsidR="00F21008" w:rsidRPr="003F7F6C">
        <w:rPr>
          <w:szCs w:val="20"/>
        </w:rPr>
        <w:t xml:space="preserve">:  </w:t>
      </w:r>
    </w:p>
    <w:p w14:paraId="0CF625E4" w14:textId="77777777" w:rsidR="006B1FC1" w:rsidRPr="003F7F6C" w:rsidRDefault="00142835" w:rsidP="00E91275">
      <w:pPr>
        <w:numPr>
          <w:ilvl w:val="0"/>
          <w:numId w:val="28"/>
        </w:numPr>
        <w:tabs>
          <w:tab w:val="left" w:pos="426"/>
        </w:tabs>
        <w:spacing w:after="240"/>
        <w:ind w:left="0" w:firstLine="0"/>
        <w:rPr>
          <w:rFonts w:cs="Segoe UI"/>
          <w:color w:val="000000"/>
          <w:szCs w:val="20"/>
        </w:rPr>
      </w:pPr>
      <w:r w:rsidRPr="003F7F6C">
        <w:rPr>
          <w:rFonts w:cs="Calibri"/>
          <w:szCs w:val="20"/>
          <w:lang w:eastAsia="en-GB"/>
        </w:rPr>
        <w:t>The project mainstreams gender and multi-cultural issues throughout its entire cycle, based on the premise that besides ensuring participation of women (and their organizations) in the spaces generated by the project, it will contribute to their effective empowerment as social actors. The project recognizes the ethno-cultural characteristics of the relevant groups (e.g.</w:t>
      </w:r>
      <w:r w:rsidR="004C44EC" w:rsidRPr="003F7F6C">
        <w:rPr>
          <w:rFonts w:cs="Calibri"/>
          <w:szCs w:val="20"/>
          <w:lang w:eastAsia="en-GB"/>
        </w:rPr>
        <w:t>,</w:t>
      </w:r>
      <w:r w:rsidRPr="003F7F6C">
        <w:rPr>
          <w:rFonts w:cs="Calibri"/>
          <w:szCs w:val="20"/>
          <w:lang w:eastAsia="en-GB"/>
        </w:rPr>
        <w:t xml:space="preserve"> Omaguaca, Kolla, Atacama and Mapuche</w:t>
      </w:r>
      <w:r w:rsidR="00260444" w:rsidRPr="003F7F6C">
        <w:rPr>
          <w:rFonts w:cs="Calibri"/>
          <w:szCs w:val="20"/>
          <w:lang w:eastAsia="en-GB"/>
        </w:rPr>
        <w:t xml:space="preserve"> indigenous peoples) such as</w:t>
      </w:r>
      <w:r w:rsidRPr="003F7F6C">
        <w:rPr>
          <w:rFonts w:cs="Calibri"/>
          <w:szCs w:val="20"/>
          <w:lang w:eastAsia="en-GB"/>
        </w:rPr>
        <w:t xml:space="preserve"> the role of the family in p</w:t>
      </w:r>
      <w:r w:rsidR="00260444" w:rsidRPr="003F7F6C">
        <w:rPr>
          <w:rFonts w:cs="Calibri"/>
          <w:szCs w:val="20"/>
          <w:lang w:eastAsia="en-GB"/>
        </w:rPr>
        <w:t>roduction and income generation and</w:t>
      </w:r>
      <w:r w:rsidRPr="003F7F6C">
        <w:rPr>
          <w:rFonts w:cs="Calibri"/>
          <w:szCs w:val="20"/>
          <w:lang w:eastAsia="en-GB"/>
        </w:rPr>
        <w:t xml:space="preserve"> the socio-economic di</w:t>
      </w:r>
      <w:r w:rsidR="00260444" w:rsidRPr="003F7F6C">
        <w:rPr>
          <w:rFonts w:cs="Calibri"/>
          <w:szCs w:val="20"/>
          <w:lang w:eastAsia="en-GB"/>
        </w:rPr>
        <w:t>fferences between men and women</w:t>
      </w:r>
      <w:r w:rsidRPr="003F7F6C">
        <w:rPr>
          <w:rFonts w:cs="Calibri"/>
          <w:szCs w:val="20"/>
          <w:lang w:eastAsia="en-GB"/>
        </w:rPr>
        <w:t xml:space="preserve">.  </w:t>
      </w:r>
    </w:p>
    <w:p w14:paraId="5A185047" w14:textId="721DE6B4" w:rsidR="006B1FC1" w:rsidRPr="003F7F6C" w:rsidRDefault="00142835" w:rsidP="00E91275">
      <w:pPr>
        <w:numPr>
          <w:ilvl w:val="0"/>
          <w:numId w:val="28"/>
        </w:numPr>
        <w:tabs>
          <w:tab w:val="left" w:pos="426"/>
        </w:tabs>
        <w:spacing w:after="240"/>
        <w:ind w:left="0" w:firstLine="0"/>
        <w:rPr>
          <w:rFonts w:cs="Segoe UI"/>
          <w:color w:val="000000"/>
          <w:szCs w:val="20"/>
        </w:rPr>
      </w:pPr>
      <w:r w:rsidRPr="003F7F6C">
        <w:rPr>
          <w:rFonts w:cs="Calibri"/>
          <w:szCs w:val="20"/>
        </w:rPr>
        <w:t xml:space="preserve">The project has developed a strategy that links the most important gaps identified in relation to its </w:t>
      </w:r>
      <w:r w:rsidR="007832C4" w:rsidRPr="003F7F6C">
        <w:rPr>
          <w:rFonts w:cs="Calibri"/>
          <w:szCs w:val="20"/>
        </w:rPr>
        <w:t>outcomes</w:t>
      </w:r>
      <w:r w:rsidRPr="003F7F6C">
        <w:rPr>
          <w:rFonts w:cs="Calibri"/>
          <w:szCs w:val="20"/>
        </w:rPr>
        <w:t xml:space="preserve">, the proposed interventions, and the country´s policies and commitments toward gender equality. The gaps identified in the analysis and which are considered in the strategy include: </w:t>
      </w:r>
      <w:r w:rsidR="006B7DBF" w:rsidRPr="003F7F6C">
        <w:rPr>
          <w:rFonts w:cs="Calibri"/>
          <w:szCs w:val="20"/>
        </w:rPr>
        <w:t xml:space="preserve">a) lack of </w:t>
      </w:r>
      <w:r w:rsidRPr="003F7F6C">
        <w:rPr>
          <w:rFonts w:cs="Calibri"/>
          <w:szCs w:val="20"/>
        </w:rPr>
        <w:t xml:space="preserve">parity in decision-making spaces; </w:t>
      </w:r>
      <w:r w:rsidR="006B7DBF" w:rsidRPr="003F7F6C">
        <w:rPr>
          <w:rFonts w:cs="Calibri"/>
          <w:szCs w:val="20"/>
        </w:rPr>
        <w:t xml:space="preserve">b) better conditions in </w:t>
      </w:r>
      <w:r w:rsidR="00F720E8" w:rsidRPr="003F7F6C">
        <w:rPr>
          <w:rFonts w:cs="Calibri"/>
          <w:szCs w:val="20"/>
        </w:rPr>
        <w:t xml:space="preserve">terms of </w:t>
      </w:r>
      <w:r w:rsidRPr="003F7F6C">
        <w:rPr>
          <w:rFonts w:cs="Calibri"/>
          <w:szCs w:val="20"/>
        </w:rPr>
        <w:t>incomes and livelihoods</w:t>
      </w:r>
      <w:r w:rsidR="006B7DBF" w:rsidRPr="003F7F6C">
        <w:rPr>
          <w:rFonts w:cs="Calibri"/>
          <w:szCs w:val="20"/>
        </w:rPr>
        <w:t xml:space="preserve"> for men over women</w:t>
      </w:r>
      <w:r w:rsidRPr="003F7F6C">
        <w:rPr>
          <w:rFonts w:cs="Calibri"/>
          <w:szCs w:val="20"/>
        </w:rPr>
        <w:t xml:space="preserve">; </w:t>
      </w:r>
      <w:r w:rsidR="006B7DBF" w:rsidRPr="003F7F6C">
        <w:rPr>
          <w:rFonts w:cs="Calibri"/>
          <w:szCs w:val="20"/>
        </w:rPr>
        <w:t xml:space="preserve">c) differences in </w:t>
      </w:r>
      <w:r w:rsidRPr="003F7F6C">
        <w:rPr>
          <w:rFonts w:cs="Calibri"/>
          <w:szCs w:val="20"/>
        </w:rPr>
        <w:t>use of time; and access to, and control of resources</w:t>
      </w:r>
      <w:r w:rsidR="006B7DBF" w:rsidRPr="003F7F6C">
        <w:rPr>
          <w:rFonts w:cs="Calibri"/>
          <w:szCs w:val="20"/>
        </w:rPr>
        <w:t xml:space="preserve"> that favor men</w:t>
      </w:r>
      <w:r w:rsidR="002817B8" w:rsidRPr="003F7F6C">
        <w:rPr>
          <w:rFonts w:cs="Calibri"/>
          <w:szCs w:val="20"/>
        </w:rPr>
        <w:t>.</w:t>
      </w:r>
    </w:p>
    <w:p w14:paraId="71CC9353" w14:textId="77777777" w:rsidR="00E41A59" w:rsidRPr="003F7F6C" w:rsidRDefault="007832C4" w:rsidP="00E91275">
      <w:pPr>
        <w:numPr>
          <w:ilvl w:val="0"/>
          <w:numId w:val="28"/>
        </w:numPr>
        <w:tabs>
          <w:tab w:val="left" w:pos="426"/>
        </w:tabs>
        <w:spacing w:after="240"/>
        <w:ind w:left="0" w:firstLine="0"/>
        <w:rPr>
          <w:rFonts w:cs="Segoe UI"/>
          <w:color w:val="000000"/>
          <w:szCs w:val="20"/>
        </w:rPr>
      </w:pPr>
      <w:r w:rsidRPr="003F7F6C">
        <w:rPr>
          <w:rFonts w:cs="Calibri"/>
          <w:szCs w:val="20"/>
        </w:rPr>
        <w:t xml:space="preserve">The main strategies considered are: </w:t>
      </w:r>
    </w:p>
    <w:p w14:paraId="503CC7B2" w14:textId="2BBADD73" w:rsidR="00E41A59" w:rsidRPr="003F7F6C" w:rsidRDefault="00E41A59" w:rsidP="00E91275">
      <w:pPr>
        <w:numPr>
          <w:ilvl w:val="0"/>
          <w:numId w:val="37"/>
        </w:numPr>
        <w:tabs>
          <w:tab w:val="left" w:pos="426"/>
        </w:tabs>
        <w:spacing w:after="240"/>
        <w:rPr>
          <w:rFonts w:cs="Segoe UI"/>
          <w:color w:val="000000"/>
          <w:szCs w:val="20"/>
        </w:rPr>
      </w:pPr>
      <w:r w:rsidRPr="003F7F6C">
        <w:rPr>
          <w:rFonts w:cs="Calibri"/>
          <w:szCs w:val="20"/>
        </w:rPr>
        <w:t>G</w:t>
      </w:r>
      <w:r w:rsidR="007832C4" w:rsidRPr="003F7F6C">
        <w:rPr>
          <w:rFonts w:cs="Calibri"/>
          <w:szCs w:val="20"/>
        </w:rPr>
        <w:t xml:space="preserve">ender balance </w:t>
      </w:r>
      <w:r w:rsidRPr="003F7F6C">
        <w:rPr>
          <w:rFonts w:cs="Calibri"/>
          <w:szCs w:val="20"/>
        </w:rPr>
        <w:t xml:space="preserve">will be </w:t>
      </w:r>
      <w:r w:rsidR="007832C4" w:rsidRPr="003F7F6C">
        <w:rPr>
          <w:rFonts w:cs="Calibri"/>
          <w:szCs w:val="20"/>
        </w:rPr>
        <w:t>taken into account in engaging the project team, the Project Board and multi-sectoral, mul</w:t>
      </w:r>
      <w:r w:rsidR="002817B8" w:rsidRPr="003F7F6C">
        <w:rPr>
          <w:rFonts w:cs="Calibri"/>
          <w:szCs w:val="20"/>
        </w:rPr>
        <w:t>ti-stakeholder dialogue spaces</w:t>
      </w:r>
      <w:r w:rsidR="006B7DBF" w:rsidRPr="003F7F6C">
        <w:rPr>
          <w:rFonts w:cs="Calibri"/>
          <w:szCs w:val="20"/>
        </w:rPr>
        <w:t xml:space="preserve">. </w:t>
      </w:r>
      <w:r w:rsidR="006B7DBF" w:rsidRPr="003F7F6C">
        <w:rPr>
          <w:szCs w:val="20"/>
        </w:rPr>
        <w:t>The recruitment processes that will be undertaken as part of the project will aim at ensuring workforce diversity, including in terms of gender. This will be achieved through a variety of measures, including ensuring that ToRs target men and women as potential candidates (“He/She”) equally, provisions that women are encouraged to apply, and requesting basic understanding, skills, experience and commitment required to work in a gender-sensitive and multicultural-sensitive manner. Where applicable, strong candidates will be assessed as part of written tests and/or behavioural interviews held as part of recruitment processes (e.g.</w:t>
      </w:r>
      <w:r w:rsidR="00F720E8" w:rsidRPr="003F7F6C">
        <w:rPr>
          <w:szCs w:val="20"/>
        </w:rPr>
        <w:t>,</w:t>
      </w:r>
      <w:r w:rsidR="006B7DBF" w:rsidRPr="003F7F6C">
        <w:rPr>
          <w:szCs w:val="20"/>
        </w:rPr>
        <w:t xml:space="preserve"> through adding one or more gender-related and multicultural-based questions).  In the multi-stakeholder dialogue spaces, the project will </w:t>
      </w:r>
      <w:r w:rsidR="00F720E8" w:rsidRPr="003F7F6C">
        <w:rPr>
          <w:szCs w:val="20"/>
        </w:rPr>
        <w:t>work</w:t>
      </w:r>
      <w:r w:rsidR="006B7DBF" w:rsidRPr="003F7F6C">
        <w:rPr>
          <w:szCs w:val="20"/>
        </w:rPr>
        <w:t xml:space="preserve"> through political dialogue </w:t>
      </w:r>
      <w:r w:rsidR="006B7DBF" w:rsidRPr="003F7F6C">
        <w:rPr>
          <w:rFonts w:cs="Calibri"/>
          <w:szCs w:val="20"/>
        </w:rPr>
        <w:t xml:space="preserve">at </w:t>
      </w:r>
      <w:r w:rsidR="00F720E8" w:rsidRPr="003F7F6C">
        <w:rPr>
          <w:rFonts w:cs="Calibri"/>
          <w:szCs w:val="20"/>
        </w:rPr>
        <w:t xml:space="preserve">the </w:t>
      </w:r>
      <w:r w:rsidR="006B7DBF" w:rsidRPr="003F7F6C">
        <w:rPr>
          <w:rFonts w:cs="Calibri"/>
          <w:szCs w:val="20"/>
        </w:rPr>
        <w:t>federal level to ensure the participation of women in these spaces and other project processes.</w:t>
      </w:r>
    </w:p>
    <w:p w14:paraId="46C5CAE9" w14:textId="79B46B5F" w:rsidR="006B7DBF" w:rsidRPr="003F7F6C" w:rsidRDefault="00C50403" w:rsidP="00E91275">
      <w:pPr>
        <w:numPr>
          <w:ilvl w:val="0"/>
          <w:numId w:val="37"/>
        </w:numPr>
        <w:tabs>
          <w:tab w:val="left" w:pos="426"/>
        </w:tabs>
        <w:spacing w:after="240"/>
        <w:rPr>
          <w:rFonts w:cs="Segoe UI"/>
          <w:color w:val="000000"/>
          <w:szCs w:val="20"/>
        </w:rPr>
      </w:pPr>
      <w:r w:rsidRPr="003F7F6C">
        <w:rPr>
          <w:rFonts w:cs="Calibri"/>
          <w:szCs w:val="20"/>
        </w:rPr>
        <w:t>I</w:t>
      </w:r>
      <w:r w:rsidR="007832C4" w:rsidRPr="003F7F6C">
        <w:rPr>
          <w:rFonts w:cs="Calibri"/>
          <w:szCs w:val="20"/>
        </w:rPr>
        <w:t>ncluding gender and ethnicity disaggregated data collected from official sources</w:t>
      </w:r>
      <w:r w:rsidRPr="003F7F6C">
        <w:rPr>
          <w:rFonts w:cs="Calibri"/>
          <w:szCs w:val="20"/>
        </w:rPr>
        <w:t xml:space="preserve"> in the development of policy, economic, financial and technical instruments and governance mechanisms for ELUP</w:t>
      </w:r>
      <w:r w:rsidR="007832C4" w:rsidRPr="003F7F6C">
        <w:rPr>
          <w:rFonts w:cs="Calibri"/>
          <w:szCs w:val="20"/>
        </w:rPr>
        <w:t xml:space="preserve">. </w:t>
      </w:r>
      <w:r w:rsidR="006B7DBF" w:rsidRPr="003F7F6C">
        <w:t xml:space="preserve">All </w:t>
      </w:r>
      <w:r w:rsidR="006B7DBF" w:rsidRPr="003F7F6C">
        <w:rPr>
          <w:szCs w:val="20"/>
        </w:rPr>
        <w:t xml:space="preserve">data reviewed and prepared for entry to </w:t>
      </w:r>
      <w:r w:rsidR="006B7DBF" w:rsidRPr="003F7F6C">
        <w:t>the system of policy, economic, financial and technical instruments and governance mechanisms for ELUP</w:t>
      </w:r>
      <w:r w:rsidR="006B7DBF" w:rsidRPr="003F7F6C">
        <w:rPr>
          <w:szCs w:val="20"/>
        </w:rPr>
        <w:t xml:space="preserve"> will be looked at through a gender and inter-cultural lens, and reference gender and ethnicity if and where needed (i.e.</w:t>
      </w:r>
      <w:r w:rsidR="00F720E8" w:rsidRPr="003F7F6C">
        <w:rPr>
          <w:szCs w:val="20"/>
        </w:rPr>
        <w:t>,</w:t>
      </w:r>
      <w:r w:rsidR="006B7DBF" w:rsidRPr="003F7F6C">
        <w:rPr>
          <w:szCs w:val="20"/>
        </w:rPr>
        <w:t xml:space="preserve"> who owns, controls, uses land areas in question, how will planned measures affect women and men both indigenous and non-indigenous, etc.). </w:t>
      </w:r>
      <w:r w:rsidR="006B7DBF" w:rsidRPr="003F7F6C">
        <w:t xml:space="preserve">If no official sources are available, </w:t>
      </w:r>
      <w:r w:rsidR="006B7DBF" w:rsidRPr="003F7F6C">
        <w:rPr>
          <w:szCs w:val="20"/>
        </w:rPr>
        <w:t>a specific survey will be conducted including specific questions that reveal relevant gender and multicultural dimensions (e.g.</w:t>
      </w:r>
      <w:r w:rsidR="001030B5" w:rsidRPr="003F7F6C">
        <w:rPr>
          <w:szCs w:val="20"/>
        </w:rPr>
        <w:t>,</w:t>
      </w:r>
      <w:r w:rsidR="006B7DBF" w:rsidRPr="003F7F6C">
        <w:rPr>
          <w:szCs w:val="20"/>
        </w:rPr>
        <w:t xml:space="preserve"> </w:t>
      </w:r>
      <w:r w:rsidR="001029E1" w:rsidRPr="003F7F6C">
        <w:rPr>
          <w:szCs w:val="20"/>
        </w:rPr>
        <w:t xml:space="preserve"> gender dimensions in the use of BD and ecosystem resources management; </w:t>
      </w:r>
      <w:r w:rsidR="006B7DBF" w:rsidRPr="003F7F6C">
        <w:rPr>
          <w:szCs w:val="20"/>
        </w:rPr>
        <w:t>economic impact of land degradation on women/men, both indigenous and non-indigenous).</w:t>
      </w:r>
    </w:p>
    <w:p w14:paraId="2D061EEB" w14:textId="643D4F36" w:rsidR="001E78F2" w:rsidRPr="003F7F6C" w:rsidRDefault="00605EDB" w:rsidP="00E91275">
      <w:pPr>
        <w:numPr>
          <w:ilvl w:val="0"/>
          <w:numId w:val="37"/>
        </w:numPr>
        <w:tabs>
          <w:tab w:val="left" w:pos="426"/>
        </w:tabs>
        <w:spacing w:after="240"/>
        <w:rPr>
          <w:rFonts w:cs="Segoe UI"/>
          <w:color w:val="000000"/>
          <w:szCs w:val="20"/>
        </w:rPr>
      </w:pPr>
      <w:r w:rsidRPr="003F7F6C">
        <w:rPr>
          <w:rFonts w:cs="Calibri"/>
          <w:szCs w:val="20"/>
        </w:rPr>
        <w:t>D</w:t>
      </w:r>
      <w:r w:rsidR="007832C4" w:rsidRPr="003F7F6C">
        <w:rPr>
          <w:rFonts w:cs="Calibri"/>
          <w:szCs w:val="20"/>
        </w:rPr>
        <w:t>evelopment of a capacity building program aimed at public officials and/or technical teams to raise awareness on the importance of engaging both women and men in decision-making processes and addressing gender i</w:t>
      </w:r>
      <w:r w:rsidR="002817B8" w:rsidRPr="003F7F6C">
        <w:rPr>
          <w:rFonts w:cs="Calibri"/>
          <w:szCs w:val="20"/>
        </w:rPr>
        <w:t>ssues</w:t>
      </w:r>
      <w:r w:rsidRPr="003F7F6C">
        <w:rPr>
          <w:rFonts w:cs="Calibri"/>
          <w:szCs w:val="20"/>
        </w:rPr>
        <w:t xml:space="preserve">. </w:t>
      </w:r>
      <w:r w:rsidRPr="003F7F6C">
        <w:rPr>
          <w:szCs w:val="20"/>
        </w:rPr>
        <w:t xml:space="preserve">Gender and intercultural approaches will be integrated into capacity-building initiatives through distinct gender sessions, workshop or training sessions </w:t>
      </w:r>
      <w:r w:rsidRPr="003F7F6C">
        <w:t xml:space="preserve">aimed at public officials and/or technical teams </w:t>
      </w:r>
      <w:r w:rsidRPr="003F7F6C">
        <w:rPr>
          <w:szCs w:val="20"/>
        </w:rPr>
        <w:t>(e.g.</w:t>
      </w:r>
      <w:r w:rsidR="00AC3886" w:rsidRPr="003F7F6C">
        <w:rPr>
          <w:szCs w:val="20"/>
        </w:rPr>
        <w:t>,</w:t>
      </w:r>
      <w:r w:rsidRPr="003F7F6C">
        <w:rPr>
          <w:szCs w:val="20"/>
        </w:rPr>
        <w:t xml:space="preserve"> pointing out the gender division of labor or use of time in the prioritized areas by presenting data disaggregated by sex). It is also key to ensure that both women and men have access to capacity-building initiatives, and that obstacles, which usually prevent women from benefitting from these activities, are addressed (e.g.</w:t>
      </w:r>
      <w:r w:rsidR="00AC3886" w:rsidRPr="003F7F6C">
        <w:rPr>
          <w:szCs w:val="20"/>
        </w:rPr>
        <w:t>,</w:t>
      </w:r>
      <w:r w:rsidRPr="003F7F6C">
        <w:rPr>
          <w:szCs w:val="20"/>
        </w:rPr>
        <w:t xml:space="preserve"> in places and at times where women have the chance to participate). It is also important to identify suitable female participants and </w:t>
      </w:r>
      <w:r w:rsidR="00AC3886" w:rsidRPr="003F7F6C">
        <w:rPr>
          <w:szCs w:val="20"/>
        </w:rPr>
        <w:t>invite</w:t>
      </w:r>
      <w:r w:rsidRPr="003F7F6C">
        <w:rPr>
          <w:szCs w:val="20"/>
        </w:rPr>
        <w:t xml:space="preserve"> these women, and explain the benefits of enhancing women and men’s capacities equally, including for target communities as a whole, to authorities/decision-makers.</w:t>
      </w:r>
    </w:p>
    <w:p w14:paraId="5EDCE1C7" w14:textId="13C10DF0" w:rsidR="001E78F2" w:rsidRPr="003F7F6C" w:rsidRDefault="00BB4541" w:rsidP="00E91275">
      <w:pPr>
        <w:numPr>
          <w:ilvl w:val="0"/>
          <w:numId w:val="37"/>
        </w:numPr>
        <w:tabs>
          <w:tab w:val="left" w:pos="426"/>
        </w:tabs>
        <w:spacing w:after="240"/>
        <w:rPr>
          <w:rFonts w:cs="Segoe UI"/>
          <w:color w:val="000000"/>
          <w:szCs w:val="20"/>
        </w:rPr>
      </w:pPr>
      <w:r w:rsidRPr="003F7F6C">
        <w:rPr>
          <w:rFonts w:cs="Calibri"/>
          <w:szCs w:val="20"/>
        </w:rPr>
        <w:t>G</w:t>
      </w:r>
      <w:r w:rsidR="007832C4" w:rsidRPr="003F7F6C">
        <w:rPr>
          <w:rFonts w:cs="Calibri"/>
          <w:szCs w:val="20"/>
        </w:rPr>
        <w:t>ender mainstreaming in the promotion of dialogue mechanisms, making the most of existing spaces and structures for consultation, deliberation, decision-making and inter-institutional coordination at the national, provincial and pilot levels, by fostering equal participation of women and men and indigenous populations in agenda-setting, decision-making</w:t>
      </w:r>
      <w:r w:rsidR="002817B8" w:rsidRPr="003F7F6C">
        <w:rPr>
          <w:rFonts w:cs="Calibri"/>
          <w:szCs w:val="20"/>
        </w:rPr>
        <w:t xml:space="preserve"> and/or policy-making processes</w:t>
      </w:r>
      <w:r w:rsidR="001E78F2" w:rsidRPr="003F7F6C">
        <w:rPr>
          <w:rFonts w:cs="Calibri"/>
          <w:szCs w:val="20"/>
        </w:rPr>
        <w:t xml:space="preserve">. This will include undertaking consultations with </w:t>
      </w:r>
      <w:r w:rsidR="001E78F2" w:rsidRPr="003F7F6C">
        <w:rPr>
          <w:szCs w:val="20"/>
        </w:rPr>
        <w:t>women and men from target sites as well as with institutions (e.g.</w:t>
      </w:r>
      <w:r w:rsidR="00AC3886" w:rsidRPr="003F7F6C">
        <w:rPr>
          <w:szCs w:val="20"/>
        </w:rPr>
        <w:t>,</w:t>
      </w:r>
      <w:r w:rsidR="001E78F2" w:rsidRPr="003F7F6C">
        <w:rPr>
          <w:szCs w:val="20"/>
        </w:rPr>
        <w:t xml:space="preserve"> INAM and INAI at the national level and the gender and ethnicity agencies in each of the provinces levels). When designing the contents, methodologies and approaches, the project will ensure that women and men’s knowledge and interests are considered and that women are included in decision-making processes (e.g.</w:t>
      </w:r>
      <w:r w:rsidR="00AC3886" w:rsidRPr="003F7F6C">
        <w:rPr>
          <w:szCs w:val="20"/>
        </w:rPr>
        <w:t>,</w:t>
      </w:r>
      <w:r w:rsidR="001E78F2" w:rsidRPr="003F7F6C">
        <w:rPr>
          <w:szCs w:val="20"/>
        </w:rPr>
        <w:t xml:space="preserve"> through highlighting the benefits of their involvement and ensuring consultations and dialogue spaces are held at a time and place where both women and men can participate).</w:t>
      </w:r>
    </w:p>
    <w:p w14:paraId="5ACE8946" w14:textId="70407DF6" w:rsidR="00A800AD" w:rsidRPr="003F7F6C" w:rsidRDefault="002817B8" w:rsidP="00E91275">
      <w:pPr>
        <w:numPr>
          <w:ilvl w:val="0"/>
          <w:numId w:val="37"/>
        </w:numPr>
        <w:tabs>
          <w:tab w:val="left" w:pos="432"/>
        </w:tabs>
        <w:spacing w:after="240"/>
      </w:pPr>
      <w:r w:rsidRPr="003F7F6C">
        <w:rPr>
          <w:rFonts w:cs="Calibri"/>
          <w:szCs w:val="20"/>
        </w:rPr>
        <w:t xml:space="preserve"> </w:t>
      </w:r>
      <w:r w:rsidR="002A5849" w:rsidRPr="003F7F6C">
        <w:rPr>
          <w:rFonts w:cs="Calibri"/>
          <w:szCs w:val="20"/>
        </w:rPr>
        <w:t>D</w:t>
      </w:r>
      <w:r w:rsidR="007832C4" w:rsidRPr="003F7F6C">
        <w:rPr>
          <w:rFonts w:cs="Calibri"/>
          <w:szCs w:val="20"/>
        </w:rPr>
        <w:t xml:space="preserve">evelopment of a capacity building program aimed at women beneficiaries (indigenous and non-indigenous) in the three prioritized areas and </w:t>
      </w:r>
      <w:r w:rsidRPr="003F7F6C">
        <w:rPr>
          <w:rFonts w:cs="Calibri"/>
          <w:szCs w:val="20"/>
        </w:rPr>
        <w:t xml:space="preserve">target landscapes. </w:t>
      </w:r>
      <w:r w:rsidR="000557B3" w:rsidRPr="003F7F6C">
        <w:rPr>
          <w:rFonts w:cs="Calibri"/>
        </w:rPr>
        <w:t>T</w:t>
      </w:r>
      <w:r w:rsidR="007832C4" w:rsidRPr="003F7F6C">
        <w:rPr>
          <w:rFonts w:cs="Calibri"/>
        </w:rPr>
        <w:t xml:space="preserve">he project will </w:t>
      </w:r>
      <w:r w:rsidRPr="003F7F6C">
        <w:rPr>
          <w:rFonts w:cs="Calibri"/>
        </w:rPr>
        <w:t>coordinate</w:t>
      </w:r>
      <w:r w:rsidR="007832C4" w:rsidRPr="003F7F6C">
        <w:rPr>
          <w:rFonts w:cs="Calibri"/>
        </w:rPr>
        <w:t xml:space="preserve"> with the </w:t>
      </w:r>
      <w:r w:rsidRPr="003F7F6C">
        <w:rPr>
          <w:rFonts w:cs="Calibri"/>
        </w:rPr>
        <w:t>National Institute of Women (</w:t>
      </w:r>
      <w:r w:rsidR="007832C4" w:rsidRPr="003F7F6C">
        <w:rPr>
          <w:rFonts w:cs="Calibri"/>
        </w:rPr>
        <w:t>INAM</w:t>
      </w:r>
      <w:r w:rsidRPr="003F7F6C">
        <w:rPr>
          <w:rFonts w:cs="Calibri"/>
        </w:rPr>
        <w:t>)</w:t>
      </w:r>
      <w:r w:rsidR="007832C4" w:rsidRPr="003F7F6C">
        <w:rPr>
          <w:rFonts w:cs="Calibri"/>
        </w:rPr>
        <w:t xml:space="preserve">, the Federal Council of Women and the </w:t>
      </w:r>
      <w:r w:rsidRPr="003F7F6C">
        <w:rPr>
          <w:rFonts w:cs="Calibri"/>
        </w:rPr>
        <w:t xml:space="preserve">INAI </w:t>
      </w:r>
      <w:r w:rsidR="007832C4" w:rsidRPr="003F7F6C">
        <w:rPr>
          <w:rFonts w:cs="Calibri"/>
        </w:rPr>
        <w:t>and with the three provincial gender mechanisms and indigenous affairs bureaus (Buenos Aires: the Provincial Council of Women under the Secretariat for Gender and Sexual Diversity of the Secretariat for Human Rights of the Province of Buenos Aires and the Provincial Counci</w:t>
      </w:r>
      <w:r w:rsidR="00E56E72" w:rsidRPr="003F7F6C">
        <w:rPr>
          <w:rFonts w:cs="Calibri"/>
        </w:rPr>
        <w:t>l for Indigenous Affairs</w:t>
      </w:r>
      <w:r w:rsidR="007832C4" w:rsidRPr="003F7F6C">
        <w:rPr>
          <w:rFonts w:cs="Calibri"/>
        </w:rPr>
        <w:t>; Mendoza: the Directorate of Women, Gender and Diversity under the Ministry of Social Development and Human Rights and in Jujuy, the Gender Parity Secretariat under the Ministry of Human Development and the Se</w:t>
      </w:r>
      <w:r w:rsidRPr="003F7F6C">
        <w:rPr>
          <w:rFonts w:cs="Calibri"/>
        </w:rPr>
        <w:t>cretariat of Indigenous Peoples</w:t>
      </w:r>
      <w:r w:rsidR="007832C4" w:rsidRPr="003F7F6C">
        <w:rPr>
          <w:rFonts w:cs="Calibri"/>
        </w:rPr>
        <w:t xml:space="preserve">. </w:t>
      </w:r>
      <w:r w:rsidR="00A800AD" w:rsidRPr="003F7F6C">
        <w:t>The project will enhance collaboration with civil society organizations with support of each of the above entities in the three prioritized areas to ensure women and men are equally included in capacity building programs. The project will ensure consultation of women and men working in agriculture and identify female-headed households to facilitate their engagement in project activities (i.e.</w:t>
      </w:r>
      <w:r w:rsidR="00AC3886" w:rsidRPr="003F7F6C">
        <w:t>,</w:t>
      </w:r>
      <w:r w:rsidR="00A800AD" w:rsidRPr="003F7F6C">
        <w:t xml:space="preserve"> ensure that participation is possible given their particularly tight schedules). Additionally, the project will collaborate with stakeholders working on gender equality, women’s empowerment and other relevant actors in the tourism sector (e.g. Ministry of Tourism, women working in the tourism sector and those interested to get engaged) to find out about suitable business opportunities.</w:t>
      </w:r>
    </w:p>
    <w:p w14:paraId="4075378B" w14:textId="77777777" w:rsidR="00A800AD" w:rsidRPr="003F7F6C" w:rsidRDefault="00A800AD" w:rsidP="00E91275">
      <w:pPr>
        <w:numPr>
          <w:ilvl w:val="0"/>
          <w:numId w:val="37"/>
        </w:numPr>
        <w:tabs>
          <w:tab w:val="left" w:pos="432"/>
        </w:tabs>
        <w:spacing w:after="240"/>
        <w:rPr>
          <w:rFonts w:cs="Segoe UI"/>
          <w:color w:val="000000"/>
          <w:szCs w:val="20"/>
        </w:rPr>
      </w:pPr>
      <w:r w:rsidRPr="003F7F6C">
        <w:rPr>
          <w:rFonts w:cs="Calibri"/>
          <w:szCs w:val="20"/>
        </w:rPr>
        <w:t>E</w:t>
      </w:r>
      <w:r w:rsidR="002817B8" w:rsidRPr="003F7F6C">
        <w:rPr>
          <w:rFonts w:cs="Calibri"/>
          <w:szCs w:val="20"/>
        </w:rPr>
        <w:t>nhance</w:t>
      </w:r>
      <w:r w:rsidR="007832C4" w:rsidRPr="003F7F6C">
        <w:rPr>
          <w:rFonts w:cs="Calibri"/>
          <w:szCs w:val="20"/>
        </w:rPr>
        <w:t xml:space="preserve"> knowledge management and dissemination by systematizing, assessing, replicating and/or scaling up lessons learned, case studies, and promising and/or best practices on gender mainstreaming in BD/SLM and ELUP and on women’s participation in dialogue platforms and/or mechanisms in the three prioritized areas</w:t>
      </w:r>
      <w:r w:rsidRPr="003F7F6C">
        <w:rPr>
          <w:rFonts w:cs="Calibri"/>
          <w:szCs w:val="20"/>
        </w:rPr>
        <w:t>.</w:t>
      </w:r>
      <w:r w:rsidR="007832C4" w:rsidRPr="003F7F6C">
        <w:rPr>
          <w:rFonts w:cs="Calibri"/>
          <w:szCs w:val="20"/>
        </w:rPr>
        <w:t xml:space="preserve"> </w:t>
      </w:r>
      <w:r w:rsidRPr="003F7F6C">
        <w:rPr>
          <w:szCs w:val="20"/>
        </w:rPr>
        <w:t xml:space="preserve">The documentation and dissemination of results will consider gender and the multicultural approach, too. To achieve this, knowledge products prepared under the project will reflect on gender and ethnicity to the extent possible, for instance through the presentation of data disaggregated by sex and ethnicity and the inclusion of sections that </w:t>
      </w:r>
      <w:r w:rsidR="00F9506B" w:rsidRPr="003F7F6C">
        <w:rPr>
          <w:szCs w:val="20"/>
        </w:rPr>
        <w:t>analyze</w:t>
      </w:r>
      <w:r w:rsidRPr="003F7F6C">
        <w:rPr>
          <w:szCs w:val="20"/>
        </w:rPr>
        <w:t xml:space="preserve"> the respective gender and ethnic dimensions. Gender and ethnicity will also be considered in the dissemination of research results, knowledge and information. For instance, when circulating knowledge products, the project will ensure the inclusion of various stakeholders that work on gender equality, women’s empowerment and ethnicity, both from civil society and public entities and both at the national level and in the three prioritized areas and pilot sites. </w:t>
      </w:r>
    </w:p>
    <w:p w14:paraId="6BE0A5A9" w14:textId="77777777" w:rsidR="006B1FC1" w:rsidRPr="003F7F6C" w:rsidRDefault="00170748" w:rsidP="00E91275">
      <w:pPr>
        <w:numPr>
          <w:ilvl w:val="0"/>
          <w:numId w:val="28"/>
        </w:numPr>
        <w:tabs>
          <w:tab w:val="left" w:pos="432"/>
        </w:tabs>
        <w:spacing w:after="240"/>
        <w:ind w:left="0" w:firstLine="0"/>
        <w:rPr>
          <w:rFonts w:cs="Segoe UI"/>
          <w:color w:val="000000"/>
          <w:szCs w:val="20"/>
        </w:rPr>
      </w:pPr>
      <w:r w:rsidRPr="003F7F6C">
        <w:rPr>
          <w:rFonts w:cs="Calibri"/>
          <w:szCs w:val="20"/>
        </w:rPr>
        <w:t xml:space="preserve">Annex G includes the Gender Analysis and Action Plan. </w:t>
      </w:r>
      <w:r w:rsidR="002817B8" w:rsidRPr="003F7F6C">
        <w:rPr>
          <w:rFonts w:cs="Calibri"/>
          <w:szCs w:val="20"/>
        </w:rPr>
        <w:t xml:space="preserve">Gender </w:t>
      </w:r>
      <w:r w:rsidR="00CF3F1F" w:rsidRPr="003F7F6C">
        <w:rPr>
          <w:rFonts w:cs="Calibri"/>
          <w:szCs w:val="20"/>
        </w:rPr>
        <w:t>mainstreaming has</w:t>
      </w:r>
      <w:r w:rsidRPr="003F7F6C">
        <w:rPr>
          <w:rFonts w:cs="Calibri"/>
          <w:szCs w:val="20"/>
        </w:rPr>
        <w:t xml:space="preserve"> also</w:t>
      </w:r>
      <w:r w:rsidR="00142835" w:rsidRPr="003F7F6C">
        <w:rPr>
          <w:rFonts w:cs="Calibri"/>
          <w:szCs w:val="20"/>
        </w:rPr>
        <w:t xml:space="preserve"> been assessed in the Social and Environmental Screening</w:t>
      </w:r>
      <w:r w:rsidR="002817B8" w:rsidRPr="003F7F6C">
        <w:rPr>
          <w:rFonts w:cs="Calibri"/>
          <w:szCs w:val="20"/>
        </w:rPr>
        <w:t xml:space="preserve"> (see Annex </w:t>
      </w:r>
      <w:r w:rsidRPr="003F7F6C">
        <w:rPr>
          <w:rFonts w:cs="Calibri"/>
          <w:szCs w:val="20"/>
        </w:rPr>
        <w:t>E)</w:t>
      </w:r>
      <w:r w:rsidR="002817B8" w:rsidRPr="003F7F6C">
        <w:rPr>
          <w:rFonts w:cs="Calibri"/>
          <w:szCs w:val="20"/>
        </w:rPr>
        <w:t>.</w:t>
      </w:r>
    </w:p>
    <w:p w14:paraId="24404041" w14:textId="77777777" w:rsidR="006B1FC1" w:rsidRPr="003F7F6C" w:rsidRDefault="006B1FC1" w:rsidP="006B1FC1">
      <w:pPr>
        <w:tabs>
          <w:tab w:val="left" w:pos="432"/>
        </w:tabs>
        <w:spacing w:after="240"/>
        <w:rPr>
          <w:rFonts w:cs="Calibri"/>
          <w:szCs w:val="20"/>
          <w:u w:val="single"/>
        </w:rPr>
      </w:pPr>
    </w:p>
    <w:p w14:paraId="4FEDBAD4" w14:textId="77777777" w:rsidR="006B1FC1" w:rsidRPr="003F7F6C" w:rsidRDefault="00075FD8" w:rsidP="006B1FC1">
      <w:pPr>
        <w:tabs>
          <w:tab w:val="left" w:pos="432"/>
        </w:tabs>
        <w:spacing w:after="240"/>
        <w:rPr>
          <w:rFonts w:cs="Segoe UI"/>
          <w:color w:val="000000"/>
          <w:szCs w:val="20"/>
        </w:rPr>
      </w:pPr>
      <w:r w:rsidRPr="003F7F6C">
        <w:rPr>
          <w:rFonts w:cs="Calibri"/>
          <w:szCs w:val="20"/>
          <w:u w:val="single"/>
        </w:rPr>
        <w:t>Sustainability and Scaling Up</w:t>
      </w:r>
      <w:r w:rsidR="00591D26" w:rsidRPr="003F7F6C">
        <w:rPr>
          <w:rFonts w:cs="Calibri"/>
          <w:szCs w:val="20"/>
        </w:rPr>
        <w:t xml:space="preserve">: </w:t>
      </w:r>
    </w:p>
    <w:p w14:paraId="6E254036" w14:textId="77777777" w:rsidR="006B1FC1" w:rsidRPr="003F7F6C" w:rsidRDefault="005835E4" w:rsidP="00E91275">
      <w:pPr>
        <w:numPr>
          <w:ilvl w:val="0"/>
          <w:numId w:val="28"/>
        </w:numPr>
        <w:tabs>
          <w:tab w:val="left" w:pos="432"/>
        </w:tabs>
        <w:spacing w:after="240"/>
        <w:ind w:left="0" w:firstLine="0"/>
        <w:rPr>
          <w:rFonts w:cs="Segoe UI"/>
          <w:color w:val="000000"/>
          <w:szCs w:val="20"/>
        </w:rPr>
      </w:pPr>
      <w:r w:rsidRPr="003F7F6C">
        <w:rPr>
          <w:rFonts w:eastAsia="Times New Roman" w:cs="Calibri"/>
          <w:szCs w:val="20"/>
          <w:lang w:eastAsia="es-ES_tradnl"/>
        </w:rPr>
        <w:t>The sustainability of the project is linked to the creation of policy and regulatory frameworks that mainstream ELUP process and instruments into key sectors and financial programs</w:t>
      </w:r>
      <w:r w:rsidR="00E12C77" w:rsidRPr="003F7F6C">
        <w:rPr>
          <w:rFonts w:eastAsia="Times New Roman" w:cs="Calibri"/>
          <w:szCs w:val="20"/>
          <w:lang w:eastAsia="es-ES_tradnl"/>
        </w:rPr>
        <w:t>/</w:t>
      </w:r>
      <w:r w:rsidRPr="003F7F6C">
        <w:rPr>
          <w:rFonts w:eastAsia="Times New Roman" w:cs="Calibri"/>
          <w:szCs w:val="20"/>
          <w:lang w:eastAsia="es-ES_tradnl"/>
        </w:rPr>
        <w:t xml:space="preserve"> mechanisms that underpin these.  Project design builds on</w:t>
      </w:r>
      <w:r w:rsidR="00887D26" w:rsidRPr="003F7F6C">
        <w:rPr>
          <w:rFonts w:eastAsia="Times New Roman" w:cs="Calibri"/>
          <w:szCs w:val="20"/>
          <w:lang w:eastAsia="es-ES_tradnl"/>
        </w:rPr>
        <w:t xml:space="preserve"> a robust baseline of</w:t>
      </w:r>
      <w:r w:rsidRPr="003F7F6C">
        <w:rPr>
          <w:rFonts w:eastAsia="Times New Roman" w:cs="Calibri"/>
          <w:szCs w:val="20"/>
          <w:lang w:eastAsia="es-ES_tradnl"/>
        </w:rPr>
        <w:t xml:space="preserve"> existing policies, regulations, instruments and initiatives</w:t>
      </w:r>
      <w:r w:rsidR="00E12C77" w:rsidRPr="003F7F6C">
        <w:rPr>
          <w:rFonts w:eastAsia="Times New Roman" w:cs="Calibri"/>
          <w:szCs w:val="20"/>
          <w:lang w:eastAsia="es-ES_tradnl"/>
        </w:rPr>
        <w:t>,</w:t>
      </w:r>
      <w:r w:rsidRPr="003F7F6C">
        <w:rPr>
          <w:rFonts w:eastAsia="Times New Roman" w:cs="Calibri"/>
          <w:szCs w:val="20"/>
          <w:lang w:eastAsia="es-ES_tradnl"/>
        </w:rPr>
        <w:t xml:space="preserve"> </w:t>
      </w:r>
      <w:r w:rsidR="00887D26" w:rsidRPr="003F7F6C">
        <w:rPr>
          <w:rFonts w:eastAsia="Times New Roman" w:cs="Calibri"/>
          <w:szCs w:val="20"/>
          <w:lang w:eastAsia="es-ES_tradnl"/>
        </w:rPr>
        <w:t>thus ensuring institutional ownership and sustainability of results.</w:t>
      </w:r>
      <w:r w:rsidR="00604E53" w:rsidRPr="003F7F6C">
        <w:rPr>
          <w:rFonts w:eastAsia="Times New Roman" w:cs="Calibri"/>
          <w:szCs w:val="20"/>
          <w:lang w:eastAsia="es-ES_tradnl"/>
        </w:rPr>
        <w:t xml:space="preserve"> </w:t>
      </w:r>
      <w:r w:rsidR="008E354A" w:rsidRPr="003F7F6C">
        <w:rPr>
          <w:rFonts w:eastAsia="Times New Roman" w:cs="Calibri"/>
          <w:szCs w:val="20"/>
          <w:lang w:eastAsia="es-ES_tradnl"/>
        </w:rPr>
        <w:t xml:space="preserve">Instruments will be developed that use incentives and innovative approaches such as those targeted </w:t>
      </w:r>
      <w:r w:rsidR="00E12C77" w:rsidRPr="003F7F6C">
        <w:rPr>
          <w:rFonts w:eastAsia="Times New Roman" w:cs="Calibri"/>
          <w:szCs w:val="20"/>
          <w:lang w:eastAsia="es-ES_tradnl"/>
        </w:rPr>
        <w:t xml:space="preserve">at </w:t>
      </w:r>
      <w:r w:rsidR="008E354A" w:rsidRPr="003F7F6C">
        <w:rPr>
          <w:rFonts w:eastAsia="Times New Roman" w:cs="Calibri"/>
          <w:szCs w:val="20"/>
          <w:lang w:eastAsia="es-ES_tradnl"/>
        </w:rPr>
        <w:t>generating economic and financial options to include the value of ecosystem services in negotiation and planning processes. In addition to the preparation of a policy framework</w:t>
      </w:r>
      <w:r w:rsidR="00604E53" w:rsidRPr="003F7F6C">
        <w:rPr>
          <w:rFonts w:eastAsia="Times New Roman" w:cs="Calibri"/>
          <w:szCs w:val="20"/>
          <w:lang w:eastAsia="es-ES_tradnl"/>
        </w:rPr>
        <w:t>,</w:t>
      </w:r>
      <w:r w:rsidR="008E354A" w:rsidRPr="003F7F6C">
        <w:rPr>
          <w:rFonts w:eastAsia="Times New Roman" w:cs="Calibri"/>
          <w:szCs w:val="20"/>
          <w:lang w:eastAsia="es-ES_tradnl"/>
        </w:rPr>
        <w:t xml:space="preserve"> a legal and institutional proposal for ELUP sustainability will also be developed</w:t>
      </w:r>
      <w:r w:rsidR="00604E53" w:rsidRPr="003F7F6C">
        <w:rPr>
          <w:rFonts w:eastAsia="Times New Roman" w:cs="Calibri"/>
          <w:szCs w:val="20"/>
          <w:lang w:eastAsia="es-ES_tradnl"/>
        </w:rPr>
        <w:t xml:space="preserve"> and agreed</w:t>
      </w:r>
      <w:r w:rsidR="00E12C77" w:rsidRPr="003F7F6C">
        <w:rPr>
          <w:rFonts w:eastAsia="Times New Roman" w:cs="Calibri"/>
          <w:szCs w:val="20"/>
          <w:lang w:eastAsia="es-ES_tradnl"/>
        </w:rPr>
        <w:t xml:space="preserve"> upon</w:t>
      </w:r>
      <w:r w:rsidR="00604E53" w:rsidRPr="003F7F6C">
        <w:rPr>
          <w:rFonts w:eastAsia="Times New Roman" w:cs="Calibri"/>
          <w:szCs w:val="20"/>
          <w:lang w:eastAsia="es-ES_tradnl"/>
        </w:rPr>
        <w:t>.</w:t>
      </w:r>
    </w:p>
    <w:p w14:paraId="261D58B8" w14:textId="77777777" w:rsidR="006B1FC1" w:rsidRPr="003F7F6C" w:rsidRDefault="008E354A" w:rsidP="00E91275">
      <w:pPr>
        <w:numPr>
          <w:ilvl w:val="0"/>
          <w:numId w:val="28"/>
        </w:numPr>
        <w:tabs>
          <w:tab w:val="left" w:pos="432"/>
        </w:tabs>
        <w:spacing w:after="240"/>
        <w:ind w:left="0" w:firstLine="0"/>
        <w:rPr>
          <w:rFonts w:cs="Segoe UI"/>
          <w:color w:val="000000"/>
          <w:szCs w:val="20"/>
        </w:rPr>
      </w:pPr>
      <w:r w:rsidRPr="003F7F6C">
        <w:rPr>
          <w:rFonts w:cs="Calibri"/>
          <w:szCs w:val="20"/>
        </w:rPr>
        <w:t xml:space="preserve">The optimization of inter-institutional and inter-sectoral coordination, strengthened dialogue, improved policy and regulatory instruments, and better coordination in the implementation of the different </w:t>
      </w:r>
      <w:r w:rsidR="006275F7" w:rsidRPr="003F7F6C">
        <w:rPr>
          <w:rFonts w:cs="Calibri"/>
          <w:szCs w:val="20"/>
        </w:rPr>
        <w:t>government programs and projects</w:t>
      </w:r>
      <w:r w:rsidRPr="003F7F6C">
        <w:rPr>
          <w:rFonts w:cs="Calibri"/>
          <w:szCs w:val="20"/>
        </w:rPr>
        <w:t xml:space="preserve"> will help the project partners and especially the participating government institutions to overcome the predominant culture of short term planning, sector-based solutions and the influence of political interests in prioritizing interventions, and develop a discipline of coordinating and collaborating under a common approach – ELUP - thus ensuring sustainability of project results.</w:t>
      </w:r>
      <w:r w:rsidR="00604E53" w:rsidRPr="003F7F6C">
        <w:rPr>
          <w:rFonts w:cs="Calibri"/>
          <w:szCs w:val="20"/>
        </w:rPr>
        <w:t xml:space="preserve"> The information system for analysis of environmental variables and the system for evaluation and monitoring of ELUP implementation will support sustainability of ELUP processes </w:t>
      </w:r>
      <w:r w:rsidR="00EF1C64" w:rsidRPr="003F7F6C">
        <w:rPr>
          <w:rFonts w:cs="Calibri"/>
          <w:szCs w:val="20"/>
        </w:rPr>
        <w:t xml:space="preserve">by </w:t>
      </w:r>
      <w:r w:rsidR="00604E53" w:rsidRPr="003F7F6C">
        <w:rPr>
          <w:rFonts w:cs="Calibri"/>
          <w:szCs w:val="20"/>
        </w:rPr>
        <w:t>defining and measuring indicators and continuous updating and uploading of information in the long term.</w:t>
      </w:r>
    </w:p>
    <w:p w14:paraId="4EE1637C" w14:textId="77777777" w:rsidR="006B1FC1" w:rsidRPr="003F7F6C" w:rsidRDefault="00A4533F" w:rsidP="00E91275">
      <w:pPr>
        <w:numPr>
          <w:ilvl w:val="0"/>
          <w:numId w:val="28"/>
        </w:numPr>
        <w:tabs>
          <w:tab w:val="left" w:pos="432"/>
        </w:tabs>
        <w:spacing w:after="240"/>
        <w:ind w:left="0" w:firstLine="0"/>
        <w:rPr>
          <w:rFonts w:cs="Segoe UI"/>
          <w:color w:val="000000"/>
          <w:szCs w:val="20"/>
        </w:rPr>
      </w:pPr>
      <w:r w:rsidRPr="003F7F6C">
        <w:rPr>
          <w:rFonts w:cs="Calibri"/>
          <w:szCs w:val="20"/>
        </w:rPr>
        <w:t>Capacity development will enable project partners to improve their capacities for</w:t>
      </w:r>
      <w:r w:rsidRPr="003F7F6C">
        <w:rPr>
          <w:rFonts w:cs="Calibri"/>
          <w:bCs/>
          <w:szCs w:val="20"/>
        </w:rPr>
        <w:t xml:space="preserve"> </w:t>
      </w:r>
      <w:r w:rsidRPr="003F7F6C">
        <w:rPr>
          <w:rFonts w:cs="Calibri"/>
          <w:szCs w:val="20"/>
        </w:rPr>
        <w:t xml:space="preserve">planning, implementation, enforcing and monitoring of ELUP through training tailored to the specific stakeholder needs and demands. </w:t>
      </w:r>
      <w:r w:rsidR="000E44DB" w:rsidRPr="003F7F6C">
        <w:rPr>
          <w:rFonts w:cs="Calibri"/>
          <w:szCs w:val="20"/>
        </w:rPr>
        <w:t>The project will improve productive sectors´ know</w:t>
      </w:r>
      <w:r w:rsidR="00EF1C64" w:rsidRPr="003F7F6C">
        <w:rPr>
          <w:rFonts w:cs="Calibri"/>
          <w:szCs w:val="20"/>
        </w:rPr>
        <w:t xml:space="preserve"> </w:t>
      </w:r>
      <w:r w:rsidR="000E44DB" w:rsidRPr="003F7F6C">
        <w:rPr>
          <w:rFonts w:cs="Calibri"/>
          <w:szCs w:val="20"/>
        </w:rPr>
        <w:t xml:space="preserve">how for BD conservation and SLM management </w:t>
      </w:r>
      <w:r w:rsidR="00EF1C64" w:rsidRPr="003F7F6C">
        <w:rPr>
          <w:rFonts w:cs="Calibri"/>
          <w:szCs w:val="20"/>
        </w:rPr>
        <w:t xml:space="preserve">by </w:t>
      </w:r>
      <w:r w:rsidR="000E44DB" w:rsidRPr="003F7F6C">
        <w:rPr>
          <w:rFonts w:cs="Calibri"/>
          <w:szCs w:val="20"/>
        </w:rPr>
        <w:t>testing and validating approaches, training and outreach</w:t>
      </w:r>
      <w:r w:rsidR="006275F7" w:rsidRPr="003F7F6C">
        <w:rPr>
          <w:rFonts w:cs="Calibri"/>
          <w:szCs w:val="20"/>
        </w:rPr>
        <w:t xml:space="preserve">. This will increase the awareness of </w:t>
      </w:r>
      <w:r w:rsidR="000E44DB" w:rsidRPr="003F7F6C">
        <w:rPr>
          <w:rFonts w:cs="Calibri"/>
          <w:szCs w:val="20"/>
        </w:rPr>
        <w:t>producers, communities and other productive stakeholders o</w:t>
      </w:r>
      <w:r w:rsidR="006275F7" w:rsidRPr="003F7F6C">
        <w:rPr>
          <w:rFonts w:cs="Calibri"/>
          <w:szCs w:val="20"/>
        </w:rPr>
        <w:t>n</w:t>
      </w:r>
      <w:r w:rsidR="000E44DB" w:rsidRPr="003F7F6C">
        <w:rPr>
          <w:rFonts w:cs="Calibri"/>
          <w:szCs w:val="20"/>
        </w:rPr>
        <w:t xml:space="preserve"> the value of ecosystem goods and services, </w:t>
      </w:r>
      <w:r w:rsidR="006275F7" w:rsidRPr="003F7F6C">
        <w:rPr>
          <w:rFonts w:cs="Calibri"/>
          <w:szCs w:val="20"/>
        </w:rPr>
        <w:t>and the</w:t>
      </w:r>
      <w:r w:rsidR="000E44DB" w:rsidRPr="003F7F6C">
        <w:rPr>
          <w:rFonts w:cs="Calibri"/>
          <w:szCs w:val="20"/>
        </w:rPr>
        <w:t xml:space="preserve"> risks that unsustainable production</w:t>
      </w:r>
      <w:r w:rsidR="006275F7" w:rsidRPr="003F7F6C">
        <w:rPr>
          <w:rFonts w:cs="Calibri"/>
          <w:szCs w:val="20"/>
        </w:rPr>
        <w:t xml:space="preserve"> represent</w:t>
      </w:r>
      <w:r w:rsidR="000E44DB" w:rsidRPr="003F7F6C">
        <w:rPr>
          <w:rFonts w:cs="Calibri"/>
          <w:szCs w:val="20"/>
        </w:rPr>
        <w:t>, thereby increasing uptake of sound environmental practices. Dialogue and the development of partnerships will be essential tools for building consensus, enabling coordinated planning and regulatory oversight and encouraging sustainable forms of investment.</w:t>
      </w:r>
    </w:p>
    <w:p w14:paraId="37B26151" w14:textId="77777777" w:rsidR="006B1FC1" w:rsidRPr="003F7F6C" w:rsidRDefault="00604E53" w:rsidP="00E91275">
      <w:pPr>
        <w:numPr>
          <w:ilvl w:val="0"/>
          <w:numId w:val="28"/>
        </w:numPr>
        <w:tabs>
          <w:tab w:val="left" w:pos="432"/>
        </w:tabs>
        <w:spacing w:after="240"/>
        <w:ind w:left="0" w:firstLine="0"/>
        <w:rPr>
          <w:rFonts w:cs="Segoe UI"/>
          <w:color w:val="000000"/>
          <w:szCs w:val="20"/>
        </w:rPr>
      </w:pPr>
      <w:r w:rsidRPr="003F7F6C">
        <w:rPr>
          <w:rFonts w:cs="Calibri"/>
          <w:szCs w:val="20"/>
        </w:rPr>
        <w:t>In the target landscapes</w:t>
      </w:r>
      <w:r w:rsidR="009433A7" w:rsidRPr="003F7F6C">
        <w:rPr>
          <w:rFonts w:cs="Calibri"/>
          <w:szCs w:val="20"/>
        </w:rPr>
        <w:t>,</w:t>
      </w:r>
      <w:r w:rsidRPr="003F7F6C">
        <w:rPr>
          <w:rFonts w:cs="Calibri"/>
          <w:szCs w:val="20"/>
        </w:rPr>
        <w:t xml:space="preserve"> project interventions will take into account gender equality s</w:t>
      </w:r>
      <w:r w:rsidRPr="003F7F6C">
        <w:rPr>
          <w:rFonts w:cs="Calibri"/>
          <w:szCs w:val="20"/>
          <w:lang w:eastAsia="en-GB"/>
        </w:rPr>
        <w:t>eeking to empower women through participation in decision-making spaces; better access to, and control of resources, and improving their incomes and livelihoods.</w:t>
      </w:r>
      <w:r w:rsidRPr="003F7F6C">
        <w:rPr>
          <w:rFonts w:cs="Calibri"/>
          <w:szCs w:val="20"/>
        </w:rPr>
        <w:t xml:space="preserve"> Furthermore, interventions addressing indigenous communities will follow and respect their organizational ways and cultural patterns; will ensure that stakeholders show respect for their dignity and human rights and will be carried out with a multi-cultural approach, respecting their collective and individual rights protected by international and national regulations and including safeguards to ensure actions do not negatively affect the livelihoods of indigenous communities. These approaches will help secure project ownership by these stakeholders and the sustainability of project results.</w:t>
      </w:r>
    </w:p>
    <w:p w14:paraId="514C2F06" w14:textId="77777777" w:rsidR="006B1FC1" w:rsidRPr="003F7F6C" w:rsidRDefault="00A4533F" w:rsidP="00E91275">
      <w:pPr>
        <w:numPr>
          <w:ilvl w:val="0"/>
          <w:numId w:val="28"/>
        </w:numPr>
        <w:tabs>
          <w:tab w:val="left" w:pos="432"/>
        </w:tabs>
        <w:spacing w:after="240"/>
        <w:ind w:left="0" w:firstLine="0"/>
        <w:rPr>
          <w:rFonts w:cs="Segoe UI"/>
          <w:color w:val="000000"/>
          <w:szCs w:val="20"/>
        </w:rPr>
      </w:pPr>
      <w:r w:rsidRPr="003F7F6C">
        <w:rPr>
          <w:rFonts w:eastAsia="Times New Roman" w:cs="Calibri"/>
          <w:szCs w:val="20"/>
          <w:lang w:eastAsia="es-ES_tradnl"/>
        </w:rPr>
        <w:t>All t</w:t>
      </w:r>
      <w:r w:rsidR="008E354A" w:rsidRPr="003F7F6C">
        <w:rPr>
          <w:rFonts w:eastAsia="Times New Roman" w:cs="Calibri"/>
          <w:szCs w:val="20"/>
          <w:lang w:eastAsia="es-ES_tradnl"/>
        </w:rPr>
        <w:t>his w</w:t>
      </w:r>
      <w:r w:rsidR="00887D26" w:rsidRPr="003F7F6C">
        <w:rPr>
          <w:rFonts w:eastAsia="Times New Roman" w:cs="Calibri"/>
          <w:szCs w:val="20"/>
          <w:lang w:eastAsia="es-ES_tradnl"/>
        </w:rPr>
        <w:t xml:space="preserve">ill consolidate the past single ecosystem and sector approaches and ensure that the new development plans take into account the different ecosystems across the entire country and comply with land use guidance that </w:t>
      </w:r>
      <w:r w:rsidR="00D20DD1" w:rsidRPr="003F7F6C">
        <w:rPr>
          <w:rFonts w:eastAsia="Times New Roman" w:cs="Calibri"/>
          <w:szCs w:val="20"/>
          <w:lang w:eastAsia="es-ES_tradnl"/>
        </w:rPr>
        <w:t xml:space="preserve">promotes </w:t>
      </w:r>
      <w:r w:rsidR="00887D26" w:rsidRPr="003F7F6C">
        <w:rPr>
          <w:rFonts w:eastAsia="Times New Roman" w:cs="Calibri"/>
          <w:szCs w:val="20"/>
          <w:lang w:eastAsia="es-ES_tradnl"/>
        </w:rPr>
        <w:t xml:space="preserve">conservation and sustainable use of critical habitats and the ecosystem goods and services they provide to society. This will ensure not only the sustainability of project results but the continued </w:t>
      </w:r>
      <w:r w:rsidR="00994957" w:rsidRPr="003F7F6C">
        <w:rPr>
          <w:rFonts w:eastAsia="Times New Roman" w:cs="Calibri"/>
          <w:szCs w:val="20"/>
          <w:lang w:eastAsia="es-ES_tradnl"/>
        </w:rPr>
        <w:t xml:space="preserve"> </w:t>
      </w:r>
      <w:r w:rsidR="00887D26" w:rsidRPr="003F7F6C">
        <w:rPr>
          <w:rFonts w:eastAsia="Times New Roman" w:cs="Calibri"/>
          <w:szCs w:val="20"/>
          <w:lang w:eastAsia="es-ES_tradnl"/>
        </w:rPr>
        <w:t>provision of those services to production, avoid</w:t>
      </w:r>
      <w:r w:rsidR="00D20DD1" w:rsidRPr="003F7F6C">
        <w:rPr>
          <w:rFonts w:eastAsia="Times New Roman" w:cs="Calibri"/>
          <w:szCs w:val="20"/>
          <w:lang w:eastAsia="es-ES_tradnl"/>
        </w:rPr>
        <w:t>ing</w:t>
      </w:r>
      <w:r w:rsidR="00887D26" w:rsidRPr="003F7F6C">
        <w:rPr>
          <w:rFonts w:eastAsia="Times New Roman" w:cs="Calibri"/>
          <w:szCs w:val="20"/>
          <w:lang w:eastAsia="es-ES_tradnl"/>
        </w:rPr>
        <w:t xml:space="preserve"> foreclosure of future development options and also </w:t>
      </w:r>
      <w:r w:rsidR="00D20DD1" w:rsidRPr="003F7F6C">
        <w:rPr>
          <w:rFonts w:eastAsia="Times New Roman" w:cs="Calibri"/>
          <w:szCs w:val="20"/>
          <w:lang w:eastAsia="es-ES_tradnl"/>
        </w:rPr>
        <w:t>providing</w:t>
      </w:r>
      <w:r w:rsidR="00887D26" w:rsidRPr="003F7F6C">
        <w:rPr>
          <w:rFonts w:eastAsia="Times New Roman" w:cs="Calibri"/>
          <w:szCs w:val="20"/>
          <w:lang w:eastAsia="es-ES_tradnl"/>
        </w:rPr>
        <w:t xml:space="preserve"> global environmental benefits at scale.</w:t>
      </w:r>
    </w:p>
    <w:p w14:paraId="72B4E7C5" w14:textId="77777777" w:rsidR="006B1FC1" w:rsidRPr="003F7F6C" w:rsidRDefault="008308D2" w:rsidP="00E91275">
      <w:pPr>
        <w:numPr>
          <w:ilvl w:val="0"/>
          <w:numId w:val="28"/>
        </w:numPr>
        <w:tabs>
          <w:tab w:val="left" w:pos="432"/>
        </w:tabs>
        <w:spacing w:after="240"/>
        <w:ind w:left="0" w:firstLine="0"/>
        <w:rPr>
          <w:rFonts w:cs="Segoe UI"/>
          <w:color w:val="000000"/>
          <w:szCs w:val="20"/>
        </w:rPr>
      </w:pPr>
      <w:r w:rsidRPr="003F7F6C">
        <w:rPr>
          <w:rFonts w:cs="Calibri"/>
          <w:i/>
          <w:szCs w:val="20"/>
          <w:u w:val="single"/>
        </w:rPr>
        <w:t>Scaling up</w:t>
      </w:r>
      <w:r w:rsidRPr="003F7F6C">
        <w:rPr>
          <w:rFonts w:cs="Calibri"/>
          <w:szCs w:val="20"/>
        </w:rPr>
        <w:t xml:space="preserve">: </w:t>
      </w:r>
      <w:r w:rsidR="000A3FBE" w:rsidRPr="003F7F6C">
        <w:rPr>
          <w:rFonts w:cs="Calibri"/>
          <w:bCs/>
          <w:szCs w:val="20"/>
        </w:rPr>
        <w:t>The p</w:t>
      </w:r>
      <w:r w:rsidR="000A3FBE" w:rsidRPr="003F7F6C">
        <w:rPr>
          <w:rFonts w:cs="Calibri"/>
          <w:szCs w:val="20"/>
        </w:rPr>
        <w:t xml:space="preserve">otential for scaling up is high given the complementarity with </w:t>
      </w:r>
      <w:r w:rsidR="00A7283E" w:rsidRPr="003F7F6C">
        <w:rPr>
          <w:rFonts w:cs="Calibri"/>
          <w:szCs w:val="20"/>
        </w:rPr>
        <w:t>federal and provincial</w:t>
      </w:r>
      <w:r w:rsidR="000A3FBE" w:rsidRPr="003F7F6C">
        <w:rPr>
          <w:rFonts w:cs="Calibri"/>
          <w:szCs w:val="20"/>
        </w:rPr>
        <w:t xml:space="preserve"> policies</w:t>
      </w:r>
      <w:r w:rsidR="00A7283E" w:rsidRPr="003F7F6C">
        <w:rPr>
          <w:rFonts w:cs="Calibri"/>
          <w:szCs w:val="20"/>
        </w:rPr>
        <w:t xml:space="preserve">, programs </w:t>
      </w:r>
      <w:r w:rsidR="000A3FBE" w:rsidRPr="003F7F6C">
        <w:rPr>
          <w:rFonts w:cs="Calibri"/>
          <w:szCs w:val="20"/>
        </w:rPr>
        <w:t xml:space="preserve">and plans.  </w:t>
      </w:r>
      <w:r w:rsidR="003F5E3E" w:rsidRPr="003F7F6C">
        <w:rPr>
          <w:rFonts w:cs="Calibri"/>
          <w:szCs w:val="20"/>
        </w:rPr>
        <w:t>Mainstreaming of ELUP in planning, regulations and economic and financial instruments will contribute to upscaling.  Moreover</w:t>
      </w:r>
      <w:r w:rsidR="00D20DD1" w:rsidRPr="003F7F6C">
        <w:rPr>
          <w:rFonts w:cs="Calibri"/>
          <w:szCs w:val="20"/>
        </w:rPr>
        <w:t>,</w:t>
      </w:r>
      <w:r w:rsidR="003F5E3E" w:rsidRPr="003F7F6C">
        <w:rPr>
          <w:rFonts w:cs="Calibri"/>
          <w:szCs w:val="20"/>
        </w:rPr>
        <w:t xml:space="preserve"> a federal minimum standards regulation for ELUP will be developed that will provide the framework for </w:t>
      </w:r>
      <w:r w:rsidR="004660E7" w:rsidRPr="003F7F6C">
        <w:rPr>
          <w:rFonts w:cs="Calibri"/>
          <w:szCs w:val="20"/>
        </w:rPr>
        <w:t>all of the country´s provinces to regulate ELUP.</w:t>
      </w:r>
      <w:r w:rsidR="003F5E3E" w:rsidRPr="003F7F6C">
        <w:rPr>
          <w:rFonts w:cs="Calibri"/>
          <w:szCs w:val="20"/>
        </w:rPr>
        <w:t xml:space="preserve"> </w:t>
      </w:r>
      <w:r w:rsidR="004660E7" w:rsidRPr="003F7F6C">
        <w:rPr>
          <w:rFonts w:cs="Calibri"/>
          <w:szCs w:val="20"/>
        </w:rPr>
        <w:t xml:space="preserve"> </w:t>
      </w:r>
      <w:r w:rsidR="004660E7" w:rsidRPr="003F7F6C">
        <w:rPr>
          <w:rFonts w:eastAsia="MS Mincho" w:cs="Calibri"/>
          <w:color w:val="222222"/>
          <w:szCs w:val="20"/>
          <w:lang w:eastAsia="ja-JP" w:bidi="th-TH"/>
        </w:rPr>
        <w:t xml:space="preserve">The multi-stakeholder dialogue spaces will be replicable to other regions of the country. The Buenos Aires sustainable </w:t>
      </w:r>
      <w:r w:rsidR="008D24D8" w:rsidRPr="003F7F6C">
        <w:rPr>
          <w:rFonts w:eastAsia="MS Mincho" w:cs="Calibri"/>
          <w:color w:val="222222"/>
          <w:szCs w:val="20"/>
          <w:lang w:eastAsia="ja-JP" w:bidi="th-TH"/>
        </w:rPr>
        <w:t xml:space="preserve">beef </w:t>
      </w:r>
      <w:r w:rsidR="004660E7" w:rsidRPr="003F7F6C">
        <w:rPr>
          <w:rFonts w:eastAsia="MS Mincho" w:cs="Calibri"/>
          <w:color w:val="222222"/>
          <w:szCs w:val="20"/>
          <w:lang w:eastAsia="ja-JP" w:bidi="th-TH"/>
        </w:rPr>
        <w:t xml:space="preserve">platform </w:t>
      </w:r>
      <w:r w:rsidR="008D24D8" w:rsidRPr="003F7F6C">
        <w:rPr>
          <w:rFonts w:eastAsia="MS Mincho" w:cs="Calibri"/>
          <w:color w:val="222222"/>
          <w:szCs w:val="20"/>
          <w:lang w:eastAsia="ja-JP" w:bidi="th-TH"/>
        </w:rPr>
        <w:t xml:space="preserve">will </w:t>
      </w:r>
      <w:r w:rsidR="004660E7" w:rsidRPr="003F7F6C">
        <w:rPr>
          <w:rFonts w:eastAsia="MS Mincho" w:cs="Calibri"/>
          <w:color w:val="222222"/>
          <w:szCs w:val="20"/>
          <w:lang w:eastAsia="ja-JP" w:bidi="th-TH"/>
        </w:rPr>
        <w:t>be replica</w:t>
      </w:r>
      <w:r w:rsidR="008D24D8" w:rsidRPr="003F7F6C">
        <w:rPr>
          <w:rFonts w:eastAsia="MS Mincho" w:cs="Calibri"/>
          <w:color w:val="222222"/>
          <w:szCs w:val="20"/>
          <w:lang w:eastAsia="ja-JP" w:bidi="th-TH"/>
        </w:rPr>
        <w:t>ble</w:t>
      </w:r>
      <w:r w:rsidR="004660E7" w:rsidRPr="003F7F6C">
        <w:rPr>
          <w:rFonts w:eastAsia="MS Mincho" w:cs="Calibri"/>
          <w:color w:val="222222"/>
          <w:szCs w:val="20"/>
          <w:lang w:eastAsia="ja-JP" w:bidi="th-TH"/>
        </w:rPr>
        <w:t xml:space="preserve"> for the same commodity </w:t>
      </w:r>
      <w:r w:rsidR="008B497F" w:rsidRPr="003F7F6C">
        <w:rPr>
          <w:rFonts w:eastAsia="MS Mincho" w:cs="Calibri"/>
          <w:color w:val="222222"/>
          <w:szCs w:val="20"/>
          <w:lang w:eastAsia="ja-JP" w:bidi="th-TH"/>
        </w:rPr>
        <w:t xml:space="preserve">in other provinces </w:t>
      </w:r>
      <w:r w:rsidR="004660E7" w:rsidRPr="003F7F6C">
        <w:rPr>
          <w:rFonts w:eastAsia="MS Mincho" w:cs="Calibri"/>
          <w:color w:val="222222"/>
          <w:szCs w:val="20"/>
          <w:lang w:eastAsia="ja-JP" w:bidi="th-TH"/>
        </w:rPr>
        <w:t xml:space="preserve">or for other commodities. These </w:t>
      </w:r>
      <w:r w:rsidR="008D24D8" w:rsidRPr="003F7F6C">
        <w:rPr>
          <w:rFonts w:eastAsia="MS Mincho" w:cs="Calibri"/>
          <w:color w:val="222222"/>
          <w:szCs w:val="20"/>
          <w:lang w:eastAsia="ja-JP" w:bidi="th-TH"/>
        </w:rPr>
        <w:t xml:space="preserve">stakeholder dialogue spaces </w:t>
      </w:r>
      <w:r w:rsidR="004660E7" w:rsidRPr="003F7F6C">
        <w:rPr>
          <w:rFonts w:eastAsia="MS Mincho" w:cs="Calibri"/>
          <w:color w:val="222222"/>
          <w:szCs w:val="20"/>
          <w:lang w:eastAsia="ja-JP" w:bidi="th-TH"/>
        </w:rPr>
        <w:t>will constitute a space where the project results will be internalized by different stakeholders, thereby contributing to the replication of project actions.</w:t>
      </w:r>
    </w:p>
    <w:p w14:paraId="212C74AB" w14:textId="77777777" w:rsidR="006B1FC1" w:rsidRPr="003F7F6C" w:rsidRDefault="004660E7" w:rsidP="00E91275">
      <w:pPr>
        <w:numPr>
          <w:ilvl w:val="0"/>
          <w:numId w:val="28"/>
        </w:numPr>
        <w:tabs>
          <w:tab w:val="left" w:pos="432"/>
        </w:tabs>
        <w:spacing w:after="240"/>
        <w:ind w:left="0" w:firstLine="0"/>
        <w:rPr>
          <w:rFonts w:cs="Segoe UI"/>
          <w:color w:val="000000"/>
          <w:szCs w:val="20"/>
        </w:rPr>
      </w:pPr>
      <w:r w:rsidRPr="003F7F6C">
        <w:rPr>
          <w:rFonts w:cs="Calibri"/>
          <w:szCs w:val="20"/>
        </w:rPr>
        <w:t>The project will intervene in target landscapes of three pilot provinces, which have their own characteristics but at the same time reflect the problems of biodiversity loss and land degradation as a whole; therefore</w:t>
      </w:r>
      <w:r w:rsidR="00AB14D2" w:rsidRPr="003F7F6C">
        <w:rPr>
          <w:rFonts w:cs="Calibri"/>
          <w:szCs w:val="20"/>
        </w:rPr>
        <w:t>,</w:t>
      </w:r>
      <w:r w:rsidRPr="003F7F6C">
        <w:rPr>
          <w:rFonts w:cs="Calibri"/>
          <w:szCs w:val="20"/>
        </w:rPr>
        <w:t xml:space="preserve"> the experiences and lessons learned in each area will be replicable to the rest of the pilot provinces and the other provinces of Argentina. Actions such as field days, exchange of experiences, technical visits and workshops will maximize the exposure of producers to the most successful and innovative aspects of the project and will also facilitate the extension of project benefits.</w:t>
      </w:r>
    </w:p>
    <w:p w14:paraId="41848097" w14:textId="77777777" w:rsidR="006B1FC1" w:rsidRPr="003F7F6C" w:rsidRDefault="003F5E3E" w:rsidP="00E91275">
      <w:pPr>
        <w:numPr>
          <w:ilvl w:val="0"/>
          <w:numId w:val="28"/>
        </w:numPr>
        <w:tabs>
          <w:tab w:val="left" w:pos="432"/>
        </w:tabs>
        <w:spacing w:after="240"/>
        <w:ind w:left="0" w:firstLine="0"/>
        <w:rPr>
          <w:rFonts w:cs="Segoe UI"/>
          <w:color w:val="000000"/>
          <w:szCs w:val="20"/>
        </w:rPr>
      </w:pPr>
      <w:r w:rsidRPr="003F7F6C">
        <w:rPr>
          <w:rFonts w:eastAsia="Times New Roman" w:cs="Calibri"/>
          <w:szCs w:val="20"/>
          <w:lang w:eastAsia="es-ES_tradnl"/>
        </w:rPr>
        <w:t xml:space="preserve">A framework for replicability within Argentina is already built into the project through Component 3, comprising the assessment of lessons learned from past programs and projects; an </w:t>
      </w:r>
      <w:r w:rsidRPr="003F7F6C">
        <w:rPr>
          <w:rFonts w:cs="Calibri"/>
          <w:szCs w:val="20"/>
        </w:rPr>
        <w:t>evaluation and monitoring system to disseminate ELUP information, experiences and lessons nationwide; methodological guides for replicating ELUP; and a capacity building program</w:t>
      </w:r>
      <w:r w:rsidR="004660E7" w:rsidRPr="003F7F6C">
        <w:rPr>
          <w:rFonts w:cs="Calibri"/>
          <w:szCs w:val="20"/>
        </w:rPr>
        <w:t>.</w:t>
      </w:r>
    </w:p>
    <w:p w14:paraId="1345EABD" w14:textId="77777777" w:rsidR="00C6366B" w:rsidRPr="003F7F6C" w:rsidRDefault="00AB14D2" w:rsidP="00E91275">
      <w:pPr>
        <w:numPr>
          <w:ilvl w:val="0"/>
          <w:numId w:val="28"/>
        </w:numPr>
        <w:tabs>
          <w:tab w:val="left" w:pos="432"/>
        </w:tabs>
        <w:spacing w:after="240"/>
        <w:ind w:left="0" w:firstLine="0"/>
        <w:rPr>
          <w:rFonts w:cs="Segoe UI"/>
          <w:color w:val="000000"/>
          <w:szCs w:val="20"/>
        </w:rPr>
      </w:pPr>
      <w:r w:rsidRPr="003F7F6C">
        <w:rPr>
          <w:rFonts w:cs="Calibri"/>
          <w:szCs w:val="20"/>
        </w:rPr>
        <w:t>Finally, t</w:t>
      </w:r>
      <w:r w:rsidR="00C6366B" w:rsidRPr="003F7F6C">
        <w:rPr>
          <w:rFonts w:cs="Calibri"/>
          <w:szCs w:val="20"/>
        </w:rPr>
        <w:t xml:space="preserve">he project´s communication and information strategy will enable sharing the experiences and lessons to facilitate upscaling of project results </w:t>
      </w:r>
      <w:r w:rsidR="00C6366B" w:rsidRPr="003F7F6C">
        <w:rPr>
          <w:rFonts w:eastAsia="Times New Roman" w:cs="Calibri"/>
          <w:szCs w:val="20"/>
          <w:lang w:eastAsia="es-ES_tradnl"/>
        </w:rPr>
        <w:t>through communication channels such as websites, information networks, fora and publications among others.</w:t>
      </w:r>
      <w:r w:rsidR="00C6366B" w:rsidRPr="003F7F6C">
        <w:rPr>
          <w:rFonts w:cs="Calibri"/>
          <w:szCs w:val="20"/>
        </w:rPr>
        <w:t xml:space="preserve"> In addition</w:t>
      </w:r>
      <w:r w:rsidR="006A392F" w:rsidRPr="003F7F6C">
        <w:rPr>
          <w:rFonts w:cs="Calibri"/>
          <w:szCs w:val="20"/>
        </w:rPr>
        <w:t>,</w:t>
      </w:r>
      <w:r w:rsidR="00C6366B" w:rsidRPr="003F7F6C">
        <w:rPr>
          <w:rFonts w:cs="Calibri"/>
          <w:szCs w:val="20"/>
        </w:rPr>
        <w:t xml:space="preserve"> the </w:t>
      </w:r>
      <w:r w:rsidR="00C6366B" w:rsidRPr="003F7F6C">
        <w:rPr>
          <w:rFonts w:eastAsia="Times New Roman" w:cs="Calibri"/>
          <w:szCs w:val="20"/>
          <w:lang w:eastAsia="es-ES_tradnl"/>
        </w:rPr>
        <w:t>good practices and lessons will be disseminated to a broad range of stakeholders to support the implementation of similar projects in the region. COFEMA, CONADIBIO, COFEPLAN and COFELMA will also serve as conduit</w:t>
      </w:r>
      <w:r w:rsidR="00DB2B17" w:rsidRPr="003F7F6C">
        <w:rPr>
          <w:rFonts w:eastAsia="Times New Roman" w:cs="Calibri"/>
          <w:szCs w:val="20"/>
          <w:lang w:eastAsia="es-ES_tradnl"/>
        </w:rPr>
        <w:t>s</w:t>
      </w:r>
      <w:r w:rsidR="00C6366B" w:rsidRPr="003F7F6C">
        <w:rPr>
          <w:rFonts w:eastAsia="Times New Roman" w:cs="Calibri"/>
          <w:szCs w:val="20"/>
          <w:lang w:eastAsia="es-ES_tradnl"/>
        </w:rPr>
        <w:t xml:space="preserve"> for </w:t>
      </w:r>
      <w:r w:rsidR="00DB2B17" w:rsidRPr="003F7F6C">
        <w:rPr>
          <w:rFonts w:eastAsia="Times New Roman" w:cs="Calibri"/>
          <w:szCs w:val="20"/>
          <w:lang w:eastAsia="es-ES_tradnl"/>
        </w:rPr>
        <w:t xml:space="preserve">the </w:t>
      </w:r>
      <w:r w:rsidR="00C6366B" w:rsidRPr="003F7F6C">
        <w:rPr>
          <w:rFonts w:eastAsia="Times New Roman" w:cs="Calibri"/>
          <w:szCs w:val="20"/>
          <w:lang w:eastAsia="es-ES_tradnl"/>
        </w:rPr>
        <w:t xml:space="preserve">replication of best practices and for management, dialogue and consensus building at the federal level to implement ELUP. </w:t>
      </w:r>
    </w:p>
    <w:p w14:paraId="7C4B0BE1" w14:textId="77777777" w:rsidR="00C6366B" w:rsidRPr="003F7F6C" w:rsidRDefault="00C6366B" w:rsidP="004660E7">
      <w:pPr>
        <w:spacing w:after="240"/>
        <w:rPr>
          <w:rFonts w:cs="Calibri"/>
          <w:szCs w:val="20"/>
        </w:rPr>
      </w:pPr>
    </w:p>
    <w:p w14:paraId="6613B1EB" w14:textId="77777777" w:rsidR="00381068" w:rsidRPr="003F7F6C" w:rsidRDefault="00381068" w:rsidP="00075FD8">
      <w:pPr>
        <w:pStyle w:val="ColorfulList-Accent11"/>
        <w:ind w:left="0"/>
        <w:rPr>
          <w:rFonts w:ascii="Calibri" w:hAnsi="Calibri" w:cs="Calibri"/>
          <w:sz w:val="20"/>
          <w:szCs w:val="20"/>
        </w:rPr>
      </w:pPr>
    </w:p>
    <w:p w14:paraId="1C9D75E4" w14:textId="77777777" w:rsidR="00381068" w:rsidRPr="003F7F6C" w:rsidRDefault="00381068" w:rsidP="00075FD8">
      <w:pPr>
        <w:pStyle w:val="ColorfulList-Accent11"/>
        <w:ind w:left="0"/>
        <w:rPr>
          <w:rFonts w:ascii="Calibri" w:hAnsi="Calibri" w:cs="Calibri"/>
          <w:sz w:val="20"/>
          <w:szCs w:val="20"/>
        </w:rPr>
      </w:pPr>
    </w:p>
    <w:p w14:paraId="5FC0666C" w14:textId="77777777" w:rsidR="00C258C3" w:rsidRPr="003F7F6C" w:rsidRDefault="00FD79FC" w:rsidP="00075FD8">
      <w:pPr>
        <w:spacing w:after="0"/>
        <w:rPr>
          <w:rStyle w:val="Hyperlink"/>
          <w:i/>
          <w:color w:val="auto"/>
          <w:szCs w:val="20"/>
          <w:u w:val="none"/>
        </w:rPr>
      </w:pPr>
      <w:r w:rsidRPr="003F7F6C">
        <w:rPr>
          <w:rStyle w:val="Hyperlink"/>
          <w:i/>
          <w:color w:val="auto"/>
          <w:szCs w:val="20"/>
          <w:u w:val="none"/>
        </w:rPr>
        <w:br w:type="page"/>
      </w:r>
    </w:p>
    <w:p w14:paraId="732618B8" w14:textId="77777777" w:rsidR="003723DF" w:rsidRPr="003F7F6C" w:rsidRDefault="00075FD8" w:rsidP="00B74144">
      <w:pPr>
        <w:pStyle w:val="Heading1"/>
        <w:spacing w:before="0" w:after="240"/>
        <w:rPr>
          <w:rFonts w:ascii="Calibri" w:hAnsi="Calibri"/>
          <w:szCs w:val="28"/>
        </w:rPr>
      </w:pPr>
      <w:bookmarkStart w:id="11" w:name="_Toc529891411"/>
      <w:bookmarkStart w:id="12" w:name="_Toc207800912"/>
      <w:r w:rsidRPr="003F7F6C">
        <w:rPr>
          <w:rFonts w:ascii="Calibri" w:hAnsi="Calibri"/>
          <w:szCs w:val="28"/>
        </w:rPr>
        <w:t>Project Management</w:t>
      </w:r>
      <w:bookmarkEnd w:id="11"/>
    </w:p>
    <w:p w14:paraId="178F42BB" w14:textId="77777777" w:rsidR="006B1FC1" w:rsidRPr="003F7F6C" w:rsidRDefault="00774618" w:rsidP="006B1FC1">
      <w:pPr>
        <w:pStyle w:val="ColorfulList-Accent11"/>
        <w:spacing w:after="240"/>
        <w:ind w:left="0"/>
        <w:rPr>
          <w:i/>
        </w:rPr>
      </w:pPr>
      <w:r w:rsidRPr="003F7F6C">
        <w:rPr>
          <w:rFonts w:ascii="Calibri" w:hAnsi="Calibri" w:cs="Arial"/>
          <w:noProof/>
          <w:sz w:val="20"/>
          <w:szCs w:val="20"/>
          <w:u w:val="single"/>
          <w:lang w:eastAsia="zh-CN"/>
        </w:rPr>
        <w:t>Cost efficiency and effectiveness</w:t>
      </w:r>
      <w:r w:rsidRPr="003F7F6C">
        <w:rPr>
          <w:rFonts w:ascii="Calibri" w:hAnsi="Calibri" w:cs="Arial"/>
          <w:i/>
          <w:noProof/>
          <w:sz w:val="20"/>
          <w:szCs w:val="20"/>
          <w:lang w:eastAsia="zh-CN"/>
        </w:rPr>
        <w:t xml:space="preserve">:  </w:t>
      </w:r>
    </w:p>
    <w:p w14:paraId="6DFFCB62" w14:textId="77777777" w:rsidR="008308D2" w:rsidRPr="003F7F6C" w:rsidRDefault="008308D2" w:rsidP="00E91275">
      <w:pPr>
        <w:pStyle w:val="ColorfulList-Accent11"/>
        <w:numPr>
          <w:ilvl w:val="0"/>
          <w:numId w:val="28"/>
        </w:numPr>
        <w:spacing w:after="240"/>
        <w:ind w:left="0" w:firstLine="0"/>
        <w:jc w:val="both"/>
        <w:rPr>
          <w:i/>
        </w:rPr>
      </w:pPr>
      <w:r w:rsidRPr="003F7F6C">
        <w:rPr>
          <w:rFonts w:ascii="Calibri" w:hAnsi="Calibri" w:cs="Calibri"/>
          <w:sz w:val="20"/>
          <w:szCs w:val="20"/>
        </w:rPr>
        <w:t xml:space="preserve">Project interventions will collectively attend the barriers to addressing </w:t>
      </w:r>
      <w:r w:rsidR="00191660" w:rsidRPr="003F7F6C">
        <w:rPr>
          <w:rFonts w:ascii="Calibri" w:hAnsi="Calibri" w:cs="Calibri"/>
          <w:sz w:val="20"/>
          <w:szCs w:val="20"/>
        </w:rPr>
        <w:t xml:space="preserve">the identified </w:t>
      </w:r>
      <w:r w:rsidRPr="003F7F6C">
        <w:rPr>
          <w:rFonts w:ascii="Calibri" w:hAnsi="Calibri" w:cs="Calibri"/>
          <w:sz w:val="20"/>
          <w:szCs w:val="20"/>
        </w:rPr>
        <w:t xml:space="preserve">problems </w:t>
      </w:r>
      <w:r w:rsidRPr="003F7F6C">
        <w:rPr>
          <w:rFonts w:ascii="Calibri" w:hAnsi="Calibri" w:cs="Calibri"/>
          <w:sz w:val="20"/>
          <w:szCs w:val="20"/>
          <w:lang w:eastAsia="ja-JP"/>
        </w:rPr>
        <w:t xml:space="preserve">through development of policies, </w:t>
      </w:r>
      <w:r w:rsidR="00B74144" w:rsidRPr="003F7F6C">
        <w:rPr>
          <w:rFonts w:ascii="Calibri" w:hAnsi="Calibri" w:cs="Calibri"/>
          <w:sz w:val="20"/>
          <w:szCs w:val="20"/>
          <w:lang w:eastAsia="ja-JP"/>
        </w:rPr>
        <w:t xml:space="preserve">regulations, instruments </w:t>
      </w:r>
      <w:r w:rsidRPr="003F7F6C">
        <w:rPr>
          <w:rFonts w:ascii="Calibri" w:hAnsi="Calibri" w:cs="Calibri"/>
          <w:sz w:val="20"/>
          <w:szCs w:val="20"/>
          <w:lang w:eastAsia="ja-JP"/>
        </w:rPr>
        <w:t xml:space="preserve">and participatory strategies that improve inter-institutional and inter-sectorial coordination; strengthening opportunities for dialogue and consensus; capacity building of national and </w:t>
      </w:r>
      <w:r w:rsidR="00B74144" w:rsidRPr="003F7F6C">
        <w:rPr>
          <w:rFonts w:ascii="Calibri" w:hAnsi="Calibri" w:cs="Calibri"/>
          <w:sz w:val="20"/>
          <w:szCs w:val="20"/>
          <w:lang w:eastAsia="ja-JP"/>
        </w:rPr>
        <w:t xml:space="preserve">provincial </w:t>
      </w:r>
      <w:r w:rsidRPr="003F7F6C">
        <w:rPr>
          <w:rFonts w:ascii="Calibri" w:hAnsi="Calibri" w:cs="Calibri"/>
          <w:sz w:val="20"/>
          <w:szCs w:val="20"/>
          <w:lang w:eastAsia="ja-JP"/>
        </w:rPr>
        <w:t>stakeholders, access to</w:t>
      </w:r>
      <w:r w:rsidR="00B74144" w:rsidRPr="003F7F6C">
        <w:rPr>
          <w:rFonts w:ascii="Calibri" w:hAnsi="Calibri" w:cs="Calibri"/>
          <w:sz w:val="20"/>
          <w:szCs w:val="20"/>
          <w:lang w:eastAsia="ja-JP"/>
        </w:rPr>
        <w:t xml:space="preserve"> economic and financial instruments</w:t>
      </w:r>
      <w:r w:rsidRPr="003F7F6C">
        <w:rPr>
          <w:rFonts w:ascii="Calibri" w:hAnsi="Calibri" w:cs="Calibri"/>
          <w:sz w:val="20"/>
          <w:szCs w:val="20"/>
          <w:lang w:eastAsia="ja-JP"/>
        </w:rPr>
        <w:t xml:space="preserve"> for</w:t>
      </w:r>
      <w:r w:rsidR="00B74144" w:rsidRPr="003F7F6C">
        <w:rPr>
          <w:rFonts w:ascii="Calibri" w:hAnsi="Calibri" w:cs="Calibri"/>
          <w:sz w:val="20"/>
          <w:szCs w:val="20"/>
          <w:lang w:eastAsia="ja-JP"/>
        </w:rPr>
        <w:t xml:space="preserve"> environmentally friendly and</w:t>
      </w:r>
      <w:r w:rsidRPr="003F7F6C">
        <w:rPr>
          <w:rFonts w:ascii="Calibri" w:hAnsi="Calibri" w:cs="Calibri"/>
          <w:sz w:val="20"/>
          <w:szCs w:val="20"/>
          <w:lang w:eastAsia="ja-JP"/>
        </w:rPr>
        <w:t xml:space="preserve"> sustainable production conservation and restoration for the long-term protection of global and local values ​​</w:t>
      </w:r>
      <w:r w:rsidR="009307B4" w:rsidRPr="003F7F6C">
        <w:rPr>
          <w:rFonts w:ascii="Calibri" w:hAnsi="Calibri" w:cs="Calibri"/>
          <w:sz w:val="20"/>
          <w:szCs w:val="20"/>
          <w:lang w:eastAsia="ja-JP"/>
        </w:rPr>
        <w:t xml:space="preserve">in </w:t>
      </w:r>
      <w:r w:rsidR="00B74144" w:rsidRPr="003F7F6C">
        <w:rPr>
          <w:rFonts w:ascii="Calibri" w:hAnsi="Calibri" w:cs="Calibri"/>
          <w:sz w:val="20"/>
          <w:szCs w:val="20"/>
          <w:lang w:eastAsia="ja-JP"/>
        </w:rPr>
        <w:t>Argentina´s ecoregions</w:t>
      </w:r>
      <w:r w:rsidRPr="003F7F6C">
        <w:rPr>
          <w:rFonts w:ascii="Calibri" w:hAnsi="Calibri" w:cs="Calibri"/>
          <w:sz w:val="20"/>
          <w:szCs w:val="20"/>
          <w:lang w:eastAsia="ja-JP"/>
        </w:rPr>
        <w:t>.</w:t>
      </w:r>
      <w:r w:rsidRPr="003F7F6C">
        <w:rPr>
          <w:rFonts w:ascii="Calibri" w:hAnsi="Calibri" w:cs="Calibri"/>
          <w:sz w:val="20"/>
          <w:szCs w:val="20"/>
        </w:rPr>
        <w:t xml:space="preserve"> </w:t>
      </w:r>
      <w:r w:rsidR="00A707BE" w:rsidRPr="003F7F6C">
        <w:rPr>
          <w:rFonts w:ascii="Calibri" w:hAnsi="Calibri" w:cs="Calibri"/>
          <w:sz w:val="20"/>
          <w:szCs w:val="20"/>
        </w:rPr>
        <w:t>Project design includes several strategies to maximize cost-effectiveness:</w:t>
      </w:r>
    </w:p>
    <w:p w14:paraId="092A6B70" w14:textId="77777777" w:rsidR="00EF03CE" w:rsidRPr="003F7F6C" w:rsidRDefault="00EF03CE" w:rsidP="00E91275">
      <w:pPr>
        <w:pStyle w:val="ColorfulList-Accent11"/>
        <w:numPr>
          <w:ilvl w:val="0"/>
          <w:numId w:val="33"/>
        </w:numPr>
        <w:spacing w:after="120"/>
        <w:jc w:val="both"/>
        <w:rPr>
          <w:rFonts w:ascii="Calibri" w:hAnsi="Calibri" w:cs="Calibri"/>
          <w:sz w:val="20"/>
          <w:szCs w:val="20"/>
        </w:rPr>
      </w:pPr>
      <w:r w:rsidRPr="003F7F6C">
        <w:rPr>
          <w:rFonts w:ascii="Calibri" w:hAnsi="Calibri" w:cs="Calibri"/>
          <w:sz w:val="20"/>
          <w:szCs w:val="20"/>
        </w:rPr>
        <w:t>The project will capitalize on a robust baseline which will be improved through mainstreaming ELUP</w:t>
      </w:r>
      <w:r w:rsidR="00F82C62" w:rsidRPr="003F7F6C">
        <w:rPr>
          <w:rFonts w:ascii="Calibri" w:hAnsi="Calibri" w:cs="Calibri"/>
          <w:sz w:val="20"/>
          <w:szCs w:val="20"/>
        </w:rPr>
        <w:t xml:space="preserve">. </w:t>
      </w:r>
      <w:r w:rsidRPr="003F7F6C">
        <w:rPr>
          <w:rFonts w:ascii="Calibri" w:hAnsi="Calibri" w:cs="Calibri"/>
          <w:bCs/>
          <w:sz w:val="20"/>
          <w:szCs w:val="20"/>
        </w:rPr>
        <w:t xml:space="preserve">GEF funds will be used primarily for interventions addressing the policy and regulatory frameworks, institutional capacity building, targeted technical assistance, for training and for dissemination of information.  </w:t>
      </w:r>
    </w:p>
    <w:p w14:paraId="3B684C7A" w14:textId="77777777" w:rsidR="00EF03CE" w:rsidRPr="003F7F6C" w:rsidRDefault="00EF03CE" w:rsidP="00E91275">
      <w:pPr>
        <w:pStyle w:val="ColorfulList-Accent11"/>
        <w:numPr>
          <w:ilvl w:val="0"/>
          <w:numId w:val="33"/>
        </w:numPr>
        <w:spacing w:after="120"/>
        <w:jc w:val="both"/>
        <w:rPr>
          <w:rFonts w:ascii="Calibri" w:hAnsi="Calibri" w:cs="Calibri"/>
          <w:sz w:val="20"/>
          <w:szCs w:val="20"/>
        </w:rPr>
      </w:pPr>
      <w:r w:rsidRPr="003F7F6C">
        <w:rPr>
          <w:rFonts w:ascii="Calibri" w:hAnsi="Calibri" w:cs="Calibri"/>
          <w:color w:val="000000"/>
          <w:sz w:val="20"/>
          <w:szCs w:val="20"/>
          <w:lang w:eastAsia="es-CL"/>
        </w:rPr>
        <w:t>Inter-institutional coordination and cooperation as well as operational frameworks will provide for a more effective and efficient use of resources of the institutions as well as increased long</w:t>
      </w:r>
      <w:r w:rsidR="009307B4" w:rsidRPr="003F7F6C">
        <w:rPr>
          <w:rFonts w:ascii="Calibri" w:hAnsi="Calibri" w:cs="Calibri"/>
          <w:color w:val="000000"/>
          <w:sz w:val="20"/>
          <w:szCs w:val="20"/>
          <w:lang w:eastAsia="es-CL"/>
        </w:rPr>
        <w:t>-</w:t>
      </w:r>
      <w:r w:rsidRPr="003F7F6C">
        <w:rPr>
          <w:rFonts w:ascii="Calibri" w:hAnsi="Calibri" w:cs="Calibri"/>
          <w:color w:val="000000"/>
          <w:sz w:val="20"/>
          <w:szCs w:val="20"/>
          <w:lang w:eastAsia="es-CL"/>
        </w:rPr>
        <w:t>term funding to sustain project results.</w:t>
      </w:r>
      <w:r w:rsidRPr="003F7F6C">
        <w:rPr>
          <w:rFonts w:ascii="Calibri" w:hAnsi="Calibri" w:cs="Calibri"/>
          <w:sz w:val="20"/>
          <w:szCs w:val="20"/>
        </w:rPr>
        <w:t xml:space="preserve"> Effective coordination with other programs, projects and initiatives will serve to reinforce synergies, avoid duplication of efforts and reduce overall costs. Regular coordination meetings with projects and programs will serve to identify complementarity and joint planning and implementation of activities in the field will contribute to cost-effectiveness</w:t>
      </w:r>
      <w:r w:rsidRPr="003F7F6C">
        <w:rPr>
          <w:sz w:val="22"/>
          <w:szCs w:val="22"/>
        </w:rPr>
        <w:t>.</w:t>
      </w:r>
    </w:p>
    <w:p w14:paraId="2B4AC547" w14:textId="0DEE3EA6" w:rsidR="009442FF" w:rsidRPr="003F7F6C" w:rsidRDefault="009307B4" w:rsidP="00E91275">
      <w:pPr>
        <w:numPr>
          <w:ilvl w:val="0"/>
          <w:numId w:val="33"/>
        </w:numPr>
        <w:spacing w:after="120"/>
        <w:rPr>
          <w:rFonts w:eastAsia="Times New Roman" w:cs="Calibri"/>
          <w:szCs w:val="20"/>
          <w:lang w:eastAsia="es-ES_tradnl"/>
        </w:rPr>
      </w:pPr>
      <w:r w:rsidRPr="003F7F6C">
        <w:rPr>
          <w:rFonts w:eastAsia="Times New Roman" w:cs="Calibri"/>
          <w:szCs w:val="20"/>
          <w:lang w:eastAsia="es-ES_tradnl"/>
        </w:rPr>
        <w:t xml:space="preserve">The project will develop and strengthen </w:t>
      </w:r>
      <w:r w:rsidR="009442FF" w:rsidRPr="003F7F6C">
        <w:rPr>
          <w:rFonts w:eastAsia="Times New Roman" w:cs="Calibri"/>
          <w:szCs w:val="20"/>
          <w:lang w:eastAsia="es-ES_tradnl"/>
        </w:rPr>
        <w:t xml:space="preserve">partnerships with multiple entities at national and provincial levels, in the public and private sectors and in civil society, taking advantage of their existing capacities and social and institutional structures. </w:t>
      </w:r>
    </w:p>
    <w:p w14:paraId="6E7F1047" w14:textId="77777777" w:rsidR="00F82C62" w:rsidRPr="003F7F6C" w:rsidRDefault="00A41952" w:rsidP="00E91275">
      <w:pPr>
        <w:numPr>
          <w:ilvl w:val="0"/>
          <w:numId w:val="33"/>
        </w:numPr>
        <w:spacing w:after="120"/>
        <w:rPr>
          <w:rFonts w:eastAsia="Times New Roman" w:cs="Calibri"/>
          <w:szCs w:val="20"/>
          <w:lang w:eastAsia="es-ES_tradnl"/>
        </w:rPr>
      </w:pPr>
      <w:r w:rsidRPr="003F7F6C">
        <w:rPr>
          <w:rFonts w:eastAsia="Times New Roman" w:cs="Calibri"/>
          <w:szCs w:val="20"/>
          <w:lang w:eastAsia="es-ES_tradnl"/>
        </w:rPr>
        <w:t>E</w:t>
      </w:r>
      <w:r w:rsidR="00F82C62" w:rsidRPr="003F7F6C">
        <w:rPr>
          <w:rFonts w:eastAsia="Times New Roman" w:cs="Calibri"/>
          <w:szCs w:val="20"/>
          <w:lang w:eastAsia="es-ES_tradnl"/>
        </w:rPr>
        <w:t xml:space="preserve">conomic and financial instruments for ELUP </w:t>
      </w:r>
      <w:r w:rsidRPr="003F7F6C">
        <w:rPr>
          <w:rFonts w:eastAsia="Times New Roman" w:cs="Calibri"/>
          <w:szCs w:val="20"/>
          <w:lang w:eastAsia="es-ES_tradnl"/>
        </w:rPr>
        <w:t xml:space="preserve">will be developed </w:t>
      </w:r>
      <w:r w:rsidR="00F82C62" w:rsidRPr="003F7F6C">
        <w:rPr>
          <w:rFonts w:eastAsia="Times New Roman" w:cs="Calibri"/>
          <w:szCs w:val="20"/>
          <w:lang w:eastAsia="es-ES_tradnl"/>
        </w:rPr>
        <w:t>to reward and facilitate environmentally sustainable forms of production allowing costs and benefits to be internalized by those who experience them.</w:t>
      </w:r>
    </w:p>
    <w:p w14:paraId="1BA06BAE" w14:textId="77777777" w:rsidR="00EF03CE" w:rsidRPr="003F7F6C" w:rsidRDefault="00EF03CE" w:rsidP="00E91275">
      <w:pPr>
        <w:pStyle w:val="ColorfulList-Accent11"/>
        <w:numPr>
          <w:ilvl w:val="0"/>
          <w:numId w:val="33"/>
        </w:numPr>
        <w:spacing w:after="120"/>
        <w:jc w:val="both"/>
        <w:rPr>
          <w:rFonts w:ascii="Calibri" w:hAnsi="Calibri" w:cs="Calibri"/>
          <w:sz w:val="20"/>
          <w:szCs w:val="20"/>
        </w:rPr>
      </w:pPr>
      <w:r w:rsidRPr="003F7F6C">
        <w:rPr>
          <w:rFonts w:ascii="Calibri" w:hAnsi="Calibri" w:cs="Calibri"/>
          <w:color w:val="000000"/>
          <w:sz w:val="20"/>
          <w:szCs w:val="20"/>
          <w:lang w:eastAsia="es-CL"/>
        </w:rPr>
        <w:t xml:space="preserve">Stakeholder participation at all project levels will contribute to the cost-effectiveness of the project. The  project governance </w:t>
      </w:r>
      <w:r w:rsidR="001F79B6" w:rsidRPr="003F7F6C">
        <w:rPr>
          <w:rFonts w:ascii="Calibri" w:hAnsi="Calibri" w:cs="Calibri"/>
          <w:color w:val="000000"/>
          <w:sz w:val="20"/>
          <w:szCs w:val="20"/>
          <w:lang w:eastAsia="es-CL"/>
        </w:rPr>
        <w:t xml:space="preserve">bodies </w:t>
      </w:r>
      <w:r w:rsidRPr="003F7F6C">
        <w:rPr>
          <w:rFonts w:ascii="Calibri" w:hAnsi="Calibri" w:cs="Calibri"/>
          <w:color w:val="000000"/>
          <w:sz w:val="20"/>
          <w:szCs w:val="20"/>
          <w:lang w:eastAsia="es-CL"/>
        </w:rPr>
        <w:t xml:space="preserve">(Project Board, Technical Committee, Provincial Committees) as well as the multi-stakeholder dialogue spaces will ensure </w:t>
      </w:r>
      <w:r w:rsidRPr="003F7F6C">
        <w:rPr>
          <w:rFonts w:ascii="Calibri" w:hAnsi="Calibri" w:cs="Calibri"/>
          <w:sz w:val="20"/>
          <w:szCs w:val="20"/>
        </w:rPr>
        <w:t xml:space="preserve">adequate planning and implementation of activities in line with the project objectives, national and provincial objectives and priorities, as well as complementarity with ongoing and planned programs and projects. </w:t>
      </w:r>
      <w:r w:rsidRPr="003F7F6C">
        <w:rPr>
          <w:rFonts w:ascii="Calibri" w:hAnsi="Calibri" w:cs="Calibri"/>
          <w:color w:val="000000"/>
          <w:sz w:val="20"/>
          <w:szCs w:val="20"/>
        </w:rPr>
        <w:t xml:space="preserve">Coordination mechanisms will be closely linked, ensuring in this manner that stakeholder concerns are up-streamed into higher project management levels and likewise project management decisions are down-streamed to keep stakeholders duly informed. </w:t>
      </w:r>
    </w:p>
    <w:p w14:paraId="744FBDA9" w14:textId="77777777" w:rsidR="00EF03CE" w:rsidRPr="003F7F6C" w:rsidRDefault="00001433" w:rsidP="00E91275">
      <w:pPr>
        <w:pStyle w:val="ColorfulList-Accent11"/>
        <w:numPr>
          <w:ilvl w:val="0"/>
          <w:numId w:val="33"/>
        </w:numPr>
        <w:spacing w:after="120"/>
        <w:jc w:val="both"/>
        <w:rPr>
          <w:rFonts w:ascii="Calibri" w:hAnsi="Calibri" w:cs="Calibri"/>
          <w:sz w:val="20"/>
          <w:szCs w:val="20"/>
        </w:rPr>
      </w:pPr>
      <w:r w:rsidRPr="003F7F6C">
        <w:rPr>
          <w:rFonts w:ascii="Calibri" w:eastAsia="Times New Roman" w:hAnsi="Calibri" w:cs="Calibri"/>
          <w:sz w:val="20"/>
          <w:szCs w:val="20"/>
          <w:lang w:eastAsia="es-ES_tradnl"/>
        </w:rPr>
        <w:t>P</w:t>
      </w:r>
      <w:r w:rsidR="00C04ED6" w:rsidRPr="003F7F6C">
        <w:rPr>
          <w:rFonts w:ascii="Calibri" w:eastAsia="Times New Roman" w:hAnsi="Calibri" w:cs="Calibri"/>
          <w:sz w:val="20"/>
          <w:szCs w:val="20"/>
          <w:lang w:eastAsia="es-ES_tradnl"/>
        </w:rPr>
        <w:t xml:space="preserve">romotion of socioeconomically and environmentally </w:t>
      </w:r>
      <w:r w:rsidRPr="003F7F6C">
        <w:rPr>
          <w:rFonts w:ascii="Calibri" w:eastAsia="Times New Roman" w:hAnsi="Calibri" w:cs="Calibri"/>
          <w:sz w:val="20"/>
          <w:szCs w:val="20"/>
          <w:lang w:eastAsia="es-ES_tradnl"/>
        </w:rPr>
        <w:t xml:space="preserve">sustainable production systems </w:t>
      </w:r>
      <w:r w:rsidR="00C04ED6" w:rsidRPr="003F7F6C">
        <w:rPr>
          <w:rFonts w:ascii="Calibri" w:eastAsia="Times New Roman" w:hAnsi="Calibri" w:cs="Calibri"/>
          <w:sz w:val="20"/>
          <w:szCs w:val="20"/>
          <w:lang w:eastAsia="es-ES_tradnl"/>
        </w:rPr>
        <w:t>will help to maintain and improve the biodiversity value of the landscape as a whole and to reduce productive and extractive pressures affecting ecosystems, thereby reducing the need for measures based on control and punishment</w:t>
      </w:r>
      <w:r w:rsidRPr="003F7F6C">
        <w:rPr>
          <w:rFonts w:ascii="Calibri" w:eastAsia="Times New Roman" w:hAnsi="Calibri" w:cs="Calibri"/>
          <w:sz w:val="20"/>
          <w:szCs w:val="20"/>
          <w:lang w:eastAsia="es-ES_tradnl"/>
        </w:rPr>
        <w:t xml:space="preserve"> and associated costs</w:t>
      </w:r>
      <w:r w:rsidR="00EF03CE" w:rsidRPr="003F7F6C">
        <w:rPr>
          <w:rFonts w:ascii="Calibri" w:eastAsia="Times New Roman" w:hAnsi="Calibri" w:cs="Calibri"/>
          <w:sz w:val="20"/>
          <w:szCs w:val="20"/>
          <w:lang w:eastAsia="es-ES_tradnl"/>
        </w:rPr>
        <w:t xml:space="preserve">. </w:t>
      </w:r>
      <w:r w:rsidR="00CE4668" w:rsidRPr="003F7F6C">
        <w:rPr>
          <w:rFonts w:ascii="Calibri" w:eastAsia="Times New Roman" w:hAnsi="Calibri" w:cs="Calibri"/>
          <w:sz w:val="20"/>
          <w:szCs w:val="20"/>
          <w:lang w:eastAsia="es-ES_tradnl"/>
        </w:rPr>
        <w:t>In addition</w:t>
      </w:r>
      <w:r w:rsidR="00676A91" w:rsidRPr="003F7F6C">
        <w:rPr>
          <w:rFonts w:ascii="Calibri" w:eastAsia="Times New Roman" w:hAnsi="Calibri" w:cs="Calibri"/>
          <w:sz w:val="20"/>
          <w:szCs w:val="20"/>
          <w:lang w:eastAsia="es-ES_tradnl"/>
        </w:rPr>
        <w:t>,</w:t>
      </w:r>
      <w:r w:rsidR="0029592D" w:rsidRPr="003F7F6C">
        <w:rPr>
          <w:rFonts w:ascii="Calibri" w:eastAsia="Times New Roman" w:hAnsi="Calibri" w:cs="Calibri"/>
          <w:sz w:val="20"/>
          <w:szCs w:val="20"/>
          <w:lang w:eastAsia="es-ES_tradnl"/>
        </w:rPr>
        <w:t xml:space="preserve"> based on experience acquired mainly by</w:t>
      </w:r>
      <w:r w:rsidR="00CE4668" w:rsidRPr="003F7F6C">
        <w:rPr>
          <w:rFonts w:ascii="Calibri" w:eastAsia="Times New Roman" w:hAnsi="Calibri" w:cs="Calibri"/>
          <w:sz w:val="20"/>
          <w:szCs w:val="20"/>
          <w:lang w:eastAsia="es-ES_tradnl"/>
        </w:rPr>
        <w:t xml:space="preserve"> </w:t>
      </w:r>
      <w:r w:rsidR="0029592D" w:rsidRPr="003F7F6C">
        <w:rPr>
          <w:rFonts w:ascii="Calibri" w:eastAsia="Times New Roman" w:hAnsi="Calibri" w:cs="Calibri"/>
          <w:sz w:val="20"/>
          <w:szCs w:val="20"/>
          <w:lang w:eastAsia="es-ES_tradnl"/>
        </w:rPr>
        <w:t xml:space="preserve">INTA in promoting best production practices as well as technical and scientific data the project will assess and prioritize the </w:t>
      </w:r>
      <w:r w:rsidR="00CE4668" w:rsidRPr="003F7F6C">
        <w:rPr>
          <w:rFonts w:ascii="Calibri" w:hAnsi="Calibri" w:cs="Calibri"/>
          <w:sz w:val="20"/>
          <w:szCs w:val="20"/>
        </w:rPr>
        <w:t>e</w:t>
      </w:r>
      <w:r w:rsidR="00EF03CE" w:rsidRPr="003F7F6C">
        <w:rPr>
          <w:rFonts w:ascii="Calibri" w:hAnsi="Calibri" w:cs="Calibri"/>
          <w:sz w:val="20"/>
          <w:szCs w:val="20"/>
        </w:rPr>
        <w:t>nvironmentally friendly and sustainable practices</w:t>
      </w:r>
      <w:r w:rsidR="0029592D" w:rsidRPr="003F7F6C">
        <w:rPr>
          <w:rFonts w:ascii="Calibri" w:hAnsi="Calibri" w:cs="Calibri"/>
          <w:sz w:val="20"/>
          <w:szCs w:val="20"/>
        </w:rPr>
        <w:t xml:space="preserve"> that have the highest potential to</w:t>
      </w:r>
      <w:r w:rsidR="00EF03CE" w:rsidRPr="003F7F6C">
        <w:rPr>
          <w:rFonts w:ascii="Calibri" w:hAnsi="Calibri" w:cs="Calibri"/>
          <w:sz w:val="20"/>
          <w:szCs w:val="20"/>
        </w:rPr>
        <w:t xml:space="preserve"> </w:t>
      </w:r>
      <w:r w:rsidR="00EF03CE" w:rsidRPr="003F7F6C">
        <w:rPr>
          <w:rFonts w:ascii="Calibri" w:hAnsi="Calibri" w:cs="Calibri"/>
          <w:sz w:val="20"/>
          <w:szCs w:val="20"/>
          <w:lang w:eastAsia="en-GB"/>
        </w:rPr>
        <w:t>allow producers to maintain and increase their production levels and yields with a low level of use of external technologies. This, coupled with a strategy of accessing economic and financial instruments, will allow producers to reduce production costs, obtain better pri</w:t>
      </w:r>
      <w:r w:rsidR="00CE4668" w:rsidRPr="003F7F6C">
        <w:rPr>
          <w:rFonts w:ascii="Calibri" w:hAnsi="Calibri" w:cs="Calibri"/>
          <w:sz w:val="20"/>
          <w:szCs w:val="20"/>
          <w:lang w:eastAsia="en-GB"/>
        </w:rPr>
        <w:t>ces and improve family incomes.</w:t>
      </w:r>
    </w:p>
    <w:p w14:paraId="322BF93A" w14:textId="77777777" w:rsidR="008308D2" w:rsidRPr="003F7F6C" w:rsidRDefault="008308D2" w:rsidP="00E91275">
      <w:pPr>
        <w:pStyle w:val="ColorfulList-Accent11"/>
        <w:numPr>
          <w:ilvl w:val="0"/>
          <w:numId w:val="33"/>
        </w:numPr>
        <w:spacing w:after="240"/>
        <w:jc w:val="both"/>
        <w:rPr>
          <w:rFonts w:ascii="Calibri" w:hAnsi="Calibri" w:cs="Calibri"/>
          <w:sz w:val="20"/>
          <w:szCs w:val="20"/>
        </w:rPr>
      </w:pPr>
      <w:r w:rsidRPr="003F7F6C">
        <w:rPr>
          <w:rFonts w:ascii="Calibri" w:hAnsi="Calibri" w:cs="Calibri"/>
          <w:color w:val="000000"/>
          <w:sz w:val="20"/>
          <w:szCs w:val="20"/>
          <w:lang w:eastAsia="es-CL"/>
        </w:rPr>
        <w:t>Systematization of project experiences and lessons learned will contribute to cost-effective upscaling and replication of project results</w:t>
      </w:r>
      <w:r w:rsidR="00676A91" w:rsidRPr="003F7F6C">
        <w:rPr>
          <w:rFonts w:ascii="Calibri" w:hAnsi="Calibri" w:cs="Calibri"/>
          <w:color w:val="000000"/>
          <w:sz w:val="20"/>
          <w:szCs w:val="20"/>
          <w:lang w:eastAsia="es-CL"/>
        </w:rPr>
        <w:t>.</w:t>
      </w:r>
    </w:p>
    <w:p w14:paraId="5C04F139" w14:textId="77777777" w:rsidR="007F2125" w:rsidRPr="003F7F6C" w:rsidRDefault="007F2125" w:rsidP="007F2125">
      <w:pPr>
        <w:spacing w:after="240"/>
        <w:rPr>
          <w:rFonts w:cs="Arial"/>
          <w:noProof/>
          <w:szCs w:val="20"/>
          <w:u w:val="single"/>
          <w:lang w:eastAsia="zh-CN"/>
        </w:rPr>
      </w:pPr>
    </w:p>
    <w:p w14:paraId="44A6F8AA" w14:textId="0F78A292" w:rsidR="00165609" w:rsidRPr="003F7F6C" w:rsidRDefault="00075FD8" w:rsidP="00E91275">
      <w:pPr>
        <w:numPr>
          <w:ilvl w:val="0"/>
          <w:numId w:val="28"/>
        </w:numPr>
        <w:tabs>
          <w:tab w:val="left" w:pos="426"/>
        </w:tabs>
        <w:spacing w:after="240"/>
        <w:ind w:left="0" w:firstLine="0"/>
        <w:rPr>
          <w:rFonts w:cs="Arial"/>
          <w:noProof/>
          <w:color w:val="FF0000"/>
          <w:szCs w:val="20"/>
          <w:lang w:eastAsia="zh-CN"/>
        </w:rPr>
      </w:pPr>
      <w:r w:rsidRPr="003F7F6C">
        <w:rPr>
          <w:rFonts w:cs="Arial"/>
          <w:noProof/>
          <w:szCs w:val="20"/>
          <w:u w:val="single"/>
          <w:lang w:eastAsia="zh-CN"/>
        </w:rPr>
        <w:t>Project management</w:t>
      </w:r>
      <w:r w:rsidRPr="003F7F6C">
        <w:rPr>
          <w:rFonts w:cs="Arial"/>
          <w:i/>
          <w:noProof/>
          <w:szCs w:val="20"/>
          <w:lang w:eastAsia="zh-CN"/>
        </w:rPr>
        <w:t xml:space="preserve">:  </w:t>
      </w:r>
      <w:r w:rsidR="00F85E6F" w:rsidRPr="003F7F6C">
        <w:rPr>
          <w:rFonts w:cs="Arial"/>
          <w:noProof/>
          <w:szCs w:val="20"/>
          <w:lang w:eastAsia="zh-CN"/>
        </w:rPr>
        <w:t>The Project Management Unit will be located within the premises of the SGAyDS</w:t>
      </w:r>
      <w:r w:rsidR="006D7B85" w:rsidRPr="003F7F6C">
        <w:rPr>
          <w:rFonts w:cs="Arial"/>
          <w:noProof/>
          <w:szCs w:val="20"/>
          <w:lang w:eastAsia="zh-CN"/>
        </w:rPr>
        <w:t xml:space="preserve"> which will provide office facilities</w:t>
      </w:r>
      <w:r w:rsidR="00F85E6F" w:rsidRPr="003F7F6C">
        <w:rPr>
          <w:rFonts w:cs="Arial"/>
          <w:noProof/>
          <w:szCs w:val="20"/>
          <w:lang w:eastAsia="zh-CN"/>
        </w:rPr>
        <w:t xml:space="preserve">. </w:t>
      </w:r>
      <w:r w:rsidR="002527C6" w:rsidRPr="003F7F6C">
        <w:rPr>
          <w:rFonts w:cs="Arial"/>
          <w:noProof/>
          <w:szCs w:val="20"/>
          <w:lang w:eastAsia="zh-CN"/>
        </w:rPr>
        <w:t>The SGAyDS will also provide administrative suppport staff</w:t>
      </w:r>
      <w:r w:rsidR="00A45076" w:rsidRPr="003F7F6C">
        <w:rPr>
          <w:rFonts w:cs="Arial"/>
          <w:noProof/>
          <w:szCs w:val="20"/>
          <w:lang w:eastAsia="zh-CN"/>
        </w:rPr>
        <w:t>, ELUP specialists</w:t>
      </w:r>
      <w:r w:rsidR="002527C6" w:rsidRPr="003F7F6C">
        <w:rPr>
          <w:rFonts w:cs="Arial"/>
          <w:noProof/>
          <w:szCs w:val="20"/>
          <w:lang w:eastAsia="zh-CN"/>
        </w:rPr>
        <w:t xml:space="preserve"> and a Communication </w:t>
      </w:r>
      <w:r w:rsidR="00662EFD" w:rsidRPr="003F7F6C">
        <w:rPr>
          <w:rFonts w:cs="Arial"/>
          <w:noProof/>
          <w:szCs w:val="20"/>
          <w:lang w:eastAsia="zh-CN"/>
        </w:rPr>
        <w:t>S</w:t>
      </w:r>
      <w:r w:rsidR="002527C6" w:rsidRPr="003F7F6C">
        <w:rPr>
          <w:rFonts w:cs="Arial"/>
          <w:noProof/>
          <w:szCs w:val="20"/>
          <w:lang w:eastAsia="zh-CN"/>
        </w:rPr>
        <w:t>pecialist.</w:t>
      </w:r>
      <w:r w:rsidR="00F85E6F" w:rsidRPr="003F7F6C">
        <w:rPr>
          <w:rFonts w:cs="Arial"/>
          <w:noProof/>
          <w:szCs w:val="20"/>
          <w:lang w:eastAsia="zh-CN"/>
        </w:rPr>
        <w:t xml:space="preserve"> </w:t>
      </w:r>
      <w:r w:rsidR="006D7B85" w:rsidRPr="003F7F6C">
        <w:rPr>
          <w:rFonts w:cs="Arial"/>
          <w:noProof/>
          <w:szCs w:val="20"/>
          <w:lang w:eastAsia="zh-CN"/>
        </w:rPr>
        <w:t>The project will intervene in three provinces and target landscapes within the three provinces.  The environmental authorities of the three provinces (OPDS, Environment and Land Use Planning Secretariat of Mendoza and Ministry of Environment of Jujuy) will</w:t>
      </w:r>
      <w:r w:rsidR="00B42F7B" w:rsidRPr="003F7F6C">
        <w:rPr>
          <w:rFonts w:cs="Arial"/>
          <w:noProof/>
          <w:szCs w:val="20"/>
          <w:lang w:eastAsia="zh-CN"/>
        </w:rPr>
        <w:t xml:space="preserve"> designate project Focal Points and</w:t>
      </w:r>
      <w:r w:rsidR="006D7B85" w:rsidRPr="003F7F6C">
        <w:rPr>
          <w:rFonts w:cs="Arial"/>
          <w:noProof/>
          <w:szCs w:val="20"/>
          <w:lang w:eastAsia="zh-CN"/>
        </w:rPr>
        <w:t xml:space="preserve"> provide backstopping and support to the project team when they are present in their territories </w:t>
      </w:r>
      <w:r w:rsidR="00676A91" w:rsidRPr="003F7F6C">
        <w:rPr>
          <w:rFonts w:cs="Arial"/>
          <w:noProof/>
          <w:szCs w:val="20"/>
          <w:lang w:eastAsia="zh-CN"/>
        </w:rPr>
        <w:t xml:space="preserve">by </w:t>
      </w:r>
      <w:r w:rsidR="006D7B85" w:rsidRPr="003F7F6C">
        <w:rPr>
          <w:rFonts w:cs="Arial"/>
          <w:noProof/>
          <w:szCs w:val="20"/>
          <w:lang w:eastAsia="zh-CN"/>
        </w:rPr>
        <w:t>providing and/or coordinating with other insti</w:t>
      </w:r>
      <w:r w:rsidR="00676A91" w:rsidRPr="003F7F6C">
        <w:rPr>
          <w:rFonts w:cs="Arial"/>
          <w:noProof/>
          <w:szCs w:val="20"/>
          <w:lang w:eastAsia="zh-CN"/>
        </w:rPr>
        <w:t>t</w:t>
      </w:r>
      <w:r w:rsidR="006D7B85" w:rsidRPr="003F7F6C">
        <w:rPr>
          <w:rFonts w:cs="Arial"/>
          <w:noProof/>
          <w:szCs w:val="20"/>
          <w:lang w:eastAsia="zh-CN"/>
        </w:rPr>
        <w:t>utions office space, infrastructure for training and dialogue spaces</w:t>
      </w:r>
      <w:r w:rsidR="002527C6" w:rsidRPr="003F7F6C">
        <w:rPr>
          <w:rFonts w:cs="Arial"/>
          <w:noProof/>
          <w:szCs w:val="20"/>
          <w:lang w:eastAsia="zh-CN"/>
        </w:rPr>
        <w:t>.</w:t>
      </w:r>
      <w:r w:rsidR="00DC6F3A" w:rsidRPr="003F7F6C">
        <w:rPr>
          <w:rFonts w:cs="Arial"/>
          <w:noProof/>
          <w:szCs w:val="20"/>
          <w:lang w:eastAsia="zh-CN"/>
        </w:rPr>
        <w:t xml:space="preserve"> </w:t>
      </w:r>
    </w:p>
    <w:p w14:paraId="549E6D3F" w14:textId="77777777" w:rsidR="00A35521" w:rsidRPr="003F7F6C" w:rsidRDefault="00A35521" w:rsidP="00E91275">
      <w:pPr>
        <w:numPr>
          <w:ilvl w:val="0"/>
          <w:numId w:val="28"/>
        </w:numPr>
        <w:tabs>
          <w:tab w:val="left" w:pos="426"/>
        </w:tabs>
        <w:spacing w:after="240"/>
        <w:ind w:left="0" w:firstLine="0"/>
        <w:rPr>
          <w:rFonts w:cs="Calibri"/>
          <w:noProof/>
          <w:color w:val="FF0000"/>
          <w:szCs w:val="20"/>
          <w:lang w:eastAsia="zh-CN"/>
        </w:rPr>
      </w:pPr>
      <w:r w:rsidRPr="003F7F6C">
        <w:rPr>
          <w:szCs w:val="20"/>
          <w:u w:val="single"/>
        </w:rPr>
        <w:t>Agreement on intellectual property rights and use of logo on the project’s deliverables and disclosure of information</w:t>
      </w:r>
      <w:r w:rsidRPr="003F7F6C">
        <w:rPr>
          <w:b/>
          <w:szCs w:val="20"/>
        </w:rPr>
        <w:t xml:space="preserve">:  </w:t>
      </w:r>
      <w:r w:rsidRPr="003F7F6C">
        <w:rPr>
          <w:szCs w:val="20"/>
        </w:rPr>
        <w:t>T</w:t>
      </w:r>
      <w:r w:rsidRPr="003F7F6C">
        <w:rPr>
          <w:rFonts w:cs="Calibri"/>
          <w:szCs w:val="20"/>
        </w:rPr>
        <w: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w:t>
      </w:r>
      <w:r w:rsidR="001F79B6" w:rsidRPr="003F7F6C">
        <w:rPr>
          <w:rFonts w:cs="Calibri"/>
          <w:szCs w:val="20"/>
        </w:rPr>
        <w:t>,</w:t>
      </w:r>
      <w:r w:rsidRPr="003F7F6C">
        <w:rPr>
          <w:rFonts w:cs="Calibri"/>
          <w:szCs w:val="20"/>
        </w:rPr>
        <w:t xml:space="preserve"> notably the UNDP Disclosure Policy</w:t>
      </w:r>
      <w:r w:rsidRPr="003F7F6C">
        <w:rPr>
          <w:rStyle w:val="FootnoteReference"/>
          <w:rFonts w:ascii="Calibri" w:hAnsi="Calibri" w:cs="Calibri"/>
          <w:sz w:val="20"/>
          <w:szCs w:val="20"/>
        </w:rPr>
        <w:footnoteReference w:id="77"/>
      </w:r>
      <w:r w:rsidRPr="003F7F6C">
        <w:rPr>
          <w:rFonts w:cs="Calibri"/>
          <w:szCs w:val="20"/>
        </w:rPr>
        <w:t xml:space="preserve"> and</w:t>
      </w:r>
      <w:r w:rsidRPr="003F7F6C">
        <w:rPr>
          <w:rFonts w:cs="Calibri"/>
          <w:color w:val="000000"/>
          <w:szCs w:val="20"/>
        </w:rPr>
        <w:t xml:space="preserve"> the GEF policy on public involvement</w:t>
      </w:r>
      <w:r w:rsidRPr="003F7F6C">
        <w:rPr>
          <w:rStyle w:val="FootnoteReference"/>
          <w:rFonts w:ascii="Calibri" w:hAnsi="Calibri" w:cs="Calibri"/>
          <w:color w:val="000000"/>
          <w:sz w:val="20"/>
          <w:szCs w:val="20"/>
        </w:rPr>
        <w:footnoteReference w:id="78"/>
      </w:r>
      <w:r w:rsidRPr="003F7F6C">
        <w:rPr>
          <w:rFonts w:cs="Calibri"/>
          <w:color w:val="000000"/>
          <w:szCs w:val="20"/>
        </w:rPr>
        <w:t xml:space="preserve">. </w:t>
      </w:r>
    </w:p>
    <w:p w14:paraId="5CD1DB68" w14:textId="77777777" w:rsidR="00A35521" w:rsidRPr="003F7F6C" w:rsidRDefault="00A35521" w:rsidP="00A35521">
      <w:pPr>
        <w:spacing w:after="0"/>
        <w:jc w:val="left"/>
        <w:rPr>
          <w:rFonts w:cs="Calibri"/>
          <w:noProof/>
          <w:szCs w:val="20"/>
          <w:u w:val="single"/>
          <w:lang w:eastAsia="zh-CN"/>
        </w:rPr>
      </w:pPr>
    </w:p>
    <w:p w14:paraId="79DB1698" w14:textId="77777777" w:rsidR="009F19D4" w:rsidRPr="003F7F6C" w:rsidRDefault="009F19D4" w:rsidP="008A6833">
      <w:pPr>
        <w:pStyle w:val="ColorfulList-Accent11"/>
        <w:spacing w:after="60"/>
        <w:ind w:left="1080"/>
        <w:contextualSpacing/>
        <w:rPr>
          <w:rFonts w:ascii="Calibri" w:hAnsi="Calibri" w:cs="Calibri"/>
          <w:color w:val="000000"/>
          <w:sz w:val="20"/>
          <w:szCs w:val="20"/>
        </w:rPr>
        <w:sectPr w:rsidR="009F19D4" w:rsidRPr="003F7F6C" w:rsidSect="000B3D4F">
          <w:pgSz w:w="12240" w:h="15840" w:code="1"/>
          <w:pgMar w:top="1440" w:right="1440" w:bottom="1440" w:left="1440" w:header="720" w:footer="432" w:gutter="0"/>
          <w:cols w:space="708"/>
          <w:titlePg/>
          <w:docGrid w:linePitch="360"/>
        </w:sectPr>
      </w:pPr>
    </w:p>
    <w:p w14:paraId="64FEC20C" w14:textId="77777777" w:rsidR="003C0446" w:rsidRPr="003F7F6C" w:rsidRDefault="0053408E" w:rsidP="008E7546">
      <w:pPr>
        <w:pStyle w:val="Heading1"/>
        <w:spacing w:before="0" w:after="60"/>
        <w:rPr>
          <w:rFonts w:ascii="Calibri" w:hAnsi="Calibri"/>
          <w:szCs w:val="28"/>
        </w:rPr>
      </w:pPr>
      <w:bookmarkStart w:id="13" w:name="_Toc529891412"/>
      <w:r w:rsidRPr="003F7F6C">
        <w:rPr>
          <w:rFonts w:ascii="Calibri" w:hAnsi="Calibri"/>
          <w:szCs w:val="28"/>
        </w:rPr>
        <w:t>Project Results Framework</w:t>
      </w:r>
      <w:bookmarkEnd w:id="13"/>
    </w:p>
    <w:tbl>
      <w:tblPr>
        <w:tblW w:w="143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2493"/>
        <w:gridCol w:w="2268"/>
        <w:gridCol w:w="1956"/>
        <w:gridCol w:w="2119"/>
        <w:gridCol w:w="2949"/>
      </w:tblGrid>
      <w:tr w:rsidR="007F4F70" w:rsidRPr="003F7F6C" w14:paraId="698A315D" w14:textId="77777777" w:rsidTr="002B3130">
        <w:trPr>
          <w:trHeight w:val="305"/>
        </w:trPr>
        <w:tc>
          <w:tcPr>
            <w:tcW w:w="14390" w:type="dxa"/>
            <w:gridSpan w:val="6"/>
            <w:shd w:val="pct12" w:color="auto" w:fill="auto"/>
          </w:tcPr>
          <w:p w14:paraId="1C6737E1" w14:textId="77777777" w:rsidR="007F4F70" w:rsidRPr="003F7F6C" w:rsidRDefault="007F4F70" w:rsidP="002B3130">
            <w:pPr>
              <w:rPr>
                <w:rFonts w:cs="Calibri"/>
                <w:b/>
                <w:sz w:val="18"/>
                <w:szCs w:val="18"/>
              </w:rPr>
            </w:pPr>
            <w:r w:rsidRPr="003F7F6C">
              <w:rPr>
                <w:rFonts w:cs="Calibri"/>
                <w:b/>
                <w:sz w:val="18"/>
                <w:szCs w:val="18"/>
              </w:rPr>
              <w:t xml:space="preserve">This project will contribute to the following Sustainable Development Goal (s): </w:t>
            </w:r>
          </w:p>
          <w:p w14:paraId="3ED76D55" w14:textId="77777777" w:rsidR="007F4F70" w:rsidRPr="003F7F6C" w:rsidRDefault="007F4F70" w:rsidP="002B3130">
            <w:pPr>
              <w:rPr>
                <w:rFonts w:cs="Calibri"/>
                <w:sz w:val="18"/>
                <w:szCs w:val="18"/>
              </w:rPr>
            </w:pPr>
            <w:r w:rsidRPr="003F7F6C">
              <w:rPr>
                <w:rFonts w:cs="Calibri"/>
                <w:sz w:val="18"/>
                <w:szCs w:val="18"/>
              </w:rPr>
              <w:t>15: Protect, restore and promote sustainable use of terrestrial ecosystems, sustainably manage forests, combat desertification, and halt and reverse land degradation, and halt biodiversity loss</w:t>
            </w:r>
          </w:p>
        </w:tc>
      </w:tr>
      <w:tr w:rsidR="007F4F70" w:rsidRPr="003F7F6C" w14:paraId="082DADE9" w14:textId="77777777" w:rsidTr="002B3130">
        <w:trPr>
          <w:trHeight w:val="287"/>
        </w:trPr>
        <w:tc>
          <w:tcPr>
            <w:tcW w:w="14390" w:type="dxa"/>
            <w:gridSpan w:val="6"/>
            <w:shd w:val="pct12" w:color="auto" w:fill="auto"/>
          </w:tcPr>
          <w:p w14:paraId="7594B4AB" w14:textId="77777777" w:rsidR="007F4F70" w:rsidRPr="003F7F6C" w:rsidRDefault="007F4F70" w:rsidP="002B3130">
            <w:pPr>
              <w:rPr>
                <w:rFonts w:cs="Calibri"/>
                <w:b/>
                <w:bCs/>
                <w:sz w:val="18"/>
                <w:szCs w:val="18"/>
              </w:rPr>
            </w:pPr>
            <w:r w:rsidRPr="003F7F6C">
              <w:rPr>
                <w:rFonts w:cs="Calibri"/>
                <w:b/>
                <w:bCs/>
                <w:sz w:val="18"/>
                <w:szCs w:val="18"/>
              </w:rPr>
              <w:t xml:space="preserve">This project will contribute to the following country outcome included in the UNDAF/Country Programme Document:  </w:t>
            </w:r>
          </w:p>
          <w:p w14:paraId="64E3F5EF" w14:textId="77777777" w:rsidR="007F4F70" w:rsidRPr="003F7F6C" w:rsidRDefault="007F4F70" w:rsidP="002B3130">
            <w:pPr>
              <w:rPr>
                <w:rFonts w:cs="Calibri"/>
                <w:sz w:val="18"/>
                <w:szCs w:val="18"/>
              </w:rPr>
            </w:pPr>
            <w:r w:rsidRPr="003F7F6C">
              <w:rPr>
                <w:rFonts w:cs="Calibri"/>
                <w:bCs/>
                <w:sz w:val="18"/>
                <w:szCs w:val="18"/>
              </w:rPr>
              <w:t xml:space="preserve">UNDAF Outcome 4: </w:t>
            </w:r>
            <w:r w:rsidRPr="003F7F6C">
              <w:rPr>
                <w:rFonts w:cs="Calibri"/>
                <w:sz w:val="18"/>
                <w:szCs w:val="18"/>
              </w:rPr>
              <w:t xml:space="preserve">By 2020, the country will have reinforced the sustainable management of natural resources and implemented adaptation and mitigation policies with respect to climate change and man-made damage, using a gender and intercultural approach. </w:t>
            </w:r>
          </w:p>
          <w:p w14:paraId="185ECEBC" w14:textId="77777777" w:rsidR="007F4F70" w:rsidRPr="003F7F6C" w:rsidRDefault="007F4F70" w:rsidP="002B3130">
            <w:pPr>
              <w:rPr>
                <w:rFonts w:cs="Calibri"/>
                <w:sz w:val="18"/>
                <w:szCs w:val="18"/>
              </w:rPr>
            </w:pPr>
            <w:r w:rsidRPr="003F7F6C">
              <w:rPr>
                <w:rFonts w:cs="Calibri"/>
                <w:sz w:val="18"/>
                <w:szCs w:val="18"/>
              </w:rPr>
              <w:t>CPD Output 4.1: Land use strategies promoted for the sustainable management of natural resources and ecosystems</w:t>
            </w:r>
          </w:p>
        </w:tc>
      </w:tr>
      <w:tr w:rsidR="007F4F70" w:rsidRPr="003F7F6C" w14:paraId="74F9932D" w14:textId="77777777" w:rsidTr="002B3130">
        <w:trPr>
          <w:trHeight w:val="544"/>
        </w:trPr>
        <w:tc>
          <w:tcPr>
            <w:tcW w:w="14390" w:type="dxa"/>
            <w:gridSpan w:val="6"/>
            <w:shd w:val="pct12" w:color="auto" w:fill="auto"/>
          </w:tcPr>
          <w:p w14:paraId="5B756C2E" w14:textId="77777777" w:rsidR="007F4F70" w:rsidRPr="003F7F6C" w:rsidRDefault="007F4F70" w:rsidP="002B3130">
            <w:pPr>
              <w:rPr>
                <w:rFonts w:cs="Calibri"/>
                <w:i/>
                <w:sz w:val="18"/>
                <w:szCs w:val="18"/>
              </w:rPr>
            </w:pPr>
            <w:r w:rsidRPr="003F7F6C">
              <w:rPr>
                <w:rFonts w:cs="Calibri"/>
                <w:b/>
                <w:bCs/>
                <w:sz w:val="18"/>
                <w:szCs w:val="18"/>
              </w:rPr>
              <w:t>This project will be linked to the following output of the UNDP Strategic Plan:</w:t>
            </w:r>
            <w:r w:rsidRPr="003F7F6C">
              <w:rPr>
                <w:rFonts w:cs="Calibri"/>
                <w:i/>
                <w:sz w:val="18"/>
                <w:szCs w:val="18"/>
              </w:rPr>
              <w:t xml:space="preserve"> </w:t>
            </w:r>
          </w:p>
          <w:p w14:paraId="42C404D1" w14:textId="77777777" w:rsidR="007F4F70" w:rsidRPr="003F7F6C" w:rsidRDefault="007F4F70" w:rsidP="002B3130">
            <w:pPr>
              <w:rPr>
                <w:rFonts w:cs="Calibri"/>
                <w:sz w:val="18"/>
                <w:szCs w:val="18"/>
              </w:rPr>
            </w:pPr>
            <w:r w:rsidRPr="003F7F6C">
              <w:rPr>
                <w:rFonts w:cs="Calibri"/>
                <w:sz w:val="18"/>
                <w:szCs w:val="18"/>
              </w:rPr>
              <w:t>Output 1.4.1: Solutions scaled up for sustainable management of natural resources, including sustainable commodities and green and inclusive value chains</w:t>
            </w:r>
          </w:p>
        </w:tc>
      </w:tr>
      <w:tr w:rsidR="007F4F70" w:rsidRPr="003F7F6C" w14:paraId="675CDE66" w14:textId="77777777" w:rsidTr="002B3130">
        <w:trPr>
          <w:trHeight w:val="544"/>
        </w:trPr>
        <w:tc>
          <w:tcPr>
            <w:tcW w:w="2605" w:type="dxa"/>
            <w:shd w:val="pct12" w:color="auto" w:fill="auto"/>
          </w:tcPr>
          <w:p w14:paraId="2590099B" w14:textId="77777777" w:rsidR="007F4F70" w:rsidRPr="003F7F6C" w:rsidRDefault="007F4F70" w:rsidP="002B3130">
            <w:pPr>
              <w:jc w:val="center"/>
              <w:rPr>
                <w:rFonts w:cs="Calibri"/>
                <w:b/>
                <w:bCs/>
                <w:sz w:val="18"/>
                <w:szCs w:val="18"/>
              </w:rPr>
            </w:pPr>
          </w:p>
        </w:tc>
        <w:tc>
          <w:tcPr>
            <w:tcW w:w="2493" w:type="dxa"/>
            <w:shd w:val="pct12" w:color="auto" w:fill="auto"/>
          </w:tcPr>
          <w:p w14:paraId="21CD3449" w14:textId="77777777" w:rsidR="007F4F70" w:rsidRPr="003F7F6C" w:rsidRDefault="007F4F70" w:rsidP="002B3130">
            <w:pPr>
              <w:jc w:val="center"/>
              <w:rPr>
                <w:rFonts w:cs="Calibri"/>
                <w:b/>
                <w:bCs/>
                <w:sz w:val="18"/>
                <w:szCs w:val="18"/>
              </w:rPr>
            </w:pPr>
            <w:r w:rsidRPr="003F7F6C">
              <w:rPr>
                <w:rFonts w:cs="Calibri"/>
                <w:b/>
                <w:bCs/>
                <w:sz w:val="18"/>
                <w:szCs w:val="18"/>
              </w:rPr>
              <w:t>Objective and Outcome Indicators</w:t>
            </w:r>
          </w:p>
          <w:p w14:paraId="585B981B" w14:textId="77777777" w:rsidR="007F4F70" w:rsidRPr="003F7F6C" w:rsidRDefault="007F4F70" w:rsidP="002B3130">
            <w:pPr>
              <w:jc w:val="center"/>
              <w:rPr>
                <w:rFonts w:cs="Calibri"/>
                <w:b/>
                <w:bCs/>
                <w:sz w:val="18"/>
                <w:szCs w:val="18"/>
              </w:rPr>
            </w:pPr>
          </w:p>
        </w:tc>
        <w:tc>
          <w:tcPr>
            <w:tcW w:w="2268" w:type="dxa"/>
            <w:shd w:val="pct12" w:color="auto" w:fill="auto"/>
          </w:tcPr>
          <w:p w14:paraId="4CE71781" w14:textId="77777777" w:rsidR="007F4F70" w:rsidRPr="003F7F6C" w:rsidRDefault="007F4F70" w:rsidP="002B3130">
            <w:pPr>
              <w:jc w:val="center"/>
              <w:rPr>
                <w:rFonts w:cs="Calibri"/>
                <w:b/>
                <w:bCs/>
                <w:sz w:val="18"/>
                <w:szCs w:val="18"/>
              </w:rPr>
            </w:pPr>
            <w:r w:rsidRPr="003F7F6C">
              <w:rPr>
                <w:rFonts w:cs="Calibri"/>
                <w:b/>
                <w:bCs/>
                <w:sz w:val="18"/>
                <w:szCs w:val="18"/>
              </w:rPr>
              <w:t xml:space="preserve">Baseline </w:t>
            </w:r>
          </w:p>
          <w:p w14:paraId="587D8595" w14:textId="77777777" w:rsidR="007F4F70" w:rsidRPr="003F7F6C" w:rsidRDefault="007F4F70" w:rsidP="002B3130">
            <w:pPr>
              <w:jc w:val="center"/>
              <w:rPr>
                <w:rFonts w:cs="Calibri"/>
                <w:b/>
                <w:bCs/>
                <w:sz w:val="18"/>
                <w:szCs w:val="18"/>
              </w:rPr>
            </w:pPr>
          </w:p>
        </w:tc>
        <w:tc>
          <w:tcPr>
            <w:tcW w:w="1956" w:type="dxa"/>
            <w:shd w:val="pct12" w:color="auto" w:fill="auto"/>
          </w:tcPr>
          <w:p w14:paraId="627A772C" w14:textId="77777777" w:rsidR="007F4F70" w:rsidRPr="003F7F6C" w:rsidRDefault="007F4F70" w:rsidP="002B3130">
            <w:pPr>
              <w:jc w:val="center"/>
              <w:rPr>
                <w:rFonts w:cs="Calibri"/>
                <w:b/>
                <w:bCs/>
                <w:sz w:val="18"/>
                <w:szCs w:val="18"/>
              </w:rPr>
            </w:pPr>
            <w:r w:rsidRPr="003F7F6C">
              <w:rPr>
                <w:rFonts w:cs="Calibri"/>
                <w:b/>
                <w:bCs/>
                <w:sz w:val="18"/>
                <w:szCs w:val="18"/>
              </w:rPr>
              <w:t>Mid-term Target</w:t>
            </w:r>
          </w:p>
          <w:p w14:paraId="0F3ACF38" w14:textId="77777777" w:rsidR="007F4F70" w:rsidRPr="003F7F6C" w:rsidRDefault="007F4F70" w:rsidP="002B3130">
            <w:pPr>
              <w:jc w:val="center"/>
              <w:rPr>
                <w:rFonts w:cs="Calibri"/>
                <w:b/>
                <w:bCs/>
                <w:sz w:val="18"/>
                <w:szCs w:val="18"/>
              </w:rPr>
            </w:pPr>
          </w:p>
        </w:tc>
        <w:tc>
          <w:tcPr>
            <w:tcW w:w="2119" w:type="dxa"/>
            <w:shd w:val="pct12" w:color="auto" w:fill="auto"/>
          </w:tcPr>
          <w:p w14:paraId="5E2C50F6" w14:textId="77777777" w:rsidR="007F4F70" w:rsidRPr="003F7F6C" w:rsidRDefault="007F4F70" w:rsidP="002B3130">
            <w:pPr>
              <w:jc w:val="center"/>
              <w:rPr>
                <w:rFonts w:cs="Calibri"/>
                <w:b/>
                <w:bCs/>
                <w:sz w:val="18"/>
                <w:szCs w:val="18"/>
              </w:rPr>
            </w:pPr>
            <w:r w:rsidRPr="003F7F6C">
              <w:rPr>
                <w:rFonts w:cs="Calibri"/>
                <w:b/>
                <w:bCs/>
                <w:sz w:val="18"/>
                <w:szCs w:val="18"/>
              </w:rPr>
              <w:t>End of Project Target</w:t>
            </w:r>
          </w:p>
          <w:p w14:paraId="652AE15B" w14:textId="77777777" w:rsidR="007F4F70" w:rsidRPr="003F7F6C" w:rsidRDefault="007F4F70" w:rsidP="002B3130">
            <w:pPr>
              <w:jc w:val="center"/>
              <w:rPr>
                <w:rFonts w:cs="Calibri"/>
                <w:b/>
                <w:bCs/>
                <w:sz w:val="18"/>
                <w:szCs w:val="18"/>
              </w:rPr>
            </w:pPr>
          </w:p>
        </w:tc>
        <w:tc>
          <w:tcPr>
            <w:tcW w:w="2949" w:type="dxa"/>
            <w:shd w:val="pct12" w:color="auto" w:fill="auto"/>
          </w:tcPr>
          <w:p w14:paraId="391440CB" w14:textId="77777777" w:rsidR="007F4F70" w:rsidRPr="003F7F6C" w:rsidRDefault="007F4F70" w:rsidP="002B3130">
            <w:pPr>
              <w:jc w:val="center"/>
              <w:rPr>
                <w:rFonts w:cs="Calibri"/>
                <w:b/>
                <w:bCs/>
                <w:sz w:val="18"/>
                <w:szCs w:val="18"/>
              </w:rPr>
            </w:pPr>
            <w:r w:rsidRPr="003F7F6C">
              <w:rPr>
                <w:rFonts w:cs="Calibri"/>
                <w:b/>
                <w:bCs/>
                <w:sz w:val="18"/>
                <w:szCs w:val="18"/>
              </w:rPr>
              <w:t>Data Collection Methods and Risks/Assumptions</w:t>
            </w:r>
          </w:p>
          <w:p w14:paraId="59067254" w14:textId="77777777" w:rsidR="007F4F70" w:rsidRPr="003F7F6C" w:rsidRDefault="007F4F70" w:rsidP="002B3130">
            <w:pPr>
              <w:jc w:val="center"/>
              <w:rPr>
                <w:rFonts w:cs="Calibri"/>
                <w:b/>
                <w:bCs/>
                <w:sz w:val="18"/>
                <w:szCs w:val="18"/>
              </w:rPr>
            </w:pPr>
          </w:p>
        </w:tc>
      </w:tr>
      <w:tr w:rsidR="007F4F70" w:rsidRPr="003F7F6C" w14:paraId="266CC9C0" w14:textId="77777777" w:rsidTr="002B3130">
        <w:trPr>
          <w:trHeight w:val="690"/>
        </w:trPr>
        <w:tc>
          <w:tcPr>
            <w:tcW w:w="2605" w:type="dxa"/>
            <w:vMerge w:val="restart"/>
            <w:shd w:val="pct12" w:color="auto" w:fill="auto"/>
          </w:tcPr>
          <w:p w14:paraId="70CCDFBF" w14:textId="77777777" w:rsidR="007F4F70" w:rsidRPr="003F7F6C" w:rsidRDefault="007F4F70" w:rsidP="002B3130">
            <w:pPr>
              <w:rPr>
                <w:rFonts w:cs="Calibri"/>
                <w:b/>
                <w:bCs/>
                <w:sz w:val="18"/>
                <w:szCs w:val="18"/>
              </w:rPr>
            </w:pPr>
            <w:r w:rsidRPr="003F7F6C">
              <w:rPr>
                <w:rFonts w:cs="Calibri"/>
                <w:b/>
                <w:bCs/>
                <w:sz w:val="18"/>
                <w:szCs w:val="18"/>
              </w:rPr>
              <w:t>Project Objective:</w:t>
            </w:r>
          </w:p>
          <w:p w14:paraId="7EB0836A" w14:textId="77777777" w:rsidR="007F4F70" w:rsidRPr="003F7F6C" w:rsidRDefault="007F4F70" w:rsidP="002B3130">
            <w:pPr>
              <w:rPr>
                <w:rFonts w:cs="Calibri"/>
                <w:bCs/>
                <w:sz w:val="18"/>
                <w:szCs w:val="18"/>
              </w:rPr>
            </w:pPr>
            <w:r w:rsidRPr="003F7F6C">
              <w:rPr>
                <w:rFonts w:cs="Calibri"/>
                <w:bCs/>
                <w:sz w:val="18"/>
                <w:szCs w:val="18"/>
              </w:rPr>
              <w:t>Generate multiple biodiversity and land degradation benefits by developing a system of policy, economic, financial and technical instruments and governance mechanisms for environmental land use planning (ELUP) to mainstream socioeconomic and environmental evaluation of ecosystem goods and services (ES&amp;G) in decision making at different government levels and sectors</w:t>
            </w:r>
          </w:p>
          <w:p w14:paraId="54AE8267" w14:textId="77777777" w:rsidR="007F4F70" w:rsidRPr="003F7F6C" w:rsidRDefault="007F4F70" w:rsidP="002B3130">
            <w:pPr>
              <w:rPr>
                <w:rFonts w:cs="Calibri"/>
                <w:b/>
                <w:bCs/>
                <w:i/>
                <w:sz w:val="18"/>
                <w:szCs w:val="18"/>
              </w:rPr>
            </w:pPr>
          </w:p>
          <w:p w14:paraId="45CD7DDD" w14:textId="77777777" w:rsidR="007F4F70" w:rsidRPr="003F7F6C" w:rsidRDefault="007F4F70" w:rsidP="002B3130">
            <w:pPr>
              <w:rPr>
                <w:rFonts w:cs="Calibri"/>
                <w:b/>
                <w:bCs/>
                <w:i/>
                <w:sz w:val="18"/>
                <w:szCs w:val="18"/>
              </w:rPr>
            </w:pPr>
          </w:p>
        </w:tc>
        <w:tc>
          <w:tcPr>
            <w:tcW w:w="2493" w:type="dxa"/>
            <w:vMerge w:val="restart"/>
          </w:tcPr>
          <w:p w14:paraId="776255F5" w14:textId="77777777" w:rsidR="007F4F70" w:rsidRPr="003F7F6C" w:rsidRDefault="007F4F70" w:rsidP="007F4F70">
            <w:pPr>
              <w:jc w:val="left"/>
              <w:rPr>
                <w:rFonts w:cs="Calibri"/>
                <w:bCs/>
                <w:sz w:val="18"/>
                <w:szCs w:val="18"/>
              </w:rPr>
            </w:pPr>
            <w:r w:rsidRPr="003F7F6C">
              <w:rPr>
                <w:rFonts w:cs="Calibri"/>
                <w:bCs/>
                <w:i/>
                <w:sz w:val="18"/>
                <w:szCs w:val="18"/>
              </w:rPr>
              <w:t>UNDP Mandatory indicator 1</w:t>
            </w:r>
            <w:r w:rsidRPr="003F7F6C">
              <w:rPr>
                <w:rFonts w:cs="Calibri"/>
                <w:bCs/>
                <w:sz w:val="18"/>
                <w:szCs w:val="18"/>
              </w:rPr>
              <w:t>:  Natural resources that are managed under a sustainable use, conservation, access and benefit-sharing regime, measured through:</w:t>
            </w:r>
          </w:p>
          <w:p w14:paraId="12888D92" w14:textId="220178DB" w:rsidR="007F4F70" w:rsidRPr="003F7F6C" w:rsidRDefault="007F4F70" w:rsidP="002B3130">
            <w:pPr>
              <w:jc w:val="left"/>
              <w:rPr>
                <w:rFonts w:cs="Calibri"/>
                <w:bCs/>
                <w:sz w:val="18"/>
                <w:szCs w:val="18"/>
              </w:rPr>
            </w:pPr>
            <w:r w:rsidRPr="003F7F6C">
              <w:rPr>
                <w:rFonts w:cs="Calibri"/>
                <w:bCs/>
                <w:sz w:val="18"/>
                <w:szCs w:val="18"/>
              </w:rPr>
              <w:t xml:space="preserve">a) Number of hectares where ELUP has been agreed upon and implemented in priority landscapes covering </w:t>
            </w:r>
            <w:r w:rsidR="00993773" w:rsidRPr="003F7F6C">
              <w:rPr>
                <w:rFonts w:cs="Calibri"/>
                <w:bCs/>
                <w:sz w:val="18"/>
                <w:szCs w:val="18"/>
              </w:rPr>
              <w:t>approx</w:t>
            </w:r>
            <w:r w:rsidRPr="003F7F6C">
              <w:rPr>
                <w:rFonts w:cs="Calibri"/>
                <w:bCs/>
                <w:sz w:val="18"/>
                <w:szCs w:val="18"/>
              </w:rPr>
              <w:t xml:space="preserve">.10% of target ecoregions in 3 pilot provinces </w:t>
            </w:r>
            <w:r w:rsidRPr="003F7F6C">
              <w:rPr>
                <w:sz w:val="18"/>
                <w:szCs w:val="18"/>
                <w:lang w:val="en-GB"/>
              </w:rPr>
              <w:t>through applying instruments to enforce modified production</w:t>
            </w:r>
            <w:r w:rsidR="00AE2092" w:rsidRPr="003F7F6C">
              <w:rPr>
                <w:sz w:val="18"/>
                <w:szCs w:val="18"/>
                <w:lang w:val="en-GB"/>
              </w:rPr>
              <w:t xml:space="preserve"> i.e</w:t>
            </w:r>
            <w:r w:rsidR="00993773" w:rsidRPr="003F7F6C">
              <w:rPr>
                <w:sz w:val="18"/>
                <w:szCs w:val="18"/>
                <w:lang w:val="en-GB"/>
              </w:rPr>
              <w:t>.,</w:t>
            </w:r>
            <w:r w:rsidR="00AE2092" w:rsidRPr="003F7F6C">
              <w:rPr>
                <w:sz w:val="18"/>
                <w:szCs w:val="18"/>
                <w:lang w:val="en-GB"/>
              </w:rPr>
              <w:t xml:space="preserve"> EIA of sector development initiatives include mitigation measures to reduce pressures, sector specific and development programs include production practices restrictions, protocols/regulations to maximize effectiveness in combatting sector-related threats</w:t>
            </w:r>
          </w:p>
          <w:p w14:paraId="1BABCD5E" w14:textId="77777777" w:rsidR="007F4F70" w:rsidRPr="003F7F6C" w:rsidRDefault="007F4F70" w:rsidP="002B3130">
            <w:pPr>
              <w:jc w:val="left"/>
              <w:rPr>
                <w:rFonts w:cs="Calibri"/>
                <w:bCs/>
                <w:sz w:val="18"/>
                <w:szCs w:val="18"/>
              </w:rPr>
            </w:pPr>
            <w:r w:rsidRPr="003F7F6C">
              <w:rPr>
                <w:rFonts w:cs="Calibri"/>
                <w:bCs/>
                <w:sz w:val="18"/>
                <w:szCs w:val="18"/>
              </w:rPr>
              <w:t>b) Number of</w:t>
            </w:r>
            <w:r w:rsidR="00AE2092" w:rsidRPr="003F7F6C">
              <w:rPr>
                <w:rFonts w:cs="Calibri"/>
                <w:bCs/>
                <w:sz w:val="18"/>
                <w:szCs w:val="18"/>
              </w:rPr>
              <w:t xml:space="preserve"> additional</w:t>
            </w:r>
            <w:r w:rsidRPr="003F7F6C">
              <w:rPr>
                <w:rFonts w:cs="Calibri"/>
                <w:bCs/>
                <w:sz w:val="18"/>
                <w:szCs w:val="18"/>
              </w:rPr>
              <w:t xml:space="preserve"> hectares covering the total surface of global ecoregions in 3 pilot provinces </w:t>
            </w:r>
            <w:r w:rsidRPr="003F7F6C">
              <w:rPr>
                <w:sz w:val="18"/>
                <w:szCs w:val="18"/>
              </w:rPr>
              <w:t>in which upscaling is expected due to project dissemination activities and co-financed interventions</w:t>
            </w:r>
            <w:r w:rsidRPr="003F7F6C" w:rsidDel="00D13F4B">
              <w:rPr>
                <w:rFonts w:cs="Calibri"/>
                <w:bCs/>
                <w:sz w:val="18"/>
                <w:szCs w:val="18"/>
              </w:rPr>
              <w:t xml:space="preserve"> </w:t>
            </w:r>
          </w:p>
          <w:p w14:paraId="28F252E3" w14:textId="77777777" w:rsidR="007F4F70" w:rsidRPr="003F7F6C" w:rsidRDefault="007F4F70" w:rsidP="002B3130">
            <w:pPr>
              <w:rPr>
                <w:rFonts w:cs="Calibri"/>
                <w:bCs/>
                <w:sz w:val="18"/>
                <w:szCs w:val="18"/>
              </w:rPr>
            </w:pPr>
          </w:p>
        </w:tc>
        <w:tc>
          <w:tcPr>
            <w:tcW w:w="2268" w:type="dxa"/>
            <w:vMerge w:val="restart"/>
          </w:tcPr>
          <w:p w14:paraId="736289BB" w14:textId="77777777" w:rsidR="007F4F70" w:rsidRPr="003F7F6C" w:rsidRDefault="007F4F70" w:rsidP="002B3130">
            <w:pPr>
              <w:rPr>
                <w:rFonts w:cs="Calibri"/>
                <w:bCs/>
                <w:sz w:val="18"/>
                <w:szCs w:val="18"/>
              </w:rPr>
            </w:pPr>
            <w:r w:rsidRPr="003F7F6C">
              <w:rPr>
                <w:rFonts w:cs="Calibri"/>
                <w:bCs/>
                <w:sz w:val="18"/>
                <w:szCs w:val="18"/>
              </w:rPr>
              <w:t>0</w:t>
            </w:r>
          </w:p>
        </w:tc>
        <w:tc>
          <w:tcPr>
            <w:tcW w:w="1956" w:type="dxa"/>
            <w:vMerge w:val="restart"/>
          </w:tcPr>
          <w:p w14:paraId="264ABEC6" w14:textId="77777777" w:rsidR="007F4F70" w:rsidRPr="003F7F6C" w:rsidRDefault="007F4F70" w:rsidP="002B3130">
            <w:pPr>
              <w:rPr>
                <w:rFonts w:cs="Calibri"/>
                <w:bCs/>
                <w:sz w:val="18"/>
                <w:szCs w:val="18"/>
              </w:rPr>
            </w:pPr>
          </w:p>
        </w:tc>
        <w:tc>
          <w:tcPr>
            <w:tcW w:w="2119" w:type="dxa"/>
            <w:vMerge w:val="restart"/>
          </w:tcPr>
          <w:p w14:paraId="1C8584E1" w14:textId="77777777" w:rsidR="007F4F70" w:rsidRPr="003F7F6C" w:rsidRDefault="007F4F70" w:rsidP="002B3130">
            <w:pPr>
              <w:rPr>
                <w:rFonts w:cs="Calibri"/>
                <w:bCs/>
                <w:sz w:val="18"/>
                <w:szCs w:val="18"/>
              </w:rPr>
            </w:pPr>
            <w:r w:rsidRPr="003F7F6C">
              <w:rPr>
                <w:rFonts w:cs="Calibri"/>
                <w:bCs/>
                <w:sz w:val="18"/>
                <w:szCs w:val="18"/>
              </w:rPr>
              <w:t>a) Total: 5,</w:t>
            </w:r>
            <w:r w:rsidR="00225BAF" w:rsidRPr="003F7F6C">
              <w:rPr>
                <w:rFonts w:cs="Calibri"/>
                <w:bCs/>
                <w:sz w:val="18"/>
                <w:szCs w:val="18"/>
              </w:rPr>
              <w:t>079,260</w:t>
            </w:r>
          </w:p>
          <w:p w14:paraId="49476223" w14:textId="77777777" w:rsidR="007F4F70" w:rsidRPr="003F7F6C" w:rsidRDefault="007F4F70" w:rsidP="002B3130">
            <w:pPr>
              <w:rPr>
                <w:rFonts w:cs="Calibri"/>
                <w:bCs/>
                <w:sz w:val="18"/>
                <w:szCs w:val="18"/>
              </w:rPr>
            </w:pPr>
            <w:r w:rsidRPr="003F7F6C">
              <w:rPr>
                <w:rFonts w:cs="Calibri"/>
                <w:bCs/>
                <w:sz w:val="18"/>
                <w:szCs w:val="18"/>
                <w:u w:val="single"/>
              </w:rPr>
              <w:t>Buenos Aires:</w:t>
            </w:r>
            <w:r w:rsidRPr="003F7F6C">
              <w:rPr>
                <w:rFonts w:cs="Calibri"/>
                <w:bCs/>
                <w:sz w:val="18"/>
                <w:szCs w:val="18"/>
              </w:rPr>
              <w:t xml:space="preserve"> 3,</w:t>
            </w:r>
            <w:r w:rsidR="00B851B7" w:rsidRPr="003F7F6C">
              <w:rPr>
                <w:rFonts w:cs="Calibri"/>
                <w:bCs/>
                <w:sz w:val="18"/>
                <w:szCs w:val="18"/>
              </w:rPr>
              <w:t>059,070</w:t>
            </w:r>
          </w:p>
          <w:p w14:paraId="528CAD9C" w14:textId="77777777" w:rsidR="007F4F70" w:rsidRPr="003F7F6C" w:rsidRDefault="007F4F70" w:rsidP="00E91275">
            <w:pPr>
              <w:numPr>
                <w:ilvl w:val="0"/>
                <w:numId w:val="27"/>
              </w:numPr>
              <w:ind w:left="174" w:hanging="174"/>
              <w:rPr>
                <w:rFonts w:cs="Calibri"/>
                <w:bCs/>
                <w:sz w:val="18"/>
                <w:szCs w:val="18"/>
              </w:rPr>
            </w:pPr>
            <w:r w:rsidRPr="003F7F6C">
              <w:rPr>
                <w:rFonts w:cs="Calibri"/>
                <w:bCs/>
                <w:sz w:val="18"/>
                <w:szCs w:val="18"/>
              </w:rPr>
              <w:t>Espinal: 3</w:t>
            </w:r>
            <w:r w:rsidR="00B851B7" w:rsidRPr="003F7F6C">
              <w:rPr>
                <w:rFonts w:cs="Calibri"/>
                <w:bCs/>
                <w:sz w:val="18"/>
                <w:szCs w:val="18"/>
              </w:rPr>
              <w:t>00</w:t>
            </w:r>
            <w:r w:rsidRPr="003F7F6C">
              <w:rPr>
                <w:rFonts w:cs="Calibri"/>
                <w:bCs/>
                <w:sz w:val="18"/>
                <w:szCs w:val="18"/>
              </w:rPr>
              <w:t>,610</w:t>
            </w:r>
          </w:p>
          <w:p w14:paraId="79ED0BCA" w14:textId="77777777" w:rsidR="007F4F70" w:rsidRPr="003F7F6C" w:rsidRDefault="007F4F70" w:rsidP="00E91275">
            <w:pPr>
              <w:numPr>
                <w:ilvl w:val="0"/>
                <w:numId w:val="27"/>
              </w:numPr>
              <w:ind w:left="174" w:hanging="174"/>
              <w:rPr>
                <w:rFonts w:cs="Calibri"/>
                <w:bCs/>
                <w:sz w:val="18"/>
                <w:szCs w:val="18"/>
              </w:rPr>
            </w:pPr>
            <w:r w:rsidRPr="003F7F6C">
              <w:rPr>
                <w:rFonts w:cs="Calibri"/>
                <w:bCs/>
                <w:sz w:val="18"/>
                <w:szCs w:val="18"/>
              </w:rPr>
              <w:t>Pampas: 2,</w:t>
            </w:r>
            <w:r w:rsidR="00B851B7" w:rsidRPr="003F7F6C">
              <w:rPr>
                <w:rFonts w:cs="Calibri"/>
                <w:bCs/>
                <w:sz w:val="18"/>
                <w:szCs w:val="18"/>
              </w:rPr>
              <w:t>7</w:t>
            </w:r>
            <w:r w:rsidRPr="003F7F6C">
              <w:rPr>
                <w:rFonts w:cs="Calibri"/>
                <w:bCs/>
                <w:sz w:val="18"/>
                <w:szCs w:val="18"/>
              </w:rPr>
              <w:t>26,370</w:t>
            </w:r>
          </w:p>
          <w:p w14:paraId="15EA4796" w14:textId="77777777" w:rsidR="007F4F70" w:rsidRPr="003F7F6C" w:rsidRDefault="007F4F70" w:rsidP="00E91275">
            <w:pPr>
              <w:numPr>
                <w:ilvl w:val="0"/>
                <w:numId w:val="27"/>
              </w:numPr>
              <w:ind w:left="174" w:hanging="174"/>
              <w:rPr>
                <w:rFonts w:cs="Calibri"/>
                <w:bCs/>
                <w:sz w:val="18"/>
                <w:szCs w:val="18"/>
              </w:rPr>
            </w:pPr>
            <w:r w:rsidRPr="003F7F6C">
              <w:rPr>
                <w:rFonts w:cs="Calibri"/>
                <w:bCs/>
                <w:sz w:val="18"/>
                <w:szCs w:val="18"/>
              </w:rPr>
              <w:t xml:space="preserve">Delta/Flooded Savannas: </w:t>
            </w:r>
            <w:r w:rsidR="00B851B7" w:rsidRPr="003F7F6C">
              <w:rPr>
                <w:rFonts w:cs="Calibri"/>
                <w:bCs/>
                <w:sz w:val="18"/>
                <w:szCs w:val="18"/>
              </w:rPr>
              <w:t>32,090</w:t>
            </w:r>
          </w:p>
          <w:p w14:paraId="57C8FB11" w14:textId="77777777" w:rsidR="007F4F70" w:rsidRPr="003F7F6C" w:rsidRDefault="007F4F70" w:rsidP="002B3130">
            <w:pPr>
              <w:rPr>
                <w:rFonts w:cs="Calibri"/>
                <w:bCs/>
                <w:sz w:val="18"/>
                <w:szCs w:val="18"/>
              </w:rPr>
            </w:pPr>
            <w:r w:rsidRPr="003F7F6C">
              <w:rPr>
                <w:rFonts w:cs="Calibri"/>
                <w:bCs/>
                <w:sz w:val="18"/>
                <w:szCs w:val="18"/>
                <w:u w:val="single"/>
              </w:rPr>
              <w:t>Jujuy:</w:t>
            </w:r>
            <w:r w:rsidRPr="003F7F6C">
              <w:rPr>
                <w:rFonts w:cs="Calibri"/>
                <w:bCs/>
                <w:sz w:val="18"/>
                <w:szCs w:val="18"/>
              </w:rPr>
              <w:t xml:space="preserve"> </w:t>
            </w:r>
            <w:r w:rsidR="00225BAF" w:rsidRPr="003F7F6C">
              <w:rPr>
                <w:rFonts w:cs="Calibri"/>
                <w:bCs/>
                <w:sz w:val="18"/>
                <w:szCs w:val="18"/>
              </w:rPr>
              <w:t>532,600</w:t>
            </w:r>
          </w:p>
          <w:p w14:paraId="54549025" w14:textId="77777777" w:rsidR="007F4F70" w:rsidRPr="003F7F6C" w:rsidRDefault="007F4F70" w:rsidP="00E91275">
            <w:pPr>
              <w:numPr>
                <w:ilvl w:val="0"/>
                <w:numId w:val="27"/>
              </w:numPr>
              <w:ind w:left="174" w:hanging="174"/>
              <w:rPr>
                <w:rFonts w:cs="Calibri"/>
                <w:bCs/>
                <w:sz w:val="18"/>
                <w:szCs w:val="18"/>
              </w:rPr>
            </w:pPr>
            <w:r w:rsidRPr="003F7F6C">
              <w:rPr>
                <w:rFonts w:cs="Calibri"/>
                <w:bCs/>
                <w:sz w:val="18"/>
                <w:szCs w:val="18"/>
              </w:rPr>
              <w:t xml:space="preserve">High Andes: </w:t>
            </w:r>
            <w:r w:rsidR="00B851B7" w:rsidRPr="003F7F6C">
              <w:rPr>
                <w:rFonts w:cs="Calibri"/>
                <w:bCs/>
                <w:sz w:val="18"/>
                <w:szCs w:val="18"/>
              </w:rPr>
              <w:t>115,790</w:t>
            </w:r>
          </w:p>
          <w:p w14:paraId="4B2AB488" w14:textId="77777777" w:rsidR="007F4F70" w:rsidRPr="003F7F6C" w:rsidRDefault="007F4F70" w:rsidP="00E91275">
            <w:pPr>
              <w:numPr>
                <w:ilvl w:val="0"/>
                <w:numId w:val="27"/>
              </w:numPr>
              <w:ind w:left="174" w:hanging="174"/>
              <w:rPr>
                <w:rFonts w:cs="Calibri"/>
                <w:bCs/>
                <w:sz w:val="18"/>
                <w:szCs w:val="18"/>
              </w:rPr>
            </w:pPr>
            <w:r w:rsidRPr="003F7F6C">
              <w:rPr>
                <w:rFonts w:cs="Calibri"/>
                <w:bCs/>
                <w:sz w:val="18"/>
                <w:szCs w:val="18"/>
              </w:rPr>
              <w:t xml:space="preserve">High Monte: </w:t>
            </w:r>
            <w:r w:rsidR="00B851B7" w:rsidRPr="003F7F6C">
              <w:rPr>
                <w:rFonts w:cs="Calibri"/>
                <w:bCs/>
                <w:sz w:val="18"/>
                <w:szCs w:val="18"/>
              </w:rPr>
              <w:t>14,870</w:t>
            </w:r>
            <w:r w:rsidRPr="003F7F6C">
              <w:rPr>
                <w:rFonts w:cs="Calibri"/>
                <w:bCs/>
                <w:sz w:val="18"/>
                <w:szCs w:val="18"/>
              </w:rPr>
              <w:t xml:space="preserve"> </w:t>
            </w:r>
          </w:p>
          <w:p w14:paraId="405C9E1F" w14:textId="77777777" w:rsidR="007F4F70" w:rsidRPr="003F7F6C" w:rsidRDefault="007F4F70" w:rsidP="00E91275">
            <w:pPr>
              <w:numPr>
                <w:ilvl w:val="0"/>
                <w:numId w:val="27"/>
              </w:numPr>
              <w:ind w:left="174" w:hanging="174"/>
              <w:rPr>
                <w:rFonts w:cs="Calibri"/>
                <w:bCs/>
                <w:sz w:val="18"/>
                <w:szCs w:val="18"/>
              </w:rPr>
            </w:pPr>
            <w:r w:rsidRPr="003F7F6C">
              <w:rPr>
                <w:rFonts w:cs="Calibri"/>
                <w:bCs/>
                <w:sz w:val="18"/>
                <w:szCs w:val="18"/>
              </w:rPr>
              <w:t xml:space="preserve">Yungas: </w:t>
            </w:r>
            <w:r w:rsidR="00225BAF" w:rsidRPr="003F7F6C">
              <w:rPr>
                <w:rFonts w:cs="Calibri"/>
                <w:bCs/>
                <w:sz w:val="18"/>
                <w:szCs w:val="18"/>
              </w:rPr>
              <w:t>80,970</w:t>
            </w:r>
          </w:p>
          <w:p w14:paraId="3C2AE780" w14:textId="77777777" w:rsidR="00225BAF" w:rsidRPr="003F7F6C" w:rsidRDefault="00225BAF" w:rsidP="00E91275">
            <w:pPr>
              <w:numPr>
                <w:ilvl w:val="0"/>
                <w:numId w:val="27"/>
              </w:numPr>
              <w:ind w:left="174" w:hanging="174"/>
              <w:rPr>
                <w:rFonts w:cs="Calibri"/>
                <w:bCs/>
                <w:sz w:val="18"/>
                <w:szCs w:val="18"/>
              </w:rPr>
            </w:pPr>
            <w:r w:rsidRPr="003F7F6C">
              <w:rPr>
                <w:rFonts w:cs="Calibri"/>
                <w:bCs/>
                <w:sz w:val="18"/>
                <w:szCs w:val="18"/>
              </w:rPr>
              <w:t>Dry Chaco: 50,500</w:t>
            </w:r>
          </w:p>
          <w:p w14:paraId="54FFE3FA" w14:textId="77777777" w:rsidR="007F4F70" w:rsidRPr="003F7F6C" w:rsidRDefault="007F4F70" w:rsidP="00E91275">
            <w:pPr>
              <w:numPr>
                <w:ilvl w:val="0"/>
                <w:numId w:val="27"/>
              </w:numPr>
              <w:ind w:left="174" w:hanging="174"/>
              <w:rPr>
                <w:rFonts w:cs="Calibri"/>
                <w:bCs/>
                <w:sz w:val="18"/>
                <w:szCs w:val="18"/>
              </w:rPr>
            </w:pPr>
            <w:r w:rsidRPr="003F7F6C">
              <w:rPr>
                <w:rFonts w:cs="Calibri"/>
                <w:bCs/>
                <w:sz w:val="18"/>
                <w:szCs w:val="18"/>
              </w:rPr>
              <w:t xml:space="preserve">Puna: </w:t>
            </w:r>
            <w:r w:rsidR="00225BAF" w:rsidRPr="003F7F6C">
              <w:rPr>
                <w:rFonts w:cs="Calibri"/>
                <w:bCs/>
                <w:sz w:val="18"/>
                <w:szCs w:val="18"/>
              </w:rPr>
              <w:t>270,470</w:t>
            </w:r>
          </w:p>
          <w:p w14:paraId="77D9DCC9" w14:textId="77777777" w:rsidR="007F4F70" w:rsidRPr="003F7F6C" w:rsidRDefault="007F4F70" w:rsidP="002B3130">
            <w:pPr>
              <w:rPr>
                <w:rFonts w:cs="Calibri"/>
                <w:bCs/>
                <w:sz w:val="18"/>
                <w:szCs w:val="18"/>
              </w:rPr>
            </w:pPr>
            <w:r w:rsidRPr="003F7F6C">
              <w:rPr>
                <w:rFonts w:cs="Calibri"/>
                <w:bCs/>
                <w:sz w:val="18"/>
                <w:szCs w:val="18"/>
                <w:u w:val="single"/>
              </w:rPr>
              <w:t>Mendoza</w:t>
            </w:r>
            <w:r w:rsidRPr="003F7F6C">
              <w:rPr>
                <w:rFonts w:cs="Calibri"/>
                <w:bCs/>
                <w:sz w:val="18"/>
                <w:szCs w:val="18"/>
              </w:rPr>
              <w:t>: 1,487,590</w:t>
            </w:r>
          </w:p>
          <w:p w14:paraId="7BF80B98" w14:textId="77777777" w:rsidR="007F4F70" w:rsidRPr="003F7F6C" w:rsidRDefault="007F4F70" w:rsidP="00E91275">
            <w:pPr>
              <w:numPr>
                <w:ilvl w:val="0"/>
                <w:numId w:val="27"/>
              </w:numPr>
              <w:ind w:left="174" w:hanging="174"/>
              <w:rPr>
                <w:rFonts w:cs="Calibri"/>
                <w:bCs/>
                <w:sz w:val="18"/>
                <w:szCs w:val="18"/>
              </w:rPr>
            </w:pPr>
            <w:r w:rsidRPr="003F7F6C">
              <w:rPr>
                <w:rFonts w:cs="Calibri"/>
                <w:bCs/>
                <w:sz w:val="18"/>
                <w:szCs w:val="18"/>
              </w:rPr>
              <w:t xml:space="preserve">High Monte: </w:t>
            </w:r>
            <w:r w:rsidR="00225BAF" w:rsidRPr="003F7F6C">
              <w:rPr>
                <w:rFonts w:cs="Calibri"/>
                <w:bCs/>
                <w:sz w:val="18"/>
                <w:szCs w:val="18"/>
              </w:rPr>
              <w:t>37,050</w:t>
            </w:r>
          </w:p>
          <w:p w14:paraId="75E1BABB" w14:textId="77777777" w:rsidR="007F4F70" w:rsidRPr="003F7F6C" w:rsidRDefault="007F4F70" w:rsidP="00E91275">
            <w:pPr>
              <w:numPr>
                <w:ilvl w:val="0"/>
                <w:numId w:val="27"/>
              </w:numPr>
              <w:ind w:left="174" w:hanging="174"/>
              <w:rPr>
                <w:rFonts w:cs="Calibri"/>
                <w:bCs/>
                <w:sz w:val="18"/>
                <w:szCs w:val="18"/>
              </w:rPr>
            </w:pPr>
            <w:r w:rsidRPr="003F7F6C">
              <w:rPr>
                <w:rFonts w:cs="Calibri"/>
                <w:bCs/>
                <w:sz w:val="18"/>
                <w:szCs w:val="18"/>
              </w:rPr>
              <w:t xml:space="preserve">Low Monte: </w:t>
            </w:r>
            <w:r w:rsidR="00225BAF" w:rsidRPr="003F7F6C">
              <w:rPr>
                <w:rFonts w:cs="Calibri"/>
                <w:bCs/>
                <w:sz w:val="18"/>
                <w:szCs w:val="18"/>
              </w:rPr>
              <w:t>837,190</w:t>
            </w:r>
          </w:p>
          <w:p w14:paraId="6FC58327" w14:textId="77777777" w:rsidR="007F4F70" w:rsidRPr="003F7F6C" w:rsidRDefault="007F4F70" w:rsidP="00E91275">
            <w:pPr>
              <w:numPr>
                <w:ilvl w:val="0"/>
                <w:numId w:val="27"/>
              </w:numPr>
              <w:ind w:left="174" w:hanging="174"/>
              <w:rPr>
                <w:rFonts w:cs="Calibri"/>
                <w:bCs/>
                <w:sz w:val="18"/>
                <w:szCs w:val="18"/>
              </w:rPr>
            </w:pPr>
            <w:r w:rsidRPr="003F7F6C">
              <w:rPr>
                <w:rFonts w:cs="Calibri"/>
                <w:bCs/>
                <w:sz w:val="18"/>
                <w:szCs w:val="18"/>
              </w:rPr>
              <w:t>Patagonian Steppe: 305,900</w:t>
            </w:r>
          </w:p>
          <w:p w14:paraId="07456CAD" w14:textId="77777777" w:rsidR="007F4F70" w:rsidRPr="003F7F6C" w:rsidRDefault="007F4F70" w:rsidP="00E91275">
            <w:pPr>
              <w:numPr>
                <w:ilvl w:val="0"/>
                <w:numId w:val="27"/>
              </w:numPr>
              <w:ind w:left="174" w:hanging="174"/>
              <w:rPr>
                <w:rFonts w:cs="Calibri"/>
                <w:bCs/>
                <w:sz w:val="18"/>
                <w:szCs w:val="18"/>
              </w:rPr>
            </w:pPr>
            <w:r w:rsidRPr="003F7F6C">
              <w:rPr>
                <w:rFonts w:cs="Calibri"/>
                <w:bCs/>
                <w:sz w:val="18"/>
                <w:szCs w:val="18"/>
              </w:rPr>
              <w:t>High Andes: 307,450</w:t>
            </w:r>
          </w:p>
          <w:p w14:paraId="0D66E5EB" w14:textId="77777777" w:rsidR="00225BAF" w:rsidRPr="003F7F6C" w:rsidRDefault="00225BAF" w:rsidP="002B3130">
            <w:pPr>
              <w:rPr>
                <w:rFonts w:cs="Calibri"/>
                <w:bCs/>
                <w:color w:val="FF0000"/>
                <w:sz w:val="18"/>
                <w:szCs w:val="18"/>
                <w:lang w:val="es-PY"/>
              </w:rPr>
            </w:pPr>
          </w:p>
          <w:p w14:paraId="3F8F1D45" w14:textId="7C2ABD62" w:rsidR="00AE2092" w:rsidRPr="003F7F6C" w:rsidRDefault="007F4F70" w:rsidP="003B78B0">
            <w:pPr>
              <w:jc w:val="left"/>
              <w:rPr>
                <w:rFonts w:cs="Calibri"/>
                <w:bCs/>
                <w:sz w:val="18"/>
                <w:szCs w:val="18"/>
              </w:rPr>
            </w:pPr>
            <w:r w:rsidRPr="003F7F6C">
              <w:rPr>
                <w:rFonts w:cs="Calibri"/>
                <w:bCs/>
                <w:sz w:val="18"/>
                <w:szCs w:val="18"/>
              </w:rPr>
              <w:t xml:space="preserve">b) </w:t>
            </w:r>
            <w:r w:rsidR="00AE2092" w:rsidRPr="003F7F6C">
              <w:rPr>
                <w:rFonts w:cs="Calibri"/>
                <w:bCs/>
                <w:sz w:val="18"/>
                <w:szCs w:val="18"/>
              </w:rPr>
              <w:t>Total: 507</w:t>
            </w:r>
            <w:r w:rsidR="001029E1" w:rsidRPr="003F7F6C">
              <w:rPr>
                <w:rFonts w:cs="Calibri"/>
                <w:bCs/>
                <w:sz w:val="18"/>
                <w:szCs w:val="18"/>
              </w:rPr>
              <w:t>,</w:t>
            </w:r>
            <w:r w:rsidR="00AE2092" w:rsidRPr="003F7F6C">
              <w:rPr>
                <w:rFonts w:cs="Calibri"/>
                <w:bCs/>
                <w:sz w:val="18"/>
                <w:szCs w:val="18"/>
              </w:rPr>
              <w:t>926</w:t>
            </w:r>
            <w:r w:rsidR="00C25629" w:rsidRPr="003F7F6C">
              <w:rPr>
                <w:rFonts w:cs="Calibri"/>
                <w:bCs/>
                <w:sz w:val="18"/>
                <w:szCs w:val="18"/>
              </w:rPr>
              <w:t xml:space="preserve"> (additional hectares)</w:t>
            </w:r>
          </w:p>
          <w:p w14:paraId="7062C30B" w14:textId="3E8A8D6C" w:rsidR="00AE2092" w:rsidRPr="003F7F6C" w:rsidRDefault="00AE2092" w:rsidP="00AE2092">
            <w:pPr>
              <w:rPr>
                <w:rFonts w:cs="Calibri"/>
                <w:bCs/>
                <w:sz w:val="18"/>
                <w:szCs w:val="18"/>
              </w:rPr>
            </w:pPr>
            <w:r w:rsidRPr="003F7F6C">
              <w:rPr>
                <w:rFonts w:cs="Calibri"/>
                <w:bCs/>
                <w:sz w:val="18"/>
                <w:szCs w:val="18"/>
                <w:u w:val="single"/>
              </w:rPr>
              <w:t>Buenos Aires:</w:t>
            </w:r>
            <w:r w:rsidRPr="003F7F6C">
              <w:rPr>
                <w:rFonts w:cs="Calibri"/>
                <w:bCs/>
                <w:sz w:val="18"/>
                <w:szCs w:val="18"/>
              </w:rPr>
              <w:t xml:space="preserve"> 305</w:t>
            </w:r>
            <w:r w:rsidR="003B78B0" w:rsidRPr="003F7F6C">
              <w:rPr>
                <w:rFonts w:cs="Calibri"/>
                <w:bCs/>
                <w:sz w:val="18"/>
                <w:szCs w:val="18"/>
              </w:rPr>
              <w:t>,</w:t>
            </w:r>
            <w:r w:rsidRPr="003F7F6C">
              <w:rPr>
                <w:rFonts w:cs="Calibri"/>
                <w:bCs/>
                <w:sz w:val="18"/>
                <w:szCs w:val="18"/>
              </w:rPr>
              <w:t>907</w:t>
            </w:r>
          </w:p>
          <w:p w14:paraId="17E17B2E" w14:textId="5CBC7A19" w:rsidR="00AE2092" w:rsidRPr="003F7F6C" w:rsidRDefault="00AE2092" w:rsidP="00E91275">
            <w:pPr>
              <w:numPr>
                <w:ilvl w:val="0"/>
                <w:numId w:val="27"/>
              </w:numPr>
              <w:ind w:left="174" w:hanging="174"/>
              <w:rPr>
                <w:rFonts w:cs="Calibri"/>
                <w:bCs/>
                <w:sz w:val="18"/>
                <w:szCs w:val="18"/>
              </w:rPr>
            </w:pPr>
            <w:r w:rsidRPr="003F7F6C">
              <w:rPr>
                <w:rFonts w:cs="Calibri"/>
                <w:bCs/>
                <w:sz w:val="18"/>
                <w:szCs w:val="18"/>
              </w:rPr>
              <w:t>Espinal: 30</w:t>
            </w:r>
            <w:r w:rsidR="003B78B0" w:rsidRPr="003F7F6C">
              <w:rPr>
                <w:rFonts w:cs="Calibri"/>
                <w:bCs/>
                <w:sz w:val="18"/>
                <w:szCs w:val="18"/>
              </w:rPr>
              <w:t>,</w:t>
            </w:r>
            <w:r w:rsidRPr="003F7F6C">
              <w:rPr>
                <w:rFonts w:cs="Calibri"/>
                <w:bCs/>
                <w:sz w:val="18"/>
                <w:szCs w:val="18"/>
              </w:rPr>
              <w:t>061</w:t>
            </w:r>
          </w:p>
          <w:p w14:paraId="403F42B1" w14:textId="7A440A18" w:rsidR="00AE2092" w:rsidRPr="003F7F6C" w:rsidRDefault="00AE2092" w:rsidP="00E91275">
            <w:pPr>
              <w:numPr>
                <w:ilvl w:val="0"/>
                <w:numId w:val="27"/>
              </w:numPr>
              <w:ind w:left="174" w:hanging="174"/>
              <w:rPr>
                <w:rFonts w:cs="Calibri"/>
                <w:bCs/>
                <w:sz w:val="18"/>
                <w:szCs w:val="18"/>
              </w:rPr>
            </w:pPr>
            <w:r w:rsidRPr="003F7F6C">
              <w:rPr>
                <w:rFonts w:cs="Calibri"/>
                <w:bCs/>
                <w:sz w:val="18"/>
                <w:szCs w:val="18"/>
              </w:rPr>
              <w:t>Pampas: 272</w:t>
            </w:r>
            <w:r w:rsidR="003B78B0" w:rsidRPr="003F7F6C">
              <w:rPr>
                <w:rFonts w:cs="Calibri"/>
                <w:bCs/>
                <w:sz w:val="18"/>
                <w:szCs w:val="18"/>
              </w:rPr>
              <w:t>,</w:t>
            </w:r>
            <w:r w:rsidRPr="003F7F6C">
              <w:rPr>
                <w:rFonts w:cs="Calibri"/>
                <w:bCs/>
                <w:sz w:val="18"/>
                <w:szCs w:val="18"/>
              </w:rPr>
              <w:t>637</w:t>
            </w:r>
          </w:p>
          <w:p w14:paraId="55EE55DE" w14:textId="1F444005" w:rsidR="00AE2092" w:rsidRPr="003F7F6C" w:rsidRDefault="00AE2092" w:rsidP="00E91275">
            <w:pPr>
              <w:numPr>
                <w:ilvl w:val="0"/>
                <w:numId w:val="27"/>
              </w:numPr>
              <w:ind w:left="174" w:hanging="174"/>
              <w:rPr>
                <w:rFonts w:cs="Calibri"/>
                <w:bCs/>
                <w:sz w:val="18"/>
                <w:szCs w:val="18"/>
              </w:rPr>
            </w:pPr>
            <w:r w:rsidRPr="003F7F6C">
              <w:rPr>
                <w:rFonts w:cs="Calibri"/>
                <w:bCs/>
                <w:sz w:val="18"/>
                <w:szCs w:val="18"/>
              </w:rPr>
              <w:t>Delta/Flooded Savannas: 3</w:t>
            </w:r>
            <w:r w:rsidR="003B78B0" w:rsidRPr="003F7F6C">
              <w:rPr>
                <w:rFonts w:cs="Calibri"/>
                <w:bCs/>
                <w:sz w:val="18"/>
                <w:szCs w:val="18"/>
              </w:rPr>
              <w:t>,</w:t>
            </w:r>
            <w:r w:rsidRPr="003F7F6C">
              <w:rPr>
                <w:rFonts w:cs="Calibri"/>
                <w:bCs/>
                <w:sz w:val="18"/>
                <w:szCs w:val="18"/>
              </w:rPr>
              <w:t>209</w:t>
            </w:r>
          </w:p>
          <w:p w14:paraId="3361101F" w14:textId="1BACE893" w:rsidR="00AE2092" w:rsidRPr="003F7F6C" w:rsidRDefault="00AE2092" w:rsidP="00AE2092">
            <w:pPr>
              <w:rPr>
                <w:rFonts w:cs="Calibri"/>
                <w:bCs/>
                <w:sz w:val="18"/>
                <w:szCs w:val="18"/>
              </w:rPr>
            </w:pPr>
            <w:r w:rsidRPr="003F7F6C">
              <w:rPr>
                <w:rFonts w:cs="Calibri"/>
                <w:bCs/>
                <w:sz w:val="18"/>
                <w:szCs w:val="18"/>
                <w:u w:val="single"/>
              </w:rPr>
              <w:t>Jujuy:</w:t>
            </w:r>
            <w:r w:rsidRPr="003F7F6C">
              <w:rPr>
                <w:rFonts w:cs="Calibri"/>
                <w:bCs/>
                <w:sz w:val="18"/>
                <w:szCs w:val="18"/>
              </w:rPr>
              <w:t xml:space="preserve"> 53</w:t>
            </w:r>
            <w:r w:rsidR="003B78B0" w:rsidRPr="003F7F6C">
              <w:rPr>
                <w:rFonts w:cs="Calibri"/>
                <w:bCs/>
                <w:sz w:val="18"/>
                <w:szCs w:val="18"/>
              </w:rPr>
              <w:t>,</w:t>
            </w:r>
            <w:r w:rsidRPr="003F7F6C">
              <w:rPr>
                <w:rFonts w:cs="Calibri"/>
                <w:bCs/>
                <w:sz w:val="18"/>
                <w:szCs w:val="18"/>
              </w:rPr>
              <w:t>260</w:t>
            </w:r>
          </w:p>
          <w:p w14:paraId="2DB45360" w14:textId="18D9BEC2" w:rsidR="00AE2092" w:rsidRPr="003F7F6C" w:rsidRDefault="00AE2092" w:rsidP="00E91275">
            <w:pPr>
              <w:numPr>
                <w:ilvl w:val="0"/>
                <w:numId w:val="27"/>
              </w:numPr>
              <w:ind w:left="174" w:hanging="174"/>
              <w:rPr>
                <w:rFonts w:cs="Calibri"/>
                <w:bCs/>
                <w:sz w:val="18"/>
                <w:szCs w:val="18"/>
              </w:rPr>
            </w:pPr>
            <w:r w:rsidRPr="003F7F6C">
              <w:rPr>
                <w:rFonts w:cs="Calibri"/>
                <w:bCs/>
                <w:sz w:val="18"/>
                <w:szCs w:val="18"/>
              </w:rPr>
              <w:t>High Andes: 11</w:t>
            </w:r>
            <w:r w:rsidR="003B78B0" w:rsidRPr="003F7F6C">
              <w:rPr>
                <w:rFonts w:cs="Calibri"/>
                <w:bCs/>
                <w:sz w:val="18"/>
                <w:szCs w:val="18"/>
              </w:rPr>
              <w:t>,</w:t>
            </w:r>
            <w:r w:rsidRPr="003F7F6C">
              <w:rPr>
                <w:rFonts w:cs="Calibri"/>
                <w:bCs/>
                <w:sz w:val="18"/>
                <w:szCs w:val="18"/>
              </w:rPr>
              <w:t>579</w:t>
            </w:r>
          </w:p>
          <w:p w14:paraId="79EF42BE" w14:textId="338A594C" w:rsidR="00AE2092" w:rsidRPr="003F7F6C" w:rsidRDefault="00AE2092" w:rsidP="00E91275">
            <w:pPr>
              <w:numPr>
                <w:ilvl w:val="0"/>
                <w:numId w:val="27"/>
              </w:numPr>
              <w:ind w:left="174" w:hanging="174"/>
              <w:rPr>
                <w:rFonts w:cs="Calibri"/>
                <w:bCs/>
                <w:sz w:val="18"/>
                <w:szCs w:val="18"/>
              </w:rPr>
            </w:pPr>
            <w:r w:rsidRPr="003F7F6C">
              <w:rPr>
                <w:rFonts w:cs="Calibri"/>
                <w:bCs/>
                <w:sz w:val="18"/>
                <w:szCs w:val="18"/>
              </w:rPr>
              <w:t>High Monte: 1</w:t>
            </w:r>
            <w:r w:rsidR="003B78B0" w:rsidRPr="003F7F6C">
              <w:rPr>
                <w:rFonts w:cs="Calibri"/>
                <w:bCs/>
                <w:sz w:val="18"/>
                <w:szCs w:val="18"/>
              </w:rPr>
              <w:t>,</w:t>
            </w:r>
            <w:r w:rsidRPr="003F7F6C">
              <w:rPr>
                <w:rFonts w:cs="Calibri"/>
                <w:bCs/>
                <w:sz w:val="18"/>
                <w:szCs w:val="18"/>
              </w:rPr>
              <w:t xml:space="preserve">487 </w:t>
            </w:r>
          </w:p>
          <w:p w14:paraId="6AE06E0E" w14:textId="0A7243F1" w:rsidR="00AE2092" w:rsidRPr="003F7F6C" w:rsidRDefault="00AE2092" w:rsidP="00E91275">
            <w:pPr>
              <w:numPr>
                <w:ilvl w:val="0"/>
                <w:numId w:val="27"/>
              </w:numPr>
              <w:ind w:left="174" w:hanging="174"/>
              <w:rPr>
                <w:rFonts w:cs="Calibri"/>
                <w:bCs/>
                <w:sz w:val="18"/>
                <w:szCs w:val="18"/>
              </w:rPr>
            </w:pPr>
            <w:r w:rsidRPr="003F7F6C">
              <w:rPr>
                <w:rFonts w:cs="Calibri"/>
                <w:bCs/>
                <w:sz w:val="18"/>
                <w:szCs w:val="18"/>
              </w:rPr>
              <w:t>Yungas: 8</w:t>
            </w:r>
            <w:r w:rsidR="003B78B0" w:rsidRPr="003F7F6C">
              <w:rPr>
                <w:rFonts w:cs="Calibri"/>
                <w:bCs/>
                <w:sz w:val="18"/>
                <w:szCs w:val="18"/>
              </w:rPr>
              <w:t>,</w:t>
            </w:r>
            <w:r w:rsidRPr="003F7F6C">
              <w:rPr>
                <w:rFonts w:cs="Calibri"/>
                <w:bCs/>
                <w:sz w:val="18"/>
                <w:szCs w:val="18"/>
              </w:rPr>
              <w:t>097</w:t>
            </w:r>
          </w:p>
          <w:p w14:paraId="3EEAF2D1" w14:textId="46A72A18" w:rsidR="00AE2092" w:rsidRPr="003F7F6C" w:rsidRDefault="00AE2092" w:rsidP="00E91275">
            <w:pPr>
              <w:numPr>
                <w:ilvl w:val="0"/>
                <w:numId w:val="27"/>
              </w:numPr>
              <w:ind w:left="174" w:hanging="174"/>
              <w:rPr>
                <w:rFonts w:cs="Calibri"/>
                <w:bCs/>
                <w:sz w:val="18"/>
                <w:szCs w:val="18"/>
              </w:rPr>
            </w:pPr>
            <w:r w:rsidRPr="003F7F6C">
              <w:rPr>
                <w:rFonts w:cs="Calibri"/>
                <w:bCs/>
                <w:sz w:val="18"/>
                <w:szCs w:val="18"/>
              </w:rPr>
              <w:t>Dry Chaco: 5</w:t>
            </w:r>
            <w:r w:rsidR="003B78B0" w:rsidRPr="003F7F6C">
              <w:rPr>
                <w:rFonts w:cs="Calibri"/>
                <w:bCs/>
                <w:sz w:val="18"/>
                <w:szCs w:val="18"/>
              </w:rPr>
              <w:t>,</w:t>
            </w:r>
            <w:r w:rsidRPr="003F7F6C">
              <w:rPr>
                <w:rFonts w:cs="Calibri"/>
                <w:bCs/>
                <w:sz w:val="18"/>
                <w:szCs w:val="18"/>
              </w:rPr>
              <w:t>050</w:t>
            </w:r>
          </w:p>
          <w:p w14:paraId="56720CC6" w14:textId="5BAE1C4B" w:rsidR="00AE2092" w:rsidRPr="003F7F6C" w:rsidRDefault="00AE2092" w:rsidP="00E91275">
            <w:pPr>
              <w:numPr>
                <w:ilvl w:val="0"/>
                <w:numId w:val="27"/>
              </w:numPr>
              <w:ind w:left="174" w:hanging="174"/>
              <w:rPr>
                <w:rFonts w:cs="Calibri"/>
                <w:bCs/>
                <w:sz w:val="18"/>
                <w:szCs w:val="18"/>
              </w:rPr>
            </w:pPr>
            <w:r w:rsidRPr="003F7F6C">
              <w:rPr>
                <w:rFonts w:cs="Calibri"/>
                <w:bCs/>
                <w:sz w:val="18"/>
                <w:szCs w:val="18"/>
              </w:rPr>
              <w:t>Puna: 27</w:t>
            </w:r>
            <w:r w:rsidR="003B78B0" w:rsidRPr="003F7F6C">
              <w:rPr>
                <w:rFonts w:cs="Calibri"/>
                <w:bCs/>
                <w:sz w:val="18"/>
                <w:szCs w:val="18"/>
              </w:rPr>
              <w:t>,</w:t>
            </w:r>
            <w:r w:rsidRPr="003F7F6C">
              <w:rPr>
                <w:rFonts w:cs="Calibri"/>
                <w:bCs/>
                <w:sz w:val="18"/>
                <w:szCs w:val="18"/>
              </w:rPr>
              <w:t>047</w:t>
            </w:r>
          </w:p>
          <w:p w14:paraId="7060E164" w14:textId="6B6D504A" w:rsidR="00AE2092" w:rsidRPr="003F7F6C" w:rsidRDefault="00AE2092" w:rsidP="00AE2092">
            <w:pPr>
              <w:rPr>
                <w:rFonts w:cs="Calibri"/>
                <w:bCs/>
                <w:sz w:val="18"/>
                <w:szCs w:val="18"/>
              </w:rPr>
            </w:pPr>
            <w:r w:rsidRPr="003F7F6C">
              <w:rPr>
                <w:rFonts w:cs="Calibri"/>
                <w:bCs/>
                <w:sz w:val="18"/>
                <w:szCs w:val="18"/>
                <w:u w:val="single"/>
              </w:rPr>
              <w:t>Mendoza</w:t>
            </w:r>
            <w:r w:rsidRPr="003F7F6C">
              <w:rPr>
                <w:rFonts w:cs="Calibri"/>
                <w:bCs/>
                <w:sz w:val="18"/>
                <w:szCs w:val="18"/>
              </w:rPr>
              <w:t>: 148</w:t>
            </w:r>
            <w:r w:rsidR="003B78B0" w:rsidRPr="003F7F6C">
              <w:rPr>
                <w:rFonts w:cs="Calibri"/>
                <w:bCs/>
                <w:sz w:val="18"/>
                <w:szCs w:val="18"/>
              </w:rPr>
              <w:t>,</w:t>
            </w:r>
            <w:r w:rsidRPr="003F7F6C">
              <w:rPr>
                <w:rFonts w:cs="Calibri"/>
                <w:bCs/>
                <w:sz w:val="18"/>
                <w:szCs w:val="18"/>
              </w:rPr>
              <w:t>759</w:t>
            </w:r>
          </w:p>
          <w:p w14:paraId="4FB3B4E2" w14:textId="01987BBA" w:rsidR="00AE2092" w:rsidRPr="003F7F6C" w:rsidRDefault="00AE2092" w:rsidP="00E91275">
            <w:pPr>
              <w:numPr>
                <w:ilvl w:val="0"/>
                <w:numId w:val="27"/>
              </w:numPr>
              <w:ind w:left="174" w:hanging="174"/>
              <w:rPr>
                <w:rFonts w:cs="Calibri"/>
                <w:bCs/>
                <w:sz w:val="18"/>
                <w:szCs w:val="18"/>
              </w:rPr>
            </w:pPr>
            <w:r w:rsidRPr="003F7F6C">
              <w:rPr>
                <w:rFonts w:cs="Calibri"/>
                <w:bCs/>
                <w:sz w:val="18"/>
                <w:szCs w:val="18"/>
              </w:rPr>
              <w:t>High Monte: 3</w:t>
            </w:r>
            <w:r w:rsidR="003B78B0" w:rsidRPr="003F7F6C">
              <w:rPr>
                <w:rFonts w:cs="Calibri"/>
                <w:bCs/>
                <w:sz w:val="18"/>
                <w:szCs w:val="18"/>
              </w:rPr>
              <w:t>,</w:t>
            </w:r>
            <w:r w:rsidRPr="003F7F6C">
              <w:rPr>
                <w:rFonts w:cs="Calibri"/>
                <w:bCs/>
                <w:sz w:val="18"/>
                <w:szCs w:val="18"/>
              </w:rPr>
              <w:t>705</w:t>
            </w:r>
          </w:p>
          <w:p w14:paraId="3C2F302C" w14:textId="51CF3CCD" w:rsidR="00AE2092" w:rsidRPr="003F7F6C" w:rsidRDefault="00AE2092" w:rsidP="00E91275">
            <w:pPr>
              <w:numPr>
                <w:ilvl w:val="0"/>
                <w:numId w:val="27"/>
              </w:numPr>
              <w:ind w:left="174" w:hanging="174"/>
              <w:rPr>
                <w:rFonts w:cs="Calibri"/>
                <w:bCs/>
                <w:sz w:val="18"/>
                <w:szCs w:val="18"/>
              </w:rPr>
            </w:pPr>
            <w:r w:rsidRPr="003F7F6C">
              <w:rPr>
                <w:rFonts w:cs="Calibri"/>
                <w:bCs/>
                <w:sz w:val="18"/>
                <w:szCs w:val="18"/>
              </w:rPr>
              <w:t>Low Monte: 83</w:t>
            </w:r>
            <w:r w:rsidR="003B78B0" w:rsidRPr="003F7F6C">
              <w:rPr>
                <w:rFonts w:cs="Calibri"/>
                <w:bCs/>
                <w:sz w:val="18"/>
                <w:szCs w:val="18"/>
              </w:rPr>
              <w:t>,</w:t>
            </w:r>
            <w:r w:rsidRPr="003F7F6C">
              <w:rPr>
                <w:rFonts w:cs="Calibri"/>
                <w:bCs/>
                <w:sz w:val="18"/>
                <w:szCs w:val="18"/>
              </w:rPr>
              <w:t>719</w:t>
            </w:r>
          </w:p>
          <w:p w14:paraId="7957DB4D" w14:textId="71055B69" w:rsidR="00AE2092" w:rsidRPr="003F7F6C" w:rsidRDefault="00AE2092" w:rsidP="00E91275">
            <w:pPr>
              <w:numPr>
                <w:ilvl w:val="0"/>
                <w:numId w:val="27"/>
              </w:numPr>
              <w:ind w:left="174" w:hanging="174"/>
              <w:rPr>
                <w:rFonts w:cs="Calibri"/>
                <w:bCs/>
                <w:sz w:val="18"/>
                <w:szCs w:val="18"/>
              </w:rPr>
            </w:pPr>
            <w:r w:rsidRPr="003F7F6C">
              <w:rPr>
                <w:rFonts w:cs="Calibri"/>
                <w:bCs/>
                <w:sz w:val="18"/>
                <w:szCs w:val="18"/>
              </w:rPr>
              <w:t>Patagonian Steppe: 30</w:t>
            </w:r>
            <w:r w:rsidR="003B78B0" w:rsidRPr="003F7F6C">
              <w:rPr>
                <w:rFonts w:cs="Calibri"/>
                <w:bCs/>
                <w:sz w:val="18"/>
                <w:szCs w:val="18"/>
              </w:rPr>
              <w:t>,</w:t>
            </w:r>
            <w:r w:rsidRPr="003F7F6C">
              <w:rPr>
                <w:rFonts w:cs="Calibri"/>
                <w:bCs/>
                <w:sz w:val="18"/>
                <w:szCs w:val="18"/>
              </w:rPr>
              <w:t>590</w:t>
            </w:r>
          </w:p>
          <w:p w14:paraId="3A851894" w14:textId="4DB67403" w:rsidR="007F4F70" w:rsidRPr="003F7F6C" w:rsidRDefault="00AE2092" w:rsidP="00E91275">
            <w:pPr>
              <w:numPr>
                <w:ilvl w:val="0"/>
                <w:numId w:val="27"/>
              </w:numPr>
              <w:ind w:left="174" w:hanging="174"/>
              <w:rPr>
                <w:rFonts w:cs="Calibri"/>
                <w:bCs/>
                <w:sz w:val="18"/>
                <w:szCs w:val="18"/>
              </w:rPr>
            </w:pPr>
            <w:r w:rsidRPr="003F7F6C">
              <w:rPr>
                <w:rFonts w:cs="Calibri"/>
                <w:bCs/>
                <w:sz w:val="18"/>
                <w:szCs w:val="18"/>
              </w:rPr>
              <w:t>High Andes: 30</w:t>
            </w:r>
            <w:r w:rsidR="003B78B0" w:rsidRPr="003F7F6C">
              <w:rPr>
                <w:rFonts w:cs="Calibri"/>
                <w:bCs/>
                <w:sz w:val="18"/>
                <w:szCs w:val="18"/>
              </w:rPr>
              <w:t>,</w:t>
            </w:r>
            <w:r w:rsidRPr="003F7F6C">
              <w:rPr>
                <w:rFonts w:cs="Calibri"/>
                <w:bCs/>
                <w:sz w:val="18"/>
                <w:szCs w:val="18"/>
              </w:rPr>
              <w:t>745</w:t>
            </w:r>
          </w:p>
        </w:tc>
        <w:tc>
          <w:tcPr>
            <w:tcW w:w="2949" w:type="dxa"/>
          </w:tcPr>
          <w:p w14:paraId="1F0CA622" w14:textId="77777777" w:rsidR="007F4F70" w:rsidRPr="003F7F6C" w:rsidRDefault="007F4F70" w:rsidP="002B3130">
            <w:pPr>
              <w:rPr>
                <w:rFonts w:cs="Calibri"/>
                <w:bCs/>
                <w:sz w:val="18"/>
                <w:szCs w:val="18"/>
              </w:rPr>
            </w:pPr>
            <w:r w:rsidRPr="003F7F6C">
              <w:rPr>
                <w:rFonts w:cs="Calibri"/>
                <w:bCs/>
                <w:sz w:val="18"/>
                <w:szCs w:val="18"/>
              </w:rPr>
              <w:t>Periodic project monitoring</w:t>
            </w:r>
          </w:p>
          <w:p w14:paraId="434E1AF4" w14:textId="77777777" w:rsidR="007F4F70" w:rsidRPr="003F7F6C" w:rsidRDefault="007F4F70" w:rsidP="002B3130">
            <w:pPr>
              <w:rPr>
                <w:rFonts w:cs="Calibri"/>
                <w:bCs/>
                <w:sz w:val="18"/>
                <w:szCs w:val="18"/>
              </w:rPr>
            </w:pPr>
            <w:r w:rsidRPr="003F7F6C">
              <w:rPr>
                <w:rFonts w:cs="Calibri"/>
                <w:bCs/>
                <w:sz w:val="18"/>
                <w:szCs w:val="18"/>
              </w:rPr>
              <w:t>Field assessments/Remote sensing</w:t>
            </w:r>
          </w:p>
        </w:tc>
      </w:tr>
      <w:tr w:rsidR="007F4F70" w:rsidRPr="003F7F6C" w14:paraId="6F1C73C3" w14:textId="77777777" w:rsidTr="002B3130">
        <w:trPr>
          <w:trHeight w:val="690"/>
        </w:trPr>
        <w:tc>
          <w:tcPr>
            <w:tcW w:w="2605" w:type="dxa"/>
            <w:vMerge/>
            <w:shd w:val="pct12" w:color="auto" w:fill="auto"/>
          </w:tcPr>
          <w:p w14:paraId="36848CB0" w14:textId="77777777" w:rsidR="007F4F70" w:rsidRPr="003F7F6C" w:rsidRDefault="007F4F70" w:rsidP="002B3130">
            <w:pPr>
              <w:rPr>
                <w:rFonts w:cs="Calibri"/>
                <w:b/>
                <w:bCs/>
                <w:sz w:val="18"/>
                <w:szCs w:val="18"/>
              </w:rPr>
            </w:pPr>
          </w:p>
        </w:tc>
        <w:tc>
          <w:tcPr>
            <w:tcW w:w="2493" w:type="dxa"/>
            <w:vMerge/>
          </w:tcPr>
          <w:p w14:paraId="16160FC9" w14:textId="77777777" w:rsidR="007F4F70" w:rsidRPr="003F7F6C" w:rsidRDefault="007F4F70" w:rsidP="002B3130">
            <w:pPr>
              <w:rPr>
                <w:rFonts w:cs="Calibri"/>
                <w:bCs/>
                <w:sz w:val="18"/>
                <w:szCs w:val="18"/>
                <w:u w:val="single"/>
              </w:rPr>
            </w:pPr>
          </w:p>
        </w:tc>
        <w:tc>
          <w:tcPr>
            <w:tcW w:w="2268" w:type="dxa"/>
            <w:vMerge/>
          </w:tcPr>
          <w:p w14:paraId="67684F4F" w14:textId="77777777" w:rsidR="007F4F70" w:rsidRPr="003F7F6C" w:rsidRDefault="007F4F70" w:rsidP="002B3130">
            <w:pPr>
              <w:rPr>
                <w:rFonts w:cs="Calibri"/>
                <w:bCs/>
                <w:i/>
                <w:sz w:val="18"/>
                <w:szCs w:val="18"/>
              </w:rPr>
            </w:pPr>
          </w:p>
        </w:tc>
        <w:tc>
          <w:tcPr>
            <w:tcW w:w="1956" w:type="dxa"/>
            <w:vMerge/>
          </w:tcPr>
          <w:p w14:paraId="27B779DE" w14:textId="77777777" w:rsidR="007F4F70" w:rsidRPr="003F7F6C" w:rsidRDefault="007F4F70" w:rsidP="002B3130">
            <w:pPr>
              <w:rPr>
                <w:rFonts w:cs="Calibri"/>
                <w:bCs/>
                <w:i/>
                <w:sz w:val="18"/>
                <w:szCs w:val="18"/>
              </w:rPr>
            </w:pPr>
          </w:p>
        </w:tc>
        <w:tc>
          <w:tcPr>
            <w:tcW w:w="2119" w:type="dxa"/>
            <w:vMerge/>
          </w:tcPr>
          <w:p w14:paraId="44CB1044" w14:textId="77777777" w:rsidR="007F4F70" w:rsidRPr="003F7F6C" w:rsidRDefault="007F4F70" w:rsidP="002B3130">
            <w:pPr>
              <w:rPr>
                <w:rFonts w:cs="Calibri"/>
                <w:bCs/>
                <w:i/>
                <w:sz w:val="18"/>
                <w:szCs w:val="18"/>
              </w:rPr>
            </w:pPr>
          </w:p>
        </w:tc>
        <w:tc>
          <w:tcPr>
            <w:tcW w:w="2949" w:type="dxa"/>
          </w:tcPr>
          <w:p w14:paraId="3D3BD9A5" w14:textId="77777777" w:rsidR="007F4F70" w:rsidRPr="003F7F6C" w:rsidRDefault="007F4F70" w:rsidP="002B3130">
            <w:pPr>
              <w:rPr>
                <w:rFonts w:cs="Calibri"/>
                <w:sz w:val="18"/>
                <w:szCs w:val="18"/>
              </w:rPr>
            </w:pPr>
            <w:r w:rsidRPr="003F7F6C">
              <w:rPr>
                <w:rFonts w:cs="Calibri"/>
                <w:sz w:val="18"/>
                <w:szCs w:val="18"/>
              </w:rPr>
              <w:t>Risks:</w:t>
            </w:r>
          </w:p>
          <w:p w14:paraId="3C1959B8" w14:textId="77777777" w:rsidR="007F4F70" w:rsidRPr="003F7F6C" w:rsidRDefault="007F4F70" w:rsidP="007E4F32">
            <w:pPr>
              <w:jc w:val="left"/>
              <w:rPr>
                <w:rFonts w:cs="Calibri"/>
                <w:sz w:val="18"/>
                <w:szCs w:val="18"/>
              </w:rPr>
            </w:pPr>
            <w:r w:rsidRPr="003F7F6C">
              <w:rPr>
                <w:rFonts w:cs="Calibri"/>
                <w:sz w:val="18"/>
                <w:szCs w:val="18"/>
              </w:rPr>
              <w:t>No short term implementation of land use changes agreed upon in the initial ELUP</w:t>
            </w:r>
          </w:p>
          <w:p w14:paraId="3393CC53" w14:textId="77777777" w:rsidR="007F4F70" w:rsidRPr="003F7F6C" w:rsidRDefault="007F4F70" w:rsidP="007E4F32">
            <w:pPr>
              <w:jc w:val="left"/>
              <w:rPr>
                <w:rFonts w:cs="Calibri"/>
                <w:sz w:val="18"/>
                <w:szCs w:val="18"/>
              </w:rPr>
            </w:pPr>
            <w:r w:rsidRPr="003F7F6C">
              <w:rPr>
                <w:rFonts w:cs="Calibri"/>
                <w:sz w:val="18"/>
                <w:szCs w:val="18"/>
              </w:rPr>
              <w:t>Difficulties to keep ELUP in place including the sustainable use of ecosystems due to international commodity prices that favor expansion of production</w:t>
            </w:r>
          </w:p>
          <w:p w14:paraId="481255E2" w14:textId="77777777" w:rsidR="007F4F70" w:rsidRPr="003F7F6C" w:rsidRDefault="007F4F70" w:rsidP="007E4F32">
            <w:pPr>
              <w:jc w:val="left"/>
              <w:rPr>
                <w:rFonts w:cs="Calibri"/>
                <w:sz w:val="18"/>
                <w:szCs w:val="18"/>
              </w:rPr>
            </w:pPr>
            <w:r w:rsidRPr="003F7F6C">
              <w:rPr>
                <w:rFonts w:cs="Calibri"/>
                <w:sz w:val="18"/>
                <w:szCs w:val="18"/>
              </w:rPr>
              <w:t>Delays in ELUP implementation as a result of political changes at different levels (national, provincial and municipal)</w:t>
            </w:r>
          </w:p>
          <w:p w14:paraId="02758EC1" w14:textId="77777777" w:rsidR="007F4F70" w:rsidRPr="003F7F6C" w:rsidRDefault="007F4F70" w:rsidP="007E4F32">
            <w:pPr>
              <w:jc w:val="left"/>
              <w:rPr>
                <w:rFonts w:cs="Calibri"/>
                <w:sz w:val="18"/>
                <w:szCs w:val="18"/>
              </w:rPr>
            </w:pPr>
            <w:r w:rsidRPr="003F7F6C">
              <w:rPr>
                <w:rFonts w:cs="Calibri"/>
                <w:sz w:val="18"/>
                <w:szCs w:val="18"/>
              </w:rPr>
              <w:t>Modification of land use suitability due to climate change</w:t>
            </w:r>
          </w:p>
          <w:p w14:paraId="72F238CF" w14:textId="77777777" w:rsidR="007F4F70" w:rsidRPr="003F7F6C" w:rsidRDefault="007F4F70" w:rsidP="007E4F32">
            <w:pPr>
              <w:jc w:val="left"/>
              <w:rPr>
                <w:rFonts w:cs="Calibri"/>
                <w:sz w:val="18"/>
                <w:szCs w:val="18"/>
              </w:rPr>
            </w:pPr>
          </w:p>
          <w:p w14:paraId="517A4DF8" w14:textId="77777777" w:rsidR="007F4F70" w:rsidRPr="003F7F6C" w:rsidRDefault="007F4F70" w:rsidP="007E4F32">
            <w:pPr>
              <w:jc w:val="left"/>
              <w:rPr>
                <w:rFonts w:cs="Calibri"/>
                <w:sz w:val="18"/>
                <w:szCs w:val="18"/>
              </w:rPr>
            </w:pPr>
            <w:r w:rsidRPr="003F7F6C">
              <w:rPr>
                <w:rFonts w:cs="Calibri"/>
                <w:sz w:val="18"/>
                <w:szCs w:val="18"/>
              </w:rPr>
              <w:t>Assumptions:</w:t>
            </w:r>
          </w:p>
          <w:p w14:paraId="5C0DFBBC" w14:textId="77777777" w:rsidR="007F4F70" w:rsidRPr="003F7F6C" w:rsidRDefault="007F4F70" w:rsidP="007E4F32">
            <w:pPr>
              <w:jc w:val="left"/>
              <w:rPr>
                <w:rFonts w:cs="Calibri"/>
                <w:bCs/>
                <w:sz w:val="18"/>
                <w:szCs w:val="18"/>
              </w:rPr>
            </w:pPr>
            <w:r w:rsidRPr="003F7F6C">
              <w:rPr>
                <w:rFonts w:cs="Calibri"/>
                <w:bCs/>
                <w:sz w:val="18"/>
                <w:szCs w:val="18"/>
              </w:rPr>
              <w:t>Political will and commitment of target sector institutions to plan, implement and enforce ELUP processes</w:t>
            </w:r>
          </w:p>
          <w:p w14:paraId="1F7F3091" w14:textId="77777777" w:rsidR="007F4F70" w:rsidRPr="003F7F6C" w:rsidRDefault="007F4F70" w:rsidP="002B3130">
            <w:pPr>
              <w:jc w:val="left"/>
              <w:rPr>
                <w:rFonts w:cs="Calibri"/>
                <w:bCs/>
                <w:sz w:val="18"/>
                <w:szCs w:val="18"/>
              </w:rPr>
            </w:pPr>
            <w:r w:rsidRPr="003F7F6C">
              <w:rPr>
                <w:rFonts w:cs="Calibri"/>
                <w:bCs/>
                <w:sz w:val="18"/>
                <w:szCs w:val="18"/>
              </w:rPr>
              <w:t>Stakeholders from target sectors are receptive and willingly engage in ELUP processes and adopt BD and SLM friendly and sustainable practices</w:t>
            </w:r>
          </w:p>
          <w:p w14:paraId="6D76F946" w14:textId="77777777" w:rsidR="007F4F70" w:rsidRPr="003F7F6C" w:rsidRDefault="007F4F70" w:rsidP="002B3130">
            <w:pPr>
              <w:rPr>
                <w:rFonts w:cs="Calibri"/>
                <w:bCs/>
                <w:sz w:val="18"/>
                <w:szCs w:val="18"/>
              </w:rPr>
            </w:pPr>
          </w:p>
          <w:p w14:paraId="0845E107" w14:textId="77777777" w:rsidR="007F4F70" w:rsidRPr="003F7F6C" w:rsidRDefault="007F4F70" w:rsidP="002B3130">
            <w:pPr>
              <w:rPr>
                <w:rFonts w:cs="Calibri"/>
                <w:bCs/>
                <w:sz w:val="18"/>
                <w:szCs w:val="18"/>
              </w:rPr>
            </w:pPr>
          </w:p>
          <w:p w14:paraId="7BD680E9" w14:textId="77777777" w:rsidR="007F4F70" w:rsidRPr="003F7F6C" w:rsidRDefault="007F4F70" w:rsidP="002B3130">
            <w:pPr>
              <w:rPr>
                <w:rFonts w:cs="Calibri"/>
                <w:i/>
                <w:sz w:val="18"/>
                <w:szCs w:val="18"/>
              </w:rPr>
            </w:pPr>
            <w:r w:rsidRPr="003F7F6C">
              <w:rPr>
                <w:rFonts w:cs="Calibri"/>
                <w:bCs/>
                <w:sz w:val="18"/>
                <w:szCs w:val="18"/>
              </w:rPr>
              <w:t xml:space="preserve"> </w:t>
            </w:r>
          </w:p>
        </w:tc>
      </w:tr>
      <w:tr w:rsidR="007F4F70" w:rsidRPr="003F7F6C" w14:paraId="41BF2DD4" w14:textId="77777777" w:rsidTr="002B3130">
        <w:trPr>
          <w:trHeight w:val="998"/>
        </w:trPr>
        <w:tc>
          <w:tcPr>
            <w:tcW w:w="2605" w:type="dxa"/>
            <w:vMerge/>
            <w:shd w:val="pct12" w:color="auto" w:fill="auto"/>
          </w:tcPr>
          <w:p w14:paraId="3191E944" w14:textId="77777777" w:rsidR="007F4F70" w:rsidRPr="003F7F6C" w:rsidRDefault="007F4F70" w:rsidP="002B3130">
            <w:pPr>
              <w:rPr>
                <w:rFonts w:cs="Calibri"/>
                <w:b/>
                <w:bCs/>
                <w:sz w:val="18"/>
                <w:szCs w:val="18"/>
              </w:rPr>
            </w:pPr>
          </w:p>
        </w:tc>
        <w:tc>
          <w:tcPr>
            <w:tcW w:w="2493" w:type="dxa"/>
            <w:vMerge w:val="restart"/>
          </w:tcPr>
          <w:p w14:paraId="45AE9F0F" w14:textId="77777777" w:rsidR="007F4F70" w:rsidRPr="003F7F6C" w:rsidRDefault="007F4F70" w:rsidP="002B3130">
            <w:pPr>
              <w:jc w:val="left"/>
              <w:rPr>
                <w:rFonts w:cs="Calibri"/>
                <w:bCs/>
                <w:sz w:val="18"/>
                <w:szCs w:val="18"/>
              </w:rPr>
            </w:pPr>
            <w:r w:rsidRPr="003F7F6C">
              <w:rPr>
                <w:rFonts w:cs="Calibri"/>
                <w:bCs/>
                <w:i/>
                <w:sz w:val="18"/>
                <w:szCs w:val="18"/>
              </w:rPr>
              <w:t>UNDP Mandatory indicator 2/GEF Core Indicator 11</w:t>
            </w:r>
            <w:r w:rsidRPr="003F7F6C">
              <w:rPr>
                <w:rFonts w:cs="Calibri"/>
                <w:bCs/>
                <w:sz w:val="18"/>
                <w:szCs w:val="18"/>
              </w:rPr>
              <w:t>:  Number of direct project beneficiaries (by gender and ethnicity) that improve their livelihoods through environmentally friendly natural resources management and sustainable production</w:t>
            </w:r>
          </w:p>
        </w:tc>
        <w:tc>
          <w:tcPr>
            <w:tcW w:w="2268" w:type="dxa"/>
            <w:vMerge w:val="restart"/>
          </w:tcPr>
          <w:p w14:paraId="5718D59E" w14:textId="77777777" w:rsidR="007F4F70" w:rsidRPr="003F7F6C" w:rsidRDefault="007F4F70" w:rsidP="002B3130">
            <w:pPr>
              <w:rPr>
                <w:rFonts w:cs="Calibri"/>
                <w:bCs/>
                <w:sz w:val="18"/>
                <w:szCs w:val="18"/>
              </w:rPr>
            </w:pPr>
            <w:r w:rsidRPr="003F7F6C">
              <w:rPr>
                <w:rFonts w:cs="Calibri"/>
                <w:bCs/>
                <w:sz w:val="18"/>
                <w:szCs w:val="18"/>
              </w:rPr>
              <w:t>0</w:t>
            </w:r>
          </w:p>
        </w:tc>
        <w:tc>
          <w:tcPr>
            <w:tcW w:w="1956" w:type="dxa"/>
            <w:vMerge w:val="restart"/>
          </w:tcPr>
          <w:p w14:paraId="6EC80010" w14:textId="77777777" w:rsidR="00E64EA8" w:rsidRPr="003F7F6C" w:rsidRDefault="007F4F70" w:rsidP="002B3130">
            <w:pPr>
              <w:rPr>
                <w:rFonts w:cs="Calibri"/>
                <w:bCs/>
                <w:sz w:val="18"/>
                <w:szCs w:val="18"/>
              </w:rPr>
            </w:pPr>
            <w:r w:rsidRPr="003F7F6C">
              <w:rPr>
                <w:rFonts w:cs="Calibri"/>
                <w:bCs/>
                <w:sz w:val="18"/>
                <w:szCs w:val="18"/>
              </w:rPr>
              <w:t xml:space="preserve">3,400 </w:t>
            </w:r>
          </w:p>
          <w:p w14:paraId="09B754B6" w14:textId="77777777" w:rsidR="007F4F70" w:rsidRPr="003F7F6C" w:rsidRDefault="007F4F70" w:rsidP="002B3130">
            <w:pPr>
              <w:rPr>
                <w:rFonts w:cs="Calibri"/>
                <w:bCs/>
                <w:sz w:val="18"/>
                <w:szCs w:val="18"/>
              </w:rPr>
            </w:pPr>
            <w:r w:rsidRPr="003F7F6C">
              <w:rPr>
                <w:rFonts w:cs="Calibri"/>
                <w:bCs/>
                <w:sz w:val="18"/>
                <w:szCs w:val="18"/>
              </w:rPr>
              <w:t>(40% are women; 10% belong to indigenous groups)</w:t>
            </w:r>
          </w:p>
        </w:tc>
        <w:tc>
          <w:tcPr>
            <w:tcW w:w="2119" w:type="dxa"/>
            <w:vMerge w:val="restart"/>
          </w:tcPr>
          <w:p w14:paraId="593976FF" w14:textId="77777777" w:rsidR="007F4F70" w:rsidRPr="003F7F6C" w:rsidRDefault="007F4F70" w:rsidP="002B3130">
            <w:pPr>
              <w:rPr>
                <w:rFonts w:cs="Calibri"/>
                <w:bCs/>
                <w:sz w:val="18"/>
                <w:szCs w:val="18"/>
              </w:rPr>
            </w:pPr>
            <w:r w:rsidRPr="003F7F6C">
              <w:rPr>
                <w:rFonts w:cs="Calibri"/>
                <w:bCs/>
                <w:sz w:val="18"/>
                <w:szCs w:val="18"/>
              </w:rPr>
              <w:t xml:space="preserve">11,665 </w:t>
            </w:r>
          </w:p>
          <w:p w14:paraId="0C970D46" w14:textId="77777777" w:rsidR="007F4F70" w:rsidRPr="003F7F6C" w:rsidRDefault="007F4F70" w:rsidP="002B3130">
            <w:pPr>
              <w:jc w:val="left"/>
              <w:rPr>
                <w:rFonts w:cs="Calibri"/>
                <w:bCs/>
                <w:sz w:val="18"/>
                <w:szCs w:val="18"/>
              </w:rPr>
            </w:pPr>
            <w:r w:rsidRPr="003F7F6C">
              <w:rPr>
                <w:rFonts w:cs="Calibri"/>
                <w:bCs/>
                <w:sz w:val="18"/>
                <w:szCs w:val="18"/>
              </w:rPr>
              <w:t>At least 40% are women; 10% belong to indigenous groups (based on average % of female and indigenous population in 3 target landscapes as per the 2017 Permanent Household Survey). Breakdown is:</w:t>
            </w:r>
          </w:p>
          <w:p w14:paraId="19E4FAD8" w14:textId="77777777" w:rsidR="007F4F70" w:rsidRPr="003F7F6C" w:rsidRDefault="007F4F70" w:rsidP="002B3130">
            <w:pPr>
              <w:rPr>
                <w:rFonts w:cs="Calibri"/>
                <w:bCs/>
                <w:sz w:val="18"/>
                <w:szCs w:val="18"/>
              </w:rPr>
            </w:pPr>
            <w:r w:rsidRPr="003F7F6C">
              <w:rPr>
                <w:rFonts w:cs="Calibri"/>
                <w:bCs/>
                <w:sz w:val="18"/>
                <w:szCs w:val="18"/>
              </w:rPr>
              <w:t>Buenos Aires: 2,750 (0% indigenous peoples)</w:t>
            </w:r>
          </w:p>
          <w:p w14:paraId="0077DDBB" w14:textId="77777777" w:rsidR="007F4F70" w:rsidRPr="003F7F6C" w:rsidRDefault="007F4F70" w:rsidP="002B3130">
            <w:pPr>
              <w:rPr>
                <w:rFonts w:cs="Calibri"/>
                <w:bCs/>
                <w:sz w:val="18"/>
                <w:szCs w:val="18"/>
              </w:rPr>
            </w:pPr>
            <w:r w:rsidRPr="003F7F6C">
              <w:rPr>
                <w:rFonts w:cs="Calibri"/>
                <w:bCs/>
                <w:sz w:val="18"/>
                <w:szCs w:val="18"/>
              </w:rPr>
              <w:t>Mendoza: 7,000 (2% indigenous peoples)</w:t>
            </w:r>
          </w:p>
          <w:p w14:paraId="1181F753" w14:textId="77777777" w:rsidR="007F4F70" w:rsidRPr="003F7F6C" w:rsidRDefault="007F4F70" w:rsidP="002B3130">
            <w:pPr>
              <w:jc w:val="left"/>
              <w:rPr>
                <w:rFonts w:cs="Calibri"/>
                <w:bCs/>
                <w:i/>
                <w:sz w:val="18"/>
                <w:szCs w:val="18"/>
              </w:rPr>
            </w:pPr>
            <w:r w:rsidRPr="003F7F6C">
              <w:rPr>
                <w:rFonts w:cs="Calibri"/>
                <w:bCs/>
                <w:sz w:val="18"/>
                <w:szCs w:val="18"/>
              </w:rPr>
              <w:t>Jujuy: 1,905 (70% indigenous peoples)</w:t>
            </w:r>
          </w:p>
        </w:tc>
        <w:tc>
          <w:tcPr>
            <w:tcW w:w="2949" w:type="dxa"/>
          </w:tcPr>
          <w:p w14:paraId="41F9DAF5" w14:textId="77777777" w:rsidR="007F4F70" w:rsidRPr="003F7F6C" w:rsidRDefault="007F4F70" w:rsidP="002B3130">
            <w:pPr>
              <w:rPr>
                <w:rFonts w:cs="Calibri"/>
                <w:bCs/>
                <w:sz w:val="18"/>
                <w:szCs w:val="18"/>
              </w:rPr>
            </w:pPr>
            <w:r w:rsidRPr="003F7F6C">
              <w:rPr>
                <w:rFonts w:cs="Calibri"/>
                <w:bCs/>
                <w:sz w:val="18"/>
                <w:szCs w:val="18"/>
              </w:rPr>
              <w:t>Periodic project monitoring</w:t>
            </w:r>
          </w:p>
          <w:p w14:paraId="2951CA00" w14:textId="77777777" w:rsidR="007F4F70" w:rsidRPr="003F7F6C" w:rsidRDefault="007F4F70" w:rsidP="00E740AF">
            <w:pPr>
              <w:jc w:val="left"/>
              <w:rPr>
                <w:rFonts w:cs="Calibri"/>
                <w:bCs/>
                <w:sz w:val="18"/>
                <w:szCs w:val="18"/>
              </w:rPr>
            </w:pPr>
            <w:r w:rsidRPr="003F7F6C">
              <w:rPr>
                <w:rFonts w:cs="Calibri"/>
                <w:bCs/>
                <w:sz w:val="18"/>
                <w:szCs w:val="18"/>
              </w:rPr>
              <w:t>Household surveys, focus groups disaggregated by gender and ethnicity</w:t>
            </w:r>
          </w:p>
        </w:tc>
      </w:tr>
      <w:tr w:rsidR="007F4F70" w:rsidRPr="003F7F6C" w14:paraId="138F0435" w14:textId="77777777" w:rsidTr="002B3130">
        <w:trPr>
          <w:trHeight w:val="997"/>
        </w:trPr>
        <w:tc>
          <w:tcPr>
            <w:tcW w:w="2605" w:type="dxa"/>
            <w:vMerge/>
            <w:shd w:val="pct12" w:color="auto" w:fill="auto"/>
          </w:tcPr>
          <w:p w14:paraId="5E4DF0F6" w14:textId="77777777" w:rsidR="007F4F70" w:rsidRPr="003F7F6C" w:rsidRDefault="007F4F70" w:rsidP="002B3130">
            <w:pPr>
              <w:rPr>
                <w:rFonts w:cs="Calibri"/>
                <w:b/>
                <w:bCs/>
                <w:sz w:val="18"/>
                <w:szCs w:val="18"/>
              </w:rPr>
            </w:pPr>
          </w:p>
        </w:tc>
        <w:tc>
          <w:tcPr>
            <w:tcW w:w="2493" w:type="dxa"/>
            <w:vMerge/>
          </w:tcPr>
          <w:p w14:paraId="6F21EA20" w14:textId="77777777" w:rsidR="007F4F70" w:rsidRPr="003F7F6C" w:rsidRDefault="007F4F70" w:rsidP="002B3130">
            <w:pPr>
              <w:rPr>
                <w:rFonts w:cs="Calibri"/>
                <w:bCs/>
                <w:sz w:val="18"/>
                <w:szCs w:val="18"/>
                <w:u w:val="single"/>
              </w:rPr>
            </w:pPr>
          </w:p>
        </w:tc>
        <w:tc>
          <w:tcPr>
            <w:tcW w:w="2268" w:type="dxa"/>
            <w:vMerge/>
          </w:tcPr>
          <w:p w14:paraId="031FC8E3" w14:textId="77777777" w:rsidR="007F4F70" w:rsidRPr="003F7F6C" w:rsidRDefault="007F4F70" w:rsidP="002B3130">
            <w:pPr>
              <w:rPr>
                <w:rFonts w:cs="Calibri"/>
                <w:bCs/>
                <w:i/>
                <w:sz w:val="18"/>
                <w:szCs w:val="18"/>
              </w:rPr>
            </w:pPr>
          </w:p>
        </w:tc>
        <w:tc>
          <w:tcPr>
            <w:tcW w:w="1956" w:type="dxa"/>
            <w:vMerge/>
          </w:tcPr>
          <w:p w14:paraId="756A584C" w14:textId="77777777" w:rsidR="007F4F70" w:rsidRPr="003F7F6C" w:rsidRDefault="007F4F70" w:rsidP="002B3130">
            <w:pPr>
              <w:rPr>
                <w:rFonts w:cs="Calibri"/>
                <w:bCs/>
                <w:i/>
                <w:sz w:val="18"/>
                <w:szCs w:val="18"/>
              </w:rPr>
            </w:pPr>
          </w:p>
        </w:tc>
        <w:tc>
          <w:tcPr>
            <w:tcW w:w="2119" w:type="dxa"/>
            <w:vMerge/>
          </w:tcPr>
          <w:p w14:paraId="0BCA3F6B" w14:textId="77777777" w:rsidR="007F4F70" w:rsidRPr="003F7F6C" w:rsidRDefault="007F4F70" w:rsidP="002B3130">
            <w:pPr>
              <w:rPr>
                <w:rFonts w:cs="Calibri"/>
                <w:bCs/>
                <w:i/>
                <w:sz w:val="18"/>
                <w:szCs w:val="18"/>
              </w:rPr>
            </w:pPr>
          </w:p>
        </w:tc>
        <w:tc>
          <w:tcPr>
            <w:tcW w:w="2949" w:type="dxa"/>
          </w:tcPr>
          <w:p w14:paraId="68EFB453" w14:textId="77777777" w:rsidR="007F4F70" w:rsidRPr="003F7F6C" w:rsidRDefault="007F4F70" w:rsidP="002B3130">
            <w:pPr>
              <w:rPr>
                <w:rFonts w:cs="Calibri"/>
                <w:sz w:val="18"/>
                <w:szCs w:val="18"/>
              </w:rPr>
            </w:pPr>
            <w:r w:rsidRPr="003F7F6C">
              <w:rPr>
                <w:rFonts w:cs="Calibri"/>
                <w:sz w:val="18"/>
                <w:szCs w:val="18"/>
              </w:rPr>
              <w:t>Risks:</w:t>
            </w:r>
          </w:p>
          <w:p w14:paraId="4EE5C6CB" w14:textId="77777777" w:rsidR="007F4F70" w:rsidRPr="003F7F6C" w:rsidRDefault="007F4F70" w:rsidP="00AB0608">
            <w:pPr>
              <w:jc w:val="left"/>
              <w:rPr>
                <w:rFonts w:cs="Calibri"/>
                <w:sz w:val="18"/>
                <w:szCs w:val="18"/>
              </w:rPr>
            </w:pPr>
            <w:r w:rsidRPr="003F7F6C">
              <w:rPr>
                <w:rFonts w:cs="Calibri"/>
                <w:sz w:val="18"/>
                <w:szCs w:val="18"/>
              </w:rPr>
              <w:t>Beneficiaries are reluctant to participate in project activities and adopt the proposed practices</w:t>
            </w:r>
            <w:r w:rsidR="00DA38D7" w:rsidRPr="003F7F6C">
              <w:rPr>
                <w:rFonts w:cs="Calibri"/>
                <w:sz w:val="18"/>
                <w:szCs w:val="18"/>
              </w:rPr>
              <w:t xml:space="preserve"> because they d</w:t>
            </w:r>
            <w:r w:rsidR="00E740AF" w:rsidRPr="003F7F6C">
              <w:rPr>
                <w:rFonts w:cs="Calibri"/>
                <w:sz w:val="18"/>
                <w:szCs w:val="18"/>
              </w:rPr>
              <w:t>o no</w:t>
            </w:r>
            <w:r w:rsidR="00DA38D7" w:rsidRPr="003F7F6C">
              <w:rPr>
                <w:rFonts w:cs="Calibri"/>
                <w:sz w:val="18"/>
                <w:szCs w:val="18"/>
              </w:rPr>
              <w:t>t</w:t>
            </w:r>
            <w:r w:rsidR="00E740AF" w:rsidRPr="003F7F6C">
              <w:rPr>
                <w:rFonts w:cs="Calibri"/>
                <w:sz w:val="18"/>
                <w:szCs w:val="18"/>
              </w:rPr>
              <w:t xml:space="preserve"> perceive </w:t>
            </w:r>
            <w:r w:rsidR="00DA38D7" w:rsidRPr="003F7F6C">
              <w:rPr>
                <w:rFonts w:cs="Calibri"/>
                <w:sz w:val="18"/>
                <w:szCs w:val="18"/>
              </w:rPr>
              <w:t xml:space="preserve">the </w:t>
            </w:r>
            <w:r w:rsidR="00E740AF" w:rsidRPr="003F7F6C">
              <w:rPr>
                <w:rFonts w:cs="Calibri"/>
                <w:sz w:val="18"/>
                <w:szCs w:val="18"/>
              </w:rPr>
              <w:t>advantages</w:t>
            </w:r>
            <w:r w:rsidR="00DA38D7" w:rsidRPr="003F7F6C">
              <w:rPr>
                <w:rFonts w:cs="Calibri"/>
                <w:sz w:val="18"/>
                <w:szCs w:val="18"/>
              </w:rPr>
              <w:t xml:space="preserve"> or d</w:t>
            </w:r>
            <w:r w:rsidR="00E740AF" w:rsidRPr="003F7F6C">
              <w:rPr>
                <w:rFonts w:cs="Calibri"/>
                <w:sz w:val="18"/>
                <w:szCs w:val="18"/>
              </w:rPr>
              <w:t>isagree with restricted land uses that may come with ELUP</w:t>
            </w:r>
            <w:r w:rsidR="00DA38D7" w:rsidRPr="003F7F6C">
              <w:rPr>
                <w:rFonts w:cs="Calibri"/>
                <w:sz w:val="18"/>
                <w:szCs w:val="18"/>
              </w:rPr>
              <w:t>.</w:t>
            </w:r>
          </w:p>
          <w:p w14:paraId="60083023" w14:textId="77777777" w:rsidR="007F4F70" w:rsidRPr="003F7F6C" w:rsidRDefault="007F4F70" w:rsidP="002B3130">
            <w:pPr>
              <w:rPr>
                <w:rFonts w:cs="Calibri"/>
                <w:sz w:val="18"/>
                <w:szCs w:val="18"/>
              </w:rPr>
            </w:pPr>
          </w:p>
          <w:p w14:paraId="352B991D" w14:textId="77777777" w:rsidR="007F4F70" w:rsidRPr="003F7F6C" w:rsidRDefault="007F4F70" w:rsidP="002B3130">
            <w:pPr>
              <w:rPr>
                <w:rFonts w:cs="Calibri"/>
                <w:sz w:val="18"/>
                <w:szCs w:val="18"/>
              </w:rPr>
            </w:pPr>
            <w:r w:rsidRPr="003F7F6C">
              <w:rPr>
                <w:rFonts w:cs="Calibri"/>
                <w:sz w:val="18"/>
                <w:szCs w:val="18"/>
              </w:rPr>
              <w:t>Assumptions:</w:t>
            </w:r>
          </w:p>
          <w:p w14:paraId="649DC4AD" w14:textId="77777777" w:rsidR="007F4F70" w:rsidRPr="003F7F6C" w:rsidRDefault="007F4F70" w:rsidP="002B3130">
            <w:pPr>
              <w:jc w:val="left"/>
              <w:rPr>
                <w:rFonts w:cs="Calibri"/>
                <w:sz w:val="18"/>
                <w:szCs w:val="18"/>
              </w:rPr>
            </w:pPr>
            <w:r w:rsidRPr="003F7F6C">
              <w:rPr>
                <w:rFonts w:cs="Calibri"/>
                <w:sz w:val="18"/>
                <w:szCs w:val="18"/>
              </w:rPr>
              <w:t xml:space="preserve">Beneficiaries are receptive </w:t>
            </w:r>
            <w:r w:rsidRPr="003F7F6C">
              <w:rPr>
                <w:sz w:val="18"/>
                <w:szCs w:val="18"/>
              </w:rPr>
              <w:t>and perceive the benefit</w:t>
            </w:r>
            <w:r w:rsidR="00D45844" w:rsidRPr="003F7F6C">
              <w:rPr>
                <w:sz w:val="18"/>
                <w:szCs w:val="18"/>
              </w:rPr>
              <w:t>s</w:t>
            </w:r>
            <w:r w:rsidRPr="003F7F6C">
              <w:rPr>
                <w:sz w:val="18"/>
                <w:szCs w:val="18"/>
              </w:rPr>
              <w:t xml:space="preserve"> of environmental sustainability to their livelihoods in the long term</w:t>
            </w:r>
          </w:p>
        </w:tc>
      </w:tr>
      <w:tr w:rsidR="007F4F70" w:rsidRPr="003F7F6C" w14:paraId="031D7672" w14:textId="77777777" w:rsidTr="002B3130">
        <w:trPr>
          <w:trHeight w:val="720"/>
        </w:trPr>
        <w:tc>
          <w:tcPr>
            <w:tcW w:w="2605" w:type="dxa"/>
            <w:vMerge/>
            <w:shd w:val="pct12" w:color="auto" w:fill="auto"/>
          </w:tcPr>
          <w:p w14:paraId="70A1132F" w14:textId="77777777" w:rsidR="007F4F70" w:rsidRPr="003F7F6C" w:rsidRDefault="007F4F70" w:rsidP="002B3130">
            <w:pPr>
              <w:rPr>
                <w:rFonts w:cs="Calibri"/>
                <w:b/>
                <w:bCs/>
                <w:sz w:val="18"/>
                <w:szCs w:val="18"/>
              </w:rPr>
            </w:pPr>
          </w:p>
        </w:tc>
        <w:tc>
          <w:tcPr>
            <w:tcW w:w="2493" w:type="dxa"/>
            <w:vMerge w:val="restart"/>
          </w:tcPr>
          <w:p w14:paraId="77315B01" w14:textId="3345A85B" w:rsidR="007E3858" w:rsidRPr="003F7F6C" w:rsidRDefault="007F4F70" w:rsidP="002B3130">
            <w:pPr>
              <w:jc w:val="left"/>
              <w:rPr>
                <w:rFonts w:cs="Calibri"/>
                <w:bCs/>
                <w:sz w:val="18"/>
                <w:szCs w:val="18"/>
              </w:rPr>
            </w:pPr>
            <w:r w:rsidRPr="003F7F6C">
              <w:rPr>
                <w:rFonts w:cs="Calibri"/>
                <w:bCs/>
                <w:i/>
                <w:sz w:val="18"/>
                <w:szCs w:val="18"/>
              </w:rPr>
              <w:t>Indicator 3</w:t>
            </w:r>
            <w:r w:rsidRPr="003F7F6C">
              <w:rPr>
                <w:rFonts w:cs="Calibri"/>
                <w:bCs/>
                <w:sz w:val="18"/>
                <w:szCs w:val="18"/>
              </w:rPr>
              <w:t xml:space="preserve">: </w:t>
            </w:r>
            <w:r w:rsidR="00E64EA8" w:rsidRPr="003F7F6C">
              <w:rPr>
                <w:rFonts w:cs="Calibri"/>
                <w:bCs/>
                <w:sz w:val="18"/>
                <w:szCs w:val="18"/>
              </w:rPr>
              <w:t>Degree of improvement in BD conservation and LD reduction</w:t>
            </w:r>
            <w:r w:rsidR="007E3858" w:rsidRPr="003F7F6C">
              <w:rPr>
                <w:rFonts w:cs="Calibri"/>
                <w:bCs/>
                <w:sz w:val="18"/>
                <w:szCs w:val="18"/>
              </w:rPr>
              <w:t xml:space="preserve"> in three target landscapes</w:t>
            </w:r>
            <w:r w:rsidR="00E64EA8" w:rsidRPr="003F7F6C">
              <w:rPr>
                <w:rFonts w:cs="Calibri"/>
                <w:bCs/>
                <w:sz w:val="18"/>
                <w:szCs w:val="18"/>
              </w:rPr>
              <w:t xml:space="preserve"> as a result of ELUP implementation, measured through increases in</w:t>
            </w:r>
            <w:r w:rsidR="008D30DE" w:rsidRPr="003F7F6C">
              <w:rPr>
                <w:rFonts w:cs="Calibri"/>
                <w:bCs/>
                <w:sz w:val="18"/>
                <w:szCs w:val="18"/>
              </w:rPr>
              <w:t xml:space="preserve"> </w:t>
            </w:r>
            <w:r w:rsidRPr="003F7F6C">
              <w:rPr>
                <w:rFonts w:cs="Calibri"/>
                <w:bCs/>
                <w:sz w:val="18"/>
                <w:szCs w:val="18"/>
              </w:rPr>
              <w:t>Net Primary Productivity (NPP)</w:t>
            </w:r>
            <w:r w:rsidR="008D30DE" w:rsidRPr="003F7F6C">
              <w:rPr>
                <w:rFonts w:cs="Calibri"/>
                <w:bCs/>
                <w:sz w:val="18"/>
                <w:szCs w:val="18"/>
              </w:rPr>
              <w:t xml:space="preserve">; </w:t>
            </w:r>
            <w:r w:rsidR="007E3858" w:rsidRPr="003F7F6C">
              <w:rPr>
                <w:rFonts w:cs="Calibri"/>
                <w:bCs/>
                <w:sz w:val="18"/>
                <w:szCs w:val="18"/>
              </w:rPr>
              <w:t>% of land cove</w:t>
            </w:r>
            <w:r w:rsidR="008D30DE" w:rsidRPr="003F7F6C">
              <w:rPr>
                <w:rFonts w:cs="Calibri"/>
                <w:bCs/>
                <w:sz w:val="18"/>
                <w:szCs w:val="18"/>
              </w:rPr>
              <w:t>r; and</w:t>
            </w:r>
            <w:r w:rsidR="007E3858" w:rsidRPr="003F7F6C">
              <w:rPr>
                <w:rFonts w:cs="Calibri"/>
                <w:bCs/>
                <w:sz w:val="18"/>
                <w:szCs w:val="18"/>
              </w:rPr>
              <w:t xml:space="preserve"> soil organic carbon content </w:t>
            </w:r>
            <w:r w:rsidR="008D30DE" w:rsidRPr="003F7F6C">
              <w:rPr>
                <w:rFonts w:cs="Calibri"/>
                <w:bCs/>
                <w:sz w:val="18"/>
                <w:szCs w:val="18"/>
              </w:rPr>
              <w:t>(trends in hectares)</w:t>
            </w:r>
          </w:p>
          <w:p w14:paraId="3B7D20D0" w14:textId="77777777" w:rsidR="007F4F70" w:rsidRPr="003F7F6C" w:rsidRDefault="007F4F70" w:rsidP="002B3130">
            <w:pPr>
              <w:rPr>
                <w:rFonts w:cs="Calibri"/>
                <w:bCs/>
                <w:sz w:val="18"/>
                <w:szCs w:val="18"/>
              </w:rPr>
            </w:pPr>
          </w:p>
          <w:p w14:paraId="4A609152" w14:textId="77777777" w:rsidR="007F4F70" w:rsidRPr="003F7F6C" w:rsidRDefault="007F4F70" w:rsidP="002B3130">
            <w:pPr>
              <w:rPr>
                <w:rFonts w:cs="Calibri"/>
                <w:bCs/>
                <w:sz w:val="18"/>
                <w:szCs w:val="18"/>
              </w:rPr>
            </w:pPr>
          </w:p>
        </w:tc>
        <w:tc>
          <w:tcPr>
            <w:tcW w:w="2268" w:type="dxa"/>
            <w:vMerge w:val="restart"/>
          </w:tcPr>
          <w:p w14:paraId="75B3D4BF" w14:textId="59FD3FED" w:rsidR="007F4F70" w:rsidRPr="003F7F6C" w:rsidRDefault="00E64EA8" w:rsidP="002B3130">
            <w:pPr>
              <w:rPr>
                <w:rFonts w:cs="Calibri"/>
                <w:bCs/>
                <w:sz w:val="18"/>
                <w:szCs w:val="18"/>
              </w:rPr>
            </w:pPr>
            <w:r w:rsidRPr="003F7F6C">
              <w:rPr>
                <w:rFonts w:cs="Calibri"/>
                <w:bCs/>
                <w:sz w:val="18"/>
                <w:szCs w:val="18"/>
              </w:rPr>
              <w:t>B</w:t>
            </w:r>
            <w:r w:rsidR="0010416E" w:rsidRPr="003F7F6C">
              <w:rPr>
                <w:rFonts w:cs="Calibri"/>
                <w:bCs/>
                <w:sz w:val="18"/>
                <w:szCs w:val="18"/>
              </w:rPr>
              <w:t>aseline</w:t>
            </w:r>
            <w:r w:rsidR="001A135F" w:rsidRPr="003F7F6C">
              <w:rPr>
                <w:rFonts w:cs="Calibri"/>
                <w:bCs/>
                <w:sz w:val="18"/>
                <w:szCs w:val="18"/>
              </w:rPr>
              <w:t xml:space="preserve"> </w:t>
            </w:r>
            <w:r w:rsidR="00E03880" w:rsidRPr="003F7F6C">
              <w:rPr>
                <w:rFonts w:cs="Calibri"/>
                <w:bCs/>
                <w:sz w:val="18"/>
                <w:szCs w:val="18"/>
              </w:rPr>
              <w:t xml:space="preserve">and specific targets for NPP, % land cover and soil organic content </w:t>
            </w:r>
            <w:r w:rsidR="0010416E" w:rsidRPr="003F7F6C">
              <w:rPr>
                <w:rFonts w:cs="Calibri"/>
                <w:bCs/>
                <w:i/>
                <w:sz w:val="18"/>
                <w:szCs w:val="18"/>
              </w:rPr>
              <w:t>tbd</w:t>
            </w:r>
            <w:r w:rsidR="0010416E" w:rsidRPr="003F7F6C">
              <w:rPr>
                <w:rFonts w:cs="Calibri"/>
                <w:bCs/>
                <w:sz w:val="18"/>
                <w:szCs w:val="18"/>
              </w:rPr>
              <w:t xml:space="preserve"> in PY1</w:t>
            </w:r>
          </w:p>
        </w:tc>
        <w:tc>
          <w:tcPr>
            <w:tcW w:w="1956" w:type="dxa"/>
            <w:vMerge w:val="restart"/>
          </w:tcPr>
          <w:p w14:paraId="0EF59B0D" w14:textId="77777777" w:rsidR="007F4F70" w:rsidRPr="003F7F6C" w:rsidRDefault="00E64EA8" w:rsidP="002B3130">
            <w:pPr>
              <w:rPr>
                <w:rFonts w:cs="Calibri"/>
                <w:bCs/>
                <w:sz w:val="18"/>
                <w:szCs w:val="18"/>
              </w:rPr>
            </w:pPr>
            <w:r w:rsidRPr="003F7F6C">
              <w:rPr>
                <w:rFonts w:cs="Calibri"/>
                <w:bCs/>
                <w:sz w:val="18"/>
                <w:szCs w:val="18"/>
              </w:rPr>
              <w:t xml:space="preserve">Mid-term targets </w:t>
            </w:r>
            <w:r w:rsidRPr="003F7F6C">
              <w:rPr>
                <w:rFonts w:cs="Calibri"/>
                <w:bCs/>
                <w:i/>
                <w:sz w:val="18"/>
                <w:szCs w:val="18"/>
              </w:rPr>
              <w:t>tbd</w:t>
            </w:r>
            <w:r w:rsidRPr="003F7F6C">
              <w:rPr>
                <w:rFonts w:cs="Calibri"/>
                <w:bCs/>
                <w:sz w:val="18"/>
                <w:szCs w:val="18"/>
              </w:rPr>
              <w:t xml:space="preserve"> in PY1</w:t>
            </w:r>
          </w:p>
        </w:tc>
        <w:tc>
          <w:tcPr>
            <w:tcW w:w="2119" w:type="dxa"/>
            <w:vMerge w:val="restart"/>
          </w:tcPr>
          <w:p w14:paraId="2D08FE98" w14:textId="77777777" w:rsidR="001030B5" w:rsidRPr="003F7F6C" w:rsidRDefault="001030B5" w:rsidP="002B3130">
            <w:pPr>
              <w:rPr>
                <w:rFonts w:cs="Calibri"/>
                <w:bCs/>
                <w:sz w:val="18"/>
                <w:szCs w:val="18"/>
              </w:rPr>
            </w:pPr>
            <w:r w:rsidRPr="003F7F6C">
              <w:rPr>
                <w:rFonts w:cs="Calibri"/>
                <w:bCs/>
                <w:sz w:val="18"/>
                <w:szCs w:val="18"/>
              </w:rPr>
              <w:t>Total surface area where measurements to be taken:</w:t>
            </w:r>
          </w:p>
          <w:p w14:paraId="7F49F858" w14:textId="5D9B61EF" w:rsidR="007F4F70" w:rsidRPr="003F7F6C" w:rsidRDefault="007F4F70" w:rsidP="002B3130">
            <w:pPr>
              <w:rPr>
                <w:rFonts w:cs="Calibri"/>
                <w:bCs/>
                <w:sz w:val="18"/>
                <w:szCs w:val="18"/>
              </w:rPr>
            </w:pPr>
            <w:r w:rsidRPr="003F7F6C">
              <w:rPr>
                <w:rFonts w:cs="Calibri"/>
                <w:bCs/>
                <w:sz w:val="18"/>
                <w:szCs w:val="18"/>
                <w:u w:val="single"/>
              </w:rPr>
              <w:t>Buenos Aires:</w:t>
            </w:r>
            <w:r w:rsidRPr="003F7F6C">
              <w:rPr>
                <w:rFonts w:cs="Calibri"/>
                <w:bCs/>
                <w:sz w:val="18"/>
                <w:szCs w:val="18"/>
              </w:rPr>
              <w:t xml:space="preserve"> </w:t>
            </w:r>
            <w:r w:rsidR="006E7B02" w:rsidRPr="003F7F6C">
              <w:rPr>
                <w:rFonts w:cs="Calibri"/>
                <w:bCs/>
                <w:sz w:val="18"/>
                <w:szCs w:val="18"/>
              </w:rPr>
              <w:t>461,700</w:t>
            </w:r>
          </w:p>
          <w:p w14:paraId="53C931C4" w14:textId="77777777" w:rsidR="007F4F70" w:rsidRPr="003F7F6C" w:rsidRDefault="007F4F70" w:rsidP="00E91275">
            <w:pPr>
              <w:numPr>
                <w:ilvl w:val="0"/>
                <w:numId w:val="26"/>
              </w:numPr>
              <w:ind w:left="174" w:hanging="174"/>
              <w:jc w:val="left"/>
              <w:rPr>
                <w:rFonts w:cs="Calibri"/>
                <w:bCs/>
                <w:sz w:val="18"/>
                <w:szCs w:val="18"/>
              </w:rPr>
            </w:pPr>
            <w:r w:rsidRPr="003F7F6C">
              <w:rPr>
                <w:rFonts w:cs="Calibri"/>
                <w:bCs/>
                <w:sz w:val="18"/>
                <w:szCs w:val="18"/>
              </w:rPr>
              <w:t>Pampa: 27</w:t>
            </w:r>
            <w:r w:rsidR="006E7B02" w:rsidRPr="003F7F6C">
              <w:rPr>
                <w:rFonts w:cs="Calibri"/>
                <w:bCs/>
                <w:sz w:val="18"/>
                <w:szCs w:val="18"/>
              </w:rPr>
              <w:t>5,000</w:t>
            </w:r>
          </w:p>
          <w:p w14:paraId="68871853" w14:textId="77777777" w:rsidR="007F4F70" w:rsidRPr="003F7F6C" w:rsidRDefault="00661098" w:rsidP="00E91275">
            <w:pPr>
              <w:numPr>
                <w:ilvl w:val="0"/>
                <w:numId w:val="26"/>
              </w:numPr>
              <w:ind w:left="174" w:hanging="174"/>
              <w:jc w:val="left"/>
              <w:rPr>
                <w:rFonts w:cs="Calibri"/>
                <w:bCs/>
                <w:sz w:val="18"/>
                <w:szCs w:val="18"/>
              </w:rPr>
            </w:pPr>
            <w:r w:rsidRPr="003F7F6C">
              <w:rPr>
                <w:rFonts w:cs="Calibri"/>
                <w:bCs/>
                <w:sz w:val="18"/>
                <w:szCs w:val="18"/>
              </w:rPr>
              <w:t>Espinal</w:t>
            </w:r>
            <w:r w:rsidR="007F4F70" w:rsidRPr="003F7F6C">
              <w:rPr>
                <w:rFonts w:cs="Calibri"/>
                <w:bCs/>
                <w:sz w:val="18"/>
                <w:szCs w:val="18"/>
              </w:rPr>
              <w:t>: 180,</w:t>
            </w:r>
            <w:r w:rsidRPr="003F7F6C">
              <w:rPr>
                <w:rFonts w:cs="Calibri"/>
                <w:bCs/>
                <w:sz w:val="18"/>
                <w:szCs w:val="18"/>
              </w:rPr>
              <w:t>4</w:t>
            </w:r>
            <w:r w:rsidR="007F4F70" w:rsidRPr="003F7F6C">
              <w:rPr>
                <w:rFonts w:cs="Calibri"/>
                <w:bCs/>
                <w:sz w:val="18"/>
                <w:szCs w:val="18"/>
              </w:rPr>
              <w:t>00</w:t>
            </w:r>
          </w:p>
          <w:p w14:paraId="21BD061D" w14:textId="77777777" w:rsidR="007F4F70" w:rsidRPr="003F7F6C" w:rsidRDefault="007F4F70" w:rsidP="00E91275">
            <w:pPr>
              <w:numPr>
                <w:ilvl w:val="0"/>
                <w:numId w:val="26"/>
              </w:numPr>
              <w:ind w:left="174" w:hanging="174"/>
              <w:jc w:val="left"/>
              <w:rPr>
                <w:rFonts w:cs="Calibri"/>
                <w:bCs/>
                <w:sz w:val="18"/>
                <w:szCs w:val="18"/>
              </w:rPr>
            </w:pPr>
            <w:r w:rsidRPr="003F7F6C">
              <w:rPr>
                <w:rFonts w:cs="Calibri"/>
                <w:bCs/>
                <w:sz w:val="18"/>
                <w:szCs w:val="18"/>
              </w:rPr>
              <w:t xml:space="preserve">Flooded Savanna: </w:t>
            </w:r>
            <w:r w:rsidR="00661098" w:rsidRPr="003F7F6C">
              <w:rPr>
                <w:rFonts w:cs="Calibri"/>
                <w:bCs/>
                <w:sz w:val="18"/>
                <w:szCs w:val="18"/>
              </w:rPr>
              <w:t>6,300</w:t>
            </w:r>
          </w:p>
          <w:p w14:paraId="6BA057D4" w14:textId="77777777" w:rsidR="007F4F70" w:rsidRPr="003F7F6C" w:rsidRDefault="007F4F70" w:rsidP="002B3130">
            <w:pPr>
              <w:jc w:val="left"/>
              <w:rPr>
                <w:rFonts w:cs="Calibri"/>
                <w:bCs/>
                <w:sz w:val="18"/>
                <w:szCs w:val="18"/>
              </w:rPr>
            </w:pPr>
            <w:r w:rsidRPr="003F7F6C">
              <w:rPr>
                <w:rFonts w:cs="Calibri"/>
                <w:bCs/>
                <w:sz w:val="18"/>
                <w:szCs w:val="18"/>
                <w:u w:val="single"/>
              </w:rPr>
              <w:t>Jujuy:</w:t>
            </w:r>
            <w:r w:rsidRPr="003F7F6C">
              <w:rPr>
                <w:rFonts w:cs="Calibri"/>
                <w:bCs/>
                <w:sz w:val="18"/>
                <w:szCs w:val="18"/>
              </w:rPr>
              <w:t xml:space="preserve"> 119,</w:t>
            </w:r>
            <w:r w:rsidR="00661098" w:rsidRPr="003F7F6C">
              <w:rPr>
                <w:rFonts w:cs="Calibri"/>
                <w:bCs/>
                <w:sz w:val="18"/>
                <w:szCs w:val="18"/>
              </w:rPr>
              <w:t>32</w:t>
            </w:r>
            <w:r w:rsidR="00AF5C1B" w:rsidRPr="003F7F6C">
              <w:rPr>
                <w:rFonts w:cs="Calibri"/>
                <w:bCs/>
                <w:sz w:val="18"/>
                <w:szCs w:val="18"/>
              </w:rPr>
              <w:t>8</w:t>
            </w:r>
          </w:p>
          <w:p w14:paraId="0156634B" w14:textId="77777777" w:rsidR="007F4F70" w:rsidRPr="003F7F6C" w:rsidRDefault="007F4F70" w:rsidP="00E91275">
            <w:pPr>
              <w:numPr>
                <w:ilvl w:val="0"/>
                <w:numId w:val="26"/>
              </w:numPr>
              <w:ind w:left="174" w:hanging="174"/>
              <w:jc w:val="left"/>
              <w:rPr>
                <w:rFonts w:cs="Calibri"/>
                <w:bCs/>
                <w:sz w:val="18"/>
                <w:szCs w:val="18"/>
              </w:rPr>
            </w:pPr>
            <w:r w:rsidRPr="003F7F6C">
              <w:rPr>
                <w:rFonts w:cs="Calibri"/>
                <w:bCs/>
                <w:sz w:val="18"/>
                <w:szCs w:val="18"/>
              </w:rPr>
              <w:t xml:space="preserve">Puna: </w:t>
            </w:r>
            <w:r w:rsidR="00661098" w:rsidRPr="003F7F6C">
              <w:rPr>
                <w:rFonts w:cs="Calibri"/>
                <w:bCs/>
                <w:sz w:val="18"/>
                <w:szCs w:val="18"/>
              </w:rPr>
              <w:t>61,877</w:t>
            </w:r>
          </w:p>
          <w:p w14:paraId="6A2BF0B6" w14:textId="77777777" w:rsidR="007F4F70" w:rsidRPr="003F7F6C" w:rsidRDefault="007F4F70" w:rsidP="00E91275">
            <w:pPr>
              <w:numPr>
                <w:ilvl w:val="0"/>
                <w:numId w:val="26"/>
              </w:numPr>
              <w:ind w:left="174" w:hanging="174"/>
              <w:jc w:val="left"/>
              <w:rPr>
                <w:rFonts w:cs="Calibri"/>
                <w:bCs/>
                <w:sz w:val="18"/>
                <w:szCs w:val="18"/>
              </w:rPr>
            </w:pPr>
            <w:r w:rsidRPr="003F7F6C">
              <w:rPr>
                <w:rFonts w:cs="Calibri"/>
                <w:bCs/>
                <w:sz w:val="18"/>
                <w:szCs w:val="18"/>
              </w:rPr>
              <w:t xml:space="preserve">High Andes: </w:t>
            </w:r>
            <w:r w:rsidR="00661098" w:rsidRPr="003F7F6C">
              <w:rPr>
                <w:rFonts w:cs="Calibri"/>
                <w:bCs/>
                <w:sz w:val="18"/>
                <w:szCs w:val="18"/>
              </w:rPr>
              <w:t>22,392</w:t>
            </w:r>
          </w:p>
          <w:p w14:paraId="32BE665D" w14:textId="77777777" w:rsidR="007F4F70" w:rsidRPr="003F7F6C" w:rsidRDefault="007F4F70" w:rsidP="00E91275">
            <w:pPr>
              <w:numPr>
                <w:ilvl w:val="0"/>
                <w:numId w:val="26"/>
              </w:numPr>
              <w:ind w:left="174" w:hanging="174"/>
              <w:jc w:val="left"/>
              <w:rPr>
                <w:rFonts w:cs="Calibri"/>
                <w:bCs/>
                <w:sz w:val="18"/>
                <w:szCs w:val="18"/>
              </w:rPr>
            </w:pPr>
            <w:r w:rsidRPr="003F7F6C">
              <w:rPr>
                <w:rFonts w:cs="Calibri"/>
                <w:bCs/>
                <w:sz w:val="18"/>
                <w:szCs w:val="18"/>
              </w:rPr>
              <w:t xml:space="preserve">Yungas: </w:t>
            </w:r>
            <w:r w:rsidR="00661098" w:rsidRPr="003F7F6C">
              <w:rPr>
                <w:rFonts w:cs="Calibri"/>
                <w:bCs/>
                <w:sz w:val="18"/>
                <w:szCs w:val="18"/>
              </w:rPr>
              <w:t>14,40</w:t>
            </w:r>
            <w:r w:rsidR="00AF5C1B" w:rsidRPr="003F7F6C">
              <w:rPr>
                <w:rFonts w:cs="Calibri"/>
                <w:bCs/>
                <w:sz w:val="18"/>
                <w:szCs w:val="18"/>
              </w:rPr>
              <w:t>3</w:t>
            </w:r>
          </w:p>
          <w:p w14:paraId="4D69C079" w14:textId="77777777" w:rsidR="007F4F70" w:rsidRPr="003F7F6C" w:rsidRDefault="007F4F70" w:rsidP="00E91275">
            <w:pPr>
              <w:numPr>
                <w:ilvl w:val="0"/>
                <w:numId w:val="26"/>
              </w:numPr>
              <w:ind w:left="174" w:hanging="174"/>
              <w:jc w:val="left"/>
              <w:rPr>
                <w:rFonts w:cs="Calibri"/>
                <w:bCs/>
                <w:sz w:val="18"/>
                <w:szCs w:val="18"/>
              </w:rPr>
            </w:pPr>
            <w:r w:rsidRPr="003F7F6C">
              <w:rPr>
                <w:rFonts w:cs="Calibri"/>
                <w:bCs/>
                <w:sz w:val="18"/>
                <w:szCs w:val="18"/>
              </w:rPr>
              <w:t xml:space="preserve">High Monte: </w:t>
            </w:r>
            <w:r w:rsidR="00661098" w:rsidRPr="003F7F6C">
              <w:rPr>
                <w:rFonts w:cs="Calibri"/>
                <w:bCs/>
                <w:sz w:val="18"/>
                <w:szCs w:val="18"/>
              </w:rPr>
              <w:t>20,656</w:t>
            </w:r>
          </w:p>
          <w:p w14:paraId="6D09AEC2" w14:textId="77777777" w:rsidR="007F4F70" w:rsidRPr="003F7F6C" w:rsidRDefault="007F4F70" w:rsidP="002B3130">
            <w:pPr>
              <w:jc w:val="left"/>
              <w:rPr>
                <w:rFonts w:cs="Calibri"/>
                <w:bCs/>
                <w:sz w:val="18"/>
                <w:szCs w:val="18"/>
              </w:rPr>
            </w:pPr>
            <w:r w:rsidRPr="003F7F6C">
              <w:rPr>
                <w:rFonts w:cs="Calibri"/>
                <w:bCs/>
                <w:sz w:val="18"/>
                <w:szCs w:val="18"/>
                <w:u w:val="single"/>
              </w:rPr>
              <w:t>Mendoza:</w:t>
            </w:r>
            <w:r w:rsidRPr="003F7F6C">
              <w:rPr>
                <w:rFonts w:cs="Calibri"/>
                <w:bCs/>
                <w:sz w:val="18"/>
                <w:szCs w:val="18"/>
              </w:rPr>
              <w:t xml:space="preserve"> </w:t>
            </w:r>
            <w:r w:rsidR="00661098" w:rsidRPr="003F7F6C">
              <w:rPr>
                <w:rFonts w:cs="Calibri"/>
                <w:bCs/>
                <w:sz w:val="18"/>
                <w:szCs w:val="18"/>
              </w:rPr>
              <w:t>160,470</w:t>
            </w:r>
          </w:p>
          <w:p w14:paraId="27822949" w14:textId="77777777" w:rsidR="007F4F70" w:rsidRPr="003F7F6C" w:rsidRDefault="007F4F70" w:rsidP="00E91275">
            <w:pPr>
              <w:numPr>
                <w:ilvl w:val="0"/>
                <w:numId w:val="26"/>
              </w:numPr>
              <w:ind w:left="174" w:hanging="142"/>
              <w:jc w:val="left"/>
              <w:rPr>
                <w:rFonts w:cs="Calibri"/>
                <w:bCs/>
                <w:sz w:val="18"/>
                <w:szCs w:val="18"/>
              </w:rPr>
            </w:pPr>
            <w:r w:rsidRPr="003F7F6C">
              <w:rPr>
                <w:rFonts w:cs="Calibri"/>
                <w:bCs/>
                <w:sz w:val="18"/>
                <w:szCs w:val="18"/>
              </w:rPr>
              <w:t xml:space="preserve">High Monte: </w:t>
            </w:r>
            <w:r w:rsidR="00661098" w:rsidRPr="003F7F6C">
              <w:rPr>
                <w:rFonts w:cs="Calibri"/>
                <w:bCs/>
                <w:sz w:val="18"/>
                <w:szCs w:val="18"/>
              </w:rPr>
              <w:t>6,319</w:t>
            </w:r>
          </w:p>
          <w:p w14:paraId="4776A312" w14:textId="77777777" w:rsidR="007F4F70" w:rsidRPr="003F7F6C" w:rsidRDefault="007F4F70" w:rsidP="00E91275">
            <w:pPr>
              <w:numPr>
                <w:ilvl w:val="0"/>
                <w:numId w:val="26"/>
              </w:numPr>
              <w:ind w:left="174" w:hanging="142"/>
              <w:jc w:val="left"/>
              <w:rPr>
                <w:rFonts w:cs="Calibri"/>
                <w:bCs/>
                <w:sz w:val="18"/>
                <w:szCs w:val="18"/>
              </w:rPr>
            </w:pPr>
            <w:r w:rsidRPr="003F7F6C">
              <w:rPr>
                <w:rFonts w:cs="Calibri"/>
                <w:bCs/>
                <w:sz w:val="18"/>
                <w:szCs w:val="18"/>
              </w:rPr>
              <w:t>Low Monte: 8</w:t>
            </w:r>
            <w:r w:rsidR="00661098" w:rsidRPr="003F7F6C">
              <w:rPr>
                <w:rFonts w:cs="Calibri"/>
                <w:bCs/>
                <w:sz w:val="18"/>
                <w:szCs w:val="18"/>
              </w:rPr>
              <w:t>2,584</w:t>
            </w:r>
          </w:p>
          <w:p w14:paraId="2D5AC34E" w14:textId="77777777" w:rsidR="007F4F70" w:rsidRPr="003F7F6C" w:rsidRDefault="007F4F70" w:rsidP="00E91275">
            <w:pPr>
              <w:numPr>
                <w:ilvl w:val="0"/>
                <w:numId w:val="26"/>
              </w:numPr>
              <w:ind w:left="174" w:hanging="142"/>
              <w:jc w:val="left"/>
              <w:rPr>
                <w:rFonts w:cs="Calibri"/>
                <w:bCs/>
                <w:sz w:val="18"/>
                <w:szCs w:val="18"/>
              </w:rPr>
            </w:pPr>
            <w:r w:rsidRPr="003F7F6C">
              <w:rPr>
                <w:rFonts w:cs="Calibri"/>
                <w:bCs/>
                <w:sz w:val="18"/>
                <w:szCs w:val="18"/>
              </w:rPr>
              <w:t>Patagonian Steppe: 3</w:t>
            </w:r>
            <w:r w:rsidR="00661098" w:rsidRPr="003F7F6C">
              <w:rPr>
                <w:rFonts w:cs="Calibri"/>
                <w:bCs/>
                <w:sz w:val="18"/>
                <w:szCs w:val="18"/>
              </w:rPr>
              <w:t>9,424</w:t>
            </w:r>
          </w:p>
          <w:p w14:paraId="3EDB85E5" w14:textId="77777777" w:rsidR="001030B5" w:rsidRPr="003F7F6C" w:rsidRDefault="007F4F70" w:rsidP="00E91275">
            <w:pPr>
              <w:numPr>
                <w:ilvl w:val="0"/>
                <w:numId w:val="26"/>
              </w:numPr>
              <w:ind w:left="174" w:hanging="142"/>
              <w:jc w:val="left"/>
              <w:rPr>
                <w:rFonts w:cs="Calibri"/>
                <w:bCs/>
                <w:i/>
                <w:sz w:val="18"/>
                <w:szCs w:val="18"/>
                <w:lang w:val="en-GB"/>
              </w:rPr>
            </w:pPr>
            <w:r w:rsidRPr="003F7F6C">
              <w:rPr>
                <w:rFonts w:cs="Calibri"/>
                <w:bCs/>
                <w:sz w:val="18"/>
                <w:szCs w:val="18"/>
              </w:rPr>
              <w:t>High Andes: 3</w:t>
            </w:r>
            <w:r w:rsidR="00661098" w:rsidRPr="003F7F6C">
              <w:rPr>
                <w:rFonts w:cs="Calibri"/>
                <w:bCs/>
                <w:sz w:val="18"/>
                <w:szCs w:val="18"/>
              </w:rPr>
              <w:t>2,143</w:t>
            </w:r>
          </w:p>
          <w:p w14:paraId="0E03520B" w14:textId="5AFCED96" w:rsidR="007F4F70" w:rsidRPr="003F7F6C" w:rsidRDefault="001030B5" w:rsidP="001030B5">
            <w:pPr>
              <w:jc w:val="left"/>
              <w:rPr>
                <w:rFonts w:cs="Calibri"/>
                <w:bCs/>
                <w:i/>
                <w:sz w:val="18"/>
                <w:szCs w:val="18"/>
                <w:lang w:val="en-GB"/>
              </w:rPr>
            </w:pPr>
            <w:r w:rsidRPr="003F7F6C">
              <w:rPr>
                <w:rFonts w:cs="Calibri"/>
                <w:bCs/>
                <w:sz w:val="18"/>
                <w:szCs w:val="18"/>
              </w:rPr>
              <w:t xml:space="preserve">Targets </w:t>
            </w:r>
            <w:r w:rsidR="00CC2C21" w:rsidRPr="003F7F6C">
              <w:rPr>
                <w:rFonts w:cs="Calibri"/>
                <w:bCs/>
                <w:i/>
                <w:sz w:val="18"/>
                <w:szCs w:val="18"/>
              </w:rPr>
              <w:t>tbd</w:t>
            </w:r>
            <w:r w:rsidRPr="003F7F6C">
              <w:rPr>
                <w:rFonts w:cs="Calibri"/>
                <w:bCs/>
                <w:sz w:val="18"/>
                <w:szCs w:val="18"/>
              </w:rPr>
              <w:t xml:space="preserve"> at project outset</w:t>
            </w:r>
            <w:r w:rsidR="007F4F70" w:rsidRPr="003F7F6C">
              <w:rPr>
                <w:rFonts w:cs="Calibri"/>
                <w:bCs/>
                <w:sz w:val="18"/>
                <w:szCs w:val="18"/>
              </w:rPr>
              <w:t xml:space="preserve"> </w:t>
            </w:r>
          </w:p>
        </w:tc>
        <w:tc>
          <w:tcPr>
            <w:tcW w:w="2949" w:type="dxa"/>
          </w:tcPr>
          <w:p w14:paraId="306F2725" w14:textId="77777777" w:rsidR="007F4F70" w:rsidRPr="003F7F6C" w:rsidRDefault="007F4F70" w:rsidP="002B3130">
            <w:pPr>
              <w:rPr>
                <w:rFonts w:cs="Calibri"/>
                <w:bCs/>
                <w:sz w:val="18"/>
                <w:szCs w:val="18"/>
                <w:lang w:val="en-GB"/>
              </w:rPr>
            </w:pPr>
            <w:r w:rsidRPr="003F7F6C">
              <w:rPr>
                <w:rFonts w:cs="Calibri"/>
                <w:bCs/>
                <w:sz w:val="18"/>
                <w:szCs w:val="18"/>
                <w:lang w:val="en-GB"/>
              </w:rPr>
              <w:t>Periodic project monitoring</w:t>
            </w:r>
          </w:p>
          <w:p w14:paraId="333D844B" w14:textId="77777777" w:rsidR="007F4F70" w:rsidRPr="003F7F6C" w:rsidRDefault="007F4F70" w:rsidP="002B3130">
            <w:pPr>
              <w:rPr>
                <w:rFonts w:cs="Calibri"/>
                <w:bCs/>
                <w:sz w:val="18"/>
                <w:szCs w:val="18"/>
                <w:lang w:val="en-GB"/>
              </w:rPr>
            </w:pPr>
            <w:r w:rsidRPr="003F7F6C">
              <w:rPr>
                <w:rFonts w:cs="Calibri"/>
                <w:bCs/>
                <w:sz w:val="18"/>
                <w:szCs w:val="18"/>
                <w:lang w:val="en-GB"/>
              </w:rPr>
              <w:t>Field/remote sensing assessments</w:t>
            </w:r>
          </w:p>
          <w:p w14:paraId="5A090085" w14:textId="77777777" w:rsidR="007F4F70" w:rsidRPr="003F7F6C" w:rsidRDefault="007F4F70" w:rsidP="002B3130">
            <w:pPr>
              <w:rPr>
                <w:rFonts w:cs="Calibri"/>
                <w:bCs/>
                <w:sz w:val="18"/>
                <w:szCs w:val="18"/>
                <w:lang w:val="en-GB"/>
              </w:rPr>
            </w:pPr>
            <w:r w:rsidRPr="003F7F6C">
              <w:rPr>
                <w:rFonts w:cs="Calibri"/>
                <w:bCs/>
                <w:sz w:val="18"/>
                <w:szCs w:val="18"/>
                <w:lang w:val="en-GB"/>
              </w:rPr>
              <w:t>Methodology by MAyDS and the National Observatory for Land Degradation and Desertification (PRAIS Report 2018)</w:t>
            </w:r>
          </w:p>
          <w:p w14:paraId="2665CEE7" w14:textId="77777777" w:rsidR="007E3858" w:rsidRPr="003F7F6C" w:rsidRDefault="007E3858" w:rsidP="007E3858">
            <w:pPr>
              <w:jc w:val="left"/>
              <w:rPr>
                <w:rFonts w:cs="Calibri"/>
                <w:bCs/>
                <w:sz w:val="18"/>
                <w:szCs w:val="18"/>
                <w:lang w:val="en-GB"/>
              </w:rPr>
            </w:pPr>
            <w:r w:rsidRPr="003F7F6C">
              <w:rPr>
                <w:rFonts w:cs="Calibri"/>
                <w:bCs/>
                <w:sz w:val="18"/>
                <w:szCs w:val="18"/>
                <w:lang w:val="en-GB"/>
              </w:rPr>
              <w:t>Land Degradation Neutrality Framework</w:t>
            </w:r>
          </w:p>
          <w:p w14:paraId="2ABF2C91" w14:textId="77777777" w:rsidR="007E3858" w:rsidRPr="003F7F6C" w:rsidRDefault="007E3858" w:rsidP="007E3858">
            <w:pPr>
              <w:rPr>
                <w:rFonts w:cs="Calibri"/>
                <w:bCs/>
                <w:sz w:val="18"/>
                <w:szCs w:val="18"/>
                <w:lang w:val="en-GB"/>
              </w:rPr>
            </w:pPr>
            <w:r w:rsidRPr="003F7F6C">
              <w:rPr>
                <w:rFonts w:cs="Calibri"/>
                <w:bCs/>
                <w:sz w:val="18"/>
                <w:szCs w:val="18"/>
                <w:lang w:val="en-GB"/>
              </w:rPr>
              <w:t>Interaction with the National Observatory for Land Degradation and Desertification</w:t>
            </w:r>
          </w:p>
        </w:tc>
      </w:tr>
      <w:tr w:rsidR="007F4F70" w:rsidRPr="003F7F6C" w14:paraId="441EA668" w14:textId="77777777" w:rsidTr="002B3130">
        <w:trPr>
          <w:trHeight w:val="720"/>
        </w:trPr>
        <w:tc>
          <w:tcPr>
            <w:tcW w:w="2605" w:type="dxa"/>
            <w:vMerge/>
            <w:shd w:val="pct12" w:color="auto" w:fill="auto"/>
          </w:tcPr>
          <w:p w14:paraId="1C5596A2" w14:textId="77777777" w:rsidR="007F4F70" w:rsidRPr="003F7F6C" w:rsidRDefault="007F4F70" w:rsidP="002B3130">
            <w:pPr>
              <w:rPr>
                <w:rFonts w:cs="Calibri"/>
                <w:b/>
                <w:bCs/>
                <w:sz w:val="18"/>
                <w:szCs w:val="18"/>
                <w:lang w:val="en-GB"/>
              </w:rPr>
            </w:pPr>
          </w:p>
        </w:tc>
        <w:tc>
          <w:tcPr>
            <w:tcW w:w="2493" w:type="dxa"/>
            <w:vMerge/>
          </w:tcPr>
          <w:p w14:paraId="1A808692" w14:textId="77777777" w:rsidR="007F4F70" w:rsidRPr="003F7F6C" w:rsidRDefault="007F4F70" w:rsidP="002B3130">
            <w:pPr>
              <w:rPr>
                <w:rFonts w:cs="Calibri"/>
                <w:bCs/>
                <w:i/>
                <w:sz w:val="18"/>
                <w:szCs w:val="18"/>
                <w:lang w:val="en-GB"/>
              </w:rPr>
            </w:pPr>
          </w:p>
        </w:tc>
        <w:tc>
          <w:tcPr>
            <w:tcW w:w="2268" w:type="dxa"/>
            <w:vMerge/>
          </w:tcPr>
          <w:p w14:paraId="4FB73E9E" w14:textId="77777777" w:rsidR="007F4F70" w:rsidRPr="003F7F6C" w:rsidRDefault="007F4F70" w:rsidP="002B3130">
            <w:pPr>
              <w:rPr>
                <w:rFonts w:cs="Calibri"/>
                <w:bCs/>
                <w:i/>
                <w:sz w:val="18"/>
                <w:szCs w:val="18"/>
                <w:lang w:val="en-GB"/>
              </w:rPr>
            </w:pPr>
          </w:p>
        </w:tc>
        <w:tc>
          <w:tcPr>
            <w:tcW w:w="1956" w:type="dxa"/>
            <w:vMerge/>
          </w:tcPr>
          <w:p w14:paraId="43EA1A5A" w14:textId="77777777" w:rsidR="007F4F70" w:rsidRPr="003F7F6C" w:rsidRDefault="007F4F70" w:rsidP="002B3130">
            <w:pPr>
              <w:rPr>
                <w:rFonts w:cs="Calibri"/>
                <w:bCs/>
                <w:i/>
                <w:sz w:val="18"/>
                <w:szCs w:val="18"/>
                <w:lang w:val="en-GB"/>
              </w:rPr>
            </w:pPr>
          </w:p>
        </w:tc>
        <w:tc>
          <w:tcPr>
            <w:tcW w:w="2119" w:type="dxa"/>
            <w:vMerge/>
          </w:tcPr>
          <w:p w14:paraId="0701B834" w14:textId="77777777" w:rsidR="007F4F70" w:rsidRPr="003F7F6C" w:rsidRDefault="007F4F70" w:rsidP="002B3130">
            <w:pPr>
              <w:rPr>
                <w:rFonts w:cs="Calibri"/>
                <w:bCs/>
                <w:i/>
                <w:sz w:val="18"/>
                <w:szCs w:val="18"/>
                <w:lang w:val="en-GB"/>
              </w:rPr>
            </w:pPr>
          </w:p>
        </w:tc>
        <w:tc>
          <w:tcPr>
            <w:tcW w:w="2949" w:type="dxa"/>
          </w:tcPr>
          <w:p w14:paraId="68045DA2" w14:textId="77777777" w:rsidR="007F4F70" w:rsidRPr="003F7F6C" w:rsidRDefault="007F4F70" w:rsidP="002B3130">
            <w:pPr>
              <w:rPr>
                <w:rFonts w:cs="Calibri"/>
                <w:sz w:val="18"/>
                <w:szCs w:val="18"/>
              </w:rPr>
            </w:pPr>
            <w:r w:rsidRPr="003F7F6C">
              <w:rPr>
                <w:rFonts w:cs="Calibri"/>
                <w:sz w:val="18"/>
                <w:szCs w:val="18"/>
              </w:rPr>
              <w:t>Risks:</w:t>
            </w:r>
          </w:p>
          <w:p w14:paraId="0A88F947" w14:textId="77777777" w:rsidR="007F4F70" w:rsidRPr="003F7F6C" w:rsidRDefault="007F4F70" w:rsidP="002B3130">
            <w:pPr>
              <w:rPr>
                <w:rFonts w:cs="Calibri"/>
                <w:sz w:val="18"/>
                <w:szCs w:val="18"/>
              </w:rPr>
            </w:pPr>
            <w:r w:rsidRPr="003F7F6C">
              <w:rPr>
                <w:rFonts w:cs="Calibri"/>
                <w:sz w:val="18"/>
                <w:szCs w:val="18"/>
              </w:rPr>
              <w:t>Insufficient political prioritization of interventions and weak institutional capacities reduce the effectiveness of ELUP and best practices promoted by the project.</w:t>
            </w:r>
          </w:p>
          <w:p w14:paraId="43CFE213" w14:textId="77777777" w:rsidR="007F4F70" w:rsidRPr="003F7F6C" w:rsidRDefault="007F4F70" w:rsidP="002B3130">
            <w:pPr>
              <w:rPr>
                <w:rFonts w:cs="Calibri"/>
                <w:sz w:val="18"/>
                <w:szCs w:val="18"/>
              </w:rPr>
            </w:pPr>
          </w:p>
          <w:p w14:paraId="1920BF1B" w14:textId="77777777" w:rsidR="007F4F70" w:rsidRPr="003F7F6C" w:rsidRDefault="007F4F70" w:rsidP="002B3130">
            <w:pPr>
              <w:rPr>
                <w:rFonts w:cs="Calibri"/>
                <w:sz w:val="18"/>
                <w:szCs w:val="18"/>
              </w:rPr>
            </w:pPr>
            <w:r w:rsidRPr="003F7F6C">
              <w:rPr>
                <w:rFonts w:cs="Calibri"/>
                <w:sz w:val="18"/>
                <w:szCs w:val="18"/>
              </w:rPr>
              <w:t>Assumptions:</w:t>
            </w:r>
          </w:p>
          <w:p w14:paraId="18503E3C" w14:textId="77777777" w:rsidR="007F4F70" w:rsidRPr="003F7F6C" w:rsidRDefault="007F4F70" w:rsidP="002B3130">
            <w:pPr>
              <w:rPr>
                <w:rFonts w:cs="Calibri"/>
                <w:sz w:val="18"/>
                <w:szCs w:val="18"/>
              </w:rPr>
            </w:pPr>
            <w:r w:rsidRPr="003F7F6C">
              <w:rPr>
                <w:rFonts w:cs="Calibri"/>
                <w:sz w:val="18"/>
                <w:szCs w:val="18"/>
              </w:rPr>
              <w:t>NPP is maintained and/or improved through adoption and upscaling of SLM and BD-friendly practices.</w:t>
            </w:r>
          </w:p>
          <w:p w14:paraId="59704BF4" w14:textId="77777777" w:rsidR="007E3858" w:rsidRPr="003F7F6C" w:rsidRDefault="007E3858" w:rsidP="002B3130">
            <w:pPr>
              <w:rPr>
                <w:rFonts w:cs="Calibri"/>
                <w:sz w:val="18"/>
                <w:szCs w:val="18"/>
              </w:rPr>
            </w:pPr>
            <w:r w:rsidRPr="003F7F6C">
              <w:rPr>
                <w:rFonts w:cs="Calibri"/>
                <w:sz w:val="18"/>
                <w:szCs w:val="18"/>
              </w:rPr>
              <w:t>Land cover and soil organic carbon are maintained and/or improved through adoption and upscaling of SLM practices.</w:t>
            </w:r>
          </w:p>
        </w:tc>
      </w:tr>
      <w:tr w:rsidR="007F4F70" w:rsidRPr="003F7F6C" w14:paraId="6A723116" w14:textId="77777777" w:rsidTr="002B3130">
        <w:trPr>
          <w:trHeight w:val="765"/>
        </w:trPr>
        <w:tc>
          <w:tcPr>
            <w:tcW w:w="2605" w:type="dxa"/>
            <w:vMerge w:val="restart"/>
            <w:shd w:val="pct12" w:color="auto" w:fill="auto"/>
          </w:tcPr>
          <w:p w14:paraId="66E2CAA8" w14:textId="77777777" w:rsidR="007F4F70" w:rsidRPr="003F7F6C" w:rsidRDefault="007F4F70" w:rsidP="002B3130">
            <w:pPr>
              <w:rPr>
                <w:rFonts w:cs="Calibri"/>
                <w:b/>
                <w:bCs/>
                <w:sz w:val="18"/>
                <w:szCs w:val="18"/>
              </w:rPr>
            </w:pPr>
            <w:r w:rsidRPr="003F7F6C">
              <w:rPr>
                <w:rFonts w:cs="Calibri"/>
                <w:b/>
                <w:bCs/>
                <w:sz w:val="18"/>
                <w:szCs w:val="18"/>
              </w:rPr>
              <w:t>Outcome 1</w:t>
            </w:r>
          </w:p>
          <w:p w14:paraId="258577EF" w14:textId="77777777" w:rsidR="007F4F70" w:rsidRPr="003F7F6C" w:rsidRDefault="007F4F70" w:rsidP="002B3130">
            <w:pPr>
              <w:rPr>
                <w:rFonts w:cs="Calibri"/>
                <w:b/>
                <w:sz w:val="18"/>
                <w:szCs w:val="18"/>
              </w:rPr>
            </w:pPr>
            <w:r w:rsidRPr="003F7F6C">
              <w:rPr>
                <w:rFonts w:cs="Calibri"/>
                <w:sz w:val="18"/>
                <w:szCs w:val="18"/>
              </w:rPr>
              <w:t>Federal</w:t>
            </w:r>
            <w:r w:rsidRPr="003F7F6C">
              <w:rPr>
                <w:rFonts w:cs="Calibri"/>
                <w:b/>
                <w:sz w:val="18"/>
                <w:szCs w:val="18"/>
              </w:rPr>
              <w:t xml:space="preserve"> </w:t>
            </w:r>
            <w:r w:rsidRPr="003F7F6C">
              <w:rPr>
                <w:rFonts w:cs="Calibri"/>
                <w:sz w:val="18"/>
                <w:szCs w:val="18"/>
              </w:rPr>
              <w:t>enabling</w:t>
            </w:r>
            <w:r w:rsidRPr="003F7F6C">
              <w:rPr>
                <w:rFonts w:cs="Calibri"/>
                <w:b/>
                <w:sz w:val="18"/>
                <w:szCs w:val="18"/>
              </w:rPr>
              <w:t xml:space="preserve"> </w:t>
            </w:r>
            <w:r w:rsidRPr="003F7F6C">
              <w:rPr>
                <w:rFonts w:cs="Calibri"/>
                <w:sz w:val="18"/>
                <w:szCs w:val="18"/>
              </w:rPr>
              <w:t>framework and</w:t>
            </w:r>
            <w:r w:rsidRPr="003F7F6C">
              <w:rPr>
                <w:rFonts w:cs="Calibri"/>
                <w:b/>
                <w:sz w:val="18"/>
                <w:szCs w:val="18"/>
              </w:rPr>
              <w:t xml:space="preserve"> </w:t>
            </w:r>
            <w:r w:rsidRPr="003F7F6C">
              <w:rPr>
                <w:rFonts w:cs="Calibri"/>
                <w:sz w:val="18"/>
                <w:szCs w:val="18"/>
              </w:rPr>
              <w:t>strategies to</w:t>
            </w:r>
            <w:r w:rsidRPr="003F7F6C">
              <w:rPr>
                <w:rFonts w:cs="Calibri"/>
                <w:b/>
                <w:sz w:val="18"/>
                <w:szCs w:val="18"/>
              </w:rPr>
              <w:t xml:space="preserve"> </w:t>
            </w:r>
            <w:r w:rsidRPr="003F7F6C">
              <w:rPr>
                <w:rFonts w:cs="Calibri"/>
                <w:sz w:val="18"/>
                <w:szCs w:val="18"/>
              </w:rPr>
              <w:t>reinforce</w:t>
            </w:r>
            <w:r w:rsidRPr="003F7F6C">
              <w:rPr>
                <w:rFonts w:cs="Calibri"/>
                <w:b/>
                <w:sz w:val="18"/>
                <w:szCs w:val="18"/>
              </w:rPr>
              <w:t xml:space="preserve"> </w:t>
            </w:r>
            <w:r w:rsidRPr="003F7F6C">
              <w:rPr>
                <w:rFonts w:cs="Calibri"/>
                <w:sz w:val="18"/>
                <w:szCs w:val="18"/>
              </w:rPr>
              <w:t>ELUP, and</w:t>
            </w:r>
            <w:r w:rsidRPr="003F7F6C">
              <w:rPr>
                <w:rFonts w:cs="Calibri"/>
                <w:b/>
                <w:sz w:val="18"/>
                <w:szCs w:val="18"/>
              </w:rPr>
              <w:t xml:space="preserve"> </w:t>
            </w:r>
            <w:r w:rsidRPr="003F7F6C">
              <w:rPr>
                <w:rFonts w:cs="Calibri"/>
                <w:sz w:val="18"/>
                <w:szCs w:val="18"/>
              </w:rPr>
              <w:t>underpin</w:t>
            </w:r>
            <w:r w:rsidRPr="003F7F6C">
              <w:rPr>
                <w:rFonts w:cs="Calibri"/>
                <w:b/>
                <w:sz w:val="18"/>
                <w:szCs w:val="18"/>
              </w:rPr>
              <w:t xml:space="preserve"> </w:t>
            </w:r>
            <w:r w:rsidRPr="003F7F6C">
              <w:rPr>
                <w:rFonts w:cs="Calibri"/>
                <w:sz w:val="18"/>
                <w:szCs w:val="18"/>
              </w:rPr>
              <w:t>implementation</w:t>
            </w:r>
            <w:r w:rsidRPr="003F7F6C">
              <w:rPr>
                <w:rFonts w:cs="Calibri"/>
                <w:b/>
                <w:sz w:val="18"/>
                <w:szCs w:val="18"/>
              </w:rPr>
              <w:t xml:space="preserve"> </w:t>
            </w:r>
            <w:r w:rsidRPr="003F7F6C">
              <w:rPr>
                <w:rFonts w:cs="Calibri"/>
                <w:sz w:val="18"/>
                <w:szCs w:val="18"/>
              </w:rPr>
              <w:t>in priority</w:t>
            </w:r>
            <w:r w:rsidRPr="003F7F6C">
              <w:rPr>
                <w:rFonts w:cs="Calibri"/>
                <w:b/>
                <w:sz w:val="18"/>
                <w:szCs w:val="18"/>
              </w:rPr>
              <w:t xml:space="preserve"> </w:t>
            </w:r>
            <w:r w:rsidRPr="003F7F6C">
              <w:rPr>
                <w:rFonts w:cs="Calibri"/>
                <w:sz w:val="18"/>
                <w:szCs w:val="18"/>
              </w:rPr>
              <w:t>ecosystems and</w:t>
            </w:r>
            <w:r w:rsidRPr="003F7F6C">
              <w:rPr>
                <w:rFonts w:cs="Calibri"/>
                <w:b/>
                <w:sz w:val="18"/>
                <w:szCs w:val="18"/>
              </w:rPr>
              <w:t xml:space="preserve"> </w:t>
            </w:r>
            <w:r w:rsidRPr="003F7F6C">
              <w:rPr>
                <w:rFonts w:cs="Calibri"/>
                <w:sz w:val="18"/>
                <w:szCs w:val="18"/>
              </w:rPr>
              <w:t>habitats to</w:t>
            </w:r>
            <w:r w:rsidRPr="003F7F6C">
              <w:rPr>
                <w:rFonts w:cs="Calibri"/>
                <w:b/>
                <w:sz w:val="18"/>
                <w:szCs w:val="18"/>
              </w:rPr>
              <w:t xml:space="preserve"> </w:t>
            </w:r>
            <w:r w:rsidRPr="003F7F6C">
              <w:rPr>
                <w:rFonts w:cs="Calibri"/>
                <w:sz w:val="18"/>
                <w:szCs w:val="18"/>
              </w:rPr>
              <w:t>reduce</w:t>
            </w:r>
            <w:r w:rsidRPr="003F7F6C">
              <w:rPr>
                <w:rFonts w:cs="Calibri"/>
                <w:b/>
                <w:sz w:val="18"/>
                <w:szCs w:val="18"/>
              </w:rPr>
              <w:t xml:space="preserve"> </w:t>
            </w:r>
            <w:r w:rsidRPr="003F7F6C">
              <w:rPr>
                <w:rFonts w:cs="Calibri"/>
                <w:sz w:val="18"/>
                <w:szCs w:val="18"/>
              </w:rPr>
              <w:t>pressure from</w:t>
            </w:r>
            <w:r w:rsidRPr="003F7F6C">
              <w:rPr>
                <w:rFonts w:cs="Calibri"/>
                <w:b/>
                <w:sz w:val="18"/>
                <w:szCs w:val="18"/>
              </w:rPr>
              <w:t xml:space="preserve"> </w:t>
            </w:r>
            <w:r w:rsidRPr="003F7F6C">
              <w:rPr>
                <w:rFonts w:cs="Calibri"/>
                <w:sz w:val="18"/>
                <w:szCs w:val="18"/>
              </w:rPr>
              <w:t>key production</w:t>
            </w:r>
            <w:r w:rsidRPr="003F7F6C">
              <w:rPr>
                <w:rFonts w:cs="Calibri"/>
                <w:b/>
                <w:sz w:val="18"/>
                <w:szCs w:val="18"/>
              </w:rPr>
              <w:t xml:space="preserve"> </w:t>
            </w:r>
            <w:r w:rsidRPr="003F7F6C">
              <w:rPr>
                <w:rFonts w:cs="Calibri"/>
                <w:sz w:val="18"/>
                <w:szCs w:val="18"/>
              </w:rPr>
              <w:t>sectors.</w:t>
            </w:r>
            <w:r w:rsidRPr="003F7F6C">
              <w:rPr>
                <w:rFonts w:cs="Calibri"/>
                <w:b/>
                <w:sz w:val="18"/>
                <w:szCs w:val="18"/>
              </w:rPr>
              <w:t xml:space="preserve"> </w:t>
            </w:r>
            <w:r w:rsidRPr="003F7F6C">
              <w:rPr>
                <w:rFonts w:cs="Calibri"/>
                <w:w w:val="74"/>
                <w:sz w:val="18"/>
                <w:szCs w:val="18"/>
              </w:rPr>
              <w:t>(</w:t>
            </w:r>
            <w:r w:rsidRPr="003F7F6C">
              <w:rPr>
                <w:rFonts w:cs="Calibri"/>
                <w:w w:val="98"/>
                <w:sz w:val="18"/>
                <w:szCs w:val="18"/>
              </w:rPr>
              <w:t>target sectors:</w:t>
            </w:r>
            <w:r w:rsidRPr="003F7F6C">
              <w:rPr>
                <w:rFonts w:cs="Calibri"/>
                <w:b/>
                <w:sz w:val="18"/>
                <w:szCs w:val="18"/>
              </w:rPr>
              <w:t xml:space="preserve"> </w:t>
            </w:r>
            <w:r w:rsidRPr="003F7F6C">
              <w:rPr>
                <w:rFonts w:cs="Calibri"/>
                <w:sz w:val="18"/>
                <w:szCs w:val="18"/>
              </w:rPr>
              <w:t>agriculture &amp;</w:t>
            </w:r>
            <w:r w:rsidRPr="003F7F6C">
              <w:rPr>
                <w:rFonts w:cs="Calibri"/>
                <w:b/>
                <w:sz w:val="18"/>
                <w:szCs w:val="18"/>
              </w:rPr>
              <w:t xml:space="preserve"> </w:t>
            </w:r>
            <w:r w:rsidRPr="003F7F6C">
              <w:rPr>
                <w:rFonts w:cs="Calibri"/>
                <w:sz w:val="18"/>
                <w:szCs w:val="18"/>
              </w:rPr>
              <w:t xml:space="preserve">livestock; mining and peri-urban infrastructure, tourism) </w:t>
            </w:r>
          </w:p>
          <w:p w14:paraId="0C56CAB1" w14:textId="77777777" w:rsidR="007F4F70" w:rsidRPr="003F7F6C" w:rsidRDefault="007F4F70" w:rsidP="002B3130">
            <w:pPr>
              <w:rPr>
                <w:rFonts w:cs="Calibri"/>
                <w:b/>
                <w:bCs/>
                <w:i/>
                <w:sz w:val="18"/>
                <w:szCs w:val="18"/>
              </w:rPr>
            </w:pPr>
          </w:p>
          <w:p w14:paraId="78AAAAFC" w14:textId="77777777" w:rsidR="007F4F70" w:rsidRPr="003F7F6C" w:rsidRDefault="007F4F70" w:rsidP="002B3130">
            <w:pPr>
              <w:rPr>
                <w:rFonts w:cs="Calibri"/>
                <w:bCs/>
                <w:i/>
                <w:sz w:val="18"/>
                <w:szCs w:val="18"/>
              </w:rPr>
            </w:pPr>
          </w:p>
        </w:tc>
        <w:tc>
          <w:tcPr>
            <w:tcW w:w="2493" w:type="dxa"/>
            <w:vMerge w:val="restart"/>
          </w:tcPr>
          <w:p w14:paraId="466E78B6" w14:textId="77777777" w:rsidR="007F4F70" w:rsidRPr="003F7F6C" w:rsidRDefault="007F4F70" w:rsidP="002B3130">
            <w:pPr>
              <w:jc w:val="left"/>
              <w:rPr>
                <w:rFonts w:cs="Calibri"/>
                <w:bCs/>
                <w:sz w:val="18"/>
                <w:szCs w:val="18"/>
              </w:rPr>
            </w:pPr>
            <w:r w:rsidRPr="003F7F6C">
              <w:rPr>
                <w:rFonts w:cs="Calibri"/>
                <w:bCs/>
                <w:sz w:val="18"/>
                <w:szCs w:val="18"/>
              </w:rPr>
              <w:t xml:space="preserve">Indicator </w:t>
            </w:r>
            <w:r w:rsidR="009B53ED" w:rsidRPr="003F7F6C">
              <w:rPr>
                <w:rFonts w:cs="Calibri"/>
                <w:bCs/>
                <w:sz w:val="18"/>
                <w:szCs w:val="18"/>
              </w:rPr>
              <w:t>4</w:t>
            </w:r>
            <w:r w:rsidRPr="003F7F6C">
              <w:rPr>
                <w:rFonts w:cs="Calibri"/>
                <w:bCs/>
                <w:sz w:val="18"/>
                <w:szCs w:val="18"/>
              </w:rPr>
              <w:t>: Capacity to plan and implement ELUP &amp; ES valuation in development plans and sector financing to reduce threats to BD &amp; LD in priority areas, measured by:</w:t>
            </w:r>
          </w:p>
          <w:p w14:paraId="1719BF01" w14:textId="77777777" w:rsidR="007F4F70" w:rsidRPr="003F7F6C" w:rsidRDefault="007F4F70" w:rsidP="002B3130">
            <w:pPr>
              <w:jc w:val="left"/>
              <w:rPr>
                <w:rFonts w:cs="Calibri"/>
                <w:bCs/>
                <w:sz w:val="18"/>
                <w:szCs w:val="18"/>
              </w:rPr>
            </w:pPr>
            <w:r w:rsidRPr="003F7F6C">
              <w:rPr>
                <w:rFonts w:cs="Calibri"/>
                <w:bCs/>
                <w:sz w:val="18"/>
                <w:szCs w:val="18"/>
              </w:rPr>
              <w:t>a) 20% increase in Adapted</w:t>
            </w:r>
            <w:r w:rsidR="00AB0608" w:rsidRPr="003F7F6C">
              <w:rPr>
                <w:rFonts w:cs="Calibri"/>
                <w:bCs/>
                <w:sz w:val="18"/>
                <w:szCs w:val="18"/>
              </w:rPr>
              <w:t xml:space="preserve"> </w:t>
            </w:r>
            <w:r w:rsidRPr="003F7F6C">
              <w:rPr>
                <w:rFonts w:cs="Calibri"/>
                <w:bCs/>
                <w:sz w:val="18"/>
                <w:szCs w:val="18"/>
              </w:rPr>
              <w:t xml:space="preserve">UNDP Capacity Scorecard ratings of SGAyDS and other sectoral institutions </w:t>
            </w:r>
          </w:p>
          <w:p w14:paraId="51C13785" w14:textId="77777777" w:rsidR="007F4F70" w:rsidRPr="003F7F6C" w:rsidRDefault="007F4F70" w:rsidP="002B3130">
            <w:pPr>
              <w:jc w:val="left"/>
              <w:rPr>
                <w:rFonts w:cs="Calibri"/>
                <w:bCs/>
                <w:sz w:val="18"/>
                <w:szCs w:val="18"/>
              </w:rPr>
            </w:pPr>
            <w:r w:rsidRPr="003F7F6C">
              <w:rPr>
                <w:rFonts w:cs="Calibri"/>
                <w:bCs/>
                <w:sz w:val="18"/>
                <w:szCs w:val="18"/>
              </w:rPr>
              <w:t xml:space="preserve">b) Percentage of sector financing instruments that mainstream ELUP and new production guidelines and/or improved access to instruments </w:t>
            </w:r>
          </w:p>
          <w:p w14:paraId="7C7BBEF5" w14:textId="77777777" w:rsidR="007F4F70" w:rsidRPr="003F7F6C" w:rsidRDefault="007F4F70" w:rsidP="002B3130">
            <w:pPr>
              <w:rPr>
                <w:rFonts w:cs="Calibri"/>
                <w:bCs/>
                <w:sz w:val="18"/>
                <w:szCs w:val="18"/>
              </w:rPr>
            </w:pPr>
          </w:p>
        </w:tc>
        <w:tc>
          <w:tcPr>
            <w:tcW w:w="2268" w:type="dxa"/>
            <w:vMerge w:val="restart"/>
          </w:tcPr>
          <w:p w14:paraId="3259AE72" w14:textId="77777777" w:rsidR="007F4F70" w:rsidRPr="003F7F6C" w:rsidRDefault="007F4F70" w:rsidP="002B3130">
            <w:pPr>
              <w:rPr>
                <w:rFonts w:cs="Calibri"/>
                <w:bCs/>
                <w:sz w:val="18"/>
                <w:szCs w:val="18"/>
              </w:rPr>
            </w:pPr>
            <w:r w:rsidRPr="003F7F6C">
              <w:rPr>
                <w:rFonts w:cs="Calibri"/>
                <w:bCs/>
                <w:sz w:val="18"/>
                <w:szCs w:val="18"/>
              </w:rPr>
              <w:t xml:space="preserve">a) 46.6% </w:t>
            </w:r>
          </w:p>
          <w:p w14:paraId="3586258E" w14:textId="77777777" w:rsidR="007F4F70" w:rsidRPr="003F7F6C" w:rsidRDefault="007F4F70" w:rsidP="002B3130">
            <w:pPr>
              <w:jc w:val="left"/>
              <w:rPr>
                <w:rFonts w:cs="Calibri"/>
                <w:bCs/>
                <w:sz w:val="18"/>
                <w:szCs w:val="18"/>
              </w:rPr>
            </w:pPr>
            <w:r w:rsidRPr="003F7F6C">
              <w:rPr>
                <w:rFonts w:cs="Calibri"/>
                <w:bCs/>
                <w:sz w:val="18"/>
                <w:szCs w:val="18"/>
              </w:rPr>
              <w:t>(maximum score 100% on Adapted UNDP Capacity scorecard) for SGAyDS</w:t>
            </w:r>
          </w:p>
          <w:p w14:paraId="765B7FC4" w14:textId="77777777" w:rsidR="007F4F70" w:rsidRPr="003F7F6C" w:rsidRDefault="007F4F70" w:rsidP="002B3130">
            <w:pPr>
              <w:rPr>
                <w:rFonts w:cs="Calibri"/>
                <w:bCs/>
                <w:sz w:val="18"/>
                <w:szCs w:val="18"/>
              </w:rPr>
            </w:pPr>
            <w:r w:rsidRPr="003F7F6C">
              <w:rPr>
                <w:rFonts w:cs="Calibri"/>
                <w:bCs/>
                <w:sz w:val="18"/>
                <w:szCs w:val="18"/>
              </w:rPr>
              <w:t>Other</w:t>
            </w:r>
            <w:r w:rsidR="007E3858" w:rsidRPr="003F7F6C">
              <w:rPr>
                <w:rFonts w:cs="Calibri"/>
                <w:bCs/>
                <w:sz w:val="18"/>
                <w:szCs w:val="18"/>
              </w:rPr>
              <w:t xml:space="preserve"> sectoral</w:t>
            </w:r>
            <w:r w:rsidRPr="003F7F6C">
              <w:rPr>
                <w:rFonts w:cs="Calibri"/>
                <w:bCs/>
                <w:sz w:val="18"/>
                <w:szCs w:val="18"/>
              </w:rPr>
              <w:t xml:space="preserve"> institutions will be selected in PY1.</w:t>
            </w:r>
          </w:p>
          <w:p w14:paraId="2F417179" w14:textId="77777777" w:rsidR="007F4F70" w:rsidRPr="003F7F6C" w:rsidRDefault="007F4F70" w:rsidP="002B3130">
            <w:pPr>
              <w:rPr>
                <w:rFonts w:cs="Calibri"/>
                <w:bCs/>
                <w:sz w:val="18"/>
                <w:szCs w:val="18"/>
              </w:rPr>
            </w:pPr>
          </w:p>
          <w:p w14:paraId="7CAAFEC1" w14:textId="77777777" w:rsidR="007F4F70" w:rsidRPr="003F7F6C" w:rsidRDefault="007F4F70" w:rsidP="002B3130">
            <w:pPr>
              <w:jc w:val="left"/>
              <w:rPr>
                <w:rFonts w:cs="Calibri"/>
                <w:bCs/>
                <w:sz w:val="18"/>
                <w:szCs w:val="18"/>
              </w:rPr>
            </w:pPr>
            <w:r w:rsidRPr="003F7F6C">
              <w:rPr>
                <w:rFonts w:cs="Calibri"/>
                <w:bCs/>
                <w:sz w:val="18"/>
                <w:szCs w:val="18"/>
              </w:rPr>
              <w:t>b) 12 economic instruments related to LD, BD and sustainable development: i) Native Forest Law Fund, ii) Forest Plantations Fund, iii) Sheep Recovery Fund, iv) Inclusive Rural Development Program, v) Rural Area Development Program, vi) Technology Fund, vii) Social Actors Demand Council Program, viii) Seed Fund, ix) Tourism Program, x) Sustainable Territorial Innovation, xi) Galicia Bank credit line, xii) Provincial Agricultural Services Program. 7 instruments partially include ELUP criteria or aspects related to ELUP.</w:t>
            </w:r>
          </w:p>
        </w:tc>
        <w:tc>
          <w:tcPr>
            <w:tcW w:w="1956" w:type="dxa"/>
            <w:vMerge w:val="restart"/>
          </w:tcPr>
          <w:p w14:paraId="46FC1D1C" w14:textId="77777777" w:rsidR="007F4F70" w:rsidRPr="003F7F6C" w:rsidRDefault="007F4F70" w:rsidP="002B3130">
            <w:pPr>
              <w:rPr>
                <w:rFonts w:cs="Calibri"/>
                <w:bCs/>
                <w:sz w:val="18"/>
                <w:szCs w:val="18"/>
              </w:rPr>
            </w:pPr>
            <w:r w:rsidRPr="003F7F6C">
              <w:rPr>
                <w:rFonts w:cs="Calibri"/>
                <w:bCs/>
                <w:sz w:val="18"/>
                <w:szCs w:val="18"/>
              </w:rPr>
              <w:t xml:space="preserve">a) 50% </w:t>
            </w:r>
          </w:p>
          <w:p w14:paraId="50F5A3B2" w14:textId="77777777" w:rsidR="007F4F70" w:rsidRPr="003F7F6C" w:rsidRDefault="007F4F70" w:rsidP="002B3130">
            <w:pPr>
              <w:jc w:val="left"/>
              <w:rPr>
                <w:rFonts w:cs="Calibri"/>
                <w:bCs/>
                <w:sz w:val="18"/>
                <w:szCs w:val="18"/>
              </w:rPr>
            </w:pPr>
            <w:r w:rsidRPr="003F7F6C">
              <w:rPr>
                <w:rFonts w:cs="Calibri"/>
                <w:bCs/>
                <w:sz w:val="18"/>
                <w:szCs w:val="18"/>
              </w:rPr>
              <w:t>(maximum score 100% on Adapted UNDP Capacity scorecard)</w:t>
            </w:r>
          </w:p>
          <w:p w14:paraId="7A95CC69" w14:textId="77777777" w:rsidR="007F4F70" w:rsidRPr="003F7F6C" w:rsidRDefault="007F4F70" w:rsidP="002B3130">
            <w:pPr>
              <w:rPr>
                <w:rFonts w:cs="Calibri"/>
                <w:bCs/>
                <w:sz w:val="18"/>
                <w:szCs w:val="18"/>
              </w:rPr>
            </w:pPr>
          </w:p>
          <w:p w14:paraId="5FCFD5CC" w14:textId="77777777" w:rsidR="007F4F70" w:rsidRPr="003F7F6C" w:rsidRDefault="007F4F70" w:rsidP="002B3130">
            <w:pPr>
              <w:rPr>
                <w:rFonts w:cs="Calibri"/>
                <w:bCs/>
                <w:sz w:val="18"/>
                <w:szCs w:val="18"/>
              </w:rPr>
            </w:pPr>
          </w:p>
          <w:p w14:paraId="4349E47A" w14:textId="77777777" w:rsidR="007F4F70" w:rsidRPr="003F7F6C" w:rsidRDefault="007F4F70" w:rsidP="002B3130">
            <w:pPr>
              <w:rPr>
                <w:rFonts w:cs="Calibri"/>
                <w:bCs/>
                <w:sz w:val="18"/>
                <w:szCs w:val="18"/>
              </w:rPr>
            </w:pPr>
          </w:p>
          <w:p w14:paraId="04CEEF58" w14:textId="77777777" w:rsidR="007F4F70" w:rsidRPr="003F7F6C" w:rsidRDefault="007F4F70" w:rsidP="002B3130">
            <w:pPr>
              <w:jc w:val="left"/>
              <w:rPr>
                <w:rFonts w:cs="Calibri"/>
                <w:bCs/>
                <w:sz w:val="18"/>
                <w:szCs w:val="18"/>
              </w:rPr>
            </w:pPr>
            <w:r w:rsidRPr="003F7F6C">
              <w:rPr>
                <w:rFonts w:cs="Calibri"/>
                <w:bCs/>
                <w:sz w:val="18"/>
                <w:szCs w:val="18"/>
              </w:rPr>
              <w:t>b) Inter-sectoral coordination established and agreed for mainstreaming of ELUP criteria</w:t>
            </w:r>
          </w:p>
          <w:p w14:paraId="11C0C057" w14:textId="77777777" w:rsidR="007F4F70" w:rsidRPr="003F7F6C" w:rsidRDefault="007F4F70" w:rsidP="002B3130">
            <w:pPr>
              <w:rPr>
                <w:rFonts w:cs="Calibri"/>
                <w:bCs/>
                <w:sz w:val="18"/>
                <w:szCs w:val="18"/>
              </w:rPr>
            </w:pPr>
          </w:p>
        </w:tc>
        <w:tc>
          <w:tcPr>
            <w:tcW w:w="2119" w:type="dxa"/>
            <w:vMerge w:val="restart"/>
          </w:tcPr>
          <w:p w14:paraId="2A9F7404" w14:textId="77777777" w:rsidR="007F4F70" w:rsidRPr="003F7F6C" w:rsidRDefault="007F4F70" w:rsidP="002B3130">
            <w:pPr>
              <w:rPr>
                <w:rFonts w:cs="Calibri"/>
                <w:bCs/>
                <w:sz w:val="18"/>
                <w:szCs w:val="18"/>
              </w:rPr>
            </w:pPr>
            <w:r w:rsidRPr="003F7F6C">
              <w:rPr>
                <w:rFonts w:cs="Calibri"/>
                <w:bCs/>
                <w:sz w:val="18"/>
                <w:szCs w:val="18"/>
              </w:rPr>
              <w:t>a) 56%</w:t>
            </w:r>
          </w:p>
          <w:p w14:paraId="42328FF3" w14:textId="77777777" w:rsidR="007F4F70" w:rsidRPr="003F7F6C" w:rsidRDefault="007F4F70" w:rsidP="002B3130">
            <w:pPr>
              <w:jc w:val="left"/>
              <w:rPr>
                <w:rFonts w:cs="Calibri"/>
                <w:bCs/>
                <w:sz w:val="18"/>
                <w:szCs w:val="18"/>
              </w:rPr>
            </w:pPr>
            <w:r w:rsidRPr="003F7F6C">
              <w:rPr>
                <w:rFonts w:cs="Calibri"/>
                <w:bCs/>
                <w:sz w:val="18"/>
                <w:szCs w:val="18"/>
              </w:rPr>
              <w:t>(maximum score 100% on Adapted UNDP Capacity scorecard) for SGAyDS</w:t>
            </w:r>
          </w:p>
          <w:p w14:paraId="28C93698" w14:textId="77777777" w:rsidR="007F4F70" w:rsidRPr="003F7F6C" w:rsidRDefault="007F4F70" w:rsidP="002B3130">
            <w:pPr>
              <w:jc w:val="left"/>
              <w:rPr>
                <w:rFonts w:cs="Calibri"/>
                <w:bCs/>
                <w:color w:val="FF0000"/>
                <w:sz w:val="18"/>
                <w:szCs w:val="18"/>
              </w:rPr>
            </w:pPr>
            <w:r w:rsidRPr="003F7F6C">
              <w:rPr>
                <w:rFonts w:cs="Calibri"/>
                <w:bCs/>
                <w:sz w:val="18"/>
                <w:szCs w:val="18"/>
              </w:rPr>
              <w:t>20% increase for</w:t>
            </w:r>
            <w:r w:rsidR="007E3858" w:rsidRPr="003F7F6C">
              <w:rPr>
                <w:rFonts w:cs="Calibri"/>
                <w:bCs/>
                <w:sz w:val="18"/>
                <w:szCs w:val="18"/>
              </w:rPr>
              <w:t xml:space="preserve"> the sectoral</w:t>
            </w:r>
            <w:r w:rsidRPr="003F7F6C">
              <w:rPr>
                <w:rFonts w:cs="Calibri"/>
                <w:bCs/>
                <w:sz w:val="18"/>
                <w:szCs w:val="18"/>
              </w:rPr>
              <w:t xml:space="preserve"> institutions</w:t>
            </w:r>
            <w:r w:rsidR="007E3858" w:rsidRPr="003F7F6C">
              <w:rPr>
                <w:rFonts w:cs="Calibri"/>
                <w:bCs/>
                <w:sz w:val="18"/>
                <w:szCs w:val="18"/>
              </w:rPr>
              <w:t xml:space="preserve"> selected in PY1</w:t>
            </w:r>
          </w:p>
          <w:p w14:paraId="4A402C7A" w14:textId="77777777" w:rsidR="007F4F70" w:rsidRPr="003F7F6C" w:rsidRDefault="007F4F70" w:rsidP="002B3130">
            <w:pPr>
              <w:rPr>
                <w:rFonts w:cs="Calibri"/>
                <w:bCs/>
                <w:sz w:val="18"/>
                <w:szCs w:val="18"/>
              </w:rPr>
            </w:pPr>
          </w:p>
          <w:p w14:paraId="1AF71432" w14:textId="77777777" w:rsidR="007F4F70" w:rsidRPr="003F7F6C" w:rsidRDefault="007F4F70" w:rsidP="002B3130">
            <w:pPr>
              <w:jc w:val="left"/>
              <w:rPr>
                <w:rFonts w:cs="Calibri"/>
                <w:bCs/>
                <w:sz w:val="18"/>
                <w:szCs w:val="18"/>
              </w:rPr>
            </w:pPr>
            <w:r w:rsidRPr="003F7F6C">
              <w:rPr>
                <w:rFonts w:cs="Calibri"/>
                <w:bCs/>
                <w:sz w:val="18"/>
                <w:szCs w:val="18"/>
              </w:rPr>
              <w:t>b) At least 50% have mainstreamed ELUP in their funding eligibility criteria</w:t>
            </w:r>
          </w:p>
          <w:p w14:paraId="13CE8DC5" w14:textId="77777777" w:rsidR="007F4F70" w:rsidRPr="003F7F6C" w:rsidRDefault="007F4F70" w:rsidP="002B3130">
            <w:pPr>
              <w:jc w:val="left"/>
              <w:rPr>
                <w:rFonts w:cs="Calibri"/>
                <w:bCs/>
                <w:sz w:val="18"/>
                <w:szCs w:val="18"/>
              </w:rPr>
            </w:pPr>
            <w:r w:rsidRPr="003F7F6C">
              <w:rPr>
                <w:rFonts w:cs="Calibri"/>
                <w:bCs/>
                <w:sz w:val="18"/>
                <w:szCs w:val="18"/>
              </w:rPr>
              <w:t>(Forest Plantations Fund; Sheep Recovery Fund; Goat Production Fund; Galicia Bank; others tbd)</w:t>
            </w:r>
          </w:p>
          <w:p w14:paraId="76217C9B" w14:textId="77777777" w:rsidR="007F4F70" w:rsidRPr="003F7F6C" w:rsidRDefault="007F4F70" w:rsidP="002B3130">
            <w:pPr>
              <w:rPr>
                <w:rFonts w:cs="Calibri"/>
                <w:bCs/>
                <w:sz w:val="18"/>
                <w:szCs w:val="18"/>
              </w:rPr>
            </w:pPr>
          </w:p>
        </w:tc>
        <w:tc>
          <w:tcPr>
            <w:tcW w:w="2949" w:type="dxa"/>
          </w:tcPr>
          <w:p w14:paraId="7DB62F6E" w14:textId="77777777" w:rsidR="007F4F70" w:rsidRPr="003F7F6C" w:rsidRDefault="007F4F70" w:rsidP="002B3130">
            <w:pPr>
              <w:rPr>
                <w:rFonts w:cs="Calibri"/>
                <w:sz w:val="18"/>
                <w:szCs w:val="18"/>
              </w:rPr>
            </w:pPr>
            <w:r w:rsidRPr="003F7F6C">
              <w:rPr>
                <w:rFonts w:cs="Calibri"/>
                <w:sz w:val="18"/>
                <w:szCs w:val="18"/>
              </w:rPr>
              <w:t>Periodic project monitoring</w:t>
            </w:r>
          </w:p>
          <w:p w14:paraId="5146892B" w14:textId="77777777" w:rsidR="007F4F70" w:rsidRPr="003F7F6C" w:rsidRDefault="007F4F70" w:rsidP="00AB0608">
            <w:pPr>
              <w:jc w:val="left"/>
              <w:rPr>
                <w:rFonts w:cs="Calibri"/>
                <w:sz w:val="18"/>
                <w:szCs w:val="18"/>
              </w:rPr>
            </w:pPr>
            <w:r w:rsidRPr="003F7F6C">
              <w:rPr>
                <w:rFonts w:cs="Calibri"/>
                <w:sz w:val="18"/>
                <w:szCs w:val="18"/>
              </w:rPr>
              <w:t>Interviews with key staff and authorities</w:t>
            </w:r>
          </w:p>
          <w:p w14:paraId="1A091A5A" w14:textId="77777777" w:rsidR="007F4F70" w:rsidRPr="003F7F6C" w:rsidRDefault="007F4F70" w:rsidP="00AB0608">
            <w:pPr>
              <w:jc w:val="left"/>
              <w:rPr>
                <w:rFonts w:cs="Calibri"/>
                <w:sz w:val="18"/>
                <w:szCs w:val="18"/>
              </w:rPr>
            </w:pPr>
            <w:r w:rsidRPr="003F7F6C">
              <w:rPr>
                <w:rFonts w:cs="Calibri"/>
                <w:sz w:val="18"/>
                <w:szCs w:val="18"/>
              </w:rPr>
              <w:t>Capacity Scorecard applied at mid-term and end of project</w:t>
            </w:r>
          </w:p>
          <w:p w14:paraId="6A44BF77" w14:textId="77777777" w:rsidR="007F4F70" w:rsidRPr="003F7F6C" w:rsidRDefault="007F4F70" w:rsidP="00AB0608">
            <w:pPr>
              <w:jc w:val="left"/>
              <w:rPr>
                <w:rFonts w:cs="Calibri"/>
                <w:sz w:val="18"/>
                <w:szCs w:val="18"/>
              </w:rPr>
            </w:pPr>
            <w:r w:rsidRPr="003F7F6C">
              <w:rPr>
                <w:rFonts w:cs="Calibri"/>
                <w:sz w:val="18"/>
                <w:szCs w:val="18"/>
              </w:rPr>
              <w:t>Review of economic instruments and confirmation of inclusion of ELUP</w:t>
            </w:r>
          </w:p>
        </w:tc>
      </w:tr>
      <w:tr w:rsidR="007F4F70" w:rsidRPr="003F7F6C" w14:paraId="37D9145B" w14:textId="77777777" w:rsidTr="002B3130">
        <w:trPr>
          <w:trHeight w:val="765"/>
        </w:trPr>
        <w:tc>
          <w:tcPr>
            <w:tcW w:w="2605" w:type="dxa"/>
            <w:vMerge/>
            <w:shd w:val="pct12" w:color="auto" w:fill="auto"/>
          </w:tcPr>
          <w:p w14:paraId="39D218AC" w14:textId="77777777" w:rsidR="007F4F70" w:rsidRPr="003F7F6C" w:rsidRDefault="007F4F70" w:rsidP="002B3130">
            <w:pPr>
              <w:rPr>
                <w:rFonts w:cs="Calibri"/>
                <w:b/>
                <w:bCs/>
                <w:sz w:val="18"/>
                <w:szCs w:val="18"/>
              </w:rPr>
            </w:pPr>
          </w:p>
        </w:tc>
        <w:tc>
          <w:tcPr>
            <w:tcW w:w="2493" w:type="dxa"/>
            <w:vMerge/>
          </w:tcPr>
          <w:p w14:paraId="4C0945BE" w14:textId="77777777" w:rsidR="007F4F70" w:rsidRPr="003F7F6C" w:rsidRDefault="007F4F70" w:rsidP="002B3130">
            <w:pPr>
              <w:rPr>
                <w:rFonts w:cs="Calibri"/>
                <w:bCs/>
                <w:i/>
                <w:sz w:val="18"/>
                <w:szCs w:val="18"/>
              </w:rPr>
            </w:pPr>
          </w:p>
        </w:tc>
        <w:tc>
          <w:tcPr>
            <w:tcW w:w="2268" w:type="dxa"/>
            <w:vMerge/>
          </w:tcPr>
          <w:p w14:paraId="1AC559E6" w14:textId="77777777" w:rsidR="007F4F70" w:rsidRPr="003F7F6C" w:rsidRDefault="007F4F70" w:rsidP="002B3130">
            <w:pPr>
              <w:rPr>
                <w:rFonts w:cs="Calibri"/>
                <w:bCs/>
                <w:i/>
                <w:sz w:val="18"/>
                <w:szCs w:val="18"/>
              </w:rPr>
            </w:pPr>
          </w:p>
        </w:tc>
        <w:tc>
          <w:tcPr>
            <w:tcW w:w="1956" w:type="dxa"/>
            <w:vMerge/>
          </w:tcPr>
          <w:p w14:paraId="20169829" w14:textId="77777777" w:rsidR="007F4F70" w:rsidRPr="003F7F6C" w:rsidRDefault="007F4F70" w:rsidP="002B3130">
            <w:pPr>
              <w:rPr>
                <w:rFonts w:cs="Calibri"/>
                <w:bCs/>
                <w:i/>
                <w:sz w:val="18"/>
                <w:szCs w:val="18"/>
              </w:rPr>
            </w:pPr>
          </w:p>
        </w:tc>
        <w:tc>
          <w:tcPr>
            <w:tcW w:w="2119" w:type="dxa"/>
            <w:vMerge/>
          </w:tcPr>
          <w:p w14:paraId="1DD81AF0" w14:textId="77777777" w:rsidR="007F4F70" w:rsidRPr="003F7F6C" w:rsidRDefault="007F4F70" w:rsidP="002B3130">
            <w:pPr>
              <w:rPr>
                <w:rFonts w:cs="Calibri"/>
                <w:bCs/>
                <w:i/>
                <w:sz w:val="18"/>
                <w:szCs w:val="18"/>
              </w:rPr>
            </w:pPr>
          </w:p>
        </w:tc>
        <w:tc>
          <w:tcPr>
            <w:tcW w:w="2949" w:type="dxa"/>
          </w:tcPr>
          <w:p w14:paraId="068E2BF4" w14:textId="77777777" w:rsidR="007F4F70" w:rsidRPr="003F7F6C" w:rsidRDefault="007F4F70" w:rsidP="002B3130">
            <w:pPr>
              <w:rPr>
                <w:rFonts w:cs="Calibri"/>
              </w:rPr>
            </w:pPr>
            <w:r w:rsidRPr="003F7F6C">
              <w:rPr>
                <w:rFonts w:cs="Calibri"/>
              </w:rPr>
              <w:t>Risks:</w:t>
            </w:r>
          </w:p>
          <w:p w14:paraId="1738DD0D" w14:textId="77777777" w:rsidR="007F4F70" w:rsidRPr="003F7F6C" w:rsidRDefault="007F4F70" w:rsidP="00AB0608">
            <w:pPr>
              <w:jc w:val="left"/>
              <w:rPr>
                <w:rFonts w:cs="Calibri"/>
                <w:sz w:val="18"/>
                <w:szCs w:val="18"/>
              </w:rPr>
            </w:pPr>
            <w:r w:rsidRPr="003F7F6C">
              <w:rPr>
                <w:rFonts w:cs="Calibri"/>
                <w:sz w:val="18"/>
                <w:szCs w:val="18"/>
              </w:rPr>
              <w:t>Lack of political will and weak institutional management / lack of interest of financial institutions reduce ELUP efficiency</w:t>
            </w:r>
          </w:p>
          <w:p w14:paraId="7B84F20B" w14:textId="77777777" w:rsidR="007F4F70" w:rsidRPr="003F7F6C" w:rsidRDefault="007F4F70" w:rsidP="002B3130">
            <w:pPr>
              <w:rPr>
                <w:rFonts w:cs="Calibri"/>
              </w:rPr>
            </w:pPr>
          </w:p>
          <w:p w14:paraId="36468449" w14:textId="77777777" w:rsidR="007F4F70" w:rsidRPr="003F7F6C" w:rsidRDefault="007F4F70" w:rsidP="002B3130">
            <w:pPr>
              <w:rPr>
                <w:rFonts w:cs="Calibri"/>
              </w:rPr>
            </w:pPr>
            <w:r w:rsidRPr="003F7F6C">
              <w:rPr>
                <w:rFonts w:cs="Calibri"/>
              </w:rPr>
              <w:t>Assumptions:</w:t>
            </w:r>
          </w:p>
          <w:p w14:paraId="4A4DBAC3" w14:textId="77777777" w:rsidR="007F4F70" w:rsidRPr="003F7F6C" w:rsidRDefault="007F4F70" w:rsidP="00AB0608">
            <w:pPr>
              <w:jc w:val="left"/>
              <w:rPr>
                <w:rFonts w:cs="Calibri"/>
                <w:bCs/>
                <w:sz w:val="18"/>
                <w:szCs w:val="18"/>
              </w:rPr>
            </w:pPr>
            <w:r w:rsidRPr="003F7F6C">
              <w:rPr>
                <w:rFonts w:cs="Calibri"/>
                <w:bCs/>
                <w:sz w:val="18"/>
                <w:szCs w:val="18"/>
              </w:rPr>
              <w:t>Government/private sector institutions recognize the need to improve institutional processes, collaboration and cooperation, are receptive and supportive of  ELUP processes</w:t>
            </w:r>
          </w:p>
          <w:p w14:paraId="2302A74E" w14:textId="77777777" w:rsidR="007F4F70" w:rsidRPr="003F7F6C" w:rsidRDefault="007F4F70" w:rsidP="002B3130">
            <w:pPr>
              <w:rPr>
                <w:rFonts w:cs="Calibri"/>
              </w:rPr>
            </w:pPr>
          </w:p>
        </w:tc>
      </w:tr>
      <w:tr w:rsidR="007F4F70" w:rsidRPr="003F7F6C" w14:paraId="05289C50" w14:textId="77777777" w:rsidTr="002B3130">
        <w:trPr>
          <w:trHeight w:val="765"/>
        </w:trPr>
        <w:tc>
          <w:tcPr>
            <w:tcW w:w="2605" w:type="dxa"/>
            <w:vMerge/>
            <w:shd w:val="pct12" w:color="auto" w:fill="auto"/>
          </w:tcPr>
          <w:p w14:paraId="1DEEC9AB" w14:textId="77777777" w:rsidR="007F4F70" w:rsidRPr="003F7F6C" w:rsidRDefault="007F4F70" w:rsidP="002B3130">
            <w:pPr>
              <w:rPr>
                <w:rFonts w:cs="Calibri"/>
                <w:b/>
                <w:bCs/>
                <w:sz w:val="18"/>
                <w:szCs w:val="18"/>
              </w:rPr>
            </w:pPr>
          </w:p>
        </w:tc>
        <w:tc>
          <w:tcPr>
            <w:tcW w:w="2493" w:type="dxa"/>
            <w:vMerge w:val="restart"/>
          </w:tcPr>
          <w:p w14:paraId="6CBB5A18" w14:textId="036F22C7" w:rsidR="007F4F70" w:rsidRPr="003F7F6C" w:rsidRDefault="007F4F70" w:rsidP="002B3130">
            <w:pPr>
              <w:jc w:val="left"/>
              <w:rPr>
                <w:rFonts w:cs="Calibri"/>
                <w:sz w:val="18"/>
                <w:szCs w:val="18"/>
              </w:rPr>
            </w:pPr>
            <w:r w:rsidRPr="003F7F6C">
              <w:rPr>
                <w:rFonts w:cs="Calibri"/>
                <w:sz w:val="18"/>
                <w:szCs w:val="18"/>
              </w:rPr>
              <w:t xml:space="preserve">Indicator </w:t>
            </w:r>
            <w:r w:rsidR="00993773" w:rsidRPr="003F7F6C">
              <w:rPr>
                <w:rFonts w:cs="Calibri"/>
                <w:sz w:val="18"/>
                <w:szCs w:val="18"/>
              </w:rPr>
              <w:t>5</w:t>
            </w:r>
            <w:r w:rsidRPr="003F7F6C">
              <w:rPr>
                <w:rFonts w:cs="Calibri"/>
                <w:sz w:val="18"/>
                <w:szCs w:val="18"/>
              </w:rPr>
              <w:t>: Number and type of national level land-use policy, planning, strategy and regulatory instruments that mainstream ELUP</w:t>
            </w:r>
            <w:r w:rsidR="007E3858" w:rsidRPr="003F7F6C">
              <w:rPr>
                <w:rFonts w:cs="Calibri"/>
                <w:sz w:val="18"/>
                <w:szCs w:val="18"/>
              </w:rPr>
              <w:t>.</w:t>
            </w:r>
          </w:p>
        </w:tc>
        <w:tc>
          <w:tcPr>
            <w:tcW w:w="2268" w:type="dxa"/>
            <w:vMerge w:val="restart"/>
          </w:tcPr>
          <w:p w14:paraId="6A7C34AA" w14:textId="77777777" w:rsidR="007F4F70" w:rsidRPr="003F7F6C" w:rsidRDefault="007F4F70" w:rsidP="002B3130">
            <w:pPr>
              <w:jc w:val="left"/>
              <w:rPr>
                <w:rFonts w:cs="Calibri"/>
                <w:bCs/>
                <w:i/>
                <w:sz w:val="18"/>
                <w:szCs w:val="18"/>
              </w:rPr>
            </w:pPr>
            <w:r w:rsidRPr="003F7F6C">
              <w:rPr>
                <w:rFonts w:cs="Calibri"/>
                <w:bCs/>
                <w:sz w:val="18"/>
                <w:szCs w:val="18"/>
              </w:rPr>
              <w:t xml:space="preserve">Regulations partially including ELUP: Environment General Law Nº25 675, Native Forest Law Nº26 331, Glacier Law Nº 26 639, National Parks Law Nº 22 351; Wildlife Conservation Law Nº 22 421; Law Nº 24 375 ratifying the Convention on Biological Diversity; Law Nº 23 919 ratifying the RAMSAR Convention; Law Nº 24 701 ratifying the United Nations Convention to Combat Desertification; Environmental Management of Water Law Nº 25 688; and Law Nº 27 037 National System of Marine Protected Areas </w:t>
            </w:r>
          </w:p>
        </w:tc>
        <w:tc>
          <w:tcPr>
            <w:tcW w:w="1956" w:type="dxa"/>
            <w:vMerge w:val="restart"/>
          </w:tcPr>
          <w:p w14:paraId="39FD57F7" w14:textId="77777777" w:rsidR="007F4F70" w:rsidRPr="003F7F6C" w:rsidRDefault="007F4F70" w:rsidP="002B3130">
            <w:pPr>
              <w:jc w:val="left"/>
              <w:rPr>
                <w:rFonts w:cs="Calibri"/>
                <w:bCs/>
                <w:sz w:val="18"/>
                <w:szCs w:val="18"/>
              </w:rPr>
            </w:pPr>
            <w:r w:rsidRPr="003F7F6C">
              <w:rPr>
                <w:rFonts w:cs="Calibri"/>
                <w:bCs/>
                <w:sz w:val="18"/>
                <w:szCs w:val="18"/>
              </w:rPr>
              <w:t xml:space="preserve">Sector coordination and dialogue established through the dialogue spaces (see Indicator 7 below). Preliminary criteria agreed. </w:t>
            </w:r>
          </w:p>
          <w:p w14:paraId="47248263" w14:textId="77777777" w:rsidR="007F4F70" w:rsidRPr="003F7F6C" w:rsidRDefault="007F4F70" w:rsidP="002B3130">
            <w:pPr>
              <w:rPr>
                <w:rFonts w:cs="Calibri"/>
                <w:bCs/>
                <w:i/>
                <w:sz w:val="18"/>
                <w:szCs w:val="18"/>
              </w:rPr>
            </w:pPr>
          </w:p>
        </w:tc>
        <w:tc>
          <w:tcPr>
            <w:tcW w:w="2119" w:type="dxa"/>
            <w:vMerge w:val="restart"/>
          </w:tcPr>
          <w:p w14:paraId="5EAAD9C5" w14:textId="77777777" w:rsidR="007F4F70" w:rsidRPr="003F7F6C" w:rsidRDefault="007F4F70" w:rsidP="002B3130">
            <w:pPr>
              <w:jc w:val="left"/>
              <w:rPr>
                <w:rFonts w:cs="Calibri"/>
                <w:bCs/>
                <w:sz w:val="18"/>
                <w:szCs w:val="18"/>
              </w:rPr>
            </w:pPr>
            <w:r w:rsidRPr="003F7F6C">
              <w:rPr>
                <w:rFonts w:cs="Calibri"/>
                <w:bCs/>
                <w:sz w:val="18"/>
                <w:szCs w:val="18"/>
              </w:rPr>
              <w:t>1 Federal minimum standards regulation for ELUP developed.</w:t>
            </w:r>
          </w:p>
          <w:p w14:paraId="5B71312F" w14:textId="77777777" w:rsidR="007F4F70" w:rsidRPr="003F7F6C" w:rsidRDefault="007F4F70" w:rsidP="002B3130">
            <w:pPr>
              <w:rPr>
                <w:rFonts w:cs="Calibri"/>
                <w:bCs/>
                <w:sz w:val="18"/>
                <w:szCs w:val="18"/>
              </w:rPr>
            </w:pPr>
          </w:p>
        </w:tc>
        <w:tc>
          <w:tcPr>
            <w:tcW w:w="2949" w:type="dxa"/>
          </w:tcPr>
          <w:p w14:paraId="2078B104" w14:textId="77777777" w:rsidR="007F4F70" w:rsidRPr="003F7F6C" w:rsidRDefault="007F4F70" w:rsidP="002B3130">
            <w:pPr>
              <w:rPr>
                <w:rFonts w:cs="Calibri"/>
                <w:sz w:val="18"/>
                <w:szCs w:val="18"/>
              </w:rPr>
            </w:pPr>
            <w:r w:rsidRPr="003F7F6C">
              <w:rPr>
                <w:rFonts w:cs="Calibri"/>
                <w:sz w:val="18"/>
                <w:szCs w:val="18"/>
              </w:rPr>
              <w:t>Periodic project monitoring</w:t>
            </w:r>
          </w:p>
          <w:p w14:paraId="512BB13B" w14:textId="77777777" w:rsidR="007F4F70" w:rsidRPr="003F7F6C" w:rsidRDefault="007F4F70" w:rsidP="002B3130">
            <w:pPr>
              <w:rPr>
                <w:rFonts w:cs="Calibri"/>
                <w:sz w:val="18"/>
                <w:szCs w:val="18"/>
              </w:rPr>
            </w:pPr>
            <w:r w:rsidRPr="003F7F6C">
              <w:rPr>
                <w:rFonts w:cs="Calibri"/>
                <w:sz w:val="18"/>
                <w:szCs w:val="18"/>
              </w:rPr>
              <w:t>Federal ELUP minimum standards regulation proposal</w:t>
            </w:r>
          </w:p>
          <w:p w14:paraId="143B08EA" w14:textId="77777777" w:rsidR="007F4F70" w:rsidRPr="003F7F6C" w:rsidRDefault="007F4F70" w:rsidP="002B3130">
            <w:pPr>
              <w:rPr>
                <w:rFonts w:cs="Calibri"/>
                <w:sz w:val="18"/>
                <w:szCs w:val="18"/>
              </w:rPr>
            </w:pPr>
            <w:r w:rsidRPr="003F7F6C">
              <w:rPr>
                <w:rFonts w:cs="Calibri"/>
                <w:sz w:val="18"/>
                <w:szCs w:val="18"/>
              </w:rPr>
              <w:t>Interviews with key staff and authorities</w:t>
            </w:r>
          </w:p>
          <w:p w14:paraId="37D1C2BD" w14:textId="77777777" w:rsidR="007F4F70" w:rsidRPr="003F7F6C" w:rsidRDefault="007F4F70" w:rsidP="002B3130">
            <w:pPr>
              <w:rPr>
                <w:rFonts w:cs="Calibri"/>
              </w:rPr>
            </w:pPr>
            <w:r w:rsidRPr="003F7F6C">
              <w:rPr>
                <w:rFonts w:cs="Calibri"/>
                <w:sz w:val="18"/>
                <w:szCs w:val="18"/>
              </w:rPr>
              <w:t>Institutional reports</w:t>
            </w:r>
          </w:p>
        </w:tc>
      </w:tr>
      <w:tr w:rsidR="007F4F70" w:rsidRPr="003F7F6C" w14:paraId="7FA5F4EE" w14:textId="77777777" w:rsidTr="002B3130">
        <w:trPr>
          <w:trHeight w:val="765"/>
        </w:trPr>
        <w:tc>
          <w:tcPr>
            <w:tcW w:w="2605" w:type="dxa"/>
            <w:vMerge/>
            <w:shd w:val="pct12" w:color="auto" w:fill="auto"/>
          </w:tcPr>
          <w:p w14:paraId="02015FC4" w14:textId="77777777" w:rsidR="007F4F70" w:rsidRPr="003F7F6C" w:rsidRDefault="007F4F70" w:rsidP="002B3130">
            <w:pPr>
              <w:rPr>
                <w:rFonts w:cs="Calibri"/>
                <w:b/>
                <w:bCs/>
                <w:sz w:val="18"/>
                <w:szCs w:val="18"/>
              </w:rPr>
            </w:pPr>
          </w:p>
        </w:tc>
        <w:tc>
          <w:tcPr>
            <w:tcW w:w="2493" w:type="dxa"/>
            <w:vMerge/>
          </w:tcPr>
          <w:p w14:paraId="09C3863F" w14:textId="77777777" w:rsidR="007F4F70" w:rsidRPr="003F7F6C" w:rsidRDefault="007F4F70" w:rsidP="002B3130">
            <w:pPr>
              <w:rPr>
                <w:rFonts w:cs="Calibri"/>
                <w:bCs/>
                <w:i/>
                <w:sz w:val="18"/>
                <w:szCs w:val="18"/>
              </w:rPr>
            </w:pPr>
          </w:p>
        </w:tc>
        <w:tc>
          <w:tcPr>
            <w:tcW w:w="2268" w:type="dxa"/>
            <w:vMerge/>
          </w:tcPr>
          <w:p w14:paraId="2D01E087" w14:textId="77777777" w:rsidR="007F4F70" w:rsidRPr="003F7F6C" w:rsidRDefault="007F4F70" w:rsidP="002B3130">
            <w:pPr>
              <w:rPr>
                <w:rFonts w:cs="Calibri"/>
                <w:bCs/>
                <w:i/>
                <w:sz w:val="18"/>
                <w:szCs w:val="18"/>
              </w:rPr>
            </w:pPr>
          </w:p>
        </w:tc>
        <w:tc>
          <w:tcPr>
            <w:tcW w:w="1956" w:type="dxa"/>
            <w:vMerge/>
          </w:tcPr>
          <w:p w14:paraId="3C0F6A02" w14:textId="77777777" w:rsidR="007F4F70" w:rsidRPr="003F7F6C" w:rsidRDefault="007F4F70" w:rsidP="002B3130">
            <w:pPr>
              <w:rPr>
                <w:rFonts w:cs="Calibri"/>
                <w:bCs/>
                <w:i/>
                <w:sz w:val="18"/>
                <w:szCs w:val="18"/>
              </w:rPr>
            </w:pPr>
          </w:p>
        </w:tc>
        <w:tc>
          <w:tcPr>
            <w:tcW w:w="2119" w:type="dxa"/>
            <w:vMerge/>
          </w:tcPr>
          <w:p w14:paraId="3662AA8D" w14:textId="77777777" w:rsidR="007F4F70" w:rsidRPr="003F7F6C" w:rsidRDefault="007F4F70" w:rsidP="002B3130">
            <w:pPr>
              <w:rPr>
                <w:rFonts w:cs="Calibri"/>
                <w:bCs/>
                <w:i/>
                <w:sz w:val="18"/>
                <w:szCs w:val="18"/>
              </w:rPr>
            </w:pPr>
          </w:p>
        </w:tc>
        <w:tc>
          <w:tcPr>
            <w:tcW w:w="2949" w:type="dxa"/>
          </w:tcPr>
          <w:p w14:paraId="0235C0E3" w14:textId="77777777" w:rsidR="007F4F70" w:rsidRPr="003F7F6C" w:rsidRDefault="007F4F70" w:rsidP="002B3130">
            <w:pPr>
              <w:rPr>
                <w:rFonts w:cs="Calibri"/>
              </w:rPr>
            </w:pPr>
            <w:r w:rsidRPr="003F7F6C">
              <w:rPr>
                <w:rFonts w:cs="Calibri"/>
              </w:rPr>
              <w:t>Risks:</w:t>
            </w:r>
          </w:p>
          <w:p w14:paraId="633579E3" w14:textId="77777777" w:rsidR="007F4F70" w:rsidRPr="003F7F6C" w:rsidRDefault="007F4F70" w:rsidP="002B3130">
            <w:pPr>
              <w:rPr>
                <w:rFonts w:cs="Calibri"/>
                <w:sz w:val="18"/>
                <w:szCs w:val="18"/>
              </w:rPr>
            </w:pPr>
            <w:r w:rsidRPr="003F7F6C">
              <w:rPr>
                <w:rFonts w:cs="Calibri"/>
                <w:sz w:val="18"/>
                <w:szCs w:val="18"/>
              </w:rPr>
              <w:t>Lack of political will and weak institutional management reduce ELUP efficiency</w:t>
            </w:r>
          </w:p>
          <w:p w14:paraId="1591E6DE" w14:textId="77777777" w:rsidR="007F4F70" w:rsidRPr="003F7F6C" w:rsidRDefault="007F4F70" w:rsidP="002B3130">
            <w:pPr>
              <w:rPr>
                <w:rFonts w:cs="Calibri"/>
              </w:rPr>
            </w:pPr>
          </w:p>
          <w:p w14:paraId="19527E42" w14:textId="77777777" w:rsidR="007F4F70" w:rsidRPr="003F7F6C" w:rsidRDefault="007F4F70" w:rsidP="002B3130">
            <w:pPr>
              <w:rPr>
                <w:rFonts w:cs="Calibri"/>
              </w:rPr>
            </w:pPr>
            <w:r w:rsidRPr="003F7F6C">
              <w:rPr>
                <w:rFonts w:cs="Calibri"/>
              </w:rPr>
              <w:t>Assumptions:</w:t>
            </w:r>
          </w:p>
          <w:p w14:paraId="0CC278E1" w14:textId="77777777" w:rsidR="007F4F70" w:rsidRPr="003F7F6C" w:rsidRDefault="007F4F70" w:rsidP="002B3130">
            <w:pPr>
              <w:rPr>
                <w:rFonts w:cs="Calibri"/>
                <w:sz w:val="18"/>
                <w:szCs w:val="18"/>
              </w:rPr>
            </w:pPr>
            <w:r w:rsidRPr="003F7F6C">
              <w:rPr>
                <w:rFonts w:cs="Calibri"/>
                <w:sz w:val="18"/>
                <w:szCs w:val="18"/>
              </w:rPr>
              <w:t>Political will to adopt and enforce ELUP and approve regulatory instruments in target sectors</w:t>
            </w:r>
          </w:p>
          <w:p w14:paraId="1BA40D7B" w14:textId="77777777" w:rsidR="007F4F70" w:rsidRPr="003F7F6C" w:rsidRDefault="007F4F70" w:rsidP="002B3130">
            <w:pPr>
              <w:rPr>
                <w:rFonts w:cs="Calibri"/>
                <w:sz w:val="18"/>
                <w:szCs w:val="18"/>
              </w:rPr>
            </w:pPr>
            <w:r w:rsidRPr="003F7F6C">
              <w:rPr>
                <w:rFonts w:cs="Calibri"/>
                <w:sz w:val="18"/>
                <w:szCs w:val="18"/>
              </w:rPr>
              <w:t>Commitment of institutions to implement ELUP processes</w:t>
            </w:r>
          </w:p>
        </w:tc>
      </w:tr>
      <w:tr w:rsidR="007F4F70" w:rsidRPr="003F7F6C" w14:paraId="205A9CA6" w14:textId="77777777" w:rsidTr="002B3130">
        <w:trPr>
          <w:trHeight w:val="765"/>
        </w:trPr>
        <w:tc>
          <w:tcPr>
            <w:tcW w:w="2605" w:type="dxa"/>
            <w:vMerge/>
            <w:shd w:val="pct12" w:color="auto" w:fill="auto"/>
          </w:tcPr>
          <w:p w14:paraId="1CB25915" w14:textId="77777777" w:rsidR="007F4F70" w:rsidRPr="003F7F6C" w:rsidRDefault="007F4F70" w:rsidP="002B3130">
            <w:pPr>
              <w:rPr>
                <w:rFonts w:cs="Calibri"/>
                <w:b/>
                <w:bCs/>
                <w:sz w:val="18"/>
                <w:szCs w:val="18"/>
              </w:rPr>
            </w:pPr>
          </w:p>
        </w:tc>
        <w:tc>
          <w:tcPr>
            <w:tcW w:w="2493" w:type="dxa"/>
            <w:vMerge w:val="restart"/>
          </w:tcPr>
          <w:p w14:paraId="01102F9B" w14:textId="2D717B84" w:rsidR="007F4F70" w:rsidRPr="003F7F6C" w:rsidRDefault="007F4F70" w:rsidP="002B3130">
            <w:pPr>
              <w:jc w:val="left"/>
              <w:rPr>
                <w:rFonts w:cs="Calibri"/>
                <w:bCs/>
                <w:sz w:val="18"/>
                <w:szCs w:val="18"/>
              </w:rPr>
            </w:pPr>
            <w:r w:rsidRPr="003F7F6C">
              <w:rPr>
                <w:rFonts w:cs="Calibri"/>
                <w:bCs/>
                <w:sz w:val="18"/>
                <w:szCs w:val="18"/>
              </w:rPr>
              <w:t xml:space="preserve">Indicator </w:t>
            </w:r>
            <w:r w:rsidR="00993773" w:rsidRPr="003F7F6C">
              <w:rPr>
                <w:rFonts w:cs="Calibri"/>
                <w:bCs/>
                <w:sz w:val="18"/>
                <w:szCs w:val="18"/>
              </w:rPr>
              <w:t>6</w:t>
            </w:r>
            <w:r w:rsidRPr="003F7F6C">
              <w:rPr>
                <w:rFonts w:cs="Calibri"/>
                <w:bCs/>
                <w:sz w:val="18"/>
                <w:szCs w:val="18"/>
              </w:rPr>
              <w:t>: Number and type of new par</w:t>
            </w:r>
            <w:r w:rsidR="008D1C19" w:rsidRPr="003F7F6C">
              <w:rPr>
                <w:rFonts w:cs="Calibri"/>
                <w:bCs/>
                <w:sz w:val="18"/>
                <w:szCs w:val="18"/>
              </w:rPr>
              <w:t>t</w:t>
            </w:r>
            <w:r w:rsidRPr="003F7F6C">
              <w:rPr>
                <w:rFonts w:cs="Calibri"/>
                <w:bCs/>
                <w:sz w:val="18"/>
                <w:szCs w:val="18"/>
              </w:rPr>
              <w:t>nership mechanisms at federal level for dialogue to mainstream BD and ELUP in sectoral programming and finance decisions (including level of direct participation of women and indigenous peoples).</w:t>
            </w:r>
          </w:p>
        </w:tc>
        <w:tc>
          <w:tcPr>
            <w:tcW w:w="2268" w:type="dxa"/>
            <w:vMerge w:val="restart"/>
          </w:tcPr>
          <w:p w14:paraId="64FF10E4" w14:textId="77777777" w:rsidR="007F4F70" w:rsidRPr="003F7F6C" w:rsidRDefault="007F4F70" w:rsidP="002B3130">
            <w:pPr>
              <w:jc w:val="left"/>
              <w:rPr>
                <w:rFonts w:cs="Calibri"/>
                <w:bCs/>
                <w:sz w:val="18"/>
                <w:szCs w:val="18"/>
              </w:rPr>
            </w:pPr>
            <w:r w:rsidRPr="003F7F6C">
              <w:rPr>
                <w:rFonts w:cs="Calibri"/>
                <w:bCs/>
                <w:sz w:val="18"/>
                <w:szCs w:val="18"/>
              </w:rPr>
              <w:t>There are several federal level spaces that deal with different subjects e.g. COFEMA, CONADIBIO, ONDTyD but none specifically addressing ELUP</w:t>
            </w:r>
          </w:p>
        </w:tc>
        <w:tc>
          <w:tcPr>
            <w:tcW w:w="1956" w:type="dxa"/>
            <w:vMerge w:val="restart"/>
          </w:tcPr>
          <w:p w14:paraId="2837F4E4" w14:textId="77777777" w:rsidR="007F4F70" w:rsidRPr="003F7F6C" w:rsidRDefault="007F4F70" w:rsidP="002B3130">
            <w:pPr>
              <w:jc w:val="left"/>
              <w:rPr>
                <w:rFonts w:cs="Calibri"/>
                <w:bCs/>
                <w:sz w:val="18"/>
                <w:szCs w:val="18"/>
              </w:rPr>
            </w:pPr>
            <w:r w:rsidRPr="003F7F6C">
              <w:rPr>
                <w:rFonts w:cs="Calibri"/>
                <w:bCs/>
                <w:sz w:val="18"/>
                <w:szCs w:val="18"/>
              </w:rPr>
              <w:t>1 inter-institutional and inter-sectoral dialogue space established (with at least 40% female membership and including indigenous peoples).</w:t>
            </w:r>
          </w:p>
          <w:p w14:paraId="05BA89A7" w14:textId="77777777" w:rsidR="007F4F70" w:rsidRPr="003F7F6C" w:rsidRDefault="007F4F70" w:rsidP="002B3130">
            <w:pPr>
              <w:rPr>
                <w:rFonts w:cs="Calibri"/>
                <w:bCs/>
                <w:i/>
                <w:sz w:val="18"/>
                <w:szCs w:val="18"/>
              </w:rPr>
            </w:pPr>
          </w:p>
        </w:tc>
        <w:tc>
          <w:tcPr>
            <w:tcW w:w="2119" w:type="dxa"/>
            <w:vMerge w:val="restart"/>
          </w:tcPr>
          <w:p w14:paraId="603F6F55" w14:textId="77777777" w:rsidR="007F4F70" w:rsidRPr="003F7F6C" w:rsidRDefault="007F4F70" w:rsidP="002B3130">
            <w:pPr>
              <w:jc w:val="left"/>
              <w:rPr>
                <w:rFonts w:cs="Calibri"/>
                <w:bCs/>
                <w:sz w:val="18"/>
                <w:szCs w:val="18"/>
              </w:rPr>
            </w:pPr>
            <w:r w:rsidRPr="003F7F6C">
              <w:rPr>
                <w:rFonts w:cs="Calibri"/>
                <w:bCs/>
                <w:sz w:val="18"/>
                <w:szCs w:val="18"/>
              </w:rPr>
              <w:t>1 inter-institutional and inter-sectoral dialogue space to mainstream BD and ELUP in sectoral programming and finance decisions functioning with work plans and budget (with at least 40% female membership and including indigenous peoples).</w:t>
            </w:r>
          </w:p>
          <w:p w14:paraId="7C9EFB66" w14:textId="77777777" w:rsidR="007F4F70" w:rsidRPr="003F7F6C" w:rsidRDefault="007F4F70" w:rsidP="002B3130">
            <w:pPr>
              <w:jc w:val="left"/>
              <w:rPr>
                <w:rFonts w:cs="Calibri"/>
                <w:bCs/>
                <w:sz w:val="18"/>
                <w:szCs w:val="18"/>
              </w:rPr>
            </w:pPr>
          </w:p>
          <w:p w14:paraId="7A1F6AFE" w14:textId="77777777" w:rsidR="007F4F70" w:rsidRPr="003F7F6C" w:rsidRDefault="007F4F70" w:rsidP="002B3130">
            <w:pPr>
              <w:rPr>
                <w:rFonts w:cs="Calibri"/>
                <w:bCs/>
                <w:sz w:val="18"/>
                <w:szCs w:val="18"/>
              </w:rPr>
            </w:pPr>
          </w:p>
          <w:p w14:paraId="225884B1" w14:textId="77777777" w:rsidR="007F4F70" w:rsidRPr="003F7F6C" w:rsidRDefault="007F4F70" w:rsidP="002B3130">
            <w:pPr>
              <w:rPr>
                <w:rFonts w:cs="Calibri"/>
                <w:bCs/>
                <w:sz w:val="18"/>
                <w:szCs w:val="18"/>
              </w:rPr>
            </w:pPr>
          </w:p>
          <w:p w14:paraId="38E73BDD" w14:textId="77777777" w:rsidR="007F4F70" w:rsidRPr="003F7F6C" w:rsidRDefault="007F4F70" w:rsidP="002B3130">
            <w:pPr>
              <w:rPr>
                <w:rFonts w:cs="Calibri"/>
                <w:bCs/>
                <w:i/>
                <w:sz w:val="18"/>
                <w:szCs w:val="18"/>
              </w:rPr>
            </w:pPr>
          </w:p>
        </w:tc>
        <w:tc>
          <w:tcPr>
            <w:tcW w:w="2949" w:type="dxa"/>
          </w:tcPr>
          <w:p w14:paraId="19F064A7" w14:textId="77777777" w:rsidR="007F4F70" w:rsidRPr="003F7F6C" w:rsidRDefault="007F4F70" w:rsidP="002B3130">
            <w:pPr>
              <w:rPr>
                <w:rFonts w:cs="Calibri"/>
                <w:sz w:val="18"/>
                <w:szCs w:val="18"/>
              </w:rPr>
            </w:pPr>
            <w:r w:rsidRPr="003F7F6C">
              <w:rPr>
                <w:rFonts w:cs="Calibri"/>
                <w:sz w:val="18"/>
                <w:szCs w:val="18"/>
              </w:rPr>
              <w:t>Periodic project monitoring</w:t>
            </w:r>
          </w:p>
          <w:p w14:paraId="36522C91" w14:textId="77777777" w:rsidR="007F4F70" w:rsidRPr="003F7F6C" w:rsidRDefault="007F4F70" w:rsidP="002B3130">
            <w:pPr>
              <w:rPr>
                <w:rFonts w:cs="Calibri"/>
                <w:sz w:val="18"/>
                <w:szCs w:val="18"/>
              </w:rPr>
            </w:pPr>
            <w:r w:rsidRPr="003F7F6C">
              <w:rPr>
                <w:rFonts w:cs="Calibri"/>
                <w:sz w:val="18"/>
                <w:szCs w:val="18"/>
              </w:rPr>
              <w:t>Institutional reports</w:t>
            </w:r>
          </w:p>
          <w:p w14:paraId="09847E9C" w14:textId="77777777" w:rsidR="007F4F70" w:rsidRPr="003F7F6C" w:rsidRDefault="007F4F70" w:rsidP="002B3130">
            <w:pPr>
              <w:rPr>
                <w:rFonts w:cs="Calibri"/>
                <w:sz w:val="18"/>
                <w:szCs w:val="18"/>
              </w:rPr>
            </w:pPr>
            <w:r w:rsidRPr="003F7F6C">
              <w:rPr>
                <w:rFonts w:cs="Calibri"/>
                <w:sz w:val="18"/>
                <w:szCs w:val="18"/>
              </w:rPr>
              <w:t>Interviews with partnership members</w:t>
            </w:r>
          </w:p>
          <w:p w14:paraId="3AF9E889" w14:textId="77777777" w:rsidR="007F4F70" w:rsidRPr="003F7F6C" w:rsidRDefault="007F4F70" w:rsidP="002B3130">
            <w:pPr>
              <w:rPr>
                <w:rFonts w:cs="Calibri"/>
                <w:sz w:val="18"/>
                <w:szCs w:val="18"/>
              </w:rPr>
            </w:pPr>
            <w:r w:rsidRPr="003F7F6C">
              <w:rPr>
                <w:rFonts w:cs="Calibri"/>
                <w:sz w:val="18"/>
                <w:szCs w:val="18"/>
              </w:rPr>
              <w:t>Platform reports</w:t>
            </w:r>
          </w:p>
        </w:tc>
      </w:tr>
      <w:tr w:rsidR="007F4F70" w:rsidRPr="003F7F6C" w14:paraId="114EF703" w14:textId="77777777" w:rsidTr="002B3130">
        <w:trPr>
          <w:trHeight w:val="765"/>
        </w:trPr>
        <w:tc>
          <w:tcPr>
            <w:tcW w:w="2605" w:type="dxa"/>
            <w:vMerge/>
            <w:shd w:val="pct12" w:color="auto" w:fill="auto"/>
          </w:tcPr>
          <w:p w14:paraId="4F384DB7" w14:textId="77777777" w:rsidR="007F4F70" w:rsidRPr="003F7F6C" w:rsidRDefault="007F4F70" w:rsidP="002B3130">
            <w:pPr>
              <w:rPr>
                <w:rFonts w:cs="Calibri"/>
                <w:b/>
                <w:bCs/>
                <w:sz w:val="18"/>
                <w:szCs w:val="18"/>
              </w:rPr>
            </w:pPr>
          </w:p>
        </w:tc>
        <w:tc>
          <w:tcPr>
            <w:tcW w:w="2493" w:type="dxa"/>
            <w:vMerge/>
          </w:tcPr>
          <w:p w14:paraId="3E0A5546" w14:textId="77777777" w:rsidR="007F4F70" w:rsidRPr="003F7F6C" w:rsidRDefault="007F4F70" w:rsidP="002B3130">
            <w:pPr>
              <w:rPr>
                <w:rFonts w:cs="Calibri"/>
                <w:bCs/>
                <w:i/>
                <w:sz w:val="18"/>
                <w:szCs w:val="18"/>
              </w:rPr>
            </w:pPr>
          </w:p>
        </w:tc>
        <w:tc>
          <w:tcPr>
            <w:tcW w:w="2268" w:type="dxa"/>
            <w:vMerge/>
          </w:tcPr>
          <w:p w14:paraId="2D763892" w14:textId="77777777" w:rsidR="007F4F70" w:rsidRPr="003F7F6C" w:rsidRDefault="007F4F70" w:rsidP="002B3130">
            <w:pPr>
              <w:rPr>
                <w:rFonts w:cs="Calibri"/>
                <w:bCs/>
                <w:i/>
                <w:sz w:val="18"/>
                <w:szCs w:val="18"/>
              </w:rPr>
            </w:pPr>
          </w:p>
        </w:tc>
        <w:tc>
          <w:tcPr>
            <w:tcW w:w="1956" w:type="dxa"/>
            <w:vMerge/>
          </w:tcPr>
          <w:p w14:paraId="2B650039" w14:textId="77777777" w:rsidR="007F4F70" w:rsidRPr="003F7F6C" w:rsidRDefault="007F4F70" w:rsidP="002B3130">
            <w:pPr>
              <w:rPr>
                <w:rFonts w:cs="Calibri"/>
                <w:bCs/>
                <w:i/>
                <w:sz w:val="18"/>
                <w:szCs w:val="18"/>
              </w:rPr>
            </w:pPr>
          </w:p>
        </w:tc>
        <w:tc>
          <w:tcPr>
            <w:tcW w:w="2119" w:type="dxa"/>
            <w:vMerge/>
          </w:tcPr>
          <w:p w14:paraId="5CC6539C" w14:textId="77777777" w:rsidR="007F4F70" w:rsidRPr="003F7F6C" w:rsidRDefault="007F4F70" w:rsidP="002B3130">
            <w:pPr>
              <w:rPr>
                <w:rFonts w:cs="Calibri"/>
                <w:bCs/>
                <w:i/>
                <w:sz w:val="18"/>
                <w:szCs w:val="18"/>
              </w:rPr>
            </w:pPr>
          </w:p>
        </w:tc>
        <w:tc>
          <w:tcPr>
            <w:tcW w:w="2949" w:type="dxa"/>
          </w:tcPr>
          <w:p w14:paraId="3F827DC2" w14:textId="77777777" w:rsidR="007F4F70" w:rsidRPr="003F7F6C" w:rsidRDefault="007F4F70" w:rsidP="002B3130">
            <w:pPr>
              <w:rPr>
                <w:rFonts w:cs="Calibri"/>
              </w:rPr>
            </w:pPr>
            <w:r w:rsidRPr="003F7F6C">
              <w:rPr>
                <w:rFonts w:cs="Calibri"/>
              </w:rPr>
              <w:t>Risks:</w:t>
            </w:r>
          </w:p>
          <w:p w14:paraId="0C1F5F82" w14:textId="77777777" w:rsidR="007F4F70" w:rsidRPr="003F7F6C" w:rsidRDefault="007F4F70" w:rsidP="002B3130">
            <w:pPr>
              <w:rPr>
                <w:rFonts w:cs="Calibri"/>
                <w:sz w:val="18"/>
                <w:szCs w:val="18"/>
              </w:rPr>
            </w:pPr>
            <w:r w:rsidRPr="003F7F6C">
              <w:rPr>
                <w:rFonts w:cs="Calibri"/>
                <w:sz w:val="18"/>
                <w:szCs w:val="18"/>
              </w:rPr>
              <w:t>Lack of interest of target sectors in inter-sectoral coordination and engaging with other sectors</w:t>
            </w:r>
          </w:p>
          <w:p w14:paraId="2A9FC483" w14:textId="77777777" w:rsidR="007F4F70" w:rsidRPr="003F7F6C" w:rsidRDefault="007F4F70" w:rsidP="002B3130">
            <w:pPr>
              <w:rPr>
                <w:rFonts w:cs="Calibri"/>
                <w:sz w:val="18"/>
                <w:szCs w:val="18"/>
              </w:rPr>
            </w:pPr>
          </w:p>
          <w:p w14:paraId="4E42979A" w14:textId="77777777" w:rsidR="007F4F70" w:rsidRPr="003F7F6C" w:rsidRDefault="007F4F70" w:rsidP="002B3130">
            <w:pPr>
              <w:rPr>
                <w:rFonts w:cs="Calibri"/>
              </w:rPr>
            </w:pPr>
            <w:r w:rsidRPr="003F7F6C">
              <w:rPr>
                <w:rFonts w:cs="Calibri"/>
              </w:rPr>
              <w:t>Assumptions:</w:t>
            </w:r>
          </w:p>
          <w:p w14:paraId="6BBEC9C2" w14:textId="77777777" w:rsidR="007F4F70" w:rsidRPr="003F7F6C" w:rsidRDefault="003B2594" w:rsidP="002B3130">
            <w:pPr>
              <w:rPr>
                <w:rFonts w:cs="Calibri"/>
                <w:bCs/>
                <w:sz w:val="18"/>
                <w:szCs w:val="18"/>
              </w:rPr>
            </w:pPr>
            <w:r w:rsidRPr="003F7F6C">
              <w:rPr>
                <w:rFonts w:cs="Calibri"/>
                <w:bCs/>
                <w:sz w:val="18"/>
                <w:szCs w:val="18"/>
              </w:rPr>
              <w:t>There is p</w:t>
            </w:r>
            <w:r w:rsidR="007F4F70" w:rsidRPr="003F7F6C">
              <w:rPr>
                <w:rFonts w:cs="Calibri"/>
                <w:bCs/>
                <w:sz w:val="18"/>
                <w:szCs w:val="18"/>
              </w:rPr>
              <w:t>olitical will to develop partnership mechanisms to mainstream BD and ELUP in association with different sectors and incorporating key stakeholders including civil society</w:t>
            </w:r>
          </w:p>
        </w:tc>
      </w:tr>
      <w:tr w:rsidR="007F4F70" w:rsidRPr="003F7F6C" w14:paraId="324E34B2" w14:textId="77777777" w:rsidTr="002B3130">
        <w:trPr>
          <w:trHeight w:val="765"/>
        </w:trPr>
        <w:tc>
          <w:tcPr>
            <w:tcW w:w="2605" w:type="dxa"/>
            <w:vMerge w:val="restart"/>
            <w:shd w:val="pct12" w:color="auto" w:fill="auto"/>
          </w:tcPr>
          <w:p w14:paraId="1D66F859" w14:textId="77777777" w:rsidR="007F4F70" w:rsidRPr="003F7F6C" w:rsidRDefault="007F4F70" w:rsidP="002B3130">
            <w:pPr>
              <w:rPr>
                <w:rFonts w:cs="Calibri"/>
                <w:b/>
                <w:bCs/>
                <w:sz w:val="18"/>
                <w:szCs w:val="18"/>
              </w:rPr>
            </w:pPr>
            <w:r w:rsidRPr="003F7F6C">
              <w:rPr>
                <w:rFonts w:cs="Calibri"/>
                <w:b/>
                <w:bCs/>
                <w:sz w:val="18"/>
                <w:szCs w:val="18"/>
              </w:rPr>
              <w:t>Outcome 2</w:t>
            </w:r>
          </w:p>
          <w:p w14:paraId="12522209" w14:textId="77777777" w:rsidR="007F4F70" w:rsidRPr="003F7F6C" w:rsidRDefault="007F4F70" w:rsidP="002B3130">
            <w:pPr>
              <w:spacing w:line="203" w:lineRule="exact"/>
              <w:rPr>
                <w:rFonts w:cs="Calibri"/>
                <w:sz w:val="18"/>
                <w:szCs w:val="18"/>
              </w:rPr>
            </w:pPr>
            <w:r w:rsidRPr="003F7F6C">
              <w:rPr>
                <w:rFonts w:cs="Calibri"/>
                <w:sz w:val="18"/>
                <w:szCs w:val="18"/>
              </w:rPr>
              <w:t>Application of ELUP procedures and instruments in pilot Provinces with targeted ecoregions and production sector land uses.</w:t>
            </w:r>
          </w:p>
          <w:p w14:paraId="73F0737B" w14:textId="77777777" w:rsidR="007F4F70" w:rsidRPr="003F7F6C" w:rsidRDefault="007F4F70" w:rsidP="002B3130">
            <w:pPr>
              <w:rPr>
                <w:rFonts w:cs="Calibri"/>
                <w:b/>
                <w:bCs/>
                <w:sz w:val="18"/>
                <w:szCs w:val="18"/>
              </w:rPr>
            </w:pPr>
          </w:p>
          <w:p w14:paraId="6A8B2912" w14:textId="77777777" w:rsidR="007F4F70" w:rsidRPr="003F7F6C" w:rsidRDefault="007F4F70" w:rsidP="002B3130">
            <w:pPr>
              <w:rPr>
                <w:rFonts w:cs="Calibri"/>
                <w:b/>
                <w:bCs/>
                <w:sz w:val="18"/>
                <w:szCs w:val="18"/>
              </w:rPr>
            </w:pPr>
          </w:p>
        </w:tc>
        <w:tc>
          <w:tcPr>
            <w:tcW w:w="2493" w:type="dxa"/>
            <w:vMerge w:val="restart"/>
          </w:tcPr>
          <w:p w14:paraId="77B38D40" w14:textId="39441021" w:rsidR="007F4F70" w:rsidRPr="003F7F6C" w:rsidRDefault="007F4F70" w:rsidP="002B3130">
            <w:pPr>
              <w:spacing w:after="0"/>
              <w:jc w:val="left"/>
              <w:rPr>
                <w:rFonts w:cs="Calibri"/>
                <w:bCs/>
                <w:sz w:val="18"/>
                <w:szCs w:val="18"/>
              </w:rPr>
            </w:pPr>
            <w:r w:rsidRPr="003F7F6C">
              <w:rPr>
                <w:rFonts w:cs="Calibri"/>
                <w:bCs/>
                <w:sz w:val="18"/>
                <w:szCs w:val="18"/>
              </w:rPr>
              <w:t xml:space="preserve">Indicator </w:t>
            </w:r>
            <w:r w:rsidR="00993773" w:rsidRPr="003F7F6C">
              <w:rPr>
                <w:rFonts w:cs="Calibri"/>
                <w:bCs/>
                <w:sz w:val="18"/>
                <w:szCs w:val="18"/>
              </w:rPr>
              <w:t>7</w:t>
            </w:r>
            <w:r w:rsidRPr="003F7F6C">
              <w:rPr>
                <w:rFonts w:cs="Calibri"/>
                <w:bCs/>
                <w:sz w:val="18"/>
                <w:szCs w:val="18"/>
              </w:rPr>
              <w:t>:  Capacity to manage human-biodiversity interface in target provinces to produce BD and LD benefits and flow of ES, measured through:</w:t>
            </w:r>
          </w:p>
          <w:p w14:paraId="3E3EB7CD" w14:textId="77777777" w:rsidR="007F4F70" w:rsidRPr="003F7F6C" w:rsidRDefault="007F4F70" w:rsidP="002B3130">
            <w:pPr>
              <w:spacing w:after="0"/>
              <w:jc w:val="left"/>
              <w:rPr>
                <w:rFonts w:cs="Calibri"/>
                <w:bCs/>
                <w:sz w:val="18"/>
                <w:szCs w:val="18"/>
              </w:rPr>
            </w:pPr>
            <w:r w:rsidRPr="003F7F6C">
              <w:rPr>
                <w:rFonts w:cs="Calibri"/>
                <w:bCs/>
                <w:sz w:val="18"/>
                <w:szCs w:val="18"/>
              </w:rPr>
              <w:t xml:space="preserve">a) Adapted UNDP Capacity Scorecard ratings of pilot province environmental authorities: i) Buenos Aires Office for Sustainable Development (OPDS), ii) Ministry of Environment of Jujuy, iii) Environment Secretariat of Mendoza. </w:t>
            </w:r>
          </w:p>
          <w:p w14:paraId="071E0E84" w14:textId="77777777" w:rsidR="007F4F70" w:rsidRPr="003F7F6C" w:rsidRDefault="007F4F70" w:rsidP="002B3130">
            <w:pPr>
              <w:spacing w:after="0"/>
              <w:jc w:val="left"/>
              <w:rPr>
                <w:rFonts w:cs="Calibri"/>
                <w:bCs/>
                <w:sz w:val="18"/>
                <w:szCs w:val="18"/>
              </w:rPr>
            </w:pPr>
          </w:p>
          <w:p w14:paraId="271F85AB" w14:textId="77777777" w:rsidR="007F4F70" w:rsidRPr="003F7F6C" w:rsidRDefault="007F4F70" w:rsidP="002B3130">
            <w:pPr>
              <w:spacing w:after="0"/>
              <w:jc w:val="left"/>
              <w:rPr>
                <w:rFonts w:cs="Calibri"/>
                <w:bCs/>
                <w:sz w:val="18"/>
                <w:szCs w:val="18"/>
              </w:rPr>
            </w:pPr>
            <w:r w:rsidRPr="003F7F6C">
              <w:rPr>
                <w:rFonts w:cs="Calibri"/>
                <w:bCs/>
                <w:sz w:val="18"/>
                <w:szCs w:val="18"/>
              </w:rPr>
              <w:t>b) Number and type of provincial level policy, planning and regulatory instruments for ELUP that include an approach to landscape sustainability, resilience and inclusiveness</w:t>
            </w:r>
          </w:p>
        </w:tc>
        <w:tc>
          <w:tcPr>
            <w:tcW w:w="2268" w:type="dxa"/>
            <w:vMerge w:val="restart"/>
          </w:tcPr>
          <w:p w14:paraId="7F57AEEF" w14:textId="77777777" w:rsidR="007F4F70" w:rsidRPr="003F7F6C" w:rsidRDefault="007F4F70" w:rsidP="002B3130">
            <w:pPr>
              <w:spacing w:after="0"/>
              <w:rPr>
                <w:rFonts w:cs="Calibri"/>
                <w:bCs/>
                <w:sz w:val="18"/>
                <w:szCs w:val="18"/>
              </w:rPr>
            </w:pPr>
            <w:r w:rsidRPr="003F7F6C">
              <w:rPr>
                <w:rFonts w:cs="Calibri"/>
                <w:bCs/>
                <w:sz w:val="18"/>
                <w:szCs w:val="18"/>
              </w:rPr>
              <w:t>a) OPDS: 48.8%</w:t>
            </w:r>
          </w:p>
          <w:p w14:paraId="61DF0168" w14:textId="77777777" w:rsidR="007F4F70" w:rsidRPr="003F7F6C" w:rsidRDefault="007F4F70" w:rsidP="002B3130">
            <w:pPr>
              <w:spacing w:after="0"/>
              <w:rPr>
                <w:rFonts w:cs="Calibri"/>
                <w:bCs/>
                <w:sz w:val="18"/>
                <w:szCs w:val="18"/>
              </w:rPr>
            </w:pPr>
            <w:r w:rsidRPr="003F7F6C">
              <w:rPr>
                <w:rFonts w:cs="Calibri"/>
                <w:bCs/>
                <w:sz w:val="18"/>
                <w:szCs w:val="18"/>
              </w:rPr>
              <w:t>Jujuy: 48.8%</w:t>
            </w:r>
          </w:p>
          <w:p w14:paraId="4345D2EA" w14:textId="77777777" w:rsidR="007F4F70" w:rsidRPr="003F7F6C" w:rsidRDefault="007F4F70" w:rsidP="002B3130">
            <w:pPr>
              <w:spacing w:after="0"/>
              <w:rPr>
                <w:rFonts w:cs="Calibri"/>
                <w:bCs/>
                <w:sz w:val="18"/>
                <w:szCs w:val="18"/>
              </w:rPr>
            </w:pPr>
            <w:r w:rsidRPr="003F7F6C">
              <w:rPr>
                <w:rFonts w:cs="Calibri"/>
                <w:bCs/>
                <w:sz w:val="18"/>
                <w:szCs w:val="18"/>
              </w:rPr>
              <w:t>Mendoza: 80%</w:t>
            </w:r>
          </w:p>
          <w:p w14:paraId="68B93691" w14:textId="77777777" w:rsidR="007F4F70" w:rsidRPr="003F7F6C" w:rsidRDefault="007F4F70" w:rsidP="002B3130">
            <w:pPr>
              <w:spacing w:after="0"/>
              <w:jc w:val="left"/>
              <w:rPr>
                <w:rFonts w:cs="Calibri"/>
                <w:bCs/>
                <w:sz w:val="18"/>
                <w:szCs w:val="18"/>
              </w:rPr>
            </w:pPr>
            <w:r w:rsidRPr="003F7F6C">
              <w:rPr>
                <w:rFonts w:cs="Calibri"/>
                <w:bCs/>
                <w:sz w:val="18"/>
                <w:szCs w:val="18"/>
              </w:rPr>
              <w:t>(maximum score: 100% on Adapted UNDP Capacity Scorecard)</w:t>
            </w:r>
          </w:p>
          <w:p w14:paraId="246F5788" w14:textId="77777777" w:rsidR="007F4F70" w:rsidRPr="003F7F6C" w:rsidRDefault="007F4F70" w:rsidP="002B3130">
            <w:pPr>
              <w:spacing w:after="0"/>
              <w:rPr>
                <w:rFonts w:cs="Calibri"/>
                <w:bCs/>
                <w:sz w:val="18"/>
                <w:szCs w:val="18"/>
              </w:rPr>
            </w:pPr>
          </w:p>
          <w:p w14:paraId="5E7DC3BD" w14:textId="77777777" w:rsidR="007F4F70" w:rsidRPr="003F7F6C" w:rsidRDefault="007F4F70" w:rsidP="002B3130">
            <w:pPr>
              <w:spacing w:after="0"/>
              <w:rPr>
                <w:rFonts w:cs="Calibri"/>
                <w:bCs/>
                <w:sz w:val="18"/>
                <w:szCs w:val="18"/>
              </w:rPr>
            </w:pPr>
          </w:p>
          <w:p w14:paraId="19CB0081" w14:textId="77777777" w:rsidR="007F4F70" w:rsidRPr="003F7F6C" w:rsidRDefault="007F4F70" w:rsidP="002B3130">
            <w:pPr>
              <w:spacing w:after="0"/>
              <w:jc w:val="left"/>
              <w:rPr>
                <w:rFonts w:cs="Calibri"/>
                <w:bCs/>
                <w:sz w:val="18"/>
                <w:szCs w:val="18"/>
              </w:rPr>
            </w:pPr>
            <w:r w:rsidRPr="003F7F6C">
              <w:rPr>
                <w:rFonts w:cs="Calibri"/>
                <w:bCs/>
                <w:sz w:val="18"/>
                <w:szCs w:val="18"/>
              </w:rPr>
              <w:t>b) 7 provincial instruments that partially incorporate ELUP criteria or aspects: i) Law Nº8051 Mendoza, ii) 3 provincial laws for native forest land zoning, iii) 3 provincial general environment laws</w:t>
            </w:r>
          </w:p>
          <w:p w14:paraId="1BDF1C59" w14:textId="77777777" w:rsidR="007F4F70" w:rsidRPr="003F7F6C" w:rsidRDefault="007F4F70" w:rsidP="002B3130">
            <w:pPr>
              <w:spacing w:after="0"/>
              <w:rPr>
                <w:rFonts w:cs="Calibri"/>
                <w:bCs/>
                <w:sz w:val="18"/>
                <w:szCs w:val="18"/>
              </w:rPr>
            </w:pPr>
            <w:r w:rsidRPr="003F7F6C">
              <w:rPr>
                <w:rFonts w:cs="Calibri"/>
                <w:bCs/>
                <w:sz w:val="18"/>
                <w:szCs w:val="18"/>
              </w:rPr>
              <w:t xml:space="preserve"> </w:t>
            </w:r>
          </w:p>
          <w:p w14:paraId="594F40BF" w14:textId="77777777" w:rsidR="007F4F70" w:rsidRPr="003F7F6C" w:rsidRDefault="007F4F70" w:rsidP="002B3130">
            <w:pPr>
              <w:spacing w:after="0"/>
              <w:rPr>
                <w:rFonts w:cs="Calibri"/>
                <w:bCs/>
                <w:sz w:val="18"/>
                <w:szCs w:val="18"/>
              </w:rPr>
            </w:pPr>
          </w:p>
        </w:tc>
        <w:tc>
          <w:tcPr>
            <w:tcW w:w="1956" w:type="dxa"/>
            <w:vMerge w:val="restart"/>
          </w:tcPr>
          <w:p w14:paraId="5073C4FD" w14:textId="77777777" w:rsidR="007F4F70" w:rsidRPr="003F7F6C" w:rsidRDefault="007F4F70" w:rsidP="002B3130">
            <w:pPr>
              <w:spacing w:after="0"/>
              <w:rPr>
                <w:rFonts w:cs="Calibri"/>
                <w:bCs/>
                <w:sz w:val="18"/>
                <w:szCs w:val="18"/>
              </w:rPr>
            </w:pPr>
            <w:r w:rsidRPr="003F7F6C">
              <w:rPr>
                <w:rFonts w:cs="Calibri"/>
                <w:bCs/>
                <w:sz w:val="18"/>
                <w:szCs w:val="18"/>
              </w:rPr>
              <w:t xml:space="preserve">a) OPDS: 53% </w:t>
            </w:r>
          </w:p>
          <w:p w14:paraId="04590371" w14:textId="77777777" w:rsidR="007F4F70" w:rsidRPr="003F7F6C" w:rsidRDefault="007F4F70" w:rsidP="002B3130">
            <w:pPr>
              <w:spacing w:after="0"/>
              <w:rPr>
                <w:rFonts w:cs="Calibri"/>
                <w:bCs/>
                <w:sz w:val="18"/>
                <w:szCs w:val="18"/>
              </w:rPr>
            </w:pPr>
            <w:r w:rsidRPr="003F7F6C">
              <w:rPr>
                <w:rFonts w:cs="Calibri"/>
                <w:bCs/>
                <w:sz w:val="18"/>
                <w:szCs w:val="18"/>
              </w:rPr>
              <w:t>Jujuy: 53%</w:t>
            </w:r>
          </w:p>
          <w:p w14:paraId="65E5BE3F" w14:textId="77777777" w:rsidR="007F4F70" w:rsidRPr="003F7F6C" w:rsidRDefault="007F4F70" w:rsidP="002B3130">
            <w:pPr>
              <w:spacing w:after="0"/>
              <w:rPr>
                <w:rFonts w:cs="Calibri"/>
                <w:bCs/>
                <w:sz w:val="18"/>
                <w:szCs w:val="18"/>
              </w:rPr>
            </w:pPr>
            <w:r w:rsidRPr="003F7F6C">
              <w:rPr>
                <w:rFonts w:cs="Calibri"/>
                <w:bCs/>
                <w:sz w:val="18"/>
                <w:szCs w:val="18"/>
              </w:rPr>
              <w:t>Mendoza: 86%</w:t>
            </w:r>
          </w:p>
          <w:p w14:paraId="39C05991" w14:textId="77777777" w:rsidR="007F4F70" w:rsidRPr="003F7F6C" w:rsidRDefault="007F4F70" w:rsidP="002B3130">
            <w:pPr>
              <w:spacing w:after="0"/>
              <w:jc w:val="left"/>
              <w:rPr>
                <w:rFonts w:cs="Calibri"/>
                <w:bCs/>
                <w:sz w:val="18"/>
                <w:szCs w:val="18"/>
              </w:rPr>
            </w:pPr>
            <w:r w:rsidRPr="003F7F6C">
              <w:rPr>
                <w:rFonts w:cs="Calibri"/>
                <w:bCs/>
                <w:sz w:val="18"/>
                <w:szCs w:val="18"/>
              </w:rPr>
              <w:t>(maximum score: 100% on Adapted UNDP Capacity Scorecard)</w:t>
            </w:r>
          </w:p>
          <w:p w14:paraId="2338F1FC" w14:textId="77777777" w:rsidR="007F4F70" w:rsidRPr="003F7F6C" w:rsidRDefault="007F4F70" w:rsidP="002B3130">
            <w:pPr>
              <w:spacing w:after="0"/>
              <w:rPr>
                <w:rFonts w:cs="Calibri"/>
                <w:bCs/>
                <w:sz w:val="18"/>
                <w:szCs w:val="18"/>
              </w:rPr>
            </w:pPr>
          </w:p>
          <w:p w14:paraId="5AA81003" w14:textId="77777777" w:rsidR="007F4F70" w:rsidRPr="003F7F6C" w:rsidRDefault="007F4F70" w:rsidP="002B3130">
            <w:pPr>
              <w:spacing w:after="0"/>
              <w:rPr>
                <w:rFonts w:cs="Calibri"/>
                <w:bCs/>
                <w:sz w:val="18"/>
                <w:szCs w:val="18"/>
              </w:rPr>
            </w:pPr>
          </w:p>
          <w:p w14:paraId="7C7B1728" w14:textId="77777777" w:rsidR="007F4F70" w:rsidRPr="003F7F6C" w:rsidRDefault="007F4F70" w:rsidP="002B3130">
            <w:pPr>
              <w:spacing w:after="0"/>
              <w:jc w:val="left"/>
              <w:rPr>
                <w:rFonts w:cs="Calibri"/>
                <w:bCs/>
                <w:sz w:val="18"/>
                <w:szCs w:val="18"/>
              </w:rPr>
            </w:pPr>
            <w:r w:rsidRPr="003F7F6C">
              <w:rPr>
                <w:rFonts w:cs="Calibri"/>
                <w:bCs/>
                <w:sz w:val="18"/>
                <w:szCs w:val="18"/>
              </w:rPr>
              <w:t xml:space="preserve">b) Sector coordination and dialogue established through the provincial multi-stakeholder platforms (see Indicator 9 below). </w:t>
            </w:r>
          </w:p>
          <w:p w14:paraId="19345218" w14:textId="77777777" w:rsidR="007F4F70" w:rsidRPr="003F7F6C" w:rsidRDefault="007F4F70" w:rsidP="002B3130">
            <w:pPr>
              <w:spacing w:after="0"/>
              <w:rPr>
                <w:rFonts w:cs="Calibri"/>
                <w:bCs/>
                <w:i/>
                <w:sz w:val="18"/>
                <w:szCs w:val="18"/>
              </w:rPr>
            </w:pPr>
          </w:p>
        </w:tc>
        <w:tc>
          <w:tcPr>
            <w:tcW w:w="2119" w:type="dxa"/>
            <w:vMerge w:val="restart"/>
          </w:tcPr>
          <w:p w14:paraId="073E203D" w14:textId="77777777" w:rsidR="007F4F70" w:rsidRPr="003F7F6C" w:rsidRDefault="007F4F70" w:rsidP="002B3130">
            <w:pPr>
              <w:spacing w:after="0"/>
              <w:rPr>
                <w:rFonts w:cs="Calibri"/>
                <w:bCs/>
                <w:sz w:val="18"/>
                <w:szCs w:val="18"/>
              </w:rPr>
            </w:pPr>
            <w:r w:rsidRPr="003F7F6C">
              <w:rPr>
                <w:rFonts w:cs="Calibri"/>
                <w:bCs/>
                <w:sz w:val="18"/>
                <w:szCs w:val="18"/>
              </w:rPr>
              <w:t>a) OPDS:59%</w:t>
            </w:r>
          </w:p>
          <w:p w14:paraId="75677C81" w14:textId="77777777" w:rsidR="007F4F70" w:rsidRPr="003F7F6C" w:rsidRDefault="007F4F70" w:rsidP="002B3130">
            <w:pPr>
              <w:spacing w:after="0"/>
              <w:rPr>
                <w:rFonts w:cs="Calibri"/>
                <w:bCs/>
                <w:sz w:val="18"/>
                <w:szCs w:val="18"/>
              </w:rPr>
            </w:pPr>
            <w:r w:rsidRPr="003F7F6C">
              <w:rPr>
                <w:rFonts w:cs="Calibri"/>
                <w:bCs/>
                <w:sz w:val="18"/>
                <w:szCs w:val="18"/>
              </w:rPr>
              <w:t>Jujuy: 59%</w:t>
            </w:r>
          </w:p>
          <w:p w14:paraId="1E20517C" w14:textId="77777777" w:rsidR="007F4F70" w:rsidRPr="003F7F6C" w:rsidRDefault="007F4F70" w:rsidP="002B3130">
            <w:pPr>
              <w:spacing w:after="0"/>
              <w:rPr>
                <w:rFonts w:cs="Calibri"/>
                <w:bCs/>
                <w:sz w:val="18"/>
                <w:szCs w:val="18"/>
              </w:rPr>
            </w:pPr>
            <w:r w:rsidRPr="003F7F6C">
              <w:rPr>
                <w:rFonts w:cs="Calibri"/>
                <w:bCs/>
                <w:sz w:val="18"/>
                <w:szCs w:val="18"/>
              </w:rPr>
              <w:t>Mendoza: 96</w:t>
            </w:r>
            <w:r w:rsidR="007E3858" w:rsidRPr="003F7F6C">
              <w:rPr>
                <w:rFonts w:cs="Calibri"/>
                <w:bCs/>
                <w:sz w:val="18"/>
                <w:szCs w:val="18"/>
              </w:rPr>
              <w:t>%</w:t>
            </w:r>
          </w:p>
          <w:p w14:paraId="58E2B5D2" w14:textId="77777777" w:rsidR="007F4F70" w:rsidRPr="003F7F6C" w:rsidRDefault="007F4F70" w:rsidP="002B3130">
            <w:pPr>
              <w:spacing w:after="0"/>
              <w:jc w:val="left"/>
              <w:rPr>
                <w:rFonts w:cs="Calibri"/>
                <w:bCs/>
                <w:sz w:val="18"/>
                <w:szCs w:val="18"/>
              </w:rPr>
            </w:pPr>
            <w:r w:rsidRPr="003F7F6C">
              <w:rPr>
                <w:rFonts w:cs="Calibri"/>
                <w:bCs/>
                <w:sz w:val="18"/>
                <w:szCs w:val="18"/>
              </w:rPr>
              <w:t>(maximum score: 100% on Adapted UNDP Capacity Scorecard)</w:t>
            </w:r>
          </w:p>
          <w:p w14:paraId="0C6626D6" w14:textId="77777777" w:rsidR="007F4F70" w:rsidRPr="003F7F6C" w:rsidRDefault="007F4F70" w:rsidP="002B3130">
            <w:pPr>
              <w:spacing w:after="0"/>
              <w:rPr>
                <w:rFonts w:cs="Calibri"/>
                <w:bCs/>
                <w:sz w:val="18"/>
                <w:szCs w:val="18"/>
              </w:rPr>
            </w:pPr>
          </w:p>
          <w:p w14:paraId="45ECA8A6" w14:textId="77777777" w:rsidR="007F4F70" w:rsidRPr="003F7F6C" w:rsidRDefault="007F4F70" w:rsidP="002B3130">
            <w:pPr>
              <w:spacing w:after="0"/>
              <w:rPr>
                <w:rFonts w:cs="Calibri"/>
                <w:bCs/>
                <w:sz w:val="18"/>
                <w:szCs w:val="18"/>
              </w:rPr>
            </w:pPr>
          </w:p>
          <w:p w14:paraId="230EB808" w14:textId="77777777" w:rsidR="007F4F70" w:rsidRPr="003F7F6C" w:rsidRDefault="007F4F70" w:rsidP="002B3130">
            <w:pPr>
              <w:spacing w:after="0"/>
              <w:jc w:val="left"/>
              <w:rPr>
                <w:rFonts w:cs="Calibri"/>
                <w:bCs/>
                <w:sz w:val="18"/>
                <w:szCs w:val="18"/>
              </w:rPr>
            </w:pPr>
            <w:r w:rsidRPr="003F7F6C">
              <w:rPr>
                <w:rFonts w:cs="Calibri"/>
                <w:bCs/>
                <w:sz w:val="18"/>
                <w:szCs w:val="18"/>
              </w:rPr>
              <w:t>b) At least 3 provincial laws strengthened with economic instruments, guidelines and/or regulations for ELUP.</w:t>
            </w:r>
          </w:p>
          <w:p w14:paraId="06B6C893" w14:textId="77777777" w:rsidR="007F4F70" w:rsidRPr="003F7F6C" w:rsidRDefault="007F4F70" w:rsidP="002B3130">
            <w:pPr>
              <w:spacing w:after="0"/>
              <w:jc w:val="left"/>
              <w:rPr>
                <w:rFonts w:cs="Calibri"/>
                <w:bCs/>
                <w:sz w:val="18"/>
                <w:szCs w:val="18"/>
              </w:rPr>
            </w:pPr>
          </w:p>
          <w:p w14:paraId="2D3975B0" w14:textId="77777777" w:rsidR="007F4F70" w:rsidRPr="003F7F6C" w:rsidRDefault="007F4F70" w:rsidP="002B3130">
            <w:pPr>
              <w:spacing w:after="0"/>
              <w:jc w:val="left"/>
              <w:rPr>
                <w:rFonts w:cs="Calibri"/>
                <w:bCs/>
                <w:sz w:val="18"/>
                <w:szCs w:val="18"/>
              </w:rPr>
            </w:pPr>
            <w:r w:rsidRPr="003F7F6C">
              <w:rPr>
                <w:rFonts w:cs="Calibri"/>
                <w:bCs/>
                <w:sz w:val="18"/>
                <w:szCs w:val="18"/>
              </w:rPr>
              <w:t xml:space="preserve">At least 5 new instruments developed </w:t>
            </w:r>
            <w:r w:rsidR="007E3858" w:rsidRPr="003F7F6C">
              <w:rPr>
                <w:rFonts w:cs="Calibri"/>
                <w:bCs/>
                <w:sz w:val="18"/>
                <w:szCs w:val="18"/>
              </w:rPr>
              <w:t xml:space="preserve">and approved </w:t>
            </w:r>
            <w:r w:rsidRPr="003F7F6C">
              <w:rPr>
                <w:rFonts w:cs="Calibri"/>
                <w:bCs/>
                <w:sz w:val="18"/>
                <w:szCs w:val="18"/>
              </w:rPr>
              <w:t>to implement ELUP at provincial/municipal level (i.e, methodological guides, ELUP protocols, planning guidelines)</w:t>
            </w:r>
          </w:p>
          <w:p w14:paraId="1064A2F4" w14:textId="77777777" w:rsidR="007F4F70" w:rsidRPr="003F7F6C" w:rsidRDefault="007F4F70" w:rsidP="002B3130">
            <w:pPr>
              <w:spacing w:after="0"/>
              <w:jc w:val="left"/>
              <w:rPr>
                <w:rFonts w:cs="Calibri"/>
                <w:bCs/>
                <w:i/>
                <w:sz w:val="18"/>
                <w:szCs w:val="18"/>
              </w:rPr>
            </w:pPr>
          </w:p>
        </w:tc>
        <w:tc>
          <w:tcPr>
            <w:tcW w:w="2949" w:type="dxa"/>
          </w:tcPr>
          <w:p w14:paraId="7FCC1F16" w14:textId="77777777" w:rsidR="007F4F70" w:rsidRPr="003F7F6C" w:rsidRDefault="007F4F70" w:rsidP="002B3130">
            <w:pPr>
              <w:spacing w:after="0"/>
              <w:rPr>
                <w:rFonts w:cs="Calibri"/>
                <w:sz w:val="18"/>
                <w:szCs w:val="18"/>
              </w:rPr>
            </w:pPr>
            <w:r w:rsidRPr="003F7F6C">
              <w:rPr>
                <w:rFonts w:cs="Calibri"/>
                <w:sz w:val="18"/>
                <w:szCs w:val="18"/>
              </w:rPr>
              <w:t>Periodic project monitoring</w:t>
            </w:r>
          </w:p>
          <w:p w14:paraId="54D194E3" w14:textId="77777777" w:rsidR="007F4F70" w:rsidRPr="003F7F6C" w:rsidRDefault="007F4F70" w:rsidP="002B3130">
            <w:pPr>
              <w:spacing w:after="0"/>
              <w:rPr>
                <w:rFonts w:cs="Calibri"/>
                <w:sz w:val="18"/>
                <w:szCs w:val="18"/>
              </w:rPr>
            </w:pPr>
            <w:r w:rsidRPr="003F7F6C">
              <w:rPr>
                <w:rFonts w:cs="Calibri"/>
                <w:sz w:val="18"/>
                <w:szCs w:val="18"/>
              </w:rPr>
              <w:t>Interviews with key staff and authorities</w:t>
            </w:r>
          </w:p>
          <w:p w14:paraId="0749B916" w14:textId="77777777" w:rsidR="007F4F70" w:rsidRPr="003F7F6C" w:rsidRDefault="007F4F70" w:rsidP="002B3130">
            <w:pPr>
              <w:spacing w:after="0"/>
              <w:rPr>
                <w:rFonts w:cs="Calibri"/>
                <w:i/>
              </w:rPr>
            </w:pPr>
            <w:r w:rsidRPr="003F7F6C">
              <w:rPr>
                <w:rFonts w:cs="Calibri"/>
                <w:sz w:val="18"/>
                <w:szCs w:val="18"/>
              </w:rPr>
              <w:t>Capacity scorecards at mid-term and end of project</w:t>
            </w:r>
          </w:p>
        </w:tc>
      </w:tr>
      <w:tr w:rsidR="007F4F70" w:rsidRPr="003F7F6C" w14:paraId="03013EE5" w14:textId="77777777" w:rsidTr="002B3130">
        <w:trPr>
          <w:trHeight w:val="765"/>
        </w:trPr>
        <w:tc>
          <w:tcPr>
            <w:tcW w:w="2605" w:type="dxa"/>
            <w:vMerge/>
            <w:shd w:val="pct12" w:color="auto" w:fill="auto"/>
          </w:tcPr>
          <w:p w14:paraId="7D4850E0" w14:textId="77777777" w:rsidR="007F4F70" w:rsidRPr="003F7F6C" w:rsidRDefault="007F4F70" w:rsidP="002B3130">
            <w:pPr>
              <w:rPr>
                <w:rFonts w:cs="Calibri"/>
                <w:b/>
                <w:bCs/>
                <w:sz w:val="18"/>
                <w:szCs w:val="18"/>
              </w:rPr>
            </w:pPr>
          </w:p>
        </w:tc>
        <w:tc>
          <w:tcPr>
            <w:tcW w:w="2493" w:type="dxa"/>
            <w:vMerge/>
          </w:tcPr>
          <w:p w14:paraId="5A5394C3" w14:textId="77777777" w:rsidR="007F4F70" w:rsidRPr="003F7F6C" w:rsidRDefault="007F4F70" w:rsidP="002B3130">
            <w:pPr>
              <w:spacing w:after="0"/>
              <w:rPr>
                <w:rFonts w:cs="Calibri"/>
                <w:bCs/>
                <w:i/>
                <w:sz w:val="18"/>
                <w:szCs w:val="18"/>
              </w:rPr>
            </w:pPr>
          </w:p>
        </w:tc>
        <w:tc>
          <w:tcPr>
            <w:tcW w:w="2268" w:type="dxa"/>
            <w:vMerge/>
          </w:tcPr>
          <w:p w14:paraId="537EF28D" w14:textId="77777777" w:rsidR="007F4F70" w:rsidRPr="003F7F6C" w:rsidRDefault="007F4F70" w:rsidP="002B3130">
            <w:pPr>
              <w:spacing w:after="0"/>
              <w:rPr>
                <w:rFonts w:cs="Calibri"/>
                <w:bCs/>
                <w:i/>
                <w:sz w:val="18"/>
                <w:szCs w:val="18"/>
              </w:rPr>
            </w:pPr>
          </w:p>
        </w:tc>
        <w:tc>
          <w:tcPr>
            <w:tcW w:w="1956" w:type="dxa"/>
            <w:vMerge/>
          </w:tcPr>
          <w:p w14:paraId="482BF2C6" w14:textId="77777777" w:rsidR="007F4F70" w:rsidRPr="003F7F6C" w:rsidRDefault="007F4F70" w:rsidP="002B3130">
            <w:pPr>
              <w:spacing w:after="0"/>
              <w:rPr>
                <w:rFonts w:cs="Calibri"/>
                <w:bCs/>
                <w:i/>
                <w:sz w:val="18"/>
                <w:szCs w:val="18"/>
              </w:rPr>
            </w:pPr>
          </w:p>
        </w:tc>
        <w:tc>
          <w:tcPr>
            <w:tcW w:w="2119" w:type="dxa"/>
            <w:vMerge/>
          </w:tcPr>
          <w:p w14:paraId="590D70D1" w14:textId="77777777" w:rsidR="007F4F70" w:rsidRPr="003F7F6C" w:rsidRDefault="007F4F70" w:rsidP="002B3130">
            <w:pPr>
              <w:spacing w:after="0"/>
              <w:rPr>
                <w:rFonts w:cs="Calibri"/>
                <w:bCs/>
                <w:i/>
                <w:sz w:val="18"/>
                <w:szCs w:val="18"/>
              </w:rPr>
            </w:pPr>
          </w:p>
        </w:tc>
        <w:tc>
          <w:tcPr>
            <w:tcW w:w="2949" w:type="dxa"/>
          </w:tcPr>
          <w:p w14:paraId="73ADE86D" w14:textId="77777777" w:rsidR="007F4F70" w:rsidRPr="003F7F6C" w:rsidRDefault="007F4F70" w:rsidP="002B3130">
            <w:pPr>
              <w:spacing w:after="0"/>
              <w:rPr>
                <w:rFonts w:cs="Calibri"/>
              </w:rPr>
            </w:pPr>
            <w:r w:rsidRPr="003F7F6C">
              <w:rPr>
                <w:rFonts w:cs="Calibri"/>
              </w:rPr>
              <w:t>Risks:</w:t>
            </w:r>
          </w:p>
          <w:p w14:paraId="71BA8A04" w14:textId="77777777" w:rsidR="007F4F70" w:rsidRPr="003F7F6C" w:rsidRDefault="007F4F70" w:rsidP="002B3130">
            <w:pPr>
              <w:spacing w:after="0"/>
              <w:jc w:val="left"/>
              <w:rPr>
                <w:rFonts w:cs="Calibri"/>
                <w:sz w:val="18"/>
                <w:szCs w:val="18"/>
              </w:rPr>
            </w:pPr>
            <w:r w:rsidRPr="003F7F6C">
              <w:rPr>
                <w:rFonts w:cs="Calibri"/>
                <w:sz w:val="18"/>
                <w:szCs w:val="18"/>
              </w:rPr>
              <w:t>Lack of political will and weak institutional management reduce ELUP efficiency</w:t>
            </w:r>
          </w:p>
          <w:p w14:paraId="1C4DB55D" w14:textId="77777777" w:rsidR="007F4F70" w:rsidRPr="003F7F6C" w:rsidRDefault="007F4F70" w:rsidP="002B3130">
            <w:pPr>
              <w:spacing w:after="0"/>
              <w:rPr>
                <w:rFonts w:cs="Calibri"/>
              </w:rPr>
            </w:pPr>
          </w:p>
          <w:p w14:paraId="6C3378A4" w14:textId="77777777" w:rsidR="007F4F70" w:rsidRPr="003F7F6C" w:rsidRDefault="007F4F70" w:rsidP="002B3130">
            <w:pPr>
              <w:spacing w:after="0"/>
              <w:rPr>
                <w:rFonts w:cs="Calibri"/>
              </w:rPr>
            </w:pPr>
            <w:r w:rsidRPr="003F7F6C">
              <w:rPr>
                <w:rFonts w:cs="Calibri"/>
              </w:rPr>
              <w:t>Assumptions:</w:t>
            </w:r>
          </w:p>
          <w:p w14:paraId="0DA80CD7" w14:textId="77777777" w:rsidR="007F4F70" w:rsidRPr="003F7F6C" w:rsidRDefault="007F4F70" w:rsidP="002B3130">
            <w:pPr>
              <w:spacing w:after="0"/>
              <w:jc w:val="left"/>
              <w:rPr>
                <w:rFonts w:cs="Calibri"/>
                <w:sz w:val="18"/>
                <w:szCs w:val="18"/>
              </w:rPr>
            </w:pPr>
            <w:r w:rsidRPr="003F7F6C">
              <w:rPr>
                <w:rFonts w:cs="Calibri"/>
                <w:sz w:val="18"/>
                <w:szCs w:val="18"/>
              </w:rPr>
              <w:t>Commitment of pilot provinces institutions to mainstream, implement and monitor ELUP processes</w:t>
            </w:r>
          </w:p>
        </w:tc>
      </w:tr>
      <w:tr w:rsidR="007F4F70" w:rsidRPr="003F7F6C" w14:paraId="61E52D01" w14:textId="77777777" w:rsidTr="002B3130">
        <w:trPr>
          <w:trHeight w:val="765"/>
        </w:trPr>
        <w:tc>
          <w:tcPr>
            <w:tcW w:w="2605" w:type="dxa"/>
            <w:vMerge/>
            <w:shd w:val="pct12" w:color="auto" w:fill="auto"/>
          </w:tcPr>
          <w:p w14:paraId="61D67FCD" w14:textId="77777777" w:rsidR="007F4F70" w:rsidRPr="003F7F6C" w:rsidRDefault="007F4F70" w:rsidP="002B3130">
            <w:pPr>
              <w:rPr>
                <w:rFonts w:cs="Calibri"/>
                <w:b/>
                <w:bCs/>
                <w:sz w:val="18"/>
                <w:szCs w:val="18"/>
              </w:rPr>
            </w:pPr>
          </w:p>
        </w:tc>
        <w:tc>
          <w:tcPr>
            <w:tcW w:w="2493" w:type="dxa"/>
            <w:vMerge w:val="restart"/>
          </w:tcPr>
          <w:p w14:paraId="7CF1C68B" w14:textId="032B9516" w:rsidR="007F4F70" w:rsidRPr="003F7F6C" w:rsidRDefault="007F4F70" w:rsidP="002B3130">
            <w:pPr>
              <w:jc w:val="left"/>
              <w:rPr>
                <w:rFonts w:cs="Calibri"/>
                <w:bCs/>
                <w:sz w:val="18"/>
                <w:szCs w:val="18"/>
              </w:rPr>
            </w:pPr>
            <w:r w:rsidRPr="003F7F6C">
              <w:rPr>
                <w:rFonts w:cs="Calibri"/>
                <w:bCs/>
                <w:sz w:val="18"/>
                <w:szCs w:val="18"/>
              </w:rPr>
              <w:t xml:space="preserve">Indicator </w:t>
            </w:r>
            <w:r w:rsidR="00993773" w:rsidRPr="003F7F6C">
              <w:rPr>
                <w:rFonts w:cs="Calibri"/>
                <w:bCs/>
                <w:sz w:val="18"/>
                <w:szCs w:val="18"/>
              </w:rPr>
              <w:t>8</w:t>
            </w:r>
            <w:r w:rsidRPr="003F7F6C">
              <w:rPr>
                <w:rFonts w:cs="Calibri"/>
                <w:bCs/>
                <w:sz w:val="18"/>
                <w:szCs w:val="18"/>
              </w:rPr>
              <w:t>: Number and type of new partnership mechanisms at provincial level for participatory ELUP and consensus building (including level of direct participation of women and indigenous peoples)</w:t>
            </w:r>
          </w:p>
        </w:tc>
        <w:tc>
          <w:tcPr>
            <w:tcW w:w="2268" w:type="dxa"/>
            <w:vMerge w:val="restart"/>
          </w:tcPr>
          <w:p w14:paraId="625AC8FE" w14:textId="77777777" w:rsidR="007F4F70" w:rsidRPr="003F7F6C" w:rsidRDefault="007F4F70" w:rsidP="002B3130">
            <w:pPr>
              <w:jc w:val="left"/>
              <w:rPr>
                <w:rFonts w:cs="Calibri"/>
                <w:bCs/>
                <w:sz w:val="18"/>
                <w:szCs w:val="18"/>
              </w:rPr>
            </w:pPr>
            <w:r w:rsidRPr="003F7F6C">
              <w:rPr>
                <w:rFonts w:cs="Calibri"/>
                <w:bCs/>
                <w:sz w:val="18"/>
                <w:szCs w:val="18"/>
              </w:rPr>
              <w:t>Mendoza has a Land Use Planning Provincial Council which will serve as dialogue space. Jujuy and Buenos Aires do not have participatory mechanisms for ELUP.</w:t>
            </w:r>
          </w:p>
          <w:p w14:paraId="4FDD93E9" w14:textId="77777777" w:rsidR="007F4F70" w:rsidRPr="003F7F6C" w:rsidRDefault="007F4F70" w:rsidP="002B3130">
            <w:pPr>
              <w:jc w:val="left"/>
              <w:rPr>
                <w:rFonts w:cs="Calibri"/>
                <w:bCs/>
                <w:sz w:val="18"/>
                <w:szCs w:val="18"/>
              </w:rPr>
            </w:pPr>
          </w:p>
        </w:tc>
        <w:tc>
          <w:tcPr>
            <w:tcW w:w="1956" w:type="dxa"/>
            <w:vMerge w:val="restart"/>
          </w:tcPr>
          <w:p w14:paraId="0280311B" w14:textId="77777777" w:rsidR="007F4F70" w:rsidRPr="003F7F6C" w:rsidRDefault="007F4F70" w:rsidP="002B3130">
            <w:pPr>
              <w:jc w:val="left"/>
              <w:rPr>
                <w:rFonts w:cs="Calibri"/>
                <w:bCs/>
                <w:sz w:val="18"/>
                <w:szCs w:val="18"/>
              </w:rPr>
            </w:pPr>
            <w:r w:rsidRPr="003F7F6C">
              <w:rPr>
                <w:rFonts w:cs="Calibri"/>
                <w:bCs/>
                <w:sz w:val="18"/>
                <w:szCs w:val="18"/>
              </w:rPr>
              <w:t xml:space="preserve">1 multi-stakeholder space strengthened with new members (Mendoza) </w:t>
            </w:r>
          </w:p>
          <w:p w14:paraId="0AE89C06" w14:textId="77777777" w:rsidR="007F4F70" w:rsidRPr="003F7F6C" w:rsidRDefault="007F4F70" w:rsidP="002B3130">
            <w:pPr>
              <w:jc w:val="left"/>
              <w:rPr>
                <w:rFonts w:cs="Calibri"/>
                <w:bCs/>
                <w:sz w:val="18"/>
                <w:szCs w:val="18"/>
              </w:rPr>
            </w:pPr>
            <w:r w:rsidRPr="003F7F6C">
              <w:rPr>
                <w:rFonts w:cs="Calibri"/>
                <w:bCs/>
                <w:sz w:val="18"/>
                <w:szCs w:val="18"/>
              </w:rPr>
              <w:t xml:space="preserve">2 multi-stakeholder spaces (Buenos Aires and Jujuy) and 1 sustainable commodities platform (Buenos Aires) designed and stakeholders identified </w:t>
            </w:r>
          </w:p>
          <w:p w14:paraId="18B6430A" w14:textId="77777777" w:rsidR="007F4F70" w:rsidRPr="003F7F6C" w:rsidRDefault="007F4F70" w:rsidP="002B3130">
            <w:pPr>
              <w:jc w:val="left"/>
              <w:rPr>
                <w:rFonts w:cs="Calibri"/>
                <w:bCs/>
                <w:sz w:val="18"/>
                <w:szCs w:val="18"/>
              </w:rPr>
            </w:pPr>
          </w:p>
          <w:p w14:paraId="23368B3A" w14:textId="77777777" w:rsidR="007F4F70" w:rsidRPr="003F7F6C" w:rsidRDefault="007F4F70" w:rsidP="002B3130">
            <w:pPr>
              <w:jc w:val="left"/>
              <w:rPr>
                <w:rFonts w:cs="Calibri"/>
                <w:bCs/>
                <w:sz w:val="18"/>
                <w:szCs w:val="18"/>
              </w:rPr>
            </w:pPr>
          </w:p>
          <w:p w14:paraId="7E87E7ED" w14:textId="77777777" w:rsidR="007F4F70" w:rsidRPr="003F7F6C" w:rsidRDefault="007F4F70" w:rsidP="002B3130">
            <w:pPr>
              <w:jc w:val="left"/>
              <w:rPr>
                <w:rFonts w:cs="Calibri"/>
                <w:bCs/>
                <w:sz w:val="18"/>
                <w:szCs w:val="18"/>
              </w:rPr>
            </w:pPr>
          </w:p>
        </w:tc>
        <w:tc>
          <w:tcPr>
            <w:tcW w:w="2119" w:type="dxa"/>
            <w:vMerge w:val="restart"/>
          </w:tcPr>
          <w:p w14:paraId="3ED96BF7" w14:textId="77777777" w:rsidR="007F4F70" w:rsidRPr="003F7F6C" w:rsidRDefault="007F4F70" w:rsidP="002B3130">
            <w:pPr>
              <w:jc w:val="left"/>
              <w:rPr>
                <w:rFonts w:cs="Calibri"/>
                <w:bCs/>
                <w:sz w:val="18"/>
                <w:szCs w:val="18"/>
              </w:rPr>
            </w:pPr>
            <w:r w:rsidRPr="003F7F6C">
              <w:rPr>
                <w:rFonts w:cs="Calibri"/>
                <w:bCs/>
                <w:sz w:val="18"/>
                <w:szCs w:val="18"/>
              </w:rPr>
              <w:t>3 provincial multi-stakeholder spaces functioning with work plans and budgets (at least 40% female membership and including indigenous peoples)</w:t>
            </w:r>
          </w:p>
          <w:p w14:paraId="360FC483" w14:textId="77777777" w:rsidR="007F4F70" w:rsidRPr="003F7F6C" w:rsidRDefault="007F4F70" w:rsidP="002B3130">
            <w:pPr>
              <w:jc w:val="left"/>
              <w:rPr>
                <w:rFonts w:cs="Calibri"/>
                <w:bCs/>
                <w:sz w:val="18"/>
                <w:szCs w:val="18"/>
              </w:rPr>
            </w:pPr>
          </w:p>
          <w:p w14:paraId="15F2B101" w14:textId="77777777" w:rsidR="007F4F70" w:rsidRPr="003F7F6C" w:rsidRDefault="007F4F70" w:rsidP="002B3130">
            <w:pPr>
              <w:jc w:val="left"/>
              <w:rPr>
                <w:rFonts w:cs="Calibri"/>
                <w:bCs/>
                <w:sz w:val="18"/>
                <w:szCs w:val="18"/>
              </w:rPr>
            </w:pPr>
            <w:r w:rsidRPr="003F7F6C">
              <w:rPr>
                <w:rFonts w:cs="Calibri"/>
                <w:bCs/>
                <w:sz w:val="18"/>
                <w:szCs w:val="18"/>
              </w:rPr>
              <w:t>1 sustainable commodities platform (</w:t>
            </w:r>
            <w:r w:rsidR="007E3858" w:rsidRPr="003F7F6C">
              <w:rPr>
                <w:rFonts w:cs="Calibri"/>
                <w:bCs/>
                <w:sz w:val="18"/>
                <w:szCs w:val="18"/>
              </w:rPr>
              <w:t>beef</w:t>
            </w:r>
            <w:r w:rsidRPr="003F7F6C">
              <w:rPr>
                <w:rFonts w:cs="Calibri"/>
                <w:bCs/>
                <w:sz w:val="18"/>
                <w:szCs w:val="18"/>
              </w:rPr>
              <w:t>) established and functioning with action plans developed (Buenos Aires)</w:t>
            </w:r>
          </w:p>
          <w:p w14:paraId="1A7D3DEB" w14:textId="77777777" w:rsidR="007F4F70" w:rsidRPr="003F7F6C" w:rsidRDefault="007F4F70" w:rsidP="002B3130">
            <w:pPr>
              <w:jc w:val="left"/>
              <w:rPr>
                <w:rFonts w:cs="Calibri"/>
                <w:bCs/>
                <w:sz w:val="18"/>
                <w:szCs w:val="18"/>
              </w:rPr>
            </w:pPr>
          </w:p>
        </w:tc>
        <w:tc>
          <w:tcPr>
            <w:tcW w:w="2949" w:type="dxa"/>
          </w:tcPr>
          <w:p w14:paraId="51BD2FF2" w14:textId="77777777" w:rsidR="007F4F70" w:rsidRPr="003F7F6C" w:rsidRDefault="007F4F70" w:rsidP="00AB0608">
            <w:pPr>
              <w:jc w:val="left"/>
              <w:rPr>
                <w:rFonts w:cs="Calibri"/>
                <w:i/>
              </w:rPr>
            </w:pPr>
            <w:r w:rsidRPr="003F7F6C">
              <w:rPr>
                <w:rFonts w:cs="Calibri"/>
                <w:sz w:val="18"/>
                <w:szCs w:val="18"/>
              </w:rPr>
              <w:t xml:space="preserve">Periodic project monitoring; Institutional reports; Interviews with partnership members; minutes of meetings; sustainable </w:t>
            </w:r>
            <w:r w:rsidR="007E3858" w:rsidRPr="003F7F6C">
              <w:rPr>
                <w:rFonts w:cs="Calibri"/>
                <w:sz w:val="18"/>
                <w:szCs w:val="18"/>
              </w:rPr>
              <w:t xml:space="preserve">beef </w:t>
            </w:r>
            <w:r w:rsidRPr="003F7F6C">
              <w:rPr>
                <w:rFonts w:cs="Calibri"/>
                <w:sz w:val="18"/>
                <w:szCs w:val="18"/>
              </w:rPr>
              <w:t>action plan</w:t>
            </w:r>
          </w:p>
        </w:tc>
      </w:tr>
      <w:tr w:rsidR="007F4F70" w:rsidRPr="003F7F6C" w14:paraId="17FB2FCE" w14:textId="77777777" w:rsidTr="002B3130">
        <w:trPr>
          <w:trHeight w:val="541"/>
        </w:trPr>
        <w:tc>
          <w:tcPr>
            <w:tcW w:w="2605" w:type="dxa"/>
            <w:vMerge/>
            <w:shd w:val="pct12" w:color="auto" w:fill="auto"/>
          </w:tcPr>
          <w:p w14:paraId="2FFC7441" w14:textId="77777777" w:rsidR="007F4F70" w:rsidRPr="003F7F6C" w:rsidRDefault="007F4F70" w:rsidP="002B3130">
            <w:pPr>
              <w:rPr>
                <w:rFonts w:cs="Calibri"/>
                <w:b/>
                <w:bCs/>
                <w:sz w:val="18"/>
                <w:szCs w:val="18"/>
              </w:rPr>
            </w:pPr>
          </w:p>
        </w:tc>
        <w:tc>
          <w:tcPr>
            <w:tcW w:w="2493" w:type="dxa"/>
            <w:vMerge/>
          </w:tcPr>
          <w:p w14:paraId="0304A2E1" w14:textId="77777777" w:rsidR="007F4F70" w:rsidRPr="003F7F6C" w:rsidRDefault="007F4F70" w:rsidP="002B3130">
            <w:pPr>
              <w:rPr>
                <w:rFonts w:cs="Calibri"/>
                <w:bCs/>
                <w:i/>
                <w:sz w:val="18"/>
                <w:szCs w:val="18"/>
              </w:rPr>
            </w:pPr>
          </w:p>
        </w:tc>
        <w:tc>
          <w:tcPr>
            <w:tcW w:w="2268" w:type="dxa"/>
            <w:vMerge/>
          </w:tcPr>
          <w:p w14:paraId="63E94D3B" w14:textId="77777777" w:rsidR="007F4F70" w:rsidRPr="003F7F6C" w:rsidRDefault="007F4F70" w:rsidP="002B3130">
            <w:pPr>
              <w:rPr>
                <w:rFonts w:cs="Calibri"/>
                <w:bCs/>
                <w:i/>
                <w:sz w:val="18"/>
                <w:szCs w:val="18"/>
              </w:rPr>
            </w:pPr>
          </w:p>
        </w:tc>
        <w:tc>
          <w:tcPr>
            <w:tcW w:w="1956" w:type="dxa"/>
            <w:vMerge/>
          </w:tcPr>
          <w:p w14:paraId="0844B2D2" w14:textId="77777777" w:rsidR="007F4F70" w:rsidRPr="003F7F6C" w:rsidRDefault="007F4F70" w:rsidP="002B3130">
            <w:pPr>
              <w:rPr>
                <w:rFonts w:cs="Calibri"/>
                <w:bCs/>
                <w:i/>
                <w:sz w:val="18"/>
                <w:szCs w:val="18"/>
              </w:rPr>
            </w:pPr>
          </w:p>
        </w:tc>
        <w:tc>
          <w:tcPr>
            <w:tcW w:w="2119" w:type="dxa"/>
            <w:vMerge/>
          </w:tcPr>
          <w:p w14:paraId="4E8CD95C" w14:textId="77777777" w:rsidR="007F4F70" w:rsidRPr="003F7F6C" w:rsidRDefault="007F4F70" w:rsidP="002B3130">
            <w:pPr>
              <w:rPr>
                <w:rFonts w:cs="Calibri"/>
                <w:bCs/>
                <w:i/>
                <w:sz w:val="18"/>
                <w:szCs w:val="18"/>
              </w:rPr>
            </w:pPr>
          </w:p>
        </w:tc>
        <w:tc>
          <w:tcPr>
            <w:tcW w:w="2949" w:type="dxa"/>
          </w:tcPr>
          <w:p w14:paraId="0C7B8BAC" w14:textId="77777777" w:rsidR="007F4F70" w:rsidRPr="003F7F6C" w:rsidRDefault="007F4F70" w:rsidP="00AB0608">
            <w:pPr>
              <w:jc w:val="left"/>
              <w:rPr>
                <w:rFonts w:cs="Calibri"/>
              </w:rPr>
            </w:pPr>
            <w:r w:rsidRPr="003F7F6C">
              <w:rPr>
                <w:rFonts w:cs="Calibri"/>
              </w:rPr>
              <w:t>Risks:</w:t>
            </w:r>
          </w:p>
          <w:p w14:paraId="7AA9F283" w14:textId="77777777" w:rsidR="007F4F70" w:rsidRPr="003F7F6C" w:rsidRDefault="007F4F70" w:rsidP="00AB0608">
            <w:pPr>
              <w:jc w:val="left"/>
              <w:rPr>
                <w:rFonts w:cs="Calibri"/>
                <w:sz w:val="18"/>
                <w:szCs w:val="18"/>
              </w:rPr>
            </w:pPr>
            <w:r w:rsidRPr="003F7F6C">
              <w:rPr>
                <w:rFonts w:cs="Calibri"/>
                <w:sz w:val="18"/>
                <w:szCs w:val="18"/>
              </w:rPr>
              <w:t>Lack of interest of target sectors in inter-sectoral coordination and engaging with other sectors</w:t>
            </w:r>
          </w:p>
          <w:p w14:paraId="64C99229" w14:textId="77777777" w:rsidR="007F4F70" w:rsidRPr="003F7F6C" w:rsidRDefault="007F4F70" w:rsidP="00AB0608">
            <w:pPr>
              <w:jc w:val="left"/>
              <w:rPr>
                <w:rFonts w:cs="Calibri"/>
              </w:rPr>
            </w:pPr>
          </w:p>
          <w:p w14:paraId="23F9116D" w14:textId="77777777" w:rsidR="007F4F70" w:rsidRPr="003F7F6C" w:rsidRDefault="007F4F70" w:rsidP="00AB0608">
            <w:pPr>
              <w:jc w:val="left"/>
              <w:rPr>
                <w:rFonts w:cs="Calibri"/>
              </w:rPr>
            </w:pPr>
            <w:r w:rsidRPr="003F7F6C">
              <w:rPr>
                <w:rFonts w:cs="Calibri"/>
              </w:rPr>
              <w:t>Assumptions:</w:t>
            </w:r>
          </w:p>
          <w:p w14:paraId="251E56F8" w14:textId="77777777" w:rsidR="007F4F70" w:rsidRPr="003F7F6C" w:rsidRDefault="007F4F70" w:rsidP="00AB0608">
            <w:pPr>
              <w:jc w:val="left"/>
              <w:rPr>
                <w:rFonts w:cs="Calibri"/>
                <w:bCs/>
                <w:sz w:val="18"/>
                <w:szCs w:val="18"/>
              </w:rPr>
            </w:pPr>
            <w:r w:rsidRPr="003F7F6C">
              <w:rPr>
                <w:rFonts w:cs="Calibri"/>
                <w:bCs/>
                <w:sz w:val="18"/>
                <w:szCs w:val="18"/>
              </w:rPr>
              <w:t>Political will to develop partnership mechanisms for participatory ELUP and consensus building in association with different sectors and incorporating key stakeholders including civil society</w:t>
            </w:r>
          </w:p>
        </w:tc>
      </w:tr>
      <w:tr w:rsidR="007F4F70" w:rsidRPr="003F7F6C" w14:paraId="567CAA90" w14:textId="77777777" w:rsidTr="002B3130">
        <w:trPr>
          <w:trHeight w:val="765"/>
        </w:trPr>
        <w:tc>
          <w:tcPr>
            <w:tcW w:w="2605" w:type="dxa"/>
            <w:vMerge/>
            <w:shd w:val="pct12" w:color="auto" w:fill="auto"/>
          </w:tcPr>
          <w:p w14:paraId="1A659ECC" w14:textId="77777777" w:rsidR="007F4F70" w:rsidRPr="003F7F6C" w:rsidRDefault="007F4F70" w:rsidP="002B3130">
            <w:pPr>
              <w:rPr>
                <w:rFonts w:cs="Calibri"/>
                <w:b/>
                <w:bCs/>
                <w:sz w:val="18"/>
                <w:szCs w:val="18"/>
              </w:rPr>
            </w:pPr>
          </w:p>
        </w:tc>
        <w:tc>
          <w:tcPr>
            <w:tcW w:w="2493" w:type="dxa"/>
            <w:vMerge w:val="restart"/>
          </w:tcPr>
          <w:p w14:paraId="4789AAFC" w14:textId="759C36DD" w:rsidR="007F4F70" w:rsidRPr="003F7F6C" w:rsidRDefault="007F4F70" w:rsidP="002B3130">
            <w:pPr>
              <w:jc w:val="left"/>
              <w:rPr>
                <w:rFonts w:cs="Calibri"/>
                <w:bCs/>
                <w:sz w:val="18"/>
                <w:szCs w:val="18"/>
              </w:rPr>
            </w:pPr>
            <w:r w:rsidRPr="003F7F6C">
              <w:rPr>
                <w:rFonts w:cs="Calibri"/>
                <w:bCs/>
                <w:sz w:val="18"/>
                <w:szCs w:val="18"/>
              </w:rPr>
              <w:t xml:space="preserve">Indicator </w:t>
            </w:r>
            <w:r w:rsidR="00993773" w:rsidRPr="003F7F6C">
              <w:rPr>
                <w:rFonts w:cs="Calibri"/>
                <w:bCs/>
                <w:sz w:val="18"/>
                <w:szCs w:val="18"/>
              </w:rPr>
              <w:t>9</w:t>
            </w:r>
            <w:r w:rsidRPr="003F7F6C">
              <w:rPr>
                <w:rFonts w:cs="Calibri"/>
                <w:bCs/>
                <w:sz w:val="18"/>
                <w:szCs w:val="18"/>
              </w:rPr>
              <w:t>/</w:t>
            </w:r>
            <w:r w:rsidRPr="003F7F6C">
              <w:rPr>
                <w:rFonts w:cs="Calibri"/>
                <w:bCs/>
                <w:i/>
                <w:sz w:val="18"/>
                <w:szCs w:val="18"/>
              </w:rPr>
              <w:t>GEF Core Indicator 4</w:t>
            </w:r>
            <w:r w:rsidRPr="003F7F6C">
              <w:rPr>
                <w:rFonts w:cs="Calibri"/>
                <w:bCs/>
                <w:sz w:val="18"/>
                <w:szCs w:val="18"/>
              </w:rPr>
              <w:t xml:space="preserve">: Surface area (hectares) of landscapes under improved practices </w:t>
            </w:r>
            <w:r w:rsidRPr="003F7F6C">
              <w:rPr>
                <w:rFonts w:cs="Calibri"/>
                <w:color w:val="222222"/>
                <w:sz w:val="18"/>
                <w:szCs w:val="18"/>
                <w:shd w:val="clear" w:color="auto" w:fill="FFFFFF"/>
              </w:rPr>
              <w:t xml:space="preserve">in the target landscapes </w:t>
            </w:r>
            <w:r w:rsidRPr="003F7F6C">
              <w:rPr>
                <w:rFonts w:cs="Calibri"/>
                <w:bCs/>
                <w:sz w:val="18"/>
                <w:szCs w:val="18"/>
              </w:rPr>
              <w:t>excluding protected areas, measured through:</w:t>
            </w:r>
          </w:p>
          <w:p w14:paraId="07716C34" w14:textId="77777777" w:rsidR="007F4F70" w:rsidRPr="003F7F6C" w:rsidRDefault="007F4F70" w:rsidP="002B3130">
            <w:pPr>
              <w:jc w:val="left"/>
              <w:rPr>
                <w:rFonts w:cs="Calibri"/>
                <w:bCs/>
                <w:i/>
                <w:sz w:val="18"/>
                <w:szCs w:val="18"/>
              </w:rPr>
            </w:pPr>
            <w:r w:rsidRPr="003F7F6C">
              <w:rPr>
                <w:rFonts w:cs="Calibri"/>
                <w:bCs/>
                <w:sz w:val="18"/>
                <w:szCs w:val="18"/>
              </w:rPr>
              <w:t>a) Area of landscapes under improved management to benefit biodiversity</w:t>
            </w:r>
            <w:r w:rsidR="006D69FE" w:rsidRPr="003F7F6C">
              <w:rPr>
                <w:rFonts w:cs="Calibri"/>
                <w:bCs/>
                <w:sz w:val="18"/>
                <w:szCs w:val="18"/>
              </w:rPr>
              <w:t>,</w:t>
            </w:r>
            <w:r w:rsidRPr="003F7F6C">
              <w:rPr>
                <w:rFonts w:cs="Calibri"/>
                <w:bCs/>
                <w:sz w:val="18"/>
                <w:szCs w:val="18"/>
              </w:rPr>
              <w:t xml:space="preserve">  e.g.</w:t>
            </w:r>
            <w:r w:rsidR="00CA384C" w:rsidRPr="003F7F6C">
              <w:rPr>
                <w:rFonts w:cs="Calibri"/>
                <w:bCs/>
                <w:sz w:val="18"/>
                <w:szCs w:val="18"/>
              </w:rPr>
              <w:t>,</w:t>
            </w:r>
            <w:r w:rsidRPr="003F7F6C">
              <w:rPr>
                <w:rFonts w:cs="Calibri"/>
                <w:bCs/>
                <w:sz w:val="18"/>
                <w:szCs w:val="18"/>
              </w:rPr>
              <w:t xml:space="preserve"> agro-ecological practices, management of grazing and recovery periods, (qualitative assessment, non-certified) (</w:t>
            </w:r>
            <w:r w:rsidRPr="003F7F6C">
              <w:rPr>
                <w:rFonts w:cs="Calibri"/>
                <w:bCs/>
                <w:i/>
                <w:sz w:val="18"/>
                <w:szCs w:val="18"/>
              </w:rPr>
              <w:t>GEF Sub-indicator 4.1)</w:t>
            </w:r>
          </w:p>
          <w:p w14:paraId="2550B486" w14:textId="77777777" w:rsidR="007F4F70" w:rsidRPr="003F7F6C" w:rsidRDefault="007F4F70" w:rsidP="002B3130">
            <w:pPr>
              <w:jc w:val="left"/>
              <w:rPr>
                <w:rFonts w:cs="Calibri"/>
                <w:bCs/>
                <w:sz w:val="18"/>
                <w:szCs w:val="18"/>
              </w:rPr>
            </w:pPr>
            <w:r w:rsidRPr="003F7F6C">
              <w:rPr>
                <w:rFonts w:cs="Calibri"/>
                <w:bCs/>
                <w:sz w:val="18"/>
                <w:szCs w:val="18"/>
              </w:rPr>
              <w:t>b) Area of landscapes under sustainable land management in production systems</w:t>
            </w:r>
            <w:r w:rsidR="006D69FE" w:rsidRPr="003F7F6C">
              <w:rPr>
                <w:rFonts w:cs="Calibri"/>
                <w:bCs/>
                <w:sz w:val="18"/>
                <w:szCs w:val="18"/>
              </w:rPr>
              <w:t>,</w:t>
            </w:r>
            <w:r w:rsidRPr="003F7F6C">
              <w:rPr>
                <w:rFonts w:cs="Calibri"/>
                <w:bCs/>
                <w:sz w:val="18"/>
                <w:szCs w:val="18"/>
              </w:rPr>
              <w:t xml:space="preserve"> e.g.</w:t>
            </w:r>
            <w:r w:rsidR="006D69FE" w:rsidRPr="003F7F6C">
              <w:rPr>
                <w:rFonts w:cs="Calibri"/>
                <w:bCs/>
                <w:sz w:val="18"/>
                <w:szCs w:val="18"/>
              </w:rPr>
              <w:t>,</w:t>
            </w:r>
            <w:r w:rsidRPr="003F7F6C">
              <w:rPr>
                <w:rFonts w:cs="Calibri"/>
                <w:bCs/>
                <w:sz w:val="18"/>
                <w:szCs w:val="18"/>
              </w:rPr>
              <w:t xml:space="preserve"> silvo-pastoral systems, tree barriers, zero tilling, crop rotation (</w:t>
            </w:r>
            <w:r w:rsidRPr="003F7F6C">
              <w:rPr>
                <w:rFonts w:cs="Calibri"/>
                <w:bCs/>
                <w:i/>
                <w:sz w:val="18"/>
                <w:szCs w:val="18"/>
              </w:rPr>
              <w:t>GEF Sub-indicator 4.3</w:t>
            </w:r>
            <w:r w:rsidRPr="003F7F6C">
              <w:rPr>
                <w:rFonts w:cs="Calibri"/>
                <w:bCs/>
                <w:sz w:val="18"/>
                <w:szCs w:val="18"/>
              </w:rPr>
              <w:t>)</w:t>
            </w:r>
          </w:p>
          <w:p w14:paraId="242A43E9" w14:textId="77777777" w:rsidR="007F4F70" w:rsidRPr="003F7F6C" w:rsidRDefault="007F4F70" w:rsidP="002B3130">
            <w:pPr>
              <w:rPr>
                <w:rFonts w:cs="Calibri"/>
              </w:rPr>
            </w:pPr>
          </w:p>
        </w:tc>
        <w:tc>
          <w:tcPr>
            <w:tcW w:w="2268" w:type="dxa"/>
            <w:vMerge w:val="restart"/>
          </w:tcPr>
          <w:p w14:paraId="047C0336" w14:textId="77777777" w:rsidR="007F4F70" w:rsidRPr="003F7F6C" w:rsidRDefault="007F4F70" w:rsidP="002B3130">
            <w:pPr>
              <w:rPr>
                <w:rFonts w:cs="Calibri"/>
                <w:bCs/>
                <w:sz w:val="18"/>
                <w:szCs w:val="18"/>
              </w:rPr>
            </w:pPr>
            <w:r w:rsidRPr="003F7F6C">
              <w:rPr>
                <w:rFonts w:cs="Calibri"/>
                <w:bCs/>
                <w:sz w:val="18"/>
                <w:szCs w:val="18"/>
              </w:rPr>
              <w:t>0</w:t>
            </w:r>
          </w:p>
          <w:p w14:paraId="2493DF9F" w14:textId="77777777" w:rsidR="007F4F70" w:rsidRPr="003F7F6C" w:rsidRDefault="007F4F70" w:rsidP="002B3130">
            <w:pPr>
              <w:rPr>
                <w:rFonts w:cs="Calibri"/>
                <w:bCs/>
                <w:sz w:val="18"/>
                <w:szCs w:val="18"/>
              </w:rPr>
            </w:pPr>
          </w:p>
        </w:tc>
        <w:tc>
          <w:tcPr>
            <w:tcW w:w="1956" w:type="dxa"/>
            <w:vMerge w:val="restart"/>
          </w:tcPr>
          <w:p w14:paraId="57F6A8A8" w14:textId="1D966798" w:rsidR="007F4F70" w:rsidRPr="003F7F6C" w:rsidRDefault="007F4F70" w:rsidP="002B3130">
            <w:pPr>
              <w:rPr>
                <w:rFonts w:cs="Calibri"/>
                <w:bCs/>
                <w:sz w:val="18"/>
                <w:szCs w:val="18"/>
                <w:lang w:val="es-ES"/>
              </w:rPr>
            </w:pPr>
            <w:r w:rsidRPr="003F7F6C">
              <w:rPr>
                <w:rFonts w:cs="Calibri"/>
                <w:bCs/>
                <w:sz w:val="18"/>
                <w:szCs w:val="18"/>
                <w:lang w:val="es-ES"/>
              </w:rPr>
              <w:t xml:space="preserve">Total: </w:t>
            </w:r>
            <w:r w:rsidR="00A14F73" w:rsidRPr="003F7F6C">
              <w:rPr>
                <w:rFonts w:cs="Calibri"/>
                <w:bCs/>
                <w:sz w:val="18"/>
                <w:szCs w:val="18"/>
                <w:lang w:val="es-ES"/>
              </w:rPr>
              <w:t>183,938</w:t>
            </w:r>
            <w:r w:rsidRPr="003F7F6C">
              <w:rPr>
                <w:rFonts w:cs="Calibri"/>
                <w:bCs/>
                <w:sz w:val="18"/>
                <w:szCs w:val="18"/>
                <w:lang w:val="es-ES"/>
              </w:rPr>
              <w:t xml:space="preserve"> </w:t>
            </w:r>
            <w:r w:rsidR="006D69FE" w:rsidRPr="003F7F6C">
              <w:rPr>
                <w:rFonts w:cs="Calibri"/>
                <w:bCs/>
                <w:sz w:val="18"/>
                <w:szCs w:val="18"/>
                <w:lang w:val="es-ES"/>
              </w:rPr>
              <w:t>ha</w:t>
            </w:r>
          </w:p>
          <w:p w14:paraId="2CB12354" w14:textId="77777777" w:rsidR="007F4F70" w:rsidRPr="003F7F6C" w:rsidRDefault="007F4F70" w:rsidP="002B3130">
            <w:pPr>
              <w:rPr>
                <w:rFonts w:cs="Calibri"/>
                <w:bCs/>
                <w:sz w:val="18"/>
                <w:szCs w:val="18"/>
                <w:lang w:val="es-ES"/>
              </w:rPr>
            </w:pPr>
          </w:p>
          <w:p w14:paraId="22A50F61" w14:textId="2043687C" w:rsidR="007F4F70" w:rsidRPr="003F7F6C" w:rsidRDefault="007F4F70" w:rsidP="002B3130">
            <w:pPr>
              <w:rPr>
                <w:rFonts w:cs="Calibri"/>
                <w:bCs/>
                <w:sz w:val="18"/>
                <w:szCs w:val="18"/>
                <w:lang w:val="es-ES"/>
              </w:rPr>
            </w:pPr>
            <w:r w:rsidRPr="003F7F6C">
              <w:rPr>
                <w:rFonts w:cs="Calibri"/>
                <w:bCs/>
                <w:sz w:val="18"/>
                <w:szCs w:val="18"/>
                <w:lang w:val="es-ES"/>
              </w:rPr>
              <w:t xml:space="preserve">a) </w:t>
            </w:r>
            <w:r w:rsidR="00A14F73" w:rsidRPr="003F7F6C">
              <w:rPr>
                <w:rFonts w:cs="Calibri"/>
                <w:bCs/>
                <w:sz w:val="18"/>
                <w:szCs w:val="18"/>
                <w:lang w:val="es-ES"/>
              </w:rPr>
              <w:t>57,021</w:t>
            </w:r>
            <w:r w:rsidR="006D69FE" w:rsidRPr="003F7F6C">
              <w:rPr>
                <w:rFonts w:cs="Calibri"/>
                <w:bCs/>
                <w:sz w:val="18"/>
                <w:szCs w:val="18"/>
                <w:lang w:val="es-ES"/>
              </w:rPr>
              <w:t xml:space="preserve"> ha</w:t>
            </w:r>
          </w:p>
          <w:p w14:paraId="314BC91E" w14:textId="77777777" w:rsidR="007F4F70" w:rsidRPr="003F7F6C" w:rsidRDefault="007F4F70" w:rsidP="002B3130">
            <w:pPr>
              <w:rPr>
                <w:rFonts w:cs="Calibri"/>
                <w:bCs/>
                <w:sz w:val="18"/>
                <w:szCs w:val="18"/>
                <w:lang w:val="es-ES"/>
              </w:rPr>
            </w:pPr>
          </w:p>
          <w:p w14:paraId="436F4550" w14:textId="421534F7" w:rsidR="007F4F70" w:rsidRPr="003F7F6C" w:rsidRDefault="007F4F70" w:rsidP="002B3130">
            <w:pPr>
              <w:rPr>
                <w:rFonts w:cs="Calibri"/>
                <w:bCs/>
                <w:i/>
                <w:sz w:val="18"/>
                <w:szCs w:val="18"/>
                <w:lang w:val="es-ES"/>
              </w:rPr>
            </w:pPr>
            <w:r w:rsidRPr="003F7F6C">
              <w:rPr>
                <w:rFonts w:cs="Calibri"/>
                <w:bCs/>
                <w:sz w:val="18"/>
                <w:szCs w:val="18"/>
                <w:lang w:val="es-ES"/>
              </w:rPr>
              <w:t xml:space="preserve">b) </w:t>
            </w:r>
            <w:r w:rsidR="00A14F73" w:rsidRPr="003F7F6C">
              <w:rPr>
                <w:rFonts w:cs="Calibri"/>
                <w:bCs/>
                <w:sz w:val="18"/>
                <w:szCs w:val="18"/>
                <w:lang w:val="es-ES"/>
              </w:rPr>
              <w:t>126,917</w:t>
            </w:r>
            <w:r w:rsidR="006D69FE" w:rsidRPr="003F7F6C">
              <w:rPr>
                <w:rFonts w:cs="Calibri"/>
                <w:bCs/>
                <w:sz w:val="18"/>
                <w:szCs w:val="18"/>
                <w:lang w:val="es-ES"/>
              </w:rPr>
              <w:t xml:space="preserve"> ha</w:t>
            </w:r>
          </w:p>
        </w:tc>
        <w:tc>
          <w:tcPr>
            <w:tcW w:w="2119" w:type="dxa"/>
            <w:vMerge w:val="restart"/>
          </w:tcPr>
          <w:p w14:paraId="1EC2D77F" w14:textId="3108236A" w:rsidR="007F4F70" w:rsidRPr="003F7F6C" w:rsidRDefault="007F4F70" w:rsidP="002B3130">
            <w:pPr>
              <w:rPr>
                <w:rFonts w:cs="Calibri"/>
                <w:bCs/>
                <w:sz w:val="18"/>
                <w:szCs w:val="18"/>
                <w:lang w:val="es-ES"/>
              </w:rPr>
            </w:pPr>
            <w:r w:rsidRPr="003F7F6C">
              <w:rPr>
                <w:rFonts w:cs="Calibri"/>
                <w:bCs/>
                <w:sz w:val="18"/>
                <w:szCs w:val="18"/>
                <w:lang w:val="es-ES"/>
              </w:rPr>
              <w:t xml:space="preserve">Total: </w:t>
            </w:r>
            <w:r w:rsidR="00A14F73" w:rsidRPr="003F7F6C">
              <w:rPr>
                <w:rFonts w:cs="Calibri"/>
                <w:bCs/>
                <w:sz w:val="18"/>
                <w:szCs w:val="18"/>
                <w:lang w:val="es-ES"/>
              </w:rPr>
              <w:t>613,128</w:t>
            </w:r>
            <w:r w:rsidR="0055393E" w:rsidRPr="003F7F6C">
              <w:rPr>
                <w:rFonts w:cs="Calibri"/>
                <w:bCs/>
                <w:sz w:val="18"/>
                <w:szCs w:val="18"/>
                <w:lang w:val="es-ES"/>
              </w:rPr>
              <w:t xml:space="preserve"> </w:t>
            </w:r>
            <w:r w:rsidR="006D69FE" w:rsidRPr="003F7F6C">
              <w:rPr>
                <w:rFonts w:cs="Calibri"/>
                <w:bCs/>
                <w:sz w:val="18"/>
                <w:szCs w:val="18"/>
                <w:lang w:val="es-ES"/>
              </w:rPr>
              <w:t>ha</w:t>
            </w:r>
          </w:p>
          <w:p w14:paraId="33D1D6EA" w14:textId="77777777" w:rsidR="007F4F70" w:rsidRPr="003F7F6C" w:rsidRDefault="007F4F70" w:rsidP="002B3130">
            <w:pPr>
              <w:rPr>
                <w:rFonts w:cs="Calibri"/>
                <w:bCs/>
                <w:color w:val="FF0000"/>
                <w:sz w:val="18"/>
                <w:szCs w:val="18"/>
                <w:lang w:val="es-ES"/>
              </w:rPr>
            </w:pPr>
          </w:p>
          <w:p w14:paraId="142E9631" w14:textId="09BD96F1" w:rsidR="007F4F70" w:rsidRPr="003F7F6C" w:rsidRDefault="007F4F70" w:rsidP="002B3130">
            <w:pPr>
              <w:rPr>
                <w:rFonts w:cs="Calibri"/>
                <w:bCs/>
                <w:sz w:val="18"/>
                <w:szCs w:val="18"/>
                <w:lang w:val="es-ES"/>
              </w:rPr>
            </w:pPr>
            <w:r w:rsidRPr="003F7F6C">
              <w:rPr>
                <w:rFonts w:cs="Calibri"/>
                <w:bCs/>
                <w:sz w:val="18"/>
                <w:szCs w:val="18"/>
                <w:lang w:val="es-ES"/>
              </w:rPr>
              <w:t xml:space="preserve">a) </w:t>
            </w:r>
            <w:r w:rsidR="00A14F73" w:rsidRPr="003F7F6C">
              <w:rPr>
                <w:rFonts w:cs="Calibri"/>
                <w:bCs/>
                <w:sz w:val="18"/>
                <w:szCs w:val="18"/>
                <w:lang w:val="es-ES"/>
              </w:rPr>
              <w:t>240,644</w:t>
            </w:r>
            <w:r w:rsidR="0055393E" w:rsidRPr="003F7F6C">
              <w:rPr>
                <w:rFonts w:cs="Calibri"/>
                <w:bCs/>
                <w:sz w:val="18"/>
                <w:szCs w:val="18"/>
                <w:lang w:val="es-ES"/>
              </w:rPr>
              <w:t xml:space="preserve"> </w:t>
            </w:r>
            <w:r w:rsidR="006D69FE" w:rsidRPr="003F7F6C">
              <w:rPr>
                <w:rFonts w:cs="Calibri"/>
                <w:bCs/>
                <w:sz w:val="18"/>
                <w:szCs w:val="18"/>
                <w:lang w:val="es-ES"/>
              </w:rPr>
              <w:t>ha</w:t>
            </w:r>
          </w:p>
          <w:p w14:paraId="5A449EB4" w14:textId="49544CDA" w:rsidR="007F4F70" w:rsidRPr="003F7F6C" w:rsidRDefault="007F4F70" w:rsidP="002B3130">
            <w:pPr>
              <w:rPr>
                <w:rFonts w:cs="Calibri"/>
                <w:bCs/>
                <w:sz w:val="18"/>
                <w:szCs w:val="18"/>
                <w:lang w:val="es-ES"/>
              </w:rPr>
            </w:pPr>
            <w:r w:rsidRPr="003F7F6C">
              <w:rPr>
                <w:rFonts w:cs="Calibri"/>
                <w:bCs/>
                <w:sz w:val="18"/>
                <w:szCs w:val="18"/>
                <w:lang w:val="es-ES"/>
              </w:rPr>
              <w:t>- Buenos Aires 31% (</w:t>
            </w:r>
            <w:r w:rsidR="00A14F73" w:rsidRPr="003F7F6C">
              <w:rPr>
                <w:rFonts w:cs="Calibri"/>
                <w:bCs/>
                <w:sz w:val="18"/>
                <w:szCs w:val="18"/>
                <w:lang w:val="es-ES"/>
              </w:rPr>
              <w:t>116,631</w:t>
            </w:r>
            <w:r w:rsidRPr="003F7F6C">
              <w:rPr>
                <w:rFonts w:cs="Calibri"/>
                <w:bCs/>
                <w:sz w:val="18"/>
                <w:szCs w:val="18"/>
                <w:lang w:val="es-ES"/>
              </w:rPr>
              <w:t xml:space="preserve"> </w:t>
            </w:r>
            <w:r w:rsidR="006D69FE" w:rsidRPr="003F7F6C">
              <w:rPr>
                <w:rFonts w:cs="Calibri"/>
                <w:bCs/>
                <w:sz w:val="18"/>
                <w:szCs w:val="18"/>
                <w:lang w:val="es-ES"/>
              </w:rPr>
              <w:t>ha</w:t>
            </w:r>
            <w:r w:rsidRPr="003F7F6C">
              <w:rPr>
                <w:rFonts w:cs="Calibri"/>
                <w:bCs/>
                <w:sz w:val="18"/>
                <w:szCs w:val="18"/>
                <w:lang w:val="es-ES"/>
              </w:rPr>
              <w:t>)</w:t>
            </w:r>
          </w:p>
          <w:p w14:paraId="1589557B" w14:textId="077E7F8B" w:rsidR="007F4F70" w:rsidRPr="003F7F6C" w:rsidRDefault="007F4F70" w:rsidP="00E91275">
            <w:pPr>
              <w:numPr>
                <w:ilvl w:val="0"/>
                <w:numId w:val="26"/>
              </w:numPr>
              <w:ind w:left="174" w:hanging="142"/>
              <w:rPr>
                <w:rFonts w:cs="Calibri"/>
                <w:bCs/>
                <w:sz w:val="18"/>
                <w:szCs w:val="18"/>
                <w:lang w:val="es-ES"/>
              </w:rPr>
            </w:pPr>
            <w:r w:rsidRPr="003F7F6C">
              <w:rPr>
                <w:rFonts w:cs="Calibri"/>
                <w:bCs/>
                <w:sz w:val="18"/>
                <w:szCs w:val="18"/>
                <w:lang w:val="es-ES"/>
              </w:rPr>
              <w:t>Mendoza 46% (</w:t>
            </w:r>
            <w:r w:rsidR="00A14F73" w:rsidRPr="003F7F6C">
              <w:rPr>
                <w:rFonts w:cs="Calibri"/>
                <w:bCs/>
                <w:sz w:val="18"/>
                <w:szCs w:val="18"/>
                <w:lang w:val="es-ES"/>
              </w:rPr>
              <w:t>59,560</w:t>
            </w:r>
            <w:r w:rsidRPr="003F7F6C">
              <w:rPr>
                <w:rFonts w:cs="Calibri"/>
                <w:bCs/>
                <w:sz w:val="18"/>
                <w:szCs w:val="18"/>
                <w:lang w:val="es-ES"/>
              </w:rPr>
              <w:t xml:space="preserve"> </w:t>
            </w:r>
            <w:r w:rsidR="006D69FE" w:rsidRPr="003F7F6C">
              <w:rPr>
                <w:rFonts w:cs="Calibri"/>
                <w:bCs/>
                <w:sz w:val="18"/>
                <w:szCs w:val="18"/>
                <w:lang w:val="es-ES"/>
              </w:rPr>
              <w:t>ha</w:t>
            </w:r>
            <w:r w:rsidRPr="003F7F6C">
              <w:rPr>
                <w:rFonts w:cs="Calibri"/>
                <w:bCs/>
                <w:sz w:val="18"/>
                <w:szCs w:val="18"/>
                <w:lang w:val="es-ES"/>
              </w:rPr>
              <w:t>)</w:t>
            </w:r>
          </w:p>
          <w:p w14:paraId="50A10D59" w14:textId="7BCD21BE" w:rsidR="007F4F70" w:rsidRPr="003F7F6C" w:rsidRDefault="007F4F70" w:rsidP="00E91275">
            <w:pPr>
              <w:numPr>
                <w:ilvl w:val="0"/>
                <w:numId w:val="26"/>
              </w:numPr>
              <w:ind w:left="174" w:hanging="142"/>
              <w:rPr>
                <w:rFonts w:cs="Calibri"/>
                <w:bCs/>
                <w:sz w:val="18"/>
                <w:szCs w:val="18"/>
                <w:lang w:val="es-ES"/>
              </w:rPr>
            </w:pPr>
            <w:r w:rsidRPr="003F7F6C">
              <w:rPr>
                <w:rFonts w:cs="Calibri"/>
                <w:bCs/>
                <w:sz w:val="18"/>
                <w:szCs w:val="18"/>
                <w:lang w:val="es-ES"/>
              </w:rPr>
              <w:t>Jujuy 60% (</w:t>
            </w:r>
            <w:r w:rsidR="00A14F73" w:rsidRPr="003F7F6C">
              <w:rPr>
                <w:rFonts w:cs="Calibri"/>
                <w:bCs/>
                <w:sz w:val="18"/>
                <w:szCs w:val="18"/>
                <w:lang w:val="es-ES"/>
              </w:rPr>
              <w:t>64,453</w:t>
            </w:r>
            <w:r w:rsidR="0055393E" w:rsidRPr="003F7F6C">
              <w:rPr>
                <w:rFonts w:cs="Calibri"/>
                <w:bCs/>
                <w:sz w:val="18"/>
                <w:szCs w:val="18"/>
                <w:lang w:val="es-ES"/>
              </w:rPr>
              <w:t xml:space="preserve"> </w:t>
            </w:r>
            <w:r w:rsidRPr="003F7F6C">
              <w:rPr>
                <w:rFonts w:cs="Calibri"/>
                <w:bCs/>
                <w:sz w:val="18"/>
                <w:szCs w:val="18"/>
                <w:lang w:val="es-ES"/>
              </w:rPr>
              <w:t>ha)</w:t>
            </w:r>
          </w:p>
          <w:p w14:paraId="4D89FBFA" w14:textId="77777777" w:rsidR="007F4F70" w:rsidRPr="003F7F6C" w:rsidRDefault="007F4F70" w:rsidP="002B3130">
            <w:pPr>
              <w:rPr>
                <w:rFonts w:cs="Calibri"/>
                <w:bCs/>
                <w:sz w:val="18"/>
                <w:szCs w:val="18"/>
                <w:lang w:val="es-ES"/>
              </w:rPr>
            </w:pPr>
          </w:p>
          <w:p w14:paraId="41948E32" w14:textId="28377B01" w:rsidR="007F4F70" w:rsidRPr="003F7F6C" w:rsidRDefault="007F4F70" w:rsidP="002B3130">
            <w:pPr>
              <w:rPr>
                <w:rFonts w:cs="Calibri"/>
                <w:bCs/>
                <w:sz w:val="18"/>
                <w:szCs w:val="18"/>
                <w:lang w:val="es-ES"/>
              </w:rPr>
            </w:pPr>
            <w:r w:rsidRPr="003F7F6C">
              <w:rPr>
                <w:rFonts w:cs="Calibri"/>
                <w:bCs/>
                <w:sz w:val="18"/>
                <w:szCs w:val="18"/>
                <w:lang w:val="es-ES"/>
              </w:rPr>
              <w:t xml:space="preserve">b) </w:t>
            </w:r>
            <w:r w:rsidR="00A14F73" w:rsidRPr="003F7F6C">
              <w:rPr>
                <w:rFonts w:cs="Calibri"/>
                <w:bCs/>
                <w:sz w:val="18"/>
                <w:szCs w:val="18"/>
                <w:lang w:val="es-ES"/>
              </w:rPr>
              <w:t>372,484</w:t>
            </w:r>
          </w:p>
          <w:p w14:paraId="7B1FEEF9" w14:textId="7376AAB4" w:rsidR="007F4F70" w:rsidRPr="003F7F6C" w:rsidRDefault="007F4F70" w:rsidP="002B3130">
            <w:pPr>
              <w:rPr>
                <w:rFonts w:cs="Calibri"/>
                <w:bCs/>
                <w:sz w:val="18"/>
                <w:szCs w:val="18"/>
                <w:lang w:val="es-ES"/>
              </w:rPr>
            </w:pPr>
            <w:r w:rsidRPr="003F7F6C">
              <w:rPr>
                <w:rFonts w:cs="Calibri"/>
                <w:bCs/>
                <w:sz w:val="18"/>
                <w:szCs w:val="18"/>
                <w:lang w:val="es-ES"/>
              </w:rPr>
              <w:t>- Buenos Aires 69% (</w:t>
            </w:r>
            <w:r w:rsidR="00A14F73" w:rsidRPr="003F7F6C">
              <w:rPr>
                <w:rFonts w:cs="Calibri"/>
                <w:bCs/>
                <w:sz w:val="18"/>
                <w:szCs w:val="18"/>
                <w:lang w:val="es-ES"/>
              </w:rPr>
              <w:t>259,598</w:t>
            </w:r>
            <w:r w:rsidR="006D69FE" w:rsidRPr="003F7F6C">
              <w:rPr>
                <w:rFonts w:cs="Calibri"/>
                <w:bCs/>
                <w:sz w:val="18"/>
                <w:szCs w:val="18"/>
                <w:lang w:val="es-ES"/>
              </w:rPr>
              <w:t xml:space="preserve"> ha</w:t>
            </w:r>
            <w:r w:rsidRPr="003F7F6C">
              <w:rPr>
                <w:rFonts w:cs="Calibri"/>
                <w:bCs/>
                <w:sz w:val="18"/>
                <w:szCs w:val="18"/>
                <w:lang w:val="es-ES"/>
              </w:rPr>
              <w:t>)</w:t>
            </w:r>
          </w:p>
          <w:p w14:paraId="131FCC5B" w14:textId="2A7FB753" w:rsidR="007F4F70" w:rsidRPr="003F7F6C" w:rsidRDefault="007F4F70" w:rsidP="00E91275">
            <w:pPr>
              <w:numPr>
                <w:ilvl w:val="0"/>
                <w:numId w:val="26"/>
              </w:numPr>
              <w:ind w:left="174" w:hanging="142"/>
              <w:rPr>
                <w:rFonts w:cs="Calibri"/>
                <w:bCs/>
                <w:sz w:val="18"/>
                <w:szCs w:val="18"/>
                <w:lang w:val="es-ES"/>
              </w:rPr>
            </w:pPr>
            <w:r w:rsidRPr="003F7F6C">
              <w:rPr>
                <w:rFonts w:cs="Calibri"/>
                <w:bCs/>
                <w:sz w:val="18"/>
                <w:szCs w:val="18"/>
                <w:lang w:val="es-ES"/>
              </w:rPr>
              <w:t>Mendoza 54% (</w:t>
            </w:r>
            <w:r w:rsidR="00A14F73" w:rsidRPr="003F7F6C">
              <w:rPr>
                <w:rFonts w:cs="Calibri"/>
                <w:bCs/>
                <w:sz w:val="18"/>
                <w:szCs w:val="18"/>
                <w:lang w:val="es-ES"/>
              </w:rPr>
              <w:t>69,918</w:t>
            </w:r>
            <w:r w:rsidR="006D69FE" w:rsidRPr="003F7F6C">
              <w:rPr>
                <w:rFonts w:cs="Calibri"/>
                <w:bCs/>
                <w:sz w:val="18"/>
                <w:szCs w:val="18"/>
                <w:lang w:val="es-ES"/>
              </w:rPr>
              <w:t xml:space="preserve"> ha</w:t>
            </w:r>
            <w:r w:rsidRPr="003F7F6C">
              <w:rPr>
                <w:rFonts w:cs="Calibri"/>
                <w:bCs/>
                <w:sz w:val="18"/>
                <w:szCs w:val="18"/>
                <w:lang w:val="es-ES"/>
              </w:rPr>
              <w:t>)</w:t>
            </w:r>
          </w:p>
          <w:p w14:paraId="45EF8950" w14:textId="54119DCB" w:rsidR="007F4F70" w:rsidRPr="003F7F6C" w:rsidRDefault="007F4F70" w:rsidP="00E91275">
            <w:pPr>
              <w:numPr>
                <w:ilvl w:val="0"/>
                <w:numId w:val="26"/>
              </w:numPr>
              <w:ind w:left="174" w:hanging="142"/>
              <w:rPr>
                <w:rFonts w:cs="Calibri"/>
                <w:bCs/>
                <w:sz w:val="18"/>
                <w:szCs w:val="18"/>
                <w:lang w:val="es-ES"/>
              </w:rPr>
            </w:pPr>
            <w:r w:rsidRPr="003F7F6C">
              <w:rPr>
                <w:rFonts w:cs="Calibri"/>
                <w:bCs/>
                <w:sz w:val="18"/>
                <w:szCs w:val="18"/>
                <w:lang w:val="es-ES"/>
              </w:rPr>
              <w:t>Jujuy 40% (</w:t>
            </w:r>
            <w:r w:rsidR="009A31D1" w:rsidRPr="003F7F6C">
              <w:rPr>
                <w:rFonts w:cs="Calibri"/>
                <w:bCs/>
                <w:sz w:val="18"/>
                <w:szCs w:val="18"/>
                <w:lang w:val="es-ES"/>
              </w:rPr>
              <w:t>42,968</w:t>
            </w:r>
            <w:r w:rsidR="0055393E" w:rsidRPr="003F7F6C">
              <w:rPr>
                <w:rFonts w:cs="Calibri"/>
                <w:bCs/>
                <w:sz w:val="18"/>
                <w:szCs w:val="18"/>
                <w:lang w:val="es-ES"/>
              </w:rPr>
              <w:t xml:space="preserve"> </w:t>
            </w:r>
            <w:r w:rsidR="006D69FE" w:rsidRPr="003F7F6C">
              <w:rPr>
                <w:rFonts w:cs="Calibri"/>
                <w:bCs/>
                <w:sz w:val="18"/>
                <w:szCs w:val="18"/>
                <w:lang w:val="es-ES"/>
              </w:rPr>
              <w:t>ha</w:t>
            </w:r>
            <w:r w:rsidRPr="003F7F6C">
              <w:rPr>
                <w:rFonts w:cs="Calibri"/>
                <w:bCs/>
                <w:sz w:val="18"/>
                <w:szCs w:val="18"/>
                <w:lang w:val="es-ES"/>
              </w:rPr>
              <w:t>)</w:t>
            </w:r>
          </w:p>
          <w:p w14:paraId="11739C21" w14:textId="77777777" w:rsidR="007F4F70" w:rsidRPr="003F7F6C" w:rsidRDefault="007F4F70" w:rsidP="002B3130">
            <w:pPr>
              <w:ind w:left="720"/>
              <w:rPr>
                <w:rFonts w:cs="Calibri"/>
                <w:bCs/>
                <w:color w:val="FF0000"/>
                <w:sz w:val="18"/>
                <w:szCs w:val="18"/>
                <w:lang w:val="es-ES"/>
              </w:rPr>
            </w:pPr>
          </w:p>
          <w:p w14:paraId="1B395E34" w14:textId="77777777" w:rsidR="007F4F70" w:rsidRPr="003F7F6C" w:rsidRDefault="007F4F70" w:rsidP="002B3130">
            <w:pPr>
              <w:ind w:left="720"/>
              <w:rPr>
                <w:rFonts w:cs="Calibri"/>
                <w:bCs/>
                <w:i/>
                <w:color w:val="FF0000"/>
                <w:sz w:val="18"/>
                <w:szCs w:val="18"/>
                <w:lang w:val="es-ES"/>
              </w:rPr>
            </w:pPr>
          </w:p>
        </w:tc>
        <w:tc>
          <w:tcPr>
            <w:tcW w:w="2949" w:type="dxa"/>
          </w:tcPr>
          <w:p w14:paraId="02DFBDEC" w14:textId="77777777" w:rsidR="007F4F70" w:rsidRPr="003F7F6C" w:rsidRDefault="007F4F70" w:rsidP="002B3130">
            <w:pPr>
              <w:rPr>
                <w:rFonts w:cs="Calibri"/>
                <w:sz w:val="18"/>
                <w:szCs w:val="18"/>
              </w:rPr>
            </w:pPr>
            <w:r w:rsidRPr="003F7F6C">
              <w:rPr>
                <w:rFonts w:cs="Calibri"/>
                <w:sz w:val="18"/>
                <w:szCs w:val="18"/>
              </w:rPr>
              <w:t>Periodic project monitoring</w:t>
            </w:r>
          </w:p>
          <w:p w14:paraId="5C85AFB8" w14:textId="77777777" w:rsidR="007F4F70" w:rsidRPr="003F7F6C" w:rsidRDefault="007F4F70" w:rsidP="002B3130">
            <w:pPr>
              <w:rPr>
                <w:rFonts w:cs="Calibri"/>
                <w:sz w:val="18"/>
                <w:szCs w:val="18"/>
              </w:rPr>
            </w:pPr>
            <w:r w:rsidRPr="003F7F6C">
              <w:rPr>
                <w:rFonts w:cs="Calibri"/>
                <w:sz w:val="18"/>
                <w:szCs w:val="18"/>
              </w:rPr>
              <w:t>Institutional reports</w:t>
            </w:r>
          </w:p>
          <w:p w14:paraId="0FB30D66" w14:textId="77777777" w:rsidR="007F4F70" w:rsidRPr="003F7F6C" w:rsidRDefault="007F4F70" w:rsidP="002B3130">
            <w:pPr>
              <w:rPr>
                <w:rFonts w:cs="Calibri"/>
                <w:sz w:val="18"/>
                <w:szCs w:val="18"/>
              </w:rPr>
            </w:pPr>
            <w:r w:rsidRPr="003F7F6C">
              <w:rPr>
                <w:rFonts w:cs="Calibri"/>
                <w:sz w:val="18"/>
                <w:szCs w:val="18"/>
              </w:rPr>
              <w:t>Field assessments</w:t>
            </w:r>
          </w:p>
          <w:p w14:paraId="6315CD95" w14:textId="77777777" w:rsidR="007F4F70" w:rsidRPr="003F7F6C" w:rsidRDefault="007F4F70" w:rsidP="002B3130">
            <w:pPr>
              <w:rPr>
                <w:rFonts w:cs="Calibri"/>
                <w:sz w:val="18"/>
                <w:szCs w:val="18"/>
              </w:rPr>
            </w:pPr>
            <w:r w:rsidRPr="003F7F6C">
              <w:rPr>
                <w:rFonts w:cs="Calibri"/>
                <w:sz w:val="18"/>
                <w:szCs w:val="18"/>
              </w:rPr>
              <w:t>Remote sensing</w:t>
            </w:r>
          </w:p>
        </w:tc>
      </w:tr>
      <w:tr w:rsidR="007F4F70" w:rsidRPr="003F7F6C" w14:paraId="05A8DAE0" w14:textId="77777777" w:rsidTr="002B3130">
        <w:trPr>
          <w:trHeight w:val="280"/>
        </w:trPr>
        <w:tc>
          <w:tcPr>
            <w:tcW w:w="2605" w:type="dxa"/>
            <w:vMerge/>
            <w:shd w:val="pct12" w:color="auto" w:fill="auto"/>
          </w:tcPr>
          <w:p w14:paraId="07A84390" w14:textId="77777777" w:rsidR="007F4F70" w:rsidRPr="003F7F6C" w:rsidRDefault="007F4F70" w:rsidP="002B3130">
            <w:pPr>
              <w:rPr>
                <w:rFonts w:cs="Calibri"/>
                <w:b/>
                <w:bCs/>
                <w:sz w:val="18"/>
                <w:szCs w:val="18"/>
              </w:rPr>
            </w:pPr>
          </w:p>
        </w:tc>
        <w:tc>
          <w:tcPr>
            <w:tcW w:w="2493" w:type="dxa"/>
            <w:vMerge/>
          </w:tcPr>
          <w:p w14:paraId="5D349858" w14:textId="77777777" w:rsidR="007F4F70" w:rsidRPr="003F7F6C" w:rsidRDefault="007F4F70" w:rsidP="002B3130">
            <w:pPr>
              <w:rPr>
                <w:rFonts w:cs="Calibri"/>
                <w:bCs/>
                <w:i/>
                <w:sz w:val="18"/>
                <w:szCs w:val="18"/>
              </w:rPr>
            </w:pPr>
          </w:p>
        </w:tc>
        <w:tc>
          <w:tcPr>
            <w:tcW w:w="2268" w:type="dxa"/>
            <w:vMerge/>
          </w:tcPr>
          <w:p w14:paraId="45C5482D" w14:textId="77777777" w:rsidR="007F4F70" w:rsidRPr="003F7F6C" w:rsidRDefault="007F4F70" w:rsidP="002B3130">
            <w:pPr>
              <w:rPr>
                <w:rFonts w:cs="Calibri"/>
                <w:bCs/>
                <w:i/>
                <w:sz w:val="18"/>
                <w:szCs w:val="18"/>
              </w:rPr>
            </w:pPr>
          </w:p>
        </w:tc>
        <w:tc>
          <w:tcPr>
            <w:tcW w:w="1956" w:type="dxa"/>
            <w:vMerge/>
          </w:tcPr>
          <w:p w14:paraId="3C6EC8E1" w14:textId="77777777" w:rsidR="007F4F70" w:rsidRPr="003F7F6C" w:rsidRDefault="007F4F70" w:rsidP="002B3130">
            <w:pPr>
              <w:rPr>
                <w:rFonts w:cs="Calibri"/>
                <w:bCs/>
                <w:i/>
                <w:sz w:val="18"/>
                <w:szCs w:val="18"/>
              </w:rPr>
            </w:pPr>
          </w:p>
        </w:tc>
        <w:tc>
          <w:tcPr>
            <w:tcW w:w="2119" w:type="dxa"/>
            <w:vMerge/>
          </w:tcPr>
          <w:p w14:paraId="011D341D" w14:textId="77777777" w:rsidR="007F4F70" w:rsidRPr="003F7F6C" w:rsidRDefault="007F4F70" w:rsidP="002B3130">
            <w:pPr>
              <w:rPr>
                <w:rFonts w:cs="Calibri"/>
                <w:bCs/>
                <w:i/>
                <w:sz w:val="18"/>
                <w:szCs w:val="18"/>
              </w:rPr>
            </w:pPr>
          </w:p>
        </w:tc>
        <w:tc>
          <w:tcPr>
            <w:tcW w:w="2949" w:type="dxa"/>
            <w:vMerge w:val="restart"/>
          </w:tcPr>
          <w:p w14:paraId="5864DDE1" w14:textId="77777777" w:rsidR="007F4F70" w:rsidRPr="003F7F6C" w:rsidRDefault="007F4F70" w:rsidP="002B3130">
            <w:pPr>
              <w:rPr>
                <w:rFonts w:cs="Calibri"/>
                <w:sz w:val="18"/>
                <w:szCs w:val="18"/>
              </w:rPr>
            </w:pPr>
            <w:r w:rsidRPr="003F7F6C">
              <w:rPr>
                <w:rFonts w:cs="Calibri"/>
                <w:sz w:val="18"/>
                <w:szCs w:val="18"/>
              </w:rPr>
              <w:t>Risks:</w:t>
            </w:r>
          </w:p>
          <w:p w14:paraId="30A0D410" w14:textId="77777777" w:rsidR="007F4F70" w:rsidRPr="003F7F6C" w:rsidRDefault="007F4F70" w:rsidP="00AB0608">
            <w:pPr>
              <w:jc w:val="left"/>
              <w:rPr>
                <w:rFonts w:cs="Calibri"/>
                <w:sz w:val="18"/>
                <w:szCs w:val="18"/>
              </w:rPr>
            </w:pPr>
            <w:r w:rsidRPr="003F7F6C">
              <w:rPr>
                <w:rFonts w:cs="Calibri"/>
                <w:sz w:val="18"/>
                <w:szCs w:val="18"/>
              </w:rPr>
              <w:t>Target sectors stakeholders (private sector, producers, communities) are reluctant to adopt the proposed practices</w:t>
            </w:r>
          </w:p>
          <w:p w14:paraId="24F42828" w14:textId="77777777" w:rsidR="007F4F70" w:rsidRPr="003F7F6C" w:rsidRDefault="007F4F70" w:rsidP="00AB0608">
            <w:pPr>
              <w:jc w:val="left"/>
              <w:rPr>
                <w:rFonts w:cs="Calibri"/>
                <w:sz w:val="18"/>
                <w:szCs w:val="18"/>
              </w:rPr>
            </w:pPr>
          </w:p>
          <w:p w14:paraId="45B53ECD" w14:textId="77777777" w:rsidR="007F4F70" w:rsidRPr="003F7F6C" w:rsidRDefault="007F4F70" w:rsidP="00AB0608">
            <w:pPr>
              <w:jc w:val="left"/>
              <w:rPr>
                <w:rFonts w:cs="Calibri"/>
                <w:sz w:val="18"/>
                <w:szCs w:val="18"/>
              </w:rPr>
            </w:pPr>
            <w:r w:rsidRPr="003F7F6C">
              <w:rPr>
                <w:rFonts w:cs="Calibri"/>
                <w:sz w:val="18"/>
                <w:szCs w:val="18"/>
              </w:rPr>
              <w:t>Economic activity such as farming, harvesting and grazing may be restricted in some areas and alternative practices could have an opportunity cost to small-scale producers and to indigenous people</w:t>
            </w:r>
          </w:p>
          <w:p w14:paraId="5537281F" w14:textId="77777777" w:rsidR="007F4F70" w:rsidRPr="003F7F6C" w:rsidRDefault="007F4F70" w:rsidP="00AB0608">
            <w:pPr>
              <w:jc w:val="left"/>
              <w:rPr>
                <w:rFonts w:cs="Calibri"/>
                <w:sz w:val="18"/>
                <w:szCs w:val="18"/>
              </w:rPr>
            </w:pPr>
          </w:p>
          <w:p w14:paraId="400B0B72" w14:textId="77777777" w:rsidR="007F4F70" w:rsidRPr="003F7F6C" w:rsidRDefault="007F4F70" w:rsidP="00AB0608">
            <w:pPr>
              <w:jc w:val="left"/>
              <w:rPr>
                <w:rFonts w:cs="Calibri"/>
                <w:sz w:val="18"/>
                <w:szCs w:val="18"/>
              </w:rPr>
            </w:pPr>
            <w:r w:rsidRPr="003F7F6C">
              <w:rPr>
                <w:rFonts w:cs="Calibri"/>
                <w:sz w:val="18"/>
                <w:szCs w:val="18"/>
              </w:rPr>
              <w:t>Assumptions:</w:t>
            </w:r>
          </w:p>
          <w:p w14:paraId="02C2FA9F" w14:textId="77777777" w:rsidR="007F4F70" w:rsidRPr="003F7F6C" w:rsidRDefault="007F4F70" w:rsidP="00AB0608">
            <w:pPr>
              <w:jc w:val="left"/>
              <w:rPr>
                <w:rFonts w:cs="Calibri"/>
                <w:sz w:val="18"/>
                <w:szCs w:val="18"/>
              </w:rPr>
            </w:pPr>
            <w:r w:rsidRPr="003F7F6C">
              <w:rPr>
                <w:rFonts w:cs="Calibri"/>
                <w:sz w:val="18"/>
                <w:szCs w:val="18"/>
              </w:rPr>
              <w:t>Target sectors stakeholders (private sector, producers, communities) are receptive to messages of environmental sustainability and increased productivity</w:t>
            </w:r>
          </w:p>
          <w:p w14:paraId="0D154FF3" w14:textId="77777777" w:rsidR="007F4F70" w:rsidRPr="003F7F6C" w:rsidRDefault="007F4F70" w:rsidP="002B3130">
            <w:pPr>
              <w:rPr>
                <w:rFonts w:cs="Calibri"/>
                <w:sz w:val="18"/>
                <w:szCs w:val="18"/>
              </w:rPr>
            </w:pPr>
          </w:p>
        </w:tc>
      </w:tr>
      <w:tr w:rsidR="007F4F70" w:rsidRPr="003F7F6C" w14:paraId="3C559248" w14:textId="77777777" w:rsidTr="0044356C">
        <w:trPr>
          <w:trHeight w:val="2928"/>
        </w:trPr>
        <w:tc>
          <w:tcPr>
            <w:tcW w:w="2605" w:type="dxa"/>
            <w:vMerge/>
            <w:shd w:val="pct12" w:color="auto" w:fill="auto"/>
          </w:tcPr>
          <w:p w14:paraId="39E17352" w14:textId="77777777" w:rsidR="007F4F70" w:rsidRPr="003F7F6C" w:rsidRDefault="007F4F70" w:rsidP="002B3130">
            <w:pPr>
              <w:rPr>
                <w:rFonts w:cs="Calibri"/>
                <w:b/>
                <w:bCs/>
                <w:sz w:val="18"/>
                <w:szCs w:val="18"/>
              </w:rPr>
            </w:pPr>
          </w:p>
        </w:tc>
        <w:tc>
          <w:tcPr>
            <w:tcW w:w="2493" w:type="dxa"/>
          </w:tcPr>
          <w:p w14:paraId="1911E4F7" w14:textId="511A104A" w:rsidR="007F4F70" w:rsidRPr="003F7F6C" w:rsidRDefault="007F4F70" w:rsidP="002B3130">
            <w:pPr>
              <w:spacing w:after="0"/>
              <w:jc w:val="left"/>
              <w:rPr>
                <w:rFonts w:cs="Calibri"/>
                <w:color w:val="222222"/>
                <w:sz w:val="18"/>
                <w:szCs w:val="18"/>
                <w:shd w:val="clear" w:color="auto" w:fill="FFFFFF"/>
              </w:rPr>
            </w:pPr>
            <w:r w:rsidRPr="003F7F6C">
              <w:rPr>
                <w:rFonts w:cs="Calibri"/>
                <w:bCs/>
                <w:sz w:val="18"/>
                <w:szCs w:val="18"/>
              </w:rPr>
              <w:t xml:space="preserve">Indicator </w:t>
            </w:r>
            <w:r w:rsidR="00993773" w:rsidRPr="003F7F6C">
              <w:rPr>
                <w:rFonts w:cs="Calibri"/>
                <w:bCs/>
                <w:sz w:val="18"/>
                <w:szCs w:val="18"/>
              </w:rPr>
              <w:t>10</w:t>
            </w:r>
            <w:r w:rsidRPr="003F7F6C">
              <w:rPr>
                <w:rFonts w:cs="Calibri"/>
                <w:bCs/>
                <w:sz w:val="18"/>
                <w:szCs w:val="18"/>
              </w:rPr>
              <w:t>/</w:t>
            </w:r>
            <w:r w:rsidRPr="003F7F6C">
              <w:rPr>
                <w:rFonts w:cs="Calibri"/>
                <w:bCs/>
                <w:i/>
                <w:sz w:val="18"/>
                <w:szCs w:val="18"/>
              </w:rPr>
              <w:t>GEF Core Indicator 3</w:t>
            </w:r>
            <w:r w:rsidRPr="003F7F6C">
              <w:rPr>
                <w:rFonts w:cs="Calibri"/>
                <w:bCs/>
                <w:sz w:val="18"/>
                <w:szCs w:val="18"/>
              </w:rPr>
              <w:t xml:space="preserve">: </w:t>
            </w:r>
            <w:r w:rsidRPr="003F7F6C">
              <w:rPr>
                <w:rFonts w:cs="Calibri"/>
                <w:color w:val="222222"/>
                <w:sz w:val="18"/>
                <w:szCs w:val="18"/>
                <w:shd w:val="clear" w:color="auto" w:fill="FFFFFF"/>
              </w:rPr>
              <w:t>Area of land restored (hectares) in the targeted ecoregions/ landscapes, measured through:</w:t>
            </w:r>
          </w:p>
          <w:p w14:paraId="5E8991F3" w14:textId="77777777" w:rsidR="007F4F70" w:rsidRPr="003F7F6C" w:rsidRDefault="007F4F70" w:rsidP="002B3130">
            <w:pPr>
              <w:spacing w:after="0"/>
              <w:jc w:val="left"/>
              <w:rPr>
                <w:rFonts w:cs="Calibri"/>
                <w:color w:val="222222"/>
                <w:sz w:val="18"/>
                <w:szCs w:val="18"/>
              </w:rPr>
            </w:pPr>
            <w:r w:rsidRPr="003F7F6C">
              <w:rPr>
                <w:rFonts w:cs="Calibri"/>
                <w:color w:val="222222"/>
                <w:sz w:val="18"/>
                <w:szCs w:val="18"/>
              </w:rPr>
              <w:t>a) Area of degraded agricultural lands restored (</w:t>
            </w:r>
            <w:r w:rsidRPr="003F7F6C">
              <w:rPr>
                <w:rFonts w:cs="Calibri"/>
                <w:i/>
                <w:color w:val="222222"/>
                <w:sz w:val="18"/>
                <w:szCs w:val="18"/>
              </w:rPr>
              <w:t>GEF sub-indicator 3.1</w:t>
            </w:r>
            <w:r w:rsidRPr="003F7F6C">
              <w:rPr>
                <w:rFonts w:cs="Calibri"/>
                <w:color w:val="222222"/>
                <w:sz w:val="18"/>
                <w:szCs w:val="18"/>
              </w:rPr>
              <w:t>)</w:t>
            </w:r>
          </w:p>
          <w:p w14:paraId="45E534A6" w14:textId="0E2234E6" w:rsidR="007F4F70" w:rsidRPr="003F7F6C" w:rsidRDefault="007F4F70" w:rsidP="002B3130">
            <w:pPr>
              <w:jc w:val="left"/>
              <w:rPr>
                <w:rFonts w:cs="Calibri"/>
                <w:color w:val="222222"/>
                <w:sz w:val="18"/>
                <w:szCs w:val="18"/>
              </w:rPr>
            </w:pPr>
            <w:r w:rsidRPr="003F7F6C">
              <w:rPr>
                <w:rFonts w:cs="Calibri"/>
                <w:color w:val="222222"/>
                <w:sz w:val="18"/>
                <w:szCs w:val="18"/>
              </w:rPr>
              <w:t>b) Area of forest and forest land restored (</w:t>
            </w:r>
            <w:r w:rsidRPr="003F7F6C">
              <w:rPr>
                <w:rFonts w:cs="Calibri"/>
                <w:i/>
                <w:color w:val="222222"/>
                <w:sz w:val="18"/>
                <w:szCs w:val="18"/>
              </w:rPr>
              <w:t>GEF sub-indicator 3.2</w:t>
            </w:r>
            <w:r w:rsidRPr="003F7F6C">
              <w:rPr>
                <w:rFonts w:cs="Calibri"/>
                <w:color w:val="222222"/>
                <w:sz w:val="18"/>
                <w:szCs w:val="18"/>
              </w:rPr>
              <w:t>)</w:t>
            </w:r>
          </w:p>
        </w:tc>
        <w:tc>
          <w:tcPr>
            <w:tcW w:w="2268" w:type="dxa"/>
          </w:tcPr>
          <w:p w14:paraId="05218DE3" w14:textId="77777777" w:rsidR="007F4F70" w:rsidRPr="003F7F6C" w:rsidRDefault="007F4F70" w:rsidP="002B3130">
            <w:pPr>
              <w:rPr>
                <w:rFonts w:cs="Calibri"/>
                <w:bCs/>
                <w:sz w:val="18"/>
                <w:szCs w:val="18"/>
              </w:rPr>
            </w:pPr>
            <w:r w:rsidRPr="003F7F6C">
              <w:rPr>
                <w:rFonts w:cs="Calibri"/>
                <w:bCs/>
                <w:sz w:val="18"/>
                <w:szCs w:val="18"/>
              </w:rPr>
              <w:t>0</w:t>
            </w:r>
          </w:p>
          <w:p w14:paraId="734CFF2D" w14:textId="77777777" w:rsidR="007F4F70" w:rsidRPr="003F7F6C" w:rsidRDefault="007F4F70" w:rsidP="002B3130">
            <w:pPr>
              <w:rPr>
                <w:rFonts w:cs="Calibri"/>
                <w:bCs/>
                <w:i/>
                <w:sz w:val="18"/>
                <w:szCs w:val="18"/>
              </w:rPr>
            </w:pPr>
          </w:p>
        </w:tc>
        <w:tc>
          <w:tcPr>
            <w:tcW w:w="1956" w:type="dxa"/>
          </w:tcPr>
          <w:p w14:paraId="6BE646A6" w14:textId="77777777" w:rsidR="007F4F70" w:rsidRPr="003F7F6C" w:rsidRDefault="007F4F70" w:rsidP="002B3130">
            <w:pPr>
              <w:jc w:val="left"/>
              <w:rPr>
                <w:rFonts w:cs="Calibri"/>
                <w:bCs/>
                <w:sz w:val="18"/>
                <w:szCs w:val="18"/>
                <w:lang w:val="es-PY"/>
              </w:rPr>
            </w:pPr>
            <w:r w:rsidRPr="003F7F6C">
              <w:rPr>
                <w:rFonts w:cs="Calibri"/>
                <w:bCs/>
                <w:sz w:val="18"/>
                <w:szCs w:val="18"/>
                <w:lang w:val="es-PY"/>
              </w:rPr>
              <w:t>Total: 38,592</w:t>
            </w:r>
            <w:r w:rsidR="006D69FE" w:rsidRPr="003F7F6C">
              <w:rPr>
                <w:rFonts w:cs="Calibri"/>
                <w:bCs/>
                <w:sz w:val="18"/>
                <w:szCs w:val="18"/>
                <w:lang w:val="es-PY"/>
              </w:rPr>
              <w:t xml:space="preserve"> ha</w:t>
            </w:r>
          </w:p>
          <w:p w14:paraId="7C313E52" w14:textId="77777777" w:rsidR="007F4F70" w:rsidRPr="003F7F6C" w:rsidRDefault="007F4F70" w:rsidP="002B3130">
            <w:pPr>
              <w:jc w:val="left"/>
              <w:rPr>
                <w:rFonts w:cs="Calibri"/>
                <w:bCs/>
                <w:sz w:val="18"/>
                <w:szCs w:val="18"/>
                <w:lang w:val="es-PY"/>
              </w:rPr>
            </w:pPr>
          </w:p>
          <w:p w14:paraId="0830BEE9" w14:textId="77777777" w:rsidR="007F4F70" w:rsidRPr="003F7F6C" w:rsidRDefault="007F4F70" w:rsidP="002B3130">
            <w:pPr>
              <w:jc w:val="left"/>
              <w:rPr>
                <w:rFonts w:cs="Calibri"/>
                <w:bCs/>
                <w:sz w:val="18"/>
                <w:szCs w:val="18"/>
                <w:lang w:val="es-PY"/>
              </w:rPr>
            </w:pPr>
            <w:r w:rsidRPr="003F7F6C">
              <w:rPr>
                <w:rFonts w:cs="Calibri"/>
                <w:bCs/>
                <w:sz w:val="18"/>
                <w:szCs w:val="18"/>
                <w:lang w:val="es-PY"/>
              </w:rPr>
              <w:t>a) 29,441</w:t>
            </w:r>
            <w:r w:rsidR="006D69FE" w:rsidRPr="003F7F6C">
              <w:rPr>
                <w:rFonts w:cs="Calibri"/>
                <w:bCs/>
                <w:sz w:val="18"/>
                <w:szCs w:val="18"/>
                <w:lang w:val="es-PY"/>
              </w:rPr>
              <w:t xml:space="preserve"> ha</w:t>
            </w:r>
          </w:p>
          <w:p w14:paraId="5118B281" w14:textId="77777777" w:rsidR="007F4F70" w:rsidRPr="003F7F6C" w:rsidRDefault="007F4F70" w:rsidP="002B3130">
            <w:pPr>
              <w:jc w:val="left"/>
              <w:rPr>
                <w:rFonts w:cs="Calibri"/>
                <w:bCs/>
                <w:sz w:val="18"/>
                <w:szCs w:val="18"/>
                <w:lang w:val="es-PY"/>
              </w:rPr>
            </w:pPr>
          </w:p>
          <w:p w14:paraId="3B84F21B" w14:textId="77777777" w:rsidR="007F4F70" w:rsidRPr="003F7F6C" w:rsidRDefault="007F4F70" w:rsidP="002B3130">
            <w:pPr>
              <w:jc w:val="left"/>
              <w:rPr>
                <w:rFonts w:cs="Calibri"/>
                <w:bCs/>
                <w:sz w:val="18"/>
                <w:szCs w:val="18"/>
                <w:lang w:val="es-PY"/>
              </w:rPr>
            </w:pPr>
            <w:r w:rsidRPr="003F7F6C">
              <w:rPr>
                <w:rFonts w:cs="Calibri"/>
                <w:bCs/>
                <w:sz w:val="18"/>
                <w:szCs w:val="18"/>
                <w:lang w:val="es-PY"/>
              </w:rPr>
              <w:t>b) 9,150</w:t>
            </w:r>
            <w:r w:rsidR="006D69FE" w:rsidRPr="003F7F6C">
              <w:rPr>
                <w:rFonts w:cs="Calibri"/>
                <w:bCs/>
                <w:sz w:val="18"/>
                <w:szCs w:val="18"/>
                <w:lang w:val="es-PY"/>
              </w:rPr>
              <w:t xml:space="preserve"> ha</w:t>
            </w:r>
          </w:p>
        </w:tc>
        <w:tc>
          <w:tcPr>
            <w:tcW w:w="2119" w:type="dxa"/>
          </w:tcPr>
          <w:p w14:paraId="7648B738" w14:textId="77777777" w:rsidR="007F4F70" w:rsidRPr="003F7F6C" w:rsidRDefault="007F4F70" w:rsidP="002B3130">
            <w:pPr>
              <w:jc w:val="left"/>
              <w:rPr>
                <w:rFonts w:cs="Calibri"/>
                <w:bCs/>
                <w:sz w:val="18"/>
                <w:szCs w:val="18"/>
                <w:lang w:val="es-PY"/>
              </w:rPr>
            </w:pPr>
            <w:r w:rsidRPr="003F7F6C">
              <w:rPr>
                <w:rFonts w:cs="Calibri"/>
                <w:bCs/>
                <w:sz w:val="18"/>
                <w:szCs w:val="18"/>
                <w:lang w:val="es-PY"/>
              </w:rPr>
              <w:t>Total: 128,</w:t>
            </w:r>
            <w:r w:rsidR="0055393E" w:rsidRPr="003F7F6C">
              <w:rPr>
                <w:rFonts w:cs="Calibri"/>
                <w:bCs/>
                <w:sz w:val="18"/>
                <w:szCs w:val="18"/>
                <w:lang w:val="es-PY"/>
              </w:rPr>
              <w:t>37</w:t>
            </w:r>
            <w:r w:rsidRPr="003F7F6C">
              <w:rPr>
                <w:rFonts w:cs="Calibri"/>
                <w:bCs/>
                <w:sz w:val="18"/>
                <w:szCs w:val="18"/>
                <w:lang w:val="es-PY"/>
              </w:rPr>
              <w:t>0</w:t>
            </w:r>
            <w:r w:rsidR="006D69FE" w:rsidRPr="003F7F6C">
              <w:rPr>
                <w:rFonts w:cs="Calibri"/>
                <w:bCs/>
                <w:sz w:val="18"/>
                <w:szCs w:val="18"/>
                <w:lang w:val="es-PY"/>
              </w:rPr>
              <w:t xml:space="preserve"> ha</w:t>
            </w:r>
          </w:p>
          <w:p w14:paraId="5EA9CF23" w14:textId="77777777" w:rsidR="007F4F70" w:rsidRPr="003F7F6C" w:rsidRDefault="007F4F70" w:rsidP="002B3130">
            <w:pPr>
              <w:jc w:val="left"/>
              <w:rPr>
                <w:rFonts w:cs="Calibri"/>
                <w:bCs/>
                <w:sz w:val="18"/>
                <w:szCs w:val="18"/>
                <w:lang w:val="es-ES"/>
              </w:rPr>
            </w:pPr>
            <w:r w:rsidRPr="003F7F6C">
              <w:rPr>
                <w:rFonts w:cs="Calibri"/>
                <w:bCs/>
                <w:sz w:val="18"/>
                <w:szCs w:val="18"/>
                <w:lang w:val="es-ES"/>
              </w:rPr>
              <w:t>a) 9</w:t>
            </w:r>
            <w:r w:rsidR="0055393E" w:rsidRPr="003F7F6C">
              <w:rPr>
                <w:rFonts w:cs="Calibri"/>
                <w:bCs/>
                <w:sz w:val="18"/>
                <w:szCs w:val="18"/>
                <w:lang w:val="es-ES"/>
              </w:rPr>
              <w:t>7</w:t>
            </w:r>
            <w:r w:rsidRPr="003F7F6C">
              <w:rPr>
                <w:rFonts w:cs="Calibri"/>
                <w:bCs/>
                <w:sz w:val="18"/>
                <w:szCs w:val="18"/>
                <w:lang w:val="es-ES"/>
              </w:rPr>
              <w:t>,</w:t>
            </w:r>
            <w:r w:rsidR="0055393E" w:rsidRPr="003F7F6C">
              <w:rPr>
                <w:rFonts w:cs="Calibri"/>
                <w:bCs/>
                <w:sz w:val="18"/>
                <w:szCs w:val="18"/>
                <w:lang w:val="es-ES"/>
              </w:rPr>
              <w:t xml:space="preserve">868 </w:t>
            </w:r>
            <w:r w:rsidR="006D69FE" w:rsidRPr="003F7F6C">
              <w:rPr>
                <w:rFonts w:cs="Calibri"/>
                <w:bCs/>
                <w:sz w:val="18"/>
                <w:szCs w:val="18"/>
                <w:lang w:val="es-ES"/>
              </w:rPr>
              <w:t>ha</w:t>
            </w:r>
          </w:p>
          <w:p w14:paraId="337C4BDB" w14:textId="77777777" w:rsidR="007F4F70" w:rsidRPr="003F7F6C" w:rsidRDefault="007F4F70" w:rsidP="002B3130">
            <w:pPr>
              <w:jc w:val="left"/>
              <w:rPr>
                <w:rFonts w:cs="Calibri"/>
                <w:bCs/>
                <w:sz w:val="18"/>
                <w:szCs w:val="18"/>
                <w:lang w:val="es-ES"/>
              </w:rPr>
            </w:pPr>
            <w:r w:rsidRPr="003F7F6C">
              <w:rPr>
                <w:rFonts w:cs="Calibri"/>
                <w:bCs/>
                <w:sz w:val="18"/>
                <w:szCs w:val="18"/>
                <w:lang w:val="es-ES"/>
              </w:rPr>
              <w:t>- Bs As:</w:t>
            </w:r>
            <w:r w:rsidR="0055393E" w:rsidRPr="003F7F6C">
              <w:rPr>
                <w:rFonts w:cs="Calibri"/>
                <w:bCs/>
                <w:sz w:val="18"/>
                <w:szCs w:val="18"/>
                <w:lang w:val="es-ES"/>
              </w:rPr>
              <w:t xml:space="preserve"> </w:t>
            </w:r>
            <w:r w:rsidRPr="003F7F6C">
              <w:rPr>
                <w:rFonts w:cs="Calibri"/>
                <w:bCs/>
                <w:sz w:val="18"/>
                <w:szCs w:val="18"/>
                <w:lang w:val="es-ES"/>
              </w:rPr>
              <w:t>85,471</w:t>
            </w:r>
            <w:r w:rsidR="006D69FE" w:rsidRPr="003F7F6C">
              <w:rPr>
                <w:rFonts w:cs="Calibri"/>
                <w:bCs/>
                <w:sz w:val="18"/>
                <w:szCs w:val="18"/>
                <w:lang w:val="es-ES"/>
              </w:rPr>
              <w:t xml:space="preserve"> ha</w:t>
            </w:r>
          </w:p>
          <w:p w14:paraId="4276D7BE" w14:textId="77777777" w:rsidR="007F4F70" w:rsidRPr="003F7F6C" w:rsidRDefault="007F4F70" w:rsidP="00E91275">
            <w:pPr>
              <w:numPr>
                <w:ilvl w:val="0"/>
                <w:numId w:val="26"/>
              </w:numPr>
              <w:ind w:left="174" w:hanging="142"/>
              <w:jc w:val="left"/>
              <w:rPr>
                <w:rFonts w:cs="Calibri"/>
                <w:bCs/>
                <w:sz w:val="18"/>
                <w:szCs w:val="18"/>
              </w:rPr>
            </w:pPr>
            <w:r w:rsidRPr="003F7F6C">
              <w:rPr>
                <w:rFonts w:cs="Calibri"/>
                <w:bCs/>
                <w:sz w:val="18"/>
                <w:szCs w:val="18"/>
              </w:rPr>
              <w:t>Mendoza:</w:t>
            </w:r>
            <w:r w:rsidR="0055393E" w:rsidRPr="003F7F6C">
              <w:rPr>
                <w:rFonts w:cs="Calibri"/>
                <w:bCs/>
                <w:sz w:val="18"/>
                <w:szCs w:val="18"/>
              </w:rPr>
              <w:t xml:space="preserve"> </w:t>
            </w:r>
            <w:r w:rsidRPr="003F7F6C">
              <w:rPr>
                <w:rFonts w:cs="Calibri"/>
                <w:bCs/>
                <w:sz w:val="18"/>
                <w:szCs w:val="18"/>
              </w:rPr>
              <w:t>12,397</w:t>
            </w:r>
            <w:r w:rsidR="006D69FE" w:rsidRPr="003F7F6C">
              <w:rPr>
                <w:rFonts w:cs="Calibri"/>
                <w:bCs/>
                <w:sz w:val="18"/>
                <w:szCs w:val="18"/>
              </w:rPr>
              <w:t xml:space="preserve"> ha</w:t>
            </w:r>
            <w:r w:rsidRPr="003F7F6C">
              <w:rPr>
                <w:rFonts w:cs="Calibri"/>
                <w:bCs/>
                <w:sz w:val="18"/>
                <w:szCs w:val="18"/>
              </w:rPr>
              <w:t xml:space="preserve"> </w:t>
            </w:r>
          </w:p>
          <w:p w14:paraId="643F5CED" w14:textId="77777777" w:rsidR="007F4F70" w:rsidRPr="003F7F6C" w:rsidRDefault="007F4F70" w:rsidP="00E91275">
            <w:pPr>
              <w:numPr>
                <w:ilvl w:val="0"/>
                <w:numId w:val="26"/>
              </w:numPr>
              <w:ind w:left="174" w:hanging="142"/>
              <w:jc w:val="left"/>
              <w:rPr>
                <w:rFonts w:cs="Calibri"/>
                <w:bCs/>
                <w:sz w:val="18"/>
                <w:szCs w:val="18"/>
              </w:rPr>
            </w:pPr>
            <w:r w:rsidRPr="003F7F6C">
              <w:rPr>
                <w:rFonts w:cs="Calibri"/>
                <w:bCs/>
                <w:sz w:val="18"/>
                <w:szCs w:val="18"/>
              </w:rPr>
              <w:t>Jujuy 0</w:t>
            </w:r>
            <w:r w:rsidR="0055393E" w:rsidRPr="003F7F6C">
              <w:rPr>
                <w:rFonts w:cs="Calibri"/>
                <w:bCs/>
                <w:sz w:val="18"/>
                <w:szCs w:val="18"/>
              </w:rPr>
              <w:t xml:space="preserve"> ha</w:t>
            </w:r>
          </w:p>
          <w:p w14:paraId="6DDCE62F" w14:textId="77777777" w:rsidR="007F4F70" w:rsidRPr="003F7F6C" w:rsidRDefault="007F4F70" w:rsidP="002B3130">
            <w:pPr>
              <w:jc w:val="left"/>
              <w:rPr>
                <w:rFonts w:cs="Calibri"/>
                <w:bCs/>
                <w:sz w:val="18"/>
                <w:szCs w:val="18"/>
              </w:rPr>
            </w:pPr>
          </w:p>
          <w:p w14:paraId="4E777D1A" w14:textId="0AEFF312" w:rsidR="007F4F70" w:rsidRPr="003F7F6C" w:rsidRDefault="007F4F70" w:rsidP="002B3130">
            <w:pPr>
              <w:jc w:val="left"/>
              <w:rPr>
                <w:rFonts w:cs="Calibri"/>
                <w:bCs/>
                <w:sz w:val="18"/>
                <w:szCs w:val="18"/>
              </w:rPr>
            </w:pPr>
            <w:r w:rsidRPr="003F7F6C">
              <w:rPr>
                <w:rFonts w:cs="Calibri"/>
                <w:bCs/>
                <w:sz w:val="18"/>
                <w:szCs w:val="18"/>
              </w:rPr>
              <w:t>b) 30,502</w:t>
            </w:r>
            <w:r w:rsidR="006D69FE" w:rsidRPr="003F7F6C">
              <w:rPr>
                <w:rFonts w:cs="Calibri"/>
                <w:bCs/>
                <w:sz w:val="18"/>
                <w:szCs w:val="18"/>
              </w:rPr>
              <w:t xml:space="preserve"> ha</w:t>
            </w:r>
          </w:p>
          <w:p w14:paraId="59073B2A" w14:textId="77777777" w:rsidR="007F4F70" w:rsidRPr="003F7F6C" w:rsidRDefault="007F4F70" w:rsidP="00E91275">
            <w:pPr>
              <w:numPr>
                <w:ilvl w:val="0"/>
                <w:numId w:val="26"/>
              </w:numPr>
              <w:ind w:left="174" w:hanging="174"/>
              <w:jc w:val="left"/>
              <w:rPr>
                <w:rFonts w:cs="Calibri"/>
                <w:bCs/>
                <w:sz w:val="18"/>
                <w:szCs w:val="18"/>
              </w:rPr>
            </w:pPr>
            <w:r w:rsidRPr="003F7F6C">
              <w:rPr>
                <w:rFonts w:cs="Calibri"/>
                <w:bCs/>
                <w:sz w:val="18"/>
                <w:szCs w:val="18"/>
              </w:rPr>
              <w:t xml:space="preserve">Bs As: 0 </w:t>
            </w:r>
            <w:r w:rsidR="006D69FE" w:rsidRPr="003F7F6C">
              <w:rPr>
                <w:rFonts w:cs="Calibri"/>
                <w:bCs/>
                <w:sz w:val="18"/>
                <w:szCs w:val="18"/>
              </w:rPr>
              <w:t>ha</w:t>
            </w:r>
          </w:p>
          <w:p w14:paraId="0575A99B" w14:textId="77777777" w:rsidR="007F4F70" w:rsidRPr="003F7F6C" w:rsidRDefault="007F4F70" w:rsidP="00E91275">
            <w:pPr>
              <w:numPr>
                <w:ilvl w:val="0"/>
                <w:numId w:val="26"/>
              </w:numPr>
              <w:ind w:left="174" w:hanging="174"/>
              <w:jc w:val="left"/>
              <w:rPr>
                <w:rFonts w:cs="Calibri"/>
                <w:bCs/>
                <w:sz w:val="18"/>
                <w:szCs w:val="18"/>
              </w:rPr>
            </w:pPr>
            <w:r w:rsidRPr="003F7F6C">
              <w:rPr>
                <w:rFonts w:cs="Calibri"/>
                <w:bCs/>
                <w:sz w:val="18"/>
                <w:szCs w:val="18"/>
              </w:rPr>
              <w:t>Mendoza: 18,595</w:t>
            </w:r>
            <w:r w:rsidR="006D69FE" w:rsidRPr="003F7F6C">
              <w:rPr>
                <w:rFonts w:cs="Calibri"/>
                <w:bCs/>
                <w:sz w:val="18"/>
                <w:szCs w:val="18"/>
              </w:rPr>
              <w:t xml:space="preserve"> ha</w:t>
            </w:r>
          </w:p>
          <w:p w14:paraId="0DF84FA4" w14:textId="77777777" w:rsidR="007F4F70" w:rsidRPr="003F7F6C" w:rsidRDefault="007F4F70" w:rsidP="00E91275">
            <w:pPr>
              <w:numPr>
                <w:ilvl w:val="0"/>
                <w:numId w:val="26"/>
              </w:numPr>
              <w:ind w:left="174" w:hanging="174"/>
              <w:jc w:val="left"/>
              <w:rPr>
                <w:rFonts w:cs="Calibri"/>
                <w:bCs/>
                <w:i/>
                <w:sz w:val="18"/>
                <w:szCs w:val="18"/>
              </w:rPr>
            </w:pPr>
            <w:r w:rsidRPr="003F7F6C">
              <w:rPr>
                <w:rFonts w:cs="Calibri"/>
                <w:bCs/>
                <w:sz w:val="18"/>
                <w:szCs w:val="18"/>
              </w:rPr>
              <w:t>Jujuy</w:t>
            </w:r>
            <w:r w:rsidR="0055393E" w:rsidRPr="003F7F6C">
              <w:rPr>
                <w:rFonts w:cs="Calibri"/>
                <w:bCs/>
                <w:sz w:val="18"/>
                <w:szCs w:val="18"/>
              </w:rPr>
              <w:t>:</w:t>
            </w:r>
            <w:r w:rsidRPr="003F7F6C">
              <w:rPr>
                <w:rFonts w:cs="Calibri"/>
                <w:bCs/>
                <w:sz w:val="18"/>
                <w:szCs w:val="18"/>
              </w:rPr>
              <w:t xml:space="preserve"> 11,907 ha</w:t>
            </w:r>
          </w:p>
        </w:tc>
        <w:tc>
          <w:tcPr>
            <w:tcW w:w="2949" w:type="dxa"/>
            <w:vMerge/>
          </w:tcPr>
          <w:p w14:paraId="0A140020" w14:textId="77777777" w:rsidR="007F4F70" w:rsidRPr="003F7F6C" w:rsidRDefault="007F4F70" w:rsidP="002B3130">
            <w:pPr>
              <w:rPr>
                <w:rFonts w:cs="Calibri"/>
              </w:rPr>
            </w:pPr>
          </w:p>
        </w:tc>
      </w:tr>
      <w:tr w:rsidR="007F4F70" w:rsidRPr="003F7F6C" w14:paraId="35FD7005" w14:textId="77777777" w:rsidTr="002B3130">
        <w:trPr>
          <w:trHeight w:val="765"/>
        </w:trPr>
        <w:tc>
          <w:tcPr>
            <w:tcW w:w="2605" w:type="dxa"/>
            <w:vMerge/>
            <w:shd w:val="pct12" w:color="auto" w:fill="auto"/>
          </w:tcPr>
          <w:p w14:paraId="39D9B903" w14:textId="77777777" w:rsidR="007F4F70" w:rsidRPr="003F7F6C" w:rsidRDefault="007F4F70" w:rsidP="002B3130">
            <w:pPr>
              <w:rPr>
                <w:rFonts w:cs="Calibri"/>
                <w:b/>
                <w:bCs/>
                <w:sz w:val="18"/>
                <w:szCs w:val="18"/>
              </w:rPr>
            </w:pPr>
          </w:p>
        </w:tc>
        <w:tc>
          <w:tcPr>
            <w:tcW w:w="2493" w:type="dxa"/>
            <w:vMerge w:val="restart"/>
          </w:tcPr>
          <w:p w14:paraId="709B6E4C" w14:textId="6FEFBED9" w:rsidR="007F4F70" w:rsidRPr="003F7F6C" w:rsidRDefault="007F4F70" w:rsidP="002B3130">
            <w:pPr>
              <w:jc w:val="left"/>
              <w:rPr>
                <w:rFonts w:cs="Calibri"/>
                <w:bCs/>
                <w:color w:val="FF0000"/>
                <w:sz w:val="18"/>
                <w:szCs w:val="18"/>
                <w:lang w:val="en-GB"/>
              </w:rPr>
            </w:pPr>
            <w:r w:rsidRPr="003F7F6C">
              <w:rPr>
                <w:rFonts w:cs="Calibri"/>
                <w:bCs/>
                <w:sz w:val="18"/>
                <w:szCs w:val="18"/>
              </w:rPr>
              <w:t xml:space="preserve">Indicator </w:t>
            </w:r>
            <w:r w:rsidR="00993773" w:rsidRPr="003F7F6C">
              <w:rPr>
                <w:rFonts w:cs="Calibri"/>
                <w:bCs/>
                <w:sz w:val="18"/>
                <w:szCs w:val="18"/>
              </w:rPr>
              <w:t>11</w:t>
            </w:r>
            <w:r w:rsidRPr="003F7F6C">
              <w:rPr>
                <w:rFonts w:cs="Calibri"/>
                <w:bCs/>
                <w:sz w:val="18"/>
                <w:szCs w:val="18"/>
              </w:rPr>
              <w:t xml:space="preserve">: Level of improvement in livelihoods of beneficiaries in target landscapes differentiated by gender and ethnicity, measured through the </w:t>
            </w:r>
            <w:r w:rsidRPr="003F7F6C">
              <w:rPr>
                <w:rFonts w:cs="Calibri"/>
                <w:bCs/>
                <w:sz w:val="18"/>
                <w:szCs w:val="18"/>
                <w:lang w:val="en-GB"/>
              </w:rPr>
              <w:t xml:space="preserve">Land Degradation Assessment in Drylands (LADA) Livelihood Index which measures 5 capitals: social, productive, human, physical and natural </w:t>
            </w:r>
          </w:p>
        </w:tc>
        <w:tc>
          <w:tcPr>
            <w:tcW w:w="2268" w:type="dxa"/>
            <w:vMerge w:val="restart"/>
          </w:tcPr>
          <w:p w14:paraId="15E33B05" w14:textId="77777777" w:rsidR="007F4F70" w:rsidRPr="003F7F6C" w:rsidRDefault="0055393E" w:rsidP="002B3130">
            <w:pPr>
              <w:jc w:val="left"/>
              <w:rPr>
                <w:rFonts w:cs="Calibri"/>
                <w:bCs/>
                <w:sz w:val="18"/>
                <w:szCs w:val="18"/>
                <w:lang w:val="en-GB"/>
              </w:rPr>
            </w:pPr>
            <w:r w:rsidRPr="003F7F6C">
              <w:rPr>
                <w:rFonts w:cs="Calibri"/>
                <w:bCs/>
                <w:sz w:val="18"/>
                <w:szCs w:val="18"/>
                <w:lang w:val="en-GB"/>
              </w:rPr>
              <w:t xml:space="preserve">Index baseline values </w:t>
            </w:r>
            <w:r w:rsidR="007F4F70" w:rsidRPr="003F7F6C">
              <w:rPr>
                <w:rFonts w:cs="Calibri"/>
                <w:bCs/>
                <w:sz w:val="18"/>
                <w:szCs w:val="18"/>
                <w:lang w:val="en-GB"/>
              </w:rPr>
              <w:t>to be determined in PY1 for each target landscape (Index ranges from 1 (low) to 5 (high).</w:t>
            </w:r>
          </w:p>
          <w:p w14:paraId="495BE763" w14:textId="77777777" w:rsidR="007F4F70" w:rsidRPr="003F7F6C" w:rsidRDefault="007F4F70" w:rsidP="002B3130">
            <w:pPr>
              <w:rPr>
                <w:rFonts w:cs="Calibri"/>
                <w:bCs/>
                <w:sz w:val="18"/>
                <w:szCs w:val="18"/>
                <w:lang w:val="en-GB"/>
              </w:rPr>
            </w:pPr>
          </w:p>
        </w:tc>
        <w:tc>
          <w:tcPr>
            <w:tcW w:w="1956" w:type="dxa"/>
            <w:vMerge w:val="restart"/>
          </w:tcPr>
          <w:p w14:paraId="65C8A01F" w14:textId="77777777" w:rsidR="007F4F70" w:rsidRPr="003F7F6C" w:rsidRDefault="007F4F70" w:rsidP="002B3130">
            <w:pPr>
              <w:rPr>
                <w:rFonts w:cs="Calibri"/>
                <w:bCs/>
                <w:strike/>
                <w:sz w:val="18"/>
                <w:szCs w:val="18"/>
              </w:rPr>
            </w:pPr>
          </w:p>
        </w:tc>
        <w:tc>
          <w:tcPr>
            <w:tcW w:w="2119" w:type="dxa"/>
            <w:vMerge w:val="restart"/>
          </w:tcPr>
          <w:p w14:paraId="5CB3B953" w14:textId="77777777" w:rsidR="007F4F70" w:rsidRPr="003F7F6C" w:rsidRDefault="007F4F70" w:rsidP="002B3130">
            <w:pPr>
              <w:jc w:val="left"/>
              <w:rPr>
                <w:rFonts w:cs="Calibri"/>
                <w:bCs/>
                <w:sz w:val="18"/>
                <w:szCs w:val="18"/>
              </w:rPr>
            </w:pPr>
            <w:r w:rsidRPr="003F7F6C">
              <w:rPr>
                <w:rFonts w:cs="Calibri"/>
                <w:bCs/>
                <w:sz w:val="18"/>
                <w:szCs w:val="18"/>
              </w:rPr>
              <w:t>20% improvement in the Livelihood Index</w:t>
            </w:r>
          </w:p>
        </w:tc>
        <w:tc>
          <w:tcPr>
            <w:tcW w:w="2949" w:type="dxa"/>
          </w:tcPr>
          <w:p w14:paraId="75D98CDA" w14:textId="77777777" w:rsidR="007F4F70" w:rsidRPr="003F7F6C" w:rsidRDefault="007F4F70" w:rsidP="002B3130">
            <w:pPr>
              <w:jc w:val="left"/>
              <w:rPr>
                <w:rFonts w:cs="Calibri"/>
                <w:bCs/>
                <w:sz w:val="18"/>
                <w:szCs w:val="18"/>
              </w:rPr>
            </w:pPr>
            <w:r w:rsidRPr="003F7F6C">
              <w:rPr>
                <w:rFonts w:cs="Calibri"/>
                <w:bCs/>
                <w:sz w:val="18"/>
                <w:szCs w:val="18"/>
              </w:rPr>
              <w:t>Periodic project monitoring; LADA methodology; household surveys, focus groups disaggregated by gender and ethnicity</w:t>
            </w:r>
          </w:p>
        </w:tc>
      </w:tr>
      <w:tr w:rsidR="007F4F70" w:rsidRPr="003F7F6C" w14:paraId="31BB7FAB" w14:textId="77777777" w:rsidTr="002B3130">
        <w:trPr>
          <w:trHeight w:val="765"/>
        </w:trPr>
        <w:tc>
          <w:tcPr>
            <w:tcW w:w="2605" w:type="dxa"/>
            <w:vMerge/>
            <w:shd w:val="pct12" w:color="auto" w:fill="auto"/>
          </w:tcPr>
          <w:p w14:paraId="56BF4E26" w14:textId="77777777" w:rsidR="007F4F70" w:rsidRPr="003F7F6C" w:rsidRDefault="007F4F70" w:rsidP="002B3130">
            <w:pPr>
              <w:rPr>
                <w:rFonts w:cs="Calibri"/>
                <w:b/>
                <w:bCs/>
                <w:sz w:val="18"/>
                <w:szCs w:val="18"/>
              </w:rPr>
            </w:pPr>
          </w:p>
        </w:tc>
        <w:tc>
          <w:tcPr>
            <w:tcW w:w="2493" w:type="dxa"/>
            <w:vMerge/>
          </w:tcPr>
          <w:p w14:paraId="0425FBF3" w14:textId="77777777" w:rsidR="007F4F70" w:rsidRPr="003F7F6C" w:rsidRDefault="007F4F70" w:rsidP="002B3130">
            <w:pPr>
              <w:rPr>
                <w:rFonts w:cs="Calibri"/>
                <w:bCs/>
                <w:i/>
                <w:sz w:val="18"/>
                <w:szCs w:val="18"/>
              </w:rPr>
            </w:pPr>
          </w:p>
        </w:tc>
        <w:tc>
          <w:tcPr>
            <w:tcW w:w="2268" w:type="dxa"/>
            <w:vMerge/>
          </w:tcPr>
          <w:p w14:paraId="403F3B38" w14:textId="77777777" w:rsidR="007F4F70" w:rsidRPr="003F7F6C" w:rsidRDefault="007F4F70" w:rsidP="002B3130">
            <w:pPr>
              <w:rPr>
                <w:rFonts w:cs="Calibri"/>
                <w:bCs/>
                <w:i/>
                <w:sz w:val="18"/>
                <w:szCs w:val="18"/>
              </w:rPr>
            </w:pPr>
          </w:p>
        </w:tc>
        <w:tc>
          <w:tcPr>
            <w:tcW w:w="1956" w:type="dxa"/>
            <w:vMerge/>
          </w:tcPr>
          <w:p w14:paraId="54CFB80C" w14:textId="77777777" w:rsidR="007F4F70" w:rsidRPr="003F7F6C" w:rsidRDefault="007F4F70" w:rsidP="002B3130">
            <w:pPr>
              <w:rPr>
                <w:rFonts w:cs="Calibri"/>
                <w:bCs/>
                <w:i/>
                <w:sz w:val="18"/>
                <w:szCs w:val="18"/>
              </w:rPr>
            </w:pPr>
          </w:p>
        </w:tc>
        <w:tc>
          <w:tcPr>
            <w:tcW w:w="2119" w:type="dxa"/>
            <w:vMerge/>
          </w:tcPr>
          <w:p w14:paraId="3FD482FF" w14:textId="77777777" w:rsidR="007F4F70" w:rsidRPr="003F7F6C" w:rsidRDefault="007F4F70" w:rsidP="002B3130">
            <w:pPr>
              <w:rPr>
                <w:rFonts w:cs="Calibri"/>
                <w:bCs/>
                <w:i/>
                <w:sz w:val="18"/>
                <w:szCs w:val="18"/>
              </w:rPr>
            </w:pPr>
          </w:p>
        </w:tc>
        <w:tc>
          <w:tcPr>
            <w:tcW w:w="2949" w:type="dxa"/>
          </w:tcPr>
          <w:p w14:paraId="56B233EC" w14:textId="77777777" w:rsidR="007F4F70" w:rsidRPr="003F7F6C" w:rsidRDefault="007F4F70" w:rsidP="002B3130">
            <w:pPr>
              <w:rPr>
                <w:rFonts w:cs="Calibri"/>
                <w:sz w:val="18"/>
                <w:szCs w:val="18"/>
              </w:rPr>
            </w:pPr>
            <w:r w:rsidRPr="003F7F6C">
              <w:rPr>
                <w:rFonts w:cs="Calibri"/>
                <w:sz w:val="18"/>
                <w:szCs w:val="18"/>
              </w:rPr>
              <w:t>Risks:</w:t>
            </w:r>
          </w:p>
          <w:p w14:paraId="0D7EC2EC" w14:textId="77777777" w:rsidR="007F4F70" w:rsidRPr="003F7F6C" w:rsidRDefault="007F4F70" w:rsidP="002B3130">
            <w:pPr>
              <w:jc w:val="left"/>
              <w:rPr>
                <w:rFonts w:cs="Calibri"/>
                <w:sz w:val="18"/>
                <w:szCs w:val="18"/>
              </w:rPr>
            </w:pPr>
            <w:r w:rsidRPr="003F7F6C">
              <w:rPr>
                <w:rFonts w:cs="Calibri"/>
                <w:sz w:val="18"/>
                <w:szCs w:val="18"/>
              </w:rPr>
              <w:t xml:space="preserve">Beneficiaries are reluctant to engage in project interventions. </w:t>
            </w:r>
          </w:p>
          <w:p w14:paraId="53089793" w14:textId="77777777" w:rsidR="007F4F70" w:rsidRPr="003F7F6C" w:rsidRDefault="007F4F70" w:rsidP="002B3130">
            <w:pPr>
              <w:jc w:val="left"/>
              <w:rPr>
                <w:rFonts w:cs="Calibri"/>
                <w:sz w:val="18"/>
                <w:szCs w:val="18"/>
              </w:rPr>
            </w:pPr>
            <w:r w:rsidRPr="003F7F6C">
              <w:rPr>
                <w:rFonts w:cs="Calibri"/>
                <w:sz w:val="18"/>
                <w:szCs w:val="18"/>
              </w:rPr>
              <w:t>Livelihoods could not be positively impacted quickly enough during the time period of the project.</w:t>
            </w:r>
          </w:p>
          <w:p w14:paraId="0BABB2F4" w14:textId="77777777" w:rsidR="007F4F70" w:rsidRPr="003F7F6C" w:rsidRDefault="007F4F70" w:rsidP="002B3130">
            <w:pPr>
              <w:rPr>
                <w:rFonts w:cs="Calibri"/>
              </w:rPr>
            </w:pPr>
          </w:p>
          <w:p w14:paraId="54FCF83B" w14:textId="77777777" w:rsidR="007F4F70" w:rsidRPr="003F7F6C" w:rsidRDefault="007F4F70" w:rsidP="002B3130">
            <w:pPr>
              <w:rPr>
                <w:rFonts w:cs="Calibri"/>
              </w:rPr>
            </w:pPr>
            <w:r w:rsidRPr="003F7F6C">
              <w:rPr>
                <w:rFonts w:cs="Calibri"/>
              </w:rPr>
              <w:t>Assumptions:</w:t>
            </w:r>
          </w:p>
          <w:p w14:paraId="07CBD51D" w14:textId="77777777" w:rsidR="007F4F70" w:rsidRPr="003F7F6C" w:rsidRDefault="007F4F70" w:rsidP="002B3130">
            <w:pPr>
              <w:jc w:val="left"/>
              <w:rPr>
                <w:rFonts w:cs="Calibri"/>
              </w:rPr>
            </w:pPr>
            <w:r w:rsidRPr="003F7F6C">
              <w:rPr>
                <w:rFonts w:cs="Calibri"/>
                <w:bCs/>
                <w:sz w:val="18"/>
                <w:szCs w:val="18"/>
              </w:rPr>
              <w:t>Beneficiaries are aware of the need to adopt sustainable and environmentally-friendly best practices and their advantages to help improve production, productivity and livelihoods, engage and adopt best practices</w:t>
            </w:r>
          </w:p>
        </w:tc>
      </w:tr>
      <w:tr w:rsidR="007F4F70" w:rsidRPr="003F7F6C" w14:paraId="534A5214" w14:textId="77777777" w:rsidTr="002B3130">
        <w:trPr>
          <w:trHeight w:val="765"/>
        </w:trPr>
        <w:tc>
          <w:tcPr>
            <w:tcW w:w="2605" w:type="dxa"/>
            <w:vMerge w:val="restart"/>
            <w:shd w:val="pct12" w:color="auto" w:fill="auto"/>
          </w:tcPr>
          <w:p w14:paraId="011D9D90" w14:textId="77777777" w:rsidR="007F4F70" w:rsidRPr="003F7F6C" w:rsidRDefault="007F4F70" w:rsidP="002B3130">
            <w:pPr>
              <w:rPr>
                <w:rFonts w:cs="Calibri"/>
                <w:b/>
                <w:bCs/>
                <w:sz w:val="18"/>
                <w:szCs w:val="18"/>
              </w:rPr>
            </w:pPr>
            <w:r w:rsidRPr="003F7F6C">
              <w:rPr>
                <w:rFonts w:cs="Calibri"/>
                <w:b/>
                <w:bCs/>
                <w:sz w:val="18"/>
                <w:szCs w:val="18"/>
              </w:rPr>
              <w:t>Outcome 3</w:t>
            </w:r>
          </w:p>
          <w:p w14:paraId="68325A01" w14:textId="77777777" w:rsidR="007F4F70" w:rsidRPr="003F7F6C" w:rsidRDefault="007F4F70" w:rsidP="002B3130">
            <w:pPr>
              <w:rPr>
                <w:rFonts w:cs="Calibri"/>
                <w:bCs/>
                <w:sz w:val="18"/>
                <w:szCs w:val="18"/>
              </w:rPr>
            </w:pPr>
            <w:r w:rsidRPr="003F7F6C">
              <w:rPr>
                <w:rFonts w:cs="Calibri"/>
                <w:bCs/>
                <w:sz w:val="18"/>
                <w:szCs w:val="18"/>
              </w:rPr>
              <w:t>Replicability framework for ELUP uptake in all Argentine provinces</w:t>
            </w:r>
          </w:p>
          <w:p w14:paraId="6EB3B725" w14:textId="77777777" w:rsidR="007F4F70" w:rsidRPr="003F7F6C" w:rsidRDefault="007F4F70" w:rsidP="002B3130">
            <w:pPr>
              <w:rPr>
                <w:rFonts w:cs="Calibri"/>
                <w:b/>
                <w:bCs/>
                <w:sz w:val="18"/>
                <w:szCs w:val="18"/>
              </w:rPr>
            </w:pPr>
          </w:p>
        </w:tc>
        <w:tc>
          <w:tcPr>
            <w:tcW w:w="2493" w:type="dxa"/>
            <w:vMerge w:val="restart"/>
          </w:tcPr>
          <w:p w14:paraId="7F86097D" w14:textId="5B796E1C" w:rsidR="007F4F70" w:rsidRPr="003F7F6C" w:rsidRDefault="007F4F70" w:rsidP="002B3130">
            <w:pPr>
              <w:jc w:val="left"/>
              <w:rPr>
                <w:rFonts w:cs="Calibri"/>
                <w:bCs/>
                <w:sz w:val="18"/>
                <w:szCs w:val="18"/>
              </w:rPr>
            </w:pPr>
            <w:r w:rsidRPr="003F7F6C">
              <w:rPr>
                <w:rFonts w:cs="Calibri"/>
                <w:bCs/>
                <w:sz w:val="18"/>
                <w:szCs w:val="18"/>
              </w:rPr>
              <w:t>Indicator 1</w:t>
            </w:r>
            <w:r w:rsidR="00993773" w:rsidRPr="003F7F6C">
              <w:rPr>
                <w:rFonts w:cs="Calibri"/>
                <w:bCs/>
                <w:sz w:val="18"/>
                <w:szCs w:val="18"/>
              </w:rPr>
              <w:t>2</w:t>
            </w:r>
            <w:r w:rsidRPr="003F7F6C">
              <w:rPr>
                <w:rFonts w:cs="Calibri"/>
                <w:bCs/>
                <w:sz w:val="18"/>
                <w:szCs w:val="18"/>
              </w:rPr>
              <w:t xml:space="preserve">: Increase in capacity of non-pilot provincial environmental authorities to adopt and implement ELUP criteria and SLM practices in remaining provinces and nationally important ecoregions, measured through the % of increase in </w:t>
            </w:r>
            <w:r w:rsidR="006D69FE" w:rsidRPr="003F7F6C">
              <w:rPr>
                <w:rFonts w:cs="Calibri"/>
                <w:bCs/>
                <w:sz w:val="18"/>
                <w:szCs w:val="18"/>
              </w:rPr>
              <w:t xml:space="preserve">the </w:t>
            </w:r>
            <w:r w:rsidRPr="003F7F6C">
              <w:rPr>
                <w:rFonts w:cs="Calibri"/>
                <w:bCs/>
                <w:sz w:val="18"/>
                <w:szCs w:val="18"/>
              </w:rPr>
              <w:t>Adapted UNDP Capacity Scorecard ratings of environmental authorities</w:t>
            </w:r>
          </w:p>
        </w:tc>
        <w:tc>
          <w:tcPr>
            <w:tcW w:w="2268" w:type="dxa"/>
            <w:vMerge w:val="restart"/>
          </w:tcPr>
          <w:p w14:paraId="5426F4C6" w14:textId="5C821BEF" w:rsidR="007F4F70" w:rsidRPr="003F7F6C" w:rsidRDefault="006D69FE" w:rsidP="0055393E">
            <w:pPr>
              <w:jc w:val="left"/>
              <w:rPr>
                <w:rFonts w:cs="Calibri"/>
                <w:bCs/>
                <w:sz w:val="18"/>
                <w:szCs w:val="18"/>
              </w:rPr>
            </w:pPr>
            <w:r w:rsidRPr="003F7F6C">
              <w:rPr>
                <w:rFonts w:cs="Calibri"/>
                <w:bCs/>
                <w:sz w:val="18"/>
                <w:szCs w:val="18"/>
              </w:rPr>
              <w:t>Non-pilot provincial e</w:t>
            </w:r>
            <w:r w:rsidR="007F4F70" w:rsidRPr="003F7F6C">
              <w:rPr>
                <w:rFonts w:cs="Calibri"/>
                <w:bCs/>
                <w:sz w:val="18"/>
                <w:szCs w:val="18"/>
              </w:rPr>
              <w:t>nvironmental authorities to be identified and agreed in PY1/PY2</w:t>
            </w:r>
          </w:p>
        </w:tc>
        <w:tc>
          <w:tcPr>
            <w:tcW w:w="1956" w:type="dxa"/>
            <w:vMerge w:val="restart"/>
          </w:tcPr>
          <w:p w14:paraId="75892D36" w14:textId="77777777" w:rsidR="007F4F70" w:rsidRPr="003F7F6C" w:rsidRDefault="007F4F70" w:rsidP="002B3130">
            <w:pPr>
              <w:jc w:val="left"/>
              <w:rPr>
                <w:rFonts w:cs="Calibri"/>
                <w:bCs/>
                <w:sz w:val="18"/>
                <w:szCs w:val="18"/>
              </w:rPr>
            </w:pPr>
            <w:r w:rsidRPr="003F7F6C">
              <w:rPr>
                <w:rFonts w:cs="Calibri"/>
                <w:bCs/>
                <w:sz w:val="18"/>
                <w:szCs w:val="18"/>
              </w:rPr>
              <w:t>Adapted UNDP Capacity scorecards applied. Baseline established.</w:t>
            </w:r>
          </w:p>
        </w:tc>
        <w:tc>
          <w:tcPr>
            <w:tcW w:w="2119" w:type="dxa"/>
            <w:vMerge w:val="restart"/>
          </w:tcPr>
          <w:p w14:paraId="2A98764A" w14:textId="77777777" w:rsidR="007F4F70" w:rsidRPr="003F7F6C" w:rsidRDefault="007F4F70" w:rsidP="002B3130">
            <w:pPr>
              <w:rPr>
                <w:rFonts w:cs="Calibri"/>
                <w:bCs/>
                <w:sz w:val="18"/>
                <w:szCs w:val="18"/>
              </w:rPr>
            </w:pPr>
            <w:r w:rsidRPr="003F7F6C">
              <w:rPr>
                <w:rFonts w:cs="Calibri"/>
                <w:bCs/>
                <w:sz w:val="18"/>
                <w:szCs w:val="18"/>
              </w:rPr>
              <w:t>20% increase in Capacity scorecard ratings.</w:t>
            </w:r>
          </w:p>
        </w:tc>
        <w:tc>
          <w:tcPr>
            <w:tcW w:w="2949" w:type="dxa"/>
          </w:tcPr>
          <w:p w14:paraId="35FED085" w14:textId="77777777" w:rsidR="007F4F70" w:rsidRPr="003F7F6C" w:rsidRDefault="007F4F70" w:rsidP="002B3130">
            <w:pPr>
              <w:rPr>
                <w:rFonts w:cs="Calibri"/>
                <w:sz w:val="18"/>
                <w:szCs w:val="18"/>
              </w:rPr>
            </w:pPr>
            <w:r w:rsidRPr="003F7F6C">
              <w:rPr>
                <w:rFonts w:cs="Calibri"/>
                <w:sz w:val="18"/>
                <w:szCs w:val="18"/>
              </w:rPr>
              <w:t>Periodic project monitoring</w:t>
            </w:r>
          </w:p>
          <w:p w14:paraId="0B925DC7" w14:textId="77777777" w:rsidR="007F4F70" w:rsidRPr="003F7F6C" w:rsidRDefault="007F4F70" w:rsidP="002B3130">
            <w:pPr>
              <w:rPr>
                <w:rFonts w:cs="Calibri"/>
                <w:sz w:val="18"/>
                <w:szCs w:val="18"/>
              </w:rPr>
            </w:pPr>
            <w:r w:rsidRPr="003F7F6C">
              <w:rPr>
                <w:rFonts w:cs="Calibri"/>
                <w:sz w:val="18"/>
                <w:szCs w:val="18"/>
              </w:rPr>
              <w:t>Interviews with key staff</w:t>
            </w:r>
          </w:p>
          <w:p w14:paraId="09245E82" w14:textId="77777777" w:rsidR="007F4F70" w:rsidRPr="003F7F6C" w:rsidRDefault="007F4F70" w:rsidP="002B3130">
            <w:pPr>
              <w:rPr>
                <w:rFonts w:cs="Calibri"/>
                <w:i/>
              </w:rPr>
            </w:pPr>
            <w:r w:rsidRPr="003F7F6C">
              <w:rPr>
                <w:rFonts w:cs="Calibri"/>
                <w:sz w:val="18"/>
                <w:szCs w:val="18"/>
              </w:rPr>
              <w:t>Capacity scorecard</w:t>
            </w:r>
          </w:p>
        </w:tc>
      </w:tr>
      <w:tr w:rsidR="007F4F70" w:rsidRPr="003F7F6C" w14:paraId="10AC9C1E" w14:textId="77777777" w:rsidTr="002B3130">
        <w:trPr>
          <w:trHeight w:val="765"/>
        </w:trPr>
        <w:tc>
          <w:tcPr>
            <w:tcW w:w="2605" w:type="dxa"/>
            <w:vMerge/>
            <w:shd w:val="pct12" w:color="auto" w:fill="auto"/>
          </w:tcPr>
          <w:p w14:paraId="653BB396" w14:textId="77777777" w:rsidR="007F4F70" w:rsidRPr="003F7F6C" w:rsidRDefault="007F4F70" w:rsidP="002B3130">
            <w:pPr>
              <w:rPr>
                <w:rFonts w:cs="Calibri"/>
                <w:b/>
                <w:bCs/>
                <w:sz w:val="18"/>
                <w:szCs w:val="18"/>
              </w:rPr>
            </w:pPr>
          </w:p>
        </w:tc>
        <w:tc>
          <w:tcPr>
            <w:tcW w:w="2493" w:type="dxa"/>
            <w:vMerge/>
          </w:tcPr>
          <w:p w14:paraId="3E657807" w14:textId="77777777" w:rsidR="007F4F70" w:rsidRPr="003F7F6C" w:rsidRDefault="007F4F70" w:rsidP="002B3130">
            <w:pPr>
              <w:rPr>
                <w:rFonts w:cs="Calibri"/>
                <w:bCs/>
                <w:i/>
                <w:sz w:val="18"/>
                <w:szCs w:val="18"/>
              </w:rPr>
            </w:pPr>
          </w:p>
        </w:tc>
        <w:tc>
          <w:tcPr>
            <w:tcW w:w="2268" w:type="dxa"/>
            <w:vMerge/>
          </w:tcPr>
          <w:p w14:paraId="55BA8C05" w14:textId="77777777" w:rsidR="007F4F70" w:rsidRPr="003F7F6C" w:rsidRDefault="007F4F70" w:rsidP="002B3130">
            <w:pPr>
              <w:rPr>
                <w:rFonts w:cs="Calibri"/>
                <w:bCs/>
                <w:i/>
                <w:sz w:val="18"/>
                <w:szCs w:val="18"/>
              </w:rPr>
            </w:pPr>
          </w:p>
        </w:tc>
        <w:tc>
          <w:tcPr>
            <w:tcW w:w="1956" w:type="dxa"/>
            <w:vMerge/>
          </w:tcPr>
          <w:p w14:paraId="709A6FBC" w14:textId="77777777" w:rsidR="007F4F70" w:rsidRPr="003F7F6C" w:rsidRDefault="007F4F70" w:rsidP="002B3130">
            <w:pPr>
              <w:rPr>
                <w:rFonts w:cs="Calibri"/>
                <w:bCs/>
                <w:i/>
                <w:sz w:val="18"/>
                <w:szCs w:val="18"/>
              </w:rPr>
            </w:pPr>
          </w:p>
        </w:tc>
        <w:tc>
          <w:tcPr>
            <w:tcW w:w="2119" w:type="dxa"/>
            <w:vMerge/>
          </w:tcPr>
          <w:p w14:paraId="6FBD69EB" w14:textId="77777777" w:rsidR="007F4F70" w:rsidRPr="003F7F6C" w:rsidRDefault="007F4F70" w:rsidP="002B3130">
            <w:pPr>
              <w:rPr>
                <w:rFonts w:cs="Calibri"/>
                <w:bCs/>
                <w:i/>
                <w:sz w:val="18"/>
                <w:szCs w:val="18"/>
              </w:rPr>
            </w:pPr>
          </w:p>
        </w:tc>
        <w:tc>
          <w:tcPr>
            <w:tcW w:w="2949" w:type="dxa"/>
          </w:tcPr>
          <w:p w14:paraId="5095487E" w14:textId="77777777" w:rsidR="007F4F70" w:rsidRPr="003F7F6C" w:rsidRDefault="007F4F70" w:rsidP="002B3130">
            <w:pPr>
              <w:rPr>
                <w:rFonts w:cs="Calibri"/>
              </w:rPr>
            </w:pPr>
            <w:r w:rsidRPr="003F7F6C">
              <w:rPr>
                <w:rFonts w:cs="Calibri"/>
              </w:rPr>
              <w:t>Risks:</w:t>
            </w:r>
          </w:p>
          <w:p w14:paraId="0A0AE7D0" w14:textId="77777777" w:rsidR="007F4F70" w:rsidRPr="003F7F6C" w:rsidRDefault="007F4F70" w:rsidP="002B3130">
            <w:pPr>
              <w:jc w:val="left"/>
              <w:rPr>
                <w:rFonts w:cs="Calibri"/>
                <w:sz w:val="18"/>
                <w:szCs w:val="18"/>
              </w:rPr>
            </w:pPr>
            <w:r w:rsidRPr="003F7F6C">
              <w:rPr>
                <w:rFonts w:cs="Calibri"/>
                <w:sz w:val="18"/>
                <w:szCs w:val="18"/>
              </w:rPr>
              <w:t>Lack of political will and weak institutional management in non-pilot provinces reduce the project´s potential for replicability.</w:t>
            </w:r>
          </w:p>
          <w:p w14:paraId="5F6BC877" w14:textId="77777777" w:rsidR="007F4F70" w:rsidRPr="003F7F6C" w:rsidRDefault="007F4F70" w:rsidP="002B3130">
            <w:pPr>
              <w:jc w:val="left"/>
              <w:rPr>
                <w:rFonts w:cs="Calibri"/>
                <w:sz w:val="18"/>
                <w:szCs w:val="18"/>
              </w:rPr>
            </w:pPr>
            <w:r w:rsidRPr="003F7F6C">
              <w:rPr>
                <w:rFonts w:cs="Calibri"/>
                <w:sz w:val="18"/>
                <w:szCs w:val="18"/>
              </w:rPr>
              <w:t xml:space="preserve">Argentina´s </w:t>
            </w:r>
            <w:r w:rsidRPr="003F7F6C">
              <w:rPr>
                <w:sz w:val="18"/>
                <w:szCs w:val="18"/>
              </w:rPr>
              <w:t>financial crisis will affect the amount of funding available for programs that support replication.</w:t>
            </w:r>
          </w:p>
          <w:p w14:paraId="44F65605" w14:textId="77777777" w:rsidR="007F4F70" w:rsidRPr="003F7F6C" w:rsidRDefault="007F4F70" w:rsidP="002B3130">
            <w:pPr>
              <w:rPr>
                <w:rFonts w:cs="Calibri"/>
                <w:sz w:val="18"/>
                <w:szCs w:val="18"/>
              </w:rPr>
            </w:pPr>
          </w:p>
          <w:p w14:paraId="394EE106" w14:textId="77777777" w:rsidR="007F4F70" w:rsidRPr="003F7F6C" w:rsidRDefault="007F4F70" w:rsidP="002B3130">
            <w:pPr>
              <w:rPr>
                <w:rFonts w:cs="Calibri"/>
              </w:rPr>
            </w:pPr>
            <w:r w:rsidRPr="003F7F6C">
              <w:rPr>
                <w:rFonts w:cs="Calibri"/>
              </w:rPr>
              <w:t>Assumptions:</w:t>
            </w:r>
          </w:p>
          <w:p w14:paraId="221B698A" w14:textId="77777777" w:rsidR="007F4F70" w:rsidRPr="003F7F6C" w:rsidRDefault="007F4F70" w:rsidP="002B3130">
            <w:pPr>
              <w:jc w:val="left"/>
              <w:rPr>
                <w:rFonts w:cs="Calibri"/>
                <w:sz w:val="18"/>
                <w:szCs w:val="18"/>
              </w:rPr>
            </w:pPr>
            <w:r w:rsidRPr="003F7F6C">
              <w:rPr>
                <w:rFonts w:cs="Calibri"/>
                <w:sz w:val="18"/>
                <w:szCs w:val="18"/>
              </w:rPr>
              <w:t>Commitment of institutions to mainstream, implement and monitor ELUP processes</w:t>
            </w:r>
          </w:p>
        </w:tc>
      </w:tr>
      <w:tr w:rsidR="007F4F70" w:rsidRPr="003F7F6C" w14:paraId="6F66EB4A" w14:textId="77777777" w:rsidTr="002B3130">
        <w:trPr>
          <w:trHeight w:val="765"/>
        </w:trPr>
        <w:tc>
          <w:tcPr>
            <w:tcW w:w="2605" w:type="dxa"/>
            <w:vMerge/>
            <w:shd w:val="pct12" w:color="auto" w:fill="auto"/>
          </w:tcPr>
          <w:p w14:paraId="48EDDB3A" w14:textId="77777777" w:rsidR="007F4F70" w:rsidRPr="003F7F6C" w:rsidRDefault="007F4F70" w:rsidP="002B3130">
            <w:pPr>
              <w:rPr>
                <w:rFonts w:cs="Calibri"/>
                <w:b/>
                <w:bCs/>
                <w:sz w:val="18"/>
                <w:szCs w:val="18"/>
              </w:rPr>
            </w:pPr>
          </w:p>
        </w:tc>
        <w:tc>
          <w:tcPr>
            <w:tcW w:w="2493" w:type="dxa"/>
            <w:vMerge w:val="restart"/>
          </w:tcPr>
          <w:p w14:paraId="68001FFA" w14:textId="06769205" w:rsidR="007F4F70" w:rsidRPr="003F7F6C" w:rsidRDefault="007F4F70" w:rsidP="009B53ED">
            <w:pPr>
              <w:jc w:val="left"/>
              <w:rPr>
                <w:rFonts w:cs="Calibri"/>
                <w:bCs/>
                <w:i/>
                <w:sz w:val="18"/>
                <w:szCs w:val="18"/>
              </w:rPr>
            </w:pPr>
            <w:r w:rsidRPr="003F7F6C">
              <w:rPr>
                <w:rFonts w:cs="Calibri"/>
                <w:sz w:val="18"/>
                <w:szCs w:val="18"/>
                <w:lang w:val="en-GB"/>
              </w:rPr>
              <w:t>Indicator 1</w:t>
            </w:r>
            <w:r w:rsidR="00993773" w:rsidRPr="003F7F6C">
              <w:rPr>
                <w:rFonts w:cs="Calibri"/>
                <w:sz w:val="18"/>
                <w:szCs w:val="18"/>
                <w:lang w:val="en-GB"/>
              </w:rPr>
              <w:t>3</w:t>
            </w:r>
            <w:r w:rsidRPr="003F7F6C">
              <w:rPr>
                <w:rFonts w:cs="Calibri"/>
                <w:sz w:val="18"/>
                <w:szCs w:val="18"/>
                <w:lang w:val="en-GB"/>
              </w:rPr>
              <w:t xml:space="preserve">: </w:t>
            </w:r>
            <w:r w:rsidRPr="003F7F6C">
              <w:rPr>
                <w:sz w:val="18"/>
                <w:szCs w:val="18"/>
                <w:lang w:val="en-GB"/>
              </w:rPr>
              <w:t>Monitoring of ELUP used to adjust sectoral and financial programming guidance</w:t>
            </w:r>
          </w:p>
        </w:tc>
        <w:tc>
          <w:tcPr>
            <w:tcW w:w="2268" w:type="dxa"/>
            <w:vMerge w:val="restart"/>
          </w:tcPr>
          <w:p w14:paraId="67D7A6D7" w14:textId="77777777" w:rsidR="007F4F70" w:rsidRPr="003F7F6C" w:rsidRDefault="007F4F70" w:rsidP="002B3130">
            <w:pPr>
              <w:rPr>
                <w:rFonts w:cs="Calibri"/>
                <w:bCs/>
                <w:sz w:val="18"/>
                <w:szCs w:val="18"/>
              </w:rPr>
            </w:pPr>
            <w:r w:rsidRPr="003F7F6C">
              <w:rPr>
                <w:rFonts w:cs="Calibri"/>
                <w:bCs/>
                <w:sz w:val="18"/>
                <w:szCs w:val="18"/>
              </w:rPr>
              <w:t>0</w:t>
            </w:r>
          </w:p>
        </w:tc>
        <w:tc>
          <w:tcPr>
            <w:tcW w:w="1956" w:type="dxa"/>
            <w:vMerge w:val="restart"/>
          </w:tcPr>
          <w:p w14:paraId="57286AF5" w14:textId="77777777" w:rsidR="007F4F70" w:rsidRPr="003F7F6C" w:rsidRDefault="007F4F70" w:rsidP="002B3130">
            <w:pPr>
              <w:jc w:val="left"/>
              <w:rPr>
                <w:rFonts w:cs="Calibri"/>
                <w:bCs/>
                <w:sz w:val="18"/>
                <w:szCs w:val="18"/>
              </w:rPr>
            </w:pPr>
            <w:r w:rsidRPr="003F7F6C">
              <w:rPr>
                <w:rFonts w:cs="Calibri"/>
                <w:bCs/>
                <w:sz w:val="18"/>
                <w:szCs w:val="18"/>
              </w:rPr>
              <w:t>System to evaluate and monitor ELUP implementation of ELUP in Argentina designed</w:t>
            </w:r>
          </w:p>
        </w:tc>
        <w:tc>
          <w:tcPr>
            <w:tcW w:w="2119" w:type="dxa"/>
            <w:vMerge w:val="restart"/>
          </w:tcPr>
          <w:p w14:paraId="449C2593" w14:textId="77777777" w:rsidR="007F4F70" w:rsidRPr="003F7F6C" w:rsidRDefault="007F4F70" w:rsidP="002B3130">
            <w:pPr>
              <w:jc w:val="left"/>
              <w:rPr>
                <w:rFonts w:cs="Calibri"/>
                <w:bCs/>
                <w:i/>
                <w:sz w:val="18"/>
                <w:szCs w:val="18"/>
              </w:rPr>
            </w:pPr>
            <w:r w:rsidRPr="003F7F6C">
              <w:rPr>
                <w:rFonts w:cs="Calibri"/>
                <w:bCs/>
                <w:sz w:val="18"/>
                <w:szCs w:val="18"/>
              </w:rPr>
              <w:t>System to evaluate and monitor implementation of ELUP in Argentina functioning in target landscapes and selected non-pilot provinces monitoring ELUP uptake</w:t>
            </w:r>
          </w:p>
        </w:tc>
        <w:tc>
          <w:tcPr>
            <w:tcW w:w="2949" w:type="dxa"/>
          </w:tcPr>
          <w:p w14:paraId="355A59CF" w14:textId="77777777" w:rsidR="007F4F70" w:rsidRPr="003F7F6C" w:rsidRDefault="007F4F70" w:rsidP="002B3130">
            <w:pPr>
              <w:rPr>
                <w:rFonts w:cs="Calibri"/>
                <w:sz w:val="18"/>
                <w:szCs w:val="18"/>
              </w:rPr>
            </w:pPr>
            <w:r w:rsidRPr="003F7F6C">
              <w:rPr>
                <w:rFonts w:cs="Calibri"/>
                <w:sz w:val="18"/>
                <w:szCs w:val="18"/>
              </w:rPr>
              <w:t>Proposal for system design</w:t>
            </w:r>
          </w:p>
          <w:p w14:paraId="66343922" w14:textId="77777777" w:rsidR="007F4F70" w:rsidRPr="003F7F6C" w:rsidRDefault="007F4F70" w:rsidP="002B3130">
            <w:pPr>
              <w:rPr>
                <w:rFonts w:cs="Calibri"/>
                <w:sz w:val="18"/>
                <w:szCs w:val="18"/>
              </w:rPr>
            </w:pPr>
            <w:r w:rsidRPr="003F7F6C">
              <w:rPr>
                <w:rFonts w:cs="Calibri"/>
                <w:sz w:val="18"/>
                <w:szCs w:val="18"/>
              </w:rPr>
              <w:t>Reports produced by the system</w:t>
            </w:r>
          </w:p>
          <w:p w14:paraId="7C80AC82" w14:textId="77777777" w:rsidR="007F4F70" w:rsidRPr="003F7F6C" w:rsidRDefault="007F4F70" w:rsidP="002B3130">
            <w:pPr>
              <w:rPr>
                <w:rFonts w:cs="Calibri"/>
                <w:sz w:val="18"/>
                <w:szCs w:val="18"/>
              </w:rPr>
            </w:pPr>
            <w:r w:rsidRPr="003F7F6C">
              <w:rPr>
                <w:rFonts w:cs="Calibri"/>
                <w:sz w:val="18"/>
                <w:szCs w:val="18"/>
              </w:rPr>
              <w:t>User statistics</w:t>
            </w:r>
          </w:p>
        </w:tc>
      </w:tr>
      <w:tr w:rsidR="007F4F70" w:rsidRPr="003F7F6C" w14:paraId="09240CFC" w14:textId="77777777" w:rsidTr="002B3130">
        <w:trPr>
          <w:trHeight w:val="765"/>
        </w:trPr>
        <w:tc>
          <w:tcPr>
            <w:tcW w:w="2605" w:type="dxa"/>
            <w:vMerge/>
            <w:shd w:val="pct12" w:color="auto" w:fill="auto"/>
          </w:tcPr>
          <w:p w14:paraId="5A5D5DA8" w14:textId="77777777" w:rsidR="007F4F70" w:rsidRPr="003F7F6C" w:rsidRDefault="007F4F70" w:rsidP="002B3130">
            <w:pPr>
              <w:rPr>
                <w:rFonts w:cs="Calibri"/>
                <w:b/>
                <w:bCs/>
                <w:sz w:val="18"/>
                <w:szCs w:val="18"/>
              </w:rPr>
            </w:pPr>
          </w:p>
        </w:tc>
        <w:tc>
          <w:tcPr>
            <w:tcW w:w="2493" w:type="dxa"/>
            <w:vMerge/>
          </w:tcPr>
          <w:p w14:paraId="4ADEE5E6" w14:textId="77777777" w:rsidR="007F4F70" w:rsidRPr="003F7F6C" w:rsidRDefault="007F4F70" w:rsidP="002B3130">
            <w:pPr>
              <w:rPr>
                <w:rFonts w:cs="Calibri"/>
                <w:sz w:val="18"/>
                <w:szCs w:val="18"/>
                <w:lang w:val="en-GB"/>
              </w:rPr>
            </w:pPr>
          </w:p>
        </w:tc>
        <w:tc>
          <w:tcPr>
            <w:tcW w:w="2268" w:type="dxa"/>
            <w:vMerge/>
          </w:tcPr>
          <w:p w14:paraId="642689A9" w14:textId="77777777" w:rsidR="007F4F70" w:rsidRPr="003F7F6C" w:rsidRDefault="007F4F70" w:rsidP="002B3130">
            <w:pPr>
              <w:rPr>
                <w:rFonts w:cs="Calibri"/>
                <w:bCs/>
                <w:sz w:val="18"/>
                <w:szCs w:val="18"/>
              </w:rPr>
            </w:pPr>
          </w:p>
        </w:tc>
        <w:tc>
          <w:tcPr>
            <w:tcW w:w="1956" w:type="dxa"/>
            <w:vMerge/>
          </w:tcPr>
          <w:p w14:paraId="357C01D2" w14:textId="77777777" w:rsidR="007F4F70" w:rsidRPr="003F7F6C" w:rsidRDefault="007F4F70" w:rsidP="002B3130">
            <w:pPr>
              <w:jc w:val="left"/>
              <w:rPr>
                <w:rFonts w:cs="Calibri"/>
                <w:bCs/>
                <w:sz w:val="18"/>
                <w:szCs w:val="18"/>
              </w:rPr>
            </w:pPr>
          </w:p>
        </w:tc>
        <w:tc>
          <w:tcPr>
            <w:tcW w:w="2119" w:type="dxa"/>
            <w:vMerge/>
          </w:tcPr>
          <w:p w14:paraId="715E9E91" w14:textId="77777777" w:rsidR="007F4F70" w:rsidRPr="003F7F6C" w:rsidRDefault="007F4F70" w:rsidP="002B3130">
            <w:pPr>
              <w:jc w:val="left"/>
              <w:rPr>
                <w:rFonts w:cs="Calibri"/>
                <w:bCs/>
                <w:sz w:val="18"/>
                <w:szCs w:val="18"/>
              </w:rPr>
            </w:pPr>
          </w:p>
        </w:tc>
        <w:tc>
          <w:tcPr>
            <w:tcW w:w="2949" w:type="dxa"/>
          </w:tcPr>
          <w:p w14:paraId="55F6133D" w14:textId="77777777" w:rsidR="007F4F70" w:rsidRPr="003F7F6C" w:rsidRDefault="007F4F70" w:rsidP="002B3130">
            <w:pPr>
              <w:rPr>
                <w:rFonts w:cs="Calibri"/>
                <w:sz w:val="18"/>
                <w:szCs w:val="18"/>
              </w:rPr>
            </w:pPr>
          </w:p>
          <w:p w14:paraId="5C4D0105" w14:textId="77777777" w:rsidR="007F4F70" w:rsidRPr="003F7F6C" w:rsidRDefault="007F4F70" w:rsidP="002B3130">
            <w:pPr>
              <w:rPr>
                <w:rFonts w:cs="Calibri"/>
                <w:sz w:val="18"/>
                <w:szCs w:val="18"/>
              </w:rPr>
            </w:pPr>
            <w:r w:rsidRPr="003F7F6C">
              <w:rPr>
                <w:rFonts w:cs="Calibri"/>
                <w:sz w:val="18"/>
                <w:szCs w:val="18"/>
              </w:rPr>
              <w:t>Assumptions:</w:t>
            </w:r>
          </w:p>
          <w:p w14:paraId="112D124F" w14:textId="77777777" w:rsidR="007F4F70" w:rsidRPr="003F7F6C" w:rsidRDefault="007F4F70" w:rsidP="002B3130">
            <w:pPr>
              <w:rPr>
                <w:rFonts w:cs="Calibri"/>
                <w:sz w:val="18"/>
                <w:szCs w:val="18"/>
              </w:rPr>
            </w:pPr>
            <w:r w:rsidRPr="003F7F6C">
              <w:rPr>
                <w:rFonts w:cs="Calibri"/>
                <w:sz w:val="18"/>
                <w:szCs w:val="18"/>
              </w:rPr>
              <w:t>Commitment of institutions to mainstream, implement and monitor ELUP processes</w:t>
            </w:r>
          </w:p>
        </w:tc>
      </w:tr>
      <w:tr w:rsidR="007F4F70" w:rsidRPr="003F7F6C" w14:paraId="4F1D13EA" w14:textId="77777777" w:rsidTr="002B3130">
        <w:trPr>
          <w:trHeight w:val="765"/>
        </w:trPr>
        <w:tc>
          <w:tcPr>
            <w:tcW w:w="2605" w:type="dxa"/>
            <w:vMerge/>
            <w:shd w:val="pct12" w:color="auto" w:fill="auto"/>
          </w:tcPr>
          <w:p w14:paraId="4712E06F" w14:textId="77777777" w:rsidR="007F4F70" w:rsidRPr="003F7F6C" w:rsidRDefault="007F4F70" w:rsidP="002B3130">
            <w:pPr>
              <w:rPr>
                <w:rFonts w:cs="Calibri"/>
                <w:b/>
                <w:bCs/>
                <w:sz w:val="18"/>
                <w:szCs w:val="18"/>
              </w:rPr>
            </w:pPr>
          </w:p>
        </w:tc>
        <w:tc>
          <w:tcPr>
            <w:tcW w:w="2493" w:type="dxa"/>
            <w:vMerge w:val="restart"/>
          </w:tcPr>
          <w:p w14:paraId="3A38E7B4" w14:textId="0DCC7667" w:rsidR="007F4F70" w:rsidRPr="003F7F6C" w:rsidRDefault="007F4F70" w:rsidP="002B3130">
            <w:pPr>
              <w:jc w:val="left"/>
              <w:rPr>
                <w:rFonts w:cs="Calibri"/>
                <w:sz w:val="18"/>
                <w:szCs w:val="18"/>
                <w:lang w:val="en-GB"/>
              </w:rPr>
            </w:pPr>
            <w:r w:rsidRPr="003F7F6C">
              <w:rPr>
                <w:rFonts w:cs="Calibri"/>
                <w:sz w:val="18"/>
                <w:szCs w:val="18"/>
                <w:lang w:val="en-GB"/>
              </w:rPr>
              <w:t>Indicator 1</w:t>
            </w:r>
            <w:r w:rsidR="00993773" w:rsidRPr="003F7F6C">
              <w:rPr>
                <w:rFonts w:cs="Calibri"/>
                <w:sz w:val="18"/>
                <w:szCs w:val="18"/>
                <w:lang w:val="en-GB"/>
              </w:rPr>
              <w:t>4</w:t>
            </w:r>
            <w:r w:rsidRPr="003F7F6C">
              <w:rPr>
                <w:rFonts w:cs="Calibri"/>
                <w:sz w:val="18"/>
                <w:szCs w:val="18"/>
                <w:lang w:val="en-GB"/>
              </w:rPr>
              <w:t>: Level of improvement in knowledge, aptitudes and practices (KAP) in ELUP, ES, sustainable production and other key issues at national and provincial levels measured through surveys in Year 1 and Year 6 (including gender disaggregated data) as a result of capacity building programs on ELUP</w:t>
            </w:r>
          </w:p>
        </w:tc>
        <w:tc>
          <w:tcPr>
            <w:tcW w:w="2268" w:type="dxa"/>
            <w:vMerge w:val="restart"/>
          </w:tcPr>
          <w:p w14:paraId="341DB504" w14:textId="77777777" w:rsidR="007F4F70" w:rsidRPr="003F7F6C" w:rsidRDefault="007F4F70" w:rsidP="009B53ED">
            <w:pPr>
              <w:jc w:val="left"/>
              <w:rPr>
                <w:rFonts w:cs="Calibri"/>
                <w:bCs/>
                <w:sz w:val="18"/>
                <w:szCs w:val="18"/>
              </w:rPr>
            </w:pPr>
            <w:r w:rsidRPr="003F7F6C">
              <w:rPr>
                <w:rFonts w:cs="Calibri"/>
                <w:bCs/>
                <w:sz w:val="18"/>
                <w:szCs w:val="18"/>
              </w:rPr>
              <w:t>KAP survey in PY1. Baseline</w:t>
            </w:r>
            <w:r w:rsidR="009B53ED" w:rsidRPr="003F7F6C">
              <w:rPr>
                <w:rFonts w:cs="Calibri"/>
                <w:bCs/>
                <w:sz w:val="18"/>
                <w:szCs w:val="18"/>
              </w:rPr>
              <w:t xml:space="preserve"> and targets</w:t>
            </w:r>
            <w:r w:rsidRPr="003F7F6C">
              <w:rPr>
                <w:rFonts w:cs="Calibri"/>
                <w:bCs/>
                <w:sz w:val="18"/>
                <w:szCs w:val="18"/>
              </w:rPr>
              <w:t xml:space="preserve"> </w:t>
            </w:r>
            <w:r w:rsidR="00374815" w:rsidRPr="003F7F6C">
              <w:rPr>
                <w:rFonts w:cs="Calibri"/>
                <w:bCs/>
                <w:sz w:val="18"/>
                <w:szCs w:val="18"/>
              </w:rPr>
              <w:t>to be</w:t>
            </w:r>
            <w:r w:rsidRPr="003F7F6C">
              <w:rPr>
                <w:rFonts w:cs="Calibri"/>
                <w:bCs/>
                <w:sz w:val="18"/>
                <w:szCs w:val="18"/>
              </w:rPr>
              <w:t xml:space="preserve"> established.</w:t>
            </w:r>
          </w:p>
        </w:tc>
        <w:tc>
          <w:tcPr>
            <w:tcW w:w="1956" w:type="dxa"/>
            <w:vMerge w:val="restart"/>
          </w:tcPr>
          <w:p w14:paraId="72B61F02" w14:textId="77777777" w:rsidR="007F4F70" w:rsidRPr="003F7F6C" w:rsidRDefault="007F4F70" w:rsidP="002B3130">
            <w:pPr>
              <w:rPr>
                <w:rFonts w:cs="Calibri"/>
                <w:bCs/>
                <w:i/>
                <w:sz w:val="18"/>
                <w:szCs w:val="18"/>
              </w:rPr>
            </w:pPr>
          </w:p>
        </w:tc>
        <w:tc>
          <w:tcPr>
            <w:tcW w:w="2119" w:type="dxa"/>
            <w:vMerge w:val="restart"/>
          </w:tcPr>
          <w:p w14:paraId="4FD097A5" w14:textId="77777777" w:rsidR="007F4F70" w:rsidRPr="003F7F6C" w:rsidRDefault="007F4F70" w:rsidP="009B53ED">
            <w:pPr>
              <w:jc w:val="left"/>
              <w:rPr>
                <w:rFonts w:cs="Calibri"/>
                <w:bCs/>
                <w:sz w:val="18"/>
                <w:szCs w:val="18"/>
              </w:rPr>
            </w:pPr>
            <w:r w:rsidRPr="003F7F6C">
              <w:rPr>
                <w:rFonts w:cs="Calibri"/>
                <w:bCs/>
                <w:sz w:val="18"/>
                <w:szCs w:val="18"/>
              </w:rPr>
              <w:t xml:space="preserve">KAP survey </w:t>
            </w:r>
            <w:r w:rsidR="00374815" w:rsidRPr="003F7F6C">
              <w:rPr>
                <w:rFonts w:cs="Calibri"/>
                <w:bCs/>
                <w:sz w:val="18"/>
                <w:szCs w:val="18"/>
              </w:rPr>
              <w:t>(target in terms of improved knowledge to be determined in PY1)</w:t>
            </w:r>
          </w:p>
        </w:tc>
        <w:tc>
          <w:tcPr>
            <w:tcW w:w="2949" w:type="dxa"/>
          </w:tcPr>
          <w:p w14:paraId="105681F7" w14:textId="77777777" w:rsidR="007F4F70" w:rsidRPr="003F7F6C" w:rsidRDefault="007F4F70" w:rsidP="002B3130">
            <w:pPr>
              <w:rPr>
                <w:rFonts w:cs="Calibri"/>
                <w:sz w:val="18"/>
                <w:szCs w:val="18"/>
              </w:rPr>
            </w:pPr>
            <w:r w:rsidRPr="003F7F6C">
              <w:rPr>
                <w:rFonts w:cs="Calibri"/>
                <w:sz w:val="18"/>
                <w:szCs w:val="18"/>
              </w:rPr>
              <w:t>Periodic project monitoring</w:t>
            </w:r>
          </w:p>
          <w:p w14:paraId="61C49F38" w14:textId="77777777" w:rsidR="007F4F70" w:rsidRPr="003F7F6C" w:rsidRDefault="007F4F70" w:rsidP="002B3130">
            <w:pPr>
              <w:rPr>
                <w:rFonts w:cs="Calibri"/>
              </w:rPr>
            </w:pPr>
            <w:r w:rsidRPr="003F7F6C">
              <w:rPr>
                <w:rFonts w:cs="Calibri"/>
                <w:sz w:val="18"/>
                <w:szCs w:val="18"/>
              </w:rPr>
              <w:t>KAP surveys</w:t>
            </w:r>
          </w:p>
        </w:tc>
      </w:tr>
      <w:tr w:rsidR="007F4F70" w:rsidRPr="003F7F6C" w14:paraId="629CA01E" w14:textId="77777777" w:rsidTr="002B3130">
        <w:trPr>
          <w:trHeight w:val="274"/>
        </w:trPr>
        <w:tc>
          <w:tcPr>
            <w:tcW w:w="2605" w:type="dxa"/>
            <w:vMerge/>
            <w:shd w:val="pct12" w:color="auto" w:fill="auto"/>
          </w:tcPr>
          <w:p w14:paraId="2991D96B" w14:textId="77777777" w:rsidR="007F4F70" w:rsidRPr="003F7F6C" w:rsidRDefault="007F4F70" w:rsidP="002B3130">
            <w:pPr>
              <w:rPr>
                <w:rFonts w:cs="Calibri"/>
                <w:b/>
                <w:bCs/>
                <w:sz w:val="18"/>
                <w:szCs w:val="18"/>
              </w:rPr>
            </w:pPr>
          </w:p>
        </w:tc>
        <w:tc>
          <w:tcPr>
            <w:tcW w:w="2493" w:type="dxa"/>
            <w:vMerge/>
          </w:tcPr>
          <w:p w14:paraId="5B4E9671" w14:textId="77777777" w:rsidR="007F4F70" w:rsidRPr="003F7F6C" w:rsidRDefault="007F4F70" w:rsidP="002B3130">
            <w:pPr>
              <w:rPr>
                <w:rFonts w:cs="Calibri"/>
                <w:bCs/>
                <w:i/>
                <w:sz w:val="18"/>
                <w:szCs w:val="18"/>
              </w:rPr>
            </w:pPr>
          </w:p>
        </w:tc>
        <w:tc>
          <w:tcPr>
            <w:tcW w:w="2268" w:type="dxa"/>
            <w:vMerge/>
          </w:tcPr>
          <w:p w14:paraId="70EE4C35" w14:textId="77777777" w:rsidR="007F4F70" w:rsidRPr="003F7F6C" w:rsidRDefault="007F4F70" w:rsidP="002B3130">
            <w:pPr>
              <w:rPr>
                <w:rFonts w:cs="Calibri"/>
                <w:bCs/>
                <w:i/>
                <w:sz w:val="18"/>
                <w:szCs w:val="18"/>
              </w:rPr>
            </w:pPr>
          </w:p>
        </w:tc>
        <w:tc>
          <w:tcPr>
            <w:tcW w:w="1956" w:type="dxa"/>
            <w:vMerge/>
          </w:tcPr>
          <w:p w14:paraId="00EE8152" w14:textId="77777777" w:rsidR="007F4F70" w:rsidRPr="003F7F6C" w:rsidRDefault="007F4F70" w:rsidP="002B3130">
            <w:pPr>
              <w:rPr>
                <w:rFonts w:cs="Calibri"/>
                <w:bCs/>
                <w:i/>
                <w:sz w:val="18"/>
                <w:szCs w:val="18"/>
              </w:rPr>
            </w:pPr>
          </w:p>
        </w:tc>
        <w:tc>
          <w:tcPr>
            <w:tcW w:w="2119" w:type="dxa"/>
            <w:vMerge/>
          </w:tcPr>
          <w:p w14:paraId="58E3E833" w14:textId="77777777" w:rsidR="007F4F70" w:rsidRPr="003F7F6C" w:rsidRDefault="007F4F70" w:rsidP="002B3130">
            <w:pPr>
              <w:rPr>
                <w:rFonts w:cs="Calibri"/>
                <w:bCs/>
                <w:i/>
                <w:sz w:val="18"/>
                <w:szCs w:val="18"/>
              </w:rPr>
            </w:pPr>
          </w:p>
        </w:tc>
        <w:tc>
          <w:tcPr>
            <w:tcW w:w="2949" w:type="dxa"/>
          </w:tcPr>
          <w:p w14:paraId="3A4FDC52" w14:textId="77777777" w:rsidR="007F4F70" w:rsidRPr="003F7F6C" w:rsidRDefault="007F4F70" w:rsidP="002B3130">
            <w:pPr>
              <w:rPr>
                <w:rFonts w:cs="Calibri"/>
              </w:rPr>
            </w:pPr>
          </w:p>
          <w:p w14:paraId="24C41B65" w14:textId="77777777" w:rsidR="007F4F70" w:rsidRPr="003F7F6C" w:rsidRDefault="007F4F70" w:rsidP="002B3130">
            <w:pPr>
              <w:rPr>
                <w:rFonts w:cs="Calibri"/>
                <w:sz w:val="18"/>
                <w:szCs w:val="18"/>
              </w:rPr>
            </w:pPr>
            <w:r w:rsidRPr="003F7F6C">
              <w:rPr>
                <w:rFonts w:cs="Calibri"/>
                <w:sz w:val="18"/>
                <w:szCs w:val="18"/>
              </w:rPr>
              <w:t>Assumptions:</w:t>
            </w:r>
          </w:p>
          <w:p w14:paraId="125BB0DC" w14:textId="77777777" w:rsidR="007F4F70" w:rsidRPr="003F7F6C" w:rsidRDefault="007F4F70" w:rsidP="002B3130">
            <w:pPr>
              <w:rPr>
                <w:rFonts w:cs="Calibri"/>
              </w:rPr>
            </w:pPr>
            <w:r w:rsidRPr="003F7F6C">
              <w:rPr>
                <w:rFonts w:cs="Calibri"/>
                <w:sz w:val="18"/>
                <w:szCs w:val="18"/>
              </w:rPr>
              <w:t>Institutions engage in ELUP capacity building and ELUP processes upscaling project lessons and experiences</w:t>
            </w:r>
          </w:p>
        </w:tc>
      </w:tr>
      <w:tr w:rsidR="007F4F70" w:rsidRPr="003F7F6C" w14:paraId="67299FD0" w14:textId="77777777" w:rsidTr="002B3130">
        <w:trPr>
          <w:trHeight w:val="765"/>
        </w:trPr>
        <w:tc>
          <w:tcPr>
            <w:tcW w:w="2605" w:type="dxa"/>
            <w:vMerge w:val="restart"/>
            <w:shd w:val="pct12" w:color="auto" w:fill="auto"/>
          </w:tcPr>
          <w:p w14:paraId="2DB78195" w14:textId="77777777" w:rsidR="007F4F70" w:rsidRPr="003F7F6C" w:rsidRDefault="0012298E" w:rsidP="002B3130">
            <w:pPr>
              <w:rPr>
                <w:rFonts w:cs="Calibri"/>
                <w:b/>
                <w:bCs/>
                <w:sz w:val="18"/>
                <w:szCs w:val="18"/>
              </w:rPr>
            </w:pPr>
            <w:r w:rsidRPr="003F7F6C">
              <w:rPr>
                <w:rFonts w:cs="Calibri"/>
                <w:b/>
                <w:bCs/>
                <w:sz w:val="18"/>
                <w:szCs w:val="18"/>
              </w:rPr>
              <w:t xml:space="preserve">Outcome </w:t>
            </w:r>
            <w:r w:rsidR="007F4F70" w:rsidRPr="003F7F6C">
              <w:rPr>
                <w:rFonts w:cs="Calibri"/>
                <w:b/>
                <w:bCs/>
                <w:sz w:val="18"/>
                <w:szCs w:val="18"/>
              </w:rPr>
              <w:t>4</w:t>
            </w:r>
          </w:p>
          <w:p w14:paraId="73F2ED12" w14:textId="77777777" w:rsidR="007F4F70" w:rsidRPr="003F7F6C" w:rsidRDefault="007F4F70" w:rsidP="002B3130">
            <w:pPr>
              <w:rPr>
                <w:rFonts w:cs="Calibri"/>
                <w:bCs/>
                <w:sz w:val="18"/>
                <w:szCs w:val="18"/>
              </w:rPr>
            </w:pPr>
            <w:r w:rsidRPr="003F7F6C">
              <w:rPr>
                <w:rFonts w:cs="Calibri"/>
                <w:bCs/>
                <w:sz w:val="18"/>
                <w:szCs w:val="18"/>
              </w:rPr>
              <w:t>Dissemination of lessons learned and monitoring and evaluation</w:t>
            </w:r>
          </w:p>
        </w:tc>
        <w:tc>
          <w:tcPr>
            <w:tcW w:w="2493" w:type="dxa"/>
            <w:vMerge w:val="restart"/>
          </w:tcPr>
          <w:p w14:paraId="497DB15E" w14:textId="77E703D0" w:rsidR="007F4F70" w:rsidRPr="003F7F6C" w:rsidRDefault="007F4F70" w:rsidP="002B3130">
            <w:pPr>
              <w:jc w:val="left"/>
              <w:rPr>
                <w:rFonts w:cs="Calibri"/>
                <w:sz w:val="18"/>
                <w:szCs w:val="18"/>
              </w:rPr>
            </w:pPr>
            <w:r w:rsidRPr="003F7F6C">
              <w:rPr>
                <w:rFonts w:cs="Calibri"/>
                <w:sz w:val="18"/>
                <w:szCs w:val="18"/>
              </w:rPr>
              <w:t>Indicator 1</w:t>
            </w:r>
            <w:r w:rsidR="00993773" w:rsidRPr="003F7F6C">
              <w:rPr>
                <w:rFonts w:cs="Calibri"/>
                <w:sz w:val="18"/>
                <w:szCs w:val="18"/>
              </w:rPr>
              <w:t>5</w:t>
            </w:r>
            <w:r w:rsidRPr="003F7F6C">
              <w:rPr>
                <w:rFonts w:cs="Calibri"/>
                <w:sz w:val="18"/>
                <w:szCs w:val="18"/>
              </w:rPr>
              <w:t>: Knowledge effectively managed in support of ELUP, measured through:</w:t>
            </w:r>
          </w:p>
          <w:p w14:paraId="760A374A" w14:textId="77777777" w:rsidR="007F4F70" w:rsidRPr="003F7F6C" w:rsidRDefault="007F4F70" w:rsidP="002B3130">
            <w:pPr>
              <w:jc w:val="left"/>
              <w:rPr>
                <w:rFonts w:cs="Calibri"/>
                <w:sz w:val="18"/>
                <w:szCs w:val="18"/>
              </w:rPr>
            </w:pPr>
            <w:r w:rsidRPr="003F7F6C">
              <w:rPr>
                <w:rFonts w:cs="Calibri"/>
                <w:sz w:val="18"/>
                <w:szCs w:val="18"/>
              </w:rPr>
              <w:t xml:space="preserve">a) Number and type of </w:t>
            </w:r>
            <w:r w:rsidR="00374815" w:rsidRPr="003F7F6C">
              <w:rPr>
                <w:rFonts w:cs="Calibri"/>
                <w:sz w:val="18"/>
                <w:szCs w:val="18"/>
              </w:rPr>
              <w:t xml:space="preserve">project </w:t>
            </w:r>
            <w:r w:rsidRPr="003F7F6C">
              <w:rPr>
                <w:rFonts w:cs="Calibri"/>
                <w:bCs/>
                <w:sz w:val="18"/>
                <w:szCs w:val="18"/>
              </w:rPr>
              <w:t>knowledge products and publications on best practices and lessons learned</w:t>
            </w:r>
            <w:r w:rsidRPr="003F7F6C">
              <w:rPr>
                <w:rFonts w:cs="Calibri"/>
                <w:sz w:val="18"/>
                <w:szCs w:val="18"/>
              </w:rPr>
              <w:t xml:space="preserve"> (at least 1 on gender) disseminated</w:t>
            </w:r>
          </w:p>
          <w:p w14:paraId="00F8116A" w14:textId="77777777" w:rsidR="007F4F70" w:rsidRPr="003F7F6C" w:rsidRDefault="007F4F70" w:rsidP="002B3130">
            <w:pPr>
              <w:jc w:val="left"/>
              <w:rPr>
                <w:rFonts w:cs="Calibri"/>
                <w:bCs/>
                <w:sz w:val="18"/>
                <w:szCs w:val="18"/>
              </w:rPr>
            </w:pPr>
            <w:r w:rsidRPr="003F7F6C">
              <w:rPr>
                <w:rFonts w:cs="Calibri"/>
                <w:bCs/>
                <w:sz w:val="18"/>
                <w:szCs w:val="18"/>
              </w:rPr>
              <w:t>b) Number of institutions at federal and provincial levels that receive project publications and communications products aimed at improving knowledge and practices on ELUP</w:t>
            </w:r>
          </w:p>
          <w:p w14:paraId="47C0C8FA" w14:textId="77777777" w:rsidR="007F4F70" w:rsidRPr="003F7F6C" w:rsidRDefault="007F4F70" w:rsidP="002B3130">
            <w:pPr>
              <w:rPr>
                <w:rFonts w:cs="Calibri"/>
                <w:bCs/>
                <w:sz w:val="18"/>
                <w:szCs w:val="18"/>
              </w:rPr>
            </w:pPr>
          </w:p>
        </w:tc>
        <w:tc>
          <w:tcPr>
            <w:tcW w:w="2268" w:type="dxa"/>
            <w:vMerge w:val="restart"/>
            <w:shd w:val="clear" w:color="auto" w:fill="auto"/>
          </w:tcPr>
          <w:p w14:paraId="49EB04E0" w14:textId="77777777" w:rsidR="007F4F70" w:rsidRPr="003F7F6C" w:rsidRDefault="008E7546" w:rsidP="002B3130">
            <w:pPr>
              <w:rPr>
                <w:rFonts w:cs="Calibri"/>
                <w:bCs/>
                <w:sz w:val="18"/>
                <w:szCs w:val="18"/>
              </w:rPr>
            </w:pPr>
            <w:r w:rsidRPr="003F7F6C">
              <w:rPr>
                <w:rFonts w:cs="Calibri"/>
                <w:bCs/>
                <w:sz w:val="18"/>
                <w:szCs w:val="18"/>
              </w:rPr>
              <w:t>0</w:t>
            </w:r>
          </w:p>
        </w:tc>
        <w:tc>
          <w:tcPr>
            <w:tcW w:w="1956" w:type="dxa"/>
            <w:vMerge w:val="restart"/>
          </w:tcPr>
          <w:p w14:paraId="5826D373" w14:textId="77777777" w:rsidR="007F4F70" w:rsidRPr="003F7F6C" w:rsidRDefault="007F4F70" w:rsidP="002B3130">
            <w:pPr>
              <w:rPr>
                <w:rFonts w:cs="Calibri"/>
                <w:bCs/>
                <w:sz w:val="18"/>
                <w:szCs w:val="18"/>
              </w:rPr>
            </w:pPr>
            <w:r w:rsidRPr="003F7F6C">
              <w:rPr>
                <w:rFonts w:cs="Calibri"/>
                <w:bCs/>
                <w:sz w:val="18"/>
                <w:szCs w:val="18"/>
              </w:rPr>
              <w:t>a) 6</w:t>
            </w:r>
          </w:p>
          <w:p w14:paraId="648AC6F4" w14:textId="77777777" w:rsidR="007F4F70" w:rsidRPr="003F7F6C" w:rsidRDefault="007F4F70" w:rsidP="002B3130">
            <w:pPr>
              <w:rPr>
                <w:rFonts w:cs="Calibri"/>
                <w:bCs/>
                <w:sz w:val="18"/>
                <w:szCs w:val="18"/>
              </w:rPr>
            </w:pPr>
          </w:p>
          <w:p w14:paraId="3AFF7939" w14:textId="77777777" w:rsidR="007F4F70" w:rsidRPr="003F7F6C" w:rsidRDefault="007F4F70" w:rsidP="002B3130">
            <w:pPr>
              <w:rPr>
                <w:rFonts w:cs="Calibri"/>
                <w:bCs/>
                <w:sz w:val="18"/>
                <w:szCs w:val="18"/>
              </w:rPr>
            </w:pPr>
            <w:r w:rsidRPr="003F7F6C">
              <w:rPr>
                <w:rFonts w:cs="Calibri"/>
                <w:bCs/>
                <w:sz w:val="18"/>
                <w:szCs w:val="18"/>
              </w:rPr>
              <w:t>b) At least 50</w:t>
            </w:r>
          </w:p>
          <w:p w14:paraId="75DA5FD6" w14:textId="77777777" w:rsidR="007F4F70" w:rsidRPr="003F7F6C" w:rsidRDefault="007F4F70" w:rsidP="002B3130">
            <w:pPr>
              <w:rPr>
                <w:rFonts w:cs="Calibri"/>
                <w:bCs/>
                <w:sz w:val="18"/>
                <w:szCs w:val="18"/>
              </w:rPr>
            </w:pPr>
          </w:p>
          <w:p w14:paraId="559B96AB" w14:textId="77777777" w:rsidR="007F4F70" w:rsidRPr="003F7F6C" w:rsidRDefault="007F4F70" w:rsidP="002B3130">
            <w:pPr>
              <w:rPr>
                <w:rFonts w:cs="Calibri"/>
                <w:bCs/>
                <w:sz w:val="18"/>
                <w:szCs w:val="18"/>
              </w:rPr>
            </w:pPr>
          </w:p>
        </w:tc>
        <w:tc>
          <w:tcPr>
            <w:tcW w:w="2119" w:type="dxa"/>
            <w:vMerge w:val="restart"/>
          </w:tcPr>
          <w:p w14:paraId="4CEFF6C3" w14:textId="77777777" w:rsidR="009B53ED" w:rsidRPr="003F7F6C" w:rsidRDefault="007F4F70" w:rsidP="009B53ED">
            <w:pPr>
              <w:rPr>
                <w:rFonts w:cs="Calibri"/>
                <w:bCs/>
                <w:sz w:val="18"/>
                <w:szCs w:val="18"/>
              </w:rPr>
            </w:pPr>
            <w:r w:rsidRPr="003F7F6C">
              <w:rPr>
                <w:rFonts w:cs="Calibri"/>
                <w:bCs/>
                <w:sz w:val="18"/>
                <w:szCs w:val="18"/>
              </w:rPr>
              <w:t xml:space="preserve">15 </w:t>
            </w:r>
          </w:p>
          <w:p w14:paraId="2CDA6C1C" w14:textId="77777777" w:rsidR="009B53ED" w:rsidRPr="003F7F6C" w:rsidRDefault="00374815" w:rsidP="009B53ED">
            <w:pPr>
              <w:jc w:val="left"/>
              <w:rPr>
                <w:rFonts w:cs="Calibri"/>
                <w:bCs/>
                <w:sz w:val="18"/>
                <w:szCs w:val="18"/>
              </w:rPr>
            </w:pPr>
            <w:r w:rsidRPr="003F7F6C">
              <w:rPr>
                <w:rFonts w:cs="Calibri"/>
                <w:bCs/>
                <w:sz w:val="18"/>
                <w:szCs w:val="18"/>
              </w:rPr>
              <w:t>(</w:t>
            </w:r>
            <w:r w:rsidR="009B53ED" w:rsidRPr="003F7F6C">
              <w:rPr>
                <w:rFonts w:cs="Calibri"/>
                <w:bCs/>
                <w:sz w:val="18"/>
                <w:szCs w:val="18"/>
              </w:rPr>
              <w:t>e.g. i) annual reports, newsletters; ii) lessons/case studies on: best BD/SLM practices, ELUP in provinces, gender mainstreaming, dialogue platforms and participation; iii) ELUP methodological guidelines at national and provincial levels)</w:t>
            </w:r>
          </w:p>
          <w:p w14:paraId="52723CC5" w14:textId="77777777" w:rsidR="007F4F70" w:rsidRPr="003F7F6C" w:rsidRDefault="007F4F70" w:rsidP="002B3130">
            <w:pPr>
              <w:rPr>
                <w:rFonts w:cs="Calibri"/>
                <w:bCs/>
                <w:sz w:val="18"/>
                <w:szCs w:val="18"/>
              </w:rPr>
            </w:pPr>
          </w:p>
          <w:p w14:paraId="0392402A" w14:textId="77777777" w:rsidR="007F4F70" w:rsidRPr="003F7F6C" w:rsidRDefault="007F4F70" w:rsidP="002B3130">
            <w:pPr>
              <w:rPr>
                <w:rFonts w:cs="Calibri"/>
                <w:bCs/>
                <w:sz w:val="18"/>
                <w:szCs w:val="18"/>
              </w:rPr>
            </w:pPr>
            <w:r w:rsidRPr="003F7F6C">
              <w:rPr>
                <w:rFonts w:cs="Calibri"/>
                <w:bCs/>
                <w:sz w:val="18"/>
                <w:szCs w:val="18"/>
              </w:rPr>
              <w:t>b) At least 70</w:t>
            </w:r>
          </w:p>
          <w:p w14:paraId="1CB442A2" w14:textId="77777777" w:rsidR="009B53ED" w:rsidRPr="003F7F6C" w:rsidRDefault="009B53ED" w:rsidP="009B53ED">
            <w:pPr>
              <w:jc w:val="left"/>
              <w:rPr>
                <w:rFonts w:cs="Calibri"/>
                <w:bCs/>
                <w:sz w:val="18"/>
                <w:szCs w:val="18"/>
              </w:rPr>
            </w:pPr>
            <w:r w:rsidRPr="003F7F6C">
              <w:rPr>
                <w:rFonts w:cs="Calibri"/>
                <w:bCs/>
                <w:sz w:val="18"/>
                <w:szCs w:val="18"/>
              </w:rPr>
              <w:t>(government, private sector, CSOs)</w:t>
            </w:r>
          </w:p>
        </w:tc>
        <w:tc>
          <w:tcPr>
            <w:tcW w:w="2949" w:type="dxa"/>
          </w:tcPr>
          <w:p w14:paraId="4A6CFD3E" w14:textId="77777777" w:rsidR="007F4F70" w:rsidRPr="003F7F6C" w:rsidRDefault="007F4F70" w:rsidP="002B3130">
            <w:pPr>
              <w:contextualSpacing/>
              <w:rPr>
                <w:rFonts w:cs="Calibri"/>
                <w:sz w:val="18"/>
                <w:szCs w:val="18"/>
              </w:rPr>
            </w:pPr>
            <w:r w:rsidRPr="003F7F6C">
              <w:rPr>
                <w:rFonts w:cs="Calibri"/>
                <w:sz w:val="18"/>
                <w:szCs w:val="18"/>
              </w:rPr>
              <w:t>Periodic project monitoring</w:t>
            </w:r>
          </w:p>
          <w:p w14:paraId="523C1CCC" w14:textId="77777777" w:rsidR="007F4F70" w:rsidRPr="003F7F6C" w:rsidRDefault="007F4F70" w:rsidP="002B3130">
            <w:pPr>
              <w:rPr>
                <w:rFonts w:cs="Calibri"/>
                <w:sz w:val="18"/>
                <w:szCs w:val="18"/>
              </w:rPr>
            </w:pPr>
            <w:r w:rsidRPr="003F7F6C">
              <w:rPr>
                <w:rFonts w:cs="Calibri"/>
                <w:sz w:val="18"/>
                <w:szCs w:val="18"/>
              </w:rPr>
              <w:t>Annual reports; newsletters, publications; interviews with stakeholders</w:t>
            </w:r>
          </w:p>
        </w:tc>
      </w:tr>
      <w:tr w:rsidR="007F4F70" w:rsidRPr="003F7F6C" w14:paraId="751C3CC8" w14:textId="77777777" w:rsidTr="002B3130">
        <w:trPr>
          <w:trHeight w:val="562"/>
        </w:trPr>
        <w:tc>
          <w:tcPr>
            <w:tcW w:w="2605" w:type="dxa"/>
            <w:vMerge/>
            <w:shd w:val="pct12" w:color="auto" w:fill="auto"/>
          </w:tcPr>
          <w:p w14:paraId="42E4E95F" w14:textId="77777777" w:rsidR="007F4F70" w:rsidRPr="003F7F6C" w:rsidRDefault="007F4F70" w:rsidP="002B3130">
            <w:pPr>
              <w:rPr>
                <w:rFonts w:cs="Calibri"/>
                <w:b/>
                <w:bCs/>
                <w:sz w:val="18"/>
                <w:szCs w:val="18"/>
              </w:rPr>
            </w:pPr>
          </w:p>
        </w:tc>
        <w:tc>
          <w:tcPr>
            <w:tcW w:w="2493" w:type="dxa"/>
            <w:vMerge/>
          </w:tcPr>
          <w:p w14:paraId="62D9B02F" w14:textId="77777777" w:rsidR="007F4F70" w:rsidRPr="003F7F6C" w:rsidRDefault="007F4F70" w:rsidP="002B3130">
            <w:pPr>
              <w:rPr>
                <w:rFonts w:cs="Calibri"/>
                <w:bCs/>
                <w:sz w:val="18"/>
                <w:szCs w:val="18"/>
              </w:rPr>
            </w:pPr>
          </w:p>
        </w:tc>
        <w:tc>
          <w:tcPr>
            <w:tcW w:w="2268" w:type="dxa"/>
            <w:vMerge/>
            <w:shd w:val="clear" w:color="auto" w:fill="auto"/>
          </w:tcPr>
          <w:p w14:paraId="5448F0A3" w14:textId="77777777" w:rsidR="007F4F70" w:rsidRPr="003F7F6C" w:rsidRDefault="007F4F70" w:rsidP="002B3130">
            <w:pPr>
              <w:rPr>
                <w:rFonts w:cs="Calibri"/>
                <w:bCs/>
                <w:i/>
                <w:sz w:val="18"/>
                <w:szCs w:val="18"/>
              </w:rPr>
            </w:pPr>
          </w:p>
        </w:tc>
        <w:tc>
          <w:tcPr>
            <w:tcW w:w="1956" w:type="dxa"/>
            <w:vMerge/>
          </w:tcPr>
          <w:p w14:paraId="0D4476D5" w14:textId="77777777" w:rsidR="007F4F70" w:rsidRPr="003F7F6C" w:rsidRDefault="007F4F70" w:rsidP="002B3130">
            <w:pPr>
              <w:rPr>
                <w:rFonts w:cs="Calibri"/>
                <w:bCs/>
                <w:i/>
                <w:sz w:val="18"/>
                <w:szCs w:val="18"/>
              </w:rPr>
            </w:pPr>
          </w:p>
        </w:tc>
        <w:tc>
          <w:tcPr>
            <w:tcW w:w="2119" w:type="dxa"/>
            <w:vMerge/>
          </w:tcPr>
          <w:p w14:paraId="168F8626" w14:textId="77777777" w:rsidR="007F4F70" w:rsidRPr="003F7F6C" w:rsidRDefault="007F4F70" w:rsidP="002B3130">
            <w:pPr>
              <w:rPr>
                <w:rFonts w:cs="Calibri"/>
                <w:bCs/>
                <w:i/>
                <w:sz w:val="18"/>
                <w:szCs w:val="18"/>
              </w:rPr>
            </w:pPr>
          </w:p>
        </w:tc>
        <w:tc>
          <w:tcPr>
            <w:tcW w:w="2949" w:type="dxa"/>
          </w:tcPr>
          <w:p w14:paraId="1B1A1F32" w14:textId="77777777" w:rsidR="007F4F70" w:rsidRPr="003F7F6C" w:rsidRDefault="007F4F70" w:rsidP="002B3130">
            <w:pPr>
              <w:rPr>
                <w:rFonts w:cs="Calibri"/>
                <w:sz w:val="18"/>
                <w:szCs w:val="18"/>
              </w:rPr>
            </w:pPr>
            <w:r w:rsidRPr="003F7F6C">
              <w:rPr>
                <w:rFonts w:cs="Calibri"/>
                <w:sz w:val="18"/>
                <w:szCs w:val="18"/>
              </w:rPr>
              <w:t>Risks:</w:t>
            </w:r>
          </w:p>
          <w:p w14:paraId="542B8E44" w14:textId="77777777" w:rsidR="007F4F70" w:rsidRPr="003F7F6C" w:rsidRDefault="007F4F70" w:rsidP="002B3130">
            <w:pPr>
              <w:rPr>
                <w:rFonts w:cs="Calibri"/>
                <w:sz w:val="18"/>
                <w:szCs w:val="18"/>
              </w:rPr>
            </w:pPr>
            <w:r w:rsidRPr="003F7F6C">
              <w:rPr>
                <w:rFonts w:cs="Calibri"/>
                <w:sz w:val="18"/>
                <w:szCs w:val="18"/>
              </w:rPr>
              <w:t>Institutions not willing to share information and experiences</w:t>
            </w:r>
          </w:p>
          <w:p w14:paraId="25FD9D06" w14:textId="77777777" w:rsidR="007F4F70" w:rsidRPr="003F7F6C" w:rsidRDefault="007F4F70" w:rsidP="002B3130">
            <w:pPr>
              <w:rPr>
                <w:rFonts w:cs="Calibri"/>
                <w:sz w:val="18"/>
                <w:szCs w:val="18"/>
              </w:rPr>
            </w:pPr>
          </w:p>
          <w:p w14:paraId="0D7DAC40" w14:textId="77777777" w:rsidR="007F4F70" w:rsidRPr="003F7F6C" w:rsidRDefault="007F4F70" w:rsidP="002B3130">
            <w:pPr>
              <w:rPr>
                <w:rFonts w:cs="Calibri"/>
                <w:sz w:val="18"/>
                <w:szCs w:val="18"/>
              </w:rPr>
            </w:pPr>
            <w:r w:rsidRPr="003F7F6C">
              <w:rPr>
                <w:rFonts w:cs="Calibri"/>
                <w:sz w:val="18"/>
                <w:szCs w:val="18"/>
              </w:rPr>
              <w:t>Assumptions:</w:t>
            </w:r>
          </w:p>
          <w:p w14:paraId="2945C827" w14:textId="77777777" w:rsidR="007F4F70" w:rsidRPr="003F7F6C" w:rsidRDefault="007F4F70" w:rsidP="002B3130">
            <w:pPr>
              <w:rPr>
                <w:rFonts w:cs="Calibri"/>
              </w:rPr>
            </w:pPr>
            <w:r w:rsidRPr="003F7F6C">
              <w:rPr>
                <w:rFonts w:cs="Calibri"/>
                <w:bCs/>
                <w:sz w:val="18"/>
                <w:szCs w:val="18"/>
              </w:rPr>
              <w:t>Project partners are open about project challenges and successes, as well as lessons</w:t>
            </w:r>
            <w:r w:rsidR="00F57521" w:rsidRPr="003F7F6C">
              <w:rPr>
                <w:rFonts w:cs="Calibri"/>
                <w:bCs/>
                <w:sz w:val="18"/>
                <w:szCs w:val="18"/>
              </w:rPr>
              <w:t xml:space="preserve"> </w:t>
            </w:r>
            <w:r w:rsidRPr="003F7F6C">
              <w:rPr>
                <w:rFonts w:cs="Calibri"/>
                <w:bCs/>
                <w:sz w:val="18"/>
                <w:szCs w:val="18"/>
              </w:rPr>
              <w:t>learned so these can be captured, published and disseminated at national and international level.</w:t>
            </w:r>
          </w:p>
        </w:tc>
      </w:tr>
    </w:tbl>
    <w:p w14:paraId="5754C2D6" w14:textId="77777777" w:rsidR="007F4F70" w:rsidRPr="003F7F6C" w:rsidRDefault="007F4F70" w:rsidP="003B2A79">
      <w:pPr>
        <w:jc w:val="left"/>
        <w:rPr>
          <w:i/>
          <w:szCs w:val="20"/>
        </w:rPr>
      </w:pPr>
    </w:p>
    <w:p w14:paraId="69C36115" w14:textId="77777777" w:rsidR="007F4F70" w:rsidRPr="003F7F6C" w:rsidRDefault="007F4F70" w:rsidP="003B2A79">
      <w:pPr>
        <w:jc w:val="left"/>
        <w:rPr>
          <w:i/>
          <w:szCs w:val="20"/>
        </w:rPr>
      </w:pPr>
    </w:p>
    <w:p w14:paraId="07705E90" w14:textId="77777777" w:rsidR="007F4F70" w:rsidRPr="003F7F6C" w:rsidRDefault="007F4F70" w:rsidP="003B2A79">
      <w:pPr>
        <w:jc w:val="left"/>
        <w:rPr>
          <w:i/>
          <w:szCs w:val="20"/>
        </w:rPr>
      </w:pPr>
    </w:p>
    <w:p w14:paraId="7CE87E6B" w14:textId="77777777" w:rsidR="007F4F70" w:rsidRPr="003F7F6C" w:rsidRDefault="007F4F70" w:rsidP="003B2A79">
      <w:pPr>
        <w:jc w:val="left"/>
        <w:rPr>
          <w:i/>
          <w:szCs w:val="20"/>
        </w:rPr>
      </w:pPr>
    </w:p>
    <w:p w14:paraId="7E46D357" w14:textId="77777777" w:rsidR="007F4F70" w:rsidRPr="003F7F6C" w:rsidRDefault="007F4F70" w:rsidP="003B2A79">
      <w:pPr>
        <w:jc w:val="left"/>
        <w:rPr>
          <w:i/>
          <w:szCs w:val="20"/>
        </w:rPr>
      </w:pPr>
    </w:p>
    <w:p w14:paraId="7E26B633" w14:textId="77777777" w:rsidR="007F4F70" w:rsidRPr="003F7F6C" w:rsidRDefault="007F4F70" w:rsidP="003B2A79">
      <w:pPr>
        <w:jc w:val="left"/>
        <w:rPr>
          <w:i/>
          <w:szCs w:val="20"/>
        </w:rPr>
      </w:pPr>
    </w:p>
    <w:p w14:paraId="2E28BDA3" w14:textId="77777777" w:rsidR="0053408E" w:rsidRPr="003F7F6C" w:rsidRDefault="0053408E" w:rsidP="003B2A79">
      <w:pPr>
        <w:sectPr w:rsidR="0053408E" w:rsidRPr="003F7F6C" w:rsidSect="009F19D4">
          <w:pgSz w:w="15840" w:h="12240" w:orient="landscape" w:code="1"/>
          <w:pgMar w:top="720" w:right="720" w:bottom="720" w:left="720" w:header="720" w:footer="432" w:gutter="0"/>
          <w:cols w:space="708"/>
          <w:titlePg/>
          <w:docGrid w:linePitch="360"/>
        </w:sectPr>
      </w:pPr>
    </w:p>
    <w:p w14:paraId="6BFFDA79" w14:textId="77777777" w:rsidR="0053408E" w:rsidRPr="003F7F6C" w:rsidRDefault="0053408E" w:rsidP="00C01468">
      <w:pPr>
        <w:pStyle w:val="Heading1"/>
        <w:spacing w:before="0" w:after="240"/>
        <w:rPr>
          <w:rFonts w:ascii="Calibri" w:hAnsi="Calibri"/>
          <w:szCs w:val="28"/>
        </w:rPr>
      </w:pPr>
      <w:bookmarkStart w:id="14" w:name="_Toc529891413"/>
      <w:bookmarkStart w:id="15" w:name="_Toc207800914"/>
      <w:bookmarkStart w:id="16" w:name="_Toc407785522"/>
      <w:bookmarkEnd w:id="12"/>
      <w:r w:rsidRPr="003F7F6C">
        <w:rPr>
          <w:rFonts w:ascii="Calibri" w:hAnsi="Calibri"/>
          <w:szCs w:val="28"/>
        </w:rPr>
        <w:t>Monitoring and Evaluation (M&amp;E) Plan</w:t>
      </w:r>
      <w:bookmarkEnd w:id="14"/>
    </w:p>
    <w:p w14:paraId="516D4001" w14:textId="77777777" w:rsidR="00C01468" w:rsidRPr="003F7F6C" w:rsidRDefault="0053408E" w:rsidP="00E91275">
      <w:pPr>
        <w:numPr>
          <w:ilvl w:val="0"/>
          <w:numId w:val="28"/>
        </w:numPr>
        <w:tabs>
          <w:tab w:val="left" w:pos="426"/>
        </w:tabs>
        <w:spacing w:after="240"/>
        <w:ind w:left="0" w:firstLine="0"/>
        <w:rPr>
          <w:rFonts w:cs="Calibri"/>
          <w:szCs w:val="20"/>
        </w:rPr>
      </w:pPr>
      <w:r w:rsidRPr="003F7F6C">
        <w:rPr>
          <w:rFonts w:cs="Calibri"/>
          <w:szCs w:val="20"/>
        </w:rPr>
        <w:t xml:space="preserve">The project results as outlined in the project results framework will be monitored annually and evaluated periodically during project implementation to ensure the project effectively achieves these results. </w:t>
      </w:r>
    </w:p>
    <w:p w14:paraId="673D3D81" w14:textId="77777777" w:rsidR="00C01468" w:rsidRPr="003F7F6C" w:rsidRDefault="0053408E" w:rsidP="00E91275">
      <w:pPr>
        <w:numPr>
          <w:ilvl w:val="0"/>
          <w:numId w:val="28"/>
        </w:numPr>
        <w:tabs>
          <w:tab w:val="left" w:pos="426"/>
        </w:tabs>
        <w:spacing w:after="240"/>
        <w:ind w:left="0" w:firstLine="0"/>
        <w:rPr>
          <w:rFonts w:cs="Calibri"/>
          <w:szCs w:val="20"/>
        </w:rPr>
      </w:pPr>
      <w:r w:rsidRPr="003F7F6C">
        <w:rPr>
          <w:rFonts w:cs="Calibri"/>
          <w:szCs w:val="20"/>
        </w:rPr>
        <w:t>Project-level monitoring and evaluation will be undertaken in compliance with</w:t>
      </w:r>
      <w:r w:rsidR="004D2F82" w:rsidRPr="003F7F6C">
        <w:rPr>
          <w:rFonts w:cs="Calibri"/>
          <w:szCs w:val="20"/>
        </w:rPr>
        <w:t xml:space="preserve"> </w:t>
      </w:r>
      <w:r w:rsidR="00C36EC7" w:rsidRPr="003F7F6C">
        <w:rPr>
          <w:rFonts w:cs="Calibri"/>
          <w:szCs w:val="20"/>
        </w:rPr>
        <w:t xml:space="preserve">UNDP </w:t>
      </w:r>
      <w:r w:rsidR="004D2F82" w:rsidRPr="003F7F6C">
        <w:rPr>
          <w:rFonts w:cs="Calibri"/>
          <w:szCs w:val="20"/>
        </w:rPr>
        <w:t>requirements as outlined in the</w:t>
      </w:r>
      <w:r w:rsidRPr="003F7F6C">
        <w:rPr>
          <w:rFonts w:cs="Calibri"/>
          <w:szCs w:val="20"/>
        </w:rPr>
        <w:t xml:space="preserve"> </w:t>
      </w:r>
      <w:hyperlink r:id="rId17" w:history="1">
        <w:r w:rsidRPr="003F7F6C">
          <w:rPr>
            <w:rStyle w:val="Hyperlink"/>
            <w:rFonts w:cs="Calibri"/>
            <w:szCs w:val="20"/>
          </w:rPr>
          <w:t>UNDP POPP</w:t>
        </w:r>
      </w:hyperlink>
      <w:r w:rsidR="004D2F82" w:rsidRPr="003F7F6C">
        <w:rPr>
          <w:rStyle w:val="Hyperlink"/>
          <w:rFonts w:cs="Calibri"/>
          <w:szCs w:val="20"/>
        </w:rPr>
        <w:t xml:space="preserve"> </w:t>
      </w:r>
      <w:r w:rsidR="004D2F82" w:rsidRPr="003F7F6C">
        <w:rPr>
          <w:rStyle w:val="Hyperlink"/>
          <w:rFonts w:cs="Calibri"/>
          <w:color w:val="auto"/>
          <w:szCs w:val="20"/>
          <w:u w:val="none"/>
        </w:rPr>
        <w:t xml:space="preserve">and </w:t>
      </w:r>
      <w:hyperlink r:id="rId18" w:history="1">
        <w:r w:rsidR="004D2F82" w:rsidRPr="003F7F6C">
          <w:rPr>
            <w:rStyle w:val="Hyperlink"/>
            <w:rFonts w:cs="Calibri"/>
            <w:szCs w:val="20"/>
          </w:rPr>
          <w:t>UNDP Evaluation Policy</w:t>
        </w:r>
      </w:hyperlink>
      <w:r w:rsidR="008F7176" w:rsidRPr="003F7F6C">
        <w:rPr>
          <w:rStyle w:val="Hyperlink"/>
          <w:rFonts w:cs="Calibri"/>
          <w:szCs w:val="20"/>
          <w:u w:val="none"/>
        </w:rPr>
        <w:t xml:space="preserve">. </w:t>
      </w:r>
      <w:r w:rsidR="008F7176" w:rsidRPr="003F7F6C">
        <w:rPr>
          <w:rFonts w:cs="Calibri"/>
          <w:szCs w:val="20"/>
        </w:rPr>
        <w:t>T</w:t>
      </w:r>
      <w:r w:rsidR="00C36EC7" w:rsidRPr="003F7F6C">
        <w:rPr>
          <w:rFonts w:cs="Calibri"/>
          <w:szCs w:val="20"/>
        </w:rPr>
        <w:t xml:space="preserve">he UNDP Country Office will </w:t>
      </w:r>
      <w:r w:rsidR="004C4F40" w:rsidRPr="003F7F6C">
        <w:rPr>
          <w:rFonts w:cs="Calibri"/>
          <w:szCs w:val="20"/>
        </w:rPr>
        <w:t xml:space="preserve">work with the relevant project stakeholders to </w:t>
      </w:r>
      <w:r w:rsidR="00C36EC7" w:rsidRPr="003F7F6C">
        <w:rPr>
          <w:rFonts w:cs="Calibri"/>
          <w:szCs w:val="20"/>
        </w:rPr>
        <w:t xml:space="preserve">ensure </w:t>
      </w:r>
      <w:r w:rsidR="007E6657" w:rsidRPr="003F7F6C">
        <w:rPr>
          <w:rFonts w:cs="Calibri"/>
          <w:szCs w:val="20"/>
        </w:rPr>
        <w:t>UNDP M&amp;E re</w:t>
      </w:r>
      <w:r w:rsidR="00C36EC7" w:rsidRPr="003F7F6C">
        <w:rPr>
          <w:rFonts w:cs="Calibri"/>
          <w:szCs w:val="20"/>
        </w:rPr>
        <w:t>quirements are met</w:t>
      </w:r>
      <w:r w:rsidR="00E80AE7" w:rsidRPr="003F7F6C">
        <w:rPr>
          <w:rFonts w:cs="Calibri"/>
          <w:szCs w:val="20"/>
        </w:rPr>
        <w:t xml:space="preserve"> in a timely fashion and to high quality standards</w:t>
      </w:r>
      <w:r w:rsidR="007E6657" w:rsidRPr="003F7F6C">
        <w:rPr>
          <w:rFonts w:cs="Calibri"/>
          <w:szCs w:val="20"/>
        </w:rPr>
        <w:t xml:space="preserve">. </w:t>
      </w:r>
      <w:r w:rsidR="00B83FE7" w:rsidRPr="003F7F6C">
        <w:rPr>
          <w:rFonts w:cs="Calibri"/>
          <w:szCs w:val="20"/>
        </w:rPr>
        <w:t>A</w:t>
      </w:r>
      <w:r w:rsidR="00C36EC7" w:rsidRPr="003F7F6C">
        <w:rPr>
          <w:rFonts w:cs="Calibri"/>
          <w:szCs w:val="20"/>
        </w:rPr>
        <w:t>dditional</w:t>
      </w:r>
      <w:r w:rsidR="004D2F82" w:rsidRPr="003F7F6C">
        <w:rPr>
          <w:rFonts w:cs="Calibri"/>
          <w:szCs w:val="20"/>
        </w:rPr>
        <w:t xml:space="preserve"> </w:t>
      </w:r>
      <w:r w:rsidR="00C36EC7" w:rsidRPr="003F7F6C">
        <w:rPr>
          <w:rFonts w:cs="Calibri"/>
          <w:szCs w:val="20"/>
        </w:rPr>
        <w:t xml:space="preserve">mandatory </w:t>
      </w:r>
      <w:r w:rsidR="004D2F82" w:rsidRPr="003F7F6C">
        <w:rPr>
          <w:rFonts w:cs="Calibri"/>
          <w:szCs w:val="20"/>
        </w:rPr>
        <w:t xml:space="preserve">GEF-specific M&amp;E requirements </w:t>
      </w:r>
      <w:r w:rsidR="004C4F40" w:rsidRPr="003F7F6C">
        <w:rPr>
          <w:rFonts w:cs="Calibri"/>
          <w:szCs w:val="20"/>
        </w:rPr>
        <w:t xml:space="preserve">(as </w:t>
      </w:r>
      <w:r w:rsidR="004D2F82" w:rsidRPr="003F7F6C">
        <w:rPr>
          <w:rFonts w:cs="Calibri"/>
          <w:szCs w:val="20"/>
        </w:rPr>
        <w:t xml:space="preserve">outlined </w:t>
      </w:r>
      <w:r w:rsidR="00B83FE7" w:rsidRPr="003F7F6C">
        <w:rPr>
          <w:rFonts w:cs="Calibri"/>
          <w:szCs w:val="20"/>
        </w:rPr>
        <w:t>below</w:t>
      </w:r>
      <w:r w:rsidR="004C4F40" w:rsidRPr="003F7F6C">
        <w:rPr>
          <w:rFonts w:cs="Calibri"/>
          <w:szCs w:val="20"/>
        </w:rPr>
        <w:t xml:space="preserve">) </w:t>
      </w:r>
      <w:r w:rsidR="00C36EC7" w:rsidRPr="003F7F6C">
        <w:rPr>
          <w:rFonts w:cs="Calibri"/>
          <w:szCs w:val="20"/>
        </w:rPr>
        <w:t xml:space="preserve">will be undertaken in accordance with </w:t>
      </w:r>
      <w:r w:rsidRPr="003F7F6C">
        <w:rPr>
          <w:rFonts w:cs="Calibri"/>
          <w:szCs w:val="20"/>
        </w:rPr>
        <w:t xml:space="preserve">the </w:t>
      </w:r>
      <w:hyperlink r:id="rId19" w:history="1">
        <w:r w:rsidRPr="003F7F6C">
          <w:rPr>
            <w:rStyle w:val="Hyperlink"/>
            <w:rFonts w:cs="Calibri"/>
            <w:szCs w:val="20"/>
          </w:rPr>
          <w:t>GEF M&amp;E policy</w:t>
        </w:r>
      </w:hyperlink>
      <w:r w:rsidR="004D2F82" w:rsidRPr="003F7F6C">
        <w:rPr>
          <w:rFonts w:cs="Calibri"/>
          <w:szCs w:val="20"/>
        </w:rPr>
        <w:t xml:space="preserve"> and </w:t>
      </w:r>
      <w:r w:rsidR="00B83FE7" w:rsidRPr="003F7F6C">
        <w:rPr>
          <w:rFonts w:cs="Calibri"/>
          <w:szCs w:val="20"/>
        </w:rPr>
        <w:t xml:space="preserve">other relevant </w:t>
      </w:r>
      <w:r w:rsidRPr="003F7F6C">
        <w:rPr>
          <w:rFonts w:cs="Calibri"/>
          <w:szCs w:val="20"/>
        </w:rPr>
        <w:t xml:space="preserve">GEF </w:t>
      </w:r>
      <w:r w:rsidR="00B83FE7" w:rsidRPr="003F7F6C">
        <w:rPr>
          <w:rFonts w:cs="Calibri"/>
          <w:szCs w:val="20"/>
        </w:rPr>
        <w:t>policies</w:t>
      </w:r>
      <w:r w:rsidR="00B83FE7" w:rsidRPr="003F7F6C">
        <w:rPr>
          <w:rStyle w:val="FootnoteReference"/>
          <w:szCs w:val="20"/>
        </w:rPr>
        <w:footnoteReference w:id="79"/>
      </w:r>
      <w:r w:rsidR="00941466" w:rsidRPr="003F7F6C">
        <w:rPr>
          <w:rFonts w:cs="Calibri"/>
          <w:szCs w:val="20"/>
        </w:rPr>
        <w:t xml:space="preserve">.  </w:t>
      </w:r>
    </w:p>
    <w:p w14:paraId="336D6138" w14:textId="7672737B" w:rsidR="00C01468" w:rsidRPr="003F7F6C" w:rsidRDefault="00941466" w:rsidP="00E91275">
      <w:pPr>
        <w:numPr>
          <w:ilvl w:val="0"/>
          <w:numId w:val="28"/>
        </w:numPr>
        <w:tabs>
          <w:tab w:val="left" w:pos="426"/>
        </w:tabs>
        <w:spacing w:after="240"/>
        <w:ind w:left="0" w:firstLine="0"/>
        <w:rPr>
          <w:rFonts w:cs="Calibri"/>
          <w:szCs w:val="20"/>
        </w:rPr>
      </w:pPr>
      <w:r w:rsidRPr="003F7F6C">
        <w:rPr>
          <w:rFonts w:cs="Calibri"/>
          <w:szCs w:val="20"/>
        </w:rPr>
        <w:t>In addition to the</w:t>
      </w:r>
      <w:r w:rsidR="00C36EC7" w:rsidRPr="003F7F6C">
        <w:rPr>
          <w:rFonts w:cs="Calibri"/>
          <w:szCs w:val="20"/>
        </w:rPr>
        <w:t>se</w:t>
      </w:r>
      <w:r w:rsidRPr="003F7F6C">
        <w:rPr>
          <w:rFonts w:cs="Calibri"/>
          <w:szCs w:val="20"/>
        </w:rPr>
        <w:t xml:space="preserve"> </w:t>
      </w:r>
      <w:r w:rsidR="00C36EC7" w:rsidRPr="003F7F6C">
        <w:rPr>
          <w:rFonts w:cs="Calibri"/>
          <w:szCs w:val="20"/>
        </w:rPr>
        <w:t xml:space="preserve">mandatory </w:t>
      </w:r>
      <w:r w:rsidRPr="003F7F6C">
        <w:rPr>
          <w:rFonts w:cs="Calibri"/>
          <w:szCs w:val="20"/>
        </w:rPr>
        <w:t xml:space="preserve">UNDP </w:t>
      </w:r>
      <w:r w:rsidR="00C36EC7" w:rsidRPr="003F7F6C">
        <w:rPr>
          <w:rFonts w:cs="Calibri"/>
          <w:szCs w:val="20"/>
        </w:rPr>
        <w:t xml:space="preserve">and GEF </w:t>
      </w:r>
      <w:r w:rsidRPr="003F7F6C">
        <w:rPr>
          <w:rFonts w:cs="Calibri"/>
          <w:szCs w:val="20"/>
        </w:rPr>
        <w:t>M&amp;E requirements</w:t>
      </w:r>
      <w:r w:rsidR="00C36EC7" w:rsidRPr="003F7F6C">
        <w:rPr>
          <w:rFonts w:cs="Calibri"/>
          <w:szCs w:val="20"/>
        </w:rPr>
        <w:t>, other</w:t>
      </w:r>
      <w:r w:rsidRPr="003F7F6C">
        <w:rPr>
          <w:rFonts w:cs="Calibri"/>
          <w:szCs w:val="20"/>
        </w:rPr>
        <w:t xml:space="preserve"> </w:t>
      </w:r>
      <w:r w:rsidR="0053408E" w:rsidRPr="003F7F6C">
        <w:rPr>
          <w:rFonts w:cs="Calibri"/>
          <w:szCs w:val="20"/>
        </w:rPr>
        <w:t xml:space="preserve">M&amp;E </w:t>
      </w:r>
      <w:r w:rsidRPr="003F7F6C">
        <w:rPr>
          <w:rFonts w:cs="Calibri"/>
          <w:szCs w:val="20"/>
        </w:rPr>
        <w:t>a</w:t>
      </w:r>
      <w:r w:rsidR="0053408E" w:rsidRPr="003F7F6C">
        <w:rPr>
          <w:rFonts w:cs="Calibri"/>
          <w:szCs w:val="20"/>
        </w:rPr>
        <w:t>ctivities deemed necessary to support project-level adaptive management</w:t>
      </w:r>
      <w:r w:rsidR="00BC1B09" w:rsidRPr="003F7F6C">
        <w:rPr>
          <w:rFonts w:cs="Calibri"/>
          <w:szCs w:val="20"/>
        </w:rPr>
        <w:t xml:space="preserve"> will be </w:t>
      </w:r>
      <w:r w:rsidR="008071BF" w:rsidRPr="003F7F6C">
        <w:rPr>
          <w:rFonts w:cs="Calibri"/>
          <w:szCs w:val="20"/>
        </w:rPr>
        <w:t>agreed</w:t>
      </w:r>
      <w:r w:rsidR="00BC1B09" w:rsidRPr="003F7F6C">
        <w:rPr>
          <w:rFonts w:cs="Calibri"/>
          <w:szCs w:val="20"/>
        </w:rPr>
        <w:t xml:space="preserve"> during the</w:t>
      </w:r>
      <w:r w:rsidR="00E804FD" w:rsidRPr="003F7F6C">
        <w:rPr>
          <w:rFonts w:cs="Calibri"/>
          <w:szCs w:val="20"/>
        </w:rPr>
        <w:t xml:space="preserve"> Project</w:t>
      </w:r>
      <w:r w:rsidR="00BC1B09" w:rsidRPr="003F7F6C">
        <w:rPr>
          <w:rFonts w:cs="Calibri"/>
          <w:szCs w:val="20"/>
        </w:rPr>
        <w:t xml:space="preserve"> Inception Workshop and will be detailed in the Inception Report. This will include the e</w:t>
      </w:r>
      <w:r w:rsidR="0053408E" w:rsidRPr="003F7F6C">
        <w:rPr>
          <w:rFonts w:cs="Calibri"/>
          <w:szCs w:val="20"/>
        </w:rPr>
        <w:t>xact role of project target groups and other stakeholders in project M&amp;E activities</w:t>
      </w:r>
      <w:r w:rsidR="00AF5DF8" w:rsidRPr="003F7F6C">
        <w:rPr>
          <w:rFonts w:cs="Calibri"/>
          <w:szCs w:val="20"/>
        </w:rPr>
        <w:t xml:space="preserve"> including </w:t>
      </w:r>
      <w:bookmarkStart w:id="17" w:name="_Hlk526968165"/>
      <w:r w:rsidR="00AF5DF8" w:rsidRPr="003F7F6C">
        <w:rPr>
          <w:rFonts w:cs="Calibri"/>
          <w:szCs w:val="20"/>
        </w:rPr>
        <w:t>the GEF Operational Focal Point</w:t>
      </w:r>
      <w:r w:rsidR="00BC1B09" w:rsidRPr="003F7F6C">
        <w:rPr>
          <w:rFonts w:cs="Calibri"/>
          <w:szCs w:val="20"/>
        </w:rPr>
        <w:t xml:space="preserve"> and national/regional institutes assigned to undertake project monitoring.</w:t>
      </w:r>
      <w:r w:rsidR="00E336E5" w:rsidRPr="003F7F6C">
        <w:rPr>
          <w:rFonts w:cs="Calibri"/>
          <w:szCs w:val="20"/>
        </w:rPr>
        <w:t xml:space="preserve"> </w:t>
      </w:r>
      <w:r w:rsidR="004C4F40" w:rsidRPr="003F7F6C">
        <w:rPr>
          <w:rFonts w:cs="Calibri"/>
          <w:szCs w:val="20"/>
        </w:rPr>
        <w:t>The GEF Operational Focal Point will</w:t>
      </w:r>
      <w:r w:rsidR="00E804FD" w:rsidRPr="003F7F6C">
        <w:rPr>
          <w:rFonts w:cs="Calibri"/>
          <w:szCs w:val="20"/>
        </w:rPr>
        <w:t xml:space="preserve"> strive to</w:t>
      </w:r>
      <w:r w:rsidR="004C4F40" w:rsidRPr="003F7F6C">
        <w:rPr>
          <w:rFonts w:cs="Calibri"/>
          <w:szCs w:val="20"/>
        </w:rPr>
        <w:t xml:space="preserve"> ensure consistency in the approach t</w:t>
      </w:r>
      <w:r w:rsidR="00E804FD" w:rsidRPr="003F7F6C">
        <w:rPr>
          <w:rFonts w:cs="Calibri"/>
          <w:szCs w:val="20"/>
        </w:rPr>
        <w:t>aken to</w:t>
      </w:r>
      <w:r w:rsidR="004C4F40" w:rsidRPr="003F7F6C">
        <w:rPr>
          <w:rFonts w:cs="Calibri"/>
          <w:szCs w:val="20"/>
        </w:rPr>
        <w:t xml:space="preserve"> the GEF-specific M&amp;E requirements (notably the </w:t>
      </w:r>
      <w:r w:rsidR="00F54749" w:rsidRPr="003F7F6C">
        <w:rPr>
          <w:rFonts w:cs="Calibri"/>
          <w:szCs w:val="20"/>
        </w:rPr>
        <w:t>core indicator data</w:t>
      </w:r>
      <w:r w:rsidR="004C4F40" w:rsidRPr="003F7F6C">
        <w:rPr>
          <w:rFonts w:cs="Calibri"/>
          <w:szCs w:val="20"/>
        </w:rPr>
        <w:t>) across all GEF-financed projects in the country. This could be achieve</w:t>
      </w:r>
      <w:r w:rsidR="00E804FD" w:rsidRPr="003F7F6C">
        <w:rPr>
          <w:rFonts w:cs="Calibri"/>
          <w:szCs w:val="20"/>
        </w:rPr>
        <w:t>d</w:t>
      </w:r>
      <w:r w:rsidR="004C4F40" w:rsidRPr="003F7F6C">
        <w:rPr>
          <w:rFonts w:cs="Calibri"/>
          <w:szCs w:val="20"/>
        </w:rPr>
        <w:t xml:space="preserve"> for example by using one national institute to </w:t>
      </w:r>
      <w:r w:rsidR="00E804FD" w:rsidRPr="003F7F6C">
        <w:rPr>
          <w:rFonts w:cs="Calibri"/>
          <w:szCs w:val="20"/>
        </w:rPr>
        <w:t>complete</w:t>
      </w:r>
      <w:r w:rsidR="004C4F40" w:rsidRPr="003F7F6C">
        <w:rPr>
          <w:rFonts w:cs="Calibri"/>
          <w:szCs w:val="20"/>
        </w:rPr>
        <w:t xml:space="preserve"> the GEF </w:t>
      </w:r>
      <w:r w:rsidR="00F54749" w:rsidRPr="003F7F6C">
        <w:rPr>
          <w:rFonts w:cs="Calibri"/>
          <w:szCs w:val="20"/>
        </w:rPr>
        <w:t>core indicator data</w:t>
      </w:r>
      <w:r w:rsidR="004C4F40" w:rsidRPr="003F7F6C">
        <w:rPr>
          <w:rFonts w:cs="Calibri"/>
          <w:szCs w:val="20"/>
        </w:rPr>
        <w:t xml:space="preserve"> for </w:t>
      </w:r>
      <w:bookmarkEnd w:id="17"/>
      <w:r w:rsidR="004C4F40" w:rsidRPr="003F7F6C">
        <w:rPr>
          <w:rFonts w:cs="Calibri"/>
          <w:szCs w:val="20"/>
        </w:rPr>
        <w:t>all GEF-</w:t>
      </w:r>
      <w:r w:rsidR="00E804FD" w:rsidRPr="003F7F6C">
        <w:rPr>
          <w:rFonts w:cs="Calibri"/>
          <w:szCs w:val="20"/>
        </w:rPr>
        <w:t>financed</w:t>
      </w:r>
      <w:r w:rsidR="004C4F40" w:rsidRPr="003F7F6C">
        <w:rPr>
          <w:rFonts w:cs="Calibri"/>
          <w:szCs w:val="20"/>
        </w:rPr>
        <w:t xml:space="preserve"> projects in the country, including projects supported by other GEF Agencies</w:t>
      </w:r>
      <w:r w:rsidR="00B54BF6" w:rsidRPr="003F7F6C">
        <w:rPr>
          <w:rFonts w:cs="Calibri"/>
          <w:szCs w:val="20"/>
        </w:rPr>
        <w:t>.</w:t>
      </w:r>
      <w:r w:rsidR="004C4F40" w:rsidRPr="003F7F6C">
        <w:rPr>
          <w:rStyle w:val="FootnoteReference"/>
          <w:szCs w:val="20"/>
        </w:rPr>
        <w:footnoteReference w:id="80"/>
      </w:r>
      <w:r w:rsidR="004C4F40" w:rsidRPr="003F7F6C">
        <w:rPr>
          <w:rFonts w:cs="Calibri"/>
          <w:szCs w:val="20"/>
        </w:rPr>
        <w:t xml:space="preserve"> </w:t>
      </w:r>
      <w:r w:rsidR="00BC1B09" w:rsidRPr="003F7F6C">
        <w:rPr>
          <w:rFonts w:cs="Calibri"/>
          <w:szCs w:val="20"/>
        </w:rPr>
        <w:t xml:space="preserve">  </w:t>
      </w:r>
      <w:r w:rsidR="0053408E" w:rsidRPr="003F7F6C">
        <w:rPr>
          <w:rFonts w:cs="Calibri"/>
          <w:szCs w:val="20"/>
        </w:rPr>
        <w:t xml:space="preserve"> </w:t>
      </w:r>
    </w:p>
    <w:p w14:paraId="063775A4" w14:textId="77777777" w:rsidR="00C01468" w:rsidRPr="003F7F6C" w:rsidRDefault="00C01468" w:rsidP="00C01468">
      <w:pPr>
        <w:tabs>
          <w:tab w:val="left" w:pos="426"/>
        </w:tabs>
        <w:spacing w:after="240"/>
        <w:rPr>
          <w:rFonts w:cs="Calibri"/>
          <w:b/>
          <w:szCs w:val="20"/>
        </w:rPr>
      </w:pPr>
    </w:p>
    <w:p w14:paraId="18A8D552" w14:textId="77777777" w:rsidR="00C01468" w:rsidRPr="003F7F6C" w:rsidRDefault="00B83FE7" w:rsidP="00C01468">
      <w:pPr>
        <w:tabs>
          <w:tab w:val="left" w:pos="426"/>
        </w:tabs>
        <w:spacing w:after="240"/>
        <w:rPr>
          <w:rFonts w:cs="Calibri"/>
          <w:szCs w:val="20"/>
        </w:rPr>
      </w:pPr>
      <w:r w:rsidRPr="003F7F6C">
        <w:rPr>
          <w:rFonts w:cs="Calibri"/>
          <w:b/>
          <w:szCs w:val="20"/>
        </w:rPr>
        <w:t xml:space="preserve">M&amp;E </w:t>
      </w:r>
      <w:r w:rsidR="0053408E" w:rsidRPr="003F7F6C">
        <w:rPr>
          <w:rFonts w:cs="Calibri"/>
          <w:b/>
          <w:szCs w:val="20"/>
        </w:rPr>
        <w:t>Oversight and monitoring responsibilities:</w:t>
      </w:r>
    </w:p>
    <w:p w14:paraId="200C5BDF" w14:textId="77777777" w:rsidR="00C01468" w:rsidRPr="003F7F6C" w:rsidRDefault="00AF5DF8" w:rsidP="00E91275">
      <w:pPr>
        <w:numPr>
          <w:ilvl w:val="0"/>
          <w:numId w:val="28"/>
        </w:numPr>
        <w:tabs>
          <w:tab w:val="left" w:pos="426"/>
        </w:tabs>
        <w:spacing w:after="240"/>
        <w:ind w:left="0" w:firstLine="0"/>
        <w:rPr>
          <w:rFonts w:cs="Calibri"/>
          <w:szCs w:val="20"/>
        </w:rPr>
      </w:pPr>
      <w:r w:rsidRPr="003F7F6C">
        <w:rPr>
          <w:rFonts w:cs="Calibri"/>
          <w:szCs w:val="20"/>
          <w:u w:val="single"/>
        </w:rPr>
        <w:t xml:space="preserve">Project </w:t>
      </w:r>
      <w:r w:rsidR="00C01468" w:rsidRPr="003F7F6C">
        <w:rPr>
          <w:rFonts w:cs="Calibri"/>
          <w:szCs w:val="20"/>
          <w:u w:val="single"/>
        </w:rPr>
        <w:t>Coordinator</w:t>
      </w:r>
      <w:r w:rsidRPr="003F7F6C">
        <w:rPr>
          <w:rFonts w:cs="Calibri"/>
          <w:szCs w:val="20"/>
        </w:rPr>
        <w:t xml:space="preserve">:  </w:t>
      </w:r>
      <w:r w:rsidR="0053408E" w:rsidRPr="003F7F6C">
        <w:rPr>
          <w:rFonts w:cs="Calibri"/>
          <w:szCs w:val="20"/>
        </w:rPr>
        <w:t xml:space="preserve">The </w:t>
      </w:r>
      <w:r w:rsidR="008253E8" w:rsidRPr="003F7F6C">
        <w:rPr>
          <w:rFonts w:cs="Calibri"/>
          <w:szCs w:val="20"/>
        </w:rPr>
        <w:t xml:space="preserve">Project </w:t>
      </w:r>
      <w:r w:rsidR="00C01468" w:rsidRPr="003F7F6C">
        <w:rPr>
          <w:rFonts w:cs="Calibri"/>
          <w:szCs w:val="20"/>
        </w:rPr>
        <w:t>Coordinator</w:t>
      </w:r>
      <w:r w:rsidR="008253E8" w:rsidRPr="003F7F6C">
        <w:rPr>
          <w:rFonts w:cs="Calibri"/>
          <w:szCs w:val="20"/>
        </w:rPr>
        <w:t xml:space="preserve"> is </w:t>
      </w:r>
      <w:r w:rsidR="0053408E" w:rsidRPr="003F7F6C">
        <w:rPr>
          <w:rFonts w:cs="Calibri"/>
          <w:szCs w:val="20"/>
        </w:rPr>
        <w:t>responsibl</w:t>
      </w:r>
      <w:r w:rsidR="008253E8" w:rsidRPr="003F7F6C">
        <w:rPr>
          <w:rFonts w:cs="Calibri"/>
          <w:szCs w:val="20"/>
        </w:rPr>
        <w:t>e</w:t>
      </w:r>
      <w:r w:rsidR="0053408E" w:rsidRPr="003F7F6C">
        <w:rPr>
          <w:rFonts w:cs="Calibri"/>
          <w:szCs w:val="20"/>
        </w:rPr>
        <w:t xml:space="preserve"> for day-to</w:t>
      </w:r>
      <w:r w:rsidR="004E32F3" w:rsidRPr="003F7F6C">
        <w:rPr>
          <w:rFonts w:cs="Calibri"/>
          <w:szCs w:val="20"/>
        </w:rPr>
        <w:t>-</w:t>
      </w:r>
      <w:r w:rsidR="0053408E" w:rsidRPr="003F7F6C">
        <w:rPr>
          <w:rFonts w:cs="Calibri"/>
          <w:szCs w:val="20"/>
        </w:rPr>
        <w:t xml:space="preserve">day project </w:t>
      </w:r>
      <w:r w:rsidR="008253E8" w:rsidRPr="003F7F6C">
        <w:rPr>
          <w:rFonts w:cs="Calibri"/>
          <w:szCs w:val="20"/>
        </w:rPr>
        <w:t xml:space="preserve">management </w:t>
      </w:r>
      <w:r w:rsidR="004E32F3" w:rsidRPr="003F7F6C">
        <w:rPr>
          <w:rFonts w:cs="Calibri"/>
          <w:szCs w:val="20"/>
        </w:rPr>
        <w:t>and regular monitoring</w:t>
      </w:r>
      <w:r w:rsidR="008253E8" w:rsidRPr="003F7F6C">
        <w:rPr>
          <w:rFonts w:cs="Calibri"/>
          <w:szCs w:val="20"/>
        </w:rPr>
        <w:t xml:space="preserve"> of project results and risks, including social and environmental risks</w:t>
      </w:r>
      <w:r w:rsidR="0053408E" w:rsidRPr="003F7F6C">
        <w:rPr>
          <w:rFonts w:cs="Calibri"/>
          <w:szCs w:val="20"/>
        </w:rPr>
        <w:t xml:space="preserve">. </w:t>
      </w:r>
      <w:r w:rsidR="008253E8" w:rsidRPr="003F7F6C">
        <w:rPr>
          <w:rFonts w:cs="Calibri"/>
          <w:szCs w:val="20"/>
        </w:rPr>
        <w:t xml:space="preserve">The Project </w:t>
      </w:r>
      <w:r w:rsidR="00F47AF3" w:rsidRPr="003F7F6C">
        <w:rPr>
          <w:rFonts w:cs="Calibri"/>
          <w:szCs w:val="20"/>
        </w:rPr>
        <w:t>Coordinator</w:t>
      </w:r>
      <w:r w:rsidR="008253E8" w:rsidRPr="003F7F6C">
        <w:rPr>
          <w:rFonts w:cs="Calibri"/>
          <w:szCs w:val="20"/>
        </w:rPr>
        <w:t xml:space="preserve"> will </w:t>
      </w:r>
      <w:r w:rsidRPr="003F7F6C">
        <w:rPr>
          <w:rFonts w:cs="Calibri"/>
          <w:szCs w:val="20"/>
        </w:rPr>
        <w:t xml:space="preserve">ensure that all project staff maintain a high level of transparency, responsibility and accountability in </w:t>
      </w:r>
      <w:r w:rsidR="00763414" w:rsidRPr="003F7F6C">
        <w:rPr>
          <w:rFonts w:cs="Calibri"/>
          <w:szCs w:val="20"/>
        </w:rPr>
        <w:t>M&amp;E</w:t>
      </w:r>
      <w:r w:rsidRPr="003F7F6C">
        <w:rPr>
          <w:rFonts w:cs="Calibri"/>
          <w:szCs w:val="20"/>
        </w:rPr>
        <w:t xml:space="preserve"> and reporting </w:t>
      </w:r>
      <w:r w:rsidR="00763414" w:rsidRPr="003F7F6C">
        <w:rPr>
          <w:rFonts w:cs="Calibri"/>
          <w:szCs w:val="20"/>
        </w:rPr>
        <w:t xml:space="preserve">of </w:t>
      </w:r>
      <w:r w:rsidRPr="003F7F6C">
        <w:rPr>
          <w:rFonts w:cs="Calibri"/>
          <w:szCs w:val="20"/>
        </w:rPr>
        <w:t xml:space="preserve">project results. </w:t>
      </w:r>
      <w:r w:rsidR="00DF7AB2" w:rsidRPr="003F7F6C">
        <w:rPr>
          <w:rFonts w:cs="Calibri"/>
          <w:szCs w:val="20"/>
        </w:rPr>
        <w:t xml:space="preserve">The Project </w:t>
      </w:r>
      <w:r w:rsidR="00F47AF3" w:rsidRPr="003F7F6C">
        <w:rPr>
          <w:rFonts w:cs="Calibri"/>
          <w:szCs w:val="20"/>
        </w:rPr>
        <w:t>Coordinator</w:t>
      </w:r>
      <w:r w:rsidR="00DF7AB2" w:rsidRPr="003F7F6C">
        <w:rPr>
          <w:rFonts w:cs="Calibri"/>
          <w:szCs w:val="20"/>
        </w:rPr>
        <w:t xml:space="preserve"> will inform the Project Board</w:t>
      </w:r>
      <w:r w:rsidR="00272864" w:rsidRPr="003F7F6C">
        <w:rPr>
          <w:rFonts w:cs="Calibri"/>
          <w:szCs w:val="20"/>
        </w:rPr>
        <w:t xml:space="preserve">, </w:t>
      </w:r>
      <w:r w:rsidR="00DF7AB2" w:rsidRPr="003F7F6C">
        <w:rPr>
          <w:rFonts w:cs="Calibri"/>
          <w:szCs w:val="20"/>
        </w:rPr>
        <w:t xml:space="preserve">the UNDP Country Office </w:t>
      </w:r>
      <w:r w:rsidR="00272864" w:rsidRPr="003F7F6C">
        <w:rPr>
          <w:rFonts w:cs="Calibri"/>
          <w:szCs w:val="20"/>
        </w:rPr>
        <w:t xml:space="preserve">and the UNDP-GEF RTA </w:t>
      </w:r>
      <w:r w:rsidR="00DF7AB2" w:rsidRPr="003F7F6C">
        <w:rPr>
          <w:rFonts w:cs="Calibri"/>
          <w:szCs w:val="20"/>
        </w:rPr>
        <w:t xml:space="preserve">of any delays or difficulties as they arise during implementation so that appropriate support and corrective measures can be adopted. </w:t>
      </w:r>
    </w:p>
    <w:p w14:paraId="152D2C84" w14:textId="77777777" w:rsidR="00C01468" w:rsidRPr="003F7F6C" w:rsidRDefault="0053408E" w:rsidP="00E91275">
      <w:pPr>
        <w:numPr>
          <w:ilvl w:val="0"/>
          <w:numId w:val="28"/>
        </w:numPr>
        <w:tabs>
          <w:tab w:val="left" w:pos="426"/>
        </w:tabs>
        <w:spacing w:after="240"/>
        <w:ind w:left="0" w:firstLine="0"/>
        <w:rPr>
          <w:rFonts w:cs="Calibri"/>
          <w:szCs w:val="20"/>
        </w:rPr>
      </w:pPr>
      <w:r w:rsidRPr="003F7F6C">
        <w:rPr>
          <w:rFonts w:cs="Calibri"/>
          <w:szCs w:val="20"/>
        </w:rPr>
        <w:t xml:space="preserve">The Project </w:t>
      </w:r>
      <w:r w:rsidR="00C01468" w:rsidRPr="003F7F6C">
        <w:rPr>
          <w:rFonts w:cs="Calibri"/>
          <w:szCs w:val="20"/>
        </w:rPr>
        <w:t>Coordinator</w:t>
      </w:r>
      <w:r w:rsidRPr="003F7F6C">
        <w:rPr>
          <w:rFonts w:cs="Calibri"/>
          <w:szCs w:val="20"/>
        </w:rPr>
        <w:t xml:space="preserve"> will develop annual work plans </w:t>
      </w:r>
      <w:r w:rsidR="004E32F3" w:rsidRPr="003F7F6C">
        <w:rPr>
          <w:rFonts w:cs="Calibri"/>
          <w:szCs w:val="20"/>
        </w:rPr>
        <w:t>based on the multi-year work</w:t>
      </w:r>
      <w:r w:rsidR="000A20A2" w:rsidRPr="003F7F6C">
        <w:rPr>
          <w:rFonts w:cs="Calibri"/>
          <w:szCs w:val="20"/>
        </w:rPr>
        <w:t xml:space="preserve"> </w:t>
      </w:r>
      <w:r w:rsidR="008253E8" w:rsidRPr="003F7F6C">
        <w:rPr>
          <w:rFonts w:cs="Calibri"/>
          <w:szCs w:val="20"/>
        </w:rPr>
        <w:t>plan included in An</w:t>
      </w:r>
      <w:r w:rsidR="004E32F3" w:rsidRPr="003F7F6C">
        <w:rPr>
          <w:rFonts w:cs="Calibri"/>
          <w:szCs w:val="20"/>
        </w:rPr>
        <w:t xml:space="preserve">nex, </w:t>
      </w:r>
      <w:r w:rsidRPr="003F7F6C">
        <w:rPr>
          <w:rFonts w:cs="Calibri"/>
          <w:szCs w:val="20"/>
        </w:rPr>
        <w:t xml:space="preserve">including annual </w:t>
      </w:r>
      <w:r w:rsidR="008253E8" w:rsidRPr="003F7F6C">
        <w:rPr>
          <w:rFonts w:cs="Calibri"/>
          <w:szCs w:val="20"/>
        </w:rPr>
        <w:t xml:space="preserve">output </w:t>
      </w:r>
      <w:r w:rsidRPr="003F7F6C">
        <w:rPr>
          <w:rFonts w:cs="Calibri"/>
          <w:szCs w:val="20"/>
        </w:rPr>
        <w:t xml:space="preserve">targets </w:t>
      </w:r>
      <w:r w:rsidR="008253E8" w:rsidRPr="003F7F6C">
        <w:rPr>
          <w:rFonts w:cs="Calibri"/>
          <w:szCs w:val="20"/>
        </w:rPr>
        <w:t>t</w:t>
      </w:r>
      <w:r w:rsidRPr="003F7F6C">
        <w:rPr>
          <w:rFonts w:cs="Calibri"/>
          <w:szCs w:val="20"/>
        </w:rPr>
        <w:t>o</w:t>
      </w:r>
      <w:r w:rsidR="008253E8" w:rsidRPr="003F7F6C">
        <w:rPr>
          <w:rFonts w:cs="Calibri"/>
          <w:szCs w:val="20"/>
        </w:rPr>
        <w:t xml:space="preserve"> support</w:t>
      </w:r>
      <w:r w:rsidRPr="003F7F6C">
        <w:rPr>
          <w:rFonts w:cs="Calibri"/>
          <w:szCs w:val="20"/>
        </w:rPr>
        <w:t xml:space="preserve"> the efficient </w:t>
      </w:r>
      <w:r w:rsidR="00033EB5" w:rsidRPr="003F7F6C">
        <w:rPr>
          <w:rFonts w:cs="Calibri"/>
          <w:szCs w:val="20"/>
        </w:rPr>
        <w:t xml:space="preserve">implementation of the project. </w:t>
      </w:r>
      <w:r w:rsidRPr="003F7F6C">
        <w:rPr>
          <w:rFonts w:cs="Calibri"/>
          <w:szCs w:val="20"/>
        </w:rPr>
        <w:t xml:space="preserve">The Project </w:t>
      </w:r>
      <w:r w:rsidR="00F47AF3" w:rsidRPr="003F7F6C">
        <w:rPr>
          <w:rFonts w:cs="Calibri"/>
          <w:szCs w:val="20"/>
        </w:rPr>
        <w:t>Coordinator</w:t>
      </w:r>
      <w:r w:rsidRPr="003F7F6C">
        <w:rPr>
          <w:rFonts w:cs="Calibri"/>
          <w:szCs w:val="20"/>
        </w:rPr>
        <w:t xml:space="preserve"> will </w:t>
      </w:r>
      <w:r w:rsidR="004E32F3" w:rsidRPr="003F7F6C">
        <w:rPr>
          <w:rFonts w:cs="Calibri"/>
          <w:szCs w:val="20"/>
        </w:rPr>
        <w:t xml:space="preserve">ensure that the standard UNDP and GEF M&amp;E requirements are fulfilled to the highest quality. This includes, but is not limited to, ensuring the results framework indicators are monitored annually in time for </w:t>
      </w:r>
      <w:r w:rsidR="008253E8" w:rsidRPr="003F7F6C">
        <w:rPr>
          <w:rFonts w:cs="Calibri"/>
          <w:szCs w:val="20"/>
        </w:rPr>
        <w:t xml:space="preserve">evidence-based </w:t>
      </w:r>
      <w:r w:rsidR="00E336E5" w:rsidRPr="003F7F6C">
        <w:rPr>
          <w:rFonts w:cs="Calibri"/>
          <w:szCs w:val="20"/>
        </w:rPr>
        <w:t xml:space="preserve">reporting </w:t>
      </w:r>
      <w:r w:rsidR="008253E8" w:rsidRPr="003F7F6C">
        <w:rPr>
          <w:rFonts w:cs="Calibri"/>
          <w:szCs w:val="20"/>
        </w:rPr>
        <w:t xml:space="preserve">in the </w:t>
      </w:r>
      <w:r w:rsidR="00647AD9" w:rsidRPr="003F7F6C">
        <w:rPr>
          <w:rFonts w:cs="Calibri"/>
          <w:szCs w:val="20"/>
        </w:rPr>
        <w:t xml:space="preserve">GEF </w:t>
      </w:r>
      <w:r w:rsidR="004E32F3" w:rsidRPr="003F7F6C">
        <w:rPr>
          <w:rFonts w:cs="Calibri"/>
          <w:szCs w:val="20"/>
        </w:rPr>
        <w:t>PIR</w:t>
      </w:r>
      <w:r w:rsidR="008253E8" w:rsidRPr="003F7F6C">
        <w:rPr>
          <w:rFonts w:cs="Calibri"/>
          <w:szCs w:val="20"/>
        </w:rPr>
        <w:t>, and that the monitoring of risks and the various plans/strategies developed to support project implementation</w:t>
      </w:r>
      <w:r w:rsidR="00763414" w:rsidRPr="003F7F6C">
        <w:rPr>
          <w:rFonts w:cs="Calibri"/>
          <w:szCs w:val="20"/>
        </w:rPr>
        <w:t xml:space="preserve"> (e.g. </w:t>
      </w:r>
      <w:r w:rsidR="00061B53" w:rsidRPr="003F7F6C">
        <w:rPr>
          <w:rFonts w:cs="Calibri"/>
          <w:szCs w:val="20"/>
        </w:rPr>
        <w:t xml:space="preserve">ESMP, </w:t>
      </w:r>
      <w:r w:rsidR="00763414" w:rsidRPr="003F7F6C">
        <w:rPr>
          <w:rFonts w:cs="Calibri"/>
          <w:szCs w:val="20"/>
        </w:rPr>
        <w:t>gender</w:t>
      </w:r>
      <w:r w:rsidR="004A574B" w:rsidRPr="003F7F6C">
        <w:rPr>
          <w:rFonts w:cs="Calibri"/>
          <w:szCs w:val="20"/>
        </w:rPr>
        <w:t xml:space="preserve"> action plan</w:t>
      </w:r>
      <w:r w:rsidR="00763414" w:rsidRPr="003F7F6C">
        <w:rPr>
          <w:rFonts w:cs="Calibri"/>
          <w:szCs w:val="20"/>
        </w:rPr>
        <w:t xml:space="preserve">, </w:t>
      </w:r>
      <w:r w:rsidR="00061B53" w:rsidRPr="003F7F6C">
        <w:rPr>
          <w:rFonts w:cs="Calibri"/>
          <w:szCs w:val="20"/>
        </w:rPr>
        <w:t xml:space="preserve">stakeholder engagement plan </w:t>
      </w:r>
      <w:r w:rsidR="00763414" w:rsidRPr="003F7F6C">
        <w:rPr>
          <w:rFonts w:cs="Calibri"/>
          <w:szCs w:val="20"/>
        </w:rPr>
        <w:t>etc..)</w:t>
      </w:r>
      <w:r w:rsidR="008253E8" w:rsidRPr="003F7F6C">
        <w:rPr>
          <w:rFonts w:cs="Calibri"/>
          <w:szCs w:val="20"/>
        </w:rPr>
        <w:t xml:space="preserve"> occur on a regular basis.</w:t>
      </w:r>
      <w:r w:rsidR="004E32F3" w:rsidRPr="003F7F6C">
        <w:rPr>
          <w:rFonts w:cs="Calibri"/>
          <w:szCs w:val="20"/>
        </w:rPr>
        <w:t xml:space="preserve">  </w:t>
      </w:r>
    </w:p>
    <w:p w14:paraId="011187C4" w14:textId="77777777" w:rsidR="00C01468" w:rsidRPr="003F7F6C" w:rsidRDefault="00AF5DF8" w:rsidP="00E91275">
      <w:pPr>
        <w:numPr>
          <w:ilvl w:val="0"/>
          <w:numId w:val="28"/>
        </w:numPr>
        <w:tabs>
          <w:tab w:val="left" w:pos="426"/>
        </w:tabs>
        <w:spacing w:after="240"/>
        <w:ind w:left="0" w:firstLine="0"/>
        <w:rPr>
          <w:rFonts w:cs="Calibri"/>
          <w:szCs w:val="20"/>
        </w:rPr>
      </w:pPr>
      <w:r w:rsidRPr="003F7F6C">
        <w:rPr>
          <w:rFonts w:cs="Calibri"/>
          <w:szCs w:val="20"/>
          <w:u w:val="single"/>
        </w:rPr>
        <w:t>Project Board</w:t>
      </w:r>
      <w:r w:rsidRPr="003F7F6C">
        <w:rPr>
          <w:rFonts w:cs="Calibri"/>
          <w:szCs w:val="20"/>
        </w:rPr>
        <w:t>:  The Project Board will take corrective action as needed to ensure the project</w:t>
      </w:r>
      <w:r w:rsidR="0093185E" w:rsidRPr="003F7F6C">
        <w:rPr>
          <w:rFonts w:cs="Calibri"/>
          <w:szCs w:val="20"/>
        </w:rPr>
        <w:t xml:space="preserve"> achieves the desired results. </w:t>
      </w:r>
      <w:r w:rsidRPr="003F7F6C">
        <w:rPr>
          <w:rFonts w:cs="Calibri"/>
          <w:szCs w:val="20"/>
        </w:rPr>
        <w:t xml:space="preserve">The Project Board will </w:t>
      </w:r>
      <w:r w:rsidR="008253E8" w:rsidRPr="003F7F6C">
        <w:rPr>
          <w:rFonts w:cs="Calibri"/>
          <w:szCs w:val="20"/>
        </w:rPr>
        <w:t>hold project reviews to assess the performance of the project and appraise the Annual Work Plan for the following year</w:t>
      </w:r>
      <w:r w:rsidR="0093185E" w:rsidRPr="003F7F6C">
        <w:rPr>
          <w:rFonts w:cs="Calibri"/>
          <w:szCs w:val="20"/>
        </w:rPr>
        <w:t xml:space="preserve">. </w:t>
      </w:r>
      <w:r w:rsidR="008253E8" w:rsidRPr="003F7F6C">
        <w:rPr>
          <w:rFonts w:cs="Calibri"/>
          <w:szCs w:val="20"/>
        </w:rPr>
        <w:t xml:space="preserve">In the project’s final year, the Project Board </w:t>
      </w:r>
      <w:r w:rsidR="0093185E" w:rsidRPr="003F7F6C">
        <w:rPr>
          <w:rFonts w:cs="Calibri"/>
          <w:szCs w:val="20"/>
        </w:rPr>
        <w:t>will</w:t>
      </w:r>
      <w:r w:rsidR="008253E8" w:rsidRPr="003F7F6C">
        <w:rPr>
          <w:rFonts w:cs="Calibri"/>
          <w:szCs w:val="20"/>
        </w:rPr>
        <w:t xml:space="preserve"> hold an end-of-project review to capture lessons learned and discuss opportunities for scaling up and to </w:t>
      </w:r>
      <w:r w:rsidR="00E336E5" w:rsidRPr="003F7F6C">
        <w:rPr>
          <w:rFonts w:cs="Calibri"/>
          <w:szCs w:val="20"/>
        </w:rPr>
        <w:t xml:space="preserve">highlight </w:t>
      </w:r>
      <w:r w:rsidR="008253E8" w:rsidRPr="003F7F6C">
        <w:rPr>
          <w:rFonts w:cs="Calibri"/>
          <w:szCs w:val="20"/>
        </w:rPr>
        <w:t xml:space="preserve">project results and lessons learned with relevant audiences. This final review </w:t>
      </w:r>
      <w:r w:rsidR="0093185E" w:rsidRPr="003F7F6C">
        <w:rPr>
          <w:rFonts w:cs="Calibri"/>
          <w:szCs w:val="20"/>
        </w:rPr>
        <w:t xml:space="preserve">meeting will also </w:t>
      </w:r>
      <w:r w:rsidR="008253E8" w:rsidRPr="003F7F6C">
        <w:rPr>
          <w:rFonts w:cs="Calibri"/>
          <w:szCs w:val="20"/>
        </w:rPr>
        <w:t xml:space="preserve">discuss the </w:t>
      </w:r>
      <w:r w:rsidR="0093185E" w:rsidRPr="003F7F6C">
        <w:rPr>
          <w:rFonts w:cs="Calibri"/>
          <w:szCs w:val="20"/>
        </w:rPr>
        <w:t xml:space="preserve">findings outlined in the project </w:t>
      </w:r>
      <w:r w:rsidR="008253E8" w:rsidRPr="003F7F6C">
        <w:rPr>
          <w:rFonts w:cs="Calibri"/>
          <w:szCs w:val="20"/>
        </w:rPr>
        <w:t xml:space="preserve">terminal evaluation </w:t>
      </w:r>
      <w:r w:rsidR="0093185E" w:rsidRPr="003F7F6C">
        <w:rPr>
          <w:rFonts w:cs="Calibri"/>
          <w:szCs w:val="20"/>
        </w:rPr>
        <w:t xml:space="preserve">report </w:t>
      </w:r>
      <w:r w:rsidR="008253E8" w:rsidRPr="003F7F6C">
        <w:rPr>
          <w:rFonts w:cs="Calibri"/>
          <w:szCs w:val="20"/>
        </w:rPr>
        <w:t>and the management response.</w:t>
      </w:r>
    </w:p>
    <w:p w14:paraId="18922C71" w14:textId="2E0AD69C" w:rsidR="00C01468" w:rsidRPr="003F7F6C" w:rsidRDefault="008253E8" w:rsidP="00E91275">
      <w:pPr>
        <w:numPr>
          <w:ilvl w:val="0"/>
          <w:numId w:val="28"/>
        </w:numPr>
        <w:tabs>
          <w:tab w:val="left" w:pos="426"/>
        </w:tabs>
        <w:spacing w:after="240"/>
        <w:ind w:left="0" w:firstLine="0"/>
        <w:rPr>
          <w:rFonts w:cs="Calibri"/>
          <w:szCs w:val="20"/>
        </w:rPr>
      </w:pPr>
      <w:r w:rsidRPr="003F7F6C">
        <w:rPr>
          <w:rFonts w:cs="Calibri"/>
          <w:szCs w:val="20"/>
          <w:u w:val="single"/>
        </w:rPr>
        <w:t xml:space="preserve">Project </w:t>
      </w:r>
      <w:r w:rsidR="00812001" w:rsidRPr="003F7F6C">
        <w:rPr>
          <w:rFonts w:cs="Calibri"/>
          <w:szCs w:val="20"/>
          <w:u w:val="single"/>
        </w:rPr>
        <w:t>Implementing Partner</w:t>
      </w:r>
      <w:r w:rsidR="00812001" w:rsidRPr="003F7F6C">
        <w:rPr>
          <w:rFonts w:cs="Calibri"/>
          <w:szCs w:val="20"/>
        </w:rPr>
        <w:t>:  The Implementing Partner is responsible for providing all required information and data necessary for timely</w:t>
      </w:r>
      <w:r w:rsidR="004440C2" w:rsidRPr="003F7F6C">
        <w:rPr>
          <w:rFonts w:cs="Calibri"/>
          <w:szCs w:val="20"/>
        </w:rPr>
        <w:t xml:space="preserve">, </w:t>
      </w:r>
      <w:r w:rsidR="00812001" w:rsidRPr="003F7F6C">
        <w:rPr>
          <w:rFonts w:cs="Calibri"/>
          <w:szCs w:val="20"/>
        </w:rPr>
        <w:t xml:space="preserve">comprehensive </w:t>
      </w:r>
      <w:r w:rsidR="004440C2" w:rsidRPr="003F7F6C">
        <w:rPr>
          <w:rFonts w:cs="Calibri"/>
          <w:szCs w:val="20"/>
        </w:rPr>
        <w:t xml:space="preserve">and evidence-based </w:t>
      </w:r>
      <w:r w:rsidR="00812001" w:rsidRPr="003F7F6C">
        <w:rPr>
          <w:rFonts w:cs="Calibri"/>
          <w:szCs w:val="20"/>
        </w:rPr>
        <w:t>project reporting, including results and financial data, as necessary.</w:t>
      </w:r>
      <w:r w:rsidR="0093185E" w:rsidRPr="003F7F6C">
        <w:rPr>
          <w:rFonts w:cs="Calibri"/>
          <w:szCs w:val="20"/>
        </w:rPr>
        <w:t xml:space="preserve"> The Implementing Partner will strive to ensure project</w:t>
      </w:r>
      <w:r w:rsidR="004440C2" w:rsidRPr="003F7F6C">
        <w:rPr>
          <w:rFonts w:cs="Calibri"/>
          <w:szCs w:val="20"/>
        </w:rPr>
        <w:t>-</w:t>
      </w:r>
      <w:r w:rsidR="0093185E" w:rsidRPr="003F7F6C">
        <w:rPr>
          <w:rFonts w:cs="Calibri"/>
          <w:szCs w:val="20"/>
        </w:rPr>
        <w:t>level M&amp;E is undertaken by</w:t>
      </w:r>
      <w:r w:rsidR="004440C2" w:rsidRPr="003F7F6C">
        <w:rPr>
          <w:rFonts w:cs="Calibri"/>
          <w:szCs w:val="20"/>
        </w:rPr>
        <w:t xml:space="preserve"> national institutes, </w:t>
      </w:r>
      <w:r w:rsidR="00C32C1B" w:rsidRPr="003F7F6C">
        <w:rPr>
          <w:rFonts w:cs="Calibri"/>
          <w:szCs w:val="20"/>
        </w:rPr>
        <w:t>a</w:t>
      </w:r>
      <w:r w:rsidR="004440C2" w:rsidRPr="003F7F6C">
        <w:rPr>
          <w:rFonts w:cs="Calibri"/>
          <w:szCs w:val="20"/>
        </w:rPr>
        <w:t>nd</w:t>
      </w:r>
      <w:r w:rsidR="0093185E" w:rsidRPr="003F7F6C">
        <w:rPr>
          <w:rFonts w:cs="Calibri"/>
          <w:szCs w:val="20"/>
        </w:rPr>
        <w:t xml:space="preserve"> </w:t>
      </w:r>
      <w:r w:rsidR="004440C2" w:rsidRPr="003F7F6C">
        <w:rPr>
          <w:rFonts w:cs="Calibri"/>
          <w:szCs w:val="20"/>
        </w:rPr>
        <w:t xml:space="preserve">is </w:t>
      </w:r>
      <w:r w:rsidR="0093185E" w:rsidRPr="003F7F6C">
        <w:rPr>
          <w:rFonts w:cs="Calibri"/>
          <w:szCs w:val="20"/>
        </w:rPr>
        <w:t xml:space="preserve">aligned with national systems so that the data used and generated by the project support national systems. </w:t>
      </w:r>
    </w:p>
    <w:p w14:paraId="3ABFB468" w14:textId="77777777" w:rsidR="00C01468" w:rsidRPr="003F7F6C" w:rsidRDefault="00AF5DF8" w:rsidP="00E91275">
      <w:pPr>
        <w:numPr>
          <w:ilvl w:val="0"/>
          <w:numId w:val="28"/>
        </w:numPr>
        <w:tabs>
          <w:tab w:val="left" w:pos="426"/>
        </w:tabs>
        <w:spacing w:after="240"/>
        <w:ind w:left="0" w:firstLine="0"/>
        <w:rPr>
          <w:rFonts w:cs="Calibri"/>
          <w:szCs w:val="20"/>
        </w:rPr>
      </w:pPr>
      <w:r w:rsidRPr="003F7F6C">
        <w:rPr>
          <w:rFonts w:cs="Calibri"/>
          <w:szCs w:val="20"/>
          <w:u w:val="single"/>
        </w:rPr>
        <w:t>UNDP Country Office</w:t>
      </w:r>
      <w:r w:rsidRPr="003F7F6C">
        <w:rPr>
          <w:rFonts w:cs="Calibri"/>
          <w:szCs w:val="20"/>
        </w:rPr>
        <w:t xml:space="preserve">:  </w:t>
      </w:r>
      <w:r w:rsidR="0053408E" w:rsidRPr="003F7F6C">
        <w:rPr>
          <w:rFonts w:cs="Calibri"/>
          <w:szCs w:val="20"/>
        </w:rPr>
        <w:t xml:space="preserve">The UNDP Country Office will support the Project </w:t>
      </w:r>
      <w:r w:rsidR="00F47AF3" w:rsidRPr="003F7F6C">
        <w:rPr>
          <w:rFonts w:cs="Calibri"/>
          <w:szCs w:val="20"/>
        </w:rPr>
        <w:t>Coordinator</w:t>
      </w:r>
      <w:r w:rsidR="0053408E" w:rsidRPr="003F7F6C">
        <w:rPr>
          <w:rFonts w:cs="Calibri"/>
          <w:szCs w:val="20"/>
        </w:rPr>
        <w:t xml:space="preserve"> as needed, including through annual supervision missions.</w:t>
      </w:r>
      <w:r w:rsidRPr="003F7F6C">
        <w:rPr>
          <w:rFonts w:cs="Calibri"/>
          <w:szCs w:val="20"/>
        </w:rPr>
        <w:t xml:space="preserve"> </w:t>
      </w:r>
      <w:r w:rsidR="009B2545" w:rsidRPr="003F7F6C">
        <w:rPr>
          <w:rFonts w:cs="Calibri"/>
          <w:szCs w:val="20"/>
        </w:rPr>
        <w:t xml:space="preserve">The </w:t>
      </w:r>
      <w:r w:rsidR="004440C2" w:rsidRPr="003F7F6C">
        <w:rPr>
          <w:rFonts w:cs="Calibri"/>
          <w:szCs w:val="20"/>
        </w:rPr>
        <w:t xml:space="preserve">annual </w:t>
      </w:r>
      <w:r w:rsidR="009B2545" w:rsidRPr="003F7F6C">
        <w:rPr>
          <w:rFonts w:cs="Calibri"/>
          <w:szCs w:val="20"/>
        </w:rPr>
        <w:t>supervision missions will take place according to the schedule outlined in the annual work plan. Supervision mission reports will be circulated to the project team and Project Board wi</w:t>
      </w:r>
      <w:r w:rsidR="005F2201" w:rsidRPr="003F7F6C">
        <w:rPr>
          <w:rFonts w:cs="Calibri"/>
          <w:szCs w:val="20"/>
        </w:rPr>
        <w:t xml:space="preserve">thin one month of the mission. </w:t>
      </w:r>
      <w:r w:rsidRPr="003F7F6C">
        <w:rPr>
          <w:rFonts w:cs="Calibri"/>
          <w:szCs w:val="20"/>
        </w:rPr>
        <w:t xml:space="preserve">The UNDP Country Office will initiate and organize key </w:t>
      </w:r>
      <w:r w:rsidR="004440C2" w:rsidRPr="003F7F6C">
        <w:rPr>
          <w:rFonts w:cs="Calibri"/>
          <w:szCs w:val="20"/>
        </w:rPr>
        <w:t>GEF M&amp;E activities</w:t>
      </w:r>
      <w:r w:rsidRPr="003F7F6C">
        <w:rPr>
          <w:rFonts w:cs="Calibri"/>
          <w:szCs w:val="20"/>
        </w:rPr>
        <w:t xml:space="preserve"> including the annual </w:t>
      </w:r>
      <w:r w:rsidR="004440C2" w:rsidRPr="003F7F6C">
        <w:rPr>
          <w:rFonts w:cs="Calibri"/>
          <w:szCs w:val="20"/>
        </w:rPr>
        <w:t xml:space="preserve">GEF </w:t>
      </w:r>
      <w:r w:rsidRPr="003F7F6C">
        <w:rPr>
          <w:rFonts w:cs="Calibri"/>
          <w:szCs w:val="20"/>
        </w:rPr>
        <w:t xml:space="preserve">PIR, the </w:t>
      </w:r>
      <w:r w:rsidR="00B54BF6" w:rsidRPr="003F7F6C">
        <w:rPr>
          <w:rFonts w:cs="Calibri"/>
          <w:szCs w:val="20"/>
        </w:rPr>
        <w:t xml:space="preserve">independent </w:t>
      </w:r>
      <w:r w:rsidRPr="003F7F6C">
        <w:rPr>
          <w:rFonts w:cs="Calibri"/>
          <w:szCs w:val="20"/>
        </w:rPr>
        <w:t>mid-term review and the</w:t>
      </w:r>
      <w:r w:rsidR="00B54BF6" w:rsidRPr="003F7F6C">
        <w:rPr>
          <w:rFonts w:cs="Calibri"/>
          <w:szCs w:val="20"/>
        </w:rPr>
        <w:t xml:space="preserve"> independent</w:t>
      </w:r>
      <w:r w:rsidRPr="003F7F6C">
        <w:rPr>
          <w:rFonts w:cs="Calibri"/>
          <w:szCs w:val="20"/>
        </w:rPr>
        <w:t xml:space="preserve"> terminal evaluation.</w:t>
      </w:r>
      <w:r w:rsidR="00B54BF6" w:rsidRPr="003F7F6C">
        <w:rPr>
          <w:rFonts w:cs="Calibri"/>
          <w:szCs w:val="20"/>
        </w:rPr>
        <w:t xml:space="preserve"> The UNDP Country Office will also ensure that the standard UNDP and GEF M&amp;E requirements are fulfilled to the highest quality.  </w:t>
      </w:r>
    </w:p>
    <w:p w14:paraId="6778D873" w14:textId="77777777" w:rsidR="00C01468" w:rsidRPr="003F7F6C" w:rsidRDefault="0053408E" w:rsidP="00E91275">
      <w:pPr>
        <w:numPr>
          <w:ilvl w:val="0"/>
          <w:numId w:val="28"/>
        </w:numPr>
        <w:tabs>
          <w:tab w:val="left" w:pos="426"/>
        </w:tabs>
        <w:spacing w:after="240"/>
        <w:ind w:left="0" w:firstLine="0"/>
        <w:rPr>
          <w:rStyle w:val="Hyperlink"/>
          <w:rFonts w:cs="Calibri"/>
          <w:color w:val="auto"/>
          <w:szCs w:val="20"/>
          <w:u w:val="none"/>
        </w:rPr>
      </w:pPr>
      <w:r w:rsidRPr="003F7F6C">
        <w:rPr>
          <w:rFonts w:cs="Calibri"/>
          <w:szCs w:val="20"/>
        </w:rPr>
        <w:t xml:space="preserve">The UNDP Country Office is responsible for complying with all UNDP project-level M&amp;E requirements as outlined in the </w:t>
      </w:r>
      <w:hyperlink r:id="rId20" w:history="1">
        <w:r w:rsidRPr="003F7F6C">
          <w:rPr>
            <w:rStyle w:val="Hyperlink"/>
            <w:rFonts w:cs="Calibri"/>
            <w:szCs w:val="20"/>
          </w:rPr>
          <w:t>UNDP POPP</w:t>
        </w:r>
      </w:hyperlink>
      <w:r w:rsidRPr="003F7F6C">
        <w:rPr>
          <w:rStyle w:val="Hyperlink"/>
          <w:rFonts w:cs="Calibri"/>
          <w:szCs w:val="20"/>
        </w:rPr>
        <w:t>.</w:t>
      </w:r>
      <w:r w:rsidRPr="003F7F6C">
        <w:rPr>
          <w:rStyle w:val="Hyperlink"/>
          <w:rFonts w:cs="Calibri"/>
          <w:szCs w:val="20"/>
          <w:u w:val="none"/>
        </w:rPr>
        <w:t xml:space="preserve"> </w:t>
      </w:r>
      <w:r w:rsidRPr="003F7F6C">
        <w:rPr>
          <w:rStyle w:val="Hyperlink"/>
          <w:rFonts w:cs="Calibri"/>
          <w:color w:val="auto"/>
          <w:szCs w:val="20"/>
          <w:u w:val="none"/>
        </w:rPr>
        <w:t xml:space="preserve">This includes ensuring the UNDP Quality Assurance Assessment during implementation is undertaken annually; that annual targets at the output level are developed, and monitored and reported using UNDP corporate systems; </w:t>
      </w:r>
      <w:r w:rsidR="004440C2" w:rsidRPr="003F7F6C">
        <w:rPr>
          <w:rStyle w:val="Hyperlink"/>
          <w:rFonts w:cs="Calibri"/>
          <w:color w:val="auto"/>
          <w:szCs w:val="20"/>
          <w:u w:val="none"/>
        </w:rPr>
        <w:t xml:space="preserve">the regular updating of the ATLAS risk log; </w:t>
      </w:r>
      <w:r w:rsidRPr="003F7F6C">
        <w:rPr>
          <w:rStyle w:val="Hyperlink"/>
          <w:rFonts w:cs="Calibri"/>
          <w:color w:val="auto"/>
          <w:szCs w:val="20"/>
          <w:u w:val="none"/>
        </w:rPr>
        <w:t xml:space="preserve">and, </w:t>
      </w:r>
      <w:r w:rsidR="004440C2" w:rsidRPr="003F7F6C">
        <w:rPr>
          <w:rStyle w:val="Hyperlink"/>
          <w:rFonts w:cs="Calibri"/>
          <w:color w:val="auto"/>
          <w:szCs w:val="20"/>
          <w:u w:val="none"/>
        </w:rPr>
        <w:t xml:space="preserve">the </w:t>
      </w:r>
      <w:r w:rsidR="00647AD9" w:rsidRPr="003F7F6C">
        <w:rPr>
          <w:rStyle w:val="Hyperlink"/>
          <w:rFonts w:cs="Calibri"/>
          <w:color w:val="auto"/>
          <w:szCs w:val="20"/>
          <w:u w:val="none"/>
        </w:rPr>
        <w:t xml:space="preserve">updating </w:t>
      </w:r>
      <w:r w:rsidR="004440C2" w:rsidRPr="003F7F6C">
        <w:rPr>
          <w:rStyle w:val="Hyperlink"/>
          <w:rFonts w:cs="Calibri"/>
          <w:color w:val="auto"/>
          <w:szCs w:val="20"/>
          <w:u w:val="none"/>
        </w:rPr>
        <w:t xml:space="preserve">of </w:t>
      </w:r>
      <w:r w:rsidR="00647AD9" w:rsidRPr="003F7F6C">
        <w:rPr>
          <w:rStyle w:val="Hyperlink"/>
          <w:rFonts w:cs="Calibri"/>
          <w:color w:val="auto"/>
          <w:szCs w:val="20"/>
          <w:u w:val="none"/>
        </w:rPr>
        <w:t xml:space="preserve">the UNDP </w:t>
      </w:r>
      <w:r w:rsidRPr="003F7F6C">
        <w:rPr>
          <w:rStyle w:val="Hyperlink"/>
          <w:rFonts w:cs="Calibri"/>
          <w:color w:val="auto"/>
          <w:szCs w:val="20"/>
          <w:u w:val="none"/>
        </w:rPr>
        <w:t xml:space="preserve">gender marker </w:t>
      </w:r>
      <w:r w:rsidR="00647AD9" w:rsidRPr="003F7F6C">
        <w:rPr>
          <w:rStyle w:val="Hyperlink"/>
          <w:rFonts w:cs="Calibri"/>
          <w:color w:val="auto"/>
          <w:szCs w:val="20"/>
          <w:u w:val="none"/>
        </w:rPr>
        <w:t xml:space="preserve">on an annual basis </w:t>
      </w:r>
      <w:r w:rsidRPr="003F7F6C">
        <w:rPr>
          <w:rStyle w:val="Hyperlink"/>
          <w:rFonts w:cs="Calibri"/>
          <w:color w:val="auto"/>
          <w:szCs w:val="20"/>
          <w:u w:val="none"/>
        </w:rPr>
        <w:t xml:space="preserve">based on </w:t>
      </w:r>
      <w:r w:rsidR="004440C2" w:rsidRPr="003F7F6C">
        <w:rPr>
          <w:rStyle w:val="Hyperlink"/>
          <w:rFonts w:cs="Calibri"/>
          <w:color w:val="auto"/>
          <w:szCs w:val="20"/>
          <w:u w:val="none"/>
        </w:rPr>
        <w:t xml:space="preserve">gender mainstreaming </w:t>
      </w:r>
      <w:r w:rsidR="000A20A2" w:rsidRPr="003F7F6C">
        <w:rPr>
          <w:rStyle w:val="Hyperlink"/>
          <w:rFonts w:cs="Calibri"/>
          <w:color w:val="auto"/>
          <w:szCs w:val="20"/>
          <w:u w:val="none"/>
        </w:rPr>
        <w:t xml:space="preserve">progress reported in the </w:t>
      </w:r>
      <w:r w:rsidR="00647AD9" w:rsidRPr="003F7F6C">
        <w:rPr>
          <w:rStyle w:val="Hyperlink"/>
          <w:rFonts w:cs="Calibri"/>
          <w:color w:val="auto"/>
          <w:szCs w:val="20"/>
          <w:u w:val="none"/>
        </w:rPr>
        <w:t xml:space="preserve">GEF </w:t>
      </w:r>
      <w:r w:rsidRPr="003F7F6C">
        <w:rPr>
          <w:rStyle w:val="Hyperlink"/>
          <w:rFonts w:cs="Calibri"/>
          <w:color w:val="auto"/>
          <w:szCs w:val="20"/>
          <w:u w:val="none"/>
        </w:rPr>
        <w:t xml:space="preserve">PIR and </w:t>
      </w:r>
      <w:r w:rsidR="004440C2" w:rsidRPr="003F7F6C">
        <w:rPr>
          <w:rStyle w:val="Hyperlink"/>
          <w:rFonts w:cs="Calibri"/>
          <w:color w:val="auto"/>
          <w:szCs w:val="20"/>
          <w:u w:val="none"/>
        </w:rPr>
        <w:t xml:space="preserve">the </w:t>
      </w:r>
      <w:r w:rsidR="00647AD9" w:rsidRPr="003F7F6C">
        <w:rPr>
          <w:rStyle w:val="Hyperlink"/>
          <w:rFonts w:cs="Calibri"/>
          <w:color w:val="auto"/>
          <w:szCs w:val="20"/>
          <w:u w:val="none"/>
        </w:rPr>
        <w:t xml:space="preserve">UNDP </w:t>
      </w:r>
      <w:r w:rsidRPr="003F7F6C">
        <w:rPr>
          <w:rStyle w:val="Hyperlink"/>
          <w:rFonts w:cs="Calibri"/>
          <w:color w:val="auto"/>
          <w:szCs w:val="20"/>
          <w:u w:val="none"/>
        </w:rPr>
        <w:t xml:space="preserve">ROAR. Any quality concerns flagged </w:t>
      </w:r>
      <w:r w:rsidR="004440C2" w:rsidRPr="003F7F6C">
        <w:rPr>
          <w:rStyle w:val="Hyperlink"/>
          <w:rFonts w:cs="Calibri"/>
          <w:color w:val="auto"/>
          <w:szCs w:val="20"/>
          <w:u w:val="none"/>
        </w:rPr>
        <w:t xml:space="preserve">during these M&amp;E activities (e.g. annual GEF PIR quality assessment ratings) </w:t>
      </w:r>
      <w:r w:rsidRPr="003F7F6C">
        <w:rPr>
          <w:rStyle w:val="Hyperlink"/>
          <w:rFonts w:cs="Calibri"/>
          <w:color w:val="auto"/>
          <w:szCs w:val="20"/>
          <w:u w:val="none"/>
        </w:rPr>
        <w:t xml:space="preserve">must be addressed by </w:t>
      </w:r>
      <w:r w:rsidR="004440C2" w:rsidRPr="003F7F6C">
        <w:rPr>
          <w:rStyle w:val="Hyperlink"/>
          <w:rFonts w:cs="Calibri"/>
          <w:color w:val="auto"/>
          <w:szCs w:val="20"/>
          <w:u w:val="none"/>
        </w:rPr>
        <w:t xml:space="preserve">the UNDP Country Office and the Project </w:t>
      </w:r>
      <w:r w:rsidR="00F47AF3" w:rsidRPr="003F7F6C">
        <w:rPr>
          <w:rStyle w:val="Hyperlink"/>
          <w:rFonts w:cs="Calibri"/>
          <w:color w:val="auto"/>
          <w:szCs w:val="20"/>
          <w:u w:val="none"/>
        </w:rPr>
        <w:t>Coordinator</w:t>
      </w:r>
      <w:r w:rsidRPr="003F7F6C">
        <w:rPr>
          <w:rStyle w:val="Hyperlink"/>
          <w:rFonts w:cs="Calibri"/>
          <w:color w:val="auto"/>
          <w:szCs w:val="20"/>
          <w:u w:val="none"/>
        </w:rPr>
        <w:t xml:space="preserve">.  </w:t>
      </w:r>
    </w:p>
    <w:p w14:paraId="2214B40F" w14:textId="77777777" w:rsidR="00C01468" w:rsidRPr="003F7F6C" w:rsidRDefault="00AF5DF8" w:rsidP="00E91275">
      <w:pPr>
        <w:numPr>
          <w:ilvl w:val="0"/>
          <w:numId w:val="28"/>
        </w:numPr>
        <w:tabs>
          <w:tab w:val="left" w:pos="426"/>
        </w:tabs>
        <w:spacing w:after="240"/>
        <w:ind w:left="0" w:firstLine="0"/>
        <w:rPr>
          <w:rFonts w:cs="Calibri"/>
          <w:szCs w:val="20"/>
        </w:rPr>
      </w:pPr>
      <w:r w:rsidRPr="003F7F6C">
        <w:rPr>
          <w:rFonts w:cs="Calibri"/>
          <w:szCs w:val="20"/>
        </w:rPr>
        <w:t>The UNDP Country Office will retain all M&amp;E records for this project for up to seven years after project financial closure to support ex-post evaluations undertaken by the UNDP Independent Evaluation Office</w:t>
      </w:r>
      <w:r w:rsidR="004440C2" w:rsidRPr="003F7F6C">
        <w:rPr>
          <w:rFonts w:cs="Calibri"/>
          <w:szCs w:val="20"/>
        </w:rPr>
        <w:t xml:space="preserve"> (IEO)</w:t>
      </w:r>
      <w:r w:rsidRPr="003F7F6C">
        <w:rPr>
          <w:rFonts w:cs="Calibri"/>
          <w:szCs w:val="20"/>
        </w:rPr>
        <w:t xml:space="preserve"> and/or the GEF Independent Evaluation Office</w:t>
      </w:r>
      <w:r w:rsidR="00C24F2A" w:rsidRPr="003F7F6C">
        <w:rPr>
          <w:rFonts w:cs="Calibri"/>
          <w:szCs w:val="20"/>
        </w:rPr>
        <w:t xml:space="preserve"> (IEO)</w:t>
      </w:r>
      <w:r w:rsidRPr="003F7F6C">
        <w:rPr>
          <w:rFonts w:cs="Calibri"/>
          <w:szCs w:val="20"/>
        </w:rPr>
        <w:t xml:space="preserve">.  </w:t>
      </w:r>
    </w:p>
    <w:p w14:paraId="0F4C55BB" w14:textId="77777777" w:rsidR="00C01468" w:rsidRPr="003F7F6C" w:rsidRDefault="00AF5DF8" w:rsidP="00E91275">
      <w:pPr>
        <w:numPr>
          <w:ilvl w:val="0"/>
          <w:numId w:val="28"/>
        </w:numPr>
        <w:tabs>
          <w:tab w:val="left" w:pos="426"/>
        </w:tabs>
        <w:spacing w:after="240"/>
        <w:ind w:left="0" w:firstLine="0"/>
        <w:rPr>
          <w:rFonts w:cs="Calibri"/>
          <w:szCs w:val="20"/>
        </w:rPr>
      </w:pPr>
      <w:r w:rsidRPr="003F7F6C">
        <w:rPr>
          <w:rFonts w:cs="Calibri"/>
          <w:szCs w:val="20"/>
          <w:u w:val="single"/>
        </w:rPr>
        <w:t>UNDP-GEF Unit</w:t>
      </w:r>
      <w:r w:rsidRPr="003F7F6C">
        <w:rPr>
          <w:rFonts w:cs="Calibri"/>
          <w:szCs w:val="20"/>
        </w:rPr>
        <w:t xml:space="preserve">:  </w:t>
      </w:r>
      <w:r w:rsidR="0053408E" w:rsidRPr="003F7F6C">
        <w:rPr>
          <w:rFonts w:cs="Calibri"/>
          <w:szCs w:val="20"/>
        </w:rPr>
        <w:t xml:space="preserve">Additional M&amp;E and implementation quality assurance and troubleshooting support will be </w:t>
      </w:r>
      <w:r w:rsidR="00FC195B" w:rsidRPr="003F7F6C">
        <w:rPr>
          <w:rFonts w:cs="Calibri"/>
          <w:szCs w:val="20"/>
        </w:rPr>
        <w:t>p</w:t>
      </w:r>
      <w:r w:rsidR="0053408E" w:rsidRPr="003F7F6C">
        <w:rPr>
          <w:rFonts w:cs="Calibri"/>
          <w:szCs w:val="20"/>
        </w:rPr>
        <w:t xml:space="preserve">rovided by the UNDP-GEF Regional Technical Advisor and the UNDP-GEF </w:t>
      </w:r>
      <w:r w:rsidR="00043A4B" w:rsidRPr="003F7F6C">
        <w:rPr>
          <w:rFonts w:cs="Calibri"/>
          <w:szCs w:val="20"/>
        </w:rPr>
        <w:t>Directorate</w:t>
      </w:r>
      <w:r w:rsidR="0053408E" w:rsidRPr="003F7F6C">
        <w:rPr>
          <w:rFonts w:cs="Calibri"/>
          <w:szCs w:val="20"/>
        </w:rPr>
        <w:t xml:space="preserve"> as needed.  </w:t>
      </w:r>
    </w:p>
    <w:p w14:paraId="7E8195D6" w14:textId="77777777" w:rsidR="00C01468" w:rsidRPr="003F7F6C" w:rsidRDefault="004E7826" w:rsidP="00E91275">
      <w:pPr>
        <w:numPr>
          <w:ilvl w:val="0"/>
          <w:numId w:val="28"/>
        </w:numPr>
        <w:tabs>
          <w:tab w:val="left" w:pos="426"/>
        </w:tabs>
        <w:spacing w:after="240"/>
        <w:ind w:left="0" w:firstLine="0"/>
        <w:rPr>
          <w:rFonts w:cs="Calibri"/>
          <w:szCs w:val="20"/>
        </w:rPr>
      </w:pPr>
      <w:r w:rsidRPr="003F7F6C">
        <w:rPr>
          <w:rFonts w:cs="Calibri"/>
          <w:b/>
          <w:szCs w:val="20"/>
        </w:rPr>
        <w:t>Audit</w:t>
      </w:r>
      <w:r w:rsidRPr="003F7F6C">
        <w:rPr>
          <w:rFonts w:cs="Calibri"/>
          <w:szCs w:val="20"/>
        </w:rPr>
        <w:t xml:space="preserve">: The project will be audited </w:t>
      </w:r>
      <w:r w:rsidR="006A6A9E" w:rsidRPr="003F7F6C">
        <w:rPr>
          <w:rFonts w:cs="Calibri"/>
          <w:szCs w:val="20"/>
        </w:rPr>
        <w:t>as per</w:t>
      </w:r>
      <w:r w:rsidRPr="003F7F6C">
        <w:rPr>
          <w:rFonts w:cs="Calibri"/>
          <w:szCs w:val="20"/>
        </w:rPr>
        <w:t xml:space="preserve"> UNDP Financial Regulations and Rules and applicable audit policies on NIM implemented projects</w:t>
      </w:r>
      <w:r w:rsidR="004440C2" w:rsidRPr="003F7F6C">
        <w:rPr>
          <w:rFonts w:cs="Calibri"/>
          <w:szCs w:val="20"/>
        </w:rPr>
        <w:t>.</w:t>
      </w:r>
      <w:r w:rsidR="004440C2" w:rsidRPr="003F7F6C">
        <w:rPr>
          <w:rStyle w:val="FootnoteReference"/>
          <w:szCs w:val="20"/>
        </w:rPr>
        <w:footnoteReference w:id="81"/>
      </w:r>
    </w:p>
    <w:p w14:paraId="4C5E27B4" w14:textId="77777777" w:rsidR="00C01468" w:rsidRPr="003F7F6C" w:rsidRDefault="0053408E" w:rsidP="00C01468">
      <w:pPr>
        <w:tabs>
          <w:tab w:val="left" w:pos="426"/>
        </w:tabs>
        <w:spacing w:after="240"/>
        <w:rPr>
          <w:rFonts w:cs="Calibri"/>
          <w:szCs w:val="20"/>
        </w:rPr>
      </w:pPr>
      <w:r w:rsidRPr="003F7F6C">
        <w:rPr>
          <w:rFonts w:cs="Calibri"/>
          <w:b/>
          <w:szCs w:val="20"/>
        </w:rPr>
        <w:t>Additional GEF monitoring and reporting requirements:</w:t>
      </w:r>
    </w:p>
    <w:p w14:paraId="5326130F" w14:textId="77777777" w:rsidR="004440C2" w:rsidRPr="003F7F6C" w:rsidRDefault="0053408E" w:rsidP="00E91275">
      <w:pPr>
        <w:numPr>
          <w:ilvl w:val="0"/>
          <w:numId w:val="28"/>
        </w:numPr>
        <w:tabs>
          <w:tab w:val="left" w:pos="426"/>
        </w:tabs>
        <w:spacing w:after="240"/>
        <w:ind w:left="0" w:firstLine="0"/>
        <w:rPr>
          <w:rFonts w:cs="Calibri"/>
          <w:szCs w:val="20"/>
        </w:rPr>
      </w:pPr>
      <w:r w:rsidRPr="003F7F6C">
        <w:rPr>
          <w:rFonts w:cs="Calibri"/>
          <w:szCs w:val="20"/>
          <w:u w:val="single"/>
        </w:rPr>
        <w:t>Inception Workshop</w:t>
      </w:r>
      <w:r w:rsidR="005A5CD9" w:rsidRPr="003F7F6C">
        <w:rPr>
          <w:rFonts w:cs="Calibri"/>
          <w:szCs w:val="20"/>
          <w:u w:val="single"/>
        </w:rPr>
        <w:t xml:space="preserve"> and Report</w:t>
      </w:r>
      <w:r w:rsidRPr="003F7F6C">
        <w:rPr>
          <w:rFonts w:cs="Calibri"/>
          <w:szCs w:val="20"/>
        </w:rPr>
        <w:t xml:space="preserve">:  A project inception workshop will be held </w:t>
      </w:r>
      <w:r w:rsidR="00CE2AA6" w:rsidRPr="003F7F6C">
        <w:rPr>
          <w:rFonts w:cs="Calibri"/>
          <w:szCs w:val="20"/>
        </w:rPr>
        <w:t xml:space="preserve">within two months </w:t>
      </w:r>
      <w:r w:rsidRPr="003F7F6C">
        <w:rPr>
          <w:rFonts w:cs="Calibri"/>
          <w:szCs w:val="20"/>
        </w:rPr>
        <w:t>after the project document has been signed by all relevant parties to</w:t>
      </w:r>
      <w:r w:rsidR="004440C2" w:rsidRPr="003F7F6C">
        <w:rPr>
          <w:rFonts w:cs="Calibri"/>
          <w:szCs w:val="20"/>
        </w:rPr>
        <w:t>, amongst others</w:t>
      </w:r>
      <w:r w:rsidRPr="003F7F6C">
        <w:rPr>
          <w:rFonts w:cs="Calibri"/>
          <w:szCs w:val="20"/>
        </w:rPr>
        <w:t xml:space="preserve">:  </w:t>
      </w:r>
    </w:p>
    <w:p w14:paraId="76B60B26" w14:textId="77777777" w:rsidR="004440C2" w:rsidRPr="003F7F6C" w:rsidRDefault="0053408E" w:rsidP="00FD79FC">
      <w:pPr>
        <w:spacing w:after="0"/>
        <w:rPr>
          <w:rFonts w:cs="Calibri"/>
          <w:szCs w:val="20"/>
        </w:rPr>
      </w:pPr>
      <w:r w:rsidRPr="003F7F6C">
        <w:rPr>
          <w:rFonts w:cs="Calibri"/>
          <w:szCs w:val="20"/>
        </w:rPr>
        <w:t xml:space="preserve">a) </w:t>
      </w:r>
      <w:r w:rsidR="004440C2" w:rsidRPr="003F7F6C">
        <w:rPr>
          <w:rFonts w:cs="Calibri"/>
          <w:szCs w:val="20"/>
        </w:rPr>
        <w:t>R</w:t>
      </w:r>
      <w:r w:rsidRPr="003F7F6C">
        <w:rPr>
          <w:rFonts w:cs="Calibri"/>
          <w:szCs w:val="20"/>
        </w:rPr>
        <w:t>e-orient project stakeholders to the project strategy and discuss any changes in the overall context that influence project</w:t>
      </w:r>
      <w:r w:rsidR="009A0D83" w:rsidRPr="003F7F6C">
        <w:rPr>
          <w:rFonts w:cs="Calibri"/>
          <w:szCs w:val="20"/>
        </w:rPr>
        <w:t xml:space="preserve"> strategy and</w:t>
      </w:r>
      <w:r w:rsidRPr="003F7F6C">
        <w:rPr>
          <w:rFonts w:cs="Calibri"/>
          <w:szCs w:val="20"/>
        </w:rPr>
        <w:t xml:space="preserve"> implementation; </w:t>
      </w:r>
    </w:p>
    <w:p w14:paraId="40D6B5CD" w14:textId="77777777" w:rsidR="004440C2" w:rsidRPr="003F7F6C" w:rsidRDefault="004440C2" w:rsidP="00FD79FC">
      <w:pPr>
        <w:spacing w:after="0"/>
        <w:rPr>
          <w:rFonts w:cs="Calibri"/>
          <w:szCs w:val="20"/>
        </w:rPr>
      </w:pPr>
      <w:r w:rsidRPr="003F7F6C">
        <w:rPr>
          <w:rFonts w:cs="Calibri"/>
          <w:szCs w:val="20"/>
        </w:rPr>
        <w:t>b) D</w:t>
      </w:r>
      <w:r w:rsidR="0053408E" w:rsidRPr="003F7F6C">
        <w:rPr>
          <w:rFonts w:cs="Calibri"/>
          <w:szCs w:val="20"/>
        </w:rPr>
        <w:t xml:space="preserve">iscuss the roles and responsibilities of the project team, including reporting and communication lines and conflict resolution mechanisms; </w:t>
      </w:r>
    </w:p>
    <w:p w14:paraId="08096333" w14:textId="77777777" w:rsidR="004440C2" w:rsidRPr="003F7F6C" w:rsidRDefault="004440C2" w:rsidP="00FD79FC">
      <w:pPr>
        <w:spacing w:after="0"/>
        <w:rPr>
          <w:rFonts w:cs="Calibri"/>
          <w:szCs w:val="20"/>
        </w:rPr>
      </w:pPr>
      <w:r w:rsidRPr="003F7F6C">
        <w:rPr>
          <w:rFonts w:cs="Calibri"/>
          <w:szCs w:val="20"/>
        </w:rPr>
        <w:t>c) R</w:t>
      </w:r>
      <w:r w:rsidR="0053408E" w:rsidRPr="003F7F6C">
        <w:rPr>
          <w:rFonts w:cs="Calibri"/>
          <w:szCs w:val="20"/>
        </w:rPr>
        <w:t>eview the results framework and</w:t>
      </w:r>
      <w:r w:rsidR="00CE2AA6" w:rsidRPr="003F7F6C">
        <w:rPr>
          <w:rFonts w:cs="Calibri"/>
          <w:szCs w:val="20"/>
        </w:rPr>
        <w:t xml:space="preserve"> finalize the indicators, means of verification and monitoring plan</w:t>
      </w:r>
      <w:r w:rsidRPr="003F7F6C">
        <w:rPr>
          <w:rFonts w:cs="Calibri"/>
          <w:szCs w:val="20"/>
        </w:rPr>
        <w:t>;</w:t>
      </w:r>
      <w:r w:rsidR="0053408E" w:rsidRPr="003F7F6C">
        <w:rPr>
          <w:rFonts w:cs="Calibri"/>
          <w:szCs w:val="20"/>
        </w:rPr>
        <w:t xml:space="preserve"> </w:t>
      </w:r>
    </w:p>
    <w:p w14:paraId="6B2F5A51" w14:textId="77777777" w:rsidR="004440C2" w:rsidRPr="003F7F6C" w:rsidRDefault="00CE2AA6" w:rsidP="00FD79FC">
      <w:pPr>
        <w:spacing w:after="0"/>
        <w:rPr>
          <w:rFonts w:cs="Calibri"/>
          <w:szCs w:val="20"/>
        </w:rPr>
      </w:pPr>
      <w:r w:rsidRPr="003F7F6C">
        <w:rPr>
          <w:rFonts w:cs="Calibri"/>
          <w:szCs w:val="20"/>
        </w:rPr>
        <w:t xml:space="preserve">d) </w:t>
      </w:r>
      <w:r w:rsidR="004440C2" w:rsidRPr="003F7F6C">
        <w:rPr>
          <w:rFonts w:cs="Calibri"/>
          <w:szCs w:val="20"/>
        </w:rPr>
        <w:t>D</w:t>
      </w:r>
      <w:r w:rsidR="0053408E" w:rsidRPr="003F7F6C">
        <w:rPr>
          <w:rFonts w:cs="Calibri"/>
          <w:szCs w:val="20"/>
        </w:rPr>
        <w:t xml:space="preserve">iscuss reporting, monitoring and evaluation roles and responsibilities and finalize the M&amp;E </w:t>
      </w:r>
      <w:r w:rsidRPr="003F7F6C">
        <w:rPr>
          <w:rFonts w:cs="Calibri"/>
          <w:szCs w:val="20"/>
        </w:rPr>
        <w:t>budget</w:t>
      </w:r>
      <w:r w:rsidR="0053408E" w:rsidRPr="003F7F6C">
        <w:rPr>
          <w:rFonts w:cs="Calibri"/>
          <w:szCs w:val="20"/>
        </w:rPr>
        <w:t xml:space="preserve">; </w:t>
      </w:r>
      <w:r w:rsidR="009A0D83" w:rsidRPr="003F7F6C">
        <w:rPr>
          <w:rFonts w:cs="Calibri"/>
          <w:szCs w:val="20"/>
        </w:rPr>
        <w:t>identify national/regional institutes to be involved in project-level M&amp;E; discuss the role of the GEF OFP in M&amp;E;</w:t>
      </w:r>
    </w:p>
    <w:p w14:paraId="12A8B783" w14:textId="77777777" w:rsidR="00E45EC4" w:rsidRPr="003F7F6C" w:rsidRDefault="00E45EC4" w:rsidP="00FD79FC">
      <w:pPr>
        <w:spacing w:after="0"/>
        <w:rPr>
          <w:rFonts w:cs="Calibri"/>
          <w:szCs w:val="20"/>
        </w:rPr>
      </w:pPr>
      <w:r w:rsidRPr="003F7F6C">
        <w:rPr>
          <w:rFonts w:cs="Calibri"/>
          <w:szCs w:val="20"/>
        </w:rPr>
        <w:t xml:space="preserve">e) Update and review responsibilities for monitoring the various project plans and strategies, including the risk log; </w:t>
      </w:r>
      <w:r w:rsidR="00BE6F2A" w:rsidRPr="003F7F6C">
        <w:rPr>
          <w:rFonts w:cs="Calibri"/>
          <w:szCs w:val="20"/>
        </w:rPr>
        <w:t xml:space="preserve">SESP, </w:t>
      </w:r>
      <w:r w:rsidRPr="003F7F6C">
        <w:rPr>
          <w:rFonts w:cs="Calibri"/>
          <w:szCs w:val="20"/>
        </w:rPr>
        <w:t xml:space="preserve">Environmental and Social Management Plan and other safeguard </w:t>
      </w:r>
      <w:r w:rsidR="00C24F2A" w:rsidRPr="003F7F6C">
        <w:rPr>
          <w:rFonts w:cs="Calibri"/>
          <w:szCs w:val="20"/>
        </w:rPr>
        <w:t>requirements</w:t>
      </w:r>
      <w:r w:rsidR="00090CD1" w:rsidRPr="003F7F6C">
        <w:rPr>
          <w:rFonts w:cs="Calibri"/>
          <w:szCs w:val="20"/>
        </w:rPr>
        <w:t xml:space="preserve">; </w:t>
      </w:r>
      <w:r w:rsidR="00BE6F2A" w:rsidRPr="003F7F6C">
        <w:rPr>
          <w:rFonts w:cs="Calibri"/>
          <w:szCs w:val="20"/>
        </w:rPr>
        <w:t xml:space="preserve">project grievance </w:t>
      </w:r>
      <w:r w:rsidR="00090CD1" w:rsidRPr="003F7F6C">
        <w:rPr>
          <w:rFonts w:cs="Calibri"/>
          <w:szCs w:val="20"/>
        </w:rPr>
        <w:t>mechanisms</w:t>
      </w:r>
      <w:r w:rsidRPr="003F7F6C">
        <w:rPr>
          <w:rFonts w:cs="Calibri"/>
          <w:szCs w:val="20"/>
        </w:rPr>
        <w:t>; the gender strategy</w:t>
      </w:r>
      <w:r w:rsidR="00162DAA" w:rsidRPr="003F7F6C">
        <w:rPr>
          <w:rFonts w:cs="Calibri"/>
          <w:szCs w:val="20"/>
        </w:rPr>
        <w:t>;</w:t>
      </w:r>
      <w:r w:rsidRPr="003F7F6C">
        <w:rPr>
          <w:rFonts w:cs="Calibri"/>
          <w:szCs w:val="20"/>
        </w:rPr>
        <w:t xml:space="preserve"> the knowledge management strategy</w:t>
      </w:r>
      <w:r w:rsidR="00162DAA" w:rsidRPr="003F7F6C">
        <w:rPr>
          <w:rFonts w:cs="Calibri"/>
          <w:szCs w:val="20"/>
        </w:rPr>
        <w:t>,</w:t>
      </w:r>
      <w:r w:rsidRPr="003F7F6C">
        <w:rPr>
          <w:rFonts w:cs="Calibri"/>
          <w:szCs w:val="20"/>
        </w:rPr>
        <w:t xml:space="preserve"> and other relevant strategies; </w:t>
      </w:r>
    </w:p>
    <w:p w14:paraId="6D94C739" w14:textId="77777777" w:rsidR="004440C2" w:rsidRPr="003F7F6C" w:rsidRDefault="00E45EC4" w:rsidP="00FD79FC">
      <w:pPr>
        <w:spacing w:after="0"/>
        <w:rPr>
          <w:rFonts w:cs="Calibri"/>
          <w:szCs w:val="20"/>
        </w:rPr>
      </w:pPr>
      <w:r w:rsidRPr="003F7F6C">
        <w:rPr>
          <w:rFonts w:cs="Calibri"/>
          <w:szCs w:val="20"/>
        </w:rPr>
        <w:t>f</w:t>
      </w:r>
      <w:r w:rsidR="0053408E" w:rsidRPr="003F7F6C">
        <w:rPr>
          <w:rFonts w:cs="Calibri"/>
          <w:szCs w:val="20"/>
        </w:rPr>
        <w:t xml:space="preserve">) </w:t>
      </w:r>
      <w:r w:rsidR="004440C2" w:rsidRPr="003F7F6C">
        <w:rPr>
          <w:rFonts w:cs="Calibri"/>
          <w:szCs w:val="20"/>
        </w:rPr>
        <w:t>R</w:t>
      </w:r>
      <w:r w:rsidR="0053408E" w:rsidRPr="003F7F6C">
        <w:rPr>
          <w:rFonts w:cs="Calibri"/>
          <w:szCs w:val="20"/>
        </w:rPr>
        <w:t xml:space="preserve">eview financial reporting procedures and mandatory requirements, and agree on the arrangements for the annual audit; </w:t>
      </w:r>
      <w:r w:rsidR="004440C2" w:rsidRPr="003F7F6C">
        <w:rPr>
          <w:rFonts w:cs="Calibri"/>
          <w:szCs w:val="20"/>
        </w:rPr>
        <w:t>and</w:t>
      </w:r>
    </w:p>
    <w:p w14:paraId="7FABBD1B" w14:textId="77777777" w:rsidR="004440C2" w:rsidRPr="003F7F6C" w:rsidRDefault="00E45EC4" w:rsidP="00FD79FC">
      <w:pPr>
        <w:spacing w:after="0"/>
        <w:rPr>
          <w:rFonts w:cs="Calibri"/>
          <w:szCs w:val="20"/>
        </w:rPr>
      </w:pPr>
      <w:r w:rsidRPr="003F7F6C">
        <w:rPr>
          <w:rFonts w:cs="Calibri"/>
          <w:szCs w:val="20"/>
        </w:rPr>
        <w:t>g</w:t>
      </w:r>
      <w:r w:rsidR="004440C2" w:rsidRPr="003F7F6C">
        <w:rPr>
          <w:rFonts w:cs="Calibri"/>
          <w:szCs w:val="20"/>
        </w:rPr>
        <w:t>)</w:t>
      </w:r>
      <w:r w:rsidR="0053408E" w:rsidRPr="003F7F6C">
        <w:rPr>
          <w:rFonts w:cs="Calibri"/>
          <w:szCs w:val="20"/>
        </w:rPr>
        <w:t xml:space="preserve"> </w:t>
      </w:r>
      <w:r w:rsidR="004440C2" w:rsidRPr="003F7F6C">
        <w:rPr>
          <w:rFonts w:cs="Calibri"/>
          <w:szCs w:val="20"/>
        </w:rPr>
        <w:t>P</w:t>
      </w:r>
      <w:r w:rsidR="0053408E" w:rsidRPr="003F7F6C">
        <w:rPr>
          <w:rFonts w:cs="Calibri"/>
          <w:szCs w:val="20"/>
        </w:rPr>
        <w:t xml:space="preserve">lan and schedule Project Board meetings and finalize the first year annual work plan.  </w:t>
      </w:r>
    </w:p>
    <w:p w14:paraId="7A82A81F" w14:textId="77777777" w:rsidR="00162DAA" w:rsidRPr="003F7F6C" w:rsidRDefault="00162DAA" w:rsidP="00FD79FC">
      <w:pPr>
        <w:spacing w:after="0"/>
        <w:rPr>
          <w:rFonts w:cs="Calibri"/>
          <w:szCs w:val="20"/>
        </w:rPr>
      </w:pPr>
    </w:p>
    <w:p w14:paraId="01789C16" w14:textId="77777777" w:rsidR="00C01468" w:rsidRPr="003F7F6C" w:rsidRDefault="0053408E" w:rsidP="00E91275">
      <w:pPr>
        <w:numPr>
          <w:ilvl w:val="0"/>
          <w:numId w:val="28"/>
        </w:numPr>
        <w:spacing w:after="240"/>
        <w:ind w:left="0" w:firstLine="0"/>
        <w:rPr>
          <w:rFonts w:cs="Calibri"/>
          <w:szCs w:val="20"/>
        </w:rPr>
      </w:pPr>
      <w:r w:rsidRPr="003F7F6C">
        <w:rPr>
          <w:rFonts w:cs="Calibri"/>
          <w:szCs w:val="20"/>
        </w:rPr>
        <w:t xml:space="preserve">The Project </w:t>
      </w:r>
      <w:r w:rsidR="00F47AF3" w:rsidRPr="003F7F6C">
        <w:rPr>
          <w:rFonts w:cs="Calibri"/>
          <w:szCs w:val="20"/>
        </w:rPr>
        <w:t>Coordinator</w:t>
      </w:r>
      <w:r w:rsidRPr="003F7F6C">
        <w:rPr>
          <w:rFonts w:cs="Calibri"/>
          <w:szCs w:val="20"/>
        </w:rPr>
        <w:t xml:space="preserve"> will prepare the inception report no later than one month after the inception workshop. The inception report will be cleared by the UNDP Country Office and the UNDP-GEF Regional Technical Adviser, and will be approved by the Project Board.   </w:t>
      </w:r>
    </w:p>
    <w:p w14:paraId="0B089DFC" w14:textId="77777777" w:rsidR="00C01468" w:rsidRPr="003F7F6C" w:rsidRDefault="0053408E" w:rsidP="00E91275">
      <w:pPr>
        <w:numPr>
          <w:ilvl w:val="0"/>
          <w:numId w:val="28"/>
        </w:numPr>
        <w:spacing w:after="240"/>
        <w:ind w:left="0" w:firstLine="0"/>
        <w:rPr>
          <w:rFonts w:cs="Calibri"/>
          <w:szCs w:val="20"/>
        </w:rPr>
      </w:pPr>
      <w:r w:rsidRPr="003F7F6C">
        <w:rPr>
          <w:rFonts w:cs="Calibri"/>
          <w:szCs w:val="20"/>
          <w:u w:val="single"/>
        </w:rPr>
        <w:t>GEF Project Implementation Report (PIR</w:t>
      </w:r>
      <w:r w:rsidRPr="003F7F6C">
        <w:rPr>
          <w:rFonts w:cs="Calibri"/>
          <w:szCs w:val="20"/>
        </w:rPr>
        <w:t xml:space="preserve">):  The Project </w:t>
      </w:r>
      <w:r w:rsidR="00F47AF3" w:rsidRPr="003F7F6C">
        <w:rPr>
          <w:rFonts w:cs="Calibri"/>
          <w:szCs w:val="20"/>
        </w:rPr>
        <w:t>Coordinator</w:t>
      </w:r>
      <w:r w:rsidRPr="003F7F6C">
        <w:rPr>
          <w:rFonts w:cs="Calibri"/>
          <w:szCs w:val="20"/>
        </w:rPr>
        <w:t>, the UNDP Country Office, and the UNDP-GEF Regional Technical Advisor will provide objective input to the annual GEF PIR covering the reporting period July (previous year) to June (current year) for each</w:t>
      </w:r>
      <w:r w:rsidR="009A0D83" w:rsidRPr="003F7F6C">
        <w:rPr>
          <w:rFonts w:cs="Calibri"/>
          <w:szCs w:val="20"/>
        </w:rPr>
        <w:t xml:space="preserve"> year of project implementation. </w:t>
      </w:r>
      <w:r w:rsidRPr="003F7F6C">
        <w:rPr>
          <w:rFonts w:cs="Calibri"/>
          <w:szCs w:val="20"/>
        </w:rPr>
        <w:t xml:space="preserve">The Project </w:t>
      </w:r>
      <w:r w:rsidR="00F47AF3" w:rsidRPr="003F7F6C">
        <w:rPr>
          <w:rFonts w:cs="Calibri"/>
          <w:szCs w:val="20"/>
        </w:rPr>
        <w:t>Coordinator</w:t>
      </w:r>
      <w:r w:rsidRPr="003F7F6C">
        <w:rPr>
          <w:rFonts w:cs="Calibri"/>
          <w:szCs w:val="20"/>
        </w:rPr>
        <w:t xml:space="preserve"> will ensure that the indicators included in the project results framework are monitored annually </w:t>
      </w:r>
      <w:r w:rsidR="00C24F2A" w:rsidRPr="003F7F6C">
        <w:rPr>
          <w:rFonts w:cs="Calibri"/>
          <w:szCs w:val="20"/>
        </w:rPr>
        <w:t>in advance of the PIR submission deadline so that progress can be reported i</w:t>
      </w:r>
      <w:r w:rsidR="00DC1BE4" w:rsidRPr="003F7F6C">
        <w:rPr>
          <w:rFonts w:cs="Calibri"/>
          <w:szCs w:val="20"/>
        </w:rPr>
        <w:t>n the PIR</w:t>
      </w:r>
      <w:r w:rsidRPr="003F7F6C">
        <w:rPr>
          <w:rFonts w:cs="Calibri"/>
          <w:szCs w:val="20"/>
        </w:rPr>
        <w:t xml:space="preserve">. </w:t>
      </w:r>
      <w:r w:rsidR="009B2545" w:rsidRPr="003F7F6C">
        <w:rPr>
          <w:rFonts w:cs="Calibri"/>
          <w:szCs w:val="20"/>
        </w:rPr>
        <w:t xml:space="preserve">Any environmental and social risks and related management plans will be monitored regularly, and progress will be reported in the PIR. </w:t>
      </w:r>
    </w:p>
    <w:p w14:paraId="64A1838B" w14:textId="77777777" w:rsidR="00C01468" w:rsidRPr="003F7F6C" w:rsidRDefault="0053408E" w:rsidP="00E91275">
      <w:pPr>
        <w:numPr>
          <w:ilvl w:val="0"/>
          <w:numId w:val="28"/>
        </w:numPr>
        <w:spacing w:after="240"/>
        <w:ind w:left="0" w:firstLine="0"/>
        <w:rPr>
          <w:rFonts w:cs="Calibri"/>
          <w:szCs w:val="20"/>
        </w:rPr>
      </w:pPr>
      <w:r w:rsidRPr="003F7F6C">
        <w:rPr>
          <w:rFonts w:cs="Calibri"/>
          <w:szCs w:val="20"/>
        </w:rPr>
        <w:t xml:space="preserve">The PIR submitted to the GEF </w:t>
      </w:r>
      <w:r w:rsidR="00C24F2A" w:rsidRPr="003F7F6C">
        <w:rPr>
          <w:rFonts w:cs="Calibri"/>
          <w:szCs w:val="20"/>
        </w:rPr>
        <w:t xml:space="preserve">will be shared with the </w:t>
      </w:r>
      <w:r w:rsidRPr="003F7F6C">
        <w:rPr>
          <w:rFonts w:cs="Calibri"/>
          <w:szCs w:val="20"/>
        </w:rPr>
        <w:t>Project Board. The UNDP Country Office will coordinate the input of the GEF Operational Focal Point and other stakeholders to the PIR</w:t>
      </w:r>
      <w:r w:rsidR="00B13428" w:rsidRPr="003F7F6C">
        <w:rPr>
          <w:rFonts w:cs="Calibri"/>
          <w:szCs w:val="20"/>
        </w:rPr>
        <w:t xml:space="preserve"> as appropriate</w:t>
      </w:r>
      <w:r w:rsidR="009A0D83" w:rsidRPr="003F7F6C">
        <w:rPr>
          <w:rFonts w:cs="Calibri"/>
          <w:szCs w:val="20"/>
        </w:rPr>
        <w:t xml:space="preserve">. </w:t>
      </w:r>
      <w:r w:rsidRPr="003F7F6C">
        <w:rPr>
          <w:rFonts w:cs="Calibri"/>
          <w:szCs w:val="20"/>
        </w:rPr>
        <w:t xml:space="preserve">The quality rating of the previous year’s PIR will be used to inform the preparation of the </w:t>
      </w:r>
      <w:r w:rsidR="00E114E5" w:rsidRPr="003F7F6C">
        <w:rPr>
          <w:rFonts w:cs="Calibri"/>
          <w:szCs w:val="20"/>
        </w:rPr>
        <w:t>subsequent</w:t>
      </w:r>
      <w:r w:rsidRPr="003F7F6C">
        <w:rPr>
          <w:rFonts w:cs="Calibri"/>
          <w:szCs w:val="20"/>
        </w:rPr>
        <w:t xml:space="preserve"> PIR.  </w:t>
      </w:r>
    </w:p>
    <w:p w14:paraId="23405D47" w14:textId="77777777" w:rsidR="00C01468" w:rsidRPr="003F7F6C" w:rsidRDefault="001E6563" w:rsidP="00E91275">
      <w:pPr>
        <w:numPr>
          <w:ilvl w:val="0"/>
          <w:numId w:val="28"/>
        </w:numPr>
        <w:spacing w:after="240"/>
        <w:ind w:left="0" w:firstLine="0"/>
        <w:rPr>
          <w:rFonts w:cs="Calibri"/>
          <w:szCs w:val="20"/>
        </w:rPr>
      </w:pPr>
      <w:r w:rsidRPr="003F7F6C">
        <w:rPr>
          <w:rFonts w:cs="Calibri"/>
          <w:szCs w:val="20"/>
          <w:u w:val="single"/>
          <w:lang w:val="en-GB"/>
        </w:rPr>
        <w:t>Lessons learned and knowledge generation</w:t>
      </w:r>
      <w:r w:rsidRPr="003F7F6C">
        <w:rPr>
          <w:rFonts w:cs="Calibri"/>
          <w:szCs w:val="20"/>
          <w:lang w:val="en-GB"/>
        </w:rPr>
        <w:t>:  Results from the project will be disseminated within and beyond the project intervention area through existing informatio</w:t>
      </w:r>
      <w:r w:rsidR="00F21E1A" w:rsidRPr="003F7F6C">
        <w:rPr>
          <w:rFonts w:cs="Calibri"/>
          <w:szCs w:val="20"/>
          <w:lang w:val="en-GB"/>
        </w:rPr>
        <w:t xml:space="preserve">n sharing networks and forums. </w:t>
      </w:r>
      <w:r w:rsidRPr="003F7F6C">
        <w:rPr>
          <w:rFonts w:cs="Calibri"/>
          <w:szCs w:val="20"/>
          <w:lang w:val="en-GB"/>
        </w:rPr>
        <w:t>The project will identify and participate, as relevant and appropriate, in scientific, policy-based and/or any other networks, which may</w:t>
      </w:r>
      <w:r w:rsidR="0029674B" w:rsidRPr="003F7F6C">
        <w:rPr>
          <w:rFonts w:cs="Calibri"/>
          <w:szCs w:val="20"/>
          <w:lang w:val="en-GB"/>
        </w:rPr>
        <w:t xml:space="preserve"> be of benefit to the project. </w:t>
      </w:r>
      <w:r w:rsidRPr="003F7F6C">
        <w:rPr>
          <w:rFonts w:cs="Calibri"/>
          <w:szCs w:val="20"/>
          <w:lang w:val="en-GB"/>
        </w:rPr>
        <w:t xml:space="preserve">The project will identify, analyse and share lessons learned that might be beneficial to the </w:t>
      </w:r>
      <w:r w:rsidR="003C290D" w:rsidRPr="003F7F6C">
        <w:rPr>
          <w:rFonts w:cs="Calibri"/>
          <w:szCs w:val="20"/>
          <w:lang w:val="en-GB"/>
        </w:rPr>
        <w:t>design</w:t>
      </w:r>
      <w:r w:rsidRPr="003F7F6C">
        <w:rPr>
          <w:rFonts w:cs="Calibri"/>
          <w:szCs w:val="20"/>
          <w:lang w:val="en-GB"/>
        </w:rPr>
        <w:t xml:space="preserve"> and implementation of similar projects</w:t>
      </w:r>
      <w:r w:rsidR="0029674B" w:rsidRPr="003F7F6C">
        <w:rPr>
          <w:rFonts w:cs="Calibri"/>
          <w:szCs w:val="20"/>
          <w:lang w:val="en-GB"/>
        </w:rPr>
        <w:t xml:space="preserve"> and </w:t>
      </w:r>
      <w:r w:rsidR="00D31041" w:rsidRPr="003F7F6C">
        <w:rPr>
          <w:rFonts w:cs="Calibri"/>
          <w:szCs w:val="20"/>
          <w:lang w:val="en-GB"/>
        </w:rPr>
        <w:t xml:space="preserve">disseminate </w:t>
      </w:r>
      <w:r w:rsidR="0029674B" w:rsidRPr="003F7F6C">
        <w:rPr>
          <w:rFonts w:cs="Calibri"/>
          <w:szCs w:val="20"/>
          <w:lang w:val="en-GB"/>
        </w:rPr>
        <w:t>these lessons widely</w:t>
      </w:r>
      <w:r w:rsidRPr="003F7F6C">
        <w:rPr>
          <w:rFonts w:cs="Calibri"/>
          <w:szCs w:val="20"/>
          <w:lang w:val="en-GB"/>
        </w:rPr>
        <w:t>. There will be</w:t>
      </w:r>
      <w:r w:rsidR="00D31041" w:rsidRPr="003F7F6C">
        <w:rPr>
          <w:rFonts w:cs="Calibri"/>
          <w:szCs w:val="20"/>
          <w:lang w:val="en-GB"/>
        </w:rPr>
        <w:t xml:space="preserve"> continuous </w:t>
      </w:r>
      <w:bookmarkStart w:id="18" w:name="_Hlk526968331"/>
      <w:r w:rsidR="00D31041" w:rsidRPr="003F7F6C">
        <w:rPr>
          <w:rFonts w:cs="Calibri"/>
          <w:szCs w:val="20"/>
          <w:lang w:val="en-GB"/>
        </w:rPr>
        <w:t>i</w:t>
      </w:r>
      <w:r w:rsidRPr="003F7F6C">
        <w:rPr>
          <w:rFonts w:cs="Calibri"/>
          <w:szCs w:val="20"/>
          <w:lang w:val="en-GB"/>
        </w:rPr>
        <w:t xml:space="preserve">nformation </w:t>
      </w:r>
      <w:r w:rsidR="00D31041" w:rsidRPr="003F7F6C">
        <w:rPr>
          <w:rFonts w:cs="Calibri"/>
          <w:szCs w:val="20"/>
          <w:lang w:val="en-GB"/>
        </w:rPr>
        <w:t xml:space="preserve">exchange </w:t>
      </w:r>
      <w:r w:rsidRPr="003F7F6C">
        <w:rPr>
          <w:rFonts w:cs="Calibri"/>
          <w:szCs w:val="20"/>
          <w:lang w:val="en-GB"/>
        </w:rPr>
        <w:t>between this project and other projects</w:t>
      </w:r>
      <w:r w:rsidR="00E45EC4" w:rsidRPr="003F7F6C">
        <w:rPr>
          <w:rFonts w:cs="Calibri"/>
          <w:szCs w:val="20"/>
          <w:lang w:val="en-GB"/>
        </w:rPr>
        <w:t xml:space="preserve"> </w:t>
      </w:r>
      <w:r w:rsidRPr="003F7F6C">
        <w:rPr>
          <w:rFonts w:cs="Calibri"/>
          <w:szCs w:val="20"/>
          <w:lang w:val="en-GB"/>
        </w:rPr>
        <w:t>of similar focus in the same country, region and globally.</w:t>
      </w:r>
    </w:p>
    <w:p w14:paraId="77472CA1" w14:textId="77777777" w:rsidR="00C01468" w:rsidRPr="003F7F6C" w:rsidRDefault="003E3ABA" w:rsidP="00E91275">
      <w:pPr>
        <w:numPr>
          <w:ilvl w:val="0"/>
          <w:numId w:val="28"/>
        </w:numPr>
        <w:spacing w:after="240"/>
        <w:ind w:left="0" w:firstLine="0"/>
        <w:rPr>
          <w:rFonts w:cs="Calibri"/>
          <w:szCs w:val="20"/>
        </w:rPr>
      </w:pPr>
      <w:r w:rsidRPr="003F7F6C">
        <w:rPr>
          <w:rFonts w:cs="Calibri"/>
          <w:szCs w:val="20"/>
          <w:u w:val="single"/>
          <w:lang w:val="en-GB"/>
        </w:rPr>
        <w:t xml:space="preserve">GEF </w:t>
      </w:r>
      <w:r w:rsidR="00D81270" w:rsidRPr="003F7F6C">
        <w:rPr>
          <w:rFonts w:cs="Calibri"/>
          <w:szCs w:val="20"/>
          <w:u w:val="single"/>
          <w:lang w:val="en-GB"/>
        </w:rPr>
        <w:t>core indicator data</w:t>
      </w:r>
      <w:r w:rsidRPr="003F7F6C">
        <w:rPr>
          <w:rFonts w:cs="Calibri"/>
          <w:szCs w:val="20"/>
          <w:lang w:val="en-GB"/>
        </w:rPr>
        <w:t xml:space="preserve">:  </w:t>
      </w:r>
      <w:r w:rsidR="00C24F2A" w:rsidRPr="003F7F6C">
        <w:rPr>
          <w:rFonts w:cs="Calibri"/>
          <w:szCs w:val="20"/>
          <w:lang w:val="en-GB"/>
        </w:rPr>
        <w:t>T</w:t>
      </w:r>
      <w:r w:rsidRPr="003F7F6C">
        <w:rPr>
          <w:rFonts w:cs="Calibri"/>
          <w:szCs w:val="20"/>
          <w:lang w:val="en-GB"/>
        </w:rPr>
        <w:t>h</w:t>
      </w:r>
      <w:r w:rsidR="00C24F2A" w:rsidRPr="003F7F6C">
        <w:rPr>
          <w:rFonts w:cs="Calibri"/>
          <w:szCs w:val="20"/>
          <w:lang w:val="en-GB"/>
        </w:rPr>
        <w:t xml:space="preserve">e </w:t>
      </w:r>
      <w:r w:rsidR="00D81270" w:rsidRPr="003F7F6C">
        <w:rPr>
          <w:rFonts w:cs="Calibri"/>
          <w:szCs w:val="20"/>
          <w:lang w:val="en-GB"/>
        </w:rPr>
        <w:t>GEF core indicator data</w:t>
      </w:r>
      <w:r w:rsidRPr="003F7F6C">
        <w:rPr>
          <w:rFonts w:cs="Calibri"/>
          <w:szCs w:val="20"/>
          <w:lang w:val="en-GB"/>
        </w:rPr>
        <w:t>)</w:t>
      </w:r>
      <w:r w:rsidR="00C24F2A" w:rsidRPr="003F7F6C">
        <w:rPr>
          <w:rFonts w:cs="Calibri"/>
          <w:szCs w:val="20"/>
          <w:lang w:val="en-GB"/>
        </w:rPr>
        <w:t xml:space="preserve"> will be used to monitor global environmental benefit</w:t>
      </w:r>
      <w:r w:rsidR="004A574B" w:rsidRPr="003F7F6C">
        <w:rPr>
          <w:rFonts w:cs="Calibri"/>
          <w:szCs w:val="20"/>
          <w:lang w:val="en-GB"/>
        </w:rPr>
        <w:t>s</w:t>
      </w:r>
      <w:r w:rsidRPr="003F7F6C">
        <w:rPr>
          <w:rFonts w:cs="Calibri"/>
          <w:szCs w:val="20"/>
          <w:lang w:val="en-GB"/>
        </w:rPr>
        <w:t xml:space="preserve">: </w:t>
      </w:r>
    </w:p>
    <w:p w14:paraId="00881367" w14:textId="77777777" w:rsidR="00C01468" w:rsidRPr="003F7F6C" w:rsidRDefault="003E3ABA" w:rsidP="00E91275">
      <w:pPr>
        <w:numPr>
          <w:ilvl w:val="0"/>
          <w:numId w:val="28"/>
        </w:numPr>
        <w:spacing w:after="240"/>
        <w:ind w:left="0" w:firstLine="0"/>
        <w:rPr>
          <w:rFonts w:cs="Calibri"/>
          <w:szCs w:val="20"/>
        </w:rPr>
      </w:pPr>
      <w:r w:rsidRPr="003F7F6C">
        <w:rPr>
          <w:rFonts w:cs="Calibri"/>
          <w:szCs w:val="20"/>
          <w:lang w:val="en-GB"/>
        </w:rPr>
        <w:t xml:space="preserve">The baseline/CEO Endorsement </w:t>
      </w:r>
      <w:r w:rsidR="00D81270" w:rsidRPr="003F7F6C">
        <w:rPr>
          <w:rFonts w:cs="Calibri"/>
          <w:szCs w:val="20"/>
          <w:lang w:val="en-GB"/>
        </w:rPr>
        <w:t>core indicator data</w:t>
      </w:r>
      <w:r w:rsidRPr="003F7F6C">
        <w:rPr>
          <w:rFonts w:cs="Calibri"/>
          <w:szCs w:val="20"/>
          <w:lang w:val="en-GB"/>
        </w:rPr>
        <w:t xml:space="preserve"> – submitted </w:t>
      </w:r>
      <w:r w:rsidR="009A0D83" w:rsidRPr="003F7F6C">
        <w:rPr>
          <w:rFonts w:cs="Calibri"/>
          <w:szCs w:val="20"/>
          <w:lang w:val="en-GB"/>
        </w:rPr>
        <w:t>as</w:t>
      </w:r>
      <w:r w:rsidRPr="003F7F6C">
        <w:rPr>
          <w:rFonts w:cs="Calibri"/>
          <w:szCs w:val="20"/>
          <w:lang w:val="en-GB"/>
        </w:rPr>
        <w:t xml:space="preserve"> </w:t>
      </w:r>
      <w:r w:rsidR="00D81270" w:rsidRPr="003F7F6C">
        <w:rPr>
          <w:rFonts w:cs="Calibri"/>
          <w:szCs w:val="20"/>
          <w:lang w:val="en-GB"/>
        </w:rPr>
        <w:t xml:space="preserve">an </w:t>
      </w:r>
      <w:r w:rsidRPr="003F7F6C">
        <w:rPr>
          <w:rFonts w:cs="Calibri"/>
          <w:szCs w:val="20"/>
          <w:lang w:val="en-GB"/>
        </w:rPr>
        <w:t xml:space="preserve">Annex to this project document – will be updated by the Project </w:t>
      </w:r>
      <w:r w:rsidR="00F47AF3" w:rsidRPr="003F7F6C">
        <w:rPr>
          <w:rFonts w:cs="Calibri"/>
          <w:szCs w:val="20"/>
          <w:lang w:val="en-GB"/>
        </w:rPr>
        <w:t>Coordinator</w:t>
      </w:r>
      <w:r w:rsidRPr="003F7F6C">
        <w:rPr>
          <w:rFonts w:cs="Calibri"/>
          <w:szCs w:val="20"/>
          <w:lang w:val="en-GB"/>
        </w:rPr>
        <w:t>/Team</w:t>
      </w:r>
      <w:r w:rsidR="00CF0948" w:rsidRPr="003F7F6C">
        <w:rPr>
          <w:rFonts w:cs="Calibri"/>
          <w:szCs w:val="20"/>
          <w:lang w:val="en-GB"/>
        </w:rPr>
        <w:t xml:space="preserve"> (not the evaluation consultants hired to undertake the MTR or the TE)</w:t>
      </w:r>
      <w:r w:rsidRPr="003F7F6C">
        <w:rPr>
          <w:rFonts w:cs="Calibri"/>
          <w:szCs w:val="20"/>
          <w:lang w:val="en-GB"/>
        </w:rPr>
        <w:t xml:space="preserve">  and shared with the mid-term review consultants and terminal evaluation consultants before the required </w:t>
      </w:r>
      <w:r w:rsidRPr="003F7F6C">
        <w:rPr>
          <w:rFonts w:cs="Calibri"/>
          <w:i/>
          <w:szCs w:val="20"/>
          <w:lang w:val="en-GB"/>
        </w:rPr>
        <w:t>review/</w:t>
      </w:r>
      <w:r w:rsidRPr="003F7F6C">
        <w:rPr>
          <w:rFonts w:cs="Calibri"/>
          <w:szCs w:val="20"/>
          <w:lang w:val="en-GB"/>
        </w:rPr>
        <w:t xml:space="preserve">evaluation missions take place. The updated </w:t>
      </w:r>
      <w:r w:rsidR="00D81270" w:rsidRPr="003F7F6C">
        <w:rPr>
          <w:rFonts w:cs="Calibri"/>
          <w:szCs w:val="20"/>
          <w:lang w:val="en-GB"/>
        </w:rPr>
        <w:t>core indicator data</w:t>
      </w:r>
      <w:r w:rsidRPr="003F7F6C">
        <w:rPr>
          <w:rFonts w:cs="Calibri"/>
          <w:szCs w:val="20"/>
          <w:lang w:val="en-GB"/>
        </w:rPr>
        <w:t xml:space="preserve"> will be submitted </w:t>
      </w:r>
      <w:bookmarkEnd w:id="18"/>
      <w:r w:rsidRPr="003F7F6C">
        <w:rPr>
          <w:rFonts w:cs="Calibri"/>
          <w:szCs w:val="20"/>
          <w:lang w:val="en-GB"/>
        </w:rPr>
        <w:t>to the GEF along with the completed Mid-term Review report and Terminal Evaluation report.</w:t>
      </w:r>
    </w:p>
    <w:p w14:paraId="7F5D1415" w14:textId="77777777" w:rsidR="00C01468" w:rsidRPr="003F7F6C" w:rsidRDefault="00B54BF6" w:rsidP="00E91275">
      <w:pPr>
        <w:numPr>
          <w:ilvl w:val="0"/>
          <w:numId w:val="28"/>
        </w:numPr>
        <w:spacing w:after="240"/>
        <w:ind w:left="0" w:firstLine="0"/>
        <w:rPr>
          <w:rFonts w:cs="Calibri"/>
          <w:szCs w:val="20"/>
        </w:rPr>
      </w:pPr>
      <w:r w:rsidRPr="003F7F6C">
        <w:rPr>
          <w:rFonts w:cs="Calibri"/>
          <w:szCs w:val="20"/>
          <w:u w:val="single"/>
        </w:rPr>
        <w:t xml:space="preserve">Independent </w:t>
      </w:r>
      <w:r w:rsidR="003E3ABA" w:rsidRPr="003F7F6C">
        <w:rPr>
          <w:rFonts w:cs="Calibri"/>
          <w:szCs w:val="20"/>
          <w:u w:val="single"/>
        </w:rPr>
        <w:t>Mid-term Review (MTR)</w:t>
      </w:r>
      <w:r w:rsidR="003E3ABA" w:rsidRPr="003F7F6C">
        <w:rPr>
          <w:rFonts w:cs="Calibri"/>
          <w:szCs w:val="20"/>
        </w:rPr>
        <w:t xml:space="preserve">:  An independent mid-term review process will begin after the </w:t>
      </w:r>
      <w:r w:rsidR="004D4BE3" w:rsidRPr="003F7F6C">
        <w:rPr>
          <w:rFonts w:cs="Calibri"/>
          <w:szCs w:val="20"/>
        </w:rPr>
        <w:t xml:space="preserve">third </w:t>
      </w:r>
      <w:r w:rsidR="003E3ABA" w:rsidRPr="003F7F6C">
        <w:rPr>
          <w:rFonts w:cs="Calibri"/>
          <w:szCs w:val="20"/>
        </w:rPr>
        <w:t xml:space="preserve">PIR has been submitted to the GEF, and the MTR report will be submitted to the GEF in the same year as the </w:t>
      </w:r>
      <w:r w:rsidR="004D4BE3" w:rsidRPr="003F7F6C">
        <w:rPr>
          <w:rFonts w:cs="Calibri"/>
          <w:szCs w:val="20"/>
        </w:rPr>
        <w:t>4th</w:t>
      </w:r>
      <w:r w:rsidR="00A04E6F" w:rsidRPr="003F7F6C">
        <w:rPr>
          <w:rFonts w:cs="Calibri"/>
          <w:szCs w:val="20"/>
        </w:rPr>
        <w:t xml:space="preserve"> PIR</w:t>
      </w:r>
      <w:r w:rsidR="00F47AF3" w:rsidRPr="003F7F6C">
        <w:rPr>
          <w:rFonts w:cs="Calibri"/>
          <w:szCs w:val="20"/>
        </w:rPr>
        <w:t xml:space="preserve"> at the latest</w:t>
      </w:r>
      <w:r w:rsidR="00A04E6F" w:rsidRPr="003F7F6C">
        <w:rPr>
          <w:rFonts w:cs="Calibri"/>
          <w:szCs w:val="20"/>
        </w:rPr>
        <w:t xml:space="preserve">. </w:t>
      </w:r>
      <w:r w:rsidR="003E3ABA" w:rsidRPr="003F7F6C">
        <w:rPr>
          <w:rFonts w:cs="Calibri"/>
          <w:szCs w:val="20"/>
        </w:rPr>
        <w:t>The MTR findings and responses outlined in the management response will be incorporated as recommendations for enhanced implementation during the final h</w:t>
      </w:r>
      <w:r w:rsidR="00A04E6F" w:rsidRPr="003F7F6C">
        <w:rPr>
          <w:rFonts w:cs="Calibri"/>
          <w:szCs w:val="20"/>
        </w:rPr>
        <w:t xml:space="preserve">alf of the project’s duration. </w:t>
      </w:r>
      <w:r w:rsidR="003E3ABA" w:rsidRPr="003F7F6C">
        <w:rPr>
          <w:rFonts w:cs="Calibri"/>
          <w:szCs w:val="20"/>
        </w:rPr>
        <w:t xml:space="preserve">The terms of reference, the review process and the MTR report will follow the standard templates and guidance </w:t>
      </w:r>
      <w:r w:rsidRPr="003F7F6C">
        <w:rPr>
          <w:rFonts w:cs="Calibri"/>
          <w:szCs w:val="20"/>
        </w:rPr>
        <w:t xml:space="preserve">prepared by the UNDP IEO for GEF-financed projects </w:t>
      </w:r>
      <w:r w:rsidR="003E3ABA" w:rsidRPr="003F7F6C">
        <w:rPr>
          <w:rFonts w:cs="Calibri"/>
          <w:szCs w:val="20"/>
        </w:rPr>
        <w:t xml:space="preserve">available on the </w:t>
      </w:r>
      <w:hyperlink r:id="rId21" w:anchor="gef" w:history="1">
        <w:r w:rsidR="003E3ABA" w:rsidRPr="003F7F6C">
          <w:rPr>
            <w:rStyle w:val="Hyperlink"/>
            <w:rFonts w:cs="Calibri"/>
            <w:szCs w:val="20"/>
          </w:rPr>
          <w:t>UNDP Evaluation Resource Center</w:t>
        </w:r>
      </w:hyperlink>
      <w:r w:rsidR="003E3ABA" w:rsidRPr="003F7F6C">
        <w:rPr>
          <w:rStyle w:val="Hyperlink"/>
          <w:rFonts w:cs="Calibri"/>
          <w:szCs w:val="20"/>
        </w:rPr>
        <w:t xml:space="preserve"> (ERC).</w:t>
      </w:r>
      <w:r w:rsidR="003E3ABA" w:rsidRPr="003F7F6C">
        <w:rPr>
          <w:rFonts w:cs="Calibri"/>
          <w:szCs w:val="20"/>
        </w:rPr>
        <w:t xml:space="preserve"> </w:t>
      </w:r>
      <w:r w:rsidRPr="003F7F6C">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3F7F6C">
        <w:t xml:space="preserve"> Focal Point and other </w:t>
      </w:r>
      <w:r w:rsidRPr="003F7F6C">
        <w:t xml:space="preserve">stakeholders will be involved and consulted during the terminal evaluation process. </w:t>
      </w:r>
      <w:r w:rsidR="003E3ABA" w:rsidRPr="003F7F6C">
        <w:rPr>
          <w:rFonts w:cs="Calibri"/>
          <w:szCs w:val="20"/>
        </w:rPr>
        <w:t>Additional quality assurance support is available from the UNDP-GEF Directorate. The final MTR report will be available in English and will be cleared by the UNDP Country Office and the UNDP-GEF Regional Technical Advis</w:t>
      </w:r>
      <w:r w:rsidR="00B05B53" w:rsidRPr="003F7F6C">
        <w:rPr>
          <w:rFonts w:cs="Calibri"/>
          <w:szCs w:val="20"/>
        </w:rPr>
        <w:t>o</w:t>
      </w:r>
      <w:r w:rsidR="003E3ABA" w:rsidRPr="003F7F6C">
        <w:rPr>
          <w:rFonts w:cs="Calibri"/>
          <w:szCs w:val="20"/>
        </w:rPr>
        <w:t xml:space="preserve">r, and approved by the Project Board.   </w:t>
      </w:r>
    </w:p>
    <w:p w14:paraId="30D85647" w14:textId="487DF5D5" w:rsidR="00C01468" w:rsidRPr="003F7F6C" w:rsidRDefault="003E3ABA" w:rsidP="00E91275">
      <w:pPr>
        <w:numPr>
          <w:ilvl w:val="0"/>
          <w:numId w:val="28"/>
        </w:numPr>
        <w:spacing w:after="240"/>
        <w:ind w:left="0" w:firstLine="0"/>
        <w:rPr>
          <w:rFonts w:cs="Calibri"/>
          <w:szCs w:val="20"/>
        </w:rPr>
      </w:pPr>
      <w:r w:rsidRPr="003F7F6C">
        <w:rPr>
          <w:rFonts w:cs="Calibri"/>
          <w:szCs w:val="20"/>
          <w:u w:val="single"/>
        </w:rPr>
        <w:t>Terminal Evaluation (TE)</w:t>
      </w:r>
      <w:r w:rsidRPr="003F7F6C">
        <w:rPr>
          <w:rFonts w:cs="Calibri"/>
          <w:szCs w:val="20"/>
        </w:rPr>
        <w:t xml:space="preserve">:  An independent terminal evaluation (TE) will take place </w:t>
      </w:r>
      <w:r w:rsidR="00C24F2A" w:rsidRPr="003F7F6C">
        <w:rPr>
          <w:rFonts w:cs="Calibri"/>
          <w:szCs w:val="20"/>
        </w:rPr>
        <w:t>upon completion of all major project outputs and activities</w:t>
      </w:r>
      <w:r w:rsidR="00954A3F" w:rsidRPr="003F7F6C">
        <w:rPr>
          <w:rFonts w:cs="Calibri"/>
          <w:szCs w:val="20"/>
        </w:rPr>
        <w:t>.</w:t>
      </w:r>
      <w:r w:rsidR="008C5DA0" w:rsidRPr="003F7F6C">
        <w:rPr>
          <w:rFonts w:cs="Calibri"/>
          <w:szCs w:val="20"/>
        </w:rPr>
        <w:t xml:space="preserve"> </w:t>
      </w:r>
      <w:r w:rsidR="00954A3F" w:rsidRPr="003F7F6C">
        <w:rPr>
          <w:rFonts w:cs="Calibri"/>
          <w:szCs w:val="20"/>
        </w:rPr>
        <w:t xml:space="preserve">The terminal evaluation process </w:t>
      </w:r>
      <w:r w:rsidR="008C5DA0" w:rsidRPr="003F7F6C">
        <w:rPr>
          <w:rFonts w:cs="Calibri"/>
          <w:szCs w:val="20"/>
        </w:rPr>
        <w:t xml:space="preserve">will begin three months before </w:t>
      </w:r>
      <w:r w:rsidRPr="003F7F6C">
        <w:rPr>
          <w:rFonts w:cs="Calibri"/>
          <w:szCs w:val="20"/>
        </w:rPr>
        <w:t>oper</w:t>
      </w:r>
      <w:r w:rsidR="008C5DA0" w:rsidRPr="003F7F6C">
        <w:rPr>
          <w:rFonts w:cs="Calibri"/>
          <w:szCs w:val="20"/>
        </w:rPr>
        <w:t>ational closure of the project allowing the ev</w:t>
      </w:r>
      <w:r w:rsidR="00A04E6F" w:rsidRPr="003F7F6C">
        <w:rPr>
          <w:rFonts w:cs="Calibri"/>
          <w:szCs w:val="20"/>
        </w:rPr>
        <w:t>a</w:t>
      </w:r>
      <w:r w:rsidR="008C5DA0" w:rsidRPr="003F7F6C">
        <w:rPr>
          <w:rFonts w:cs="Calibri"/>
          <w:szCs w:val="20"/>
        </w:rPr>
        <w:t>l</w:t>
      </w:r>
      <w:r w:rsidR="00A04E6F" w:rsidRPr="003F7F6C">
        <w:rPr>
          <w:rFonts w:cs="Calibri"/>
          <w:szCs w:val="20"/>
        </w:rPr>
        <w:t>ua</w:t>
      </w:r>
      <w:r w:rsidR="008C5DA0" w:rsidRPr="003F7F6C">
        <w:rPr>
          <w:rFonts w:cs="Calibri"/>
          <w:szCs w:val="20"/>
        </w:rPr>
        <w:t xml:space="preserve">tion mission to proceed while the project team is still in place, yet ensuring the project is close enough to completion for the evaluation team to reach conclusions on key aspects such as project sustainability. </w:t>
      </w:r>
      <w:r w:rsidRPr="003F7F6C">
        <w:rPr>
          <w:rFonts w:cs="Calibri"/>
          <w:szCs w:val="20"/>
        </w:rPr>
        <w:t xml:space="preserve">The Project </w:t>
      </w:r>
      <w:r w:rsidR="00F47AF3" w:rsidRPr="003F7F6C">
        <w:rPr>
          <w:rFonts w:cs="Calibri"/>
          <w:szCs w:val="20"/>
        </w:rPr>
        <w:t>Coordinator</w:t>
      </w:r>
      <w:r w:rsidRPr="003F7F6C">
        <w:rPr>
          <w:rFonts w:cs="Calibri"/>
          <w:szCs w:val="20"/>
        </w:rPr>
        <w:t xml:space="preserve"> will remain on contract until the TE report and management</w:t>
      </w:r>
      <w:r w:rsidR="008C5DA0" w:rsidRPr="003F7F6C">
        <w:rPr>
          <w:rFonts w:cs="Calibri"/>
          <w:szCs w:val="20"/>
        </w:rPr>
        <w:t xml:space="preserve"> response have been finalized. </w:t>
      </w:r>
      <w:r w:rsidRPr="003F7F6C">
        <w:rPr>
          <w:rFonts w:cs="Calibri"/>
          <w:szCs w:val="20"/>
        </w:rPr>
        <w:t>The terms of reference, the evaluation process and the final TE report will follow the standard templates and guidance</w:t>
      </w:r>
      <w:r w:rsidR="00E45EC4" w:rsidRPr="003F7F6C">
        <w:rPr>
          <w:rFonts w:cs="Calibri"/>
          <w:szCs w:val="20"/>
        </w:rPr>
        <w:t xml:space="preserve"> prepared by the UNDP IEO for GEF-financed projects</w:t>
      </w:r>
      <w:r w:rsidRPr="003F7F6C">
        <w:rPr>
          <w:rFonts w:cs="Calibri"/>
          <w:szCs w:val="20"/>
        </w:rPr>
        <w:t xml:space="preserve"> available on the </w:t>
      </w:r>
      <w:hyperlink r:id="rId22" w:anchor="gef" w:history="1">
        <w:r w:rsidRPr="003F7F6C">
          <w:rPr>
            <w:rStyle w:val="Hyperlink"/>
            <w:rFonts w:cs="Calibri"/>
            <w:szCs w:val="20"/>
          </w:rPr>
          <w:t>UNDP Evaluation Resource Center</w:t>
        </w:r>
      </w:hyperlink>
      <w:r w:rsidRPr="003F7F6C">
        <w:rPr>
          <w:rStyle w:val="Hyperlink"/>
          <w:rFonts w:cs="Calibri"/>
          <w:szCs w:val="20"/>
        </w:rPr>
        <w:t>.</w:t>
      </w:r>
      <w:r w:rsidRPr="003F7F6C">
        <w:rPr>
          <w:rFonts w:cs="Calibri"/>
          <w:szCs w:val="20"/>
        </w:rPr>
        <w:t xml:space="preserve"> </w:t>
      </w:r>
      <w:r w:rsidR="00C24F2A" w:rsidRPr="003F7F6C">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3F7F6C">
        <w:t xml:space="preserve">l Focal Point and other </w:t>
      </w:r>
      <w:r w:rsidR="00C24F2A" w:rsidRPr="003F7F6C">
        <w:t xml:space="preserve">stakeholders will be involved and consulted during the terminal evaluation process. </w:t>
      </w:r>
      <w:r w:rsidRPr="003F7F6C">
        <w:rPr>
          <w:rFonts w:cs="Calibri"/>
          <w:szCs w:val="20"/>
        </w:rPr>
        <w:t xml:space="preserve">Additional quality assurance support is available from the UNDP-GEF Directorate. The final TE report will be cleared by the UNDP Country Office and the UNDP-GEF Regional Technical Adviser, and will be approved by the Project Board.  The TE report will be </w:t>
      </w:r>
      <w:r w:rsidR="00F7475C" w:rsidRPr="003F7F6C">
        <w:rPr>
          <w:rFonts w:cs="Calibri"/>
          <w:szCs w:val="20"/>
        </w:rPr>
        <w:t>publicly</w:t>
      </w:r>
      <w:r w:rsidRPr="003F7F6C">
        <w:rPr>
          <w:rFonts w:cs="Calibri"/>
          <w:szCs w:val="20"/>
        </w:rPr>
        <w:t xml:space="preserve"> available in English on the UNDP ERC.  </w:t>
      </w:r>
    </w:p>
    <w:p w14:paraId="7672AF57" w14:textId="77777777" w:rsidR="00C01468" w:rsidRPr="003F7F6C" w:rsidRDefault="003E3ABA" w:rsidP="00E91275">
      <w:pPr>
        <w:numPr>
          <w:ilvl w:val="0"/>
          <w:numId w:val="28"/>
        </w:numPr>
        <w:spacing w:after="240"/>
        <w:ind w:left="0" w:firstLine="0"/>
        <w:rPr>
          <w:rFonts w:cs="Calibri"/>
          <w:szCs w:val="20"/>
        </w:rPr>
      </w:pPr>
      <w:r w:rsidRPr="003F7F6C">
        <w:rPr>
          <w:rFonts w:cs="Calibri"/>
          <w:szCs w:val="20"/>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w:t>
      </w:r>
      <w:r w:rsidR="00E45EC4" w:rsidRPr="003F7F6C">
        <w:rPr>
          <w:rFonts w:cs="Calibri"/>
          <w:szCs w:val="20"/>
        </w:rPr>
        <w:t>EO</w:t>
      </w:r>
      <w:r w:rsidRPr="003F7F6C">
        <w:rPr>
          <w:rFonts w:cs="Calibri"/>
          <w:szCs w:val="20"/>
        </w:rPr>
        <w:t xml:space="preserve"> will undertake a quality assessment and validate the findings and ratings in the TE report, and rate the quality of the TE report.  The UNDP IEO assessment report will be sent to the GEF I</w:t>
      </w:r>
      <w:r w:rsidR="00E45EC4" w:rsidRPr="003F7F6C">
        <w:rPr>
          <w:rFonts w:cs="Calibri"/>
          <w:szCs w:val="20"/>
        </w:rPr>
        <w:t>EO</w:t>
      </w:r>
      <w:r w:rsidRPr="003F7F6C">
        <w:rPr>
          <w:rFonts w:cs="Calibri"/>
          <w:szCs w:val="20"/>
        </w:rPr>
        <w:t xml:space="preserve"> along with the project terminal evaluation report.</w:t>
      </w:r>
    </w:p>
    <w:p w14:paraId="28BD9CBC" w14:textId="77777777" w:rsidR="003E3ABA" w:rsidRPr="003F7F6C" w:rsidRDefault="003E3ABA" w:rsidP="00E91275">
      <w:pPr>
        <w:numPr>
          <w:ilvl w:val="0"/>
          <w:numId w:val="28"/>
        </w:numPr>
        <w:spacing w:after="240"/>
        <w:ind w:left="0" w:firstLine="0"/>
        <w:rPr>
          <w:rFonts w:cs="Calibri"/>
          <w:szCs w:val="20"/>
        </w:rPr>
      </w:pPr>
      <w:r w:rsidRPr="003F7F6C">
        <w:rPr>
          <w:rFonts w:cs="Calibri"/>
          <w:szCs w:val="20"/>
          <w:u w:val="single"/>
        </w:rPr>
        <w:t>Final Report</w:t>
      </w:r>
      <w:r w:rsidRPr="003F7F6C">
        <w:rPr>
          <w:rFonts w:cs="Calibri"/>
          <w:szCs w:val="20"/>
        </w:rPr>
        <w:t>: The project’s terminal PIR along with the terminal evaluation (TE) report and corresponding management response will serve as the</w:t>
      </w:r>
      <w:r w:rsidR="00A04E6F" w:rsidRPr="003F7F6C">
        <w:rPr>
          <w:rFonts w:cs="Calibri"/>
          <w:szCs w:val="20"/>
        </w:rPr>
        <w:t xml:space="preserve"> final project report package. </w:t>
      </w:r>
      <w:r w:rsidRPr="003F7F6C">
        <w:rPr>
          <w:rFonts w:cs="Calibri"/>
          <w:szCs w:val="20"/>
        </w:rPr>
        <w:t xml:space="preserve">The final project report package shall be discussed with the Project Board during an end-of-project review meeting to discuss lesson learned and opportunities for scaling up.    </w:t>
      </w:r>
    </w:p>
    <w:p w14:paraId="0D32A327" w14:textId="77777777" w:rsidR="003E3ABA" w:rsidRPr="003F7F6C" w:rsidRDefault="003E3ABA" w:rsidP="00A04E6F">
      <w:pPr>
        <w:spacing w:after="0"/>
        <w:jc w:val="left"/>
        <w:rPr>
          <w:rFonts w:cs="Calibri"/>
          <w:szCs w:val="20"/>
        </w:rPr>
      </w:pPr>
    </w:p>
    <w:p w14:paraId="6AA9D440" w14:textId="77777777" w:rsidR="003E3ABA" w:rsidRPr="003F7F6C" w:rsidRDefault="00AC2429" w:rsidP="003B2A7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i/>
          <w:szCs w:val="20"/>
        </w:rPr>
      </w:pPr>
      <w:r w:rsidRPr="003F7F6C">
        <w:rPr>
          <w:rFonts w:cs="Calibri"/>
          <w:b/>
          <w:szCs w:val="20"/>
        </w:rPr>
        <w:t>Table 6 -</w:t>
      </w:r>
      <w:r w:rsidR="003E3ABA" w:rsidRPr="003F7F6C">
        <w:rPr>
          <w:rFonts w:cs="Calibri"/>
          <w:b/>
          <w:szCs w:val="20"/>
        </w:rPr>
        <w:t xml:space="preserve">Mandatory GEF M&amp;E Requirements and M&amp;E Budget: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45"/>
        <w:gridCol w:w="1980"/>
        <w:gridCol w:w="1356"/>
        <w:gridCol w:w="1170"/>
        <w:gridCol w:w="1705"/>
      </w:tblGrid>
      <w:tr w:rsidR="003E3ABA" w:rsidRPr="003F7F6C" w14:paraId="1C527EA9" w14:textId="77777777" w:rsidTr="00787CD1">
        <w:trPr>
          <w:tblHeader/>
          <w:jc w:val="center"/>
        </w:trPr>
        <w:tc>
          <w:tcPr>
            <w:tcW w:w="3145" w:type="dxa"/>
            <w:vMerge w:val="restart"/>
            <w:shd w:val="clear" w:color="auto" w:fill="BFBFBF"/>
          </w:tcPr>
          <w:p w14:paraId="1040873A" w14:textId="77777777" w:rsidR="003E3ABA" w:rsidRPr="003F7F6C" w:rsidRDefault="003E3ABA" w:rsidP="003B2A79">
            <w:pPr>
              <w:jc w:val="center"/>
              <w:rPr>
                <w:rFonts w:cs="Calibri"/>
                <w:b/>
                <w:szCs w:val="20"/>
              </w:rPr>
            </w:pPr>
            <w:r w:rsidRPr="003F7F6C">
              <w:rPr>
                <w:rFonts w:cs="Calibri"/>
                <w:b/>
                <w:szCs w:val="20"/>
              </w:rPr>
              <w:t>GEF M&amp;E requirements</w:t>
            </w:r>
          </w:p>
          <w:p w14:paraId="169065BC" w14:textId="77777777" w:rsidR="003E3ABA" w:rsidRPr="003F7F6C" w:rsidRDefault="003E3ABA" w:rsidP="003B2A79">
            <w:pPr>
              <w:jc w:val="center"/>
              <w:rPr>
                <w:rFonts w:cs="Calibri"/>
                <w:b/>
                <w:szCs w:val="20"/>
              </w:rPr>
            </w:pPr>
          </w:p>
        </w:tc>
        <w:tc>
          <w:tcPr>
            <w:tcW w:w="1980" w:type="dxa"/>
            <w:vMerge w:val="restart"/>
            <w:shd w:val="clear" w:color="auto" w:fill="BFBFBF"/>
          </w:tcPr>
          <w:p w14:paraId="3C9B9079" w14:textId="77777777" w:rsidR="003E3ABA" w:rsidRPr="003F7F6C" w:rsidRDefault="003E3ABA" w:rsidP="003B2A79">
            <w:pPr>
              <w:jc w:val="center"/>
              <w:rPr>
                <w:rFonts w:cs="Calibri"/>
                <w:b/>
                <w:szCs w:val="20"/>
              </w:rPr>
            </w:pPr>
            <w:r w:rsidRPr="003F7F6C">
              <w:rPr>
                <w:rFonts w:cs="Calibri"/>
                <w:b/>
                <w:szCs w:val="20"/>
              </w:rPr>
              <w:t>Primary responsibility</w:t>
            </w:r>
          </w:p>
        </w:tc>
        <w:tc>
          <w:tcPr>
            <w:tcW w:w="2520" w:type="dxa"/>
            <w:gridSpan w:val="2"/>
            <w:shd w:val="clear" w:color="auto" w:fill="BFBFBF"/>
          </w:tcPr>
          <w:p w14:paraId="37024E1F" w14:textId="77777777" w:rsidR="003E3ABA" w:rsidRPr="003F7F6C" w:rsidRDefault="003E3ABA" w:rsidP="003B2A79">
            <w:pPr>
              <w:jc w:val="center"/>
              <w:rPr>
                <w:rFonts w:cs="Calibri"/>
                <w:b/>
                <w:szCs w:val="20"/>
              </w:rPr>
            </w:pPr>
            <w:r w:rsidRPr="003F7F6C">
              <w:rPr>
                <w:rFonts w:cs="Calibri"/>
                <w:b/>
                <w:szCs w:val="20"/>
              </w:rPr>
              <w:t>Indicative costs to be charged to the Project Budget</w:t>
            </w:r>
            <w:r w:rsidRPr="003F7F6C">
              <w:rPr>
                <w:rStyle w:val="FootnoteReference"/>
                <w:rFonts w:ascii="Calibri" w:hAnsi="Calibri"/>
                <w:b/>
                <w:sz w:val="20"/>
                <w:szCs w:val="20"/>
              </w:rPr>
              <w:footnoteReference w:id="82"/>
            </w:r>
            <w:r w:rsidRPr="003F7F6C">
              <w:rPr>
                <w:rFonts w:cs="Calibri"/>
                <w:b/>
                <w:szCs w:val="20"/>
              </w:rPr>
              <w:t xml:space="preserve">  (US$)</w:t>
            </w:r>
          </w:p>
        </w:tc>
        <w:tc>
          <w:tcPr>
            <w:tcW w:w="1705" w:type="dxa"/>
            <w:vMerge w:val="restart"/>
            <w:shd w:val="clear" w:color="auto" w:fill="BFBFBF"/>
          </w:tcPr>
          <w:p w14:paraId="6E7BBEC5" w14:textId="77777777" w:rsidR="003E3ABA" w:rsidRPr="003F7F6C" w:rsidRDefault="003E3ABA" w:rsidP="003B2A79">
            <w:pPr>
              <w:jc w:val="center"/>
              <w:rPr>
                <w:rFonts w:cs="Calibri"/>
                <w:b/>
                <w:szCs w:val="20"/>
              </w:rPr>
            </w:pPr>
            <w:r w:rsidRPr="003F7F6C">
              <w:rPr>
                <w:rFonts w:cs="Calibri"/>
                <w:b/>
                <w:szCs w:val="20"/>
              </w:rPr>
              <w:t>Time frame</w:t>
            </w:r>
          </w:p>
        </w:tc>
      </w:tr>
      <w:tr w:rsidR="003E3ABA" w:rsidRPr="003F7F6C" w14:paraId="779C6373" w14:textId="77777777" w:rsidTr="00787CD1">
        <w:trPr>
          <w:tblHeader/>
          <w:jc w:val="center"/>
        </w:trPr>
        <w:tc>
          <w:tcPr>
            <w:tcW w:w="3145" w:type="dxa"/>
            <w:vMerge/>
            <w:shd w:val="clear" w:color="auto" w:fill="BFBFBF"/>
          </w:tcPr>
          <w:p w14:paraId="23D1CCDF" w14:textId="77777777" w:rsidR="003E3ABA" w:rsidRPr="003F7F6C" w:rsidRDefault="003E3ABA" w:rsidP="003B2A79">
            <w:pPr>
              <w:jc w:val="left"/>
              <w:rPr>
                <w:rFonts w:cs="Calibri"/>
                <w:b/>
                <w:szCs w:val="20"/>
              </w:rPr>
            </w:pPr>
          </w:p>
        </w:tc>
        <w:tc>
          <w:tcPr>
            <w:tcW w:w="1980" w:type="dxa"/>
            <w:vMerge/>
            <w:shd w:val="clear" w:color="auto" w:fill="BFBFBF"/>
          </w:tcPr>
          <w:p w14:paraId="42AD58AF" w14:textId="77777777" w:rsidR="003E3ABA" w:rsidRPr="003F7F6C" w:rsidRDefault="003E3ABA" w:rsidP="003B2A79">
            <w:pPr>
              <w:jc w:val="left"/>
              <w:rPr>
                <w:rFonts w:cs="Calibri"/>
                <w:b/>
                <w:szCs w:val="20"/>
              </w:rPr>
            </w:pPr>
          </w:p>
        </w:tc>
        <w:tc>
          <w:tcPr>
            <w:tcW w:w="1350" w:type="dxa"/>
            <w:shd w:val="clear" w:color="auto" w:fill="BFBFBF"/>
          </w:tcPr>
          <w:p w14:paraId="0F300AF8" w14:textId="77777777" w:rsidR="003E3ABA" w:rsidRPr="003F7F6C" w:rsidRDefault="003E3ABA" w:rsidP="003B2A79">
            <w:pPr>
              <w:jc w:val="left"/>
              <w:rPr>
                <w:rFonts w:cs="Calibri"/>
                <w:b/>
                <w:szCs w:val="20"/>
              </w:rPr>
            </w:pPr>
            <w:r w:rsidRPr="003F7F6C">
              <w:rPr>
                <w:rFonts w:cs="Calibri"/>
                <w:b/>
                <w:szCs w:val="20"/>
              </w:rPr>
              <w:t>GEF grant</w:t>
            </w:r>
          </w:p>
        </w:tc>
        <w:tc>
          <w:tcPr>
            <w:tcW w:w="1170" w:type="dxa"/>
            <w:shd w:val="clear" w:color="auto" w:fill="BFBFBF"/>
          </w:tcPr>
          <w:p w14:paraId="412173F5" w14:textId="77777777" w:rsidR="003E3ABA" w:rsidRPr="003F7F6C" w:rsidRDefault="003E3ABA" w:rsidP="003B2A79">
            <w:pPr>
              <w:jc w:val="left"/>
              <w:rPr>
                <w:rFonts w:cs="Calibri"/>
                <w:b/>
                <w:szCs w:val="20"/>
              </w:rPr>
            </w:pPr>
            <w:r w:rsidRPr="003F7F6C">
              <w:rPr>
                <w:rFonts w:cs="Calibri"/>
                <w:b/>
                <w:szCs w:val="20"/>
              </w:rPr>
              <w:t>Co-financing</w:t>
            </w:r>
          </w:p>
        </w:tc>
        <w:tc>
          <w:tcPr>
            <w:tcW w:w="1705" w:type="dxa"/>
            <w:vMerge/>
            <w:shd w:val="clear" w:color="auto" w:fill="BFBFBF"/>
          </w:tcPr>
          <w:p w14:paraId="3B6A49C2" w14:textId="77777777" w:rsidR="003E3ABA" w:rsidRPr="003F7F6C" w:rsidRDefault="003E3ABA" w:rsidP="003B2A79">
            <w:pPr>
              <w:jc w:val="left"/>
              <w:rPr>
                <w:rFonts w:cs="Calibri"/>
                <w:b/>
                <w:szCs w:val="20"/>
              </w:rPr>
            </w:pPr>
          </w:p>
        </w:tc>
      </w:tr>
      <w:tr w:rsidR="003E3ABA" w:rsidRPr="003F7F6C" w14:paraId="1C4FC42F" w14:textId="77777777" w:rsidTr="00787CD1">
        <w:trPr>
          <w:jc w:val="center"/>
        </w:trPr>
        <w:tc>
          <w:tcPr>
            <w:tcW w:w="3145" w:type="dxa"/>
          </w:tcPr>
          <w:p w14:paraId="45A03A06" w14:textId="77777777" w:rsidR="003E3ABA" w:rsidRPr="003F7F6C" w:rsidRDefault="003E3ABA" w:rsidP="003B2A79">
            <w:pPr>
              <w:jc w:val="left"/>
              <w:rPr>
                <w:rFonts w:cs="Calibri"/>
                <w:b/>
                <w:sz w:val="18"/>
                <w:szCs w:val="18"/>
              </w:rPr>
            </w:pPr>
            <w:r w:rsidRPr="003F7F6C">
              <w:rPr>
                <w:rFonts w:cs="Calibri"/>
                <w:b/>
                <w:sz w:val="18"/>
                <w:szCs w:val="18"/>
              </w:rPr>
              <w:t xml:space="preserve">Inception Workshop </w:t>
            </w:r>
          </w:p>
        </w:tc>
        <w:tc>
          <w:tcPr>
            <w:tcW w:w="1980" w:type="dxa"/>
          </w:tcPr>
          <w:p w14:paraId="2EDECCC6" w14:textId="77777777" w:rsidR="003E3ABA" w:rsidRPr="003F7F6C" w:rsidRDefault="003E3ABA" w:rsidP="003B2A79">
            <w:pPr>
              <w:jc w:val="left"/>
              <w:rPr>
                <w:rFonts w:cs="Calibri"/>
                <w:sz w:val="18"/>
                <w:szCs w:val="18"/>
              </w:rPr>
            </w:pPr>
            <w:r w:rsidRPr="003F7F6C">
              <w:rPr>
                <w:rFonts w:cs="Calibri"/>
                <w:sz w:val="18"/>
                <w:szCs w:val="18"/>
              </w:rPr>
              <w:t xml:space="preserve">UNDP Country Office </w:t>
            </w:r>
          </w:p>
        </w:tc>
        <w:tc>
          <w:tcPr>
            <w:tcW w:w="1350" w:type="dxa"/>
          </w:tcPr>
          <w:p w14:paraId="3462A48B" w14:textId="77777777" w:rsidR="003E3ABA" w:rsidRPr="003F7F6C" w:rsidRDefault="003E3ABA" w:rsidP="003B2A79">
            <w:pPr>
              <w:jc w:val="left"/>
              <w:rPr>
                <w:rFonts w:cs="Calibri"/>
                <w:sz w:val="18"/>
                <w:szCs w:val="18"/>
              </w:rPr>
            </w:pPr>
            <w:r w:rsidRPr="003F7F6C">
              <w:rPr>
                <w:rFonts w:cs="Calibri"/>
                <w:sz w:val="18"/>
                <w:szCs w:val="18"/>
              </w:rPr>
              <w:t xml:space="preserve">USD </w:t>
            </w:r>
            <w:r w:rsidR="00F16270" w:rsidRPr="003F7F6C">
              <w:rPr>
                <w:rFonts w:cs="Calibri"/>
                <w:sz w:val="18"/>
                <w:szCs w:val="18"/>
              </w:rPr>
              <w:t>15,</w:t>
            </w:r>
            <w:r w:rsidR="000734E8" w:rsidRPr="003F7F6C">
              <w:rPr>
                <w:rFonts w:cs="Calibri"/>
                <w:sz w:val="18"/>
                <w:szCs w:val="18"/>
              </w:rPr>
              <w:t>000</w:t>
            </w:r>
            <w:r w:rsidR="00091DE7" w:rsidRPr="003F7F6C">
              <w:rPr>
                <w:rFonts w:cs="Calibri"/>
                <w:sz w:val="18"/>
                <w:szCs w:val="18"/>
              </w:rPr>
              <w:t xml:space="preserve"> (national)</w:t>
            </w:r>
          </w:p>
          <w:p w14:paraId="474F2F74" w14:textId="77777777" w:rsidR="00091DE7" w:rsidRPr="003F7F6C" w:rsidRDefault="00091DE7" w:rsidP="003B2A79">
            <w:pPr>
              <w:jc w:val="left"/>
              <w:rPr>
                <w:rFonts w:cs="Calibri"/>
                <w:sz w:val="18"/>
                <w:szCs w:val="18"/>
              </w:rPr>
            </w:pPr>
            <w:r w:rsidRPr="003F7F6C">
              <w:rPr>
                <w:rFonts w:cs="Calibri"/>
                <w:sz w:val="18"/>
                <w:szCs w:val="18"/>
              </w:rPr>
              <w:t>USD 15,000 (provinces)</w:t>
            </w:r>
          </w:p>
        </w:tc>
        <w:tc>
          <w:tcPr>
            <w:tcW w:w="1170" w:type="dxa"/>
          </w:tcPr>
          <w:p w14:paraId="43DC4F81" w14:textId="77777777" w:rsidR="003E3ABA" w:rsidRPr="003F7F6C" w:rsidRDefault="005A3FEB" w:rsidP="003B2A79">
            <w:pPr>
              <w:jc w:val="left"/>
              <w:rPr>
                <w:rFonts w:cs="Calibri"/>
                <w:sz w:val="18"/>
                <w:szCs w:val="18"/>
              </w:rPr>
            </w:pPr>
            <w:r w:rsidRPr="003F7F6C">
              <w:rPr>
                <w:rFonts w:cs="Calibri"/>
                <w:sz w:val="18"/>
                <w:szCs w:val="18"/>
              </w:rPr>
              <w:t>90,000</w:t>
            </w:r>
          </w:p>
        </w:tc>
        <w:tc>
          <w:tcPr>
            <w:tcW w:w="1705" w:type="dxa"/>
          </w:tcPr>
          <w:p w14:paraId="75E2E3F2" w14:textId="77777777" w:rsidR="003E3ABA" w:rsidRPr="003F7F6C" w:rsidRDefault="003E3ABA" w:rsidP="003B2A79">
            <w:pPr>
              <w:jc w:val="left"/>
              <w:rPr>
                <w:rFonts w:cs="Calibri"/>
                <w:sz w:val="18"/>
                <w:szCs w:val="18"/>
              </w:rPr>
            </w:pPr>
            <w:r w:rsidRPr="003F7F6C">
              <w:rPr>
                <w:rFonts w:cs="Calibri"/>
                <w:sz w:val="18"/>
                <w:szCs w:val="18"/>
              </w:rPr>
              <w:t xml:space="preserve">Within two months of project document signature </w:t>
            </w:r>
          </w:p>
        </w:tc>
      </w:tr>
      <w:tr w:rsidR="003E3ABA" w:rsidRPr="003F7F6C" w14:paraId="030980DE" w14:textId="77777777" w:rsidTr="00787CD1">
        <w:trPr>
          <w:jc w:val="center"/>
        </w:trPr>
        <w:tc>
          <w:tcPr>
            <w:tcW w:w="3145" w:type="dxa"/>
          </w:tcPr>
          <w:p w14:paraId="3B260FEC" w14:textId="77777777" w:rsidR="003E3ABA" w:rsidRPr="003F7F6C" w:rsidRDefault="003E3ABA" w:rsidP="003B2A79">
            <w:pPr>
              <w:jc w:val="left"/>
              <w:rPr>
                <w:rFonts w:cs="Calibri"/>
                <w:b/>
                <w:sz w:val="18"/>
                <w:szCs w:val="18"/>
              </w:rPr>
            </w:pPr>
            <w:r w:rsidRPr="003F7F6C">
              <w:rPr>
                <w:rFonts w:cs="Calibri"/>
                <w:b/>
                <w:sz w:val="18"/>
                <w:szCs w:val="18"/>
              </w:rPr>
              <w:t>Inception Report</w:t>
            </w:r>
          </w:p>
        </w:tc>
        <w:tc>
          <w:tcPr>
            <w:tcW w:w="1980" w:type="dxa"/>
          </w:tcPr>
          <w:p w14:paraId="3E3DAA33" w14:textId="77777777" w:rsidR="003E3ABA" w:rsidRPr="003F7F6C" w:rsidRDefault="003E3ABA" w:rsidP="003B2A79">
            <w:pPr>
              <w:jc w:val="left"/>
              <w:rPr>
                <w:rFonts w:cs="Calibri"/>
                <w:sz w:val="18"/>
                <w:szCs w:val="18"/>
              </w:rPr>
            </w:pPr>
            <w:r w:rsidRPr="003F7F6C">
              <w:rPr>
                <w:rFonts w:cs="Calibri"/>
                <w:sz w:val="18"/>
                <w:szCs w:val="18"/>
              </w:rPr>
              <w:t xml:space="preserve">Project </w:t>
            </w:r>
            <w:r w:rsidR="00F47AF3" w:rsidRPr="003F7F6C">
              <w:rPr>
                <w:rFonts w:cs="Calibri"/>
                <w:sz w:val="18"/>
                <w:szCs w:val="18"/>
              </w:rPr>
              <w:t>Coordinator</w:t>
            </w:r>
          </w:p>
        </w:tc>
        <w:tc>
          <w:tcPr>
            <w:tcW w:w="1350" w:type="dxa"/>
          </w:tcPr>
          <w:p w14:paraId="5EB73BB8" w14:textId="77777777" w:rsidR="003E3ABA" w:rsidRPr="003F7F6C" w:rsidRDefault="003E3ABA" w:rsidP="003B2A79">
            <w:pPr>
              <w:jc w:val="left"/>
              <w:rPr>
                <w:rFonts w:cs="Calibri"/>
                <w:sz w:val="18"/>
                <w:szCs w:val="18"/>
              </w:rPr>
            </w:pPr>
            <w:r w:rsidRPr="003F7F6C">
              <w:rPr>
                <w:rFonts w:cs="Calibri"/>
                <w:sz w:val="18"/>
                <w:szCs w:val="18"/>
              </w:rPr>
              <w:t>None</w:t>
            </w:r>
          </w:p>
        </w:tc>
        <w:tc>
          <w:tcPr>
            <w:tcW w:w="1170" w:type="dxa"/>
          </w:tcPr>
          <w:p w14:paraId="367AEFD7" w14:textId="77777777" w:rsidR="003E3ABA" w:rsidRPr="003F7F6C" w:rsidRDefault="003E3ABA" w:rsidP="003B2A79">
            <w:pPr>
              <w:jc w:val="left"/>
              <w:rPr>
                <w:rFonts w:cs="Calibri"/>
                <w:sz w:val="18"/>
                <w:szCs w:val="18"/>
              </w:rPr>
            </w:pPr>
            <w:r w:rsidRPr="003F7F6C">
              <w:rPr>
                <w:rFonts w:cs="Calibri"/>
                <w:sz w:val="18"/>
                <w:szCs w:val="18"/>
              </w:rPr>
              <w:t>None</w:t>
            </w:r>
          </w:p>
        </w:tc>
        <w:tc>
          <w:tcPr>
            <w:tcW w:w="1705" w:type="dxa"/>
          </w:tcPr>
          <w:p w14:paraId="254FD776" w14:textId="77777777" w:rsidR="003E3ABA" w:rsidRPr="003F7F6C" w:rsidRDefault="003E3ABA" w:rsidP="003B2A79">
            <w:pPr>
              <w:jc w:val="left"/>
              <w:rPr>
                <w:rFonts w:cs="Calibri"/>
                <w:sz w:val="18"/>
                <w:szCs w:val="18"/>
              </w:rPr>
            </w:pPr>
            <w:r w:rsidRPr="003F7F6C">
              <w:rPr>
                <w:rFonts w:cs="Calibri"/>
                <w:sz w:val="18"/>
                <w:szCs w:val="18"/>
              </w:rPr>
              <w:t>Within two weeks of inception workshop</w:t>
            </w:r>
          </w:p>
        </w:tc>
      </w:tr>
      <w:tr w:rsidR="003E3ABA" w:rsidRPr="003F7F6C" w14:paraId="0628A34C" w14:textId="77777777" w:rsidTr="00787CD1">
        <w:trPr>
          <w:jc w:val="center"/>
        </w:trPr>
        <w:tc>
          <w:tcPr>
            <w:tcW w:w="3145" w:type="dxa"/>
          </w:tcPr>
          <w:p w14:paraId="1EA18491" w14:textId="77777777" w:rsidR="003E3ABA" w:rsidRPr="003F7F6C" w:rsidRDefault="003E3ABA" w:rsidP="003B2A79">
            <w:pPr>
              <w:jc w:val="left"/>
              <w:rPr>
                <w:rFonts w:cs="Calibri"/>
                <w:b/>
                <w:sz w:val="18"/>
                <w:szCs w:val="18"/>
              </w:rPr>
            </w:pPr>
            <w:r w:rsidRPr="003F7F6C">
              <w:rPr>
                <w:rFonts w:cs="Calibri"/>
                <w:b/>
                <w:sz w:val="18"/>
                <w:szCs w:val="18"/>
              </w:rPr>
              <w:t>Standard UNDP monitoring and reporting requirements as outlined in the UNDP POPP</w:t>
            </w:r>
            <w:r w:rsidR="008F7176" w:rsidRPr="003F7F6C">
              <w:rPr>
                <w:rFonts w:cs="Calibri"/>
                <w:b/>
                <w:sz w:val="18"/>
                <w:szCs w:val="18"/>
              </w:rPr>
              <w:t xml:space="preserve"> </w:t>
            </w:r>
          </w:p>
        </w:tc>
        <w:tc>
          <w:tcPr>
            <w:tcW w:w="1980" w:type="dxa"/>
          </w:tcPr>
          <w:p w14:paraId="35675FD5" w14:textId="77777777" w:rsidR="003E3ABA" w:rsidRPr="003F7F6C" w:rsidRDefault="003E3ABA" w:rsidP="003B2A79">
            <w:pPr>
              <w:jc w:val="left"/>
              <w:rPr>
                <w:rFonts w:cs="Calibri"/>
                <w:sz w:val="18"/>
                <w:szCs w:val="18"/>
              </w:rPr>
            </w:pPr>
            <w:r w:rsidRPr="003F7F6C">
              <w:rPr>
                <w:rFonts w:cs="Calibri"/>
                <w:sz w:val="18"/>
                <w:szCs w:val="18"/>
              </w:rPr>
              <w:t>UNDP Country Office</w:t>
            </w:r>
          </w:p>
          <w:p w14:paraId="59D43EDA" w14:textId="77777777" w:rsidR="003E3ABA" w:rsidRPr="003F7F6C" w:rsidRDefault="003E3ABA" w:rsidP="003B2A79">
            <w:pPr>
              <w:jc w:val="left"/>
              <w:rPr>
                <w:rFonts w:cs="Calibri"/>
                <w:b/>
                <w:sz w:val="18"/>
                <w:szCs w:val="18"/>
              </w:rPr>
            </w:pPr>
          </w:p>
        </w:tc>
        <w:tc>
          <w:tcPr>
            <w:tcW w:w="1350" w:type="dxa"/>
          </w:tcPr>
          <w:p w14:paraId="3E7C0E2F" w14:textId="77777777" w:rsidR="003E3ABA" w:rsidRPr="003F7F6C" w:rsidRDefault="003E3ABA" w:rsidP="003B2A79">
            <w:pPr>
              <w:jc w:val="left"/>
              <w:rPr>
                <w:rFonts w:cs="Calibri"/>
                <w:sz w:val="18"/>
                <w:szCs w:val="18"/>
              </w:rPr>
            </w:pPr>
            <w:r w:rsidRPr="003F7F6C">
              <w:rPr>
                <w:rFonts w:cs="Calibri"/>
                <w:sz w:val="18"/>
                <w:szCs w:val="18"/>
              </w:rPr>
              <w:t>None</w:t>
            </w:r>
          </w:p>
        </w:tc>
        <w:tc>
          <w:tcPr>
            <w:tcW w:w="1170" w:type="dxa"/>
          </w:tcPr>
          <w:p w14:paraId="3838E483" w14:textId="77777777" w:rsidR="003E3ABA" w:rsidRPr="003F7F6C" w:rsidRDefault="003E3ABA" w:rsidP="003B2A79">
            <w:pPr>
              <w:jc w:val="left"/>
              <w:rPr>
                <w:rFonts w:cs="Calibri"/>
                <w:sz w:val="18"/>
                <w:szCs w:val="18"/>
              </w:rPr>
            </w:pPr>
            <w:r w:rsidRPr="003F7F6C">
              <w:rPr>
                <w:rFonts w:cs="Calibri"/>
                <w:sz w:val="18"/>
                <w:szCs w:val="18"/>
              </w:rPr>
              <w:t>None</w:t>
            </w:r>
          </w:p>
        </w:tc>
        <w:tc>
          <w:tcPr>
            <w:tcW w:w="1705" w:type="dxa"/>
          </w:tcPr>
          <w:p w14:paraId="79A33B58" w14:textId="77777777" w:rsidR="003E3ABA" w:rsidRPr="003F7F6C" w:rsidRDefault="003E3ABA" w:rsidP="003B2A79">
            <w:pPr>
              <w:jc w:val="left"/>
              <w:rPr>
                <w:rFonts w:cs="Calibri"/>
                <w:sz w:val="18"/>
                <w:szCs w:val="18"/>
              </w:rPr>
            </w:pPr>
            <w:r w:rsidRPr="003F7F6C">
              <w:rPr>
                <w:rFonts w:cs="Calibri"/>
                <w:sz w:val="18"/>
                <w:szCs w:val="18"/>
              </w:rPr>
              <w:t>Quarterly, annually</w:t>
            </w:r>
          </w:p>
        </w:tc>
      </w:tr>
      <w:tr w:rsidR="009D4BAA" w:rsidRPr="003F7F6C" w14:paraId="2037C74D" w14:textId="77777777" w:rsidTr="00787CD1">
        <w:trPr>
          <w:jc w:val="center"/>
        </w:trPr>
        <w:tc>
          <w:tcPr>
            <w:tcW w:w="3145" w:type="dxa"/>
          </w:tcPr>
          <w:p w14:paraId="600D45B1" w14:textId="77777777" w:rsidR="009D4BAA" w:rsidRPr="003F7F6C" w:rsidRDefault="009D4BAA" w:rsidP="009D4BAA">
            <w:pPr>
              <w:jc w:val="left"/>
              <w:rPr>
                <w:rFonts w:cs="Calibri"/>
                <w:b/>
                <w:sz w:val="18"/>
                <w:szCs w:val="18"/>
              </w:rPr>
            </w:pPr>
            <w:r w:rsidRPr="003F7F6C">
              <w:rPr>
                <w:rFonts w:cs="Calibri"/>
                <w:b/>
                <w:sz w:val="18"/>
                <w:szCs w:val="18"/>
              </w:rPr>
              <w:t>Risk management</w:t>
            </w:r>
          </w:p>
        </w:tc>
        <w:tc>
          <w:tcPr>
            <w:tcW w:w="1980" w:type="dxa"/>
          </w:tcPr>
          <w:p w14:paraId="78378225" w14:textId="77777777" w:rsidR="009D4BAA" w:rsidRPr="003F7F6C" w:rsidRDefault="009D4BAA" w:rsidP="009D4BAA">
            <w:pPr>
              <w:jc w:val="left"/>
              <w:rPr>
                <w:rFonts w:cs="Calibri"/>
                <w:sz w:val="18"/>
                <w:szCs w:val="18"/>
              </w:rPr>
            </w:pPr>
            <w:r w:rsidRPr="003F7F6C">
              <w:rPr>
                <w:rFonts w:cs="Calibri"/>
                <w:sz w:val="18"/>
                <w:szCs w:val="18"/>
              </w:rPr>
              <w:t xml:space="preserve">Project </w:t>
            </w:r>
            <w:r w:rsidR="00F47AF3" w:rsidRPr="003F7F6C">
              <w:rPr>
                <w:rFonts w:cs="Calibri"/>
                <w:sz w:val="18"/>
                <w:szCs w:val="18"/>
              </w:rPr>
              <w:t>Coordinator</w:t>
            </w:r>
          </w:p>
          <w:p w14:paraId="0488C666" w14:textId="77777777" w:rsidR="009D4BAA" w:rsidRPr="003F7F6C" w:rsidRDefault="009D4BAA" w:rsidP="009D4BAA">
            <w:pPr>
              <w:jc w:val="left"/>
              <w:rPr>
                <w:rFonts w:cs="Calibri"/>
                <w:sz w:val="18"/>
                <w:szCs w:val="18"/>
              </w:rPr>
            </w:pPr>
            <w:r w:rsidRPr="003F7F6C">
              <w:rPr>
                <w:rFonts w:cs="Calibri"/>
                <w:sz w:val="18"/>
                <w:szCs w:val="18"/>
              </w:rPr>
              <w:t>Country Office</w:t>
            </w:r>
          </w:p>
        </w:tc>
        <w:tc>
          <w:tcPr>
            <w:tcW w:w="1350" w:type="dxa"/>
          </w:tcPr>
          <w:p w14:paraId="0E2FDB66" w14:textId="77777777" w:rsidR="009D4BAA" w:rsidRPr="003F7F6C" w:rsidRDefault="009D4BAA" w:rsidP="009D4BAA">
            <w:pPr>
              <w:jc w:val="left"/>
              <w:rPr>
                <w:rFonts w:cs="Calibri"/>
                <w:sz w:val="18"/>
                <w:szCs w:val="18"/>
              </w:rPr>
            </w:pPr>
            <w:r w:rsidRPr="003F7F6C">
              <w:rPr>
                <w:rFonts w:cs="Calibri"/>
                <w:sz w:val="18"/>
                <w:szCs w:val="18"/>
              </w:rPr>
              <w:t>None</w:t>
            </w:r>
          </w:p>
        </w:tc>
        <w:tc>
          <w:tcPr>
            <w:tcW w:w="1170" w:type="dxa"/>
          </w:tcPr>
          <w:p w14:paraId="5D008F33" w14:textId="77777777" w:rsidR="009D4BAA" w:rsidRPr="003F7F6C" w:rsidRDefault="009D4BAA" w:rsidP="009D4BAA">
            <w:pPr>
              <w:jc w:val="left"/>
              <w:rPr>
                <w:rFonts w:cs="Calibri"/>
                <w:sz w:val="18"/>
                <w:szCs w:val="18"/>
              </w:rPr>
            </w:pPr>
            <w:r w:rsidRPr="003F7F6C">
              <w:rPr>
                <w:rFonts w:cs="Calibri"/>
                <w:sz w:val="18"/>
                <w:szCs w:val="18"/>
              </w:rPr>
              <w:t>None</w:t>
            </w:r>
          </w:p>
        </w:tc>
        <w:tc>
          <w:tcPr>
            <w:tcW w:w="1705" w:type="dxa"/>
          </w:tcPr>
          <w:p w14:paraId="79828BBD" w14:textId="77777777" w:rsidR="009D4BAA" w:rsidRPr="003F7F6C" w:rsidRDefault="009D4BAA" w:rsidP="009D4BAA">
            <w:pPr>
              <w:jc w:val="left"/>
              <w:rPr>
                <w:rFonts w:cs="Calibri"/>
                <w:sz w:val="18"/>
                <w:szCs w:val="18"/>
              </w:rPr>
            </w:pPr>
            <w:r w:rsidRPr="003F7F6C">
              <w:rPr>
                <w:rFonts w:cs="Calibri"/>
                <w:sz w:val="18"/>
                <w:szCs w:val="18"/>
              </w:rPr>
              <w:t>Quarterly, annually</w:t>
            </w:r>
          </w:p>
        </w:tc>
      </w:tr>
      <w:tr w:rsidR="00091DE7" w:rsidRPr="003F7F6C" w14:paraId="19DFBBA1" w14:textId="77777777" w:rsidTr="00787CD1">
        <w:trPr>
          <w:jc w:val="center"/>
        </w:trPr>
        <w:tc>
          <w:tcPr>
            <w:tcW w:w="3145" w:type="dxa"/>
          </w:tcPr>
          <w:p w14:paraId="16E58F58" w14:textId="77777777" w:rsidR="00091DE7" w:rsidRPr="003F7F6C" w:rsidRDefault="00091DE7" w:rsidP="009D4BAA">
            <w:pPr>
              <w:jc w:val="left"/>
              <w:rPr>
                <w:rFonts w:cs="Calibri"/>
                <w:b/>
                <w:sz w:val="18"/>
                <w:szCs w:val="18"/>
              </w:rPr>
            </w:pPr>
            <w:r w:rsidRPr="003F7F6C">
              <w:rPr>
                <w:rFonts w:cs="Calibri"/>
                <w:b/>
                <w:sz w:val="18"/>
                <w:szCs w:val="18"/>
              </w:rPr>
              <w:t xml:space="preserve">Monitoring of indicators in project results framework </w:t>
            </w:r>
          </w:p>
        </w:tc>
        <w:tc>
          <w:tcPr>
            <w:tcW w:w="1980" w:type="dxa"/>
          </w:tcPr>
          <w:p w14:paraId="7FB8E98C" w14:textId="77777777" w:rsidR="00091DE7" w:rsidRPr="003F7F6C" w:rsidRDefault="00091DE7" w:rsidP="009D4BAA">
            <w:pPr>
              <w:jc w:val="left"/>
              <w:rPr>
                <w:rFonts w:cs="Calibri"/>
                <w:sz w:val="18"/>
                <w:szCs w:val="18"/>
              </w:rPr>
            </w:pPr>
            <w:r w:rsidRPr="003F7F6C">
              <w:rPr>
                <w:rFonts w:cs="Calibri"/>
                <w:sz w:val="18"/>
                <w:szCs w:val="18"/>
              </w:rPr>
              <w:t>Project Coordinator</w:t>
            </w:r>
          </w:p>
          <w:p w14:paraId="73E4A41B" w14:textId="77777777" w:rsidR="00091DE7" w:rsidRPr="003F7F6C" w:rsidRDefault="00EC7B33" w:rsidP="009D4BAA">
            <w:pPr>
              <w:jc w:val="left"/>
              <w:rPr>
                <w:rFonts w:cs="Calibri"/>
                <w:sz w:val="18"/>
                <w:szCs w:val="18"/>
              </w:rPr>
            </w:pPr>
            <w:r w:rsidRPr="003F7F6C">
              <w:rPr>
                <w:rFonts w:cs="Calibri"/>
                <w:sz w:val="18"/>
                <w:szCs w:val="18"/>
              </w:rPr>
              <w:t xml:space="preserve"> External consultants</w:t>
            </w:r>
          </w:p>
        </w:tc>
        <w:tc>
          <w:tcPr>
            <w:tcW w:w="1350" w:type="dxa"/>
          </w:tcPr>
          <w:p w14:paraId="25789094" w14:textId="6480500D" w:rsidR="00F86B65" w:rsidRPr="003F7F6C" w:rsidRDefault="00F86B65" w:rsidP="009D4BAA">
            <w:pPr>
              <w:pStyle w:val="BodyText23"/>
              <w:widowControl/>
              <w:tabs>
                <w:tab w:val="clear" w:pos="547"/>
              </w:tabs>
              <w:spacing w:after="60"/>
              <w:rPr>
                <w:rFonts w:ascii="Calibri" w:hAnsi="Calibri" w:cs="Calibri"/>
                <w:snapToGrid/>
                <w:sz w:val="18"/>
                <w:szCs w:val="18"/>
                <w:lang w:val="en-GB"/>
              </w:rPr>
            </w:pPr>
            <w:r w:rsidRPr="003F7F6C">
              <w:rPr>
                <w:rFonts w:ascii="Calibri" w:hAnsi="Calibri" w:cs="Calibri"/>
                <w:snapToGrid/>
                <w:sz w:val="18"/>
                <w:szCs w:val="18"/>
                <w:lang w:val="en-GB"/>
              </w:rPr>
              <w:t xml:space="preserve">USD </w:t>
            </w:r>
            <w:r w:rsidR="000554AB" w:rsidRPr="003F7F6C">
              <w:rPr>
                <w:rFonts w:ascii="Calibri" w:hAnsi="Calibri" w:cs="Calibri"/>
                <w:snapToGrid/>
                <w:sz w:val="18"/>
                <w:szCs w:val="18"/>
                <w:lang w:val="en-GB"/>
              </w:rPr>
              <w:t>14,014</w:t>
            </w:r>
            <w:r w:rsidRPr="003F7F6C">
              <w:rPr>
                <w:rFonts w:ascii="Calibri" w:hAnsi="Calibri" w:cs="Calibri"/>
                <w:snapToGrid/>
                <w:sz w:val="18"/>
                <w:szCs w:val="18"/>
                <w:lang w:val="en-GB"/>
              </w:rPr>
              <w:t xml:space="preserve"> time of Project Coordinator allocated to M&amp;E</w:t>
            </w:r>
          </w:p>
          <w:p w14:paraId="1D4F3F7B" w14:textId="77777777" w:rsidR="00F86B65" w:rsidRPr="003F7F6C" w:rsidRDefault="00F86B65" w:rsidP="009D4BAA">
            <w:pPr>
              <w:pStyle w:val="BodyText23"/>
              <w:widowControl/>
              <w:tabs>
                <w:tab w:val="clear" w:pos="547"/>
              </w:tabs>
              <w:spacing w:after="60"/>
              <w:rPr>
                <w:rFonts w:ascii="Calibri" w:hAnsi="Calibri" w:cs="Calibri"/>
                <w:snapToGrid/>
                <w:sz w:val="18"/>
                <w:szCs w:val="18"/>
                <w:lang w:val="en-GB"/>
              </w:rPr>
            </w:pPr>
          </w:p>
          <w:p w14:paraId="044310A1" w14:textId="1BC7F225" w:rsidR="00091DE7" w:rsidRPr="003F7F6C" w:rsidRDefault="00091DE7" w:rsidP="009D4BAA">
            <w:pPr>
              <w:pStyle w:val="BodyText23"/>
              <w:widowControl/>
              <w:tabs>
                <w:tab w:val="clear" w:pos="547"/>
              </w:tabs>
              <w:spacing w:after="60"/>
              <w:rPr>
                <w:rFonts w:ascii="Calibri" w:hAnsi="Calibri" w:cs="Calibri"/>
                <w:snapToGrid/>
                <w:sz w:val="18"/>
                <w:szCs w:val="18"/>
                <w:lang w:val="en-GB"/>
              </w:rPr>
            </w:pPr>
            <w:r w:rsidRPr="003F7F6C">
              <w:rPr>
                <w:rFonts w:ascii="Calibri" w:hAnsi="Calibri" w:cs="Calibri"/>
                <w:snapToGrid/>
                <w:sz w:val="18"/>
                <w:szCs w:val="18"/>
                <w:lang w:val="en-GB"/>
              </w:rPr>
              <w:t xml:space="preserve">USD </w:t>
            </w:r>
            <w:r w:rsidR="00F86B65" w:rsidRPr="003F7F6C">
              <w:rPr>
                <w:rFonts w:ascii="Calibri" w:hAnsi="Calibri" w:cs="Calibri"/>
                <w:snapToGrid/>
                <w:sz w:val="18"/>
                <w:szCs w:val="18"/>
                <w:lang w:val="en-GB"/>
              </w:rPr>
              <w:t>94,000</w:t>
            </w:r>
            <w:r w:rsidRPr="003F7F6C">
              <w:rPr>
                <w:rFonts w:ascii="Calibri" w:hAnsi="Calibri" w:cs="Calibri"/>
                <w:snapToGrid/>
                <w:sz w:val="18"/>
                <w:szCs w:val="18"/>
                <w:lang w:val="en-GB"/>
              </w:rPr>
              <w:t xml:space="preserve"> </w:t>
            </w:r>
            <w:r w:rsidR="00F86B65" w:rsidRPr="003F7F6C">
              <w:rPr>
                <w:rFonts w:ascii="Calibri" w:hAnsi="Calibri" w:cs="Calibri"/>
                <w:snapToGrid/>
                <w:sz w:val="18"/>
                <w:szCs w:val="18"/>
                <w:lang w:val="en-GB"/>
              </w:rPr>
              <w:t xml:space="preserve">external consultants for field assessments and measurement of indicators  </w:t>
            </w:r>
            <w:r w:rsidR="00F86B65" w:rsidRPr="003F7F6C">
              <w:rPr>
                <w:rFonts w:ascii="Calibri" w:hAnsi="Calibri" w:cs="Calibri"/>
                <w:sz w:val="18"/>
                <w:szCs w:val="18"/>
              </w:rPr>
              <w:t>Livelihood Index, BD/LD methodologies</w:t>
            </w:r>
            <w:r w:rsidR="000554AB" w:rsidRPr="003F7F6C">
              <w:rPr>
                <w:rFonts w:ascii="Calibri" w:hAnsi="Calibri" w:cs="Calibri"/>
                <w:sz w:val="18"/>
                <w:szCs w:val="18"/>
              </w:rPr>
              <w:t>, other surveys</w:t>
            </w:r>
          </w:p>
        </w:tc>
        <w:tc>
          <w:tcPr>
            <w:tcW w:w="1170" w:type="dxa"/>
          </w:tcPr>
          <w:p w14:paraId="1BE193C8" w14:textId="77777777" w:rsidR="00091DE7" w:rsidRPr="003F7F6C" w:rsidRDefault="005A3FEB" w:rsidP="009D4BAA">
            <w:pPr>
              <w:pStyle w:val="BodyText23"/>
              <w:widowControl/>
              <w:tabs>
                <w:tab w:val="clear" w:pos="547"/>
              </w:tabs>
              <w:spacing w:after="60"/>
              <w:rPr>
                <w:rFonts w:ascii="Calibri" w:hAnsi="Calibri" w:cs="Calibri"/>
                <w:snapToGrid/>
                <w:sz w:val="18"/>
                <w:szCs w:val="18"/>
                <w:lang w:val="en-GB"/>
              </w:rPr>
            </w:pPr>
            <w:r w:rsidRPr="003F7F6C">
              <w:rPr>
                <w:rFonts w:ascii="Calibri" w:hAnsi="Calibri" w:cs="Calibri"/>
                <w:snapToGrid/>
                <w:sz w:val="18"/>
                <w:szCs w:val="18"/>
                <w:lang w:val="en-GB"/>
              </w:rPr>
              <w:t>106,051</w:t>
            </w:r>
          </w:p>
        </w:tc>
        <w:tc>
          <w:tcPr>
            <w:tcW w:w="1705" w:type="dxa"/>
          </w:tcPr>
          <w:p w14:paraId="37EF2856" w14:textId="77777777" w:rsidR="00091DE7" w:rsidRPr="003F7F6C" w:rsidRDefault="00091DE7" w:rsidP="009D4BAA">
            <w:pPr>
              <w:jc w:val="left"/>
              <w:rPr>
                <w:rFonts w:cs="Calibri"/>
                <w:sz w:val="18"/>
                <w:szCs w:val="18"/>
              </w:rPr>
            </w:pPr>
            <w:r w:rsidRPr="003F7F6C">
              <w:rPr>
                <w:rFonts w:cs="Calibri"/>
                <w:sz w:val="18"/>
                <w:szCs w:val="18"/>
              </w:rPr>
              <w:t>Annually before PIR</w:t>
            </w:r>
          </w:p>
          <w:p w14:paraId="6CEB4C6C" w14:textId="7CC8509A" w:rsidR="00F86B65" w:rsidRPr="003F7F6C" w:rsidRDefault="00F86B65" w:rsidP="009D4BAA">
            <w:pPr>
              <w:jc w:val="left"/>
              <w:rPr>
                <w:rFonts w:cs="Calibri"/>
                <w:sz w:val="18"/>
                <w:szCs w:val="18"/>
              </w:rPr>
            </w:pPr>
            <w:r w:rsidRPr="003F7F6C">
              <w:rPr>
                <w:rFonts w:cs="Calibri"/>
                <w:sz w:val="18"/>
                <w:szCs w:val="18"/>
              </w:rPr>
              <w:t>Livelihood Index</w:t>
            </w:r>
            <w:r w:rsidR="006173F6" w:rsidRPr="003F7F6C">
              <w:rPr>
                <w:rFonts w:cs="Calibri"/>
                <w:sz w:val="18"/>
                <w:szCs w:val="18"/>
              </w:rPr>
              <w:t xml:space="preserve">; </w:t>
            </w:r>
            <w:r w:rsidRPr="003F7F6C">
              <w:rPr>
                <w:rFonts w:cs="Calibri"/>
                <w:sz w:val="18"/>
                <w:szCs w:val="18"/>
              </w:rPr>
              <w:t>BD/LD benefits</w:t>
            </w:r>
            <w:r w:rsidR="006173F6" w:rsidRPr="003F7F6C">
              <w:rPr>
                <w:rFonts w:cs="Calibri"/>
                <w:sz w:val="18"/>
                <w:szCs w:val="18"/>
              </w:rPr>
              <w:t xml:space="preserve">; </w:t>
            </w:r>
            <w:r w:rsidRPr="003F7F6C">
              <w:rPr>
                <w:rFonts w:cs="Calibri"/>
                <w:sz w:val="18"/>
                <w:szCs w:val="18"/>
              </w:rPr>
              <w:t>at project start-up and end</w:t>
            </w:r>
            <w:r w:rsidR="000554AB" w:rsidRPr="003F7F6C">
              <w:rPr>
                <w:rFonts w:cs="Calibri"/>
                <w:sz w:val="18"/>
                <w:szCs w:val="18"/>
              </w:rPr>
              <w:t>; other surveys as needed</w:t>
            </w:r>
          </w:p>
        </w:tc>
      </w:tr>
      <w:tr w:rsidR="009D4BAA" w:rsidRPr="003F7F6C" w14:paraId="7554EF7B" w14:textId="77777777" w:rsidTr="00787CD1">
        <w:trPr>
          <w:jc w:val="center"/>
        </w:trPr>
        <w:tc>
          <w:tcPr>
            <w:tcW w:w="3145" w:type="dxa"/>
          </w:tcPr>
          <w:p w14:paraId="372DD4A6" w14:textId="77777777" w:rsidR="009D4BAA" w:rsidRPr="003F7F6C" w:rsidRDefault="009D4BAA" w:rsidP="009D4BAA">
            <w:pPr>
              <w:jc w:val="left"/>
              <w:rPr>
                <w:rFonts w:cs="Calibri"/>
                <w:b/>
                <w:sz w:val="18"/>
                <w:szCs w:val="18"/>
              </w:rPr>
            </w:pPr>
            <w:r w:rsidRPr="003F7F6C">
              <w:rPr>
                <w:rFonts w:cs="Calibri"/>
                <w:b/>
                <w:sz w:val="18"/>
                <w:szCs w:val="18"/>
              </w:rPr>
              <w:t xml:space="preserve">GEF Project Implementation Report (PIR) </w:t>
            </w:r>
          </w:p>
        </w:tc>
        <w:tc>
          <w:tcPr>
            <w:tcW w:w="1980" w:type="dxa"/>
          </w:tcPr>
          <w:p w14:paraId="7443B0E1" w14:textId="77777777" w:rsidR="009D4BAA" w:rsidRPr="003F7F6C" w:rsidRDefault="009D4BAA" w:rsidP="009D4BAA">
            <w:pPr>
              <w:jc w:val="left"/>
              <w:rPr>
                <w:rFonts w:cs="Calibri"/>
                <w:sz w:val="18"/>
                <w:szCs w:val="18"/>
              </w:rPr>
            </w:pPr>
            <w:r w:rsidRPr="003F7F6C">
              <w:rPr>
                <w:rFonts w:cs="Calibri"/>
                <w:sz w:val="18"/>
                <w:szCs w:val="18"/>
              </w:rPr>
              <w:t xml:space="preserve">Project </w:t>
            </w:r>
            <w:r w:rsidR="00F47AF3" w:rsidRPr="003F7F6C">
              <w:rPr>
                <w:rFonts w:cs="Calibri"/>
                <w:sz w:val="18"/>
                <w:szCs w:val="18"/>
              </w:rPr>
              <w:t>Coordinator</w:t>
            </w:r>
            <w:r w:rsidRPr="003F7F6C">
              <w:rPr>
                <w:rFonts w:cs="Calibri"/>
                <w:sz w:val="18"/>
                <w:szCs w:val="18"/>
              </w:rPr>
              <w:t xml:space="preserve"> and UNDP Country Office and UNDP-GEF team</w:t>
            </w:r>
          </w:p>
        </w:tc>
        <w:tc>
          <w:tcPr>
            <w:tcW w:w="1350" w:type="dxa"/>
          </w:tcPr>
          <w:p w14:paraId="63E59A01" w14:textId="77777777" w:rsidR="009D4BAA" w:rsidRPr="003F7F6C" w:rsidRDefault="009D4BAA" w:rsidP="009D4BAA">
            <w:pPr>
              <w:pStyle w:val="BodyText23"/>
              <w:widowControl/>
              <w:tabs>
                <w:tab w:val="clear" w:pos="547"/>
              </w:tabs>
              <w:spacing w:after="60"/>
              <w:rPr>
                <w:rFonts w:ascii="Calibri" w:hAnsi="Calibri" w:cs="Calibri"/>
                <w:snapToGrid/>
                <w:sz w:val="18"/>
                <w:szCs w:val="18"/>
                <w:lang w:val="en-GB"/>
              </w:rPr>
            </w:pPr>
            <w:r w:rsidRPr="003F7F6C">
              <w:rPr>
                <w:rFonts w:ascii="Calibri" w:hAnsi="Calibri" w:cs="Calibri"/>
                <w:snapToGrid/>
                <w:sz w:val="18"/>
                <w:szCs w:val="18"/>
                <w:lang w:val="en-GB"/>
              </w:rPr>
              <w:t>None</w:t>
            </w:r>
          </w:p>
        </w:tc>
        <w:tc>
          <w:tcPr>
            <w:tcW w:w="1170" w:type="dxa"/>
          </w:tcPr>
          <w:p w14:paraId="7A51F259" w14:textId="77777777" w:rsidR="009D4BAA" w:rsidRPr="003F7F6C" w:rsidRDefault="009D4BAA" w:rsidP="009D4BAA">
            <w:pPr>
              <w:pStyle w:val="BodyText23"/>
              <w:widowControl/>
              <w:tabs>
                <w:tab w:val="clear" w:pos="547"/>
              </w:tabs>
              <w:spacing w:after="60"/>
              <w:rPr>
                <w:rFonts w:ascii="Calibri" w:hAnsi="Calibri" w:cs="Calibri"/>
                <w:snapToGrid/>
                <w:sz w:val="18"/>
                <w:szCs w:val="18"/>
                <w:lang w:val="en-GB"/>
              </w:rPr>
            </w:pPr>
            <w:r w:rsidRPr="003F7F6C">
              <w:rPr>
                <w:rFonts w:ascii="Calibri" w:hAnsi="Calibri" w:cs="Calibri"/>
                <w:snapToGrid/>
                <w:sz w:val="18"/>
                <w:szCs w:val="18"/>
                <w:lang w:val="en-GB"/>
              </w:rPr>
              <w:t>None</w:t>
            </w:r>
          </w:p>
        </w:tc>
        <w:tc>
          <w:tcPr>
            <w:tcW w:w="1705" w:type="dxa"/>
          </w:tcPr>
          <w:p w14:paraId="34CB464E" w14:textId="77777777" w:rsidR="009D4BAA" w:rsidRPr="003F7F6C" w:rsidRDefault="009D4BAA" w:rsidP="009D4BAA">
            <w:pPr>
              <w:jc w:val="left"/>
              <w:rPr>
                <w:rFonts w:cs="Calibri"/>
                <w:sz w:val="18"/>
                <w:szCs w:val="18"/>
              </w:rPr>
            </w:pPr>
            <w:r w:rsidRPr="003F7F6C">
              <w:rPr>
                <w:rFonts w:cs="Calibri"/>
                <w:sz w:val="18"/>
                <w:szCs w:val="18"/>
              </w:rPr>
              <w:t xml:space="preserve">Annually </w:t>
            </w:r>
          </w:p>
        </w:tc>
      </w:tr>
      <w:tr w:rsidR="009D4BAA" w:rsidRPr="003F7F6C" w14:paraId="3DFF7176" w14:textId="77777777" w:rsidTr="00787CD1">
        <w:trPr>
          <w:jc w:val="center"/>
        </w:trPr>
        <w:tc>
          <w:tcPr>
            <w:tcW w:w="3145" w:type="dxa"/>
          </w:tcPr>
          <w:p w14:paraId="56743705" w14:textId="77777777" w:rsidR="009D4BAA" w:rsidRPr="003F7F6C" w:rsidRDefault="009D4BAA" w:rsidP="009D4BAA">
            <w:pPr>
              <w:jc w:val="left"/>
              <w:rPr>
                <w:rFonts w:cs="Calibri"/>
                <w:b/>
                <w:sz w:val="18"/>
                <w:szCs w:val="18"/>
              </w:rPr>
            </w:pPr>
            <w:r w:rsidRPr="003F7F6C">
              <w:rPr>
                <w:rFonts w:cs="Calibri"/>
                <w:b/>
                <w:sz w:val="18"/>
                <w:szCs w:val="18"/>
              </w:rPr>
              <w:t>NIM Audit as per UNDP audit policies</w:t>
            </w:r>
          </w:p>
        </w:tc>
        <w:tc>
          <w:tcPr>
            <w:tcW w:w="1980" w:type="dxa"/>
          </w:tcPr>
          <w:p w14:paraId="436FA60A" w14:textId="77777777" w:rsidR="009D4BAA" w:rsidRPr="003F7F6C" w:rsidRDefault="009D4BAA" w:rsidP="009D4BAA">
            <w:pPr>
              <w:jc w:val="left"/>
              <w:rPr>
                <w:rFonts w:cs="Calibri"/>
                <w:sz w:val="18"/>
                <w:szCs w:val="18"/>
              </w:rPr>
            </w:pPr>
            <w:r w:rsidRPr="003F7F6C">
              <w:rPr>
                <w:rFonts w:cs="Calibri"/>
                <w:sz w:val="18"/>
                <w:szCs w:val="18"/>
              </w:rPr>
              <w:t>UNDP Country Office</w:t>
            </w:r>
          </w:p>
        </w:tc>
        <w:tc>
          <w:tcPr>
            <w:tcW w:w="1350" w:type="dxa"/>
          </w:tcPr>
          <w:p w14:paraId="2D41A4B3" w14:textId="77777777" w:rsidR="00757041" w:rsidRPr="003F7F6C" w:rsidRDefault="00757041" w:rsidP="009D4BAA">
            <w:pPr>
              <w:jc w:val="left"/>
              <w:rPr>
                <w:rFonts w:cs="Calibri"/>
                <w:sz w:val="18"/>
                <w:szCs w:val="18"/>
              </w:rPr>
            </w:pPr>
            <w:r w:rsidRPr="003F7F6C">
              <w:rPr>
                <w:rFonts w:cs="Calibri"/>
                <w:sz w:val="18"/>
                <w:szCs w:val="18"/>
              </w:rPr>
              <w:t>USD 30,000 (USD/yr 5,000)</w:t>
            </w:r>
          </w:p>
        </w:tc>
        <w:tc>
          <w:tcPr>
            <w:tcW w:w="1170" w:type="dxa"/>
          </w:tcPr>
          <w:p w14:paraId="4A58436A" w14:textId="77777777" w:rsidR="009D4BAA" w:rsidRPr="003F7F6C" w:rsidRDefault="005A3FEB" w:rsidP="009D4BAA">
            <w:pPr>
              <w:jc w:val="left"/>
              <w:rPr>
                <w:rFonts w:cs="Calibri"/>
                <w:sz w:val="18"/>
                <w:szCs w:val="18"/>
              </w:rPr>
            </w:pPr>
            <w:r w:rsidRPr="003F7F6C">
              <w:rPr>
                <w:rFonts w:cs="Calibri"/>
                <w:sz w:val="18"/>
                <w:szCs w:val="18"/>
              </w:rPr>
              <w:t>90,000</w:t>
            </w:r>
          </w:p>
        </w:tc>
        <w:tc>
          <w:tcPr>
            <w:tcW w:w="1705" w:type="dxa"/>
          </w:tcPr>
          <w:p w14:paraId="371F11ED" w14:textId="77777777" w:rsidR="009D4BAA" w:rsidRPr="003F7F6C" w:rsidRDefault="009D4BAA" w:rsidP="009D4BAA">
            <w:pPr>
              <w:jc w:val="left"/>
              <w:rPr>
                <w:rFonts w:cs="Calibri"/>
                <w:sz w:val="18"/>
                <w:szCs w:val="18"/>
              </w:rPr>
            </w:pPr>
            <w:r w:rsidRPr="003F7F6C">
              <w:rPr>
                <w:rFonts w:cs="Calibri"/>
                <w:sz w:val="18"/>
                <w:szCs w:val="18"/>
              </w:rPr>
              <w:t>Annually or other frequency as per UNDP Audit policies</w:t>
            </w:r>
          </w:p>
        </w:tc>
      </w:tr>
      <w:tr w:rsidR="009D4BAA" w:rsidRPr="003F7F6C" w14:paraId="02F4F93E" w14:textId="77777777" w:rsidTr="00787CD1">
        <w:trPr>
          <w:jc w:val="center"/>
        </w:trPr>
        <w:tc>
          <w:tcPr>
            <w:tcW w:w="3145" w:type="dxa"/>
          </w:tcPr>
          <w:p w14:paraId="0BB096D5" w14:textId="3EF0457E" w:rsidR="009D4BAA" w:rsidRPr="003F7F6C" w:rsidRDefault="009D4BAA" w:rsidP="009D4BAA">
            <w:pPr>
              <w:jc w:val="left"/>
              <w:rPr>
                <w:rFonts w:cs="Calibri"/>
                <w:sz w:val="18"/>
                <w:szCs w:val="18"/>
              </w:rPr>
            </w:pPr>
            <w:r w:rsidRPr="003F7F6C">
              <w:rPr>
                <w:rFonts w:cs="Calibri"/>
                <w:b/>
                <w:sz w:val="18"/>
                <w:szCs w:val="18"/>
              </w:rPr>
              <w:t>Lessons learned and knowledge generation</w:t>
            </w:r>
            <w:r w:rsidR="00941F9A" w:rsidRPr="003F7F6C">
              <w:rPr>
                <w:rFonts w:cs="Calibri"/>
                <w:sz w:val="18"/>
                <w:szCs w:val="18"/>
              </w:rPr>
              <w:t xml:space="preserve"> </w:t>
            </w:r>
          </w:p>
        </w:tc>
        <w:tc>
          <w:tcPr>
            <w:tcW w:w="1980" w:type="dxa"/>
          </w:tcPr>
          <w:p w14:paraId="1097307D" w14:textId="77777777" w:rsidR="009D4BAA" w:rsidRPr="003F7F6C" w:rsidRDefault="009D4BAA" w:rsidP="009D4BAA">
            <w:pPr>
              <w:jc w:val="left"/>
              <w:rPr>
                <w:rFonts w:cs="Calibri"/>
                <w:sz w:val="18"/>
                <w:szCs w:val="18"/>
              </w:rPr>
            </w:pPr>
            <w:r w:rsidRPr="003F7F6C">
              <w:rPr>
                <w:rFonts w:cs="Calibri"/>
                <w:sz w:val="18"/>
                <w:szCs w:val="18"/>
              </w:rPr>
              <w:t xml:space="preserve">Project </w:t>
            </w:r>
            <w:r w:rsidR="00F47AF3" w:rsidRPr="003F7F6C">
              <w:rPr>
                <w:rFonts w:cs="Calibri"/>
                <w:sz w:val="18"/>
                <w:szCs w:val="18"/>
              </w:rPr>
              <w:t>Coordinator</w:t>
            </w:r>
          </w:p>
        </w:tc>
        <w:tc>
          <w:tcPr>
            <w:tcW w:w="1350" w:type="dxa"/>
          </w:tcPr>
          <w:p w14:paraId="132BED5A" w14:textId="77777777" w:rsidR="00EC7B33" w:rsidRPr="003F7F6C" w:rsidRDefault="00757041" w:rsidP="009D4BAA">
            <w:pPr>
              <w:jc w:val="left"/>
              <w:rPr>
                <w:rFonts w:cs="Calibri"/>
                <w:sz w:val="18"/>
                <w:szCs w:val="18"/>
              </w:rPr>
            </w:pPr>
            <w:r w:rsidRPr="003F7F6C">
              <w:rPr>
                <w:rFonts w:cs="Calibri"/>
                <w:sz w:val="18"/>
                <w:szCs w:val="18"/>
              </w:rPr>
              <w:t xml:space="preserve">USD </w:t>
            </w:r>
            <w:r w:rsidR="00F86B65" w:rsidRPr="003F7F6C">
              <w:rPr>
                <w:rFonts w:cs="Calibri"/>
                <w:sz w:val="18"/>
                <w:szCs w:val="18"/>
              </w:rPr>
              <w:t>30,000</w:t>
            </w:r>
            <w:r w:rsidRPr="003F7F6C">
              <w:rPr>
                <w:rFonts w:cs="Calibri"/>
                <w:sz w:val="18"/>
                <w:szCs w:val="18"/>
              </w:rPr>
              <w:t xml:space="preserve"> </w:t>
            </w:r>
          </w:p>
          <w:p w14:paraId="173D432E" w14:textId="77777777" w:rsidR="009D4BAA" w:rsidRPr="003F7F6C" w:rsidRDefault="00EC7B33" w:rsidP="009D4BAA">
            <w:pPr>
              <w:jc w:val="left"/>
              <w:rPr>
                <w:rFonts w:cs="Calibri"/>
                <w:sz w:val="18"/>
                <w:szCs w:val="18"/>
              </w:rPr>
            </w:pPr>
            <w:r w:rsidRPr="003F7F6C">
              <w:rPr>
                <w:rFonts w:cs="Calibri"/>
                <w:sz w:val="18"/>
                <w:szCs w:val="18"/>
              </w:rPr>
              <w:t xml:space="preserve">(USD/yr 5,000) </w:t>
            </w:r>
            <w:r w:rsidR="00F86B65" w:rsidRPr="003F7F6C">
              <w:rPr>
                <w:rFonts w:cs="Calibri"/>
                <w:sz w:val="18"/>
                <w:szCs w:val="18"/>
              </w:rPr>
              <w:t>annual workshops for planning and lessons learned</w:t>
            </w:r>
          </w:p>
        </w:tc>
        <w:tc>
          <w:tcPr>
            <w:tcW w:w="1170" w:type="dxa"/>
          </w:tcPr>
          <w:p w14:paraId="2446F901" w14:textId="77777777" w:rsidR="009D4BAA" w:rsidRPr="003F7F6C" w:rsidRDefault="005A3FEB" w:rsidP="009D4BAA">
            <w:pPr>
              <w:jc w:val="left"/>
              <w:rPr>
                <w:rFonts w:cs="Calibri"/>
                <w:sz w:val="18"/>
                <w:szCs w:val="18"/>
              </w:rPr>
            </w:pPr>
            <w:r w:rsidRPr="003F7F6C">
              <w:rPr>
                <w:rFonts w:cs="Calibri"/>
                <w:sz w:val="18"/>
                <w:szCs w:val="18"/>
              </w:rPr>
              <w:t>90,000</w:t>
            </w:r>
          </w:p>
        </w:tc>
        <w:tc>
          <w:tcPr>
            <w:tcW w:w="1705" w:type="dxa"/>
          </w:tcPr>
          <w:p w14:paraId="51CB652B" w14:textId="77777777" w:rsidR="009D4BAA" w:rsidRPr="003F7F6C" w:rsidRDefault="009D4BAA" w:rsidP="009D4BAA">
            <w:pPr>
              <w:jc w:val="left"/>
              <w:rPr>
                <w:rFonts w:cs="Calibri"/>
                <w:sz w:val="18"/>
                <w:szCs w:val="18"/>
              </w:rPr>
            </w:pPr>
            <w:r w:rsidRPr="003F7F6C">
              <w:rPr>
                <w:rFonts w:cs="Calibri"/>
                <w:sz w:val="18"/>
                <w:szCs w:val="18"/>
              </w:rPr>
              <w:t>Annually</w:t>
            </w:r>
          </w:p>
        </w:tc>
      </w:tr>
      <w:tr w:rsidR="009D4BAA" w:rsidRPr="003F7F6C" w14:paraId="62A3C1D5" w14:textId="77777777" w:rsidTr="00787CD1">
        <w:trPr>
          <w:jc w:val="center"/>
        </w:trPr>
        <w:tc>
          <w:tcPr>
            <w:tcW w:w="3145" w:type="dxa"/>
          </w:tcPr>
          <w:p w14:paraId="0B0A721B" w14:textId="77777777" w:rsidR="009D4BAA" w:rsidRPr="003F7F6C" w:rsidRDefault="009D4BAA" w:rsidP="009D4BAA">
            <w:pPr>
              <w:jc w:val="left"/>
              <w:rPr>
                <w:rFonts w:cs="Calibri"/>
                <w:b/>
                <w:sz w:val="18"/>
                <w:szCs w:val="18"/>
              </w:rPr>
            </w:pPr>
            <w:r w:rsidRPr="003F7F6C">
              <w:rPr>
                <w:rFonts w:cs="Calibri"/>
                <w:b/>
                <w:sz w:val="18"/>
                <w:szCs w:val="18"/>
              </w:rPr>
              <w:t>Monitoring of environmental and social risks, and corresponding management plans as relevant</w:t>
            </w:r>
          </w:p>
        </w:tc>
        <w:tc>
          <w:tcPr>
            <w:tcW w:w="1980" w:type="dxa"/>
          </w:tcPr>
          <w:p w14:paraId="2AC81A3A" w14:textId="77777777" w:rsidR="009D4BAA" w:rsidRPr="003F7F6C" w:rsidRDefault="009D4BAA" w:rsidP="009D4BAA">
            <w:pPr>
              <w:jc w:val="left"/>
              <w:rPr>
                <w:rFonts w:cs="Calibri"/>
                <w:sz w:val="18"/>
                <w:szCs w:val="18"/>
              </w:rPr>
            </w:pPr>
            <w:r w:rsidRPr="003F7F6C">
              <w:rPr>
                <w:rFonts w:cs="Calibri"/>
                <w:sz w:val="18"/>
                <w:szCs w:val="18"/>
              </w:rPr>
              <w:t xml:space="preserve">Project </w:t>
            </w:r>
            <w:r w:rsidR="00F47AF3" w:rsidRPr="003F7F6C">
              <w:rPr>
                <w:rFonts w:cs="Calibri"/>
                <w:sz w:val="18"/>
                <w:szCs w:val="18"/>
              </w:rPr>
              <w:t>Coordinator</w:t>
            </w:r>
          </w:p>
          <w:p w14:paraId="59A2F82E" w14:textId="77777777" w:rsidR="009D4BAA" w:rsidRPr="003F7F6C" w:rsidRDefault="009D4BAA" w:rsidP="009D4BAA">
            <w:pPr>
              <w:jc w:val="left"/>
              <w:rPr>
                <w:rFonts w:cs="Calibri"/>
                <w:sz w:val="18"/>
                <w:szCs w:val="18"/>
              </w:rPr>
            </w:pPr>
            <w:r w:rsidRPr="003F7F6C">
              <w:rPr>
                <w:rFonts w:cs="Calibri"/>
                <w:sz w:val="18"/>
                <w:szCs w:val="18"/>
              </w:rPr>
              <w:t>UNDP C</w:t>
            </w:r>
            <w:r w:rsidR="00514555" w:rsidRPr="003F7F6C">
              <w:rPr>
                <w:rFonts w:cs="Calibri"/>
                <w:sz w:val="18"/>
                <w:szCs w:val="18"/>
              </w:rPr>
              <w:t>ountry Office</w:t>
            </w:r>
          </w:p>
        </w:tc>
        <w:tc>
          <w:tcPr>
            <w:tcW w:w="1350" w:type="dxa"/>
          </w:tcPr>
          <w:p w14:paraId="5C17D47D" w14:textId="7E292C9F" w:rsidR="009D4BAA" w:rsidRPr="003F7F6C" w:rsidRDefault="00915E5E" w:rsidP="009D4BAA">
            <w:pPr>
              <w:jc w:val="left"/>
              <w:rPr>
                <w:rFonts w:cs="Calibri"/>
                <w:sz w:val="18"/>
                <w:szCs w:val="18"/>
              </w:rPr>
            </w:pPr>
            <w:r w:rsidRPr="003F7F6C">
              <w:rPr>
                <w:rFonts w:cs="Calibri"/>
                <w:sz w:val="18"/>
                <w:szCs w:val="18"/>
              </w:rPr>
              <w:t>USD 7,000 (time of Stakeholder Engagement Specialist dedicated to M&amp;E(</w:t>
            </w:r>
          </w:p>
        </w:tc>
        <w:tc>
          <w:tcPr>
            <w:tcW w:w="1170" w:type="dxa"/>
          </w:tcPr>
          <w:p w14:paraId="193FA46B" w14:textId="15491EBF" w:rsidR="009D4BAA" w:rsidRPr="003F7F6C" w:rsidRDefault="00915E5E" w:rsidP="009D4BAA">
            <w:pPr>
              <w:jc w:val="left"/>
              <w:rPr>
                <w:rFonts w:cs="Calibri"/>
                <w:sz w:val="18"/>
                <w:szCs w:val="18"/>
              </w:rPr>
            </w:pPr>
            <w:r w:rsidRPr="003F7F6C">
              <w:rPr>
                <w:rFonts w:cs="Calibri"/>
                <w:sz w:val="18"/>
                <w:szCs w:val="18"/>
              </w:rPr>
              <w:t>21,000</w:t>
            </w:r>
          </w:p>
        </w:tc>
        <w:tc>
          <w:tcPr>
            <w:tcW w:w="1705" w:type="dxa"/>
          </w:tcPr>
          <w:p w14:paraId="39934AA7" w14:textId="77777777" w:rsidR="009D4BAA" w:rsidRPr="003F7F6C" w:rsidRDefault="009D4BAA" w:rsidP="009D4BAA">
            <w:pPr>
              <w:jc w:val="left"/>
              <w:rPr>
                <w:rFonts w:cs="Calibri"/>
                <w:sz w:val="18"/>
                <w:szCs w:val="18"/>
              </w:rPr>
            </w:pPr>
            <w:r w:rsidRPr="003F7F6C">
              <w:rPr>
                <w:rFonts w:cs="Calibri"/>
                <w:sz w:val="18"/>
                <w:szCs w:val="18"/>
              </w:rPr>
              <w:t>On-going</w:t>
            </w:r>
          </w:p>
        </w:tc>
      </w:tr>
      <w:tr w:rsidR="00514555" w:rsidRPr="003F7F6C" w14:paraId="2F00DB93" w14:textId="77777777" w:rsidTr="00787CD1">
        <w:trPr>
          <w:jc w:val="center"/>
        </w:trPr>
        <w:tc>
          <w:tcPr>
            <w:tcW w:w="3145" w:type="dxa"/>
          </w:tcPr>
          <w:p w14:paraId="3F4FE810" w14:textId="77777777" w:rsidR="00514555" w:rsidRPr="003F7F6C" w:rsidRDefault="00514555" w:rsidP="00514555">
            <w:pPr>
              <w:jc w:val="left"/>
              <w:rPr>
                <w:rFonts w:cs="Calibri"/>
                <w:b/>
                <w:sz w:val="18"/>
                <w:szCs w:val="18"/>
              </w:rPr>
            </w:pPr>
            <w:r w:rsidRPr="003F7F6C">
              <w:rPr>
                <w:rFonts w:cs="Calibri"/>
                <w:b/>
                <w:sz w:val="18"/>
                <w:szCs w:val="18"/>
              </w:rPr>
              <w:t xml:space="preserve">Stakeholder </w:t>
            </w:r>
            <w:r w:rsidR="00061B53" w:rsidRPr="003F7F6C">
              <w:rPr>
                <w:rFonts w:cs="Calibri"/>
                <w:b/>
                <w:sz w:val="18"/>
                <w:szCs w:val="18"/>
              </w:rPr>
              <w:t>E</w:t>
            </w:r>
            <w:r w:rsidRPr="003F7F6C">
              <w:rPr>
                <w:rFonts w:cs="Calibri"/>
                <w:b/>
                <w:sz w:val="18"/>
                <w:szCs w:val="18"/>
              </w:rPr>
              <w:t>ngagement Plan</w:t>
            </w:r>
          </w:p>
        </w:tc>
        <w:tc>
          <w:tcPr>
            <w:tcW w:w="1980" w:type="dxa"/>
          </w:tcPr>
          <w:p w14:paraId="778685ED" w14:textId="77777777" w:rsidR="00514555" w:rsidRPr="003F7F6C" w:rsidRDefault="00514555" w:rsidP="00514555">
            <w:pPr>
              <w:rPr>
                <w:rFonts w:cs="Calibri"/>
                <w:sz w:val="18"/>
                <w:szCs w:val="18"/>
              </w:rPr>
            </w:pPr>
            <w:r w:rsidRPr="003F7F6C">
              <w:rPr>
                <w:rFonts w:cs="Calibri"/>
                <w:sz w:val="18"/>
                <w:szCs w:val="18"/>
              </w:rPr>
              <w:t xml:space="preserve">Project </w:t>
            </w:r>
            <w:r w:rsidR="00F47AF3" w:rsidRPr="003F7F6C">
              <w:rPr>
                <w:rFonts w:cs="Calibri"/>
                <w:sz w:val="18"/>
                <w:szCs w:val="18"/>
              </w:rPr>
              <w:t>Coordinator</w:t>
            </w:r>
          </w:p>
          <w:p w14:paraId="7ECCC650" w14:textId="77777777" w:rsidR="00FA7F6E" w:rsidRPr="003F7F6C" w:rsidRDefault="00FA7F6E" w:rsidP="00514555">
            <w:pPr>
              <w:rPr>
                <w:rFonts w:cs="Calibri"/>
                <w:sz w:val="18"/>
                <w:szCs w:val="18"/>
              </w:rPr>
            </w:pPr>
            <w:r w:rsidRPr="003F7F6C">
              <w:rPr>
                <w:rFonts w:cs="Calibri"/>
                <w:sz w:val="18"/>
                <w:szCs w:val="18"/>
              </w:rPr>
              <w:t>Stakeholder Engagement Specialist</w:t>
            </w:r>
          </w:p>
          <w:p w14:paraId="10E0D696" w14:textId="77777777" w:rsidR="00514555" w:rsidRPr="003F7F6C" w:rsidRDefault="00514555" w:rsidP="00514555">
            <w:pPr>
              <w:rPr>
                <w:rFonts w:cs="Calibri"/>
                <w:sz w:val="18"/>
                <w:szCs w:val="18"/>
              </w:rPr>
            </w:pPr>
            <w:r w:rsidRPr="003F7F6C">
              <w:rPr>
                <w:rFonts w:cs="Calibri"/>
                <w:sz w:val="18"/>
                <w:szCs w:val="18"/>
              </w:rPr>
              <w:t>UNDP Country Office</w:t>
            </w:r>
          </w:p>
        </w:tc>
        <w:tc>
          <w:tcPr>
            <w:tcW w:w="1350" w:type="dxa"/>
          </w:tcPr>
          <w:p w14:paraId="1C950525" w14:textId="3432851B" w:rsidR="00514555" w:rsidRPr="003F7F6C" w:rsidRDefault="00FA7F6E" w:rsidP="00514555">
            <w:pPr>
              <w:jc w:val="left"/>
              <w:rPr>
                <w:rFonts w:cs="Calibri"/>
                <w:sz w:val="18"/>
                <w:szCs w:val="18"/>
              </w:rPr>
            </w:pPr>
            <w:r w:rsidRPr="003F7F6C">
              <w:rPr>
                <w:rFonts w:cs="Calibri"/>
                <w:sz w:val="18"/>
                <w:szCs w:val="18"/>
              </w:rPr>
              <w:t xml:space="preserve">USD </w:t>
            </w:r>
            <w:r w:rsidR="00915E5E" w:rsidRPr="003F7F6C">
              <w:rPr>
                <w:rFonts w:cs="Calibri"/>
                <w:sz w:val="18"/>
                <w:szCs w:val="18"/>
              </w:rPr>
              <w:t>7</w:t>
            </w:r>
            <w:r w:rsidRPr="003F7F6C">
              <w:rPr>
                <w:rFonts w:cs="Calibri"/>
                <w:sz w:val="18"/>
                <w:szCs w:val="18"/>
              </w:rPr>
              <w:t>,</w:t>
            </w:r>
            <w:r w:rsidR="00941F9A" w:rsidRPr="003F7F6C">
              <w:rPr>
                <w:rFonts w:cs="Calibri"/>
                <w:sz w:val="18"/>
                <w:szCs w:val="18"/>
              </w:rPr>
              <w:t>0</w:t>
            </w:r>
            <w:r w:rsidRPr="003F7F6C">
              <w:rPr>
                <w:rFonts w:cs="Calibri"/>
                <w:sz w:val="18"/>
                <w:szCs w:val="18"/>
              </w:rPr>
              <w:t>00</w:t>
            </w:r>
            <w:r w:rsidR="000734E8" w:rsidRPr="003F7F6C">
              <w:rPr>
                <w:rFonts w:cs="Calibri"/>
                <w:sz w:val="18"/>
                <w:szCs w:val="18"/>
              </w:rPr>
              <w:t xml:space="preserve"> </w:t>
            </w:r>
            <w:r w:rsidR="00915E5E" w:rsidRPr="003F7F6C">
              <w:rPr>
                <w:rFonts w:cs="Calibri"/>
                <w:sz w:val="18"/>
                <w:szCs w:val="18"/>
              </w:rPr>
              <w:t>(</w:t>
            </w:r>
            <w:r w:rsidR="000734E8" w:rsidRPr="003F7F6C">
              <w:rPr>
                <w:rFonts w:cs="Calibri"/>
                <w:sz w:val="18"/>
                <w:szCs w:val="18"/>
              </w:rPr>
              <w:t>time of Stakeholder Engagement Specialist dedicated to M&amp;E</w:t>
            </w:r>
            <w:r w:rsidR="00915E5E" w:rsidRPr="003F7F6C">
              <w:rPr>
                <w:rFonts w:cs="Calibri"/>
                <w:sz w:val="18"/>
                <w:szCs w:val="18"/>
              </w:rPr>
              <w:t>)</w:t>
            </w:r>
          </w:p>
        </w:tc>
        <w:tc>
          <w:tcPr>
            <w:tcW w:w="1170" w:type="dxa"/>
          </w:tcPr>
          <w:p w14:paraId="1BF32F51" w14:textId="0BEF7C42" w:rsidR="00514555" w:rsidRPr="003F7F6C" w:rsidRDefault="00915E5E" w:rsidP="00514555">
            <w:pPr>
              <w:jc w:val="left"/>
              <w:rPr>
                <w:rFonts w:cs="Calibri"/>
                <w:sz w:val="18"/>
                <w:szCs w:val="18"/>
              </w:rPr>
            </w:pPr>
            <w:r w:rsidRPr="003F7F6C">
              <w:rPr>
                <w:rFonts w:cs="Calibri"/>
                <w:sz w:val="18"/>
                <w:szCs w:val="18"/>
              </w:rPr>
              <w:t>21,000</w:t>
            </w:r>
          </w:p>
        </w:tc>
        <w:tc>
          <w:tcPr>
            <w:tcW w:w="1705" w:type="dxa"/>
          </w:tcPr>
          <w:p w14:paraId="5B6AE5DB" w14:textId="77777777" w:rsidR="00514555" w:rsidRPr="003F7F6C" w:rsidRDefault="00514555" w:rsidP="00514555">
            <w:pPr>
              <w:jc w:val="left"/>
              <w:rPr>
                <w:rFonts w:cs="Calibri"/>
                <w:sz w:val="18"/>
                <w:szCs w:val="18"/>
              </w:rPr>
            </w:pPr>
            <w:r w:rsidRPr="003F7F6C">
              <w:rPr>
                <w:rFonts w:cs="Calibri"/>
                <w:sz w:val="18"/>
                <w:szCs w:val="18"/>
              </w:rPr>
              <w:t>On-going</w:t>
            </w:r>
            <w:r w:rsidR="00DE208F" w:rsidRPr="003F7F6C">
              <w:rPr>
                <w:rFonts w:cs="Calibri"/>
                <w:sz w:val="18"/>
                <w:szCs w:val="18"/>
              </w:rPr>
              <w:t xml:space="preserve">. </w:t>
            </w:r>
          </w:p>
        </w:tc>
      </w:tr>
      <w:tr w:rsidR="00514555" w:rsidRPr="003F7F6C" w14:paraId="14D99920" w14:textId="77777777" w:rsidTr="00787CD1">
        <w:trPr>
          <w:jc w:val="center"/>
        </w:trPr>
        <w:tc>
          <w:tcPr>
            <w:tcW w:w="3145" w:type="dxa"/>
          </w:tcPr>
          <w:p w14:paraId="4EF46826" w14:textId="77777777" w:rsidR="00514555" w:rsidRPr="003F7F6C" w:rsidRDefault="00514555" w:rsidP="00514555">
            <w:pPr>
              <w:jc w:val="left"/>
              <w:rPr>
                <w:rFonts w:cs="Calibri"/>
                <w:b/>
                <w:sz w:val="18"/>
                <w:szCs w:val="18"/>
              </w:rPr>
            </w:pPr>
            <w:r w:rsidRPr="003F7F6C">
              <w:rPr>
                <w:rFonts w:cs="Calibri"/>
                <w:b/>
                <w:sz w:val="18"/>
                <w:szCs w:val="18"/>
              </w:rPr>
              <w:t>Gender Action Plan</w:t>
            </w:r>
          </w:p>
        </w:tc>
        <w:tc>
          <w:tcPr>
            <w:tcW w:w="1980" w:type="dxa"/>
          </w:tcPr>
          <w:p w14:paraId="114C5A2A" w14:textId="77777777" w:rsidR="00514555" w:rsidRPr="003F7F6C" w:rsidRDefault="00514555" w:rsidP="00514555">
            <w:pPr>
              <w:rPr>
                <w:rFonts w:cs="Calibri"/>
                <w:sz w:val="18"/>
                <w:szCs w:val="18"/>
              </w:rPr>
            </w:pPr>
            <w:r w:rsidRPr="003F7F6C">
              <w:rPr>
                <w:rFonts w:cs="Calibri"/>
                <w:sz w:val="18"/>
                <w:szCs w:val="18"/>
              </w:rPr>
              <w:t xml:space="preserve">Project </w:t>
            </w:r>
            <w:r w:rsidR="00F47AF3" w:rsidRPr="003F7F6C">
              <w:rPr>
                <w:rFonts w:cs="Calibri"/>
                <w:sz w:val="18"/>
                <w:szCs w:val="18"/>
              </w:rPr>
              <w:t>Coordinator</w:t>
            </w:r>
          </w:p>
          <w:p w14:paraId="392BC75D" w14:textId="77777777" w:rsidR="00FA7F6E" w:rsidRPr="003F7F6C" w:rsidRDefault="00FA7F6E" w:rsidP="00514555">
            <w:pPr>
              <w:rPr>
                <w:rFonts w:cs="Calibri"/>
                <w:sz w:val="18"/>
                <w:szCs w:val="18"/>
              </w:rPr>
            </w:pPr>
            <w:r w:rsidRPr="003F7F6C">
              <w:rPr>
                <w:rFonts w:cs="Calibri"/>
                <w:sz w:val="18"/>
                <w:szCs w:val="18"/>
              </w:rPr>
              <w:t>Gender Specialist</w:t>
            </w:r>
          </w:p>
          <w:p w14:paraId="5F8C06E9" w14:textId="77777777" w:rsidR="00514555" w:rsidRPr="003F7F6C" w:rsidRDefault="00514555" w:rsidP="00514555">
            <w:pPr>
              <w:rPr>
                <w:rFonts w:cs="Calibri"/>
                <w:sz w:val="18"/>
                <w:szCs w:val="18"/>
              </w:rPr>
            </w:pPr>
            <w:r w:rsidRPr="003F7F6C">
              <w:rPr>
                <w:rFonts w:cs="Calibri"/>
                <w:sz w:val="18"/>
                <w:szCs w:val="18"/>
              </w:rPr>
              <w:t>UNDP Country Office</w:t>
            </w:r>
          </w:p>
          <w:p w14:paraId="19F20777" w14:textId="77777777" w:rsidR="000F6944" w:rsidRPr="003F7F6C" w:rsidRDefault="000F6944" w:rsidP="00514555">
            <w:r w:rsidRPr="003F7F6C">
              <w:rPr>
                <w:rFonts w:cs="Calibri"/>
                <w:sz w:val="18"/>
                <w:szCs w:val="18"/>
              </w:rPr>
              <w:t>UNDP GEF team</w:t>
            </w:r>
          </w:p>
        </w:tc>
        <w:tc>
          <w:tcPr>
            <w:tcW w:w="1350" w:type="dxa"/>
          </w:tcPr>
          <w:p w14:paraId="75152C81" w14:textId="77777777" w:rsidR="00514555" w:rsidRPr="003F7F6C" w:rsidRDefault="00FA7F6E" w:rsidP="00514555">
            <w:pPr>
              <w:jc w:val="left"/>
              <w:rPr>
                <w:rFonts w:cs="Calibri"/>
                <w:sz w:val="18"/>
                <w:szCs w:val="18"/>
              </w:rPr>
            </w:pPr>
            <w:r w:rsidRPr="003F7F6C">
              <w:rPr>
                <w:rFonts w:cs="Calibri"/>
                <w:sz w:val="18"/>
                <w:szCs w:val="18"/>
              </w:rPr>
              <w:t xml:space="preserve">USD 18,000 </w:t>
            </w:r>
            <w:r w:rsidR="000734E8" w:rsidRPr="003F7F6C">
              <w:rPr>
                <w:rFonts w:cs="Calibri"/>
                <w:sz w:val="18"/>
                <w:szCs w:val="18"/>
              </w:rPr>
              <w:t>(time of Gender Specialist dedicated to M&amp;E)</w:t>
            </w:r>
          </w:p>
        </w:tc>
        <w:tc>
          <w:tcPr>
            <w:tcW w:w="1170" w:type="dxa"/>
          </w:tcPr>
          <w:p w14:paraId="48594D9E" w14:textId="77777777" w:rsidR="00514555" w:rsidRPr="003F7F6C" w:rsidRDefault="005A3FEB" w:rsidP="00514555">
            <w:pPr>
              <w:jc w:val="left"/>
              <w:rPr>
                <w:rFonts w:cs="Calibri"/>
                <w:sz w:val="18"/>
                <w:szCs w:val="18"/>
              </w:rPr>
            </w:pPr>
            <w:r w:rsidRPr="003F7F6C">
              <w:rPr>
                <w:rFonts w:cs="Calibri"/>
                <w:sz w:val="18"/>
                <w:szCs w:val="18"/>
              </w:rPr>
              <w:t>54,000</w:t>
            </w:r>
          </w:p>
        </w:tc>
        <w:tc>
          <w:tcPr>
            <w:tcW w:w="1705" w:type="dxa"/>
          </w:tcPr>
          <w:p w14:paraId="250390E0" w14:textId="77777777" w:rsidR="00514555" w:rsidRPr="003F7F6C" w:rsidRDefault="00514555" w:rsidP="00514555">
            <w:pPr>
              <w:jc w:val="left"/>
              <w:rPr>
                <w:rFonts w:cs="Calibri"/>
                <w:sz w:val="18"/>
                <w:szCs w:val="18"/>
              </w:rPr>
            </w:pPr>
            <w:r w:rsidRPr="003F7F6C">
              <w:rPr>
                <w:rFonts w:cs="Calibri"/>
                <w:sz w:val="18"/>
                <w:szCs w:val="18"/>
              </w:rPr>
              <w:t>On-going</w:t>
            </w:r>
            <w:r w:rsidR="00DE208F" w:rsidRPr="003F7F6C">
              <w:rPr>
                <w:rFonts w:cs="Calibri"/>
                <w:sz w:val="18"/>
                <w:szCs w:val="18"/>
              </w:rPr>
              <w:t xml:space="preserve">. </w:t>
            </w:r>
          </w:p>
        </w:tc>
      </w:tr>
      <w:tr w:rsidR="009D4BAA" w:rsidRPr="003F7F6C" w14:paraId="43BF01E4" w14:textId="77777777" w:rsidTr="00787CD1">
        <w:trPr>
          <w:jc w:val="center"/>
        </w:trPr>
        <w:tc>
          <w:tcPr>
            <w:tcW w:w="3145" w:type="dxa"/>
          </w:tcPr>
          <w:p w14:paraId="7AD4197E" w14:textId="77777777" w:rsidR="009D4BAA" w:rsidRPr="003F7F6C" w:rsidRDefault="009D4BAA" w:rsidP="009D4BAA">
            <w:pPr>
              <w:jc w:val="left"/>
              <w:rPr>
                <w:rFonts w:cs="Calibri"/>
                <w:b/>
                <w:sz w:val="18"/>
                <w:szCs w:val="18"/>
              </w:rPr>
            </w:pPr>
            <w:r w:rsidRPr="003F7F6C">
              <w:rPr>
                <w:rFonts w:cs="Calibri"/>
                <w:b/>
                <w:sz w:val="18"/>
                <w:szCs w:val="18"/>
              </w:rPr>
              <w:t>Addressing environmental and social grievances</w:t>
            </w:r>
          </w:p>
        </w:tc>
        <w:tc>
          <w:tcPr>
            <w:tcW w:w="1980" w:type="dxa"/>
          </w:tcPr>
          <w:p w14:paraId="35E2F1CF" w14:textId="77777777" w:rsidR="009D4BAA" w:rsidRPr="003F7F6C" w:rsidRDefault="009D4BAA" w:rsidP="009D4BAA">
            <w:pPr>
              <w:jc w:val="left"/>
              <w:rPr>
                <w:rFonts w:cs="Calibri"/>
                <w:sz w:val="18"/>
                <w:szCs w:val="18"/>
              </w:rPr>
            </w:pPr>
            <w:r w:rsidRPr="003F7F6C">
              <w:rPr>
                <w:rFonts w:cs="Calibri"/>
                <w:sz w:val="18"/>
                <w:szCs w:val="18"/>
              </w:rPr>
              <w:t xml:space="preserve">Project </w:t>
            </w:r>
            <w:r w:rsidR="00F47AF3" w:rsidRPr="003F7F6C">
              <w:rPr>
                <w:rFonts w:cs="Calibri"/>
                <w:sz w:val="18"/>
                <w:szCs w:val="18"/>
              </w:rPr>
              <w:t>Coordinator</w:t>
            </w:r>
          </w:p>
          <w:p w14:paraId="5E634F90" w14:textId="77777777" w:rsidR="009D4BAA" w:rsidRPr="003F7F6C" w:rsidRDefault="009D4BAA" w:rsidP="009D4BAA">
            <w:pPr>
              <w:jc w:val="left"/>
              <w:rPr>
                <w:rFonts w:cs="Calibri"/>
                <w:sz w:val="18"/>
                <w:szCs w:val="18"/>
              </w:rPr>
            </w:pPr>
            <w:r w:rsidRPr="003F7F6C">
              <w:rPr>
                <w:rFonts w:cs="Calibri"/>
                <w:sz w:val="18"/>
                <w:szCs w:val="18"/>
              </w:rPr>
              <w:t>UNDP Country Office</w:t>
            </w:r>
          </w:p>
          <w:p w14:paraId="22F03E73" w14:textId="77777777" w:rsidR="009D4BAA" w:rsidRPr="003F7F6C" w:rsidRDefault="009D4BAA" w:rsidP="009D4BAA">
            <w:pPr>
              <w:jc w:val="left"/>
              <w:rPr>
                <w:rFonts w:cs="Calibri"/>
                <w:sz w:val="18"/>
                <w:szCs w:val="18"/>
              </w:rPr>
            </w:pPr>
          </w:p>
        </w:tc>
        <w:tc>
          <w:tcPr>
            <w:tcW w:w="1350" w:type="dxa"/>
          </w:tcPr>
          <w:p w14:paraId="75989445" w14:textId="77777777" w:rsidR="009D4BAA" w:rsidRPr="003F7F6C" w:rsidRDefault="004C27A9" w:rsidP="009D4BAA">
            <w:pPr>
              <w:jc w:val="left"/>
              <w:rPr>
                <w:rFonts w:cs="Calibri"/>
                <w:sz w:val="18"/>
                <w:szCs w:val="18"/>
              </w:rPr>
            </w:pPr>
            <w:r w:rsidRPr="003F7F6C">
              <w:rPr>
                <w:rFonts w:cs="Calibri"/>
                <w:sz w:val="18"/>
                <w:szCs w:val="18"/>
              </w:rPr>
              <w:t>None for time of Project Coordinator and UNDP CO</w:t>
            </w:r>
          </w:p>
        </w:tc>
        <w:tc>
          <w:tcPr>
            <w:tcW w:w="1170" w:type="dxa"/>
          </w:tcPr>
          <w:p w14:paraId="797D1ABE" w14:textId="77777777" w:rsidR="009D4BAA" w:rsidRPr="003F7F6C" w:rsidRDefault="009D4BAA" w:rsidP="009D4BAA">
            <w:pPr>
              <w:jc w:val="left"/>
              <w:rPr>
                <w:rFonts w:cs="Calibri"/>
                <w:i/>
                <w:sz w:val="18"/>
                <w:szCs w:val="18"/>
              </w:rPr>
            </w:pPr>
          </w:p>
        </w:tc>
        <w:tc>
          <w:tcPr>
            <w:tcW w:w="1705" w:type="dxa"/>
          </w:tcPr>
          <w:p w14:paraId="4F77D8A5" w14:textId="77777777" w:rsidR="009D4BAA" w:rsidRPr="003F7F6C" w:rsidRDefault="00061B53" w:rsidP="009D4BAA">
            <w:pPr>
              <w:jc w:val="left"/>
              <w:rPr>
                <w:rFonts w:cs="Calibri"/>
                <w:sz w:val="18"/>
                <w:szCs w:val="18"/>
              </w:rPr>
            </w:pPr>
            <w:r w:rsidRPr="003F7F6C">
              <w:rPr>
                <w:rFonts w:cs="Calibri"/>
                <w:sz w:val="18"/>
                <w:szCs w:val="18"/>
              </w:rPr>
              <w:t>On-going</w:t>
            </w:r>
          </w:p>
        </w:tc>
      </w:tr>
      <w:tr w:rsidR="009D4BAA" w:rsidRPr="003F7F6C" w14:paraId="585043AC" w14:textId="77777777" w:rsidTr="00787CD1">
        <w:trPr>
          <w:jc w:val="center"/>
        </w:trPr>
        <w:tc>
          <w:tcPr>
            <w:tcW w:w="3145" w:type="dxa"/>
          </w:tcPr>
          <w:p w14:paraId="11B85A67" w14:textId="77777777" w:rsidR="009D4BAA" w:rsidRPr="003F7F6C" w:rsidRDefault="009D4BAA" w:rsidP="009D4BAA">
            <w:pPr>
              <w:jc w:val="left"/>
              <w:rPr>
                <w:rFonts w:cs="Calibri"/>
                <w:b/>
                <w:sz w:val="18"/>
                <w:szCs w:val="18"/>
              </w:rPr>
            </w:pPr>
            <w:r w:rsidRPr="003F7F6C">
              <w:rPr>
                <w:rFonts w:cs="Calibri"/>
                <w:b/>
                <w:sz w:val="18"/>
                <w:szCs w:val="18"/>
              </w:rPr>
              <w:t>Project Board meetings</w:t>
            </w:r>
          </w:p>
        </w:tc>
        <w:tc>
          <w:tcPr>
            <w:tcW w:w="1980" w:type="dxa"/>
          </w:tcPr>
          <w:p w14:paraId="6870DB56" w14:textId="77777777" w:rsidR="009D4BAA" w:rsidRPr="003F7F6C" w:rsidRDefault="009D4BAA" w:rsidP="009D4BAA">
            <w:pPr>
              <w:jc w:val="left"/>
              <w:rPr>
                <w:rFonts w:cs="Calibri"/>
                <w:sz w:val="18"/>
                <w:szCs w:val="18"/>
              </w:rPr>
            </w:pPr>
            <w:r w:rsidRPr="003F7F6C">
              <w:rPr>
                <w:rFonts w:cs="Calibri"/>
                <w:sz w:val="18"/>
                <w:szCs w:val="18"/>
              </w:rPr>
              <w:t>Project Board</w:t>
            </w:r>
          </w:p>
          <w:p w14:paraId="4C9B5BBE" w14:textId="77777777" w:rsidR="009D4BAA" w:rsidRPr="003F7F6C" w:rsidRDefault="009D4BAA" w:rsidP="009D4BAA">
            <w:pPr>
              <w:jc w:val="left"/>
              <w:rPr>
                <w:rFonts w:cs="Calibri"/>
                <w:sz w:val="18"/>
                <w:szCs w:val="18"/>
              </w:rPr>
            </w:pPr>
            <w:r w:rsidRPr="003F7F6C">
              <w:rPr>
                <w:rFonts w:cs="Calibri"/>
                <w:sz w:val="18"/>
                <w:szCs w:val="18"/>
              </w:rPr>
              <w:t>UNDP Country Office</w:t>
            </w:r>
          </w:p>
          <w:p w14:paraId="7F1B5845" w14:textId="77777777" w:rsidR="009D4BAA" w:rsidRPr="003F7F6C" w:rsidRDefault="009D4BAA" w:rsidP="009D4BAA">
            <w:pPr>
              <w:jc w:val="left"/>
              <w:rPr>
                <w:rFonts w:cs="Calibri"/>
                <w:sz w:val="18"/>
                <w:szCs w:val="18"/>
              </w:rPr>
            </w:pPr>
            <w:r w:rsidRPr="003F7F6C">
              <w:rPr>
                <w:rFonts w:cs="Calibri"/>
                <w:sz w:val="18"/>
                <w:szCs w:val="18"/>
              </w:rPr>
              <w:t xml:space="preserve">Project </w:t>
            </w:r>
            <w:r w:rsidR="00F47AF3" w:rsidRPr="003F7F6C">
              <w:rPr>
                <w:rFonts w:cs="Calibri"/>
                <w:sz w:val="18"/>
                <w:szCs w:val="18"/>
              </w:rPr>
              <w:t>Coordinator</w:t>
            </w:r>
          </w:p>
        </w:tc>
        <w:tc>
          <w:tcPr>
            <w:tcW w:w="1350" w:type="dxa"/>
          </w:tcPr>
          <w:p w14:paraId="57163D82" w14:textId="77777777" w:rsidR="009D4BAA" w:rsidRPr="003F7F6C" w:rsidRDefault="001109FC" w:rsidP="009D4BAA">
            <w:pPr>
              <w:jc w:val="left"/>
              <w:rPr>
                <w:rFonts w:cs="Calibri"/>
                <w:sz w:val="18"/>
                <w:szCs w:val="18"/>
              </w:rPr>
            </w:pPr>
            <w:r w:rsidRPr="003F7F6C">
              <w:rPr>
                <w:rFonts w:cs="Calibri"/>
                <w:sz w:val="18"/>
                <w:szCs w:val="18"/>
              </w:rPr>
              <w:t xml:space="preserve">USD </w:t>
            </w:r>
            <w:r w:rsidR="00FA7F6E" w:rsidRPr="003F7F6C">
              <w:rPr>
                <w:rFonts w:cs="Calibri"/>
                <w:sz w:val="18"/>
                <w:szCs w:val="18"/>
              </w:rPr>
              <w:t>6</w:t>
            </w:r>
            <w:r w:rsidRPr="003F7F6C">
              <w:rPr>
                <w:rFonts w:cs="Calibri"/>
                <w:sz w:val="18"/>
                <w:szCs w:val="18"/>
              </w:rPr>
              <w:t xml:space="preserve">,000 (USD/yr </w:t>
            </w:r>
            <w:r w:rsidR="00FA7F6E" w:rsidRPr="003F7F6C">
              <w:rPr>
                <w:rFonts w:cs="Calibri"/>
                <w:sz w:val="18"/>
                <w:szCs w:val="18"/>
              </w:rPr>
              <w:t>1</w:t>
            </w:r>
            <w:r w:rsidRPr="003F7F6C">
              <w:rPr>
                <w:rFonts w:cs="Calibri"/>
                <w:sz w:val="18"/>
                <w:szCs w:val="18"/>
              </w:rPr>
              <w:t>,000)</w:t>
            </w:r>
          </w:p>
        </w:tc>
        <w:tc>
          <w:tcPr>
            <w:tcW w:w="1170" w:type="dxa"/>
          </w:tcPr>
          <w:p w14:paraId="0B429A8B" w14:textId="77777777" w:rsidR="009D4BAA" w:rsidRPr="003F7F6C" w:rsidRDefault="005A3FEB" w:rsidP="009D4BAA">
            <w:pPr>
              <w:jc w:val="left"/>
              <w:rPr>
                <w:rFonts w:cs="Calibri"/>
                <w:sz w:val="18"/>
                <w:szCs w:val="18"/>
              </w:rPr>
            </w:pPr>
            <w:r w:rsidRPr="003F7F6C">
              <w:rPr>
                <w:rFonts w:cs="Calibri"/>
                <w:sz w:val="18"/>
                <w:szCs w:val="18"/>
              </w:rPr>
              <w:t>18,000</w:t>
            </w:r>
          </w:p>
        </w:tc>
        <w:tc>
          <w:tcPr>
            <w:tcW w:w="1705" w:type="dxa"/>
          </w:tcPr>
          <w:p w14:paraId="152F72B5" w14:textId="77777777" w:rsidR="009D4BAA" w:rsidRPr="003F7F6C" w:rsidRDefault="009D4BAA" w:rsidP="009D4BAA">
            <w:pPr>
              <w:jc w:val="left"/>
              <w:rPr>
                <w:rFonts w:cs="Calibri"/>
                <w:sz w:val="18"/>
                <w:szCs w:val="18"/>
              </w:rPr>
            </w:pPr>
            <w:r w:rsidRPr="003F7F6C">
              <w:rPr>
                <w:rFonts w:cs="Calibri"/>
                <w:sz w:val="18"/>
                <w:szCs w:val="18"/>
              </w:rPr>
              <w:t>At minimum annually</w:t>
            </w:r>
          </w:p>
        </w:tc>
      </w:tr>
      <w:tr w:rsidR="009D4BAA" w:rsidRPr="003F7F6C" w14:paraId="2A08804B" w14:textId="77777777" w:rsidTr="00787CD1">
        <w:trPr>
          <w:jc w:val="center"/>
        </w:trPr>
        <w:tc>
          <w:tcPr>
            <w:tcW w:w="3145" w:type="dxa"/>
          </w:tcPr>
          <w:p w14:paraId="1A4106FC" w14:textId="77777777" w:rsidR="009D4BAA" w:rsidRPr="003F7F6C" w:rsidRDefault="009D4BAA" w:rsidP="009D4BAA">
            <w:pPr>
              <w:jc w:val="left"/>
              <w:rPr>
                <w:rFonts w:cs="Calibri"/>
                <w:b/>
                <w:sz w:val="18"/>
                <w:szCs w:val="18"/>
              </w:rPr>
            </w:pPr>
            <w:r w:rsidRPr="003F7F6C">
              <w:rPr>
                <w:rFonts w:cs="Calibri"/>
                <w:b/>
                <w:sz w:val="18"/>
                <w:szCs w:val="18"/>
              </w:rPr>
              <w:t>Supervision missions</w:t>
            </w:r>
          </w:p>
        </w:tc>
        <w:tc>
          <w:tcPr>
            <w:tcW w:w="1980" w:type="dxa"/>
          </w:tcPr>
          <w:p w14:paraId="4BB5C1CB" w14:textId="77777777" w:rsidR="009D4BAA" w:rsidRPr="003F7F6C" w:rsidRDefault="009D4BAA" w:rsidP="009D4BAA">
            <w:pPr>
              <w:jc w:val="left"/>
              <w:rPr>
                <w:rFonts w:cs="Calibri"/>
                <w:b/>
                <w:sz w:val="18"/>
                <w:szCs w:val="18"/>
              </w:rPr>
            </w:pPr>
            <w:r w:rsidRPr="003F7F6C">
              <w:rPr>
                <w:rFonts w:cs="Calibri"/>
                <w:sz w:val="18"/>
                <w:szCs w:val="18"/>
              </w:rPr>
              <w:t>UNDP Country Office</w:t>
            </w:r>
          </w:p>
        </w:tc>
        <w:tc>
          <w:tcPr>
            <w:tcW w:w="1350" w:type="dxa"/>
          </w:tcPr>
          <w:p w14:paraId="16D87731" w14:textId="77777777" w:rsidR="009D4BAA" w:rsidRPr="003F7F6C" w:rsidRDefault="009D4BAA" w:rsidP="009D4BAA">
            <w:pPr>
              <w:pStyle w:val="BodyText23"/>
              <w:widowControl/>
              <w:tabs>
                <w:tab w:val="clear" w:pos="547"/>
              </w:tabs>
              <w:spacing w:after="60"/>
              <w:rPr>
                <w:rFonts w:ascii="Calibri" w:hAnsi="Calibri" w:cs="Calibri"/>
                <w:snapToGrid/>
                <w:sz w:val="18"/>
                <w:szCs w:val="18"/>
                <w:lang w:val="en-GB"/>
              </w:rPr>
            </w:pPr>
            <w:r w:rsidRPr="003F7F6C">
              <w:rPr>
                <w:rFonts w:ascii="Calibri" w:hAnsi="Calibri" w:cs="Calibri"/>
                <w:snapToGrid/>
                <w:sz w:val="18"/>
                <w:szCs w:val="18"/>
                <w:lang w:val="en-GB"/>
              </w:rPr>
              <w:t>None</w:t>
            </w:r>
            <w:bookmarkStart w:id="19" w:name="_Ref434335281"/>
            <w:r w:rsidRPr="003F7F6C">
              <w:rPr>
                <w:rStyle w:val="FootnoteReference"/>
                <w:rFonts w:ascii="Calibri" w:hAnsi="Calibri"/>
                <w:b/>
                <w:szCs w:val="18"/>
              </w:rPr>
              <w:footnoteReference w:id="83"/>
            </w:r>
            <w:bookmarkEnd w:id="19"/>
          </w:p>
        </w:tc>
        <w:tc>
          <w:tcPr>
            <w:tcW w:w="1170" w:type="dxa"/>
          </w:tcPr>
          <w:p w14:paraId="0961629A" w14:textId="77777777" w:rsidR="009D4BAA" w:rsidRPr="003F7F6C" w:rsidRDefault="005A3FEB" w:rsidP="009D4BAA">
            <w:pPr>
              <w:pStyle w:val="BodyText23"/>
              <w:widowControl/>
              <w:tabs>
                <w:tab w:val="clear" w:pos="547"/>
              </w:tabs>
              <w:spacing w:after="60"/>
              <w:rPr>
                <w:rFonts w:ascii="Calibri" w:hAnsi="Calibri" w:cs="Calibri"/>
                <w:snapToGrid/>
                <w:sz w:val="18"/>
                <w:szCs w:val="18"/>
                <w:lang w:val="en-GB"/>
              </w:rPr>
            </w:pPr>
            <w:r w:rsidRPr="003F7F6C">
              <w:rPr>
                <w:rFonts w:ascii="Calibri" w:hAnsi="Calibri" w:cs="Calibri"/>
                <w:snapToGrid/>
                <w:sz w:val="18"/>
                <w:szCs w:val="18"/>
                <w:lang w:val="en-GB"/>
              </w:rPr>
              <w:t>5,000</w:t>
            </w:r>
          </w:p>
        </w:tc>
        <w:tc>
          <w:tcPr>
            <w:tcW w:w="1705" w:type="dxa"/>
          </w:tcPr>
          <w:p w14:paraId="78107294" w14:textId="77777777" w:rsidR="009D4BAA" w:rsidRPr="003F7F6C" w:rsidRDefault="009D4BAA" w:rsidP="009D4BAA">
            <w:pPr>
              <w:jc w:val="left"/>
              <w:rPr>
                <w:rFonts w:cs="Calibri"/>
                <w:sz w:val="18"/>
                <w:szCs w:val="18"/>
              </w:rPr>
            </w:pPr>
            <w:r w:rsidRPr="003F7F6C">
              <w:rPr>
                <w:rFonts w:cs="Calibri"/>
                <w:sz w:val="18"/>
                <w:szCs w:val="18"/>
              </w:rPr>
              <w:t>Annually</w:t>
            </w:r>
          </w:p>
        </w:tc>
      </w:tr>
      <w:tr w:rsidR="009D4BAA" w:rsidRPr="003F7F6C" w14:paraId="30C471A3" w14:textId="77777777" w:rsidTr="00787CD1">
        <w:trPr>
          <w:jc w:val="center"/>
        </w:trPr>
        <w:tc>
          <w:tcPr>
            <w:tcW w:w="3145" w:type="dxa"/>
          </w:tcPr>
          <w:p w14:paraId="232E7FB6" w14:textId="77777777" w:rsidR="009D4BAA" w:rsidRPr="003F7F6C" w:rsidRDefault="009D4BAA" w:rsidP="009D4BAA">
            <w:pPr>
              <w:jc w:val="left"/>
              <w:rPr>
                <w:rFonts w:cs="Calibri"/>
                <w:b/>
                <w:sz w:val="18"/>
                <w:szCs w:val="18"/>
              </w:rPr>
            </w:pPr>
            <w:r w:rsidRPr="003F7F6C">
              <w:rPr>
                <w:rFonts w:cs="Calibri"/>
                <w:b/>
                <w:sz w:val="18"/>
                <w:szCs w:val="18"/>
              </w:rPr>
              <w:t>Oversight missions</w:t>
            </w:r>
          </w:p>
        </w:tc>
        <w:tc>
          <w:tcPr>
            <w:tcW w:w="1980" w:type="dxa"/>
          </w:tcPr>
          <w:p w14:paraId="49E62103" w14:textId="77777777" w:rsidR="009D4BAA" w:rsidRPr="003F7F6C" w:rsidRDefault="009D4BAA" w:rsidP="009D4BAA">
            <w:pPr>
              <w:jc w:val="left"/>
              <w:rPr>
                <w:rFonts w:cs="Calibri"/>
                <w:b/>
                <w:sz w:val="18"/>
                <w:szCs w:val="18"/>
              </w:rPr>
            </w:pPr>
            <w:r w:rsidRPr="003F7F6C">
              <w:rPr>
                <w:rFonts w:cs="Calibri"/>
                <w:sz w:val="18"/>
                <w:szCs w:val="18"/>
              </w:rPr>
              <w:t>UNDP-GEF team</w:t>
            </w:r>
          </w:p>
        </w:tc>
        <w:tc>
          <w:tcPr>
            <w:tcW w:w="1350" w:type="dxa"/>
          </w:tcPr>
          <w:p w14:paraId="1C8D5D43" w14:textId="1B32B4E5" w:rsidR="009D4BAA" w:rsidRPr="003F7F6C" w:rsidRDefault="009D4BAA" w:rsidP="009D4BAA">
            <w:pPr>
              <w:pStyle w:val="BodyText23"/>
              <w:widowControl/>
              <w:tabs>
                <w:tab w:val="clear" w:pos="547"/>
              </w:tabs>
              <w:spacing w:after="60"/>
              <w:rPr>
                <w:rFonts w:ascii="Calibri" w:hAnsi="Calibri" w:cs="Calibri"/>
                <w:snapToGrid/>
                <w:sz w:val="18"/>
                <w:szCs w:val="18"/>
                <w:lang w:val="en-GB"/>
              </w:rPr>
            </w:pPr>
            <w:r w:rsidRPr="003F7F6C">
              <w:rPr>
                <w:rFonts w:ascii="Calibri" w:hAnsi="Calibri" w:cs="Calibri"/>
                <w:snapToGrid/>
                <w:sz w:val="18"/>
                <w:szCs w:val="18"/>
                <w:lang w:val="en-GB"/>
              </w:rPr>
              <w:t>None</w:t>
            </w:r>
            <w:r w:rsidRPr="003F7F6C">
              <w:rPr>
                <w:rFonts w:ascii="Calibri" w:hAnsi="Calibri" w:cs="Calibri"/>
                <w:snapToGrid/>
                <w:sz w:val="18"/>
                <w:szCs w:val="18"/>
                <w:lang w:val="en-GB"/>
              </w:rPr>
              <w:fldChar w:fldCharType="begin"/>
            </w:r>
            <w:r w:rsidRPr="003F7F6C">
              <w:rPr>
                <w:rFonts w:ascii="Calibri" w:hAnsi="Calibri" w:cs="Calibri"/>
                <w:snapToGrid/>
                <w:sz w:val="18"/>
                <w:szCs w:val="18"/>
                <w:lang w:val="en-GB"/>
              </w:rPr>
              <w:instrText xml:space="preserve"> </w:instrText>
            </w:r>
            <w:r w:rsidR="00382E26" w:rsidRPr="003F7F6C">
              <w:rPr>
                <w:rFonts w:ascii="Calibri" w:hAnsi="Calibri" w:cs="Calibri"/>
                <w:snapToGrid/>
                <w:sz w:val="18"/>
                <w:szCs w:val="18"/>
                <w:lang w:val="en-GB"/>
              </w:rPr>
              <w:instrText>NOTEREF</w:instrText>
            </w:r>
            <w:r w:rsidRPr="003F7F6C">
              <w:rPr>
                <w:rFonts w:ascii="Calibri" w:hAnsi="Calibri" w:cs="Calibri"/>
                <w:snapToGrid/>
                <w:sz w:val="18"/>
                <w:szCs w:val="18"/>
                <w:lang w:val="en-GB"/>
              </w:rPr>
              <w:instrText xml:space="preserve"> _Ref434335281 \f \h </w:instrText>
            </w:r>
            <w:r w:rsidR="00D51BDD" w:rsidRPr="003F7F6C">
              <w:rPr>
                <w:rFonts w:ascii="Calibri" w:hAnsi="Calibri" w:cs="Calibri"/>
                <w:snapToGrid/>
                <w:sz w:val="18"/>
                <w:szCs w:val="18"/>
                <w:lang w:val="en-GB"/>
              </w:rPr>
              <w:instrText xml:space="preserve"> \* MERGEFORMAT </w:instrText>
            </w:r>
            <w:r w:rsidRPr="003F7F6C">
              <w:rPr>
                <w:rFonts w:ascii="Calibri" w:hAnsi="Calibri" w:cs="Calibri"/>
                <w:snapToGrid/>
                <w:sz w:val="18"/>
                <w:szCs w:val="18"/>
                <w:lang w:val="en-GB"/>
              </w:rPr>
            </w:r>
            <w:r w:rsidRPr="003F7F6C">
              <w:rPr>
                <w:rFonts w:ascii="Calibri" w:hAnsi="Calibri" w:cs="Calibri"/>
                <w:snapToGrid/>
                <w:sz w:val="18"/>
                <w:szCs w:val="18"/>
                <w:lang w:val="en-GB"/>
              </w:rPr>
              <w:fldChar w:fldCharType="separate"/>
            </w:r>
            <w:r w:rsidR="001030B5" w:rsidRPr="003F7F6C">
              <w:rPr>
                <w:rStyle w:val="FootnoteReference"/>
              </w:rPr>
              <w:t>83</w:t>
            </w:r>
            <w:r w:rsidRPr="003F7F6C">
              <w:rPr>
                <w:rFonts w:ascii="Calibri" w:hAnsi="Calibri" w:cs="Calibri"/>
                <w:snapToGrid/>
                <w:sz w:val="18"/>
                <w:szCs w:val="18"/>
                <w:lang w:val="en-GB"/>
              </w:rPr>
              <w:fldChar w:fldCharType="end"/>
            </w:r>
          </w:p>
        </w:tc>
        <w:tc>
          <w:tcPr>
            <w:tcW w:w="1170" w:type="dxa"/>
          </w:tcPr>
          <w:p w14:paraId="763F9FC4" w14:textId="77777777" w:rsidR="009D4BAA" w:rsidRPr="003F7F6C" w:rsidRDefault="005A3FEB" w:rsidP="009D4BAA">
            <w:pPr>
              <w:pStyle w:val="BodyText23"/>
              <w:widowControl/>
              <w:tabs>
                <w:tab w:val="clear" w:pos="547"/>
              </w:tabs>
              <w:spacing w:after="60"/>
              <w:rPr>
                <w:rFonts w:ascii="Calibri" w:hAnsi="Calibri" w:cs="Calibri"/>
                <w:snapToGrid/>
                <w:sz w:val="18"/>
                <w:szCs w:val="18"/>
                <w:lang w:val="en-GB"/>
              </w:rPr>
            </w:pPr>
            <w:r w:rsidRPr="003F7F6C">
              <w:rPr>
                <w:rFonts w:ascii="Calibri" w:hAnsi="Calibri" w:cs="Calibri"/>
                <w:snapToGrid/>
                <w:sz w:val="18"/>
                <w:szCs w:val="18"/>
                <w:lang w:val="en-GB"/>
              </w:rPr>
              <w:t>5,000</w:t>
            </w:r>
          </w:p>
        </w:tc>
        <w:tc>
          <w:tcPr>
            <w:tcW w:w="1705" w:type="dxa"/>
          </w:tcPr>
          <w:p w14:paraId="01E10689" w14:textId="77777777" w:rsidR="009D4BAA" w:rsidRPr="003F7F6C" w:rsidRDefault="009D4BAA" w:rsidP="009D4BAA">
            <w:pPr>
              <w:jc w:val="left"/>
              <w:rPr>
                <w:rFonts w:cs="Calibri"/>
                <w:sz w:val="18"/>
                <w:szCs w:val="18"/>
              </w:rPr>
            </w:pPr>
            <w:r w:rsidRPr="003F7F6C">
              <w:rPr>
                <w:rFonts w:cs="Calibri"/>
                <w:sz w:val="18"/>
                <w:szCs w:val="18"/>
              </w:rPr>
              <w:t>Troubleshooting as needed</w:t>
            </w:r>
          </w:p>
        </w:tc>
      </w:tr>
      <w:tr w:rsidR="009D4BAA" w:rsidRPr="003F7F6C" w14:paraId="3235D6FB" w14:textId="77777777" w:rsidTr="00787CD1">
        <w:trPr>
          <w:jc w:val="center"/>
        </w:trPr>
        <w:tc>
          <w:tcPr>
            <w:tcW w:w="3145" w:type="dxa"/>
          </w:tcPr>
          <w:p w14:paraId="7B485913" w14:textId="77777777" w:rsidR="009D4BAA" w:rsidRPr="003F7F6C" w:rsidRDefault="009D4BAA" w:rsidP="009D4BAA">
            <w:pPr>
              <w:jc w:val="left"/>
              <w:rPr>
                <w:rFonts w:cs="Calibri"/>
                <w:b/>
                <w:sz w:val="18"/>
                <w:szCs w:val="18"/>
              </w:rPr>
            </w:pPr>
            <w:r w:rsidRPr="003F7F6C">
              <w:rPr>
                <w:rFonts w:cs="Calibri"/>
                <w:b/>
                <w:sz w:val="18"/>
                <w:szCs w:val="18"/>
              </w:rPr>
              <w:t xml:space="preserve">GEF Secretariat learning missions/site visits </w:t>
            </w:r>
          </w:p>
        </w:tc>
        <w:tc>
          <w:tcPr>
            <w:tcW w:w="1980" w:type="dxa"/>
          </w:tcPr>
          <w:p w14:paraId="218E1D19" w14:textId="77777777" w:rsidR="009D4BAA" w:rsidRPr="003F7F6C" w:rsidRDefault="009D4BAA" w:rsidP="009D4BAA">
            <w:pPr>
              <w:jc w:val="left"/>
              <w:rPr>
                <w:rFonts w:cs="Calibri"/>
                <w:sz w:val="18"/>
                <w:szCs w:val="18"/>
              </w:rPr>
            </w:pPr>
            <w:r w:rsidRPr="003F7F6C">
              <w:rPr>
                <w:rFonts w:cs="Calibri"/>
                <w:sz w:val="18"/>
                <w:szCs w:val="18"/>
              </w:rPr>
              <w:t xml:space="preserve">UNDP Country Office and Project </w:t>
            </w:r>
            <w:r w:rsidR="00F47AF3" w:rsidRPr="003F7F6C">
              <w:rPr>
                <w:rFonts w:cs="Calibri"/>
                <w:sz w:val="18"/>
                <w:szCs w:val="18"/>
              </w:rPr>
              <w:t>Coordinator</w:t>
            </w:r>
            <w:r w:rsidRPr="003F7F6C">
              <w:rPr>
                <w:rFonts w:cs="Calibri"/>
                <w:sz w:val="18"/>
                <w:szCs w:val="18"/>
              </w:rPr>
              <w:t xml:space="preserve"> and UNDP-GEF team</w:t>
            </w:r>
          </w:p>
        </w:tc>
        <w:tc>
          <w:tcPr>
            <w:tcW w:w="1350" w:type="dxa"/>
          </w:tcPr>
          <w:p w14:paraId="63FF10D6" w14:textId="77777777" w:rsidR="009D4BAA" w:rsidRPr="003F7F6C" w:rsidRDefault="009D4BAA" w:rsidP="009D4BAA">
            <w:pPr>
              <w:pStyle w:val="BodyText23"/>
              <w:widowControl/>
              <w:tabs>
                <w:tab w:val="clear" w:pos="547"/>
              </w:tabs>
              <w:spacing w:after="60"/>
              <w:rPr>
                <w:rFonts w:ascii="Calibri" w:hAnsi="Calibri" w:cs="Calibri"/>
                <w:snapToGrid/>
                <w:sz w:val="18"/>
                <w:szCs w:val="18"/>
                <w:lang w:val="en-GB"/>
              </w:rPr>
            </w:pPr>
            <w:r w:rsidRPr="003F7F6C">
              <w:rPr>
                <w:rFonts w:ascii="Calibri" w:hAnsi="Calibri" w:cs="Calibri"/>
                <w:snapToGrid/>
                <w:sz w:val="18"/>
                <w:szCs w:val="18"/>
                <w:lang w:val="en-GB"/>
              </w:rPr>
              <w:t>None</w:t>
            </w:r>
          </w:p>
        </w:tc>
        <w:tc>
          <w:tcPr>
            <w:tcW w:w="1170" w:type="dxa"/>
          </w:tcPr>
          <w:p w14:paraId="4B35C9E4" w14:textId="77777777" w:rsidR="009D4BAA" w:rsidRPr="003F7F6C" w:rsidRDefault="005A3FEB" w:rsidP="009D4BAA">
            <w:pPr>
              <w:pStyle w:val="BodyText23"/>
              <w:widowControl/>
              <w:tabs>
                <w:tab w:val="clear" w:pos="547"/>
              </w:tabs>
              <w:spacing w:after="60"/>
              <w:rPr>
                <w:rFonts w:ascii="Calibri" w:hAnsi="Calibri" w:cs="Calibri"/>
                <w:snapToGrid/>
                <w:sz w:val="18"/>
                <w:szCs w:val="18"/>
                <w:lang w:val="en-GB"/>
              </w:rPr>
            </w:pPr>
            <w:r w:rsidRPr="003F7F6C">
              <w:rPr>
                <w:rFonts w:ascii="Calibri" w:hAnsi="Calibri" w:cs="Calibri"/>
                <w:snapToGrid/>
                <w:sz w:val="18"/>
                <w:szCs w:val="18"/>
                <w:lang w:val="en-GB"/>
              </w:rPr>
              <w:t>5,000</w:t>
            </w:r>
          </w:p>
        </w:tc>
        <w:tc>
          <w:tcPr>
            <w:tcW w:w="1705" w:type="dxa"/>
          </w:tcPr>
          <w:p w14:paraId="698F1C19" w14:textId="77777777" w:rsidR="009D4BAA" w:rsidRPr="003F7F6C" w:rsidRDefault="009D4BAA" w:rsidP="009D4BAA">
            <w:pPr>
              <w:jc w:val="left"/>
              <w:rPr>
                <w:rFonts w:cs="Calibri"/>
                <w:sz w:val="18"/>
                <w:szCs w:val="18"/>
              </w:rPr>
            </w:pPr>
            <w:r w:rsidRPr="003F7F6C">
              <w:rPr>
                <w:rFonts w:cs="Calibri"/>
                <w:sz w:val="18"/>
                <w:szCs w:val="18"/>
              </w:rPr>
              <w:t>To be determined.</w:t>
            </w:r>
          </w:p>
        </w:tc>
      </w:tr>
      <w:tr w:rsidR="009D4BAA" w:rsidRPr="003F7F6C" w14:paraId="0037E885" w14:textId="77777777" w:rsidTr="00787CD1">
        <w:trPr>
          <w:jc w:val="center"/>
        </w:trPr>
        <w:tc>
          <w:tcPr>
            <w:tcW w:w="3145" w:type="dxa"/>
          </w:tcPr>
          <w:p w14:paraId="5685243D" w14:textId="77777777" w:rsidR="009D4BAA" w:rsidRPr="003F7F6C" w:rsidRDefault="001A52C6" w:rsidP="009D4BAA">
            <w:pPr>
              <w:jc w:val="left"/>
              <w:rPr>
                <w:rFonts w:cs="Calibri"/>
                <w:b/>
                <w:sz w:val="18"/>
                <w:szCs w:val="18"/>
              </w:rPr>
            </w:pPr>
            <w:r w:rsidRPr="003F7F6C">
              <w:rPr>
                <w:rFonts w:cs="Calibri"/>
                <w:b/>
                <w:sz w:val="18"/>
                <w:szCs w:val="18"/>
              </w:rPr>
              <w:t xml:space="preserve">Updating of core indicator </w:t>
            </w:r>
            <w:r w:rsidR="00D81270" w:rsidRPr="003F7F6C">
              <w:rPr>
                <w:rFonts w:cs="Calibri"/>
                <w:b/>
                <w:sz w:val="18"/>
                <w:szCs w:val="18"/>
              </w:rPr>
              <w:t>data</w:t>
            </w:r>
            <w:r w:rsidRPr="003F7F6C">
              <w:rPr>
                <w:rFonts w:cs="Calibri"/>
                <w:b/>
                <w:sz w:val="18"/>
                <w:szCs w:val="18"/>
              </w:rPr>
              <w:t xml:space="preserve"> at mid-term</w:t>
            </w:r>
            <w:r w:rsidR="0096798B" w:rsidRPr="003F7F6C">
              <w:rPr>
                <w:rFonts w:cs="Calibri"/>
                <w:b/>
                <w:sz w:val="18"/>
                <w:szCs w:val="18"/>
              </w:rPr>
              <w:t xml:space="preserve"> </w:t>
            </w:r>
          </w:p>
        </w:tc>
        <w:tc>
          <w:tcPr>
            <w:tcW w:w="1980" w:type="dxa"/>
          </w:tcPr>
          <w:p w14:paraId="4CCC15D2" w14:textId="77777777" w:rsidR="009D4BAA" w:rsidRPr="003F7F6C" w:rsidRDefault="009D4BAA" w:rsidP="009D4BAA">
            <w:pPr>
              <w:jc w:val="left"/>
              <w:rPr>
                <w:rFonts w:cs="Calibri"/>
                <w:sz w:val="18"/>
                <w:szCs w:val="18"/>
              </w:rPr>
            </w:pPr>
            <w:r w:rsidRPr="003F7F6C">
              <w:rPr>
                <w:rFonts w:cs="Calibri"/>
                <w:sz w:val="18"/>
                <w:szCs w:val="18"/>
              </w:rPr>
              <w:t xml:space="preserve">Project </w:t>
            </w:r>
            <w:r w:rsidR="00F47AF3" w:rsidRPr="003F7F6C">
              <w:rPr>
                <w:rFonts w:cs="Calibri"/>
                <w:sz w:val="18"/>
                <w:szCs w:val="18"/>
              </w:rPr>
              <w:t>Coordinator</w:t>
            </w:r>
          </w:p>
        </w:tc>
        <w:tc>
          <w:tcPr>
            <w:tcW w:w="1350" w:type="dxa"/>
          </w:tcPr>
          <w:p w14:paraId="4C6DF513" w14:textId="77777777" w:rsidR="009D4BAA" w:rsidRPr="003F7F6C" w:rsidRDefault="009D4BAA" w:rsidP="009D4BAA">
            <w:pPr>
              <w:jc w:val="left"/>
              <w:rPr>
                <w:rFonts w:cs="Calibri"/>
                <w:sz w:val="18"/>
                <w:szCs w:val="18"/>
              </w:rPr>
            </w:pPr>
            <w:r w:rsidRPr="003F7F6C">
              <w:rPr>
                <w:rFonts w:cs="Calibri"/>
                <w:sz w:val="18"/>
                <w:szCs w:val="18"/>
              </w:rPr>
              <w:t xml:space="preserve">USD </w:t>
            </w:r>
            <w:r w:rsidR="00941F9A" w:rsidRPr="003F7F6C">
              <w:rPr>
                <w:rFonts w:cs="Calibri"/>
                <w:sz w:val="18"/>
                <w:szCs w:val="18"/>
              </w:rPr>
              <w:t>2</w:t>
            </w:r>
            <w:r w:rsidRPr="003F7F6C">
              <w:rPr>
                <w:rFonts w:cs="Calibri"/>
                <w:sz w:val="18"/>
                <w:szCs w:val="18"/>
              </w:rPr>
              <w:t xml:space="preserve">,000 </w:t>
            </w:r>
          </w:p>
        </w:tc>
        <w:tc>
          <w:tcPr>
            <w:tcW w:w="1170" w:type="dxa"/>
          </w:tcPr>
          <w:p w14:paraId="315FC74D" w14:textId="77777777" w:rsidR="009D4BAA" w:rsidRPr="003F7F6C" w:rsidRDefault="005A3FEB" w:rsidP="009D4BAA">
            <w:pPr>
              <w:jc w:val="left"/>
              <w:rPr>
                <w:rFonts w:cs="Calibri"/>
                <w:sz w:val="18"/>
                <w:szCs w:val="18"/>
              </w:rPr>
            </w:pPr>
            <w:r w:rsidRPr="003F7F6C">
              <w:rPr>
                <w:rFonts w:cs="Calibri"/>
                <w:sz w:val="18"/>
                <w:szCs w:val="18"/>
              </w:rPr>
              <w:t>6,000</w:t>
            </w:r>
          </w:p>
        </w:tc>
        <w:tc>
          <w:tcPr>
            <w:tcW w:w="1705" w:type="dxa"/>
          </w:tcPr>
          <w:p w14:paraId="426D8FF1" w14:textId="77777777" w:rsidR="009D4BAA" w:rsidRPr="003F7F6C" w:rsidRDefault="009D4BAA" w:rsidP="009D4BAA">
            <w:pPr>
              <w:jc w:val="left"/>
              <w:rPr>
                <w:rFonts w:cs="Calibri"/>
                <w:sz w:val="18"/>
                <w:szCs w:val="18"/>
              </w:rPr>
            </w:pPr>
            <w:r w:rsidRPr="003F7F6C">
              <w:rPr>
                <w:rFonts w:cs="Calibri"/>
                <w:sz w:val="18"/>
                <w:szCs w:val="18"/>
              </w:rPr>
              <w:t>Before mid-term review mission takes place.</w:t>
            </w:r>
          </w:p>
        </w:tc>
      </w:tr>
      <w:tr w:rsidR="009D4BAA" w:rsidRPr="003F7F6C" w14:paraId="79F4E760" w14:textId="77777777" w:rsidTr="00787CD1">
        <w:trPr>
          <w:jc w:val="center"/>
        </w:trPr>
        <w:tc>
          <w:tcPr>
            <w:tcW w:w="3145" w:type="dxa"/>
          </w:tcPr>
          <w:p w14:paraId="7BDFF33B" w14:textId="77777777" w:rsidR="009D4BAA" w:rsidRPr="003F7F6C" w:rsidRDefault="009D4BAA" w:rsidP="009D4BAA">
            <w:pPr>
              <w:jc w:val="left"/>
              <w:rPr>
                <w:rFonts w:cs="Calibri"/>
                <w:b/>
                <w:sz w:val="18"/>
                <w:szCs w:val="18"/>
              </w:rPr>
            </w:pPr>
            <w:r w:rsidRPr="003F7F6C">
              <w:rPr>
                <w:rFonts w:cs="Calibri"/>
                <w:b/>
                <w:sz w:val="18"/>
                <w:szCs w:val="18"/>
              </w:rPr>
              <w:t xml:space="preserve">Independent Mid-term Review (MTR) and management response </w:t>
            </w:r>
          </w:p>
        </w:tc>
        <w:tc>
          <w:tcPr>
            <w:tcW w:w="1980" w:type="dxa"/>
          </w:tcPr>
          <w:p w14:paraId="59831220" w14:textId="77777777" w:rsidR="009D4BAA" w:rsidRPr="003F7F6C" w:rsidRDefault="009D4BAA" w:rsidP="009D4BAA">
            <w:pPr>
              <w:jc w:val="left"/>
              <w:rPr>
                <w:rFonts w:cs="Calibri"/>
                <w:sz w:val="18"/>
                <w:szCs w:val="18"/>
              </w:rPr>
            </w:pPr>
            <w:r w:rsidRPr="003F7F6C">
              <w:rPr>
                <w:rFonts w:cs="Calibri"/>
                <w:sz w:val="18"/>
                <w:szCs w:val="18"/>
              </w:rPr>
              <w:t>UNDP Country Office and Project team and UNDP-GEF team</w:t>
            </w:r>
          </w:p>
        </w:tc>
        <w:tc>
          <w:tcPr>
            <w:tcW w:w="1350" w:type="dxa"/>
          </w:tcPr>
          <w:p w14:paraId="145B28E0" w14:textId="393F56B5" w:rsidR="009D4BAA" w:rsidRPr="003F7F6C" w:rsidRDefault="009D4BAA" w:rsidP="009D4BAA">
            <w:pPr>
              <w:jc w:val="left"/>
              <w:rPr>
                <w:rFonts w:cs="Calibri"/>
                <w:sz w:val="18"/>
                <w:szCs w:val="18"/>
              </w:rPr>
            </w:pPr>
            <w:r w:rsidRPr="003F7F6C">
              <w:rPr>
                <w:rFonts w:cs="Calibri"/>
                <w:sz w:val="18"/>
                <w:szCs w:val="18"/>
              </w:rPr>
              <w:t xml:space="preserve">USD </w:t>
            </w:r>
            <w:r w:rsidR="000554AB" w:rsidRPr="003F7F6C">
              <w:rPr>
                <w:rFonts w:cs="Calibri"/>
                <w:sz w:val="18"/>
                <w:szCs w:val="18"/>
              </w:rPr>
              <w:t>2</w:t>
            </w:r>
            <w:r w:rsidR="009A700C" w:rsidRPr="003F7F6C">
              <w:rPr>
                <w:rFonts w:cs="Calibri"/>
                <w:sz w:val="18"/>
                <w:szCs w:val="18"/>
              </w:rPr>
              <w:t>5</w:t>
            </w:r>
            <w:r w:rsidR="004541B2" w:rsidRPr="003F7F6C">
              <w:rPr>
                <w:rFonts w:cs="Calibri"/>
                <w:sz w:val="18"/>
                <w:szCs w:val="18"/>
              </w:rPr>
              <w:t>,</w:t>
            </w:r>
            <w:r w:rsidR="000554AB" w:rsidRPr="003F7F6C">
              <w:rPr>
                <w:rFonts w:cs="Calibri"/>
                <w:sz w:val="18"/>
                <w:szCs w:val="18"/>
              </w:rPr>
              <w:t xml:space="preserve">818 </w:t>
            </w:r>
            <w:r w:rsidR="004541B2" w:rsidRPr="003F7F6C">
              <w:rPr>
                <w:rFonts w:cs="Calibri"/>
                <w:sz w:val="18"/>
                <w:szCs w:val="18"/>
              </w:rPr>
              <w:t>(int´l consultant</w:t>
            </w:r>
            <w:r w:rsidR="000554AB" w:rsidRPr="003F7F6C">
              <w:rPr>
                <w:rStyle w:val="FootnoteReference"/>
                <w:szCs w:val="18"/>
              </w:rPr>
              <w:footnoteReference w:id="84"/>
            </w:r>
            <w:r w:rsidR="004541B2" w:rsidRPr="003F7F6C">
              <w:rPr>
                <w:rFonts w:cs="Calibri"/>
                <w:sz w:val="18"/>
                <w:szCs w:val="18"/>
              </w:rPr>
              <w:t>)</w:t>
            </w:r>
          </w:p>
          <w:p w14:paraId="083BC549" w14:textId="3ACF5D77" w:rsidR="004541B2" w:rsidRPr="003F7F6C" w:rsidRDefault="004541B2" w:rsidP="009D4BAA">
            <w:pPr>
              <w:jc w:val="left"/>
              <w:rPr>
                <w:rFonts w:cs="Calibri"/>
                <w:sz w:val="18"/>
                <w:szCs w:val="18"/>
              </w:rPr>
            </w:pPr>
            <w:r w:rsidRPr="003F7F6C">
              <w:rPr>
                <w:rFonts w:cs="Calibri"/>
                <w:sz w:val="18"/>
                <w:szCs w:val="18"/>
              </w:rPr>
              <w:t>USD</w:t>
            </w:r>
            <w:r w:rsidR="000554AB" w:rsidRPr="003F7F6C">
              <w:rPr>
                <w:rFonts w:cs="Calibri"/>
                <w:sz w:val="18"/>
                <w:szCs w:val="18"/>
              </w:rPr>
              <w:t xml:space="preserve"> 6</w:t>
            </w:r>
            <w:r w:rsidRPr="003F7F6C">
              <w:rPr>
                <w:rFonts w:cs="Calibri"/>
                <w:sz w:val="18"/>
                <w:szCs w:val="18"/>
              </w:rPr>
              <w:t>,000 (nat´l consultant)</w:t>
            </w:r>
          </w:p>
        </w:tc>
        <w:tc>
          <w:tcPr>
            <w:tcW w:w="1170" w:type="dxa"/>
          </w:tcPr>
          <w:p w14:paraId="780C45ED" w14:textId="77777777" w:rsidR="009D4BAA" w:rsidRPr="003F7F6C" w:rsidRDefault="005A3FEB" w:rsidP="009D4BAA">
            <w:pPr>
              <w:jc w:val="left"/>
              <w:rPr>
                <w:rFonts w:cs="Calibri"/>
                <w:sz w:val="18"/>
                <w:szCs w:val="18"/>
              </w:rPr>
            </w:pPr>
            <w:r w:rsidRPr="003F7F6C">
              <w:rPr>
                <w:rFonts w:cs="Calibri"/>
                <w:sz w:val="18"/>
                <w:szCs w:val="18"/>
              </w:rPr>
              <w:t>108,000</w:t>
            </w:r>
          </w:p>
        </w:tc>
        <w:tc>
          <w:tcPr>
            <w:tcW w:w="1705" w:type="dxa"/>
          </w:tcPr>
          <w:p w14:paraId="09E38F16" w14:textId="77777777" w:rsidR="009D4BAA" w:rsidRPr="003F7F6C" w:rsidRDefault="009D4BAA" w:rsidP="009D4BAA">
            <w:pPr>
              <w:jc w:val="left"/>
              <w:rPr>
                <w:rFonts w:cs="Calibri"/>
                <w:sz w:val="18"/>
                <w:szCs w:val="18"/>
              </w:rPr>
            </w:pPr>
            <w:r w:rsidRPr="003F7F6C">
              <w:rPr>
                <w:rFonts w:cs="Calibri"/>
                <w:sz w:val="18"/>
                <w:szCs w:val="18"/>
              </w:rPr>
              <w:t xml:space="preserve">Between </w:t>
            </w:r>
            <w:r w:rsidR="00657C26" w:rsidRPr="003F7F6C">
              <w:rPr>
                <w:rFonts w:cs="Calibri"/>
                <w:sz w:val="18"/>
                <w:szCs w:val="18"/>
              </w:rPr>
              <w:t>3</w:t>
            </w:r>
            <w:r w:rsidRPr="003F7F6C">
              <w:rPr>
                <w:rFonts w:cs="Calibri"/>
                <w:sz w:val="18"/>
                <w:szCs w:val="18"/>
                <w:vertAlign w:val="superscript"/>
              </w:rPr>
              <w:t>nd</w:t>
            </w:r>
            <w:r w:rsidRPr="003F7F6C">
              <w:rPr>
                <w:rFonts w:cs="Calibri"/>
                <w:sz w:val="18"/>
                <w:szCs w:val="18"/>
              </w:rPr>
              <w:t xml:space="preserve"> and </w:t>
            </w:r>
            <w:r w:rsidR="00657C26" w:rsidRPr="003F7F6C">
              <w:rPr>
                <w:rFonts w:cs="Calibri"/>
                <w:sz w:val="18"/>
                <w:szCs w:val="18"/>
              </w:rPr>
              <w:t>4</w:t>
            </w:r>
            <w:r w:rsidRPr="003F7F6C">
              <w:rPr>
                <w:rFonts w:cs="Calibri"/>
                <w:sz w:val="18"/>
                <w:szCs w:val="18"/>
                <w:vertAlign w:val="superscript"/>
              </w:rPr>
              <w:t>rd</w:t>
            </w:r>
            <w:r w:rsidRPr="003F7F6C">
              <w:rPr>
                <w:rFonts w:cs="Calibri"/>
                <w:sz w:val="18"/>
                <w:szCs w:val="18"/>
              </w:rPr>
              <w:t xml:space="preserve"> PIR.  </w:t>
            </w:r>
          </w:p>
        </w:tc>
      </w:tr>
      <w:tr w:rsidR="009D4BAA" w:rsidRPr="003F7F6C" w14:paraId="73E7A19F" w14:textId="77777777" w:rsidTr="00787CD1">
        <w:trPr>
          <w:jc w:val="center"/>
        </w:trPr>
        <w:tc>
          <w:tcPr>
            <w:tcW w:w="3145" w:type="dxa"/>
          </w:tcPr>
          <w:p w14:paraId="435D4A68" w14:textId="77777777" w:rsidR="009D4BAA" w:rsidRPr="003F7F6C" w:rsidRDefault="001A52C6" w:rsidP="009D4BAA">
            <w:pPr>
              <w:jc w:val="left"/>
              <w:rPr>
                <w:rFonts w:cs="Calibri"/>
                <w:b/>
                <w:sz w:val="18"/>
                <w:szCs w:val="18"/>
              </w:rPr>
            </w:pPr>
            <w:r w:rsidRPr="003F7F6C">
              <w:rPr>
                <w:rFonts w:cs="Calibri"/>
                <w:b/>
                <w:sz w:val="18"/>
                <w:szCs w:val="18"/>
              </w:rPr>
              <w:t xml:space="preserve">Updating of core indicator </w:t>
            </w:r>
            <w:r w:rsidR="00D81270" w:rsidRPr="003F7F6C">
              <w:rPr>
                <w:rFonts w:cs="Calibri"/>
                <w:b/>
                <w:sz w:val="18"/>
                <w:szCs w:val="18"/>
              </w:rPr>
              <w:t>data</w:t>
            </w:r>
            <w:r w:rsidRPr="003F7F6C">
              <w:rPr>
                <w:rFonts w:cs="Calibri"/>
                <w:b/>
                <w:sz w:val="18"/>
                <w:szCs w:val="18"/>
              </w:rPr>
              <w:t xml:space="preserve"> before Terminal Evaluation</w:t>
            </w:r>
          </w:p>
        </w:tc>
        <w:tc>
          <w:tcPr>
            <w:tcW w:w="1980" w:type="dxa"/>
          </w:tcPr>
          <w:p w14:paraId="6CFC4D6C" w14:textId="77777777" w:rsidR="009D4BAA" w:rsidRPr="003F7F6C" w:rsidRDefault="009D4BAA" w:rsidP="009D4BAA">
            <w:pPr>
              <w:jc w:val="left"/>
              <w:rPr>
                <w:rFonts w:cs="Calibri"/>
                <w:sz w:val="18"/>
                <w:szCs w:val="18"/>
              </w:rPr>
            </w:pPr>
            <w:r w:rsidRPr="003F7F6C">
              <w:rPr>
                <w:rFonts w:cs="Calibri"/>
                <w:sz w:val="18"/>
                <w:szCs w:val="18"/>
              </w:rPr>
              <w:t xml:space="preserve">Project </w:t>
            </w:r>
            <w:r w:rsidR="00F47AF3" w:rsidRPr="003F7F6C">
              <w:rPr>
                <w:rFonts w:cs="Calibri"/>
                <w:sz w:val="18"/>
                <w:szCs w:val="18"/>
              </w:rPr>
              <w:t>Coordinator</w:t>
            </w:r>
            <w:r w:rsidRPr="003F7F6C">
              <w:rPr>
                <w:rFonts w:cs="Calibri"/>
                <w:sz w:val="18"/>
                <w:szCs w:val="18"/>
              </w:rPr>
              <w:t xml:space="preserve"> </w:t>
            </w:r>
          </w:p>
        </w:tc>
        <w:tc>
          <w:tcPr>
            <w:tcW w:w="1350" w:type="dxa"/>
          </w:tcPr>
          <w:p w14:paraId="263319AD" w14:textId="77777777" w:rsidR="009D4BAA" w:rsidRPr="003F7F6C" w:rsidRDefault="009D4BAA" w:rsidP="009D4BAA">
            <w:pPr>
              <w:jc w:val="left"/>
              <w:rPr>
                <w:rFonts w:cs="Calibri"/>
                <w:sz w:val="18"/>
                <w:szCs w:val="18"/>
              </w:rPr>
            </w:pPr>
            <w:r w:rsidRPr="003F7F6C">
              <w:rPr>
                <w:rFonts w:cs="Calibri"/>
                <w:sz w:val="18"/>
                <w:szCs w:val="18"/>
              </w:rPr>
              <w:t xml:space="preserve">USD </w:t>
            </w:r>
            <w:r w:rsidR="00941F9A" w:rsidRPr="003F7F6C">
              <w:rPr>
                <w:rFonts w:cs="Calibri"/>
                <w:sz w:val="18"/>
                <w:szCs w:val="18"/>
              </w:rPr>
              <w:t>2</w:t>
            </w:r>
            <w:r w:rsidRPr="003F7F6C">
              <w:rPr>
                <w:rFonts w:cs="Calibri"/>
                <w:sz w:val="18"/>
                <w:szCs w:val="18"/>
              </w:rPr>
              <w:t xml:space="preserve">,000 </w:t>
            </w:r>
          </w:p>
        </w:tc>
        <w:tc>
          <w:tcPr>
            <w:tcW w:w="1170" w:type="dxa"/>
          </w:tcPr>
          <w:p w14:paraId="116CDBFD" w14:textId="77777777" w:rsidR="009D4BAA" w:rsidRPr="003F7F6C" w:rsidRDefault="005A3FEB" w:rsidP="009D4BAA">
            <w:pPr>
              <w:jc w:val="left"/>
              <w:rPr>
                <w:rFonts w:cs="Calibri"/>
                <w:sz w:val="18"/>
                <w:szCs w:val="18"/>
              </w:rPr>
            </w:pPr>
            <w:r w:rsidRPr="003F7F6C">
              <w:rPr>
                <w:rFonts w:cs="Calibri"/>
                <w:sz w:val="18"/>
                <w:szCs w:val="18"/>
              </w:rPr>
              <w:t>6,000</w:t>
            </w:r>
          </w:p>
        </w:tc>
        <w:tc>
          <w:tcPr>
            <w:tcW w:w="1705" w:type="dxa"/>
          </w:tcPr>
          <w:p w14:paraId="18404018" w14:textId="77777777" w:rsidR="009D4BAA" w:rsidRPr="003F7F6C" w:rsidRDefault="009D4BAA" w:rsidP="009D4BAA">
            <w:pPr>
              <w:jc w:val="left"/>
              <w:rPr>
                <w:rFonts w:cs="Calibri"/>
                <w:sz w:val="18"/>
                <w:szCs w:val="18"/>
              </w:rPr>
            </w:pPr>
            <w:r w:rsidRPr="003F7F6C">
              <w:rPr>
                <w:rFonts w:cs="Calibri"/>
                <w:sz w:val="18"/>
                <w:szCs w:val="18"/>
              </w:rPr>
              <w:t>Before terminal evaluation mission takes place</w:t>
            </w:r>
          </w:p>
        </w:tc>
      </w:tr>
      <w:tr w:rsidR="009D4BAA" w:rsidRPr="003F7F6C" w14:paraId="46B54B84" w14:textId="77777777" w:rsidTr="00787CD1">
        <w:trPr>
          <w:jc w:val="center"/>
        </w:trPr>
        <w:tc>
          <w:tcPr>
            <w:tcW w:w="3145" w:type="dxa"/>
          </w:tcPr>
          <w:p w14:paraId="183046DA" w14:textId="77777777" w:rsidR="009D4BAA" w:rsidRPr="003F7F6C" w:rsidRDefault="009D4BAA" w:rsidP="009D4BAA">
            <w:pPr>
              <w:jc w:val="left"/>
              <w:rPr>
                <w:rFonts w:cs="Calibri"/>
                <w:b/>
                <w:sz w:val="18"/>
                <w:szCs w:val="18"/>
              </w:rPr>
            </w:pPr>
            <w:r w:rsidRPr="003F7F6C">
              <w:rPr>
                <w:rFonts w:cs="Calibri"/>
                <w:b/>
                <w:sz w:val="18"/>
                <w:szCs w:val="18"/>
              </w:rPr>
              <w:t>Independent Terminal Evaluation (TE) included in UNDP evaluation plan, and management response</w:t>
            </w:r>
          </w:p>
        </w:tc>
        <w:tc>
          <w:tcPr>
            <w:tcW w:w="1980" w:type="dxa"/>
          </w:tcPr>
          <w:p w14:paraId="0F1AD6DD" w14:textId="77777777" w:rsidR="009D4BAA" w:rsidRPr="003F7F6C" w:rsidRDefault="009D4BAA" w:rsidP="009D4BAA">
            <w:pPr>
              <w:jc w:val="left"/>
              <w:rPr>
                <w:rFonts w:cs="Calibri"/>
                <w:sz w:val="18"/>
                <w:szCs w:val="18"/>
              </w:rPr>
            </w:pPr>
            <w:r w:rsidRPr="003F7F6C">
              <w:rPr>
                <w:rFonts w:cs="Calibri"/>
                <w:sz w:val="18"/>
                <w:szCs w:val="18"/>
              </w:rPr>
              <w:t>UNDP Country Office and Project team and UNDP-GEF team</w:t>
            </w:r>
          </w:p>
        </w:tc>
        <w:tc>
          <w:tcPr>
            <w:tcW w:w="1350" w:type="dxa"/>
          </w:tcPr>
          <w:p w14:paraId="13B1A292" w14:textId="06F671AB" w:rsidR="009D4BAA" w:rsidRPr="003F7F6C" w:rsidRDefault="009D4BAA" w:rsidP="009D4BAA">
            <w:pPr>
              <w:jc w:val="left"/>
              <w:rPr>
                <w:rFonts w:cs="Calibri"/>
                <w:sz w:val="18"/>
                <w:szCs w:val="18"/>
              </w:rPr>
            </w:pPr>
            <w:r w:rsidRPr="003F7F6C">
              <w:rPr>
                <w:rFonts w:cs="Calibri"/>
                <w:sz w:val="18"/>
                <w:szCs w:val="18"/>
              </w:rPr>
              <w:t xml:space="preserve">USD </w:t>
            </w:r>
            <w:r w:rsidR="000554AB" w:rsidRPr="003F7F6C">
              <w:rPr>
                <w:rFonts w:cs="Calibri"/>
                <w:sz w:val="18"/>
                <w:szCs w:val="18"/>
              </w:rPr>
              <w:t>2</w:t>
            </w:r>
            <w:r w:rsidR="009A700C" w:rsidRPr="003F7F6C">
              <w:rPr>
                <w:rFonts w:cs="Calibri"/>
                <w:sz w:val="18"/>
                <w:szCs w:val="18"/>
              </w:rPr>
              <w:t>8</w:t>
            </w:r>
            <w:r w:rsidR="00957C95" w:rsidRPr="003F7F6C">
              <w:rPr>
                <w:rFonts w:cs="Calibri"/>
                <w:sz w:val="18"/>
                <w:szCs w:val="18"/>
              </w:rPr>
              <w:t>,</w:t>
            </w:r>
            <w:r w:rsidR="000554AB" w:rsidRPr="003F7F6C">
              <w:rPr>
                <w:rFonts w:cs="Calibri"/>
                <w:sz w:val="18"/>
                <w:szCs w:val="18"/>
              </w:rPr>
              <w:t xml:space="preserve">818 </w:t>
            </w:r>
            <w:r w:rsidR="00957C95" w:rsidRPr="003F7F6C">
              <w:rPr>
                <w:rFonts w:cs="Calibri"/>
                <w:sz w:val="18"/>
                <w:szCs w:val="18"/>
              </w:rPr>
              <w:t>(int´l consultant)</w:t>
            </w:r>
            <w:r w:rsidR="000554AB" w:rsidRPr="003F7F6C">
              <w:rPr>
                <w:rStyle w:val="FootnoteReference"/>
                <w:szCs w:val="18"/>
              </w:rPr>
              <w:footnoteReference w:id="85"/>
            </w:r>
          </w:p>
          <w:p w14:paraId="20B67D0E" w14:textId="4DD78AD5" w:rsidR="00957C95" w:rsidRPr="003F7F6C" w:rsidRDefault="004541B2" w:rsidP="009D4BAA">
            <w:pPr>
              <w:jc w:val="left"/>
              <w:rPr>
                <w:rFonts w:cs="Calibri"/>
                <w:sz w:val="18"/>
                <w:szCs w:val="18"/>
              </w:rPr>
            </w:pPr>
            <w:r w:rsidRPr="003F7F6C">
              <w:rPr>
                <w:rFonts w:cs="Calibri"/>
                <w:sz w:val="18"/>
                <w:szCs w:val="18"/>
              </w:rPr>
              <w:t xml:space="preserve">USD </w:t>
            </w:r>
            <w:r w:rsidR="000554AB" w:rsidRPr="003F7F6C">
              <w:rPr>
                <w:rFonts w:cs="Calibri"/>
                <w:sz w:val="18"/>
                <w:szCs w:val="18"/>
              </w:rPr>
              <w:t>6</w:t>
            </w:r>
            <w:r w:rsidR="00957C95" w:rsidRPr="003F7F6C">
              <w:rPr>
                <w:rFonts w:cs="Calibri"/>
                <w:sz w:val="18"/>
                <w:szCs w:val="18"/>
              </w:rPr>
              <w:t>,000 (</w:t>
            </w:r>
            <w:r w:rsidRPr="003F7F6C">
              <w:rPr>
                <w:rFonts w:cs="Calibri"/>
                <w:sz w:val="18"/>
                <w:szCs w:val="18"/>
              </w:rPr>
              <w:t>nat´l consultant)</w:t>
            </w:r>
          </w:p>
        </w:tc>
        <w:tc>
          <w:tcPr>
            <w:tcW w:w="1170" w:type="dxa"/>
          </w:tcPr>
          <w:p w14:paraId="13E8368A" w14:textId="77777777" w:rsidR="009D4BAA" w:rsidRPr="003F7F6C" w:rsidRDefault="005A3FEB" w:rsidP="009D4BAA">
            <w:pPr>
              <w:tabs>
                <w:tab w:val="center" w:pos="1216"/>
              </w:tabs>
              <w:jc w:val="left"/>
              <w:rPr>
                <w:rFonts w:cs="Calibri"/>
                <w:sz w:val="18"/>
                <w:szCs w:val="18"/>
              </w:rPr>
            </w:pPr>
            <w:r w:rsidRPr="003F7F6C">
              <w:rPr>
                <w:rFonts w:cs="Calibri"/>
                <w:sz w:val="18"/>
                <w:szCs w:val="18"/>
              </w:rPr>
              <w:t>54,000</w:t>
            </w:r>
          </w:p>
        </w:tc>
        <w:tc>
          <w:tcPr>
            <w:tcW w:w="1705" w:type="dxa"/>
          </w:tcPr>
          <w:p w14:paraId="4E81054D" w14:textId="77777777" w:rsidR="009D4BAA" w:rsidRPr="003F7F6C" w:rsidRDefault="009D4BAA" w:rsidP="009D4BAA">
            <w:pPr>
              <w:jc w:val="left"/>
              <w:rPr>
                <w:rFonts w:cs="Calibri"/>
                <w:sz w:val="18"/>
                <w:szCs w:val="18"/>
              </w:rPr>
            </w:pPr>
            <w:r w:rsidRPr="003F7F6C">
              <w:rPr>
                <w:rFonts w:cs="Calibri"/>
                <w:sz w:val="18"/>
                <w:szCs w:val="18"/>
              </w:rPr>
              <w:t>At least three months before operational closure</w:t>
            </w:r>
          </w:p>
        </w:tc>
      </w:tr>
      <w:tr w:rsidR="009D4BAA" w:rsidRPr="003F7F6C" w14:paraId="2C135F1A" w14:textId="77777777" w:rsidTr="00787CD1">
        <w:trPr>
          <w:jc w:val="center"/>
        </w:trPr>
        <w:tc>
          <w:tcPr>
            <w:tcW w:w="3145" w:type="dxa"/>
          </w:tcPr>
          <w:p w14:paraId="341EDA0D" w14:textId="77777777" w:rsidR="009D4BAA" w:rsidRPr="003F7F6C" w:rsidRDefault="009D4BAA" w:rsidP="009D4BAA">
            <w:pPr>
              <w:jc w:val="left"/>
              <w:rPr>
                <w:rFonts w:cs="Calibri"/>
                <w:b/>
                <w:sz w:val="18"/>
                <w:szCs w:val="18"/>
              </w:rPr>
            </w:pPr>
            <w:r w:rsidRPr="003F7F6C">
              <w:rPr>
                <w:rFonts w:cs="Calibri"/>
                <w:b/>
                <w:sz w:val="18"/>
                <w:szCs w:val="18"/>
              </w:rPr>
              <w:t>Translation of MTR and TE reports into English</w:t>
            </w:r>
          </w:p>
        </w:tc>
        <w:tc>
          <w:tcPr>
            <w:tcW w:w="1980" w:type="dxa"/>
          </w:tcPr>
          <w:p w14:paraId="1E9FE90F" w14:textId="77777777" w:rsidR="009D4BAA" w:rsidRPr="003F7F6C" w:rsidRDefault="009D4BAA" w:rsidP="009D4BAA">
            <w:pPr>
              <w:jc w:val="left"/>
              <w:rPr>
                <w:rFonts w:cs="Calibri"/>
                <w:sz w:val="18"/>
                <w:szCs w:val="18"/>
              </w:rPr>
            </w:pPr>
            <w:r w:rsidRPr="003F7F6C">
              <w:rPr>
                <w:rFonts w:cs="Calibri"/>
                <w:sz w:val="18"/>
                <w:szCs w:val="18"/>
              </w:rPr>
              <w:t>UNDP Country Office</w:t>
            </w:r>
          </w:p>
        </w:tc>
        <w:tc>
          <w:tcPr>
            <w:tcW w:w="1350" w:type="dxa"/>
          </w:tcPr>
          <w:p w14:paraId="77BCB119" w14:textId="77777777" w:rsidR="009D4BAA" w:rsidRPr="003F7F6C" w:rsidRDefault="009D4BAA" w:rsidP="009D4BAA">
            <w:pPr>
              <w:jc w:val="left"/>
              <w:rPr>
                <w:rFonts w:cs="Calibri"/>
                <w:sz w:val="18"/>
                <w:szCs w:val="18"/>
              </w:rPr>
            </w:pPr>
            <w:r w:rsidRPr="003F7F6C">
              <w:rPr>
                <w:rFonts w:cs="Calibri"/>
                <w:sz w:val="18"/>
                <w:szCs w:val="18"/>
              </w:rPr>
              <w:t xml:space="preserve">USD </w:t>
            </w:r>
            <w:r w:rsidR="00FA7F6E" w:rsidRPr="003F7F6C">
              <w:rPr>
                <w:rFonts w:cs="Calibri"/>
                <w:sz w:val="18"/>
                <w:szCs w:val="18"/>
              </w:rPr>
              <w:t>10</w:t>
            </w:r>
            <w:r w:rsidR="00757041" w:rsidRPr="003F7F6C">
              <w:rPr>
                <w:rFonts w:cs="Calibri"/>
                <w:sz w:val="18"/>
                <w:szCs w:val="18"/>
              </w:rPr>
              <w:t>,000</w:t>
            </w:r>
          </w:p>
        </w:tc>
        <w:tc>
          <w:tcPr>
            <w:tcW w:w="1170" w:type="dxa"/>
          </w:tcPr>
          <w:p w14:paraId="1CE30552" w14:textId="77777777" w:rsidR="009D4BAA" w:rsidRPr="003F7F6C" w:rsidRDefault="005A3FEB" w:rsidP="009D4BAA">
            <w:pPr>
              <w:jc w:val="left"/>
              <w:rPr>
                <w:rFonts w:cs="Calibri"/>
                <w:sz w:val="18"/>
                <w:szCs w:val="18"/>
              </w:rPr>
            </w:pPr>
            <w:r w:rsidRPr="003F7F6C">
              <w:rPr>
                <w:rFonts w:cs="Calibri"/>
                <w:sz w:val="18"/>
                <w:szCs w:val="18"/>
              </w:rPr>
              <w:t>30,000</w:t>
            </w:r>
          </w:p>
        </w:tc>
        <w:tc>
          <w:tcPr>
            <w:tcW w:w="1705" w:type="dxa"/>
          </w:tcPr>
          <w:p w14:paraId="4C4FCA5E" w14:textId="77777777" w:rsidR="009D4BAA" w:rsidRPr="003F7F6C" w:rsidRDefault="009D4BAA" w:rsidP="009D4BAA">
            <w:pPr>
              <w:jc w:val="left"/>
              <w:rPr>
                <w:rFonts w:cs="Calibri"/>
                <w:sz w:val="18"/>
                <w:szCs w:val="18"/>
              </w:rPr>
            </w:pPr>
            <w:r w:rsidRPr="003F7F6C">
              <w:rPr>
                <w:rFonts w:cs="Calibri"/>
                <w:sz w:val="18"/>
                <w:szCs w:val="18"/>
              </w:rPr>
              <w:t>As required.  GEF will only accept reports in English.</w:t>
            </w:r>
          </w:p>
        </w:tc>
      </w:tr>
      <w:tr w:rsidR="009D4BAA" w:rsidRPr="003F7F6C" w14:paraId="456D8390" w14:textId="77777777" w:rsidTr="00787CD1">
        <w:trPr>
          <w:cantSplit/>
          <w:trHeight w:val="710"/>
          <w:jc w:val="center"/>
        </w:trPr>
        <w:tc>
          <w:tcPr>
            <w:tcW w:w="5125" w:type="dxa"/>
            <w:gridSpan w:val="2"/>
            <w:shd w:val="clear" w:color="auto" w:fill="E6E6E6"/>
          </w:tcPr>
          <w:p w14:paraId="7E3431F2" w14:textId="77777777" w:rsidR="009D4BAA" w:rsidRPr="003F7F6C" w:rsidRDefault="009D4BAA" w:rsidP="009D4BAA">
            <w:pPr>
              <w:jc w:val="left"/>
              <w:rPr>
                <w:rFonts w:cs="Calibri"/>
                <w:b/>
                <w:sz w:val="18"/>
                <w:szCs w:val="18"/>
              </w:rPr>
            </w:pPr>
            <w:r w:rsidRPr="003F7F6C">
              <w:rPr>
                <w:rFonts w:cs="Calibri"/>
                <w:b/>
                <w:sz w:val="18"/>
                <w:szCs w:val="18"/>
              </w:rPr>
              <w:t xml:space="preserve">TOTAL indicative COST </w:t>
            </w:r>
          </w:p>
          <w:p w14:paraId="336D1863" w14:textId="77777777" w:rsidR="009D4BAA" w:rsidRPr="003F7F6C" w:rsidRDefault="009D4BAA" w:rsidP="009D4BAA">
            <w:pPr>
              <w:jc w:val="left"/>
              <w:rPr>
                <w:rFonts w:cs="Calibri"/>
                <w:sz w:val="18"/>
                <w:szCs w:val="18"/>
              </w:rPr>
            </w:pPr>
            <w:r w:rsidRPr="003F7F6C">
              <w:rPr>
                <w:rFonts w:cs="Calibri"/>
                <w:sz w:val="18"/>
                <w:szCs w:val="18"/>
              </w:rPr>
              <w:t xml:space="preserve">Excluding project team staff time, and UNDP staff and travel expenses </w:t>
            </w:r>
          </w:p>
        </w:tc>
        <w:tc>
          <w:tcPr>
            <w:tcW w:w="1350" w:type="dxa"/>
            <w:shd w:val="clear" w:color="auto" w:fill="E6E6E6"/>
          </w:tcPr>
          <w:p w14:paraId="7B4D5106" w14:textId="77777777" w:rsidR="00AF6BAB" w:rsidRPr="003F7F6C" w:rsidRDefault="00AF6BAB" w:rsidP="009D4BAA">
            <w:pPr>
              <w:jc w:val="left"/>
              <w:rPr>
                <w:rFonts w:cs="Calibri"/>
                <w:sz w:val="18"/>
                <w:szCs w:val="18"/>
              </w:rPr>
            </w:pPr>
          </w:p>
          <w:p w14:paraId="602A42D2" w14:textId="21FD29F3" w:rsidR="009D4BAA" w:rsidRPr="003F7F6C" w:rsidRDefault="000554AB" w:rsidP="009D4BAA">
            <w:pPr>
              <w:jc w:val="left"/>
              <w:rPr>
                <w:rFonts w:cs="Calibri"/>
                <w:sz w:val="18"/>
                <w:szCs w:val="18"/>
              </w:rPr>
            </w:pPr>
            <w:r w:rsidRPr="003F7F6C">
              <w:rPr>
                <w:rFonts w:cs="Calibri"/>
                <w:sz w:val="18"/>
                <w:szCs w:val="18"/>
              </w:rPr>
              <w:t>316,650</w:t>
            </w:r>
          </w:p>
        </w:tc>
        <w:tc>
          <w:tcPr>
            <w:tcW w:w="1170" w:type="dxa"/>
            <w:shd w:val="clear" w:color="auto" w:fill="E6E6E6"/>
          </w:tcPr>
          <w:p w14:paraId="50526501" w14:textId="77777777" w:rsidR="005A3FEB" w:rsidRPr="003F7F6C" w:rsidRDefault="005A3FEB" w:rsidP="009D4BAA">
            <w:pPr>
              <w:jc w:val="left"/>
              <w:rPr>
                <w:rFonts w:cs="Calibri"/>
                <w:sz w:val="18"/>
                <w:szCs w:val="18"/>
              </w:rPr>
            </w:pPr>
          </w:p>
          <w:p w14:paraId="03F9B4BA" w14:textId="3CAFC053" w:rsidR="009D4BAA" w:rsidRPr="003F7F6C" w:rsidRDefault="005A3FEB" w:rsidP="009D4BAA">
            <w:pPr>
              <w:jc w:val="left"/>
              <w:rPr>
                <w:rFonts w:cs="Calibri"/>
                <w:sz w:val="18"/>
                <w:szCs w:val="18"/>
              </w:rPr>
            </w:pPr>
            <w:r w:rsidRPr="003F7F6C">
              <w:rPr>
                <w:rFonts w:cs="Calibri"/>
                <w:sz w:val="18"/>
                <w:szCs w:val="18"/>
              </w:rPr>
              <w:t>7</w:t>
            </w:r>
            <w:r w:rsidR="0051507B" w:rsidRPr="003F7F6C">
              <w:rPr>
                <w:rFonts w:cs="Calibri"/>
                <w:sz w:val="18"/>
                <w:szCs w:val="18"/>
              </w:rPr>
              <w:t>09</w:t>
            </w:r>
            <w:r w:rsidRPr="003F7F6C">
              <w:rPr>
                <w:rFonts w:cs="Calibri"/>
                <w:sz w:val="18"/>
                <w:szCs w:val="18"/>
              </w:rPr>
              <w:t>, 051</w:t>
            </w:r>
          </w:p>
        </w:tc>
        <w:tc>
          <w:tcPr>
            <w:tcW w:w="1705" w:type="dxa"/>
            <w:shd w:val="clear" w:color="auto" w:fill="E6E6E6"/>
          </w:tcPr>
          <w:p w14:paraId="1D97037D" w14:textId="77777777" w:rsidR="009D4BAA" w:rsidRPr="003F7F6C" w:rsidRDefault="009D4BAA" w:rsidP="009D4BAA">
            <w:pPr>
              <w:jc w:val="left"/>
              <w:rPr>
                <w:rFonts w:cs="Calibri"/>
                <w:sz w:val="18"/>
                <w:szCs w:val="18"/>
              </w:rPr>
            </w:pPr>
          </w:p>
        </w:tc>
      </w:tr>
    </w:tbl>
    <w:p w14:paraId="155D0B26" w14:textId="77777777" w:rsidR="0096798B" w:rsidRPr="003F7F6C" w:rsidRDefault="0096798B" w:rsidP="003B2A79">
      <w:pPr>
        <w:rPr>
          <w:rFonts w:cs="Arial"/>
          <w:b/>
          <w:bCs/>
          <w:szCs w:val="20"/>
        </w:rPr>
      </w:pPr>
    </w:p>
    <w:p w14:paraId="2D81707F" w14:textId="77777777" w:rsidR="009769EA" w:rsidRPr="003F7F6C" w:rsidRDefault="002A5265" w:rsidP="003B2A79">
      <w:pPr>
        <w:rPr>
          <w:rFonts w:cs="Arial"/>
          <w:b/>
          <w:bCs/>
          <w:szCs w:val="20"/>
        </w:rPr>
      </w:pPr>
      <w:r w:rsidRPr="003F7F6C">
        <w:rPr>
          <w:rFonts w:cs="Arial"/>
          <w:b/>
          <w:bCs/>
          <w:szCs w:val="20"/>
        </w:rPr>
        <w:t xml:space="preserve"> </w:t>
      </w:r>
      <w:r w:rsidR="0096798B" w:rsidRPr="003F7F6C">
        <w:rPr>
          <w:rFonts w:cs="Arial"/>
          <w:b/>
          <w:bCs/>
          <w:szCs w:val="20"/>
        </w:rPr>
        <w:br w:type="page"/>
      </w:r>
    </w:p>
    <w:p w14:paraId="59C57ABF" w14:textId="77777777" w:rsidR="003E3ABA" w:rsidRPr="003F7F6C" w:rsidRDefault="003E3ABA" w:rsidP="00A04E6F">
      <w:pPr>
        <w:pStyle w:val="Heading1"/>
        <w:spacing w:before="0" w:after="0"/>
        <w:rPr>
          <w:rFonts w:ascii="Calibri" w:hAnsi="Calibri"/>
        </w:rPr>
      </w:pPr>
      <w:bookmarkStart w:id="20" w:name="_Toc529891414"/>
      <w:bookmarkStart w:id="21" w:name="_Hlk526968517"/>
      <w:r w:rsidRPr="003F7F6C">
        <w:rPr>
          <w:rFonts w:ascii="Calibri" w:hAnsi="Calibri"/>
        </w:rPr>
        <w:t>Governance and Management Arrangements</w:t>
      </w:r>
      <w:bookmarkEnd w:id="20"/>
      <w:r w:rsidRPr="003F7F6C">
        <w:rPr>
          <w:rFonts w:ascii="Calibri" w:hAnsi="Calibri"/>
        </w:rPr>
        <w:t xml:space="preserve"> </w:t>
      </w:r>
    </w:p>
    <w:p w14:paraId="0802DD96" w14:textId="77777777" w:rsidR="00A04E6F" w:rsidRPr="003F7F6C" w:rsidRDefault="00A04E6F" w:rsidP="00A04E6F">
      <w:pPr>
        <w:spacing w:after="0"/>
        <w:jc w:val="left"/>
        <w:rPr>
          <w:rFonts w:cs="Arial"/>
          <w:b/>
          <w:i/>
          <w:noProof/>
          <w:szCs w:val="20"/>
          <w:lang w:eastAsia="zh-CN"/>
        </w:rPr>
      </w:pPr>
    </w:p>
    <w:p w14:paraId="70FB820E" w14:textId="77777777" w:rsidR="0000316E" w:rsidRPr="003F7F6C" w:rsidRDefault="00667A34" w:rsidP="00E91275">
      <w:pPr>
        <w:numPr>
          <w:ilvl w:val="0"/>
          <w:numId w:val="28"/>
        </w:numPr>
        <w:spacing w:after="240"/>
        <w:ind w:left="0" w:firstLine="0"/>
        <w:rPr>
          <w:rFonts w:cs="Arial"/>
          <w:szCs w:val="20"/>
        </w:rPr>
      </w:pPr>
      <w:r w:rsidRPr="003F7F6C">
        <w:rPr>
          <w:rFonts w:cs="Arial"/>
          <w:noProof/>
          <w:szCs w:val="20"/>
          <w:u w:val="single"/>
          <w:lang w:eastAsia="zh-CN"/>
        </w:rPr>
        <w:t>Roles and responsibilities of the project´s governance mechanism</w:t>
      </w:r>
      <w:r w:rsidRPr="003F7F6C">
        <w:rPr>
          <w:rFonts w:cs="Arial"/>
          <w:noProof/>
          <w:szCs w:val="20"/>
          <w:lang w:eastAsia="zh-CN"/>
        </w:rPr>
        <w:t xml:space="preserve">: </w:t>
      </w:r>
      <w:r w:rsidR="002C5D13" w:rsidRPr="003F7F6C">
        <w:rPr>
          <w:rFonts w:cs="Arial"/>
          <w:noProof/>
          <w:szCs w:val="20"/>
          <w:lang w:eastAsia="zh-CN"/>
        </w:rPr>
        <w:t>The project will be implemented following UNDP’s national implementation modality,</w:t>
      </w:r>
      <w:r w:rsidR="002C5D13" w:rsidRPr="003F7F6C">
        <w:rPr>
          <w:rFonts w:cs="Arial"/>
          <w:szCs w:val="20"/>
        </w:rPr>
        <w:t xml:space="preserve"> according to the Standard Basic Assistance Agreement </w:t>
      </w:r>
      <w:r w:rsidR="000D002A" w:rsidRPr="003F7F6C">
        <w:rPr>
          <w:rFonts w:cs="Calibri"/>
          <w:szCs w:val="20"/>
        </w:rPr>
        <w:t xml:space="preserve">signed on </w:t>
      </w:r>
      <w:r w:rsidR="000D002A" w:rsidRPr="003F7F6C">
        <w:rPr>
          <w:rFonts w:eastAsia="Times New Roman" w:cs="Calibri"/>
          <w:szCs w:val="20"/>
          <w:lang w:eastAsia="es-ES_tradnl"/>
        </w:rPr>
        <w:t xml:space="preserve">February 26, 1985 and approved by Law Nº23396 of October 10, 1986 </w:t>
      </w:r>
      <w:r w:rsidR="002C5D13" w:rsidRPr="003F7F6C">
        <w:rPr>
          <w:rFonts w:cs="Arial"/>
          <w:szCs w:val="20"/>
        </w:rPr>
        <w:t xml:space="preserve">between UNDP and the Government of </w:t>
      </w:r>
      <w:r w:rsidR="00024C87" w:rsidRPr="003F7F6C">
        <w:rPr>
          <w:rFonts w:cs="Arial"/>
          <w:szCs w:val="20"/>
        </w:rPr>
        <w:t>Argentina</w:t>
      </w:r>
      <w:r w:rsidR="002C5D13" w:rsidRPr="003F7F6C">
        <w:rPr>
          <w:rFonts w:cs="Arial"/>
          <w:i/>
          <w:szCs w:val="20"/>
        </w:rPr>
        <w:t>,</w:t>
      </w:r>
      <w:r w:rsidR="000D002A" w:rsidRPr="003F7F6C">
        <w:rPr>
          <w:rFonts w:cs="Arial"/>
          <w:i/>
          <w:szCs w:val="20"/>
        </w:rPr>
        <w:t xml:space="preserve"> </w:t>
      </w:r>
      <w:r w:rsidR="002C5D13" w:rsidRPr="003F7F6C">
        <w:rPr>
          <w:rFonts w:cs="Arial"/>
          <w:szCs w:val="20"/>
        </w:rPr>
        <w:t>and the Country Programme</w:t>
      </w:r>
      <w:r w:rsidR="002C5D13" w:rsidRPr="003F7F6C">
        <w:rPr>
          <w:rFonts w:cs="Arial"/>
          <w:i/>
          <w:szCs w:val="20"/>
        </w:rPr>
        <w:t>.</w:t>
      </w:r>
      <w:r w:rsidR="002C5D13" w:rsidRPr="003F7F6C">
        <w:rPr>
          <w:rFonts w:cs="Arial"/>
          <w:szCs w:val="20"/>
        </w:rPr>
        <w:t xml:space="preserve"> </w:t>
      </w:r>
    </w:p>
    <w:p w14:paraId="1C14CCFF" w14:textId="7C7C826C" w:rsidR="0056428B" w:rsidRPr="003F7F6C" w:rsidRDefault="002C5D13" w:rsidP="00E91275">
      <w:pPr>
        <w:numPr>
          <w:ilvl w:val="0"/>
          <w:numId w:val="28"/>
        </w:numPr>
        <w:spacing w:after="0"/>
        <w:ind w:left="0" w:firstLine="0"/>
        <w:rPr>
          <w:rFonts w:cs="Arial"/>
          <w:noProof/>
          <w:szCs w:val="20"/>
          <w:lang w:eastAsia="zh-CN"/>
        </w:rPr>
      </w:pPr>
      <w:r w:rsidRPr="003F7F6C">
        <w:rPr>
          <w:rFonts w:cs="Arial"/>
          <w:noProof/>
          <w:szCs w:val="20"/>
          <w:lang w:eastAsia="zh-CN"/>
        </w:rPr>
        <w:t xml:space="preserve">The Implementing Partner for this project is </w:t>
      </w:r>
      <w:r w:rsidR="00024C87" w:rsidRPr="003F7F6C">
        <w:rPr>
          <w:rFonts w:cs="Arial"/>
          <w:noProof/>
          <w:szCs w:val="20"/>
          <w:lang w:eastAsia="zh-CN"/>
        </w:rPr>
        <w:t xml:space="preserve">the </w:t>
      </w:r>
      <w:r w:rsidR="00FD79FC" w:rsidRPr="003F7F6C">
        <w:rPr>
          <w:rFonts w:cs="Arial"/>
          <w:b/>
          <w:noProof/>
          <w:szCs w:val="20"/>
          <w:lang w:eastAsia="zh-CN"/>
        </w:rPr>
        <w:t>Secretariat</w:t>
      </w:r>
      <w:r w:rsidR="00024C87" w:rsidRPr="003F7F6C">
        <w:rPr>
          <w:rFonts w:cs="Arial"/>
          <w:b/>
          <w:noProof/>
          <w:szCs w:val="20"/>
          <w:lang w:eastAsia="zh-CN"/>
        </w:rPr>
        <w:t xml:space="preserve"> of Environmen</w:t>
      </w:r>
      <w:r w:rsidR="00FD79FC" w:rsidRPr="003F7F6C">
        <w:rPr>
          <w:rFonts w:cs="Arial"/>
          <w:b/>
          <w:noProof/>
          <w:szCs w:val="20"/>
          <w:lang w:eastAsia="zh-CN"/>
        </w:rPr>
        <w:t>t and Sustainable Development (SG</w:t>
      </w:r>
      <w:r w:rsidR="00024C87" w:rsidRPr="003F7F6C">
        <w:rPr>
          <w:rFonts w:cs="Arial"/>
          <w:b/>
          <w:noProof/>
          <w:szCs w:val="20"/>
          <w:lang w:eastAsia="zh-CN"/>
        </w:rPr>
        <w:t>AyDS)</w:t>
      </w:r>
      <w:r w:rsidR="0056428B" w:rsidRPr="003F7F6C">
        <w:rPr>
          <w:rFonts w:cs="Arial"/>
          <w:b/>
          <w:noProof/>
          <w:szCs w:val="20"/>
          <w:lang w:eastAsia="zh-CN"/>
        </w:rPr>
        <w:t xml:space="preserve">.  </w:t>
      </w:r>
      <w:r w:rsidR="0056428B" w:rsidRPr="003F7F6C">
        <w:rPr>
          <w:rFonts w:cs="Arial"/>
          <w:noProof/>
          <w:szCs w:val="20"/>
          <w:lang w:eastAsia="zh-CN"/>
        </w:rPr>
        <w:t>The Implementing Partner is responsible for:</w:t>
      </w:r>
    </w:p>
    <w:p w14:paraId="4FA45E32" w14:textId="77777777" w:rsidR="00F7248F" w:rsidRPr="003F7F6C" w:rsidRDefault="00F7248F" w:rsidP="00F7248F">
      <w:pPr>
        <w:spacing w:after="0"/>
        <w:rPr>
          <w:rFonts w:cs="Arial"/>
          <w:b/>
          <w:noProof/>
          <w:szCs w:val="20"/>
          <w:lang w:eastAsia="zh-CN"/>
        </w:rPr>
      </w:pPr>
    </w:p>
    <w:p w14:paraId="65090CEE" w14:textId="669E77D1" w:rsidR="0056428B" w:rsidRPr="003F7F6C" w:rsidRDefault="0056428B" w:rsidP="00E91275">
      <w:pPr>
        <w:pStyle w:val="ColorfulList-Accent11"/>
        <w:numPr>
          <w:ilvl w:val="0"/>
          <w:numId w:val="18"/>
        </w:numPr>
        <w:jc w:val="both"/>
        <w:rPr>
          <w:rFonts w:ascii="Calibri" w:hAnsi="Calibri"/>
          <w:sz w:val="20"/>
          <w:szCs w:val="20"/>
        </w:rPr>
      </w:pPr>
      <w:r w:rsidRPr="003F7F6C">
        <w:rPr>
          <w:rFonts w:ascii="Calibri" w:hAnsi="Calibri"/>
          <w:sz w:val="20"/>
          <w:szCs w:val="20"/>
        </w:rPr>
        <w:t>Approving and signing the multiyear workplan;</w:t>
      </w:r>
    </w:p>
    <w:p w14:paraId="2741EC71" w14:textId="62A495F3" w:rsidR="0056428B" w:rsidRPr="003F7F6C" w:rsidRDefault="0056428B" w:rsidP="00E91275">
      <w:pPr>
        <w:pStyle w:val="ColorfulList-Accent11"/>
        <w:numPr>
          <w:ilvl w:val="0"/>
          <w:numId w:val="18"/>
        </w:numPr>
        <w:jc w:val="both"/>
        <w:rPr>
          <w:rFonts w:ascii="Calibri" w:hAnsi="Calibri"/>
          <w:sz w:val="20"/>
          <w:szCs w:val="20"/>
        </w:rPr>
      </w:pPr>
      <w:r w:rsidRPr="003F7F6C">
        <w:rPr>
          <w:rFonts w:ascii="Calibri" w:hAnsi="Calibri"/>
          <w:sz w:val="20"/>
          <w:szCs w:val="20"/>
        </w:rPr>
        <w:t>Approving and signing the combined delivery report at the end of the year; and,</w:t>
      </w:r>
    </w:p>
    <w:p w14:paraId="06388BB8" w14:textId="6F98FB6B" w:rsidR="00F7248F" w:rsidRPr="003F7F6C" w:rsidRDefault="0056428B" w:rsidP="00E91275">
      <w:pPr>
        <w:pStyle w:val="ColorfulList-Accent11"/>
        <w:numPr>
          <w:ilvl w:val="0"/>
          <w:numId w:val="18"/>
        </w:numPr>
        <w:jc w:val="both"/>
        <w:rPr>
          <w:rFonts w:ascii="Calibri" w:hAnsi="Calibri"/>
          <w:sz w:val="20"/>
          <w:szCs w:val="20"/>
        </w:rPr>
      </w:pPr>
      <w:r w:rsidRPr="003F7F6C">
        <w:rPr>
          <w:rFonts w:ascii="Calibri" w:hAnsi="Calibri"/>
          <w:sz w:val="20"/>
          <w:szCs w:val="20"/>
        </w:rPr>
        <w:t>Signing the financial report or the funding authorization and certificate of expenditures.</w:t>
      </w:r>
    </w:p>
    <w:p w14:paraId="29556610" w14:textId="77777777" w:rsidR="00F7248F" w:rsidRPr="003F7F6C" w:rsidRDefault="00F7248F" w:rsidP="00F7248F">
      <w:pPr>
        <w:spacing w:after="0"/>
        <w:rPr>
          <w:rFonts w:cs="Arial"/>
          <w:b/>
          <w:noProof/>
          <w:szCs w:val="20"/>
          <w:lang w:eastAsia="zh-CN"/>
        </w:rPr>
      </w:pPr>
    </w:p>
    <w:p w14:paraId="562290B0" w14:textId="77777777" w:rsidR="000B1EEB" w:rsidRPr="003F7F6C" w:rsidRDefault="002C5D13" w:rsidP="00E91275">
      <w:pPr>
        <w:numPr>
          <w:ilvl w:val="0"/>
          <w:numId w:val="28"/>
        </w:numPr>
        <w:spacing w:after="240"/>
        <w:ind w:left="0" w:firstLine="0"/>
        <w:rPr>
          <w:rFonts w:cs="Arial"/>
          <w:szCs w:val="20"/>
        </w:rPr>
      </w:pPr>
      <w:r w:rsidRPr="003F7F6C">
        <w:rPr>
          <w:rFonts w:cs="Arial"/>
          <w:noProof/>
          <w:szCs w:val="20"/>
          <w:lang w:eastAsia="zh-CN"/>
        </w:rPr>
        <w:t xml:space="preserve">The </w:t>
      </w:r>
      <w:r w:rsidR="00F70E4F" w:rsidRPr="003F7F6C">
        <w:rPr>
          <w:rFonts w:cs="Arial"/>
          <w:noProof/>
          <w:szCs w:val="20"/>
          <w:lang w:eastAsia="zh-CN"/>
        </w:rPr>
        <w:t>SGAyDS</w:t>
      </w:r>
      <w:r w:rsidRPr="003F7F6C">
        <w:rPr>
          <w:rFonts w:cs="Arial"/>
          <w:noProof/>
          <w:szCs w:val="20"/>
          <w:lang w:eastAsia="zh-CN"/>
        </w:rPr>
        <w:t xml:space="preserve"> is responsible and accountable for managing this project, including the monitoring and evaluation of project interventions, achieving project outcomes, and for the effective use of UNDP</w:t>
      </w:r>
      <w:r w:rsidR="00F70E4F" w:rsidRPr="003F7F6C">
        <w:rPr>
          <w:rFonts w:cs="Arial"/>
          <w:noProof/>
          <w:szCs w:val="20"/>
          <w:lang w:eastAsia="zh-CN"/>
        </w:rPr>
        <w:t>/GEF</w:t>
      </w:r>
      <w:r w:rsidRPr="003F7F6C">
        <w:rPr>
          <w:rFonts w:cs="Arial"/>
          <w:noProof/>
          <w:szCs w:val="20"/>
          <w:lang w:eastAsia="zh-CN"/>
        </w:rPr>
        <w:t xml:space="preserve"> resources. </w:t>
      </w:r>
      <w:r w:rsidR="00F70E4F" w:rsidRPr="003F7F6C">
        <w:rPr>
          <w:rFonts w:cs="Arial"/>
          <w:noProof/>
          <w:szCs w:val="20"/>
          <w:lang w:eastAsia="zh-CN"/>
        </w:rPr>
        <w:t xml:space="preserve"> The SGAyDS will work in a coordinated manner with the provincial authorities, with other strategic partners in the project and with co-funding bodies. </w:t>
      </w:r>
      <w:r w:rsidR="00F70E4F" w:rsidRPr="003F7F6C">
        <w:rPr>
          <w:rFonts w:cs="Calibri"/>
          <w:noProof/>
          <w:szCs w:val="20"/>
          <w:lang w:eastAsia="zh-CN"/>
        </w:rPr>
        <w:t>The SGAyDS</w:t>
      </w:r>
      <w:r w:rsidR="00F70E4F" w:rsidRPr="003F7F6C">
        <w:rPr>
          <w:rFonts w:cs="Calibri"/>
          <w:szCs w:val="20"/>
        </w:rPr>
        <w:t xml:space="preserve"> </w:t>
      </w:r>
      <w:r w:rsidR="00F70E4F" w:rsidRPr="003F7F6C">
        <w:rPr>
          <w:rFonts w:eastAsia="Times New Roman" w:cs="Calibri"/>
          <w:szCs w:val="20"/>
          <w:lang w:eastAsia="es-ES_tradnl"/>
        </w:rPr>
        <w:t xml:space="preserve">will also carry out effective coordination between this and other projects involving ELUP and other related issues. </w:t>
      </w:r>
      <w:bookmarkEnd w:id="21"/>
    </w:p>
    <w:p w14:paraId="0EF52194" w14:textId="499D3D2E" w:rsidR="000B1EEB" w:rsidRPr="003F7F6C" w:rsidRDefault="000B1EEB" w:rsidP="00E91275">
      <w:pPr>
        <w:numPr>
          <w:ilvl w:val="0"/>
          <w:numId w:val="28"/>
        </w:numPr>
        <w:spacing w:after="240"/>
        <w:ind w:left="0" w:firstLine="0"/>
        <w:rPr>
          <w:rFonts w:asciiTheme="minorHAnsi" w:hAnsiTheme="minorHAnsi" w:cs="Arial"/>
          <w:szCs w:val="20"/>
        </w:rPr>
      </w:pPr>
      <w:r w:rsidRPr="003F7F6C">
        <w:rPr>
          <w:rFonts w:asciiTheme="minorHAnsi" w:eastAsia="Times New Roman" w:hAnsiTheme="minorHAnsi" w:cs="Arial"/>
          <w:color w:val="222222"/>
          <w:szCs w:val="20"/>
          <w:shd w:val="clear" w:color="auto" w:fill="FFFFFF"/>
          <w:lang w:eastAsia="es-ES_tradnl"/>
        </w:rPr>
        <w:t>The Secretar</w:t>
      </w:r>
      <w:r w:rsidR="00A10975" w:rsidRPr="003F7F6C">
        <w:rPr>
          <w:rFonts w:asciiTheme="minorHAnsi" w:eastAsia="Times New Roman" w:hAnsiTheme="minorHAnsi" w:cs="Arial"/>
          <w:color w:val="222222"/>
          <w:szCs w:val="20"/>
          <w:shd w:val="clear" w:color="auto" w:fill="FFFFFF"/>
          <w:lang w:eastAsia="es-ES_tradnl"/>
        </w:rPr>
        <w:t>iat</w:t>
      </w:r>
      <w:r w:rsidRPr="003F7F6C">
        <w:rPr>
          <w:rFonts w:asciiTheme="minorHAnsi" w:eastAsia="Times New Roman" w:hAnsiTheme="minorHAnsi" w:cs="Arial"/>
          <w:color w:val="222222"/>
          <w:szCs w:val="20"/>
          <w:shd w:val="clear" w:color="auto" w:fill="FFFFFF"/>
          <w:lang w:eastAsia="es-ES_tradnl"/>
        </w:rPr>
        <w:t xml:space="preserve"> of Environment and </w:t>
      </w:r>
      <w:r w:rsidR="00A10975" w:rsidRPr="003F7F6C">
        <w:rPr>
          <w:rFonts w:asciiTheme="minorHAnsi" w:eastAsia="Times New Roman" w:hAnsiTheme="minorHAnsi" w:cs="Arial"/>
          <w:color w:val="222222"/>
          <w:szCs w:val="20"/>
          <w:shd w:val="clear" w:color="auto" w:fill="FFFFFF"/>
          <w:lang w:eastAsia="es-ES_tradnl"/>
        </w:rPr>
        <w:t>Land Use</w:t>
      </w:r>
      <w:r w:rsidRPr="003F7F6C">
        <w:rPr>
          <w:rFonts w:asciiTheme="minorHAnsi" w:eastAsia="Times New Roman" w:hAnsiTheme="minorHAnsi" w:cs="Arial"/>
          <w:color w:val="222222"/>
          <w:szCs w:val="20"/>
          <w:shd w:val="clear" w:color="auto" w:fill="FFFFFF"/>
          <w:lang w:eastAsia="es-ES_tradnl"/>
        </w:rPr>
        <w:t xml:space="preserve"> Planning of the Province of Mendoza, the Ministry of Environment of the Province of Jujuy and the Provincial Agency for Sustainable Development of the Province of Buenos Aires, will be Other Responsible Parties of the proposed project. To this end, the Implementing Partner will sign a letter of agreement with each provincial counterpart in order to </w:t>
      </w:r>
      <w:r w:rsidR="00E62169" w:rsidRPr="003F7F6C">
        <w:rPr>
          <w:rFonts w:asciiTheme="minorHAnsi" w:eastAsia="Times New Roman" w:hAnsiTheme="minorHAnsi" w:cs="Arial"/>
          <w:color w:val="222222"/>
          <w:szCs w:val="20"/>
          <w:shd w:val="clear" w:color="auto" w:fill="FFFFFF"/>
          <w:lang w:eastAsia="es-ES_tradnl"/>
        </w:rPr>
        <w:t>undertake</w:t>
      </w:r>
      <w:r w:rsidRPr="003F7F6C">
        <w:rPr>
          <w:rFonts w:asciiTheme="minorHAnsi" w:eastAsia="Times New Roman" w:hAnsiTheme="minorHAnsi" w:cs="Arial"/>
          <w:color w:val="222222"/>
          <w:szCs w:val="20"/>
          <w:shd w:val="clear" w:color="auto" w:fill="FFFFFF"/>
          <w:lang w:eastAsia="es-ES_tradnl"/>
        </w:rPr>
        <w:t xml:space="preserve"> the necessary field activities to guarantee compliance with the objectives according to the counterpart presented for each province. These agreements will identify the activities through which field tasks will be </w:t>
      </w:r>
      <w:r w:rsidR="00E62169" w:rsidRPr="003F7F6C">
        <w:rPr>
          <w:rFonts w:asciiTheme="minorHAnsi" w:eastAsia="Times New Roman" w:hAnsiTheme="minorHAnsi" w:cs="Arial"/>
          <w:color w:val="222222"/>
          <w:szCs w:val="20"/>
          <w:shd w:val="clear" w:color="auto" w:fill="FFFFFF"/>
          <w:lang w:eastAsia="es-ES_tradnl"/>
        </w:rPr>
        <w:t>implemented</w:t>
      </w:r>
      <w:r w:rsidRPr="003F7F6C">
        <w:rPr>
          <w:rFonts w:asciiTheme="minorHAnsi" w:eastAsia="Times New Roman" w:hAnsiTheme="minorHAnsi" w:cs="Arial"/>
          <w:color w:val="222222"/>
          <w:szCs w:val="20"/>
          <w:shd w:val="clear" w:color="auto" w:fill="FFFFFF"/>
          <w:lang w:eastAsia="es-ES_tradnl"/>
        </w:rPr>
        <w:t xml:space="preserve"> in each province, contributing consequently to the Project's Operational Plans and overall objective. Within the framework of the agreement letters, the project may allocate resources during the term of the project, which shall be subject to compliance with the activities and products indicated in each agreement</w:t>
      </w:r>
      <w:r w:rsidR="00E83A39" w:rsidRPr="003F7F6C">
        <w:rPr>
          <w:rFonts w:asciiTheme="minorHAnsi" w:eastAsia="Times New Roman" w:hAnsiTheme="minorHAnsi" w:cs="Arial"/>
          <w:color w:val="222222"/>
          <w:szCs w:val="20"/>
          <w:shd w:val="clear" w:color="auto" w:fill="FFFFFF"/>
          <w:lang w:eastAsia="es-ES_tradnl"/>
        </w:rPr>
        <w:t>, the amount of co-financing contributed by each province</w:t>
      </w:r>
      <w:r w:rsidRPr="003F7F6C">
        <w:rPr>
          <w:rFonts w:asciiTheme="minorHAnsi" w:eastAsia="Times New Roman" w:hAnsiTheme="minorHAnsi" w:cs="Arial"/>
          <w:color w:val="222222"/>
          <w:szCs w:val="20"/>
          <w:shd w:val="clear" w:color="auto" w:fill="FFFFFF"/>
          <w:lang w:eastAsia="es-ES_tradnl"/>
        </w:rPr>
        <w:t xml:space="preserve"> and under the implementing regulations defined by UNDP</w:t>
      </w:r>
      <w:r w:rsidR="00E83A39" w:rsidRPr="003F7F6C">
        <w:rPr>
          <w:rFonts w:asciiTheme="minorHAnsi" w:eastAsia="Times New Roman" w:hAnsiTheme="minorHAnsi" w:cs="Arial"/>
          <w:color w:val="222222"/>
          <w:szCs w:val="20"/>
          <w:shd w:val="clear" w:color="auto" w:fill="FFFFFF"/>
          <w:lang w:eastAsia="es-ES_tradnl"/>
        </w:rPr>
        <w:t>.</w:t>
      </w:r>
    </w:p>
    <w:p w14:paraId="7B063134" w14:textId="46F586F9" w:rsidR="0051507B" w:rsidRPr="003F7F6C" w:rsidRDefault="002520D8" w:rsidP="00E91275">
      <w:pPr>
        <w:numPr>
          <w:ilvl w:val="0"/>
          <w:numId w:val="28"/>
        </w:numPr>
        <w:spacing w:after="240"/>
        <w:ind w:left="0" w:firstLine="0"/>
        <w:rPr>
          <w:rFonts w:cs="Arial"/>
          <w:noProof/>
          <w:szCs w:val="20"/>
          <w:lang w:eastAsia="zh-CN"/>
        </w:rPr>
      </w:pPr>
      <w:r w:rsidRPr="003F7F6C">
        <w:rPr>
          <w:rFonts w:eastAsia="Times New Roman" w:cs="Calibri"/>
          <w:szCs w:val="20"/>
          <w:lang w:eastAsia="es-ES_tradnl"/>
        </w:rPr>
        <w:t>The environmental authorities of each province as well as INTA will designate Focal Points who will be responsible for provincial level coordination for the effective implementation of the project within each jurisdiction.  The Focal Points will be the reference points for coordination among the different agencies and departments of the provincial governments and the local stakeholders, as well as with the Project Management Unit, project consultants and other project partners.  The responsibilities of the Focal Points as well as other commitments will be defined in the implementation agreements between the SGAyDS and the provinces</w:t>
      </w:r>
      <w:r w:rsidR="0051507B" w:rsidRPr="003F7F6C">
        <w:rPr>
          <w:rFonts w:eastAsia="Times New Roman" w:cs="Calibri"/>
          <w:szCs w:val="20"/>
          <w:lang w:eastAsia="es-ES_tradnl"/>
        </w:rPr>
        <w:t>, which will be developed and signed in PY1</w:t>
      </w:r>
      <w:r w:rsidRPr="003F7F6C">
        <w:rPr>
          <w:rFonts w:eastAsia="Times New Roman" w:cs="Calibri"/>
          <w:szCs w:val="20"/>
          <w:lang w:eastAsia="es-ES_tradnl"/>
        </w:rPr>
        <w:t>.</w:t>
      </w:r>
    </w:p>
    <w:p w14:paraId="63D072A4" w14:textId="79023B11" w:rsidR="0051507B" w:rsidRPr="003F7F6C" w:rsidRDefault="0051507B" w:rsidP="00E91275">
      <w:pPr>
        <w:numPr>
          <w:ilvl w:val="0"/>
          <w:numId w:val="28"/>
        </w:numPr>
        <w:spacing w:after="0"/>
        <w:ind w:left="0" w:firstLine="0"/>
        <w:rPr>
          <w:rFonts w:cs="Arial"/>
          <w:noProof/>
          <w:szCs w:val="20"/>
          <w:lang w:eastAsia="zh-CN"/>
        </w:rPr>
      </w:pPr>
      <w:r w:rsidRPr="003F7F6C">
        <w:rPr>
          <w:rFonts w:asciiTheme="minorHAnsi" w:eastAsia="Times New Roman" w:hAnsiTheme="minorHAnsi" w:cstheme="minorHAnsi"/>
          <w:iCs/>
          <w:color w:val="222222"/>
          <w:szCs w:val="20"/>
          <w:lang w:eastAsia="es-ES_tradnl"/>
        </w:rPr>
        <w:t>As</w:t>
      </w:r>
      <w:r w:rsidRPr="003F7F6C">
        <w:rPr>
          <w:rFonts w:asciiTheme="minorHAnsi" w:eastAsia="Times New Roman" w:hAnsiTheme="minorHAnsi" w:cstheme="minorHAnsi"/>
          <w:b/>
          <w:bCs/>
          <w:iCs/>
          <w:color w:val="222222"/>
          <w:szCs w:val="20"/>
          <w:lang w:eastAsia="es-ES_tradnl"/>
        </w:rPr>
        <w:t> </w:t>
      </w:r>
      <w:r w:rsidRPr="003F7F6C">
        <w:rPr>
          <w:rFonts w:asciiTheme="minorHAnsi" w:eastAsia="Times New Roman" w:hAnsiTheme="minorHAnsi" w:cstheme="minorHAnsi"/>
          <w:iCs/>
          <w:color w:val="222222"/>
          <w:szCs w:val="20"/>
          <w:lang w:eastAsia="es-ES_tradnl"/>
        </w:rPr>
        <w:t>GEF implementing agency, UNDP is ultimately accountable and responsible for the delivery of results, subject also to their certification by SGAyDS, as Implementing Partner. UNDP shall provide project cycle management services as defined by the GEF Council (described in Section IV Part XII), that will include the following: </w:t>
      </w:r>
    </w:p>
    <w:p w14:paraId="4ECADDEF" w14:textId="77777777" w:rsidR="0051507B" w:rsidRPr="003F7F6C" w:rsidRDefault="0051507B" w:rsidP="00E91275">
      <w:pPr>
        <w:pStyle w:val="ListParagraph"/>
        <w:numPr>
          <w:ilvl w:val="0"/>
          <w:numId w:val="58"/>
        </w:numPr>
        <w:spacing w:after="0"/>
        <w:contextualSpacing w:val="0"/>
        <w:rPr>
          <w:rFonts w:asciiTheme="minorHAnsi" w:eastAsia="Times New Roman" w:hAnsiTheme="minorHAnsi" w:cstheme="minorHAnsi"/>
          <w:color w:val="222222"/>
          <w:szCs w:val="20"/>
          <w:lang w:eastAsia="es-ES_tradnl"/>
        </w:rPr>
      </w:pPr>
      <w:r w:rsidRPr="003F7F6C">
        <w:rPr>
          <w:rFonts w:asciiTheme="minorHAnsi" w:eastAsia="Times New Roman" w:hAnsiTheme="minorHAnsi" w:cstheme="minorHAnsi"/>
          <w:iCs/>
          <w:color w:val="222222"/>
          <w:szCs w:val="20"/>
          <w:lang w:eastAsia="es-ES_tradnl"/>
        </w:rPr>
        <w:t>Providing financial and audit services to the project</w:t>
      </w:r>
    </w:p>
    <w:p w14:paraId="57B10A4A" w14:textId="77777777" w:rsidR="0051507B" w:rsidRPr="003F7F6C" w:rsidRDefault="0051507B" w:rsidP="00E91275">
      <w:pPr>
        <w:numPr>
          <w:ilvl w:val="0"/>
          <w:numId w:val="58"/>
        </w:numPr>
        <w:spacing w:after="0"/>
        <w:rPr>
          <w:rFonts w:asciiTheme="minorHAnsi" w:eastAsia="Times New Roman" w:hAnsiTheme="minorHAnsi" w:cstheme="minorHAnsi"/>
          <w:color w:val="222222"/>
          <w:szCs w:val="20"/>
          <w:lang w:eastAsia="es-ES_tradnl"/>
        </w:rPr>
      </w:pPr>
      <w:r w:rsidRPr="003F7F6C">
        <w:rPr>
          <w:rFonts w:asciiTheme="minorHAnsi" w:eastAsia="Times New Roman" w:hAnsiTheme="minorHAnsi" w:cstheme="minorHAnsi"/>
          <w:iCs/>
          <w:color w:val="222222"/>
          <w:szCs w:val="20"/>
          <w:lang w:eastAsia="es-ES_tradnl"/>
        </w:rPr>
        <w:t>Overseeing financial expenditures against project budgets, </w:t>
      </w:r>
    </w:p>
    <w:p w14:paraId="3DE4AB60" w14:textId="77777777" w:rsidR="0051507B" w:rsidRPr="003F7F6C" w:rsidRDefault="0051507B" w:rsidP="00E91275">
      <w:pPr>
        <w:numPr>
          <w:ilvl w:val="0"/>
          <w:numId w:val="58"/>
        </w:numPr>
        <w:spacing w:after="0"/>
        <w:rPr>
          <w:rFonts w:asciiTheme="minorHAnsi" w:eastAsia="Times New Roman" w:hAnsiTheme="minorHAnsi" w:cstheme="minorHAnsi"/>
          <w:color w:val="222222"/>
          <w:szCs w:val="20"/>
          <w:lang w:eastAsia="es-ES_tradnl"/>
        </w:rPr>
      </w:pPr>
      <w:r w:rsidRPr="003F7F6C">
        <w:rPr>
          <w:rFonts w:asciiTheme="minorHAnsi" w:eastAsia="Times New Roman" w:hAnsiTheme="minorHAnsi" w:cstheme="minorHAnsi"/>
          <w:iCs/>
          <w:color w:val="222222"/>
          <w:szCs w:val="20"/>
          <w:lang w:eastAsia="es-ES_tradnl"/>
        </w:rPr>
        <w:t>Ensuring that activities including procurement and financial services are carried out in strict compliance with UNDP/GEF procedures,</w:t>
      </w:r>
    </w:p>
    <w:p w14:paraId="088F4A56" w14:textId="77777777" w:rsidR="0051507B" w:rsidRPr="003F7F6C" w:rsidRDefault="0051507B" w:rsidP="00E91275">
      <w:pPr>
        <w:numPr>
          <w:ilvl w:val="0"/>
          <w:numId w:val="58"/>
        </w:numPr>
        <w:spacing w:after="0"/>
        <w:rPr>
          <w:rFonts w:asciiTheme="minorHAnsi" w:eastAsia="Times New Roman" w:hAnsiTheme="minorHAnsi" w:cstheme="minorHAnsi"/>
          <w:color w:val="222222"/>
          <w:szCs w:val="20"/>
          <w:lang w:eastAsia="es-ES_tradnl"/>
        </w:rPr>
      </w:pPr>
      <w:r w:rsidRPr="003F7F6C">
        <w:rPr>
          <w:rFonts w:asciiTheme="minorHAnsi" w:eastAsia="Times New Roman" w:hAnsiTheme="minorHAnsi" w:cstheme="minorHAnsi"/>
          <w:iCs/>
          <w:color w:val="222222"/>
          <w:szCs w:val="20"/>
          <w:lang w:eastAsia="es-ES_tradnl"/>
        </w:rPr>
        <w:t>Ensuring that the reporting to GEF is undertaken in line with the GEF requirements and procedures,</w:t>
      </w:r>
    </w:p>
    <w:p w14:paraId="7C236B27" w14:textId="77777777" w:rsidR="0051507B" w:rsidRPr="003F7F6C" w:rsidRDefault="0051507B" w:rsidP="00E91275">
      <w:pPr>
        <w:numPr>
          <w:ilvl w:val="0"/>
          <w:numId w:val="58"/>
        </w:numPr>
        <w:spacing w:after="0"/>
        <w:rPr>
          <w:rFonts w:asciiTheme="minorHAnsi" w:eastAsia="Times New Roman" w:hAnsiTheme="minorHAnsi" w:cstheme="minorHAnsi"/>
          <w:color w:val="222222"/>
          <w:szCs w:val="20"/>
          <w:lang w:eastAsia="es-ES_tradnl"/>
        </w:rPr>
      </w:pPr>
      <w:r w:rsidRPr="003F7F6C">
        <w:rPr>
          <w:rFonts w:asciiTheme="minorHAnsi" w:eastAsia="Times New Roman" w:hAnsiTheme="minorHAnsi" w:cstheme="minorHAnsi"/>
          <w:iCs/>
          <w:color w:val="222222"/>
          <w:szCs w:val="20"/>
          <w:lang w:eastAsia="es-ES_tradnl"/>
        </w:rPr>
        <w:t>Facilitate project learning, exchange and outreach within the GEF family, </w:t>
      </w:r>
    </w:p>
    <w:p w14:paraId="75D2B3EC" w14:textId="37DDD519" w:rsidR="0051507B" w:rsidRPr="003F7F6C" w:rsidRDefault="0051507B" w:rsidP="00E91275">
      <w:pPr>
        <w:numPr>
          <w:ilvl w:val="0"/>
          <w:numId w:val="58"/>
        </w:numPr>
        <w:spacing w:after="0"/>
        <w:rPr>
          <w:rFonts w:asciiTheme="minorHAnsi" w:eastAsia="Times New Roman" w:hAnsiTheme="minorHAnsi" w:cstheme="minorHAnsi"/>
          <w:color w:val="222222"/>
          <w:szCs w:val="20"/>
          <w:lang w:eastAsia="es-ES_tradnl"/>
        </w:rPr>
      </w:pPr>
      <w:r w:rsidRPr="003F7F6C">
        <w:rPr>
          <w:rFonts w:asciiTheme="minorHAnsi" w:eastAsia="Times New Roman" w:hAnsiTheme="minorHAnsi" w:cstheme="minorHAnsi"/>
          <w:iCs/>
          <w:color w:val="222222"/>
          <w:szCs w:val="20"/>
          <w:lang w:eastAsia="es-ES_tradnl"/>
        </w:rPr>
        <w:t>Contract</w:t>
      </w:r>
      <w:r w:rsidR="00E62169" w:rsidRPr="003F7F6C">
        <w:rPr>
          <w:rFonts w:asciiTheme="minorHAnsi" w:eastAsia="Times New Roman" w:hAnsiTheme="minorHAnsi" w:cstheme="minorHAnsi"/>
          <w:iCs/>
          <w:color w:val="222222"/>
          <w:szCs w:val="20"/>
          <w:lang w:eastAsia="es-ES_tradnl"/>
        </w:rPr>
        <w:t>ing</w:t>
      </w:r>
      <w:r w:rsidRPr="003F7F6C">
        <w:rPr>
          <w:rFonts w:asciiTheme="minorHAnsi" w:eastAsia="Times New Roman" w:hAnsiTheme="minorHAnsi" w:cstheme="minorHAnsi"/>
          <w:iCs/>
          <w:color w:val="222222"/>
          <w:szCs w:val="20"/>
          <w:lang w:eastAsia="es-ES_tradnl"/>
        </w:rPr>
        <w:t xml:space="preserve"> the project mid-term and final evaluations and trigger</w:t>
      </w:r>
      <w:r w:rsidR="00E62169" w:rsidRPr="003F7F6C">
        <w:rPr>
          <w:rFonts w:asciiTheme="minorHAnsi" w:eastAsia="Times New Roman" w:hAnsiTheme="minorHAnsi" w:cstheme="minorHAnsi"/>
          <w:iCs/>
          <w:color w:val="222222"/>
          <w:szCs w:val="20"/>
          <w:lang w:eastAsia="es-ES_tradnl"/>
        </w:rPr>
        <w:t>ing</w:t>
      </w:r>
      <w:r w:rsidRPr="003F7F6C">
        <w:rPr>
          <w:rFonts w:asciiTheme="minorHAnsi" w:eastAsia="Times New Roman" w:hAnsiTheme="minorHAnsi" w:cstheme="minorHAnsi"/>
          <w:iCs/>
          <w:color w:val="222222"/>
          <w:szCs w:val="20"/>
          <w:lang w:eastAsia="es-ES_tradnl"/>
        </w:rPr>
        <w:t xml:space="preserve"> additional reviews and/or evaluations as necessary and in consultation with the project counterparts.  </w:t>
      </w:r>
    </w:p>
    <w:p w14:paraId="44E91FC6" w14:textId="58826F56" w:rsidR="0051507B" w:rsidRPr="003F7F6C" w:rsidRDefault="0051507B" w:rsidP="0051507B">
      <w:pPr>
        <w:spacing w:after="240"/>
        <w:rPr>
          <w:rFonts w:cs="Arial"/>
          <w:noProof/>
          <w:szCs w:val="20"/>
          <w:lang w:eastAsia="zh-CN"/>
        </w:rPr>
      </w:pPr>
    </w:p>
    <w:p w14:paraId="570A6D6E" w14:textId="77777777" w:rsidR="002C5D13" w:rsidRPr="003F7F6C" w:rsidRDefault="002C5D13" w:rsidP="00E91275">
      <w:pPr>
        <w:numPr>
          <w:ilvl w:val="0"/>
          <w:numId w:val="28"/>
        </w:numPr>
        <w:spacing w:after="240"/>
        <w:ind w:left="0" w:firstLine="0"/>
        <w:rPr>
          <w:rFonts w:cs="Arial"/>
          <w:noProof/>
          <w:szCs w:val="20"/>
          <w:lang w:eastAsia="zh-CN"/>
        </w:rPr>
      </w:pPr>
      <w:r w:rsidRPr="003F7F6C">
        <w:rPr>
          <w:rFonts w:cs="Arial"/>
          <w:noProof/>
          <w:szCs w:val="20"/>
          <w:lang w:eastAsia="zh-CN"/>
        </w:rPr>
        <w:t>The project organisation structure is as follows:</w:t>
      </w:r>
    </w:p>
    <w:p w14:paraId="4614F10C" w14:textId="77777777" w:rsidR="002C5D13" w:rsidRPr="003F7F6C" w:rsidRDefault="002C5D13" w:rsidP="002C5D13">
      <w:pPr>
        <w:spacing w:after="0"/>
        <w:rPr>
          <w:rFonts w:cs="Arial"/>
          <w:noProof/>
          <w:szCs w:val="20"/>
          <w:lang w:eastAsia="zh-CN"/>
        </w:rPr>
      </w:pPr>
    </w:p>
    <w:p w14:paraId="2C703C44" w14:textId="0ED3A105" w:rsidR="002C5D13" w:rsidRPr="003F7F6C" w:rsidRDefault="0051507B" w:rsidP="002C5D13">
      <w:pPr>
        <w:shd w:val="clear" w:color="auto" w:fill="FFFFFF"/>
        <w:spacing w:after="0"/>
        <w:jc w:val="left"/>
        <w:textAlignment w:val="top"/>
        <w:rPr>
          <w:rFonts w:cs="Arial"/>
          <w:i/>
          <w:noProof/>
          <w:szCs w:val="20"/>
          <w:lang w:eastAsia="zh-CN"/>
        </w:rPr>
      </w:pPr>
      <w:r w:rsidRPr="003F7F6C">
        <w:rPr>
          <w:noProof/>
        </w:rPr>
        <mc:AlternateContent>
          <mc:Choice Requires="wps">
            <w:drawing>
              <wp:anchor distT="0" distB="0" distL="114300" distR="114300" simplePos="0" relativeHeight="251689984" behindDoc="0" locked="0" layoutInCell="1" allowOverlap="1" wp14:anchorId="67D4FB3B" wp14:editId="748810AB">
                <wp:simplePos x="0" y="0"/>
                <wp:positionH relativeFrom="column">
                  <wp:posOffset>1701384</wp:posOffset>
                </wp:positionH>
                <wp:positionV relativeFrom="paragraph">
                  <wp:posOffset>3080479</wp:posOffset>
                </wp:positionV>
                <wp:extent cx="959370" cy="0"/>
                <wp:effectExtent l="0" t="0" r="6350" b="12700"/>
                <wp:wrapNone/>
                <wp:docPr id="12" name="Conector recto 12"/>
                <wp:cNvGraphicFramePr/>
                <a:graphic xmlns:a="http://schemas.openxmlformats.org/drawingml/2006/main">
                  <a:graphicData uri="http://schemas.microsoft.com/office/word/2010/wordprocessingShape">
                    <wps:wsp>
                      <wps:cNvCnPr/>
                      <wps:spPr>
                        <a:xfrm flipH="1">
                          <a:off x="0" y="0"/>
                          <a:ext cx="95937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B826821" id="Conector recto 12" o:spid="_x0000_s1026" style="position:absolute;flip:x;z-index:251689984;visibility:visible;mso-wrap-style:square;mso-wrap-distance-left:9pt;mso-wrap-distance-top:0;mso-wrap-distance-right:9pt;mso-wrap-distance-bottom:0;mso-position-horizontal:absolute;mso-position-horizontal-relative:text;mso-position-vertical:absolute;mso-position-vertical-relative:text" from="133.95pt,242.55pt" to="209.5pt,24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" strokecolor="#4472c4 [3204]" strokeweight=".5pt">
                <v:stroke joinstyle="miter"/>
              </v:line>
            </w:pict>
          </mc:Fallback>
        </mc:AlternateContent>
      </w:r>
      <w:r w:rsidRPr="003F7F6C">
        <w:rPr>
          <w:noProof/>
        </w:rPr>
        <mc:AlternateContent>
          <mc:Choice Requires="wps">
            <w:drawing>
              <wp:anchor distT="0" distB="0" distL="114300" distR="114300" simplePos="0" relativeHeight="251688960" behindDoc="0" locked="0" layoutInCell="1" allowOverlap="1" wp14:anchorId="3B6488FF" wp14:editId="33737B93">
                <wp:simplePos x="0" y="0"/>
                <wp:positionH relativeFrom="column">
                  <wp:posOffset>-622092</wp:posOffset>
                </wp:positionH>
                <wp:positionV relativeFrom="paragraph">
                  <wp:posOffset>2458387</wp:posOffset>
                </wp:positionV>
                <wp:extent cx="0" cy="0"/>
                <wp:effectExtent l="0" t="0" r="0" b="0"/>
                <wp:wrapNone/>
                <wp:docPr id="11" name="Conector recto 11"/>
                <wp:cNvGraphicFramePr/>
                <a:graphic xmlns:a="http://schemas.openxmlformats.org/drawingml/2006/main">
                  <a:graphicData uri="http://schemas.microsoft.com/office/word/2010/wordprocessingShape">
                    <wps:wsp>
                      <wps:cNvCnPr/>
                      <wps:spPr>
                        <a:xfrm>
                          <a:off x="0" y="0"/>
                          <a:ext cx="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9179465" id="Conector recto 11" o:spid="_x0000_s1026" style="position:absolute;z-index:251688960;visibility:visible;mso-wrap-style:square;mso-wrap-distance-left:9pt;mso-wrap-distance-top:0;mso-wrap-distance-right:9pt;mso-wrap-distance-bottom:0;mso-position-horizontal:absolute;mso-position-horizontal-relative:text;mso-position-vertical:absolute;mso-position-vertical-relative:text" from="-49pt,193.55pt" to="-49pt,19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" strokecolor="#4472c4 [3204]" strokeweight=".5pt">
                <v:stroke joinstyle="miter"/>
              </v:line>
            </w:pict>
          </mc:Fallback>
        </mc:AlternateContent>
      </w:r>
      <w:r w:rsidRPr="003F7F6C">
        <w:rPr>
          <w:noProof/>
        </w:rPr>
        <mc:AlternateContent>
          <mc:Choice Requires="wps">
            <w:drawing>
              <wp:anchor distT="0" distB="0" distL="114300" distR="114300" simplePos="0" relativeHeight="251687936" behindDoc="0" locked="0" layoutInCell="1" allowOverlap="1" wp14:anchorId="59780A64" wp14:editId="3F1A92EF">
                <wp:simplePos x="0" y="0"/>
                <wp:positionH relativeFrom="column">
                  <wp:posOffset>2660754</wp:posOffset>
                </wp:positionH>
                <wp:positionV relativeFrom="paragraph">
                  <wp:posOffset>3080479</wp:posOffset>
                </wp:positionV>
                <wp:extent cx="1041816" cy="0"/>
                <wp:effectExtent l="0" t="0" r="12700" b="12700"/>
                <wp:wrapNone/>
                <wp:docPr id="10" name="Conector recto 10"/>
                <wp:cNvGraphicFramePr/>
                <a:graphic xmlns:a="http://schemas.openxmlformats.org/drawingml/2006/main">
                  <a:graphicData uri="http://schemas.microsoft.com/office/word/2010/wordprocessingShape">
                    <wps:wsp>
                      <wps:cNvCnPr/>
                      <wps:spPr>
                        <a:xfrm>
                          <a:off x="0" y="0"/>
                          <a:ext cx="1041816"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A620061" id="Conector recto 10" o:spid="_x0000_s1026" style="position:absolute;z-index:251687936;visibility:visible;mso-wrap-style:square;mso-wrap-distance-left:9pt;mso-wrap-distance-top:0;mso-wrap-distance-right:9pt;mso-wrap-distance-bottom:0;mso-position-horizontal:absolute;mso-position-horizontal-relative:text;mso-position-vertical:absolute;mso-position-vertical-relative:text" from="209.5pt,242.55pt" to="291.55pt,24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" strokecolor="#4472c4 [3204]" strokeweight=".5pt">
                <v:stroke joinstyle="miter"/>
              </v:line>
            </w:pict>
          </mc:Fallback>
        </mc:AlternateContent>
      </w:r>
      <w:r w:rsidRPr="003F7F6C">
        <w:rPr>
          <w:noProof/>
        </w:rPr>
        <mc:AlternateContent>
          <mc:Choice Requires="wps">
            <w:drawing>
              <wp:anchor distT="0" distB="0" distL="114300" distR="114300" simplePos="0" relativeHeight="251686912" behindDoc="0" locked="0" layoutInCell="1" allowOverlap="1" wp14:anchorId="1AB77ACB" wp14:editId="53AAEE8A">
                <wp:simplePos x="0" y="0"/>
                <wp:positionH relativeFrom="column">
                  <wp:posOffset>2660754</wp:posOffset>
                </wp:positionH>
                <wp:positionV relativeFrom="paragraph">
                  <wp:posOffset>3020518</wp:posOffset>
                </wp:positionV>
                <wp:extent cx="0" cy="127416"/>
                <wp:effectExtent l="0" t="0" r="12700" b="12700"/>
                <wp:wrapNone/>
                <wp:docPr id="9" name="Conector recto 9"/>
                <wp:cNvGraphicFramePr/>
                <a:graphic xmlns:a="http://schemas.openxmlformats.org/drawingml/2006/main">
                  <a:graphicData uri="http://schemas.microsoft.com/office/word/2010/wordprocessingShape">
                    <wps:wsp>
                      <wps:cNvCnPr/>
                      <wps:spPr>
                        <a:xfrm>
                          <a:off x="0" y="0"/>
                          <a:ext cx="0" cy="127416"/>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EF0D9F0" id="Conector recto 9" o:spid="_x0000_s1026" style="position:absolute;z-index:251686912;visibility:visible;mso-wrap-style:square;mso-wrap-distance-left:9pt;mso-wrap-distance-top:0;mso-wrap-distance-right:9pt;mso-wrap-distance-bottom:0;mso-position-horizontal:absolute;mso-position-horizontal-relative:text;mso-position-vertical:absolute;mso-position-vertical-relative:text" from="209.5pt,237.85pt" to="209.5pt,24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" strokecolor="#4472c4 [3204]" strokeweight=".5pt">
                <v:stroke joinstyle="miter"/>
              </v:line>
            </w:pict>
          </mc:Fallback>
        </mc:AlternateContent>
      </w:r>
      <w:r w:rsidRPr="003F7F6C">
        <w:rPr>
          <w:noProof/>
        </w:rPr>
        <mc:AlternateContent>
          <mc:Choice Requires="wps">
            <w:drawing>
              <wp:anchor distT="0" distB="0" distL="114300" distR="114300" simplePos="0" relativeHeight="251685888" behindDoc="0" locked="0" layoutInCell="1" allowOverlap="1" wp14:anchorId="17ADDB43" wp14:editId="642EC8CF">
                <wp:simplePos x="0" y="0"/>
                <wp:positionH relativeFrom="column">
                  <wp:posOffset>2660754</wp:posOffset>
                </wp:positionH>
                <wp:positionV relativeFrom="paragraph">
                  <wp:posOffset>2068643</wp:posOffset>
                </wp:positionV>
                <wp:extent cx="0" cy="134911"/>
                <wp:effectExtent l="0" t="0" r="12700" b="17780"/>
                <wp:wrapNone/>
                <wp:docPr id="1" name="Conector recto 1"/>
                <wp:cNvGraphicFramePr/>
                <a:graphic xmlns:a="http://schemas.openxmlformats.org/drawingml/2006/main">
                  <a:graphicData uri="http://schemas.microsoft.com/office/word/2010/wordprocessingShape">
                    <wps:wsp>
                      <wps:cNvCnPr/>
                      <wps:spPr>
                        <a:xfrm>
                          <a:off x="0" y="0"/>
                          <a:ext cx="0" cy="134911"/>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94F81E7" id="Conector recto 1" o:spid="_x0000_s1026" style="position:absolute;z-index:251685888;visibility:visible;mso-wrap-style:square;mso-wrap-distance-left:9pt;mso-wrap-distance-top:0;mso-wrap-distance-right:9pt;mso-wrap-distance-bottom:0;mso-position-horizontal:absolute;mso-position-horizontal-relative:text;mso-position-vertical:absolute;mso-position-vertical-relative:text" from="209.5pt,162.9pt" to="209.5pt,1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" strokecolor="#4472c4 [3204]" strokeweight=".5pt">
                <v:stroke joinstyle="miter"/>
              </v:line>
            </w:pict>
          </mc:Fallback>
        </mc:AlternateContent>
      </w:r>
      <w:r w:rsidR="008659EB" w:rsidRPr="003F7F6C">
        <w:rPr>
          <w:noProof/>
        </w:rPr>
        <w:drawing>
          <wp:inline distT="0" distB="0" distL="0" distR="0" wp14:anchorId="2B5EBF86" wp14:editId="27984FE7">
            <wp:extent cx="5376545" cy="4427220"/>
            <wp:effectExtent l="0" t="0" r="14605" b="0"/>
            <wp:docPr id="1879" name="Diagrama 2"/>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3" r:lo="rId24" r:qs="rId25" r:cs="rId26"/>
              </a:graphicData>
            </a:graphic>
          </wp:inline>
        </w:drawing>
      </w:r>
    </w:p>
    <w:p w14:paraId="68C4CD8C" w14:textId="77777777" w:rsidR="002C5D13" w:rsidRPr="003F7F6C" w:rsidRDefault="00AD679C" w:rsidP="002C5D13">
      <w:pPr>
        <w:shd w:val="clear" w:color="auto" w:fill="FFFFFF"/>
        <w:spacing w:after="0"/>
        <w:jc w:val="left"/>
        <w:rPr>
          <w:rFonts w:cs="Arial"/>
          <w:noProof/>
          <w:szCs w:val="20"/>
          <w:lang w:eastAsia="zh-CN"/>
        </w:rPr>
      </w:pPr>
      <w:r w:rsidRPr="003F7F6C">
        <w:rPr>
          <w:rFonts w:cs="Arial"/>
          <w:noProof/>
          <w:szCs w:val="20"/>
          <w:lang w:eastAsia="zh-CN"/>
        </w:rPr>
        <w:t>Figure 2 – Project Organization Structure</w:t>
      </w:r>
    </w:p>
    <w:p w14:paraId="610E73AF" w14:textId="77777777" w:rsidR="00504963" w:rsidRPr="003F7F6C" w:rsidRDefault="00504963" w:rsidP="002C5D13">
      <w:pPr>
        <w:shd w:val="clear" w:color="auto" w:fill="FFFFFF"/>
        <w:spacing w:after="0"/>
        <w:jc w:val="left"/>
        <w:rPr>
          <w:rFonts w:cs="Arial"/>
          <w:noProof/>
          <w:szCs w:val="20"/>
          <w:lang w:eastAsia="zh-CN"/>
        </w:rPr>
      </w:pPr>
    </w:p>
    <w:p w14:paraId="0278FC23" w14:textId="77777777" w:rsidR="00504963" w:rsidRPr="003F7F6C" w:rsidRDefault="00504963" w:rsidP="002C5D13">
      <w:pPr>
        <w:shd w:val="clear" w:color="auto" w:fill="FFFFFF"/>
        <w:spacing w:after="0"/>
        <w:jc w:val="left"/>
        <w:rPr>
          <w:rFonts w:cs="Arial"/>
          <w:noProof/>
          <w:szCs w:val="20"/>
          <w:lang w:eastAsia="zh-CN"/>
        </w:rPr>
      </w:pPr>
    </w:p>
    <w:p w14:paraId="766D6BFB" w14:textId="77777777" w:rsidR="0000316E" w:rsidRPr="003F7F6C" w:rsidRDefault="002C5D13" w:rsidP="00E91275">
      <w:pPr>
        <w:numPr>
          <w:ilvl w:val="0"/>
          <w:numId w:val="28"/>
        </w:numPr>
        <w:shd w:val="clear" w:color="auto" w:fill="FFFFFF"/>
        <w:spacing w:after="240"/>
        <w:ind w:left="0" w:firstLine="0"/>
        <w:rPr>
          <w:rFonts w:cs="Arial"/>
          <w:noProof/>
          <w:szCs w:val="20"/>
          <w:lang w:eastAsia="zh-CN"/>
        </w:rPr>
      </w:pPr>
      <w:r w:rsidRPr="003F7F6C">
        <w:rPr>
          <w:rFonts w:cs="Arial"/>
          <w:b/>
          <w:noProof/>
          <w:szCs w:val="20"/>
          <w:lang w:eastAsia="zh-CN"/>
        </w:rPr>
        <w:t>Project Board:</w:t>
      </w:r>
      <w:r w:rsidRPr="003F7F6C">
        <w:rPr>
          <w:rFonts w:cs="Arial"/>
          <w:noProof/>
          <w:szCs w:val="20"/>
          <w:lang w:eastAsia="zh-CN"/>
        </w:rPr>
        <w:t xml:space="preserve">  The Project Board (also called Project Steering Committee) is responsible for making by consensus, management decisions when guidance is required by the Project </w:t>
      </w:r>
      <w:r w:rsidR="00F47AF3" w:rsidRPr="003F7F6C">
        <w:rPr>
          <w:rFonts w:cs="Arial"/>
          <w:noProof/>
          <w:szCs w:val="20"/>
          <w:lang w:eastAsia="zh-CN"/>
        </w:rPr>
        <w:t>Coordinator</w:t>
      </w:r>
      <w:r w:rsidRPr="003F7F6C">
        <w:rPr>
          <w:rFonts w:cs="Arial"/>
          <w:noProof/>
          <w:szCs w:val="20"/>
          <w:lang w:eastAsia="zh-CN"/>
        </w:rPr>
        <w:t xml:space="preserve">, including recommendations for UNDP/Implementing Partner approval of project plans and revisions, and addressing any project level grievances. In order to ensure UNDP’s ultimate accountability, Project Board decisions should be made in accordance with standards that shall ensure management for development results, best value money, fairness, integrity, transparency and effective international competition. In case a consensus cannot be reached within the Board, final decision shall rest with the UNDP Programme Manager. </w:t>
      </w:r>
    </w:p>
    <w:p w14:paraId="5ED46EE6" w14:textId="77777777" w:rsidR="002C5D13" w:rsidRPr="003F7F6C" w:rsidRDefault="002C5D13" w:rsidP="00E91275">
      <w:pPr>
        <w:numPr>
          <w:ilvl w:val="0"/>
          <w:numId w:val="28"/>
        </w:numPr>
        <w:shd w:val="clear" w:color="auto" w:fill="FFFFFF"/>
        <w:spacing w:after="0"/>
        <w:ind w:left="0" w:firstLine="0"/>
        <w:rPr>
          <w:rFonts w:cs="Arial"/>
          <w:noProof/>
          <w:szCs w:val="20"/>
          <w:lang w:eastAsia="zh-CN"/>
        </w:rPr>
      </w:pPr>
      <w:r w:rsidRPr="003F7F6C">
        <w:rPr>
          <w:rFonts w:cs="Arial"/>
          <w:noProof/>
          <w:szCs w:val="20"/>
          <w:lang w:eastAsia="zh-CN"/>
        </w:rPr>
        <w:t>Specific responsibilities of the Project Board include:</w:t>
      </w:r>
    </w:p>
    <w:p w14:paraId="16AF61EC" w14:textId="77777777" w:rsidR="002C5D13" w:rsidRPr="003F7F6C" w:rsidRDefault="002C5D13" w:rsidP="00E91275">
      <w:pPr>
        <w:pStyle w:val="ColorfulList-Accent11"/>
        <w:numPr>
          <w:ilvl w:val="0"/>
          <w:numId w:val="18"/>
        </w:numPr>
        <w:jc w:val="both"/>
        <w:rPr>
          <w:rFonts w:ascii="Calibri" w:hAnsi="Calibri"/>
          <w:sz w:val="20"/>
          <w:szCs w:val="20"/>
        </w:rPr>
      </w:pPr>
      <w:r w:rsidRPr="003F7F6C">
        <w:rPr>
          <w:rFonts w:ascii="Calibri" w:hAnsi="Calibri"/>
          <w:sz w:val="20"/>
          <w:szCs w:val="20"/>
        </w:rPr>
        <w:t>Provide overall guidance and direction to the project, ensuring it remains within any specified constraints;</w:t>
      </w:r>
    </w:p>
    <w:p w14:paraId="614C5195" w14:textId="77777777" w:rsidR="002C5D13" w:rsidRPr="003F7F6C" w:rsidRDefault="002C5D13" w:rsidP="00E91275">
      <w:pPr>
        <w:pStyle w:val="ColorfulList-Accent11"/>
        <w:numPr>
          <w:ilvl w:val="0"/>
          <w:numId w:val="18"/>
        </w:numPr>
        <w:jc w:val="both"/>
        <w:rPr>
          <w:rFonts w:ascii="Calibri" w:hAnsi="Calibri"/>
          <w:sz w:val="20"/>
          <w:szCs w:val="20"/>
        </w:rPr>
      </w:pPr>
      <w:r w:rsidRPr="003F7F6C">
        <w:rPr>
          <w:rFonts w:ascii="Calibri" w:hAnsi="Calibri"/>
          <w:sz w:val="20"/>
          <w:szCs w:val="20"/>
        </w:rPr>
        <w:t xml:space="preserve">Address project issues as raised by the </w:t>
      </w:r>
      <w:r w:rsidR="00F47AF3" w:rsidRPr="003F7F6C">
        <w:rPr>
          <w:rFonts w:ascii="Calibri" w:hAnsi="Calibri"/>
          <w:sz w:val="20"/>
          <w:szCs w:val="20"/>
        </w:rPr>
        <w:t>P</w:t>
      </w:r>
      <w:r w:rsidRPr="003F7F6C">
        <w:rPr>
          <w:rFonts w:ascii="Calibri" w:hAnsi="Calibri"/>
          <w:sz w:val="20"/>
          <w:szCs w:val="20"/>
        </w:rPr>
        <w:t xml:space="preserve">roject </w:t>
      </w:r>
      <w:r w:rsidR="00F47AF3" w:rsidRPr="003F7F6C">
        <w:rPr>
          <w:rFonts w:ascii="Calibri" w:hAnsi="Calibri"/>
          <w:sz w:val="20"/>
          <w:szCs w:val="20"/>
        </w:rPr>
        <w:t>Coordinator</w:t>
      </w:r>
      <w:r w:rsidRPr="003F7F6C">
        <w:rPr>
          <w:rFonts w:ascii="Calibri" w:hAnsi="Calibri"/>
          <w:sz w:val="20"/>
          <w:szCs w:val="20"/>
        </w:rPr>
        <w:t>;</w:t>
      </w:r>
    </w:p>
    <w:p w14:paraId="47E29978" w14:textId="77777777" w:rsidR="002C5D13" w:rsidRPr="003F7F6C" w:rsidRDefault="002C5D13" w:rsidP="00E91275">
      <w:pPr>
        <w:pStyle w:val="ColorfulList-Accent11"/>
        <w:numPr>
          <w:ilvl w:val="0"/>
          <w:numId w:val="18"/>
        </w:numPr>
        <w:jc w:val="both"/>
        <w:rPr>
          <w:rFonts w:ascii="Calibri" w:hAnsi="Calibri"/>
          <w:sz w:val="20"/>
          <w:szCs w:val="20"/>
        </w:rPr>
      </w:pPr>
      <w:r w:rsidRPr="003F7F6C">
        <w:rPr>
          <w:rFonts w:ascii="Calibri" w:hAnsi="Calibri"/>
          <w:sz w:val="20"/>
          <w:szCs w:val="20"/>
        </w:rPr>
        <w:t xml:space="preserve">Provide guidance on new project risks, and agree on possible countermeasures and management actions to address specific risks; </w:t>
      </w:r>
    </w:p>
    <w:p w14:paraId="5B26705A" w14:textId="77777777" w:rsidR="002C5D13" w:rsidRPr="003F7F6C" w:rsidRDefault="002C5D13" w:rsidP="00E91275">
      <w:pPr>
        <w:pStyle w:val="ColorfulList-Accent11"/>
        <w:numPr>
          <w:ilvl w:val="0"/>
          <w:numId w:val="18"/>
        </w:numPr>
        <w:jc w:val="both"/>
        <w:rPr>
          <w:rFonts w:ascii="Calibri" w:hAnsi="Calibri"/>
          <w:sz w:val="20"/>
          <w:szCs w:val="20"/>
        </w:rPr>
      </w:pPr>
      <w:r w:rsidRPr="003F7F6C">
        <w:rPr>
          <w:rFonts w:ascii="Calibri" w:hAnsi="Calibri"/>
          <w:sz w:val="20"/>
          <w:szCs w:val="20"/>
        </w:rPr>
        <w:t xml:space="preserve">Agree on </w:t>
      </w:r>
      <w:r w:rsidR="00F47AF3" w:rsidRPr="003F7F6C">
        <w:rPr>
          <w:rFonts w:ascii="Calibri" w:hAnsi="Calibri"/>
          <w:sz w:val="20"/>
          <w:szCs w:val="20"/>
        </w:rPr>
        <w:t>P</w:t>
      </w:r>
      <w:r w:rsidRPr="003F7F6C">
        <w:rPr>
          <w:rFonts w:ascii="Calibri" w:hAnsi="Calibri"/>
          <w:sz w:val="20"/>
          <w:szCs w:val="20"/>
        </w:rPr>
        <w:t xml:space="preserve">roject </w:t>
      </w:r>
      <w:r w:rsidR="00F47AF3" w:rsidRPr="003F7F6C">
        <w:rPr>
          <w:rFonts w:ascii="Calibri" w:hAnsi="Calibri"/>
          <w:sz w:val="20"/>
          <w:szCs w:val="20"/>
        </w:rPr>
        <w:t>Coordinator</w:t>
      </w:r>
      <w:r w:rsidRPr="003F7F6C">
        <w:rPr>
          <w:rFonts w:ascii="Calibri" w:hAnsi="Calibri"/>
          <w:sz w:val="20"/>
          <w:szCs w:val="20"/>
        </w:rPr>
        <w:t>’s tolerances as required;</w:t>
      </w:r>
    </w:p>
    <w:p w14:paraId="6CB10BC7" w14:textId="77777777" w:rsidR="002C5D13" w:rsidRPr="003F7F6C" w:rsidRDefault="002C5D13" w:rsidP="00E91275">
      <w:pPr>
        <w:pStyle w:val="ColorfulList-Accent11"/>
        <w:numPr>
          <w:ilvl w:val="0"/>
          <w:numId w:val="18"/>
        </w:numPr>
        <w:jc w:val="both"/>
        <w:rPr>
          <w:rFonts w:ascii="Calibri" w:hAnsi="Calibri"/>
          <w:sz w:val="20"/>
          <w:szCs w:val="20"/>
        </w:rPr>
      </w:pPr>
      <w:r w:rsidRPr="003F7F6C">
        <w:rPr>
          <w:rFonts w:ascii="Calibri" w:hAnsi="Calibri"/>
          <w:sz w:val="20"/>
          <w:szCs w:val="20"/>
        </w:rPr>
        <w:t>Review the project progress, and provide direction and recommendations to ensure that the agreed deliverables are produced satisfactorily according to plans;</w:t>
      </w:r>
    </w:p>
    <w:p w14:paraId="5F1DBE63" w14:textId="77777777" w:rsidR="002C5D13" w:rsidRPr="003F7F6C" w:rsidRDefault="002C5D13" w:rsidP="00E91275">
      <w:pPr>
        <w:pStyle w:val="ColorfulList-Accent11"/>
        <w:numPr>
          <w:ilvl w:val="0"/>
          <w:numId w:val="18"/>
        </w:numPr>
        <w:jc w:val="both"/>
        <w:rPr>
          <w:rFonts w:ascii="Calibri" w:hAnsi="Calibri"/>
          <w:sz w:val="20"/>
          <w:szCs w:val="20"/>
        </w:rPr>
      </w:pPr>
      <w:r w:rsidRPr="003F7F6C">
        <w:rPr>
          <w:rFonts w:ascii="Calibri" w:hAnsi="Calibri"/>
          <w:sz w:val="20"/>
          <w:szCs w:val="20"/>
        </w:rPr>
        <w:t xml:space="preserve">Appraise the annual project implementation report, including the quality assessment rating report; make recommendations for the workplan; </w:t>
      </w:r>
    </w:p>
    <w:p w14:paraId="131DC7CA" w14:textId="77777777" w:rsidR="002C5D13" w:rsidRPr="003F7F6C" w:rsidRDefault="002C5D13" w:rsidP="00E91275">
      <w:pPr>
        <w:pStyle w:val="ColorfulList-Accent11"/>
        <w:numPr>
          <w:ilvl w:val="0"/>
          <w:numId w:val="18"/>
        </w:numPr>
        <w:jc w:val="both"/>
        <w:rPr>
          <w:rFonts w:ascii="Calibri" w:hAnsi="Calibri"/>
          <w:sz w:val="20"/>
          <w:szCs w:val="20"/>
        </w:rPr>
      </w:pPr>
      <w:r w:rsidRPr="003F7F6C">
        <w:rPr>
          <w:rFonts w:ascii="Calibri" w:hAnsi="Calibri"/>
          <w:sz w:val="20"/>
          <w:szCs w:val="20"/>
        </w:rPr>
        <w:t xml:space="preserve">Provide ad hoc direction and advice for exceptional situations when the </w:t>
      </w:r>
      <w:r w:rsidR="00F47AF3" w:rsidRPr="003F7F6C">
        <w:rPr>
          <w:rFonts w:ascii="Calibri" w:hAnsi="Calibri"/>
          <w:sz w:val="20"/>
          <w:szCs w:val="20"/>
        </w:rPr>
        <w:t>P</w:t>
      </w:r>
      <w:r w:rsidRPr="003F7F6C">
        <w:rPr>
          <w:rFonts w:ascii="Calibri" w:hAnsi="Calibri"/>
          <w:sz w:val="20"/>
          <w:szCs w:val="20"/>
        </w:rPr>
        <w:t xml:space="preserve">roject </w:t>
      </w:r>
      <w:r w:rsidR="00F47AF3" w:rsidRPr="003F7F6C">
        <w:rPr>
          <w:rFonts w:ascii="Calibri" w:hAnsi="Calibri"/>
          <w:sz w:val="20"/>
          <w:szCs w:val="20"/>
        </w:rPr>
        <w:t>Coordinator</w:t>
      </w:r>
      <w:r w:rsidRPr="003F7F6C">
        <w:rPr>
          <w:rFonts w:ascii="Calibri" w:hAnsi="Calibri"/>
          <w:sz w:val="20"/>
          <w:szCs w:val="20"/>
        </w:rPr>
        <w:t xml:space="preserve">’s tolerances are exceeded; and </w:t>
      </w:r>
    </w:p>
    <w:p w14:paraId="78865277" w14:textId="77777777" w:rsidR="002C5D13" w:rsidRPr="003F7F6C" w:rsidRDefault="002C5D13" w:rsidP="00E91275">
      <w:pPr>
        <w:pStyle w:val="ColorfulList-Accent11"/>
        <w:numPr>
          <w:ilvl w:val="0"/>
          <w:numId w:val="18"/>
        </w:numPr>
        <w:jc w:val="both"/>
        <w:rPr>
          <w:rFonts w:ascii="Calibri" w:hAnsi="Calibri"/>
          <w:sz w:val="20"/>
          <w:szCs w:val="20"/>
        </w:rPr>
      </w:pPr>
      <w:r w:rsidRPr="003F7F6C">
        <w:rPr>
          <w:rFonts w:ascii="Calibri" w:hAnsi="Calibri"/>
          <w:sz w:val="20"/>
          <w:szCs w:val="20"/>
        </w:rPr>
        <w:t>Assess and decide to proceed on project changes through appropriate revisions.</w:t>
      </w:r>
    </w:p>
    <w:p w14:paraId="5416A760" w14:textId="77777777" w:rsidR="002C5D13" w:rsidRPr="003F7F6C" w:rsidRDefault="002C5D13" w:rsidP="002C5D13">
      <w:pPr>
        <w:shd w:val="clear" w:color="auto" w:fill="FFFFFF"/>
        <w:spacing w:after="0"/>
      </w:pPr>
    </w:p>
    <w:p w14:paraId="041FE95E" w14:textId="77777777" w:rsidR="000D50F5" w:rsidRPr="003F7F6C" w:rsidRDefault="000D50F5" w:rsidP="00E91275">
      <w:pPr>
        <w:numPr>
          <w:ilvl w:val="0"/>
          <w:numId w:val="28"/>
        </w:numPr>
        <w:shd w:val="clear" w:color="auto" w:fill="FFFFFF"/>
        <w:spacing w:after="240"/>
        <w:ind w:left="0" w:firstLine="0"/>
        <w:rPr>
          <w:rFonts w:cs="Arial"/>
          <w:i/>
          <w:noProof/>
          <w:szCs w:val="20"/>
          <w:lang w:eastAsia="zh-CN"/>
        </w:rPr>
      </w:pPr>
      <w:r w:rsidRPr="003F7F6C">
        <w:rPr>
          <w:rFonts w:cs="Arial"/>
          <w:noProof/>
          <w:szCs w:val="20"/>
          <w:lang w:eastAsia="zh-CN"/>
        </w:rPr>
        <w:t>Draft Terms of Reference for the Project Board are included in Annex D.  These Terms of Reference will be reviewed and finalized in the Inception Workshop.</w:t>
      </w:r>
    </w:p>
    <w:p w14:paraId="5748664E" w14:textId="77777777" w:rsidR="0000316E" w:rsidRPr="003F7F6C" w:rsidRDefault="002C5D13" w:rsidP="00E91275">
      <w:pPr>
        <w:numPr>
          <w:ilvl w:val="0"/>
          <w:numId w:val="28"/>
        </w:numPr>
        <w:shd w:val="clear" w:color="auto" w:fill="FFFFFF"/>
        <w:spacing w:after="240"/>
        <w:ind w:left="0" w:firstLine="0"/>
        <w:rPr>
          <w:rFonts w:cs="Arial"/>
          <w:i/>
          <w:noProof/>
          <w:szCs w:val="20"/>
          <w:lang w:eastAsia="zh-CN"/>
        </w:rPr>
      </w:pPr>
      <w:r w:rsidRPr="003F7F6C">
        <w:t xml:space="preserve">The composition of the Project Board must include the following roles: </w:t>
      </w:r>
    </w:p>
    <w:p w14:paraId="0F89B028" w14:textId="77777777" w:rsidR="0000316E" w:rsidRPr="003F7F6C" w:rsidRDefault="002C5D13" w:rsidP="00E91275">
      <w:pPr>
        <w:numPr>
          <w:ilvl w:val="0"/>
          <w:numId w:val="28"/>
        </w:numPr>
        <w:shd w:val="clear" w:color="auto" w:fill="FFFFFF"/>
        <w:spacing w:after="240"/>
        <w:ind w:left="0" w:firstLine="0"/>
        <w:rPr>
          <w:rFonts w:cs="Arial"/>
          <w:i/>
          <w:noProof/>
          <w:szCs w:val="20"/>
          <w:lang w:eastAsia="zh-CN"/>
        </w:rPr>
      </w:pPr>
      <w:bookmarkStart w:id="22" w:name="_Hlk526968602"/>
      <w:r w:rsidRPr="003F7F6C">
        <w:rPr>
          <w:u w:val="single"/>
        </w:rPr>
        <w:t>Executive</w:t>
      </w:r>
      <w:r w:rsidRPr="003F7F6C">
        <w:t xml:space="preserve">: The Executive is an individual who represents ownership of the project who will chair the Project Board. This role can be held by a representative from the Government Cooperating Agency or UNDP.  The Executive </w:t>
      </w:r>
      <w:r w:rsidR="00136A09" w:rsidRPr="003F7F6C">
        <w:t>for this project will be</w:t>
      </w:r>
      <w:r w:rsidRPr="003F7F6C">
        <w:t>:</w:t>
      </w:r>
      <w:r w:rsidR="00DE79F5" w:rsidRPr="003F7F6C">
        <w:t xml:space="preserve"> </w:t>
      </w:r>
      <w:r w:rsidR="00136A09" w:rsidRPr="003F7F6C">
        <w:t xml:space="preserve">the </w:t>
      </w:r>
      <w:r w:rsidR="00AD679C" w:rsidRPr="003F7F6C">
        <w:rPr>
          <w:b/>
        </w:rPr>
        <w:t xml:space="preserve">Executive Secretary </w:t>
      </w:r>
      <w:r w:rsidR="00935ED0" w:rsidRPr="003F7F6C">
        <w:rPr>
          <w:b/>
        </w:rPr>
        <w:t>of the SGAyDS</w:t>
      </w:r>
      <w:r w:rsidR="00935ED0" w:rsidRPr="003F7F6C">
        <w:t>.</w:t>
      </w:r>
      <w:r w:rsidR="00935ED0" w:rsidRPr="003F7F6C">
        <w:rPr>
          <w:i/>
        </w:rPr>
        <w:t xml:space="preserve"> </w:t>
      </w:r>
      <w:r w:rsidRPr="003F7F6C">
        <w:t>The Executive is ultimately responsible for the project, supported by the Senior Beneficiary and Senior Supplier</w:t>
      </w:r>
      <w:bookmarkEnd w:id="22"/>
      <w:r w:rsidRPr="003F7F6C">
        <w:t xml:space="preserve">.  The Executive’s role is to ensure that the project is focused throughout its life cycle on achieving its objectives and delivering outputs that will contribute to higher level outcomes. The executive has to ensure that the project gives value for money, ensuring </w:t>
      </w:r>
      <w:r w:rsidR="00136A09" w:rsidRPr="003F7F6C">
        <w:t xml:space="preserve">a </w:t>
      </w:r>
      <w:r w:rsidRPr="003F7F6C">
        <w:t>cost-conscious approach to the project, balancing the demands of beneficiary and suppl</w:t>
      </w:r>
      <w:r w:rsidR="00935ED0" w:rsidRPr="003F7F6C">
        <w:t>i</w:t>
      </w:r>
      <w:r w:rsidRPr="003F7F6C">
        <w:t xml:space="preserve">er.  </w:t>
      </w:r>
    </w:p>
    <w:p w14:paraId="30379EA3" w14:textId="77777777" w:rsidR="002C5D13" w:rsidRPr="003F7F6C" w:rsidRDefault="002C5D13" w:rsidP="00E91275">
      <w:pPr>
        <w:numPr>
          <w:ilvl w:val="0"/>
          <w:numId w:val="28"/>
        </w:numPr>
        <w:shd w:val="clear" w:color="auto" w:fill="FFFFFF"/>
        <w:spacing w:after="240"/>
        <w:ind w:left="0" w:firstLine="0"/>
        <w:rPr>
          <w:rFonts w:cs="Arial"/>
          <w:i/>
          <w:noProof/>
          <w:szCs w:val="20"/>
          <w:lang w:eastAsia="zh-CN"/>
        </w:rPr>
      </w:pPr>
      <w:r w:rsidRPr="003F7F6C">
        <w:t>Specific Responsibilities: (as part of the above responsibilities for the Project Board)</w:t>
      </w:r>
    </w:p>
    <w:p w14:paraId="60CD9E37" w14:textId="77777777" w:rsidR="002C5D13" w:rsidRPr="003F7F6C" w:rsidRDefault="002C5D13" w:rsidP="00E91275">
      <w:pPr>
        <w:numPr>
          <w:ilvl w:val="0"/>
          <w:numId w:val="19"/>
        </w:numPr>
        <w:spacing w:after="0"/>
      </w:pPr>
      <w:r w:rsidRPr="003F7F6C">
        <w:t xml:space="preserve">Ensure that there is a coherent project </w:t>
      </w:r>
      <w:r w:rsidR="00DE79F5" w:rsidRPr="003F7F6C">
        <w:t>organization</w:t>
      </w:r>
      <w:r w:rsidRPr="003F7F6C">
        <w:t xml:space="preserve"> structure and logical set of plans;</w:t>
      </w:r>
    </w:p>
    <w:p w14:paraId="4B3B9D5D" w14:textId="77777777" w:rsidR="002C5D13" w:rsidRPr="003F7F6C" w:rsidRDefault="002C5D13" w:rsidP="00E91275">
      <w:pPr>
        <w:numPr>
          <w:ilvl w:val="0"/>
          <w:numId w:val="19"/>
        </w:numPr>
        <w:spacing w:after="0"/>
      </w:pPr>
      <w:r w:rsidRPr="003F7F6C">
        <w:t xml:space="preserve">Set tolerances in the AWP and other plans as required for the Project </w:t>
      </w:r>
      <w:r w:rsidR="00F47AF3" w:rsidRPr="003F7F6C">
        <w:t>Coordinator</w:t>
      </w:r>
      <w:r w:rsidRPr="003F7F6C">
        <w:t>;</w:t>
      </w:r>
    </w:p>
    <w:p w14:paraId="4910DC84" w14:textId="77777777" w:rsidR="002C5D13" w:rsidRPr="003F7F6C" w:rsidRDefault="002C5D13" w:rsidP="00E91275">
      <w:pPr>
        <w:numPr>
          <w:ilvl w:val="0"/>
          <w:numId w:val="19"/>
        </w:numPr>
        <w:spacing w:after="0"/>
      </w:pPr>
      <w:r w:rsidRPr="003F7F6C">
        <w:t>Monitor and control the progress of the project at a strategic level;</w:t>
      </w:r>
    </w:p>
    <w:p w14:paraId="26E884BA" w14:textId="77777777" w:rsidR="002C5D13" w:rsidRPr="003F7F6C" w:rsidRDefault="002C5D13" w:rsidP="00E91275">
      <w:pPr>
        <w:numPr>
          <w:ilvl w:val="0"/>
          <w:numId w:val="19"/>
        </w:numPr>
        <w:spacing w:after="0"/>
      </w:pPr>
      <w:r w:rsidRPr="003F7F6C">
        <w:t>Ensure that risks are being tracked and mitigated as effectively as possible;</w:t>
      </w:r>
    </w:p>
    <w:p w14:paraId="4138A611" w14:textId="77777777" w:rsidR="002C5D13" w:rsidRPr="003F7F6C" w:rsidRDefault="002C5D13" w:rsidP="00E91275">
      <w:pPr>
        <w:numPr>
          <w:ilvl w:val="0"/>
          <w:numId w:val="19"/>
        </w:numPr>
        <w:spacing w:after="0"/>
      </w:pPr>
      <w:r w:rsidRPr="003F7F6C">
        <w:t>Brief relevant stakeholders about project progress;</w:t>
      </w:r>
    </w:p>
    <w:p w14:paraId="3547B37E" w14:textId="77777777" w:rsidR="002C5D13" w:rsidRPr="003F7F6C" w:rsidRDefault="00DE79F5" w:rsidP="00E91275">
      <w:pPr>
        <w:numPr>
          <w:ilvl w:val="0"/>
          <w:numId w:val="19"/>
        </w:numPr>
        <w:spacing w:after="0"/>
      </w:pPr>
      <w:r w:rsidRPr="003F7F6C">
        <w:t>Organize</w:t>
      </w:r>
      <w:r w:rsidR="002C5D13" w:rsidRPr="003F7F6C">
        <w:t xml:space="preserve"> and chair Project Board meetings.</w:t>
      </w:r>
    </w:p>
    <w:p w14:paraId="1ABDB008" w14:textId="77777777" w:rsidR="002C5D13" w:rsidRPr="003F7F6C" w:rsidRDefault="002C5D13" w:rsidP="002C5D13">
      <w:pPr>
        <w:spacing w:after="0"/>
        <w:ind w:left="360"/>
      </w:pPr>
    </w:p>
    <w:p w14:paraId="7A16F2C7" w14:textId="77777777" w:rsidR="0000316E" w:rsidRPr="003F7F6C" w:rsidRDefault="002C5D13" w:rsidP="00E91275">
      <w:pPr>
        <w:numPr>
          <w:ilvl w:val="0"/>
          <w:numId w:val="28"/>
        </w:numPr>
        <w:spacing w:after="240"/>
        <w:ind w:left="0" w:firstLine="0"/>
        <w:rPr>
          <w:i/>
          <w:color w:val="FF0000"/>
          <w:szCs w:val="20"/>
        </w:rPr>
      </w:pPr>
      <w:r w:rsidRPr="003F7F6C">
        <w:rPr>
          <w:szCs w:val="20"/>
          <w:u w:val="single"/>
        </w:rPr>
        <w:t>Senior Supplier</w:t>
      </w:r>
      <w:r w:rsidRPr="003F7F6C">
        <w:rPr>
          <w:szCs w:val="20"/>
        </w:rPr>
        <w:t>: The Senior Supplier is an individual or group representing the interests of the parties concerned which provide funding and/or technical expertise to the project (designing, developing, facilitating, procuring, implementing). The Senior Supplier’s primary function within the Board is to provide guidance regarding the technical feasibility of the project. The Senior Supplier role must have the authority to commit or acquire supplier resources required. If necessary, more than one person may be required for this role. Typically, the implementing partner, UNDP and/or donor(s) would be represented under this role. The Senior Suppl</w:t>
      </w:r>
      <w:r w:rsidR="00136A09" w:rsidRPr="003F7F6C">
        <w:rPr>
          <w:szCs w:val="20"/>
        </w:rPr>
        <w:t>i</w:t>
      </w:r>
      <w:r w:rsidRPr="003F7F6C">
        <w:rPr>
          <w:szCs w:val="20"/>
        </w:rPr>
        <w:t xml:space="preserve">er </w:t>
      </w:r>
      <w:r w:rsidR="00136A09" w:rsidRPr="003F7F6C">
        <w:rPr>
          <w:szCs w:val="20"/>
        </w:rPr>
        <w:t xml:space="preserve">for this project </w:t>
      </w:r>
      <w:r w:rsidRPr="003F7F6C">
        <w:rPr>
          <w:szCs w:val="20"/>
        </w:rPr>
        <w:t xml:space="preserve">is: </w:t>
      </w:r>
      <w:r w:rsidR="00136A09" w:rsidRPr="003F7F6C">
        <w:rPr>
          <w:szCs w:val="20"/>
        </w:rPr>
        <w:t xml:space="preserve">the </w:t>
      </w:r>
      <w:r w:rsidR="00DE79F5" w:rsidRPr="003F7F6C">
        <w:rPr>
          <w:b/>
          <w:szCs w:val="20"/>
        </w:rPr>
        <w:t>UNDP Resident Representative</w:t>
      </w:r>
      <w:r w:rsidR="00935ED0" w:rsidRPr="003F7F6C">
        <w:rPr>
          <w:szCs w:val="20"/>
        </w:rPr>
        <w:t>.</w:t>
      </w:r>
    </w:p>
    <w:p w14:paraId="5D6CAE42" w14:textId="77777777" w:rsidR="002C5D13" w:rsidRPr="003F7F6C" w:rsidRDefault="002C5D13" w:rsidP="00E91275">
      <w:pPr>
        <w:numPr>
          <w:ilvl w:val="0"/>
          <w:numId w:val="28"/>
        </w:numPr>
        <w:spacing w:after="0"/>
        <w:ind w:left="0" w:firstLine="0"/>
        <w:rPr>
          <w:i/>
          <w:color w:val="FF0000"/>
          <w:szCs w:val="20"/>
        </w:rPr>
      </w:pPr>
      <w:r w:rsidRPr="003F7F6C">
        <w:t>Specific Responsibilities (as part of the above responsibilities for the Project Board)</w:t>
      </w:r>
    </w:p>
    <w:p w14:paraId="2D65FE75" w14:textId="77777777" w:rsidR="002C5D13" w:rsidRPr="003F7F6C" w:rsidRDefault="002C5D13" w:rsidP="00E91275">
      <w:pPr>
        <w:numPr>
          <w:ilvl w:val="0"/>
          <w:numId w:val="20"/>
        </w:numPr>
        <w:spacing w:after="0"/>
      </w:pPr>
      <w:r w:rsidRPr="003F7F6C">
        <w:t>Make sure that progress towards the outputs remains consistent from the supplier perspective;</w:t>
      </w:r>
    </w:p>
    <w:p w14:paraId="3CDF983C" w14:textId="77777777" w:rsidR="002C5D13" w:rsidRPr="003F7F6C" w:rsidRDefault="002C5D13" w:rsidP="00E91275">
      <w:pPr>
        <w:numPr>
          <w:ilvl w:val="0"/>
          <w:numId w:val="20"/>
        </w:numPr>
        <w:spacing w:after="0"/>
      </w:pPr>
      <w:r w:rsidRPr="003F7F6C">
        <w:t>Promote and maintain focus on the expected project output(s) from the point of view of supplier management;</w:t>
      </w:r>
    </w:p>
    <w:p w14:paraId="68E00572" w14:textId="77777777" w:rsidR="002C5D13" w:rsidRPr="003F7F6C" w:rsidRDefault="002C5D13" w:rsidP="00E91275">
      <w:pPr>
        <w:numPr>
          <w:ilvl w:val="0"/>
          <w:numId w:val="20"/>
        </w:numPr>
        <w:spacing w:after="0"/>
      </w:pPr>
      <w:r w:rsidRPr="003F7F6C">
        <w:t>Ensure that the supplier resources required for the project are made available;</w:t>
      </w:r>
    </w:p>
    <w:p w14:paraId="753DC379" w14:textId="77777777" w:rsidR="002C5D13" w:rsidRPr="003F7F6C" w:rsidRDefault="002C5D13" w:rsidP="00E91275">
      <w:pPr>
        <w:numPr>
          <w:ilvl w:val="0"/>
          <w:numId w:val="20"/>
        </w:numPr>
        <w:spacing w:after="0"/>
      </w:pPr>
      <w:r w:rsidRPr="003F7F6C">
        <w:t>Contribute supplier opinions on Project Board decisions on whether to implement recommendations on proposed changes;</w:t>
      </w:r>
    </w:p>
    <w:p w14:paraId="5D80E9B9" w14:textId="77777777" w:rsidR="002C5D13" w:rsidRPr="003F7F6C" w:rsidRDefault="002C5D13" w:rsidP="00E91275">
      <w:pPr>
        <w:numPr>
          <w:ilvl w:val="0"/>
          <w:numId w:val="20"/>
        </w:numPr>
        <w:spacing w:after="0"/>
      </w:pPr>
      <w:r w:rsidRPr="003F7F6C">
        <w:t>Arbitrate on, and ensure resolution of, any supplier priority or resource conflicts.</w:t>
      </w:r>
    </w:p>
    <w:p w14:paraId="35934649" w14:textId="77777777" w:rsidR="002C5D13" w:rsidRPr="003F7F6C" w:rsidRDefault="002C5D13" w:rsidP="002C5D13">
      <w:pPr>
        <w:spacing w:after="0"/>
      </w:pPr>
    </w:p>
    <w:p w14:paraId="6DFC1D75" w14:textId="77777777" w:rsidR="0000316E" w:rsidRPr="003F7F6C" w:rsidRDefault="002C5D13" w:rsidP="00E91275">
      <w:pPr>
        <w:numPr>
          <w:ilvl w:val="0"/>
          <w:numId w:val="28"/>
        </w:numPr>
        <w:spacing w:after="240"/>
        <w:ind w:left="0" w:firstLine="0"/>
        <w:rPr>
          <w:b/>
          <w:i/>
        </w:rPr>
      </w:pPr>
      <w:r w:rsidRPr="003F7F6C">
        <w:rPr>
          <w:u w:val="single"/>
        </w:rPr>
        <w:t>Senior Beneficiary</w:t>
      </w:r>
      <w:r w:rsidRPr="003F7F6C">
        <w:t>: The Senior Beneficiary is an individual or group of individuals representing the interests of those who will ultimately benefit from the project. The Senior Beneficiary’s primary function within the Board is to ensure the realization of project results from the perspective of project beneficiaries. The Senior Beneficiary role is held by a representative of the government or civil society. The Senior Beneficia</w:t>
      </w:r>
      <w:r w:rsidR="00DE79F5" w:rsidRPr="003F7F6C">
        <w:t>ries are</w:t>
      </w:r>
      <w:r w:rsidRPr="003F7F6C">
        <w:t xml:space="preserve">: </w:t>
      </w:r>
      <w:r w:rsidR="00AD679C" w:rsidRPr="003F7F6C">
        <w:rPr>
          <w:b/>
        </w:rPr>
        <w:t>Representatives of the provincial authorities of Buenos Aires, Jujuy and Mendoza, and INTA.</w:t>
      </w:r>
      <w:r w:rsidR="00DE79F5" w:rsidRPr="003F7F6C">
        <w:rPr>
          <w:b/>
        </w:rPr>
        <w:t xml:space="preserve"> </w:t>
      </w:r>
      <w:r w:rsidRPr="003F7F6C">
        <w:t>The Senior Beneficiary is responsible for validating the needs and for monitoring that the solution will meet those needs within the constraints of the project. The Senior Beneficiary role monitors progress against targets and quality criteria. This role may require more than one person to cover all the beneficiary interests. For the sake of effectiveness, the role should not be split between too many people.</w:t>
      </w:r>
    </w:p>
    <w:p w14:paraId="7C030185" w14:textId="77777777" w:rsidR="002C5D13" w:rsidRPr="003F7F6C" w:rsidRDefault="002C5D13" w:rsidP="00E91275">
      <w:pPr>
        <w:numPr>
          <w:ilvl w:val="0"/>
          <w:numId w:val="28"/>
        </w:numPr>
        <w:spacing w:after="0"/>
        <w:ind w:left="0" w:firstLine="0"/>
        <w:rPr>
          <w:b/>
          <w:i/>
        </w:rPr>
      </w:pPr>
      <w:r w:rsidRPr="003F7F6C">
        <w:t>Specific Responsibilities (as part of the above responsibilities for the Project Board)</w:t>
      </w:r>
    </w:p>
    <w:p w14:paraId="1A5E3A70" w14:textId="77777777" w:rsidR="002C5D13" w:rsidRPr="003F7F6C" w:rsidRDefault="002C5D13" w:rsidP="00E91275">
      <w:pPr>
        <w:numPr>
          <w:ilvl w:val="0"/>
          <w:numId w:val="21"/>
        </w:numPr>
        <w:spacing w:after="0"/>
      </w:pPr>
      <w:r w:rsidRPr="003F7F6C">
        <w:t>Prioritize and contribute beneficiaries’ opinions on Project Board decisions on whether to implement recommendations on proposed changes;</w:t>
      </w:r>
    </w:p>
    <w:p w14:paraId="2BF49C8D" w14:textId="77777777" w:rsidR="002C5D13" w:rsidRPr="003F7F6C" w:rsidRDefault="002C5D13" w:rsidP="00E91275">
      <w:pPr>
        <w:numPr>
          <w:ilvl w:val="0"/>
          <w:numId w:val="22"/>
        </w:numPr>
        <w:spacing w:after="0"/>
      </w:pPr>
      <w:r w:rsidRPr="003F7F6C">
        <w:t>Specif</w:t>
      </w:r>
      <w:r w:rsidR="00101802" w:rsidRPr="003F7F6C">
        <w:t>y</w:t>
      </w:r>
      <w:r w:rsidRPr="003F7F6C">
        <w:t xml:space="preserve"> the Beneficiary’s needs </w:t>
      </w:r>
      <w:r w:rsidR="007807D3" w:rsidRPr="003F7F6C">
        <w:t xml:space="preserve">in an </w:t>
      </w:r>
      <w:r w:rsidRPr="003F7F6C">
        <w:t>accurate, complete and unambiguous</w:t>
      </w:r>
      <w:r w:rsidR="007807D3" w:rsidRPr="003F7F6C">
        <w:t xml:space="preserve"> manner</w:t>
      </w:r>
      <w:r w:rsidRPr="003F7F6C">
        <w:t>;</w:t>
      </w:r>
    </w:p>
    <w:p w14:paraId="62269A19" w14:textId="77777777" w:rsidR="002C5D13" w:rsidRPr="003F7F6C" w:rsidRDefault="007807D3" w:rsidP="00E91275">
      <w:pPr>
        <w:numPr>
          <w:ilvl w:val="0"/>
          <w:numId w:val="22"/>
        </w:numPr>
        <w:spacing w:after="0"/>
      </w:pPr>
      <w:r w:rsidRPr="003F7F6C">
        <w:t>Monitor i</w:t>
      </w:r>
      <w:r w:rsidR="002C5D13" w:rsidRPr="003F7F6C">
        <w:t>mplementation of activities at all stages to ensure that they will meet the beneficiary’s needs and are progressing towards that target;</w:t>
      </w:r>
    </w:p>
    <w:p w14:paraId="7DF298DB" w14:textId="77777777" w:rsidR="002C5D13" w:rsidRPr="003F7F6C" w:rsidRDefault="00101802" w:rsidP="00E91275">
      <w:pPr>
        <w:numPr>
          <w:ilvl w:val="0"/>
          <w:numId w:val="22"/>
        </w:numPr>
        <w:spacing w:after="0"/>
      </w:pPr>
      <w:r w:rsidRPr="003F7F6C">
        <w:t>Evaluate i</w:t>
      </w:r>
      <w:r w:rsidR="002C5D13" w:rsidRPr="003F7F6C">
        <w:t>mpact of potential changes from the beneficiary point of view;</w:t>
      </w:r>
    </w:p>
    <w:p w14:paraId="5EDEF95A" w14:textId="77777777" w:rsidR="002C5D13" w:rsidRPr="003F7F6C" w:rsidRDefault="00101802" w:rsidP="00E91275">
      <w:pPr>
        <w:numPr>
          <w:ilvl w:val="0"/>
          <w:numId w:val="22"/>
        </w:numPr>
        <w:spacing w:after="0"/>
      </w:pPr>
      <w:r w:rsidRPr="003F7F6C">
        <w:t>Frequently monitor r</w:t>
      </w:r>
      <w:r w:rsidR="002C5D13" w:rsidRPr="003F7F6C">
        <w:t>isks to the beneficiaries.</w:t>
      </w:r>
    </w:p>
    <w:p w14:paraId="2B10CBD6" w14:textId="77777777" w:rsidR="002C5D13" w:rsidRPr="003F7F6C" w:rsidRDefault="002C5D13" w:rsidP="002C5D13">
      <w:pPr>
        <w:shd w:val="clear" w:color="auto" w:fill="FFFFFF"/>
        <w:spacing w:after="0"/>
        <w:rPr>
          <w:rFonts w:cs="Arial"/>
          <w:noProof/>
          <w:szCs w:val="20"/>
          <w:lang w:eastAsia="zh-CN"/>
        </w:rPr>
      </w:pPr>
    </w:p>
    <w:p w14:paraId="3E6897ED" w14:textId="3477AFDD" w:rsidR="00F1076C" w:rsidRPr="003F7F6C" w:rsidRDefault="00F1076C" w:rsidP="00E91275">
      <w:pPr>
        <w:numPr>
          <w:ilvl w:val="0"/>
          <w:numId w:val="28"/>
        </w:numPr>
        <w:spacing w:before="120" w:after="240"/>
        <w:ind w:left="0" w:firstLine="0"/>
        <w:rPr>
          <w:b/>
        </w:rPr>
      </w:pPr>
      <w:r w:rsidRPr="003F7F6C">
        <w:rPr>
          <w:b/>
        </w:rPr>
        <w:t>Project Management Unit</w:t>
      </w:r>
      <w:r w:rsidRPr="003F7F6C">
        <w:t>:</w:t>
      </w:r>
      <w:r w:rsidR="00C929BB" w:rsidRPr="003F7F6C">
        <w:t xml:space="preserve"> The Project Management Unit (PMU) will consist of a National Project Director</w:t>
      </w:r>
      <w:r w:rsidR="0051507B" w:rsidRPr="003F7F6C">
        <w:t>,</w:t>
      </w:r>
      <w:r w:rsidR="00C929BB" w:rsidRPr="003F7F6C">
        <w:t xml:space="preserve"> </w:t>
      </w:r>
      <w:r w:rsidR="0051507B" w:rsidRPr="003F7F6C">
        <w:t xml:space="preserve">a </w:t>
      </w:r>
      <w:r w:rsidR="00C929BB" w:rsidRPr="003F7F6C">
        <w:t>Project Coordinator</w:t>
      </w:r>
      <w:r w:rsidR="0051507B" w:rsidRPr="003F7F6C">
        <w:t>, an Administrative Assistant and an Accountant</w:t>
      </w:r>
      <w:r w:rsidR="00C929BB" w:rsidRPr="003F7F6C">
        <w:t>.</w:t>
      </w:r>
      <w:r w:rsidR="00C929BB" w:rsidRPr="003F7F6C">
        <w:rPr>
          <w:rFonts w:eastAsia="Times New Roman" w:cs="Calibri"/>
          <w:szCs w:val="20"/>
          <w:lang w:eastAsia="es-ES_tradnl"/>
        </w:rPr>
        <w:t xml:space="preserve"> In addition, technical and administrative staff of the SAyDS will also participate and provide support to the PMU. To obtain specific outputs, the incremental support of GEF will be used to hire specialized consultants for specific periods of time. Agreements will be established with national institutions or organizations and provincial organizations as well as other institutions as deemed necessary.</w:t>
      </w:r>
    </w:p>
    <w:p w14:paraId="4D992801" w14:textId="77777777" w:rsidR="009B7516" w:rsidRPr="003F7F6C" w:rsidRDefault="009B7516" w:rsidP="00E91275">
      <w:pPr>
        <w:numPr>
          <w:ilvl w:val="0"/>
          <w:numId w:val="28"/>
        </w:numPr>
        <w:spacing w:before="120" w:after="240"/>
        <w:ind w:left="0" w:firstLine="0"/>
      </w:pPr>
      <w:r w:rsidRPr="003F7F6C">
        <w:rPr>
          <w:b/>
        </w:rPr>
        <w:t xml:space="preserve">Project </w:t>
      </w:r>
      <w:r w:rsidR="00144B75" w:rsidRPr="003F7F6C">
        <w:rPr>
          <w:b/>
        </w:rPr>
        <w:t>National Director</w:t>
      </w:r>
      <w:r w:rsidR="00144B75" w:rsidRPr="003F7F6C">
        <w:t xml:space="preserve">: The </w:t>
      </w:r>
      <w:r w:rsidRPr="003F7F6C">
        <w:rPr>
          <w:rFonts w:cs="Arial"/>
          <w:noProof/>
          <w:szCs w:val="20"/>
          <w:lang w:eastAsia="zh-CN"/>
        </w:rPr>
        <w:t>Project National Director (PD) will be</w:t>
      </w:r>
      <w:r w:rsidR="00583E9A" w:rsidRPr="003F7F6C">
        <w:rPr>
          <w:rFonts w:cs="Arial"/>
          <w:noProof/>
          <w:szCs w:val="20"/>
          <w:lang w:eastAsia="zh-CN"/>
        </w:rPr>
        <w:t xml:space="preserve"> the</w:t>
      </w:r>
      <w:r w:rsidRPr="003F7F6C">
        <w:rPr>
          <w:rFonts w:cs="Arial"/>
          <w:noProof/>
          <w:szCs w:val="20"/>
          <w:lang w:eastAsia="zh-CN"/>
        </w:rPr>
        <w:t xml:space="preserve"> </w:t>
      </w:r>
      <w:r w:rsidR="00583E9A" w:rsidRPr="003F7F6C">
        <w:rPr>
          <w:rFonts w:cs="Arial"/>
          <w:b/>
          <w:noProof/>
          <w:szCs w:val="20"/>
          <w:lang w:eastAsia="zh-CN"/>
        </w:rPr>
        <w:t>S</w:t>
      </w:r>
      <w:r w:rsidR="00400667" w:rsidRPr="003F7F6C">
        <w:rPr>
          <w:rFonts w:cs="Arial"/>
          <w:b/>
          <w:noProof/>
          <w:szCs w:val="20"/>
          <w:lang w:eastAsia="zh-CN"/>
        </w:rPr>
        <w:t>ecretary of Environment</w:t>
      </w:r>
      <w:r w:rsidR="00583E9A" w:rsidRPr="003F7F6C">
        <w:rPr>
          <w:rFonts w:cs="Arial"/>
          <w:b/>
          <w:noProof/>
          <w:szCs w:val="20"/>
          <w:lang w:eastAsia="zh-CN"/>
        </w:rPr>
        <w:t xml:space="preserve"> and Natural Resources Policy</w:t>
      </w:r>
      <w:r w:rsidR="00400667" w:rsidRPr="003F7F6C">
        <w:rPr>
          <w:rFonts w:cs="Arial"/>
          <w:b/>
          <w:noProof/>
          <w:szCs w:val="20"/>
          <w:lang w:eastAsia="zh-CN"/>
        </w:rPr>
        <w:t xml:space="preserve"> </w:t>
      </w:r>
      <w:r w:rsidR="00400667" w:rsidRPr="003F7F6C">
        <w:rPr>
          <w:rFonts w:cs="Arial"/>
          <w:noProof/>
          <w:szCs w:val="20"/>
          <w:lang w:eastAsia="zh-CN"/>
        </w:rPr>
        <w:t>of the</w:t>
      </w:r>
      <w:r w:rsidRPr="003F7F6C">
        <w:rPr>
          <w:rFonts w:cs="Arial"/>
          <w:noProof/>
          <w:szCs w:val="20"/>
          <w:lang w:eastAsia="zh-CN"/>
        </w:rPr>
        <w:t xml:space="preserve"> SGAyDS, who will be accountable to the SGAyDS and UNDP for the achievement of objectives and results in the assigned Project. The PD will be part of the Project Board and answer to it. The PD will be financed through national government funds (co-financing).</w:t>
      </w:r>
    </w:p>
    <w:p w14:paraId="07A07E17" w14:textId="77777777" w:rsidR="009B7516" w:rsidRPr="003F7F6C" w:rsidRDefault="009B7516" w:rsidP="00E91275">
      <w:pPr>
        <w:numPr>
          <w:ilvl w:val="0"/>
          <w:numId w:val="28"/>
        </w:numPr>
        <w:spacing w:after="0"/>
        <w:ind w:left="0" w:firstLine="0"/>
      </w:pPr>
      <w:r w:rsidRPr="003F7F6C">
        <w:rPr>
          <w:rFonts w:cs="Arial"/>
          <w:noProof/>
          <w:szCs w:val="20"/>
          <w:lang w:eastAsia="zh-CN"/>
        </w:rPr>
        <w:t>Specific responsibilities include:</w:t>
      </w:r>
    </w:p>
    <w:p w14:paraId="3311F606" w14:textId="77777777" w:rsidR="009B7516" w:rsidRPr="003F7F6C" w:rsidRDefault="009B7516" w:rsidP="00E91275">
      <w:pPr>
        <w:numPr>
          <w:ilvl w:val="0"/>
          <w:numId w:val="13"/>
        </w:numPr>
        <w:tabs>
          <w:tab w:val="clear" w:pos="360"/>
          <w:tab w:val="num" w:pos="720"/>
        </w:tabs>
        <w:spacing w:after="0"/>
        <w:ind w:left="720"/>
        <w:jc w:val="left"/>
        <w:rPr>
          <w:rFonts w:cs="Arial"/>
          <w:noProof/>
          <w:szCs w:val="20"/>
          <w:lang w:eastAsia="zh-CN"/>
        </w:rPr>
      </w:pPr>
      <w:r w:rsidRPr="003F7F6C">
        <w:rPr>
          <w:rFonts w:cs="Arial"/>
          <w:noProof/>
          <w:szCs w:val="20"/>
          <w:lang w:eastAsia="zh-CN"/>
        </w:rPr>
        <w:t>Serve as a member of the Project Board.</w:t>
      </w:r>
    </w:p>
    <w:p w14:paraId="53180A76" w14:textId="77777777" w:rsidR="009B7516" w:rsidRPr="003F7F6C" w:rsidRDefault="009B7516" w:rsidP="00E91275">
      <w:pPr>
        <w:numPr>
          <w:ilvl w:val="0"/>
          <w:numId w:val="13"/>
        </w:numPr>
        <w:tabs>
          <w:tab w:val="clear" w:pos="360"/>
          <w:tab w:val="num" w:pos="720"/>
        </w:tabs>
        <w:spacing w:after="0"/>
        <w:ind w:left="720"/>
        <w:jc w:val="left"/>
        <w:rPr>
          <w:rFonts w:cs="Arial"/>
          <w:noProof/>
          <w:szCs w:val="20"/>
          <w:lang w:eastAsia="zh-CN"/>
        </w:rPr>
      </w:pPr>
      <w:r w:rsidRPr="003F7F6C">
        <w:rPr>
          <w:rFonts w:cs="Arial"/>
          <w:noProof/>
          <w:szCs w:val="20"/>
          <w:lang w:eastAsia="zh-CN"/>
        </w:rPr>
        <w:t>Supervise compliance with objectives, activities, results, and all fundamental aspects of project execution as specified in the project document.</w:t>
      </w:r>
    </w:p>
    <w:p w14:paraId="5C56393E" w14:textId="77777777" w:rsidR="009B7516" w:rsidRPr="003F7F6C" w:rsidRDefault="009B7516" w:rsidP="00E91275">
      <w:pPr>
        <w:numPr>
          <w:ilvl w:val="0"/>
          <w:numId w:val="13"/>
        </w:numPr>
        <w:tabs>
          <w:tab w:val="clear" w:pos="360"/>
          <w:tab w:val="num" w:pos="720"/>
        </w:tabs>
        <w:spacing w:after="0"/>
        <w:ind w:left="720"/>
        <w:jc w:val="left"/>
        <w:rPr>
          <w:rFonts w:cs="Arial"/>
          <w:noProof/>
          <w:szCs w:val="20"/>
          <w:lang w:eastAsia="zh-CN"/>
        </w:rPr>
      </w:pPr>
      <w:r w:rsidRPr="003F7F6C">
        <w:rPr>
          <w:rFonts w:cs="Arial"/>
          <w:noProof/>
          <w:szCs w:val="20"/>
          <w:lang w:eastAsia="zh-CN"/>
        </w:rPr>
        <w:t xml:space="preserve">Supervise compliance of project implementation with </w:t>
      </w:r>
      <w:r w:rsidR="00F1076C" w:rsidRPr="003F7F6C">
        <w:rPr>
          <w:rFonts w:cs="Arial"/>
          <w:noProof/>
          <w:szCs w:val="20"/>
          <w:lang w:eastAsia="zh-CN"/>
        </w:rPr>
        <w:t>SGAyDS</w:t>
      </w:r>
      <w:r w:rsidRPr="003F7F6C">
        <w:rPr>
          <w:rFonts w:cs="Arial"/>
          <w:noProof/>
          <w:szCs w:val="20"/>
          <w:lang w:eastAsia="zh-CN"/>
        </w:rPr>
        <w:t xml:space="preserve"> policies, procedures and ensure consistency with national plans and strategies.</w:t>
      </w:r>
    </w:p>
    <w:p w14:paraId="72DEDA55" w14:textId="77777777" w:rsidR="009B7516" w:rsidRPr="003F7F6C" w:rsidRDefault="009B7516" w:rsidP="00E91275">
      <w:pPr>
        <w:numPr>
          <w:ilvl w:val="0"/>
          <w:numId w:val="13"/>
        </w:numPr>
        <w:tabs>
          <w:tab w:val="clear" w:pos="360"/>
          <w:tab w:val="num" w:pos="720"/>
        </w:tabs>
        <w:spacing w:after="0"/>
        <w:ind w:left="720"/>
        <w:jc w:val="left"/>
        <w:rPr>
          <w:rFonts w:cs="Arial"/>
          <w:noProof/>
          <w:szCs w:val="20"/>
          <w:lang w:eastAsia="zh-CN"/>
        </w:rPr>
      </w:pPr>
      <w:r w:rsidRPr="003F7F6C">
        <w:rPr>
          <w:rFonts w:cs="Arial"/>
          <w:noProof/>
          <w:szCs w:val="20"/>
          <w:lang w:eastAsia="zh-CN"/>
        </w:rPr>
        <w:t xml:space="preserve">Facilitate coordination with other organizations and institutions that will conduct related </w:t>
      </w:r>
      <w:r w:rsidR="00F1076C" w:rsidRPr="003F7F6C">
        <w:rPr>
          <w:rFonts w:cs="Arial"/>
          <w:noProof/>
          <w:szCs w:val="20"/>
          <w:lang w:eastAsia="zh-CN"/>
        </w:rPr>
        <w:t xml:space="preserve">activities </w:t>
      </w:r>
      <w:r w:rsidRPr="003F7F6C">
        <w:rPr>
          <w:rFonts w:cs="Arial"/>
          <w:noProof/>
          <w:szCs w:val="20"/>
          <w:lang w:eastAsia="zh-CN"/>
        </w:rPr>
        <w:t>or same themes.</w:t>
      </w:r>
    </w:p>
    <w:p w14:paraId="6A6AF4C6" w14:textId="77777777" w:rsidR="009B7516" w:rsidRPr="003F7F6C" w:rsidRDefault="009B7516" w:rsidP="00E91275">
      <w:pPr>
        <w:numPr>
          <w:ilvl w:val="0"/>
          <w:numId w:val="13"/>
        </w:numPr>
        <w:tabs>
          <w:tab w:val="clear" w:pos="360"/>
          <w:tab w:val="num" w:pos="720"/>
        </w:tabs>
        <w:spacing w:after="0"/>
        <w:ind w:left="720"/>
        <w:jc w:val="left"/>
        <w:rPr>
          <w:rFonts w:cs="Arial"/>
          <w:noProof/>
          <w:szCs w:val="20"/>
          <w:lang w:eastAsia="zh-CN"/>
        </w:rPr>
      </w:pPr>
      <w:r w:rsidRPr="003F7F6C">
        <w:rPr>
          <w:rFonts w:cs="Arial"/>
          <w:noProof/>
          <w:szCs w:val="20"/>
          <w:lang w:eastAsia="zh-CN"/>
        </w:rPr>
        <w:t>Participate in project evaluation, testing, and monitoring missions.</w:t>
      </w:r>
    </w:p>
    <w:p w14:paraId="243D408D" w14:textId="77777777" w:rsidR="009B7516" w:rsidRPr="003F7F6C" w:rsidRDefault="009B7516" w:rsidP="00E91275">
      <w:pPr>
        <w:numPr>
          <w:ilvl w:val="0"/>
          <w:numId w:val="13"/>
        </w:numPr>
        <w:tabs>
          <w:tab w:val="clear" w:pos="360"/>
          <w:tab w:val="num" w:pos="720"/>
        </w:tabs>
        <w:spacing w:after="0"/>
        <w:ind w:left="720"/>
        <w:jc w:val="left"/>
        <w:rPr>
          <w:rFonts w:cs="Arial"/>
          <w:noProof/>
          <w:szCs w:val="20"/>
          <w:lang w:eastAsia="zh-CN"/>
        </w:rPr>
      </w:pPr>
      <w:r w:rsidRPr="003F7F6C">
        <w:rPr>
          <w:rFonts w:cs="Arial"/>
          <w:noProof/>
          <w:szCs w:val="20"/>
          <w:lang w:eastAsia="zh-CN"/>
        </w:rPr>
        <w:t>Coordinate with national governmental representatives on legal and financial aspects of project activities.</w:t>
      </w:r>
    </w:p>
    <w:p w14:paraId="5CE214EC" w14:textId="77777777" w:rsidR="009B7516" w:rsidRPr="003F7F6C" w:rsidRDefault="009B7516" w:rsidP="00E91275">
      <w:pPr>
        <w:numPr>
          <w:ilvl w:val="0"/>
          <w:numId w:val="13"/>
        </w:numPr>
        <w:tabs>
          <w:tab w:val="clear" w:pos="360"/>
          <w:tab w:val="num" w:pos="720"/>
        </w:tabs>
        <w:spacing w:after="0"/>
        <w:ind w:left="720"/>
        <w:jc w:val="left"/>
        <w:rPr>
          <w:rFonts w:cs="Arial"/>
          <w:noProof/>
          <w:szCs w:val="20"/>
          <w:lang w:eastAsia="zh-CN"/>
        </w:rPr>
      </w:pPr>
      <w:r w:rsidRPr="003F7F6C">
        <w:rPr>
          <w:rFonts w:cs="Arial"/>
          <w:noProof/>
          <w:szCs w:val="20"/>
          <w:lang w:eastAsia="zh-CN"/>
        </w:rPr>
        <w:t>Coordinate and supervise government staff inputs to project implementation.</w:t>
      </w:r>
    </w:p>
    <w:p w14:paraId="6849884F" w14:textId="77777777" w:rsidR="009B7516" w:rsidRPr="003F7F6C" w:rsidRDefault="009B7516" w:rsidP="00E91275">
      <w:pPr>
        <w:numPr>
          <w:ilvl w:val="0"/>
          <w:numId w:val="13"/>
        </w:numPr>
        <w:tabs>
          <w:tab w:val="clear" w:pos="360"/>
          <w:tab w:val="num" w:pos="720"/>
        </w:tabs>
        <w:spacing w:after="0"/>
        <w:ind w:left="720"/>
        <w:jc w:val="left"/>
        <w:rPr>
          <w:rFonts w:cs="Arial"/>
          <w:noProof/>
          <w:szCs w:val="20"/>
          <w:lang w:eastAsia="zh-CN"/>
        </w:rPr>
      </w:pPr>
      <w:r w:rsidRPr="003F7F6C">
        <w:rPr>
          <w:rFonts w:cs="Arial"/>
          <w:noProof/>
          <w:szCs w:val="20"/>
          <w:lang w:eastAsia="zh-CN"/>
        </w:rPr>
        <w:t>Coordinate, oversee and report on government cofinancing inputs to project implementation.</w:t>
      </w:r>
    </w:p>
    <w:p w14:paraId="67FF3216" w14:textId="77777777" w:rsidR="009B7516" w:rsidRPr="003F7F6C" w:rsidRDefault="009B7516" w:rsidP="009B7516">
      <w:pPr>
        <w:spacing w:before="120" w:after="240"/>
      </w:pPr>
    </w:p>
    <w:p w14:paraId="44316BB4" w14:textId="77777777" w:rsidR="00116683" w:rsidRPr="003F7F6C" w:rsidRDefault="002C5D13" w:rsidP="00E91275">
      <w:pPr>
        <w:numPr>
          <w:ilvl w:val="0"/>
          <w:numId w:val="28"/>
        </w:numPr>
        <w:spacing w:before="120" w:after="240"/>
        <w:ind w:left="0" w:firstLine="0"/>
      </w:pPr>
      <w:r w:rsidRPr="003F7F6C">
        <w:rPr>
          <w:rFonts w:cs="Arial"/>
          <w:b/>
          <w:noProof/>
          <w:szCs w:val="20"/>
          <w:lang w:eastAsia="zh-CN"/>
        </w:rPr>
        <w:t xml:space="preserve">Project </w:t>
      </w:r>
      <w:r w:rsidR="0052605A" w:rsidRPr="003F7F6C">
        <w:rPr>
          <w:rFonts w:cs="Arial"/>
          <w:b/>
          <w:noProof/>
          <w:szCs w:val="20"/>
          <w:lang w:eastAsia="zh-CN"/>
        </w:rPr>
        <w:t>Coordinator</w:t>
      </w:r>
      <w:r w:rsidRPr="003F7F6C">
        <w:rPr>
          <w:rFonts w:cs="Arial"/>
          <w:noProof/>
          <w:szCs w:val="20"/>
          <w:lang w:eastAsia="zh-CN"/>
        </w:rPr>
        <w:t xml:space="preserve">: The </w:t>
      </w:r>
      <w:r w:rsidR="0052605A" w:rsidRPr="003F7F6C">
        <w:rPr>
          <w:rFonts w:cs="Arial"/>
          <w:noProof/>
          <w:szCs w:val="20"/>
          <w:lang w:eastAsia="zh-CN"/>
        </w:rPr>
        <w:t>Project Coordinator</w:t>
      </w:r>
      <w:r w:rsidR="00583E9A" w:rsidRPr="003F7F6C">
        <w:rPr>
          <w:rFonts w:cs="Arial"/>
          <w:noProof/>
          <w:szCs w:val="20"/>
          <w:lang w:eastAsia="zh-CN"/>
        </w:rPr>
        <w:t xml:space="preserve"> will be funded by the project and </w:t>
      </w:r>
      <w:r w:rsidR="00583E9A" w:rsidRPr="003F7F6C">
        <w:rPr>
          <w:rFonts w:cs="Calibri"/>
          <w:noProof/>
          <w:szCs w:val="20"/>
          <w:lang w:eastAsia="zh-CN"/>
        </w:rPr>
        <w:t>will be locally recruited following UNDP procedure. The Project Coordinator</w:t>
      </w:r>
      <w:r w:rsidRPr="003F7F6C">
        <w:rPr>
          <w:rFonts w:cs="Arial"/>
          <w:noProof/>
          <w:szCs w:val="20"/>
          <w:lang w:eastAsia="zh-CN"/>
        </w:rPr>
        <w:t xml:space="preserve"> </w:t>
      </w:r>
      <w:r w:rsidRPr="003F7F6C">
        <w:t xml:space="preserve">has the authority to run the project on a day-to-day basis on behalf of the Project Board within the constraints laid down by the Board. The Project </w:t>
      </w:r>
      <w:r w:rsidR="0052605A" w:rsidRPr="003F7F6C">
        <w:t>Coordinator</w:t>
      </w:r>
      <w:r w:rsidRPr="003F7F6C">
        <w:t xml:space="preserve"> is responsible for day-to-day management and decision-making for the project. The Project </w:t>
      </w:r>
      <w:r w:rsidR="00583E9A" w:rsidRPr="003F7F6C">
        <w:t xml:space="preserve">Coordinator’s </w:t>
      </w:r>
      <w:r w:rsidRPr="003F7F6C">
        <w:t xml:space="preserve">prime responsibility is to ensure that the project produces the results specified in the project document, to the required standard of quality and within the specified constraints of time and cost.  </w:t>
      </w:r>
    </w:p>
    <w:p w14:paraId="36FDBFF1" w14:textId="77777777" w:rsidR="002C5D13" w:rsidRPr="003F7F6C" w:rsidRDefault="002C5D13" w:rsidP="00E91275">
      <w:pPr>
        <w:numPr>
          <w:ilvl w:val="0"/>
          <w:numId w:val="28"/>
        </w:numPr>
        <w:spacing w:after="0"/>
        <w:ind w:left="0" w:firstLine="0"/>
      </w:pPr>
      <w:r w:rsidRPr="003F7F6C">
        <w:t>Specific responsibilities include:</w:t>
      </w:r>
    </w:p>
    <w:p w14:paraId="3FB95B70" w14:textId="77777777" w:rsidR="002C5D13" w:rsidRPr="003F7F6C" w:rsidRDefault="002C5D13" w:rsidP="00E91275">
      <w:pPr>
        <w:numPr>
          <w:ilvl w:val="0"/>
          <w:numId w:val="25"/>
        </w:numPr>
        <w:spacing w:after="0"/>
      </w:pPr>
      <w:r w:rsidRPr="003F7F6C">
        <w:t>Provide direction and guidance to project team(s)/ responsible party (ies);</w:t>
      </w:r>
    </w:p>
    <w:p w14:paraId="44F5BE30" w14:textId="77777777" w:rsidR="002C5D13" w:rsidRPr="003F7F6C" w:rsidRDefault="002C5D13" w:rsidP="00E91275">
      <w:pPr>
        <w:numPr>
          <w:ilvl w:val="0"/>
          <w:numId w:val="25"/>
        </w:numPr>
        <w:spacing w:after="0"/>
      </w:pPr>
      <w:r w:rsidRPr="003F7F6C">
        <w:t>Liaise with the Project Board to assure the overall direction and integrity of the project;</w:t>
      </w:r>
    </w:p>
    <w:p w14:paraId="228E23DC" w14:textId="77777777" w:rsidR="002C5D13" w:rsidRPr="003F7F6C" w:rsidRDefault="002C5D13" w:rsidP="00E91275">
      <w:pPr>
        <w:numPr>
          <w:ilvl w:val="0"/>
          <w:numId w:val="25"/>
        </w:numPr>
        <w:spacing w:after="0"/>
      </w:pPr>
      <w:r w:rsidRPr="003F7F6C">
        <w:t>Identify and obtain any support and advice required for the management, planning and control of the project;</w:t>
      </w:r>
    </w:p>
    <w:p w14:paraId="42028264" w14:textId="77777777" w:rsidR="002C5D13" w:rsidRPr="003F7F6C" w:rsidRDefault="002C5D13" w:rsidP="00E91275">
      <w:pPr>
        <w:numPr>
          <w:ilvl w:val="0"/>
          <w:numId w:val="25"/>
        </w:numPr>
        <w:spacing w:after="0"/>
      </w:pPr>
      <w:r w:rsidRPr="003F7F6C">
        <w:t>Responsible for project administration;</w:t>
      </w:r>
    </w:p>
    <w:p w14:paraId="75511D80" w14:textId="77777777" w:rsidR="002C5D13" w:rsidRPr="003F7F6C" w:rsidRDefault="002C5D13" w:rsidP="00E91275">
      <w:pPr>
        <w:pStyle w:val="ColorfulList-Accent11"/>
        <w:numPr>
          <w:ilvl w:val="0"/>
          <w:numId w:val="25"/>
        </w:numPr>
        <w:rPr>
          <w:rFonts w:ascii="Calibri" w:hAnsi="Calibri"/>
          <w:sz w:val="20"/>
          <w:szCs w:val="20"/>
        </w:rPr>
      </w:pPr>
      <w:r w:rsidRPr="003F7F6C">
        <w:rPr>
          <w:rFonts w:ascii="Calibri" w:hAnsi="Calibri"/>
          <w:sz w:val="20"/>
          <w:szCs w:val="20"/>
        </w:rPr>
        <w:t>Plan the activities of the project and monitor progress against the project results framework and the approved annual workplan;</w:t>
      </w:r>
    </w:p>
    <w:p w14:paraId="43E5BC46" w14:textId="77777777" w:rsidR="002C5D13" w:rsidRPr="003F7F6C" w:rsidRDefault="002C5D13" w:rsidP="00E91275">
      <w:pPr>
        <w:pStyle w:val="ColorfulList-Accent11"/>
        <w:numPr>
          <w:ilvl w:val="0"/>
          <w:numId w:val="25"/>
        </w:numPr>
        <w:rPr>
          <w:rFonts w:ascii="Calibri" w:hAnsi="Calibri"/>
          <w:sz w:val="20"/>
          <w:szCs w:val="20"/>
        </w:rPr>
      </w:pPr>
      <w:r w:rsidRPr="003F7F6C">
        <w:rPr>
          <w:rFonts w:ascii="Calibri" w:hAnsi="Calibri"/>
          <w:sz w:val="20"/>
          <w:szCs w:val="20"/>
        </w:rPr>
        <w:t xml:space="preserve">Mobilize personnel, goods and services, </w:t>
      </w:r>
      <w:r w:rsidR="00583E9A" w:rsidRPr="003F7F6C">
        <w:rPr>
          <w:rFonts w:ascii="Calibri" w:hAnsi="Calibri"/>
          <w:sz w:val="20"/>
          <w:szCs w:val="20"/>
        </w:rPr>
        <w:t xml:space="preserve">and </w:t>
      </w:r>
      <w:r w:rsidRPr="003F7F6C">
        <w:rPr>
          <w:rFonts w:ascii="Calibri" w:hAnsi="Calibri"/>
          <w:sz w:val="20"/>
          <w:szCs w:val="20"/>
        </w:rPr>
        <w:t xml:space="preserve">training </w:t>
      </w:r>
      <w:r w:rsidR="00E93A6F" w:rsidRPr="003F7F6C">
        <w:rPr>
          <w:rFonts w:ascii="Calibri" w:hAnsi="Calibri"/>
          <w:sz w:val="20"/>
          <w:szCs w:val="20"/>
        </w:rPr>
        <w:t xml:space="preserve">for </w:t>
      </w:r>
      <w:r w:rsidRPr="003F7F6C">
        <w:rPr>
          <w:rFonts w:ascii="Calibri" w:hAnsi="Calibri"/>
          <w:sz w:val="20"/>
          <w:szCs w:val="20"/>
        </w:rPr>
        <w:t>activities, including drafting terms of reference and work specifications, and overseeing all contractors’ work;</w:t>
      </w:r>
    </w:p>
    <w:p w14:paraId="5F749E2C" w14:textId="77777777" w:rsidR="002C5D13" w:rsidRPr="003F7F6C" w:rsidRDefault="002C5D13" w:rsidP="00E91275">
      <w:pPr>
        <w:pStyle w:val="ColorfulList-Accent11"/>
        <w:numPr>
          <w:ilvl w:val="0"/>
          <w:numId w:val="25"/>
        </w:numPr>
        <w:rPr>
          <w:rFonts w:ascii="Calibri" w:hAnsi="Calibri"/>
          <w:sz w:val="20"/>
          <w:szCs w:val="20"/>
        </w:rPr>
      </w:pPr>
      <w:r w:rsidRPr="003F7F6C">
        <w:rPr>
          <w:rFonts w:ascii="Calibri" w:hAnsi="Calibri"/>
          <w:sz w:val="20"/>
          <w:szCs w:val="20"/>
        </w:rPr>
        <w:t>Monitor events as determined in the project monitoring schedule plan/timetable, and update the plan as required;</w:t>
      </w:r>
    </w:p>
    <w:p w14:paraId="17E4E889" w14:textId="77777777" w:rsidR="002C5D13" w:rsidRPr="003F7F6C" w:rsidRDefault="002C5D13" w:rsidP="00E91275">
      <w:pPr>
        <w:pStyle w:val="ColorfulList-Accent11"/>
        <w:numPr>
          <w:ilvl w:val="0"/>
          <w:numId w:val="25"/>
        </w:numPr>
        <w:rPr>
          <w:rFonts w:ascii="Calibri" w:hAnsi="Calibri"/>
          <w:sz w:val="20"/>
          <w:szCs w:val="20"/>
        </w:rPr>
      </w:pPr>
      <w:bookmarkStart w:id="23" w:name="_Hlk526945775"/>
      <w:r w:rsidRPr="003F7F6C">
        <w:rPr>
          <w:rFonts w:ascii="Calibri" w:hAnsi="Calibri"/>
          <w:sz w:val="20"/>
          <w:szCs w:val="20"/>
        </w:rPr>
        <w:t xml:space="preserve">Manage requests for the provision of financial resources by UNDP, through advance of funds, direct payments or reimbursement using the fund authorization </w:t>
      </w:r>
      <w:bookmarkEnd w:id="23"/>
      <w:r w:rsidRPr="003F7F6C">
        <w:rPr>
          <w:rFonts w:ascii="Calibri" w:hAnsi="Calibri"/>
          <w:sz w:val="20"/>
          <w:szCs w:val="20"/>
        </w:rPr>
        <w:t>and certificate of expenditures;</w:t>
      </w:r>
    </w:p>
    <w:p w14:paraId="43B98E7C" w14:textId="77777777" w:rsidR="002C5D13" w:rsidRPr="003F7F6C" w:rsidRDefault="002C5D13" w:rsidP="00E91275">
      <w:pPr>
        <w:pStyle w:val="ColorfulList-Accent11"/>
        <w:numPr>
          <w:ilvl w:val="0"/>
          <w:numId w:val="25"/>
        </w:numPr>
        <w:rPr>
          <w:rFonts w:ascii="Calibri" w:hAnsi="Calibri"/>
          <w:sz w:val="20"/>
          <w:szCs w:val="20"/>
        </w:rPr>
      </w:pPr>
      <w:r w:rsidRPr="003F7F6C">
        <w:rPr>
          <w:rFonts w:ascii="Calibri" w:hAnsi="Calibri"/>
          <w:sz w:val="20"/>
          <w:szCs w:val="20"/>
        </w:rPr>
        <w:t>Monitor financial resources and accounting to ensure the accuracy and reliability of financial reports;</w:t>
      </w:r>
    </w:p>
    <w:p w14:paraId="409C0629" w14:textId="77777777" w:rsidR="002C5D13" w:rsidRPr="003F7F6C" w:rsidRDefault="002C5D13" w:rsidP="00E91275">
      <w:pPr>
        <w:pStyle w:val="ColorfulList-Accent11"/>
        <w:numPr>
          <w:ilvl w:val="0"/>
          <w:numId w:val="25"/>
        </w:numPr>
        <w:rPr>
          <w:rFonts w:ascii="Calibri" w:hAnsi="Calibri"/>
          <w:sz w:val="20"/>
          <w:szCs w:val="20"/>
        </w:rPr>
      </w:pPr>
      <w:r w:rsidRPr="003F7F6C">
        <w:rPr>
          <w:rFonts w:ascii="Calibri" w:hAnsi="Calibri"/>
          <w:sz w:val="20"/>
          <w:szCs w:val="20"/>
        </w:rPr>
        <w:t>Be responsible for preparing and submitting financial reports to UNDP on a quarterly basis;</w:t>
      </w:r>
    </w:p>
    <w:p w14:paraId="3CA527F0" w14:textId="77777777" w:rsidR="002C5D13" w:rsidRPr="003F7F6C" w:rsidRDefault="002C5D13" w:rsidP="00E91275">
      <w:pPr>
        <w:pStyle w:val="ColorfulList-Accent11"/>
        <w:numPr>
          <w:ilvl w:val="0"/>
          <w:numId w:val="25"/>
        </w:numPr>
        <w:jc w:val="both"/>
        <w:rPr>
          <w:rFonts w:ascii="Calibri" w:hAnsi="Calibri"/>
          <w:sz w:val="20"/>
          <w:szCs w:val="20"/>
        </w:rPr>
      </w:pPr>
      <w:r w:rsidRPr="003F7F6C">
        <w:rPr>
          <w:rFonts w:ascii="Calibri" w:hAnsi="Calibri"/>
          <w:sz w:val="20"/>
          <w:szCs w:val="20"/>
        </w:rPr>
        <w:t>Manage and monitor the project risks initially identified and submit new risks to the project board for consideration and decision on possible actions if required; update the status of these risks by maintaining the project risks log;</w:t>
      </w:r>
    </w:p>
    <w:p w14:paraId="26FA023F" w14:textId="77777777" w:rsidR="002C5D13" w:rsidRPr="003F7F6C" w:rsidRDefault="002C5D13" w:rsidP="00E91275">
      <w:pPr>
        <w:pStyle w:val="ColorfulList-Accent11"/>
        <w:numPr>
          <w:ilvl w:val="0"/>
          <w:numId w:val="25"/>
        </w:numPr>
        <w:jc w:val="both"/>
        <w:rPr>
          <w:rFonts w:ascii="Calibri" w:hAnsi="Calibri"/>
          <w:sz w:val="20"/>
          <w:szCs w:val="20"/>
        </w:rPr>
      </w:pPr>
      <w:r w:rsidRPr="003F7F6C">
        <w:rPr>
          <w:rFonts w:ascii="Calibri" w:hAnsi="Calibri"/>
          <w:sz w:val="20"/>
          <w:szCs w:val="20"/>
        </w:rPr>
        <w:t xml:space="preserve">Capture lessons learned during project implementation; </w:t>
      </w:r>
    </w:p>
    <w:p w14:paraId="6034FF7B" w14:textId="77777777" w:rsidR="002C5D13" w:rsidRPr="003F7F6C" w:rsidRDefault="002C5D13" w:rsidP="00E91275">
      <w:pPr>
        <w:pStyle w:val="ColorfulList-Accent11"/>
        <w:numPr>
          <w:ilvl w:val="0"/>
          <w:numId w:val="25"/>
        </w:numPr>
        <w:jc w:val="both"/>
        <w:rPr>
          <w:rFonts w:ascii="Calibri" w:hAnsi="Calibri"/>
          <w:sz w:val="20"/>
          <w:szCs w:val="20"/>
        </w:rPr>
      </w:pPr>
      <w:r w:rsidRPr="003F7F6C">
        <w:rPr>
          <w:rFonts w:ascii="Calibri" w:hAnsi="Calibri"/>
          <w:sz w:val="20"/>
          <w:szCs w:val="20"/>
        </w:rPr>
        <w:t>Prepare the annual workplan for the following year; and update the Atlas Project Management module if external access is made available.</w:t>
      </w:r>
    </w:p>
    <w:p w14:paraId="6C39EE4B" w14:textId="77777777" w:rsidR="002C5D13" w:rsidRPr="003F7F6C" w:rsidRDefault="002C5D13" w:rsidP="00E91275">
      <w:pPr>
        <w:numPr>
          <w:ilvl w:val="0"/>
          <w:numId w:val="23"/>
        </w:numPr>
        <w:spacing w:after="0"/>
      </w:pPr>
      <w:r w:rsidRPr="003F7F6C">
        <w:t xml:space="preserve">Prepare the </w:t>
      </w:r>
      <w:r w:rsidR="0083586F" w:rsidRPr="003F7F6C">
        <w:t>GEF PIR</w:t>
      </w:r>
      <w:r w:rsidRPr="003F7F6C">
        <w:t xml:space="preserve"> and submit the final report to the Project Board;</w:t>
      </w:r>
    </w:p>
    <w:p w14:paraId="0577A092" w14:textId="77777777" w:rsidR="002C5D13" w:rsidRPr="003F7F6C" w:rsidRDefault="002C5D13" w:rsidP="00E91275">
      <w:pPr>
        <w:numPr>
          <w:ilvl w:val="0"/>
          <w:numId w:val="23"/>
        </w:numPr>
        <w:spacing w:after="0"/>
      </w:pPr>
      <w:r w:rsidRPr="003F7F6C">
        <w:t xml:space="preserve">Based on the </w:t>
      </w:r>
      <w:r w:rsidR="0083586F" w:rsidRPr="003F7F6C">
        <w:t>GEF PIR</w:t>
      </w:r>
      <w:r w:rsidRPr="003F7F6C">
        <w:t xml:space="preserve"> and the Project Board review, prepare the AWP for the following year.</w:t>
      </w:r>
    </w:p>
    <w:p w14:paraId="5957B51D" w14:textId="77777777" w:rsidR="002C5D13" w:rsidRPr="003F7F6C" w:rsidRDefault="002C5D13" w:rsidP="00E91275">
      <w:pPr>
        <w:numPr>
          <w:ilvl w:val="0"/>
          <w:numId w:val="23"/>
        </w:numPr>
        <w:spacing w:after="0"/>
      </w:pPr>
      <w:r w:rsidRPr="003F7F6C">
        <w:t>Ensure the mid-term review process is undertaken as per the UNDP guidance, and submit the final MTR report to the Project Board.</w:t>
      </w:r>
    </w:p>
    <w:p w14:paraId="14CBFC98" w14:textId="77777777" w:rsidR="002C5D13" w:rsidRPr="003F7F6C" w:rsidRDefault="002C5D13" w:rsidP="00E91275">
      <w:pPr>
        <w:numPr>
          <w:ilvl w:val="0"/>
          <w:numId w:val="24"/>
        </w:numPr>
        <w:spacing w:after="0"/>
      </w:pPr>
      <w:r w:rsidRPr="003F7F6C">
        <w:t>Identify follow-on actions and submit them for consideration to the Project Board;</w:t>
      </w:r>
    </w:p>
    <w:p w14:paraId="70A60BA3" w14:textId="77777777" w:rsidR="002C5D13" w:rsidRPr="003F7F6C" w:rsidRDefault="002C5D13" w:rsidP="00E91275">
      <w:pPr>
        <w:numPr>
          <w:ilvl w:val="0"/>
          <w:numId w:val="24"/>
        </w:numPr>
        <w:spacing w:after="0"/>
      </w:pPr>
      <w:r w:rsidRPr="003F7F6C">
        <w:t>Ensure the terminal evaluation process is undertaken as per the UNDP guidance, and submit the final TE report to the Project Board</w:t>
      </w:r>
      <w:r w:rsidR="00E93A6F" w:rsidRPr="003F7F6C">
        <w:t>.</w:t>
      </w:r>
    </w:p>
    <w:p w14:paraId="2D1963CD" w14:textId="77777777" w:rsidR="002C5D13" w:rsidRPr="003F7F6C" w:rsidRDefault="002C5D13" w:rsidP="002C5D13">
      <w:pPr>
        <w:spacing w:after="0"/>
        <w:rPr>
          <w:b/>
          <w:szCs w:val="20"/>
        </w:rPr>
      </w:pPr>
    </w:p>
    <w:p w14:paraId="4216856A" w14:textId="77777777" w:rsidR="00116683" w:rsidRPr="003F7F6C" w:rsidRDefault="002C5D13" w:rsidP="00E91275">
      <w:pPr>
        <w:numPr>
          <w:ilvl w:val="0"/>
          <w:numId w:val="28"/>
        </w:numPr>
        <w:spacing w:after="240"/>
        <w:ind w:left="0" w:firstLine="0"/>
        <w:rPr>
          <w:szCs w:val="20"/>
        </w:rPr>
      </w:pPr>
      <w:r w:rsidRPr="003F7F6C">
        <w:rPr>
          <w:b/>
          <w:szCs w:val="20"/>
        </w:rPr>
        <w:t>Project Assurance</w:t>
      </w:r>
      <w:r w:rsidRPr="003F7F6C">
        <w:rPr>
          <w:szCs w:val="20"/>
        </w:rPr>
        <w:t xml:space="preserve">:  UNDP provides a three–tier supervision, oversight and quality assurance role – funded by the </w:t>
      </w:r>
      <w:r w:rsidR="0083586F" w:rsidRPr="003F7F6C">
        <w:rPr>
          <w:szCs w:val="20"/>
        </w:rPr>
        <w:t xml:space="preserve">GEF </w:t>
      </w:r>
      <w:r w:rsidRPr="003F7F6C">
        <w:rPr>
          <w:szCs w:val="20"/>
        </w:rPr>
        <w:t xml:space="preserve">agency fee – involving UNDP staff in Country Offices and at regional and headquarters levels. Project Assurance must be totally independent of the Project Management function. The quality assurance role supports the Project Board and Project Management Unit by carrying out objective and independent project oversight and </w:t>
      </w:r>
      <w:bookmarkStart w:id="24" w:name="_Hlk526969324"/>
      <w:r w:rsidRPr="003F7F6C">
        <w:rPr>
          <w:szCs w:val="20"/>
        </w:rPr>
        <w:t xml:space="preserve">monitoring functions. This role ensures appropriate project management milestones are managed and completed. The Project Board cannot delegate any of its quality assurance responsibilities to the Project </w:t>
      </w:r>
      <w:r w:rsidR="00F47AF3" w:rsidRPr="003F7F6C">
        <w:rPr>
          <w:szCs w:val="20"/>
        </w:rPr>
        <w:t>Coordinator</w:t>
      </w:r>
      <w:r w:rsidRPr="003F7F6C">
        <w:rPr>
          <w:szCs w:val="20"/>
        </w:rPr>
        <w:t xml:space="preserve">.  This project oversight </w:t>
      </w:r>
      <w:bookmarkEnd w:id="24"/>
      <w:r w:rsidRPr="003F7F6C">
        <w:rPr>
          <w:szCs w:val="20"/>
        </w:rPr>
        <w:t xml:space="preserve">and quality assurance role is covered by the </w:t>
      </w:r>
      <w:r w:rsidR="0083586F" w:rsidRPr="003F7F6C">
        <w:rPr>
          <w:szCs w:val="20"/>
        </w:rPr>
        <w:t>GEF Agency</w:t>
      </w:r>
      <w:r w:rsidRPr="003F7F6C">
        <w:rPr>
          <w:szCs w:val="20"/>
        </w:rPr>
        <w:t>.</w:t>
      </w:r>
    </w:p>
    <w:p w14:paraId="75091A75" w14:textId="77777777" w:rsidR="00116683" w:rsidRPr="003F7F6C" w:rsidRDefault="003E3ABA" w:rsidP="00E91275">
      <w:pPr>
        <w:numPr>
          <w:ilvl w:val="0"/>
          <w:numId w:val="28"/>
        </w:numPr>
        <w:shd w:val="clear" w:color="auto" w:fill="FFFFFF"/>
        <w:spacing w:after="240"/>
        <w:ind w:left="0" w:firstLine="0"/>
        <w:rPr>
          <w:rFonts w:cs="Arial"/>
          <w:i/>
          <w:noProof/>
          <w:szCs w:val="20"/>
          <w:lang w:eastAsia="zh-CN"/>
        </w:rPr>
      </w:pPr>
      <w:r w:rsidRPr="003F7F6C">
        <w:rPr>
          <w:szCs w:val="20"/>
          <w:u w:val="single"/>
        </w:rPr>
        <w:t>Governance role for project target groups</w:t>
      </w:r>
      <w:r w:rsidRPr="003F7F6C">
        <w:rPr>
          <w:szCs w:val="20"/>
        </w:rPr>
        <w:t xml:space="preserve">:  </w:t>
      </w:r>
      <w:r w:rsidR="0052605A" w:rsidRPr="003F7F6C">
        <w:rPr>
          <w:szCs w:val="20"/>
        </w:rPr>
        <w:t xml:space="preserve">A Project Technical Committee and three </w:t>
      </w:r>
      <w:r w:rsidR="00CA79AB" w:rsidRPr="003F7F6C">
        <w:rPr>
          <w:szCs w:val="20"/>
        </w:rPr>
        <w:t>Provincial Working Groups</w:t>
      </w:r>
      <w:r w:rsidR="0052605A" w:rsidRPr="003F7F6C">
        <w:rPr>
          <w:szCs w:val="20"/>
        </w:rPr>
        <w:t xml:space="preserve"> will be established. The </w:t>
      </w:r>
      <w:r w:rsidR="00DE79F5" w:rsidRPr="003F7F6C">
        <w:rPr>
          <w:b/>
          <w:szCs w:val="20"/>
        </w:rPr>
        <w:t>Project Technical Committee</w:t>
      </w:r>
      <w:r w:rsidR="00DE79F5" w:rsidRPr="003F7F6C">
        <w:rPr>
          <w:rFonts w:cs="Calibri"/>
          <w:szCs w:val="20"/>
        </w:rPr>
        <w:t xml:space="preserve"> </w:t>
      </w:r>
      <w:r w:rsidR="0052605A" w:rsidRPr="003F7F6C">
        <w:rPr>
          <w:rFonts w:cs="Calibri"/>
          <w:szCs w:val="20"/>
        </w:rPr>
        <w:t>will be chaired by the SGAyDS and will comprise</w:t>
      </w:r>
      <w:r w:rsidR="00DE79F5" w:rsidRPr="003F7F6C">
        <w:rPr>
          <w:rFonts w:cs="Calibri"/>
          <w:szCs w:val="20"/>
        </w:rPr>
        <w:t xml:space="preserve"> technical level representatives</w:t>
      </w:r>
      <w:r w:rsidR="009B5D73" w:rsidRPr="003F7F6C">
        <w:rPr>
          <w:rFonts w:cs="Calibri"/>
          <w:szCs w:val="20"/>
        </w:rPr>
        <w:t xml:space="preserve"> from SGAyDS, UNDP, INTA, provincial governments of Buenos Aires, Jujuy and Mendoza, and other</w:t>
      </w:r>
      <w:r w:rsidR="00DE79F5" w:rsidRPr="003F7F6C">
        <w:rPr>
          <w:rFonts w:cs="Calibri"/>
          <w:szCs w:val="20"/>
        </w:rPr>
        <w:t xml:space="preserve"> institutions and organizations</w:t>
      </w:r>
      <w:r w:rsidR="0052605A" w:rsidRPr="003F7F6C">
        <w:rPr>
          <w:rFonts w:cs="Calibri"/>
          <w:szCs w:val="20"/>
        </w:rPr>
        <w:t xml:space="preserve">. Upon project start-up the </w:t>
      </w:r>
      <w:r w:rsidR="009B5D73" w:rsidRPr="003F7F6C">
        <w:rPr>
          <w:rFonts w:cs="Calibri"/>
          <w:szCs w:val="20"/>
        </w:rPr>
        <w:t>Project Board</w:t>
      </w:r>
      <w:r w:rsidR="0052605A" w:rsidRPr="003F7F6C">
        <w:rPr>
          <w:rFonts w:cs="Calibri"/>
          <w:szCs w:val="20"/>
        </w:rPr>
        <w:t xml:space="preserve"> will agree on the composition of the committee, including representatives of public and private institutions and CSOs, particularly those related to the target sectors. </w:t>
      </w:r>
      <w:r w:rsidR="00DE79F5" w:rsidRPr="003F7F6C">
        <w:rPr>
          <w:rFonts w:cs="Calibri"/>
          <w:szCs w:val="20"/>
        </w:rPr>
        <w:t>The Technical Committee</w:t>
      </w:r>
      <w:r w:rsidR="00D33A6D" w:rsidRPr="003F7F6C">
        <w:rPr>
          <w:rFonts w:cs="Calibri"/>
          <w:szCs w:val="20"/>
        </w:rPr>
        <w:t xml:space="preserve"> </w:t>
      </w:r>
      <w:r w:rsidR="00DE79F5" w:rsidRPr="003F7F6C">
        <w:rPr>
          <w:rFonts w:cs="Calibri"/>
          <w:szCs w:val="20"/>
        </w:rPr>
        <w:t>will provide technical inputs for the achievement of project products and/or outcomes, and will be specifically responsible for ensuring alignment of project activities with institutional mandates as well as for the adequate participation of all key target groups in project activities and project-related decision making processes. The functioning of this committee shall be agreed upon during the project´s start-up phase, including specific program</w:t>
      </w:r>
      <w:r w:rsidR="00070B60" w:rsidRPr="003F7F6C">
        <w:rPr>
          <w:rFonts w:cs="Calibri"/>
          <w:szCs w:val="20"/>
        </w:rPr>
        <w:t>s</w:t>
      </w:r>
      <w:r w:rsidR="00DE79F5" w:rsidRPr="003F7F6C">
        <w:rPr>
          <w:rFonts w:cs="Calibri"/>
          <w:szCs w:val="20"/>
        </w:rPr>
        <w:t xml:space="preserve"> of work, scope of roles and responsibilities, decision-making flow and frequency of meetings.</w:t>
      </w:r>
      <w:r w:rsidR="0052605A" w:rsidRPr="003F7F6C">
        <w:rPr>
          <w:rFonts w:cs="Calibri"/>
          <w:szCs w:val="20"/>
        </w:rPr>
        <w:t xml:space="preserve"> </w:t>
      </w:r>
    </w:p>
    <w:p w14:paraId="18BFC70D" w14:textId="14292939" w:rsidR="0051507B" w:rsidRPr="003F7F6C" w:rsidRDefault="0052605A" w:rsidP="00E91275">
      <w:pPr>
        <w:numPr>
          <w:ilvl w:val="0"/>
          <w:numId w:val="28"/>
        </w:numPr>
        <w:spacing w:after="240"/>
        <w:ind w:left="0" w:firstLine="0"/>
        <w:rPr>
          <w:rFonts w:cs="Calibri"/>
          <w:color w:val="FF0000"/>
          <w:szCs w:val="20"/>
        </w:rPr>
      </w:pPr>
      <w:r w:rsidRPr="003F7F6C">
        <w:rPr>
          <w:rFonts w:cs="Calibri"/>
          <w:szCs w:val="20"/>
        </w:rPr>
        <w:t>Th</w:t>
      </w:r>
      <w:r w:rsidR="00070B60" w:rsidRPr="003F7F6C">
        <w:rPr>
          <w:rFonts w:cs="Calibri"/>
          <w:szCs w:val="20"/>
        </w:rPr>
        <w:t>r</w:t>
      </w:r>
      <w:r w:rsidRPr="003F7F6C">
        <w:rPr>
          <w:rFonts w:cs="Calibri"/>
          <w:szCs w:val="20"/>
        </w:rPr>
        <w:t>e</w:t>
      </w:r>
      <w:r w:rsidR="00070B60" w:rsidRPr="003F7F6C">
        <w:rPr>
          <w:rFonts w:cs="Calibri"/>
          <w:szCs w:val="20"/>
        </w:rPr>
        <w:t>e</w:t>
      </w:r>
      <w:r w:rsidRPr="003F7F6C">
        <w:rPr>
          <w:szCs w:val="20"/>
        </w:rPr>
        <w:t xml:space="preserve"> </w:t>
      </w:r>
      <w:r w:rsidR="00DE79F5" w:rsidRPr="003F7F6C">
        <w:rPr>
          <w:rFonts w:cs="Calibri"/>
          <w:b/>
          <w:szCs w:val="20"/>
        </w:rPr>
        <w:t xml:space="preserve">Provincial </w:t>
      </w:r>
      <w:r w:rsidR="00CA79AB" w:rsidRPr="003F7F6C">
        <w:rPr>
          <w:rFonts w:cs="Calibri"/>
          <w:b/>
          <w:szCs w:val="20"/>
        </w:rPr>
        <w:t>Working Groups</w:t>
      </w:r>
      <w:r w:rsidRPr="003F7F6C">
        <w:rPr>
          <w:rFonts w:cs="Calibri"/>
          <w:szCs w:val="20"/>
        </w:rPr>
        <w:t xml:space="preserve"> </w:t>
      </w:r>
      <w:r w:rsidR="00DE79F5" w:rsidRPr="003F7F6C">
        <w:rPr>
          <w:rFonts w:cs="Calibri"/>
          <w:szCs w:val="20"/>
        </w:rPr>
        <w:t>will be established, one in each of the pilot provinces.</w:t>
      </w:r>
      <w:r w:rsidR="00D33A6D" w:rsidRPr="003F7F6C">
        <w:rPr>
          <w:rFonts w:cs="Calibri"/>
          <w:szCs w:val="20"/>
        </w:rPr>
        <w:t xml:space="preserve">  These</w:t>
      </w:r>
      <w:r w:rsidR="00915379" w:rsidRPr="003F7F6C">
        <w:rPr>
          <w:rFonts w:cs="Calibri"/>
          <w:szCs w:val="20"/>
        </w:rPr>
        <w:t xml:space="preserve"> working</w:t>
      </w:r>
      <w:r w:rsidR="00D33A6D" w:rsidRPr="003F7F6C">
        <w:rPr>
          <w:rFonts w:cs="Calibri"/>
          <w:szCs w:val="20"/>
        </w:rPr>
        <w:t xml:space="preserve"> </w:t>
      </w:r>
      <w:r w:rsidR="00915379" w:rsidRPr="003F7F6C">
        <w:rPr>
          <w:rFonts w:cs="Calibri"/>
          <w:szCs w:val="20"/>
        </w:rPr>
        <w:t xml:space="preserve">groups </w:t>
      </w:r>
      <w:r w:rsidR="00D33A6D" w:rsidRPr="003F7F6C">
        <w:rPr>
          <w:rFonts w:cs="Calibri"/>
          <w:szCs w:val="20"/>
        </w:rPr>
        <w:t xml:space="preserve">will be comprised </w:t>
      </w:r>
      <w:r w:rsidR="00070B60" w:rsidRPr="003F7F6C">
        <w:rPr>
          <w:rFonts w:cs="Calibri"/>
          <w:szCs w:val="20"/>
        </w:rPr>
        <w:t xml:space="preserve">of </w:t>
      </w:r>
      <w:r w:rsidR="00D33A6D" w:rsidRPr="003F7F6C">
        <w:rPr>
          <w:rFonts w:cs="Calibri"/>
          <w:szCs w:val="20"/>
        </w:rPr>
        <w:t xml:space="preserve">the focal points designated by the </w:t>
      </w:r>
      <w:r w:rsidR="00CA79AB" w:rsidRPr="003F7F6C">
        <w:rPr>
          <w:rFonts w:cs="Calibri"/>
          <w:szCs w:val="20"/>
        </w:rPr>
        <w:t xml:space="preserve">provincial authorities </w:t>
      </w:r>
      <w:r w:rsidR="00D33A6D" w:rsidRPr="003F7F6C">
        <w:rPr>
          <w:rFonts w:cs="Calibri"/>
          <w:szCs w:val="20"/>
        </w:rPr>
        <w:t xml:space="preserve">and technical teams designated by each province, with the participation of other key institutions of the province that are relevant to the project.  </w:t>
      </w:r>
      <w:r w:rsidR="00D33A6D" w:rsidRPr="003F7F6C">
        <w:rPr>
          <w:rFonts w:cs="Calibri"/>
        </w:rPr>
        <w:t xml:space="preserve">The main responsibilities of these committees will be: linking the project objectives with the provincial plans (both institutional and sectoral) as well as ongoing or planned interventions or investments; promoting inter-institutional and inter-sectoral coordination; coordinating the participation of institutions in the implementation of project activities; and fostering stakeholder participation. </w:t>
      </w:r>
      <w:r w:rsidR="00D33A6D" w:rsidRPr="003F7F6C">
        <w:rPr>
          <w:rFonts w:cs="Calibri"/>
          <w:szCs w:val="20"/>
        </w:rPr>
        <w:t>The composition and functioning will be agreed upon during the project´s start-up phase, including specific program</w:t>
      </w:r>
      <w:r w:rsidR="00070B60" w:rsidRPr="003F7F6C">
        <w:rPr>
          <w:rFonts w:cs="Calibri"/>
          <w:szCs w:val="20"/>
        </w:rPr>
        <w:t>s</w:t>
      </w:r>
      <w:r w:rsidR="00D33A6D" w:rsidRPr="003F7F6C">
        <w:rPr>
          <w:rFonts w:cs="Calibri"/>
          <w:szCs w:val="20"/>
        </w:rPr>
        <w:t xml:space="preserve"> of work, </w:t>
      </w:r>
      <w:r w:rsidR="00070B60" w:rsidRPr="003F7F6C">
        <w:rPr>
          <w:rFonts w:cs="Calibri"/>
          <w:szCs w:val="20"/>
        </w:rPr>
        <w:t xml:space="preserve">the </w:t>
      </w:r>
      <w:r w:rsidR="00D33A6D" w:rsidRPr="003F7F6C">
        <w:rPr>
          <w:rFonts w:cs="Calibri"/>
          <w:szCs w:val="20"/>
        </w:rPr>
        <w:t>scope of roles and responsibilities, decision-making flow and frequency of meetings.</w:t>
      </w:r>
      <w:r w:rsidR="000B3EFE" w:rsidRPr="003F7F6C">
        <w:rPr>
          <w:rFonts w:cs="Calibri"/>
          <w:szCs w:val="20"/>
        </w:rPr>
        <w:t xml:space="preserve"> </w:t>
      </w:r>
    </w:p>
    <w:p w14:paraId="0A1F2CA1" w14:textId="77777777" w:rsidR="00E75DC7" w:rsidRPr="003F7F6C" w:rsidRDefault="00E75DC7" w:rsidP="0044356C">
      <w:pPr>
        <w:spacing w:after="240"/>
        <w:rPr>
          <w:rFonts w:cs="Calibri"/>
          <w:color w:val="FF0000"/>
          <w:szCs w:val="20"/>
        </w:rPr>
      </w:pPr>
    </w:p>
    <w:p w14:paraId="6C120765" w14:textId="77777777" w:rsidR="0051507B" w:rsidRPr="003F7F6C" w:rsidRDefault="0051507B" w:rsidP="000D5B4E">
      <w:pPr>
        <w:spacing w:after="240"/>
        <w:rPr>
          <w:rFonts w:cs="Calibri"/>
          <w:color w:val="FF0000"/>
          <w:szCs w:val="20"/>
        </w:rPr>
      </w:pPr>
    </w:p>
    <w:p w14:paraId="1F50B9C5" w14:textId="77777777" w:rsidR="003E3ABA" w:rsidRPr="003F7F6C" w:rsidRDefault="003E3ABA" w:rsidP="00A04E6F">
      <w:pPr>
        <w:pStyle w:val="Heading1"/>
        <w:spacing w:before="0" w:after="0"/>
        <w:rPr>
          <w:rFonts w:ascii="Calibri" w:hAnsi="Calibri"/>
        </w:rPr>
      </w:pPr>
      <w:bookmarkStart w:id="25" w:name="_Toc529891415"/>
      <w:r w:rsidRPr="003F7F6C">
        <w:rPr>
          <w:rFonts w:ascii="Calibri" w:hAnsi="Calibri"/>
        </w:rPr>
        <w:t>Financial Planning and Management</w:t>
      </w:r>
      <w:bookmarkEnd w:id="25"/>
      <w:r w:rsidRPr="003F7F6C">
        <w:rPr>
          <w:rFonts w:ascii="Calibri" w:hAnsi="Calibri"/>
        </w:rPr>
        <w:t xml:space="preserve"> </w:t>
      </w:r>
    </w:p>
    <w:p w14:paraId="76F386C4" w14:textId="77777777" w:rsidR="006674A2" w:rsidRPr="003F7F6C" w:rsidRDefault="006674A2" w:rsidP="00A04E6F">
      <w:pPr>
        <w:autoSpaceDE w:val="0"/>
        <w:autoSpaceDN w:val="0"/>
        <w:adjustRightInd w:val="0"/>
        <w:spacing w:after="0"/>
        <w:jc w:val="left"/>
        <w:rPr>
          <w:b/>
          <w:i/>
          <w:color w:val="000000"/>
          <w:szCs w:val="20"/>
        </w:rPr>
      </w:pPr>
    </w:p>
    <w:p w14:paraId="778602FD" w14:textId="29F6E2F3" w:rsidR="00055478" w:rsidRPr="003F7F6C" w:rsidRDefault="003E3ABA" w:rsidP="00E91275">
      <w:pPr>
        <w:numPr>
          <w:ilvl w:val="0"/>
          <w:numId w:val="28"/>
        </w:numPr>
        <w:autoSpaceDE w:val="0"/>
        <w:autoSpaceDN w:val="0"/>
        <w:adjustRightInd w:val="0"/>
        <w:spacing w:after="240"/>
        <w:ind w:left="0" w:firstLine="0"/>
        <w:rPr>
          <w:color w:val="000000"/>
          <w:szCs w:val="20"/>
        </w:rPr>
      </w:pPr>
      <w:r w:rsidRPr="003F7F6C">
        <w:rPr>
          <w:color w:val="000000"/>
          <w:szCs w:val="20"/>
        </w:rPr>
        <w:t>The total cost of the project is</w:t>
      </w:r>
      <w:r w:rsidR="00406F2A" w:rsidRPr="003F7F6C">
        <w:rPr>
          <w:color w:val="000000"/>
          <w:szCs w:val="20"/>
        </w:rPr>
        <w:t xml:space="preserve"> USD </w:t>
      </w:r>
      <w:r w:rsidR="00B848C3" w:rsidRPr="003F7F6C">
        <w:rPr>
          <w:color w:val="000000"/>
          <w:szCs w:val="20"/>
        </w:rPr>
        <w:t>51,385,434</w:t>
      </w:r>
      <w:r w:rsidRPr="003F7F6C">
        <w:rPr>
          <w:i/>
          <w:color w:val="000000"/>
          <w:szCs w:val="20"/>
        </w:rPr>
        <w:t xml:space="preserve">.  </w:t>
      </w:r>
      <w:r w:rsidRPr="003F7F6C">
        <w:rPr>
          <w:color w:val="000000"/>
          <w:szCs w:val="20"/>
        </w:rPr>
        <w:t>This is financed through a GEF grant of</w:t>
      </w:r>
      <w:r w:rsidR="00406F2A" w:rsidRPr="003F7F6C">
        <w:rPr>
          <w:color w:val="000000"/>
          <w:szCs w:val="20"/>
        </w:rPr>
        <w:t xml:space="preserve"> USD 8,995,434</w:t>
      </w:r>
      <w:r w:rsidRPr="003F7F6C">
        <w:rPr>
          <w:color w:val="000000"/>
          <w:szCs w:val="20"/>
        </w:rPr>
        <w:t>, and</w:t>
      </w:r>
      <w:r w:rsidR="00406F2A" w:rsidRPr="003F7F6C">
        <w:rPr>
          <w:color w:val="000000"/>
          <w:szCs w:val="20"/>
        </w:rPr>
        <w:t xml:space="preserve"> USD </w:t>
      </w:r>
      <w:r w:rsidR="00B848C3" w:rsidRPr="003F7F6C">
        <w:rPr>
          <w:color w:val="000000"/>
          <w:szCs w:val="20"/>
        </w:rPr>
        <w:t>42,390,000</w:t>
      </w:r>
      <w:r w:rsidR="00406F2A" w:rsidRPr="003F7F6C">
        <w:rPr>
          <w:color w:val="000000"/>
          <w:szCs w:val="20"/>
        </w:rPr>
        <w:t xml:space="preserve"> </w:t>
      </w:r>
      <w:r w:rsidRPr="003F7F6C">
        <w:rPr>
          <w:color w:val="000000"/>
          <w:szCs w:val="20"/>
        </w:rPr>
        <w:t xml:space="preserve">in parallel co-financing.  UNDP, as the GEF Implementing Agency, is responsible for the execution of the GEF resources and the </w:t>
      </w:r>
      <w:r w:rsidRPr="003F7F6C">
        <w:rPr>
          <w:color w:val="000000"/>
          <w:szCs w:val="20"/>
          <w:lang w:eastAsia="zh-CN"/>
        </w:rPr>
        <w:t>cash co-financing transferred to UNDP</w:t>
      </w:r>
      <w:r w:rsidR="007E125D" w:rsidRPr="003F7F6C">
        <w:rPr>
          <w:color w:val="000000"/>
          <w:szCs w:val="20"/>
          <w:lang w:eastAsia="zh-CN"/>
        </w:rPr>
        <w:t>´s</w:t>
      </w:r>
      <w:r w:rsidRPr="003F7F6C">
        <w:rPr>
          <w:color w:val="000000"/>
          <w:szCs w:val="20"/>
          <w:lang w:eastAsia="zh-CN"/>
        </w:rPr>
        <w:t xml:space="preserve"> bank account only</w:t>
      </w:r>
      <w:r w:rsidRPr="003F7F6C">
        <w:rPr>
          <w:color w:val="000000"/>
          <w:szCs w:val="20"/>
        </w:rPr>
        <w:t xml:space="preserve">.   </w:t>
      </w:r>
    </w:p>
    <w:p w14:paraId="6B2D926D" w14:textId="77777777" w:rsidR="003E3ABA" w:rsidRPr="003F7F6C" w:rsidRDefault="003E3ABA" w:rsidP="00E91275">
      <w:pPr>
        <w:numPr>
          <w:ilvl w:val="0"/>
          <w:numId w:val="28"/>
        </w:numPr>
        <w:autoSpaceDE w:val="0"/>
        <w:autoSpaceDN w:val="0"/>
        <w:adjustRightInd w:val="0"/>
        <w:spacing w:after="240"/>
        <w:ind w:left="0" w:firstLine="0"/>
        <w:jc w:val="left"/>
        <w:rPr>
          <w:color w:val="000000"/>
          <w:szCs w:val="20"/>
        </w:rPr>
      </w:pPr>
      <w:r w:rsidRPr="003F7F6C">
        <w:rPr>
          <w:color w:val="000000"/>
          <w:szCs w:val="20"/>
          <w:u w:val="single"/>
        </w:rPr>
        <w:t>Parallel co-financing</w:t>
      </w:r>
      <w:r w:rsidRPr="003F7F6C">
        <w:rPr>
          <w:color w:val="000000"/>
          <w:szCs w:val="20"/>
        </w:rPr>
        <w:t xml:space="preserve">:  </w:t>
      </w:r>
      <w:r w:rsidR="00CA1DCA" w:rsidRPr="003F7F6C">
        <w:rPr>
          <w:color w:val="000000"/>
          <w:szCs w:val="20"/>
        </w:rPr>
        <w:t xml:space="preserve">The actual realization of project co-financing will be monitored during the mid-term review and terminal evaluation process and will be reported to the GEF. </w:t>
      </w:r>
      <w:r w:rsidRPr="003F7F6C">
        <w:rPr>
          <w:color w:val="000000"/>
          <w:szCs w:val="20"/>
        </w:rPr>
        <w:t>The planned parallel co-financing will be used as follows:</w:t>
      </w:r>
    </w:p>
    <w:p w14:paraId="4E575CCD" w14:textId="77777777" w:rsidR="003E3ABA" w:rsidRPr="003F7F6C" w:rsidRDefault="003E3ABA" w:rsidP="00A04E6F">
      <w:pPr>
        <w:autoSpaceDE w:val="0"/>
        <w:autoSpaceDN w:val="0"/>
        <w:adjustRightInd w:val="0"/>
        <w:spacing w:after="0"/>
        <w:jc w:val="left"/>
        <w:rPr>
          <w:b/>
          <w:color w:val="000000"/>
          <w:sz w:val="18"/>
          <w:szCs w:val="18"/>
        </w:rPr>
      </w:pPr>
    </w:p>
    <w:p w14:paraId="08901265" w14:textId="77777777" w:rsidR="00AC2429" w:rsidRPr="003F7F6C" w:rsidRDefault="00AC2429" w:rsidP="00A04E6F">
      <w:pPr>
        <w:autoSpaceDE w:val="0"/>
        <w:autoSpaceDN w:val="0"/>
        <w:adjustRightInd w:val="0"/>
        <w:spacing w:after="0"/>
        <w:jc w:val="left"/>
        <w:rPr>
          <w:color w:val="000000"/>
          <w:szCs w:val="20"/>
        </w:rPr>
        <w:sectPr w:rsidR="00AC2429" w:rsidRPr="003F7F6C" w:rsidSect="006353F2">
          <w:headerReference w:type="even" r:id="rId28"/>
          <w:headerReference w:type="default" r:id="rId29"/>
          <w:footerReference w:type="default" r:id="rId30"/>
          <w:headerReference w:type="first" r:id="rId31"/>
          <w:pgSz w:w="12240" w:h="15840" w:code="1"/>
          <w:pgMar w:top="1440" w:right="1440" w:bottom="1440" w:left="1440" w:header="720" w:footer="432" w:gutter="0"/>
          <w:cols w:space="708"/>
          <w:titlePg/>
          <w:docGrid w:linePitch="360"/>
        </w:sectPr>
      </w:pPr>
    </w:p>
    <w:p w14:paraId="1A1E7214" w14:textId="77777777" w:rsidR="00AC2429" w:rsidRPr="003F7F6C" w:rsidRDefault="00AC2429" w:rsidP="00A04E6F">
      <w:pPr>
        <w:autoSpaceDE w:val="0"/>
        <w:autoSpaceDN w:val="0"/>
        <w:adjustRightInd w:val="0"/>
        <w:spacing w:after="0"/>
        <w:jc w:val="left"/>
        <w:rPr>
          <w:color w:val="000000"/>
          <w:szCs w:val="20"/>
        </w:rPr>
      </w:pPr>
      <w:r w:rsidRPr="003F7F6C">
        <w:rPr>
          <w:b/>
          <w:color w:val="000000"/>
          <w:szCs w:val="20"/>
        </w:rPr>
        <w:t>Table 7</w:t>
      </w:r>
      <w:r w:rsidRPr="003F7F6C">
        <w:rPr>
          <w:color w:val="000000"/>
          <w:szCs w:val="20"/>
        </w:rPr>
        <w:t xml:space="preserve"> – Parallel Co-financing</w:t>
      </w:r>
    </w:p>
    <w:tbl>
      <w:tblPr>
        <w:tblW w:w="13989" w:type="dxa"/>
        <w:tblInd w:w="-452" w:type="dxa"/>
        <w:tblLayout w:type="fixed"/>
        <w:tblCellMar>
          <w:left w:w="70" w:type="dxa"/>
          <w:right w:w="70" w:type="dxa"/>
        </w:tblCellMar>
        <w:tblLook w:val="04A0" w:firstRow="1" w:lastRow="0" w:firstColumn="1" w:lastColumn="0" w:noHBand="0" w:noVBand="1"/>
      </w:tblPr>
      <w:tblGrid>
        <w:gridCol w:w="1156"/>
        <w:gridCol w:w="1209"/>
        <w:gridCol w:w="1201"/>
        <w:gridCol w:w="1209"/>
        <w:gridCol w:w="5103"/>
        <w:gridCol w:w="2051"/>
        <w:gridCol w:w="2060"/>
      </w:tblGrid>
      <w:tr w:rsidR="00AC2429" w:rsidRPr="003F7F6C" w14:paraId="46CD7A35" w14:textId="77777777" w:rsidTr="00871F77">
        <w:trPr>
          <w:trHeight w:val="440"/>
          <w:tblHeader/>
        </w:trPr>
        <w:tc>
          <w:tcPr>
            <w:tcW w:w="2365"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1D0B2463" w14:textId="77777777" w:rsidR="00AC2429" w:rsidRPr="003F7F6C" w:rsidRDefault="00AC2429" w:rsidP="00B163D7">
            <w:pPr>
              <w:spacing w:after="0"/>
              <w:jc w:val="left"/>
              <w:rPr>
                <w:rFonts w:eastAsia="Times New Roman" w:cs="Calibri"/>
                <w:b/>
                <w:bCs/>
                <w:color w:val="000000"/>
                <w:sz w:val="18"/>
                <w:szCs w:val="18"/>
                <w:lang w:val="es-PY" w:eastAsia="es-ES"/>
              </w:rPr>
            </w:pPr>
            <w:r w:rsidRPr="003F7F6C">
              <w:rPr>
                <w:rFonts w:eastAsia="Times New Roman" w:cs="Calibri"/>
                <w:b/>
                <w:bCs/>
                <w:color w:val="000000"/>
                <w:sz w:val="18"/>
                <w:szCs w:val="18"/>
                <w:lang w:val="es-PY" w:eastAsia="es-ES"/>
              </w:rPr>
              <w:t>Co-financing source</w:t>
            </w:r>
          </w:p>
        </w:tc>
        <w:tc>
          <w:tcPr>
            <w:tcW w:w="1201" w:type="dxa"/>
            <w:tcBorders>
              <w:top w:val="single" w:sz="4" w:space="0" w:color="auto"/>
              <w:left w:val="nil"/>
              <w:bottom w:val="single" w:sz="4" w:space="0" w:color="auto"/>
              <w:right w:val="single" w:sz="4" w:space="0" w:color="auto"/>
            </w:tcBorders>
            <w:shd w:val="clear" w:color="auto" w:fill="auto"/>
            <w:vAlign w:val="center"/>
            <w:hideMark/>
          </w:tcPr>
          <w:p w14:paraId="4F7FA981" w14:textId="77777777" w:rsidR="00AC2429" w:rsidRPr="003F7F6C" w:rsidRDefault="00AC2429" w:rsidP="00B163D7">
            <w:pPr>
              <w:spacing w:after="0"/>
              <w:jc w:val="center"/>
              <w:rPr>
                <w:rFonts w:eastAsia="Times New Roman" w:cs="Calibri"/>
                <w:b/>
                <w:bCs/>
                <w:color w:val="000000"/>
                <w:sz w:val="18"/>
                <w:szCs w:val="18"/>
                <w:lang w:val="es-PY" w:eastAsia="es-ES"/>
              </w:rPr>
            </w:pPr>
            <w:r w:rsidRPr="003F7F6C">
              <w:rPr>
                <w:rFonts w:eastAsia="Times New Roman" w:cs="Calibri"/>
                <w:b/>
                <w:bCs/>
                <w:color w:val="000000"/>
                <w:sz w:val="18"/>
                <w:szCs w:val="18"/>
                <w:lang w:val="es-PY" w:eastAsia="es-ES"/>
              </w:rPr>
              <w:t>Co-financing type</w:t>
            </w:r>
          </w:p>
        </w:tc>
        <w:tc>
          <w:tcPr>
            <w:tcW w:w="1209" w:type="dxa"/>
            <w:tcBorders>
              <w:top w:val="single" w:sz="4" w:space="0" w:color="auto"/>
              <w:left w:val="nil"/>
              <w:bottom w:val="single" w:sz="4" w:space="0" w:color="auto"/>
              <w:right w:val="single" w:sz="4" w:space="0" w:color="auto"/>
            </w:tcBorders>
            <w:shd w:val="clear" w:color="auto" w:fill="auto"/>
            <w:vAlign w:val="center"/>
            <w:hideMark/>
          </w:tcPr>
          <w:p w14:paraId="6F9694E6" w14:textId="77777777" w:rsidR="00AC2429" w:rsidRPr="003F7F6C" w:rsidRDefault="00AC2429" w:rsidP="00B163D7">
            <w:pPr>
              <w:spacing w:after="0"/>
              <w:jc w:val="center"/>
              <w:rPr>
                <w:rFonts w:eastAsia="Times New Roman" w:cs="Calibri"/>
                <w:b/>
                <w:bCs/>
                <w:color w:val="000000"/>
                <w:sz w:val="18"/>
                <w:szCs w:val="18"/>
                <w:lang w:val="es-PY" w:eastAsia="es-ES"/>
              </w:rPr>
            </w:pPr>
            <w:r w:rsidRPr="003F7F6C">
              <w:rPr>
                <w:rFonts w:eastAsia="Times New Roman" w:cs="Calibri"/>
                <w:b/>
                <w:bCs/>
                <w:color w:val="000000"/>
                <w:sz w:val="18"/>
                <w:szCs w:val="18"/>
                <w:lang w:val="es-PY" w:eastAsia="es-ES"/>
              </w:rPr>
              <w:t>Co-financing amount USD</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14:paraId="7EDB2FFD" w14:textId="77777777" w:rsidR="00AC2429" w:rsidRPr="003F7F6C" w:rsidRDefault="00AC2429" w:rsidP="00B163D7">
            <w:pPr>
              <w:spacing w:after="0"/>
              <w:jc w:val="center"/>
              <w:rPr>
                <w:rFonts w:eastAsia="Times New Roman" w:cs="Calibri"/>
                <w:b/>
                <w:bCs/>
                <w:color w:val="000000"/>
                <w:sz w:val="18"/>
                <w:szCs w:val="18"/>
                <w:lang w:val="es-PY" w:eastAsia="es-ES"/>
              </w:rPr>
            </w:pPr>
            <w:r w:rsidRPr="003F7F6C">
              <w:rPr>
                <w:rFonts w:eastAsia="Times New Roman" w:cs="Calibri"/>
                <w:b/>
                <w:bCs/>
                <w:color w:val="000000"/>
                <w:sz w:val="18"/>
                <w:szCs w:val="18"/>
                <w:lang w:val="es-PY" w:eastAsia="es-ES"/>
              </w:rPr>
              <w:t>Planned Activities/Outputs</w:t>
            </w:r>
          </w:p>
        </w:tc>
        <w:tc>
          <w:tcPr>
            <w:tcW w:w="2051" w:type="dxa"/>
            <w:tcBorders>
              <w:top w:val="single" w:sz="4" w:space="0" w:color="auto"/>
              <w:left w:val="nil"/>
              <w:bottom w:val="single" w:sz="4" w:space="0" w:color="auto"/>
              <w:right w:val="single" w:sz="4" w:space="0" w:color="auto"/>
            </w:tcBorders>
            <w:shd w:val="clear" w:color="auto" w:fill="auto"/>
            <w:vAlign w:val="center"/>
            <w:hideMark/>
          </w:tcPr>
          <w:p w14:paraId="39CD079A" w14:textId="77777777" w:rsidR="00AC2429" w:rsidRPr="003F7F6C" w:rsidRDefault="00AC2429" w:rsidP="00B163D7">
            <w:pPr>
              <w:spacing w:after="0"/>
              <w:jc w:val="center"/>
              <w:rPr>
                <w:rFonts w:eastAsia="Times New Roman" w:cs="Calibri"/>
                <w:b/>
                <w:bCs/>
                <w:color w:val="000000"/>
                <w:sz w:val="18"/>
                <w:szCs w:val="18"/>
                <w:lang w:val="es-PY" w:eastAsia="es-ES"/>
              </w:rPr>
            </w:pPr>
            <w:r w:rsidRPr="003F7F6C">
              <w:rPr>
                <w:rFonts w:eastAsia="Times New Roman" w:cs="Calibri"/>
                <w:b/>
                <w:bCs/>
                <w:color w:val="000000"/>
                <w:sz w:val="18"/>
                <w:szCs w:val="18"/>
                <w:lang w:val="es-PY" w:eastAsia="es-ES"/>
              </w:rPr>
              <w:t>Risks</w:t>
            </w:r>
          </w:p>
        </w:tc>
        <w:tc>
          <w:tcPr>
            <w:tcW w:w="2060" w:type="dxa"/>
            <w:tcBorders>
              <w:top w:val="single" w:sz="4" w:space="0" w:color="auto"/>
              <w:left w:val="nil"/>
              <w:bottom w:val="single" w:sz="4" w:space="0" w:color="auto"/>
              <w:right w:val="single" w:sz="4" w:space="0" w:color="auto"/>
            </w:tcBorders>
            <w:shd w:val="clear" w:color="auto" w:fill="auto"/>
            <w:vAlign w:val="center"/>
            <w:hideMark/>
          </w:tcPr>
          <w:p w14:paraId="09A9812E" w14:textId="77777777" w:rsidR="00AC2429" w:rsidRPr="003F7F6C" w:rsidRDefault="00AC2429" w:rsidP="00B163D7">
            <w:pPr>
              <w:spacing w:after="0"/>
              <w:jc w:val="center"/>
              <w:rPr>
                <w:rFonts w:eastAsia="Times New Roman" w:cs="Calibri"/>
                <w:b/>
                <w:bCs/>
                <w:color w:val="000000"/>
                <w:sz w:val="18"/>
                <w:szCs w:val="18"/>
                <w:lang w:val="es-PY" w:eastAsia="es-ES"/>
              </w:rPr>
            </w:pPr>
            <w:r w:rsidRPr="003F7F6C">
              <w:rPr>
                <w:rFonts w:eastAsia="Times New Roman" w:cs="Calibri"/>
                <w:b/>
                <w:bCs/>
                <w:color w:val="000000"/>
                <w:sz w:val="18"/>
                <w:szCs w:val="18"/>
                <w:lang w:val="es-PY" w:eastAsia="es-ES"/>
              </w:rPr>
              <w:t>Risk Mitigation Measures</w:t>
            </w:r>
          </w:p>
        </w:tc>
      </w:tr>
      <w:tr w:rsidR="00AC2429" w:rsidRPr="003F7F6C" w14:paraId="4ADD3FB4" w14:textId="77777777" w:rsidTr="00871F77">
        <w:trPr>
          <w:trHeight w:val="695"/>
        </w:trPr>
        <w:tc>
          <w:tcPr>
            <w:tcW w:w="1156" w:type="dxa"/>
            <w:vMerge w:val="restart"/>
            <w:tcBorders>
              <w:top w:val="nil"/>
              <w:left w:val="single" w:sz="4" w:space="0" w:color="auto"/>
              <w:right w:val="nil"/>
            </w:tcBorders>
            <w:shd w:val="clear" w:color="auto" w:fill="auto"/>
            <w:vAlign w:val="center"/>
          </w:tcPr>
          <w:p w14:paraId="53D61B72" w14:textId="77777777" w:rsidR="00AC2429" w:rsidRPr="003F7F6C" w:rsidRDefault="00AC2429" w:rsidP="00B163D7">
            <w:pPr>
              <w:spacing w:after="0"/>
              <w:jc w:val="left"/>
              <w:rPr>
                <w:rFonts w:eastAsia="Times New Roman" w:cs="Calibri"/>
                <w:color w:val="000000"/>
                <w:sz w:val="18"/>
                <w:szCs w:val="18"/>
                <w:lang w:val="es-PY" w:eastAsia="es-ES"/>
              </w:rPr>
            </w:pPr>
            <w:r w:rsidRPr="003F7F6C">
              <w:rPr>
                <w:rFonts w:eastAsia="Times New Roman" w:cs="Calibri"/>
                <w:color w:val="000000"/>
                <w:sz w:val="18"/>
                <w:szCs w:val="18"/>
                <w:lang w:val="es-PY" w:eastAsia="es-ES"/>
              </w:rPr>
              <w:t>National government</w:t>
            </w:r>
          </w:p>
        </w:tc>
        <w:tc>
          <w:tcPr>
            <w:tcW w:w="1209" w:type="dxa"/>
            <w:vMerge w:val="restart"/>
            <w:tcBorders>
              <w:top w:val="nil"/>
              <w:left w:val="nil"/>
              <w:right w:val="single" w:sz="4" w:space="0" w:color="auto"/>
            </w:tcBorders>
            <w:shd w:val="clear" w:color="auto" w:fill="auto"/>
            <w:noWrap/>
            <w:vAlign w:val="center"/>
          </w:tcPr>
          <w:p w14:paraId="57E7B63C" w14:textId="77777777" w:rsidR="00AC2429" w:rsidRPr="003F7F6C" w:rsidRDefault="00AC2429" w:rsidP="00B163D7">
            <w:pPr>
              <w:spacing w:after="0"/>
              <w:jc w:val="left"/>
              <w:rPr>
                <w:rFonts w:eastAsia="Times New Roman" w:cs="Calibri"/>
                <w:color w:val="000000"/>
                <w:sz w:val="18"/>
                <w:szCs w:val="18"/>
                <w:lang w:val="es-PY" w:eastAsia="es-ES"/>
              </w:rPr>
            </w:pPr>
            <w:r w:rsidRPr="003F7F6C">
              <w:rPr>
                <w:rFonts w:eastAsia="Times New Roman" w:cs="Calibri"/>
                <w:color w:val="000000"/>
                <w:sz w:val="18"/>
                <w:szCs w:val="18"/>
                <w:lang w:val="es-PY" w:eastAsia="es-ES"/>
              </w:rPr>
              <w:t>SGAyDS</w:t>
            </w:r>
          </w:p>
        </w:tc>
        <w:tc>
          <w:tcPr>
            <w:tcW w:w="1201" w:type="dxa"/>
            <w:tcBorders>
              <w:top w:val="nil"/>
              <w:left w:val="nil"/>
              <w:bottom w:val="single" w:sz="4" w:space="0" w:color="auto"/>
              <w:right w:val="single" w:sz="4" w:space="0" w:color="auto"/>
            </w:tcBorders>
            <w:shd w:val="clear" w:color="auto" w:fill="auto"/>
            <w:noWrap/>
            <w:vAlign w:val="center"/>
          </w:tcPr>
          <w:p w14:paraId="6F47031F" w14:textId="77777777" w:rsidR="00AC2429" w:rsidRPr="003F7F6C" w:rsidRDefault="00AC2429" w:rsidP="00B163D7">
            <w:pPr>
              <w:spacing w:after="0"/>
              <w:jc w:val="left"/>
              <w:rPr>
                <w:rFonts w:eastAsia="Times New Roman" w:cs="Calibri"/>
                <w:color w:val="000000"/>
                <w:sz w:val="18"/>
                <w:szCs w:val="18"/>
                <w:lang w:val="es-PY" w:eastAsia="es-ES"/>
              </w:rPr>
            </w:pPr>
            <w:r w:rsidRPr="003F7F6C">
              <w:rPr>
                <w:rFonts w:eastAsia="Times New Roman" w:cs="Calibri"/>
                <w:color w:val="000000"/>
                <w:sz w:val="18"/>
                <w:szCs w:val="18"/>
                <w:lang w:val="es-PY" w:eastAsia="es-ES"/>
              </w:rPr>
              <w:t>Grants</w:t>
            </w:r>
          </w:p>
        </w:tc>
        <w:tc>
          <w:tcPr>
            <w:tcW w:w="1209" w:type="dxa"/>
            <w:tcBorders>
              <w:top w:val="nil"/>
              <w:left w:val="nil"/>
              <w:bottom w:val="single" w:sz="4" w:space="0" w:color="auto"/>
              <w:right w:val="single" w:sz="4" w:space="0" w:color="auto"/>
            </w:tcBorders>
            <w:shd w:val="clear" w:color="auto" w:fill="auto"/>
            <w:noWrap/>
            <w:vAlign w:val="center"/>
          </w:tcPr>
          <w:p w14:paraId="124FA89C" w14:textId="5A15E6B7" w:rsidR="00AC2429" w:rsidRPr="003F7F6C" w:rsidRDefault="004746A7" w:rsidP="00B163D7">
            <w:pPr>
              <w:spacing w:after="0"/>
              <w:jc w:val="right"/>
              <w:rPr>
                <w:rFonts w:eastAsia="Times New Roman" w:cs="Calibri"/>
                <w:color w:val="000000"/>
                <w:sz w:val="18"/>
                <w:szCs w:val="18"/>
                <w:lang w:val="es-PY" w:eastAsia="es-ES"/>
              </w:rPr>
            </w:pPr>
            <w:r w:rsidRPr="003F7F6C">
              <w:rPr>
                <w:rFonts w:eastAsia="Times New Roman" w:cs="Calibri"/>
                <w:color w:val="000000"/>
                <w:sz w:val="18"/>
                <w:szCs w:val="18"/>
                <w:lang w:val="es-PY" w:eastAsia="es-ES"/>
              </w:rPr>
              <w:t>12,611,232</w:t>
            </w:r>
          </w:p>
        </w:tc>
        <w:tc>
          <w:tcPr>
            <w:tcW w:w="5103" w:type="dxa"/>
            <w:tcBorders>
              <w:top w:val="nil"/>
              <w:left w:val="nil"/>
              <w:bottom w:val="single" w:sz="4" w:space="0" w:color="auto"/>
              <w:right w:val="nil"/>
            </w:tcBorders>
            <w:shd w:val="clear" w:color="auto" w:fill="auto"/>
          </w:tcPr>
          <w:p w14:paraId="15043554" w14:textId="3E19A049" w:rsidR="00AC2429" w:rsidRPr="003F7F6C" w:rsidRDefault="00AC2429" w:rsidP="00B163D7">
            <w:pPr>
              <w:spacing w:after="0"/>
              <w:jc w:val="left"/>
              <w:rPr>
                <w:rFonts w:eastAsia="Times New Roman" w:cs="Calibri"/>
                <w:color w:val="000000"/>
                <w:sz w:val="18"/>
                <w:szCs w:val="18"/>
                <w:lang w:eastAsia="es-ES"/>
              </w:rPr>
            </w:pPr>
            <w:r w:rsidRPr="003F7F6C">
              <w:rPr>
                <w:rFonts w:eastAsia="Times New Roman" w:cs="Calibri"/>
                <w:color w:val="000000"/>
                <w:sz w:val="18"/>
                <w:szCs w:val="18"/>
                <w:lang w:eastAsia="es-ES"/>
              </w:rPr>
              <w:t>Cost of salaries of managerial, technical</w:t>
            </w:r>
            <w:r w:rsidR="00466F20" w:rsidRPr="003F7F6C">
              <w:rPr>
                <w:rFonts w:eastAsia="Times New Roman" w:cs="Calibri"/>
                <w:color w:val="000000"/>
                <w:sz w:val="18"/>
                <w:szCs w:val="18"/>
                <w:lang w:eastAsia="es-ES"/>
              </w:rPr>
              <w:t xml:space="preserve"> (ELUP specialists, Communication Specialist)</w:t>
            </w:r>
            <w:r w:rsidRPr="003F7F6C">
              <w:rPr>
                <w:rFonts w:eastAsia="Times New Roman" w:cs="Calibri"/>
                <w:color w:val="000000"/>
                <w:sz w:val="18"/>
                <w:szCs w:val="18"/>
                <w:lang w:eastAsia="es-ES"/>
              </w:rPr>
              <w:t xml:space="preserve"> and administrative staff assigned to the project; publications; operation and maintenance of premises for project offices; operation and maintenance of equipment; </w:t>
            </w:r>
            <w:r w:rsidR="00100819" w:rsidRPr="003F7F6C">
              <w:rPr>
                <w:rFonts w:eastAsia="Times New Roman" w:cs="Calibri"/>
                <w:color w:val="000000"/>
                <w:sz w:val="18"/>
                <w:szCs w:val="18"/>
                <w:lang w:eastAsia="es-ES"/>
              </w:rPr>
              <w:t xml:space="preserve">investment in </w:t>
            </w:r>
            <w:r w:rsidRPr="003F7F6C">
              <w:rPr>
                <w:rFonts w:eastAsia="Times New Roman" w:cs="Calibri"/>
                <w:color w:val="000000"/>
                <w:sz w:val="18"/>
                <w:szCs w:val="18"/>
                <w:lang w:eastAsia="es-ES"/>
              </w:rPr>
              <w:t>Policies and Programs of the Secretariat of Environmental Policy for Natural Resources and the National Directorate for Planning and Environmental Land Use Planning</w:t>
            </w:r>
          </w:p>
        </w:tc>
        <w:tc>
          <w:tcPr>
            <w:tcW w:w="2051" w:type="dxa"/>
            <w:tcBorders>
              <w:top w:val="nil"/>
              <w:left w:val="single" w:sz="4" w:space="0" w:color="auto"/>
              <w:bottom w:val="single" w:sz="4" w:space="0" w:color="auto"/>
              <w:right w:val="single" w:sz="4" w:space="0" w:color="auto"/>
            </w:tcBorders>
            <w:shd w:val="clear" w:color="auto" w:fill="auto"/>
            <w:vAlign w:val="center"/>
          </w:tcPr>
          <w:p w14:paraId="5D7E8406" w14:textId="77777777" w:rsidR="00AC2429" w:rsidRPr="003F7F6C" w:rsidRDefault="00AC2429" w:rsidP="00B163D7">
            <w:pPr>
              <w:spacing w:after="0"/>
              <w:jc w:val="left"/>
              <w:rPr>
                <w:rFonts w:eastAsia="Times New Roman" w:cs="Calibri"/>
                <w:color w:val="000000"/>
                <w:sz w:val="18"/>
                <w:szCs w:val="18"/>
                <w:lang w:eastAsia="es-ES"/>
              </w:rPr>
            </w:pPr>
            <w:r w:rsidRPr="003F7F6C">
              <w:rPr>
                <w:rFonts w:eastAsia="Times New Roman" w:cs="Calibri"/>
                <w:color w:val="000000"/>
                <w:sz w:val="18"/>
                <w:szCs w:val="18"/>
                <w:lang w:eastAsia="es-ES"/>
              </w:rPr>
              <w:t>Medium Risk. Dependent on annual budgeting and effective allocation of funds to the institution.</w:t>
            </w:r>
          </w:p>
          <w:p w14:paraId="599BAFF9" w14:textId="77777777" w:rsidR="00AC2429" w:rsidRPr="003F7F6C" w:rsidRDefault="00AC2429" w:rsidP="00B163D7">
            <w:pPr>
              <w:spacing w:after="0"/>
              <w:jc w:val="left"/>
              <w:rPr>
                <w:rFonts w:eastAsia="Times New Roman" w:cs="Calibri"/>
                <w:color w:val="000000"/>
                <w:sz w:val="18"/>
                <w:szCs w:val="18"/>
                <w:lang w:eastAsia="es-ES"/>
              </w:rPr>
            </w:pPr>
          </w:p>
        </w:tc>
        <w:tc>
          <w:tcPr>
            <w:tcW w:w="2060" w:type="dxa"/>
            <w:tcBorders>
              <w:top w:val="nil"/>
              <w:left w:val="nil"/>
              <w:bottom w:val="single" w:sz="4" w:space="0" w:color="auto"/>
              <w:right w:val="single" w:sz="4" w:space="0" w:color="auto"/>
            </w:tcBorders>
            <w:shd w:val="clear" w:color="auto" w:fill="auto"/>
          </w:tcPr>
          <w:p w14:paraId="44BABC79" w14:textId="77777777" w:rsidR="00AC2429" w:rsidRPr="003F7F6C" w:rsidRDefault="00AC2429" w:rsidP="00B163D7">
            <w:pPr>
              <w:spacing w:after="0"/>
              <w:jc w:val="left"/>
              <w:rPr>
                <w:rFonts w:eastAsia="Times New Roman" w:cs="Calibri"/>
                <w:color w:val="000000"/>
                <w:sz w:val="18"/>
                <w:szCs w:val="18"/>
                <w:lang w:eastAsia="es-ES"/>
              </w:rPr>
            </w:pPr>
            <w:r w:rsidRPr="003F7F6C">
              <w:rPr>
                <w:rFonts w:eastAsia="Times New Roman" w:cs="Calibri"/>
                <w:color w:val="000000"/>
                <w:sz w:val="18"/>
                <w:szCs w:val="18"/>
                <w:lang w:eastAsia="es-ES"/>
              </w:rPr>
              <w:t>The UNDP CO will monitor the co-financing contributions to the project.</w:t>
            </w:r>
          </w:p>
        </w:tc>
      </w:tr>
      <w:tr w:rsidR="00AC2429" w:rsidRPr="003F7F6C" w14:paraId="038ABFF7" w14:textId="77777777" w:rsidTr="00871F77">
        <w:trPr>
          <w:trHeight w:val="695"/>
        </w:trPr>
        <w:tc>
          <w:tcPr>
            <w:tcW w:w="1156" w:type="dxa"/>
            <w:vMerge/>
            <w:tcBorders>
              <w:left w:val="single" w:sz="4" w:space="0" w:color="auto"/>
              <w:bottom w:val="nil"/>
              <w:right w:val="nil"/>
            </w:tcBorders>
            <w:shd w:val="clear" w:color="auto" w:fill="auto"/>
            <w:vAlign w:val="center"/>
          </w:tcPr>
          <w:p w14:paraId="24E1BCC0" w14:textId="77777777" w:rsidR="00AC2429" w:rsidRPr="003F7F6C" w:rsidRDefault="00AC2429" w:rsidP="00B163D7">
            <w:pPr>
              <w:spacing w:after="0"/>
              <w:jc w:val="left"/>
              <w:rPr>
                <w:rFonts w:eastAsia="Times New Roman" w:cs="Calibri"/>
                <w:color w:val="000000"/>
                <w:sz w:val="18"/>
                <w:szCs w:val="18"/>
                <w:lang w:eastAsia="es-ES"/>
              </w:rPr>
            </w:pPr>
          </w:p>
        </w:tc>
        <w:tc>
          <w:tcPr>
            <w:tcW w:w="1209" w:type="dxa"/>
            <w:vMerge/>
            <w:tcBorders>
              <w:left w:val="nil"/>
              <w:bottom w:val="single" w:sz="4" w:space="0" w:color="auto"/>
              <w:right w:val="single" w:sz="4" w:space="0" w:color="auto"/>
            </w:tcBorders>
            <w:shd w:val="clear" w:color="auto" w:fill="auto"/>
            <w:noWrap/>
            <w:vAlign w:val="center"/>
          </w:tcPr>
          <w:p w14:paraId="0312DBDC" w14:textId="77777777" w:rsidR="00AC2429" w:rsidRPr="003F7F6C" w:rsidRDefault="00AC2429" w:rsidP="00B163D7">
            <w:pPr>
              <w:spacing w:after="0"/>
              <w:jc w:val="left"/>
              <w:rPr>
                <w:rFonts w:eastAsia="Times New Roman" w:cs="Calibri"/>
                <w:color w:val="000000"/>
                <w:sz w:val="18"/>
                <w:szCs w:val="18"/>
                <w:lang w:eastAsia="es-ES"/>
              </w:rPr>
            </w:pPr>
          </w:p>
        </w:tc>
        <w:tc>
          <w:tcPr>
            <w:tcW w:w="1201" w:type="dxa"/>
            <w:tcBorders>
              <w:top w:val="nil"/>
              <w:left w:val="nil"/>
              <w:bottom w:val="single" w:sz="4" w:space="0" w:color="auto"/>
              <w:right w:val="single" w:sz="4" w:space="0" w:color="auto"/>
            </w:tcBorders>
            <w:shd w:val="clear" w:color="auto" w:fill="auto"/>
            <w:noWrap/>
            <w:vAlign w:val="center"/>
          </w:tcPr>
          <w:p w14:paraId="05892CB1" w14:textId="77777777" w:rsidR="00AC2429" w:rsidRPr="003F7F6C" w:rsidRDefault="00AC2429" w:rsidP="00B163D7">
            <w:pPr>
              <w:spacing w:after="0"/>
              <w:jc w:val="left"/>
              <w:rPr>
                <w:rFonts w:eastAsia="Times New Roman" w:cs="Calibri"/>
                <w:color w:val="000000"/>
                <w:sz w:val="18"/>
                <w:szCs w:val="18"/>
                <w:lang w:val="es-PY" w:eastAsia="es-ES"/>
              </w:rPr>
            </w:pPr>
            <w:r w:rsidRPr="003F7F6C">
              <w:rPr>
                <w:rFonts w:eastAsia="Times New Roman" w:cs="Calibri"/>
                <w:color w:val="000000"/>
                <w:sz w:val="18"/>
                <w:szCs w:val="18"/>
                <w:lang w:val="es-PY" w:eastAsia="es-ES"/>
              </w:rPr>
              <w:t>In-kind</w:t>
            </w:r>
          </w:p>
        </w:tc>
        <w:tc>
          <w:tcPr>
            <w:tcW w:w="1209" w:type="dxa"/>
            <w:tcBorders>
              <w:top w:val="nil"/>
              <w:left w:val="nil"/>
              <w:bottom w:val="single" w:sz="4" w:space="0" w:color="auto"/>
              <w:right w:val="single" w:sz="4" w:space="0" w:color="auto"/>
            </w:tcBorders>
            <w:shd w:val="clear" w:color="auto" w:fill="auto"/>
            <w:noWrap/>
            <w:vAlign w:val="center"/>
          </w:tcPr>
          <w:p w14:paraId="7A842464" w14:textId="77777777" w:rsidR="00AC2429" w:rsidRPr="003F7F6C" w:rsidRDefault="00AC2429" w:rsidP="00B163D7">
            <w:pPr>
              <w:spacing w:after="0"/>
              <w:jc w:val="right"/>
              <w:rPr>
                <w:rFonts w:eastAsia="Times New Roman" w:cs="Calibri"/>
                <w:color w:val="000000"/>
                <w:sz w:val="18"/>
                <w:szCs w:val="18"/>
                <w:lang w:val="es-PY" w:eastAsia="es-ES"/>
              </w:rPr>
            </w:pPr>
            <w:r w:rsidRPr="003F7F6C">
              <w:rPr>
                <w:rFonts w:eastAsia="Times New Roman" w:cs="Calibri"/>
                <w:color w:val="000000"/>
                <w:sz w:val="18"/>
                <w:szCs w:val="18"/>
                <w:lang w:val="es-PY" w:eastAsia="es-ES"/>
              </w:rPr>
              <w:t>2,910,000</w:t>
            </w:r>
          </w:p>
        </w:tc>
        <w:tc>
          <w:tcPr>
            <w:tcW w:w="5103" w:type="dxa"/>
            <w:tcBorders>
              <w:top w:val="nil"/>
              <w:left w:val="nil"/>
              <w:bottom w:val="single" w:sz="4" w:space="0" w:color="auto"/>
              <w:right w:val="nil"/>
            </w:tcBorders>
            <w:shd w:val="clear" w:color="auto" w:fill="auto"/>
          </w:tcPr>
          <w:p w14:paraId="3A7519F6" w14:textId="77777777" w:rsidR="00AC2429" w:rsidRPr="003F7F6C" w:rsidRDefault="00AC2429" w:rsidP="00B163D7">
            <w:pPr>
              <w:spacing w:after="0"/>
              <w:jc w:val="left"/>
              <w:rPr>
                <w:rFonts w:eastAsia="Times New Roman" w:cs="Calibri"/>
                <w:color w:val="000000"/>
                <w:sz w:val="18"/>
                <w:szCs w:val="18"/>
                <w:lang w:eastAsia="es-ES"/>
              </w:rPr>
            </w:pPr>
            <w:r w:rsidRPr="003F7F6C">
              <w:rPr>
                <w:rFonts w:eastAsia="Times New Roman" w:cs="Calibri"/>
                <w:color w:val="000000"/>
                <w:sz w:val="18"/>
                <w:szCs w:val="18"/>
                <w:lang w:eastAsia="es-ES"/>
              </w:rPr>
              <w:t>Premises for project offices; basic services; office furniture and equipment; vehicles.</w:t>
            </w:r>
          </w:p>
        </w:tc>
        <w:tc>
          <w:tcPr>
            <w:tcW w:w="2051" w:type="dxa"/>
            <w:tcBorders>
              <w:top w:val="nil"/>
              <w:left w:val="single" w:sz="4" w:space="0" w:color="auto"/>
              <w:bottom w:val="single" w:sz="4" w:space="0" w:color="auto"/>
              <w:right w:val="single" w:sz="4" w:space="0" w:color="auto"/>
            </w:tcBorders>
            <w:shd w:val="clear" w:color="auto" w:fill="auto"/>
            <w:vAlign w:val="center"/>
          </w:tcPr>
          <w:p w14:paraId="3971D6D9" w14:textId="77777777" w:rsidR="00AC2429" w:rsidRPr="003F7F6C" w:rsidRDefault="00AC2429" w:rsidP="00B163D7">
            <w:pPr>
              <w:spacing w:after="0"/>
              <w:jc w:val="left"/>
              <w:rPr>
                <w:rFonts w:eastAsia="Times New Roman" w:cs="Calibri"/>
                <w:color w:val="000000"/>
                <w:sz w:val="18"/>
                <w:szCs w:val="18"/>
                <w:lang w:eastAsia="es-ES"/>
              </w:rPr>
            </w:pPr>
            <w:r w:rsidRPr="003F7F6C">
              <w:rPr>
                <w:rFonts w:eastAsia="Times New Roman" w:cs="Calibri"/>
                <w:color w:val="000000"/>
                <w:sz w:val="18"/>
                <w:szCs w:val="18"/>
                <w:lang w:eastAsia="es-ES"/>
              </w:rPr>
              <w:t>Low Risk</w:t>
            </w:r>
          </w:p>
        </w:tc>
        <w:tc>
          <w:tcPr>
            <w:tcW w:w="2060" w:type="dxa"/>
            <w:tcBorders>
              <w:top w:val="nil"/>
              <w:left w:val="nil"/>
              <w:bottom w:val="single" w:sz="4" w:space="0" w:color="auto"/>
              <w:right w:val="single" w:sz="4" w:space="0" w:color="auto"/>
            </w:tcBorders>
            <w:shd w:val="clear" w:color="auto" w:fill="auto"/>
          </w:tcPr>
          <w:p w14:paraId="5F4C0C8F" w14:textId="77777777" w:rsidR="00AC2429" w:rsidRPr="003F7F6C" w:rsidRDefault="00AC2429" w:rsidP="00B163D7">
            <w:pPr>
              <w:spacing w:after="0"/>
              <w:jc w:val="left"/>
              <w:rPr>
                <w:rFonts w:eastAsia="Times New Roman" w:cs="Calibri"/>
                <w:color w:val="000000"/>
                <w:sz w:val="18"/>
                <w:szCs w:val="18"/>
                <w:lang w:eastAsia="es-ES"/>
              </w:rPr>
            </w:pPr>
            <w:r w:rsidRPr="003F7F6C">
              <w:rPr>
                <w:rFonts w:eastAsia="Times New Roman" w:cs="Calibri"/>
                <w:color w:val="000000"/>
                <w:sz w:val="18"/>
                <w:szCs w:val="18"/>
                <w:lang w:eastAsia="es-ES"/>
              </w:rPr>
              <w:t>The UNDP CO will monitor the co-financing contributions to the project.</w:t>
            </w:r>
          </w:p>
        </w:tc>
      </w:tr>
      <w:tr w:rsidR="00AC2429" w:rsidRPr="003F7F6C" w14:paraId="1A7FFD5C" w14:textId="77777777" w:rsidTr="00871F77">
        <w:trPr>
          <w:trHeight w:val="705"/>
        </w:trPr>
        <w:tc>
          <w:tcPr>
            <w:tcW w:w="1156" w:type="dxa"/>
            <w:vMerge w:val="restart"/>
            <w:tcBorders>
              <w:top w:val="single" w:sz="4" w:space="0" w:color="auto"/>
              <w:left w:val="single" w:sz="4" w:space="0" w:color="auto"/>
              <w:right w:val="nil"/>
            </w:tcBorders>
            <w:shd w:val="clear" w:color="auto" w:fill="auto"/>
            <w:vAlign w:val="center"/>
          </w:tcPr>
          <w:p w14:paraId="7CF31D6D" w14:textId="77777777" w:rsidR="00AC2429" w:rsidRPr="003F7F6C" w:rsidRDefault="00AC2429" w:rsidP="00B163D7">
            <w:pPr>
              <w:spacing w:after="0"/>
              <w:jc w:val="left"/>
              <w:rPr>
                <w:rFonts w:eastAsia="Times New Roman" w:cs="Calibri"/>
                <w:color w:val="000000"/>
                <w:sz w:val="18"/>
                <w:szCs w:val="18"/>
                <w:lang w:val="es-PY" w:eastAsia="es-ES"/>
              </w:rPr>
            </w:pPr>
            <w:r w:rsidRPr="003F7F6C">
              <w:rPr>
                <w:rFonts w:eastAsia="Times New Roman" w:cs="Calibri"/>
                <w:color w:val="000000"/>
                <w:sz w:val="18"/>
                <w:szCs w:val="18"/>
                <w:lang w:val="es-PY" w:eastAsia="es-ES"/>
              </w:rPr>
              <w:t>National government</w:t>
            </w:r>
          </w:p>
        </w:tc>
        <w:tc>
          <w:tcPr>
            <w:tcW w:w="1209" w:type="dxa"/>
            <w:vMerge w:val="restart"/>
            <w:tcBorders>
              <w:top w:val="single" w:sz="4" w:space="0" w:color="auto"/>
              <w:left w:val="nil"/>
              <w:right w:val="single" w:sz="4" w:space="0" w:color="auto"/>
            </w:tcBorders>
            <w:shd w:val="clear" w:color="auto" w:fill="auto"/>
            <w:vAlign w:val="center"/>
          </w:tcPr>
          <w:p w14:paraId="15BCCF5E" w14:textId="77777777" w:rsidR="00AC2429" w:rsidRPr="003F7F6C" w:rsidRDefault="00AC2429" w:rsidP="00B163D7">
            <w:pPr>
              <w:spacing w:after="0"/>
              <w:jc w:val="left"/>
              <w:rPr>
                <w:rFonts w:eastAsia="Times New Roman" w:cs="Calibri"/>
                <w:color w:val="000000"/>
                <w:sz w:val="18"/>
                <w:szCs w:val="18"/>
                <w:lang w:val="es-PY" w:eastAsia="es-ES"/>
              </w:rPr>
            </w:pPr>
            <w:r w:rsidRPr="003F7F6C">
              <w:rPr>
                <w:rFonts w:eastAsia="Times New Roman" w:cs="Calibri"/>
                <w:color w:val="000000"/>
                <w:sz w:val="18"/>
                <w:szCs w:val="18"/>
                <w:lang w:val="es-PY" w:eastAsia="es-ES"/>
              </w:rPr>
              <w:t>INTA</w:t>
            </w:r>
          </w:p>
        </w:tc>
        <w:tc>
          <w:tcPr>
            <w:tcW w:w="1201" w:type="dxa"/>
            <w:tcBorders>
              <w:top w:val="single" w:sz="4" w:space="0" w:color="auto"/>
              <w:left w:val="nil"/>
              <w:bottom w:val="single" w:sz="4" w:space="0" w:color="auto"/>
              <w:right w:val="single" w:sz="4" w:space="0" w:color="auto"/>
            </w:tcBorders>
            <w:shd w:val="clear" w:color="auto" w:fill="auto"/>
            <w:noWrap/>
            <w:vAlign w:val="center"/>
          </w:tcPr>
          <w:p w14:paraId="076C0ADD" w14:textId="77777777" w:rsidR="00AC2429" w:rsidRPr="003F7F6C" w:rsidRDefault="00AC2429" w:rsidP="00B163D7">
            <w:pPr>
              <w:spacing w:after="0"/>
              <w:jc w:val="left"/>
              <w:rPr>
                <w:rFonts w:eastAsia="Times New Roman" w:cs="Calibri"/>
                <w:color w:val="000000"/>
                <w:sz w:val="18"/>
                <w:szCs w:val="18"/>
                <w:lang w:val="es-PY" w:eastAsia="es-ES"/>
              </w:rPr>
            </w:pPr>
            <w:r w:rsidRPr="003F7F6C">
              <w:rPr>
                <w:rFonts w:eastAsia="Times New Roman" w:cs="Calibri"/>
                <w:color w:val="000000"/>
                <w:sz w:val="18"/>
                <w:szCs w:val="18"/>
                <w:lang w:val="es-PY" w:eastAsia="es-ES"/>
              </w:rPr>
              <w:t>Grants</w:t>
            </w:r>
          </w:p>
        </w:tc>
        <w:tc>
          <w:tcPr>
            <w:tcW w:w="1209" w:type="dxa"/>
            <w:tcBorders>
              <w:top w:val="single" w:sz="4" w:space="0" w:color="auto"/>
              <w:left w:val="nil"/>
              <w:bottom w:val="single" w:sz="4" w:space="0" w:color="auto"/>
              <w:right w:val="single" w:sz="4" w:space="0" w:color="auto"/>
            </w:tcBorders>
            <w:shd w:val="clear" w:color="auto" w:fill="auto"/>
            <w:noWrap/>
            <w:vAlign w:val="center"/>
          </w:tcPr>
          <w:p w14:paraId="56E97F39" w14:textId="77777777" w:rsidR="00AC2429" w:rsidRPr="003F7F6C" w:rsidRDefault="00AC2429" w:rsidP="00B163D7">
            <w:pPr>
              <w:spacing w:after="0"/>
              <w:jc w:val="right"/>
              <w:rPr>
                <w:rFonts w:eastAsia="Times New Roman" w:cs="Calibri"/>
                <w:color w:val="000000"/>
                <w:sz w:val="18"/>
                <w:szCs w:val="18"/>
                <w:lang w:val="es-PY" w:eastAsia="es-ES"/>
              </w:rPr>
            </w:pPr>
            <w:r w:rsidRPr="003F7F6C">
              <w:rPr>
                <w:rFonts w:eastAsia="Times New Roman" w:cs="Calibri"/>
                <w:color w:val="000000"/>
                <w:sz w:val="18"/>
                <w:szCs w:val="18"/>
                <w:lang w:val="es-PY" w:eastAsia="es-ES"/>
              </w:rPr>
              <w:t>4,500,000</w:t>
            </w:r>
          </w:p>
        </w:tc>
        <w:tc>
          <w:tcPr>
            <w:tcW w:w="5103" w:type="dxa"/>
            <w:tcBorders>
              <w:top w:val="single" w:sz="4" w:space="0" w:color="auto"/>
              <w:left w:val="nil"/>
              <w:bottom w:val="single" w:sz="4" w:space="0" w:color="auto"/>
              <w:right w:val="nil"/>
            </w:tcBorders>
            <w:shd w:val="clear" w:color="auto" w:fill="auto"/>
          </w:tcPr>
          <w:p w14:paraId="56C29DB9" w14:textId="77777777" w:rsidR="00AC2429" w:rsidRPr="003F7F6C" w:rsidRDefault="00AC2429" w:rsidP="00B163D7">
            <w:pPr>
              <w:spacing w:after="0"/>
              <w:jc w:val="left"/>
              <w:rPr>
                <w:rFonts w:eastAsia="Times New Roman" w:cs="Calibri"/>
                <w:color w:val="000000"/>
                <w:sz w:val="18"/>
                <w:szCs w:val="18"/>
                <w:lang w:eastAsia="es-ES"/>
              </w:rPr>
            </w:pPr>
            <w:r w:rsidRPr="003F7F6C">
              <w:rPr>
                <w:rFonts w:eastAsia="Times New Roman" w:cs="Calibri"/>
                <w:color w:val="000000"/>
                <w:sz w:val="18"/>
                <w:szCs w:val="18"/>
                <w:lang w:eastAsia="es-ES"/>
              </w:rPr>
              <w:t>Cost of salaries of managerial, technical and administrative staff assigned to the project; contracts with third party organizations; training (individual, group, field trips, study tours, workshops, seminars); meetings; maintenance of equipment.</w:t>
            </w:r>
          </w:p>
        </w:tc>
        <w:tc>
          <w:tcPr>
            <w:tcW w:w="2051" w:type="dxa"/>
            <w:tcBorders>
              <w:top w:val="single" w:sz="4" w:space="0" w:color="auto"/>
              <w:left w:val="single" w:sz="4" w:space="0" w:color="auto"/>
              <w:bottom w:val="single" w:sz="4" w:space="0" w:color="auto"/>
              <w:right w:val="single" w:sz="4" w:space="0" w:color="auto"/>
            </w:tcBorders>
            <w:shd w:val="clear" w:color="auto" w:fill="auto"/>
            <w:vAlign w:val="center"/>
          </w:tcPr>
          <w:p w14:paraId="0329B141" w14:textId="77777777" w:rsidR="00AC2429" w:rsidRPr="003F7F6C" w:rsidRDefault="00AC2429" w:rsidP="00B163D7">
            <w:pPr>
              <w:spacing w:after="0"/>
              <w:jc w:val="left"/>
              <w:rPr>
                <w:rFonts w:eastAsia="Times New Roman" w:cs="Calibri"/>
                <w:color w:val="000000"/>
                <w:sz w:val="18"/>
                <w:szCs w:val="18"/>
                <w:lang w:eastAsia="es-ES"/>
              </w:rPr>
            </w:pPr>
            <w:r w:rsidRPr="003F7F6C">
              <w:rPr>
                <w:rFonts w:eastAsia="Times New Roman" w:cs="Calibri"/>
                <w:color w:val="000000"/>
                <w:sz w:val="18"/>
                <w:szCs w:val="18"/>
                <w:lang w:eastAsia="es-ES"/>
              </w:rPr>
              <w:t>Medium Risk. Dependent on annual budgeting and effective allocation of funds to the institution.</w:t>
            </w:r>
          </w:p>
        </w:tc>
        <w:tc>
          <w:tcPr>
            <w:tcW w:w="2060" w:type="dxa"/>
            <w:tcBorders>
              <w:top w:val="single" w:sz="4" w:space="0" w:color="auto"/>
              <w:left w:val="nil"/>
              <w:bottom w:val="single" w:sz="4" w:space="0" w:color="auto"/>
              <w:right w:val="single" w:sz="4" w:space="0" w:color="auto"/>
            </w:tcBorders>
            <w:shd w:val="clear" w:color="auto" w:fill="auto"/>
            <w:hideMark/>
          </w:tcPr>
          <w:p w14:paraId="7181C56E" w14:textId="77777777" w:rsidR="00AC2429" w:rsidRPr="003F7F6C" w:rsidRDefault="00AC2429" w:rsidP="00B163D7">
            <w:pPr>
              <w:spacing w:after="0"/>
              <w:jc w:val="left"/>
              <w:rPr>
                <w:rFonts w:eastAsia="Times New Roman" w:cs="Calibri"/>
                <w:color w:val="000000"/>
                <w:sz w:val="18"/>
                <w:szCs w:val="18"/>
                <w:lang w:eastAsia="es-ES"/>
              </w:rPr>
            </w:pPr>
            <w:r w:rsidRPr="003F7F6C">
              <w:rPr>
                <w:rFonts w:eastAsia="Times New Roman" w:cs="Calibri"/>
                <w:color w:val="000000"/>
                <w:sz w:val="18"/>
                <w:szCs w:val="18"/>
                <w:lang w:eastAsia="es-ES"/>
              </w:rPr>
              <w:t>The UNDP CO will monitor the co-financing contributions to the project.</w:t>
            </w:r>
          </w:p>
        </w:tc>
      </w:tr>
      <w:tr w:rsidR="00AC2429" w:rsidRPr="003F7F6C" w14:paraId="0E33F82F" w14:textId="77777777" w:rsidTr="00871F77">
        <w:trPr>
          <w:trHeight w:val="705"/>
        </w:trPr>
        <w:tc>
          <w:tcPr>
            <w:tcW w:w="1156" w:type="dxa"/>
            <w:vMerge/>
            <w:tcBorders>
              <w:left w:val="single" w:sz="4" w:space="0" w:color="auto"/>
              <w:bottom w:val="single" w:sz="4" w:space="0" w:color="auto"/>
              <w:right w:val="nil"/>
            </w:tcBorders>
            <w:shd w:val="clear" w:color="auto" w:fill="auto"/>
            <w:vAlign w:val="center"/>
          </w:tcPr>
          <w:p w14:paraId="3B27684C" w14:textId="77777777" w:rsidR="00AC2429" w:rsidRPr="003F7F6C" w:rsidRDefault="00AC2429" w:rsidP="00B163D7">
            <w:pPr>
              <w:spacing w:after="0"/>
              <w:jc w:val="left"/>
              <w:rPr>
                <w:rFonts w:eastAsia="Times New Roman" w:cs="Calibri"/>
                <w:color w:val="000000"/>
                <w:sz w:val="18"/>
                <w:szCs w:val="18"/>
                <w:lang w:eastAsia="es-ES"/>
              </w:rPr>
            </w:pPr>
          </w:p>
        </w:tc>
        <w:tc>
          <w:tcPr>
            <w:tcW w:w="1209" w:type="dxa"/>
            <w:vMerge/>
            <w:tcBorders>
              <w:left w:val="nil"/>
              <w:bottom w:val="single" w:sz="4" w:space="0" w:color="auto"/>
              <w:right w:val="single" w:sz="4" w:space="0" w:color="auto"/>
            </w:tcBorders>
            <w:shd w:val="clear" w:color="auto" w:fill="auto"/>
            <w:vAlign w:val="center"/>
          </w:tcPr>
          <w:p w14:paraId="71D8F616" w14:textId="77777777" w:rsidR="00AC2429" w:rsidRPr="003F7F6C" w:rsidRDefault="00AC2429" w:rsidP="00B163D7">
            <w:pPr>
              <w:spacing w:after="0"/>
              <w:jc w:val="left"/>
              <w:rPr>
                <w:rFonts w:eastAsia="Times New Roman" w:cs="Calibri"/>
                <w:color w:val="000000"/>
                <w:sz w:val="18"/>
                <w:szCs w:val="18"/>
                <w:lang w:eastAsia="es-ES"/>
              </w:rPr>
            </w:pPr>
          </w:p>
        </w:tc>
        <w:tc>
          <w:tcPr>
            <w:tcW w:w="1201" w:type="dxa"/>
            <w:tcBorders>
              <w:top w:val="single" w:sz="4" w:space="0" w:color="auto"/>
              <w:left w:val="nil"/>
              <w:bottom w:val="single" w:sz="4" w:space="0" w:color="auto"/>
              <w:right w:val="single" w:sz="4" w:space="0" w:color="auto"/>
            </w:tcBorders>
            <w:shd w:val="clear" w:color="auto" w:fill="auto"/>
            <w:noWrap/>
            <w:vAlign w:val="center"/>
          </w:tcPr>
          <w:p w14:paraId="2B6598F6" w14:textId="77777777" w:rsidR="00AC2429" w:rsidRPr="003F7F6C" w:rsidRDefault="00AC2429" w:rsidP="00B163D7">
            <w:pPr>
              <w:spacing w:after="0"/>
              <w:jc w:val="left"/>
              <w:rPr>
                <w:rFonts w:eastAsia="Times New Roman" w:cs="Calibri"/>
                <w:color w:val="000000"/>
                <w:sz w:val="18"/>
                <w:szCs w:val="18"/>
                <w:lang w:val="es-PY" w:eastAsia="es-ES"/>
              </w:rPr>
            </w:pPr>
            <w:r w:rsidRPr="003F7F6C">
              <w:rPr>
                <w:rFonts w:eastAsia="Times New Roman" w:cs="Calibri"/>
                <w:color w:val="000000"/>
                <w:sz w:val="18"/>
                <w:szCs w:val="18"/>
                <w:lang w:val="es-PY" w:eastAsia="es-ES"/>
              </w:rPr>
              <w:t>In-kind</w:t>
            </w:r>
          </w:p>
        </w:tc>
        <w:tc>
          <w:tcPr>
            <w:tcW w:w="1209" w:type="dxa"/>
            <w:tcBorders>
              <w:top w:val="single" w:sz="4" w:space="0" w:color="auto"/>
              <w:left w:val="nil"/>
              <w:bottom w:val="single" w:sz="4" w:space="0" w:color="auto"/>
              <w:right w:val="single" w:sz="4" w:space="0" w:color="auto"/>
            </w:tcBorders>
            <w:shd w:val="clear" w:color="auto" w:fill="auto"/>
            <w:noWrap/>
            <w:vAlign w:val="center"/>
          </w:tcPr>
          <w:p w14:paraId="73A9EFA7" w14:textId="13F8181D" w:rsidR="00AC2429" w:rsidRPr="003F7F6C" w:rsidRDefault="00B848C3" w:rsidP="00B163D7">
            <w:pPr>
              <w:spacing w:after="0"/>
              <w:jc w:val="right"/>
              <w:rPr>
                <w:rFonts w:eastAsia="Times New Roman" w:cs="Calibri"/>
                <w:color w:val="000000"/>
                <w:sz w:val="18"/>
                <w:szCs w:val="18"/>
                <w:lang w:val="es-PY" w:eastAsia="es-ES"/>
              </w:rPr>
            </w:pPr>
            <w:r w:rsidRPr="003F7F6C">
              <w:rPr>
                <w:rFonts w:eastAsia="Times New Roman" w:cs="Calibri"/>
                <w:color w:val="000000"/>
                <w:sz w:val="18"/>
                <w:szCs w:val="18"/>
                <w:lang w:val="es-PY" w:eastAsia="es-ES"/>
              </w:rPr>
              <w:t>1,640,000</w:t>
            </w:r>
          </w:p>
        </w:tc>
        <w:tc>
          <w:tcPr>
            <w:tcW w:w="5103" w:type="dxa"/>
            <w:tcBorders>
              <w:top w:val="single" w:sz="4" w:space="0" w:color="auto"/>
              <w:left w:val="nil"/>
              <w:bottom w:val="single" w:sz="4" w:space="0" w:color="auto"/>
              <w:right w:val="nil"/>
            </w:tcBorders>
            <w:shd w:val="clear" w:color="auto" w:fill="auto"/>
          </w:tcPr>
          <w:p w14:paraId="595BD526" w14:textId="18978B11" w:rsidR="00AC2429" w:rsidRPr="003F7F6C" w:rsidRDefault="00D61854" w:rsidP="00B163D7">
            <w:pPr>
              <w:spacing w:after="0"/>
              <w:jc w:val="left"/>
              <w:rPr>
                <w:rFonts w:eastAsia="Times New Roman" w:cs="Calibri"/>
                <w:color w:val="000000"/>
                <w:sz w:val="18"/>
                <w:szCs w:val="18"/>
                <w:lang w:eastAsia="es-ES"/>
              </w:rPr>
            </w:pPr>
            <w:r w:rsidRPr="003F7F6C">
              <w:rPr>
                <w:rFonts w:eastAsia="Times New Roman" w:cs="Calibri"/>
                <w:color w:val="000000"/>
                <w:sz w:val="18"/>
                <w:szCs w:val="18"/>
                <w:lang w:eastAsia="es-ES"/>
              </w:rPr>
              <w:t>C</w:t>
            </w:r>
            <w:r w:rsidR="00AC2429" w:rsidRPr="003F7F6C">
              <w:rPr>
                <w:rFonts w:eastAsia="Times New Roman" w:cs="Calibri"/>
                <w:color w:val="000000"/>
                <w:sz w:val="18"/>
                <w:szCs w:val="18"/>
                <w:lang w:eastAsia="es-ES"/>
              </w:rPr>
              <w:t>omputer equipment;</w:t>
            </w:r>
            <w:r w:rsidR="003F2481" w:rsidRPr="003F7F6C">
              <w:rPr>
                <w:rFonts w:eastAsia="Times New Roman" w:cs="Calibri"/>
                <w:color w:val="000000"/>
                <w:sz w:val="18"/>
                <w:szCs w:val="18"/>
                <w:lang w:eastAsia="es-ES"/>
              </w:rPr>
              <w:t xml:space="preserve"> environmental monitoring</w:t>
            </w:r>
            <w:r w:rsidRPr="003F7F6C">
              <w:rPr>
                <w:rFonts w:eastAsia="Times New Roman" w:cs="Calibri"/>
                <w:color w:val="000000"/>
                <w:sz w:val="18"/>
                <w:szCs w:val="18"/>
                <w:lang w:eastAsia="es-ES"/>
              </w:rPr>
              <w:t xml:space="preserve"> and laboratory</w:t>
            </w:r>
            <w:r w:rsidR="003F2481" w:rsidRPr="003F7F6C">
              <w:rPr>
                <w:rFonts w:eastAsia="Times New Roman" w:cs="Calibri"/>
                <w:color w:val="000000"/>
                <w:sz w:val="18"/>
                <w:szCs w:val="18"/>
                <w:lang w:eastAsia="es-ES"/>
              </w:rPr>
              <w:t xml:space="preserve"> equipment</w:t>
            </w:r>
            <w:r w:rsidRPr="003F7F6C">
              <w:rPr>
                <w:rFonts w:eastAsia="Times New Roman" w:cs="Calibri"/>
                <w:color w:val="000000"/>
                <w:sz w:val="18"/>
                <w:szCs w:val="18"/>
                <w:lang w:eastAsia="es-ES"/>
              </w:rPr>
              <w:t xml:space="preserve"> and inputs (e.g</w:t>
            </w:r>
            <w:r w:rsidR="00104B11" w:rsidRPr="003F7F6C">
              <w:rPr>
                <w:rFonts w:eastAsia="Times New Roman" w:cs="Calibri"/>
                <w:color w:val="000000"/>
                <w:sz w:val="18"/>
                <w:szCs w:val="18"/>
                <w:lang w:eastAsia="es-ES"/>
              </w:rPr>
              <w:t>,</w:t>
            </w:r>
            <w:r w:rsidRPr="003F7F6C">
              <w:rPr>
                <w:rFonts w:eastAsia="Times New Roman" w:cs="Calibri"/>
                <w:color w:val="000000"/>
                <w:sz w:val="18"/>
                <w:szCs w:val="18"/>
                <w:lang w:eastAsia="es-ES"/>
              </w:rPr>
              <w:t>. for monitoring of water and soil quality), agricultural implements;</w:t>
            </w:r>
            <w:r w:rsidR="003F2481" w:rsidRPr="003F7F6C">
              <w:rPr>
                <w:rFonts w:eastAsia="Times New Roman" w:cs="Calibri"/>
                <w:color w:val="000000"/>
                <w:sz w:val="18"/>
                <w:szCs w:val="18"/>
                <w:lang w:eastAsia="es-ES"/>
              </w:rPr>
              <w:t xml:space="preserve"> </w:t>
            </w:r>
            <w:r w:rsidR="00AC2429" w:rsidRPr="003F7F6C">
              <w:rPr>
                <w:rFonts w:eastAsia="Times New Roman" w:cs="Calibri"/>
                <w:color w:val="000000"/>
                <w:sz w:val="18"/>
                <w:szCs w:val="18"/>
                <w:lang w:eastAsia="es-ES"/>
              </w:rPr>
              <w:t xml:space="preserve"> vehicles; premises and infrastructure.</w:t>
            </w:r>
          </w:p>
        </w:tc>
        <w:tc>
          <w:tcPr>
            <w:tcW w:w="2051" w:type="dxa"/>
            <w:tcBorders>
              <w:top w:val="single" w:sz="4" w:space="0" w:color="auto"/>
              <w:left w:val="single" w:sz="4" w:space="0" w:color="auto"/>
              <w:bottom w:val="single" w:sz="4" w:space="0" w:color="auto"/>
              <w:right w:val="single" w:sz="4" w:space="0" w:color="auto"/>
            </w:tcBorders>
            <w:shd w:val="clear" w:color="auto" w:fill="auto"/>
            <w:vAlign w:val="center"/>
          </w:tcPr>
          <w:p w14:paraId="330CF9D5" w14:textId="77777777" w:rsidR="00AC2429" w:rsidRPr="003F7F6C" w:rsidRDefault="00AC2429" w:rsidP="00B163D7">
            <w:pPr>
              <w:spacing w:after="0"/>
              <w:jc w:val="left"/>
              <w:rPr>
                <w:rFonts w:eastAsia="Times New Roman" w:cs="Calibri"/>
                <w:color w:val="000000"/>
                <w:sz w:val="18"/>
                <w:szCs w:val="18"/>
                <w:lang w:eastAsia="es-ES"/>
              </w:rPr>
            </w:pPr>
            <w:r w:rsidRPr="003F7F6C">
              <w:rPr>
                <w:rFonts w:eastAsia="Times New Roman" w:cs="Calibri"/>
                <w:color w:val="000000"/>
                <w:sz w:val="18"/>
                <w:szCs w:val="18"/>
                <w:lang w:eastAsia="es-ES"/>
              </w:rPr>
              <w:t>Low Risk</w:t>
            </w:r>
          </w:p>
        </w:tc>
        <w:tc>
          <w:tcPr>
            <w:tcW w:w="2060" w:type="dxa"/>
            <w:tcBorders>
              <w:top w:val="single" w:sz="4" w:space="0" w:color="auto"/>
              <w:left w:val="nil"/>
              <w:bottom w:val="single" w:sz="4" w:space="0" w:color="auto"/>
              <w:right w:val="single" w:sz="4" w:space="0" w:color="auto"/>
            </w:tcBorders>
            <w:shd w:val="clear" w:color="auto" w:fill="auto"/>
          </w:tcPr>
          <w:p w14:paraId="13D930DB" w14:textId="77777777" w:rsidR="00AC2429" w:rsidRPr="003F7F6C" w:rsidRDefault="00AC2429" w:rsidP="00B163D7">
            <w:pPr>
              <w:spacing w:after="0"/>
              <w:jc w:val="left"/>
              <w:rPr>
                <w:rFonts w:eastAsia="Times New Roman" w:cs="Calibri"/>
                <w:color w:val="000000"/>
                <w:sz w:val="18"/>
                <w:szCs w:val="18"/>
                <w:lang w:eastAsia="es-ES"/>
              </w:rPr>
            </w:pPr>
            <w:r w:rsidRPr="003F7F6C">
              <w:rPr>
                <w:rFonts w:eastAsia="Times New Roman" w:cs="Calibri"/>
                <w:color w:val="000000"/>
                <w:sz w:val="18"/>
                <w:szCs w:val="18"/>
                <w:lang w:eastAsia="es-ES"/>
              </w:rPr>
              <w:t>The UNDP CO will monitor the co-financing contributions to the project.</w:t>
            </w:r>
          </w:p>
        </w:tc>
      </w:tr>
      <w:tr w:rsidR="00AC2429" w:rsidRPr="003F7F6C" w14:paraId="22735DDE" w14:textId="77777777" w:rsidTr="00871F77">
        <w:trPr>
          <w:trHeight w:val="705"/>
        </w:trPr>
        <w:tc>
          <w:tcPr>
            <w:tcW w:w="1156" w:type="dxa"/>
            <w:tcBorders>
              <w:left w:val="single" w:sz="4" w:space="0" w:color="auto"/>
              <w:bottom w:val="single" w:sz="4" w:space="0" w:color="auto"/>
              <w:right w:val="nil"/>
            </w:tcBorders>
            <w:shd w:val="clear" w:color="auto" w:fill="auto"/>
            <w:vAlign w:val="center"/>
          </w:tcPr>
          <w:p w14:paraId="7AC4E682" w14:textId="77777777" w:rsidR="00AC2429" w:rsidRPr="003F7F6C" w:rsidRDefault="00AC2429" w:rsidP="00871F77">
            <w:pPr>
              <w:jc w:val="left"/>
              <w:rPr>
                <w:rFonts w:cs="Calibri"/>
                <w:sz w:val="18"/>
                <w:szCs w:val="18"/>
              </w:rPr>
            </w:pPr>
            <w:r w:rsidRPr="003F7F6C">
              <w:rPr>
                <w:rFonts w:eastAsia="Times New Roman" w:cs="Calibri"/>
                <w:color w:val="000000"/>
                <w:sz w:val="18"/>
                <w:szCs w:val="18"/>
                <w:lang w:val="es-PY" w:eastAsia="es-ES"/>
              </w:rPr>
              <w:t>National government</w:t>
            </w:r>
          </w:p>
        </w:tc>
        <w:tc>
          <w:tcPr>
            <w:tcW w:w="1209" w:type="dxa"/>
            <w:tcBorders>
              <w:left w:val="nil"/>
              <w:bottom w:val="single" w:sz="4" w:space="0" w:color="auto"/>
              <w:right w:val="single" w:sz="4" w:space="0" w:color="auto"/>
            </w:tcBorders>
            <w:shd w:val="clear" w:color="auto" w:fill="auto"/>
            <w:vAlign w:val="center"/>
          </w:tcPr>
          <w:p w14:paraId="6ECBF558" w14:textId="77777777" w:rsidR="00AC2429" w:rsidRPr="003F7F6C" w:rsidRDefault="00AC2429" w:rsidP="00B163D7">
            <w:pPr>
              <w:rPr>
                <w:rFonts w:eastAsia="Times New Roman" w:cs="Calibri"/>
                <w:color w:val="000000"/>
                <w:sz w:val="18"/>
                <w:szCs w:val="18"/>
                <w:lang w:eastAsia="es-ES"/>
              </w:rPr>
            </w:pPr>
            <w:r w:rsidRPr="003F7F6C">
              <w:rPr>
                <w:rFonts w:eastAsia="Times New Roman" w:cs="Calibri"/>
                <w:color w:val="000000"/>
                <w:sz w:val="18"/>
                <w:szCs w:val="18"/>
                <w:lang w:eastAsia="es-ES"/>
              </w:rPr>
              <w:t>CONICET</w:t>
            </w:r>
          </w:p>
        </w:tc>
        <w:tc>
          <w:tcPr>
            <w:tcW w:w="1201" w:type="dxa"/>
            <w:tcBorders>
              <w:top w:val="single" w:sz="4" w:space="0" w:color="auto"/>
              <w:left w:val="nil"/>
              <w:bottom w:val="single" w:sz="4" w:space="0" w:color="auto"/>
              <w:right w:val="single" w:sz="4" w:space="0" w:color="auto"/>
            </w:tcBorders>
            <w:shd w:val="clear" w:color="auto" w:fill="auto"/>
            <w:noWrap/>
            <w:vAlign w:val="center"/>
          </w:tcPr>
          <w:p w14:paraId="2190355F" w14:textId="77777777" w:rsidR="00AC2429" w:rsidRPr="003F7F6C" w:rsidRDefault="00AC2429" w:rsidP="00B163D7">
            <w:pPr>
              <w:rPr>
                <w:rFonts w:eastAsia="Times New Roman" w:cs="Calibri"/>
                <w:color w:val="000000"/>
                <w:sz w:val="18"/>
                <w:szCs w:val="18"/>
                <w:lang w:eastAsia="es-ES"/>
              </w:rPr>
            </w:pPr>
            <w:r w:rsidRPr="003F7F6C">
              <w:rPr>
                <w:rFonts w:eastAsia="Times New Roman" w:cs="Calibri"/>
                <w:color w:val="000000"/>
                <w:sz w:val="18"/>
                <w:szCs w:val="18"/>
                <w:lang w:eastAsia="es-ES"/>
              </w:rPr>
              <w:t>In-kind</w:t>
            </w:r>
          </w:p>
          <w:p w14:paraId="345C2F7D" w14:textId="77777777" w:rsidR="00AC2429" w:rsidRPr="003F7F6C" w:rsidRDefault="00AC2429" w:rsidP="00B163D7">
            <w:pPr>
              <w:rPr>
                <w:rFonts w:eastAsia="Times New Roman" w:cs="Calibri"/>
                <w:color w:val="000000"/>
                <w:sz w:val="18"/>
                <w:szCs w:val="18"/>
                <w:lang w:eastAsia="es-ES"/>
              </w:rPr>
            </w:pPr>
          </w:p>
        </w:tc>
        <w:tc>
          <w:tcPr>
            <w:tcW w:w="1209" w:type="dxa"/>
            <w:tcBorders>
              <w:top w:val="single" w:sz="4" w:space="0" w:color="auto"/>
              <w:left w:val="nil"/>
              <w:bottom w:val="single" w:sz="4" w:space="0" w:color="auto"/>
              <w:right w:val="single" w:sz="4" w:space="0" w:color="auto"/>
            </w:tcBorders>
            <w:shd w:val="clear" w:color="auto" w:fill="auto"/>
            <w:noWrap/>
            <w:vAlign w:val="center"/>
          </w:tcPr>
          <w:p w14:paraId="4F96AE2B" w14:textId="4733CBD8" w:rsidR="00AC2429" w:rsidRPr="003F7F6C" w:rsidRDefault="004746A7" w:rsidP="00B163D7">
            <w:pPr>
              <w:jc w:val="right"/>
              <w:rPr>
                <w:rFonts w:eastAsia="Times New Roman" w:cs="Calibri"/>
                <w:color w:val="000000"/>
                <w:sz w:val="18"/>
                <w:szCs w:val="18"/>
                <w:lang w:val="es-PY" w:eastAsia="es-ES"/>
              </w:rPr>
            </w:pPr>
            <w:r w:rsidRPr="003F7F6C">
              <w:rPr>
                <w:rFonts w:eastAsia="Times New Roman" w:cs="Calibri"/>
                <w:color w:val="000000"/>
                <w:sz w:val="18"/>
                <w:szCs w:val="18"/>
                <w:lang w:val="es-PY" w:eastAsia="es-ES"/>
              </w:rPr>
              <w:t>5,000,000</w:t>
            </w:r>
          </w:p>
        </w:tc>
        <w:tc>
          <w:tcPr>
            <w:tcW w:w="5103" w:type="dxa"/>
            <w:tcBorders>
              <w:top w:val="single" w:sz="4" w:space="0" w:color="auto"/>
              <w:left w:val="nil"/>
              <w:bottom w:val="single" w:sz="4" w:space="0" w:color="auto"/>
              <w:right w:val="nil"/>
            </w:tcBorders>
            <w:shd w:val="clear" w:color="auto" w:fill="auto"/>
          </w:tcPr>
          <w:p w14:paraId="62A486B4" w14:textId="77777777" w:rsidR="00AC2429" w:rsidRPr="003F7F6C" w:rsidRDefault="00AC2429" w:rsidP="00B163D7">
            <w:pPr>
              <w:rPr>
                <w:rFonts w:eastAsia="Times New Roman" w:cs="Calibri"/>
                <w:color w:val="000000"/>
                <w:sz w:val="18"/>
                <w:szCs w:val="18"/>
                <w:lang w:eastAsia="es-ES"/>
              </w:rPr>
            </w:pPr>
            <w:r w:rsidRPr="003F7F6C">
              <w:rPr>
                <w:rFonts w:eastAsia="Times New Roman" w:cs="Calibri"/>
                <w:color w:val="000000"/>
                <w:sz w:val="18"/>
                <w:szCs w:val="18"/>
                <w:lang w:eastAsia="es-ES"/>
              </w:rPr>
              <w:t>Cost of salaries of managerial, technical and administrative staff assigned to the project; contracts with third party organizations; training (individual, group, field trips, study tours, workshops, seminars); meetings; maintenance of equipment; investments in programs and projects related to BD and LD, land use and social issues.</w:t>
            </w:r>
          </w:p>
        </w:tc>
        <w:tc>
          <w:tcPr>
            <w:tcW w:w="2051" w:type="dxa"/>
            <w:tcBorders>
              <w:top w:val="single" w:sz="4" w:space="0" w:color="auto"/>
              <w:left w:val="single" w:sz="4" w:space="0" w:color="auto"/>
              <w:bottom w:val="single" w:sz="4" w:space="0" w:color="auto"/>
              <w:right w:val="single" w:sz="4" w:space="0" w:color="auto"/>
            </w:tcBorders>
            <w:shd w:val="clear" w:color="auto" w:fill="auto"/>
            <w:vAlign w:val="center"/>
          </w:tcPr>
          <w:p w14:paraId="5CD0947C" w14:textId="77777777" w:rsidR="00AC2429" w:rsidRPr="003F7F6C" w:rsidRDefault="00AC2429" w:rsidP="00B163D7">
            <w:pPr>
              <w:spacing w:after="0"/>
              <w:jc w:val="left"/>
              <w:rPr>
                <w:rFonts w:eastAsia="Times New Roman" w:cs="Calibri"/>
                <w:color w:val="000000"/>
                <w:sz w:val="18"/>
                <w:szCs w:val="18"/>
                <w:lang w:eastAsia="es-ES"/>
              </w:rPr>
            </w:pPr>
            <w:r w:rsidRPr="003F7F6C">
              <w:rPr>
                <w:rFonts w:eastAsia="Times New Roman" w:cs="Calibri"/>
                <w:color w:val="000000"/>
                <w:sz w:val="18"/>
                <w:szCs w:val="18"/>
                <w:lang w:eastAsia="es-ES"/>
              </w:rPr>
              <w:t>Medium Risk. Dependent on annual budgeting and effective allocation of funds to the institution.</w:t>
            </w:r>
          </w:p>
          <w:p w14:paraId="48DD44DE" w14:textId="77777777" w:rsidR="00AC2429" w:rsidRPr="003F7F6C" w:rsidRDefault="00AC2429" w:rsidP="00B163D7">
            <w:pPr>
              <w:rPr>
                <w:rFonts w:eastAsia="Times New Roman" w:cs="Calibri"/>
                <w:color w:val="000000"/>
                <w:sz w:val="18"/>
                <w:szCs w:val="18"/>
                <w:lang w:eastAsia="es-ES"/>
              </w:rPr>
            </w:pPr>
          </w:p>
        </w:tc>
        <w:tc>
          <w:tcPr>
            <w:tcW w:w="2060" w:type="dxa"/>
            <w:tcBorders>
              <w:top w:val="single" w:sz="4" w:space="0" w:color="auto"/>
              <w:left w:val="nil"/>
              <w:bottom w:val="single" w:sz="4" w:space="0" w:color="auto"/>
              <w:right w:val="single" w:sz="4" w:space="0" w:color="auto"/>
            </w:tcBorders>
            <w:shd w:val="clear" w:color="auto" w:fill="auto"/>
          </w:tcPr>
          <w:p w14:paraId="6BA7E119" w14:textId="77777777" w:rsidR="00AC2429" w:rsidRPr="003F7F6C" w:rsidRDefault="00AC2429" w:rsidP="00B163D7">
            <w:pPr>
              <w:rPr>
                <w:rFonts w:cs="Calibri"/>
                <w:sz w:val="18"/>
                <w:szCs w:val="18"/>
              </w:rPr>
            </w:pPr>
            <w:r w:rsidRPr="003F7F6C">
              <w:rPr>
                <w:rFonts w:eastAsia="Times New Roman" w:cs="Calibri"/>
                <w:color w:val="000000"/>
                <w:sz w:val="18"/>
                <w:szCs w:val="18"/>
                <w:lang w:eastAsia="es-ES"/>
              </w:rPr>
              <w:t>The UNDP CO will monitor the co-financing contributions to the project.</w:t>
            </w:r>
          </w:p>
        </w:tc>
      </w:tr>
      <w:tr w:rsidR="00AC2429" w:rsidRPr="003F7F6C" w14:paraId="1AF6F91B" w14:textId="77777777" w:rsidTr="00871F77">
        <w:trPr>
          <w:trHeight w:val="705"/>
        </w:trPr>
        <w:tc>
          <w:tcPr>
            <w:tcW w:w="1156" w:type="dxa"/>
            <w:tcBorders>
              <w:left w:val="single" w:sz="4" w:space="0" w:color="auto"/>
              <w:bottom w:val="single" w:sz="4" w:space="0" w:color="auto"/>
              <w:right w:val="nil"/>
            </w:tcBorders>
            <w:shd w:val="clear" w:color="auto" w:fill="auto"/>
            <w:vAlign w:val="center"/>
          </w:tcPr>
          <w:p w14:paraId="3EE4C2C6" w14:textId="77777777" w:rsidR="00AC2429" w:rsidRPr="003F7F6C" w:rsidRDefault="00AC2429" w:rsidP="00871F77">
            <w:pPr>
              <w:jc w:val="left"/>
              <w:rPr>
                <w:rFonts w:cs="Calibri"/>
                <w:sz w:val="18"/>
                <w:szCs w:val="18"/>
              </w:rPr>
            </w:pPr>
            <w:r w:rsidRPr="003F7F6C">
              <w:rPr>
                <w:rFonts w:eastAsia="Times New Roman" w:cs="Calibri"/>
                <w:color w:val="000000"/>
                <w:sz w:val="18"/>
                <w:szCs w:val="18"/>
                <w:lang w:val="es-PY" w:eastAsia="es-ES"/>
              </w:rPr>
              <w:t>National government</w:t>
            </w:r>
          </w:p>
        </w:tc>
        <w:tc>
          <w:tcPr>
            <w:tcW w:w="1209" w:type="dxa"/>
            <w:tcBorders>
              <w:left w:val="nil"/>
              <w:bottom w:val="single" w:sz="4" w:space="0" w:color="auto"/>
              <w:right w:val="single" w:sz="4" w:space="0" w:color="auto"/>
            </w:tcBorders>
            <w:shd w:val="clear" w:color="auto" w:fill="auto"/>
            <w:vAlign w:val="center"/>
          </w:tcPr>
          <w:p w14:paraId="6910F773" w14:textId="77777777" w:rsidR="00AC2429" w:rsidRPr="003F7F6C" w:rsidRDefault="00AC2429" w:rsidP="00B163D7">
            <w:pPr>
              <w:rPr>
                <w:rFonts w:eastAsia="Times New Roman" w:cs="Calibri"/>
                <w:color w:val="000000"/>
                <w:sz w:val="18"/>
                <w:szCs w:val="18"/>
                <w:lang w:eastAsia="es-ES"/>
              </w:rPr>
            </w:pPr>
            <w:r w:rsidRPr="003F7F6C">
              <w:rPr>
                <w:rFonts w:eastAsia="Times New Roman" w:cs="Calibri"/>
                <w:color w:val="000000"/>
                <w:sz w:val="18"/>
                <w:szCs w:val="18"/>
                <w:lang w:eastAsia="es-ES"/>
              </w:rPr>
              <w:t>INAI</w:t>
            </w:r>
          </w:p>
        </w:tc>
        <w:tc>
          <w:tcPr>
            <w:tcW w:w="1201" w:type="dxa"/>
            <w:tcBorders>
              <w:top w:val="single" w:sz="4" w:space="0" w:color="auto"/>
              <w:left w:val="nil"/>
              <w:bottom w:val="single" w:sz="4" w:space="0" w:color="auto"/>
              <w:right w:val="single" w:sz="4" w:space="0" w:color="auto"/>
            </w:tcBorders>
            <w:shd w:val="clear" w:color="auto" w:fill="auto"/>
            <w:noWrap/>
            <w:vAlign w:val="center"/>
          </w:tcPr>
          <w:p w14:paraId="4AF1E898" w14:textId="77777777" w:rsidR="00AC2429" w:rsidRPr="003F7F6C" w:rsidRDefault="00AC2429" w:rsidP="00B163D7">
            <w:pPr>
              <w:rPr>
                <w:rFonts w:eastAsia="Times New Roman" w:cs="Calibri"/>
                <w:color w:val="FF0000"/>
                <w:sz w:val="18"/>
                <w:szCs w:val="18"/>
                <w:lang w:eastAsia="es-ES"/>
              </w:rPr>
            </w:pPr>
            <w:r w:rsidRPr="003F7F6C">
              <w:rPr>
                <w:rFonts w:eastAsia="Times New Roman" w:cs="Calibri"/>
                <w:color w:val="000000"/>
                <w:sz w:val="18"/>
                <w:szCs w:val="18"/>
                <w:lang w:eastAsia="es-ES"/>
              </w:rPr>
              <w:t>In-kind</w:t>
            </w:r>
          </w:p>
        </w:tc>
        <w:tc>
          <w:tcPr>
            <w:tcW w:w="1209" w:type="dxa"/>
            <w:tcBorders>
              <w:top w:val="single" w:sz="4" w:space="0" w:color="auto"/>
              <w:left w:val="nil"/>
              <w:bottom w:val="single" w:sz="4" w:space="0" w:color="auto"/>
              <w:right w:val="single" w:sz="4" w:space="0" w:color="auto"/>
            </w:tcBorders>
            <w:shd w:val="clear" w:color="auto" w:fill="auto"/>
            <w:noWrap/>
            <w:vAlign w:val="center"/>
          </w:tcPr>
          <w:p w14:paraId="3D74E5B0" w14:textId="0F14620E" w:rsidR="00AC2429" w:rsidRPr="003F7F6C" w:rsidRDefault="004746A7" w:rsidP="00B163D7">
            <w:pPr>
              <w:jc w:val="right"/>
              <w:rPr>
                <w:rFonts w:eastAsia="Times New Roman" w:cs="Calibri"/>
                <w:color w:val="000000"/>
                <w:sz w:val="18"/>
                <w:szCs w:val="18"/>
                <w:lang w:val="es-PY" w:eastAsia="es-ES"/>
              </w:rPr>
            </w:pPr>
            <w:r w:rsidRPr="003F7F6C">
              <w:rPr>
                <w:rFonts w:eastAsia="Times New Roman" w:cs="Calibri"/>
                <w:color w:val="000000"/>
                <w:sz w:val="18"/>
                <w:szCs w:val="18"/>
                <w:lang w:val="es-PY" w:eastAsia="es-ES"/>
              </w:rPr>
              <w:t>350,000</w:t>
            </w:r>
          </w:p>
        </w:tc>
        <w:tc>
          <w:tcPr>
            <w:tcW w:w="5103" w:type="dxa"/>
            <w:tcBorders>
              <w:top w:val="single" w:sz="4" w:space="0" w:color="auto"/>
              <w:left w:val="nil"/>
              <w:bottom w:val="single" w:sz="4" w:space="0" w:color="auto"/>
              <w:right w:val="nil"/>
            </w:tcBorders>
            <w:shd w:val="clear" w:color="auto" w:fill="auto"/>
          </w:tcPr>
          <w:p w14:paraId="489C5BF1" w14:textId="77777777" w:rsidR="00AC2429" w:rsidRPr="003F7F6C" w:rsidRDefault="00AC2429" w:rsidP="00B163D7">
            <w:pPr>
              <w:rPr>
                <w:rFonts w:eastAsia="Times New Roman" w:cs="Calibri"/>
                <w:color w:val="000000"/>
                <w:sz w:val="18"/>
                <w:szCs w:val="18"/>
                <w:lang w:eastAsia="es-ES"/>
              </w:rPr>
            </w:pPr>
            <w:r w:rsidRPr="003F7F6C">
              <w:rPr>
                <w:rFonts w:eastAsia="Times New Roman" w:cs="Calibri"/>
                <w:color w:val="000000"/>
                <w:sz w:val="18"/>
                <w:szCs w:val="18"/>
                <w:lang w:eastAsia="es-ES"/>
              </w:rPr>
              <w:t>Cost of salaries of managerial, technical and administrative staff assigned to the project; contracts with third party organizations; training (individual, group, field trips, study tours, workshops, seminars); meetings; maintenance of equipment; investments in programs and projects supporting indigenous communities.</w:t>
            </w:r>
          </w:p>
        </w:tc>
        <w:tc>
          <w:tcPr>
            <w:tcW w:w="2051" w:type="dxa"/>
            <w:tcBorders>
              <w:top w:val="single" w:sz="4" w:space="0" w:color="auto"/>
              <w:left w:val="single" w:sz="4" w:space="0" w:color="auto"/>
              <w:bottom w:val="single" w:sz="4" w:space="0" w:color="auto"/>
              <w:right w:val="single" w:sz="4" w:space="0" w:color="auto"/>
            </w:tcBorders>
            <w:shd w:val="clear" w:color="auto" w:fill="auto"/>
            <w:vAlign w:val="center"/>
          </w:tcPr>
          <w:p w14:paraId="317FFF93" w14:textId="77777777" w:rsidR="00AC2429" w:rsidRPr="003F7F6C" w:rsidRDefault="00AC2429" w:rsidP="00B163D7">
            <w:pPr>
              <w:spacing w:after="0"/>
              <w:jc w:val="left"/>
              <w:rPr>
                <w:rFonts w:eastAsia="Times New Roman" w:cs="Calibri"/>
                <w:color w:val="000000"/>
                <w:sz w:val="18"/>
                <w:szCs w:val="18"/>
                <w:lang w:eastAsia="es-ES"/>
              </w:rPr>
            </w:pPr>
            <w:r w:rsidRPr="003F7F6C">
              <w:rPr>
                <w:rFonts w:eastAsia="Times New Roman" w:cs="Calibri"/>
                <w:color w:val="000000"/>
                <w:sz w:val="18"/>
                <w:szCs w:val="18"/>
                <w:lang w:eastAsia="es-ES"/>
              </w:rPr>
              <w:t>Medium Risk. Dependent on annual budgeting and effective allocation of funds to the institution.</w:t>
            </w:r>
          </w:p>
          <w:p w14:paraId="167C67C5" w14:textId="77777777" w:rsidR="00AC2429" w:rsidRPr="003F7F6C" w:rsidRDefault="00AC2429" w:rsidP="00B163D7">
            <w:pPr>
              <w:rPr>
                <w:rFonts w:eastAsia="Times New Roman" w:cs="Calibri"/>
                <w:color w:val="000000"/>
                <w:sz w:val="18"/>
                <w:szCs w:val="18"/>
                <w:lang w:eastAsia="es-ES"/>
              </w:rPr>
            </w:pPr>
          </w:p>
        </w:tc>
        <w:tc>
          <w:tcPr>
            <w:tcW w:w="2060" w:type="dxa"/>
            <w:tcBorders>
              <w:top w:val="single" w:sz="4" w:space="0" w:color="auto"/>
              <w:left w:val="nil"/>
              <w:bottom w:val="single" w:sz="4" w:space="0" w:color="auto"/>
              <w:right w:val="single" w:sz="4" w:space="0" w:color="auto"/>
            </w:tcBorders>
            <w:shd w:val="clear" w:color="auto" w:fill="auto"/>
          </w:tcPr>
          <w:p w14:paraId="3DA5C157" w14:textId="77777777" w:rsidR="00AC2429" w:rsidRPr="003F7F6C" w:rsidRDefault="00AC2429" w:rsidP="00B163D7">
            <w:pPr>
              <w:rPr>
                <w:rFonts w:cs="Calibri"/>
                <w:sz w:val="18"/>
                <w:szCs w:val="18"/>
              </w:rPr>
            </w:pPr>
            <w:r w:rsidRPr="003F7F6C">
              <w:rPr>
                <w:rFonts w:eastAsia="Times New Roman" w:cs="Calibri"/>
                <w:color w:val="000000"/>
                <w:sz w:val="18"/>
                <w:szCs w:val="18"/>
                <w:lang w:eastAsia="es-ES"/>
              </w:rPr>
              <w:t>The UNDP CO will monitor the co-financing contributions to the project.</w:t>
            </w:r>
          </w:p>
        </w:tc>
      </w:tr>
      <w:tr w:rsidR="00AC2429" w:rsidRPr="003F7F6C" w14:paraId="0344B57F" w14:textId="77777777" w:rsidTr="00871F77">
        <w:trPr>
          <w:trHeight w:val="701"/>
        </w:trPr>
        <w:tc>
          <w:tcPr>
            <w:tcW w:w="1156" w:type="dxa"/>
            <w:vMerge w:val="restart"/>
            <w:tcBorders>
              <w:top w:val="single" w:sz="4" w:space="0" w:color="auto"/>
              <w:left w:val="single" w:sz="4" w:space="0" w:color="auto"/>
              <w:right w:val="nil"/>
            </w:tcBorders>
            <w:shd w:val="clear" w:color="auto" w:fill="auto"/>
            <w:vAlign w:val="center"/>
          </w:tcPr>
          <w:p w14:paraId="0FBF33C3" w14:textId="77777777" w:rsidR="00AC2429" w:rsidRPr="003F7F6C" w:rsidRDefault="00AC2429" w:rsidP="00B163D7">
            <w:pPr>
              <w:spacing w:after="0"/>
              <w:jc w:val="left"/>
              <w:rPr>
                <w:rFonts w:eastAsia="Times New Roman" w:cs="Calibri"/>
                <w:color w:val="000000"/>
                <w:sz w:val="18"/>
                <w:szCs w:val="18"/>
                <w:lang w:val="es-PY" w:eastAsia="es-ES"/>
              </w:rPr>
            </w:pPr>
            <w:r w:rsidRPr="003F7F6C">
              <w:rPr>
                <w:rFonts w:eastAsia="Times New Roman" w:cs="Calibri"/>
                <w:color w:val="000000"/>
                <w:sz w:val="18"/>
                <w:szCs w:val="18"/>
                <w:lang w:val="es-PY" w:eastAsia="es-ES"/>
              </w:rPr>
              <w:t>Provincial government</w:t>
            </w:r>
          </w:p>
        </w:tc>
        <w:tc>
          <w:tcPr>
            <w:tcW w:w="1209" w:type="dxa"/>
            <w:vMerge w:val="restart"/>
            <w:tcBorders>
              <w:top w:val="single" w:sz="4" w:space="0" w:color="auto"/>
              <w:left w:val="nil"/>
              <w:right w:val="single" w:sz="4" w:space="0" w:color="auto"/>
            </w:tcBorders>
            <w:shd w:val="clear" w:color="auto" w:fill="auto"/>
            <w:vAlign w:val="center"/>
          </w:tcPr>
          <w:p w14:paraId="35318719" w14:textId="77777777" w:rsidR="00AC2429" w:rsidRPr="003F7F6C" w:rsidRDefault="00AC2429" w:rsidP="00B163D7">
            <w:pPr>
              <w:spacing w:after="0"/>
              <w:jc w:val="left"/>
              <w:rPr>
                <w:rFonts w:eastAsia="Times New Roman" w:cs="Calibri"/>
                <w:color w:val="000000"/>
                <w:sz w:val="18"/>
                <w:szCs w:val="18"/>
                <w:lang w:eastAsia="es-ES"/>
              </w:rPr>
            </w:pPr>
            <w:r w:rsidRPr="003F7F6C">
              <w:rPr>
                <w:rFonts w:eastAsia="Times New Roman" w:cs="Calibri"/>
                <w:color w:val="000000"/>
                <w:sz w:val="18"/>
                <w:szCs w:val="18"/>
                <w:lang w:eastAsia="es-ES"/>
              </w:rPr>
              <w:t>Ministry of Environment of Jujuy</w:t>
            </w:r>
          </w:p>
        </w:tc>
        <w:tc>
          <w:tcPr>
            <w:tcW w:w="1201" w:type="dxa"/>
            <w:tcBorders>
              <w:top w:val="single" w:sz="4" w:space="0" w:color="auto"/>
              <w:left w:val="nil"/>
              <w:bottom w:val="single" w:sz="4" w:space="0" w:color="auto"/>
              <w:right w:val="single" w:sz="4" w:space="0" w:color="auto"/>
            </w:tcBorders>
            <w:shd w:val="clear" w:color="auto" w:fill="auto"/>
            <w:noWrap/>
            <w:vAlign w:val="center"/>
          </w:tcPr>
          <w:p w14:paraId="481899F5" w14:textId="77777777" w:rsidR="00AC2429" w:rsidRPr="003F7F6C" w:rsidRDefault="00AC2429" w:rsidP="00B163D7">
            <w:pPr>
              <w:spacing w:after="0"/>
              <w:jc w:val="left"/>
              <w:rPr>
                <w:rFonts w:eastAsia="Times New Roman" w:cs="Calibri"/>
                <w:color w:val="000000"/>
                <w:sz w:val="18"/>
                <w:szCs w:val="18"/>
                <w:lang w:val="es-PY" w:eastAsia="es-ES"/>
              </w:rPr>
            </w:pPr>
            <w:r w:rsidRPr="003F7F6C">
              <w:rPr>
                <w:rFonts w:eastAsia="Times New Roman" w:cs="Calibri"/>
                <w:color w:val="000000"/>
                <w:sz w:val="18"/>
                <w:szCs w:val="18"/>
                <w:lang w:val="es-PY" w:eastAsia="es-ES"/>
              </w:rPr>
              <w:t>Grants</w:t>
            </w:r>
          </w:p>
          <w:p w14:paraId="72D7179B" w14:textId="77777777" w:rsidR="00AC2429" w:rsidRPr="003F7F6C" w:rsidRDefault="00AC2429" w:rsidP="00B163D7">
            <w:pPr>
              <w:spacing w:after="0"/>
              <w:jc w:val="left"/>
              <w:rPr>
                <w:rFonts w:eastAsia="Times New Roman" w:cs="Calibri"/>
                <w:color w:val="000000"/>
                <w:sz w:val="18"/>
                <w:szCs w:val="18"/>
                <w:lang w:val="es-PY" w:eastAsia="es-ES"/>
              </w:rPr>
            </w:pPr>
          </w:p>
        </w:tc>
        <w:tc>
          <w:tcPr>
            <w:tcW w:w="1209" w:type="dxa"/>
            <w:tcBorders>
              <w:top w:val="single" w:sz="4" w:space="0" w:color="auto"/>
              <w:left w:val="nil"/>
              <w:bottom w:val="single" w:sz="4" w:space="0" w:color="auto"/>
              <w:right w:val="single" w:sz="4" w:space="0" w:color="auto"/>
            </w:tcBorders>
            <w:shd w:val="clear" w:color="auto" w:fill="auto"/>
            <w:noWrap/>
            <w:vAlign w:val="center"/>
          </w:tcPr>
          <w:p w14:paraId="40B179B6" w14:textId="65B57DF2" w:rsidR="00AC2429" w:rsidRPr="003F7F6C" w:rsidRDefault="004746A7" w:rsidP="00B163D7">
            <w:pPr>
              <w:spacing w:after="0"/>
              <w:jc w:val="right"/>
              <w:rPr>
                <w:rFonts w:eastAsia="Times New Roman" w:cs="Calibri"/>
                <w:color w:val="000000"/>
                <w:sz w:val="18"/>
                <w:szCs w:val="18"/>
                <w:lang w:val="es-PY" w:eastAsia="es-ES"/>
              </w:rPr>
            </w:pPr>
            <w:r w:rsidRPr="003F7F6C">
              <w:rPr>
                <w:rFonts w:eastAsia="Times New Roman" w:cs="Calibri"/>
                <w:color w:val="000000"/>
                <w:sz w:val="18"/>
                <w:szCs w:val="18"/>
              </w:rPr>
              <w:t>1,054,054</w:t>
            </w:r>
          </w:p>
        </w:tc>
        <w:tc>
          <w:tcPr>
            <w:tcW w:w="5103" w:type="dxa"/>
            <w:tcBorders>
              <w:top w:val="single" w:sz="4" w:space="0" w:color="auto"/>
              <w:left w:val="nil"/>
              <w:bottom w:val="single" w:sz="4" w:space="0" w:color="auto"/>
              <w:right w:val="nil"/>
            </w:tcBorders>
            <w:shd w:val="clear" w:color="auto" w:fill="auto"/>
          </w:tcPr>
          <w:p w14:paraId="7397243D" w14:textId="77777777" w:rsidR="00AC2429" w:rsidRPr="003F7F6C" w:rsidRDefault="00AC2429" w:rsidP="00B163D7">
            <w:pPr>
              <w:spacing w:after="0"/>
              <w:jc w:val="left"/>
              <w:rPr>
                <w:rFonts w:eastAsia="Times New Roman" w:cs="Calibri"/>
                <w:color w:val="000000"/>
                <w:sz w:val="18"/>
                <w:szCs w:val="18"/>
                <w:lang w:eastAsia="es-ES"/>
              </w:rPr>
            </w:pPr>
            <w:r w:rsidRPr="003F7F6C">
              <w:rPr>
                <w:rFonts w:eastAsia="Times New Roman" w:cs="Calibri"/>
                <w:color w:val="000000"/>
                <w:sz w:val="18"/>
                <w:szCs w:val="18"/>
                <w:lang w:eastAsia="es-ES"/>
              </w:rPr>
              <w:t>Cost of salaries of managerial, technical and administrative staff assigned to the project; contracts with third party organizations; training (individual, group, field trips, study tours, workshops, seminars); meetings; maintenance of equipment; investments in programs and projects related to ELUP, native forests and renewable energies.</w:t>
            </w:r>
          </w:p>
        </w:tc>
        <w:tc>
          <w:tcPr>
            <w:tcW w:w="2051" w:type="dxa"/>
            <w:tcBorders>
              <w:top w:val="single" w:sz="4" w:space="0" w:color="auto"/>
              <w:left w:val="single" w:sz="4" w:space="0" w:color="auto"/>
              <w:bottom w:val="single" w:sz="4" w:space="0" w:color="auto"/>
              <w:right w:val="single" w:sz="4" w:space="0" w:color="auto"/>
            </w:tcBorders>
            <w:shd w:val="clear" w:color="auto" w:fill="auto"/>
            <w:vAlign w:val="center"/>
          </w:tcPr>
          <w:p w14:paraId="0856324C" w14:textId="77777777" w:rsidR="00AC2429" w:rsidRPr="003F7F6C" w:rsidRDefault="00AC2429" w:rsidP="00B163D7">
            <w:pPr>
              <w:spacing w:after="0"/>
              <w:jc w:val="left"/>
              <w:rPr>
                <w:rFonts w:eastAsia="Times New Roman" w:cs="Calibri"/>
                <w:color w:val="000000"/>
                <w:sz w:val="18"/>
                <w:szCs w:val="18"/>
                <w:lang w:eastAsia="es-ES"/>
              </w:rPr>
            </w:pPr>
            <w:r w:rsidRPr="003F7F6C">
              <w:rPr>
                <w:rFonts w:eastAsia="Times New Roman" w:cs="Calibri"/>
                <w:color w:val="000000"/>
                <w:sz w:val="18"/>
                <w:szCs w:val="18"/>
                <w:lang w:eastAsia="es-ES"/>
              </w:rPr>
              <w:t>Medium Risk. Dependent on annual budgeting and effective allocation of funds to the institution.</w:t>
            </w:r>
          </w:p>
        </w:tc>
        <w:tc>
          <w:tcPr>
            <w:tcW w:w="2060" w:type="dxa"/>
            <w:tcBorders>
              <w:top w:val="single" w:sz="4" w:space="0" w:color="auto"/>
              <w:left w:val="nil"/>
              <w:bottom w:val="single" w:sz="4" w:space="0" w:color="auto"/>
              <w:right w:val="single" w:sz="4" w:space="0" w:color="auto"/>
            </w:tcBorders>
            <w:shd w:val="clear" w:color="auto" w:fill="auto"/>
          </w:tcPr>
          <w:p w14:paraId="6DD44414" w14:textId="77777777" w:rsidR="00AC2429" w:rsidRPr="003F7F6C" w:rsidRDefault="00AC2429" w:rsidP="00B163D7">
            <w:pPr>
              <w:spacing w:after="0"/>
              <w:jc w:val="left"/>
              <w:rPr>
                <w:rFonts w:eastAsia="Times New Roman" w:cs="Calibri"/>
                <w:color w:val="000000"/>
                <w:sz w:val="18"/>
                <w:szCs w:val="18"/>
                <w:lang w:eastAsia="es-ES"/>
              </w:rPr>
            </w:pPr>
            <w:r w:rsidRPr="003F7F6C">
              <w:rPr>
                <w:rFonts w:eastAsia="Times New Roman" w:cs="Calibri"/>
                <w:color w:val="000000"/>
                <w:sz w:val="18"/>
                <w:szCs w:val="18"/>
                <w:lang w:eastAsia="es-ES"/>
              </w:rPr>
              <w:t>The UNDP CO will monitor the co-financing contributions to the project.</w:t>
            </w:r>
          </w:p>
        </w:tc>
      </w:tr>
      <w:tr w:rsidR="00AC2429" w:rsidRPr="003F7F6C" w14:paraId="29F9CFD6" w14:textId="77777777" w:rsidTr="00871F77">
        <w:trPr>
          <w:trHeight w:val="836"/>
        </w:trPr>
        <w:tc>
          <w:tcPr>
            <w:tcW w:w="1156" w:type="dxa"/>
            <w:vMerge/>
            <w:tcBorders>
              <w:left w:val="single" w:sz="4" w:space="0" w:color="auto"/>
              <w:bottom w:val="single" w:sz="4" w:space="0" w:color="auto"/>
              <w:right w:val="nil"/>
            </w:tcBorders>
            <w:shd w:val="clear" w:color="auto" w:fill="auto"/>
            <w:vAlign w:val="center"/>
          </w:tcPr>
          <w:p w14:paraId="7DF370EC" w14:textId="77777777" w:rsidR="00AC2429" w:rsidRPr="003F7F6C" w:rsidRDefault="00AC2429" w:rsidP="00B163D7">
            <w:pPr>
              <w:spacing w:after="0"/>
              <w:jc w:val="left"/>
              <w:rPr>
                <w:rFonts w:eastAsia="Times New Roman" w:cs="Calibri"/>
                <w:color w:val="000000"/>
                <w:sz w:val="18"/>
                <w:szCs w:val="18"/>
                <w:lang w:eastAsia="es-ES"/>
              </w:rPr>
            </w:pPr>
          </w:p>
        </w:tc>
        <w:tc>
          <w:tcPr>
            <w:tcW w:w="1209" w:type="dxa"/>
            <w:vMerge/>
            <w:tcBorders>
              <w:left w:val="nil"/>
              <w:bottom w:val="nil"/>
              <w:right w:val="single" w:sz="4" w:space="0" w:color="auto"/>
            </w:tcBorders>
            <w:shd w:val="clear" w:color="auto" w:fill="auto"/>
            <w:vAlign w:val="center"/>
          </w:tcPr>
          <w:p w14:paraId="7F3FF8E1" w14:textId="77777777" w:rsidR="00AC2429" w:rsidRPr="003F7F6C" w:rsidRDefault="00AC2429" w:rsidP="00B163D7">
            <w:pPr>
              <w:spacing w:after="0"/>
              <w:jc w:val="left"/>
              <w:rPr>
                <w:rFonts w:eastAsia="Times New Roman" w:cs="Calibri"/>
                <w:color w:val="000000"/>
                <w:sz w:val="18"/>
                <w:szCs w:val="18"/>
                <w:lang w:eastAsia="es-ES"/>
              </w:rPr>
            </w:pPr>
          </w:p>
        </w:tc>
        <w:tc>
          <w:tcPr>
            <w:tcW w:w="1201" w:type="dxa"/>
            <w:tcBorders>
              <w:top w:val="single" w:sz="4" w:space="0" w:color="auto"/>
              <w:left w:val="nil"/>
              <w:bottom w:val="nil"/>
              <w:right w:val="single" w:sz="4" w:space="0" w:color="auto"/>
            </w:tcBorders>
            <w:shd w:val="clear" w:color="auto" w:fill="auto"/>
            <w:noWrap/>
          </w:tcPr>
          <w:p w14:paraId="543BDD47" w14:textId="77777777" w:rsidR="00AC2429" w:rsidRPr="003F7F6C" w:rsidRDefault="00AC2429" w:rsidP="00B163D7">
            <w:pPr>
              <w:spacing w:after="0"/>
              <w:jc w:val="left"/>
              <w:rPr>
                <w:rFonts w:eastAsia="Times New Roman" w:cs="Calibri"/>
                <w:color w:val="000000"/>
                <w:sz w:val="18"/>
                <w:szCs w:val="18"/>
                <w:lang w:val="es-PY" w:eastAsia="es-ES"/>
              </w:rPr>
            </w:pPr>
            <w:r w:rsidRPr="003F7F6C">
              <w:rPr>
                <w:rFonts w:cs="Calibri"/>
                <w:color w:val="000000"/>
                <w:sz w:val="18"/>
                <w:szCs w:val="18"/>
              </w:rPr>
              <w:t>In-kind</w:t>
            </w:r>
          </w:p>
        </w:tc>
        <w:tc>
          <w:tcPr>
            <w:tcW w:w="1209" w:type="dxa"/>
            <w:tcBorders>
              <w:top w:val="single" w:sz="4" w:space="0" w:color="auto"/>
              <w:left w:val="nil"/>
              <w:bottom w:val="nil"/>
              <w:right w:val="single" w:sz="4" w:space="0" w:color="auto"/>
            </w:tcBorders>
            <w:shd w:val="clear" w:color="auto" w:fill="auto"/>
            <w:noWrap/>
          </w:tcPr>
          <w:p w14:paraId="17A4CB48" w14:textId="2AA8F03C" w:rsidR="00AC2429" w:rsidRPr="003F7F6C" w:rsidRDefault="004746A7" w:rsidP="00B163D7">
            <w:pPr>
              <w:spacing w:after="0"/>
              <w:jc w:val="right"/>
              <w:rPr>
                <w:rFonts w:eastAsia="Times New Roman" w:cs="Calibri"/>
                <w:color w:val="000000"/>
                <w:sz w:val="18"/>
                <w:szCs w:val="18"/>
                <w:lang w:val="es-PY" w:eastAsia="es-ES"/>
              </w:rPr>
            </w:pPr>
            <w:r w:rsidRPr="003F7F6C">
              <w:rPr>
                <w:rFonts w:eastAsia="Times New Roman" w:cs="Calibri"/>
                <w:color w:val="000000"/>
                <w:sz w:val="18"/>
                <w:szCs w:val="18"/>
              </w:rPr>
              <w:t>458,050</w:t>
            </w:r>
          </w:p>
        </w:tc>
        <w:tc>
          <w:tcPr>
            <w:tcW w:w="5103" w:type="dxa"/>
            <w:tcBorders>
              <w:top w:val="single" w:sz="4" w:space="0" w:color="auto"/>
              <w:left w:val="nil"/>
              <w:bottom w:val="nil"/>
              <w:right w:val="nil"/>
            </w:tcBorders>
            <w:shd w:val="clear" w:color="auto" w:fill="auto"/>
          </w:tcPr>
          <w:p w14:paraId="28173E82" w14:textId="08BEB849" w:rsidR="00AC2429" w:rsidRPr="003F7F6C" w:rsidRDefault="00461C72" w:rsidP="00B163D7">
            <w:pPr>
              <w:spacing w:after="0"/>
              <w:jc w:val="left"/>
              <w:rPr>
                <w:rFonts w:eastAsia="Times New Roman" w:cs="Calibri"/>
                <w:color w:val="000000"/>
                <w:sz w:val="18"/>
                <w:szCs w:val="18"/>
                <w:lang w:eastAsia="es-ES"/>
              </w:rPr>
            </w:pPr>
            <w:r w:rsidRPr="003F7F6C">
              <w:rPr>
                <w:rFonts w:eastAsia="Times New Roman" w:cs="Calibri"/>
                <w:color w:val="000000"/>
                <w:sz w:val="18"/>
                <w:szCs w:val="18"/>
                <w:lang w:eastAsia="es-ES"/>
              </w:rPr>
              <w:t>C</w:t>
            </w:r>
            <w:r w:rsidR="00AC2429" w:rsidRPr="003F7F6C">
              <w:rPr>
                <w:rFonts w:eastAsia="Times New Roman" w:cs="Calibri"/>
                <w:color w:val="000000"/>
                <w:sz w:val="18"/>
                <w:szCs w:val="18"/>
                <w:lang w:eastAsia="es-ES"/>
              </w:rPr>
              <w:t>omputer equipment</w:t>
            </w:r>
            <w:r w:rsidRPr="003F7F6C">
              <w:rPr>
                <w:rFonts w:eastAsia="Times New Roman" w:cs="Calibri"/>
                <w:color w:val="000000"/>
                <w:sz w:val="18"/>
                <w:szCs w:val="18"/>
                <w:lang w:eastAsia="es-ES"/>
              </w:rPr>
              <w:t>; equipment for environmental monitoring (e.g.</w:t>
            </w:r>
            <w:r w:rsidR="00B074F1" w:rsidRPr="003F7F6C">
              <w:rPr>
                <w:rFonts w:eastAsia="Times New Roman" w:cs="Calibri"/>
                <w:color w:val="000000"/>
                <w:sz w:val="18"/>
                <w:szCs w:val="18"/>
                <w:lang w:eastAsia="es-ES"/>
              </w:rPr>
              <w:t xml:space="preserve"> GPS, camping equipment, sampling and analysis equipment</w:t>
            </w:r>
            <w:r w:rsidR="00AC2429" w:rsidRPr="003F7F6C">
              <w:rPr>
                <w:rFonts w:eastAsia="Times New Roman" w:cs="Calibri"/>
                <w:color w:val="000000"/>
                <w:sz w:val="18"/>
                <w:szCs w:val="18"/>
                <w:lang w:eastAsia="es-ES"/>
              </w:rPr>
              <w:t>; vehicles; premises and infrastructure.</w:t>
            </w:r>
          </w:p>
        </w:tc>
        <w:tc>
          <w:tcPr>
            <w:tcW w:w="2051" w:type="dxa"/>
            <w:tcBorders>
              <w:top w:val="single" w:sz="4" w:space="0" w:color="auto"/>
              <w:left w:val="single" w:sz="4" w:space="0" w:color="auto"/>
              <w:bottom w:val="nil"/>
              <w:right w:val="single" w:sz="4" w:space="0" w:color="auto"/>
            </w:tcBorders>
            <w:shd w:val="clear" w:color="auto" w:fill="auto"/>
            <w:vAlign w:val="center"/>
          </w:tcPr>
          <w:p w14:paraId="1EC5C14B" w14:textId="77777777" w:rsidR="00AC2429" w:rsidRPr="003F7F6C" w:rsidRDefault="00AC2429" w:rsidP="00B163D7">
            <w:pPr>
              <w:spacing w:after="0"/>
              <w:jc w:val="left"/>
              <w:rPr>
                <w:rFonts w:eastAsia="Times New Roman" w:cs="Calibri"/>
                <w:color w:val="000000"/>
                <w:sz w:val="18"/>
                <w:szCs w:val="18"/>
                <w:lang w:eastAsia="es-ES"/>
              </w:rPr>
            </w:pPr>
            <w:r w:rsidRPr="003F7F6C">
              <w:rPr>
                <w:rFonts w:eastAsia="Times New Roman" w:cs="Calibri"/>
                <w:color w:val="000000"/>
                <w:sz w:val="18"/>
                <w:szCs w:val="18"/>
                <w:lang w:eastAsia="es-ES"/>
              </w:rPr>
              <w:t>Low Risk</w:t>
            </w:r>
          </w:p>
        </w:tc>
        <w:tc>
          <w:tcPr>
            <w:tcW w:w="2060" w:type="dxa"/>
            <w:tcBorders>
              <w:top w:val="single" w:sz="4" w:space="0" w:color="auto"/>
              <w:left w:val="nil"/>
              <w:bottom w:val="nil"/>
              <w:right w:val="single" w:sz="4" w:space="0" w:color="auto"/>
            </w:tcBorders>
            <w:shd w:val="clear" w:color="auto" w:fill="auto"/>
          </w:tcPr>
          <w:p w14:paraId="23951956" w14:textId="77777777" w:rsidR="00AC2429" w:rsidRPr="003F7F6C" w:rsidRDefault="00AC2429" w:rsidP="00B163D7">
            <w:pPr>
              <w:spacing w:after="0"/>
              <w:jc w:val="left"/>
              <w:rPr>
                <w:rFonts w:eastAsia="Times New Roman" w:cs="Calibri"/>
                <w:color w:val="000000"/>
                <w:sz w:val="18"/>
                <w:szCs w:val="18"/>
                <w:lang w:eastAsia="es-ES"/>
              </w:rPr>
            </w:pPr>
            <w:r w:rsidRPr="003F7F6C">
              <w:rPr>
                <w:rFonts w:eastAsia="Times New Roman" w:cs="Calibri"/>
                <w:color w:val="000000"/>
                <w:sz w:val="18"/>
                <w:szCs w:val="18"/>
                <w:lang w:eastAsia="es-ES"/>
              </w:rPr>
              <w:t>The UNDP CO will monitor the co-financing contributions to the project.</w:t>
            </w:r>
          </w:p>
        </w:tc>
      </w:tr>
      <w:tr w:rsidR="00AC2429" w:rsidRPr="003F7F6C" w14:paraId="55366DBA" w14:textId="77777777" w:rsidTr="00871F77">
        <w:trPr>
          <w:trHeight w:val="706"/>
        </w:trPr>
        <w:tc>
          <w:tcPr>
            <w:tcW w:w="1156" w:type="dxa"/>
            <w:vMerge w:val="restart"/>
            <w:tcBorders>
              <w:top w:val="single" w:sz="4" w:space="0" w:color="auto"/>
              <w:left w:val="single" w:sz="4" w:space="0" w:color="auto"/>
              <w:right w:val="nil"/>
            </w:tcBorders>
            <w:shd w:val="clear" w:color="auto" w:fill="auto"/>
            <w:vAlign w:val="center"/>
          </w:tcPr>
          <w:p w14:paraId="6FA7052E" w14:textId="77777777" w:rsidR="00AC2429" w:rsidRPr="003F7F6C" w:rsidRDefault="00AC2429" w:rsidP="00B163D7">
            <w:pPr>
              <w:rPr>
                <w:rFonts w:eastAsia="Times New Roman" w:cs="Calibri"/>
                <w:color w:val="000000"/>
                <w:sz w:val="18"/>
                <w:szCs w:val="18"/>
                <w:lang w:eastAsia="es-ES"/>
              </w:rPr>
            </w:pPr>
            <w:r w:rsidRPr="003F7F6C">
              <w:rPr>
                <w:rFonts w:eastAsia="Times New Roman" w:cs="Calibri"/>
                <w:color w:val="000000"/>
                <w:sz w:val="18"/>
                <w:szCs w:val="18"/>
                <w:lang w:eastAsia="es-ES"/>
              </w:rPr>
              <w:t>Provincial government</w:t>
            </w:r>
          </w:p>
          <w:p w14:paraId="757E97A4" w14:textId="77777777" w:rsidR="00AC2429" w:rsidRPr="003F7F6C" w:rsidRDefault="00AC2429" w:rsidP="00B163D7">
            <w:pPr>
              <w:spacing w:after="0"/>
              <w:jc w:val="left"/>
              <w:rPr>
                <w:rFonts w:eastAsia="Times New Roman" w:cs="Calibri"/>
                <w:color w:val="000000"/>
                <w:sz w:val="18"/>
                <w:szCs w:val="18"/>
                <w:lang w:eastAsia="es-ES"/>
              </w:rPr>
            </w:pPr>
          </w:p>
        </w:tc>
        <w:tc>
          <w:tcPr>
            <w:tcW w:w="1209" w:type="dxa"/>
            <w:vMerge w:val="restart"/>
            <w:tcBorders>
              <w:top w:val="single" w:sz="4" w:space="0" w:color="auto"/>
              <w:left w:val="nil"/>
              <w:right w:val="single" w:sz="4" w:space="0" w:color="auto"/>
            </w:tcBorders>
            <w:shd w:val="clear" w:color="auto" w:fill="auto"/>
            <w:vAlign w:val="center"/>
          </w:tcPr>
          <w:p w14:paraId="148C5801" w14:textId="77777777" w:rsidR="00AC2429" w:rsidRPr="003F7F6C" w:rsidRDefault="00AC2429" w:rsidP="00B163D7">
            <w:pPr>
              <w:spacing w:after="0"/>
              <w:jc w:val="left"/>
              <w:rPr>
                <w:rFonts w:eastAsia="Times New Roman" w:cs="Calibri"/>
                <w:color w:val="000000"/>
                <w:sz w:val="18"/>
                <w:szCs w:val="18"/>
                <w:lang w:eastAsia="es-ES"/>
              </w:rPr>
            </w:pPr>
            <w:r w:rsidRPr="003F7F6C">
              <w:rPr>
                <w:rFonts w:eastAsia="Times New Roman" w:cs="Calibri"/>
                <w:color w:val="000000"/>
                <w:sz w:val="18"/>
                <w:szCs w:val="18"/>
                <w:lang w:eastAsia="es-ES"/>
              </w:rPr>
              <w:t>OPDS</w:t>
            </w:r>
          </w:p>
        </w:tc>
        <w:tc>
          <w:tcPr>
            <w:tcW w:w="1201" w:type="dxa"/>
            <w:tcBorders>
              <w:top w:val="single" w:sz="4" w:space="0" w:color="auto"/>
              <w:left w:val="nil"/>
              <w:bottom w:val="nil"/>
              <w:right w:val="single" w:sz="4" w:space="0" w:color="auto"/>
            </w:tcBorders>
            <w:shd w:val="clear" w:color="auto" w:fill="auto"/>
            <w:noWrap/>
          </w:tcPr>
          <w:p w14:paraId="6718E7B7" w14:textId="77777777" w:rsidR="00AC2429" w:rsidRPr="003F7F6C" w:rsidRDefault="00AC2429" w:rsidP="00B163D7">
            <w:pPr>
              <w:spacing w:after="0"/>
              <w:jc w:val="left"/>
              <w:rPr>
                <w:rFonts w:cs="Calibri"/>
                <w:color w:val="000000"/>
                <w:sz w:val="18"/>
                <w:szCs w:val="18"/>
              </w:rPr>
            </w:pPr>
            <w:r w:rsidRPr="003F7F6C">
              <w:rPr>
                <w:rFonts w:cs="Calibri"/>
                <w:color w:val="000000"/>
                <w:sz w:val="18"/>
                <w:szCs w:val="18"/>
              </w:rPr>
              <w:t>Grants</w:t>
            </w:r>
          </w:p>
        </w:tc>
        <w:tc>
          <w:tcPr>
            <w:tcW w:w="1209" w:type="dxa"/>
            <w:tcBorders>
              <w:top w:val="single" w:sz="4" w:space="0" w:color="auto"/>
              <w:left w:val="nil"/>
              <w:bottom w:val="nil"/>
              <w:right w:val="single" w:sz="4" w:space="0" w:color="auto"/>
            </w:tcBorders>
            <w:shd w:val="clear" w:color="auto" w:fill="auto"/>
            <w:noWrap/>
          </w:tcPr>
          <w:p w14:paraId="417E5104" w14:textId="77777777" w:rsidR="00AC2429" w:rsidRPr="003F7F6C" w:rsidRDefault="00AC2429" w:rsidP="00B163D7">
            <w:pPr>
              <w:spacing w:after="0"/>
              <w:jc w:val="right"/>
              <w:rPr>
                <w:rFonts w:eastAsia="Times New Roman" w:cs="Calibri"/>
                <w:color w:val="000000"/>
                <w:sz w:val="18"/>
                <w:szCs w:val="18"/>
              </w:rPr>
            </w:pPr>
            <w:r w:rsidRPr="003F7F6C">
              <w:rPr>
                <w:rFonts w:eastAsia="Times New Roman" w:cs="Calibri"/>
                <w:color w:val="000000"/>
                <w:sz w:val="18"/>
                <w:szCs w:val="18"/>
              </w:rPr>
              <w:t>6,666,666</w:t>
            </w:r>
          </w:p>
        </w:tc>
        <w:tc>
          <w:tcPr>
            <w:tcW w:w="5103" w:type="dxa"/>
            <w:tcBorders>
              <w:top w:val="single" w:sz="4" w:space="0" w:color="auto"/>
              <w:left w:val="nil"/>
              <w:bottom w:val="nil"/>
              <w:right w:val="nil"/>
            </w:tcBorders>
            <w:shd w:val="clear" w:color="auto" w:fill="auto"/>
          </w:tcPr>
          <w:p w14:paraId="25F6D1C2" w14:textId="77777777" w:rsidR="00AC2429" w:rsidRPr="003F7F6C" w:rsidRDefault="00AC2429" w:rsidP="00B163D7">
            <w:pPr>
              <w:spacing w:after="0"/>
              <w:jc w:val="left"/>
              <w:rPr>
                <w:rFonts w:eastAsia="Times New Roman" w:cs="Calibri"/>
                <w:color w:val="000000"/>
                <w:sz w:val="18"/>
                <w:szCs w:val="18"/>
                <w:lang w:eastAsia="es-ES"/>
              </w:rPr>
            </w:pPr>
            <w:r w:rsidRPr="003F7F6C">
              <w:rPr>
                <w:rFonts w:eastAsia="Times New Roman" w:cs="Calibri"/>
                <w:color w:val="000000"/>
                <w:sz w:val="18"/>
                <w:szCs w:val="18"/>
                <w:lang w:eastAsia="es-ES"/>
              </w:rPr>
              <w:t>Cost of salaries of managerial, technical and administrative staff assigned to the project; contracts with third party organizations; training (individual, group, field trips, study tours, workshops, seminars); meetings; maintenance of equipment</w:t>
            </w:r>
          </w:p>
        </w:tc>
        <w:tc>
          <w:tcPr>
            <w:tcW w:w="2051" w:type="dxa"/>
            <w:tcBorders>
              <w:top w:val="single" w:sz="4" w:space="0" w:color="auto"/>
              <w:left w:val="single" w:sz="4" w:space="0" w:color="auto"/>
              <w:bottom w:val="nil"/>
              <w:right w:val="single" w:sz="4" w:space="0" w:color="auto"/>
            </w:tcBorders>
            <w:shd w:val="clear" w:color="auto" w:fill="auto"/>
            <w:vAlign w:val="center"/>
          </w:tcPr>
          <w:p w14:paraId="08D9C803" w14:textId="77777777" w:rsidR="00AC2429" w:rsidRPr="003F7F6C" w:rsidRDefault="00AC2429" w:rsidP="00B163D7">
            <w:pPr>
              <w:spacing w:after="0"/>
              <w:jc w:val="left"/>
              <w:rPr>
                <w:rFonts w:eastAsia="Times New Roman" w:cs="Calibri"/>
                <w:color w:val="000000"/>
                <w:sz w:val="18"/>
                <w:szCs w:val="18"/>
                <w:lang w:eastAsia="es-ES"/>
              </w:rPr>
            </w:pPr>
            <w:r w:rsidRPr="003F7F6C">
              <w:rPr>
                <w:rFonts w:eastAsia="Times New Roman" w:cs="Calibri"/>
                <w:color w:val="000000"/>
                <w:sz w:val="18"/>
                <w:szCs w:val="18"/>
                <w:lang w:eastAsia="es-ES"/>
              </w:rPr>
              <w:t>Medium Risk. Dependent on annual budgeting and effective allocation of funds to the institution.</w:t>
            </w:r>
          </w:p>
        </w:tc>
        <w:tc>
          <w:tcPr>
            <w:tcW w:w="2060" w:type="dxa"/>
            <w:tcBorders>
              <w:top w:val="single" w:sz="4" w:space="0" w:color="auto"/>
              <w:left w:val="nil"/>
              <w:bottom w:val="nil"/>
              <w:right w:val="single" w:sz="4" w:space="0" w:color="auto"/>
            </w:tcBorders>
            <w:shd w:val="clear" w:color="auto" w:fill="auto"/>
          </w:tcPr>
          <w:p w14:paraId="25DAC7F9" w14:textId="77777777" w:rsidR="00AC2429" w:rsidRPr="003F7F6C" w:rsidRDefault="00AC2429" w:rsidP="00B163D7">
            <w:pPr>
              <w:spacing w:after="0"/>
              <w:jc w:val="left"/>
              <w:rPr>
                <w:rFonts w:eastAsia="Times New Roman" w:cs="Calibri"/>
                <w:color w:val="000000"/>
                <w:sz w:val="18"/>
                <w:szCs w:val="18"/>
                <w:lang w:eastAsia="es-ES"/>
              </w:rPr>
            </w:pPr>
            <w:r w:rsidRPr="003F7F6C">
              <w:rPr>
                <w:rFonts w:eastAsia="Times New Roman" w:cs="Calibri"/>
                <w:color w:val="000000"/>
                <w:sz w:val="18"/>
                <w:szCs w:val="18"/>
                <w:lang w:eastAsia="es-ES"/>
              </w:rPr>
              <w:t>The UNDP CO will monitor the co-financing contributions to the project.</w:t>
            </w:r>
          </w:p>
        </w:tc>
      </w:tr>
      <w:tr w:rsidR="00AC2429" w:rsidRPr="003F7F6C" w14:paraId="4F3B911A" w14:textId="77777777" w:rsidTr="00871F77">
        <w:trPr>
          <w:trHeight w:val="688"/>
        </w:trPr>
        <w:tc>
          <w:tcPr>
            <w:tcW w:w="1156" w:type="dxa"/>
            <w:vMerge/>
            <w:tcBorders>
              <w:left w:val="single" w:sz="4" w:space="0" w:color="auto"/>
              <w:bottom w:val="single" w:sz="4" w:space="0" w:color="auto"/>
              <w:right w:val="nil"/>
            </w:tcBorders>
            <w:shd w:val="clear" w:color="auto" w:fill="auto"/>
            <w:vAlign w:val="center"/>
          </w:tcPr>
          <w:p w14:paraId="241C6358" w14:textId="77777777" w:rsidR="00AC2429" w:rsidRPr="003F7F6C" w:rsidRDefault="00AC2429" w:rsidP="00B163D7">
            <w:pPr>
              <w:spacing w:after="0"/>
              <w:jc w:val="left"/>
              <w:rPr>
                <w:rFonts w:eastAsia="Times New Roman" w:cs="Calibri"/>
                <w:color w:val="000000"/>
                <w:sz w:val="18"/>
                <w:szCs w:val="18"/>
                <w:lang w:eastAsia="es-ES"/>
              </w:rPr>
            </w:pPr>
          </w:p>
        </w:tc>
        <w:tc>
          <w:tcPr>
            <w:tcW w:w="1209" w:type="dxa"/>
            <w:vMerge/>
            <w:tcBorders>
              <w:left w:val="nil"/>
              <w:bottom w:val="nil"/>
              <w:right w:val="single" w:sz="4" w:space="0" w:color="auto"/>
            </w:tcBorders>
            <w:shd w:val="clear" w:color="auto" w:fill="auto"/>
            <w:vAlign w:val="center"/>
          </w:tcPr>
          <w:p w14:paraId="701BFA96" w14:textId="77777777" w:rsidR="00AC2429" w:rsidRPr="003F7F6C" w:rsidRDefault="00AC2429" w:rsidP="00B163D7">
            <w:pPr>
              <w:spacing w:after="0"/>
              <w:jc w:val="left"/>
              <w:rPr>
                <w:rFonts w:eastAsia="Times New Roman" w:cs="Calibri"/>
                <w:color w:val="000000"/>
                <w:sz w:val="18"/>
                <w:szCs w:val="18"/>
                <w:lang w:eastAsia="es-ES"/>
              </w:rPr>
            </w:pPr>
          </w:p>
        </w:tc>
        <w:tc>
          <w:tcPr>
            <w:tcW w:w="1201" w:type="dxa"/>
            <w:tcBorders>
              <w:top w:val="single" w:sz="4" w:space="0" w:color="auto"/>
              <w:left w:val="nil"/>
              <w:bottom w:val="nil"/>
              <w:right w:val="single" w:sz="4" w:space="0" w:color="auto"/>
            </w:tcBorders>
            <w:shd w:val="clear" w:color="auto" w:fill="auto"/>
            <w:noWrap/>
          </w:tcPr>
          <w:p w14:paraId="7C69419A" w14:textId="77777777" w:rsidR="00AC2429" w:rsidRPr="003F7F6C" w:rsidRDefault="00AC2429" w:rsidP="00B163D7">
            <w:pPr>
              <w:spacing w:after="0"/>
              <w:jc w:val="left"/>
              <w:rPr>
                <w:rFonts w:cs="Calibri"/>
                <w:color w:val="000000"/>
                <w:sz w:val="18"/>
                <w:szCs w:val="18"/>
              </w:rPr>
            </w:pPr>
            <w:r w:rsidRPr="003F7F6C">
              <w:rPr>
                <w:rFonts w:cs="Calibri"/>
                <w:color w:val="000000"/>
                <w:sz w:val="18"/>
                <w:szCs w:val="18"/>
              </w:rPr>
              <w:t>In-kind</w:t>
            </w:r>
          </w:p>
        </w:tc>
        <w:tc>
          <w:tcPr>
            <w:tcW w:w="1209" w:type="dxa"/>
            <w:tcBorders>
              <w:top w:val="single" w:sz="4" w:space="0" w:color="auto"/>
              <w:left w:val="nil"/>
              <w:bottom w:val="nil"/>
              <w:right w:val="single" w:sz="4" w:space="0" w:color="auto"/>
            </w:tcBorders>
            <w:shd w:val="clear" w:color="auto" w:fill="auto"/>
            <w:noWrap/>
          </w:tcPr>
          <w:p w14:paraId="6D06AD8C" w14:textId="77777777" w:rsidR="00AC2429" w:rsidRPr="003F7F6C" w:rsidRDefault="00AC2429" w:rsidP="00B163D7">
            <w:pPr>
              <w:spacing w:after="0"/>
              <w:jc w:val="right"/>
              <w:rPr>
                <w:rFonts w:eastAsia="Times New Roman" w:cs="Calibri"/>
                <w:color w:val="000000"/>
                <w:sz w:val="18"/>
                <w:szCs w:val="18"/>
                <w:lang w:val="es-PY" w:eastAsia="es-ES"/>
              </w:rPr>
            </w:pPr>
            <w:r w:rsidRPr="003F7F6C">
              <w:rPr>
                <w:rFonts w:eastAsia="Times New Roman" w:cs="Calibri"/>
                <w:color w:val="000000"/>
                <w:sz w:val="18"/>
                <w:szCs w:val="18"/>
              </w:rPr>
              <w:t>166,666</w:t>
            </w:r>
          </w:p>
        </w:tc>
        <w:tc>
          <w:tcPr>
            <w:tcW w:w="5103" w:type="dxa"/>
            <w:tcBorders>
              <w:top w:val="single" w:sz="4" w:space="0" w:color="auto"/>
              <w:left w:val="nil"/>
              <w:bottom w:val="nil"/>
              <w:right w:val="nil"/>
            </w:tcBorders>
            <w:shd w:val="clear" w:color="auto" w:fill="auto"/>
          </w:tcPr>
          <w:p w14:paraId="343CD6C3" w14:textId="53D080A6" w:rsidR="00AC2429" w:rsidRPr="003F7F6C" w:rsidRDefault="00461C72" w:rsidP="00B163D7">
            <w:pPr>
              <w:spacing w:after="0"/>
              <w:jc w:val="left"/>
              <w:rPr>
                <w:rFonts w:eastAsia="Times New Roman" w:cs="Calibri"/>
                <w:color w:val="000000"/>
                <w:sz w:val="18"/>
                <w:szCs w:val="18"/>
                <w:lang w:eastAsia="es-ES"/>
              </w:rPr>
            </w:pPr>
            <w:r w:rsidRPr="003F7F6C">
              <w:rPr>
                <w:rFonts w:eastAsia="Times New Roman" w:cs="Calibri"/>
                <w:color w:val="000000"/>
                <w:sz w:val="18"/>
                <w:szCs w:val="18"/>
                <w:lang w:eastAsia="es-ES"/>
              </w:rPr>
              <w:t>C</w:t>
            </w:r>
            <w:r w:rsidR="00AC2429" w:rsidRPr="003F7F6C">
              <w:rPr>
                <w:rFonts w:eastAsia="Times New Roman" w:cs="Calibri"/>
                <w:color w:val="000000"/>
                <w:sz w:val="18"/>
                <w:szCs w:val="18"/>
                <w:lang w:eastAsia="es-ES"/>
              </w:rPr>
              <w:t xml:space="preserve">omputer equipment; </w:t>
            </w:r>
            <w:r w:rsidRPr="003F7F6C">
              <w:rPr>
                <w:rFonts w:eastAsia="Times New Roman" w:cs="Calibri"/>
                <w:color w:val="000000"/>
                <w:sz w:val="18"/>
                <w:szCs w:val="18"/>
                <w:lang w:eastAsia="es-ES"/>
              </w:rPr>
              <w:t xml:space="preserve">equipment for environmental monitoring (e.g. </w:t>
            </w:r>
            <w:r w:rsidR="001D6D49" w:rsidRPr="003F7F6C">
              <w:rPr>
                <w:rFonts w:eastAsia="Times New Roman" w:cs="Calibri"/>
                <w:color w:val="000000"/>
                <w:sz w:val="18"/>
                <w:szCs w:val="18"/>
                <w:lang w:eastAsia="es-ES"/>
              </w:rPr>
              <w:t xml:space="preserve">GPS, </w:t>
            </w:r>
            <w:r w:rsidR="00B074F1" w:rsidRPr="003F7F6C">
              <w:rPr>
                <w:rFonts w:eastAsia="Times New Roman" w:cs="Calibri"/>
                <w:color w:val="000000"/>
                <w:sz w:val="18"/>
                <w:szCs w:val="18"/>
                <w:lang w:eastAsia="es-ES"/>
              </w:rPr>
              <w:t xml:space="preserve">camping equipment, </w:t>
            </w:r>
            <w:r w:rsidRPr="003F7F6C">
              <w:rPr>
                <w:rFonts w:eastAsia="Times New Roman" w:cs="Calibri"/>
                <w:color w:val="000000"/>
                <w:sz w:val="18"/>
                <w:szCs w:val="18"/>
                <w:lang w:eastAsia="es-ES"/>
              </w:rPr>
              <w:t>sampling and analysis</w:t>
            </w:r>
            <w:r w:rsidR="00B074F1" w:rsidRPr="003F7F6C">
              <w:rPr>
                <w:rFonts w:eastAsia="Times New Roman" w:cs="Calibri"/>
                <w:color w:val="000000"/>
                <w:sz w:val="18"/>
                <w:szCs w:val="18"/>
                <w:lang w:eastAsia="es-ES"/>
              </w:rPr>
              <w:t xml:space="preserve"> equipment</w:t>
            </w:r>
            <w:r w:rsidRPr="003F7F6C">
              <w:rPr>
                <w:rFonts w:eastAsia="Times New Roman" w:cs="Calibri"/>
                <w:color w:val="000000"/>
                <w:sz w:val="18"/>
                <w:szCs w:val="18"/>
                <w:lang w:eastAsia="es-ES"/>
              </w:rPr>
              <w:t xml:space="preserve">) </w:t>
            </w:r>
            <w:r w:rsidR="00AC2429" w:rsidRPr="003F7F6C">
              <w:rPr>
                <w:rFonts w:eastAsia="Times New Roman" w:cs="Calibri"/>
                <w:color w:val="000000"/>
                <w:sz w:val="18"/>
                <w:szCs w:val="18"/>
                <w:lang w:eastAsia="es-ES"/>
              </w:rPr>
              <w:t>vehicles; premises and infrastructure.</w:t>
            </w:r>
          </w:p>
        </w:tc>
        <w:tc>
          <w:tcPr>
            <w:tcW w:w="2051" w:type="dxa"/>
            <w:tcBorders>
              <w:top w:val="single" w:sz="4" w:space="0" w:color="auto"/>
              <w:left w:val="single" w:sz="4" w:space="0" w:color="auto"/>
              <w:bottom w:val="nil"/>
              <w:right w:val="single" w:sz="4" w:space="0" w:color="auto"/>
            </w:tcBorders>
            <w:shd w:val="clear" w:color="auto" w:fill="auto"/>
            <w:vAlign w:val="center"/>
          </w:tcPr>
          <w:p w14:paraId="1D07B6E8" w14:textId="77777777" w:rsidR="00AC2429" w:rsidRPr="003F7F6C" w:rsidRDefault="00AC2429" w:rsidP="00B163D7">
            <w:pPr>
              <w:spacing w:after="0"/>
              <w:jc w:val="left"/>
              <w:rPr>
                <w:rFonts w:eastAsia="Times New Roman" w:cs="Calibri"/>
                <w:color w:val="000000"/>
                <w:sz w:val="18"/>
                <w:szCs w:val="18"/>
                <w:lang w:eastAsia="es-ES"/>
              </w:rPr>
            </w:pPr>
            <w:r w:rsidRPr="003F7F6C">
              <w:rPr>
                <w:rFonts w:eastAsia="Times New Roman" w:cs="Calibri"/>
                <w:color w:val="000000"/>
                <w:sz w:val="18"/>
                <w:szCs w:val="18"/>
                <w:lang w:eastAsia="es-ES"/>
              </w:rPr>
              <w:t>Low Risk</w:t>
            </w:r>
          </w:p>
        </w:tc>
        <w:tc>
          <w:tcPr>
            <w:tcW w:w="2060" w:type="dxa"/>
            <w:tcBorders>
              <w:top w:val="single" w:sz="4" w:space="0" w:color="auto"/>
              <w:left w:val="nil"/>
              <w:bottom w:val="nil"/>
              <w:right w:val="single" w:sz="4" w:space="0" w:color="auto"/>
            </w:tcBorders>
            <w:shd w:val="clear" w:color="auto" w:fill="auto"/>
          </w:tcPr>
          <w:p w14:paraId="4C00A15F" w14:textId="77777777" w:rsidR="00AC2429" w:rsidRPr="003F7F6C" w:rsidRDefault="00AC2429" w:rsidP="00B163D7">
            <w:pPr>
              <w:spacing w:after="0"/>
              <w:jc w:val="left"/>
              <w:rPr>
                <w:rFonts w:eastAsia="Times New Roman" w:cs="Calibri"/>
                <w:color w:val="000000"/>
                <w:sz w:val="18"/>
                <w:szCs w:val="18"/>
                <w:lang w:eastAsia="es-ES"/>
              </w:rPr>
            </w:pPr>
            <w:r w:rsidRPr="003F7F6C">
              <w:rPr>
                <w:rFonts w:eastAsia="Times New Roman" w:cs="Calibri"/>
                <w:color w:val="000000"/>
                <w:sz w:val="18"/>
                <w:szCs w:val="18"/>
                <w:lang w:eastAsia="es-ES"/>
              </w:rPr>
              <w:t>The UNDP CO will monitor the co-financing contributions to the project.</w:t>
            </w:r>
          </w:p>
        </w:tc>
      </w:tr>
      <w:tr w:rsidR="00AC2429" w:rsidRPr="003F7F6C" w14:paraId="5A952B40" w14:textId="77777777" w:rsidTr="00871F77">
        <w:trPr>
          <w:trHeight w:val="695"/>
        </w:trPr>
        <w:tc>
          <w:tcPr>
            <w:tcW w:w="1156" w:type="dxa"/>
            <w:vMerge w:val="restart"/>
            <w:tcBorders>
              <w:top w:val="single" w:sz="4" w:space="0" w:color="auto"/>
              <w:left w:val="single" w:sz="4" w:space="0" w:color="auto"/>
              <w:bottom w:val="single" w:sz="4" w:space="0" w:color="auto"/>
              <w:right w:val="nil"/>
            </w:tcBorders>
            <w:shd w:val="clear" w:color="auto" w:fill="auto"/>
            <w:vAlign w:val="center"/>
          </w:tcPr>
          <w:p w14:paraId="3B3A793F" w14:textId="77777777" w:rsidR="00AC2429" w:rsidRPr="003F7F6C" w:rsidRDefault="00AC2429" w:rsidP="00B163D7">
            <w:pPr>
              <w:rPr>
                <w:rFonts w:eastAsia="Times New Roman" w:cs="Calibri"/>
                <w:color w:val="000000"/>
                <w:sz w:val="18"/>
                <w:szCs w:val="18"/>
                <w:lang w:eastAsia="es-ES"/>
              </w:rPr>
            </w:pPr>
            <w:r w:rsidRPr="003F7F6C">
              <w:rPr>
                <w:rFonts w:eastAsia="Times New Roman" w:cs="Calibri"/>
                <w:color w:val="000000"/>
                <w:sz w:val="18"/>
                <w:szCs w:val="18"/>
                <w:lang w:eastAsia="es-ES"/>
              </w:rPr>
              <w:t>Provincial government</w:t>
            </w:r>
          </w:p>
          <w:p w14:paraId="4D4A47D1" w14:textId="77777777" w:rsidR="00AC2429" w:rsidRPr="003F7F6C" w:rsidRDefault="00AC2429" w:rsidP="00B163D7">
            <w:pPr>
              <w:spacing w:after="0"/>
              <w:jc w:val="left"/>
              <w:rPr>
                <w:rFonts w:eastAsia="Times New Roman" w:cs="Calibri"/>
                <w:color w:val="000000"/>
                <w:sz w:val="18"/>
                <w:szCs w:val="18"/>
                <w:lang w:eastAsia="es-ES"/>
              </w:rPr>
            </w:pPr>
          </w:p>
        </w:tc>
        <w:tc>
          <w:tcPr>
            <w:tcW w:w="1209" w:type="dxa"/>
            <w:vMerge w:val="restart"/>
            <w:tcBorders>
              <w:top w:val="single" w:sz="4" w:space="0" w:color="auto"/>
              <w:left w:val="nil"/>
              <w:bottom w:val="single" w:sz="4" w:space="0" w:color="auto"/>
              <w:right w:val="single" w:sz="4" w:space="0" w:color="auto"/>
            </w:tcBorders>
            <w:shd w:val="clear" w:color="auto" w:fill="auto"/>
            <w:vAlign w:val="center"/>
          </w:tcPr>
          <w:p w14:paraId="35B20647" w14:textId="77777777" w:rsidR="00AC2429" w:rsidRPr="003F7F6C" w:rsidRDefault="00AC2429" w:rsidP="00B163D7">
            <w:pPr>
              <w:spacing w:after="0"/>
              <w:jc w:val="left"/>
              <w:rPr>
                <w:rFonts w:eastAsia="Times New Roman" w:cs="Calibri"/>
                <w:color w:val="000000"/>
                <w:sz w:val="18"/>
                <w:szCs w:val="18"/>
                <w:lang w:val="es-PY" w:eastAsia="es-ES"/>
              </w:rPr>
            </w:pPr>
            <w:r w:rsidRPr="003F7F6C">
              <w:rPr>
                <w:rFonts w:eastAsia="Times New Roman" w:cs="Calibri"/>
                <w:color w:val="000000"/>
                <w:sz w:val="18"/>
                <w:szCs w:val="18"/>
                <w:lang w:val="es-PY" w:eastAsia="es-ES"/>
              </w:rPr>
              <w:t>SAOT</w:t>
            </w:r>
          </w:p>
        </w:tc>
        <w:tc>
          <w:tcPr>
            <w:tcW w:w="1201" w:type="dxa"/>
            <w:tcBorders>
              <w:top w:val="single" w:sz="4" w:space="0" w:color="auto"/>
              <w:left w:val="nil"/>
              <w:bottom w:val="nil"/>
              <w:right w:val="single" w:sz="4" w:space="0" w:color="auto"/>
            </w:tcBorders>
            <w:shd w:val="clear" w:color="auto" w:fill="auto"/>
            <w:noWrap/>
          </w:tcPr>
          <w:p w14:paraId="09A7941C" w14:textId="77777777" w:rsidR="00AC2429" w:rsidRPr="003F7F6C" w:rsidRDefault="00AC2429" w:rsidP="00B163D7">
            <w:pPr>
              <w:spacing w:after="0"/>
              <w:jc w:val="left"/>
              <w:rPr>
                <w:rFonts w:cs="Calibri"/>
                <w:color w:val="000000"/>
                <w:sz w:val="18"/>
                <w:szCs w:val="18"/>
              </w:rPr>
            </w:pPr>
            <w:r w:rsidRPr="003F7F6C">
              <w:rPr>
                <w:rFonts w:cs="Calibri"/>
                <w:color w:val="000000"/>
                <w:sz w:val="18"/>
                <w:szCs w:val="18"/>
              </w:rPr>
              <w:t>Grants</w:t>
            </w:r>
          </w:p>
        </w:tc>
        <w:tc>
          <w:tcPr>
            <w:tcW w:w="1209" w:type="dxa"/>
            <w:tcBorders>
              <w:top w:val="single" w:sz="4" w:space="0" w:color="auto"/>
              <w:left w:val="nil"/>
              <w:bottom w:val="nil"/>
              <w:right w:val="single" w:sz="4" w:space="0" w:color="auto"/>
            </w:tcBorders>
            <w:shd w:val="clear" w:color="auto" w:fill="auto"/>
            <w:noWrap/>
          </w:tcPr>
          <w:p w14:paraId="7CE9A021" w14:textId="77777777" w:rsidR="00AC2429" w:rsidRPr="003F7F6C" w:rsidRDefault="00AC2429" w:rsidP="00B163D7">
            <w:pPr>
              <w:spacing w:after="0"/>
              <w:jc w:val="right"/>
              <w:rPr>
                <w:rFonts w:eastAsia="Times New Roman" w:cs="Calibri"/>
                <w:color w:val="000000"/>
                <w:sz w:val="18"/>
                <w:szCs w:val="18"/>
              </w:rPr>
            </w:pPr>
            <w:r w:rsidRPr="003F7F6C">
              <w:rPr>
                <w:rFonts w:eastAsia="Times New Roman" w:cs="Calibri"/>
                <w:color w:val="000000"/>
                <w:sz w:val="18"/>
                <w:szCs w:val="18"/>
              </w:rPr>
              <w:t>6,666,666</w:t>
            </w:r>
          </w:p>
        </w:tc>
        <w:tc>
          <w:tcPr>
            <w:tcW w:w="5103" w:type="dxa"/>
            <w:tcBorders>
              <w:top w:val="single" w:sz="4" w:space="0" w:color="auto"/>
              <w:left w:val="nil"/>
              <w:bottom w:val="nil"/>
              <w:right w:val="nil"/>
            </w:tcBorders>
            <w:shd w:val="clear" w:color="auto" w:fill="auto"/>
          </w:tcPr>
          <w:p w14:paraId="29B10767" w14:textId="77777777" w:rsidR="00AC2429" w:rsidRPr="003F7F6C" w:rsidRDefault="00AC2429" w:rsidP="00B163D7">
            <w:pPr>
              <w:spacing w:after="0"/>
              <w:jc w:val="left"/>
              <w:rPr>
                <w:rFonts w:eastAsia="Times New Roman" w:cs="Calibri"/>
                <w:color w:val="000000"/>
                <w:sz w:val="18"/>
                <w:szCs w:val="18"/>
                <w:lang w:eastAsia="es-ES"/>
              </w:rPr>
            </w:pPr>
            <w:r w:rsidRPr="003F7F6C">
              <w:rPr>
                <w:rFonts w:eastAsia="Times New Roman" w:cs="Calibri"/>
                <w:color w:val="000000"/>
                <w:sz w:val="18"/>
                <w:szCs w:val="18"/>
                <w:lang w:eastAsia="es-ES"/>
              </w:rPr>
              <w:t>Cost of salaries of managerial, technical and administrative staff assigned to the project; contracts with third party organizations; training (individual, group, field trips, study tours, workshops, seminars); meetings; maintenance of equipment; investments in programs and projects related to ELUP, particularly the provincial laws Nº8051 and Nº8999</w:t>
            </w:r>
          </w:p>
        </w:tc>
        <w:tc>
          <w:tcPr>
            <w:tcW w:w="2051" w:type="dxa"/>
            <w:tcBorders>
              <w:top w:val="single" w:sz="4" w:space="0" w:color="auto"/>
              <w:left w:val="single" w:sz="4" w:space="0" w:color="auto"/>
              <w:bottom w:val="nil"/>
              <w:right w:val="single" w:sz="4" w:space="0" w:color="auto"/>
            </w:tcBorders>
            <w:shd w:val="clear" w:color="auto" w:fill="auto"/>
            <w:vAlign w:val="center"/>
          </w:tcPr>
          <w:p w14:paraId="0775C62D" w14:textId="77777777" w:rsidR="00AC2429" w:rsidRPr="003F7F6C" w:rsidRDefault="00AC2429" w:rsidP="00B163D7">
            <w:pPr>
              <w:spacing w:after="0"/>
              <w:jc w:val="left"/>
              <w:rPr>
                <w:rFonts w:eastAsia="Times New Roman" w:cs="Calibri"/>
                <w:color w:val="000000"/>
                <w:sz w:val="18"/>
                <w:szCs w:val="18"/>
                <w:lang w:eastAsia="es-ES"/>
              </w:rPr>
            </w:pPr>
            <w:r w:rsidRPr="003F7F6C">
              <w:rPr>
                <w:rFonts w:eastAsia="Times New Roman" w:cs="Calibri"/>
                <w:color w:val="000000"/>
                <w:sz w:val="18"/>
                <w:szCs w:val="18"/>
                <w:lang w:eastAsia="es-ES"/>
              </w:rPr>
              <w:t>Medium Risk. Dependent on annual budgeting and effective allocation of funds to the institution.</w:t>
            </w:r>
          </w:p>
        </w:tc>
        <w:tc>
          <w:tcPr>
            <w:tcW w:w="2060" w:type="dxa"/>
            <w:tcBorders>
              <w:top w:val="single" w:sz="4" w:space="0" w:color="auto"/>
              <w:left w:val="nil"/>
              <w:bottom w:val="single" w:sz="4" w:space="0" w:color="auto"/>
              <w:right w:val="single" w:sz="4" w:space="0" w:color="auto"/>
            </w:tcBorders>
            <w:shd w:val="clear" w:color="auto" w:fill="auto"/>
          </w:tcPr>
          <w:p w14:paraId="4C4051F6" w14:textId="77777777" w:rsidR="00AC2429" w:rsidRPr="003F7F6C" w:rsidRDefault="00AC2429" w:rsidP="00B163D7">
            <w:pPr>
              <w:spacing w:after="0"/>
              <w:jc w:val="left"/>
              <w:rPr>
                <w:rFonts w:eastAsia="Times New Roman" w:cs="Calibri"/>
                <w:color w:val="000000"/>
                <w:sz w:val="18"/>
                <w:szCs w:val="18"/>
                <w:lang w:eastAsia="es-ES"/>
              </w:rPr>
            </w:pPr>
            <w:r w:rsidRPr="003F7F6C">
              <w:rPr>
                <w:rFonts w:eastAsia="Times New Roman" w:cs="Calibri"/>
                <w:color w:val="000000"/>
                <w:sz w:val="18"/>
                <w:szCs w:val="18"/>
                <w:lang w:eastAsia="es-ES"/>
              </w:rPr>
              <w:t>The UNDP CO will monitor the co-financing contributions to the project.</w:t>
            </w:r>
          </w:p>
        </w:tc>
      </w:tr>
      <w:tr w:rsidR="00AC2429" w:rsidRPr="003F7F6C" w14:paraId="2FECA2E7" w14:textId="77777777" w:rsidTr="00F12942">
        <w:trPr>
          <w:trHeight w:val="690"/>
        </w:trPr>
        <w:tc>
          <w:tcPr>
            <w:tcW w:w="1156" w:type="dxa"/>
            <w:vMerge/>
            <w:tcBorders>
              <w:left w:val="single" w:sz="4" w:space="0" w:color="auto"/>
              <w:bottom w:val="single" w:sz="4" w:space="0" w:color="auto"/>
              <w:right w:val="nil"/>
            </w:tcBorders>
            <w:shd w:val="clear" w:color="auto" w:fill="auto"/>
            <w:vAlign w:val="center"/>
          </w:tcPr>
          <w:p w14:paraId="27A90AC5" w14:textId="77777777" w:rsidR="00AC2429" w:rsidRPr="003F7F6C" w:rsidRDefault="00AC2429" w:rsidP="00B163D7">
            <w:pPr>
              <w:spacing w:after="0"/>
              <w:jc w:val="left"/>
              <w:rPr>
                <w:rFonts w:eastAsia="Times New Roman" w:cs="Calibri"/>
                <w:color w:val="000000"/>
                <w:sz w:val="18"/>
                <w:szCs w:val="18"/>
                <w:lang w:eastAsia="es-ES"/>
              </w:rPr>
            </w:pPr>
          </w:p>
        </w:tc>
        <w:tc>
          <w:tcPr>
            <w:tcW w:w="1209" w:type="dxa"/>
            <w:vMerge/>
            <w:tcBorders>
              <w:left w:val="nil"/>
              <w:bottom w:val="single" w:sz="4" w:space="0" w:color="auto"/>
              <w:right w:val="single" w:sz="4" w:space="0" w:color="auto"/>
            </w:tcBorders>
            <w:shd w:val="clear" w:color="auto" w:fill="auto"/>
            <w:vAlign w:val="center"/>
          </w:tcPr>
          <w:p w14:paraId="1B0EFD36" w14:textId="77777777" w:rsidR="00AC2429" w:rsidRPr="003F7F6C" w:rsidRDefault="00AC2429" w:rsidP="00B163D7">
            <w:pPr>
              <w:spacing w:after="0"/>
              <w:jc w:val="left"/>
              <w:rPr>
                <w:rFonts w:eastAsia="Times New Roman" w:cs="Calibri"/>
                <w:color w:val="000000"/>
                <w:sz w:val="18"/>
                <w:szCs w:val="18"/>
                <w:lang w:eastAsia="es-ES"/>
              </w:rPr>
            </w:pPr>
          </w:p>
        </w:tc>
        <w:tc>
          <w:tcPr>
            <w:tcW w:w="1201" w:type="dxa"/>
            <w:tcBorders>
              <w:top w:val="single" w:sz="4" w:space="0" w:color="auto"/>
              <w:left w:val="nil"/>
              <w:bottom w:val="nil"/>
              <w:right w:val="single" w:sz="4" w:space="0" w:color="auto"/>
            </w:tcBorders>
            <w:shd w:val="clear" w:color="auto" w:fill="auto"/>
            <w:noWrap/>
          </w:tcPr>
          <w:p w14:paraId="2914CBB2" w14:textId="77777777" w:rsidR="00AC2429" w:rsidRPr="003F7F6C" w:rsidRDefault="00AC2429" w:rsidP="00B163D7">
            <w:pPr>
              <w:spacing w:after="0"/>
              <w:jc w:val="left"/>
              <w:rPr>
                <w:rFonts w:cs="Calibri"/>
                <w:color w:val="000000"/>
                <w:sz w:val="18"/>
                <w:szCs w:val="18"/>
              </w:rPr>
            </w:pPr>
            <w:r w:rsidRPr="003F7F6C">
              <w:rPr>
                <w:rFonts w:cs="Calibri"/>
                <w:color w:val="000000"/>
                <w:sz w:val="18"/>
                <w:szCs w:val="18"/>
              </w:rPr>
              <w:t>In-kind</w:t>
            </w:r>
          </w:p>
        </w:tc>
        <w:tc>
          <w:tcPr>
            <w:tcW w:w="1209" w:type="dxa"/>
            <w:tcBorders>
              <w:top w:val="single" w:sz="4" w:space="0" w:color="auto"/>
              <w:left w:val="nil"/>
              <w:bottom w:val="nil"/>
              <w:right w:val="single" w:sz="4" w:space="0" w:color="auto"/>
            </w:tcBorders>
            <w:shd w:val="clear" w:color="auto" w:fill="auto"/>
            <w:noWrap/>
          </w:tcPr>
          <w:p w14:paraId="1DD745A8" w14:textId="77777777" w:rsidR="00AC2429" w:rsidRPr="003F7F6C" w:rsidRDefault="00AC2429" w:rsidP="00B163D7">
            <w:pPr>
              <w:spacing w:after="0"/>
              <w:jc w:val="right"/>
              <w:rPr>
                <w:rFonts w:eastAsia="Times New Roman" w:cs="Calibri"/>
                <w:color w:val="000000"/>
                <w:sz w:val="18"/>
                <w:szCs w:val="18"/>
                <w:lang w:val="es-PY" w:eastAsia="es-ES"/>
              </w:rPr>
            </w:pPr>
            <w:r w:rsidRPr="003F7F6C">
              <w:rPr>
                <w:rFonts w:eastAsia="Times New Roman" w:cs="Calibri"/>
                <w:color w:val="000000"/>
                <w:sz w:val="18"/>
                <w:szCs w:val="18"/>
              </w:rPr>
              <w:t>166,666</w:t>
            </w:r>
          </w:p>
        </w:tc>
        <w:tc>
          <w:tcPr>
            <w:tcW w:w="5103" w:type="dxa"/>
            <w:tcBorders>
              <w:top w:val="single" w:sz="4" w:space="0" w:color="auto"/>
              <w:left w:val="nil"/>
              <w:bottom w:val="nil"/>
              <w:right w:val="nil"/>
            </w:tcBorders>
            <w:shd w:val="clear" w:color="auto" w:fill="auto"/>
          </w:tcPr>
          <w:p w14:paraId="6697F746" w14:textId="17B08956" w:rsidR="00AC2429" w:rsidRPr="003F7F6C" w:rsidRDefault="00F60EBC" w:rsidP="00B163D7">
            <w:pPr>
              <w:spacing w:after="0"/>
              <w:jc w:val="left"/>
              <w:rPr>
                <w:rFonts w:eastAsia="Times New Roman" w:cs="Calibri"/>
                <w:color w:val="000000"/>
                <w:sz w:val="18"/>
                <w:szCs w:val="18"/>
                <w:lang w:eastAsia="es-ES"/>
              </w:rPr>
            </w:pPr>
            <w:r w:rsidRPr="003F7F6C">
              <w:rPr>
                <w:rFonts w:eastAsia="Times New Roman" w:cs="Calibri"/>
                <w:color w:val="000000"/>
                <w:sz w:val="18"/>
                <w:szCs w:val="18"/>
                <w:lang w:eastAsia="es-ES"/>
              </w:rPr>
              <w:t>E</w:t>
            </w:r>
            <w:r w:rsidR="00B074F1" w:rsidRPr="003F7F6C">
              <w:rPr>
                <w:rFonts w:eastAsia="Times New Roman" w:cs="Calibri"/>
                <w:color w:val="000000"/>
                <w:sz w:val="18"/>
                <w:szCs w:val="18"/>
                <w:lang w:eastAsia="es-ES"/>
              </w:rPr>
              <w:t>quipment for environmental monitoring (e.g.</w:t>
            </w:r>
            <w:r w:rsidR="00104B11" w:rsidRPr="003F7F6C">
              <w:rPr>
                <w:rFonts w:eastAsia="Times New Roman" w:cs="Calibri"/>
                <w:color w:val="000000"/>
                <w:sz w:val="18"/>
                <w:szCs w:val="18"/>
                <w:lang w:eastAsia="es-ES"/>
              </w:rPr>
              <w:t>,</w:t>
            </w:r>
            <w:r w:rsidR="00B074F1" w:rsidRPr="003F7F6C">
              <w:rPr>
                <w:rFonts w:eastAsia="Times New Roman" w:cs="Calibri"/>
                <w:color w:val="000000"/>
                <w:sz w:val="18"/>
                <w:szCs w:val="18"/>
                <w:lang w:eastAsia="es-ES"/>
              </w:rPr>
              <w:t xml:space="preserve"> GPS, camping equipment, sampling and analysis equipment) </w:t>
            </w:r>
            <w:r w:rsidR="00AC2429" w:rsidRPr="003F7F6C">
              <w:rPr>
                <w:rFonts w:eastAsia="Times New Roman" w:cs="Calibri"/>
                <w:color w:val="000000"/>
                <w:sz w:val="18"/>
                <w:szCs w:val="18"/>
                <w:lang w:eastAsia="es-ES"/>
              </w:rPr>
              <w:t>and computer equipment; vehicles; premises and infrastructure.</w:t>
            </w:r>
          </w:p>
        </w:tc>
        <w:tc>
          <w:tcPr>
            <w:tcW w:w="2051" w:type="dxa"/>
            <w:tcBorders>
              <w:top w:val="single" w:sz="4" w:space="0" w:color="auto"/>
              <w:left w:val="single" w:sz="4" w:space="0" w:color="auto"/>
              <w:bottom w:val="nil"/>
              <w:right w:val="single" w:sz="4" w:space="0" w:color="auto"/>
            </w:tcBorders>
            <w:shd w:val="clear" w:color="auto" w:fill="auto"/>
            <w:vAlign w:val="center"/>
          </w:tcPr>
          <w:p w14:paraId="6EF62FF0" w14:textId="77777777" w:rsidR="00AC2429" w:rsidRPr="003F7F6C" w:rsidRDefault="00AC2429" w:rsidP="00B163D7">
            <w:pPr>
              <w:spacing w:after="0"/>
              <w:jc w:val="left"/>
              <w:rPr>
                <w:rFonts w:eastAsia="Times New Roman" w:cs="Calibri"/>
                <w:color w:val="000000"/>
                <w:sz w:val="18"/>
                <w:szCs w:val="18"/>
                <w:lang w:eastAsia="es-ES"/>
              </w:rPr>
            </w:pPr>
            <w:r w:rsidRPr="003F7F6C">
              <w:rPr>
                <w:rFonts w:eastAsia="Times New Roman" w:cs="Calibri"/>
                <w:color w:val="000000"/>
                <w:sz w:val="18"/>
                <w:szCs w:val="18"/>
                <w:lang w:eastAsia="es-ES"/>
              </w:rPr>
              <w:t>Low Risk</w:t>
            </w:r>
          </w:p>
        </w:tc>
        <w:tc>
          <w:tcPr>
            <w:tcW w:w="2060" w:type="dxa"/>
            <w:tcBorders>
              <w:top w:val="single" w:sz="4" w:space="0" w:color="auto"/>
              <w:left w:val="nil"/>
              <w:bottom w:val="single" w:sz="4" w:space="0" w:color="auto"/>
              <w:right w:val="single" w:sz="4" w:space="0" w:color="auto"/>
            </w:tcBorders>
            <w:shd w:val="clear" w:color="auto" w:fill="auto"/>
          </w:tcPr>
          <w:p w14:paraId="7599FF86" w14:textId="77777777" w:rsidR="00AC2429" w:rsidRPr="003F7F6C" w:rsidRDefault="00AC2429" w:rsidP="00B163D7">
            <w:pPr>
              <w:spacing w:after="0"/>
              <w:jc w:val="left"/>
              <w:rPr>
                <w:rFonts w:eastAsia="Times New Roman" w:cs="Calibri"/>
                <w:color w:val="000000"/>
                <w:sz w:val="18"/>
                <w:szCs w:val="18"/>
                <w:lang w:eastAsia="es-ES"/>
              </w:rPr>
            </w:pPr>
            <w:r w:rsidRPr="003F7F6C">
              <w:rPr>
                <w:rFonts w:eastAsia="Times New Roman" w:cs="Calibri"/>
                <w:color w:val="000000"/>
                <w:sz w:val="18"/>
                <w:szCs w:val="18"/>
                <w:lang w:eastAsia="es-ES"/>
              </w:rPr>
              <w:t>The UNDP CO will monitor the co-financing contributions to the project.</w:t>
            </w:r>
          </w:p>
        </w:tc>
      </w:tr>
      <w:tr w:rsidR="00AC2429" w:rsidRPr="003F7F6C" w14:paraId="3E176F2A" w14:textId="77777777" w:rsidTr="00F12942">
        <w:trPr>
          <w:trHeight w:val="580"/>
        </w:trPr>
        <w:tc>
          <w:tcPr>
            <w:tcW w:w="1156" w:type="dxa"/>
            <w:tcBorders>
              <w:top w:val="single" w:sz="4" w:space="0" w:color="auto"/>
              <w:left w:val="single" w:sz="4" w:space="0" w:color="auto"/>
              <w:bottom w:val="single" w:sz="4" w:space="0" w:color="auto"/>
              <w:right w:val="nil"/>
            </w:tcBorders>
            <w:shd w:val="clear" w:color="auto" w:fill="auto"/>
            <w:noWrap/>
            <w:vAlign w:val="center"/>
          </w:tcPr>
          <w:p w14:paraId="24324F10" w14:textId="77777777" w:rsidR="00AC2429" w:rsidRPr="003F7F6C" w:rsidRDefault="00AC2429" w:rsidP="00B163D7">
            <w:pPr>
              <w:spacing w:after="0"/>
              <w:jc w:val="left"/>
              <w:rPr>
                <w:rFonts w:eastAsia="Times New Roman" w:cs="Calibri"/>
                <w:color w:val="000000"/>
                <w:sz w:val="18"/>
                <w:szCs w:val="18"/>
                <w:lang w:eastAsia="es-ES"/>
              </w:rPr>
            </w:pPr>
            <w:r w:rsidRPr="003F7F6C">
              <w:rPr>
                <w:rFonts w:eastAsia="Times New Roman" w:cs="Calibri"/>
                <w:color w:val="000000"/>
                <w:sz w:val="18"/>
                <w:szCs w:val="18"/>
                <w:lang w:eastAsia="es-ES"/>
              </w:rPr>
              <w:t>GEF Agency</w:t>
            </w:r>
          </w:p>
        </w:tc>
        <w:tc>
          <w:tcPr>
            <w:tcW w:w="1209" w:type="dxa"/>
            <w:tcBorders>
              <w:top w:val="single" w:sz="4" w:space="0" w:color="auto"/>
              <w:left w:val="nil"/>
              <w:bottom w:val="single" w:sz="4" w:space="0" w:color="auto"/>
              <w:right w:val="single" w:sz="4" w:space="0" w:color="auto"/>
            </w:tcBorders>
            <w:shd w:val="clear" w:color="auto" w:fill="auto"/>
            <w:noWrap/>
            <w:vAlign w:val="center"/>
          </w:tcPr>
          <w:p w14:paraId="390FD5CE" w14:textId="77777777" w:rsidR="00AC2429" w:rsidRPr="003F7F6C" w:rsidRDefault="00AC2429" w:rsidP="00B163D7">
            <w:pPr>
              <w:spacing w:after="0"/>
              <w:jc w:val="left"/>
              <w:rPr>
                <w:rFonts w:eastAsia="Times New Roman" w:cs="Calibri"/>
                <w:color w:val="000000"/>
                <w:sz w:val="18"/>
                <w:szCs w:val="18"/>
                <w:lang w:eastAsia="es-ES"/>
              </w:rPr>
            </w:pPr>
            <w:r w:rsidRPr="003F7F6C">
              <w:rPr>
                <w:rFonts w:eastAsia="Times New Roman" w:cs="Calibri"/>
                <w:color w:val="000000"/>
                <w:sz w:val="18"/>
                <w:szCs w:val="18"/>
                <w:lang w:eastAsia="es-ES"/>
              </w:rPr>
              <w:t>UNDP</w:t>
            </w:r>
          </w:p>
        </w:tc>
        <w:tc>
          <w:tcPr>
            <w:tcW w:w="1201" w:type="dxa"/>
            <w:tcBorders>
              <w:top w:val="single" w:sz="4" w:space="0" w:color="auto"/>
              <w:left w:val="nil"/>
              <w:bottom w:val="single" w:sz="4" w:space="0" w:color="auto"/>
              <w:right w:val="single" w:sz="4" w:space="0" w:color="auto"/>
            </w:tcBorders>
            <w:shd w:val="clear" w:color="auto" w:fill="auto"/>
            <w:noWrap/>
          </w:tcPr>
          <w:p w14:paraId="2F8A1422" w14:textId="77777777" w:rsidR="00AC2429" w:rsidRPr="003F7F6C" w:rsidRDefault="00AC2429" w:rsidP="00B163D7">
            <w:pPr>
              <w:spacing w:after="0"/>
              <w:jc w:val="left"/>
              <w:rPr>
                <w:rFonts w:eastAsia="Times New Roman" w:cs="Calibri"/>
                <w:color w:val="000000"/>
                <w:sz w:val="18"/>
                <w:szCs w:val="18"/>
                <w:lang w:val="es-PY" w:eastAsia="es-ES"/>
              </w:rPr>
            </w:pPr>
            <w:r w:rsidRPr="003F7F6C">
              <w:rPr>
                <w:rFonts w:cs="Calibri"/>
                <w:color w:val="000000"/>
                <w:sz w:val="18"/>
                <w:szCs w:val="18"/>
              </w:rPr>
              <w:t>Grants</w:t>
            </w:r>
          </w:p>
        </w:tc>
        <w:tc>
          <w:tcPr>
            <w:tcW w:w="1209" w:type="dxa"/>
            <w:tcBorders>
              <w:top w:val="single" w:sz="4" w:space="0" w:color="auto"/>
              <w:left w:val="nil"/>
              <w:bottom w:val="single" w:sz="4" w:space="0" w:color="auto"/>
              <w:right w:val="single" w:sz="4" w:space="0" w:color="auto"/>
            </w:tcBorders>
            <w:shd w:val="clear" w:color="auto" w:fill="auto"/>
            <w:noWrap/>
          </w:tcPr>
          <w:p w14:paraId="5F331D17" w14:textId="77777777" w:rsidR="00AC2429" w:rsidRPr="003F7F6C" w:rsidRDefault="00AC2429" w:rsidP="00B163D7">
            <w:pPr>
              <w:spacing w:after="0"/>
              <w:jc w:val="right"/>
              <w:rPr>
                <w:rFonts w:eastAsia="Times New Roman" w:cs="Calibri"/>
                <w:color w:val="000000"/>
                <w:sz w:val="18"/>
                <w:szCs w:val="18"/>
                <w:lang w:val="es-PY" w:eastAsia="es-ES"/>
              </w:rPr>
            </w:pPr>
            <w:r w:rsidRPr="003F7F6C">
              <w:rPr>
                <w:rFonts w:eastAsia="Times New Roman" w:cs="Calibri"/>
                <w:color w:val="000000"/>
                <w:sz w:val="18"/>
                <w:szCs w:val="18"/>
              </w:rPr>
              <w:t>200,000</w:t>
            </w:r>
          </w:p>
        </w:tc>
        <w:tc>
          <w:tcPr>
            <w:tcW w:w="5103" w:type="dxa"/>
            <w:tcBorders>
              <w:top w:val="single" w:sz="4" w:space="0" w:color="auto"/>
              <w:left w:val="nil"/>
              <w:bottom w:val="nil"/>
              <w:right w:val="nil"/>
            </w:tcBorders>
            <w:shd w:val="clear" w:color="auto" w:fill="auto"/>
            <w:vAlign w:val="center"/>
          </w:tcPr>
          <w:p w14:paraId="46EFD2CC" w14:textId="7F2089EA" w:rsidR="00AC2429" w:rsidRPr="003F7F6C" w:rsidRDefault="00454B67" w:rsidP="00D23522">
            <w:pPr>
              <w:spacing w:after="0"/>
              <w:jc w:val="left"/>
              <w:rPr>
                <w:rFonts w:eastAsia="Times New Roman" w:cs="Calibri"/>
                <w:sz w:val="18"/>
                <w:szCs w:val="18"/>
                <w:lang w:eastAsia="es-ES"/>
              </w:rPr>
            </w:pPr>
            <w:r w:rsidRPr="003F7F6C">
              <w:rPr>
                <w:rFonts w:eastAsia="Times New Roman" w:cs="Calibri"/>
                <w:color w:val="000000"/>
                <w:sz w:val="18"/>
                <w:szCs w:val="18"/>
                <w:lang w:eastAsia="es-ES"/>
              </w:rPr>
              <w:t>Other p</w:t>
            </w:r>
            <w:r w:rsidR="00D23522" w:rsidRPr="003F7F6C">
              <w:rPr>
                <w:rFonts w:eastAsia="Times New Roman" w:cs="Calibri"/>
                <w:color w:val="000000"/>
                <w:sz w:val="18"/>
                <w:szCs w:val="18"/>
                <w:lang w:eastAsia="es-ES"/>
              </w:rPr>
              <w:t xml:space="preserve">rojects being implemented by UNDP Country Office that will provide a federal enabling framework to reinforce ELUP, will allow application of ELUP procedures and instruments in pilot provinces </w:t>
            </w:r>
            <w:r w:rsidRPr="003F7F6C">
              <w:rPr>
                <w:rFonts w:eastAsia="Times New Roman" w:cs="Calibri"/>
                <w:color w:val="000000"/>
                <w:sz w:val="18"/>
                <w:szCs w:val="18"/>
                <w:lang w:eastAsia="es-ES"/>
              </w:rPr>
              <w:t>and will provide a replicability framework.</w:t>
            </w:r>
          </w:p>
        </w:tc>
        <w:tc>
          <w:tcPr>
            <w:tcW w:w="20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76B4F9" w14:textId="77777777" w:rsidR="00AC2429" w:rsidRPr="003F7F6C" w:rsidRDefault="00AC2429" w:rsidP="00B163D7">
            <w:pPr>
              <w:spacing w:after="0"/>
              <w:jc w:val="left"/>
              <w:rPr>
                <w:rFonts w:eastAsia="Times New Roman" w:cs="Calibri"/>
                <w:color w:val="000000"/>
                <w:sz w:val="18"/>
                <w:szCs w:val="18"/>
                <w:lang w:val="es-PY" w:eastAsia="es-ES"/>
              </w:rPr>
            </w:pPr>
            <w:r w:rsidRPr="003F7F6C">
              <w:rPr>
                <w:rFonts w:eastAsia="Times New Roman" w:cs="Calibri"/>
                <w:color w:val="000000"/>
                <w:sz w:val="18"/>
                <w:szCs w:val="18"/>
                <w:lang w:val="es-PY" w:eastAsia="es-ES"/>
              </w:rPr>
              <w:t>Low Risk</w:t>
            </w:r>
          </w:p>
        </w:tc>
        <w:tc>
          <w:tcPr>
            <w:tcW w:w="2060" w:type="dxa"/>
            <w:tcBorders>
              <w:top w:val="single" w:sz="4" w:space="0" w:color="auto"/>
              <w:left w:val="nil"/>
              <w:bottom w:val="single" w:sz="4" w:space="0" w:color="auto"/>
              <w:right w:val="single" w:sz="4" w:space="0" w:color="auto"/>
            </w:tcBorders>
            <w:shd w:val="clear" w:color="auto" w:fill="auto"/>
            <w:noWrap/>
            <w:vAlign w:val="bottom"/>
          </w:tcPr>
          <w:p w14:paraId="5A099EA1" w14:textId="0B20312A" w:rsidR="00AC2429" w:rsidRPr="003F7F6C" w:rsidRDefault="00454B67" w:rsidP="00B163D7">
            <w:pPr>
              <w:spacing w:after="0"/>
              <w:jc w:val="left"/>
              <w:rPr>
                <w:rFonts w:eastAsia="Times New Roman" w:cs="Calibri"/>
                <w:color w:val="000000"/>
                <w:sz w:val="18"/>
                <w:szCs w:val="18"/>
                <w:lang w:eastAsia="es-ES"/>
              </w:rPr>
            </w:pPr>
            <w:r w:rsidRPr="003F7F6C">
              <w:rPr>
                <w:rFonts w:eastAsia="Times New Roman" w:cs="Calibri"/>
                <w:color w:val="000000"/>
                <w:sz w:val="18"/>
                <w:szCs w:val="18"/>
                <w:lang w:eastAsia="es-ES"/>
              </w:rPr>
              <w:t>UNDP CO is the implementing agency for these projects that represent co-financing</w:t>
            </w:r>
            <w:r w:rsidR="00086D13" w:rsidRPr="003F7F6C">
              <w:rPr>
                <w:rFonts w:eastAsia="Times New Roman" w:cs="Calibri"/>
                <w:color w:val="000000"/>
                <w:sz w:val="18"/>
                <w:szCs w:val="18"/>
                <w:lang w:eastAsia="es-ES"/>
              </w:rPr>
              <w:t xml:space="preserve"> and will monitor the inputs to the project</w:t>
            </w:r>
            <w:r w:rsidRPr="003F7F6C">
              <w:rPr>
                <w:rFonts w:eastAsia="Times New Roman" w:cs="Calibri"/>
                <w:color w:val="000000"/>
                <w:sz w:val="18"/>
                <w:szCs w:val="18"/>
                <w:lang w:eastAsia="es-ES"/>
              </w:rPr>
              <w:t>.</w:t>
            </w:r>
          </w:p>
        </w:tc>
      </w:tr>
      <w:tr w:rsidR="00AC2429" w:rsidRPr="003F7F6C" w14:paraId="68104F07" w14:textId="77777777" w:rsidTr="00F12942">
        <w:trPr>
          <w:trHeight w:val="80"/>
        </w:trPr>
        <w:tc>
          <w:tcPr>
            <w:tcW w:w="3566"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4106E95" w14:textId="77777777" w:rsidR="00AC2429" w:rsidRPr="003F7F6C" w:rsidRDefault="00AC2429" w:rsidP="00B163D7">
            <w:pPr>
              <w:spacing w:after="0"/>
              <w:jc w:val="right"/>
              <w:rPr>
                <w:rFonts w:eastAsia="Times New Roman" w:cs="Calibri"/>
                <w:color w:val="000000"/>
                <w:sz w:val="18"/>
                <w:szCs w:val="18"/>
                <w:lang w:val="es-PY" w:eastAsia="es-ES"/>
              </w:rPr>
            </w:pPr>
            <w:r w:rsidRPr="003F7F6C">
              <w:rPr>
                <w:rFonts w:eastAsia="Times New Roman" w:cs="Calibri"/>
                <w:color w:val="000000"/>
                <w:sz w:val="18"/>
                <w:szCs w:val="18"/>
                <w:lang w:eastAsia="es-ES"/>
              </w:rPr>
              <w:t>  </w:t>
            </w:r>
            <w:r w:rsidRPr="003F7F6C">
              <w:rPr>
                <w:rFonts w:eastAsia="Times New Roman" w:cs="Calibri"/>
                <w:color w:val="000000"/>
                <w:sz w:val="18"/>
                <w:szCs w:val="18"/>
                <w:lang w:val="es-PY" w:eastAsia="es-ES"/>
              </w:rPr>
              <w:t>Total</w:t>
            </w:r>
          </w:p>
        </w:tc>
        <w:tc>
          <w:tcPr>
            <w:tcW w:w="1209" w:type="dxa"/>
            <w:tcBorders>
              <w:top w:val="nil"/>
              <w:left w:val="nil"/>
              <w:bottom w:val="single" w:sz="4" w:space="0" w:color="auto"/>
              <w:right w:val="single" w:sz="4" w:space="0" w:color="auto"/>
            </w:tcBorders>
            <w:shd w:val="clear" w:color="auto" w:fill="auto"/>
            <w:noWrap/>
            <w:vAlign w:val="bottom"/>
            <w:hideMark/>
          </w:tcPr>
          <w:p w14:paraId="256F192E" w14:textId="0AD4A157" w:rsidR="00AC2429" w:rsidRPr="003F7F6C" w:rsidRDefault="00B848C3" w:rsidP="00B163D7">
            <w:pPr>
              <w:spacing w:after="0"/>
              <w:jc w:val="right"/>
              <w:rPr>
                <w:rFonts w:eastAsia="Times New Roman" w:cs="Calibri"/>
                <w:b/>
                <w:color w:val="000000"/>
                <w:sz w:val="18"/>
                <w:szCs w:val="18"/>
                <w:lang w:val="es-PY" w:eastAsia="es-ES"/>
              </w:rPr>
            </w:pPr>
            <w:r w:rsidRPr="003F7F6C">
              <w:rPr>
                <w:rFonts w:eastAsia="Times New Roman" w:cs="Calibri"/>
                <w:b/>
                <w:color w:val="000000"/>
                <w:sz w:val="18"/>
                <w:szCs w:val="18"/>
                <w:lang w:val="es-PY" w:eastAsia="es-ES"/>
              </w:rPr>
              <w:t>42,390,000</w:t>
            </w:r>
          </w:p>
        </w:tc>
        <w:tc>
          <w:tcPr>
            <w:tcW w:w="5103" w:type="dxa"/>
            <w:tcBorders>
              <w:top w:val="single" w:sz="4" w:space="0" w:color="auto"/>
              <w:left w:val="nil"/>
              <w:bottom w:val="single" w:sz="4" w:space="0" w:color="auto"/>
              <w:right w:val="nil"/>
            </w:tcBorders>
            <w:shd w:val="clear" w:color="auto" w:fill="auto"/>
            <w:noWrap/>
            <w:vAlign w:val="bottom"/>
            <w:hideMark/>
          </w:tcPr>
          <w:p w14:paraId="3225C564" w14:textId="77777777" w:rsidR="00AC2429" w:rsidRPr="003F7F6C" w:rsidRDefault="00AC2429" w:rsidP="00B163D7">
            <w:pPr>
              <w:spacing w:after="0"/>
              <w:jc w:val="left"/>
              <w:rPr>
                <w:rFonts w:eastAsia="Times New Roman" w:cs="Calibri"/>
                <w:color w:val="000000"/>
                <w:sz w:val="18"/>
                <w:szCs w:val="18"/>
                <w:lang w:val="es-PY" w:eastAsia="es-ES"/>
              </w:rPr>
            </w:pPr>
            <w:r w:rsidRPr="003F7F6C">
              <w:rPr>
                <w:rFonts w:eastAsia="Times New Roman" w:cs="Calibri"/>
                <w:color w:val="000000"/>
                <w:sz w:val="18"/>
                <w:szCs w:val="18"/>
                <w:lang w:val="es-PY" w:eastAsia="es-ES"/>
              </w:rPr>
              <w:t> </w:t>
            </w:r>
          </w:p>
        </w:tc>
        <w:tc>
          <w:tcPr>
            <w:tcW w:w="2051" w:type="dxa"/>
            <w:tcBorders>
              <w:top w:val="nil"/>
              <w:left w:val="nil"/>
              <w:bottom w:val="single" w:sz="4" w:space="0" w:color="auto"/>
              <w:right w:val="nil"/>
            </w:tcBorders>
            <w:shd w:val="clear" w:color="auto" w:fill="auto"/>
            <w:noWrap/>
            <w:vAlign w:val="bottom"/>
            <w:hideMark/>
          </w:tcPr>
          <w:p w14:paraId="6E125256" w14:textId="77777777" w:rsidR="00AC2429" w:rsidRPr="003F7F6C" w:rsidRDefault="00AC2429" w:rsidP="00B163D7">
            <w:pPr>
              <w:spacing w:after="0"/>
              <w:jc w:val="left"/>
              <w:rPr>
                <w:rFonts w:eastAsia="Times New Roman" w:cs="Calibri"/>
                <w:color w:val="000000"/>
                <w:sz w:val="18"/>
                <w:szCs w:val="18"/>
                <w:lang w:val="es-PY" w:eastAsia="es-ES"/>
              </w:rPr>
            </w:pPr>
            <w:r w:rsidRPr="003F7F6C">
              <w:rPr>
                <w:rFonts w:eastAsia="Times New Roman" w:cs="Calibri"/>
                <w:color w:val="000000"/>
                <w:sz w:val="18"/>
                <w:szCs w:val="18"/>
                <w:lang w:val="es-PY" w:eastAsia="es-ES"/>
              </w:rPr>
              <w:t> </w:t>
            </w:r>
          </w:p>
        </w:tc>
        <w:tc>
          <w:tcPr>
            <w:tcW w:w="2060" w:type="dxa"/>
            <w:tcBorders>
              <w:top w:val="single" w:sz="4" w:space="0" w:color="auto"/>
              <w:left w:val="nil"/>
              <w:bottom w:val="single" w:sz="4" w:space="0" w:color="auto"/>
              <w:right w:val="single" w:sz="4" w:space="0" w:color="auto"/>
            </w:tcBorders>
            <w:shd w:val="clear" w:color="auto" w:fill="auto"/>
            <w:noWrap/>
            <w:vAlign w:val="bottom"/>
            <w:hideMark/>
          </w:tcPr>
          <w:p w14:paraId="4FED923F" w14:textId="77777777" w:rsidR="00AC2429" w:rsidRPr="003F7F6C" w:rsidRDefault="00AC2429" w:rsidP="00B163D7">
            <w:pPr>
              <w:spacing w:after="0"/>
              <w:jc w:val="left"/>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bl>
    <w:p w14:paraId="54B4BF12" w14:textId="77777777" w:rsidR="00AC2429" w:rsidRPr="003F7F6C" w:rsidRDefault="00AC2429" w:rsidP="00A04E6F">
      <w:pPr>
        <w:autoSpaceDE w:val="0"/>
        <w:autoSpaceDN w:val="0"/>
        <w:adjustRightInd w:val="0"/>
        <w:spacing w:after="0"/>
        <w:jc w:val="left"/>
        <w:rPr>
          <w:color w:val="000000"/>
          <w:szCs w:val="20"/>
        </w:rPr>
        <w:sectPr w:rsidR="00AC2429" w:rsidRPr="003F7F6C" w:rsidSect="00AC2429">
          <w:pgSz w:w="15840" w:h="12240" w:orient="landscape" w:code="1"/>
          <w:pgMar w:top="1440" w:right="1440" w:bottom="1440" w:left="1440" w:header="720" w:footer="431" w:gutter="0"/>
          <w:cols w:space="708"/>
          <w:titlePg/>
          <w:docGrid w:linePitch="360"/>
        </w:sectPr>
      </w:pPr>
    </w:p>
    <w:p w14:paraId="3512F539" w14:textId="77777777" w:rsidR="00AC2429" w:rsidRPr="003F7F6C" w:rsidRDefault="00AC2429" w:rsidP="00A04E6F">
      <w:pPr>
        <w:autoSpaceDE w:val="0"/>
        <w:autoSpaceDN w:val="0"/>
        <w:adjustRightInd w:val="0"/>
        <w:spacing w:after="0"/>
        <w:jc w:val="left"/>
        <w:rPr>
          <w:color w:val="000000"/>
          <w:szCs w:val="20"/>
        </w:rPr>
      </w:pPr>
    </w:p>
    <w:p w14:paraId="335663D3" w14:textId="16F9F9C9" w:rsidR="00055478" w:rsidRPr="003F7F6C" w:rsidRDefault="00494749" w:rsidP="00E91275">
      <w:pPr>
        <w:numPr>
          <w:ilvl w:val="0"/>
          <w:numId w:val="28"/>
        </w:numPr>
        <w:spacing w:after="240"/>
        <w:ind w:left="0" w:firstLine="0"/>
        <w:rPr>
          <w:szCs w:val="20"/>
        </w:rPr>
      </w:pPr>
      <w:r w:rsidRPr="003F7F6C">
        <w:rPr>
          <w:szCs w:val="20"/>
          <w:u w:val="single"/>
        </w:rPr>
        <w:t xml:space="preserve">UNDP Direct Project Services as requested by Government </w:t>
      </w:r>
      <w:r w:rsidRPr="003F7F6C">
        <w:rPr>
          <w:szCs w:val="20"/>
        </w:rPr>
        <w:t xml:space="preserve">(if any): </w:t>
      </w:r>
      <w:r w:rsidR="00914DE0" w:rsidRPr="003F7F6C">
        <w:rPr>
          <w:szCs w:val="20"/>
        </w:rPr>
        <w:t xml:space="preserve"> </w:t>
      </w:r>
      <w:r w:rsidR="00914DE0" w:rsidRPr="003F7F6C">
        <w:rPr>
          <w:rFonts w:cs="Calibri"/>
          <w:szCs w:val="20"/>
        </w:rPr>
        <w:t xml:space="preserve">UNDP, as </w:t>
      </w:r>
      <w:r w:rsidR="00931BAB" w:rsidRPr="003F7F6C">
        <w:rPr>
          <w:rFonts w:cs="Calibri"/>
          <w:szCs w:val="20"/>
        </w:rPr>
        <w:t xml:space="preserve">the Implementing </w:t>
      </w:r>
      <w:r w:rsidR="00914DE0" w:rsidRPr="003F7F6C">
        <w:rPr>
          <w:rFonts w:cs="Calibri"/>
          <w:szCs w:val="20"/>
        </w:rPr>
        <w:t xml:space="preserve">Agency for this project, will provide project management cycle services for the project as defined by the GEF Council.  In addition, the Government of Argentina may request UNDP direct services for specific projects, according to its policies and convenience.  The UNDP and the Government of Argentina acknowledge and agree that those services are not mandatory, and will be provided only upon Government request. If requested the services would follow the UNDP policies on the recovery of direct costs. These services (and their costs) are specified in the Agreement (Annex </w:t>
      </w:r>
      <w:r w:rsidR="001732C3" w:rsidRPr="003F7F6C">
        <w:rPr>
          <w:rFonts w:cs="Calibri"/>
          <w:noProof/>
          <w:szCs w:val="20"/>
          <w:lang w:eastAsia="zh-CN"/>
        </w:rPr>
        <w:t>J</w:t>
      </w:r>
      <w:r w:rsidR="00914DE0" w:rsidRPr="003F7F6C">
        <w:rPr>
          <w:rFonts w:cs="Calibri"/>
          <w:szCs w:val="20"/>
        </w:rPr>
        <w:t>). As is determined by the GEF Council requirements, these service costs will be assigned as Project Management Cost, identified in the project budget.</w:t>
      </w:r>
    </w:p>
    <w:p w14:paraId="33FC18E9" w14:textId="77777777" w:rsidR="008E7490" w:rsidRPr="003F7F6C" w:rsidRDefault="008E7490" w:rsidP="008E7490">
      <w:pPr>
        <w:rPr>
          <w:rFonts w:asciiTheme="minorHAnsi" w:eastAsia="Times New Roman" w:hAnsiTheme="minorHAnsi" w:cs="Arial"/>
          <w:color w:val="222222"/>
          <w:szCs w:val="20"/>
          <w:lang w:eastAsia="es-ES_tradnl"/>
        </w:rPr>
      </w:pPr>
      <w:r w:rsidRPr="003F7F6C">
        <w:rPr>
          <w:rFonts w:asciiTheme="minorHAnsi" w:eastAsia="Times New Roman" w:hAnsiTheme="minorHAnsi"/>
          <w:b/>
          <w:bCs/>
          <w:color w:val="222222"/>
          <w:szCs w:val="20"/>
          <w:lang w:eastAsia="es-ES_tradnl"/>
        </w:rPr>
        <w:t>Cost Recovery Policy</w:t>
      </w:r>
    </w:p>
    <w:p w14:paraId="69548087" w14:textId="77777777" w:rsidR="008E7490" w:rsidRPr="003F7F6C" w:rsidRDefault="008E7490" w:rsidP="00E91275">
      <w:pPr>
        <w:pStyle w:val="ListParagraph"/>
        <w:numPr>
          <w:ilvl w:val="0"/>
          <w:numId w:val="28"/>
        </w:numPr>
        <w:spacing w:after="240"/>
        <w:ind w:left="0" w:firstLine="0"/>
        <w:contextualSpacing w:val="0"/>
        <w:rPr>
          <w:rFonts w:asciiTheme="minorHAnsi" w:hAnsiTheme="minorHAnsi"/>
          <w:color w:val="222222"/>
          <w:szCs w:val="20"/>
          <w:lang w:eastAsia="es-ES_tradnl"/>
        </w:rPr>
      </w:pPr>
      <w:r w:rsidRPr="003F7F6C">
        <w:rPr>
          <w:rFonts w:asciiTheme="minorHAnsi" w:hAnsiTheme="minorHAnsi"/>
          <w:color w:val="222222"/>
          <w:szCs w:val="20"/>
          <w:lang w:eastAsia="es-ES_tradnl"/>
        </w:rPr>
        <w:t>As per Determination and Decision of the UNDP’s Executive Board on the Policy on Cost Recovery from Regular and Other Resources, UNDP shall recover costs for the provision of direct project services (DPS).  In GEF funded projects, DPS costs are those incurred by UNDP for the provision of services requested by a host Government and that are execution driven and can be traced in full to the delivery of project inputs. They relate to operational and administrative support activities carried out by UNDP offices on behalf of the Direct Implementation Modality (DIM) or Country Office support to National Implementation Modality (NIM) and include the provision of the following estimated services:</w:t>
      </w:r>
    </w:p>
    <w:p w14:paraId="69D3ABBC" w14:textId="77777777" w:rsidR="008E7490" w:rsidRPr="003F7F6C" w:rsidRDefault="008E7490" w:rsidP="00E91275">
      <w:pPr>
        <w:pStyle w:val="ListParagraph"/>
        <w:numPr>
          <w:ilvl w:val="0"/>
          <w:numId w:val="60"/>
        </w:numPr>
        <w:rPr>
          <w:rFonts w:asciiTheme="minorHAnsi" w:eastAsia="Times New Roman" w:hAnsiTheme="minorHAnsi" w:cs="Arial"/>
          <w:color w:val="222222"/>
          <w:szCs w:val="20"/>
          <w:lang w:eastAsia="es-ES_tradnl"/>
        </w:rPr>
      </w:pPr>
      <w:r w:rsidRPr="003F7F6C">
        <w:rPr>
          <w:rFonts w:asciiTheme="minorHAnsi" w:eastAsia="Times New Roman" w:hAnsiTheme="minorHAnsi"/>
          <w:color w:val="222222"/>
          <w:szCs w:val="20"/>
          <w:lang w:eastAsia="es-ES_tradnl"/>
        </w:rPr>
        <w:t>Payments, disbursements and other financial transactions.</w:t>
      </w:r>
    </w:p>
    <w:p w14:paraId="78702C53" w14:textId="77777777" w:rsidR="008E7490" w:rsidRPr="003F7F6C" w:rsidRDefault="008E7490" w:rsidP="00E91275">
      <w:pPr>
        <w:pStyle w:val="ListParagraph"/>
        <w:numPr>
          <w:ilvl w:val="0"/>
          <w:numId w:val="60"/>
        </w:numPr>
        <w:rPr>
          <w:rFonts w:asciiTheme="minorHAnsi" w:eastAsia="Times New Roman" w:hAnsiTheme="minorHAnsi" w:cs="Arial"/>
          <w:color w:val="222222"/>
          <w:szCs w:val="20"/>
          <w:lang w:eastAsia="es-ES_tradnl"/>
        </w:rPr>
      </w:pPr>
      <w:r w:rsidRPr="003F7F6C">
        <w:rPr>
          <w:rFonts w:asciiTheme="minorHAnsi" w:eastAsia="Times New Roman" w:hAnsiTheme="minorHAnsi"/>
          <w:color w:val="222222"/>
          <w:szCs w:val="20"/>
          <w:lang w:eastAsia="es-ES_tradnl"/>
        </w:rPr>
        <w:t>Recruitment of staff, project personnel, and consultants.</w:t>
      </w:r>
    </w:p>
    <w:p w14:paraId="026174FA" w14:textId="77777777" w:rsidR="008E7490" w:rsidRPr="003F7F6C" w:rsidRDefault="008E7490" w:rsidP="00E91275">
      <w:pPr>
        <w:pStyle w:val="ListParagraph"/>
        <w:numPr>
          <w:ilvl w:val="0"/>
          <w:numId w:val="60"/>
        </w:numPr>
        <w:rPr>
          <w:rFonts w:asciiTheme="minorHAnsi" w:eastAsia="Times New Roman" w:hAnsiTheme="minorHAnsi" w:cs="Arial"/>
          <w:color w:val="222222"/>
          <w:szCs w:val="20"/>
          <w:lang w:eastAsia="es-ES_tradnl"/>
        </w:rPr>
      </w:pPr>
      <w:r w:rsidRPr="003F7F6C">
        <w:rPr>
          <w:rFonts w:asciiTheme="minorHAnsi" w:eastAsia="Times New Roman" w:hAnsiTheme="minorHAnsi"/>
          <w:color w:val="222222"/>
          <w:szCs w:val="20"/>
          <w:lang w:eastAsia="es-ES_tradnl"/>
        </w:rPr>
        <w:t>Procurement of services and equipment, including disposal.</w:t>
      </w:r>
    </w:p>
    <w:p w14:paraId="6FD14201" w14:textId="77777777" w:rsidR="008E7490" w:rsidRPr="003F7F6C" w:rsidRDefault="008E7490" w:rsidP="00E91275">
      <w:pPr>
        <w:pStyle w:val="ListParagraph"/>
        <w:numPr>
          <w:ilvl w:val="0"/>
          <w:numId w:val="60"/>
        </w:numPr>
        <w:rPr>
          <w:rFonts w:asciiTheme="minorHAnsi" w:eastAsia="Times New Roman" w:hAnsiTheme="minorHAnsi" w:cs="Arial"/>
          <w:color w:val="222222"/>
          <w:szCs w:val="20"/>
          <w:lang w:eastAsia="es-ES_tradnl"/>
        </w:rPr>
      </w:pPr>
      <w:r w:rsidRPr="003F7F6C">
        <w:rPr>
          <w:rFonts w:asciiTheme="minorHAnsi" w:eastAsia="Times New Roman" w:hAnsiTheme="minorHAnsi"/>
          <w:color w:val="222222"/>
          <w:szCs w:val="20"/>
          <w:lang w:eastAsia="es-ES_tradnl"/>
        </w:rPr>
        <w:t>Organization of training activities, conferences, and workshops, including fellowships.</w:t>
      </w:r>
    </w:p>
    <w:p w14:paraId="49DE207E" w14:textId="77777777" w:rsidR="008E7490" w:rsidRPr="003F7F6C" w:rsidRDefault="008E7490" w:rsidP="00E91275">
      <w:pPr>
        <w:pStyle w:val="ListParagraph"/>
        <w:numPr>
          <w:ilvl w:val="0"/>
          <w:numId w:val="60"/>
        </w:numPr>
        <w:rPr>
          <w:rFonts w:asciiTheme="minorHAnsi" w:eastAsia="Times New Roman" w:hAnsiTheme="minorHAnsi" w:cs="Arial"/>
          <w:color w:val="222222"/>
          <w:szCs w:val="20"/>
          <w:lang w:eastAsia="es-ES_tradnl"/>
        </w:rPr>
      </w:pPr>
      <w:r w:rsidRPr="003F7F6C">
        <w:rPr>
          <w:rFonts w:asciiTheme="minorHAnsi" w:eastAsia="Times New Roman" w:hAnsiTheme="minorHAnsi"/>
          <w:color w:val="222222"/>
          <w:szCs w:val="20"/>
          <w:lang w:eastAsia="es-ES_tradnl"/>
        </w:rPr>
        <w:t>Travel authorization, visa requests, ticketing, and travel arrangements.</w:t>
      </w:r>
    </w:p>
    <w:p w14:paraId="6991638D" w14:textId="77777777" w:rsidR="008E7490" w:rsidRPr="003F7F6C" w:rsidRDefault="008E7490" w:rsidP="00E91275">
      <w:pPr>
        <w:pStyle w:val="ListParagraph"/>
        <w:numPr>
          <w:ilvl w:val="0"/>
          <w:numId w:val="60"/>
        </w:numPr>
        <w:rPr>
          <w:rFonts w:asciiTheme="minorHAnsi" w:eastAsia="Times New Roman" w:hAnsiTheme="minorHAnsi" w:cs="Arial"/>
          <w:color w:val="222222"/>
          <w:szCs w:val="20"/>
          <w:lang w:eastAsia="es-ES_tradnl"/>
        </w:rPr>
      </w:pPr>
      <w:r w:rsidRPr="003F7F6C">
        <w:rPr>
          <w:rFonts w:asciiTheme="minorHAnsi" w:eastAsia="Times New Roman" w:hAnsiTheme="minorHAnsi"/>
          <w:color w:val="222222"/>
          <w:szCs w:val="20"/>
          <w:lang w:eastAsia="es-ES_tradnl"/>
        </w:rPr>
        <w:t>Shipment, custom clearance, vehicle registration, and accreditation.</w:t>
      </w:r>
    </w:p>
    <w:p w14:paraId="09A51A01" w14:textId="77777777" w:rsidR="008E7490" w:rsidRPr="003F7F6C" w:rsidRDefault="008E7490" w:rsidP="008E7490">
      <w:pPr>
        <w:rPr>
          <w:rFonts w:asciiTheme="minorHAnsi" w:eastAsia="Times New Roman" w:hAnsiTheme="minorHAnsi" w:cs="Arial"/>
          <w:color w:val="222222"/>
          <w:szCs w:val="20"/>
          <w:lang w:eastAsia="es-ES_tradnl"/>
        </w:rPr>
      </w:pPr>
    </w:p>
    <w:p w14:paraId="1DE33C8E" w14:textId="77777777" w:rsidR="008E7490" w:rsidRPr="003F7F6C" w:rsidRDefault="008E7490" w:rsidP="00E91275">
      <w:pPr>
        <w:pStyle w:val="ListParagraph"/>
        <w:numPr>
          <w:ilvl w:val="0"/>
          <w:numId w:val="28"/>
        </w:numPr>
        <w:spacing w:after="240"/>
        <w:ind w:left="0" w:firstLine="0"/>
        <w:contextualSpacing w:val="0"/>
        <w:rPr>
          <w:rFonts w:cs="Arial"/>
          <w:noProof/>
          <w:szCs w:val="20"/>
          <w:lang w:eastAsia="zh-CN"/>
        </w:rPr>
      </w:pPr>
      <w:r w:rsidRPr="003F7F6C">
        <w:rPr>
          <w:rFonts w:asciiTheme="minorHAnsi" w:hAnsiTheme="minorHAnsi"/>
          <w:color w:val="222222"/>
          <w:szCs w:val="20"/>
          <w:lang w:eastAsia="es-ES_tradnl"/>
        </w:rPr>
        <w:t>In accordance with UNDP policy on cost recovery (2010) and the BOM and UNDP GEF guidance on Direct Project Costs (2012) the costs incurred by UNDP for the provision of direct project services needs to be recovered on the basis of estimated actual costs expected to be incurred or on a per-transaction basis using the Universal price list or Local Price List costing template and should be charged directly to project budgets. The estimated costs are included in the project budget and are funded within the total project management Costs (PMC) allocation provided by GEF to the Implementation Parties and cannot exceed the total PMC allocation. Once incurred after each of the above services is provided by UNDP, costs shall be charged against direct project costs account codes: 64397 – ‘Services to projects - CO staff’ and 74596 – ‘Services to projects - GOE for CO’.</w:t>
      </w:r>
    </w:p>
    <w:p w14:paraId="14406082" w14:textId="77777777" w:rsidR="00055478" w:rsidRPr="003F7F6C" w:rsidRDefault="003E3ABA" w:rsidP="00E91275">
      <w:pPr>
        <w:numPr>
          <w:ilvl w:val="0"/>
          <w:numId w:val="28"/>
        </w:numPr>
        <w:spacing w:after="240"/>
        <w:ind w:left="0" w:firstLine="0"/>
        <w:rPr>
          <w:szCs w:val="20"/>
        </w:rPr>
      </w:pPr>
      <w:r w:rsidRPr="003F7F6C">
        <w:rPr>
          <w:szCs w:val="20"/>
          <w:u w:val="single"/>
        </w:rPr>
        <w:t>Budget Revision and Tolerance</w:t>
      </w:r>
      <w:r w:rsidR="00AF4698" w:rsidRPr="003F7F6C">
        <w:rPr>
          <w:szCs w:val="20"/>
        </w:rPr>
        <w:t xml:space="preserve">:  As per </w:t>
      </w:r>
      <w:r w:rsidRPr="003F7F6C">
        <w:rPr>
          <w:szCs w:val="20"/>
        </w:rPr>
        <w:t xml:space="preserve">UNDP requirements outlined in the UNDP POPP, the project board </w:t>
      </w:r>
      <w:r w:rsidR="005E4C83" w:rsidRPr="003F7F6C">
        <w:rPr>
          <w:szCs w:val="20"/>
        </w:rPr>
        <w:t>will</w:t>
      </w:r>
      <w:r w:rsidRPr="003F7F6C">
        <w:rPr>
          <w:szCs w:val="20"/>
        </w:rPr>
        <w:t xml:space="preserve"> agree on a budget tolerance level for each plan under the overall annual work plan allowing the project </w:t>
      </w:r>
      <w:r w:rsidR="00F47AF3" w:rsidRPr="003F7F6C">
        <w:rPr>
          <w:szCs w:val="20"/>
        </w:rPr>
        <w:t>Coordinator</w:t>
      </w:r>
      <w:r w:rsidRPr="003F7F6C">
        <w:rPr>
          <w:szCs w:val="20"/>
        </w:rPr>
        <w:t xml:space="preserve"> to expend up to the tolerance level beyond the approved project budget amount for the year without requiri</w:t>
      </w:r>
      <w:r w:rsidR="005E4C83" w:rsidRPr="003F7F6C">
        <w:rPr>
          <w:szCs w:val="20"/>
        </w:rPr>
        <w:t>ng a revision from the Project B</w:t>
      </w:r>
      <w:r w:rsidRPr="003F7F6C">
        <w:rPr>
          <w:szCs w:val="20"/>
        </w:rPr>
        <w:t xml:space="preserve">oard. Should the following deviations occur, the Project </w:t>
      </w:r>
      <w:r w:rsidR="00F47AF3" w:rsidRPr="003F7F6C">
        <w:rPr>
          <w:szCs w:val="20"/>
        </w:rPr>
        <w:t>Coordinator</w:t>
      </w:r>
      <w:r w:rsidRPr="003F7F6C">
        <w:rPr>
          <w:szCs w:val="20"/>
        </w:rPr>
        <w:t xml:space="preserve"> and UNDP Country Office will seek the approval of the UNDP-GEF team </w:t>
      </w:r>
      <w:r w:rsidR="009D75BD" w:rsidRPr="003F7F6C">
        <w:rPr>
          <w:szCs w:val="20"/>
        </w:rPr>
        <w:t>to ensure accurate reporting to the</w:t>
      </w:r>
      <w:r w:rsidRPr="003F7F6C">
        <w:rPr>
          <w:szCs w:val="20"/>
        </w:rPr>
        <w:t xml:space="preserve"> GEF: </w:t>
      </w:r>
      <w:r w:rsidR="005E4C83" w:rsidRPr="003F7F6C">
        <w:rPr>
          <w:szCs w:val="20"/>
        </w:rPr>
        <w:t>a) B</w:t>
      </w:r>
      <w:r w:rsidRPr="003F7F6C">
        <w:rPr>
          <w:szCs w:val="20"/>
        </w:rPr>
        <w:t xml:space="preserve">udget re-allocations </w:t>
      </w:r>
      <w:r w:rsidR="0013797D" w:rsidRPr="003F7F6C">
        <w:rPr>
          <w:szCs w:val="20"/>
        </w:rPr>
        <w:t xml:space="preserve">between </w:t>
      </w:r>
      <w:r w:rsidRPr="003F7F6C">
        <w:rPr>
          <w:szCs w:val="20"/>
        </w:rPr>
        <w:t xml:space="preserve">components in the project with amounts involving 10% of the total project grant or more; </w:t>
      </w:r>
      <w:r w:rsidR="005E4C83" w:rsidRPr="003F7F6C">
        <w:rPr>
          <w:szCs w:val="20"/>
        </w:rPr>
        <w:t>b) I</w:t>
      </w:r>
      <w:r w:rsidRPr="003F7F6C">
        <w:rPr>
          <w:szCs w:val="20"/>
        </w:rPr>
        <w:t xml:space="preserve">ntroduction of new budget items/or components that exceed 5% of </w:t>
      </w:r>
      <w:r w:rsidR="0013797D" w:rsidRPr="003F7F6C">
        <w:rPr>
          <w:szCs w:val="20"/>
        </w:rPr>
        <w:t xml:space="preserve">the </w:t>
      </w:r>
      <w:r w:rsidRPr="003F7F6C">
        <w:rPr>
          <w:szCs w:val="20"/>
        </w:rPr>
        <w:t>original GEF allocation.</w:t>
      </w:r>
      <w:r w:rsidR="00740F26" w:rsidRPr="003F7F6C">
        <w:rPr>
          <w:szCs w:val="20"/>
        </w:rPr>
        <w:t xml:space="preserve"> </w:t>
      </w:r>
    </w:p>
    <w:p w14:paraId="04C32050" w14:textId="77777777" w:rsidR="00055478" w:rsidRPr="003F7F6C" w:rsidRDefault="00740F26" w:rsidP="00E91275">
      <w:pPr>
        <w:numPr>
          <w:ilvl w:val="0"/>
          <w:numId w:val="28"/>
        </w:numPr>
        <w:spacing w:after="240"/>
        <w:ind w:left="0" w:firstLine="0"/>
        <w:rPr>
          <w:szCs w:val="20"/>
        </w:rPr>
      </w:pPr>
      <w:r w:rsidRPr="003F7F6C">
        <w:rPr>
          <w:szCs w:val="20"/>
        </w:rPr>
        <w:t>Any over</w:t>
      </w:r>
      <w:r w:rsidR="0013797D" w:rsidRPr="003F7F6C">
        <w:rPr>
          <w:szCs w:val="20"/>
        </w:rPr>
        <w:t>-</w:t>
      </w:r>
      <w:r w:rsidRPr="003F7F6C">
        <w:rPr>
          <w:szCs w:val="20"/>
        </w:rPr>
        <w:t>expenditure incurred beyond the available GEF grant amount will be absorbed by non-GEF resources (e.g. UNDP TRAC or cash co-financing).</w:t>
      </w:r>
      <w:r w:rsidR="00A02284" w:rsidRPr="003F7F6C">
        <w:rPr>
          <w:szCs w:val="20"/>
          <w:u w:val="single"/>
        </w:rPr>
        <w:t xml:space="preserve"> </w:t>
      </w:r>
    </w:p>
    <w:p w14:paraId="4CBB62AC" w14:textId="77777777" w:rsidR="00055478" w:rsidRPr="003F7F6C" w:rsidRDefault="00A02284" w:rsidP="00E91275">
      <w:pPr>
        <w:numPr>
          <w:ilvl w:val="0"/>
          <w:numId w:val="28"/>
        </w:numPr>
        <w:spacing w:after="240"/>
        <w:ind w:left="0" w:firstLine="0"/>
        <w:rPr>
          <w:szCs w:val="20"/>
        </w:rPr>
      </w:pPr>
      <w:r w:rsidRPr="003F7F6C">
        <w:rPr>
          <w:szCs w:val="20"/>
          <w:u w:val="single"/>
        </w:rPr>
        <w:t xml:space="preserve">Refund to </w:t>
      </w:r>
      <w:r w:rsidR="00494749" w:rsidRPr="003F7F6C">
        <w:rPr>
          <w:szCs w:val="20"/>
          <w:u w:val="single"/>
        </w:rPr>
        <w:t>GEF</w:t>
      </w:r>
      <w:r w:rsidRPr="003F7F6C">
        <w:rPr>
          <w:szCs w:val="20"/>
          <w:u w:val="single"/>
        </w:rPr>
        <w:t>:</w:t>
      </w:r>
      <w:r w:rsidRPr="003F7F6C">
        <w:rPr>
          <w:szCs w:val="20"/>
        </w:rPr>
        <w:t xml:space="preserve">  Should a refund of unspent funds to the GEF be necessary, this will be managed directly by the UNDP-GEF Unit in New York. </w:t>
      </w:r>
    </w:p>
    <w:p w14:paraId="4BC53082" w14:textId="77777777" w:rsidR="00055478" w:rsidRPr="003F7F6C" w:rsidRDefault="00494749" w:rsidP="00E91275">
      <w:pPr>
        <w:numPr>
          <w:ilvl w:val="0"/>
          <w:numId w:val="28"/>
        </w:numPr>
        <w:spacing w:after="240"/>
        <w:ind w:left="0" w:firstLine="0"/>
        <w:rPr>
          <w:szCs w:val="20"/>
        </w:rPr>
      </w:pPr>
      <w:r w:rsidRPr="003F7F6C">
        <w:rPr>
          <w:szCs w:val="20"/>
          <w:u w:val="single"/>
        </w:rPr>
        <w:t>Project Closure</w:t>
      </w:r>
      <w:r w:rsidRPr="003F7F6C">
        <w:rPr>
          <w:szCs w:val="20"/>
        </w:rPr>
        <w:t>:  Project closure will be conducted as per UNDP requirements outlined in the UNDP POPP.</w:t>
      </w:r>
      <w:r w:rsidRPr="003F7F6C">
        <w:rPr>
          <w:rStyle w:val="FootnoteReference"/>
          <w:szCs w:val="20"/>
        </w:rPr>
        <w:footnoteReference w:id="86"/>
      </w:r>
      <w:r w:rsidRPr="003F7F6C">
        <w:rPr>
          <w:szCs w:val="20"/>
        </w:rPr>
        <w:t xml:space="preserve"> On an exceptional basis only, a no-cost extension beyond the initial duration of the project will be sought from </w:t>
      </w:r>
      <w:r w:rsidR="0013797D" w:rsidRPr="003F7F6C">
        <w:rPr>
          <w:szCs w:val="20"/>
        </w:rPr>
        <w:t>the UNDP-GEF Regional Technical Advisor</w:t>
      </w:r>
      <w:r w:rsidRPr="003F7F6C">
        <w:rPr>
          <w:szCs w:val="20"/>
        </w:rPr>
        <w:t xml:space="preserve"> and then the UNDP-GEF Executive Coordinator. </w:t>
      </w:r>
    </w:p>
    <w:p w14:paraId="66E2C4C4" w14:textId="77777777" w:rsidR="00055478" w:rsidRPr="003F7F6C" w:rsidRDefault="003E3ABA" w:rsidP="00E91275">
      <w:pPr>
        <w:numPr>
          <w:ilvl w:val="0"/>
          <w:numId w:val="28"/>
        </w:numPr>
        <w:spacing w:after="240"/>
        <w:ind w:left="0" w:firstLine="0"/>
        <w:rPr>
          <w:szCs w:val="20"/>
        </w:rPr>
      </w:pPr>
      <w:r w:rsidRPr="003F7F6C">
        <w:rPr>
          <w:szCs w:val="20"/>
          <w:u w:val="single"/>
        </w:rPr>
        <w:t>Operational completion</w:t>
      </w:r>
      <w:r w:rsidRPr="003F7F6C">
        <w:rPr>
          <w:szCs w:val="20"/>
        </w:rPr>
        <w:t>: The project will be operationally completed when the last UNDP-financed inputs have been provided and the related activities have been completed</w:t>
      </w:r>
      <w:r w:rsidR="00AF4698" w:rsidRPr="003F7F6C">
        <w:rPr>
          <w:szCs w:val="20"/>
        </w:rPr>
        <w:t xml:space="preserve">. </w:t>
      </w:r>
      <w:r w:rsidR="00393350" w:rsidRPr="003F7F6C">
        <w:rPr>
          <w:szCs w:val="20"/>
        </w:rPr>
        <w:t xml:space="preserve">This </w:t>
      </w:r>
      <w:r w:rsidRPr="003F7F6C">
        <w:rPr>
          <w:szCs w:val="20"/>
        </w:rPr>
        <w:t>includ</w:t>
      </w:r>
      <w:r w:rsidR="00393350" w:rsidRPr="003F7F6C">
        <w:rPr>
          <w:szCs w:val="20"/>
        </w:rPr>
        <w:t>es</w:t>
      </w:r>
      <w:r w:rsidRPr="003F7F6C">
        <w:rPr>
          <w:szCs w:val="20"/>
        </w:rPr>
        <w:t xml:space="preserve"> the final clearance of the Terminal Evaluation Report </w:t>
      </w:r>
      <w:r w:rsidR="00393350" w:rsidRPr="003F7F6C">
        <w:rPr>
          <w:szCs w:val="20"/>
        </w:rPr>
        <w:t>(</w:t>
      </w:r>
      <w:r w:rsidR="005E4C83" w:rsidRPr="003F7F6C">
        <w:rPr>
          <w:szCs w:val="20"/>
        </w:rPr>
        <w:t xml:space="preserve">that will be available </w:t>
      </w:r>
      <w:r w:rsidR="00393350" w:rsidRPr="003F7F6C">
        <w:rPr>
          <w:szCs w:val="20"/>
        </w:rPr>
        <w:t xml:space="preserve">in </w:t>
      </w:r>
      <w:r w:rsidRPr="003F7F6C">
        <w:rPr>
          <w:szCs w:val="20"/>
        </w:rPr>
        <w:t>English</w:t>
      </w:r>
      <w:r w:rsidR="00393350" w:rsidRPr="003F7F6C">
        <w:rPr>
          <w:szCs w:val="20"/>
        </w:rPr>
        <w:t xml:space="preserve">) and </w:t>
      </w:r>
      <w:r w:rsidR="005E4C83" w:rsidRPr="003F7F6C">
        <w:rPr>
          <w:szCs w:val="20"/>
        </w:rPr>
        <w:t xml:space="preserve">the corresponding management response, and </w:t>
      </w:r>
      <w:r w:rsidR="00393350" w:rsidRPr="003F7F6C">
        <w:rPr>
          <w:szCs w:val="20"/>
        </w:rPr>
        <w:t xml:space="preserve">the end-of-project </w:t>
      </w:r>
      <w:r w:rsidR="005E4C83" w:rsidRPr="003F7F6C">
        <w:rPr>
          <w:szCs w:val="20"/>
        </w:rPr>
        <w:t xml:space="preserve">review </w:t>
      </w:r>
      <w:r w:rsidR="00393350" w:rsidRPr="003F7F6C">
        <w:rPr>
          <w:szCs w:val="20"/>
        </w:rPr>
        <w:t>Project Board m</w:t>
      </w:r>
      <w:r w:rsidRPr="003F7F6C">
        <w:rPr>
          <w:szCs w:val="20"/>
        </w:rPr>
        <w:t xml:space="preserve">eeting. The Implementing Partner through a Project Board decision will notify </w:t>
      </w:r>
      <w:r w:rsidR="005E4C83" w:rsidRPr="003F7F6C">
        <w:rPr>
          <w:szCs w:val="20"/>
        </w:rPr>
        <w:t xml:space="preserve">the UNDP Country Office when </w:t>
      </w:r>
      <w:r w:rsidRPr="003F7F6C">
        <w:rPr>
          <w:szCs w:val="20"/>
        </w:rPr>
        <w:t xml:space="preserve">operational closure has been completed. </w:t>
      </w:r>
      <w:r w:rsidR="009E3075" w:rsidRPr="003F7F6C">
        <w:rPr>
          <w:szCs w:val="20"/>
        </w:rPr>
        <w:t>At this time, t</w:t>
      </w:r>
      <w:r w:rsidRPr="003F7F6C">
        <w:rPr>
          <w:szCs w:val="20"/>
        </w:rPr>
        <w:t xml:space="preserve">he relevant parties </w:t>
      </w:r>
      <w:r w:rsidR="005E4C83" w:rsidRPr="003F7F6C">
        <w:rPr>
          <w:szCs w:val="20"/>
        </w:rPr>
        <w:t>will</w:t>
      </w:r>
      <w:r w:rsidR="00740F26" w:rsidRPr="003F7F6C">
        <w:rPr>
          <w:szCs w:val="20"/>
        </w:rPr>
        <w:t xml:space="preserve"> have already agreed and confirmed in writing o</w:t>
      </w:r>
      <w:r w:rsidRPr="003F7F6C">
        <w:rPr>
          <w:szCs w:val="20"/>
        </w:rPr>
        <w:t xml:space="preserve">n the </w:t>
      </w:r>
      <w:r w:rsidR="00740F26" w:rsidRPr="003F7F6C">
        <w:rPr>
          <w:szCs w:val="20"/>
        </w:rPr>
        <w:t xml:space="preserve">arrangements for the </w:t>
      </w:r>
      <w:r w:rsidRPr="003F7F6C">
        <w:rPr>
          <w:szCs w:val="20"/>
        </w:rPr>
        <w:t xml:space="preserve">disposal of any equipment that is still the property of UNDP. </w:t>
      </w:r>
    </w:p>
    <w:p w14:paraId="24A36F5E" w14:textId="77777777" w:rsidR="00055478" w:rsidRPr="003F7F6C" w:rsidRDefault="00494749" w:rsidP="00E91275">
      <w:pPr>
        <w:numPr>
          <w:ilvl w:val="0"/>
          <w:numId w:val="28"/>
        </w:numPr>
        <w:spacing w:after="240"/>
        <w:ind w:left="0" w:firstLine="0"/>
        <w:rPr>
          <w:szCs w:val="20"/>
        </w:rPr>
      </w:pPr>
      <w:r w:rsidRPr="003F7F6C">
        <w:rPr>
          <w:szCs w:val="20"/>
          <w:u w:val="single"/>
        </w:rPr>
        <w:t>Transfer or disposal of assets</w:t>
      </w:r>
      <w:r w:rsidRPr="003F7F6C">
        <w:rPr>
          <w:szCs w:val="20"/>
        </w:rPr>
        <w:t>:</w:t>
      </w:r>
      <w:r w:rsidRPr="003F7F6C">
        <w:t xml:space="preserve"> </w:t>
      </w:r>
      <w:r w:rsidRPr="003F7F6C">
        <w:rPr>
          <w:szCs w:val="20"/>
        </w:rPr>
        <w:t>In consultation with the NIM Implementing Partner and other parties of the project, UNDP programme manager (UNDP Resident Representative)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Pr="003F7F6C">
        <w:rPr>
          <w:rStyle w:val="FootnoteReference"/>
          <w:szCs w:val="20"/>
        </w:rPr>
        <w:footnoteReference w:id="87"/>
      </w:r>
      <w:r w:rsidRPr="003F7F6C">
        <w:rPr>
          <w:szCs w:val="20"/>
        </w:rPr>
        <w:t xml:space="preserve">. </w:t>
      </w:r>
    </w:p>
    <w:p w14:paraId="2CF42CA9" w14:textId="77777777" w:rsidR="00055478" w:rsidRPr="003F7F6C" w:rsidRDefault="003E3ABA" w:rsidP="00E91275">
      <w:pPr>
        <w:numPr>
          <w:ilvl w:val="0"/>
          <w:numId w:val="28"/>
        </w:numPr>
        <w:spacing w:after="240"/>
        <w:ind w:left="0" w:firstLine="0"/>
        <w:rPr>
          <w:szCs w:val="20"/>
        </w:rPr>
      </w:pPr>
      <w:r w:rsidRPr="003F7F6C">
        <w:rPr>
          <w:szCs w:val="20"/>
          <w:u w:val="single"/>
        </w:rPr>
        <w:t>Financial completion</w:t>
      </w:r>
      <w:r w:rsidRPr="003F7F6C">
        <w:rPr>
          <w:szCs w:val="20"/>
        </w:rPr>
        <w:t>:  The project will be financially closed when the following conditions have been met:</w:t>
      </w:r>
      <w:r w:rsidR="003F1173" w:rsidRPr="003F7F6C">
        <w:rPr>
          <w:szCs w:val="20"/>
        </w:rPr>
        <w:t xml:space="preserve"> </w:t>
      </w:r>
      <w:r w:rsidRPr="003F7F6C">
        <w:rPr>
          <w:szCs w:val="20"/>
        </w:rPr>
        <w:t xml:space="preserve">a) </w:t>
      </w:r>
      <w:r w:rsidR="005E4C83" w:rsidRPr="003F7F6C">
        <w:rPr>
          <w:szCs w:val="20"/>
        </w:rPr>
        <w:t>T</w:t>
      </w:r>
      <w:r w:rsidRPr="003F7F6C">
        <w:rPr>
          <w:szCs w:val="20"/>
        </w:rPr>
        <w:t xml:space="preserve">he project is operationally completed or has been cancelled; b) </w:t>
      </w:r>
      <w:r w:rsidR="005E4C83" w:rsidRPr="003F7F6C">
        <w:rPr>
          <w:szCs w:val="20"/>
        </w:rPr>
        <w:t>T</w:t>
      </w:r>
      <w:r w:rsidRPr="003F7F6C">
        <w:rPr>
          <w:szCs w:val="20"/>
        </w:rPr>
        <w:t xml:space="preserve">he </w:t>
      </w:r>
      <w:r w:rsidR="005E4C83" w:rsidRPr="003F7F6C">
        <w:rPr>
          <w:szCs w:val="20"/>
        </w:rPr>
        <w:t>Implementing P</w:t>
      </w:r>
      <w:r w:rsidRPr="003F7F6C">
        <w:rPr>
          <w:szCs w:val="20"/>
        </w:rPr>
        <w:t>artner has reported all financial transactions to UNDP; c) UNDP has closed the accounts for the project;</w:t>
      </w:r>
      <w:r w:rsidR="003F1173" w:rsidRPr="003F7F6C">
        <w:rPr>
          <w:szCs w:val="20"/>
        </w:rPr>
        <w:t xml:space="preserve"> </w:t>
      </w:r>
      <w:r w:rsidRPr="003F7F6C">
        <w:rPr>
          <w:szCs w:val="20"/>
        </w:rPr>
        <w:t xml:space="preserve">d) UNDP and the </w:t>
      </w:r>
      <w:r w:rsidR="003F1173" w:rsidRPr="003F7F6C">
        <w:rPr>
          <w:szCs w:val="20"/>
        </w:rPr>
        <w:t>Implementing P</w:t>
      </w:r>
      <w:r w:rsidRPr="003F7F6C">
        <w:rPr>
          <w:szCs w:val="20"/>
        </w:rPr>
        <w:t xml:space="preserve">artner have certified a final Combined Delivery Report (which serves as final budget revision). </w:t>
      </w:r>
    </w:p>
    <w:p w14:paraId="2E621C1F" w14:textId="77777777" w:rsidR="003E3ABA" w:rsidRPr="003F7F6C" w:rsidRDefault="003E3ABA" w:rsidP="00E91275">
      <w:pPr>
        <w:numPr>
          <w:ilvl w:val="0"/>
          <w:numId w:val="28"/>
        </w:numPr>
        <w:spacing w:after="240"/>
        <w:ind w:left="0" w:firstLine="0"/>
        <w:rPr>
          <w:szCs w:val="20"/>
        </w:rPr>
      </w:pPr>
      <w:r w:rsidRPr="003F7F6C">
        <w:rPr>
          <w:szCs w:val="20"/>
        </w:rPr>
        <w:t xml:space="preserve">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w:t>
      </w:r>
      <w:r w:rsidR="005E4C83" w:rsidRPr="003F7F6C">
        <w:rPr>
          <w:szCs w:val="20"/>
        </w:rPr>
        <w:t xml:space="preserve">UNDP </w:t>
      </w:r>
      <w:r w:rsidRPr="003F7F6C">
        <w:rPr>
          <w:szCs w:val="20"/>
        </w:rPr>
        <w:t>Country Office.</w:t>
      </w:r>
    </w:p>
    <w:p w14:paraId="04DDAB1B" w14:textId="77777777" w:rsidR="00E219E7" w:rsidRPr="003F7F6C" w:rsidRDefault="00E219E7" w:rsidP="00A04E6F">
      <w:pPr>
        <w:spacing w:after="0"/>
        <w:jc w:val="left"/>
        <w:rPr>
          <w:szCs w:val="20"/>
        </w:rPr>
      </w:pPr>
    </w:p>
    <w:p w14:paraId="46F9D61E" w14:textId="77777777" w:rsidR="00E219E7" w:rsidRPr="003F7F6C" w:rsidRDefault="00E219E7" w:rsidP="00A04E6F">
      <w:pPr>
        <w:spacing w:after="0"/>
        <w:jc w:val="left"/>
        <w:rPr>
          <w:szCs w:val="20"/>
        </w:rPr>
      </w:pPr>
    </w:p>
    <w:p w14:paraId="79981649" w14:textId="77777777" w:rsidR="003E3ABA" w:rsidRPr="003F7F6C" w:rsidRDefault="003E3ABA" w:rsidP="00A04E6F">
      <w:pPr>
        <w:spacing w:after="0"/>
        <w:jc w:val="left"/>
        <w:rPr>
          <w:rFonts w:cs="Segoe UI"/>
          <w:color w:val="000000"/>
          <w:szCs w:val="20"/>
        </w:rPr>
      </w:pPr>
    </w:p>
    <w:p w14:paraId="5A9BE31B" w14:textId="77777777" w:rsidR="00740F26" w:rsidRPr="003F7F6C" w:rsidRDefault="00740F26" w:rsidP="00A04E6F">
      <w:pPr>
        <w:spacing w:after="0"/>
        <w:jc w:val="left"/>
        <w:rPr>
          <w:b/>
          <w:smallCaps/>
          <w:spacing w:val="-2"/>
          <w:sz w:val="28"/>
          <w:szCs w:val="28"/>
        </w:rPr>
        <w:sectPr w:rsidR="00740F26" w:rsidRPr="003F7F6C" w:rsidSect="006353F2">
          <w:pgSz w:w="12240" w:h="15840" w:code="1"/>
          <w:pgMar w:top="1440" w:right="1440" w:bottom="1440" w:left="1440" w:header="720" w:footer="432" w:gutter="0"/>
          <w:cols w:space="708"/>
          <w:titlePg/>
          <w:docGrid w:linePitch="360"/>
        </w:sectPr>
      </w:pPr>
    </w:p>
    <w:p w14:paraId="296474ED" w14:textId="77777777" w:rsidR="003E3ABA" w:rsidRPr="003F7F6C" w:rsidRDefault="003E3ABA" w:rsidP="003B2A79">
      <w:pPr>
        <w:pStyle w:val="Heading1"/>
        <w:spacing w:before="0" w:after="60"/>
        <w:rPr>
          <w:rFonts w:ascii="Calibri" w:hAnsi="Calibri"/>
          <w:szCs w:val="28"/>
        </w:rPr>
      </w:pPr>
      <w:bookmarkStart w:id="26" w:name="_Toc529891416"/>
      <w:r w:rsidRPr="003F7F6C">
        <w:rPr>
          <w:rFonts w:ascii="Calibri" w:hAnsi="Calibri"/>
          <w:szCs w:val="28"/>
        </w:rPr>
        <w:t>Total Budget and Work Plan</w:t>
      </w:r>
      <w:bookmarkEnd w:id="26"/>
    </w:p>
    <w:p w14:paraId="0DE67414" w14:textId="77777777" w:rsidR="003E3ABA" w:rsidRPr="003F7F6C" w:rsidRDefault="003E3ABA" w:rsidP="003B2A79">
      <w:pPr>
        <w:rPr>
          <w:rFonts w:ascii="Times New Roman" w:hAnsi="Times New Roman"/>
          <w:sz w:val="18"/>
          <w:szCs w:val="18"/>
        </w:rPr>
      </w:pPr>
    </w:p>
    <w:tbl>
      <w:tblPr>
        <w:tblpPr w:leftFromText="141" w:rightFromText="141" w:vertAnchor="text" w:tblpY="1"/>
        <w:tblOverlap w:val="never"/>
        <w:tblW w:w="13457" w:type="dxa"/>
        <w:tblCellMar>
          <w:left w:w="70" w:type="dxa"/>
          <w:right w:w="70" w:type="dxa"/>
        </w:tblCellMar>
        <w:tblLook w:val="04A0" w:firstRow="1" w:lastRow="0" w:firstColumn="1" w:lastColumn="0" w:noHBand="0" w:noVBand="1"/>
      </w:tblPr>
      <w:tblGrid>
        <w:gridCol w:w="3251"/>
        <w:gridCol w:w="1388"/>
        <w:gridCol w:w="1717"/>
        <w:gridCol w:w="7101"/>
      </w:tblGrid>
      <w:tr w:rsidR="004263F0" w:rsidRPr="003F7F6C" w14:paraId="5EEC3C89" w14:textId="77777777" w:rsidTr="002946EA">
        <w:trPr>
          <w:trHeight w:val="260"/>
        </w:trPr>
        <w:tc>
          <w:tcPr>
            <w:tcW w:w="13457" w:type="dxa"/>
            <w:gridSpan w:val="4"/>
            <w:tcBorders>
              <w:top w:val="single" w:sz="8" w:space="0" w:color="auto"/>
              <w:left w:val="single" w:sz="8" w:space="0" w:color="auto"/>
              <w:bottom w:val="single" w:sz="8" w:space="0" w:color="auto"/>
              <w:right w:val="single" w:sz="8" w:space="0" w:color="000000"/>
            </w:tcBorders>
            <w:shd w:val="clear" w:color="auto" w:fill="D9D9D9"/>
            <w:noWrap/>
            <w:vAlign w:val="bottom"/>
            <w:hideMark/>
          </w:tcPr>
          <w:p w14:paraId="5CFFDDC8" w14:textId="77777777" w:rsidR="004263F0" w:rsidRPr="003F7F6C" w:rsidRDefault="004263F0" w:rsidP="007B38E7">
            <w:pPr>
              <w:jc w:val="center"/>
              <w:rPr>
                <w:rFonts w:eastAsia="Times New Roman" w:cs="Calibri"/>
                <w:b/>
                <w:bCs/>
                <w:color w:val="000000"/>
                <w:sz w:val="18"/>
                <w:szCs w:val="18"/>
                <w:lang w:eastAsia="es-ES_tradnl"/>
              </w:rPr>
            </w:pPr>
            <w:r w:rsidRPr="003F7F6C">
              <w:rPr>
                <w:rFonts w:eastAsia="Times New Roman" w:cs="Calibri"/>
                <w:b/>
                <w:bCs/>
                <w:color w:val="000000"/>
                <w:sz w:val="18"/>
                <w:szCs w:val="18"/>
                <w:lang w:eastAsia="es-ES_tradnl"/>
              </w:rPr>
              <w:t>TOTAL BUDGET AND WORK PLAN</w:t>
            </w:r>
          </w:p>
        </w:tc>
      </w:tr>
      <w:tr w:rsidR="004263F0" w:rsidRPr="003F7F6C" w14:paraId="499DEF52" w14:textId="77777777" w:rsidTr="002946EA">
        <w:trPr>
          <w:trHeight w:val="243"/>
        </w:trPr>
        <w:tc>
          <w:tcPr>
            <w:tcW w:w="3251" w:type="dxa"/>
            <w:tcBorders>
              <w:top w:val="nil"/>
              <w:left w:val="single" w:sz="8" w:space="0" w:color="auto"/>
              <w:bottom w:val="single" w:sz="8" w:space="0" w:color="auto"/>
              <w:right w:val="single" w:sz="8" w:space="0" w:color="auto"/>
            </w:tcBorders>
            <w:shd w:val="clear" w:color="auto" w:fill="auto"/>
            <w:noWrap/>
            <w:vAlign w:val="center"/>
            <w:hideMark/>
          </w:tcPr>
          <w:p w14:paraId="27DB4FC7" w14:textId="5231D91C" w:rsidR="004263F0" w:rsidRPr="003F7F6C" w:rsidRDefault="003434CB" w:rsidP="007B38E7">
            <w:pPr>
              <w:rPr>
                <w:rFonts w:eastAsia="Times New Roman" w:cs="Calibri"/>
                <w:color w:val="0000FF"/>
                <w:sz w:val="18"/>
                <w:szCs w:val="18"/>
                <w:u w:val="single"/>
                <w:lang w:eastAsia="es-ES_tradnl"/>
              </w:rPr>
            </w:pPr>
            <w:hyperlink r:id="rId32" w:anchor="RANGE!_ftn1" w:history="1">
              <w:r w:rsidR="002946EA" w:rsidRPr="003F7F6C">
                <w:rPr>
                  <w:rFonts w:eastAsia="Times New Roman" w:cs="Calibri"/>
                  <w:color w:val="000000"/>
                  <w:sz w:val="18"/>
                  <w:szCs w:val="18"/>
                  <w:lang w:eastAsia="es-ES_tradnl"/>
                </w:rPr>
                <w:t>Proposal or Award ID:</w:t>
              </w:r>
            </w:hyperlink>
          </w:p>
        </w:tc>
        <w:tc>
          <w:tcPr>
            <w:tcW w:w="1388" w:type="dxa"/>
            <w:tcBorders>
              <w:top w:val="nil"/>
              <w:left w:val="nil"/>
              <w:bottom w:val="single" w:sz="8" w:space="0" w:color="auto"/>
              <w:right w:val="single" w:sz="8" w:space="0" w:color="000000"/>
            </w:tcBorders>
            <w:shd w:val="clear" w:color="auto" w:fill="auto"/>
            <w:noWrap/>
            <w:vAlign w:val="center"/>
            <w:hideMark/>
          </w:tcPr>
          <w:p w14:paraId="23905060" w14:textId="77777777" w:rsidR="004263F0" w:rsidRPr="003F7F6C" w:rsidRDefault="004263F0" w:rsidP="007B38E7">
            <w:pPr>
              <w:rPr>
                <w:rFonts w:eastAsia="Times New Roman" w:cs="Calibri"/>
                <w:color w:val="000000"/>
                <w:sz w:val="18"/>
                <w:szCs w:val="18"/>
                <w:lang w:eastAsia="es-ES_tradnl"/>
              </w:rPr>
            </w:pPr>
            <w:r w:rsidRPr="003F7F6C">
              <w:rPr>
                <w:rFonts w:eastAsia="Times New Roman" w:cs="Calibri"/>
                <w:color w:val="000000"/>
                <w:sz w:val="18"/>
                <w:szCs w:val="18"/>
                <w:lang w:eastAsia="es-ES_tradnl"/>
              </w:rPr>
              <w:t> </w:t>
            </w:r>
            <w:r w:rsidR="00B06813" w:rsidRPr="003F7F6C">
              <w:rPr>
                <w:rFonts w:eastAsia="Times New Roman" w:cs="Calibri"/>
                <w:color w:val="000000"/>
                <w:sz w:val="18"/>
                <w:szCs w:val="18"/>
                <w:lang w:eastAsia="es-ES_tradnl"/>
              </w:rPr>
              <w:t>114826</w:t>
            </w:r>
          </w:p>
        </w:tc>
        <w:tc>
          <w:tcPr>
            <w:tcW w:w="1717" w:type="dxa"/>
            <w:tcBorders>
              <w:top w:val="nil"/>
              <w:left w:val="nil"/>
              <w:bottom w:val="single" w:sz="8" w:space="0" w:color="auto"/>
              <w:right w:val="single" w:sz="8" w:space="0" w:color="000000"/>
            </w:tcBorders>
            <w:shd w:val="clear" w:color="auto" w:fill="auto"/>
            <w:vAlign w:val="center"/>
            <w:hideMark/>
          </w:tcPr>
          <w:p w14:paraId="7268267F" w14:textId="77777777" w:rsidR="004263F0" w:rsidRPr="003F7F6C" w:rsidRDefault="004263F0" w:rsidP="007B38E7">
            <w:pPr>
              <w:rPr>
                <w:rFonts w:eastAsia="Times New Roman" w:cs="Calibri"/>
                <w:color w:val="000000"/>
                <w:sz w:val="18"/>
                <w:szCs w:val="18"/>
                <w:lang w:eastAsia="es-ES_tradnl"/>
              </w:rPr>
            </w:pPr>
            <w:r w:rsidRPr="003F7F6C">
              <w:rPr>
                <w:rFonts w:eastAsia="Times New Roman" w:cs="Calibri"/>
                <w:color w:val="000000"/>
                <w:sz w:val="18"/>
                <w:szCs w:val="18"/>
                <w:lang w:eastAsia="es-ES_tradnl"/>
              </w:rPr>
              <w:t>Atlas Primary Output Project ID:</w:t>
            </w:r>
          </w:p>
        </w:tc>
        <w:tc>
          <w:tcPr>
            <w:tcW w:w="7101" w:type="dxa"/>
            <w:tcBorders>
              <w:top w:val="nil"/>
              <w:left w:val="nil"/>
              <w:bottom w:val="single" w:sz="8" w:space="0" w:color="auto"/>
              <w:right w:val="single" w:sz="8" w:space="0" w:color="000000"/>
            </w:tcBorders>
            <w:shd w:val="clear" w:color="auto" w:fill="auto"/>
            <w:vAlign w:val="center"/>
            <w:hideMark/>
          </w:tcPr>
          <w:p w14:paraId="2099DC1C" w14:textId="77777777" w:rsidR="004263F0" w:rsidRPr="003F7F6C" w:rsidRDefault="004263F0" w:rsidP="007B38E7">
            <w:pPr>
              <w:rPr>
                <w:rFonts w:eastAsia="Times New Roman" w:cs="Calibri"/>
                <w:color w:val="000000"/>
                <w:sz w:val="18"/>
                <w:szCs w:val="18"/>
                <w:lang w:eastAsia="es-ES_tradnl"/>
              </w:rPr>
            </w:pPr>
            <w:r w:rsidRPr="003F7F6C">
              <w:rPr>
                <w:rFonts w:eastAsia="Times New Roman" w:cs="Calibri"/>
                <w:color w:val="000000"/>
                <w:sz w:val="18"/>
                <w:szCs w:val="18"/>
                <w:lang w:eastAsia="es-ES_tradnl"/>
              </w:rPr>
              <w:t> </w:t>
            </w:r>
            <w:r w:rsidR="00B06813" w:rsidRPr="003F7F6C">
              <w:rPr>
                <w:rFonts w:eastAsia="Times New Roman" w:cs="Calibri"/>
                <w:color w:val="000000"/>
                <w:sz w:val="18"/>
                <w:szCs w:val="18"/>
                <w:lang w:eastAsia="es-ES_tradnl"/>
              </w:rPr>
              <w:t>112703</w:t>
            </w:r>
          </w:p>
        </w:tc>
      </w:tr>
      <w:tr w:rsidR="004263F0" w:rsidRPr="003F7F6C" w14:paraId="3FEA1423" w14:textId="77777777" w:rsidTr="002946EA">
        <w:trPr>
          <w:trHeight w:val="171"/>
        </w:trPr>
        <w:tc>
          <w:tcPr>
            <w:tcW w:w="3251" w:type="dxa"/>
            <w:tcBorders>
              <w:top w:val="nil"/>
              <w:left w:val="single" w:sz="8" w:space="0" w:color="auto"/>
              <w:bottom w:val="single" w:sz="8" w:space="0" w:color="auto"/>
              <w:right w:val="single" w:sz="8" w:space="0" w:color="auto"/>
            </w:tcBorders>
            <w:shd w:val="clear" w:color="auto" w:fill="auto"/>
            <w:noWrap/>
            <w:vAlign w:val="center"/>
            <w:hideMark/>
          </w:tcPr>
          <w:p w14:paraId="4AF2EBC3" w14:textId="77777777" w:rsidR="004263F0" w:rsidRPr="003F7F6C" w:rsidRDefault="004263F0" w:rsidP="007B38E7">
            <w:pPr>
              <w:rPr>
                <w:rFonts w:eastAsia="Times New Roman" w:cs="Calibri"/>
                <w:color w:val="000000"/>
                <w:sz w:val="18"/>
                <w:szCs w:val="18"/>
                <w:lang w:eastAsia="es-ES_tradnl"/>
              </w:rPr>
            </w:pPr>
            <w:r w:rsidRPr="003F7F6C">
              <w:rPr>
                <w:rFonts w:eastAsia="Times New Roman" w:cs="Calibri"/>
                <w:color w:val="000000"/>
                <w:sz w:val="18"/>
                <w:szCs w:val="18"/>
                <w:lang w:eastAsia="es-ES_tradnl"/>
              </w:rPr>
              <w:t>Atlas Proposal or Award Title:</w:t>
            </w:r>
          </w:p>
        </w:tc>
        <w:tc>
          <w:tcPr>
            <w:tcW w:w="10206"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644B82E9" w14:textId="4B0DA022" w:rsidR="004263F0" w:rsidRPr="003F7F6C" w:rsidRDefault="004263F0" w:rsidP="007B38E7">
            <w:pPr>
              <w:rPr>
                <w:rFonts w:eastAsia="Times New Roman" w:cs="Calibri"/>
                <w:color w:val="000000"/>
                <w:sz w:val="18"/>
                <w:szCs w:val="18"/>
                <w:lang w:eastAsia="es-ES_tradnl"/>
              </w:rPr>
            </w:pPr>
            <w:r w:rsidRPr="003F7F6C">
              <w:rPr>
                <w:rFonts w:eastAsia="Times New Roman" w:cs="Calibri"/>
                <w:color w:val="000000"/>
                <w:sz w:val="18"/>
                <w:szCs w:val="18"/>
                <w:lang w:eastAsia="es-ES_tradnl"/>
              </w:rPr>
              <w:t> </w:t>
            </w:r>
            <w:r w:rsidR="00CD5122" w:rsidRPr="003F7F6C">
              <w:rPr>
                <w:rFonts w:eastAsia="Times New Roman" w:cs="Calibri"/>
                <w:color w:val="000000"/>
                <w:sz w:val="18"/>
                <w:szCs w:val="18"/>
                <w:lang w:eastAsia="es-ES_tradnl"/>
              </w:rPr>
              <w:t>Mainstreaming biodiversity conservation and sustainable land management (SLM) into development planning: Making Environmental Land Use Planning (ELUP) Operational in Argentina</w:t>
            </w:r>
          </w:p>
        </w:tc>
      </w:tr>
      <w:tr w:rsidR="004263F0" w:rsidRPr="003F7F6C" w14:paraId="2DEA9E9F" w14:textId="77777777" w:rsidTr="002946EA">
        <w:trPr>
          <w:trHeight w:val="133"/>
        </w:trPr>
        <w:tc>
          <w:tcPr>
            <w:tcW w:w="3251" w:type="dxa"/>
            <w:tcBorders>
              <w:top w:val="nil"/>
              <w:left w:val="single" w:sz="8" w:space="0" w:color="auto"/>
              <w:bottom w:val="single" w:sz="8" w:space="0" w:color="auto"/>
              <w:right w:val="single" w:sz="8" w:space="0" w:color="auto"/>
            </w:tcBorders>
            <w:shd w:val="clear" w:color="auto" w:fill="auto"/>
            <w:noWrap/>
            <w:vAlign w:val="center"/>
            <w:hideMark/>
          </w:tcPr>
          <w:p w14:paraId="12136759" w14:textId="77777777" w:rsidR="004263F0" w:rsidRPr="003F7F6C" w:rsidRDefault="004263F0" w:rsidP="007B38E7">
            <w:pPr>
              <w:rPr>
                <w:rFonts w:eastAsia="Times New Roman" w:cs="Calibri"/>
                <w:color w:val="000000"/>
                <w:sz w:val="18"/>
                <w:szCs w:val="18"/>
                <w:lang w:val="es-PY" w:eastAsia="es-ES_tradnl"/>
              </w:rPr>
            </w:pPr>
            <w:r w:rsidRPr="003F7F6C">
              <w:rPr>
                <w:rFonts w:eastAsia="Times New Roman" w:cs="Calibri"/>
                <w:color w:val="000000"/>
                <w:sz w:val="18"/>
                <w:szCs w:val="18"/>
                <w:lang w:val="es-PY" w:eastAsia="es-ES_tradnl"/>
              </w:rPr>
              <w:t>Atlas Business Unit</w:t>
            </w:r>
          </w:p>
        </w:tc>
        <w:tc>
          <w:tcPr>
            <w:tcW w:w="10206"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0D7072A3" w14:textId="77777777" w:rsidR="004263F0" w:rsidRPr="003F7F6C" w:rsidRDefault="004263F0" w:rsidP="007B38E7">
            <w:pPr>
              <w:rPr>
                <w:rFonts w:eastAsia="Times New Roman" w:cs="Calibri"/>
                <w:color w:val="000000"/>
                <w:sz w:val="18"/>
                <w:szCs w:val="18"/>
                <w:lang w:val="es-PY" w:eastAsia="es-ES_tradnl"/>
              </w:rPr>
            </w:pPr>
            <w:r w:rsidRPr="003F7F6C">
              <w:rPr>
                <w:rFonts w:eastAsia="Times New Roman" w:cs="Calibri"/>
                <w:color w:val="000000"/>
                <w:sz w:val="18"/>
                <w:szCs w:val="18"/>
                <w:lang w:val="es-PY" w:eastAsia="es-ES_tradnl"/>
              </w:rPr>
              <w:t> </w:t>
            </w:r>
            <w:r w:rsidR="00B06813" w:rsidRPr="003F7F6C">
              <w:rPr>
                <w:rFonts w:eastAsia="Times New Roman" w:cs="Calibri"/>
                <w:color w:val="000000"/>
                <w:sz w:val="18"/>
                <w:szCs w:val="18"/>
                <w:lang w:val="es-PY" w:eastAsia="es-ES_tradnl"/>
              </w:rPr>
              <w:t>ARG10</w:t>
            </w:r>
          </w:p>
        </w:tc>
      </w:tr>
      <w:tr w:rsidR="004263F0" w:rsidRPr="003F7F6C" w14:paraId="014A8EFF" w14:textId="77777777" w:rsidTr="002946EA">
        <w:trPr>
          <w:trHeight w:val="279"/>
        </w:trPr>
        <w:tc>
          <w:tcPr>
            <w:tcW w:w="3251" w:type="dxa"/>
            <w:tcBorders>
              <w:top w:val="nil"/>
              <w:left w:val="single" w:sz="8" w:space="0" w:color="auto"/>
              <w:bottom w:val="single" w:sz="8" w:space="0" w:color="auto"/>
              <w:right w:val="single" w:sz="8" w:space="0" w:color="auto"/>
            </w:tcBorders>
            <w:shd w:val="clear" w:color="auto" w:fill="auto"/>
            <w:noWrap/>
            <w:vAlign w:val="center"/>
            <w:hideMark/>
          </w:tcPr>
          <w:p w14:paraId="1CD41793" w14:textId="77777777" w:rsidR="004263F0" w:rsidRPr="003F7F6C" w:rsidRDefault="004263F0" w:rsidP="007B38E7">
            <w:pPr>
              <w:rPr>
                <w:rFonts w:eastAsia="Times New Roman" w:cs="Calibri"/>
                <w:color w:val="000000"/>
                <w:sz w:val="18"/>
                <w:szCs w:val="18"/>
                <w:lang w:eastAsia="es-ES_tradnl"/>
              </w:rPr>
            </w:pPr>
            <w:r w:rsidRPr="003F7F6C">
              <w:rPr>
                <w:rFonts w:eastAsia="Times New Roman" w:cs="Calibri"/>
                <w:color w:val="000000"/>
                <w:sz w:val="18"/>
                <w:szCs w:val="18"/>
                <w:lang w:eastAsia="es-ES_tradnl"/>
              </w:rPr>
              <w:t>Atlas Primary Output Project Title</w:t>
            </w:r>
          </w:p>
        </w:tc>
        <w:tc>
          <w:tcPr>
            <w:tcW w:w="10206"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0F9925C4" w14:textId="23231753" w:rsidR="004263F0" w:rsidRPr="003F7F6C" w:rsidRDefault="004263F0" w:rsidP="007B38E7">
            <w:pPr>
              <w:rPr>
                <w:rFonts w:eastAsia="Times New Roman" w:cs="Calibri"/>
                <w:color w:val="000000"/>
                <w:sz w:val="18"/>
                <w:szCs w:val="18"/>
                <w:lang w:eastAsia="es-ES_tradnl"/>
              </w:rPr>
            </w:pPr>
            <w:r w:rsidRPr="003F7F6C">
              <w:rPr>
                <w:rFonts w:eastAsia="Times New Roman" w:cs="Calibri"/>
                <w:color w:val="000000"/>
                <w:sz w:val="18"/>
                <w:szCs w:val="18"/>
                <w:lang w:eastAsia="es-ES_tradnl"/>
              </w:rPr>
              <w:t> </w:t>
            </w:r>
            <w:r w:rsidR="00CD5122" w:rsidRPr="003F7F6C">
              <w:rPr>
                <w:rFonts w:eastAsia="Times New Roman" w:cs="Calibri"/>
                <w:color w:val="000000"/>
                <w:sz w:val="18"/>
                <w:szCs w:val="18"/>
                <w:lang w:eastAsia="es-ES_tradnl"/>
              </w:rPr>
              <w:t>Mainstreaming biodiversity conservation and sustainable land management (SLM) into development planning: Making Environmental Land Use Planning (ELUP) Operational in Argentina</w:t>
            </w:r>
            <w:r w:rsidR="00CD5122" w:rsidRPr="003F7F6C" w:rsidDel="00CD5122">
              <w:rPr>
                <w:rFonts w:eastAsia="Times New Roman" w:cs="Calibri"/>
                <w:color w:val="000000"/>
                <w:sz w:val="18"/>
                <w:szCs w:val="18"/>
                <w:lang w:eastAsia="es-ES_tradnl"/>
              </w:rPr>
              <w:t xml:space="preserve"> </w:t>
            </w:r>
          </w:p>
        </w:tc>
      </w:tr>
      <w:tr w:rsidR="004263F0" w:rsidRPr="003F7F6C" w14:paraId="35EF181E" w14:textId="77777777" w:rsidTr="002946EA">
        <w:trPr>
          <w:trHeight w:val="127"/>
        </w:trPr>
        <w:tc>
          <w:tcPr>
            <w:tcW w:w="3251" w:type="dxa"/>
            <w:tcBorders>
              <w:top w:val="nil"/>
              <w:left w:val="single" w:sz="8" w:space="0" w:color="auto"/>
              <w:bottom w:val="single" w:sz="8" w:space="0" w:color="auto"/>
              <w:right w:val="single" w:sz="8" w:space="0" w:color="auto"/>
            </w:tcBorders>
            <w:shd w:val="clear" w:color="auto" w:fill="auto"/>
            <w:noWrap/>
            <w:vAlign w:val="center"/>
            <w:hideMark/>
          </w:tcPr>
          <w:p w14:paraId="245C885B" w14:textId="77777777" w:rsidR="004263F0" w:rsidRPr="003F7F6C" w:rsidRDefault="004263F0" w:rsidP="007B38E7">
            <w:pPr>
              <w:rPr>
                <w:rFonts w:eastAsia="Times New Roman" w:cs="Calibri"/>
                <w:color w:val="000000"/>
                <w:sz w:val="18"/>
                <w:szCs w:val="18"/>
                <w:lang w:val="es-PY" w:eastAsia="es-ES_tradnl"/>
              </w:rPr>
            </w:pPr>
            <w:r w:rsidRPr="003F7F6C">
              <w:rPr>
                <w:rFonts w:eastAsia="Times New Roman" w:cs="Calibri"/>
                <w:color w:val="000000"/>
                <w:sz w:val="18"/>
                <w:szCs w:val="18"/>
                <w:lang w:val="es-PY" w:eastAsia="es-ES_tradnl"/>
              </w:rPr>
              <w:t>UNDP-GEF PIMS No</w:t>
            </w:r>
            <w:r w:rsidRPr="003F7F6C">
              <w:rPr>
                <w:rFonts w:eastAsia="Times New Roman" w:cs="Calibri"/>
                <w:color w:val="000000"/>
                <w:sz w:val="18"/>
                <w:szCs w:val="18"/>
              </w:rPr>
              <w:t>:</w:t>
            </w:r>
            <w:r w:rsidRPr="003F7F6C">
              <w:rPr>
                <w:rFonts w:eastAsia="Times New Roman" w:cs="Calibri"/>
                <w:color w:val="000000"/>
                <w:sz w:val="18"/>
                <w:szCs w:val="18"/>
                <w:lang w:val="es-PY" w:eastAsia="es-ES_tradnl"/>
              </w:rPr>
              <w:t xml:space="preserve"> </w:t>
            </w:r>
          </w:p>
        </w:tc>
        <w:tc>
          <w:tcPr>
            <w:tcW w:w="10206"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0CE7DBFC" w14:textId="77777777" w:rsidR="004263F0" w:rsidRPr="003F7F6C" w:rsidRDefault="004263F0" w:rsidP="007B38E7">
            <w:pPr>
              <w:rPr>
                <w:rFonts w:eastAsia="Times New Roman" w:cs="Calibri"/>
                <w:color w:val="000000"/>
                <w:sz w:val="18"/>
                <w:szCs w:val="18"/>
                <w:lang w:val="es-PY" w:eastAsia="es-ES_tradnl"/>
              </w:rPr>
            </w:pPr>
            <w:r w:rsidRPr="003F7F6C">
              <w:rPr>
                <w:rFonts w:eastAsia="Times New Roman" w:cs="Calibri"/>
                <w:color w:val="000000"/>
                <w:sz w:val="18"/>
                <w:szCs w:val="18"/>
                <w:lang w:val="es-PY" w:eastAsia="es-ES_tradnl"/>
              </w:rPr>
              <w:t> 5791</w:t>
            </w:r>
          </w:p>
        </w:tc>
      </w:tr>
      <w:tr w:rsidR="004263F0" w:rsidRPr="003F7F6C" w14:paraId="3BFB42C0" w14:textId="77777777" w:rsidTr="002946EA">
        <w:trPr>
          <w:trHeight w:val="103"/>
        </w:trPr>
        <w:tc>
          <w:tcPr>
            <w:tcW w:w="3251" w:type="dxa"/>
            <w:tcBorders>
              <w:top w:val="nil"/>
              <w:left w:val="single" w:sz="8" w:space="0" w:color="auto"/>
              <w:bottom w:val="single" w:sz="8" w:space="0" w:color="auto"/>
              <w:right w:val="single" w:sz="8" w:space="0" w:color="auto"/>
            </w:tcBorders>
            <w:shd w:val="clear" w:color="auto" w:fill="auto"/>
            <w:vAlign w:val="center"/>
            <w:hideMark/>
          </w:tcPr>
          <w:p w14:paraId="307D169F" w14:textId="77777777" w:rsidR="004263F0" w:rsidRPr="003F7F6C" w:rsidRDefault="004263F0" w:rsidP="007B38E7">
            <w:pPr>
              <w:rPr>
                <w:rFonts w:eastAsia="Times New Roman" w:cs="Calibri"/>
                <w:color w:val="000000"/>
                <w:sz w:val="18"/>
                <w:szCs w:val="18"/>
                <w:lang w:val="es-PY" w:eastAsia="es-ES_tradnl"/>
              </w:rPr>
            </w:pPr>
            <w:r w:rsidRPr="003F7F6C">
              <w:rPr>
                <w:rFonts w:eastAsia="Times New Roman" w:cs="Calibri"/>
                <w:color w:val="000000"/>
                <w:sz w:val="18"/>
                <w:szCs w:val="18"/>
                <w:lang w:val="es-PY" w:eastAsia="es-ES_tradnl"/>
              </w:rPr>
              <w:t xml:space="preserve">Implementing Partner </w:t>
            </w:r>
          </w:p>
        </w:tc>
        <w:tc>
          <w:tcPr>
            <w:tcW w:w="10206"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49D99A24" w14:textId="1694D812" w:rsidR="004263F0" w:rsidRPr="003F7F6C" w:rsidRDefault="00CD5122" w:rsidP="007B38E7">
            <w:pPr>
              <w:rPr>
                <w:rFonts w:eastAsia="Times New Roman" w:cs="Calibri"/>
                <w:color w:val="000000"/>
                <w:sz w:val="18"/>
                <w:szCs w:val="18"/>
                <w:lang w:eastAsia="es-ES_tradnl"/>
              </w:rPr>
            </w:pPr>
            <w:r w:rsidRPr="003F7F6C">
              <w:t xml:space="preserve"> </w:t>
            </w:r>
            <w:r w:rsidRPr="003F7F6C">
              <w:rPr>
                <w:rFonts w:eastAsia="Times New Roman" w:cs="Calibri"/>
                <w:color w:val="000000"/>
                <w:sz w:val="18"/>
                <w:szCs w:val="18"/>
                <w:lang w:eastAsia="es-ES_tradnl"/>
              </w:rPr>
              <w:t>Secretariat of Environment and Sustainable Development (SGAyDS)</w:t>
            </w:r>
          </w:p>
        </w:tc>
      </w:tr>
    </w:tbl>
    <w:p w14:paraId="2CAFABBD" w14:textId="2472EB4E" w:rsidR="00604CFF" w:rsidRPr="003F7F6C" w:rsidRDefault="00604CFF" w:rsidP="003B2A79">
      <w:pPr>
        <w:rPr>
          <w:rFonts w:ascii="Times New Roman" w:hAnsi="Times New Roman"/>
          <w:color w:val="FF0000"/>
          <w:sz w:val="18"/>
          <w:szCs w:val="18"/>
        </w:rPr>
      </w:pPr>
    </w:p>
    <w:p w14:paraId="2059151E" w14:textId="77777777" w:rsidR="00783A9A" w:rsidRPr="003F7F6C" w:rsidRDefault="00783A9A" w:rsidP="003B2A79">
      <w:pPr>
        <w:rPr>
          <w:rFonts w:ascii="Times New Roman" w:hAnsi="Times New Roman"/>
          <w:sz w:val="18"/>
          <w:szCs w:val="18"/>
        </w:rPr>
      </w:pPr>
    </w:p>
    <w:tbl>
      <w:tblPr>
        <w:tblW w:w="134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55"/>
        <w:gridCol w:w="630"/>
        <w:gridCol w:w="720"/>
        <w:gridCol w:w="540"/>
        <w:gridCol w:w="720"/>
        <w:gridCol w:w="2160"/>
        <w:gridCol w:w="900"/>
        <w:gridCol w:w="990"/>
        <w:gridCol w:w="990"/>
        <w:gridCol w:w="990"/>
        <w:gridCol w:w="990"/>
        <w:gridCol w:w="990"/>
        <w:gridCol w:w="990"/>
        <w:gridCol w:w="630"/>
      </w:tblGrid>
      <w:tr w:rsidR="002946EA" w:rsidRPr="003F7F6C" w14:paraId="3F6FDB7A" w14:textId="77777777" w:rsidTr="00826EE8">
        <w:trPr>
          <w:tblHeader/>
        </w:trPr>
        <w:tc>
          <w:tcPr>
            <w:tcW w:w="1255" w:type="dxa"/>
            <w:vAlign w:val="center"/>
            <w:hideMark/>
          </w:tcPr>
          <w:p w14:paraId="5F585776" w14:textId="77777777" w:rsidR="002946EA" w:rsidRPr="003F7F6C" w:rsidRDefault="002946EA" w:rsidP="002946EA">
            <w:pPr>
              <w:spacing w:after="0"/>
              <w:ind w:left="-144" w:right="-144"/>
              <w:jc w:val="center"/>
              <w:rPr>
                <w:rFonts w:asciiTheme="minorHAnsi" w:eastAsia="Times New Roman" w:hAnsiTheme="minorHAnsi"/>
                <w:b/>
                <w:bCs/>
                <w:color w:val="000000"/>
                <w:sz w:val="18"/>
                <w:szCs w:val="18"/>
              </w:rPr>
            </w:pPr>
            <w:r w:rsidRPr="003F7F6C">
              <w:rPr>
                <w:rFonts w:asciiTheme="minorHAnsi" w:eastAsia="Times New Roman" w:hAnsiTheme="minorHAnsi"/>
                <w:b/>
                <w:bCs/>
                <w:color w:val="000000"/>
                <w:sz w:val="18"/>
                <w:szCs w:val="18"/>
              </w:rPr>
              <w:t>GEF Component/</w:t>
            </w:r>
          </w:p>
          <w:p w14:paraId="5B204100" w14:textId="77777777" w:rsidR="002946EA" w:rsidRPr="003F7F6C" w:rsidRDefault="002946EA" w:rsidP="002946EA">
            <w:pPr>
              <w:spacing w:after="0"/>
              <w:ind w:left="-144" w:right="-144"/>
              <w:jc w:val="center"/>
              <w:rPr>
                <w:rFonts w:asciiTheme="minorHAnsi" w:eastAsia="Times New Roman" w:hAnsiTheme="minorHAnsi"/>
                <w:b/>
                <w:bCs/>
                <w:color w:val="000000"/>
                <w:sz w:val="18"/>
                <w:szCs w:val="18"/>
              </w:rPr>
            </w:pPr>
            <w:r w:rsidRPr="003F7F6C">
              <w:rPr>
                <w:rFonts w:asciiTheme="minorHAnsi" w:eastAsia="Times New Roman" w:hAnsiTheme="minorHAnsi"/>
                <w:b/>
                <w:bCs/>
                <w:color w:val="000000"/>
                <w:sz w:val="18"/>
                <w:szCs w:val="18"/>
              </w:rPr>
              <w:t>Atlas Activity</w:t>
            </w:r>
          </w:p>
        </w:tc>
        <w:bookmarkStart w:id="27" w:name="RANGE!B3"/>
        <w:tc>
          <w:tcPr>
            <w:tcW w:w="630" w:type="dxa"/>
            <w:vAlign w:val="center"/>
            <w:hideMark/>
          </w:tcPr>
          <w:p w14:paraId="7F6A95DB" w14:textId="77777777" w:rsidR="002946EA" w:rsidRPr="003F7F6C" w:rsidRDefault="002946EA" w:rsidP="002946EA">
            <w:pPr>
              <w:spacing w:after="0"/>
              <w:ind w:left="-144" w:right="-144"/>
              <w:jc w:val="center"/>
              <w:rPr>
                <w:rFonts w:asciiTheme="minorHAnsi" w:eastAsia="Times New Roman" w:hAnsiTheme="minorHAnsi"/>
                <w:b/>
                <w:bCs/>
                <w:color w:val="000000"/>
                <w:sz w:val="18"/>
                <w:szCs w:val="18"/>
              </w:rPr>
            </w:pPr>
            <w:r w:rsidRPr="003F7F6C">
              <w:rPr>
                <w:rFonts w:asciiTheme="minorHAnsi" w:eastAsia="Times New Roman" w:hAnsiTheme="minorHAnsi"/>
                <w:b/>
                <w:bCs/>
                <w:color w:val="000000"/>
                <w:sz w:val="18"/>
                <w:szCs w:val="18"/>
              </w:rPr>
              <w:fldChar w:fldCharType="begin"/>
            </w:r>
            <w:r w:rsidRPr="003F7F6C">
              <w:rPr>
                <w:rFonts w:asciiTheme="minorHAnsi" w:eastAsia="Times New Roman" w:hAnsiTheme="minorHAnsi"/>
                <w:b/>
                <w:bCs/>
                <w:color w:val="000000"/>
                <w:sz w:val="18"/>
                <w:szCs w:val="18"/>
              </w:rPr>
              <w:instrText xml:space="preserve"> HYPERLINK "file:///C:\\Users\\joana.troyano\\AppData\\Local\\Microsoft\\Windows\\Temporary%20Internet%20Files\\Content.Outlook\\ODMMXPFW\\PIMS%205792%20Brazil%20ABS%20Indigenous.%20Budget_AF_LL_%20040318.MGP_AF.xlsx" \l "RANGE!A6" </w:instrText>
            </w:r>
            <w:r w:rsidRPr="003F7F6C">
              <w:rPr>
                <w:rFonts w:asciiTheme="minorHAnsi" w:eastAsia="Times New Roman" w:hAnsiTheme="minorHAnsi"/>
                <w:b/>
                <w:bCs/>
                <w:color w:val="000000"/>
                <w:sz w:val="18"/>
                <w:szCs w:val="18"/>
              </w:rPr>
              <w:fldChar w:fldCharType="separate"/>
            </w:r>
            <w:r w:rsidRPr="003F7F6C">
              <w:rPr>
                <w:rFonts w:asciiTheme="minorHAnsi" w:eastAsia="Times New Roman" w:hAnsiTheme="minorHAnsi"/>
                <w:b/>
                <w:bCs/>
                <w:color w:val="000000"/>
                <w:sz w:val="18"/>
                <w:szCs w:val="18"/>
              </w:rPr>
              <w:t xml:space="preserve">Impl. Partner </w:t>
            </w:r>
            <w:r w:rsidRPr="003F7F6C">
              <w:rPr>
                <w:rFonts w:asciiTheme="minorHAnsi" w:eastAsia="Times New Roman" w:hAnsiTheme="minorHAnsi"/>
                <w:b/>
                <w:bCs/>
                <w:color w:val="000000"/>
                <w:sz w:val="18"/>
                <w:szCs w:val="18"/>
              </w:rPr>
              <w:fldChar w:fldCharType="end"/>
            </w:r>
            <w:bookmarkEnd w:id="27"/>
          </w:p>
        </w:tc>
        <w:tc>
          <w:tcPr>
            <w:tcW w:w="720" w:type="dxa"/>
            <w:vAlign w:val="center"/>
            <w:hideMark/>
          </w:tcPr>
          <w:p w14:paraId="3703F23D" w14:textId="77777777" w:rsidR="002946EA" w:rsidRPr="003F7F6C" w:rsidRDefault="002946EA" w:rsidP="002946EA">
            <w:pPr>
              <w:spacing w:after="0"/>
              <w:ind w:left="-144" w:right="-144"/>
              <w:jc w:val="center"/>
              <w:rPr>
                <w:rFonts w:asciiTheme="minorHAnsi" w:eastAsia="Times New Roman" w:hAnsiTheme="minorHAnsi"/>
                <w:b/>
                <w:bCs/>
                <w:color w:val="000000"/>
                <w:sz w:val="18"/>
                <w:szCs w:val="18"/>
              </w:rPr>
            </w:pPr>
            <w:r w:rsidRPr="003F7F6C">
              <w:rPr>
                <w:rFonts w:asciiTheme="minorHAnsi" w:eastAsia="Times New Roman" w:hAnsiTheme="minorHAnsi"/>
                <w:b/>
                <w:bCs/>
                <w:color w:val="000000"/>
                <w:sz w:val="18"/>
                <w:szCs w:val="18"/>
              </w:rPr>
              <w:t xml:space="preserve">Fund </w:t>
            </w:r>
          </w:p>
          <w:p w14:paraId="2D70D56B" w14:textId="77777777" w:rsidR="002946EA" w:rsidRPr="003F7F6C" w:rsidRDefault="002946EA" w:rsidP="002946EA">
            <w:pPr>
              <w:spacing w:after="0"/>
              <w:ind w:left="-144" w:right="-144"/>
              <w:jc w:val="center"/>
              <w:rPr>
                <w:rFonts w:asciiTheme="minorHAnsi" w:eastAsia="Times New Roman" w:hAnsiTheme="minorHAnsi"/>
                <w:b/>
                <w:bCs/>
                <w:color w:val="000000"/>
                <w:sz w:val="18"/>
                <w:szCs w:val="18"/>
              </w:rPr>
            </w:pPr>
            <w:r w:rsidRPr="003F7F6C">
              <w:rPr>
                <w:rFonts w:asciiTheme="minorHAnsi" w:eastAsia="Times New Roman" w:hAnsiTheme="minorHAnsi"/>
                <w:b/>
                <w:bCs/>
                <w:color w:val="000000"/>
                <w:sz w:val="18"/>
                <w:szCs w:val="18"/>
              </w:rPr>
              <w:t>ID</w:t>
            </w:r>
          </w:p>
        </w:tc>
        <w:tc>
          <w:tcPr>
            <w:tcW w:w="540" w:type="dxa"/>
            <w:vAlign w:val="center"/>
            <w:hideMark/>
          </w:tcPr>
          <w:p w14:paraId="5CB839BE" w14:textId="77777777" w:rsidR="002946EA" w:rsidRPr="003F7F6C" w:rsidRDefault="002946EA" w:rsidP="002946EA">
            <w:pPr>
              <w:spacing w:after="0"/>
              <w:ind w:left="-144" w:right="-144"/>
              <w:jc w:val="center"/>
              <w:rPr>
                <w:rFonts w:asciiTheme="minorHAnsi" w:eastAsia="Times New Roman" w:hAnsiTheme="minorHAnsi"/>
                <w:b/>
                <w:bCs/>
                <w:color w:val="000000"/>
                <w:sz w:val="18"/>
                <w:szCs w:val="18"/>
              </w:rPr>
            </w:pPr>
            <w:r w:rsidRPr="003F7F6C">
              <w:rPr>
                <w:rFonts w:asciiTheme="minorHAnsi" w:eastAsia="Times New Roman" w:hAnsiTheme="minorHAnsi"/>
                <w:b/>
                <w:bCs/>
                <w:color w:val="000000"/>
                <w:sz w:val="18"/>
                <w:szCs w:val="18"/>
              </w:rPr>
              <w:t>Donor Name</w:t>
            </w:r>
          </w:p>
        </w:tc>
        <w:tc>
          <w:tcPr>
            <w:tcW w:w="720" w:type="dxa"/>
            <w:vAlign w:val="center"/>
            <w:hideMark/>
          </w:tcPr>
          <w:p w14:paraId="228C1FFE" w14:textId="77777777" w:rsidR="002946EA" w:rsidRPr="003F7F6C" w:rsidRDefault="002946EA" w:rsidP="002946EA">
            <w:pPr>
              <w:spacing w:after="0"/>
              <w:ind w:left="-144" w:right="-144"/>
              <w:jc w:val="center"/>
              <w:rPr>
                <w:rFonts w:asciiTheme="minorHAnsi" w:eastAsia="Times New Roman" w:hAnsiTheme="minorHAnsi"/>
                <w:b/>
                <w:bCs/>
                <w:color w:val="000000"/>
                <w:sz w:val="18"/>
                <w:szCs w:val="18"/>
              </w:rPr>
            </w:pPr>
            <w:r w:rsidRPr="003F7F6C">
              <w:rPr>
                <w:rFonts w:asciiTheme="minorHAnsi" w:eastAsia="Times New Roman" w:hAnsiTheme="minorHAnsi"/>
                <w:b/>
                <w:bCs/>
                <w:color w:val="000000"/>
                <w:sz w:val="18"/>
                <w:szCs w:val="18"/>
              </w:rPr>
              <w:t>Account Code</w:t>
            </w:r>
          </w:p>
        </w:tc>
        <w:tc>
          <w:tcPr>
            <w:tcW w:w="2160" w:type="dxa"/>
            <w:vAlign w:val="center"/>
            <w:hideMark/>
          </w:tcPr>
          <w:p w14:paraId="74B41150" w14:textId="77777777" w:rsidR="002946EA" w:rsidRPr="003F7F6C" w:rsidRDefault="002946EA" w:rsidP="002946EA">
            <w:pPr>
              <w:spacing w:after="0"/>
              <w:ind w:left="-144" w:right="-144"/>
              <w:jc w:val="center"/>
              <w:rPr>
                <w:rFonts w:asciiTheme="minorHAnsi" w:eastAsia="Times New Roman" w:hAnsiTheme="minorHAnsi"/>
                <w:b/>
                <w:bCs/>
                <w:color w:val="000000"/>
                <w:sz w:val="18"/>
                <w:szCs w:val="18"/>
              </w:rPr>
            </w:pPr>
            <w:r w:rsidRPr="003F7F6C">
              <w:rPr>
                <w:rFonts w:asciiTheme="minorHAnsi" w:eastAsia="Times New Roman" w:hAnsiTheme="minorHAnsi"/>
                <w:b/>
                <w:bCs/>
                <w:color w:val="000000"/>
                <w:sz w:val="18"/>
                <w:szCs w:val="18"/>
              </w:rPr>
              <w:t xml:space="preserve">ATLAS Budget </w:t>
            </w:r>
          </w:p>
          <w:p w14:paraId="3B091330" w14:textId="77777777" w:rsidR="002946EA" w:rsidRPr="003F7F6C" w:rsidRDefault="002946EA" w:rsidP="002946EA">
            <w:pPr>
              <w:spacing w:after="0"/>
              <w:ind w:left="-144" w:right="-144"/>
              <w:jc w:val="center"/>
              <w:rPr>
                <w:rFonts w:asciiTheme="minorHAnsi" w:eastAsia="Times New Roman" w:hAnsiTheme="minorHAnsi"/>
                <w:b/>
                <w:bCs/>
                <w:color w:val="000000"/>
                <w:sz w:val="18"/>
                <w:szCs w:val="18"/>
              </w:rPr>
            </w:pPr>
            <w:r w:rsidRPr="003F7F6C">
              <w:rPr>
                <w:rFonts w:asciiTheme="minorHAnsi" w:eastAsia="Times New Roman" w:hAnsiTheme="minorHAnsi"/>
                <w:b/>
                <w:bCs/>
                <w:color w:val="000000"/>
                <w:sz w:val="18"/>
                <w:szCs w:val="18"/>
              </w:rPr>
              <w:t>Description</w:t>
            </w:r>
          </w:p>
        </w:tc>
        <w:tc>
          <w:tcPr>
            <w:tcW w:w="900" w:type="dxa"/>
            <w:vAlign w:val="center"/>
            <w:hideMark/>
          </w:tcPr>
          <w:p w14:paraId="6631EC48" w14:textId="77777777" w:rsidR="002946EA" w:rsidRPr="003F7F6C" w:rsidRDefault="002946EA" w:rsidP="002946EA">
            <w:pPr>
              <w:spacing w:after="0"/>
              <w:ind w:left="-144" w:right="-144"/>
              <w:jc w:val="center"/>
              <w:rPr>
                <w:rFonts w:asciiTheme="minorHAnsi" w:eastAsia="Times New Roman" w:hAnsiTheme="minorHAnsi"/>
                <w:b/>
                <w:bCs/>
                <w:color w:val="000000"/>
                <w:sz w:val="18"/>
                <w:szCs w:val="18"/>
              </w:rPr>
            </w:pPr>
            <w:r w:rsidRPr="003F7F6C">
              <w:rPr>
                <w:rFonts w:asciiTheme="minorHAnsi" w:eastAsia="Times New Roman" w:hAnsiTheme="minorHAnsi"/>
                <w:b/>
                <w:bCs/>
                <w:color w:val="000000"/>
                <w:sz w:val="18"/>
                <w:szCs w:val="18"/>
              </w:rPr>
              <w:t xml:space="preserve">Amount </w:t>
            </w:r>
          </w:p>
          <w:p w14:paraId="244269D0" w14:textId="77777777" w:rsidR="002946EA" w:rsidRPr="003F7F6C" w:rsidRDefault="002946EA" w:rsidP="002946EA">
            <w:pPr>
              <w:spacing w:after="0"/>
              <w:ind w:left="-144" w:right="-144"/>
              <w:jc w:val="center"/>
              <w:rPr>
                <w:rFonts w:asciiTheme="minorHAnsi" w:eastAsia="Times New Roman" w:hAnsiTheme="minorHAnsi"/>
                <w:b/>
                <w:bCs/>
                <w:color w:val="000000"/>
                <w:sz w:val="18"/>
                <w:szCs w:val="18"/>
              </w:rPr>
            </w:pPr>
            <w:r w:rsidRPr="003F7F6C">
              <w:rPr>
                <w:rFonts w:asciiTheme="minorHAnsi" w:eastAsia="Times New Roman" w:hAnsiTheme="minorHAnsi"/>
                <w:b/>
                <w:bCs/>
                <w:color w:val="000000"/>
                <w:sz w:val="18"/>
                <w:szCs w:val="18"/>
              </w:rPr>
              <w:t xml:space="preserve">Year 1 </w:t>
            </w:r>
          </w:p>
        </w:tc>
        <w:tc>
          <w:tcPr>
            <w:tcW w:w="990" w:type="dxa"/>
            <w:vAlign w:val="center"/>
            <w:hideMark/>
          </w:tcPr>
          <w:p w14:paraId="22E21A5E" w14:textId="77777777" w:rsidR="002946EA" w:rsidRPr="003F7F6C" w:rsidRDefault="002946EA" w:rsidP="002946EA">
            <w:pPr>
              <w:spacing w:after="0"/>
              <w:ind w:left="-144" w:right="-144"/>
              <w:jc w:val="center"/>
              <w:rPr>
                <w:rFonts w:asciiTheme="minorHAnsi" w:eastAsia="Times New Roman" w:hAnsiTheme="minorHAnsi"/>
                <w:b/>
                <w:bCs/>
                <w:color w:val="000000"/>
                <w:sz w:val="18"/>
                <w:szCs w:val="18"/>
              </w:rPr>
            </w:pPr>
            <w:r w:rsidRPr="003F7F6C">
              <w:rPr>
                <w:rFonts w:asciiTheme="minorHAnsi" w:eastAsia="Times New Roman" w:hAnsiTheme="minorHAnsi"/>
                <w:b/>
                <w:bCs/>
                <w:color w:val="000000"/>
                <w:sz w:val="18"/>
                <w:szCs w:val="18"/>
              </w:rPr>
              <w:t xml:space="preserve">Amount </w:t>
            </w:r>
          </w:p>
          <w:p w14:paraId="571A5EC4" w14:textId="77777777" w:rsidR="002946EA" w:rsidRPr="003F7F6C" w:rsidRDefault="002946EA" w:rsidP="002946EA">
            <w:pPr>
              <w:spacing w:after="0"/>
              <w:ind w:left="-144" w:right="-144"/>
              <w:jc w:val="center"/>
              <w:rPr>
                <w:rFonts w:asciiTheme="minorHAnsi" w:eastAsia="Times New Roman" w:hAnsiTheme="minorHAnsi"/>
                <w:b/>
                <w:bCs/>
                <w:color w:val="000000"/>
                <w:sz w:val="18"/>
                <w:szCs w:val="18"/>
              </w:rPr>
            </w:pPr>
            <w:r w:rsidRPr="003F7F6C">
              <w:rPr>
                <w:rFonts w:asciiTheme="minorHAnsi" w:eastAsia="Times New Roman" w:hAnsiTheme="minorHAnsi"/>
                <w:b/>
                <w:bCs/>
                <w:color w:val="000000"/>
                <w:sz w:val="18"/>
                <w:szCs w:val="18"/>
              </w:rPr>
              <w:t>Year 2</w:t>
            </w:r>
          </w:p>
        </w:tc>
        <w:tc>
          <w:tcPr>
            <w:tcW w:w="990" w:type="dxa"/>
            <w:vAlign w:val="center"/>
            <w:hideMark/>
          </w:tcPr>
          <w:p w14:paraId="29B25E25" w14:textId="77777777" w:rsidR="002946EA" w:rsidRPr="003F7F6C" w:rsidRDefault="002946EA" w:rsidP="002946EA">
            <w:pPr>
              <w:spacing w:after="0"/>
              <w:ind w:left="-144" w:right="-144"/>
              <w:jc w:val="center"/>
              <w:rPr>
                <w:rFonts w:asciiTheme="minorHAnsi" w:eastAsia="Times New Roman" w:hAnsiTheme="minorHAnsi"/>
                <w:b/>
                <w:bCs/>
                <w:color w:val="000000"/>
                <w:sz w:val="18"/>
                <w:szCs w:val="18"/>
              </w:rPr>
            </w:pPr>
            <w:r w:rsidRPr="003F7F6C">
              <w:rPr>
                <w:rFonts w:asciiTheme="minorHAnsi" w:eastAsia="Times New Roman" w:hAnsiTheme="minorHAnsi"/>
                <w:b/>
                <w:bCs/>
                <w:color w:val="000000"/>
                <w:sz w:val="18"/>
                <w:szCs w:val="18"/>
              </w:rPr>
              <w:t xml:space="preserve">Amount </w:t>
            </w:r>
          </w:p>
          <w:p w14:paraId="3AD27C38" w14:textId="77777777" w:rsidR="002946EA" w:rsidRPr="003F7F6C" w:rsidRDefault="002946EA" w:rsidP="002946EA">
            <w:pPr>
              <w:spacing w:after="0"/>
              <w:ind w:left="-144" w:right="-144"/>
              <w:jc w:val="center"/>
              <w:rPr>
                <w:rFonts w:asciiTheme="minorHAnsi" w:eastAsia="Times New Roman" w:hAnsiTheme="minorHAnsi"/>
                <w:b/>
                <w:bCs/>
                <w:color w:val="000000"/>
                <w:sz w:val="18"/>
                <w:szCs w:val="18"/>
              </w:rPr>
            </w:pPr>
            <w:r w:rsidRPr="003F7F6C">
              <w:rPr>
                <w:rFonts w:asciiTheme="minorHAnsi" w:eastAsia="Times New Roman" w:hAnsiTheme="minorHAnsi"/>
                <w:b/>
                <w:bCs/>
                <w:color w:val="000000"/>
                <w:sz w:val="18"/>
                <w:szCs w:val="18"/>
              </w:rPr>
              <w:t>Year 3</w:t>
            </w:r>
          </w:p>
        </w:tc>
        <w:tc>
          <w:tcPr>
            <w:tcW w:w="990" w:type="dxa"/>
            <w:vAlign w:val="center"/>
            <w:hideMark/>
          </w:tcPr>
          <w:p w14:paraId="37F454D3" w14:textId="77777777" w:rsidR="002946EA" w:rsidRPr="003F7F6C" w:rsidRDefault="002946EA" w:rsidP="002946EA">
            <w:pPr>
              <w:spacing w:after="0"/>
              <w:ind w:left="-144" w:right="-144"/>
              <w:jc w:val="center"/>
              <w:rPr>
                <w:rFonts w:asciiTheme="minorHAnsi" w:eastAsia="Times New Roman" w:hAnsiTheme="minorHAnsi"/>
                <w:b/>
                <w:bCs/>
                <w:color w:val="000000"/>
                <w:sz w:val="18"/>
                <w:szCs w:val="18"/>
              </w:rPr>
            </w:pPr>
            <w:r w:rsidRPr="003F7F6C">
              <w:rPr>
                <w:rFonts w:asciiTheme="minorHAnsi" w:eastAsia="Times New Roman" w:hAnsiTheme="minorHAnsi"/>
                <w:b/>
                <w:bCs/>
                <w:color w:val="000000"/>
                <w:sz w:val="18"/>
                <w:szCs w:val="18"/>
              </w:rPr>
              <w:t xml:space="preserve">Amount </w:t>
            </w:r>
          </w:p>
          <w:p w14:paraId="3366EC62" w14:textId="77777777" w:rsidR="002946EA" w:rsidRPr="003F7F6C" w:rsidRDefault="002946EA" w:rsidP="002946EA">
            <w:pPr>
              <w:spacing w:after="0"/>
              <w:ind w:left="-144" w:right="-144"/>
              <w:jc w:val="center"/>
              <w:rPr>
                <w:rFonts w:asciiTheme="minorHAnsi" w:eastAsia="Times New Roman" w:hAnsiTheme="minorHAnsi"/>
                <w:b/>
                <w:bCs/>
                <w:color w:val="000000"/>
                <w:sz w:val="18"/>
                <w:szCs w:val="18"/>
              </w:rPr>
            </w:pPr>
            <w:r w:rsidRPr="003F7F6C">
              <w:rPr>
                <w:rFonts w:asciiTheme="minorHAnsi" w:eastAsia="Times New Roman" w:hAnsiTheme="minorHAnsi"/>
                <w:b/>
                <w:bCs/>
                <w:color w:val="000000"/>
                <w:sz w:val="18"/>
                <w:szCs w:val="18"/>
              </w:rPr>
              <w:t>Year 4</w:t>
            </w:r>
          </w:p>
        </w:tc>
        <w:tc>
          <w:tcPr>
            <w:tcW w:w="990" w:type="dxa"/>
            <w:vAlign w:val="center"/>
            <w:hideMark/>
          </w:tcPr>
          <w:p w14:paraId="0E873B41" w14:textId="77777777" w:rsidR="002946EA" w:rsidRPr="003F7F6C" w:rsidRDefault="002946EA" w:rsidP="002946EA">
            <w:pPr>
              <w:spacing w:after="0"/>
              <w:ind w:left="-144" w:right="-144"/>
              <w:jc w:val="center"/>
              <w:rPr>
                <w:rFonts w:asciiTheme="minorHAnsi" w:eastAsia="Times New Roman" w:hAnsiTheme="minorHAnsi"/>
                <w:b/>
                <w:bCs/>
                <w:color w:val="000000"/>
                <w:sz w:val="18"/>
                <w:szCs w:val="18"/>
              </w:rPr>
            </w:pPr>
            <w:r w:rsidRPr="003F7F6C">
              <w:rPr>
                <w:rFonts w:asciiTheme="minorHAnsi" w:eastAsia="Times New Roman" w:hAnsiTheme="minorHAnsi"/>
                <w:b/>
                <w:bCs/>
                <w:color w:val="000000"/>
                <w:sz w:val="18"/>
                <w:szCs w:val="18"/>
              </w:rPr>
              <w:t xml:space="preserve">Amount </w:t>
            </w:r>
          </w:p>
          <w:p w14:paraId="74F8E34F" w14:textId="77777777" w:rsidR="002946EA" w:rsidRPr="003F7F6C" w:rsidRDefault="002946EA" w:rsidP="002946EA">
            <w:pPr>
              <w:spacing w:after="0"/>
              <w:ind w:left="-144" w:right="-144"/>
              <w:jc w:val="center"/>
              <w:rPr>
                <w:rFonts w:asciiTheme="minorHAnsi" w:eastAsia="Times New Roman" w:hAnsiTheme="minorHAnsi"/>
                <w:b/>
                <w:bCs/>
                <w:color w:val="000000"/>
                <w:sz w:val="18"/>
                <w:szCs w:val="18"/>
              </w:rPr>
            </w:pPr>
            <w:r w:rsidRPr="003F7F6C">
              <w:rPr>
                <w:rFonts w:asciiTheme="minorHAnsi" w:eastAsia="Times New Roman" w:hAnsiTheme="minorHAnsi"/>
                <w:b/>
                <w:bCs/>
                <w:color w:val="000000"/>
                <w:sz w:val="18"/>
                <w:szCs w:val="18"/>
              </w:rPr>
              <w:t>Year 5</w:t>
            </w:r>
          </w:p>
        </w:tc>
        <w:tc>
          <w:tcPr>
            <w:tcW w:w="990" w:type="dxa"/>
            <w:vAlign w:val="center"/>
            <w:hideMark/>
          </w:tcPr>
          <w:p w14:paraId="0B353E78" w14:textId="77777777" w:rsidR="002946EA" w:rsidRPr="003F7F6C" w:rsidRDefault="002946EA" w:rsidP="002946EA">
            <w:pPr>
              <w:spacing w:after="0"/>
              <w:ind w:left="-144" w:right="-144"/>
              <w:jc w:val="center"/>
              <w:rPr>
                <w:rFonts w:asciiTheme="minorHAnsi" w:eastAsia="Times New Roman" w:hAnsiTheme="minorHAnsi"/>
                <w:b/>
                <w:bCs/>
                <w:color w:val="000000"/>
                <w:sz w:val="18"/>
                <w:szCs w:val="18"/>
              </w:rPr>
            </w:pPr>
            <w:r w:rsidRPr="003F7F6C">
              <w:rPr>
                <w:rFonts w:asciiTheme="minorHAnsi" w:eastAsia="Times New Roman" w:hAnsiTheme="minorHAnsi"/>
                <w:b/>
                <w:bCs/>
                <w:color w:val="000000"/>
                <w:sz w:val="18"/>
                <w:szCs w:val="18"/>
              </w:rPr>
              <w:t xml:space="preserve">Amount </w:t>
            </w:r>
          </w:p>
          <w:p w14:paraId="14AA434F" w14:textId="77777777" w:rsidR="002946EA" w:rsidRPr="003F7F6C" w:rsidRDefault="002946EA" w:rsidP="002946EA">
            <w:pPr>
              <w:spacing w:after="0"/>
              <w:ind w:left="-144" w:right="-144"/>
              <w:jc w:val="center"/>
              <w:rPr>
                <w:rFonts w:asciiTheme="minorHAnsi" w:eastAsia="Times New Roman" w:hAnsiTheme="minorHAnsi"/>
                <w:b/>
                <w:bCs/>
                <w:color w:val="000000"/>
                <w:sz w:val="18"/>
                <w:szCs w:val="18"/>
              </w:rPr>
            </w:pPr>
            <w:r w:rsidRPr="003F7F6C">
              <w:rPr>
                <w:rFonts w:asciiTheme="minorHAnsi" w:eastAsia="Times New Roman" w:hAnsiTheme="minorHAnsi"/>
                <w:b/>
                <w:bCs/>
                <w:color w:val="000000"/>
                <w:sz w:val="18"/>
                <w:szCs w:val="18"/>
              </w:rPr>
              <w:t xml:space="preserve">Year 6 </w:t>
            </w:r>
          </w:p>
        </w:tc>
        <w:tc>
          <w:tcPr>
            <w:tcW w:w="990" w:type="dxa"/>
            <w:noWrap/>
            <w:vAlign w:val="center"/>
            <w:hideMark/>
          </w:tcPr>
          <w:p w14:paraId="62E4ECA3" w14:textId="77777777" w:rsidR="002946EA" w:rsidRPr="003F7F6C" w:rsidRDefault="002946EA" w:rsidP="002946EA">
            <w:pPr>
              <w:spacing w:after="0"/>
              <w:ind w:left="-144" w:right="-144"/>
              <w:jc w:val="center"/>
              <w:rPr>
                <w:rFonts w:asciiTheme="minorHAnsi" w:eastAsia="Times New Roman" w:hAnsiTheme="minorHAnsi"/>
                <w:b/>
                <w:bCs/>
                <w:color w:val="000000"/>
                <w:sz w:val="18"/>
                <w:szCs w:val="18"/>
              </w:rPr>
            </w:pPr>
            <w:r w:rsidRPr="003F7F6C">
              <w:rPr>
                <w:rFonts w:asciiTheme="minorHAnsi" w:eastAsia="Times New Roman" w:hAnsiTheme="minorHAnsi"/>
                <w:b/>
                <w:bCs/>
                <w:color w:val="000000"/>
                <w:sz w:val="18"/>
                <w:szCs w:val="18"/>
              </w:rPr>
              <w:t xml:space="preserve">Total </w:t>
            </w:r>
          </w:p>
        </w:tc>
        <w:tc>
          <w:tcPr>
            <w:tcW w:w="630" w:type="dxa"/>
            <w:vAlign w:val="center"/>
            <w:hideMark/>
          </w:tcPr>
          <w:p w14:paraId="0357193D" w14:textId="77777777" w:rsidR="002946EA" w:rsidRPr="003F7F6C" w:rsidRDefault="002946EA" w:rsidP="002946EA">
            <w:pPr>
              <w:spacing w:after="0"/>
              <w:ind w:left="-144" w:right="-144"/>
              <w:jc w:val="center"/>
              <w:rPr>
                <w:rFonts w:asciiTheme="minorHAnsi" w:eastAsia="Times New Roman" w:hAnsiTheme="minorHAnsi"/>
                <w:b/>
                <w:bCs/>
                <w:color w:val="000000"/>
                <w:sz w:val="18"/>
                <w:szCs w:val="18"/>
              </w:rPr>
            </w:pPr>
            <w:r w:rsidRPr="003F7F6C">
              <w:rPr>
                <w:rFonts w:asciiTheme="minorHAnsi" w:eastAsia="Times New Roman" w:hAnsiTheme="minorHAnsi"/>
                <w:b/>
                <w:bCs/>
                <w:color w:val="000000"/>
                <w:sz w:val="18"/>
                <w:szCs w:val="18"/>
              </w:rPr>
              <w:t>Budget Note:</w:t>
            </w:r>
          </w:p>
        </w:tc>
      </w:tr>
      <w:tr w:rsidR="002946EA" w:rsidRPr="003F7F6C" w14:paraId="7AC0C56B" w14:textId="77777777" w:rsidTr="00826EE8">
        <w:tc>
          <w:tcPr>
            <w:tcW w:w="1255" w:type="dxa"/>
            <w:vMerge w:val="restart"/>
            <w:vAlign w:val="center"/>
          </w:tcPr>
          <w:p w14:paraId="4143B881" w14:textId="77777777" w:rsidR="002946EA" w:rsidRPr="003F7F6C" w:rsidRDefault="002946EA" w:rsidP="002946EA">
            <w:pPr>
              <w:spacing w:after="0"/>
              <w:jc w:val="lef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rPr>
              <w:t>Outcome 1:</w:t>
            </w:r>
          </w:p>
        </w:tc>
        <w:tc>
          <w:tcPr>
            <w:tcW w:w="630" w:type="dxa"/>
            <w:shd w:val="clear" w:color="auto" w:fill="auto"/>
            <w:vAlign w:val="center"/>
          </w:tcPr>
          <w:p w14:paraId="5E09F6E4" w14:textId="77777777" w:rsidR="002946EA" w:rsidRPr="003F7F6C" w:rsidRDefault="002946EA" w:rsidP="002946EA">
            <w:pPr>
              <w:spacing w:after="0"/>
              <w:ind w:left="-144" w:right="-144"/>
              <w:jc w:val="center"/>
              <w:rPr>
                <w:rFonts w:asciiTheme="minorHAnsi" w:eastAsia="Times New Roman" w:hAnsiTheme="minorHAnsi"/>
                <w:color w:val="000000"/>
                <w:sz w:val="18"/>
                <w:szCs w:val="18"/>
              </w:rPr>
            </w:pPr>
            <w:r w:rsidRPr="003F7F6C">
              <w:rPr>
                <w:bCs/>
                <w:color w:val="000000"/>
                <w:sz w:val="18"/>
                <w:szCs w:val="18"/>
                <w:lang w:val="es-PY"/>
              </w:rPr>
              <w:t>SGAyDS</w:t>
            </w:r>
          </w:p>
        </w:tc>
        <w:tc>
          <w:tcPr>
            <w:tcW w:w="720" w:type="dxa"/>
            <w:shd w:val="clear" w:color="auto" w:fill="auto"/>
            <w:noWrap/>
            <w:vAlign w:val="center"/>
          </w:tcPr>
          <w:p w14:paraId="3F51745A"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62000</w:t>
            </w:r>
          </w:p>
        </w:tc>
        <w:tc>
          <w:tcPr>
            <w:tcW w:w="540" w:type="dxa"/>
            <w:shd w:val="clear" w:color="auto" w:fill="auto"/>
            <w:noWrap/>
            <w:vAlign w:val="center"/>
          </w:tcPr>
          <w:p w14:paraId="32E96D46"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GEF</w:t>
            </w:r>
          </w:p>
        </w:tc>
        <w:tc>
          <w:tcPr>
            <w:tcW w:w="720" w:type="dxa"/>
            <w:shd w:val="clear" w:color="auto" w:fill="auto"/>
            <w:noWrap/>
            <w:vAlign w:val="center"/>
          </w:tcPr>
          <w:p w14:paraId="4011E255"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71300</w:t>
            </w:r>
          </w:p>
        </w:tc>
        <w:tc>
          <w:tcPr>
            <w:tcW w:w="2160" w:type="dxa"/>
            <w:shd w:val="clear" w:color="auto" w:fill="auto"/>
            <w:vAlign w:val="center"/>
          </w:tcPr>
          <w:p w14:paraId="0924B0CC"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Local Consultants</w:t>
            </w:r>
          </w:p>
        </w:tc>
        <w:tc>
          <w:tcPr>
            <w:tcW w:w="900" w:type="dxa"/>
            <w:shd w:val="clear" w:color="auto" w:fill="auto"/>
            <w:noWrap/>
            <w:vAlign w:val="center"/>
          </w:tcPr>
          <w:p w14:paraId="5F9F3462"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12,000</w:t>
            </w:r>
          </w:p>
        </w:tc>
        <w:tc>
          <w:tcPr>
            <w:tcW w:w="990" w:type="dxa"/>
            <w:shd w:val="clear" w:color="auto" w:fill="auto"/>
            <w:noWrap/>
            <w:vAlign w:val="center"/>
          </w:tcPr>
          <w:p w14:paraId="79A98F3B"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12,000</w:t>
            </w:r>
          </w:p>
        </w:tc>
        <w:tc>
          <w:tcPr>
            <w:tcW w:w="990" w:type="dxa"/>
            <w:shd w:val="clear" w:color="auto" w:fill="auto"/>
            <w:noWrap/>
            <w:vAlign w:val="center"/>
          </w:tcPr>
          <w:p w14:paraId="78E8BF65"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12,000</w:t>
            </w:r>
          </w:p>
        </w:tc>
        <w:tc>
          <w:tcPr>
            <w:tcW w:w="990" w:type="dxa"/>
            <w:shd w:val="clear" w:color="auto" w:fill="auto"/>
            <w:noWrap/>
            <w:vAlign w:val="center"/>
          </w:tcPr>
          <w:p w14:paraId="1403745D"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12,000</w:t>
            </w:r>
          </w:p>
        </w:tc>
        <w:tc>
          <w:tcPr>
            <w:tcW w:w="990" w:type="dxa"/>
            <w:shd w:val="clear" w:color="auto" w:fill="auto"/>
            <w:noWrap/>
            <w:vAlign w:val="center"/>
          </w:tcPr>
          <w:p w14:paraId="6393D233"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 xml:space="preserve">- </w:t>
            </w:r>
          </w:p>
        </w:tc>
        <w:tc>
          <w:tcPr>
            <w:tcW w:w="990" w:type="dxa"/>
            <w:shd w:val="clear" w:color="auto" w:fill="auto"/>
            <w:noWrap/>
            <w:vAlign w:val="center"/>
          </w:tcPr>
          <w:p w14:paraId="38F3D422"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w:t>
            </w:r>
          </w:p>
        </w:tc>
        <w:tc>
          <w:tcPr>
            <w:tcW w:w="990" w:type="dxa"/>
            <w:shd w:val="clear" w:color="auto" w:fill="auto"/>
            <w:noWrap/>
            <w:vAlign w:val="center"/>
          </w:tcPr>
          <w:p w14:paraId="7D1DDB83"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48,000</w:t>
            </w:r>
          </w:p>
        </w:tc>
        <w:tc>
          <w:tcPr>
            <w:tcW w:w="630" w:type="dxa"/>
            <w:shd w:val="clear" w:color="auto" w:fill="auto"/>
            <w:noWrap/>
            <w:vAlign w:val="center"/>
          </w:tcPr>
          <w:p w14:paraId="7D7B3582" w14:textId="77777777" w:rsidR="002946EA" w:rsidRPr="003F7F6C" w:rsidRDefault="002946EA" w:rsidP="002946EA">
            <w:pPr>
              <w:spacing w:after="0"/>
              <w:jc w:val="center"/>
              <w:rPr>
                <w:rFonts w:asciiTheme="minorHAnsi" w:eastAsia="Times New Roman" w:hAnsiTheme="minorHAnsi"/>
                <w:color w:val="000000"/>
                <w:sz w:val="18"/>
                <w:szCs w:val="18"/>
              </w:rPr>
            </w:pPr>
            <w:r w:rsidRPr="003F7F6C">
              <w:rPr>
                <w:rFonts w:asciiTheme="minorHAnsi" w:eastAsia="Times New Roman" w:hAnsiTheme="minorHAnsi"/>
                <w:iCs/>
                <w:color w:val="000000"/>
                <w:sz w:val="18"/>
                <w:szCs w:val="18"/>
                <w:lang w:val="es-PY"/>
              </w:rPr>
              <w:t>1</w:t>
            </w:r>
          </w:p>
        </w:tc>
      </w:tr>
      <w:tr w:rsidR="002946EA" w:rsidRPr="003F7F6C" w14:paraId="2E83ED6E" w14:textId="77777777" w:rsidTr="00826EE8">
        <w:tc>
          <w:tcPr>
            <w:tcW w:w="1255" w:type="dxa"/>
            <w:vMerge/>
          </w:tcPr>
          <w:p w14:paraId="50628A30" w14:textId="77777777" w:rsidR="002946EA" w:rsidRPr="003F7F6C" w:rsidRDefault="002946EA" w:rsidP="002946EA">
            <w:pPr>
              <w:spacing w:after="0"/>
              <w:rPr>
                <w:rFonts w:asciiTheme="minorHAnsi" w:eastAsia="Times New Roman" w:hAnsiTheme="minorHAnsi"/>
                <w:color w:val="000000"/>
                <w:sz w:val="18"/>
                <w:szCs w:val="18"/>
              </w:rPr>
            </w:pPr>
          </w:p>
        </w:tc>
        <w:tc>
          <w:tcPr>
            <w:tcW w:w="630" w:type="dxa"/>
            <w:shd w:val="clear" w:color="auto" w:fill="auto"/>
            <w:vAlign w:val="center"/>
          </w:tcPr>
          <w:p w14:paraId="6F5C3810" w14:textId="77777777" w:rsidR="002946EA" w:rsidRPr="003F7F6C" w:rsidRDefault="002946EA" w:rsidP="002946EA">
            <w:pPr>
              <w:spacing w:after="0"/>
              <w:ind w:left="-144" w:right="-144"/>
              <w:jc w:val="center"/>
              <w:rPr>
                <w:rFonts w:asciiTheme="minorHAnsi" w:eastAsia="Times New Roman" w:hAnsiTheme="minorHAnsi"/>
                <w:color w:val="000000"/>
                <w:sz w:val="18"/>
                <w:szCs w:val="18"/>
              </w:rPr>
            </w:pPr>
            <w:r w:rsidRPr="003F7F6C">
              <w:rPr>
                <w:bCs/>
                <w:color w:val="000000"/>
                <w:sz w:val="18"/>
                <w:szCs w:val="18"/>
                <w:lang w:val="es-PY"/>
              </w:rPr>
              <w:t>SGAyDS</w:t>
            </w:r>
          </w:p>
        </w:tc>
        <w:tc>
          <w:tcPr>
            <w:tcW w:w="720" w:type="dxa"/>
            <w:shd w:val="clear" w:color="auto" w:fill="auto"/>
            <w:noWrap/>
            <w:vAlign w:val="center"/>
          </w:tcPr>
          <w:p w14:paraId="3FDFBBD8"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62000</w:t>
            </w:r>
          </w:p>
        </w:tc>
        <w:tc>
          <w:tcPr>
            <w:tcW w:w="540" w:type="dxa"/>
            <w:shd w:val="clear" w:color="auto" w:fill="auto"/>
            <w:noWrap/>
            <w:vAlign w:val="center"/>
          </w:tcPr>
          <w:p w14:paraId="05361507"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GEF</w:t>
            </w:r>
          </w:p>
        </w:tc>
        <w:tc>
          <w:tcPr>
            <w:tcW w:w="720" w:type="dxa"/>
            <w:shd w:val="clear" w:color="auto" w:fill="auto"/>
            <w:noWrap/>
            <w:vAlign w:val="center"/>
          </w:tcPr>
          <w:p w14:paraId="06D172EE"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71400</w:t>
            </w:r>
          </w:p>
        </w:tc>
        <w:tc>
          <w:tcPr>
            <w:tcW w:w="2160" w:type="dxa"/>
            <w:shd w:val="clear" w:color="auto" w:fill="auto"/>
            <w:vAlign w:val="center"/>
          </w:tcPr>
          <w:p w14:paraId="2C32CF95"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Contractual Servicies - Individ</w:t>
            </w:r>
          </w:p>
        </w:tc>
        <w:tc>
          <w:tcPr>
            <w:tcW w:w="900" w:type="dxa"/>
            <w:shd w:val="clear" w:color="auto" w:fill="auto"/>
            <w:noWrap/>
            <w:vAlign w:val="center"/>
          </w:tcPr>
          <w:p w14:paraId="345246AB"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34,617</w:t>
            </w:r>
          </w:p>
        </w:tc>
        <w:tc>
          <w:tcPr>
            <w:tcW w:w="990" w:type="dxa"/>
            <w:shd w:val="clear" w:color="auto" w:fill="auto"/>
            <w:noWrap/>
            <w:vAlign w:val="center"/>
          </w:tcPr>
          <w:p w14:paraId="536DE928"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34,617</w:t>
            </w:r>
          </w:p>
        </w:tc>
        <w:tc>
          <w:tcPr>
            <w:tcW w:w="990" w:type="dxa"/>
            <w:shd w:val="clear" w:color="auto" w:fill="auto"/>
            <w:noWrap/>
            <w:vAlign w:val="center"/>
          </w:tcPr>
          <w:p w14:paraId="3A9697F8"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34,617</w:t>
            </w:r>
          </w:p>
        </w:tc>
        <w:tc>
          <w:tcPr>
            <w:tcW w:w="990" w:type="dxa"/>
            <w:shd w:val="clear" w:color="auto" w:fill="auto"/>
            <w:noWrap/>
            <w:vAlign w:val="center"/>
          </w:tcPr>
          <w:p w14:paraId="3E50E946"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22,617</w:t>
            </w:r>
          </w:p>
        </w:tc>
        <w:tc>
          <w:tcPr>
            <w:tcW w:w="990" w:type="dxa"/>
            <w:shd w:val="clear" w:color="auto" w:fill="auto"/>
            <w:noWrap/>
            <w:vAlign w:val="center"/>
          </w:tcPr>
          <w:p w14:paraId="4111F6A6"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22,618</w:t>
            </w:r>
          </w:p>
        </w:tc>
        <w:tc>
          <w:tcPr>
            <w:tcW w:w="990" w:type="dxa"/>
            <w:shd w:val="clear" w:color="auto" w:fill="auto"/>
            <w:noWrap/>
            <w:vAlign w:val="center"/>
          </w:tcPr>
          <w:p w14:paraId="69301E6F"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22,618</w:t>
            </w:r>
          </w:p>
        </w:tc>
        <w:tc>
          <w:tcPr>
            <w:tcW w:w="990" w:type="dxa"/>
            <w:shd w:val="clear" w:color="auto" w:fill="auto"/>
            <w:noWrap/>
            <w:vAlign w:val="center"/>
          </w:tcPr>
          <w:p w14:paraId="760C8A3F"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171,704</w:t>
            </w:r>
          </w:p>
        </w:tc>
        <w:tc>
          <w:tcPr>
            <w:tcW w:w="630" w:type="dxa"/>
            <w:shd w:val="clear" w:color="auto" w:fill="auto"/>
            <w:noWrap/>
            <w:vAlign w:val="center"/>
          </w:tcPr>
          <w:p w14:paraId="5A2091BD" w14:textId="77777777" w:rsidR="002946EA" w:rsidRPr="003F7F6C" w:rsidRDefault="002946EA" w:rsidP="002946EA">
            <w:pPr>
              <w:spacing w:after="0"/>
              <w:jc w:val="center"/>
              <w:rPr>
                <w:rFonts w:asciiTheme="minorHAnsi" w:eastAsia="Times New Roman" w:hAnsiTheme="minorHAnsi"/>
                <w:color w:val="000000"/>
                <w:sz w:val="18"/>
                <w:szCs w:val="18"/>
              </w:rPr>
            </w:pPr>
            <w:r w:rsidRPr="003F7F6C">
              <w:rPr>
                <w:rFonts w:asciiTheme="minorHAnsi" w:eastAsia="Times New Roman" w:hAnsiTheme="minorHAnsi"/>
                <w:iCs/>
                <w:color w:val="000000"/>
                <w:sz w:val="18"/>
                <w:szCs w:val="18"/>
                <w:lang w:val="es-PY"/>
              </w:rPr>
              <w:t>2</w:t>
            </w:r>
          </w:p>
        </w:tc>
      </w:tr>
      <w:tr w:rsidR="002946EA" w:rsidRPr="003F7F6C" w14:paraId="18A33926" w14:textId="77777777" w:rsidTr="00826EE8">
        <w:tc>
          <w:tcPr>
            <w:tcW w:w="1255" w:type="dxa"/>
            <w:vMerge/>
          </w:tcPr>
          <w:p w14:paraId="163872C6" w14:textId="77777777" w:rsidR="002946EA" w:rsidRPr="003F7F6C" w:rsidRDefault="002946EA" w:rsidP="002946EA">
            <w:pPr>
              <w:spacing w:after="0"/>
              <w:rPr>
                <w:rFonts w:asciiTheme="minorHAnsi" w:eastAsia="Times New Roman" w:hAnsiTheme="minorHAnsi"/>
                <w:color w:val="000000"/>
                <w:sz w:val="18"/>
                <w:szCs w:val="18"/>
              </w:rPr>
            </w:pPr>
          </w:p>
        </w:tc>
        <w:tc>
          <w:tcPr>
            <w:tcW w:w="630" w:type="dxa"/>
            <w:shd w:val="clear" w:color="auto" w:fill="auto"/>
            <w:vAlign w:val="center"/>
          </w:tcPr>
          <w:p w14:paraId="0E97D94B" w14:textId="77777777" w:rsidR="002946EA" w:rsidRPr="003F7F6C" w:rsidRDefault="002946EA" w:rsidP="002946EA">
            <w:pPr>
              <w:spacing w:after="0"/>
              <w:ind w:left="-144" w:right="-144"/>
              <w:jc w:val="center"/>
              <w:rPr>
                <w:rFonts w:asciiTheme="minorHAnsi" w:eastAsia="Times New Roman" w:hAnsiTheme="minorHAnsi"/>
                <w:color w:val="000000"/>
                <w:sz w:val="18"/>
                <w:szCs w:val="18"/>
              </w:rPr>
            </w:pPr>
            <w:r w:rsidRPr="003F7F6C">
              <w:rPr>
                <w:bCs/>
                <w:color w:val="000000"/>
                <w:sz w:val="18"/>
                <w:szCs w:val="18"/>
                <w:lang w:val="es-PY"/>
              </w:rPr>
              <w:t>SGAyDS</w:t>
            </w:r>
          </w:p>
        </w:tc>
        <w:tc>
          <w:tcPr>
            <w:tcW w:w="720" w:type="dxa"/>
            <w:shd w:val="clear" w:color="auto" w:fill="auto"/>
            <w:noWrap/>
            <w:vAlign w:val="center"/>
          </w:tcPr>
          <w:p w14:paraId="7277D109"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62000</w:t>
            </w:r>
          </w:p>
        </w:tc>
        <w:tc>
          <w:tcPr>
            <w:tcW w:w="540" w:type="dxa"/>
            <w:shd w:val="clear" w:color="auto" w:fill="auto"/>
            <w:noWrap/>
            <w:vAlign w:val="center"/>
          </w:tcPr>
          <w:p w14:paraId="799B2859"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GEF</w:t>
            </w:r>
          </w:p>
        </w:tc>
        <w:tc>
          <w:tcPr>
            <w:tcW w:w="720" w:type="dxa"/>
            <w:shd w:val="clear" w:color="auto" w:fill="auto"/>
            <w:noWrap/>
            <w:vAlign w:val="center"/>
          </w:tcPr>
          <w:p w14:paraId="5067D5B1"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71600</w:t>
            </w:r>
          </w:p>
        </w:tc>
        <w:tc>
          <w:tcPr>
            <w:tcW w:w="2160" w:type="dxa"/>
            <w:shd w:val="clear" w:color="auto" w:fill="auto"/>
            <w:vAlign w:val="center"/>
          </w:tcPr>
          <w:p w14:paraId="3A7DCEC7"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Travel</w:t>
            </w:r>
          </w:p>
        </w:tc>
        <w:tc>
          <w:tcPr>
            <w:tcW w:w="900" w:type="dxa"/>
            <w:shd w:val="clear" w:color="auto" w:fill="auto"/>
            <w:noWrap/>
            <w:vAlign w:val="center"/>
          </w:tcPr>
          <w:p w14:paraId="07727C37"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73,759</w:t>
            </w:r>
          </w:p>
        </w:tc>
        <w:tc>
          <w:tcPr>
            <w:tcW w:w="990" w:type="dxa"/>
            <w:shd w:val="clear" w:color="auto" w:fill="auto"/>
            <w:noWrap/>
            <w:vAlign w:val="center"/>
          </w:tcPr>
          <w:p w14:paraId="4E140E3D"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73,759</w:t>
            </w:r>
          </w:p>
        </w:tc>
        <w:tc>
          <w:tcPr>
            <w:tcW w:w="990" w:type="dxa"/>
            <w:shd w:val="clear" w:color="auto" w:fill="auto"/>
            <w:noWrap/>
            <w:vAlign w:val="center"/>
          </w:tcPr>
          <w:p w14:paraId="72732634"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61,260</w:t>
            </w:r>
          </w:p>
        </w:tc>
        <w:tc>
          <w:tcPr>
            <w:tcW w:w="990" w:type="dxa"/>
            <w:shd w:val="clear" w:color="auto" w:fill="auto"/>
            <w:noWrap/>
            <w:vAlign w:val="center"/>
          </w:tcPr>
          <w:p w14:paraId="468D963F"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67,927</w:t>
            </w:r>
          </w:p>
        </w:tc>
        <w:tc>
          <w:tcPr>
            <w:tcW w:w="990" w:type="dxa"/>
            <w:shd w:val="clear" w:color="auto" w:fill="auto"/>
            <w:noWrap/>
            <w:vAlign w:val="center"/>
          </w:tcPr>
          <w:p w14:paraId="40C9C461"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67,928</w:t>
            </w:r>
          </w:p>
        </w:tc>
        <w:tc>
          <w:tcPr>
            <w:tcW w:w="990" w:type="dxa"/>
            <w:shd w:val="clear" w:color="auto" w:fill="auto"/>
            <w:noWrap/>
            <w:vAlign w:val="center"/>
          </w:tcPr>
          <w:p w14:paraId="177FA0BF"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67,927</w:t>
            </w:r>
          </w:p>
        </w:tc>
        <w:tc>
          <w:tcPr>
            <w:tcW w:w="990" w:type="dxa"/>
            <w:shd w:val="clear" w:color="auto" w:fill="auto"/>
            <w:noWrap/>
            <w:vAlign w:val="center"/>
          </w:tcPr>
          <w:p w14:paraId="16467B42"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412,560</w:t>
            </w:r>
          </w:p>
        </w:tc>
        <w:tc>
          <w:tcPr>
            <w:tcW w:w="630" w:type="dxa"/>
            <w:shd w:val="clear" w:color="auto" w:fill="auto"/>
            <w:noWrap/>
            <w:vAlign w:val="center"/>
          </w:tcPr>
          <w:p w14:paraId="28F34B79" w14:textId="77777777" w:rsidR="002946EA" w:rsidRPr="003F7F6C" w:rsidRDefault="002946EA" w:rsidP="002946EA">
            <w:pPr>
              <w:spacing w:after="0"/>
              <w:jc w:val="center"/>
              <w:rPr>
                <w:rFonts w:asciiTheme="minorHAnsi" w:eastAsia="Times New Roman" w:hAnsiTheme="minorHAnsi"/>
                <w:color w:val="000000"/>
                <w:sz w:val="18"/>
                <w:szCs w:val="18"/>
              </w:rPr>
            </w:pPr>
            <w:r w:rsidRPr="003F7F6C">
              <w:rPr>
                <w:rFonts w:asciiTheme="minorHAnsi" w:eastAsia="Times New Roman" w:hAnsiTheme="minorHAnsi"/>
                <w:iCs/>
                <w:color w:val="000000"/>
                <w:sz w:val="18"/>
                <w:szCs w:val="18"/>
                <w:lang w:val="es-PY"/>
              </w:rPr>
              <w:t>3</w:t>
            </w:r>
          </w:p>
        </w:tc>
      </w:tr>
      <w:tr w:rsidR="002946EA" w:rsidRPr="003F7F6C" w14:paraId="0233A515" w14:textId="77777777" w:rsidTr="00826EE8">
        <w:tc>
          <w:tcPr>
            <w:tcW w:w="1255" w:type="dxa"/>
            <w:vMerge/>
          </w:tcPr>
          <w:p w14:paraId="48D438A0" w14:textId="77777777" w:rsidR="002946EA" w:rsidRPr="003F7F6C" w:rsidRDefault="002946EA" w:rsidP="002946EA">
            <w:pPr>
              <w:spacing w:after="0"/>
              <w:rPr>
                <w:rFonts w:asciiTheme="minorHAnsi" w:eastAsia="Times New Roman" w:hAnsiTheme="minorHAnsi"/>
                <w:color w:val="000000"/>
                <w:sz w:val="18"/>
                <w:szCs w:val="18"/>
              </w:rPr>
            </w:pPr>
          </w:p>
        </w:tc>
        <w:tc>
          <w:tcPr>
            <w:tcW w:w="630" w:type="dxa"/>
            <w:shd w:val="clear" w:color="auto" w:fill="auto"/>
            <w:vAlign w:val="center"/>
          </w:tcPr>
          <w:p w14:paraId="108D3974" w14:textId="77777777" w:rsidR="002946EA" w:rsidRPr="003F7F6C" w:rsidRDefault="002946EA" w:rsidP="002946EA">
            <w:pPr>
              <w:spacing w:after="0"/>
              <w:ind w:left="-144" w:right="-144"/>
              <w:jc w:val="center"/>
              <w:rPr>
                <w:rFonts w:asciiTheme="minorHAnsi" w:eastAsia="Times New Roman" w:hAnsiTheme="minorHAnsi"/>
                <w:color w:val="000000"/>
                <w:sz w:val="18"/>
                <w:szCs w:val="18"/>
              </w:rPr>
            </w:pPr>
            <w:r w:rsidRPr="003F7F6C">
              <w:rPr>
                <w:bCs/>
                <w:color w:val="000000"/>
                <w:sz w:val="18"/>
                <w:szCs w:val="18"/>
                <w:lang w:val="es-PY"/>
              </w:rPr>
              <w:t>SGAyDS</w:t>
            </w:r>
          </w:p>
        </w:tc>
        <w:tc>
          <w:tcPr>
            <w:tcW w:w="720" w:type="dxa"/>
            <w:shd w:val="clear" w:color="auto" w:fill="auto"/>
            <w:noWrap/>
            <w:vAlign w:val="center"/>
          </w:tcPr>
          <w:p w14:paraId="14E1DD20"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62000</w:t>
            </w:r>
          </w:p>
        </w:tc>
        <w:tc>
          <w:tcPr>
            <w:tcW w:w="540" w:type="dxa"/>
            <w:shd w:val="clear" w:color="auto" w:fill="auto"/>
            <w:noWrap/>
            <w:vAlign w:val="center"/>
          </w:tcPr>
          <w:p w14:paraId="37ECE121"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GEF</w:t>
            </w:r>
          </w:p>
        </w:tc>
        <w:tc>
          <w:tcPr>
            <w:tcW w:w="720" w:type="dxa"/>
            <w:shd w:val="clear" w:color="auto" w:fill="auto"/>
            <w:noWrap/>
            <w:vAlign w:val="center"/>
          </w:tcPr>
          <w:p w14:paraId="158573ED"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72200</w:t>
            </w:r>
          </w:p>
        </w:tc>
        <w:tc>
          <w:tcPr>
            <w:tcW w:w="2160" w:type="dxa"/>
            <w:shd w:val="clear" w:color="auto" w:fill="auto"/>
            <w:vAlign w:val="center"/>
          </w:tcPr>
          <w:p w14:paraId="3BBD02C5"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Equipment and Furniture</w:t>
            </w:r>
          </w:p>
        </w:tc>
        <w:tc>
          <w:tcPr>
            <w:tcW w:w="900" w:type="dxa"/>
            <w:shd w:val="clear" w:color="auto" w:fill="auto"/>
            <w:noWrap/>
            <w:vAlign w:val="center"/>
          </w:tcPr>
          <w:p w14:paraId="5D2017D5"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75,000</w:t>
            </w:r>
          </w:p>
        </w:tc>
        <w:tc>
          <w:tcPr>
            <w:tcW w:w="990" w:type="dxa"/>
            <w:shd w:val="clear" w:color="auto" w:fill="auto"/>
            <w:noWrap/>
            <w:vAlign w:val="center"/>
          </w:tcPr>
          <w:p w14:paraId="333F1F2C"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 xml:space="preserve">- </w:t>
            </w:r>
          </w:p>
        </w:tc>
        <w:tc>
          <w:tcPr>
            <w:tcW w:w="990" w:type="dxa"/>
            <w:shd w:val="clear" w:color="auto" w:fill="auto"/>
            <w:noWrap/>
            <w:vAlign w:val="center"/>
          </w:tcPr>
          <w:p w14:paraId="179B97D4"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 xml:space="preserve">- </w:t>
            </w:r>
          </w:p>
        </w:tc>
        <w:tc>
          <w:tcPr>
            <w:tcW w:w="990" w:type="dxa"/>
            <w:shd w:val="clear" w:color="auto" w:fill="auto"/>
            <w:noWrap/>
            <w:vAlign w:val="center"/>
          </w:tcPr>
          <w:p w14:paraId="471C6660"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 xml:space="preserve">- </w:t>
            </w:r>
          </w:p>
        </w:tc>
        <w:tc>
          <w:tcPr>
            <w:tcW w:w="990" w:type="dxa"/>
            <w:shd w:val="clear" w:color="auto" w:fill="auto"/>
            <w:noWrap/>
            <w:vAlign w:val="center"/>
          </w:tcPr>
          <w:p w14:paraId="279039DB"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 xml:space="preserve">- </w:t>
            </w:r>
          </w:p>
        </w:tc>
        <w:tc>
          <w:tcPr>
            <w:tcW w:w="990" w:type="dxa"/>
            <w:shd w:val="clear" w:color="auto" w:fill="auto"/>
            <w:noWrap/>
            <w:vAlign w:val="center"/>
          </w:tcPr>
          <w:p w14:paraId="63085D40"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 xml:space="preserve">- </w:t>
            </w:r>
          </w:p>
        </w:tc>
        <w:tc>
          <w:tcPr>
            <w:tcW w:w="990" w:type="dxa"/>
            <w:shd w:val="clear" w:color="auto" w:fill="auto"/>
            <w:noWrap/>
            <w:vAlign w:val="center"/>
          </w:tcPr>
          <w:p w14:paraId="52EE4028"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75,000</w:t>
            </w:r>
          </w:p>
        </w:tc>
        <w:tc>
          <w:tcPr>
            <w:tcW w:w="630" w:type="dxa"/>
            <w:shd w:val="clear" w:color="auto" w:fill="auto"/>
            <w:noWrap/>
            <w:vAlign w:val="center"/>
          </w:tcPr>
          <w:p w14:paraId="19202B8E" w14:textId="77777777" w:rsidR="002946EA" w:rsidRPr="003F7F6C" w:rsidRDefault="002946EA" w:rsidP="002946EA">
            <w:pPr>
              <w:spacing w:after="0"/>
              <w:jc w:val="center"/>
              <w:rPr>
                <w:rFonts w:asciiTheme="minorHAnsi" w:eastAsia="Times New Roman" w:hAnsiTheme="minorHAnsi"/>
                <w:color w:val="000000"/>
                <w:sz w:val="18"/>
                <w:szCs w:val="18"/>
              </w:rPr>
            </w:pPr>
            <w:r w:rsidRPr="003F7F6C">
              <w:rPr>
                <w:rFonts w:asciiTheme="minorHAnsi" w:eastAsia="Times New Roman" w:hAnsiTheme="minorHAnsi"/>
                <w:iCs/>
                <w:color w:val="000000"/>
                <w:sz w:val="18"/>
                <w:szCs w:val="18"/>
                <w:lang w:val="es-PY"/>
              </w:rPr>
              <w:t>4</w:t>
            </w:r>
          </w:p>
        </w:tc>
      </w:tr>
      <w:tr w:rsidR="002946EA" w:rsidRPr="003F7F6C" w14:paraId="040E021E" w14:textId="77777777" w:rsidTr="00826EE8">
        <w:tc>
          <w:tcPr>
            <w:tcW w:w="1255" w:type="dxa"/>
            <w:vMerge/>
          </w:tcPr>
          <w:p w14:paraId="1250B67A" w14:textId="77777777" w:rsidR="002946EA" w:rsidRPr="003F7F6C" w:rsidRDefault="002946EA" w:rsidP="002946EA">
            <w:pPr>
              <w:spacing w:after="0"/>
              <w:rPr>
                <w:rFonts w:asciiTheme="minorHAnsi" w:eastAsia="Times New Roman" w:hAnsiTheme="minorHAnsi"/>
                <w:color w:val="000000"/>
                <w:sz w:val="18"/>
                <w:szCs w:val="18"/>
              </w:rPr>
            </w:pPr>
          </w:p>
        </w:tc>
        <w:tc>
          <w:tcPr>
            <w:tcW w:w="630" w:type="dxa"/>
            <w:shd w:val="clear" w:color="auto" w:fill="auto"/>
            <w:vAlign w:val="center"/>
          </w:tcPr>
          <w:p w14:paraId="3D75215E" w14:textId="77777777" w:rsidR="002946EA" w:rsidRPr="003F7F6C" w:rsidRDefault="002946EA" w:rsidP="002946EA">
            <w:pPr>
              <w:spacing w:after="0"/>
              <w:ind w:left="-144" w:right="-144"/>
              <w:jc w:val="center"/>
              <w:rPr>
                <w:rFonts w:asciiTheme="minorHAnsi" w:eastAsia="Times New Roman" w:hAnsiTheme="minorHAnsi"/>
                <w:color w:val="000000"/>
                <w:sz w:val="18"/>
                <w:szCs w:val="18"/>
              </w:rPr>
            </w:pPr>
            <w:r w:rsidRPr="003F7F6C">
              <w:rPr>
                <w:bCs/>
                <w:color w:val="000000"/>
                <w:sz w:val="18"/>
                <w:szCs w:val="18"/>
                <w:lang w:val="es-PY"/>
              </w:rPr>
              <w:t>SGAyDS</w:t>
            </w:r>
          </w:p>
        </w:tc>
        <w:tc>
          <w:tcPr>
            <w:tcW w:w="720" w:type="dxa"/>
            <w:shd w:val="clear" w:color="auto" w:fill="auto"/>
            <w:noWrap/>
            <w:vAlign w:val="center"/>
          </w:tcPr>
          <w:p w14:paraId="518DE2B9"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62000</w:t>
            </w:r>
          </w:p>
        </w:tc>
        <w:tc>
          <w:tcPr>
            <w:tcW w:w="540" w:type="dxa"/>
            <w:shd w:val="clear" w:color="auto" w:fill="auto"/>
            <w:noWrap/>
            <w:vAlign w:val="center"/>
          </w:tcPr>
          <w:p w14:paraId="4B3FA94D"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GEF</w:t>
            </w:r>
          </w:p>
        </w:tc>
        <w:tc>
          <w:tcPr>
            <w:tcW w:w="720" w:type="dxa"/>
            <w:shd w:val="clear" w:color="auto" w:fill="auto"/>
            <w:noWrap/>
            <w:vAlign w:val="center"/>
          </w:tcPr>
          <w:p w14:paraId="644EBD7F"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72400</w:t>
            </w:r>
          </w:p>
        </w:tc>
        <w:tc>
          <w:tcPr>
            <w:tcW w:w="2160" w:type="dxa"/>
            <w:shd w:val="clear" w:color="auto" w:fill="auto"/>
            <w:vAlign w:val="center"/>
          </w:tcPr>
          <w:p w14:paraId="3BC898C3"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Communic &amp; Audiovisual Equip</w:t>
            </w:r>
          </w:p>
        </w:tc>
        <w:tc>
          <w:tcPr>
            <w:tcW w:w="900" w:type="dxa"/>
            <w:shd w:val="clear" w:color="auto" w:fill="auto"/>
            <w:noWrap/>
            <w:vAlign w:val="center"/>
          </w:tcPr>
          <w:p w14:paraId="199952B3"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5,356</w:t>
            </w:r>
          </w:p>
        </w:tc>
        <w:tc>
          <w:tcPr>
            <w:tcW w:w="990" w:type="dxa"/>
            <w:shd w:val="clear" w:color="auto" w:fill="auto"/>
            <w:noWrap/>
            <w:vAlign w:val="center"/>
          </w:tcPr>
          <w:p w14:paraId="2A06590C"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 xml:space="preserve">- </w:t>
            </w:r>
          </w:p>
        </w:tc>
        <w:tc>
          <w:tcPr>
            <w:tcW w:w="990" w:type="dxa"/>
            <w:shd w:val="clear" w:color="auto" w:fill="auto"/>
            <w:noWrap/>
            <w:vAlign w:val="center"/>
          </w:tcPr>
          <w:p w14:paraId="5092E7CB"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 xml:space="preserve">- </w:t>
            </w:r>
          </w:p>
        </w:tc>
        <w:tc>
          <w:tcPr>
            <w:tcW w:w="990" w:type="dxa"/>
            <w:shd w:val="clear" w:color="auto" w:fill="auto"/>
            <w:noWrap/>
            <w:vAlign w:val="center"/>
          </w:tcPr>
          <w:p w14:paraId="2ED326B2"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 xml:space="preserve">- </w:t>
            </w:r>
          </w:p>
        </w:tc>
        <w:tc>
          <w:tcPr>
            <w:tcW w:w="990" w:type="dxa"/>
            <w:shd w:val="clear" w:color="auto" w:fill="auto"/>
            <w:noWrap/>
            <w:vAlign w:val="center"/>
          </w:tcPr>
          <w:p w14:paraId="75804D3B"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 xml:space="preserve">- </w:t>
            </w:r>
          </w:p>
        </w:tc>
        <w:tc>
          <w:tcPr>
            <w:tcW w:w="990" w:type="dxa"/>
            <w:shd w:val="clear" w:color="auto" w:fill="auto"/>
            <w:noWrap/>
            <w:vAlign w:val="center"/>
          </w:tcPr>
          <w:p w14:paraId="561FD714"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 xml:space="preserve">- </w:t>
            </w:r>
          </w:p>
        </w:tc>
        <w:tc>
          <w:tcPr>
            <w:tcW w:w="990" w:type="dxa"/>
            <w:shd w:val="clear" w:color="auto" w:fill="auto"/>
            <w:noWrap/>
            <w:vAlign w:val="center"/>
          </w:tcPr>
          <w:p w14:paraId="1E8B03D8"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5,356</w:t>
            </w:r>
          </w:p>
        </w:tc>
        <w:tc>
          <w:tcPr>
            <w:tcW w:w="630" w:type="dxa"/>
            <w:shd w:val="clear" w:color="auto" w:fill="auto"/>
            <w:noWrap/>
            <w:vAlign w:val="center"/>
          </w:tcPr>
          <w:p w14:paraId="561F2652" w14:textId="77777777" w:rsidR="002946EA" w:rsidRPr="003F7F6C" w:rsidRDefault="002946EA" w:rsidP="002946EA">
            <w:pPr>
              <w:spacing w:after="0"/>
              <w:jc w:val="center"/>
              <w:rPr>
                <w:rFonts w:asciiTheme="minorHAnsi" w:eastAsia="Times New Roman" w:hAnsiTheme="minorHAnsi"/>
                <w:color w:val="000000"/>
                <w:sz w:val="18"/>
                <w:szCs w:val="18"/>
              </w:rPr>
            </w:pPr>
            <w:r w:rsidRPr="003F7F6C">
              <w:rPr>
                <w:rFonts w:asciiTheme="minorHAnsi" w:eastAsia="Times New Roman" w:hAnsiTheme="minorHAnsi"/>
                <w:iCs/>
                <w:color w:val="000000"/>
                <w:sz w:val="18"/>
                <w:szCs w:val="18"/>
                <w:lang w:val="es-PY"/>
              </w:rPr>
              <w:t>5</w:t>
            </w:r>
          </w:p>
        </w:tc>
      </w:tr>
      <w:tr w:rsidR="002946EA" w:rsidRPr="003F7F6C" w14:paraId="0A2FA0BC" w14:textId="77777777" w:rsidTr="00826EE8">
        <w:tc>
          <w:tcPr>
            <w:tcW w:w="1255" w:type="dxa"/>
            <w:vMerge/>
          </w:tcPr>
          <w:p w14:paraId="2873E2B6" w14:textId="77777777" w:rsidR="002946EA" w:rsidRPr="003F7F6C" w:rsidRDefault="002946EA" w:rsidP="002946EA">
            <w:pPr>
              <w:spacing w:after="0"/>
              <w:rPr>
                <w:rFonts w:asciiTheme="minorHAnsi" w:eastAsia="Times New Roman" w:hAnsiTheme="minorHAnsi"/>
                <w:color w:val="000000"/>
                <w:sz w:val="18"/>
                <w:szCs w:val="18"/>
              </w:rPr>
            </w:pPr>
          </w:p>
        </w:tc>
        <w:tc>
          <w:tcPr>
            <w:tcW w:w="630" w:type="dxa"/>
            <w:shd w:val="clear" w:color="auto" w:fill="auto"/>
            <w:vAlign w:val="center"/>
          </w:tcPr>
          <w:p w14:paraId="00CD213C" w14:textId="77777777" w:rsidR="002946EA" w:rsidRPr="003F7F6C" w:rsidRDefault="002946EA" w:rsidP="002946EA">
            <w:pPr>
              <w:spacing w:after="0"/>
              <w:ind w:left="-144" w:right="-144"/>
              <w:jc w:val="center"/>
              <w:rPr>
                <w:rFonts w:asciiTheme="minorHAnsi" w:eastAsia="Times New Roman" w:hAnsiTheme="minorHAnsi"/>
                <w:color w:val="000000"/>
                <w:sz w:val="18"/>
                <w:szCs w:val="18"/>
              </w:rPr>
            </w:pPr>
            <w:r w:rsidRPr="003F7F6C">
              <w:rPr>
                <w:bCs/>
                <w:color w:val="000000"/>
                <w:sz w:val="18"/>
                <w:szCs w:val="18"/>
                <w:lang w:val="es-PY"/>
              </w:rPr>
              <w:t>SGAyDS</w:t>
            </w:r>
          </w:p>
        </w:tc>
        <w:tc>
          <w:tcPr>
            <w:tcW w:w="720" w:type="dxa"/>
            <w:shd w:val="clear" w:color="auto" w:fill="auto"/>
            <w:noWrap/>
            <w:vAlign w:val="center"/>
          </w:tcPr>
          <w:p w14:paraId="5880A85A"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62000</w:t>
            </w:r>
          </w:p>
        </w:tc>
        <w:tc>
          <w:tcPr>
            <w:tcW w:w="540" w:type="dxa"/>
            <w:shd w:val="clear" w:color="auto" w:fill="auto"/>
            <w:noWrap/>
            <w:vAlign w:val="center"/>
          </w:tcPr>
          <w:p w14:paraId="5AC76F51"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GEF</w:t>
            </w:r>
          </w:p>
        </w:tc>
        <w:tc>
          <w:tcPr>
            <w:tcW w:w="720" w:type="dxa"/>
            <w:shd w:val="clear" w:color="auto" w:fill="auto"/>
            <w:noWrap/>
            <w:vAlign w:val="center"/>
          </w:tcPr>
          <w:p w14:paraId="30066DF0"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72800</w:t>
            </w:r>
          </w:p>
        </w:tc>
        <w:tc>
          <w:tcPr>
            <w:tcW w:w="2160" w:type="dxa"/>
            <w:shd w:val="clear" w:color="auto" w:fill="auto"/>
            <w:vAlign w:val="center"/>
          </w:tcPr>
          <w:p w14:paraId="01B45F2B"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Information Technology Equipmt</w:t>
            </w:r>
          </w:p>
        </w:tc>
        <w:tc>
          <w:tcPr>
            <w:tcW w:w="900" w:type="dxa"/>
            <w:shd w:val="clear" w:color="auto" w:fill="auto"/>
            <w:noWrap/>
            <w:vAlign w:val="center"/>
          </w:tcPr>
          <w:p w14:paraId="7FB392F7"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61,025</w:t>
            </w:r>
          </w:p>
        </w:tc>
        <w:tc>
          <w:tcPr>
            <w:tcW w:w="990" w:type="dxa"/>
            <w:shd w:val="clear" w:color="auto" w:fill="auto"/>
            <w:noWrap/>
            <w:vAlign w:val="center"/>
          </w:tcPr>
          <w:p w14:paraId="2719FD3A"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 xml:space="preserve">- </w:t>
            </w:r>
          </w:p>
        </w:tc>
        <w:tc>
          <w:tcPr>
            <w:tcW w:w="990" w:type="dxa"/>
            <w:shd w:val="clear" w:color="auto" w:fill="auto"/>
            <w:noWrap/>
            <w:vAlign w:val="center"/>
          </w:tcPr>
          <w:p w14:paraId="2B146F6A"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 xml:space="preserve">- </w:t>
            </w:r>
          </w:p>
        </w:tc>
        <w:tc>
          <w:tcPr>
            <w:tcW w:w="990" w:type="dxa"/>
            <w:shd w:val="clear" w:color="auto" w:fill="auto"/>
            <w:noWrap/>
            <w:vAlign w:val="center"/>
          </w:tcPr>
          <w:p w14:paraId="4A030B13"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 xml:space="preserve">- </w:t>
            </w:r>
          </w:p>
        </w:tc>
        <w:tc>
          <w:tcPr>
            <w:tcW w:w="990" w:type="dxa"/>
            <w:shd w:val="clear" w:color="auto" w:fill="auto"/>
            <w:noWrap/>
            <w:vAlign w:val="center"/>
          </w:tcPr>
          <w:p w14:paraId="71CCC25F"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 xml:space="preserve">- </w:t>
            </w:r>
          </w:p>
        </w:tc>
        <w:tc>
          <w:tcPr>
            <w:tcW w:w="990" w:type="dxa"/>
            <w:shd w:val="clear" w:color="auto" w:fill="auto"/>
            <w:noWrap/>
            <w:vAlign w:val="center"/>
          </w:tcPr>
          <w:p w14:paraId="5749BAFC"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 xml:space="preserve">- </w:t>
            </w:r>
          </w:p>
        </w:tc>
        <w:tc>
          <w:tcPr>
            <w:tcW w:w="990" w:type="dxa"/>
            <w:shd w:val="clear" w:color="auto" w:fill="auto"/>
            <w:noWrap/>
            <w:vAlign w:val="center"/>
          </w:tcPr>
          <w:p w14:paraId="429734C8"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61,025</w:t>
            </w:r>
          </w:p>
        </w:tc>
        <w:tc>
          <w:tcPr>
            <w:tcW w:w="630" w:type="dxa"/>
            <w:shd w:val="clear" w:color="auto" w:fill="auto"/>
            <w:noWrap/>
            <w:vAlign w:val="center"/>
          </w:tcPr>
          <w:p w14:paraId="3DD0B153" w14:textId="77777777" w:rsidR="002946EA" w:rsidRPr="003F7F6C" w:rsidRDefault="002946EA" w:rsidP="002946EA">
            <w:pPr>
              <w:spacing w:after="0"/>
              <w:jc w:val="center"/>
              <w:rPr>
                <w:rFonts w:asciiTheme="minorHAnsi" w:eastAsia="Times New Roman" w:hAnsiTheme="minorHAnsi"/>
                <w:color w:val="000000"/>
                <w:sz w:val="18"/>
                <w:szCs w:val="18"/>
              </w:rPr>
            </w:pPr>
            <w:r w:rsidRPr="003F7F6C">
              <w:rPr>
                <w:rFonts w:asciiTheme="minorHAnsi" w:eastAsia="Times New Roman" w:hAnsiTheme="minorHAnsi"/>
                <w:iCs/>
                <w:color w:val="000000"/>
                <w:sz w:val="18"/>
                <w:szCs w:val="18"/>
                <w:lang w:val="es-PY"/>
              </w:rPr>
              <w:t>6</w:t>
            </w:r>
          </w:p>
        </w:tc>
      </w:tr>
      <w:tr w:rsidR="002946EA" w:rsidRPr="003F7F6C" w14:paraId="794901BC" w14:textId="77777777" w:rsidTr="00826EE8">
        <w:tc>
          <w:tcPr>
            <w:tcW w:w="1255" w:type="dxa"/>
            <w:vMerge/>
          </w:tcPr>
          <w:p w14:paraId="60360F22" w14:textId="77777777" w:rsidR="002946EA" w:rsidRPr="003F7F6C" w:rsidRDefault="002946EA" w:rsidP="002946EA">
            <w:pPr>
              <w:spacing w:after="0"/>
              <w:rPr>
                <w:rFonts w:asciiTheme="minorHAnsi" w:eastAsia="Times New Roman" w:hAnsiTheme="minorHAnsi"/>
                <w:color w:val="000000"/>
                <w:sz w:val="18"/>
                <w:szCs w:val="18"/>
              </w:rPr>
            </w:pPr>
          </w:p>
        </w:tc>
        <w:tc>
          <w:tcPr>
            <w:tcW w:w="630" w:type="dxa"/>
            <w:shd w:val="clear" w:color="auto" w:fill="auto"/>
            <w:vAlign w:val="center"/>
          </w:tcPr>
          <w:p w14:paraId="14EF6618" w14:textId="77777777" w:rsidR="002946EA" w:rsidRPr="003F7F6C" w:rsidRDefault="002946EA" w:rsidP="002946EA">
            <w:pPr>
              <w:spacing w:after="0"/>
              <w:ind w:left="-144" w:right="-144"/>
              <w:jc w:val="center"/>
              <w:rPr>
                <w:rFonts w:asciiTheme="minorHAnsi" w:eastAsia="Times New Roman" w:hAnsiTheme="minorHAnsi"/>
                <w:color w:val="000000"/>
                <w:sz w:val="18"/>
                <w:szCs w:val="18"/>
              </w:rPr>
            </w:pPr>
            <w:r w:rsidRPr="003F7F6C">
              <w:rPr>
                <w:bCs/>
                <w:color w:val="000000"/>
                <w:sz w:val="18"/>
                <w:szCs w:val="18"/>
                <w:lang w:val="es-PY"/>
              </w:rPr>
              <w:t>SGAyDS</w:t>
            </w:r>
          </w:p>
        </w:tc>
        <w:tc>
          <w:tcPr>
            <w:tcW w:w="720" w:type="dxa"/>
            <w:shd w:val="clear" w:color="auto" w:fill="auto"/>
            <w:noWrap/>
            <w:vAlign w:val="center"/>
          </w:tcPr>
          <w:p w14:paraId="3F2C58EC"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62000</w:t>
            </w:r>
          </w:p>
        </w:tc>
        <w:tc>
          <w:tcPr>
            <w:tcW w:w="540" w:type="dxa"/>
            <w:shd w:val="clear" w:color="auto" w:fill="auto"/>
            <w:noWrap/>
            <w:vAlign w:val="center"/>
          </w:tcPr>
          <w:p w14:paraId="235C2409"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GEF</w:t>
            </w:r>
          </w:p>
        </w:tc>
        <w:tc>
          <w:tcPr>
            <w:tcW w:w="720" w:type="dxa"/>
            <w:shd w:val="clear" w:color="auto" w:fill="auto"/>
            <w:noWrap/>
            <w:vAlign w:val="center"/>
          </w:tcPr>
          <w:p w14:paraId="20DF3FFE"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74200</w:t>
            </w:r>
          </w:p>
        </w:tc>
        <w:tc>
          <w:tcPr>
            <w:tcW w:w="2160" w:type="dxa"/>
            <w:shd w:val="clear" w:color="auto" w:fill="auto"/>
            <w:vAlign w:val="center"/>
          </w:tcPr>
          <w:p w14:paraId="2FA6BB22"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rPr>
              <w:t>Audio Visual &amp; Print Prod Costs</w:t>
            </w:r>
          </w:p>
        </w:tc>
        <w:tc>
          <w:tcPr>
            <w:tcW w:w="900" w:type="dxa"/>
            <w:shd w:val="clear" w:color="auto" w:fill="auto"/>
            <w:noWrap/>
            <w:vAlign w:val="center"/>
          </w:tcPr>
          <w:p w14:paraId="2A65C23F"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2,000</w:t>
            </w:r>
          </w:p>
        </w:tc>
        <w:tc>
          <w:tcPr>
            <w:tcW w:w="990" w:type="dxa"/>
            <w:shd w:val="clear" w:color="auto" w:fill="auto"/>
            <w:noWrap/>
            <w:vAlign w:val="center"/>
          </w:tcPr>
          <w:p w14:paraId="1CD9BBE3"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2,000</w:t>
            </w:r>
          </w:p>
        </w:tc>
        <w:tc>
          <w:tcPr>
            <w:tcW w:w="990" w:type="dxa"/>
            <w:shd w:val="clear" w:color="auto" w:fill="auto"/>
            <w:noWrap/>
            <w:vAlign w:val="center"/>
          </w:tcPr>
          <w:p w14:paraId="6809B480"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2,000</w:t>
            </w:r>
          </w:p>
        </w:tc>
        <w:tc>
          <w:tcPr>
            <w:tcW w:w="990" w:type="dxa"/>
            <w:shd w:val="clear" w:color="auto" w:fill="auto"/>
            <w:noWrap/>
            <w:vAlign w:val="center"/>
          </w:tcPr>
          <w:p w14:paraId="575E85D0"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3,333</w:t>
            </w:r>
          </w:p>
        </w:tc>
        <w:tc>
          <w:tcPr>
            <w:tcW w:w="990" w:type="dxa"/>
            <w:shd w:val="clear" w:color="auto" w:fill="auto"/>
            <w:noWrap/>
            <w:vAlign w:val="center"/>
          </w:tcPr>
          <w:p w14:paraId="60406B4E"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9,333</w:t>
            </w:r>
          </w:p>
        </w:tc>
        <w:tc>
          <w:tcPr>
            <w:tcW w:w="990" w:type="dxa"/>
            <w:shd w:val="clear" w:color="auto" w:fill="auto"/>
            <w:noWrap/>
            <w:vAlign w:val="center"/>
          </w:tcPr>
          <w:p w14:paraId="22617B03"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9,334</w:t>
            </w:r>
          </w:p>
        </w:tc>
        <w:tc>
          <w:tcPr>
            <w:tcW w:w="990" w:type="dxa"/>
            <w:shd w:val="clear" w:color="auto" w:fill="auto"/>
            <w:noWrap/>
            <w:vAlign w:val="center"/>
          </w:tcPr>
          <w:p w14:paraId="10B8D63E"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28,000</w:t>
            </w:r>
          </w:p>
        </w:tc>
        <w:tc>
          <w:tcPr>
            <w:tcW w:w="630" w:type="dxa"/>
            <w:shd w:val="clear" w:color="auto" w:fill="auto"/>
            <w:noWrap/>
            <w:vAlign w:val="center"/>
          </w:tcPr>
          <w:p w14:paraId="1DFFCC30" w14:textId="77777777" w:rsidR="002946EA" w:rsidRPr="003F7F6C" w:rsidRDefault="002946EA" w:rsidP="002946EA">
            <w:pPr>
              <w:spacing w:after="0"/>
              <w:jc w:val="center"/>
              <w:rPr>
                <w:rFonts w:asciiTheme="minorHAnsi" w:eastAsia="Times New Roman" w:hAnsiTheme="minorHAnsi"/>
                <w:color w:val="000000"/>
                <w:sz w:val="18"/>
                <w:szCs w:val="18"/>
              </w:rPr>
            </w:pPr>
            <w:r w:rsidRPr="003F7F6C">
              <w:rPr>
                <w:rFonts w:asciiTheme="minorHAnsi" w:eastAsia="Times New Roman" w:hAnsiTheme="minorHAnsi"/>
                <w:iCs/>
                <w:color w:val="000000"/>
                <w:sz w:val="18"/>
                <w:szCs w:val="18"/>
                <w:lang w:val="es-PY"/>
              </w:rPr>
              <w:t>7</w:t>
            </w:r>
          </w:p>
        </w:tc>
      </w:tr>
      <w:tr w:rsidR="002946EA" w:rsidRPr="003F7F6C" w14:paraId="40E8DE71" w14:textId="77777777" w:rsidTr="00826EE8">
        <w:tc>
          <w:tcPr>
            <w:tcW w:w="1255" w:type="dxa"/>
            <w:vMerge/>
          </w:tcPr>
          <w:p w14:paraId="00D48143" w14:textId="77777777" w:rsidR="002946EA" w:rsidRPr="003F7F6C" w:rsidRDefault="002946EA" w:rsidP="002946EA">
            <w:pPr>
              <w:spacing w:after="0"/>
              <w:rPr>
                <w:rFonts w:asciiTheme="minorHAnsi" w:eastAsia="Times New Roman" w:hAnsiTheme="minorHAnsi"/>
                <w:color w:val="000000"/>
                <w:sz w:val="18"/>
                <w:szCs w:val="18"/>
              </w:rPr>
            </w:pPr>
          </w:p>
        </w:tc>
        <w:tc>
          <w:tcPr>
            <w:tcW w:w="630" w:type="dxa"/>
            <w:shd w:val="clear" w:color="auto" w:fill="auto"/>
            <w:vAlign w:val="center"/>
          </w:tcPr>
          <w:p w14:paraId="736F9378" w14:textId="77777777" w:rsidR="002946EA" w:rsidRPr="003F7F6C" w:rsidRDefault="002946EA" w:rsidP="002946EA">
            <w:pPr>
              <w:spacing w:after="0"/>
              <w:ind w:left="-144" w:right="-144"/>
              <w:jc w:val="center"/>
              <w:rPr>
                <w:rFonts w:asciiTheme="minorHAnsi" w:eastAsia="Times New Roman" w:hAnsiTheme="minorHAnsi"/>
                <w:color w:val="000000"/>
                <w:sz w:val="18"/>
                <w:szCs w:val="18"/>
              </w:rPr>
            </w:pPr>
            <w:r w:rsidRPr="003F7F6C">
              <w:rPr>
                <w:bCs/>
                <w:color w:val="000000"/>
                <w:sz w:val="18"/>
                <w:szCs w:val="18"/>
                <w:lang w:val="es-PY"/>
              </w:rPr>
              <w:t>SGAyDS</w:t>
            </w:r>
          </w:p>
        </w:tc>
        <w:tc>
          <w:tcPr>
            <w:tcW w:w="720" w:type="dxa"/>
            <w:shd w:val="clear" w:color="auto" w:fill="auto"/>
            <w:noWrap/>
            <w:vAlign w:val="center"/>
          </w:tcPr>
          <w:p w14:paraId="1A796246"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62000</w:t>
            </w:r>
          </w:p>
        </w:tc>
        <w:tc>
          <w:tcPr>
            <w:tcW w:w="540" w:type="dxa"/>
            <w:shd w:val="clear" w:color="auto" w:fill="auto"/>
            <w:noWrap/>
            <w:vAlign w:val="center"/>
          </w:tcPr>
          <w:p w14:paraId="3DBBEA3A"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GEF</w:t>
            </w:r>
          </w:p>
        </w:tc>
        <w:tc>
          <w:tcPr>
            <w:tcW w:w="720" w:type="dxa"/>
            <w:shd w:val="clear" w:color="auto" w:fill="auto"/>
            <w:noWrap/>
            <w:vAlign w:val="center"/>
          </w:tcPr>
          <w:p w14:paraId="6D1581E4"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75700</w:t>
            </w:r>
          </w:p>
        </w:tc>
        <w:tc>
          <w:tcPr>
            <w:tcW w:w="2160" w:type="dxa"/>
            <w:shd w:val="clear" w:color="auto" w:fill="auto"/>
            <w:vAlign w:val="center"/>
          </w:tcPr>
          <w:p w14:paraId="6D250B53"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Training, Workshops and Confer</w:t>
            </w:r>
          </w:p>
        </w:tc>
        <w:tc>
          <w:tcPr>
            <w:tcW w:w="900" w:type="dxa"/>
            <w:shd w:val="clear" w:color="auto" w:fill="auto"/>
            <w:noWrap/>
            <w:vAlign w:val="center"/>
          </w:tcPr>
          <w:p w14:paraId="413066F7"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132,669</w:t>
            </w:r>
          </w:p>
        </w:tc>
        <w:tc>
          <w:tcPr>
            <w:tcW w:w="990" w:type="dxa"/>
            <w:shd w:val="clear" w:color="auto" w:fill="auto"/>
            <w:noWrap/>
            <w:vAlign w:val="center"/>
          </w:tcPr>
          <w:p w14:paraId="78EAD649"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132,669</w:t>
            </w:r>
          </w:p>
        </w:tc>
        <w:tc>
          <w:tcPr>
            <w:tcW w:w="990" w:type="dxa"/>
            <w:shd w:val="clear" w:color="auto" w:fill="auto"/>
            <w:noWrap/>
            <w:vAlign w:val="center"/>
          </w:tcPr>
          <w:p w14:paraId="642BB670"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132,669</w:t>
            </w:r>
          </w:p>
        </w:tc>
        <w:tc>
          <w:tcPr>
            <w:tcW w:w="990" w:type="dxa"/>
            <w:shd w:val="clear" w:color="auto" w:fill="auto"/>
            <w:noWrap/>
            <w:vAlign w:val="center"/>
          </w:tcPr>
          <w:p w14:paraId="7C02D3B4"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132,669</w:t>
            </w:r>
          </w:p>
        </w:tc>
        <w:tc>
          <w:tcPr>
            <w:tcW w:w="990" w:type="dxa"/>
            <w:shd w:val="clear" w:color="auto" w:fill="auto"/>
            <w:noWrap/>
            <w:vAlign w:val="center"/>
          </w:tcPr>
          <w:p w14:paraId="1380AB9C"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132,670</w:t>
            </w:r>
          </w:p>
        </w:tc>
        <w:tc>
          <w:tcPr>
            <w:tcW w:w="990" w:type="dxa"/>
            <w:shd w:val="clear" w:color="auto" w:fill="auto"/>
            <w:noWrap/>
            <w:vAlign w:val="center"/>
          </w:tcPr>
          <w:p w14:paraId="4A444607"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132,669</w:t>
            </w:r>
          </w:p>
        </w:tc>
        <w:tc>
          <w:tcPr>
            <w:tcW w:w="990" w:type="dxa"/>
            <w:shd w:val="clear" w:color="auto" w:fill="auto"/>
            <w:noWrap/>
            <w:vAlign w:val="center"/>
          </w:tcPr>
          <w:p w14:paraId="383F69E3"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796,015</w:t>
            </w:r>
          </w:p>
        </w:tc>
        <w:tc>
          <w:tcPr>
            <w:tcW w:w="630" w:type="dxa"/>
            <w:shd w:val="clear" w:color="auto" w:fill="auto"/>
            <w:noWrap/>
            <w:vAlign w:val="center"/>
          </w:tcPr>
          <w:p w14:paraId="73CE0027" w14:textId="77777777" w:rsidR="002946EA" w:rsidRPr="003F7F6C" w:rsidRDefault="002946EA" w:rsidP="002946EA">
            <w:pPr>
              <w:spacing w:after="0"/>
              <w:jc w:val="center"/>
              <w:rPr>
                <w:rFonts w:asciiTheme="minorHAnsi" w:eastAsia="Times New Roman" w:hAnsiTheme="minorHAnsi"/>
                <w:color w:val="000000"/>
                <w:sz w:val="18"/>
                <w:szCs w:val="18"/>
              </w:rPr>
            </w:pPr>
            <w:r w:rsidRPr="003F7F6C">
              <w:rPr>
                <w:rFonts w:asciiTheme="minorHAnsi" w:eastAsia="Times New Roman" w:hAnsiTheme="minorHAnsi"/>
                <w:iCs/>
                <w:color w:val="000000"/>
                <w:sz w:val="18"/>
                <w:szCs w:val="18"/>
                <w:lang w:val="es-PY"/>
              </w:rPr>
              <w:t>8</w:t>
            </w:r>
          </w:p>
        </w:tc>
      </w:tr>
      <w:tr w:rsidR="002946EA" w:rsidRPr="003F7F6C" w14:paraId="7B057B3B" w14:textId="77777777" w:rsidTr="00826EE8">
        <w:tc>
          <w:tcPr>
            <w:tcW w:w="1885" w:type="dxa"/>
            <w:gridSpan w:val="2"/>
            <w:noWrap/>
            <w:hideMark/>
          </w:tcPr>
          <w:p w14:paraId="40AA5BB5" w14:textId="77777777" w:rsidR="002946EA" w:rsidRPr="003F7F6C" w:rsidRDefault="002946EA" w:rsidP="002946EA">
            <w:pPr>
              <w:spacing w:after="0"/>
              <w:ind w:left="-144" w:right="-144"/>
              <w:jc w:val="center"/>
              <w:rPr>
                <w:rFonts w:asciiTheme="minorHAnsi" w:eastAsia="Times New Roman" w:hAnsiTheme="minorHAnsi"/>
                <w:b/>
                <w:bCs/>
                <w:color w:val="000000"/>
                <w:sz w:val="18"/>
                <w:szCs w:val="18"/>
              </w:rPr>
            </w:pPr>
            <w:r w:rsidRPr="003F7F6C">
              <w:rPr>
                <w:rFonts w:asciiTheme="minorHAnsi" w:eastAsia="Times New Roman" w:hAnsiTheme="minorHAnsi"/>
                <w:b/>
                <w:bCs/>
                <w:color w:val="000000"/>
                <w:sz w:val="18"/>
                <w:szCs w:val="18"/>
              </w:rPr>
              <w:t>Total Outcome 1</w:t>
            </w:r>
          </w:p>
        </w:tc>
        <w:tc>
          <w:tcPr>
            <w:tcW w:w="720" w:type="dxa"/>
            <w:noWrap/>
            <w:hideMark/>
          </w:tcPr>
          <w:p w14:paraId="628D139B" w14:textId="77777777" w:rsidR="002946EA" w:rsidRPr="003F7F6C" w:rsidRDefault="002946EA" w:rsidP="002946EA">
            <w:pPr>
              <w:spacing w:after="0"/>
              <w:rPr>
                <w:rFonts w:asciiTheme="minorHAnsi" w:eastAsia="Times New Roman" w:hAnsiTheme="minorHAnsi"/>
                <w:b/>
                <w:bCs/>
                <w:color w:val="000000"/>
                <w:sz w:val="18"/>
                <w:szCs w:val="18"/>
              </w:rPr>
            </w:pPr>
          </w:p>
        </w:tc>
        <w:tc>
          <w:tcPr>
            <w:tcW w:w="540" w:type="dxa"/>
            <w:noWrap/>
            <w:hideMark/>
          </w:tcPr>
          <w:p w14:paraId="59360DE1" w14:textId="77777777" w:rsidR="002946EA" w:rsidRPr="003F7F6C" w:rsidRDefault="002946EA" w:rsidP="002946EA">
            <w:pPr>
              <w:spacing w:after="0"/>
              <w:rPr>
                <w:rFonts w:asciiTheme="minorHAnsi" w:eastAsia="Times New Roman" w:hAnsiTheme="minorHAnsi"/>
                <w:sz w:val="18"/>
                <w:szCs w:val="18"/>
              </w:rPr>
            </w:pPr>
          </w:p>
        </w:tc>
        <w:tc>
          <w:tcPr>
            <w:tcW w:w="720" w:type="dxa"/>
            <w:noWrap/>
            <w:hideMark/>
          </w:tcPr>
          <w:p w14:paraId="09BF5226" w14:textId="77777777" w:rsidR="002946EA" w:rsidRPr="003F7F6C" w:rsidRDefault="002946EA" w:rsidP="002946EA">
            <w:pPr>
              <w:spacing w:after="0"/>
              <w:rPr>
                <w:rFonts w:asciiTheme="minorHAnsi" w:eastAsia="Times New Roman" w:hAnsiTheme="minorHAnsi"/>
                <w:sz w:val="18"/>
                <w:szCs w:val="18"/>
              </w:rPr>
            </w:pPr>
          </w:p>
        </w:tc>
        <w:tc>
          <w:tcPr>
            <w:tcW w:w="2160" w:type="dxa"/>
            <w:hideMark/>
          </w:tcPr>
          <w:p w14:paraId="0BBF3461" w14:textId="77777777" w:rsidR="002946EA" w:rsidRPr="003F7F6C" w:rsidRDefault="002946EA" w:rsidP="002946EA">
            <w:pPr>
              <w:spacing w:after="0"/>
              <w:rPr>
                <w:rFonts w:asciiTheme="minorHAnsi" w:eastAsia="Times New Roman" w:hAnsiTheme="minorHAnsi"/>
                <w:sz w:val="18"/>
                <w:szCs w:val="18"/>
              </w:rPr>
            </w:pPr>
          </w:p>
        </w:tc>
        <w:tc>
          <w:tcPr>
            <w:tcW w:w="900" w:type="dxa"/>
            <w:noWrap/>
            <w:hideMark/>
          </w:tcPr>
          <w:p w14:paraId="41492609" w14:textId="77777777" w:rsidR="002946EA" w:rsidRPr="003F7F6C" w:rsidRDefault="002946EA" w:rsidP="002946EA">
            <w:pPr>
              <w:spacing w:after="0"/>
              <w:jc w:val="right"/>
              <w:rPr>
                <w:rFonts w:asciiTheme="minorHAnsi" w:eastAsia="Times New Roman" w:hAnsiTheme="minorHAnsi"/>
                <w:b/>
                <w:color w:val="000000"/>
                <w:sz w:val="18"/>
                <w:szCs w:val="18"/>
                <w:lang w:val="es-PY"/>
              </w:rPr>
            </w:pPr>
            <w:r w:rsidRPr="003F7F6C">
              <w:rPr>
                <w:rFonts w:asciiTheme="minorHAnsi" w:eastAsia="Times New Roman" w:hAnsiTheme="minorHAnsi"/>
                <w:b/>
                <w:color w:val="000000"/>
                <w:sz w:val="18"/>
                <w:szCs w:val="18"/>
                <w:lang w:val="es-PY"/>
              </w:rPr>
              <w:t>396,426</w:t>
            </w:r>
          </w:p>
        </w:tc>
        <w:tc>
          <w:tcPr>
            <w:tcW w:w="990" w:type="dxa"/>
            <w:noWrap/>
            <w:hideMark/>
          </w:tcPr>
          <w:p w14:paraId="2E44F4F9" w14:textId="77777777" w:rsidR="002946EA" w:rsidRPr="003F7F6C" w:rsidRDefault="002946EA" w:rsidP="002946EA">
            <w:pPr>
              <w:spacing w:after="0"/>
              <w:jc w:val="right"/>
              <w:rPr>
                <w:rFonts w:asciiTheme="minorHAnsi" w:eastAsia="Times New Roman" w:hAnsiTheme="minorHAnsi"/>
                <w:b/>
                <w:color w:val="000000"/>
                <w:sz w:val="18"/>
                <w:szCs w:val="18"/>
                <w:lang w:val="es-PY"/>
              </w:rPr>
            </w:pPr>
            <w:r w:rsidRPr="003F7F6C">
              <w:rPr>
                <w:rFonts w:asciiTheme="minorHAnsi" w:eastAsia="Times New Roman" w:hAnsiTheme="minorHAnsi"/>
                <w:b/>
                <w:color w:val="000000"/>
                <w:sz w:val="18"/>
                <w:szCs w:val="18"/>
                <w:lang w:val="es-PY"/>
              </w:rPr>
              <w:t>255,045</w:t>
            </w:r>
          </w:p>
        </w:tc>
        <w:tc>
          <w:tcPr>
            <w:tcW w:w="990" w:type="dxa"/>
            <w:noWrap/>
            <w:hideMark/>
          </w:tcPr>
          <w:p w14:paraId="2676B5CC" w14:textId="77777777" w:rsidR="002946EA" w:rsidRPr="003F7F6C" w:rsidRDefault="002946EA" w:rsidP="002946EA">
            <w:pPr>
              <w:spacing w:after="0"/>
              <w:jc w:val="right"/>
              <w:rPr>
                <w:rFonts w:asciiTheme="minorHAnsi" w:eastAsia="Times New Roman" w:hAnsiTheme="minorHAnsi"/>
                <w:b/>
                <w:color w:val="000000"/>
                <w:sz w:val="18"/>
                <w:szCs w:val="18"/>
                <w:lang w:val="es-PY"/>
              </w:rPr>
            </w:pPr>
            <w:r w:rsidRPr="003F7F6C">
              <w:rPr>
                <w:rFonts w:asciiTheme="minorHAnsi" w:eastAsia="Times New Roman" w:hAnsiTheme="minorHAnsi"/>
                <w:b/>
                <w:color w:val="000000"/>
                <w:sz w:val="18"/>
                <w:szCs w:val="18"/>
                <w:lang w:val="es-PY"/>
              </w:rPr>
              <w:t>242,546</w:t>
            </w:r>
          </w:p>
        </w:tc>
        <w:tc>
          <w:tcPr>
            <w:tcW w:w="990" w:type="dxa"/>
            <w:noWrap/>
            <w:hideMark/>
          </w:tcPr>
          <w:p w14:paraId="33291592" w14:textId="77777777" w:rsidR="002946EA" w:rsidRPr="003F7F6C" w:rsidRDefault="002946EA" w:rsidP="002946EA">
            <w:pPr>
              <w:spacing w:after="0"/>
              <w:jc w:val="right"/>
              <w:rPr>
                <w:rFonts w:asciiTheme="minorHAnsi" w:eastAsia="Times New Roman" w:hAnsiTheme="minorHAnsi"/>
                <w:b/>
                <w:color w:val="000000"/>
                <w:sz w:val="18"/>
                <w:szCs w:val="18"/>
                <w:lang w:val="es-PY"/>
              </w:rPr>
            </w:pPr>
            <w:r w:rsidRPr="003F7F6C">
              <w:rPr>
                <w:rFonts w:asciiTheme="minorHAnsi" w:eastAsia="Times New Roman" w:hAnsiTheme="minorHAnsi"/>
                <w:b/>
                <w:color w:val="000000"/>
                <w:sz w:val="18"/>
                <w:szCs w:val="18"/>
                <w:lang w:val="es-PY"/>
              </w:rPr>
              <w:t>238,546</w:t>
            </w:r>
          </w:p>
        </w:tc>
        <w:tc>
          <w:tcPr>
            <w:tcW w:w="990" w:type="dxa"/>
            <w:noWrap/>
            <w:hideMark/>
          </w:tcPr>
          <w:p w14:paraId="4A2D604C" w14:textId="77777777" w:rsidR="002946EA" w:rsidRPr="003F7F6C" w:rsidRDefault="002946EA" w:rsidP="002946EA">
            <w:pPr>
              <w:spacing w:after="0"/>
              <w:jc w:val="right"/>
              <w:rPr>
                <w:rFonts w:asciiTheme="minorHAnsi" w:eastAsia="Times New Roman" w:hAnsiTheme="minorHAnsi"/>
                <w:b/>
                <w:color w:val="000000"/>
                <w:sz w:val="18"/>
                <w:szCs w:val="18"/>
                <w:lang w:val="es-PY"/>
              </w:rPr>
            </w:pPr>
            <w:r w:rsidRPr="003F7F6C">
              <w:rPr>
                <w:rFonts w:asciiTheme="minorHAnsi" w:eastAsia="Times New Roman" w:hAnsiTheme="minorHAnsi"/>
                <w:b/>
                <w:color w:val="000000"/>
                <w:sz w:val="18"/>
                <w:szCs w:val="18"/>
                <w:lang w:val="es-PY"/>
              </w:rPr>
              <w:t>232,549</w:t>
            </w:r>
          </w:p>
        </w:tc>
        <w:tc>
          <w:tcPr>
            <w:tcW w:w="990" w:type="dxa"/>
            <w:noWrap/>
            <w:hideMark/>
          </w:tcPr>
          <w:p w14:paraId="49D430C8" w14:textId="77777777" w:rsidR="002946EA" w:rsidRPr="003F7F6C" w:rsidRDefault="002946EA" w:rsidP="002946EA">
            <w:pPr>
              <w:spacing w:after="0"/>
              <w:jc w:val="right"/>
              <w:rPr>
                <w:rFonts w:asciiTheme="minorHAnsi" w:eastAsia="Times New Roman" w:hAnsiTheme="minorHAnsi"/>
                <w:b/>
                <w:color w:val="000000"/>
                <w:sz w:val="18"/>
                <w:szCs w:val="18"/>
                <w:lang w:val="es-PY"/>
              </w:rPr>
            </w:pPr>
            <w:r w:rsidRPr="003F7F6C">
              <w:rPr>
                <w:rFonts w:asciiTheme="minorHAnsi" w:eastAsia="Times New Roman" w:hAnsiTheme="minorHAnsi"/>
                <w:b/>
                <w:color w:val="000000"/>
                <w:sz w:val="18"/>
                <w:szCs w:val="18"/>
                <w:lang w:val="es-PY"/>
              </w:rPr>
              <w:t>232,548</w:t>
            </w:r>
          </w:p>
        </w:tc>
        <w:tc>
          <w:tcPr>
            <w:tcW w:w="990" w:type="dxa"/>
            <w:noWrap/>
            <w:hideMark/>
          </w:tcPr>
          <w:p w14:paraId="6C603515" w14:textId="77777777" w:rsidR="002946EA" w:rsidRPr="003F7F6C" w:rsidRDefault="002946EA" w:rsidP="002946EA">
            <w:pPr>
              <w:spacing w:after="0"/>
              <w:jc w:val="right"/>
              <w:rPr>
                <w:rFonts w:asciiTheme="minorHAnsi" w:eastAsia="Times New Roman" w:hAnsiTheme="minorHAnsi"/>
                <w:b/>
                <w:color w:val="000000"/>
                <w:sz w:val="18"/>
                <w:szCs w:val="18"/>
                <w:lang w:val="es-PY"/>
              </w:rPr>
            </w:pPr>
            <w:r w:rsidRPr="003F7F6C">
              <w:rPr>
                <w:rFonts w:asciiTheme="minorHAnsi" w:eastAsia="Times New Roman" w:hAnsiTheme="minorHAnsi"/>
                <w:b/>
                <w:color w:val="000000"/>
                <w:sz w:val="18"/>
                <w:szCs w:val="18"/>
                <w:lang w:val="es-PY"/>
              </w:rPr>
              <w:t>1,597,660</w:t>
            </w:r>
          </w:p>
        </w:tc>
        <w:tc>
          <w:tcPr>
            <w:tcW w:w="630" w:type="dxa"/>
            <w:noWrap/>
            <w:hideMark/>
          </w:tcPr>
          <w:p w14:paraId="41E14AF5" w14:textId="77777777" w:rsidR="002946EA" w:rsidRPr="003F7F6C" w:rsidRDefault="002946EA" w:rsidP="002946EA">
            <w:pPr>
              <w:spacing w:after="0"/>
              <w:jc w:val="center"/>
              <w:rPr>
                <w:rFonts w:asciiTheme="minorHAnsi" w:eastAsia="Times New Roman" w:hAnsiTheme="minorHAnsi"/>
                <w:color w:val="000000"/>
                <w:sz w:val="18"/>
                <w:szCs w:val="18"/>
              </w:rPr>
            </w:pPr>
          </w:p>
        </w:tc>
      </w:tr>
      <w:tr w:rsidR="002946EA" w:rsidRPr="003F7F6C" w14:paraId="47B390AA" w14:textId="77777777" w:rsidTr="00826EE8">
        <w:tc>
          <w:tcPr>
            <w:tcW w:w="1255" w:type="dxa"/>
            <w:vMerge w:val="restart"/>
            <w:vAlign w:val="center"/>
          </w:tcPr>
          <w:p w14:paraId="1C558BA9" w14:textId="77777777" w:rsidR="002946EA" w:rsidRPr="003F7F6C" w:rsidRDefault="002946EA" w:rsidP="002946EA">
            <w:pPr>
              <w:spacing w:after="0"/>
              <w:jc w:val="lef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rPr>
              <w:t>Outcome 2:</w:t>
            </w:r>
          </w:p>
        </w:tc>
        <w:tc>
          <w:tcPr>
            <w:tcW w:w="630" w:type="dxa"/>
            <w:shd w:val="clear" w:color="auto" w:fill="auto"/>
            <w:vAlign w:val="center"/>
          </w:tcPr>
          <w:p w14:paraId="18DB8460" w14:textId="77777777" w:rsidR="002946EA" w:rsidRPr="003F7F6C" w:rsidRDefault="002946EA" w:rsidP="002946EA">
            <w:pPr>
              <w:spacing w:after="0"/>
              <w:ind w:left="-144" w:right="-144"/>
              <w:jc w:val="center"/>
              <w:rPr>
                <w:rFonts w:asciiTheme="minorHAnsi" w:eastAsia="Times New Roman" w:hAnsiTheme="minorHAnsi"/>
                <w:color w:val="000000"/>
                <w:sz w:val="18"/>
                <w:szCs w:val="18"/>
              </w:rPr>
            </w:pPr>
            <w:r w:rsidRPr="003F7F6C">
              <w:rPr>
                <w:bCs/>
                <w:color w:val="000000"/>
                <w:sz w:val="18"/>
                <w:szCs w:val="18"/>
                <w:lang w:val="es-PY"/>
              </w:rPr>
              <w:t>SGAyDS</w:t>
            </w:r>
          </w:p>
        </w:tc>
        <w:tc>
          <w:tcPr>
            <w:tcW w:w="720" w:type="dxa"/>
            <w:shd w:val="clear" w:color="auto" w:fill="auto"/>
            <w:noWrap/>
            <w:vAlign w:val="center"/>
          </w:tcPr>
          <w:p w14:paraId="38721045"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62000</w:t>
            </w:r>
          </w:p>
        </w:tc>
        <w:tc>
          <w:tcPr>
            <w:tcW w:w="540" w:type="dxa"/>
            <w:shd w:val="clear" w:color="auto" w:fill="auto"/>
            <w:noWrap/>
            <w:vAlign w:val="center"/>
          </w:tcPr>
          <w:p w14:paraId="0AE70627"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GEF</w:t>
            </w:r>
          </w:p>
        </w:tc>
        <w:tc>
          <w:tcPr>
            <w:tcW w:w="720" w:type="dxa"/>
            <w:shd w:val="clear" w:color="auto" w:fill="auto"/>
            <w:noWrap/>
            <w:vAlign w:val="center"/>
          </w:tcPr>
          <w:p w14:paraId="5BE3CCE6"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71400</w:t>
            </w:r>
          </w:p>
        </w:tc>
        <w:tc>
          <w:tcPr>
            <w:tcW w:w="2160" w:type="dxa"/>
            <w:shd w:val="clear" w:color="auto" w:fill="auto"/>
            <w:vAlign w:val="center"/>
          </w:tcPr>
          <w:p w14:paraId="4D387F60"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Contractual Services - Individ</w:t>
            </w:r>
          </w:p>
        </w:tc>
        <w:tc>
          <w:tcPr>
            <w:tcW w:w="900" w:type="dxa"/>
            <w:shd w:val="clear" w:color="auto" w:fill="auto"/>
            <w:noWrap/>
            <w:vAlign w:val="center"/>
          </w:tcPr>
          <w:p w14:paraId="0B7B6E54"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52,486</w:t>
            </w:r>
          </w:p>
        </w:tc>
        <w:tc>
          <w:tcPr>
            <w:tcW w:w="990" w:type="dxa"/>
            <w:shd w:val="clear" w:color="auto" w:fill="auto"/>
            <w:noWrap/>
            <w:vAlign w:val="center"/>
          </w:tcPr>
          <w:p w14:paraId="194447F0"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52,486</w:t>
            </w:r>
          </w:p>
        </w:tc>
        <w:tc>
          <w:tcPr>
            <w:tcW w:w="990" w:type="dxa"/>
            <w:shd w:val="clear" w:color="auto" w:fill="auto"/>
            <w:noWrap/>
            <w:vAlign w:val="center"/>
          </w:tcPr>
          <w:p w14:paraId="6B88773C"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52,486</w:t>
            </w:r>
          </w:p>
        </w:tc>
        <w:tc>
          <w:tcPr>
            <w:tcW w:w="990" w:type="dxa"/>
            <w:shd w:val="clear" w:color="auto" w:fill="auto"/>
            <w:noWrap/>
            <w:vAlign w:val="center"/>
          </w:tcPr>
          <w:p w14:paraId="6D5329B6"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52,486</w:t>
            </w:r>
          </w:p>
        </w:tc>
        <w:tc>
          <w:tcPr>
            <w:tcW w:w="990" w:type="dxa"/>
            <w:shd w:val="clear" w:color="auto" w:fill="auto"/>
            <w:noWrap/>
            <w:vAlign w:val="center"/>
          </w:tcPr>
          <w:p w14:paraId="2A742122"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52,488</w:t>
            </w:r>
          </w:p>
        </w:tc>
        <w:tc>
          <w:tcPr>
            <w:tcW w:w="990" w:type="dxa"/>
            <w:shd w:val="clear" w:color="auto" w:fill="auto"/>
            <w:noWrap/>
            <w:vAlign w:val="center"/>
          </w:tcPr>
          <w:p w14:paraId="4427CC20"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52,488</w:t>
            </w:r>
          </w:p>
        </w:tc>
        <w:tc>
          <w:tcPr>
            <w:tcW w:w="990" w:type="dxa"/>
            <w:shd w:val="clear" w:color="auto" w:fill="auto"/>
            <w:noWrap/>
            <w:vAlign w:val="center"/>
          </w:tcPr>
          <w:p w14:paraId="45CEB8FF"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314,920</w:t>
            </w:r>
          </w:p>
        </w:tc>
        <w:tc>
          <w:tcPr>
            <w:tcW w:w="630" w:type="dxa"/>
            <w:shd w:val="clear" w:color="auto" w:fill="auto"/>
            <w:noWrap/>
            <w:vAlign w:val="center"/>
          </w:tcPr>
          <w:p w14:paraId="269BF285" w14:textId="77777777" w:rsidR="002946EA" w:rsidRPr="003F7F6C" w:rsidRDefault="002946EA" w:rsidP="002946EA">
            <w:pPr>
              <w:spacing w:after="0"/>
              <w:jc w:val="center"/>
              <w:rPr>
                <w:rFonts w:asciiTheme="minorHAnsi" w:eastAsia="Times New Roman" w:hAnsiTheme="minorHAnsi"/>
                <w:color w:val="000000"/>
                <w:sz w:val="18"/>
                <w:szCs w:val="18"/>
              </w:rPr>
            </w:pPr>
            <w:r w:rsidRPr="003F7F6C">
              <w:rPr>
                <w:rFonts w:asciiTheme="minorHAnsi" w:eastAsia="Times New Roman" w:hAnsiTheme="minorHAnsi"/>
                <w:iCs/>
                <w:color w:val="000000"/>
                <w:sz w:val="18"/>
                <w:szCs w:val="18"/>
                <w:lang w:val="es-PY"/>
              </w:rPr>
              <w:t>9</w:t>
            </w:r>
          </w:p>
        </w:tc>
      </w:tr>
      <w:tr w:rsidR="002946EA" w:rsidRPr="003F7F6C" w14:paraId="5FB0B730" w14:textId="77777777" w:rsidTr="00826EE8">
        <w:tc>
          <w:tcPr>
            <w:tcW w:w="1255" w:type="dxa"/>
            <w:vMerge/>
          </w:tcPr>
          <w:p w14:paraId="4EC19403" w14:textId="77777777" w:rsidR="002946EA" w:rsidRPr="003F7F6C" w:rsidRDefault="002946EA" w:rsidP="002946EA">
            <w:pPr>
              <w:spacing w:after="0"/>
              <w:rPr>
                <w:rFonts w:asciiTheme="minorHAnsi" w:eastAsia="Times New Roman" w:hAnsiTheme="minorHAnsi"/>
                <w:color w:val="000000"/>
                <w:sz w:val="18"/>
                <w:szCs w:val="18"/>
              </w:rPr>
            </w:pPr>
          </w:p>
        </w:tc>
        <w:tc>
          <w:tcPr>
            <w:tcW w:w="630" w:type="dxa"/>
            <w:shd w:val="clear" w:color="auto" w:fill="auto"/>
            <w:vAlign w:val="center"/>
          </w:tcPr>
          <w:p w14:paraId="73581127" w14:textId="77777777" w:rsidR="002946EA" w:rsidRPr="003F7F6C" w:rsidRDefault="002946EA" w:rsidP="002946EA">
            <w:pPr>
              <w:spacing w:after="0"/>
              <w:ind w:left="-144" w:right="-144"/>
              <w:jc w:val="center"/>
              <w:rPr>
                <w:rFonts w:asciiTheme="minorHAnsi" w:eastAsia="Times New Roman" w:hAnsiTheme="minorHAnsi"/>
                <w:color w:val="000000"/>
                <w:sz w:val="18"/>
                <w:szCs w:val="18"/>
              </w:rPr>
            </w:pPr>
            <w:r w:rsidRPr="003F7F6C">
              <w:rPr>
                <w:bCs/>
                <w:color w:val="000000"/>
                <w:sz w:val="18"/>
                <w:szCs w:val="18"/>
                <w:lang w:val="es-PY"/>
              </w:rPr>
              <w:t>SGAyDS</w:t>
            </w:r>
          </w:p>
        </w:tc>
        <w:tc>
          <w:tcPr>
            <w:tcW w:w="720" w:type="dxa"/>
            <w:shd w:val="clear" w:color="auto" w:fill="auto"/>
            <w:noWrap/>
            <w:vAlign w:val="center"/>
          </w:tcPr>
          <w:p w14:paraId="1496EBBF"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62000</w:t>
            </w:r>
          </w:p>
        </w:tc>
        <w:tc>
          <w:tcPr>
            <w:tcW w:w="540" w:type="dxa"/>
            <w:shd w:val="clear" w:color="auto" w:fill="auto"/>
            <w:noWrap/>
            <w:vAlign w:val="center"/>
          </w:tcPr>
          <w:p w14:paraId="7CDECB7C"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GEF</w:t>
            </w:r>
          </w:p>
        </w:tc>
        <w:tc>
          <w:tcPr>
            <w:tcW w:w="720" w:type="dxa"/>
            <w:shd w:val="clear" w:color="auto" w:fill="auto"/>
            <w:noWrap/>
            <w:vAlign w:val="center"/>
          </w:tcPr>
          <w:p w14:paraId="0A3150BB"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71600</w:t>
            </w:r>
          </w:p>
        </w:tc>
        <w:tc>
          <w:tcPr>
            <w:tcW w:w="2160" w:type="dxa"/>
            <w:shd w:val="clear" w:color="auto" w:fill="auto"/>
            <w:vAlign w:val="center"/>
          </w:tcPr>
          <w:p w14:paraId="20F2D301"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Travel</w:t>
            </w:r>
          </w:p>
        </w:tc>
        <w:tc>
          <w:tcPr>
            <w:tcW w:w="900" w:type="dxa"/>
            <w:shd w:val="clear" w:color="auto" w:fill="auto"/>
            <w:noWrap/>
            <w:vAlign w:val="center"/>
          </w:tcPr>
          <w:p w14:paraId="1E958244"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23,832</w:t>
            </w:r>
          </w:p>
        </w:tc>
        <w:tc>
          <w:tcPr>
            <w:tcW w:w="990" w:type="dxa"/>
            <w:shd w:val="clear" w:color="auto" w:fill="auto"/>
            <w:noWrap/>
            <w:vAlign w:val="center"/>
          </w:tcPr>
          <w:p w14:paraId="68B32751"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23,832</w:t>
            </w:r>
          </w:p>
        </w:tc>
        <w:tc>
          <w:tcPr>
            <w:tcW w:w="990" w:type="dxa"/>
            <w:shd w:val="clear" w:color="auto" w:fill="auto"/>
            <w:noWrap/>
            <w:vAlign w:val="center"/>
          </w:tcPr>
          <w:p w14:paraId="3BF84C9B"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23,832</w:t>
            </w:r>
          </w:p>
        </w:tc>
        <w:tc>
          <w:tcPr>
            <w:tcW w:w="990" w:type="dxa"/>
            <w:shd w:val="clear" w:color="auto" w:fill="auto"/>
            <w:noWrap/>
            <w:vAlign w:val="center"/>
          </w:tcPr>
          <w:p w14:paraId="3F9FABA7"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23,832</w:t>
            </w:r>
          </w:p>
        </w:tc>
        <w:tc>
          <w:tcPr>
            <w:tcW w:w="990" w:type="dxa"/>
            <w:shd w:val="clear" w:color="auto" w:fill="auto"/>
            <w:noWrap/>
            <w:vAlign w:val="center"/>
          </w:tcPr>
          <w:p w14:paraId="6B88FB3C"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23,832</w:t>
            </w:r>
          </w:p>
        </w:tc>
        <w:tc>
          <w:tcPr>
            <w:tcW w:w="990" w:type="dxa"/>
            <w:shd w:val="clear" w:color="auto" w:fill="auto"/>
            <w:noWrap/>
            <w:vAlign w:val="center"/>
          </w:tcPr>
          <w:p w14:paraId="011B1746"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23,832</w:t>
            </w:r>
          </w:p>
        </w:tc>
        <w:tc>
          <w:tcPr>
            <w:tcW w:w="990" w:type="dxa"/>
            <w:shd w:val="clear" w:color="auto" w:fill="auto"/>
            <w:noWrap/>
            <w:vAlign w:val="center"/>
          </w:tcPr>
          <w:p w14:paraId="07589041"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142,992</w:t>
            </w:r>
          </w:p>
        </w:tc>
        <w:tc>
          <w:tcPr>
            <w:tcW w:w="630" w:type="dxa"/>
            <w:shd w:val="clear" w:color="auto" w:fill="auto"/>
            <w:noWrap/>
            <w:vAlign w:val="center"/>
          </w:tcPr>
          <w:p w14:paraId="6BA2CD73" w14:textId="77777777" w:rsidR="002946EA" w:rsidRPr="003F7F6C" w:rsidRDefault="002946EA" w:rsidP="002946EA">
            <w:pPr>
              <w:spacing w:after="0"/>
              <w:jc w:val="center"/>
              <w:rPr>
                <w:rFonts w:asciiTheme="minorHAnsi" w:eastAsia="Times New Roman" w:hAnsiTheme="minorHAnsi"/>
                <w:color w:val="000000"/>
                <w:sz w:val="18"/>
                <w:szCs w:val="18"/>
              </w:rPr>
            </w:pPr>
            <w:r w:rsidRPr="003F7F6C">
              <w:rPr>
                <w:rFonts w:asciiTheme="minorHAnsi" w:eastAsia="Times New Roman" w:hAnsiTheme="minorHAnsi"/>
                <w:iCs/>
                <w:color w:val="000000"/>
                <w:sz w:val="18"/>
                <w:szCs w:val="18"/>
                <w:lang w:val="es-PY"/>
              </w:rPr>
              <w:t>10</w:t>
            </w:r>
          </w:p>
        </w:tc>
      </w:tr>
      <w:tr w:rsidR="002946EA" w:rsidRPr="003F7F6C" w14:paraId="2902ECC9" w14:textId="77777777" w:rsidTr="00826EE8">
        <w:tc>
          <w:tcPr>
            <w:tcW w:w="1255" w:type="dxa"/>
            <w:vMerge/>
          </w:tcPr>
          <w:p w14:paraId="19709F28" w14:textId="77777777" w:rsidR="002946EA" w:rsidRPr="003F7F6C" w:rsidRDefault="002946EA" w:rsidP="002946EA">
            <w:pPr>
              <w:spacing w:after="0"/>
              <w:rPr>
                <w:rFonts w:asciiTheme="minorHAnsi" w:eastAsia="Times New Roman" w:hAnsiTheme="minorHAnsi"/>
                <w:color w:val="000000"/>
                <w:sz w:val="18"/>
                <w:szCs w:val="18"/>
              </w:rPr>
            </w:pPr>
          </w:p>
        </w:tc>
        <w:tc>
          <w:tcPr>
            <w:tcW w:w="630" w:type="dxa"/>
            <w:shd w:val="clear" w:color="auto" w:fill="auto"/>
            <w:vAlign w:val="center"/>
          </w:tcPr>
          <w:p w14:paraId="10967888" w14:textId="77777777" w:rsidR="002946EA" w:rsidRPr="003F7F6C" w:rsidRDefault="002946EA" w:rsidP="002946EA">
            <w:pPr>
              <w:spacing w:after="0"/>
              <w:ind w:left="-144" w:right="-144"/>
              <w:jc w:val="center"/>
              <w:rPr>
                <w:rFonts w:asciiTheme="minorHAnsi" w:eastAsia="Times New Roman" w:hAnsiTheme="minorHAnsi"/>
                <w:color w:val="000000"/>
                <w:sz w:val="18"/>
                <w:szCs w:val="18"/>
              </w:rPr>
            </w:pPr>
            <w:r w:rsidRPr="003F7F6C">
              <w:rPr>
                <w:bCs/>
                <w:color w:val="000000"/>
                <w:sz w:val="18"/>
                <w:szCs w:val="18"/>
                <w:lang w:val="es-PY"/>
              </w:rPr>
              <w:t>SGAyDS</w:t>
            </w:r>
          </w:p>
        </w:tc>
        <w:tc>
          <w:tcPr>
            <w:tcW w:w="720" w:type="dxa"/>
            <w:shd w:val="clear" w:color="auto" w:fill="auto"/>
            <w:noWrap/>
            <w:vAlign w:val="center"/>
          </w:tcPr>
          <w:p w14:paraId="779AB951"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62000</w:t>
            </w:r>
          </w:p>
        </w:tc>
        <w:tc>
          <w:tcPr>
            <w:tcW w:w="540" w:type="dxa"/>
            <w:shd w:val="clear" w:color="auto" w:fill="auto"/>
            <w:noWrap/>
            <w:vAlign w:val="center"/>
          </w:tcPr>
          <w:p w14:paraId="05C4564F"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GEF</w:t>
            </w:r>
          </w:p>
        </w:tc>
        <w:tc>
          <w:tcPr>
            <w:tcW w:w="720" w:type="dxa"/>
            <w:shd w:val="clear" w:color="auto" w:fill="auto"/>
            <w:noWrap/>
            <w:vAlign w:val="center"/>
          </w:tcPr>
          <w:p w14:paraId="582FCE2B"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72200</w:t>
            </w:r>
          </w:p>
        </w:tc>
        <w:tc>
          <w:tcPr>
            <w:tcW w:w="2160" w:type="dxa"/>
            <w:shd w:val="clear" w:color="auto" w:fill="auto"/>
            <w:vAlign w:val="center"/>
          </w:tcPr>
          <w:p w14:paraId="3D052DAD"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Equipment and Furniture</w:t>
            </w:r>
          </w:p>
        </w:tc>
        <w:tc>
          <w:tcPr>
            <w:tcW w:w="900" w:type="dxa"/>
            <w:shd w:val="clear" w:color="auto" w:fill="auto"/>
            <w:noWrap/>
            <w:vAlign w:val="center"/>
          </w:tcPr>
          <w:p w14:paraId="0AB60876"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112,500</w:t>
            </w:r>
          </w:p>
        </w:tc>
        <w:tc>
          <w:tcPr>
            <w:tcW w:w="990" w:type="dxa"/>
            <w:shd w:val="clear" w:color="auto" w:fill="auto"/>
            <w:noWrap/>
            <w:vAlign w:val="center"/>
          </w:tcPr>
          <w:p w14:paraId="046F5CB4"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100,000</w:t>
            </w:r>
          </w:p>
        </w:tc>
        <w:tc>
          <w:tcPr>
            <w:tcW w:w="990" w:type="dxa"/>
            <w:shd w:val="clear" w:color="auto" w:fill="auto"/>
            <w:noWrap/>
            <w:vAlign w:val="center"/>
          </w:tcPr>
          <w:p w14:paraId="3F4423F5"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100,000</w:t>
            </w:r>
          </w:p>
        </w:tc>
        <w:tc>
          <w:tcPr>
            <w:tcW w:w="990" w:type="dxa"/>
            <w:shd w:val="clear" w:color="auto" w:fill="auto"/>
            <w:noWrap/>
            <w:vAlign w:val="center"/>
          </w:tcPr>
          <w:p w14:paraId="34243B2E"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100,000</w:t>
            </w:r>
          </w:p>
        </w:tc>
        <w:tc>
          <w:tcPr>
            <w:tcW w:w="990" w:type="dxa"/>
            <w:shd w:val="clear" w:color="auto" w:fill="auto"/>
            <w:noWrap/>
            <w:vAlign w:val="center"/>
          </w:tcPr>
          <w:p w14:paraId="6CFF30FF"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100,000</w:t>
            </w:r>
          </w:p>
        </w:tc>
        <w:tc>
          <w:tcPr>
            <w:tcW w:w="990" w:type="dxa"/>
            <w:shd w:val="clear" w:color="auto" w:fill="auto"/>
            <w:noWrap/>
            <w:vAlign w:val="center"/>
          </w:tcPr>
          <w:p w14:paraId="150785F3"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 xml:space="preserve">- </w:t>
            </w:r>
          </w:p>
        </w:tc>
        <w:tc>
          <w:tcPr>
            <w:tcW w:w="990" w:type="dxa"/>
            <w:shd w:val="clear" w:color="auto" w:fill="auto"/>
            <w:noWrap/>
            <w:vAlign w:val="center"/>
          </w:tcPr>
          <w:p w14:paraId="5CAA708D"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512,500</w:t>
            </w:r>
          </w:p>
        </w:tc>
        <w:tc>
          <w:tcPr>
            <w:tcW w:w="630" w:type="dxa"/>
            <w:shd w:val="clear" w:color="auto" w:fill="auto"/>
            <w:noWrap/>
            <w:vAlign w:val="center"/>
          </w:tcPr>
          <w:p w14:paraId="11ACB0AF" w14:textId="77777777" w:rsidR="002946EA" w:rsidRPr="003F7F6C" w:rsidRDefault="002946EA" w:rsidP="002946EA">
            <w:pPr>
              <w:spacing w:after="0"/>
              <w:jc w:val="center"/>
              <w:rPr>
                <w:rFonts w:asciiTheme="minorHAnsi" w:eastAsia="Times New Roman" w:hAnsiTheme="minorHAnsi"/>
                <w:color w:val="000000"/>
                <w:sz w:val="18"/>
                <w:szCs w:val="18"/>
              </w:rPr>
            </w:pPr>
            <w:r w:rsidRPr="003F7F6C">
              <w:rPr>
                <w:rFonts w:asciiTheme="minorHAnsi" w:eastAsia="Times New Roman" w:hAnsiTheme="minorHAnsi"/>
                <w:iCs/>
                <w:color w:val="000000"/>
                <w:sz w:val="18"/>
                <w:szCs w:val="18"/>
                <w:lang w:val="es-PY"/>
              </w:rPr>
              <w:t>11</w:t>
            </w:r>
          </w:p>
        </w:tc>
      </w:tr>
      <w:tr w:rsidR="002946EA" w:rsidRPr="003F7F6C" w14:paraId="41EF7B0F" w14:textId="77777777" w:rsidTr="00826EE8">
        <w:tc>
          <w:tcPr>
            <w:tcW w:w="1255" w:type="dxa"/>
            <w:vMerge/>
          </w:tcPr>
          <w:p w14:paraId="7042B23C" w14:textId="77777777" w:rsidR="002946EA" w:rsidRPr="003F7F6C" w:rsidRDefault="002946EA" w:rsidP="002946EA">
            <w:pPr>
              <w:spacing w:after="0"/>
              <w:rPr>
                <w:rFonts w:asciiTheme="minorHAnsi" w:eastAsia="Times New Roman" w:hAnsiTheme="minorHAnsi"/>
                <w:color w:val="000000"/>
                <w:sz w:val="18"/>
                <w:szCs w:val="18"/>
              </w:rPr>
            </w:pPr>
          </w:p>
        </w:tc>
        <w:tc>
          <w:tcPr>
            <w:tcW w:w="630" w:type="dxa"/>
            <w:shd w:val="clear" w:color="auto" w:fill="auto"/>
            <w:vAlign w:val="center"/>
          </w:tcPr>
          <w:p w14:paraId="49BC921F" w14:textId="77777777" w:rsidR="002946EA" w:rsidRPr="003F7F6C" w:rsidRDefault="002946EA" w:rsidP="002946EA">
            <w:pPr>
              <w:spacing w:after="0"/>
              <w:ind w:left="-144" w:right="-144"/>
              <w:jc w:val="center"/>
              <w:rPr>
                <w:rFonts w:asciiTheme="minorHAnsi" w:eastAsia="Times New Roman" w:hAnsiTheme="minorHAnsi"/>
                <w:color w:val="000000"/>
                <w:sz w:val="18"/>
                <w:szCs w:val="18"/>
              </w:rPr>
            </w:pPr>
            <w:r w:rsidRPr="003F7F6C">
              <w:rPr>
                <w:bCs/>
                <w:color w:val="000000"/>
                <w:sz w:val="18"/>
                <w:szCs w:val="18"/>
                <w:lang w:val="es-PY"/>
              </w:rPr>
              <w:t>SGAyDS</w:t>
            </w:r>
          </w:p>
        </w:tc>
        <w:tc>
          <w:tcPr>
            <w:tcW w:w="720" w:type="dxa"/>
            <w:shd w:val="clear" w:color="auto" w:fill="auto"/>
            <w:noWrap/>
            <w:vAlign w:val="center"/>
          </w:tcPr>
          <w:p w14:paraId="623E7F82"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62000</w:t>
            </w:r>
          </w:p>
        </w:tc>
        <w:tc>
          <w:tcPr>
            <w:tcW w:w="540" w:type="dxa"/>
            <w:shd w:val="clear" w:color="auto" w:fill="auto"/>
            <w:noWrap/>
            <w:vAlign w:val="center"/>
          </w:tcPr>
          <w:p w14:paraId="12AE8CAD"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GEF</w:t>
            </w:r>
          </w:p>
        </w:tc>
        <w:tc>
          <w:tcPr>
            <w:tcW w:w="720" w:type="dxa"/>
            <w:shd w:val="clear" w:color="auto" w:fill="auto"/>
            <w:noWrap/>
            <w:vAlign w:val="center"/>
          </w:tcPr>
          <w:p w14:paraId="4D577248"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72300</w:t>
            </w:r>
          </w:p>
        </w:tc>
        <w:tc>
          <w:tcPr>
            <w:tcW w:w="2160" w:type="dxa"/>
            <w:shd w:val="clear" w:color="auto" w:fill="auto"/>
            <w:vAlign w:val="center"/>
          </w:tcPr>
          <w:p w14:paraId="2EC81F28"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Materials &amp; Goods</w:t>
            </w:r>
          </w:p>
        </w:tc>
        <w:tc>
          <w:tcPr>
            <w:tcW w:w="900" w:type="dxa"/>
            <w:shd w:val="clear" w:color="auto" w:fill="auto"/>
            <w:noWrap/>
            <w:vAlign w:val="center"/>
          </w:tcPr>
          <w:p w14:paraId="4E6003B1"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8,333</w:t>
            </w:r>
          </w:p>
        </w:tc>
        <w:tc>
          <w:tcPr>
            <w:tcW w:w="990" w:type="dxa"/>
            <w:shd w:val="clear" w:color="auto" w:fill="auto"/>
            <w:noWrap/>
            <w:vAlign w:val="center"/>
          </w:tcPr>
          <w:p w14:paraId="547A860D"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8,333</w:t>
            </w:r>
          </w:p>
        </w:tc>
        <w:tc>
          <w:tcPr>
            <w:tcW w:w="990" w:type="dxa"/>
            <w:shd w:val="clear" w:color="auto" w:fill="auto"/>
            <w:noWrap/>
            <w:vAlign w:val="center"/>
          </w:tcPr>
          <w:p w14:paraId="7B757803"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8,333</w:t>
            </w:r>
          </w:p>
        </w:tc>
        <w:tc>
          <w:tcPr>
            <w:tcW w:w="990" w:type="dxa"/>
            <w:shd w:val="clear" w:color="auto" w:fill="auto"/>
            <w:noWrap/>
            <w:vAlign w:val="center"/>
          </w:tcPr>
          <w:p w14:paraId="6489FC61"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8,333</w:t>
            </w:r>
          </w:p>
        </w:tc>
        <w:tc>
          <w:tcPr>
            <w:tcW w:w="990" w:type="dxa"/>
            <w:shd w:val="clear" w:color="auto" w:fill="auto"/>
            <w:noWrap/>
            <w:vAlign w:val="center"/>
          </w:tcPr>
          <w:p w14:paraId="1CA407A8"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8,334</w:t>
            </w:r>
          </w:p>
        </w:tc>
        <w:tc>
          <w:tcPr>
            <w:tcW w:w="990" w:type="dxa"/>
            <w:shd w:val="clear" w:color="auto" w:fill="auto"/>
            <w:noWrap/>
            <w:vAlign w:val="center"/>
          </w:tcPr>
          <w:p w14:paraId="5BC67984"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8,334</w:t>
            </w:r>
          </w:p>
        </w:tc>
        <w:tc>
          <w:tcPr>
            <w:tcW w:w="990" w:type="dxa"/>
            <w:shd w:val="clear" w:color="auto" w:fill="auto"/>
            <w:noWrap/>
            <w:vAlign w:val="center"/>
          </w:tcPr>
          <w:p w14:paraId="6830B3B6"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50,000</w:t>
            </w:r>
          </w:p>
        </w:tc>
        <w:tc>
          <w:tcPr>
            <w:tcW w:w="630" w:type="dxa"/>
            <w:shd w:val="clear" w:color="auto" w:fill="auto"/>
            <w:noWrap/>
            <w:vAlign w:val="center"/>
          </w:tcPr>
          <w:p w14:paraId="2F6B4980" w14:textId="77777777" w:rsidR="002946EA" w:rsidRPr="003F7F6C" w:rsidRDefault="002946EA" w:rsidP="002946EA">
            <w:pPr>
              <w:spacing w:after="0"/>
              <w:jc w:val="center"/>
              <w:rPr>
                <w:rFonts w:asciiTheme="minorHAnsi" w:eastAsia="Times New Roman" w:hAnsiTheme="minorHAnsi"/>
                <w:color w:val="000000"/>
                <w:sz w:val="18"/>
                <w:szCs w:val="18"/>
              </w:rPr>
            </w:pPr>
            <w:r w:rsidRPr="003F7F6C">
              <w:rPr>
                <w:rFonts w:asciiTheme="minorHAnsi" w:eastAsia="Times New Roman" w:hAnsiTheme="minorHAnsi"/>
                <w:iCs/>
                <w:color w:val="000000"/>
                <w:sz w:val="18"/>
                <w:szCs w:val="18"/>
                <w:lang w:val="es-PY"/>
              </w:rPr>
              <w:t>12</w:t>
            </w:r>
          </w:p>
        </w:tc>
      </w:tr>
      <w:tr w:rsidR="00DB5D01" w:rsidRPr="003F7F6C" w14:paraId="467B90BD" w14:textId="77777777" w:rsidTr="00826EE8">
        <w:tc>
          <w:tcPr>
            <w:tcW w:w="1255" w:type="dxa"/>
            <w:vMerge/>
          </w:tcPr>
          <w:p w14:paraId="1B50B3D6" w14:textId="77777777" w:rsidR="00DB5D01" w:rsidRPr="003F7F6C" w:rsidRDefault="00DB5D01" w:rsidP="00DB5D01">
            <w:pPr>
              <w:spacing w:after="0"/>
              <w:rPr>
                <w:rFonts w:asciiTheme="minorHAnsi" w:eastAsia="Times New Roman" w:hAnsiTheme="minorHAnsi"/>
                <w:color w:val="000000"/>
                <w:sz w:val="18"/>
                <w:szCs w:val="18"/>
              </w:rPr>
            </w:pPr>
          </w:p>
        </w:tc>
        <w:tc>
          <w:tcPr>
            <w:tcW w:w="630" w:type="dxa"/>
            <w:shd w:val="clear" w:color="auto" w:fill="auto"/>
            <w:vAlign w:val="center"/>
          </w:tcPr>
          <w:p w14:paraId="020FD3DD" w14:textId="77777777" w:rsidR="00DB5D01" w:rsidRPr="003F7F6C" w:rsidRDefault="00DB5D01" w:rsidP="00DB5D01">
            <w:pPr>
              <w:spacing w:after="0"/>
              <w:ind w:left="-144" w:right="-144"/>
              <w:jc w:val="center"/>
              <w:rPr>
                <w:rFonts w:asciiTheme="minorHAnsi" w:eastAsia="Times New Roman" w:hAnsiTheme="minorHAnsi"/>
                <w:color w:val="000000"/>
                <w:sz w:val="18"/>
                <w:szCs w:val="18"/>
              </w:rPr>
            </w:pPr>
            <w:r w:rsidRPr="003F7F6C">
              <w:rPr>
                <w:bCs/>
                <w:color w:val="000000"/>
                <w:sz w:val="18"/>
                <w:szCs w:val="18"/>
                <w:lang w:val="es-PY"/>
              </w:rPr>
              <w:t>SGAyDS</w:t>
            </w:r>
          </w:p>
        </w:tc>
        <w:tc>
          <w:tcPr>
            <w:tcW w:w="720" w:type="dxa"/>
            <w:shd w:val="clear" w:color="auto" w:fill="auto"/>
            <w:noWrap/>
            <w:vAlign w:val="center"/>
          </w:tcPr>
          <w:p w14:paraId="343F84D3" w14:textId="77777777" w:rsidR="00DB5D01" w:rsidRPr="003F7F6C" w:rsidRDefault="00DB5D01" w:rsidP="00DB5D01">
            <w:pPr>
              <w:spacing w:after="0"/>
              <w:rPr>
                <w:rFonts w:asciiTheme="minorHAnsi" w:eastAsia="Times New Roman" w:hAnsiTheme="minorHAnsi"/>
                <w:color w:val="000000"/>
                <w:sz w:val="18"/>
                <w:szCs w:val="18"/>
              </w:rPr>
            </w:pPr>
            <w:r w:rsidRPr="003F7F6C">
              <w:rPr>
                <w:bCs/>
                <w:color w:val="000000"/>
                <w:sz w:val="18"/>
                <w:szCs w:val="18"/>
                <w:lang w:val="es-PY"/>
              </w:rPr>
              <w:t>62000</w:t>
            </w:r>
          </w:p>
        </w:tc>
        <w:tc>
          <w:tcPr>
            <w:tcW w:w="540" w:type="dxa"/>
            <w:shd w:val="clear" w:color="auto" w:fill="auto"/>
            <w:noWrap/>
            <w:vAlign w:val="center"/>
          </w:tcPr>
          <w:p w14:paraId="03D76DB2" w14:textId="77777777" w:rsidR="00DB5D01" w:rsidRPr="003F7F6C" w:rsidRDefault="00DB5D01" w:rsidP="00DB5D01">
            <w:pPr>
              <w:spacing w:after="0"/>
              <w:rPr>
                <w:rFonts w:asciiTheme="minorHAnsi" w:eastAsia="Times New Roman" w:hAnsiTheme="minorHAnsi"/>
                <w:color w:val="000000"/>
                <w:sz w:val="18"/>
                <w:szCs w:val="18"/>
              </w:rPr>
            </w:pPr>
            <w:r w:rsidRPr="003F7F6C">
              <w:rPr>
                <w:bCs/>
                <w:color w:val="000000"/>
                <w:sz w:val="18"/>
                <w:szCs w:val="18"/>
                <w:lang w:val="es-PY"/>
              </w:rPr>
              <w:t>GEF</w:t>
            </w:r>
          </w:p>
        </w:tc>
        <w:tc>
          <w:tcPr>
            <w:tcW w:w="720" w:type="dxa"/>
            <w:shd w:val="clear" w:color="auto" w:fill="auto"/>
            <w:noWrap/>
            <w:vAlign w:val="center"/>
          </w:tcPr>
          <w:p w14:paraId="7A980460" w14:textId="478D9458" w:rsidR="00DB5D01" w:rsidRPr="003F7F6C" w:rsidRDefault="00DB5D01" w:rsidP="00DB5D01">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72100</w:t>
            </w:r>
          </w:p>
        </w:tc>
        <w:tc>
          <w:tcPr>
            <w:tcW w:w="2160" w:type="dxa"/>
            <w:shd w:val="clear" w:color="auto" w:fill="auto"/>
            <w:vAlign w:val="center"/>
          </w:tcPr>
          <w:p w14:paraId="34ECD85A" w14:textId="73725834" w:rsidR="00DB5D01" w:rsidRPr="003F7F6C" w:rsidRDefault="00DB5D01" w:rsidP="00DB5D01">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Contractual Services-Companies</w:t>
            </w:r>
          </w:p>
        </w:tc>
        <w:tc>
          <w:tcPr>
            <w:tcW w:w="900" w:type="dxa"/>
            <w:shd w:val="clear" w:color="auto" w:fill="auto"/>
            <w:noWrap/>
            <w:vAlign w:val="center"/>
          </w:tcPr>
          <w:p w14:paraId="7D34C9BC" w14:textId="77777777" w:rsidR="00DB5D01" w:rsidRPr="003F7F6C" w:rsidRDefault="00DB5D01" w:rsidP="00DB5D01">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 xml:space="preserve">- </w:t>
            </w:r>
          </w:p>
        </w:tc>
        <w:tc>
          <w:tcPr>
            <w:tcW w:w="990" w:type="dxa"/>
            <w:shd w:val="clear" w:color="auto" w:fill="auto"/>
            <w:noWrap/>
            <w:vAlign w:val="center"/>
          </w:tcPr>
          <w:p w14:paraId="6D2C37B7" w14:textId="77777777" w:rsidR="00DB5D01" w:rsidRPr="003F7F6C" w:rsidRDefault="00DB5D01" w:rsidP="00DB5D01">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940,000</w:t>
            </w:r>
          </w:p>
        </w:tc>
        <w:tc>
          <w:tcPr>
            <w:tcW w:w="990" w:type="dxa"/>
            <w:shd w:val="clear" w:color="auto" w:fill="auto"/>
            <w:noWrap/>
            <w:vAlign w:val="center"/>
          </w:tcPr>
          <w:p w14:paraId="54626296" w14:textId="77777777" w:rsidR="00DB5D01" w:rsidRPr="003F7F6C" w:rsidRDefault="00DB5D01" w:rsidP="00DB5D01">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940,000</w:t>
            </w:r>
          </w:p>
        </w:tc>
        <w:tc>
          <w:tcPr>
            <w:tcW w:w="990" w:type="dxa"/>
            <w:shd w:val="clear" w:color="auto" w:fill="auto"/>
            <w:noWrap/>
            <w:vAlign w:val="center"/>
          </w:tcPr>
          <w:p w14:paraId="5D6CFF1D" w14:textId="77777777" w:rsidR="00DB5D01" w:rsidRPr="003F7F6C" w:rsidRDefault="00DB5D01" w:rsidP="00DB5D01">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940,000</w:t>
            </w:r>
          </w:p>
        </w:tc>
        <w:tc>
          <w:tcPr>
            <w:tcW w:w="990" w:type="dxa"/>
            <w:shd w:val="clear" w:color="auto" w:fill="auto"/>
            <w:noWrap/>
            <w:vAlign w:val="center"/>
          </w:tcPr>
          <w:p w14:paraId="3983E795" w14:textId="77777777" w:rsidR="00DB5D01" w:rsidRPr="003F7F6C" w:rsidRDefault="00DB5D01" w:rsidP="00DB5D01">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940,000</w:t>
            </w:r>
          </w:p>
        </w:tc>
        <w:tc>
          <w:tcPr>
            <w:tcW w:w="990" w:type="dxa"/>
            <w:shd w:val="clear" w:color="auto" w:fill="auto"/>
            <w:noWrap/>
            <w:vAlign w:val="center"/>
          </w:tcPr>
          <w:p w14:paraId="14581620" w14:textId="77777777" w:rsidR="00DB5D01" w:rsidRPr="003F7F6C" w:rsidRDefault="00DB5D01" w:rsidP="00DB5D01">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940,000</w:t>
            </w:r>
          </w:p>
        </w:tc>
        <w:tc>
          <w:tcPr>
            <w:tcW w:w="990" w:type="dxa"/>
            <w:shd w:val="clear" w:color="auto" w:fill="auto"/>
            <w:noWrap/>
            <w:vAlign w:val="center"/>
          </w:tcPr>
          <w:p w14:paraId="125578AF" w14:textId="77777777" w:rsidR="00DB5D01" w:rsidRPr="003F7F6C" w:rsidRDefault="00DB5D01" w:rsidP="00DB5D01">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4,700,000</w:t>
            </w:r>
          </w:p>
        </w:tc>
        <w:tc>
          <w:tcPr>
            <w:tcW w:w="630" w:type="dxa"/>
            <w:shd w:val="clear" w:color="auto" w:fill="auto"/>
            <w:noWrap/>
            <w:vAlign w:val="center"/>
          </w:tcPr>
          <w:p w14:paraId="740387BF" w14:textId="77777777" w:rsidR="00DB5D01" w:rsidRPr="003F7F6C" w:rsidRDefault="00DB5D01" w:rsidP="00DB5D01">
            <w:pPr>
              <w:spacing w:after="0"/>
              <w:jc w:val="center"/>
              <w:rPr>
                <w:rFonts w:asciiTheme="minorHAnsi" w:eastAsia="Times New Roman" w:hAnsiTheme="minorHAnsi"/>
                <w:color w:val="000000"/>
                <w:sz w:val="18"/>
                <w:szCs w:val="18"/>
              </w:rPr>
            </w:pPr>
            <w:r w:rsidRPr="003F7F6C">
              <w:rPr>
                <w:rFonts w:asciiTheme="minorHAnsi" w:eastAsia="Times New Roman" w:hAnsiTheme="minorHAnsi"/>
                <w:iCs/>
                <w:color w:val="000000"/>
                <w:sz w:val="18"/>
                <w:szCs w:val="18"/>
                <w:lang w:val="es-PY"/>
              </w:rPr>
              <w:t>13</w:t>
            </w:r>
          </w:p>
        </w:tc>
      </w:tr>
      <w:tr w:rsidR="002946EA" w:rsidRPr="003F7F6C" w14:paraId="0715910F" w14:textId="77777777" w:rsidTr="00826EE8">
        <w:tc>
          <w:tcPr>
            <w:tcW w:w="1255" w:type="dxa"/>
            <w:vMerge/>
          </w:tcPr>
          <w:p w14:paraId="0D6C814C" w14:textId="77777777" w:rsidR="002946EA" w:rsidRPr="003F7F6C" w:rsidRDefault="002946EA" w:rsidP="002946EA">
            <w:pPr>
              <w:spacing w:after="0"/>
              <w:rPr>
                <w:rFonts w:asciiTheme="minorHAnsi" w:eastAsia="Times New Roman" w:hAnsiTheme="minorHAnsi"/>
                <w:color w:val="000000"/>
                <w:sz w:val="18"/>
                <w:szCs w:val="18"/>
              </w:rPr>
            </w:pPr>
          </w:p>
        </w:tc>
        <w:tc>
          <w:tcPr>
            <w:tcW w:w="630" w:type="dxa"/>
            <w:shd w:val="clear" w:color="auto" w:fill="auto"/>
            <w:vAlign w:val="center"/>
          </w:tcPr>
          <w:p w14:paraId="16A903E6" w14:textId="77777777" w:rsidR="002946EA" w:rsidRPr="003F7F6C" w:rsidRDefault="002946EA" w:rsidP="002946EA">
            <w:pPr>
              <w:spacing w:after="0"/>
              <w:ind w:left="-144" w:right="-144"/>
              <w:jc w:val="center"/>
              <w:rPr>
                <w:rFonts w:asciiTheme="minorHAnsi" w:eastAsia="Times New Roman" w:hAnsiTheme="minorHAnsi"/>
                <w:color w:val="000000"/>
                <w:sz w:val="18"/>
                <w:szCs w:val="18"/>
              </w:rPr>
            </w:pPr>
            <w:r w:rsidRPr="003F7F6C">
              <w:rPr>
                <w:bCs/>
                <w:color w:val="000000"/>
                <w:sz w:val="18"/>
                <w:szCs w:val="18"/>
                <w:lang w:val="es-PY"/>
              </w:rPr>
              <w:t>SGAyDS</w:t>
            </w:r>
          </w:p>
        </w:tc>
        <w:tc>
          <w:tcPr>
            <w:tcW w:w="720" w:type="dxa"/>
            <w:shd w:val="clear" w:color="auto" w:fill="auto"/>
            <w:noWrap/>
            <w:vAlign w:val="center"/>
          </w:tcPr>
          <w:p w14:paraId="6D074660"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62000</w:t>
            </w:r>
          </w:p>
        </w:tc>
        <w:tc>
          <w:tcPr>
            <w:tcW w:w="540" w:type="dxa"/>
            <w:shd w:val="clear" w:color="auto" w:fill="auto"/>
            <w:noWrap/>
            <w:vAlign w:val="center"/>
          </w:tcPr>
          <w:p w14:paraId="4B23B714"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GEF</w:t>
            </w:r>
          </w:p>
        </w:tc>
        <w:tc>
          <w:tcPr>
            <w:tcW w:w="720" w:type="dxa"/>
            <w:shd w:val="clear" w:color="auto" w:fill="auto"/>
            <w:noWrap/>
            <w:vAlign w:val="center"/>
          </w:tcPr>
          <w:p w14:paraId="34334AD1"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75700</w:t>
            </w:r>
          </w:p>
        </w:tc>
        <w:tc>
          <w:tcPr>
            <w:tcW w:w="2160" w:type="dxa"/>
            <w:shd w:val="clear" w:color="auto" w:fill="auto"/>
            <w:vAlign w:val="center"/>
          </w:tcPr>
          <w:p w14:paraId="2EC9F185"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Training, Workshops and Confer</w:t>
            </w:r>
          </w:p>
        </w:tc>
        <w:tc>
          <w:tcPr>
            <w:tcW w:w="900" w:type="dxa"/>
            <w:shd w:val="clear" w:color="auto" w:fill="auto"/>
            <w:noWrap/>
            <w:vAlign w:val="center"/>
          </w:tcPr>
          <w:p w14:paraId="14433AA2"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25,390</w:t>
            </w:r>
          </w:p>
        </w:tc>
        <w:tc>
          <w:tcPr>
            <w:tcW w:w="990" w:type="dxa"/>
            <w:shd w:val="clear" w:color="auto" w:fill="auto"/>
            <w:noWrap/>
            <w:vAlign w:val="center"/>
          </w:tcPr>
          <w:p w14:paraId="722D1EFB"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25,391</w:t>
            </w:r>
          </w:p>
        </w:tc>
        <w:tc>
          <w:tcPr>
            <w:tcW w:w="990" w:type="dxa"/>
            <w:shd w:val="clear" w:color="auto" w:fill="auto"/>
            <w:noWrap/>
            <w:vAlign w:val="center"/>
          </w:tcPr>
          <w:p w14:paraId="480A83FC"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25,391</w:t>
            </w:r>
          </w:p>
        </w:tc>
        <w:tc>
          <w:tcPr>
            <w:tcW w:w="990" w:type="dxa"/>
            <w:shd w:val="clear" w:color="auto" w:fill="auto"/>
            <w:noWrap/>
            <w:vAlign w:val="center"/>
          </w:tcPr>
          <w:p w14:paraId="56763DAD"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25,391</w:t>
            </w:r>
          </w:p>
        </w:tc>
        <w:tc>
          <w:tcPr>
            <w:tcW w:w="990" w:type="dxa"/>
            <w:shd w:val="clear" w:color="auto" w:fill="auto"/>
            <w:noWrap/>
            <w:vAlign w:val="center"/>
          </w:tcPr>
          <w:p w14:paraId="1128FB9A"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25,392</w:t>
            </w:r>
          </w:p>
        </w:tc>
        <w:tc>
          <w:tcPr>
            <w:tcW w:w="990" w:type="dxa"/>
            <w:shd w:val="clear" w:color="auto" w:fill="auto"/>
            <w:noWrap/>
            <w:vAlign w:val="center"/>
          </w:tcPr>
          <w:p w14:paraId="6C49100B"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25,392</w:t>
            </w:r>
          </w:p>
        </w:tc>
        <w:tc>
          <w:tcPr>
            <w:tcW w:w="990" w:type="dxa"/>
            <w:shd w:val="clear" w:color="auto" w:fill="auto"/>
            <w:noWrap/>
            <w:vAlign w:val="center"/>
          </w:tcPr>
          <w:p w14:paraId="49F972AD" w14:textId="77777777" w:rsidR="002946EA" w:rsidRPr="003F7F6C" w:rsidRDefault="002946EA" w:rsidP="002946EA">
            <w:pPr>
              <w:spacing w:after="0"/>
              <w:jc w:val="right"/>
              <w:rPr>
                <w:rFonts w:asciiTheme="minorHAnsi" w:eastAsia="Times New Roman" w:hAnsiTheme="minorHAnsi"/>
                <w:color w:val="000000"/>
                <w:sz w:val="18"/>
                <w:szCs w:val="18"/>
                <w:lang w:val="es-PY"/>
              </w:rPr>
            </w:pPr>
            <w:r w:rsidRPr="003F7F6C">
              <w:rPr>
                <w:rFonts w:asciiTheme="minorHAnsi" w:eastAsia="Times New Roman" w:hAnsiTheme="minorHAnsi"/>
                <w:color w:val="000000"/>
                <w:sz w:val="18"/>
                <w:szCs w:val="18"/>
                <w:lang w:val="es-PY"/>
              </w:rPr>
              <w:t>152,347</w:t>
            </w:r>
          </w:p>
        </w:tc>
        <w:tc>
          <w:tcPr>
            <w:tcW w:w="630" w:type="dxa"/>
            <w:shd w:val="clear" w:color="auto" w:fill="auto"/>
            <w:noWrap/>
            <w:vAlign w:val="center"/>
          </w:tcPr>
          <w:p w14:paraId="01B13A48" w14:textId="77777777" w:rsidR="002946EA" w:rsidRPr="003F7F6C" w:rsidRDefault="002946EA" w:rsidP="002946EA">
            <w:pPr>
              <w:spacing w:after="0"/>
              <w:jc w:val="center"/>
              <w:rPr>
                <w:rFonts w:asciiTheme="minorHAnsi" w:eastAsia="Times New Roman" w:hAnsiTheme="minorHAnsi"/>
                <w:color w:val="000000"/>
                <w:sz w:val="18"/>
                <w:szCs w:val="18"/>
              </w:rPr>
            </w:pPr>
            <w:r w:rsidRPr="003F7F6C">
              <w:rPr>
                <w:rFonts w:asciiTheme="minorHAnsi" w:eastAsia="Times New Roman" w:hAnsiTheme="minorHAnsi"/>
                <w:iCs/>
                <w:color w:val="000000"/>
                <w:sz w:val="18"/>
                <w:szCs w:val="18"/>
                <w:lang w:val="es-PY"/>
              </w:rPr>
              <w:t>14</w:t>
            </w:r>
          </w:p>
        </w:tc>
      </w:tr>
      <w:tr w:rsidR="002946EA" w:rsidRPr="003F7F6C" w14:paraId="3BEF84DC" w14:textId="77777777" w:rsidTr="00826EE8">
        <w:tc>
          <w:tcPr>
            <w:tcW w:w="1885" w:type="dxa"/>
            <w:gridSpan w:val="2"/>
            <w:noWrap/>
            <w:hideMark/>
          </w:tcPr>
          <w:p w14:paraId="616AA911" w14:textId="77777777" w:rsidR="002946EA" w:rsidRPr="003F7F6C" w:rsidRDefault="002946EA" w:rsidP="002946EA">
            <w:pPr>
              <w:spacing w:after="0"/>
              <w:ind w:left="-144" w:right="-144"/>
              <w:jc w:val="center"/>
              <w:rPr>
                <w:rFonts w:asciiTheme="minorHAnsi" w:eastAsia="Times New Roman" w:hAnsiTheme="minorHAnsi"/>
                <w:b/>
                <w:bCs/>
                <w:color w:val="000000"/>
                <w:sz w:val="18"/>
                <w:szCs w:val="18"/>
              </w:rPr>
            </w:pPr>
            <w:r w:rsidRPr="003F7F6C">
              <w:rPr>
                <w:rFonts w:asciiTheme="minorHAnsi" w:eastAsia="Times New Roman" w:hAnsiTheme="minorHAnsi"/>
                <w:b/>
                <w:bCs/>
                <w:color w:val="000000"/>
                <w:sz w:val="18"/>
                <w:szCs w:val="18"/>
              </w:rPr>
              <w:t>Total Outcome 2</w:t>
            </w:r>
          </w:p>
        </w:tc>
        <w:tc>
          <w:tcPr>
            <w:tcW w:w="720" w:type="dxa"/>
            <w:noWrap/>
            <w:hideMark/>
          </w:tcPr>
          <w:p w14:paraId="53E4DFFC" w14:textId="77777777" w:rsidR="002946EA" w:rsidRPr="003F7F6C" w:rsidRDefault="002946EA" w:rsidP="002946EA">
            <w:pPr>
              <w:spacing w:after="0"/>
              <w:rPr>
                <w:rFonts w:asciiTheme="minorHAnsi" w:eastAsia="Times New Roman" w:hAnsiTheme="minorHAnsi"/>
                <w:b/>
                <w:bCs/>
                <w:color w:val="000000"/>
                <w:sz w:val="18"/>
                <w:szCs w:val="18"/>
              </w:rPr>
            </w:pPr>
          </w:p>
        </w:tc>
        <w:tc>
          <w:tcPr>
            <w:tcW w:w="540" w:type="dxa"/>
            <w:noWrap/>
            <w:hideMark/>
          </w:tcPr>
          <w:p w14:paraId="0E71A9E8" w14:textId="77777777" w:rsidR="002946EA" w:rsidRPr="003F7F6C" w:rsidRDefault="002946EA" w:rsidP="002946EA">
            <w:pPr>
              <w:spacing w:after="0"/>
              <w:rPr>
                <w:rFonts w:asciiTheme="minorHAnsi" w:eastAsia="Times New Roman" w:hAnsiTheme="minorHAnsi"/>
                <w:sz w:val="18"/>
                <w:szCs w:val="18"/>
              </w:rPr>
            </w:pPr>
          </w:p>
        </w:tc>
        <w:tc>
          <w:tcPr>
            <w:tcW w:w="720" w:type="dxa"/>
            <w:noWrap/>
            <w:hideMark/>
          </w:tcPr>
          <w:p w14:paraId="398FD737" w14:textId="77777777" w:rsidR="002946EA" w:rsidRPr="003F7F6C" w:rsidRDefault="002946EA" w:rsidP="002946EA">
            <w:pPr>
              <w:spacing w:after="0"/>
              <w:rPr>
                <w:rFonts w:asciiTheme="minorHAnsi" w:eastAsia="Times New Roman" w:hAnsiTheme="minorHAnsi"/>
                <w:sz w:val="18"/>
                <w:szCs w:val="18"/>
              </w:rPr>
            </w:pPr>
          </w:p>
        </w:tc>
        <w:tc>
          <w:tcPr>
            <w:tcW w:w="2160" w:type="dxa"/>
            <w:hideMark/>
          </w:tcPr>
          <w:p w14:paraId="5E4019B8" w14:textId="77777777" w:rsidR="002946EA" w:rsidRPr="003F7F6C" w:rsidRDefault="002946EA" w:rsidP="002946EA">
            <w:pPr>
              <w:spacing w:after="0"/>
              <w:rPr>
                <w:rFonts w:asciiTheme="minorHAnsi" w:eastAsia="Times New Roman" w:hAnsiTheme="minorHAnsi"/>
                <w:sz w:val="18"/>
                <w:szCs w:val="18"/>
              </w:rPr>
            </w:pPr>
          </w:p>
        </w:tc>
        <w:tc>
          <w:tcPr>
            <w:tcW w:w="900" w:type="dxa"/>
            <w:noWrap/>
            <w:hideMark/>
          </w:tcPr>
          <w:p w14:paraId="5C277F49" w14:textId="77777777" w:rsidR="002946EA" w:rsidRPr="003F7F6C" w:rsidRDefault="002946EA" w:rsidP="002946EA">
            <w:pPr>
              <w:spacing w:after="0"/>
              <w:jc w:val="right"/>
              <w:rPr>
                <w:rFonts w:asciiTheme="minorHAnsi" w:eastAsia="Times New Roman" w:hAnsiTheme="minorHAnsi"/>
                <w:b/>
                <w:color w:val="000000"/>
                <w:sz w:val="18"/>
                <w:szCs w:val="18"/>
                <w:lang w:val="es-PY"/>
              </w:rPr>
            </w:pPr>
            <w:r w:rsidRPr="003F7F6C">
              <w:rPr>
                <w:rFonts w:asciiTheme="minorHAnsi" w:eastAsia="Times New Roman" w:hAnsiTheme="minorHAnsi"/>
                <w:b/>
                <w:color w:val="000000"/>
                <w:sz w:val="18"/>
                <w:szCs w:val="18"/>
                <w:lang w:val="es-PY"/>
              </w:rPr>
              <w:t>222,541</w:t>
            </w:r>
          </w:p>
        </w:tc>
        <w:tc>
          <w:tcPr>
            <w:tcW w:w="990" w:type="dxa"/>
            <w:noWrap/>
            <w:hideMark/>
          </w:tcPr>
          <w:p w14:paraId="724AEC62" w14:textId="77777777" w:rsidR="002946EA" w:rsidRPr="003F7F6C" w:rsidRDefault="002946EA" w:rsidP="002946EA">
            <w:pPr>
              <w:spacing w:after="0"/>
              <w:jc w:val="right"/>
              <w:rPr>
                <w:rFonts w:asciiTheme="minorHAnsi" w:eastAsia="Times New Roman" w:hAnsiTheme="minorHAnsi"/>
                <w:b/>
                <w:color w:val="000000"/>
                <w:sz w:val="18"/>
                <w:szCs w:val="18"/>
                <w:lang w:val="es-PY"/>
              </w:rPr>
            </w:pPr>
            <w:r w:rsidRPr="003F7F6C">
              <w:rPr>
                <w:rFonts w:asciiTheme="minorHAnsi" w:eastAsia="Times New Roman" w:hAnsiTheme="minorHAnsi"/>
                <w:b/>
                <w:color w:val="000000"/>
                <w:sz w:val="18"/>
                <w:szCs w:val="18"/>
                <w:lang w:val="es-PY"/>
              </w:rPr>
              <w:t>1,150,042</w:t>
            </w:r>
          </w:p>
        </w:tc>
        <w:tc>
          <w:tcPr>
            <w:tcW w:w="990" w:type="dxa"/>
            <w:noWrap/>
            <w:hideMark/>
          </w:tcPr>
          <w:p w14:paraId="3F5B55C6" w14:textId="77777777" w:rsidR="002946EA" w:rsidRPr="003F7F6C" w:rsidRDefault="002946EA" w:rsidP="002946EA">
            <w:pPr>
              <w:spacing w:after="0"/>
              <w:jc w:val="right"/>
              <w:rPr>
                <w:rFonts w:asciiTheme="minorHAnsi" w:eastAsia="Times New Roman" w:hAnsiTheme="minorHAnsi"/>
                <w:b/>
                <w:color w:val="000000"/>
                <w:sz w:val="18"/>
                <w:szCs w:val="18"/>
                <w:lang w:val="es-PY"/>
              </w:rPr>
            </w:pPr>
            <w:r w:rsidRPr="003F7F6C">
              <w:rPr>
                <w:rFonts w:asciiTheme="minorHAnsi" w:eastAsia="Times New Roman" w:hAnsiTheme="minorHAnsi"/>
                <w:b/>
                <w:color w:val="000000"/>
                <w:sz w:val="18"/>
                <w:szCs w:val="18"/>
                <w:lang w:val="es-PY"/>
              </w:rPr>
              <w:t>1,150,042</w:t>
            </w:r>
          </w:p>
        </w:tc>
        <w:tc>
          <w:tcPr>
            <w:tcW w:w="990" w:type="dxa"/>
            <w:noWrap/>
            <w:hideMark/>
          </w:tcPr>
          <w:p w14:paraId="2DF6759B" w14:textId="77777777" w:rsidR="002946EA" w:rsidRPr="003F7F6C" w:rsidRDefault="002946EA" w:rsidP="002946EA">
            <w:pPr>
              <w:spacing w:after="0"/>
              <w:jc w:val="right"/>
              <w:rPr>
                <w:rFonts w:asciiTheme="minorHAnsi" w:eastAsia="Times New Roman" w:hAnsiTheme="minorHAnsi"/>
                <w:b/>
                <w:color w:val="000000"/>
                <w:sz w:val="18"/>
                <w:szCs w:val="18"/>
                <w:lang w:val="es-PY"/>
              </w:rPr>
            </w:pPr>
            <w:r w:rsidRPr="003F7F6C">
              <w:rPr>
                <w:rFonts w:asciiTheme="minorHAnsi" w:eastAsia="Times New Roman" w:hAnsiTheme="minorHAnsi"/>
                <w:b/>
                <w:color w:val="000000"/>
                <w:sz w:val="18"/>
                <w:szCs w:val="18"/>
                <w:lang w:val="es-PY"/>
              </w:rPr>
              <w:t>1,150,042</w:t>
            </w:r>
          </w:p>
        </w:tc>
        <w:tc>
          <w:tcPr>
            <w:tcW w:w="990" w:type="dxa"/>
            <w:noWrap/>
            <w:hideMark/>
          </w:tcPr>
          <w:p w14:paraId="630A8BA1" w14:textId="77777777" w:rsidR="002946EA" w:rsidRPr="003F7F6C" w:rsidRDefault="002946EA" w:rsidP="002946EA">
            <w:pPr>
              <w:spacing w:after="0"/>
              <w:jc w:val="right"/>
              <w:rPr>
                <w:rFonts w:asciiTheme="minorHAnsi" w:eastAsia="Times New Roman" w:hAnsiTheme="minorHAnsi"/>
                <w:b/>
                <w:color w:val="000000"/>
                <w:sz w:val="18"/>
                <w:szCs w:val="18"/>
                <w:lang w:val="es-PY"/>
              </w:rPr>
            </w:pPr>
            <w:r w:rsidRPr="003F7F6C">
              <w:rPr>
                <w:rFonts w:asciiTheme="minorHAnsi" w:eastAsia="Times New Roman" w:hAnsiTheme="minorHAnsi"/>
                <w:b/>
                <w:color w:val="000000"/>
                <w:sz w:val="18"/>
                <w:szCs w:val="18"/>
                <w:lang w:val="es-PY"/>
              </w:rPr>
              <w:t>1,150,046</w:t>
            </w:r>
          </w:p>
        </w:tc>
        <w:tc>
          <w:tcPr>
            <w:tcW w:w="990" w:type="dxa"/>
            <w:noWrap/>
            <w:hideMark/>
          </w:tcPr>
          <w:p w14:paraId="269B94E7" w14:textId="77777777" w:rsidR="002946EA" w:rsidRPr="003F7F6C" w:rsidRDefault="002946EA" w:rsidP="002946EA">
            <w:pPr>
              <w:spacing w:after="0"/>
              <w:jc w:val="right"/>
              <w:rPr>
                <w:rFonts w:asciiTheme="minorHAnsi" w:eastAsia="Times New Roman" w:hAnsiTheme="minorHAnsi"/>
                <w:b/>
                <w:color w:val="000000"/>
                <w:sz w:val="18"/>
                <w:szCs w:val="18"/>
                <w:lang w:val="es-PY"/>
              </w:rPr>
            </w:pPr>
            <w:r w:rsidRPr="003F7F6C">
              <w:rPr>
                <w:rFonts w:asciiTheme="minorHAnsi" w:eastAsia="Times New Roman" w:hAnsiTheme="minorHAnsi"/>
                <w:b/>
                <w:color w:val="000000"/>
                <w:sz w:val="18"/>
                <w:szCs w:val="18"/>
                <w:lang w:val="es-PY"/>
              </w:rPr>
              <w:t>1,050,046</w:t>
            </w:r>
          </w:p>
        </w:tc>
        <w:tc>
          <w:tcPr>
            <w:tcW w:w="990" w:type="dxa"/>
            <w:noWrap/>
            <w:hideMark/>
          </w:tcPr>
          <w:p w14:paraId="39AC2D99" w14:textId="77777777" w:rsidR="002946EA" w:rsidRPr="003F7F6C" w:rsidRDefault="002946EA" w:rsidP="002946EA">
            <w:pPr>
              <w:spacing w:after="0"/>
              <w:jc w:val="right"/>
              <w:rPr>
                <w:rFonts w:asciiTheme="minorHAnsi" w:eastAsia="Times New Roman" w:hAnsiTheme="minorHAnsi"/>
                <w:b/>
                <w:color w:val="000000"/>
                <w:sz w:val="18"/>
                <w:szCs w:val="18"/>
                <w:lang w:val="es-PY"/>
              </w:rPr>
            </w:pPr>
            <w:r w:rsidRPr="003F7F6C">
              <w:rPr>
                <w:rFonts w:asciiTheme="minorHAnsi" w:eastAsia="Times New Roman" w:hAnsiTheme="minorHAnsi"/>
                <w:b/>
                <w:color w:val="000000"/>
                <w:sz w:val="18"/>
                <w:szCs w:val="18"/>
                <w:lang w:val="es-PY"/>
              </w:rPr>
              <w:t>5,872,759</w:t>
            </w:r>
          </w:p>
        </w:tc>
        <w:tc>
          <w:tcPr>
            <w:tcW w:w="630" w:type="dxa"/>
            <w:noWrap/>
            <w:hideMark/>
          </w:tcPr>
          <w:p w14:paraId="1D5E0B98" w14:textId="77777777" w:rsidR="002946EA" w:rsidRPr="003F7F6C" w:rsidRDefault="002946EA" w:rsidP="002946EA">
            <w:pPr>
              <w:spacing w:after="0"/>
              <w:jc w:val="center"/>
              <w:rPr>
                <w:rFonts w:asciiTheme="minorHAnsi" w:eastAsia="Times New Roman" w:hAnsiTheme="minorHAnsi"/>
                <w:color w:val="000000"/>
                <w:sz w:val="18"/>
                <w:szCs w:val="18"/>
              </w:rPr>
            </w:pPr>
          </w:p>
        </w:tc>
      </w:tr>
      <w:tr w:rsidR="002946EA" w:rsidRPr="003F7F6C" w14:paraId="49E62694" w14:textId="77777777" w:rsidTr="00826EE8">
        <w:tc>
          <w:tcPr>
            <w:tcW w:w="1255" w:type="dxa"/>
            <w:vMerge w:val="restart"/>
            <w:vAlign w:val="center"/>
          </w:tcPr>
          <w:p w14:paraId="6EC8C010" w14:textId="77777777" w:rsidR="002946EA" w:rsidRPr="003F7F6C" w:rsidRDefault="002946EA" w:rsidP="002946EA">
            <w:pPr>
              <w:spacing w:after="0"/>
              <w:jc w:val="lef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rPr>
              <w:t>Outcome 3:</w:t>
            </w:r>
          </w:p>
        </w:tc>
        <w:tc>
          <w:tcPr>
            <w:tcW w:w="630" w:type="dxa"/>
            <w:vAlign w:val="center"/>
          </w:tcPr>
          <w:p w14:paraId="267D2558" w14:textId="77777777" w:rsidR="002946EA" w:rsidRPr="003F7F6C" w:rsidRDefault="002946EA" w:rsidP="002946EA">
            <w:pPr>
              <w:spacing w:after="0"/>
              <w:ind w:left="-144" w:right="-144"/>
              <w:jc w:val="center"/>
              <w:rPr>
                <w:rFonts w:asciiTheme="minorHAnsi" w:eastAsia="Times New Roman" w:hAnsiTheme="minorHAnsi"/>
                <w:color w:val="000000"/>
                <w:sz w:val="18"/>
                <w:szCs w:val="18"/>
              </w:rPr>
            </w:pPr>
            <w:r w:rsidRPr="003F7F6C">
              <w:rPr>
                <w:bCs/>
                <w:color w:val="000000"/>
                <w:sz w:val="18"/>
                <w:szCs w:val="18"/>
                <w:lang w:val="es-PY"/>
              </w:rPr>
              <w:t>SGAyDS</w:t>
            </w:r>
          </w:p>
        </w:tc>
        <w:tc>
          <w:tcPr>
            <w:tcW w:w="720" w:type="dxa"/>
            <w:noWrap/>
            <w:vAlign w:val="center"/>
          </w:tcPr>
          <w:p w14:paraId="2A0E5A71"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62000</w:t>
            </w:r>
          </w:p>
        </w:tc>
        <w:tc>
          <w:tcPr>
            <w:tcW w:w="540" w:type="dxa"/>
            <w:noWrap/>
            <w:vAlign w:val="center"/>
          </w:tcPr>
          <w:p w14:paraId="03B060BE"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GEF</w:t>
            </w:r>
          </w:p>
        </w:tc>
        <w:tc>
          <w:tcPr>
            <w:tcW w:w="720" w:type="dxa"/>
            <w:shd w:val="clear" w:color="auto" w:fill="auto"/>
            <w:noWrap/>
            <w:vAlign w:val="center"/>
          </w:tcPr>
          <w:p w14:paraId="207C1BA3"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71400</w:t>
            </w:r>
          </w:p>
        </w:tc>
        <w:tc>
          <w:tcPr>
            <w:tcW w:w="2160" w:type="dxa"/>
            <w:shd w:val="clear" w:color="auto" w:fill="auto"/>
            <w:vAlign w:val="center"/>
          </w:tcPr>
          <w:p w14:paraId="543D020C"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Contractual Services - Individ</w:t>
            </w:r>
          </w:p>
        </w:tc>
        <w:tc>
          <w:tcPr>
            <w:tcW w:w="900" w:type="dxa"/>
            <w:shd w:val="clear" w:color="auto" w:fill="auto"/>
            <w:noWrap/>
            <w:vAlign w:val="center"/>
          </w:tcPr>
          <w:p w14:paraId="43846B4A"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15,950</w:t>
            </w:r>
          </w:p>
        </w:tc>
        <w:tc>
          <w:tcPr>
            <w:tcW w:w="990" w:type="dxa"/>
            <w:shd w:val="clear" w:color="auto" w:fill="auto"/>
            <w:noWrap/>
            <w:vAlign w:val="center"/>
          </w:tcPr>
          <w:p w14:paraId="4A14C30F"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15,950</w:t>
            </w:r>
          </w:p>
        </w:tc>
        <w:tc>
          <w:tcPr>
            <w:tcW w:w="990" w:type="dxa"/>
            <w:shd w:val="clear" w:color="auto" w:fill="auto"/>
            <w:noWrap/>
            <w:vAlign w:val="center"/>
          </w:tcPr>
          <w:p w14:paraId="198BF3BD"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15,950</w:t>
            </w:r>
          </w:p>
        </w:tc>
        <w:tc>
          <w:tcPr>
            <w:tcW w:w="990" w:type="dxa"/>
            <w:shd w:val="clear" w:color="auto" w:fill="auto"/>
            <w:noWrap/>
            <w:vAlign w:val="center"/>
          </w:tcPr>
          <w:p w14:paraId="2912529B"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27,950</w:t>
            </w:r>
          </w:p>
        </w:tc>
        <w:tc>
          <w:tcPr>
            <w:tcW w:w="990" w:type="dxa"/>
            <w:shd w:val="clear" w:color="auto" w:fill="auto"/>
            <w:noWrap/>
            <w:vAlign w:val="center"/>
          </w:tcPr>
          <w:p w14:paraId="3EF7DFF2"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27,952</w:t>
            </w:r>
          </w:p>
        </w:tc>
        <w:tc>
          <w:tcPr>
            <w:tcW w:w="990" w:type="dxa"/>
            <w:shd w:val="clear" w:color="auto" w:fill="auto"/>
            <w:noWrap/>
            <w:vAlign w:val="center"/>
          </w:tcPr>
          <w:p w14:paraId="4657265F"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27,952</w:t>
            </w:r>
          </w:p>
        </w:tc>
        <w:tc>
          <w:tcPr>
            <w:tcW w:w="990" w:type="dxa"/>
            <w:shd w:val="clear" w:color="auto" w:fill="auto"/>
            <w:noWrap/>
            <w:vAlign w:val="center"/>
          </w:tcPr>
          <w:p w14:paraId="1867F417"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131,704</w:t>
            </w:r>
          </w:p>
        </w:tc>
        <w:tc>
          <w:tcPr>
            <w:tcW w:w="630" w:type="dxa"/>
            <w:shd w:val="clear" w:color="auto" w:fill="auto"/>
            <w:noWrap/>
            <w:vAlign w:val="center"/>
          </w:tcPr>
          <w:p w14:paraId="670BC735" w14:textId="77777777" w:rsidR="002946EA" w:rsidRPr="003F7F6C" w:rsidRDefault="002946EA" w:rsidP="002946EA">
            <w:pPr>
              <w:spacing w:after="0"/>
              <w:jc w:val="center"/>
              <w:rPr>
                <w:rFonts w:asciiTheme="minorHAnsi" w:eastAsia="Times New Roman" w:hAnsiTheme="minorHAnsi"/>
                <w:color w:val="000000"/>
                <w:sz w:val="18"/>
                <w:szCs w:val="18"/>
              </w:rPr>
            </w:pPr>
            <w:r w:rsidRPr="003F7F6C">
              <w:rPr>
                <w:rFonts w:asciiTheme="minorHAnsi" w:eastAsia="Times New Roman" w:hAnsiTheme="minorHAnsi"/>
                <w:iCs/>
                <w:color w:val="000000"/>
                <w:sz w:val="18"/>
                <w:szCs w:val="18"/>
                <w:lang w:val="es-PY"/>
              </w:rPr>
              <w:t>15</w:t>
            </w:r>
          </w:p>
        </w:tc>
      </w:tr>
      <w:tr w:rsidR="002946EA" w:rsidRPr="003F7F6C" w14:paraId="1655B7DC" w14:textId="77777777" w:rsidTr="00826EE8">
        <w:tc>
          <w:tcPr>
            <w:tcW w:w="1255" w:type="dxa"/>
            <w:vMerge/>
          </w:tcPr>
          <w:p w14:paraId="1D62CBF1" w14:textId="77777777" w:rsidR="002946EA" w:rsidRPr="003F7F6C" w:rsidRDefault="002946EA" w:rsidP="002946EA">
            <w:pPr>
              <w:spacing w:after="0"/>
              <w:rPr>
                <w:rFonts w:asciiTheme="minorHAnsi" w:eastAsia="Times New Roman" w:hAnsiTheme="minorHAnsi"/>
                <w:color w:val="000000"/>
                <w:sz w:val="18"/>
                <w:szCs w:val="18"/>
              </w:rPr>
            </w:pPr>
          </w:p>
        </w:tc>
        <w:tc>
          <w:tcPr>
            <w:tcW w:w="630" w:type="dxa"/>
            <w:vAlign w:val="center"/>
          </w:tcPr>
          <w:p w14:paraId="72369DA9" w14:textId="77777777" w:rsidR="002946EA" w:rsidRPr="003F7F6C" w:rsidRDefault="002946EA" w:rsidP="002946EA">
            <w:pPr>
              <w:spacing w:after="0"/>
              <w:ind w:left="-144" w:right="-144"/>
              <w:jc w:val="center"/>
              <w:rPr>
                <w:rFonts w:asciiTheme="minorHAnsi" w:eastAsia="Times New Roman" w:hAnsiTheme="minorHAnsi"/>
                <w:color w:val="000000"/>
                <w:sz w:val="18"/>
                <w:szCs w:val="18"/>
              </w:rPr>
            </w:pPr>
            <w:r w:rsidRPr="003F7F6C">
              <w:rPr>
                <w:bCs/>
                <w:color w:val="000000"/>
                <w:sz w:val="18"/>
                <w:szCs w:val="18"/>
                <w:lang w:val="es-PY"/>
              </w:rPr>
              <w:t>SGAyDS</w:t>
            </w:r>
          </w:p>
        </w:tc>
        <w:tc>
          <w:tcPr>
            <w:tcW w:w="720" w:type="dxa"/>
            <w:noWrap/>
            <w:vAlign w:val="center"/>
          </w:tcPr>
          <w:p w14:paraId="344B56AE"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62000</w:t>
            </w:r>
          </w:p>
        </w:tc>
        <w:tc>
          <w:tcPr>
            <w:tcW w:w="540" w:type="dxa"/>
            <w:noWrap/>
            <w:vAlign w:val="center"/>
          </w:tcPr>
          <w:p w14:paraId="49491578"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GEF</w:t>
            </w:r>
          </w:p>
        </w:tc>
        <w:tc>
          <w:tcPr>
            <w:tcW w:w="720" w:type="dxa"/>
            <w:shd w:val="clear" w:color="auto" w:fill="auto"/>
            <w:noWrap/>
            <w:vAlign w:val="center"/>
          </w:tcPr>
          <w:p w14:paraId="13C988A5"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71600</w:t>
            </w:r>
          </w:p>
        </w:tc>
        <w:tc>
          <w:tcPr>
            <w:tcW w:w="2160" w:type="dxa"/>
            <w:shd w:val="clear" w:color="auto" w:fill="auto"/>
            <w:vAlign w:val="center"/>
          </w:tcPr>
          <w:p w14:paraId="358BD292"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Travel</w:t>
            </w:r>
          </w:p>
        </w:tc>
        <w:tc>
          <w:tcPr>
            <w:tcW w:w="900" w:type="dxa"/>
            <w:shd w:val="clear" w:color="auto" w:fill="auto"/>
            <w:noWrap/>
            <w:vAlign w:val="center"/>
          </w:tcPr>
          <w:p w14:paraId="501A0075"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8,617</w:t>
            </w:r>
          </w:p>
        </w:tc>
        <w:tc>
          <w:tcPr>
            <w:tcW w:w="990" w:type="dxa"/>
            <w:shd w:val="clear" w:color="auto" w:fill="auto"/>
            <w:noWrap/>
            <w:vAlign w:val="center"/>
          </w:tcPr>
          <w:p w14:paraId="1090650B"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8,617</w:t>
            </w:r>
          </w:p>
        </w:tc>
        <w:tc>
          <w:tcPr>
            <w:tcW w:w="990" w:type="dxa"/>
            <w:shd w:val="clear" w:color="auto" w:fill="auto"/>
            <w:noWrap/>
            <w:vAlign w:val="center"/>
          </w:tcPr>
          <w:p w14:paraId="0E8116FD"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8,617</w:t>
            </w:r>
          </w:p>
        </w:tc>
        <w:tc>
          <w:tcPr>
            <w:tcW w:w="990" w:type="dxa"/>
            <w:shd w:val="clear" w:color="auto" w:fill="auto"/>
            <w:noWrap/>
            <w:vAlign w:val="center"/>
          </w:tcPr>
          <w:p w14:paraId="095BA009"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22,105</w:t>
            </w:r>
          </w:p>
        </w:tc>
        <w:tc>
          <w:tcPr>
            <w:tcW w:w="990" w:type="dxa"/>
            <w:shd w:val="clear" w:color="auto" w:fill="auto"/>
            <w:noWrap/>
            <w:vAlign w:val="center"/>
          </w:tcPr>
          <w:p w14:paraId="1B172E9F"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22,106</w:t>
            </w:r>
          </w:p>
        </w:tc>
        <w:tc>
          <w:tcPr>
            <w:tcW w:w="990" w:type="dxa"/>
            <w:shd w:val="clear" w:color="auto" w:fill="auto"/>
            <w:noWrap/>
            <w:vAlign w:val="center"/>
          </w:tcPr>
          <w:p w14:paraId="636449D3"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22,106</w:t>
            </w:r>
          </w:p>
        </w:tc>
        <w:tc>
          <w:tcPr>
            <w:tcW w:w="990" w:type="dxa"/>
            <w:shd w:val="clear" w:color="auto" w:fill="auto"/>
            <w:noWrap/>
            <w:vAlign w:val="center"/>
          </w:tcPr>
          <w:p w14:paraId="1971091C"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92,168</w:t>
            </w:r>
          </w:p>
        </w:tc>
        <w:tc>
          <w:tcPr>
            <w:tcW w:w="630" w:type="dxa"/>
            <w:shd w:val="clear" w:color="auto" w:fill="auto"/>
            <w:noWrap/>
            <w:vAlign w:val="center"/>
          </w:tcPr>
          <w:p w14:paraId="20772867" w14:textId="77777777" w:rsidR="002946EA" w:rsidRPr="003F7F6C" w:rsidRDefault="002946EA" w:rsidP="002946EA">
            <w:pPr>
              <w:spacing w:after="0"/>
              <w:jc w:val="center"/>
              <w:rPr>
                <w:rFonts w:asciiTheme="minorHAnsi" w:eastAsia="Times New Roman" w:hAnsiTheme="minorHAnsi"/>
                <w:color w:val="000000"/>
                <w:sz w:val="18"/>
                <w:szCs w:val="18"/>
              </w:rPr>
            </w:pPr>
            <w:r w:rsidRPr="003F7F6C">
              <w:rPr>
                <w:rFonts w:asciiTheme="minorHAnsi" w:eastAsia="Times New Roman" w:hAnsiTheme="minorHAnsi"/>
                <w:iCs/>
                <w:color w:val="000000"/>
                <w:sz w:val="18"/>
                <w:szCs w:val="18"/>
                <w:lang w:val="es-PY"/>
              </w:rPr>
              <w:t>16</w:t>
            </w:r>
          </w:p>
        </w:tc>
      </w:tr>
      <w:tr w:rsidR="002946EA" w:rsidRPr="003F7F6C" w14:paraId="2EDCBDF2" w14:textId="77777777" w:rsidTr="00826EE8">
        <w:tc>
          <w:tcPr>
            <w:tcW w:w="1255" w:type="dxa"/>
            <w:vMerge/>
          </w:tcPr>
          <w:p w14:paraId="717B2E7D" w14:textId="77777777" w:rsidR="002946EA" w:rsidRPr="003F7F6C" w:rsidRDefault="002946EA" w:rsidP="002946EA">
            <w:pPr>
              <w:spacing w:after="0"/>
              <w:rPr>
                <w:rFonts w:asciiTheme="minorHAnsi" w:eastAsia="Times New Roman" w:hAnsiTheme="minorHAnsi"/>
                <w:color w:val="000000"/>
                <w:sz w:val="18"/>
                <w:szCs w:val="18"/>
              </w:rPr>
            </w:pPr>
          </w:p>
        </w:tc>
        <w:tc>
          <w:tcPr>
            <w:tcW w:w="630" w:type="dxa"/>
            <w:vAlign w:val="center"/>
          </w:tcPr>
          <w:p w14:paraId="1DB35AC3" w14:textId="77777777" w:rsidR="002946EA" w:rsidRPr="003F7F6C" w:rsidRDefault="002946EA" w:rsidP="002946EA">
            <w:pPr>
              <w:spacing w:after="0"/>
              <w:ind w:left="-144" w:right="-144"/>
              <w:jc w:val="center"/>
              <w:rPr>
                <w:rFonts w:asciiTheme="minorHAnsi" w:eastAsia="Times New Roman" w:hAnsiTheme="minorHAnsi"/>
                <w:color w:val="000000"/>
                <w:sz w:val="18"/>
                <w:szCs w:val="18"/>
              </w:rPr>
            </w:pPr>
            <w:r w:rsidRPr="003F7F6C">
              <w:rPr>
                <w:bCs/>
                <w:color w:val="000000"/>
                <w:sz w:val="18"/>
                <w:szCs w:val="18"/>
                <w:lang w:val="es-PY"/>
              </w:rPr>
              <w:t>SGAyDS</w:t>
            </w:r>
          </w:p>
        </w:tc>
        <w:tc>
          <w:tcPr>
            <w:tcW w:w="720" w:type="dxa"/>
            <w:noWrap/>
            <w:vAlign w:val="center"/>
          </w:tcPr>
          <w:p w14:paraId="04ADAD4E"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62000</w:t>
            </w:r>
          </w:p>
        </w:tc>
        <w:tc>
          <w:tcPr>
            <w:tcW w:w="540" w:type="dxa"/>
            <w:noWrap/>
            <w:vAlign w:val="center"/>
          </w:tcPr>
          <w:p w14:paraId="15DE413C"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GEF</w:t>
            </w:r>
          </w:p>
        </w:tc>
        <w:tc>
          <w:tcPr>
            <w:tcW w:w="720" w:type="dxa"/>
            <w:shd w:val="clear" w:color="auto" w:fill="auto"/>
            <w:noWrap/>
            <w:vAlign w:val="center"/>
          </w:tcPr>
          <w:p w14:paraId="0A79619C"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72100</w:t>
            </w:r>
          </w:p>
        </w:tc>
        <w:tc>
          <w:tcPr>
            <w:tcW w:w="2160" w:type="dxa"/>
            <w:shd w:val="clear" w:color="auto" w:fill="auto"/>
            <w:vAlign w:val="center"/>
          </w:tcPr>
          <w:p w14:paraId="6DA243BC"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Contractual Services-Companies</w:t>
            </w:r>
          </w:p>
        </w:tc>
        <w:tc>
          <w:tcPr>
            <w:tcW w:w="900" w:type="dxa"/>
            <w:shd w:val="clear" w:color="auto" w:fill="auto"/>
            <w:noWrap/>
            <w:vAlign w:val="center"/>
          </w:tcPr>
          <w:p w14:paraId="050D67A1"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20,000</w:t>
            </w:r>
          </w:p>
        </w:tc>
        <w:tc>
          <w:tcPr>
            <w:tcW w:w="990" w:type="dxa"/>
            <w:shd w:val="clear" w:color="auto" w:fill="auto"/>
            <w:noWrap/>
            <w:vAlign w:val="center"/>
          </w:tcPr>
          <w:p w14:paraId="6E4D475A"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 xml:space="preserve">                          - </w:t>
            </w:r>
          </w:p>
        </w:tc>
        <w:tc>
          <w:tcPr>
            <w:tcW w:w="990" w:type="dxa"/>
            <w:shd w:val="clear" w:color="auto" w:fill="auto"/>
            <w:noWrap/>
            <w:vAlign w:val="center"/>
          </w:tcPr>
          <w:p w14:paraId="25B74CEB"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 xml:space="preserve">                          - </w:t>
            </w:r>
          </w:p>
        </w:tc>
        <w:tc>
          <w:tcPr>
            <w:tcW w:w="990" w:type="dxa"/>
            <w:shd w:val="clear" w:color="auto" w:fill="auto"/>
            <w:noWrap/>
            <w:vAlign w:val="center"/>
          </w:tcPr>
          <w:p w14:paraId="040EABB7"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 xml:space="preserve">                          - </w:t>
            </w:r>
          </w:p>
        </w:tc>
        <w:tc>
          <w:tcPr>
            <w:tcW w:w="990" w:type="dxa"/>
            <w:shd w:val="clear" w:color="auto" w:fill="auto"/>
            <w:noWrap/>
            <w:vAlign w:val="center"/>
          </w:tcPr>
          <w:p w14:paraId="41DE44E0"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 xml:space="preserve">                         - </w:t>
            </w:r>
          </w:p>
        </w:tc>
        <w:tc>
          <w:tcPr>
            <w:tcW w:w="990" w:type="dxa"/>
            <w:shd w:val="clear" w:color="auto" w:fill="auto"/>
            <w:noWrap/>
            <w:vAlign w:val="center"/>
          </w:tcPr>
          <w:p w14:paraId="07052476"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20,000</w:t>
            </w:r>
          </w:p>
        </w:tc>
        <w:tc>
          <w:tcPr>
            <w:tcW w:w="990" w:type="dxa"/>
            <w:shd w:val="clear" w:color="auto" w:fill="auto"/>
            <w:noWrap/>
            <w:vAlign w:val="center"/>
          </w:tcPr>
          <w:p w14:paraId="6B548999"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40,000</w:t>
            </w:r>
          </w:p>
        </w:tc>
        <w:tc>
          <w:tcPr>
            <w:tcW w:w="630" w:type="dxa"/>
            <w:shd w:val="clear" w:color="auto" w:fill="auto"/>
            <w:noWrap/>
            <w:vAlign w:val="center"/>
          </w:tcPr>
          <w:p w14:paraId="252F9E68" w14:textId="77777777" w:rsidR="002946EA" w:rsidRPr="003F7F6C" w:rsidRDefault="002946EA" w:rsidP="002946EA">
            <w:pPr>
              <w:spacing w:after="0"/>
              <w:jc w:val="center"/>
              <w:rPr>
                <w:rFonts w:asciiTheme="minorHAnsi" w:eastAsia="Times New Roman" w:hAnsiTheme="minorHAnsi"/>
                <w:color w:val="000000"/>
                <w:sz w:val="18"/>
                <w:szCs w:val="18"/>
              </w:rPr>
            </w:pPr>
            <w:r w:rsidRPr="003F7F6C">
              <w:rPr>
                <w:rFonts w:asciiTheme="minorHAnsi" w:eastAsia="Times New Roman" w:hAnsiTheme="minorHAnsi"/>
                <w:iCs/>
                <w:color w:val="000000"/>
                <w:sz w:val="18"/>
                <w:szCs w:val="18"/>
                <w:lang w:val="es-PY"/>
              </w:rPr>
              <w:t>17</w:t>
            </w:r>
          </w:p>
        </w:tc>
      </w:tr>
      <w:tr w:rsidR="002946EA" w:rsidRPr="003F7F6C" w14:paraId="33E70F83" w14:textId="77777777" w:rsidTr="00826EE8">
        <w:tc>
          <w:tcPr>
            <w:tcW w:w="1255" w:type="dxa"/>
            <w:vMerge/>
          </w:tcPr>
          <w:p w14:paraId="656FAF4C" w14:textId="77777777" w:rsidR="002946EA" w:rsidRPr="003F7F6C" w:rsidRDefault="002946EA" w:rsidP="002946EA">
            <w:pPr>
              <w:spacing w:after="0"/>
              <w:rPr>
                <w:rFonts w:asciiTheme="minorHAnsi" w:eastAsia="Times New Roman" w:hAnsiTheme="minorHAnsi"/>
                <w:color w:val="000000"/>
                <w:sz w:val="18"/>
                <w:szCs w:val="18"/>
              </w:rPr>
            </w:pPr>
          </w:p>
        </w:tc>
        <w:tc>
          <w:tcPr>
            <w:tcW w:w="630" w:type="dxa"/>
            <w:vAlign w:val="center"/>
          </w:tcPr>
          <w:p w14:paraId="08A4F445" w14:textId="77777777" w:rsidR="002946EA" w:rsidRPr="003F7F6C" w:rsidRDefault="002946EA" w:rsidP="002946EA">
            <w:pPr>
              <w:spacing w:after="0"/>
              <w:ind w:left="-144" w:right="-144"/>
              <w:jc w:val="center"/>
              <w:rPr>
                <w:rFonts w:asciiTheme="minorHAnsi" w:eastAsia="Times New Roman" w:hAnsiTheme="minorHAnsi"/>
                <w:color w:val="000000"/>
                <w:sz w:val="18"/>
                <w:szCs w:val="18"/>
              </w:rPr>
            </w:pPr>
            <w:r w:rsidRPr="003F7F6C">
              <w:rPr>
                <w:bCs/>
                <w:color w:val="000000"/>
                <w:sz w:val="18"/>
                <w:szCs w:val="18"/>
                <w:lang w:val="es-PY"/>
              </w:rPr>
              <w:t>SGAyDS</w:t>
            </w:r>
          </w:p>
        </w:tc>
        <w:tc>
          <w:tcPr>
            <w:tcW w:w="720" w:type="dxa"/>
            <w:noWrap/>
            <w:vAlign w:val="center"/>
          </w:tcPr>
          <w:p w14:paraId="3B3B9FA2"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62000</w:t>
            </w:r>
          </w:p>
        </w:tc>
        <w:tc>
          <w:tcPr>
            <w:tcW w:w="540" w:type="dxa"/>
            <w:noWrap/>
            <w:vAlign w:val="center"/>
          </w:tcPr>
          <w:p w14:paraId="7967D5E7"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GEF</w:t>
            </w:r>
          </w:p>
        </w:tc>
        <w:tc>
          <w:tcPr>
            <w:tcW w:w="720" w:type="dxa"/>
            <w:shd w:val="clear" w:color="auto" w:fill="auto"/>
            <w:noWrap/>
            <w:vAlign w:val="center"/>
          </w:tcPr>
          <w:p w14:paraId="1F85E6C5"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74200</w:t>
            </w:r>
          </w:p>
        </w:tc>
        <w:tc>
          <w:tcPr>
            <w:tcW w:w="2160" w:type="dxa"/>
            <w:shd w:val="clear" w:color="auto" w:fill="auto"/>
            <w:vAlign w:val="center"/>
          </w:tcPr>
          <w:p w14:paraId="6EF2E41D"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rPr>
              <w:t>Audio Visual&amp;Print Prod Costs</w:t>
            </w:r>
          </w:p>
        </w:tc>
        <w:tc>
          <w:tcPr>
            <w:tcW w:w="900" w:type="dxa"/>
            <w:shd w:val="clear" w:color="auto" w:fill="auto"/>
            <w:noWrap/>
            <w:vAlign w:val="center"/>
          </w:tcPr>
          <w:p w14:paraId="7726107D"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rPr>
              <w:t xml:space="preserve">                       - </w:t>
            </w:r>
          </w:p>
        </w:tc>
        <w:tc>
          <w:tcPr>
            <w:tcW w:w="990" w:type="dxa"/>
            <w:shd w:val="clear" w:color="auto" w:fill="auto"/>
            <w:noWrap/>
            <w:vAlign w:val="center"/>
          </w:tcPr>
          <w:p w14:paraId="0A53713E"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 xml:space="preserve">                          - </w:t>
            </w:r>
          </w:p>
        </w:tc>
        <w:tc>
          <w:tcPr>
            <w:tcW w:w="990" w:type="dxa"/>
            <w:shd w:val="clear" w:color="auto" w:fill="auto"/>
            <w:noWrap/>
            <w:vAlign w:val="center"/>
          </w:tcPr>
          <w:p w14:paraId="3E2C054E"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 xml:space="preserve">                          - </w:t>
            </w:r>
          </w:p>
        </w:tc>
        <w:tc>
          <w:tcPr>
            <w:tcW w:w="990" w:type="dxa"/>
            <w:shd w:val="clear" w:color="auto" w:fill="auto"/>
            <w:noWrap/>
            <w:vAlign w:val="center"/>
          </w:tcPr>
          <w:p w14:paraId="39D45A80"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10,000</w:t>
            </w:r>
          </w:p>
        </w:tc>
        <w:tc>
          <w:tcPr>
            <w:tcW w:w="990" w:type="dxa"/>
            <w:shd w:val="clear" w:color="auto" w:fill="auto"/>
            <w:noWrap/>
            <w:vAlign w:val="center"/>
          </w:tcPr>
          <w:p w14:paraId="22A0C02F"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10,000</w:t>
            </w:r>
          </w:p>
        </w:tc>
        <w:tc>
          <w:tcPr>
            <w:tcW w:w="990" w:type="dxa"/>
            <w:shd w:val="clear" w:color="auto" w:fill="auto"/>
            <w:noWrap/>
            <w:vAlign w:val="center"/>
          </w:tcPr>
          <w:p w14:paraId="0BF9A332"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10,000</w:t>
            </w:r>
          </w:p>
        </w:tc>
        <w:tc>
          <w:tcPr>
            <w:tcW w:w="990" w:type="dxa"/>
            <w:shd w:val="clear" w:color="auto" w:fill="auto"/>
            <w:noWrap/>
            <w:vAlign w:val="center"/>
          </w:tcPr>
          <w:p w14:paraId="02F659A8"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30,000</w:t>
            </w:r>
          </w:p>
        </w:tc>
        <w:tc>
          <w:tcPr>
            <w:tcW w:w="630" w:type="dxa"/>
            <w:shd w:val="clear" w:color="auto" w:fill="auto"/>
            <w:noWrap/>
            <w:vAlign w:val="center"/>
          </w:tcPr>
          <w:p w14:paraId="3FDA471E" w14:textId="77777777" w:rsidR="002946EA" w:rsidRPr="003F7F6C" w:rsidRDefault="002946EA" w:rsidP="002946EA">
            <w:pPr>
              <w:spacing w:after="0"/>
              <w:jc w:val="center"/>
              <w:rPr>
                <w:rFonts w:asciiTheme="minorHAnsi" w:eastAsia="Times New Roman" w:hAnsiTheme="minorHAnsi"/>
                <w:color w:val="000000"/>
                <w:sz w:val="18"/>
                <w:szCs w:val="18"/>
              </w:rPr>
            </w:pPr>
            <w:r w:rsidRPr="003F7F6C">
              <w:rPr>
                <w:rFonts w:asciiTheme="minorHAnsi" w:eastAsia="Times New Roman" w:hAnsiTheme="minorHAnsi"/>
                <w:iCs/>
                <w:color w:val="000000"/>
                <w:sz w:val="18"/>
                <w:szCs w:val="18"/>
                <w:lang w:val="es-PY"/>
              </w:rPr>
              <w:t>18</w:t>
            </w:r>
          </w:p>
        </w:tc>
      </w:tr>
      <w:tr w:rsidR="002946EA" w:rsidRPr="003F7F6C" w14:paraId="45B6DC5D" w14:textId="77777777" w:rsidTr="00826EE8">
        <w:tc>
          <w:tcPr>
            <w:tcW w:w="1255" w:type="dxa"/>
            <w:vMerge/>
          </w:tcPr>
          <w:p w14:paraId="424AD541" w14:textId="77777777" w:rsidR="002946EA" w:rsidRPr="003F7F6C" w:rsidRDefault="002946EA" w:rsidP="002946EA">
            <w:pPr>
              <w:spacing w:after="0"/>
              <w:rPr>
                <w:rFonts w:asciiTheme="minorHAnsi" w:eastAsia="Times New Roman" w:hAnsiTheme="minorHAnsi"/>
                <w:color w:val="000000"/>
                <w:sz w:val="18"/>
                <w:szCs w:val="18"/>
              </w:rPr>
            </w:pPr>
          </w:p>
        </w:tc>
        <w:tc>
          <w:tcPr>
            <w:tcW w:w="630" w:type="dxa"/>
            <w:vAlign w:val="center"/>
          </w:tcPr>
          <w:p w14:paraId="4BE3EF16" w14:textId="77777777" w:rsidR="002946EA" w:rsidRPr="003F7F6C" w:rsidRDefault="002946EA" w:rsidP="002946EA">
            <w:pPr>
              <w:spacing w:after="0"/>
              <w:ind w:left="-144" w:right="-144"/>
              <w:jc w:val="center"/>
              <w:rPr>
                <w:rFonts w:asciiTheme="minorHAnsi" w:eastAsia="Times New Roman" w:hAnsiTheme="minorHAnsi"/>
                <w:color w:val="000000"/>
                <w:sz w:val="18"/>
                <w:szCs w:val="18"/>
              </w:rPr>
            </w:pPr>
            <w:r w:rsidRPr="003F7F6C">
              <w:rPr>
                <w:bCs/>
                <w:color w:val="000000"/>
                <w:sz w:val="18"/>
                <w:szCs w:val="18"/>
                <w:lang w:val="es-PY"/>
              </w:rPr>
              <w:t>SGAyDS</w:t>
            </w:r>
          </w:p>
        </w:tc>
        <w:tc>
          <w:tcPr>
            <w:tcW w:w="720" w:type="dxa"/>
            <w:noWrap/>
            <w:vAlign w:val="center"/>
          </w:tcPr>
          <w:p w14:paraId="0257FBFB"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62000</w:t>
            </w:r>
          </w:p>
        </w:tc>
        <w:tc>
          <w:tcPr>
            <w:tcW w:w="540" w:type="dxa"/>
            <w:noWrap/>
            <w:vAlign w:val="center"/>
          </w:tcPr>
          <w:p w14:paraId="046A8F9F"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GEF</w:t>
            </w:r>
          </w:p>
        </w:tc>
        <w:tc>
          <w:tcPr>
            <w:tcW w:w="720" w:type="dxa"/>
            <w:shd w:val="clear" w:color="auto" w:fill="auto"/>
            <w:noWrap/>
            <w:vAlign w:val="center"/>
          </w:tcPr>
          <w:p w14:paraId="07148C87"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75700</w:t>
            </w:r>
          </w:p>
        </w:tc>
        <w:tc>
          <w:tcPr>
            <w:tcW w:w="2160" w:type="dxa"/>
            <w:shd w:val="clear" w:color="auto" w:fill="auto"/>
            <w:vAlign w:val="center"/>
          </w:tcPr>
          <w:p w14:paraId="3A5FBF45"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Training, Workshops and Confer</w:t>
            </w:r>
          </w:p>
        </w:tc>
        <w:tc>
          <w:tcPr>
            <w:tcW w:w="900" w:type="dxa"/>
            <w:shd w:val="clear" w:color="auto" w:fill="auto"/>
            <w:noWrap/>
            <w:vAlign w:val="center"/>
          </w:tcPr>
          <w:p w14:paraId="06399968"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15,333</w:t>
            </w:r>
          </w:p>
        </w:tc>
        <w:tc>
          <w:tcPr>
            <w:tcW w:w="990" w:type="dxa"/>
            <w:shd w:val="clear" w:color="auto" w:fill="auto"/>
            <w:noWrap/>
            <w:vAlign w:val="center"/>
          </w:tcPr>
          <w:p w14:paraId="6ABEE779"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15,333</w:t>
            </w:r>
          </w:p>
        </w:tc>
        <w:tc>
          <w:tcPr>
            <w:tcW w:w="990" w:type="dxa"/>
            <w:shd w:val="clear" w:color="auto" w:fill="auto"/>
            <w:noWrap/>
            <w:vAlign w:val="center"/>
          </w:tcPr>
          <w:p w14:paraId="38C2EBBE"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15,332</w:t>
            </w:r>
          </w:p>
        </w:tc>
        <w:tc>
          <w:tcPr>
            <w:tcW w:w="990" w:type="dxa"/>
            <w:shd w:val="clear" w:color="auto" w:fill="auto"/>
            <w:noWrap/>
            <w:vAlign w:val="center"/>
          </w:tcPr>
          <w:p w14:paraId="28DAA93F"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132,703</w:t>
            </w:r>
          </w:p>
        </w:tc>
        <w:tc>
          <w:tcPr>
            <w:tcW w:w="990" w:type="dxa"/>
            <w:shd w:val="clear" w:color="auto" w:fill="auto"/>
            <w:noWrap/>
            <w:vAlign w:val="center"/>
          </w:tcPr>
          <w:p w14:paraId="679BABD4"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83,539</w:t>
            </w:r>
          </w:p>
        </w:tc>
        <w:tc>
          <w:tcPr>
            <w:tcW w:w="990" w:type="dxa"/>
            <w:shd w:val="clear" w:color="auto" w:fill="auto"/>
            <w:noWrap/>
            <w:vAlign w:val="center"/>
          </w:tcPr>
          <w:p w14:paraId="5A1BCAF7"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83,540</w:t>
            </w:r>
          </w:p>
        </w:tc>
        <w:tc>
          <w:tcPr>
            <w:tcW w:w="990" w:type="dxa"/>
            <w:shd w:val="clear" w:color="auto" w:fill="auto"/>
            <w:noWrap/>
            <w:vAlign w:val="center"/>
          </w:tcPr>
          <w:p w14:paraId="77465598"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345,780</w:t>
            </w:r>
          </w:p>
        </w:tc>
        <w:tc>
          <w:tcPr>
            <w:tcW w:w="630" w:type="dxa"/>
            <w:shd w:val="clear" w:color="auto" w:fill="auto"/>
            <w:noWrap/>
            <w:vAlign w:val="center"/>
          </w:tcPr>
          <w:p w14:paraId="604EAFB0" w14:textId="77777777" w:rsidR="002946EA" w:rsidRPr="003F7F6C" w:rsidRDefault="002946EA" w:rsidP="002946EA">
            <w:pPr>
              <w:spacing w:after="0"/>
              <w:jc w:val="center"/>
              <w:rPr>
                <w:rFonts w:asciiTheme="minorHAnsi" w:eastAsia="Times New Roman" w:hAnsiTheme="minorHAnsi"/>
                <w:color w:val="000000"/>
                <w:sz w:val="18"/>
                <w:szCs w:val="18"/>
              </w:rPr>
            </w:pPr>
            <w:r w:rsidRPr="003F7F6C">
              <w:rPr>
                <w:rFonts w:asciiTheme="minorHAnsi" w:eastAsia="Times New Roman" w:hAnsiTheme="minorHAnsi"/>
                <w:iCs/>
                <w:color w:val="000000"/>
                <w:sz w:val="18"/>
                <w:szCs w:val="18"/>
                <w:lang w:val="es-PY"/>
              </w:rPr>
              <w:t>19</w:t>
            </w:r>
          </w:p>
        </w:tc>
      </w:tr>
      <w:tr w:rsidR="002946EA" w:rsidRPr="003F7F6C" w14:paraId="43AEB324" w14:textId="77777777" w:rsidTr="00826EE8">
        <w:trPr>
          <w:trHeight w:val="242"/>
        </w:trPr>
        <w:tc>
          <w:tcPr>
            <w:tcW w:w="1885" w:type="dxa"/>
            <w:gridSpan w:val="2"/>
            <w:noWrap/>
            <w:hideMark/>
          </w:tcPr>
          <w:p w14:paraId="1330A511" w14:textId="77777777" w:rsidR="002946EA" w:rsidRPr="003F7F6C" w:rsidRDefault="002946EA" w:rsidP="002946EA">
            <w:pPr>
              <w:spacing w:after="0"/>
              <w:ind w:left="-144" w:right="-144"/>
              <w:jc w:val="center"/>
              <w:rPr>
                <w:rFonts w:asciiTheme="minorHAnsi" w:eastAsia="Times New Roman" w:hAnsiTheme="minorHAnsi"/>
                <w:b/>
                <w:bCs/>
                <w:color w:val="000000"/>
                <w:sz w:val="18"/>
                <w:szCs w:val="18"/>
              </w:rPr>
            </w:pPr>
            <w:r w:rsidRPr="003F7F6C">
              <w:rPr>
                <w:rFonts w:asciiTheme="minorHAnsi" w:eastAsia="Times New Roman" w:hAnsiTheme="minorHAnsi"/>
                <w:b/>
                <w:bCs/>
                <w:color w:val="000000"/>
                <w:sz w:val="18"/>
                <w:szCs w:val="18"/>
              </w:rPr>
              <w:t>Total Outcome 3</w:t>
            </w:r>
          </w:p>
        </w:tc>
        <w:tc>
          <w:tcPr>
            <w:tcW w:w="720" w:type="dxa"/>
            <w:noWrap/>
            <w:hideMark/>
          </w:tcPr>
          <w:p w14:paraId="4C394961" w14:textId="77777777" w:rsidR="002946EA" w:rsidRPr="003F7F6C" w:rsidRDefault="002946EA" w:rsidP="002946EA">
            <w:pPr>
              <w:spacing w:after="0"/>
              <w:rPr>
                <w:rFonts w:asciiTheme="minorHAnsi" w:eastAsia="Times New Roman" w:hAnsiTheme="minorHAnsi"/>
                <w:b/>
                <w:bCs/>
                <w:color w:val="000000"/>
                <w:sz w:val="18"/>
                <w:szCs w:val="18"/>
              </w:rPr>
            </w:pPr>
          </w:p>
        </w:tc>
        <w:tc>
          <w:tcPr>
            <w:tcW w:w="540" w:type="dxa"/>
            <w:noWrap/>
            <w:hideMark/>
          </w:tcPr>
          <w:p w14:paraId="4CC0DDA9" w14:textId="77777777" w:rsidR="002946EA" w:rsidRPr="003F7F6C" w:rsidRDefault="002946EA" w:rsidP="002946EA">
            <w:pPr>
              <w:spacing w:after="0"/>
              <w:rPr>
                <w:rFonts w:asciiTheme="minorHAnsi" w:eastAsia="Times New Roman" w:hAnsiTheme="minorHAnsi"/>
                <w:sz w:val="18"/>
                <w:szCs w:val="18"/>
              </w:rPr>
            </w:pPr>
          </w:p>
        </w:tc>
        <w:tc>
          <w:tcPr>
            <w:tcW w:w="720" w:type="dxa"/>
            <w:noWrap/>
            <w:hideMark/>
          </w:tcPr>
          <w:p w14:paraId="1E048AEB" w14:textId="77777777" w:rsidR="002946EA" w:rsidRPr="003F7F6C" w:rsidRDefault="002946EA" w:rsidP="002946EA">
            <w:pPr>
              <w:spacing w:after="0"/>
              <w:rPr>
                <w:rFonts w:asciiTheme="minorHAnsi" w:eastAsia="Times New Roman" w:hAnsiTheme="minorHAnsi"/>
                <w:sz w:val="18"/>
                <w:szCs w:val="18"/>
              </w:rPr>
            </w:pPr>
          </w:p>
        </w:tc>
        <w:tc>
          <w:tcPr>
            <w:tcW w:w="2160" w:type="dxa"/>
            <w:hideMark/>
          </w:tcPr>
          <w:p w14:paraId="2F5209C7" w14:textId="77777777" w:rsidR="002946EA" w:rsidRPr="003F7F6C" w:rsidRDefault="002946EA" w:rsidP="002946EA">
            <w:pPr>
              <w:spacing w:after="0"/>
              <w:rPr>
                <w:rFonts w:asciiTheme="minorHAnsi" w:eastAsia="Times New Roman" w:hAnsiTheme="minorHAnsi"/>
                <w:sz w:val="18"/>
                <w:szCs w:val="18"/>
              </w:rPr>
            </w:pPr>
          </w:p>
        </w:tc>
        <w:tc>
          <w:tcPr>
            <w:tcW w:w="900" w:type="dxa"/>
            <w:noWrap/>
            <w:hideMark/>
          </w:tcPr>
          <w:p w14:paraId="794DD7CE" w14:textId="77777777" w:rsidR="002946EA" w:rsidRPr="003F7F6C" w:rsidRDefault="002946EA" w:rsidP="002946EA">
            <w:pPr>
              <w:spacing w:after="0"/>
              <w:jc w:val="right"/>
              <w:rPr>
                <w:rFonts w:asciiTheme="minorHAnsi" w:eastAsia="Times New Roman" w:hAnsiTheme="minorHAnsi"/>
                <w:b/>
                <w:bCs/>
                <w:color w:val="000000"/>
                <w:sz w:val="18"/>
                <w:szCs w:val="18"/>
              </w:rPr>
            </w:pPr>
            <w:r w:rsidRPr="003F7F6C">
              <w:rPr>
                <w:rFonts w:asciiTheme="minorHAnsi" w:hAnsiTheme="minorHAnsi"/>
                <w:b/>
                <w:sz w:val="18"/>
                <w:szCs w:val="18"/>
              </w:rPr>
              <w:t>59,900</w:t>
            </w:r>
          </w:p>
        </w:tc>
        <w:tc>
          <w:tcPr>
            <w:tcW w:w="990" w:type="dxa"/>
            <w:noWrap/>
            <w:hideMark/>
          </w:tcPr>
          <w:p w14:paraId="3A5CE2BC" w14:textId="77777777" w:rsidR="002946EA" w:rsidRPr="003F7F6C" w:rsidRDefault="002946EA" w:rsidP="002946EA">
            <w:pPr>
              <w:spacing w:after="0"/>
              <w:jc w:val="right"/>
              <w:rPr>
                <w:rFonts w:asciiTheme="minorHAnsi" w:eastAsia="Times New Roman" w:hAnsiTheme="minorHAnsi"/>
                <w:b/>
                <w:bCs/>
                <w:color w:val="000000"/>
                <w:sz w:val="18"/>
                <w:szCs w:val="18"/>
              </w:rPr>
            </w:pPr>
            <w:r w:rsidRPr="003F7F6C">
              <w:rPr>
                <w:rFonts w:asciiTheme="minorHAnsi" w:hAnsiTheme="minorHAnsi"/>
                <w:b/>
                <w:sz w:val="18"/>
                <w:szCs w:val="18"/>
              </w:rPr>
              <w:t>39,900</w:t>
            </w:r>
          </w:p>
        </w:tc>
        <w:tc>
          <w:tcPr>
            <w:tcW w:w="990" w:type="dxa"/>
            <w:noWrap/>
            <w:hideMark/>
          </w:tcPr>
          <w:p w14:paraId="18732B87" w14:textId="77777777" w:rsidR="002946EA" w:rsidRPr="003F7F6C" w:rsidRDefault="002946EA" w:rsidP="002946EA">
            <w:pPr>
              <w:spacing w:after="0"/>
              <w:jc w:val="right"/>
              <w:rPr>
                <w:rFonts w:asciiTheme="minorHAnsi" w:eastAsia="Times New Roman" w:hAnsiTheme="minorHAnsi"/>
                <w:b/>
                <w:bCs/>
                <w:color w:val="000000"/>
                <w:sz w:val="18"/>
                <w:szCs w:val="18"/>
              </w:rPr>
            </w:pPr>
            <w:r w:rsidRPr="003F7F6C">
              <w:rPr>
                <w:rFonts w:asciiTheme="minorHAnsi" w:hAnsiTheme="minorHAnsi"/>
                <w:b/>
                <w:sz w:val="18"/>
                <w:szCs w:val="18"/>
              </w:rPr>
              <w:t>39,899</w:t>
            </w:r>
          </w:p>
        </w:tc>
        <w:tc>
          <w:tcPr>
            <w:tcW w:w="990" w:type="dxa"/>
            <w:noWrap/>
            <w:hideMark/>
          </w:tcPr>
          <w:p w14:paraId="15599CBB" w14:textId="77777777" w:rsidR="002946EA" w:rsidRPr="003F7F6C" w:rsidRDefault="002946EA" w:rsidP="002946EA">
            <w:pPr>
              <w:spacing w:after="0"/>
              <w:jc w:val="right"/>
              <w:rPr>
                <w:rFonts w:asciiTheme="minorHAnsi" w:eastAsia="Times New Roman" w:hAnsiTheme="minorHAnsi"/>
                <w:b/>
                <w:bCs/>
                <w:color w:val="000000"/>
                <w:sz w:val="18"/>
                <w:szCs w:val="18"/>
              </w:rPr>
            </w:pPr>
            <w:r w:rsidRPr="003F7F6C">
              <w:rPr>
                <w:rFonts w:asciiTheme="minorHAnsi" w:hAnsiTheme="minorHAnsi"/>
                <w:b/>
                <w:sz w:val="18"/>
                <w:szCs w:val="18"/>
              </w:rPr>
              <w:t>192,758</w:t>
            </w:r>
          </w:p>
        </w:tc>
        <w:tc>
          <w:tcPr>
            <w:tcW w:w="990" w:type="dxa"/>
            <w:noWrap/>
            <w:hideMark/>
          </w:tcPr>
          <w:p w14:paraId="29DE7EBD" w14:textId="77777777" w:rsidR="002946EA" w:rsidRPr="003F7F6C" w:rsidRDefault="002946EA" w:rsidP="002946EA">
            <w:pPr>
              <w:spacing w:after="0"/>
              <w:jc w:val="right"/>
              <w:rPr>
                <w:rFonts w:asciiTheme="minorHAnsi" w:eastAsia="Times New Roman" w:hAnsiTheme="minorHAnsi"/>
                <w:b/>
                <w:bCs/>
                <w:color w:val="000000"/>
                <w:sz w:val="18"/>
                <w:szCs w:val="18"/>
              </w:rPr>
            </w:pPr>
            <w:r w:rsidRPr="003F7F6C">
              <w:rPr>
                <w:rFonts w:asciiTheme="minorHAnsi" w:hAnsiTheme="minorHAnsi"/>
                <w:b/>
                <w:sz w:val="18"/>
                <w:szCs w:val="18"/>
              </w:rPr>
              <w:t>143,597</w:t>
            </w:r>
          </w:p>
        </w:tc>
        <w:tc>
          <w:tcPr>
            <w:tcW w:w="990" w:type="dxa"/>
            <w:noWrap/>
            <w:hideMark/>
          </w:tcPr>
          <w:p w14:paraId="57B0D31A" w14:textId="77777777" w:rsidR="002946EA" w:rsidRPr="003F7F6C" w:rsidRDefault="002946EA" w:rsidP="002946EA">
            <w:pPr>
              <w:spacing w:after="0"/>
              <w:jc w:val="right"/>
              <w:rPr>
                <w:rFonts w:asciiTheme="minorHAnsi" w:eastAsia="Times New Roman" w:hAnsiTheme="minorHAnsi"/>
                <w:b/>
                <w:bCs/>
                <w:color w:val="000000"/>
                <w:sz w:val="18"/>
                <w:szCs w:val="18"/>
              </w:rPr>
            </w:pPr>
            <w:r w:rsidRPr="003F7F6C">
              <w:rPr>
                <w:rFonts w:asciiTheme="minorHAnsi" w:hAnsiTheme="minorHAnsi"/>
                <w:b/>
                <w:sz w:val="18"/>
                <w:szCs w:val="18"/>
              </w:rPr>
              <w:t>163,598</w:t>
            </w:r>
          </w:p>
        </w:tc>
        <w:tc>
          <w:tcPr>
            <w:tcW w:w="990" w:type="dxa"/>
            <w:noWrap/>
            <w:hideMark/>
          </w:tcPr>
          <w:p w14:paraId="359F805C" w14:textId="77777777" w:rsidR="002946EA" w:rsidRPr="003F7F6C" w:rsidRDefault="002946EA" w:rsidP="002946EA">
            <w:pPr>
              <w:spacing w:after="0"/>
              <w:jc w:val="right"/>
              <w:rPr>
                <w:rFonts w:asciiTheme="minorHAnsi" w:eastAsia="Times New Roman" w:hAnsiTheme="minorHAnsi"/>
                <w:b/>
                <w:bCs/>
                <w:color w:val="000000"/>
                <w:sz w:val="18"/>
                <w:szCs w:val="18"/>
              </w:rPr>
            </w:pPr>
            <w:r w:rsidRPr="003F7F6C">
              <w:rPr>
                <w:rFonts w:asciiTheme="minorHAnsi" w:hAnsiTheme="minorHAnsi"/>
                <w:b/>
                <w:sz w:val="18"/>
                <w:szCs w:val="18"/>
              </w:rPr>
              <w:t>639,652</w:t>
            </w:r>
          </w:p>
        </w:tc>
        <w:tc>
          <w:tcPr>
            <w:tcW w:w="630" w:type="dxa"/>
            <w:noWrap/>
            <w:hideMark/>
          </w:tcPr>
          <w:p w14:paraId="430C2330" w14:textId="77777777" w:rsidR="002946EA" w:rsidRPr="003F7F6C" w:rsidRDefault="002946EA" w:rsidP="002946EA">
            <w:pPr>
              <w:spacing w:after="0"/>
              <w:jc w:val="center"/>
              <w:rPr>
                <w:rFonts w:asciiTheme="minorHAnsi" w:eastAsia="Times New Roman" w:hAnsiTheme="minorHAnsi"/>
                <w:color w:val="000000"/>
                <w:sz w:val="18"/>
                <w:szCs w:val="18"/>
              </w:rPr>
            </w:pPr>
          </w:p>
        </w:tc>
      </w:tr>
      <w:tr w:rsidR="002946EA" w:rsidRPr="003F7F6C" w14:paraId="3EB27BD5" w14:textId="77777777" w:rsidTr="00826EE8">
        <w:tc>
          <w:tcPr>
            <w:tcW w:w="1255" w:type="dxa"/>
            <w:vMerge w:val="restart"/>
            <w:vAlign w:val="center"/>
          </w:tcPr>
          <w:p w14:paraId="201B4997" w14:textId="77777777" w:rsidR="002946EA" w:rsidRPr="003F7F6C" w:rsidRDefault="002946EA" w:rsidP="002946EA">
            <w:pPr>
              <w:spacing w:after="0"/>
              <w:jc w:val="lef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rPr>
              <w:t>Outcome 4:</w:t>
            </w:r>
          </w:p>
        </w:tc>
        <w:tc>
          <w:tcPr>
            <w:tcW w:w="630" w:type="dxa"/>
            <w:vAlign w:val="center"/>
          </w:tcPr>
          <w:p w14:paraId="51E2F3B5" w14:textId="77777777" w:rsidR="002946EA" w:rsidRPr="003F7F6C" w:rsidRDefault="002946EA" w:rsidP="002946EA">
            <w:pPr>
              <w:spacing w:after="0"/>
              <w:ind w:left="-144" w:right="-144"/>
              <w:jc w:val="center"/>
              <w:rPr>
                <w:rFonts w:asciiTheme="minorHAnsi" w:eastAsia="Times New Roman" w:hAnsiTheme="minorHAnsi"/>
                <w:color w:val="000000"/>
                <w:sz w:val="18"/>
                <w:szCs w:val="18"/>
              </w:rPr>
            </w:pPr>
            <w:r w:rsidRPr="003F7F6C">
              <w:rPr>
                <w:bCs/>
                <w:color w:val="000000"/>
                <w:sz w:val="18"/>
                <w:szCs w:val="18"/>
                <w:lang w:val="es-PY"/>
              </w:rPr>
              <w:t>SGAyDS</w:t>
            </w:r>
          </w:p>
        </w:tc>
        <w:tc>
          <w:tcPr>
            <w:tcW w:w="720" w:type="dxa"/>
            <w:noWrap/>
            <w:vAlign w:val="center"/>
          </w:tcPr>
          <w:p w14:paraId="0AAC3608"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62000</w:t>
            </w:r>
          </w:p>
        </w:tc>
        <w:tc>
          <w:tcPr>
            <w:tcW w:w="540" w:type="dxa"/>
            <w:noWrap/>
            <w:vAlign w:val="center"/>
          </w:tcPr>
          <w:p w14:paraId="0BA18B21"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GEF</w:t>
            </w:r>
          </w:p>
        </w:tc>
        <w:tc>
          <w:tcPr>
            <w:tcW w:w="720" w:type="dxa"/>
            <w:shd w:val="clear" w:color="auto" w:fill="auto"/>
            <w:noWrap/>
            <w:vAlign w:val="center"/>
          </w:tcPr>
          <w:p w14:paraId="4F6329A2"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71200</w:t>
            </w:r>
          </w:p>
        </w:tc>
        <w:tc>
          <w:tcPr>
            <w:tcW w:w="2160" w:type="dxa"/>
            <w:shd w:val="clear" w:color="auto" w:fill="auto"/>
            <w:vAlign w:val="center"/>
          </w:tcPr>
          <w:p w14:paraId="2A4111FB"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International Consultants</w:t>
            </w:r>
          </w:p>
        </w:tc>
        <w:tc>
          <w:tcPr>
            <w:tcW w:w="900" w:type="dxa"/>
            <w:shd w:val="clear" w:color="auto" w:fill="auto"/>
            <w:noWrap/>
            <w:vAlign w:val="center"/>
          </w:tcPr>
          <w:p w14:paraId="1D5B93C4"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 xml:space="preserve">- </w:t>
            </w:r>
          </w:p>
        </w:tc>
        <w:tc>
          <w:tcPr>
            <w:tcW w:w="990" w:type="dxa"/>
            <w:shd w:val="clear" w:color="auto" w:fill="auto"/>
            <w:noWrap/>
            <w:vAlign w:val="center"/>
          </w:tcPr>
          <w:p w14:paraId="5D4087EA"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 xml:space="preserve">- </w:t>
            </w:r>
          </w:p>
        </w:tc>
        <w:tc>
          <w:tcPr>
            <w:tcW w:w="990" w:type="dxa"/>
            <w:shd w:val="clear" w:color="auto" w:fill="auto"/>
            <w:noWrap/>
            <w:vAlign w:val="center"/>
          </w:tcPr>
          <w:p w14:paraId="0FAB0150"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15,000</w:t>
            </w:r>
          </w:p>
        </w:tc>
        <w:tc>
          <w:tcPr>
            <w:tcW w:w="990" w:type="dxa"/>
            <w:shd w:val="clear" w:color="auto" w:fill="auto"/>
            <w:noWrap/>
            <w:vAlign w:val="center"/>
          </w:tcPr>
          <w:p w14:paraId="2E5E23B8"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 xml:space="preserve">- </w:t>
            </w:r>
          </w:p>
        </w:tc>
        <w:tc>
          <w:tcPr>
            <w:tcW w:w="990" w:type="dxa"/>
            <w:shd w:val="clear" w:color="auto" w:fill="auto"/>
            <w:noWrap/>
            <w:vAlign w:val="center"/>
          </w:tcPr>
          <w:p w14:paraId="6C8D1286"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 xml:space="preserve">- </w:t>
            </w:r>
          </w:p>
        </w:tc>
        <w:tc>
          <w:tcPr>
            <w:tcW w:w="990" w:type="dxa"/>
            <w:shd w:val="clear" w:color="auto" w:fill="auto"/>
            <w:noWrap/>
            <w:vAlign w:val="center"/>
          </w:tcPr>
          <w:p w14:paraId="7B0C7FDC"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18,000</w:t>
            </w:r>
          </w:p>
        </w:tc>
        <w:tc>
          <w:tcPr>
            <w:tcW w:w="990" w:type="dxa"/>
            <w:shd w:val="clear" w:color="auto" w:fill="auto"/>
            <w:noWrap/>
            <w:vAlign w:val="center"/>
          </w:tcPr>
          <w:p w14:paraId="29920B64"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33,000</w:t>
            </w:r>
          </w:p>
        </w:tc>
        <w:tc>
          <w:tcPr>
            <w:tcW w:w="630" w:type="dxa"/>
            <w:shd w:val="clear" w:color="auto" w:fill="auto"/>
            <w:noWrap/>
            <w:vAlign w:val="center"/>
          </w:tcPr>
          <w:p w14:paraId="62CBC787" w14:textId="77777777" w:rsidR="002946EA" w:rsidRPr="003F7F6C" w:rsidRDefault="002946EA" w:rsidP="002946EA">
            <w:pPr>
              <w:spacing w:after="0"/>
              <w:jc w:val="center"/>
              <w:rPr>
                <w:rFonts w:asciiTheme="minorHAnsi" w:eastAsia="Times New Roman" w:hAnsiTheme="minorHAnsi"/>
                <w:color w:val="000000"/>
                <w:sz w:val="18"/>
                <w:szCs w:val="18"/>
              </w:rPr>
            </w:pPr>
            <w:r w:rsidRPr="003F7F6C">
              <w:rPr>
                <w:rFonts w:asciiTheme="minorHAnsi" w:eastAsia="Times New Roman" w:hAnsiTheme="minorHAnsi"/>
                <w:iCs/>
                <w:color w:val="000000"/>
                <w:sz w:val="18"/>
                <w:szCs w:val="18"/>
                <w:lang w:val="es-PY"/>
              </w:rPr>
              <w:t>20</w:t>
            </w:r>
          </w:p>
        </w:tc>
      </w:tr>
      <w:tr w:rsidR="002946EA" w:rsidRPr="003F7F6C" w14:paraId="40043E8C" w14:textId="77777777" w:rsidTr="00826EE8">
        <w:tc>
          <w:tcPr>
            <w:tcW w:w="1255" w:type="dxa"/>
            <w:vMerge/>
          </w:tcPr>
          <w:p w14:paraId="60456289" w14:textId="77777777" w:rsidR="002946EA" w:rsidRPr="003F7F6C" w:rsidRDefault="002946EA" w:rsidP="002946EA">
            <w:pPr>
              <w:spacing w:after="0"/>
              <w:rPr>
                <w:rFonts w:asciiTheme="minorHAnsi" w:eastAsia="Times New Roman" w:hAnsiTheme="minorHAnsi"/>
                <w:color w:val="000000"/>
                <w:sz w:val="18"/>
                <w:szCs w:val="18"/>
              </w:rPr>
            </w:pPr>
          </w:p>
        </w:tc>
        <w:tc>
          <w:tcPr>
            <w:tcW w:w="630" w:type="dxa"/>
            <w:vAlign w:val="center"/>
          </w:tcPr>
          <w:p w14:paraId="60E1F889" w14:textId="77777777" w:rsidR="002946EA" w:rsidRPr="003F7F6C" w:rsidRDefault="002946EA" w:rsidP="002946EA">
            <w:pPr>
              <w:spacing w:after="0"/>
              <w:ind w:left="-144" w:right="-144"/>
              <w:jc w:val="center"/>
              <w:rPr>
                <w:rFonts w:asciiTheme="minorHAnsi" w:eastAsia="Times New Roman" w:hAnsiTheme="minorHAnsi"/>
                <w:color w:val="000000"/>
                <w:sz w:val="18"/>
                <w:szCs w:val="18"/>
              </w:rPr>
            </w:pPr>
            <w:r w:rsidRPr="003F7F6C">
              <w:rPr>
                <w:bCs/>
                <w:color w:val="000000"/>
                <w:sz w:val="18"/>
                <w:szCs w:val="18"/>
                <w:lang w:val="es-PY"/>
              </w:rPr>
              <w:t>SGAyDS</w:t>
            </w:r>
          </w:p>
        </w:tc>
        <w:tc>
          <w:tcPr>
            <w:tcW w:w="720" w:type="dxa"/>
            <w:noWrap/>
            <w:vAlign w:val="center"/>
          </w:tcPr>
          <w:p w14:paraId="580886A5"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62000</w:t>
            </w:r>
          </w:p>
        </w:tc>
        <w:tc>
          <w:tcPr>
            <w:tcW w:w="540" w:type="dxa"/>
            <w:noWrap/>
            <w:vAlign w:val="center"/>
          </w:tcPr>
          <w:p w14:paraId="5A2250D7"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GEF</w:t>
            </w:r>
          </w:p>
        </w:tc>
        <w:tc>
          <w:tcPr>
            <w:tcW w:w="720" w:type="dxa"/>
            <w:shd w:val="clear" w:color="auto" w:fill="auto"/>
            <w:noWrap/>
            <w:vAlign w:val="center"/>
          </w:tcPr>
          <w:p w14:paraId="71842D55"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71300</w:t>
            </w:r>
          </w:p>
        </w:tc>
        <w:tc>
          <w:tcPr>
            <w:tcW w:w="2160" w:type="dxa"/>
            <w:shd w:val="clear" w:color="auto" w:fill="auto"/>
            <w:vAlign w:val="center"/>
          </w:tcPr>
          <w:p w14:paraId="76CBFEED"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Local Consultants</w:t>
            </w:r>
          </w:p>
        </w:tc>
        <w:tc>
          <w:tcPr>
            <w:tcW w:w="900" w:type="dxa"/>
            <w:shd w:val="clear" w:color="auto" w:fill="auto"/>
            <w:noWrap/>
            <w:vAlign w:val="center"/>
          </w:tcPr>
          <w:p w14:paraId="0AFFBD6A"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4,000</w:t>
            </w:r>
          </w:p>
        </w:tc>
        <w:tc>
          <w:tcPr>
            <w:tcW w:w="990" w:type="dxa"/>
            <w:shd w:val="clear" w:color="auto" w:fill="auto"/>
            <w:noWrap/>
            <w:vAlign w:val="center"/>
          </w:tcPr>
          <w:p w14:paraId="101253F7"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4,000</w:t>
            </w:r>
          </w:p>
        </w:tc>
        <w:tc>
          <w:tcPr>
            <w:tcW w:w="990" w:type="dxa"/>
            <w:shd w:val="clear" w:color="auto" w:fill="auto"/>
            <w:noWrap/>
            <w:vAlign w:val="center"/>
          </w:tcPr>
          <w:p w14:paraId="2A2BF702"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12,000</w:t>
            </w:r>
          </w:p>
        </w:tc>
        <w:tc>
          <w:tcPr>
            <w:tcW w:w="990" w:type="dxa"/>
            <w:shd w:val="clear" w:color="auto" w:fill="auto"/>
            <w:noWrap/>
            <w:vAlign w:val="center"/>
          </w:tcPr>
          <w:p w14:paraId="73AFDE1E"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4,000</w:t>
            </w:r>
          </w:p>
        </w:tc>
        <w:tc>
          <w:tcPr>
            <w:tcW w:w="990" w:type="dxa"/>
            <w:shd w:val="clear" w:color="auto" w:fill="auto"/>
            <w:noWrap/>
            <w:vAlign w:val="center"/>
          </w:tcPr>
          <w:p w14:paraId="3CE90F4C"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4,000</w:t>
            </w:r>
          </w:p>
        </w:tc>
        <w:tc>
          <w:tcPr>
            <w:tcW w:w="990" w:type="dxa"/>
            <w:shd w:val="clear" w:color="auto" w:fill="auto"/>
            <w:noWrap/>
            <w:vAlign w:val="center"/>
          </w:tcPr>
          <w:p w14:paraId="53FCADC0"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12,000</w:t>
            </w:r>
          </w:p>
        </w:tc>
        <w:tc>
          <w:tcPr>
            <w:tcW w:w="990" w:type="dxa"/>
            <w:shd w:val="clear" w:color="auto" w:fill="auto"/>
            <w:noWrap/>
            <w:vAlign w:val="center"/>
          </w:tcPr>
          <w:p w14:paraId="1FA2821B"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40,000</w:t>
            </w:r>
          </w:p>
        </w:tc>
        <w:tc>
          <w:tcPr>
            <w:tcW w:w="630" w:type="dxa"/>
            <w:shd w:val="clear" w:color="auto" w:fill="auto"/>
            <w:noWrap/>
            <w:vAlign w:val="center"/>
          </w:tcPr>
          <w:p w14:paraId="38661A1B" w14:textId="77777777" w:rsidR="002946EA" w:rsidRPr="003F7F6C" w:rsidRDefault="002946EA" w:rsidP="002946EA">
            <w:pPr>
              <w:spacing w:after="0"/>
              <w:jc w:val="center"/>
              <w:rPr>
                <w:rFonts w:asciiTheme="minorHAnsi" w:eastAsia="Times New Roman" w:hAnsiTheme="minorHAnsi"/>
                <w:color w:val="000000"/>
                <w:sz w:val="18"/>
                <w:szCs w:val="18"/>
              </w:rPr>
            </w:pPr>
            <w:r w:rsidRPr="003F7F6C">
              <w:rPr>
                <w:rFonts w:asciiTheme="minorHAnsi" w:eastAsia="Times New Roman" w:hAnsiTheme="minorHAnsi"/>
                <w:iCs/>
                <w:color w:val="000000"/>
                <w:sz w:val="18"/>
                <w:szCs w:val="18"/>
                <w:lang w:val="es-PY"/>
              </w:rPr>
              <w:t>21</w:t>
            </w:r>
          </w:p>
        </w:tc>
      </w:tr>
      <w:tr w:rsidR="002946EA" w:rsidRPr="003F7F6C" w14:paraId="6B923200" w14:textId="77777777" w:rsidTr="00826EE8">
        <w:tc>
          <w:tcPr>
            <w:tcW w:w="1255" w:type="dxa"/>
            <w:vMerge/>
          </w:tcPr>
          <w:p w14:paraId="7DE0584C" w14:textId="77777777" w:rsidR="002946EA" w:rsidRPr="003F7F6C" w:rsidRDefault="002946EA" w:rsidP="002946EA">
            <w:pPr>
              <w:spacing w:after="0"/>
              <w:rPr>
                <w:rFonts w:asciiTheme="minorHAnsi" w:eastAsia="Times New Roman" w:hAnsiTheme="minorHAnsi"/>
                <w:color w:val="000000"/>
                <w:sz w:val="18"/>
                <w:szCs w:val="18"/>
              </w:rPr>
            </w:pPr>
          </w:p>
        </w:tc>
        <w:tc>
          <w:tcPr>
            <w:tcW w:w="630" w:type="dxa"/>
            <w:vAlign w:val="center"/>
          </w:tcPr>
          <w:p w14:paraId="22A85AD7" w14:textId="77777777" w:rsidR="002946EA" w:rsidRPr="003F7F6C" w:rsidRDefault="002946EA" w:rsidP="002946EA">
            <w:pPr>
              <w:spacing w:after="0"/>
              <w:ind w:left="-144" w:right="-144"/>
              <w:jc w:val="center"/>
              <w:rPr>
                <w:rFonts w:asciiTheme="minorHAnsi" w:eastAsia="Times New Roman" w:hAnsiTheme="minorHAnsi"/>
                <w:color w:val="000000"/>
                <w:sz w:val="18"/>
                <w:szCs w:val="18"/>
              </w:rPr>
            </w:pPr>
            <w:r w:rsidRPr="003F7F6C">
              <w:rPr>
                <w:bCs/>
                <w:color w:val="000000"/>
                <w:sz w:val="18"/>
                <w:szCs w:val="18"/>
                <w:lang w:val="es-PY"/>
              </w:rPr>
              <w:t>SGAyDS</w:t>
            </w:r>
          </w:p>
        </w:tc>
        <w:tc>
          <w:tcPr>
            <w:tcW w:w="720" w:type="dxa"/>
            <w:noWrap/>
            <w:vAlign w:val="center"/>
          </w:tcPr>
          <w:p w14:paraId="2FB1AE11"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62000</w:t>
            </w:r>
          </w:p>
        </w:tc>
        <w:tc>
          <w:tcPr>
            <w:tcW w:w="540" w:type="dxa"/>
            <w:noWrap/>
            <w:vAlign w:val="center"/>
          </w:tcPr>
          <w:p w14:paraId="4E6F9259"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GEF</w:t>
            </w:r>
          </w:p>
        </w:tc>
        <w:tc>
          <w:tcPr>
            <w:tcW w:w="720" w:type="dxa"/>
            <w:shd w:val="clear" w:color="auto" w:fill="auto"/>
            <w:noWrap/>
            <w:vAlign w:val="center"/>
          </w:tcPr>
          <w:p w14:paraId="294E47CF"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71400</w:t>
            </w:r>
          </w:p>
        </w:tc>
        <w:tc>
          <w:tcPr>
            <w:tcW w:w="2160" w:type="dxa"/>
            <w:shd w:val="clear" w:color="auto" w:fill="auto"/>
            <w:vAlign w:val="center"/>
          </w:tcPr>
          <w:p w14:paraId="3B25A41F"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Contractual Services - Individ</w:t>
            </w:r>
          </w:p>
        </w:tc>
        <w:tc>
          <w:tcPr>
            <w:tcW w:w="900" w:type="dxa"/>
            <w:shd w:val="clear" w:color="auto" w:fill="auto"/>
            <w:noWrap/>
            <w:vAlign w:val="center"/>
          </w:tcPr>
          <w:p w14:paraId="2E15FD86"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11,950</w:t>
            </w:r>
          </w:p>
        </w:tc>
        <w:tc>
          <w:tcPr>
            <w:tcW w:w="990" w:type="dxa"/>
            <w:shd w:val="clear" w:color="auto" w:fill="auto"/>
            <w:noWrap/>
            <w:vAlign w:val="center"/>
          </w:tcPr>
          <w:p w14:paraId="1CABC35E"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11,950</w:t>
            </w:r>
          </w:p>
        </w:tc>
        <w:tc>
          <w:tcPr>
            <w:tcW w:w="990" w:type="dxa"/>
            <w:shd w:val="clear" w:color="auto" w:fill="auto"/>
            <w:noWrap/>
            <w:vAlign w:val="center"/>
          </w:tcPr>
          <w:p w14:paraId="04729DC8"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11,950</w:t>
            </w:r>
          </w:p>
        </w:tc>
        <w:tc>
          <w:tcPr>
            <w:tcW w:w="990" w:type="dxa"/>
            <w:shd w:val="clear" w:color="auto" w:fill="auto"/>
            <w:noWrap/>
            <w:vAlign w:val="center"/>
          </w:tcPr>
          <w:p w14:paraId="3C1BB0B6"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11,950</w:t>
            </w:r>
          </w:p>
        </w:tc>
        <w:tc>
          <w:tcPr>
            <w:tcW w:w="990" w:type="dxa"/>
            <w:shd w:val="clear" w:color="auto" w:fill="auto"/>
            <w:noWrap/>
            <w:vAlign w:val="center"/>
          </w:tcPr>
          <w:p w14:paraId="0D5712A8"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11,952</w:t>
            </w:r>
          </w:p>
        </w:tc>
        <w:tc>
          <w:tcPr>
            <w:tcW w:w="990" w:type="dxa"/>
            <w:shd w:val="clear" w:color="auto" w:fill="auto"/>
            <w:noWrap/>
            <w:vAlign w:val="center"/>
          </w:tcPr>
          <w:p w14:paraId="60737705"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11,952</w:t>
            </w:r>
          </w:p>
        </w:tc>
        <w:tc>
          <w:tcPr>
            <w:tcW w:w="990" w:type="dxa"/>
            <w:shd w:val="clear" w:color="auto" w:fill="auto"/>
            <w:noWrap/>
            <w:vAlign w:val="center"/>
          </w:tcPr>
          <w:p w14:paraId="48A9D94D"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71,704</w:t>
            </w:r>
          </w:p>
        </w:tc>
        <w:tc>
          <w:tcPr>
            <w:tcW w:w="630" w:type="dxa"/>
            <w:shd w:val="clear" w:color="auto" w:fill="auto"/>
            <w:noWrap/>
            <w:vAlign w:val="center"/>
          </w:tcPr>
          <w:p w14:paraId="37023AB0" w14:textId="77777777" w:rsidR="002946EA" w:rsidRPr="003F7F6C" w:rsidRDefault="002946EA" w:rsidP="002946EA">
            <w:pPr>
              <w:spacing w:after="0"/>
              <w:jc w:val="center"/>
              <w:rPr>
                <w:rFonts w:asciiTheme="minorHAnsi" w:eastAsia="Times New Roman" w:hAnsiTheme="minorHAnsi"/>
                <w:color w:val="000000"/>
                <w:sz w:val="18"/>
                <w:szCs w:val="18"/>
              </w:rPr>
            </w:pPr>
            <w:r w:rsidRPr="003F7F6C">
              <w:rPr>
                <w:rFonts w:asciiTheme="minorHAnsi" w:eastAsia="Times New Roman" w:hAnsiTheme="minorHAnsi"/>
                <w:iCs/>
                <w:color w:val="000000"/>
                <w:sz w:val="18"/>
                <w:szCs w:val="18"/>
                <w:lang w:val="es-PY"/>
              </w:rPr>
              <w:t>22</w:t>
            </w:r>
          </w:p>
        </w:tc>
      </w:tr>
      <w:tr w:rsidR="002946EA" w:rsidRPr="003F7F6C" w14:paraId="7C14C3A3" w14:textId="77777777" w:rsidTr="00826EE8">
        <w:tc>
          <w:tcPr>
            <w:tcW w:w="1255" w:type="dxa"/>
            <w:vMerge/>
          </w:tcPr>
          <w:p w14:paraId="62950F73" w14:textId="77777777" w:rsidR="002946EA" w:rsidRPr="003F7F6C" w:rsidRDefault="002946EA" w:rsidP="002946EA">
            <w:pPr>
              <w:spacing w:after="0"/>
              <w:rPr>
                <w:rFonts w:asciiTheme="minorHAnsi" w:eastAsia="Times New Roman" w:hAnsiTheme="minorHAnsi"/>
                <w:color w:val="000000"/>
                <w:sz w:val="18"/>
                <w:szCs w:val="18"/>
              </w:rPr>
            </w:pPr>
          </w:p>
        </w:tc>
        <w:tc>
          <w:tcPr>
            <w:tcW w:w="630" w:type="dxa"/>
            <w:vAlign w:val="center"/>
          </w:tcPr>
          <w:p w14:paraId="0B7EACE3" w14:textId="77777777" w:rsidR="002946EA" w:rsidRPr="003F7F6C" w:rsidRDefault="002946EA" w:rsidP="002946EA">
            <w:pPr>
              <w:spacing w:after="0"/>
              <w:ind w:left="-144" w:right="-144"/>
              <w:jc w:val="center"/>
              <w:rPr>
                <w:rFonts w:asciiTheme="minorHAnsi" w:eastAsia="Times New Roman" w:hAnsiTheme="minorHAnsi"/>
                <w:color w:val="000000"/>
                <w:sz w:val="18"/>
                <w:szCs w:val="18"/>
              </w:rPr>
            </w:pPr>
            <w:r w:rsidRPr="003F7F6C">
              <w:rPr>
                <w:bCs/>
                <w:color w:val="000000"/>
                <w:sz w:val="18"/>
                <w:szCs w:val="18"/>
                <w:lang w:val="es-PY"/>
              </w:rPr>
              <w:t>SGAyDS</w:t>
            </w:r>
          </w:p>
        </w:tc>
        <w:tc>
          <w:tcPr>
            <w:tcW w:w="720" w:type="dxa"/>
            <w:noWrap/>
            <w:vAlign w:val="center"/>
          </w:tcPr>
          <w:p w14:paraId="15BB287B"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62000</w:t>
            </w:r>
          </w:p>
        </w:tc>
        <w:tc>
          <w:tcPr>
            <w:tcW w:w="540" w:type="dxa"/>
            <w:noWrap/>
            <w:vAlign w:val="center"/>
          </w:tcPr>
          <w:p w14:paraId="480CAA02"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GEF</w:t>
            </w:r>
          </w:p>
        </w:tc>
        <w:tc>
          <w:tcPr>
            <w:tcW w:w="720" w:type="dxa"/>
            <w:shd w:val="clear" w:color="auto" w:fill="auto"/>
            <w:noWrap/>
            <w:vAlign w:val="center"/>
          </w:tcPr>
          <w:p w14:paraId="28E2F8D4"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71600</w:t>
            </w:r>
          </w:p>
        </w:tc>
        <w:tc>
          <w:tcPr>
            <w:tcW w:w="2160" w:type="dxa"/>
            <w:shd w:val="clear" w:color="auto" w:fill="auto"/>
            <w:vAlign w:val="center"/>
          </w:tcPr>
          <w:p w14:paraId="26709849"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Travel</w:t>
            </w:r>
          </w:p>
        </w:tc>
        <w:tc>
          <w:tcPr>
            <w:tcW w:w="900" w:type="dxa"/>
            <w:shd w:val="clear" w:color="auto" w:fill="auto"/>
            <w:noWrap/>
            <w:vAlign w:val="center"/>
          </w:tcPr>
          <w:p w14:paraId="488EF5FF"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2,000</w:t>
            </w:r>
          </w:p>
        </w:tc>
        <w:tc>
          <w:tcPr>
            <w:tcW w:w="990" w:type="dxa"/>
            <w:shd w:val="clear" w:color="auto" w:fill="auto"/>
            <w:noWrap/>
            <w:vAlign w:val="center"/>
          </w:tcPr>
          <w:p w14:paraId="2F800A6F"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2,000</w:t>
            </w:r>
          </w:p>
        </w:tc>
        <w:tc>
          <w:tcPr>
            <w:tcW w:w="990" w:type="dxa"/>
            <w:shd w:val="clear" w:color="auto" w:fill="auto"/>
            <w:noWrap/>
            <w:vAlign w:val="center"/>
          </w:tcPr>
          <w:p w14:paraId="5E1D1326"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12,818</w:t>
            </w:r>
          </w:p>
        </w:tc>
        <w:tc>
          <w:tcPr>
            <w:tcW w:w="990" w:type="dxa"/>
            <w:shd w:val="clear" w:color="auto" w:fill="auto"/>
            <w:noWrap/>
            <w:vAlign w:val="center"/>
          </w:tcPr>
          <w:p w14:paraId="1C7475F1"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2,000</w:t>
            </w:r>
          </w:p>
        </w:tc>
        <w:tc>
          <w:tcPr>
            <w:tcW w:w="990" w:type="dxa"/>
            <w:shd w:val="clear" w:color="auto" w:fill="auto"/>
            <w:noWrap/>
            <w:vAlign w:val="center"/>
          </w:tcPr>
          <w:p w14:paraId="3ADD6FEC"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2,000</w:t>
            </w:r>
          </w:p>
        </w:tc>
        <w:tc>
          <w:tcPr>
            <w:tcW w:w="990" w:type="dxa"/>
            <w:shd w:val="clear" w:color="auto" w:fill="auto"/>
            <w:noWrap/>
            <w:vAlign w:val="center"/>
          </w:tcPr>
          <w:p w14:paraId="5C1B949D"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12,818</w:t>
            </w:r>
          </w:p>
        </w:tc>
        <w:tc>
          <w:tcPr>
            <w:tcW w:w="990" w:type="dxa"/>
            <w:shd w:val="clear" w:color="auto" w:fill="auto"/>
            <w:noWrap/>
            <w:vAlign w:val="center"/>
          </w:tcPr>
          <w:p w14:paraId="292129BF"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33,636</w:t>
            </w:r>
          </w:p>
        </w:tc>
        <w:tc>
          <w:tcPr>
            <w:tcW w:w="630" w:type="dxa"/>
            <w:shd w:val="clear" w:color="auto" w:fill="auto"/>
            <w:noWrap/>
            <w:vAlign w:val="center"/>
          </w:tcPr>
          <w:p w14:paraId="784B4EA3" w14:textId="77777777" w:rsidR="002946EA" w:rsidRPr="003F7F6C" w:rsidRDefault="002946EA" w:rsidP="002946EA">
            <w:pPr>
              <w:spacing w:after="0"/>
              <w:jc w:val="center"/>
              <w:rPr>
                <w:rFonts w:asciiTheme="minorHAnsi" w:eastAsia="Times New Roman" w:hAnsiTheme="minorHAnsi"/>
                <w:color w:val="000000"/>
                <w:sz w:val="18"/>
                <w:szCs w:val="18"/>
              </w:rPr>
            </w:pPr>
            <w:r w:rsidRPr="003F7F6C">
              <w:rPr>
                <w:rFonts w:asciiTheme="minorHAnsi" w:eastAsia="Times New Roman" w:hAnsiTheme="minorHAnsi"/>
                <w:iCs/>
                <w:color w:val="000000"/>
                <w:sz w:val="18"/>
                <w:szCs w:val="18"/>
                <w:lang w:val="es-PY"/>
              </w:rPr>
              <w:t>23</w:t>
            </w:r>
          </w:p>
        </w:tc>
      </w:tr>
      <w:tr w:rsidR="002946EA" w:rsidRPr="003F7F6C" w14:paraId="603DB2D7" w14:textId="77777777" w:rsidTr="00826EE8">
        <w:tc>
          <w:tcPr>
            <w:tcW w:w="1255" w:type="dxa"/>
            <w:vMerge/>
          </w:tcPr>
          <w:p w14:paraId="43A2514E" w14:textId="77777777" w:rsidR="002946EA" w:rsidRPr="003F7F6C" w:rsidRDefault="002946EA" w:rsidP="002946EA">
            <w:pPr>
              <w:spacing w:after="0"/>
              <w:rPr>
                <w:rFonts w:asciiTheme="minorHAnsi" w:eastAsia="Times New Roman" w:hAnsiTheme="minorHAnsi"/>
                <w:color w:val="000000"/>
                <w:sz w:val="18"/>
                <w:szCs w:val="18"/>
              </w:rPr>
            </w:pPr>
          </w:p>
        </w:tc>
        <w:tc>
          <w:tcPr>
            <w:tcW w:w="630" w:type="dxa"/>
            <w:vAlign w:val="center"/>
          </w:tcPr>
          <w:p w14:paraId="4515F860" w14:textId="77777777" w:rsidR="002946EA" w:rsidRPr="003F7F6C" w:rsidRDefault="002946EA" w:rsidP="002946EA">
            <w:pPr>
              <w:spacing w:after="0"/>
              <w:ind w:left="-144" w:right="-144"/>
              <w:jc w:val="center"/>
              <w:rPr>
                <w:rFonts w:asciiTheme="minorHAnsi" w:eastAsia="Times New Roman" w:hAnsiTheme="minorHAnsi"/>
                <w:color w:val="000000"/>
                <w:sz w:val="18"/>
                <w:szCs w:val="18"/>
              </w:rPr>
            </w:pPr>
            <w:r w:rsidRPr="003F7F6C">
              <w:rPr>
                <w:bCs/>
                <w:color w:val="000000"/>
                <w:sz w:val="18"/>
                <w:szCs w:val="18"/>
                <w:lang w:val="es-PY"/>
              </w:rPr>
              <w:t>SGAyDS</w:t>
            </w:r>
          </w:p>
        </w:tc>
        <w:tc>
          <w:tcPr>
            <w:tcW w:w="720" w:type="dxa"/>
            <w:noWrap/>
            <w:vAlign w:val="center"/>
          </w:tcPr>
          <w:p w14:paraId="76E648F2"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62000</w:t>
            </w:r>
          </w:p>
        </w:tc>
        <w:tc>
          <w:tcPr>
            <w:tcW w:w="540" w:type="dxa"/>
            <w:noWrap/>
            <w:vAlign w:val="center"/>
          </w:tcPr>
          <w:p w14:paraId="7B897674"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GEF</w:t>
            </w:r>
          </w:p>
        </w:tc>
        <w:tc>
          <w:tcPr>
            <w:tcW w:w="720" w:type="dxa"/>
            <w:shd w:val="clear" w:color="auto" w:fill="auto"/>
            <w:noWrap/>
            <w:vAlign w:val="center"/>
          </w:tcPr>
          <w:p w14:paraId="63923ACC"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72100</w:t>
            </w:r>
          </w:p>
        </w:tc>
        <w:tc>
          <w:tcPr>
            <w:tcW w:w="2160" w:type="dxa"/>
            <w:shd w:val="clear" w:color="auto" w:fill="auto"/>
            <w:vAlign w:val="center"/>
          </w:tcPr>
          <w:p w14:paraId="7BE68B48"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Contractual Services-Companies</w:t>
            </w:r>
          </w:p>
        </w:tc>
        <w:tc>
          <w:tcPr>
            <w:tcW w:w="900" w:type="dxa"/>
            <w:shd w:val="clear" w:color="auto" w:fill="auto"/>
            <w:noWrap/>
            <w:vAlign w:val="center"/>
          </w:tcPr>
          <w:p w14:paraId="567A4DEE"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15,000</w:t>
            </w:r>
          </w:p>
        </w:tc>
        <w:tc>
          <w:tcPr>
            <w:tcW w:w="990" w:type="dxa"/>
            <w:shd w:val="clear" w:color="auto" w:fill="auto"/>
            <w:noWrap/>
            <w:vAlign w:val="center"/>
          </w:tcPr>
          <w:p w14:paraId="2D0C7835"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2,500</w:t>
            </w:r>
          </w:p>
        </w:tc>
        <w:tc>
          <w:tcPr>
            <w:tcW w:w="990" w:type="dxa"/>
            <w:shd w:val="clear" w:color="auto" w:fill="auto"/>
            <w:noWrap/>
            <w:vAlign w:val="center"/>
          </w:tcPr>
          <w:p w14:paraId="526C4D70"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17,500</w:t>
            </w:r>
          </w:p>
        </w:tc>
        <w:tc>
          <w:tcPr>
            <w:tcW w:w="990" w:type="dxa"/>
            <w:shd w:val="clear" w:color="auto" w:fill="auto"/>
            <w:noWrap/>
            <w:vAlign w:val="center"/>
          </w:tcPr>
          <w:p w14:paraId="1FE3A6C5"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 xml:space="preserve">                          - </w:t>
            </w:r>
          </w:p>
        </w:tc>
        <w:tc>
          <w:tcPr>
            <w:tcW w:w="990" w:type="dxa"/>
            <w:shd w:val="clear" w:color="auto" w:fill="auto"/>
            <w:noWrap/>
            <w:vAlign w:val="center"/>
          </w:tcPr>
          <w:p w14:paraId="7B818850"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2,500</w:t>
            </w:r>
          </w:p>
        </w:tc>
        <w:tc>
          <w:tcPr>
            <w:tcW w:w="990" w:type="dxa"/>
            <w:shd w:val="clear" w:color="auto" w:fill="auto"/>
            <w:noWrap/>
            <w:vAlign w:val="center"/>
          </w:tcPr>
          <w:p w14:paraId="33576078"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32,500</w:t>
            </w:r>
          </w:p>
        </w:tc>
        <w:tc>
          <w:tcPr>
            <w:tcW w:w="990" w:type="dxa"/>
            <w:shd w:val="clear" w:color="auto" w:fill="auto"/>
            <w:noWrap/>
            <w:vAlign w:val="center"/>
          </w:tcPr>
          <w:p w14:paraId="3A1CBBBA"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70,000</w:t>
            </w:r>
          </w:p>
        </w:tc>
        <w:tc>
          <w:tcPr>
            <w:tcW w:w="630" w:type="dxa"/>
            <w:shd w:val="clear" w:color="auto" w:fill="auto"/>
            <w:noWrap/>
            <w:vAlign w:val="center"/>
          </w:tcPr>
          <w:p w14:paraId="7B5AAA21" w14:textId="77777777" w:rsidR="002946EA" w:rsidRPr="003F7F6C" w:rsidRDefault="002946EA" w:rsidP="002946EA">
            <w:pPr>
              <w:spacing w:after="0"/>
              <w:jc w:val="center"/>
              <w:rPr>
                <w:rFonts w:asciiTheme="minorHAnsi" w:eastAsia="Times New Roman" w:hAnsiTheme="minorHAnsi"/>
                <w:color w:val="000000"/>
                <w:sz w:val="18"/>
                <w:szCs w:val="18"/>
              </w:rPr>
            </w:pPr>
            <w:bookmarkStart w:id="28" w:name="RANGE!A6"/>
            <w:bookmarkEnd w:id="28"/>
            <w:r w:rsidRPr="003F7F6C">
              <w:rPr>
                <w:rFonts w:asciiTheme="minorHAnsi" w:eastAsia="Times New Roman" w:hAnsiTheme="minorHAnsi"/>
                <w:iCs/>
                <w:color w:val="000000"/>
                <w:sz w:val="18"/>
                <w:szCs w:val="18"/>
                <w:lang w:val="es-PY"/>
              </w:rPr>
              <w:t>24</w:t>
            </w:r>
          </w:p>
        </w:tc>
      </w:tr>
      <w:tr w:rsidR="002946EA" w:rsidRPr="003F7F6C" w14:paraId="069C4A52" w14:textId="77777777" w:rsidTr="00826EE8">
        <w:tc>
          <w:tcPr>
            <w:tcW w:w="1255" w:type="dxa"/>
            <w:vMerge/>
          </w:tcPr>
          <w:p w14:paraId="3A02CFE0" w14:textId="77777777" w:rsidR="002946EA" w:rsidRPr="003F7F6C" w:rsidRDefault="002946EA" w:rsidP="002946EA">
            <w:pPr>
              <w:spacing w:after="0"/>
              <w:rPr>
                <w:rFonts w:asciiTheme="minorHAnsi" w:eastAsia="Times New Roman" w:hAnsiTheme="minorHAnsi"/>
                <w:color w:val="000000"/>
                <w:sz w:val="18"/>
                <w:szCs w:val="18"/>
              </w:rPr>
            </w:pPr>
          </w:p>
        </w:tc>
        <w:tc>
          <w:tcPr>
            <w:tcW w:w="630" w:type="dxa"/>
            <w:vAlign w:val="center"/>
          </w:tcPr>
          <w:p w14:paraId="18EDA230" w14:textId="77777777" w:rsidR="002946EA" w:rsidRPr="003F7F6C" w:rsidRDefault="002946EA" w:rsidP="002946EA">
            <w:pPr>
              <w:spacing w:after="0"/>
              <w:ind w:left="-144" w:right="-144"/>
              <w:jc w:val="center"/>
              <w:rPr>
                <w:rFonts w:asciiTheme="minorHAnsi" w:eastAsia="Times New Roman" w:hAnsiTheme="minorHAnsi"/>
                <w:color w:val="000000"/>
                <w:sz w:val="18"/>
                <w:szCs w:val="18"/>
              </w:rPr>
            </w:pPr>
            <w:r w:rsidRPr="003F7F6C">
              <w:rPr>
                <w:bCs/>
                <w:color w:val="000000"/>
                <w:sz w:val="18"/>
                <w:szCs w:val="18"/>
                <w:lang w:val="es-PY"/>
              </w:rPr>
              <w:t>SGAyDS</w:t>
            </w:r>
          </w:p>
        </w:tc>
        <w:tc>
          <w:tcPr>
            <w:tcW w:w="720" w:type="dxa"/>
            <w:noWrap/>
            <w:vAlign w:val="center"/>
          </w:tcPr>
          <w:p w14:paraId="6F73CECC"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62000</w:t>
            </w:r>
          </w:p>
        </w:tc>
        <w:tc>
          <w:tcPr>
            <w:tcW w:w="540" w:type="dxa"/>
            <w:noWrap/>
            <w:vAlign w:val="center"/>
          </w:tcPr>
          <w:p w14:paraId="48D14D43"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GEF</w:t>
            </w:r>
          </w:p>
        </w:tc>
        <w:tc>
          <w:tcPr>
            <w:tcW w:w="720" w:type="dxa"/>
            <w:shd w:val="clear" w:color="auto" w:fill="auto"/>
            <w:noWrap/>
            <w:vAlign w:val="center"/>
          </w:tcPr>
          <w:p w14:paraId="208DE593"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74100</w:t>
            </w:r>
          </w:p>
        </w:tc>
        <w:tc>
          <w:tcPr>
            <w:tcW w:w="2160" w:type="dxa"/>
            <w:shd w:val="clear" w:color="auto" w:fill="auto"/>
            <w:vAlign w:val="center"/>
          </w:tcPr>
          <w:p w14:paraId="7EACF0E5"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Professional Services</w:t>
            </w:r>
          </w:p>
        </w:tc>
        <w:tc>
          <w:tcPr>
            <w:tcW w:w="900" w:type="dxa"/>
            <w:shd w:val="clear" w:color="auto" w:fill="auto"/>
            <w:noWrap/>
            <w:vAlign w:val="center"/>
          </w:tcPr>
          <w:p w14:paraId="4BA27FBF"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5,000</w:t>
            </w:r>
          </w:p>
        </w:tc>
        <w:tc>
          <w:tcPr>
            <w:tcW w:w="990" w:type="dxa"/>
            <w:shd w:val="clear" w:color="auto" w:fill="auto"/>
            <w:noWrap/>
            <w:vAlign w:val="center"/>
          </w:tcPr>
          <w:p w14:paraId="340B9449"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5,000</w:t>
            </w:r>
          </w:p>
        </w:tc>
        <w:tc>
          <w:tcPr>
            <w:tcW w:w="990" w:type="dxa"/>
            <w:shd w:val="clear" w:color="auto" w:fill="auto"/>
            <w:noWrap/>
            <w:vAlign w:val="center"/>
          </w:tcPr>
          <w:p w14:paraId="3B447C74" w14:textId="78B03288" w:rsidR="002946EA" w:rsidRPr="003F7F6C" w:rsidRDefault="00D85359"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w:t>
            </w:r>
          </w:p>
        </w:tc>
        <w:tc>
          <w:tcPr>
            <w:tcW w:w="990" w:type="dxa"/>
            <w:shd w:val="clear" w:color="auto" w:fill="auto"/>
            <w:noWrap/>
            <w:vAlign w:val="center"/>
          </w:tcPr>
          <w:p w14:paraId="4D673001"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5,000</w:t>
            </w:r>
          </w:p>
        </w:tc>
        <w:tc>
          <w:tcPr>
            <w:tcW w:w="990" w:type="dxa"/>
            <w:shd w:val="clear" w:color="auto" w:fill="auto"/>
            <w:noWrap/>
            <w:vAlign w:val="center"/>
          </w:tcPr>
          <w:p w14:paraId="0AA9633E"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5,000</w:t>
            </w:r>
          </w:p>
        </w:tc>
        <w:tc>
          <w:tcPr>
            <w:tcW w:w="990" w:type="dxa"/>
            <w:shd w:val="clear" w:color="auto" w:fill="auto"/>
            <w:noWrap/>
            <w:vAlign w:val="center"/>
          </w:tcPr>
          <w:p w14:paraId="1F5102F0"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10,000</w:t>
            </w:r>
          </w:p>
        </w:tc>
        <w:tc>
          <w:tcPr>
            <w:tcW w:w="990" w:type="dxa"/>
            <w:shd w:val="clear" w:color="auto" w:fill="auto"/>
            <w:noWrap/>
            <w:vAlign w:val="center"/>
          </w:tcPr>
          <w:p w14:paraId="01EA7A9F" w14:textId="4AB4B727" w:rsidR="002946EA" w:rsidRPr="003F7F6C" w:rsidRDefault="00647B01"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30</w:t>
            </w:r>
            <w:r w:rsidR="002946EA" w:rsidRPr="003F7F6C">
              <w:rPr>
                <w:rFonts w:asciiTheme="minorHAnsi" w:eastAsia="Times New Roman" w:hAnsiTheme="minorHAnsi"/>
                <w:color w:val="000000"/>
                <w:sz w:val="18"/>
                <w:szCs w:val="18"/>
                <w:lang w:val="es-PY"/>
              </w:rPr>
              <w:t>,000</w:t>
            </w:r>
          </w:p>
        </w:tc>
        <w:tc>
          <w:tcPr>
            <w:tcW w:w="630" w:type="dxa"/>
            <w:shd w:val="clear" w:color="auto" w:fill="auto"/>
            <w:noWrap/>
            <w:vAlign w:val="center"/>
          </w:tcPr>
          <w:p w14:paraId="1B6ED98A" w14:textId="77777777" w:rsidR="002946EA" w:rsidRPr="003F7F6C" w:rsidRDefault="002946EA" w:rsidP="002946EA">
            <w:pPr>
              <w:spacing w:after="0"/>
              <w:jc w:val="center"/>
              <w:rPr>
                <w:rFonts w:asciiTheme="minorHAnsi" w:eastAsia="Times New Roman" w:hAnsiTheme="minorHAnsi"/>
                <w:color w:val="000000"/>
                <w:sz w:val="18"/>
                <w:szCs w:val="18"/>
              </w:rPr>
            </w:pPr>
            <w:r w:rsidRPr="003F7F6C">
              <w:rPr>
                <w:rFonts w:asciiTheme="minorHAnsi" w:eastAsia="Times New Roman" w:hAnsiTheme="minorHAnsi"/>
                <w:iCs/>
                <w:color w:val="000000"/>
                <w:sz w:val="18"/>
                <w:szCs w:val="18"/>
                <w:lang w:val="es-PY"/>
              </w:rPr>
              <w:t>25</w:t>
            </w:r>
          </w:p>
        </w:tc>
      </w:tr>
      <w:tr w:rsidR="002946EA" w:rsidRPr="003F7F6C" w14:paraId="34BBE571" w14:textId="77777777" w:rsidTr="00826EE8">
        <w:tc>
          <w:tcPr>
            <w:tcW w:w="1255" w:type="dxa"/>
            <w:vMerge/>
          </w:tcPr>
          <w:p w14:paraId="34DBE556" w14:textId="77777777" w:rsidR="002946EA" w:rsidRPr="003F7F6C" w:rsidRDefault="002946EA" w:rsidP="002946EA">
            <w:pPr>
              <w:spacing w:after="0"/>
              <w:rPr>
                <w:rFonts w:asciiTheme="minorHAnsi" w:eastAsia="Times New Roman" w:hAnsiTheme="minorHAnsi"/>
                <w:color w:val="000000"/>
                <w:sz w:val="18"/>
                <w:szCs w:val="18"/>
              </w:rPr>
            </w:pPr>
          </w:p>
        </w:tc>
        <w:tc>
          <w:tcPr>
            <w:tcW w:w="630" w:type="dxa"/>
            <w:vAlign w:val="center"/>
          </w:tcPr>
          <w:p w14:paraId="72F9DAE6" w14:textId="77777777" w:rsidR="002946EA" w:rsidRPr="003F7F6C" w:rsidRDefault="002946EA" w:rsidP="002946EA">
            <w:pPr>
              <w:spacing w:after="0"/>
              <w:ind w:left="-144" w:right="-144"/>
              <w:jc w:val="center"/>
              <w:rPr>
                <w:rFonts w:asciiTheme="minorHAnsi" w:eastAsia="Times New Roman" w:hAnsiTheme="minorHAnsi"/>
                <w:color w:val="000000"/>
                <w:sz w:val="18"/>
                <w:szCs w:val="18"/>
              </w:rPr>
            </w:pPr>
            <w:r w:rsidRPr="003F7F6C">
              <w:rPr>
                <w:bCs/>
                <w:color w:val="000000"/>
                <w:sz w:val="18"/>
                <w:szCs w:val="18"/>
                <w:lang w:val="es-PY"/>
              </w:rPr>
              <w:t>SGAyDS</w:t>
            </w:r>
          </w:p>
        </w:tc>
        <w:tc>
          <w:tcPr>
            <w:tcW w:w="720" w:type="dxa"/>
            <w:noWrap/>
            <w:vAlign w:val="center"/>
          </w:tcPr>
          <w:p w14:paraId="764F8E68"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62000</w:t>
            </w:r>
          </w:p>
        </w:tc>
        <w:tc>
          <w:tcPr>
            <w:tcW w:w="540" w:type="dxa"/>
            <w:noWrap/>
            <w:vAlign w:val="center"/>
          </w:tcPr>
          <w:p w14:paraId="65171880"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GEF</w:t>
            </w:r>
          </w:p>
        </w:tc>
        <w:tc>
          <w:tcPr>
            <w:tcW w:w="720" w:type="dxa"/>
            <w:shd w:val="clear" w:color="auto" w:fill="auto"/>
            <w:noWrap/>
            <w:vAlign w:val="center"/>
          </w:tcPr>
          <w:p w14:paraId="4213D5EB"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74200</w:t>
            </w:r>
          </w:p>
        </w:tc>
        <w:tc>
          <w:tcPr>
            <w:tcW w:w="2160" w:type="dxa"/>
            <w:shd w:val="clear" w:color="auto" w:fill="auto"/>
            <w:vAlign w:val="center"/>
          </w:tcPr>
          <w:p w14:paraId="0E027609"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rPr>
              <w:t>Audio Visual &amp; Print Prod Costs</w:t>
            </w:r>
          </w:p>
        </w:tc>
        <w:tc>
          <w:tcPr>
            <w:tcW w:w="900" w:type="dxa"/>
            <w:shd w:val="clear" w:color="auto" w:fill="auto"/>
            <w:noWrap/>
            <w:vAlign w:val="center"/>
          </w:tcPr>
          <w:p w14:paraId="0F76ECB2"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rPr>
              <w:t>1,337</w:t>
            </w:r>
          </w:p>
        </w:tc>
        <w:tc>
          <w:tcPr>
            <w:tcW w:w="990" w:type="dxa"/>
            <w:shd w:val="clear" w:color="auto" w:fill="auto"/>
            <w:noWrap/>
            <w:vAlign w:val="center"/>
          </w:tcPr>
          <w:p w14:paraId="60632FB2"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20,266</w:t>
            </w:r>
          </w:p>
        </w:tc>
        <w:tc>
          <w:tcPr>
            <w:tcW w:w="990" w:type="dxa"/>
            <w:shd w:val="clear" w:color="auto" w:fill="auto"/>
            <w:noWrap/>
            <w:vAlign w:val="center"/>
          </w:tcPr>
          <w:p w14:paraId="5829A0FF" w14:textId="5AF9A418" w:rsidR="002946EA" w:rsidRPr="003F7F6C" w:rsidRDefault="00D85359"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3</w:t>
            </w:r>
            <w:r w:rsidR="002946EA" w:rsidRPr="003F7F6C">
              <w:rPr>
                <w:rFonts w:asciiTheme="minorHAnsi" w:eastAsia="Times New Roman" w:hAnsiTheme="minorHAnsi"/>
                <w:color w:val="000000"/>
                <w:sz w:val="18"/>
                <w:szCs w:val="18"/>
                <w:lang w:val="es-PY"/>
              </w:rPr>
              <w:t>0,266</w:t>
            </w:r>
          </w:p>
        </w:tc>
        <w:tc>
          <w:tcPr>
            <w:tcW w:w="990" w:type="dxa"/>
            <w:shd w:val="clear" w:color="auto" w:fill="auto"/>
            <w:noWrap/>
            <w:vAlign w:val="center"/>
          </w:tcPr>
          <w:p w14:paraId="50122E9A"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20,266</w:t>
            </w:r>
          </w:p>
        </w:tc>
        <w:tc>
          <w:tcPr>
            <w:tcW w:w="990" w:type="dxa"/>
            <w:shd w:val="clear" w:color="auto" w:fill="auto"/>
            <w:noWrap/>
            <w:vAlign w:val="center"/>
          </w:tcPr>
          <w:p w14:paraId="6492AD39"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20,267</w:t>
            </w:r>
          </w:p>
        </w:tc>
        <w:tc>
          <w:tcPr>
            <w:tcW w:w="990" w:type="dxa"/>
            <w:shd w:val="clear" w:color="auto" w:fill="auto"/>
            <w:noWrap/>
            <w:vAlign w:val="center"/>
          </w:tcPr>
          <w:p w14:paraId="6A0C5765"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20,267</w:t>
            </w:r>
          </w:p>
        </w:tc>
        <w:tc>
          <w:tcPr>
            <w:tcW w:w="990" w:type="dxa"/>
            <w:shd w:val="clear" w:color="auto" w:fill="auto"/>
            <w:noWrap/>
            <w:vAlign w:val="center"/>
          </w:tcPr>
          <w:p w14:paraId="7681A8E9" w14:textId="45A0B0D6" w:rsidR="002946EA" w:rsidRPr="003F7F6C" w:rsidRDefault="008E53E9"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112,669</w:t>
            </w:r>
          </w:p>
        </w:tc>
        <w:tc>
          <w:tcPr>
            <w:tcW w:w="630" w:type="dxa"/>
            <w:shd w:val="clear" w:color="auto" w:fill="auto"/>
            <w:noWrap/>
            <w:vAlign w:val="center"/>
          </w:tcPr>
          <w:p w14:paraId="6739F013" w14:textId="77777777" w:rsidR="002946EA" w:rsidRPr="003F7F6C" w:rsidRDefault="002946EA" w:rsidP="002946EA">
            <w:pPr>
              <w:spacing w:after="0"/>
              <w:jc w:val="center"/>
              <w:rPr>
                <w:rFonts w:asciiTheme="minorHAnsi" w:eastAsia="Times New Roman" w:hAnsiTheme="minorHAnsi"/>
                <w:color w:val="000000"/>
                <w:sz w:val="18"/>
                <w:szCs w:val="18"/>
              </w:rPr>
            </w:pPr>
            <w:r w:rsidRPr="003F7F6C">
              <w:rPr>
                <w:rFonts w:asciiTheme="minorHAnsi" w:eastAsia="Times New Roman" w:hAnsiTheme="minorHAnsi"/>
                <w:iCs/>
                <w:color w:val="000000"/>
                <w:sz w:val="18"/>
                <w:szCs w:val="18"/>
                <w:lang w:val="es-PY"/>
              </w:rPr>
              <w:t>26</w:t>
            </w:r>
          </w:p>
        </w:tc>
      </w:tr>
      <w:tr w:rsidR="002946EA" w:rsidRPr="003F7F6C" w14:paraId="18008E97" w14:textId="77777777" w:rsidTr="00826EE8">
        <w:trPr>
          <w:trHeight w:val="287"/>
        </w:trPr>
        <w:tc>
          <w:tcPr>
            <w:tcW w:w="1255" w:type="dxa"/>
            <w:vMerge/>
          </w:tcPr>
          <w:p w14:paraId="275DE00B" w14:textId="77777777" w:rsidR="002946EA" w:rsidRPr="003F7F6C" w:rsidRDefault="002946EA" w:rsidP="002946EA">
            <w:pPr>
              <w:spacing w:after="0"/>
              <w:rPr>
                <w:rFonts w:asciiTheme="minorHAnsi" w:eastAsia="Times New Roman" w:hAnsiTheme="minorHAnsi"/>
                <w:color w:val="000000"/>
                <w:sz w:val="18"/>
                <w:szCs w:val="18"/>
              </w:rPr>
            </w:pPr>
          </w:p>
        </w:tc>
        <w:tc>
          <w:tcPr>
            <w:tcW w:w="630" w:type="dxa"/>
            <w:vAlign w:val="center"/>
          </w:tcPr>
          <w:p w14:paraId="5768BE1E" w14:textId="77777777" w:rsidR="002946EA" w:rsidRPr="003F7F6C" w:rsidRDefault="002946EA" w:rsidP="002946EA">
            <w:pPr>
              <w:spacing w:after="0"/>
              <w:ind w:left="-144" w:right="-144"/>
              <w:jc w:val="center"/>
              <w:rPr>
                <w:rFonts w:asciiTheme="minorHAnsi" w:eastAsia="Times New Roman" w:hAnsiTheme="minorHAnsi"/>
                <w:color w:val="000000"/>
                <w:sz w:val="18"/>
                <w:szCs w:val="18"/>
              </w:rPr>
            </w:pPr>
            <w:r w:rsidRPr="003F7F6C">
              <w:rPr>
                <w:bCs/>
                <w:color w:val="000000"/>
                <w:sz w:val="18"/>
                <w:szCs w:val="18"/>
                <w:lang w:val="es-PY"/>
              </w:rPr>
              <w:t>SGAyDS</w:t>
            </w:r>
          </w:p>
        </w:tc>
        <w:tc>
          <w:tcPr>
            <w:tcW w:w="720" w:type="dxa"/>
            <w:noWrap/>
            <w:vAlign w:val="center"/>
          </w:tcPr>
          <w:p w14:paraId="6852609C"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62000</w:t>
            </w:r>
          </w:p>
        </w:tc>
        <w:tc>
          <w:tcPr>
            <w:tcW w:w="540" w:type="dxa"/>
            <w:noWrap/>
            <w:vAlign w:val="center"/>
          </w:tcPr>
          <w:p w14:paraId="3B512719"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GEF</w:t>
            </w:r>
          </w:p>
        </w:tc>
        <w:tc>
          <w:tcPr>
            <w:tcW w:w="720" w:type="dxa"/>
            <w:shd w:val="clear" w:color="auto" w:fill="auto"/>
            <w:noWrap/>
            <w:vAlign w:val="center"/>
          </w:tcPr>
          <w:p w14:paraId="3355CF89"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75700</w:t>
            </w:r>
          </w:p>
        </w:tc>
        <w:tc>
          <w:tcPr>
            <w:tcW w:w="2160" w:type="dxa"/>
            <w:shd w:val="clear" w:color="auto" w:fill="auto"/>
            <w:vAlign w:val="center"/>
          </w:tcPr>
          <w:p w14:paraId="7E07925B"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Training, Workshops and Confer</w:t>
            </w:r>
          </w:p>
        </w:tc>
        <w:tc>
          <w:tcPr>
            <w:tcW w:w="900" w:type="dxa"/>
            <w:shd w:val="clear" w:color="auto" w:fill="auto"/>
            <w:noWrap/>
            <w:vAlign w:val="center"/>
          </w:tcPr>
          <w:p w14:paraId="0386BA3A"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36,000</w:t>
            </w:r>
          </w:p>
        </w:tc>
        <w:tc>
          <w:tcPr>
            <w:tcW w:w="990" w:type="dxa"/>
            <w:shd w:val="clear" w:color="auto" w:fill="auto"/>
            <w:noWrap/>
            <w:vAlign w:val="center"/>
          </w:tcPr>
          <w:p w14:paraId="62A2FEA3"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6,000</w:t>
            </w:r>
          </w:p>
        </w:tc>
        <w:tc>
          <w:tcPr>
            <w:tcW w:w="990" w:type="dxa"/>
            <w:shd w:val="clear" w:color="auto" w:fill="auto"/>
            <w:noWrap/>
            <w:vAlign w:val="center"/>
          </w:tcPr>
          <w:p w14:paraId="220F9C91"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6,000</w:t>
            </w:r>
          </w:p>
        </w:tc>
        <w:tc>
          <w:tcPr>
            <w:tcW w:w="990" w:type="dxa"/>
            <w:shd w:val="clear" w:color="auto" w:fill="auto"/>
            <w:noWrap/>
            <w:vAlign w:val="center"/>
          </w:tcPr>
          <w:p w14:paraId="4BF628FD"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6,000</w:t>
            </w:r>
          </w:p>
        </w:tc>
        <w:tc>
          <w:tcPr>
            <w:tcW w:w="990" w:type="dxa"/>
            <w:shd w:val="clear" w:color="auto" w:fill="auto"/>
            <w:noWrap/>
            <w:vAlign w:val="center"/>
          </w:tcPr>
          <w:p w14:paraId="3D8F423C"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6,000</w:t>
            </w:r>
          </w:p>
        </w:tc>
        <w:tc>
          <w:tcPr>
            <w:tcW w:w="990" w:type="dxa"/>
            <w:shd w:val="clear" w:color="auto" w:fill="auto"/>
            <w:noWrap/>
            <w:vAlign w:val="center"/>
          </w:tcPr>
          <w:p w14:paraId="3BECC6D9"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6,000</w:t>
            </w:r>
          </w:p>
        </w:tc>
        <w:tc>
          <w:tcPr>
            <w:tcW w:w="990" w:type="dxa"/>
            <w:shd w:val="clear" w:color="auto" w:fill="auto"/>
            <w:noWrap/>
            <w:vAlign w:val="center"/>
          </w:tcPr>
          <w:p w14:paraId="05953E83"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66,000</w:t>
            </w:r>
          </w:p>
        </w:tc>
        <w:tc>
          <w:tcPr>
            <w:tcW w:w="630" w:type="dxa"/>
            <w:shd w:val="clear" w:color="auto" w:fill="auto"/>
            <w:noWrap/>
            <w:vAlign w:val="center"/>
          </w:tcPr>
          <w:p w14:paraId="498BEC99" w14:textId="77777777" w:rsidR="002946EA" w:rsidRPr="003F7F6C" w:rsidRDefault="002946EA" w:rsidP="002946EA">
            <w:pPr>
              <w:spacing w:after="0"/>
              <w:jc w:val="center"/>
              <w:rPr>
                <w:rFonts w:asciiTheme="minorHAnsi" w:eastAsia="Times New Roman" w:hAnsiTheme="minorHAnsi"/>
                <w:color w:val="000000"/>
                <w:sz w:val="18"/>
                <w:szCs w:val="18"/>
              </w:rPr>
            </w:pPr>
            <w:r w:rsidRPr="003F7F6C">
              <w:rPr>
                <w:rFonts w:asciiTheme="minorHAnsi" w:eastAsia="Times New Roman" w:hAnsiTheme="minorHAnsi"/>
                <w:iCs/>
                <w:color w:val="000000"/>
                <w:sz w:val="18"/>
                <w:szCs w:val="18"/>
                <w:lang w:val="es-PY"/>
              </w:rPr>
              <w:t>27</w:t>
            </w:r>
          </w:p>
        </w:tc>
      </w:tr>
      <w:tr w:rsidR="002946EA" w:rsidRPr="003F7F6C" w14:paraId="486E1839" w14:textId="77777777" w:rsidTr="00826EE8">
        <w:tc>
          <w:tcPr>
            <w:tcW w:w="1885" w:type="dxa"/>
            <w:gridSpan w:val="2"/>
            <w:noWrap/>
            <w:hideMark/>
          </w:tcPr>
          <w:p w14:paraId="686AE4A2" w14:textId="77777777" w:rsidR="002946EA" w:rsidRPr="003F7F6C" w:rsidRDefault="002946EA" w:rsidP="002946EA">
            <w:pPr>
              <w:spacing w:after="0"/>
              <w:ind w:left="-144" w:right="-144"/>
              <w:jc w:val="center"/>
              <w:rPr>
                <w:rFonts w:asciiTheme="minorHAnsi" w:eastAsia="Times New Roman" w:hAnsiTheme="minorHAnsi"/>
                <w:b/>
                <w:bCs/>
                <w:color w:val="000000"/>
                <w:sz w:val="18"/>
                <w:szCs w:val="18"/>
              </w:rPr>
            </w:pPr>
            <w:r w:rsidRPr="003F7F6C">
              <w:rPr>
                <w:rFonts w:asciiTheme="minorHAnsi" w:eastAsia="Times New Roman" w:hAnsiTheme="minorHAnsi"/>
                <w:b/>
                <w:bCs/>
                <w:color w:val="000000"/>
                <w:sz w:val="18"/>
                <w:szCs w:val="18"/>
              </w:rPr>
              <w:t>Total Outcome 4</w:t>
            </w:r>
          </w:p>
        </w:tc>
        <w:tc>
          <w:tcPr>
            <w:tcW w:w="720" w:type="dxa"/>
            <w:noWrap/>
            <w:hideMark/>
          </w:tcPr>
          <w:p w14:paraId="67D21A61" w14:textId="77777777" w:rsidR="002946EA" w:rsidRPr="003F7F6C" w:rsidRDefault="002946EA" w:rsidP="002946EA">
            <w:pPr>
              <w:spacing w:after="0"/>
              <w:rPr>
                <w:rFonts w:asciiTheme="minorHAnsi" w:eastAsia="Times New Roman" w:hAnsiTheme="minorHAnsi"/>
                <w:b/>
                <w:bCs/>
                <w:color w:val="000000"/>
                <w:sz w:val="18"/>
                <w:szCs w:val="18"/>
              </w:rPr>
            </w:pPr>
          </w:p>
        </w:tc>
        <w:tc>
          <w:tcPr>
            <w:tcW w:w="540" w:type="dxa"/>
            <w:noWrap/>
            <w:hideMark/>
          </w:tcPr>
          <w:p w14:paraId="024ADAED" w14:textId="77777777" w:rsidR="002946EA" w:rsidRPr="003F7F6C" w:rsidRDefault="002946EA" w:rsidP="002946EA">
            <w:pPr>
              <w:spacing w:after="0"/>
              <w:rPr>
                <w:rFonts w:asciiTheme="minorHAnsi" w:eastAsia="Times New Roman" w:hAnsiTheme="minorHAnsi"/>
                <w:sz w:val="18"/>
                <w:szCs w:val="18"/>
              </w:rPr>
            </w:pPr>
          </w:p>
        </w:tc>
        <w:tc>
          <w:tcPr>
            <w:tcW w:w="720" w:type="dxa"/>
            <w:noWrap/>
            <w:hideMark/>
          </w:tcPr>
          <w:p w14:paraId="0CBD67DA" w14:textId="77777777" w:rsidR="002946EA" w:rsidRPr="003F7F6C" w:rsidRDefault="002946EA" w:rsidP="002946EA">
            <w:pPr>
              <w:spacing w:after="0"/>
              <w:rPr>
                <w:rFonts w:asciiTheme="minorHAnsi" w:eastAsia="Times New Roman" w:hAnsiTheme="minorHAnsi"/>
                <w:sz w:val="18"/>
                <w:szCs w:val="18"/>
              </w:rPr>
            </w:pPr>
          </w:p>
        </w:tc>
        <w:tc>
          <w:tcPr>
            <w:tcW w:w="2160" w:type="dxa"/>
            <w:hideMark/>
          </w:tcPr>
          <w:p w14:paraId="5945E10D" w14:textId="77777777" w:rsidR="002946EA" w:rsidRPr="003F7F6C" w:rsidRDefault="002946EA" w:rsidP="002946EA">
            <w:pPr>
              <w:spacing w:after="0"/>
              <w:rPr>
                <w:rFonts w:asciiTheme="minorHAnsi" w:eastAsia="Times New Roman" w:hAnsiTheme="minorHAnsi"/>
                <w:sz w:val="18"/>
                <w:szCs w:val="18"/>
              </w:rPr>
            </w:pPr>
          </w:p>
        </w:tc>
        <w:tc>
          <w:tcPr>
            <w:tcW w:w="900" w:type="dxa"/>
            <w:shd w:val="clear" w:color="auto" w:fill="auto"/>
            <w:noWrap/>
            <w:hideMark/>
          </w:tcPr>
          <w:p w14:paraId="68D78BCC" w14:textId="77777777" w:rsidR="002946EA" w:rsidRPr="003F7F6C" w:rsidRDefault="002946EA" w:rsidP="002946EA">
            <w:pPr>
              <w:spacing w:after="0"/>
              <w:jc w:val="right"/>
              <w:rPr>
                <w:rFonts w:asciiTheme="minorHAnsi" w:eastAsia="Times New Roman" w:hAnsiTheme="minorHAnsi"/>
                <w:b/>
                <w:bCs/>
                <w:color w:val="000000"/>
                <w:sz w:val="18"/>
                <w:szCs w:val="18"/>
              </w:rPr>
            </w:pPr>
            <w:r w:rsidRPr="003F7F6C">
              <w:rPr>
                <w:rFonts w:asciiTheme="minorHAnsi" w:hAnsiTheme="minorHAnsi"/>
                <w:b/>
                <w:sz w:val="18"/>
                <w:szCs w:val="18"/>
              </w:rPr>
              <w:t>75,287</w:t>
            </w:r>
          </w:p>
        </w:tc>
        <w:tc>
          <w:tcPr>
            <w:tcW w:w="990" w:type="dxa"/>
            <w:shd w:val="clear" w:color="auto" w:fill="auto"/>
            <w:noWrap/>
            <w:hideMark/>
          </w:tcPr>
          <w:p w14:paraId="301B0B18" w14:textId="77777777" w:rsidR="002946EA" w:rsidRPr="003F7F6C" w:rsidRDefault="002946EA" w:rsidP="002946EA">
            <w:pPr>
              <w:spacing w:after="0"/>
              <w:jc w:val="right"/>
              <w:rPr>
                <w:rFonts w:asciiTheme="minorHAnsi" w:eastAsia="Times New Roman" w:hAnsiTheme="minorHAnsi"/>
                <w:b/>
                <w:bCs/>
                <w:color w:val="000000"/>
                <w:sz w:val="18"/>
                <w:szCs w:val="18"/>
              </w:rPr>
            </w:pPr>
            <w:r w:rsidRPr="003F7F6C">
              <w:rPr>
                <w:rFonts w:asciiTheme="minorHAnsi" w:hAnsiTheme="minorHAnsi"/>
                <w:b/>
                <w:sz w:val="18"/>
                <w:szCs w:val="18"/>
              </w:rPr>
              <w:t>51,716</w:t>
            </w:r>
          </w:p>
        </w:tc>
        <w:tc>
          <w:tcPr>
            <w:tcW w:w="990" w:type="dxa"/>
            <w:shd w:val="clear" w:color="auto" w:fill="auto"/>
            <w:noWrap/>
            <w:hideMark/>
          </w:tcPr>
          <w:p w14:paraId="18856679" w14:textId="77777777" w:rsidR="002946EA" w:rsidRPr="003F7F6C" w:rsidRDefault="002946EA" w:rsidP="002946EA">
            <w:pPr>
              <w:spacing w:after="0"/>
              <w:jc w:val="right"/>
              <w:rPr>
                <w:rFonts w:asciiTheme="minorHAnsi" w:eastAsia="Times New Roman" w:hAnsiTheme="minorHAnsi"/>
                <w:b/>
                <w:bCs/>
                <w:color w:val="000000"/>
                <w:sz w:val="18"/>
                <w:szCs w:val="18"/>
              </w:rPr>
            </w:pPr>
            <w:r w:rsidRPr="003F7F6C">
              <w:rPr>
                <w:rFonts w:asciiTheme="minorHAnsi" w:hAnsiTheme="minorHAnsi"/>
                <w:b/>
                <w:sz w:val="18"/>
                <w:szCs w:val="18"/>
              </w:rPr>
              <w:t>105,534</w:t>
            </w:r>
          </w:p>
        </w:tc>
        <w:tc>
          <w:tcPr>
            <w:tcW w:w="990" w:type="dxa"/>
            <w:noWrap/>
            <w:hideMark/>
          </w:tcPr>
          <w:p w14:paraId="50B8DFC3" w14:textId="77777777" w:rsidR="002946EA" w:rsidRPr="003F7F6C" w:rsidRDefault="002946EA" w:rsidP="002946EA">
            <w:pPr>
              <w:spacing w:after="0"/>
              <w:jc w:val="right"/>
              <w:rPr>
                <w:rFonts w:asciiTheme="minorHAnsi" w:eastAsia="Times New Roman" w:hAnsiTheme="minorHAnsi"/>
                <w:b/>
                <w:bCs/>
                <w:color w:val="000000"/>
                <w:sz w:val="18"/>
                <w:szCs w:val="18"/>
              </w:rPr>
            </w:pPr>
            <w:r w:rsidRPr="003F7F6C">
              <w:rPr>
                <w:rFonts w:asciiTheme="minorHAnsi" w:hAnsiTheme="minorHAnsi"/>
                <w:b/>
                <w:sz w:val="18"/>
                <w:szCs w:val="18"/>
              </w:rPr>
              <w:t>49,216</w:t>
            </w:r>
          </w:p>
        </w:tc>
        <w:tc>
          <w:tcPr>
            <w:tcW w:w="990" w:type="dxa"/>
            <w:noWrap/>
            <w:hideMark/>
          </w:tcPr>
          <w:p w14:paraId="5F6D1155" w14:textId="77777777" w:rsidR="002946EA" w:rsidRPr="003F7F6C" w:rsidRDefault="002946EA" w:rsidP="002946EA">
            <w:pPr>
              <w:spacing w:after="0"/>
              <w:jc w:val="right"/>
              <w:rPr>
                <w:rFonts w:asciiTheme="minorHAnsi" w:eastAsia="Times New Roman" w:hAnsiTheme="minorHAnsi"/>
                <w:b/>
                <w:bCs/>
                <w:color w:val="000000"/>
                <w:sz w:val="18"/>
                <w:szCs w:val="18"/>
              </w:rPr>
            </w:pPr>
            <w:r w:rsidRPr="003F7F6C">
              <w:rPr>
                <w:rFonts w:asciiTheme="minorHAnsi" w:hAnsiTheme="minorHAnsi"/>
                <w:b/>
                <w:sz w:val="18"/>
                <w:szCs w:val="18"/>
              </w:rPr>
              <w:t>51,719</w:t>
            </w:r>
          </w:p>
        </w:tc>
        <w:tc>
          <w:tcPr>
            <w:tcW w:w="990" w:type="dxa"/>
            <w:noWrap/>
            <w:hideMark/>
          </w:tcPr>
          <w:p w14:paraId="763ECD61" w14:textId="77777777" w:rsidR="002946EA" w:rsidRPr="003F7F6C" w:rsidRDefault="002946EA" w:rsidP="002946EA">
            <w:pPr>
              <w:spacing w:after="0"/>
              <w:jc w:val="right"/>
              <w:rPr>
                <w:rFonts w:asciiTheme="minorHAnsi" w:eastAsia="Times New Roman" w:hAnsiTheme="minorHAnsi"/>
                <w:b/>
                <w:bCs/>
                <w:color w:val="000000"/>
                <w:sz w:val="18"/>
                <w:szCs w:val="18"/>
              </w:rPr>
            </w:pPr>
            <w:r w:rsidRPr="003F7F6C">
              <w:rPr>
                <w:rFonts w:asciiTheme="minorHAnsi" w:hAnsiTheme="minorHAnsi"/>
                <w:b/>
                <w:sz w:val="18"/>
                <w:szCs w:val="18"/>
              </w:rPr>
              <w:t>123,537</w:t>
            </w:r>
          </w:p>
        </w:tc>
        <w:tc>
          <w:tcPr>
            <w:tcW w:w="990" w:type="dxa"/>
            <w:noWrap/>
            <w:hideMark/>
          </w:tcPr>
          <w:p w14:paraId="625A0AD5" w14:textId="77777777" w:rsidR="002946EA" w:rsidRPr="003F7F6C" w:rsidRDefault="002946EA" w:rsidP="002946EA">
            <w:pPr>
              <w:spacing w:after="0"/>
              <w:jc w:val="right"/>
              <w:rPr>
                <w:rFonts w:asciiTheme="minorHAnsi" w:eastAsia="Times New Roman" w:hAnsiTheme="minorHAnsi"/>
                <w:b/>
                <w:bCs/>
                <w:color w:val="000000"/>
                <w:sz w:val="18"/>
                <w:szCs w:val="18"/>
              </w:rPr>
            </w:pPr>
            <w:r w:rsidRPr="003F7F6C">
              <w:rPr>
                <w:rFonts w:asciiTheme="minorHAnsi" w:hAnsiTheme="minorHAnsi"/>
                <w:b/>
                <w:sz w:val="18"/>
                <w:szCs w:val="18"/>
              </w:rPr>
              <w:t>457,009</w:t>
            </w:r>
          </w:p>
        </w:tc>
        <w:tc>
          <w:tcPr>
            <w:tcW w:w="630" w:type="dxa"/>
            <w:noWrap/>
            <w:hideMark/>
          </w:tcPr>
          <w:p w14:paraId="335E6C50" w14:textId="77777777" w:rsidR="002946EA" w:rsidRPr="003F7F6C" w:rsidRDefault="002946EA" w:rsidP="002946EA">
            <w:pPr>
              <w:spacing w:after="0"/>
              <w:jc w:val="center"/>
              <w:rPr>
                <w:rFonts w:asciiTheme="minorHAnsi" w:eastAsia="Times New Roman" w:hAnsiTheme="minorHAnsi"/>
                <w:color w:val="000000"/>
                <w:sz w:val="18"/>
                <w:szCs w:val="18"/>
              </w:rPr>
            </w:pPr>
          </w:p>
        </w:tc>
      </w:tr>
      <w:tr w:rsidR="002946EA" w:rsidRPr="003F7F6C" w14:paraId="435D5004" w14:textId="77777777" w:rsidTr="00826EE8">
        <w:tc>
          <w:tcPr>
            <w:tcW w:w="1255" w:type="dxa"/>
            <w:vMerge w:val="restart"/>
            <w:vAlign w:val="center"/>
          </w:tcPr>
          <w:p w14:paraId="42A41068" w14:textId="77777777" w:rsidR="002946EA" w:rsidRPr="003F7F6C" w:rsidRDefault="002946EA" w:rsidP="002946EA">
            <w:pPr>
              <w:spacing w:after="0"/>
              <w:jc w:val="lef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rPr>
              <w:t>Project</w:t>
            </w:r>
          </w:p>
          <w:p w14:paraId="2B164D7C" w14:textId="77777777" w:rsidR="002946EA" w:rsidRPr="003F7F6C" w:rsidRDefault="002946EA" w:rsidP="002946EA">
            <w:pPr>
              <w:spacing w:after="0"/>
              <w:jc w:val="lef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rPr>
              <w:t>Management</w:t>
            </w:r>
          </w:p>
        </w:tc>
        <w:tc>
          <w:tcPr>
            <w:tcW w:w="630" w:type="dxa"/>
            <w:vAlign w:val="center"/>
          </w:tcPr>
          <w:p w14:paraId="11A75083" w14:textId="77777777" w:rsidR="002946EA" w:rsidRPr="003F7F6C" w:rsidRDefault="002946EA" w:rsidP="002946EA">
            <w:pPr>
              <w:spacing w:after="0"/>
              <w:ind w:left="-144" w:right="-144"/>
              <w:jc w:val="center"/>
              <w:rPr>
                <w:rFonts w:asciiTheme="minorHAnsi" w:eastAsia="Times New Roman" w:hAnsiTheme="minorHAnsi"/>
                <w:color w:val="000000"/>
                <w:sz w:val="18"/>
                <w:szCs w:val="18"/>
              </w:rPr>
            </w:pPr>
            <w:r w:rsidRPr="003F7F6C">
              <w:rPr>
                <w:bCs/>
                <w:color w:val="000000"/>
                <w:sz w:val="18"/>
                <w:szCs w:val="18"/>
                <w:lang w:val="es-PY"/>
              </w:rPr>
              <w:t>SGAyDS</w:t>
            </w:r>
          </w:p>
        </w:tc>
        <w:tc>
          <w:tcPr>
            <w:tcW w:w="720" w:type="dxa"/>
            <w:noWrap/>
            <w:vAlign w:val="center"/>
          </w:tcPr>
          <w:p w14:paraId="5AC8697C"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62000</w:t>
            </w:r>
          </w:p>
        </w:tc>
        <w:tc>
          <w:tcPr>
            <w:tcW w:w="540" w:type="dxa"/>
            <w:noWrap/>
            <w:vAlign w:val="center"/>
          </w:tcPr>
          <w:p w14:paraId="5583A737"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GEF</w:t>
            </w:r>
          </w:p>
        </w:tc>
        <w:tc>
          <w:tcPr>
            <w:tcW w:w="720" w:type="dxa"/>
            <w:shd w:val="clear" w:color="auto" w:fill="auto"/>
            <w:noWrap/>
            <w:vAlign w:val="center"/>
          </w:tcPr>
          <w:p w14:paraId="36B2DBC6"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71400</w:t>
            </w:r>
          </w:p>
        </w:tc>
        <w:tc>
          <w:tcPr>
            <w:tcW w:w="2160" w:type="dxa"/>
            <w:shd w:val="clear" w:color="auto" w:fill="auto"/>
            <w:vAlign w:val="center"/>
          </w:tcPr>
          <w:p w14:paraId="06A5F8E6"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Contractual Services - Individ</w:t>
            </w:r>
          </w:p>
        </w:tc>
        <w:tc>
          <w:tcPr>
            <w:tcW w:w="900" w:type="dxa"/>
            <w:shd w:val="clear" w:color="auto" w:fill="auto"/>
            <w:noWrap/>
            <w:vAlign w:val="center"/>
          </w:tcPr>
          <w:p w14:paraId="284A4B59"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20,909</w:t>
            </w:r>
          </w:p>
        </w:tc>
        <w:tc>
          <w:tcPr>
            <w:tcW w:w="990" w:type="dxa"/>
            <w:shd w:val="clear" w:color="auto" w:fill="auto"/>
            <w:noWrap/>
            <w:vAlign w:val="center"/>
          </w:tcPr>
          <w:p w14:paraId="45396D39"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20,909</w:t>
            </w:r>
          </w:p>
        </w:tc>
        <w:tc>
          <w:tcPr>
            <w:tcW w:w="990" w:type="dxa"/>
            <w:shd w:val="clear" w:color="auto" w:fill="auto"/>
            <w:noWrap/>
            <w:vAlign w:val="center"/>
          </w:tcPr>
          <w:p w14:paraId="47200005"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20,909</w:t>
            </w:r>
          </w:p>
        </w:tc>
        <w:tc>
          <w:tcPr>
            <w:tcW w:w="990" w:type="dxa"/>
            <w:shd w:val="clear" w:color="auto" w:fill="auto"/>
            <w:noWrap/>
            <w:vAlign w:val="center"/>
          </w:tcPr>
          <w:p w14:paraId="31AD9144"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20,909</w:t>
            </w:r>
          </w:p>
        </w:tc>
        <w:tc>
          <w:tcPr>
            <w:tcW w:w="990" w:type="dxa"/>
            <w:shd w:val="clear" w:color="auto" w:fill="auto"/>
            <w:noWrap/>
            <w:vAlign w:val="center"/>
          </w:tcPr>
          <w:p w14:paraId="6AAAA22F"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20,910</w:t>
            </w:r>
          </w:p>
        </w:tc>
        <w:tc>
          <w:tcPr>
            <w:tcW w:w="990" w:type="dxa"/>
            <w:shd w:val="clear" w:color="auto" w:fill="auto"/>
            <w:noWrap/>
            <w:vAlign w:val="center"/>
          </w:tcPr>
          <w:p w14:paraId="2F1CE607"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20,910</w:t>
            </w:r>
          </w:p>
        </w:tc>
        <w:tc>
          <w:tcPr>
            <w:tcW w:w="990" w:type="dxa"/>
            <w:shd w:val="clear" w:color="auto" w:fill="auto"/>
            <w:noWrap/>
            <w:vAlign w:val="center"/>
          </w:tcPr>
          <w:p w14:paraId="02B1652D"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125,456</w:t>
            </w:r>
          </w:p>
        </w:tc>
        <w:tc>
          <w:tcPr>
            <w:tcW w:w="630" w:type="dxa"/>
            <w:shd w:val="clear" w:color="auto" w:fill="auto"/>
            <w:noWrap/>
            <w:vAlign w:val="center"/>
          </w:tcPr>
          <w:p w14:paraId="6A831F86" w14:textId="77777777" w:rsidR="002946EA" w:rsidRPr="003F7F6C" w:rsidRDefault="002946EA" w:rsidP="002946EA">
            <w:pPr>
              <w:spacing w:after="0"/>
              <w:jc w:val="center"/>
              <w:rPr>
                <w:rFonts w:asciiTheme="minorHAnsi" w:eastAsia="Times New Roman" w:hAnsiTheme="minorHAnsi"/>
                <w:color w:val="000000"/>
                <w:sz w:val="18"/>
                <w:szCs w:val="18"/>
              </w:rPr>
            </w:pPr>
            <w:r w:rsidRPr="003F7F6C">
              <w:rPr>
                <w:rFonts w:asciiTheme="minorHAnsi" w:eastAsia="Times New Roman" w:hAnsiTheme="minorHAnsi"/>
                <w:iCs/>
                <w:color w:val="000000"/>
                <w:sz w:val="18"/>
                <w:szCs w:val="18"/>
                <w:lang w:val="es-PY"/>
              </w:rPr>
              <w:t>28</w:t>
            </w:r>
          </w:p>
        </w:tc>
      </w:tr>
      <w:tr w:rsidR="002946EA" w:rsidRPr="003F7F6C" w14:paraId="3C5C10C5" w14:textId="77777777" w:rsidTr="00826EE8">
        <w:tc>
          <w:tcPr>
            <w:tcW w:w="1255" w:type="dxa"/>
            <w:vMerge/>
          </w:tcPr>
          <w:p w14:paraId="6DD38F5A" w14:textId="77777777" w:rsidR="002946EA" w:rsidRPr="003F7F6C" w:rsidRDefault="002946EA" w:rsidP="002946EA">
            <w:pPr>
              <w:spacing w:after="0"/>
              <w:rPr>
                <w:rFonts w:asciiTheme="minorHAnsi" w:eastAsia="Times New Roman" w:hAnsiTheme="minorHAnsi"/>
                <w:color w:val="000000"/>
                <w:sz w:val="18"/>
                <w:szCs w:val="18"/>
              </w:rPr>
            </w:pPr>
          </w:p>
        </w:tc>
        <w:tc>
          <w:tcPr>
            <w:tcW w:w="630" w:type="dxa"/>
            <w:vAlign w:val="center"/>
          </w:tcPr>
          <w:p w14:paraId="682F7118" w14:textId="77777777" w:rsidR="002946EA" w:rsidRPr="003F7F6C" w:rsidRDefault="002946EA" w:rsidP="002946EA">
            <w:pPr>
              <w:spacing w:after="0"/>
              <w:ind w:left="-144" w:right="-144"/>
              <w:jc w:val="center"/>
              <w:rPr>
                <w:rFonts w:asciiTheme="minorHAnsi" w:eastAsia="Times New Roman" w:hAnsiTheme="minorHAnsi"/>
                <w:color w:val="000000"/>
                <w:sz w:val="18"/>
                <w:szCs w:val="18"/>
              </w:rPr>
            </w:pPr>
            <w:r w:rsidRPr="003F7F6C">
              <w:rPr>
                <w:bCs/>
                <w:color w:val="000000"/>
                <w:sz w:val="18"/>
                <w:szCs w:val="18"/>
                <w:lang w:val="es-PY"/>
              </w:rPr>
              <w:t>SGAyDS</w:t>
            </w:r>
          </w:p>
        </w:tc>
        <w:tc>
          <w:tcPr>
            <w:tcW w:w="720" w:type="dxa"/>
            <w:noWrap/>
            <w:vAlign w:val="center"/>
          </w:tcPr>
          <w:p w14:paraId="7F129A3B"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62000</w:t>
            </w:r>
          </w:p>
        </w:tc>
        <w:tc>
          <w:tcPr>
            <w:tcW w:w="540" w:type="dxa"/>
            <w:noWrap/>
            <w:vAlign w:val="center"/>
          </w:tcPr>
          <w:p w14:paraId="07B3B496"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GEF</w:t>
            </w:r>
          </w:p>
        </w:tc>
        <w:tc>
          <w:tcPr>
            <w:tcW w:w="720" w:type="dxa"/>
            <w:shd w:val="clear" w:color="auto" w:fill="auto"/>
            <w:noWrap/>
            <w:vAlign w:val="center"/>
          </w:tcPr>
          <w:p w14:paraId="14238861"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72800</w:t>
            </w:r>
          </w:p>
        </w:tc>
        <w:tc>
          <w:tcPr>
            <w:tcW w:w="2160" w:type="dxa"/>
            <w:shd w:val="clear" w:color="auto" w:fill="auto"/>
            <w:vAlign w:val="center"/>
          </w:tcPr>
          <w:p w14:paraId="3233B952"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Information Technology Equipmt</w:t>
            </w:r>
          </w:p>
        </w:tc>
        <w:tc>
          <w:tcPr>
            <w:tcW w:w="900" w:type="dxa"/>
            <w:shd w:val="clear" w:color="auto" w:fill="auto"/>
            <w:noWrap/>
            <w:vAlign w:val="center"/>
          </w:tcPr>
          <w:p w14:paraId="05594E97"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4,500</w:t>
            </w:r>
          </w:p>
        </w:tc>
        <w:tc>
          <w:tcPr>
            <w:tcW w:w="990" w:type="dxa"/>
            <w:shd w:val="clear" w:color="auto" w:fill="auto"/>
            <w:noWrap/>
            <w:vAlign w:val="center"/>
          </w:tcPr>
          <w:p w14:paraId="4E28BB7D"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 xml:space="preserve">                          - </w:t>
            </w:r>
          </w:p>
        </w:tc>
        <w:tc>
          <w:tcPr>
            <w:tcW w:w="990" w:type="dxa"/>
            <w:shd w:val="clear" w:color="auto" w:fill="auto"/>
            <w:noWrap/>
            <w:vAlign w:val="center"/>
          </w:tcPr>
          <w:p w14:paraId="0BAD92F0"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 xml:space="preserve">                          - </w:t>
            </w:r>
          </w:p>
        </w:tc>
        <w:tc>
          <w:tcPr>
            <w:tcW w:w="990" w:type="dxa"/>
            <w:shd w:val="clear" w:color="auto" w:fill="auto"/>
            <w:noWrap/>
            <w:vAlign w:val="center"/>
          </w:tcPr>
          <w:p w14:paraId="1CEAC394"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 xml:space="preserve">                          - </w:t>
            </w:r>
          </w:p>
        </w:tc>
        <w:tc>
          <w:tcPr>
            <w:tcW w:w="990" w:type="dxa"/>
            <w:shd w:val="clear" w:color="auto" w:fill="auto"/>
            <w:noWrap/>
            <w:vAlign w:val="center"/>
          </w:tcPr>
          <w:p w14:paraId="755DB5B1"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 xml:space="preserve">                         - </w:t>
            </w:r>
          </w:p>
        </w:tc>
        <w:tc>
          <w:tcPr>
            <w:tcW w:w="990" w:type="dxa"/>
            <w:shd w:val="clear" w:color="auto" w:fill="auto"/>
            <w:noWrap/>
            <w:vAlign w:val="center"/>
          </w:tcPr>
          <w:p w14:paraId="27103898"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 xml:space="preserve">                         - </w:t>
            </w:r>
          </w:p>
        </w:tc>
        <w:tc>
          <w:tcPr>
            <w:tcW w:w="990" w:type="dxa"/>
            <w:shd w:val="clear" w:color="auto" w:fill="auto"/>
            <w:noWrap/>
            <w:vAlign w:val="center"/>
          </w:tcPr>
          <w:p w14:paraId="3457EB46"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4,500</w:t>
            </w:r>
          </w:p>
        </w:tc>
        <w:tc>
          <w:tcPr>
            <w:tcW w:w="630" w:type="dxa"/>
            <w:shd w:val="clear" w:color="auto" w:fill="auto"/>
            <w:noWrap/>
            <w:vAlign w:val="center"/>
          </w:tcPr>
          <w:p w14:paraId="2BE99DEB" w14:textId="77777777" w:rsidR="002946EA" w:rsidRPr="003F7F6C" w:rsidRDefault="002946EA" w:rsidP="002946EA">
            <w:pPr>
              <w:spacing w:after="0"/>
              <w:jc w:val="center"/>
              <w:rPr>
                <w:rFonts w:asciiTheme="minorHAnsi" w:eastAsia="Times New Roman" w:hAnsiTheme="minorHAnsi"/>
                <w:color w:val="000000"/>
                <w:sz w:val="18"/>
                <w:szCs w:val="18"/>
              </w:rPr>
            </w:pPr>
            <w:r w:rsidRPr="003F7F6C">
              <w:rPr>
                <w:rFonts w:asciiTheme="minorHAnsi" w:eastAsia="Times New Roman" w:hAnsiTheme="minorHAnsi"/>
                <w:iCs/>
                <w:color w:val="000000"/>
                <w:sz w:val="18"/>
                <w:szCs w:val="18"/>
                <w:lang w:val="es-PY"/>
              </w:rPr>
              <w:t>29</w:t>
            </w:r>
          </w:p>
        </w:tc>
      </w:tr>
      <w:tr w:rsidR="002946EA" w:rsidRPr="003F7F6C" w14:paraId="32EC47CA" w14:textId="77777777" w:rsidTr="00826EE8">
        <w:tc>
          <w:tcPr>
            <w:tcW w:w="1255" w:type="dxa"/>
            <w:vMerge/>
          </w:tcPr>
          <w:p w14:paraId="32FC2B96" w14:textId="77777777" w:rsidR="002946EA" w:rsidRPr="003F7F6C" w:rsidRDefault="002946EA" w:rsidP="002946EA">
            <w:pPr>
              <w:spacing w:after="0"/>
              <w:rPr>
                <w:rFonts w:asciiTheme="minorHAnsi" w:eastAsia="Times New Roman" w:hAnsiTheme="minorHAnsi"/>
                <w:color w:val="000000"/>
                <w:sz w:val="18"/>
                <w:szCs w:val="18"/>
              </w:rPr>
            </w:pPr>
          </w:p>
        </w:tc>
        <w:tc>
          <w:tcPr>
            <w:tcW w:w="630" w:type="dxa"/>
            <w:vAlign w:val="center"/>
          </w:tcPr>
          <w:p w14:paraId="0F20E10D" w14:textId="77777777" w:rsidR="002946EA" w:rsidRPr="003F7F6C" w:rsidRDefault="002946EA" w:rsidP="002946EA">
            <w:pPr>
              <w:spacing w:after="0"/>
              <w:ind w:left="-144" w:right="-144"/>
              <w:jc w:val="center"/>
              <w:rPr>
                <w:rFonts w:asciiTheme="minorHAnsi" w:eastAsia="Times New Roman" w:hAnsiTheme="minorHAnsi"/>
                <w:color w:val="000000"/>
                <w:sz w:val="18"/>
                <w:szCs w:val="18"/>
              </w:rPr>
            </w:pPr>
            <w:r w:rsidRPr="003F7F6C">
              <w:rPr>
                <w:bCs/>
                <w:color w:val="000000"/>
                <w:sz w:val="18"/>
                <w:szCs w:val="18"/>
                <w:lang w:val="es-PY"/>
              </w:rPr>
              <w:t>SGAyDS</w:t>
            </w:r>
          </w:p>
        </w:tc>
        <w:tc>
          <w:tcPr>
            <w:tcW w:w="720" w:type="dxa"/>
            <w:noWrap/>
            <w:vAlign w:val="center"/>
          </w:tcPr>
          <w:p w14:paraId="7B66751A"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62000</w:t>
            </w:r>
          </w:p>
        </w:tc>
        <w:tc>
          <w:tcPr>
            <w:tcW w:w="540" w:type="dxa"/>
            <w:noWrap/>
            <w:vAlign w:val="center"/>
          </w:tcPr>
          <w:p w14:paraId="24A76E4B" w14:textId="77777777" w:rsidR="002946EA" w:rsidRPr="003F7F6C" w:rsidRDefault="002946EA" w:rsidP="002946EA">
            <w:pPr>
              <w:spacing w:after="0"/>
              <w:rPr>
                <w:rFonts w:asciiTheme="minorHAnsi" w:eastAsia="Times New Roman" w:hAnsiTheme="minorHAnsi"/>
                <w:color w:val="000000"/>
                <w:sz w:val="18"/>
                <w:szCs w:val="18"/>
              </w:rPr>
            </w:pPr>
            <w:r w:rsidRPr="003F7F6C">
              <w:rPr>
                <w:bCs/>
                <w:color w:val="000000"/>
                <w:sz w:val="18"/>
                <w:szCs w:val="18"/>
                <w:lang w:val="es-PY"/>
              </w:rPr>
              <w:t>GEF</w:t>
            </w:r>
          </w:p>
        </w:tc>
        <w:tc>
          <w:tcPr>
            <w:tcW w:w="720" w:type="dxa"/>
            <w:shd w:val="clear" w:color="auto" w:fill="auto"/>
            <w:noWrap/>
            <w:vAlign w:val="center"/>
          </w:tcPr>
          <w:p w14:paraId="463EF2DC" w14:textId="15897DF2" w:rsidR="002946EA" w:rsidRPr="003F7F6C" w:rsidRDefault="00826EE8"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74596</w:t>
            </w:r>
          </w:p>
        </w:tc>
        <w:tc>
          <w:tcPr>
            <w:tcW w:w="2160" w:type="dxa"/>
            <w:shd w:val="clear" w:color="auto" w:fill="auto"/>
            <w:vAlign w:val="center"/>
          </w:tcPr>
          <w:p w14:paraId="77F7C3ED"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UNDP Recovery Cost Charges</w:t>
            </w:r>
          </w:p>
        </w:tc>
        <w:tc>
          <w:tcPr>
            <w:tcW w:w="900" w:type="dxa"/>
            <w:shd w:val="clear" w:color="auto" w:fill="auto"/>
            <w:noWrap/>
            <w:vAlign w:val="center"/>
          </w:tcPr>
          <w:p w14:paraId="77244B6A"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49,733</w:t>
            </w:r>
          </w:p>
        </w:tc>
        <w:tc>
          <w:tcPr>
            <w:tcW w:w="990" w:type="dxa"/>
            <w:shd w:val="clear" w:color="auto" w:fill="auto"/>
            <w:noWrap/>
            <w:vAlign w:val="center"/>
          </w:tcPr>
          <w:p w14:paraId="466E0623"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49,733</w:t>
            </w:r>
          </w:p>
        </w:tc>
        <w:tc>
          <w:tcPr>
            <w:tcW w:w="990" w:type="dxa"/>
            <w:shd w:val="clear" w:color="auto" w:fill="auto"/>
            <w:noWrap/>
            <w:vAlign w:val="center"/>
          </w:tcPr>
          <w:p w14:paraId="05EE4476"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49,733</w:t>
            </w:r>
          </w:p>
        </w:tc>
        <w:tc>
          <w:tcPr>
            <w:tcW w:w="990" w:type="dxa"/>
            <w:shd w:val="clear" w:color="auto" w:fill="auto"/>
            <w:noWrap/>
            <w:vAlign w:val="center"/>
          </w:tcPr>
          <w:p w14:paraId="20C50AE2"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49,733</w:t>
            </w:r>
          </w:p>
        </w:tc>
        <w:tc>
          <w:tcPr>
            <w:tcW w:w="990" w:type="dxa"/>
            <w:shd w:val="clear" w:color="auto" w:fill="auto"/>
            <w:noWrap/>
            <w:vAlign w:val="center"/>
          </w:tcPr>
          <w:p w14:paraId="423F336D"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49,733</w:t>
            </w:r>
          </w:p>
        </w:tc>
        <w:tc>
          <w:tcPr>
            <w:tcW w:w="990" w:type="dxa"/>
            <w:shd w:val="clear" w:color="auto" w:fill="auto"/>
            <w:noWrap/>
            <w:vAlign w:val="center"/>
          </w:tcPr>
          <w:p w14:paraId="0DA4C6B3"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49,733</w:t>
            </w:r>
          </w:p>
        </w:tc>
        <w:tc>
          <w:tcPr>
            <w:tcW w:w="990" w:type="dxa"/>
            <w:shd w:val="clear" w:color="auto" w:fill="auto"/>
            <w:noWrap/>
            <w:vAlign w:val="center"/>
          </w:tcPr>
          <w:p w14:paraId="05677C4D" w14:textId="77777777" w:rsidR="002946EA" w:rsidRPr="003F7F6C" w:rsidRDefault="002946EA" w:rsidP="002946EA">
            <w:pPr>
              <w:spacing w:after="0"/>
              <w:jc w:val="right"/>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lang w:val="es-PY"/>
              </w:rPr>
              <w:t>298,398</w:t>
            </w:r>
          </w:p>
        </w:tc>
        <w:tc>
          <w:tcPr>
            <w:tcW w:w="630" w:type="dxa"/>
            <w:shd w:val="clear" w:color="auto" w:fill="auto"/>
            <w:noWrap/>
            <w:vAlign w:val="center"/>
          </w:tcPr>
          <w:p w14:paraId="6E183D15" w14:textId="77777777" w:rsidR="002946EA" w:rsidRPr="003F7F6C" w:rsidRDefault="002946EA" w:rsidP="002946EA">
            <w:pPr>
              <w:spacing w:after="0"/>
              <w:jc w:val="center"/>
              <w:rPr>
                <w:rFonts w:asciiTheme="minorHAnsi" w:eastAsia="Times New Roman" w:hAnsiTheme="minorHAnsi"/>
                <w:color w:val="000000"/>
                <w:sz w:val="18"/>
                <w:szCs w:val="18"/>
              </w:rPr>
            </w:pPr>
            <w:r w:rsidRPr="003F7F6C">
              <w:rPr>
                <w:rFonts w:asciiTheme="minorHAnsi" w:eastAsia="Times New Roman" w:hAnsiTheme="minorHAnsi"/>
                <w:iCs/>
                <w:color w:val="000000"/>
                <w:sz w:val="18"/>
                <w:szCs w:val="18"/>
                <w:lang w:val="es-PY"/>
              </w:rPr>
              <w:t>30</w:t>
            </w:r>
          </w:p>
        </w:tc>
      </w:tr>
      <w:tr w:rsidR="002946EA" w:rsidRPr="003F7F6C" w14:paraId="49D3DBDA" w14:textId="77777777" w:rsidTr="00826EE8">
        <w:trPr>
          <w:trHeight w:val="125"/>
        </w:trPr>
        <w:tc>
          <w:tcPr>
            <w:tcW w:w="1255" w:type="dxa"/>
            <w:noWrap/>
            <w:hideMark/>
          </w:tcPr>
          <w:p w14:paraId="2D8ADF49" w14:textId="77777777" w:rsidR="002946EA" w:rsidRPr="003F7F6C" w:rsidRDefault="002946EA" w:rsidP="002946EA">
            <w:pPr>
              <w:spacing w:after="0"/>
              <w:rPr>
                <w:rFonts w:asciiTheme="minorHAnsi" w:eastAsia="Times New Roman" w:hAnsiTheme="minorHAnsi"/>
                <w:color w:val="000000"/>
                <w:sz w:val="18"/>
                <w:szCs w:val="18"/>
              </w:rPr>
            </w:pPr>
            <w:r w:rsidRPr="003F7F6C">
              <w:rPr>
                <w:rFonts w:asciiTheme="minorHAnsi" w:eastAsia="Times New Roman" w:hAnsiTheme="minorHAnsi"/>
                <w:color w:val="000000"/>
                <w:sz w:val="18"/>
                <w:szCs w:val="18"/>
              </w:rPr>
              <w:t> </w:t>
            </w:r>
            <w:r w:rsidRPr="003F7F6C">
              <w:rPr>
                <w:rFonts w:asciiTheme="minorHAnsi" w:eastAsia="Times New Roman" w:hAnsiTheme="minorHAnsi"/>
                <w:b/>
                <w:bCs/>
                <w:color w:val="000000"/>
                <w:sz w:val="18"/>
                <w:szCs w:val="18"/>
              </w:rPr>
              <w:t>Total PMC</w:t>
            </w:r>
          </w:p>
        </w:tc>
        <w:tc>
          <w:tcPr>
            <w:tcW w:w="630" w:type="dxa"/>
            <w:hideMark/>
          </w:tcPr>
          <w:p w14:paraId="43A4B143" w14:textId="77777777" w:rsidR="002946EA" w:rsidRPr="003F7F6C" w:rsidRDefault="002946EA" w:rsidP="002946EA">
            <w:pPr>
              <w:spacing w:after="0"/>
              <w:jc w:val="center"/>
              <w:rPr>
                <w:rFonts w:asciiTheme="minorHAnsi" w:eastAsia="Times New Roman" w:hAnsiTheme="minorHAnsi"/>
                <w:color w:val="000000"/>
                <w:sz w:val="18"/>
                <w:szCs w:val="18"/>
              </w:rPr>
            </w:pPr>
          </w:p>
        </w:tc>
        <w:tc>
          <w:tcPr>
            <w:tcW w:w="1260" w:type="dxa"/>
            <w:gridSpan w:val="2"/>
            <w:noWrap/>
            <w:hideMark/>
          </w:tcPr>
          <w:p w14:paraId="20312498" w14:textId="77777777" w:rsidR="002946EA" w:rsidRPr="003F7F6C" w:rsidRDefault="002946EA" w:rsidP="002946EA">
            <w:pPr>
              <w:spacing w:after="0"/>
              <w:rPr>
                <w:rFonts w:asciiTheme="minorHAnsi" w:eastAsia="Times New Roman" w:hAnsiTheme="minorHAnsi"/>
                <w:b/>
                <w:bCs/>
                <w:color w:val="000000"/>
                <w:sz w:val="18"/>
                <w:szCs w:val="18"/>
              </w:rPr>
            </w:pPr>
          </w:p>
        </w:tc>
        <w:tc>
          <w:tcPr>
            <w:tcW w:w="720" w:type="dxa"/>
            <w:noWrap/>
            <w:hideMark/>
          </w:tcPr>
          <w:p w14:paraId="1855991D" w14:textId="77777777" w:rsidR="002946EA" w:rsidRPr="003F7F6C" w:rsidRDefault="002946EA" w:rsidP="002946EA">
            <w:pPr>
              <w:spacing w:after="0"/>
              <w:rPr>
                <w:rFonts w:asciiTheme="minorHAnsi" w:eastAsia="Times New Roman" w:hAnsiTheme="minorHAnsi"/>
                <w:b/>
                <w:bCs/>
                <w:color w:val="000000"/>
                <w:sz w:val="18"/>
                <w:szCs w:val="18"/>
              </w:rPr>
            </w:pPr>
            <w:r w:rsidRPr="003F7F6C">
              <w:rPr>
                <w:rFonts w:asciiTheme="minorHAnsi" w:eastAsia="Times New Roman" w:hAnsiTheme="minorHAnsi"/>
                <w:b/>
                <w:bCs/>
                <w:color w:val="000000"/>
                <w:sz w:val="18"/>
                <w:szCs w:val="18"/>
              </w:rPr>
              <w:t> </w:t>
            </w:r>
          </w:p>
        </w:tc>
        <w:tc>
          <w:tcPr>
            <w:tcW w:w="2160" w:type="dxa"/>
            <w:hideMark/>
          </w:tcPr>
          <w:p w14:paraId="26DFA25D" w14:textId="77777777" w:rsidR="002946EA" w:rsidRPr="003F7F6C" w:rsidRDefault="002946EA" w:rsidP="002946EA">
            <w:pPr>
              <w:spacing w:after="0"/>
              <w:rPr>
                <w:rFonts w:asciiTheme="minorHAnsi" w:eastAsia="Times New Roman" w:hAnsiTheme="minorHAnsi"/>
                <w:b/>
                <w:bCs/>
                <w:color w:val="000000"/>
                <w:sz w:val="18"/>
                <w:szCs w:val="18"/>
              </w:rPr>
            </w:pPr>
            <w:r w:rsidRPr="003F7F6C">
              <w:rPr>
                <w:rFonts w:asciiTheme="minorHAnsi" w:eastAsia="Times New Roman" w:hAnsiTheme="minorHAnsi"/>
                <w:b/>
                <w:bCs/>
                <w:color w:val="000000"/>
                <w:sz w:val="18"/>
                <w:szCs w:val="18"/>
              </w:rPr>
              <w:t> </w:t>
            </w:r>
          </w:p>
        </w:tc>
        <w:tc>
          <w:tcPr>
            <w:tcW w:w="900" w:type="dxa"/>
            <w:noWrap/>
            <w:hideMark/>
          </w:tcPr>
          <w:p w14:paraId="6C647F6E" w14:textId="77777777" w:rsidR="002946EA" w:rsidRPr="003F7F6C" w:rsidRDefault="002946EA" w:rsidP="002946EA">
            <w:pPr>
              <w:spacing w:after="0"/>
              <w:jc w:val="right"/>
              <w:rPr>
                <w:rFonts w:asciiTheme="minorHAnsi" w:eastAsia="Times New Roman" w:hAnsiTheme="minorHAnsi"/>
                <w:b/>
                <w:bCs/>
                <w:color w:val="000000"/>
                <w:sz w:val="18"/>
                <w:szCs w:val="18"/>
              </w:rPr>
            </w:pPr>
            <w:r w:rsidRPr="003F7F6C">
              <w:rPr>
                <w:rFonts w:asciiTheme="minorHAnsi" w:hAnsiTheme="minorHAnsi"/>
                <w:b/>
                <w:sz w:val="18"/>
                <w:szCs w:val="18"/>
              </w:rPr>
              <w:t>75,142</w:t>
            </w:r>
          </w:p>
        </w:tc>
        <w:tc>
          <w:tcPr>
            <w:tcW w:w="990" w:type="dxa"/>
            <w:noWrap/>
            <w:hideMark/>
          </w:tcPr>
          <w:p w14:paraId="6679A142" w14:textId="77777777" w:rsidR="002946EA" w:rsidRPr="003F7F6C" w:rsidRDefault="002946EA" w:rsidP="002946EA">
            <w:pPr>
              <w:spacing w:after="0"/>
              <w:jc w:val="right"/>
              <w:rPr>
                <w:rFonts w:asciiTheme="minorHAnsi" w:eastAsia="Times New Roman" w:hAnsiTheme="minorHAnsi"/>
                <w:b/>
                <w:bCs/>
                <w:color w:val="000000"/>
                <w:sz w:val="18"/>
                <w:szCs w:val="18"/>
              </w:rPr>
            </w:pPr>
            <w:r w:rsidRPr="003F7F6C">
              <w:rPr>
                <w:rFonts w:asciiTheme="minorHAnsi" w:hAnsiTheme="minorHAnsi"/>
                <w:b/>
                <w:sz w:val="18"/>
                <w:szCs w:val="18"/>
              </w:rPr>
              <w:t>70,642</w:t>
            </w:r>
          </w:p>
        </w:tc>
        <w:tc>
          <w:tcPr>
            <w:tcW w:w="990" w:type="dxa"/>
            <w:noWrap/>
            <w:hideMark/>
          </w:tcPr>
          <w:p w14:paraId="632C5C62" w14:textId="77777777" w:rsidR="002946EA" w:rsidRPr="003F7F6C" w:rsidRDefault="002946EA" w:rsidP="002946EA">
            <w:pPr>
              <w:spacing w:after="0"/>
              <w:jc w:val="right"/>
              <w:rPr>
                <w:rFonts w:asciiTheme="minorHAnsi" w:eastAsia="Times New Roman" w:hAnsiTheme="minorHAnsi"/>
                <w:b/>
                <w:bCs/>
                <w:color w:val="000000"/>
                <w:sz w:val="18"/>
                <w:szCs w:val="18"/>
              </w:rPr>
            </w:pPr>
            <w:r w:rsidRPr="003F7F6C">
              <w:rPr>
                <w:rFonts w:asciiTheme="minorHAnsi" w:hAnsiTheme="minorHAnsi"/>
                <w:b/>
                <w:sz w:val="18"/>
                <w:szCs w:val="18"/>
              </w:rPr>
              <w:t>70,642</w:t>
            </w:r>
          </w:p>
        </w:tc>
        <w:tc>
          <w:tcPr>
            <w:tcW w:w="990" w:type="dxa"/>
            <w:noWrap/>
            <w:hideMark/>
          </w:tcPr>
          <w:p w14:paraId="37E0FBA9" w14:textId="77777777" w:rsidR="002946EA" w:rsidRPr="003F7F6C" w:rsidRDefault="002946EA" w:rsidP="002946EA">
            <w:pPr>
              <w:spacing w:after="0"/>
              <w:jc w:val="right"/>
              <w:rPr>
                <w:rFonts w:asciiTheme="minorHAnsi" w:eastAsia="Times New Roman" w:hAnsiTheme="minorHAnsi"/>
                <w:b/>
                <w:bCs/>
                <w:color w:val="000000"/>
                <w:sz w:val="18"/>
                <w:szCs w:val="18"/>
              </w:rPr>
            </w:pPr>
            <w:r w:rsidRPr="003F7F6C">
              <w:rPr>
                <w:rFonts w:asciiTheme="minorHAnsi" w:hAnsiTheme="minorHAnsi"/>
                <w:b/>
                <w:sz w:val="18"/>
                <w:szCs w:val="18"/>
              </w:rPr>
              <w:t>70,642</w:t>
            </w:r>
          </w:p>
        </w:tc>
        <w:tc>
          <w:tcPr>
            <w:tcW w:w="990" w:type="dxa"/>
            <w:noWrap/>
            <w:hideMark/>
          </w:tcPr>
          <w:p w14:paraId="4D2356FD" w14:textId="77777777" w:rsidR="002946EA" w:rsidRPr="003F7F6C" w:rsidRDefault="002946EA" w:rsidP="002946EA">
            <w:pPr>
              <w:spacing w:after="0"/>
              <w:jc w:val="right"/>
              <w:rPr>
                <w:rFonts w:asciiTheme="minorHAnsi" w:eastAsia="Times New Roman" w:hAnsiTheme="minorHAnsi"/>
                <w:b/>
                <w:bCs/>
                <w:color w:val="000000"/>
                <w:sz w:val="18"/>
                <w:szCs w:val="18"/>
              </w:rPr>
            </w:pPr>
            <w:r w:rsidRPr="003F7F6C">
              <w:rPr>
                <w:rFonts w:asciiTheme="minorHAnsi" w:hAnsiTheme="minorHAnsi"/>
                <w:b/>
                <w:sz w:val="18"/>
                <w:szCs w:val="18"/>
              </w:rPr>
              <w:t>70,643</w:t>
            </w:r>
          </w:p>
        </w:tc>
        <w:tc>
          <w:tcPr>
            <w:tcW w:w="990" w:type="dxa"/>
            <w:noWrap/>
            <w:hideMark/>
          </w:tcPr>
          <w:p w14:paraId="5FCD0485" w14:textId="77777777" w:rsidR="002946EA" w:rsidRPr="003F7F6C" w:rsidRDefault="002946EA" w:rsidP="002946EA">
            <w:pPr>
              <w:spacing w:after="0"/>
              <w:jc w:val="right"/>
              <w:rPr>
                <w:rFonts w:asciiTheme="minorHAnsi" w:eastAsia="Times New Roman" w:hAnsiTheme="minorHAnsi"/>
                <w:b/>
                <w:bCs/>
                <w:color w:val="000000"/>
                <w:sz w:val="18"/>
                <w:szCs w:val="18"/>
              </w:rPr>
            </w:pPr>
            <w:r w:rsidRPr="003F7F6C">
              <w:rPr>
                <w:rFonts w:asciiTheme="minorHAnsi" w:hAnsiTheme="minorHAnsi"/>
                <w:b/>
                <w:sz w:val="18"/>
                <w:szCs w:val="18"/>
              </w:rPr>
              <w:t>70,643</w:t>
            </w:r>
          </w:p>
        </w:tc>
        <w:tc>
          <w:tcPr>
            <w:tcW w:w="990" w:type="dxa"/>
            <w:noWrap/>
            <w:hideMark/>
          </w:tcPr>
          <w:p w14:paraId="57334FA3" w14:textId="77777777" w:rsidR="002946EA" w:rsidRPr="003F7F6C" w:rsidRDefault="002946EA" w:rsidP="002946EA">
            <w:pPr>
              <w:spacing w:after="0"/>
              <w:jc w:val="right"/>
              <w:rPr>
                <w:rFonts w:asciiTheme="minorHAnsi" w:eastAsia="Times New Roman" w:hAnsiTheme="minorHAnsi"/>
                <w:b/>
                <w:bCs/>
                <w:color w:val="000000"/>
                <w:sz w:val="18"/>
                <w:szCs w:val="18"/>
              </w:rPr>
            </w:pPr>
            <w:r w:rsidRPr="003F7F6C">
              <w:rPr>
                <w:rFonts w:asciiTheme="minorHAnsi" w:hAnsiTheme="minorHAnsi"/>
                <w:b/>
                <w:sz w:val="18"/>
                <w:szCs w:val="18"/>
              </w:rPr>
              <w:t>428,354</w:t>
            </w:r>
          </w:p>
        </w:tc>
        <w:tc>
          <w:tcPr>
            <w:tcW w:w="630" w:type="dxa"/>
            <w:noWrap/>
            <w:hideMark/>
          </w:tcPr>
          <w:p w14:paraId="6682FA94" w14:textId="77777777" w:rsidR="002946EA" w:rsidRPr="003F7F6C" w:rsidRDefault="002946EA" w:rsidP="002946EA">
            <w:pPr>
              <w:spacing w:after="0"/>
              <w:jc w:val="center"/>
              <w:rPr>
                <w:rFonts w:asciiTheme="minorHAnsi" w:eastAsia="Times New Roman" w:hAnsiTheme="minorHAnsi"/>
                <w:color w:val="000000"/>
                <w:sz w:val="18"/>
                <w:szCs w:val="18"/>
              </w:rPr>
            </w:pPr>
          </w:p>
        </w:tc>
      </w:tr>
      <w:tr w:rsidR="002946EA" w:rsidRPr="003F7F6C" w14:paraId="2E680E1D" w14:textId="77777777" w:rsidTr="00826EE8">
        <w:tc>
          <w:tcPr>
            <w:tcW w:w="6025" w:type="dxa"/>
            <w:gridSpan w:val="6"/>
            <w:noWrap/>
            <w:hideMark/>
          </w:tcPr>
          <w:p w14:paraId="5FA61D19" w14:textId="77777777" w:rsidR="002946EA" w:rsidRPr="003F7F6C" w:rsidRDefault="002946EA" w:rsidP="002946EA">
            <w:pPr>
              <w:spacing w:after="0"/>
              <w:rPr>
                <w:rFonts w:asciiTheme="minorHAnsi" w:eastAsia="Times New Roman" w:hAnsiTheme="minorHAnsi"/>
                <w:b/>
                <w:bCs/>
                <w:color w:val="000000"/>
                <w:sz w:val="18"/>
                <w:szCs w:val="18"/>
              </w:rPr>
            </w:pPr>
            <w:r w:rsidRPr="003F7F6C">
              <w:rPr>
                <w:rFonts w:asciiTheme="minorHAnsi" w:eastAsia="Times New Roman" w:hAnsiTheme="minorHAnsi"/>
                <w:b/>
                <w:bCs/>
                <w:color w:val="000000"/>
                <w:sz w:val="18"/>
                <w:szCs w:val="18"/>
              </w:rPr>
              <w:t>PROJECT TOTAL</w:t>
            </w:r>
          </w:p>
        </w:tc>
        <w:tc>
          <w:tcPr>
            <w:tcW w:w="900" w:type="dxa"/>
            <w:noWrap/>
            <w:hideMark/>
          </w:tcPr>
          <w:p w14:paraId="02B73F4C" w14:textId="77777777" w:rsidR="002946EA" w:rsidRPr="003F7F6C" w:rsidRDefault="002946EA" w:rsidP="002946EA">
            <w:pPr>
              <w:spacing w:after="0"/>
              <w:jc w:val="right"/>
              <w:rPr>
                <w:rFonts w:asciiTheme="minorHAnsi" w:eastAsia="Times New Roman" w:hAnsiTheme="minorHAnsi"/>
                <w:b/>
                <w:bCs/>
                <w:sz w:val="18"/>
                <w:szCs w:val="18"/>
              </w:rPr>
            </w:pPr>
            <w:r w:rsidRPr="003F7F6C">
              <w:rPr>
                <w:rFonts w:asciiTheme="minorHAnsi" w:hAnsiTheme="minorHAnsi"/>
                <w:b/>
                <w:sz w:val="18"/>
                <w:szCs w:val="18"/>
              </w:rPr>
              <w:t>829,296</w:t>
            </w:r>
          </w:p>
        </w:tc>
        <w:tc>
          <w:tcPr>
            <w:tcW w:w="990" w:type="dxa"/>
            <w:noWrap/>
            <w:hideMark/>
          </w:tcPr>
          <w:p w14:paraId="4B03F9B6" w14:textId="77777777" w:rsidR="002946EA" w:rsidRPr="003F7F6C" w:rsidRDefault="002946EA" w:rsidP="002946EA">
            <w:pPr>
              <w:spacing w:after="0"/>
              <w:jc w:val="right"/>
              <w:rPr>
                <w:rFonts w:asciiTheme="minorHAnsi" w:eastAsia="Times New Roman" w:hAnsiTheme="minorHAnsi"/>
                <w:b/>
                <w:bCs/>
                <w:sz w:val="18"/>
                <w:szCs w:val="18"/>
              </w:rPr>
            </w:pPr>
            <w:r w:rsidRPr="003F7F6C">
              <w:rPr>
                <w:rFonts w:asciiTheme="minorHAnsi" w:hAnsiTheme="minorHAnsi"/>
                <w:b/>
                <w:sz w:val="18"/>
                <w:szCs w:val="18"/>
              </w:rPr>
              <w:t>1,567,345</w:t>
            </w:r>
          </w:p>
        </w:tc>
        <w:tc>
          <w:tcPr>
            <w:tcW w:w="990" w:type="dxa"/>
            <w:noWrap/>
            <w:hideMark/>
          </w:tcPr>
          <w:p w14:paraId="728F904F" w14:textId="77777777" w:rsidR="002946EA" w:rsidRPr="003F7F6C" w:rsidRDefault="002946EA" w:rsidP="002946EA">
            <w:pPr>
              <w:spacing w:after="0"/>
              <w:jc w:val="right"/>
              <w:rPr>
                <w:rFonts w:asciiTheme="minorHAnsi" w:eastAsia="Times New Roman" w:hAnsiTheme="minorHAnsi"/>
                <w:b/>
                <w:bCs/>
                <w:sz w:val="18"/>
                <w:szCs w:val="18"/>
              </w:rPr>
            </w:pPr>
            <w:r w:rsidRPr="003F7F6C">
              <w:rPr>
                <w:rFonts w:asciiTheme="minorHAnsi" w:hAnsiTheme="minorHAnsi"/>
                <w:b/>
                <w:sz w:val="18"/>
                <w:szCs w:val="18"/>
              </w:rPr>
              <w:t>1,608,663</w:t>
            </w:r>
          </w:p>
        </w:tc>
        <w:tc>
          <w:tcPr>
            <w:tcW w:w="990" w:type="dxa"/>
            <w:noWrap/>
            <w:hideMark/>
          </w:tcPr>
          <w:p w14:paraId="08A02BB3" w14:textId="77777777" w:rsidR="002946EA" w:rsidRPr="003F7F6C" w:rsidRDefault="002946EA" w:rsidP="002946EA">
            <w:pPr>
              <w:spacing w:after="0"/>
              <w:jc w:val="right"/>
              <w:rPr>
                <w:rFonts w:asciiTheme="minorHAnsi" w:eastAsia="Times New Roman" w:hAnsiTheme="minorHAnsi"/>
                <w:b/>
                <w:bCs/>
                <w:sz w:val="18"/>
                <w:szCs w:val="18"/>
              </w:rPr>
            </w:pPr>
            <w:r w:rsidRPr="003F7F6C">
              <w:rPr>
                <w:rFonts w:asciiTheme="minorHAnsi" w:hAnsiTheme="minorHAnsi"/>
                <w:b/>
                <w:sz w:val="18"/>
                <w:szCs w:val="18"/>
              </w:rPr>
              <w:t>1,701,204</w:t>
            </w:r>
          </w:p>
        </w:tc>
        <w:tc>
          <w:tcPr>
            <w:tcW w:w="990" w:type="dxa"/>
            <w:noWrap/>
            <w:hideMark/>
          </w:tcPr>
          <w:p w14:paraId="03B93564" w14:textId="77777777" w:rsidR="002946EA" w:rsidRPr="003F7F6C" w:rsidRDefault="002946EA" w:rsidP="002946EA">
            <w:pPr>
              <w:spacing w:after="0"/>
              <w:jc w:val="right"/>
              <w:rPr>
                <w:rFonts w:asciiTheme="minorHAnsi" w:eastAsia="Times New Roman" w:hAnsiTheme="minorHAnsi"/>
                <w:b/>
                <w:bCs/>
                <w:sz w:val="18"/>
                <w:szCs w:val="18"/>
              </w:rPr>
            </w:pPr>
            <w:r w:rsidRPr="003F7F6C">
              <w:rPr>
                <w:rFonts w:asciiTheme="minorHAnsi" w:hAnsiTheme="minorHAnsi"/>
                <w:b/>
                <w:sz w:val="18"/>
                <w:szCs w:val="18"/>
              </w:rPr>
              <w:t>1,648,554</w:t>
            </w:r>
          </w:p>
        </w:tc>
        <w:tc>
          <w:tcPr>
            <w:tcW w:w="990" w:type="dxa"/>
            <w:noWrap/>
            <w:hideMark/>
          </w:tcPr>
          <w:p w14:paraId="7341FC1D" w14:textId="77777777" w:rsidR="002946EA" w:rsidRPr="003F7F6C" w:rsidRDefault="002946EA" w:rsidP="002946EA">
            <w:pPr>
              <w:spacing w:after="0"/>
              <w:jc w:val="right"/>
              <w:rPr>
                <w:rFonts w:asciiTheme="minorHAnsi" w:eastAsia="Times New Roman" w:hAnsiTheme="minorHAnsi"/>
                <w:b/>
                <w:bCs/>
                <w:sz w:val="18"/>
                <w:szCs w:val="18"/>
              </w:rPr>
            </w:pPr>
            <w:r w:rsidRPr="003F7F6C">
              <w:rPr>
                <w:rFonts w:asciiTheme="minorHAnsi" w:hAnsiTheme="minorHAnsi"/>
                <w:b/>
                <w:sz w:val="18"/>
                <w:szCs w:val="18"/>
              </w:rPr>
              <w:t>1,640,372</w:t>
            </w:r>
          </w:p>
        </w:tc>
        <w:tc>
          <w:tcPr>
            <w:tcW w:w="990" w:type="dxa"/>
            <w:noWrap/>
            <w:hideMark/>
          </w:tcPr>
          <w:p w14:paraId="4571ECFB" w14:textId="77777777" w:rsidR="002946EA" w:rsidRPr="003F7F6C" w:rsidRDefault="002946EA" w:rsidP="002946EA">
            <w:pPr>
              <w:spacing w:after="0"/>
              <w:jc w:val="right"/>
              <w:rPr>
                <w:rFonts w:asciiTheme="minorHAnsi" w:eastAsia="Times New Roman" w:hAnsiTheme="minorHAnsi"/>
                <w:b/>
                <w:bCs/>
                <w:sz w:val="18"/>
                <w:szCs w:val="18"/>
              </w:rPr>
            </w:pPr>
            <w:r w:rsidRPr="003F7F6C">
              <w:rPr>
                <w:rFonts w:asciiTheme="minorHAnsi" w:hAnsiTheme="minorHAnsi"/>
                <w:b/>
                <w:sz w:val="18"/>
                <w:szCs w:val="18"/>
              </w:rPr>
              <w:t>8,995,434</w:t>
            </w:r>
          </w:p>
        </w:tc>
        <w:tc>
          <w:tcPr>
            <w:tcW w:w="630" w:type="dxa"/>
            <w:noWrap/>
            <w:hideMark/>
          </w:tcPr>
          <w:p w14:paraId="3E9D2A2E" w14:textId="77777777" w:rsidR="002946EA" w:rsidRPr="003F7F6C" w:rsidRDefault="002946EA" w:rsidP="002946EA">
            <w:pPr>
              <w:spacing w:after="0"/>
              <w:jc w:val="center"/>
              <w:rPr>
                <w:rFonts w:asciiTheme="minorHAnsi" w:eastAsia="Times New Roman" w:hAnsiTheme="minorHAnsi"/>
                <w:b/>
                <w:bCs/>
                <w:color w:val="000000"/>
                <w:sz w:val="18"/>
                <w:szCs w:val="18"/>
              </w:rPr>
            </w:pPr>
          </w:p>
        </w:tc>
      </w:tr>
    </w:tbl>
    <w:p w14:paraId="1F0B629B" w14:textId="77777777" w:rsidR="006201D8" w:rsidRPr="003F7F6C" w:rsidRDefault="006201D8" w:rsidP="003B2A79">
      <w:pPr>
        <w:rPr>
          <w:rFonts w:ascii="Times New Roman" w:hAnsi="Times New Roman"/>
          <w:sz w:val="18"/>
          <w:szCs w:val="18"/>
        </w:rPr>
      </w:pPr>
    </w:p>
    <w:p w14:paraId="12D28C95" w14:textId="77777777" w:rsidR="00143D88" w:rsidRPr="003F7F6C" w:rsidRDefault="00143D88" w:rsidP="003B2A79">
      <w:pPr>
        <w:rPr>
          <w:rFonts w:ascii="Times New Roman" w:hAnsi="Times New Roman"/>
          <w:sz w:val="18"/>
          <w:szCs w:val="18"/>
        </w:rPr>
      </w:pPr>
    </w:p>
    <w:p w14:paraId="2926EB2C" w14:textId="77777777" w:rsidR="001328BB" w:rsidRPr="003F7F6C" w:rsidRDefault="001328BB" w:rsidP="003B2A79">
      <w:pPr>
        <w:rPr>
          <w:rFonts w:ascii="Times New Roman" w:hAnsi="Times New Roman"/>
          <w:sz w:val="18"/>
          <w:szCs w:val="18"/>
        </w:rPr>
        <w:sectPr w:rsidR="001328BB" w:rsidRPr="003F7F6C" w:rsidSect="0096798B">
          <w:pgSz w:w="15840" w:h="12240" w:orient="landscape" w:code="1"/>
          <w:pgMar w:top="1440" w:right="1440" w:bottom="1440" w:left="1440" w:header="720" w:footer="720" w:gutter="0"/>
          <w:cols w:space="720"/>
          <w:docGrid w:linePitch="360"/>
        </w:sectPr>
      </w:pPr>
    </w:p>
    <w:p w14:paraId="5518B9E5" w14:textId="77777777" w:rsidR="001328BB" w:rsidRPr="003F7F6C" w:rsidRDefault="001328BB" w:rsidP="001328BB">
      <w:pPr>
        <w:rPr>
          <w:b/>
          <w:szCs w:val="22"/>
        </w:rPr>
      </w:pPr>
    </w:p>
    <w:p w14:paraId="30A067E6" w14:textId="77777777" w:rsidR="001328BB" w:rsidRPr="003F7F6C" w:rsidRDefault="001328BB" w:rsidP="001328BB">
      <w:pPr>
        <w:rPr>
          <w:b/>
          <w:szCs w:val="22"/>
        </w:rPr>
      </w:pPr>
    </w:p>
    <w:tbl>
      <w:tblPr>
        <w:tblW w:w="9923" w:type="dxa"/>
        <w:tblCellMar>
          <w:left w:w="70" w:type="dxa"/>
          <w:right w:w="70" w:type="dxa"/>
        </w:tblCellMar>
        <w:tblLook w:val="04A0" w:firstRow="1" w:lastRow="0" w:firstColumn="1" w:lastColumn="0" w:noHBand="0" w:noVBand="1"/>
      </w:tblPr>
      <w:tblGrid>
        <w:gridCol w:w="2410"/>
        <w:gridCol w:w="1134"/>
        <w:gridCol w:w="1134"/>
        <w:gridCol w:w="1134"/>
        <w:gridCol w:w="992"/>
        <w:gridCol w:w="993"/>
        <w:gridCol w:w="992"/>
        <w:gridCol w:w="1134"/>
      </w:tblGrid>
      <w:tr w:rsidR="001328BB" w:rsidRPr="003F7F6C" w14:paraId="17F7F0C7" w14:textId="77777777" w:rsidTr="008B171D">
        <w:trPr>
          <w:trHeight w:val="280"/>
        </w:trPr>
        <w:tc>
          <w:tcPr>
            <w:tcW w:w="2410" w:type="dxa"/>
            <w:tcBorders>
              <w:top w:val="nil"/>
              <w:left w:val="nil"/>
              <w:bottom w:val="nil"/>
              <w:right w:val="nil"/>
            </w:tcBorders>
            <w:shd w:val="clear" w:color="auto" w:fill="auto"/>
            <w:noWrap/>
            <w:vAlign w:val="bottom"/>
            <w:hideMark/>
          </w:tcPr>
          <w:p w14:paraId="14BEB700" w14:textId="77777777" w:rsidR="001328BB" w:rsidRPr="003F7F6C" w:rsidRDefault="001328BB" w:rsidP="008B171D">
            <w:pPr>
              <w:rPr>
                <w:rFonts w:eastAsia="Times New Roman" w:cs="Arial"/>
                <w:b/>
                <w:bCs/>
                <w:sz w:val="18"/>
                <w:szCs w:val="18"/>
                <w:lang w:val="es-PY" w:eastAsia="es-ES_tradnl"/>
              </w:rPr>
            </w:pPr>
            <w:r w:rsidRPr="003F7F6C">
              <w:rPr>
                <w:rFonts w:eastAsia="Times New Roman" w:cs="Arial"/>
                <w:b/>
                <w:bCs/>
                <w:sz w:val="18"/>
                <w:szCs w:val="18"/>
                <w:lang w:val="es-PY" w:eastAsia="es-ES_tradnl"/>
              </w:rPr>
              <w:t>Summary of Funds</w:t>
            </w:r>
          </w:p>
        </w:tc>
        <w:tc>
          <w:tcPr>
            <w:tcW w:w="1134" w:type="dxa"/>
            <w:tcBorders>
              <w:top w:val="nil"/>
              <w:left w:val="nil"/>
              <w:bottom w:val="nil"/>
              <w:right w:val="nil"/>
            </w:tcBorders>
            <w:shd w:val="clear" w:color="auto" w:fill="auto"/>
            <w:noWrap/>
            <w:vAlign w:val="bottom"/>
            <w:hideMark/>
          </w:tcPr>
          <w:p w14:paraId="737F49AC" w14:textId="77777777" w:rsidR="001328BB" w:rsidRPr="003F7F6C" w:rsidRDefault="001328BB" w:rsidP="008B171D">
            <w:pPr>
              <w:rPr>
                <w:rFonts w:eastAsia="Times New Roman" w:cs="Arial"/>
                <w:b/>
                <w:bCs/>
                <w:sz w:val="18"/>
                <w:szCs w:val="18"/>
                <w:lang w:val="es-PY" w:eastAsia="es-ES_tradnl"/>
              </w:rPr>
            </w:pPr>
          </w:p>
        </w:tc>
        <w:tc>
          <w:tcPr>
            <w:tcW w:w="1134" w:type="dxa"/>
            <w:tcBorders>
              <w:top w:val="nil"/>
              <w:left w:val="nil"/>
              <w:bottom w:val="nil"/>
              <w:right w:val="nil"/>
            </w:tcBorders>
            <w:shd w:val="clear" w:color="auto" w:fill="auto"/>
            <w:noWrap/>
            <w:vAlign w:val="bottom"/>
            <w:hideMark/>
          </w:tcPr>
          <w:p w14:paraId="753A410B" w14:textId="77777777" w:rsidR="001328BB" w:rsidRPr="003F7F6C" w:rsidRDefault="001328BB" w:rsidP="008B171D">
            <w:pPr>
              <w:rPr>
                <w:rFonts w:ascii="Times New Roman" w:eastAsia="Times New Roman" w:hAnsi="Times New Roman"/>
                <w:sz w:val="18"/>
                <w:szCs w:val="18"/>
                <w:lang w:val="es-PY" w:eastAsia="es-ES_tradnl"/>
              </w:rPr>
            </w:pPr>
          </w:p>
        </w:tc>
        <w:tc>
          <w:tcPr>
            <w:tcW w:w="1134" w:type="dxa"/>
            <w:tcBorders>
              <w:top w:val="nil"/>
              <w:left w:val="nil"/>
              <w:bottom w:val="nil"/>
              <w:right w:val="nil"/>
            </w:tcBorders>
            <w:shd w:val="clear" w:color="auto" w:fill="auto"/>
            <w:noWrap/>
            <w:vAlign w:val="bottom"/>
            <w:hideMark/>
          </w:tcPr>
          <w:p w14:paraId="56DE430C" w14:textId="77777777" w:rsidR="001328BB" w:rsidRPr="003F7F6C" w:rsidRDefault="001328BB" w:rsidP="008B171D">
            <w:pPr>
              <w:rPr>
                <w:rFonts w:ascii="Times New Roman" w:eastAsia="Times New Roman" w:hAnsi="Times New Roman"/>
                <w:sz w:val="18"/>
                <w:szCs w:val="18"/>
                <w:lang w:val="es-PY" w:eastAsia="es-ES_tradnl"/>
              </w:rPr>
            </w:pPr>
          </w:p>
        </w:tc>
        <w:tc>
          <w:tcPr>
            <w:tcW w:w="992" w:type="dxa"/>
            <w:tcBorders>
              <w:top w:val="nil"/>
              <w:left w:val="nil"/>
              <w:bottom w:val="nil"/>
              <w:right w:val="nil"/>
            </w:tcBorders>
            <w:shd w:val="clear" w:color="auto" w:fill="auto"/>
            <w:noWrap/>
            <w:vAlign w:val="bottom"/>
            <w:hideMark/>
          </w:tcPr>
          <w:p w14:paraId="27BF0D89" w14:textId="77777777" w:rsidR="001328BB" w:rsidRPr="003F7F6C" w:rsidRDefault="001328BB" w:rsidP="008B171D">
            <w:pPr>
              <w:rPr>
                <w:rFonts w:ascii="Times New Roman" w:eastAsia="Times New Roman" w:hAnsi="Times New Roman"/>
                <w:sz w:val="18"/>
                <w:szCs w:val="18"/>
                <w:lang w:val="es-PY" w:eastAsia="es-ES_tradnl"/>
              </w:rPr>
            </w:pPr>
          </w:p>
        </w:tc>
        <w:tc>
          <w:tcPr>
            <w:tcW w:w="993" w:type="dxa"/>
            <w:tcBorders>
              <w:top w:val="nil"/>
              <w:left w:val="nil"/>
              <w:bottom w:val="nil"/>
              <w:right w:val="nil"/>
            </w:tcBorders>
            <w:shd w:val="clear" w:color="auto" w:fill="auto"/>
            <w:noWrap/>
            <w:vAlign w:val="bottom"/>
            <w:hideMark/>
          </w:tcPr>
          <w:p w14:paraId="67770301" w14:textId="77777777" w:rsidR="001328BB" w:rsidRPr="003F7F6C" w:rsidRDefault="001328BB" w:rsidP="008B171D">
            <w:pPr>
              <w:rPr>
                <w:rFonts w:ascii="Times New Roman" w:eastAsia="Times New Roman" w:hAnsi="Times New Roman"/>
                <w:sz w:val="18"/>
                <w:szCs w:val="18"/>
                <w:lang w:val="es-PY" w:eastAsia="es-ES_tradnl"/>
              </w:rPr>
            </w:pPr>
          </w:p>
        </w:tc>
        <w:tc>
          <w:tcPr>
            <w:tcW w:w="992" w:type="dxa"/>
            <w:tcBorders>
              <w:top w:val="nil"/>
              <w:left w:val="nil"/>
              <w:bottom w:val="nil"/>
              <w:right w:val="nil"/>
            </w:tcBorders>
            <w:shd w:val="clear" w:color="auto" w:fill="auto"/>
            <w:noWrap/>
            <w:vAlign w:val="bottom"/>
            <w:hideMark/>
          </w:tcPr>
          <w:p w14:paraId="5BBB2D14" w14:textId="77777777" w:rsidR="001328BB" w:rsidRPr="003F7F6C" w:rsidRDefault="001328BB" w:rsidP="008B171D">
            <w:pPr>
              <w:rPr>
                <w:rFonts w:ascii="Times New Roman" w:eastAsia="Times New Roman" w:hAnsi="Times New Roman"/>
                <w:sz w:val="18"/>
                <w:szCs w:val="18"/>
                <w:lang w:val="es-PY" w:eastAsia="es-ES_tradnl"/>
              </w:rPr>
            </w:pPr>
          </w:p>
        </w:tc>
        <w:tc>
          <w:tcPr>
            <w:tcW w:w="1134" w:type="dxa"/>
            <w:tcBorders>
              <w:top w:val="nil"/>
              <w:left w:val="nil"/>
              <w:bottom w:val="nil"/>
              <w:right w:val="nil"/>
            </w:tcBorders>
            <w:shd w:val="clear" w:color="auto" w:fill="auto"/>
            <w:noWrap/>
            <w:vAlign w:val="bottom"/>
            <w:hideMark/>
          </w:tcPr>
          <w:p w14:paraId="36BD51CD" w14:textId="77777777" w:rsidR="001328BB" w:rsidRPr="003F7F6C" w:rsidRDefault="001328BB" w:rsidP="008B171D">
            <w:pPr>
              <w:rPr>
                <w:rFonts w:ascii="Times New Roman" w:eastAsia="Times New Roman" w:hAnsi="Times New Roman"/>
                <w:sz w:val="18"/>
                <w:szCs w:val="18"/>
                <w:lang w:val="es-PY" w:eastAsia="es-ES_tradnl"/>
              </w:rPr>
            </w:pPr>
          </w:p>
        </w:tc>
      </w:tr>
      <w:tr w:rsidR="001328BB" w:rsidRPr="003F7F6C" w14:paraId="39AC8A96" w14:textId="77777777" w:rsidTr="008B171D">
        <w:trPr>
          <w:trHeight w:val="280"/>
        </w:trPr>
        <w:tc>
          <w:tcPr>
            <w:tcW w:w="241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1DDCCAD3" w14:textId="77777777" w:rsidR="001328BB" w:rsidRPr="003F7F6C" w:rsidRDefault="001328BB" w:rsidP="008B171D">
            <w:pPr>
              <w:jc w:val="center"/>
              <w:rPr>
                <w:rFonts w:eastAsia="Times New Roman" w:cs="Arial"/>
                <w:b/>
                <w:bCs/>
                <w:sz w:val="18"/>
                <w:szCs w:val="18"/>
                <w:lang w:val="es-PY" w:eastAsia="es-ES_tradnl"/>
              </w:rPr>
            </w:pPr>
            <w:r w:rsidRPr="003F7F6C">
              <w:rPr>
                <w:rFonts w:eastAsia="Times New Roman" w:cs="Arial"/>
                <w:b/>
                <w:bCs/>
                <w:sz w:val="18"/>
                <w:szCs w:val="18"/>
                <w:lang w:val="es-PY" w:eastAsia="es-ES_tradnl"/>
              </w:rPr>
              <w:t>Institution</w:t>
            </w:r>
          </w:p>
        </w:tc>
        <w:tc>
          <w:tcPr>
            <w:tcW w:w="1134" w:type="dxa"/>
            <w:tcBorders>
              <w:top w:val="single" w:sz="4" w:space="0" w:color="auto"/>
              <w:left w:val="nil"/>
              <w:bottom w:val="nil"/>
              <w:right w:val="single" w:sz="4" w:space="0" w:color="auto"/>
            </w:tcBorders>
            <w:shd w:val="clear" w:color="000000" w:fill="BFBFBF"/>
            <w:noWrap/>
            <w:vAlign w:val="center"/>
            <w:hideMark/>
          </w:tcPr>
          <w:p w14:paraId="3A5DD3E6" w14:textId="77777777" w:rsidR="001328BB" w:rsidRPr="003F7F6C" w:rsidRDefault="001328BB" w:rsidP="008B171D">
            <w:pPr>
              <w:jc w:val="center"/>
              <w:rPr>
                <w:rFonts w:eastAsia="Times New Roman" w:cs="Arial"/>
                <w:b/>
                <w:bCs/>
                <w:sz w:val="18"/>
                <w:szCs w:val="18"/>
                <w:lang w:val="es-PY" w:eastAsia="es-ES_tradnl"/>
              </w:rPr>
            </w:pPr>
            <w:r w:rsidRPr="003F7F6C">
              <w:rPr>
                <w:rFonts w:eastAsia="Times New Roman" w:cs="Arial"/>
                <w:b/>
                <w:bCs/>
                <w:sz w:val="18"/>
                <w:szCs w:val="18"/>
                <w:lang w:val="es-PY" w:eastAsia="es-ES_tradnl"/>
              </w:rPr>
              <w:t>Amount</w:t>
            </w:r>
          </w:p>
        </w:tc>
        <w:tc>
          <w:tcPr>
            <w:tcW w:w="1134" w:type="dxa"/>
            <w:tcBorders>
              <w:top w:val="single" w:sz="4" w:space="0" w:color="auto"/>
              <w:left w:val="nil"/>
              <w:bottom w:val="nil"/>
              <w:right w:val="single" w:sz="4" w:space="0" w:color="auto"/>
            </w:tcBorders>
            <w:shd w:val="clear" w:color="000000" w:fill="BFBFBF"/>
            <w:noWrap/>
            <w:vAlign w:val="center"/>
            <w:hideMark/>
          </w:tcPr>
          <w:p w14:paraId="3C96F0D4" w14:textId="77777777" w:rsidR="001328BB" w:rsidRPr="003F7F6C" w:rsidRDefault="001328BB" w:rsidP="008B171D">
            <w:pPr>
              <w:jc w:val="center"/>
              <w:rPr>
                <w:rFonts w:eastAsia="Times New Roman" w:cs="Arial"/>
                <w:b/>
                <w:bCs/>
                <w:sz w:val="18"/>
                <w:szCs w:val="18"/>
                <w:lang w:val="es-PY" w:eastAsia="es-ES_tradnl"/>
              </w:rPr>
            </w:pPr>
            <w:r w:rsidRPr="003F7F6C">
              <w:rPr>
                <w:rFonts w:eastAsia="Times New Roman" w:cs="Arial"/>
                <w:b/>
                <w:bCs/>
                <w:sz w:val="18"/>
                <w:szCs w:val="18"/>
                <w:lang w:val="es-PY" w:eastAsia="es-ES_tradnl"/>
              </w:rPr>
              <w:t>Amount</w:t>
            </w:r>
          </w:p>
        </w:tc>
        <w:tc>
          <w:tcPr>
            <w:tcW w:w="1134" w:type="dxa"/>
            <w:tcBorders>
              <w:top w:val="single" w:sz="4" w:space="0" w:color="auto"/>
              <w:left w:val="nil"/>
              <w:bottom w:val="nil"/>
              <w:right w:val="single" w:sz="4" w:space="0" w:color="auto"/>
            </w:tcBorders>
            <w:shd w:val="clear" w:color="000000" w:fill="BFBFBF"/>
            <w:noWrap/>
            <w:vAlign w:val="center"/>
            <w:hideMark/>
          </w:tcPr>
          <w:p w14:paraId="05A1B96E" w14:textId="77777777" w:rsidR="001328BB" w:rsidRPr="003F7F6C" w:rsidRDefault="001328BB" w:rsidP="008B171D">
            <w:pPr>
              <w:jc w:val="center"/>
              <w:rPr>
                <w:rFonts w:eastAsia="Times New Roman" w:cs="Arial"/>
                <w:b/>
                <w:bCs/>
                <w:sz w:val="18"/>
                <w:szCs w:val="18"/>
                <w:lang w:val="es-PY" w:eastAsia="es-ES_tradnl"/>
              </w:rPr>
            </w:pPr>
            <w:r w:rsidRPr="003F7F6C">
              <w:rPr>
                <w:rFonts w:eastAsia="Times New Roman" w:cs="Arial"/>
                <w:b/>
                <w:bCs/>
                <w:sz w:val="18"/>
                <w:szCs w:val="18"/>
                <w:lang w:val="es-PY" w:eastAsia="es-ES_tradnl"/>
              </w:rPr>
              <w:t>Amount</w:t>
            </w:r>
          </w:p>
        </w:tc>
        <w:tc>
          <w:tcPr>
            <w:tcW w:w="992" w:type="dxa"/>
            <w:tcBorders>
              <w:top w:val="single" w:sz="4" w:space="0" w:color="auto"/>
              <w:left w:val="nil"/>
              <w:bottom w:val="nil"/>
              <w:right w:val="single" w:sz="4" w:space="0" w:color="auto"/>
            </w:tcBorders>
            <w:shd w:val="clear" w:color="000000" w:fill="BFBFBF"/>
            <w:noWrap/>
            <w:vAlign w:val="center"/>
            <w:hideMark/>
          </w:tcPr>
          <w:p w14:paraId="28535E38" w14:textId="77777777" w:rsidR="001328BB" w:rsidRPr="003F7F6C" w:rsidRDefault="001328BB" w:rsidP="008B171D">
            <w:pPr>
              <w:jc w:val="center"/>
              <w:rPr>
                <w:rFonts w:eastAsia="Times New Roman" w:cs="Arial"/>
                <w:b/>
                <w:bCs/>
                <w:sz w:val="18"/>
                <w:szCs w:val="18"/>
                <w:lang w:val="es-PY" w:eastAsia="es-ES_tradnl"/>
              </w:rPr>
            </w:pPr>
            <w:r w:rsidRPr="003F7F6C">
              <w:rPr>
                <w:rFonts w:eastAsia="Times New Roman" w:cs="Arial"/>
                <w:b/>
                <w:bCs/>
                <w:sz w:val="18"/>
                <w:szCs w:val="18"/>
                <w:lang w:val="es-PY" w:eastAsia="es-ES_tradnl"/>
              </w:rPr>
              <w:t>Amount</w:t>
            </w:r>
          </w:p>
        </w:tc>
        <w:tc>
          <w:tcPr>
            <w:tcW w:w="993" w:type="dxa"/>
            <w:tcBorders>
              <w:top w:val="single" w:sz="4" w:space="0" w:color="auto"/>
              <w:left w:val="nil"/>
              <w:bottom w:val="nil"/>
              <w:right w:val="single" w:sz="4" w:space="0" w:color="auto"/>
            </w:tcBorders>
            <w:shd w:val="clear" w:color="000000" w:fill="BFBFBF"/>
            <w:noWrap/>
            <w:vAlign w:val="center"/>
            <w:hideMark/>
          </w:tcPr>
          <w:p w14:paraId="21525918" w14:textId="77777777" w:rsidR="001328BB" w:rsidRPr="003F7F6C" w:rsidRDefault="001328BB" w:rsidP="008B171D">
            <w:pPr>
              <w:jc w:val="center"/>
              <w:rPr>
                <w:rFonts w:eastAsia="Times New Roman" w:cs="Arial"/>
                <w:b/>
                <w:bCs/>
                <w:sz w:val="18"/>
                <w:szCs w:val="18"/>
                <w:lang w:val="es-PY" w:eastAsia="es-ES_tradnl"/>
              </w:rPr>
            </w:pPr>
            <w:r w:rsidRPr="003F7F6C">
              <w:rPr>
                <w:rFonts w:eastAsia="Times New Roman" w:cs="Arial"/>
                <w:b/>
                <w:bCs/>
                <w:sz w:val="18"/>
                <w:szCs w:val="18"/>
                <w:lang w:val="es-PY" w:eastAsia="es-ES_tradnl"/>
              </w:rPr>
              <w:t>Amount</w:t>
            </w:r>
          </w:p>
        </w:tc>
        <w:tc>
          <w:tcPr>
            <w:tcW w:w="992" w:type="dxa"/>
            <w:tcBorders>
              <w:top w:val="single" w:sz="4" w:space="0" w:color="auto"/>
              <w:left w:val="nil"/>
              <w:bottom w:val="nil"/>
              <w:right w:val="single" w:sz="4" w:space="0" w:color="auto"/>
            </w:tcBorders>
            <w:shd w:val="clear" w:color="000000" w:fill="BFBFBF"/>
            <w:noWrap/>
            <w:vAlign w:val="center"/>
            <w:hideMark/>
          </w:tcPr>
          <w:p w14:paraId="6F30C3E2" w14:textId="77777777" w:rsidR="001328BB" w:rsidRPr="003F7F6C" w:rsidRDefault="001328BB" w:rsidP="008B171D">
            <w:pPr>
              <w:jc w:val="center"/>
              <w:rPr>
                <w:rFonts w:eastAsia="Times New Roman" w:cs="Arial"/>
                <w:b/>
                <w:bCs/>
                <w:sz w:val="18"/>
                <w:szCs w:val="18"/>
                <w:lang w:val="es-PY" w:eastAsia="es-ES_tradnl"/>
              </w:rPr>
            </w:pPr>
            <w:r w:rsidRPr="003F7F6C">
              <w:rPr>
                <w:rFonts w:eastAsia="Times New Roman" w:cs="Arial"/>
                <w:b/>
                <w:bCs/>
                <w:sz w:val="18"/>
                <w:szCs w:val="18"/>
                <w:lang w:val="es-PY" w:eastAsia="es-ES_tradnl"/>
              </w:rPr>
              <w:t>Amount</w:t>
            </w:r>
          </w:p>
        </w:tc>
        <w:tc>
          <w:tcPr>
            <w:tcW w:w="1134"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3CD7B0F5" w14:textId="77777777" w:rsidR="001328BB" w:rsidRPr="003F7F6C" w:rsidRDefault="001328BB" w:rsidP="008B171D">
            <w:pPr>
              <w:jc w:val="center"/>
              <w:rPr>
                <w:rFonts w:eastAsia="Times New Roman" w:cs="Arial"/>
                <w:b/>
                <w:bCs/>
                <w:sz w:val="18"/>
                <w:szCs w:val="18"/>
                <w:lang w:val="es-PY" w:eastAsia="es-ES_tradnl"/>
              </w:rPr>
            </w:pPr>
            <w:r w:rsidRPr="003F7F6C">
              <w:rPr>
                <w:rFonts w:eastAsia="Times New Roman" w:cs="Arial"/>
                <w:b/>
                <w:bCs/>
                <w:sz w:val="18"/>
                <w:szCs w:val="18"/>
                <w:lang w:val="es-PY" w:eastAsia="es-ES_tradnl"/>
              </w:rPr>
              <w:t>Total</w:t>
            </w:r>
          </w:p>
        </w:tc>
      </w:tr>
      <w:tr w:rsidR="001328BB" w:rsidRPr="003F7F6C" w14:paraId="3CBF5406" w14:textId="77777777" w:rsidTr="008B171D">
        <w:trPr>
          <w:trHeight w:val="280"/>
        </w:trPr>
        <w:tc>
          <w:tcPr>
            <w:tcW w:w="2410" w:type="dxa"/>
            <w:vMerge/>
            <w:tcBorders>
              <w:top w:val="single" w:sz="4" w:space="0" w:color="auto"/>
              <w:left w:val="single" w:sz="4" w:space="0" w:color="auto"/>
              <w:bottom w:val="single" w:sz="4" w:space="0" w:color="auto"/>
              <w:right w:val="single" w:sz="4" w:space="0" w:color="auto"/>
            </w:tcBorders>
            <w:vAlign w:val="center"/>
            <w:hideMark/>
          </w:tcPr>
          <w:p w14:paraId="2B4D5F54" w14:textId="77777777" w:rsidR="001328BB" w:rsidRPr="003F7F6C" w:rsidRDefault="001328BB" w:rsidP="008B171D">
            <w:pPr>
              <w:rPr>
                <w:rFonts w:eastAsia="Times New Roman" w:cs="Arial"/>
                <w:b/>
                <w:bCs/>
                <w:sz w:val="18"/>
                <w:szCs w:val="18"/>
                <w:lang w:val="es-PY" w:eastAsia="es-ES_tradnl"/>
              </w:rPr>
            </w:pPr>
          </w:p>
        </w:tc>
        <w:tc>
          <w:tcPr>
            <w:tcW w:w="1134" w:type="dxa"/>
            <w:tcBorders>
              <w:top w:val="nil"/>
              <w:left w:val="nil"/>
              <w:bottom w:val="single" w:sz="4" w:space="0" w:color="auto"/>
              <w:right w:val="single" w:sz="4" w:space="0" w:color="auto"/>
            </w:tcBorders>
            <w:shd w:val="clear" w:color="000000" w:fill="BFBFBF"/>
            <w:noWrap/>
            <w:vAlign w:val="center"/>
            <w:hideMark/>
          </w:tcPr>
          <w:p w14:paraId="524EF441" w14:textId="77777777" w:rsidR="001328BB" w:rsidRPr="003F7F6C" w:rsidRDefault="001328BB" w:rsidP="008B171D">
            <w:pPr>
              <w:jc w:val="center"/>
              <w:rPr>
                <w:rFonts w:eastAsia="Times New Roman" w:cs="Arial"/>
                <w:b/>
                <w:bCs/>
                <w:sz w:val="18"/>
                <w:szCs w:val="18"/>
                <w:lang w:val="es-PY" w:eastAsia="es-ES_tradnl"/>
              </w:rPr>
            </w:pPr>
            <w:r w:rsidRPr="003F7F6C">
              <w:rPr>
                <w:rFonts w:eastAsia="Times New Roman" w:cs="Arial"/>
                <w:b/>
                <w:bCs/>
                <w:sz w:val="18"/>
                <w:szCs w:val="18"/>
                <w:lang w:val="es-PY" w:eastAsia="es-ES_tradnl"/>
              </w:rPr>
              <w:t>Year 1 (USD)</w:t>
            </w:r>
          </w:p>
        </w:tc>
        <w:tc>
          <w:tcPr>
            <w:tcW w:w="1134" w:type="dxa"/>
            <w:tcBorders>
              <w:top w:val="nil"/>
              <w:left w:val="nil"/>
              <w:bottom w:val="single" w:sz="4" w:space="0" w:color="auto"/>
              <w:right w:val="single" w:sz="4" w:space="0" w:color="auto"/>
            </w:tcBorders>
            <w:shd w:val="clear" w:color="000000" w:fill="BFBFBF"/>
            <w:noWrap/>
            <w:vAlign w:val="center"/>
            <w:hideMark/>
          </w:tcPr>
          <w:p w14:paraId="39FD3A2E" w14:textId="77777777" w:rsidR="001328BB" w:rsidRPr="003F7F6C" w:rsidRDefault="001328BB" w:rsidP="008B171D">
            <w:pPr>
              <w:jc w:val="center"/>
              <w:rPr>
                <w:rFonts w:eastAsia="Times New Roman" w:cs="Arial"/>
                <w:b/>
                <w:bCs/>
                <w:sz w:val="18"/>
                <w:szCs w:val="18"/>
                <w:lang w:val="es-PY" w:eastAsia="es-ES_tradnl"/>
              </w:rPr>
            </w:pPr>
            <w:r w:rsidRPr="003F7F6C">
              <w:rPr>
                <w:rFonts w:eastAsia="Times New Roman" w:cs="Arial"/>
                <w:b/>
                <w:bCs/>
                <w:sz w:val="18"/>
                <w:szCs w:val="18"/>
                <w:lang w:val="es-PY" w:eastAsia="es-ES_tradnl"/>
              </w:rPr>
              <w:t>Year 2 (USD)</w:t>
            </w:r>
          </w:p>
        </w:tc>
        <w:tc>
          <w:tcPr>
            <w:tcW w:w="1134" w:type="dxa"/>
            <w:tcBorders>
              <w:top w:val="nil"/>
              <w:left w:val="nil"/>
              <w:bottom w:val="single" w:sz="4" w:space="0" w:color="auto"/>
              <w:right w:val="single" w:sz="4" w:space="0" w:color="auto"/>
            </w:tcBorders>
            <w:shd w:val="clear" w:color="000000" w:fill="BFBFBF"/>
            <w:noWrap/>
            <w:vAlign w:val="center"/>
            <w:hideMark/>
          </w:tcPr>
          <w:p w14:paraId="42ADC503" w14:textId="77777777" w:rsidR="001328BB" w:rsidRPr="003F7F6C" w:rsidRDefault="001328BB" w:rsidP="008B171D">
            <w:pPr>
              <w:jc w:val="center"/>
              <w:rPr>
                <w:rFonts w:eastAsia="Times New Roman" w:cs="Arial"/>
                <w:b/>
                <w:bCs/>
                <w:sz w:val="18"/>
                <w:szCs w:val="18"/>
                <w:lang w:val="es-PY" w:eastAsia="es-ES_tradnl"/>
              </w:rPr>
            </w:pPr>
            <w:r w:rsidRPr="003F7F6C">
              <w:rPr>
                <w:rFonts w:eastAsia="Times New Roman" w:cs="Arial"/>
                <w:b/>
                <w:bCs/>
                <w:sz w:val="18"/>
                <w:szCs w:val="18"/>
                <w:lang w:val="es-PY" w:eastAsia="es-ES_tradnl"/>
              </w:rPr>
              <w:t>Year 3 (USD)</w:t>
            </w:r>
          </w:p>
        </w:tc>
        <w:tc>
          <w:tcPr>
            <w:tcW w:w="992" w:type="dxa"/>
            <w:tcBorders>
              <w:top w:val="nil"/>
              <w:left w:val="nil"/>
              <w:bottom w:val="single" w:sz="4" w:space="0" w:color="auto"/>
              <w:right w:val="single" w:sz="4" w:space="0" w:color="auto"/>
            </w:tcBorders>
            <w:shd w:val="clear" w:color="000000" w:fill="BFBFBF"/>
            <w:noWrap/>
            <w:vAlign w:val="center"/>
            <w:hideMark/>
          </w:tcPr>
          <w:p w14:paraId="1F6BD6D0" w14:textId="77777777" w:rsidR="001328BB" w:rsidRPr="003F7F6C" w:rsidRDefault="001328BB" w:rsidP="008B171D">
            <w:pPr>
              <w:jc w:val="center"/>
              <w:rPr>
                <w:rFonts w:eastAsia="Times New Roman" w:cs="Arial"/>
                <w:b/>
                <w:bCs/>
                <w:sz w:val="18"/>
                <w:szCs w:val="18"/>
                <w:lang w:val="es-PY" w:eastAsia="es-ES_tradnl"/>
              </w:rPr>
            </w:pPr>
            <w:r w:rsidRPr="003F7F6C">
              <w:rPr>
                <w:rFonts w:eastAsia="Times New Roman" w:cs="Arial"/>
                <w:b/>
                <w:bCs/>
                <w:sz w:val="18"/>
                <w:szCs w:val="18"/>
                <w:lang w:val="es-PY" w:eastAsia="es-ES_tradnl"/>
              </w:rPr>
              <w:t>Year 4 (USD)</w:t>
            </w:r>
          </w:p>
        </w:tc>
        <w:tc>
          <w:tcPr>
            <w:tcW w:w="993" w:type="dxa"/>
            <w:tcBorders>
              <w:top w:val="nil"/>
              <w:left w:val="nil"/>
              <w:bottom w:val="single" w:sz="4" w:space="0" w:color="auto"/>
              <w:right w:val="single" w:sz="4" w:space="0" w:color="auto"/>
            </w:tcBorders>
            <w:shd w:val="clear" w:color="000000" w:fill="BFBFBF"/>
            <w:noWrap/>
            <w:vAlign w:val="center"/>
            <w:hideMark/>
          </w:tcPr>
          <w:p w14:paraId="071CB16C" w14:textId="77777777" w:rsidR="001328BB" w:rsidRPr="003F7F6C" w:rsidRDefault="001328BB" w:rsidP="008B171D">
            <w:pPr>
              <w:jc w:val="center"/>
              <w:rPr>
                <w:rFonts w:eastAsia="Times New Roman" w:cs="Arial"/>
                <w:b/>
                <w:bCs/>
                <w:sz w:val="18"/>
                <w:szCs w:val="18"/>
                <w:lang w:val="es-PY" w:eastAsia="es-ES_tradnl"/>
              </w:rPr>
            </w:pPr>
            <w:r w:rsidRPr="003F7F6C">
              <w:rPr>
                <w:rFonts w:eastAsia="Times New Roman" w:cs="Arial"/>
                <w:b/>
                <w:bCs/>
                <w:sz w:val="18"/>
                <w:szCs w:val="18"/>
                <w:lang w:val="es-PY" w:eastAsia="es-ES_tradnl"/>
              </w:rPr>
              <w:t>Year 5 (USD)</w:t>
            </w:r>
          </w:p>
        </w:tc>
        <w:tc>
          <w:tcPr>
            <w:tcW w:w="992" w:type="dxa"/>
            <w:tcBorders>
              <w:top w:val="nil"/>
              <w:left w:val="nil"/>
              <w:bottom w:val="single" w:sz="4" w:space="0" w:color="auto"/>
              <w:right w:val="single" w:sz="4" w:space="0" w:color="auto"/>
            </w:tcBorders>
            <w:shd w:val="clear" w:color="000000" w:fill="BFBFBF"/>
            <w:noWrap/>
            <w:vAlign w:val="center"/>
            <w:hideMark/>
          </w:tcPr>
          <w:p w14:paraId="72CF3720" w14:textId="77777777" w:rsidR="001328BB" w:rsidRPr="003F7F6C" w:rsidRDefault="001328BB" w:rsidP="008B171D">
            <w:pPr>
              <w:jc w:val="center"/>
              <w:rPr>
                <w:rFonts w:eastAsia="Times New Roman" w:cs="Arial"/>
                <w:b/>
                <w:bCs/>
                <w:sz w:val="18"/>
                <w:szCs w:val="18"/>
                <w:lang w:val="es-PY" w:eastAsia="es-ES_tradnl"/>
              </w:rPr>
            </w:pPr>
            <w:r w:rsidRPr="003F7F6C">
              <w:rPr>
                <w:rFonts w:eastAsia="Times New Roman" w:cs="Arial"/>
                <w:b/>
                <w:bCs/>
                <w:sz w:val="18"/>
                <w:szCs w:val="18"/>
                <w:lang w:val="es-PY" w:eastAsia="es-ES_tradnl"/>
              </w:rPr>
              <w:t>Year 6 (USD)</w:t>
            </w: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1282BDFD" w14:textId="77777777" w:rsidR="001328BB" w:rsidRPr="003F7F6C" w:rsidRDefault="001328BB" w:rsidP="008B171D">
            <w:pPr>
              <w:rPr>
                <w:rFonts w:eastAsia="Times New Roman" w:cs="Arial"/>
                <w:b/>
                <w:bCs/>
                <w:sz w:val="18"/>
                <w:szCs w:val="18"/>
                <w:lang w:val="es-PY" w:eastAsia="es-ES_tradnl"/>
              </w:rPr>
            </w:pPr>
          </w:p>
        </w:tc>
      </w:tr>
      <w:tr w:rsidR="001328BB" w:rsidRPr="003F7F6C" w14:paraId="49B690C8" w14:textId="77777777" w:rsidTr="008B171D">
        <w:trPr>
          <w:trHeight w:val="280"/>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13073E1A" w14:textId="77777777" w:rsidR="001328BB" w:rsidRPr="003F7F6C" w:rsidRDefault="001328BB" w:rsidP="008B171D">
            <w:pPr>
              <w:rPr>
                <w:rFonts w:eastAsia="Times New Roman" w:cs="Arial"/>
                <w:sz w:val="18"/>
                <w:szCs w:val="18"/>
                <w:lang w:val="es-PY" w:eastAsia="es-ES_tradnl"/>
              </w:rPr>
            </w:pPr>
            <w:r w:rsidRPr="003F7F6C">
              <w:rPr>
                <w:rFonts w:eastAsia="Times New Roman" w:cs="Arial"/>
                <w:sz w:val="18"/>
                <w:szCs w:val="18"/>
                <w:lang w:val="es-PY" w:eastAsia="es-ES_tradnl"/>
              </w:rPr>
              <w:t>GEF</w:t>
            </w:r>
          </w:p>
        </w:tc>
        <w:tc>
          <w:tcPr>
            <w:tcW w:w="1134" w:type="dxa"/>
            <w:tcBorders>
              <w:top w:val="nil"/>
              <w:left w:val="nil"/>
              <w:bottom w:val="single" w:sz="4" w:space="0" w:color="auto"/>
              <w:right w:val="single" w:sz="4" w:space="0" w:color="auto"/>
            </w:tcBorders>
            <w:shd w:val="clear" w:color="auto" w:fill="auto"/>
            <w:noWrap/>
            <w:vAlign w:val="center"/>
            <w:hideMark/>
          </w:tcPr>
          <w:p w14:paraId="17E62FB5" w14:textId="77777777" w:rsidR="001328BB" w:rsidRPr="003F7F6C" w:rsidRDefault="001328BB" w:rsidP="008B171D">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        829,296 </w:t>
            </w:r>
          </w:p>
        </w:tc>
        <w:tc>
          <w:tcPr>
            <w:tcW w:w="1134" w:type="dxa"/>
            <w:tcBorders>
              <w:top w:val="nil"/>
              <w:left w:val="nil"/>
              <w:bottom w:val="single" w:sz="4" w:space="0" w:color="auto"/>
              <w:right w:val="single" w:sz="4" w:space="0" w:color="auto"/>
            </w:tcBorders>
            <w:shd w:val="clear" w:color="auto" w:fill="auto"/>
            <w:noWrap/>
            <w:vAlign w:val="center"/>
            <w:hideMark/>
          </w:tcPr>
          <w:p w14:paraId="74C0F86F" w14:textId="77777777" w:rsidR="001328BB" w:rsidRPr="003F7F6C" w:rsidRDefault="001328BB" w:rsidP="008B171D">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      1,567,345 </w:t>
            </w:r>
          </w:p>
        </w:tc>
        <w:tc>
          <w:tcPr>
            <w:tcW w:w="1134" w:type="dxa"/>
            <w:tcBorders>
              <w:top w:val="nil"/>
              <w:left w:val="nil"/>
              <w:bottom w:val="single" w:sz="4" w:space="0" w:color="auto"/>
              <w:right w:val="single" w:sz="4" w:space="0" w:color="auto"/>
            </w:tcBorders>
            <w:shd w:val="clear" w:color="auto" w:fill="auto"/>
            <w:noWrap/>
            <w:vAlign w:val="center"/>
            <w:hideMark/>
          </w:tcPr>
          <w:p w14:paraId="2A07B7AE" w14:textId="77777777" w:rsidR="001328BB" w:rsidRPr="003F7F6C" w:rsidRDefault="001328BB" w:rsidP="008B171D">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    1,608,663 </w:t>
            </w:r>
          </w:p>
        </w:tc>
        <w:tc>
          <w:tcPr>
            <w:tcW w:w="992" w:type="dxa"/>
            <w:tcBorders>
              <w:top w:val="nil"/>
              <w:left w:val="nil"/>
              <w:bottom w:val="single" w:sz="4" w:space="0" w:color="auto"/>
              <w:right w:val="single" w:sz="4" w:space="0" w:color="auto"/>
            </w:tcBorders>
            <w:shd w:val="clear" w:color="auto" w:fill="auto"/>
            <w:noWrap/>
            <w:vAlign w:val="center"/>
            <w:hideMark/>
          </w:tcPr>
          <w:p w14:paraId="051E63B5" w14:textId="77777777" w:rsidR="001328BB" w:rsidRPr="003F7F6C" w:rsidRDefault="001328BB" w:rsidP="008B171D">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   1,701,204 </w:t>
            </w:r>
          </w:p>
        </w:tc>
        <w:tc>
          <w:tcPr>
            <w:tcW w:w="993" w:type="dxa"/>
            <w:tcBorders>
              <w:top w:val="nil"/>
              <w:left w:val="nil"/>
              <w:bottom w:val="single" w:sz="4" w:space="0" w:color="auto"/>
              <w:right w:val="single" w:sz="4" w:space="0" w:color="auto"/>
            </w:tcBorders>
            <w:shd w:val="clear" w:color="auto" w:fill="auto"/>
            <w:noWrap/>
            <w:vAlign w:val="center"/>
            <w:hideMark/>
          </w:tcPr>
          <w:p w14:paraId="79E3D3E4" w14:textId="77777777" w:rsidR="001328BB" w:rsidRPr="003F7F6C" w:rsidRDefault="001328BB" w:rsidP="008B171D">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   1,648,554 </w:t>
            </w:r>
          </w:p>
        </w:tc>
        <w:tc>
          <w:tcPr>
            <w:tcW w:w="992" w:type="dxa"/>
            <w:tcBorders>
              <w:top w:val="nil"/>
              <w:left w:val="nil"/>
              <w:bottom w:val="single" w:sz="4" w:space="0" w:color="auto"/>
              <w:right w:val="single" w:sz="4" w:space="0" w:color="auto"/>
            </w:tcBorders>
            <w:shd w:val="clear" w:color="auto" w:fill="auto"/>
            <w:noWrap/>
            <w:vAlign w:val="center"/>
            <w:hideMark/>
          </w:tcPr>
          <w:p w14:paraId="3444DA6C" w14:textId="77777777" w:rsidR="001328BB" w:rsidRPr="003F7F6C" w:rsidRDefault="001328BB" w:rsidP="008B171D">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   1,640,372 </w:t>
            </w:r>
          </w:p>
        </w:tc>
        <w:tc>
          <w:tcPr>
            <w:tcW w:w="1134" w:type="dxa"/>
            <w:tcBorders>
              <w:top w:val="nil"/>
              <w:left w:val="nil"/>
              <w:bottom w:val="single" w:sz="4" w:space="0" w:color="auto"/>
              <w:right w:val="single" w:sz="4" w:space="0" w:color="auto"/>
            </w:tcBorders>
            <w:shd w:val="clear" w:color="auto" w:fill="auto"/>
            <w:noWrap/>
            <w:vAlign w:val="center"/>
            <w:hideMark/>
          </w:tcPr>
          <w:p w14:paraId="507C402B" w14:textId="77777777" w:rsidR="001328BB" w:rsidRPr="003F7F6C" w:rsidRDefault="001328BB" w:rsidP="008B171D">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     8,995,434 </w:t>
            </w:r>
          </w:p>
        </w:tc>
      </w:tr>
      <w:tr w:rsidR="004341FD" w:rsidRPr="003F7F6C" w14:paraId="1442DFD9" w14:textId="77777777" w:rsidTr="00A925EE">
        <w:trPr>
          <w:trHeight w:val="280"/>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7BDD165B" w14:textId="77777777" w:rsidR="004341FD" w:rsidRPr="003F7F6C" w:rsidRDefault="004341FD" w:rsidP="004341FD">
            <w:pPr>
              <w:rPr>
                <w:rFonts w:eastAsia="Times New Roman" w:cs="Arial"/>
                <w:sz w:val="18"/>
                <w:szCs w:val="18"/>
                <w:lang w:val="es-PY" w:eastAsia="es-ES_tradnl"/>
              </w:rPr>
            </w:pPr>
            <w:r w:rsidRPr="003F7F6C">
              <w:rPr>
                <w:rFonts w:eastAsia="Times New Roman" w:cs="Arial"/>
                <w:sz w:val="18"/>
                <w:szCs w:val="18"/>
                <w:lang w:val="es-PY" w:eastAsia="es-ES_tradnl"/>
              </w:rPr>
              <w:t>SGAyDS</w:t>
            </w:r>
          </w:p>
        </w:tc>
        <w:tc>
          <w:tcPr>
            <w:tcW w:w="1134" w:type="dxa"/>
            <w:tcBorders>
              <w:top w:val="nil"/>
              <w:left w:val="nil"/>
              <w:bottom w:val="single" w:sz="4" w:space="0" w:color="auto"/>
              <w:right w:val="single" w:sz="4" w:space="0" w:color="auto"/>
            </w:tcBorders>
            <w:shd w:val="clear" w:color="auto" w:fill="auto"/>
            <w:noWrap/>
            <w:vAlign w:val="center"/>
            <w:hideMark/>
          </w:tcPr>
          <w:p w14:paraId="6BAF88C2" w14:textId="3FFE1535" w:rsidR="004341FD" w:rsidRPr="003F7F6C" w:rsidRDefault="004341FD" w:rsidP="004341FD">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    2,586,872 </w:t>
            </w:r>
          </w:p>
        </w:tc>
        <w:tc>
          <w:tcPr>
            <w:tcW w:w="1134" w:type="dxa"/>
            <w:tcBorders>
              <w:top w:val="nil"/>
              <w:left w:val="nil"/>
              <w:bottom w:val="single" w:sz="4" w:space="0" w:color="auto"/>
              <w:right w:val="single" w:sz="4" w:space="0" w:color="auto"/>
            </w:tcBorders>
            <w:shd w:val="clear" w:color="auto" w:fill="auto"/>
            <w:noWrap/>
            <w:hideMark/>
          </w:tcPr>
          <w:p w14:paraId="481E634D" w14:textId="1E67334C" w:rsidR="004341FD" w:rsidRPr="003F7F6C" w:rsidRDefault="004341FD" w:rsidP="004341FD">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    2,586,872 </w:t>
            </w:r>
          </w:p>
        </w:tc>
        <w:tc>
          <w:tcPr>
            <w:tcW w:w="1134" w:type="dxa"/>
            <w:tcBorders>
              <w:top w:val="nil"/>
              <w:left w:val="nil"/>
              <w:bottom w:val="single" w:sz="4" w:space="0" w:color="auto"/>
              <w:right w:val="single" w:sz="4" w:space="0" w:color="auto"/>
            </w:tcBorders>
            <w:shd w:val="clear" w:color="auto" w:fill="auto"/>
            <w:noWrap/>
            <w:hideMark/>
          </w:tcPr>
          <w:p w14:paraId="50D45F4F" w14:textId="269FF8DC" w:rsidR="004341FD" w:rsidRPr="003F7F6C" w:rsidRDefault="004341FD" w:rsidP="004341FD">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    2,586,872 </w:t>
            </w:r>
          </w:p>
        </w:tc>
        <w:tc>
          <w:tcPr>
            <w:tcW w:w="992" w:type="dxa"/>
            <w:tcBorders>
              <w:top w:val="nil"/>
              <w:left w:val="nil"/>
              <w:bottom w:val="single" w:sz="4" w:space="0" w:color="auto"/>
              <w:right w:val="single" w:sz="4" w:space="0" w:color="auto"/>
            </w:tcBorders>
            <w:shd w:val="clear" w:color="auto" w:fill="auto"/>
            <w:noWrap/>
            <w:hideMark/>
          </w:tcPr>
          <w:p w14:paraId="7E592779" w14:textId="072F9F80" w:rsidR="004341FD" w:rsidRPr="003F7F6C" w:rsidRDefault="004341FD" w:rsidP="004341FD">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   2,586,872 </w:t>
            </w:r>
          </w:p>
        </w:tc>
        <w:tc>
          <w:tcPr>
            <w:tcW w:w="993" w:type="dxa"/>
            <w:tcBorders>
              <w:top w:val="nil"/>
              <w:left w:val="nil"/>
              <w:bottom w:val="single" w:sz="4" w:space="0" w:color="auto"/>
              <w:right w:val="single" w:sz="4" w:space="0" w:color="auto"/>
            </w:tcBorders>
            <w:shd w:val="clear" w:color="auto" w:fill="auto"/>
            <w:noWrap/>
            <w:hideMark/>
          </w:tcPr>
          <w:p w14:paraId="3D4C3BA0" w14:textId="4906A3B4" w:rsidR="004341FD" w:rsidRPr="003F7F6C" w:rsidRDefault="004341FD" w:rsidP="004341FD">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   2,586,872 </w:t>
            </w:r>
          </w:p>
        </w:tc>
        <w:tc>
          <w:tcPr>
            <w:tcW w:w="992" w:type="dxa"/>
            <w:tcBorders>
              <w:top w:val="nil"/>
              <w:left w:val="nil"/>
              <w:bottom w:val="single" w:sz="4" w:space="0" w:color="auto"/>
              <w:right w:val="single" w:sz="4" w:space="0" w:color="auto"/>
            </w:tcBorders>
            <w:shd w:val="clear" w:color="auto" w:fill="auto"/>
            <w:noWrap/>
            <w:hideMark/>
          </w:tcPr>
          <w:p w14:paraId="30984DE8" w14:textId="1EC2FEB1" w:rsidR="004341FD" w:rsidRPr="003F7F6C" w:rsidRDefault="004341FD" w:rsidP="004341FD">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   2,586,872 </w:t>
            </w:r>
          </w:p>
        </w:tc>
        <w:tc>
          <w:tcPr>
            <w:tcW w:w="1134" w:type="dxa"/>
            <w:tcBorders>
              <w:top w:val="nil"/>
              <w:left w:val="nil"/>
              <w:bottom w:val="single" w:sz="4" w:space="0" w:color="auto"/>
              <w:right w:val="single" w:sz="4" w:space="0" w:color="auto"/>
            </w:tcBorders>
            <w:shd w:val="clear" w:color="auto" w:fill="auto"/>
            <w:noWrap/>
            <w:vAlign w:val="center"/>
            <w:hideMark/>
          </w:tcPr>
          <w:p w14:paraId="5DF17C85" w14:textId="1949A51B" w:rsidR="004341FD" w:rsidRPr="003F7F6C" w:rsidRDefault="004341FD" w:rsidP="004341FD">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   15,521,232 </w:t>
            </w:r>
          </w:p>
        </w:tc>
      </w:tr>
      <w:tr w:rsidR="00B848C3" w:rsidRPr="003F7F6C" w14:paraId="44F8E6C7" w14:textId="77777777" w:rsidTr="006F5BBE">
        <w:trPr>
          <w:trHeight w:val="300"/>
        </w:trPr>
        <w:tc>
          <w:tcPr>
            <w:tcW w:w="2410" w:type="dxa"/>
            <w:tcBorders>
              <w:top w:val="nil"/>
              <w:left w:val="single" w:sz="4" w:space="0" w:color="auto"/>
              <w:bottom w:val="single" w:sz="4" w:space="0" w:color="auto"/>
              <w:right w:val="single" w:sz="4" w:space="0" w:color="auto"/>
            </w:tcBorders>
            <w:shd w:val="clear" w:color="auto" w:fill="auto"/>
            <w:vAlign w:val="center"/>
            <w:hideMark/>
          </w:tcPr>
          <w:p w14:paraId="64924007" w14:textId="77777777" w:rsidR="00B848C3" w:rsidRPr="003F7F6C" w:rsidRDefault="00B848C3" w:rsidP="00B848C3">
            <w:pPr>
              <w:rPr>
                <w:rFonts w:eastAsia="Times New Roman" w:cs="Arial"/>
                <w:sz w:val="18"/>
                <w:szCs w:val="18"/>
                <w:lang w:val="es-PY" w:eastAsia="es-ES_tradnl"/>
              </w:rPr>
            </w:pPr>
            <w:r w:rsidRPr="003F7F6C">
              <w:rPr>
                <w:rFonts w:eastAsia="Times New Roman" w:cs="Arial"/>
                <w:sz w:val="18"/>
                <w:szCs w:val="18"/>
                <w:lang w:val="es-PY" w:eastAsia="es-ES_tradnl"/>
              </w:rPr>
              <w:t>INTA</w:t>
            </w:r>
          </w:p>
        </w:tc>
        <w:tc>
          <w:tcPr>
            <w:tcW w:w="1134" w:type="dxa"/>
            <w:tcBorders>
              <w:top w:val="nil"/>
              <w:left w:val="nil"/>
              <w:bottom w:val="single" w:sz="4" w:space="0" w:color="auto"/>
              <w:right w:val="single" w:sz="4" w:space="0" w:color="auto"/>
            </w:tcBorders>
            <w:shd w:val="clear" w:color="auto" w:fill="auto"/>
            <w:noWrap/>
            <w:vAlign w:val="center"/>
            <w:hideMark/>
          </w:tcPr>
          <w:p w14:paraId="59AF2F39" w14:textId="10A6A674" w:rsidR="00B848C3" w:rsidRPr="003F7F6C" w:rsidRDefault="00B848C3" w:rsidP="00B848C3">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1,023,333 </w:t>
            </w:r>
          </w:p>
        </w:tc>
        <w:tc>
          <w:tcPr>
            <w:tcW w:w="1134" w:type="dxa"/>
            <w:tcBorders>
              <w:top w:val="nil"/>
              <w:left w:val="nil"/>
              <w:bottom w:val="single" w:sz="4" w:space="0" w:color="auto"/>
              <w:right w:val="single" w:sz="4" w:space="0" w:color="auto"/>
            </w:tcBorders>
            <w:shd w:val="clear" w:color="auto" w:fill="auto"/>
            <w:noWrap/>
            <w:hideMark/>
          </w:tcPr>
          <w:p w14:paraId="30B38004" w14:textId="13F95AFC" w:rsidR="00B848C3" w:rsidRPr="003F7F6C" w:rsidRDefault="00B848C3" w:rsidP="00B848C3">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1,023,333 </w:t>
            </w:r>
          </w:p>
        </w:tc>
        <w:tc>
          <w:tcPr>
            <w:tcW w:w="1134" w:type="dxa"/>
            <w:tcBorders>
              <w:top w:val="nil"/>
              <w:left w:val="nil"/>
              <w:bottom w:val="single" w:sz="4" w:space="0" w:color="auto"/>
              <w:right w:val="single" w:sz="4" w:space="0" w:color="auto"/>
            </w:tcBorders>
            <w:shd w:val="clear" w:color="auto" w:fill="auto"/>
            <w:noWrap/>
            <w:hideMark/>
          </w:tcPr>
          <w:p w14:paraId="7142D8EA" w14:textId="0078A25E" w:rsidR="00B848C3" w:rsidRPr="003F7F6C" w:rsidRDefault="00B848C3" w:rsidP="00B848C3">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1,023,333 </w:t>
            </w:r>
          </w:p>
        </w:tc>
        <w:tc>
          <w:tcPr>
            <w:tcW w:w="992" w:type="dxa"/>
            <w:tcBorders>
              <w:top w:val="nil"/>
              <w:left w:val="nil"/>
              <w:bottom w:val="single" w:sz="4" w:space="0" w:color="auto"/>
              <w:right w:val="single" w:sz="4" w:space="0" w:color="auto"/>
            </w:tcBorders>
            <w:shd w:val="clear" w:color="auto" w:fill="auto"/>
            <w:noWrap/>
            <w:hideMark/>
          </w:tcPr>
          <w:p w14:paraId="2C888371" w14:textId="3A224E1C" w:rsidR="00B848C3" w:rsidRPr="003F7F6C" w:rsidRDefault="00B848C3" w:rsidP="00B848C3">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1,023,333 </w:t>
            </w:r>
          </w:p>
        </w:tc>
        <w:tc>
          <w:tcPr>
            <w:tcW w:w="993" w:type="dxa"/>
            <w:tcBorders>
              <w:top w:val="nil"/>
              <w:left w:val="nil"/>
              <w:bottom w:val="single" w:sz="4" w:space="0" w:color="auto"/>
              <w:right w:val="single" w:sz="4" w:space="0" w:color="auto"/>
            </w:tcBorders>
            <w:shd w:val="clear" w:color="auto" w:fill="auto"/>
            <w:noWrap/>
            <w:hideMark/>
          </w:tcPr>
          <w:p w14:paraId="0C275867" w14:textId="17E65DE7" w:rsidR="00B848C3" w:rsidRPr="003F7F6C" w:rsidRDefault="00B848C3" w:rsidP="00B848C3">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1,023,334 </w:t>
            </w:r>
          </w:p>
        </w:tc>
        <w:tc>
          <w:tcPr>
            <w:tcW w:w="992" w:type="dxa"/>
            <w:tcBorders>
              <w:top w:val="nil"/>
              <w:left w:val="nil"/>
              <w:bottom w:val="single" w:sz="4" w:space="0" w:color="auto"/>
              <w:right w:val="single" w:sz="4" w:space="0" w:color="auto"/>
            </w:tcBorders>
            <w:shd w:val="clear" w:color="auto" w:fill="auto"/>
            <w:noWrap/>
            <w:hideMark/>
          </w:tcPr>
          <w:p w14:paraId="5C770C6E" w14:textId="3EABBA65" w:rsidR="00B848C3" w:rsidRPr="003F7F6C" w:rsidRDefault="00B848C3" w:rsidP="00B848C3">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1,023,334 </w:t>
            </w:r>
          </w:p>
        </w:tc>
        <w:tc>
          <w:tcPr>
            <w:tcW w:w="1134" w:type="dxa"/>
            <w:tcBorders>
              <w:top w:val="nil"/>
              <w:left w:val="nil"/>
              <w:bottom w:val="single" w:sz="4" w:space="0" w:color="auto"/>
              <w:right w:val="single" w:sz="4" w:space="0" w:color="auto"/>
            </w:tcBorders>
            <w:shd w:val="clear" w:color="auto" w:fill="auto"/>
            <w:noWrap/>
            <w:vAlign w:val="center"/>
            <w:hideMark/>
          </w:tcPr>
          <w:p w14:paraId="5E24CDD2" w14:textId="1D056BD9" w:rsidR="00B848C3" w:rsidRPr="003F7F6C" w:rsidRDefault="00B848C3" w:rsidP="00B848C3">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     6,140,000 </w:t>
            </w:r>
          </w:p>
        </w:tc>
      </w:tr>
      <w:tr w:rsidR="001328BB" w:rsidRPr="003F7F6C" w14:paraId="3031D738" w14:textId="77777777" w:rsidTr="008B171D">
        <w:trPr>
          <w:trHeight w:val="300"/>
        </w:trPr>
        <w:tc>
          <w:tcPr>
            <w:tcW w:w="2410" w:type="dxa"/>
            <w:tcBorders>
              <w:top w:val="nil"/>
              <w:left w:val="single" w:sz="4" w:space="0" w:color="auto"/>
              <w:bottom w:val="single" w:sz="4" w:space="0" w:color="auto"/>
              <w:right w:val="single" w:sz="4" w:space="0" w:color="auto"/>
            </w:tcBorders>
            <w:shd w:val="clear" w:color="auto" w:fill="auto"/>
            <w:vAlign w:val="center"/>
            <w:hideMark/>
          </w:tcPr>
          <w:p w14:paraId="1BBA32F1" w14:textId="77777777" w:rsidR="001328BB" w:rsidRPr="003F7F6C" w:rsidRDefault="001328BB" w:rsidP="008B171D">
            <w:pPr>
              <w:rPr>
                <w:rFonts w:eastAsia="Times New Roman" w:cs="Arial"/>
                <w:sz w:val="18"/>
                <w:szCs w:val="18"/>
                <w:lang w:val="es-PY" w:eastAsia="es-ES_tradnl"/>
              </w:rPr>
            </w:pPr>
            <w:r w:rsidRPr="003F7F6C">
              <w:rPr>
                <w:rFonts w:eastAsia="Times New Roman" w:cs="Arial"/>
                <w:sz w:val="18"/>
                <w:szCs w:val="18"/>
                <w:lang w:val="es-PY" w:eastAsia="es-ES_tradnl"/>
              </w:rPr>
              <w:t>SAOT/Mendoza</w:t>
            </w:r>
          </w:p>
        </w:tc>
        <w:tc>
          <w:tcPr>
            <w:tcW w:w="1134" w:type="dxa"/>
            <w:tcBorders>
              <w:top w:val="nil"/>
              <w:left w:val="nil"/>
              <w:bottom w:val="single" w:sz="4" w:space="0" w:color="auto"/>
              <w:right w:val="single" w:sz="4" w:space="0" w:color="auto"/>
            </w:tcBorders>
            <w:shd w:val="clear" w:color="auto" w:fill="auto"/>
            <w:noWrap/>
            <w:vAlign w:val="center"/>
            <w:hideMark/>
          </w:tcPr>
          <w:p w14:paraId="51410870" w14:textId="77777777" w:rsidR="001328BB" w:rsidRPr="003F7F6C" w:rsidRDefault="001328BB" w:rsidP="008B171D">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    1,139,000 </w:t>
            </w:r>
          </w:p>
        </w:tc>
        <w:tc>
          <w:tcPr>
            <w:tcW w:w="1134" w:type="dxa"/>
            <w:tcBorders>
              <w:top w:val="nil"/>
              <w:left w:val="nil"/>
              <w:bottom w:val="single" w:sz="4" w:space="0" w:color="auto"/>
              <w:right w:val="single" w:sz="4" w:space="0" w:color="auto"/>
            </w:tcBorders>
            <w:shd w:val="clear" w:color="auto" w:fill="auto"/>
            <w:noWrap/>
            <w:vAlign w:val="center"/>
            <w:hideMark/>
          </w:tcPr>
          <w:p w14:paraId="46ED9611" w14:textId="77777777" w:rsidR="001328BB" w:rsidRPr="003F7F6C" w:rsidRDefault="001328BB" w:rsidP="008B171D">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     1,139,000 </w:t>
            </w:r>
          </w:p>
        </w:tc>
        <w:tc>
          <w:tcPr>
            <w:tcW w:w="1134" w:type="dxa"/>
            <w:tcBorders>
              <w:top w:val="nil"/>
              <w:left w:val="nil"/>
              <w:bottom w:val="single" w:sz="4" w:space="0" w:color="auto"/>
              <w:right w:val="single" w:sz="4" w:space="0" w:color="auto"/>
            </w:tcBorders>
            <w:shd w:val="clear" w:color="auto" w:fill="auto"/>
            <w:noWrap/>
            <w:vAlign w:val="center"/>
            <w:hideMark/>
          </w:tcPr>
          <w:p w14:paraId="23A2DACD" w14:textId="77777777" w:rsidR="001328BB" w:rsidRPr="003F7F6C" w:rsidRDefault="001328BB" w:rsidP="008B171D">
            <w:pPr>
              <w:jc w:val="left"/>
              <w:rPr>
                <w:rFonts w:eastAsia="Times New Roman" w:cs="Arial"/>
                <w:sz w:val="18"/>
                <w:szCs w:val="18"/>
                <w:lang w:val="es-PY" w:eastAsia="es-ES_tradnl"/>
              </w:rPr>
            </w:pPr>
            <w:r w:rsidRPr="003F7F6C">
              <w:rPr>
                <w:rFonts w:eastAsia="Times New Roman" w:cs="Arial"/>
                <w:sz w:val="18"/>
                <w:szCs w:val="18"/>
                <w:lang w:val="es-PY" w:eastAsia="es-ES_tradnl"/>
              </w:rPr>
              <w:t xml:space="preserve">      1,139,000 </w:t>
            </w:r>
          </w:p>
        </w:tc>
        <w:tc>
          <w:tcPr>
            <w:tcW w:w="992" w:type="dxa"/>
            <w:tcBorders>
              <w:top w:val="nil"/>
              <w:left w:val="nil"/>
              <w:bottom w:val="single" w:sz="4" w:space="0" w:color="auto"/>
              <w:right w:val="single" w:sz="4" w:space="0" w:color="auto"/>
            </w:tcBorders>
            <w:shd w:val="clear" w:color="auto" w:fill="auto"/>
            <w:noWrap/>
            <w:vAlign w:val="center"/>
            <w:hideMark/>
          </w:tcPr>
          <w:p w14:paraId="39B0AF08" w14:textId="77777777" w:rsidR="001328BB" w:rsidRPr="003F7F6C" w:rsidRDefault="001328BB" w:rsidP="008B171D">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   1,139,000 </w:t>
            </w:r>
          </w:p>
        </w:tc>
        <w:tc>
          <w:tcPr>
            <w:tcW w:w="993" w:type="dxa"/>
            <w:tcBorders>
              <w:top w:val="nil"/>
              <w:left w:val="nil"/>
              <w:bottom w:val="single" w:sz="4" w:space="0" w:color="auto"/>
              <w:right w:val="single" w:sz="4" w:space="0" w:color="auto"/>
            </w:tcBorders>
            <w:shd w:val="clear" w:color="auto" w:fill="auto"/>
            <w:noWrap/>
            <w:vAlign w:val="center"/>
            <w:hideMark/>
          </w:tcPr>
          <w:p w14:paraId="4A37A776" w14:textId="77777777" w:rsidR="001328BB" w:rsidRPr="003F7F6C" w:rsidRDefault="001328BB" w:rsidP="008B171D">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   1,139,000 </w:t>
            </w:r>
          </w:p>
        </w:tc>
        <w:tc>
          <w:tcPr>
            <w:tcW w:w="992" w:type="dxa"/>
            <w:tcBorders>
              <w:top w:val="nil"/>
              <w:left w:val="nil"/>
              <w:bottom w:val="single" w:sz="4" w:space="0" w:color="auto"/>
              <w:right w:val="single" w:sz="4" w:space="0" w:color="auto"/>
            </w:tcBorders>
            <w:shd w:val="clear" w:color="auto" w:fill="auto"/>
            <w:noWrap/>
            <w:vAlign w:val="center"/>
            <w:hideMark/>
          </w:tcPr>
          <w:p w14:paraId="542046BD" w14:textId="77777777" w:rsidR="001328BB" w:rsidRPr="003F7F6C" w:rsidRDefault="001328BB" w:rsidP="008B171D">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   1,138,332 </w:t>
            </w:r>
          </w:p>
        </w:tc>
        <w:tc>
          <w:tcPr>
            <w:tcW w:w="1134" w:type="dxa"/>
            <w:tcBorders>
              <w:top w:val="nil"/>
              <w:left w:val="nil"/>
              <w:bottom w:val="single" w:sz="4" w:space="0" w:color="auto"/>
              <w:right w:val="single" w:sz="4" w:space="0" w:color="auto"/>
            </w:tcBorders>
            <w:shd w:val="clear" w:color="auto" w:fill="auto"/>
            <w:noWrap/>
            <w:vAlign w:val="center"/>
            <w:hideMark/>
          </w:tcPr>
          <w:p w14:paraId="75469793" w14:textId="77777777" w:rsidR="001328BB" w:rsidRPr="003F7F6C" w:rsidRDefault="001328BB" w:rsidP="008B171D">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      6,833,332 </w:t>
            </w:r>
          </w:p>
        </w:tc>
      </w:tr>
      <w:tr w:rsidR="004341FD" w:rsidRPr="003F7F6C" w14:paraId="296CBC2D" w14:textId="77777777" w:rsidTr="00A925EE">
        <w:trPr>
          <w:trHeight w:val="480"/>
        </w:trPr>
        <w:tc>
          <w:tcPr>
            <w:tcW w:w="2410" w:type="dxa"/>
            <w:tcBorders>
              <w:top w:val="nil"/>
              <w:left w:val="single" w:sz="4" w:space="0" w:color="auto"/>
              <w:bottom w:val="single" w:sz="4" w:space="0" w:color="auto"/>
              <w:right w:val="single" w:sz="4" w:space="0" w:color="auto"/>
            </w:tcBorders>
            <w:shd w:val="clear" w:color="auto" w:fill="auto"/>
            <w:vAlign w:val="center"/>
            <w:hideMark/>
          </w:tcPr>
          <w:p w14:paraId="031A39B8" w14:textId="77777777" w:rsidR="004341FD" w:rsidRPr="003F7F6C" w:rsidRDefault="004341FD" w:rsidP="004341FD">
            <w:pPr>
              <w:rPr>
                <w:rFonts w:eastAsia="Times New Roman" w:cs="Arial"/>
                <w:sz w:val="18"/>
                <w:szCs w:val="18"/>
                <w:lang w:val="es-PY" w:eastAsia="es-ES_tradnl"/>
              </w:rPr>
            </w:pPr>
            <w:r w:rsidRPr="003F7F6C">
              <w:rPr>
                <w:rFonts w:eastAsia="Times New Roman" w:cs="Arial"/>
                <w:sz w:val="18"/>
                <w:szCs w:val="18"/>
                <w:lang w:val="es-PY" w:eastAsia="es-ES_tradnl"/>
              </w:rPr>
              <w:t>Ministry of Environment/Jujuy</w:t>
            </w:r>
          </w:p>
        </w:tc>
        <w:tc>
          <w:tcPr>
            <w:tcW w:w="1134" w:type="dxa"/>
            <w:tcBorders>
              <w:top w:val="nil"/>
              <w:left w:val="nil"/>
              <w:bottom w:val="single" w:sz="4" w:space="0" w:color="auto"/>
              <w:right w:val="single" w:sz="4" w:space="0" w:color="auto"/>
            </w:tcBorders>
            <w:shd w:val="clear" w:color="auto" w:fill="auto"/>
            <w:noWrap/>
            <w:vAlign w:val="center"/>
            <w:hideMark/>
          </w:tcPr>
          <w:p w14:paraId="2024E811" w14:textId="65565EDD" w:rsidR="004341FD" w:rsidRPr="003F7F6C" w:rsidRDefault="004341FD" w:rsidP="004341FD">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252,017 </w:t>
            </w:r>
          </w:p>
        </w:tc>
        <w:tc>
          <w:tcPr>
            <w:tcW w:w="1134" w:type="dxa"/>
            <w:tcBorders>
              <w:top w:val="nil"/>
              <w:left w:val="nil"/>
              <w:bottom w:val="single" w:sz="4" w:space="0" w:color="auto"/>
              <w:right w:val="single" w:sz="4" w:space="0" w:color="auto"/>
            </w:tcBorders>
            <w:shd w:val="clear" w:color="auto" w:fill="auto"/>
            <w:noWrap/>
            <w:hideMark/>
          </w:tcPr>
          <w:p w14:paraId="42E78BB3" w14:textId="0C63E0F9" w:rsidR="004341FD" w:rsidRPr="003F7F6C" w:rsidRDefault="004341FD" w:rsidP="009E244A">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252,017 </w:t>
            </w:r>
          </w:p>
        </w:tc>
        <w:tc>
          <w:tcPr>
            <w:tcW w:w="1134" w:type="dxa"/>
            <w:tcBorders>
              <w:top w:val="nil"/>
              <w:left w:val="nil"/>
              <w:bottom w:val="single" w:sz="4" w:space="0" w:color="auto"/>
              <w:right w:val="single" w:sz="4" w:space="0" w:color="auto"/>
            </w:tcBorders>
            <w:shd w:val="clear" w:color="auto" w:fill="auto"/>
            <w:noWrap/>
            <w:hideMark/>
          </w:tcPr>
          <w:p w14:paraId="47E7335C" w14:textId="72825119" w:rsidR="004341FD" w:rsidRPr="003F7F6C" w:rsidRDefault="004341FD" w:rsidP="004341FD">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252,017 </w:t>
            </w:r>
          </w:p>
        </w:tc>
        <w:tc>
          <w:tcPr>
            <w:tcW w:w="992" w:type="dxa"/>
            <w:tcBorders>
              <w:top w:val="nil"/>
              <w:left w:val="nil"/>
              <w:bottom w:val="single" w:sz="4" w:space="0" w:color="auto"/>
              <w:right w:val="single" w:sz="4" w:space="0" w:color="auto"/>
            </w:tcBorders>
            <w:shd w:val="clear" w:color="auto" w:fill="auto"/>
            <w:noWrap/>
            <w:hideMark/>
          </w:tcPr>
          <w:p w14:paraId="0BAA2864" w14:textId="7863CCBF" w:rsidR="004341FD" w:rsidRPr="003F7F6C" w:rsidRDefault="004341FD" w:rsidP="004341FD">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252,017 </w:t>
            </w:r>
          </w:p>
        </w:tc>
        <w:tc>
          <w:tcPr>
            <w:tcW w:w="993" w:type="dxa"/>
            <w:tcBorders>
              <w:top w:val="nil"/>
              <w:left w:val="nil"/>
              <w:bottom w:val="single" w:sz="4" w:space="0" w:color="auto"/>
              <w:right w:val="single" w:sz="4" w:space="0" w:color="auto"/>
            </w:tcBorders>
            <w:shd w:val="clear" w:color="auto" w:fill="auto"/>
            <w:noWrap/>
            <w:hideMark/>
          </w:tcPr>
          <w:p w14:paraId="19DC413F" w14:textId="67753D2E" w:rsidR="004341FD" w:rsidRPr="003F7F6C" w:rsidRDefault="004341FD" w:rsidP="004341FD">
            <w:pPr>
              <w:jc w:val="right"/>
              <w:rPr>
                <w:rFonts w:eastAsia="Times New Roman" w:cs="Arial"/>
                <w:sz w:val="18"/>
                <w:szCs w:val="18"/>
                <w:lang w:val="es-PY" w:eastAsia="es-ES_tradnl"/>
              </w:rPr>
            </w:pPr>
            <w:r w:rsidRPr="003F7F6C">
              <w:rPr>
                <w:rFonts w:eastAsia="Times New Roman" w:cs="Arial"/>
                <w:sz w:val="18"/>
                <w:szCs w:val="18"/>
                <w:lang w:val="es-PY" w:eastAsia="es-ES_tradnl"/>
              </w:rPr>
              <w:t>252,01</w:t>
            </w:r>
            <w:r w:rsidR="009E244A" w:rsidRPr="003F7F6C">
              <w:rPr>
                <w:rFonts w:eastAsia="Times New Roman" w:cs="Arial"/>
                <w:sz w:val="18"/>
                <w:szCs w:val="18"/>
                <w:lang w:val="es-PY" w:eastAsia="es-ES_tradnl"/>
              </w:rPr>
              <w:t>8</w:t>
            </w:r>
            <w:r w:rsidRPr="003F7F6C">
              <w:rPr>
                <w:rFonts w:eastAsia="Times New Roman" w:cs="Arial"/>
                <w:sz w:val="18"/>
                <w:szCs w:val="18"/>
                <w:lang w:val="es-PY" w:eastAsia="es-ES_tradnl"/>
              </w:rPr>
              <w:t xml:space="preserve"> </w:t>
            </w:r>
          </w:p>
        </w:tc>
        <w:tc>
          <w:tcPr>
            <w:tcW w:w="992" w:type="dxa"/>
            <w:tcBorders>
              <w:top w:val="nil"/>
              <w:left w:val="nil"/>
              <w:bottom w:val="single" w:sz="4" w:space="0" w:color="auto"/>
              <w:right w:val="single" w:sz="4" w:space="0" w:color="auto"/>
            </w:tcBorders>
            <w:shd w:val="clear" w:color="auto" w:fill="auto"/>
            <w:noWrap/>
            <w:hideMark/>
          </w:tcPr>
          <w:p w14:paraId="31BFDB37" w14:textId="2DABA5F8" w:rsidR="004341FD" w:rsidRPr="003F7F6C" w:rsidRDefault="004341FD" w:rsidP="004341FD">
            <w:pPr>
              <w:jc w:val="right"/>
              <w:rPr>
                <w:rFonts w:eastAsia="Times New Roman" w:cs="Arial"/>
                <w:sz w:val="18"/>
                <w:szCs w:val="18"/>
                <w:lang w:val="es-PY" w:eastAsia="es-ES_tradnl"/>
              </w:rPr>
            </w:pPr>
            <w:r w:rsidRPr="003F7F6C">
              <w:rPr>
                <w:rFonts w:eastAsia="Times New Roman" w:cs="Arial"/>
                <w:sz w:val="18"/>
                <w:szCs w:val="18"/>
                <w:lang w:val="es-PY" w:eastAsia="es-ES_tradnl"/>
              </w:rPr>
              <w:t>252,01</w:t>
            </w:r>
            <w:r w:rsidR="009E244A" w:rsidRPr="003F7F6C">
              <w:rPr>
                <w:rFonts w:eastAsia="Times New Roman" w:cs="Arial"/>
                <w:sz w:val="18"/>
                <w:szCs w:val="18"/>
                <w:lang w:val="es-PY" w:eastAsia="es-ES_tradnl"/>
              </w:rPr>
              <w:t>8</w:t>
            </w:r>
            <w:r w:rsidRPr="003F7F6C">
              <w:rPr>
                <w:rFonts w:eastAsia="Times New Roman" w:cs="Arial"/>
                <w:sz w:val="18"/>
                <w:szCs w:val="18"/>
                <w:lang w:val="es-PY" w:eastAsia="es-ES_tradnl"/>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84991D7" w14:textId="3D822791" w:rsidR="004341FD" w:rsidRPr="003F7F6C" w:rsidRDefault="004341FD" w:rsidP="004341FD">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     </w:t>
            </w:r>
            <w:r w:rsidR="009E244A" w:rsidRPr="003F7F6C">
              <w:rPr>
                <w:rFonts w:eastAsia="Times New Roman" w:cs="Arial"/>
                <w:sz w:val="18"/>
                <w:szCs w:val="18"/>
                <w:lang w:val="es-PY" w:eastAsia="es-ES_tradnl"/>
              </w:rPr>
              <w:t>1,512,104</w:t>
            </w:r>
            <w:r w:rsidRPr="003F7F6C">
              <w:rPr>
                <w:rFonts w:eastAsia="Times New Roman" w:cs="Arial"/>
                <w:sz w:val="18"/>
                <w:szCs w:val="18"/>
                <w:lang w:val="es-PY" w:eastAsia="es-ES_tradnl"/>
              </w:rPr>
              <w:t xml:space="preserve"> </w:t>
            </w:r>
          </w:p>
        </w:tc>
      </w:tr>
      <w:tr w:rsidR="001328BB" w:rsidRPr="003F7F6C" w14:paraId="16B8B341" w14:textId="77777777" w:rsidTr="008B171D">
        <w:trPr>
          <w:trHeight w:val="300"/>
        </w:trPr>
        <w:tc>
          <w:tcPr>
            <w:tcW w:w="2410" w:type="dxa"/>
            <w:tcBorders>
              <w:top w:val="nil"/>
              <w:left w:val="single" w:sz="4" w:space="0" w:color="auto"/>
              <w:bottom w:val="single" w:sz="4" w:space="0" w:color="auto"/>
              <w:right w:val="single" w:sz="4" w:space="0" w:color="auto"/>
            </w:tcBorders>
            <w:shd w:val="clear" w:color="auto" w:fill="auto"/>
            <w:vAlign w:val="center"/>
            <w:hideMark/>
          </w:tcPr>
          <w:p w14:paraId="4B7BC05F" w14:textId="77777777" w:rsidR="001328BB" w:rsidRPr="003F7F6C" w:rsidRDefault="001328BB" w:rsidP="008B171D">
            <w:pPr>
              <w:rPr>
                <w:rFonts w:eastAsia="Times New Roman" w:cs="Arial"/>
                <w:sz w:val="18"/>
                <w:szCs w:val="18"/>
                <w:lang w:val="es-PY" w:eastAsia="es-ES_tradnl"/>
              </w:rPr>
            </w:pPr>
            <w:r w:rsidRPr="003F7F6C">
              <w:rPr>
                <w:rFonts w:eastAsia="Times New Roman" w:cs="Arial"/>
                <w:sz w:val="18"/>
                <w:szCs w:val="18"/>
                <w:lang w:val="es-PY" w:eastAsia="es-ES_tradnl"/>
              </w:rPr>
              <w:t>OPDS/Buenos Aires</w:t>
            </w:r>
          </w:p>
        </w:tc>
        <w:tc>
          <w:tcPr>
            <w:tcW w:w="1134" w:type="dxa"/>
            <w:tcBorders>
              <w:top w:val="nil"/>
              <w:left w:val="nil"/>
              <w:bottom w:val="single" w:sz="4" w:space="0" w:color="auto"/>
              <w:right w:val="single" w:sz="4" w:space="0" w:color="auto"/>
            </w:tcBorders>
            <w:shd w:val="clear" w:color="auto" w:fill="auto"/>
            <w:noWrap/>
            <w:vAlign w:val="center"/>
            <w:hideMark/>
          </w:tcPr>
          <w:p w14:paraId="658FD4ED" w14:textId="77777777" w:rsidR="001328BB" w:rsidRPr="003F7F6C" w:rsidRDefault="001328BB" w:rsidP="008B171D">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    1,139,000 </w:t>
            </w:r>
          </w:p>
        </w:tc>
        <w:tc>
          <w:tcPr>
            <w:tcW w:w="1134" w:type="dxa"/>
            <w:tcBorders>
              <w:top w:val="nil"/>
              <w:left w:val="nil"/>
              <w:bottom w:val="single" w:sz="4" w:space="0" w:color="auto"/>
              <w:right w:val="single" w:sz="4" w:space="0" w:color="auto"/>
            </w:tcBorders>
            <w:shd w:val="clear" w:color="auto" w:fill="auto"/>
            <w:noWrap/>
            <w:vAlign w:val="center"/>
            <w:hideMark/>
          </w:tcPr>
          <w:p w14:paraId="59E86ED3" w14:textId="77777777" w:rsidR="001328BB" w:rsidRPr="003F7F6C" w:rsidRDefault="001328BB" w:rsidP="008B171D">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      1,139,000 </w:t>
            </w:r>
          </w:p>
        </w:tc>
        <w:tc>
          <w:tcPr>
            <w:tcW w:w="1134" w:type="dxa"/>
            <w:tcBorders>
              <w:top w:val="nil"/>
              <w:left w:val="nil"/>
              <w:bottom w:val="single" w:sz="4" w:space="0" w:color="auto"/>
              <w:right w:val="single" w:sz="4" w:space="0" w:color="auto"/>
            </w:tcBorders>
            <w:shd w:val="clear" w:color="auto" w:fill="auto"/>
            <w:noWrap/>
            <w:vAlign w:val="center"/>
            <w:hideMark/>
          </w:tcPr>
          <w:p w14:paraId="44F06F9E" w14:textId="77777777" w:rsidR="001328BB" w:rsidRPr="003F7F6C" w:rsidRDefault="001328BB" w:rsidP="008B171D">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     1,139,000 </w:t>
            </w:r>
          </w:p>
        </w:tc>
        <w:tc>
          <w:tcPr>
            <w:tcW w:w="992" w:type="dxa"/>
            <w:tcBorders>
              <w:top w:val="nil"/>
              <w:left w:val="nil"/>
              <w:bottom w:val="single" w:sz="4" w:space="0" w:color="auto"/>
              <w:right w:val="single" w:sz="4" w:space="0" w:color="auto"/>
            </w:tcBorders>
            <w:shd w:val="clear" w:color="auto" w:fill="auto"/>
            <w:noWrap/>
            <w:vAlign w:val="center"/>
            <w:hideMark/>
          </w:tcPr>
          <w:p w14:paraId="56F6C781" w14:textId="77777777" w:rsidR="001328BB" w:rsidRPr="003F7F6C" w:rsidRDefault="001328BB" w:rsidP="008B171D">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   1,139,000 </w:t>
            </w:r>
          </w:p>
        </w:tc>
        <w:tc>
          <w:tcPr>
            <w:tcW w:w="993" w:type="dxa"/>
            <w:tcBorders>
              <w:top w:val="nil"/>
              <w:left w:val="nil"/>
              <w:bottom w:val="single" w:sz="4" w:space="0" w:color="auto"/>
              <w:right w:val="single" w:sz="4" w:space="0" w:color="auto"/>
            </w:tcBorders>
            <w:shd w:val="clear" w:color="auto" w:fill="auto"/>
            <w:noWrap/>
            <w:vAlign w:val="center"/>
            <w:hideMark/>
          </w:tcPr>
          <w:p w14:paraId="5450882A" w14:textId="77777777" w:rsidR="001328BB" w:rsidRPr="003F7F6C" w:rsidRDefault="001328BB" w:rsidP="008B171D">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   1,139,000 </w:t>
            </w:r>
          </w:p>
        </w:tc>
        <w:tc>
          <w:tcPr>
            <w:tcW w:w="992" w:type="dxa"/>
            <w:tcBorders>
              <w:top w:val="nil"/>
              <w:left w:val="nil"/>
              <w:bottom w:val="single" w:sz="4" w:space="0" w:color="auto"/>
              <w:right w:val="single" w:sz="4" w:space="0" w:color="auto"/>
            </w:tcBorders>
            <w:shd w:val="clear" w:color="auto" w:fill="auto"/>
            <w:noWrap/>
            <w:vAlign w:val="center"/>
            <w:hideMark/>
          </w:tcPr>
          <w:p w14:paraId="3084871B" w14:textId="77777777" w:rsidR="001328BB" w:rsidRPr="003F7F6C" w:rsidRDefault="001328BB" w:rsidP="008B171D">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   1,138,332 </w:t>
            </w:r>
          </w:p>
        </w:tc>
        <w:tc>
          <w:tcPr>
            <w:tcW w:w="1134" w:type="dxa"/>
            <w:tcBorders>
              <w:top w:val="nil"/>
              <w:left w:val="nil"/>
              <w:bottom w:val="single" w:sz="4" w:space="0" w:color="auto"/>
              <w:right w:val="single" w:sz="4" w:space="0" w:color="auto"/>
            </w:tcBorders>
            <w:shd w:val="clear" w:color="auto" w:fill="auto"/>
            <w:noWrap/>
            <w:vAlign w:val="center"/>
            <w:hideMark/>
          </w:tcPr>
          <w:p w14:paraId="673FD419" w14:textId="77777777" w:rsidR="001328BB" w:rsidRPr="003F7F6C" w:rsidRDefault="001328BB" w:rsidP="008B171D">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      6,833,332 </w:t>
            </w:r>
          </w:p>
        </w:tc>
      </w:tr>
      <w:tr w:rsidR="009E244A" w:rsidRPr="003F7F6C" w14:paraId="1C6F1996" w14:textId="77777777" w:rsidTr="00A925EE">
        <w:trPr>
          <w:trHeight w:val="280"/>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46C174DE" w14:textId="77777777" w:rsidR="009E244A" w:rsidRPr="003F7F6C" w:rsidRDefault="009E244A" w:rsidP="009E244A">
            <w:pPr>
              <w:jc w:val="left"/>
              <w:rPr>
                <w:rFonts w:eastAsia="Times New Roman" w:cs="Arial"/>
                <w:sz w:val="18"/>
                <w:szCs w:val="18"/>
                <w:lang w:val="es-PY" w:eastAsia="es-ES_tradnl"/>
              </w:rPr>
            </w:pPr>
            <w:r w:rsidRPr="003F7F6C">
              <w:rPr>
                <w:rFonts w:eastAsia="Times New Roman" w:cs="Arial"/>
                <w:sz w:val="18"/>
                <w:szCs w:val="18"/>
                <w:lang w:val="es-PY" w:eastAsia="es-ES_tradnl"/>
              </w:rPr>
              <w:t>CONICET</w:t>
            </w:r>
          </w:p>
        </w:tc>
        <w:tc>
          <w:tcPr>
            <w:tcW w:w="1134" w:type="dxa"/>
            <w:tcBorders>
              <w:top w:val="nil"/>
              <w:left w:val="nil"/>
              <w:bottom w:val="single" w:sz="4" w:space="0" w:color="auto"/>
              <w:right w:val="single" w:sz="4" w:space="0" w:color="auto"/>
            </w:tcBorders>
            <w:shd w:val="clear" w:color="auto" w:fill="auto"/>
            <w:noWrap/>
            <w:vAlign w:val="center"/>
            <w:hideMark/>
          </w:tcPr>
          <w:p w14:paraId="06AD4198" w14:textId="27DFD4BD" w:rsidR="009E244A" w:rsidRPr="003F7F6C" w:rsidRDefault="009E244A" w:rsidP="009E244A">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833,333 </w:t>
            </w:r>
          </w:p>
        </w:tc>
        <w:tc>
          <w:tcPr>
            <w:tcW w:w="1134" w:type="dxa"/>
            <w:tcBorders>
              <w:top w:val="nil"/>
              <w:left w:val="nil"/>
              <w:bottom w:val="single" w:sz="4" w:space="0" w:color="auto"/>
              <w:right w:val="single" w:sz="4" w:space="0" w:color="auto"/>
            </w:tcBorders>
            <w:shd w:val="clear" w:color="auto" w:fill="auto"/>
            <w:noWrap/>
            <w:hideMark/>
          </w:tcPr>
          <w:p w14:paraId="3FBA08A2" w14:textId="641F6A55" w:rsidR="009E244A" w:rsidRPr="003F7F6C" w:rsidRDefault="009E244A" w:rsidP="009E244A">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833,333 </w:t>
            </w:r>
          </w:p>
        </w:tc>
        <w:tc>
          <w:tcPr>
            <w:tcW w:w="1134" w:type="dxa"/>
            <w:tcBorders>
              <w:top w:val="nil"/>
              <w:left w:val="nil"/>
              <w:bottom w:val="single" w:sz="4" w:space="0" w:color="auto"/>
              <w:right w:val="single" w:sz="4" w:space="0" w:color="auto"/>
            </w:tcBorders>
            <w:shd w:val="clear" w:color="auto" w:fill="auto"/>
            <w:noWrap/>
            <w:hideMark/>
          </w:tcPr>
          <w:p w14:paraId="5EEA1354" w14:textId="2907DE71" w:rsidR="009E244A" w:rsidRPr="003F7F6C" w:rsidRDefault="009E244A" w:rsidP="009E244A">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833,333 </w:t>
            </w:r>
          </w:p>
        </w:tc>
        <w:tc>
          <w:tcPr>
            <w:tcW w:w="992" w:type="dxa"/>
            <w:tcBorders>
              <w:top w:val="nil"/>
              <w:left w:val="nil"/>
              <w:bottom w:val="single" w:sz="4" w:space="0" w:color="auto"/>
              <w:right w:val="single" w:sz="4" w:space="0" w:color="auto"/>
            </w:tcBorders>
            <w:shd w:val="clear" w:color="auto" w:fill="auto"/>
            <w:noWrap/>
            <w:hideMark/>
          </w:tcPr>
          <w:p w14:paraId="54F46D9B" w14:textId="0576D887" w:rsidR="009E244A" w:rsidRPr="003F7F6C" w:rsidRDefault="009E244A" w:rsidP="009E244A">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833,333 </w:t>
            </w:r>
          </w:p>
        </w:tc>
        <w:tc>
          <w:tcPr>
            <w:tcW w:w="993" w:type="dxa"/>
            <w:tcBorders>
              <w:top w:val="nil"/>
              <w:left w:val="nil"/>
              <w:bottom w:val="single" w:sz="4" w:space="0" w:color="auto"/>
              <w:right w:val="single" w:sz="4" w:space="0" w:color="auto"/>
            </w:tcBorders>
            <w:shd w:val="clear" w:color="auto" w:fill="auto"/>
            <w:noWrap/>
            <w:hideMark/>
          </w:tcPr>
          <w:p w14:paraId="401DC952" w14:textId="25A20AB8" w:rsidR="009E244A" w:rsidRPr="003F7F6C" w:rsidRDefault="009E244A" w:rsidP="009E244A">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833,334 </w:t>
            </w:r>
          </w:p>
        </w:tc>
        <w:tc>
          <w:tcPr>
            <w:tcW w:w="992" w:type="dxa"/>
            <w:tcBorders>
              <w:top w:val="nil"/>
              <w:left w:val="nil"/>
              <w:bottom w:val="single" w:sz="4" w:space="0" w:color="auto"/>
              <w:right w:val="single" w:sz="4" w:space="0" w:color="auto"/>
            </w:tcBorders>
            <w:shd w:val="clear" w:color="auto" w:fill="auto"/>
            <w:noWrap/>
            <w:hideMark/>
          </w:tcPr>
          <w:p w14:paraId="51C12BD9" w14:textId="1944063C" w:rsidR="009E244A" w:rsidRPr="003F7F6C" w:rsidRDefault="009E244A" w:rsidP="009E244A">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833,334 </w:t>
            </w:r>
          </w:p>
        </w:tc>
        <w:tc>
          <w:tcPr>
            <w:tcW w:w="1134" w:type="dxa"/>
            <w:tcBorders>
              <w:top w:val="nil"/>
              <w:left w:val="nil"/>
              <w:bottom w:val="single" w:sz="4" w:space="0" w:color="auto"/>
              <w:right w:val="single" w:sz="4" w:space="0" w:color="auto"/>
            </w:tcBorders>
            <w:shd w:val="clear" w:color="auto" w:fill="auto"/>
            <w:noWrap/>
            <w:vAlign w:val="center"/>
            <w:hideMark/>
          </w:tcPr>
          <w:p w14:paraId="7ABC1499" w14:textId="5ADF10CB" w:rsidR="009E244A" w:rsidRPr="003F7F6C" w:rsidRDefault="009E244A" w:rsidP="009E244A">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      5,000,000 </w:t>
            </w:r>
          </w:p>
        </w:tc>
      </w:tr>
      <w:tr w:rsidR="009E244A" w:rsidRPr="003F7F6C" w14:paraId="09327EBA" w14:textId="77777777" w:rsidTr="00A925EE">
        <w:trPr>
          <w:trHeight w:val="280"/>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6D354776" w14:textId="77777777" w:rsidR="009E244A" w:rsidRPr="003F7F6C" w:rsidRDefault="009E244A" w:rsidP="009E244A">
            <w:pPr>
              <w:jc w:val="left"/>
              <w:rPr>
                <w:rFonts w:eastAsia="Times New Roman" w:cs="Arial"/>
                <w:sz w:val="18"/>
                <w:szCs w:val="18"/>
                <w:lang w:val="es-PY" w:eastAsia="es-ES_tradnl"/>
              </w:rPr>
            </w:pPr>
            <w:r w:rsidRPr="003F7F6C">
              <w:rPr>
                <w:rFonts w:eastAsia="Times New Roman" w:cs="Arial"/>
                <w:sz w:val="18"/>
                <w:szCs w:val="18"/>
                <w:lang w:val="es-PY" w:eastAsia="es-ES_tradnl"/>
              </w:rPr>
              <w:t xml:space="preserve">INAI </w:t>
            </w:r>
          </w:p>
        </w:tc>
        <w:tc>
          <w:tcPr>
            <w:tcW w:w="1134" w:type="dxa"/>
            <w:tcBorders>
              <w:top w:val="nil"/>
              <w:left w:val="nil"/>
              <w:bottom w:val="single" w:sz="4" w:space="0" w:color="auto"/>
              <w:right w:val="single" w:sz="4" w:space="0" w:color="auto"/>
            </w:tcBorders>
            <w:shd w:val="clear" w:color="auto" w:fill="auto"/>
            <w:noWrap/>
            <w:vAlign w:val="center"/>
            <w:hideMark/>
          </w:tcPr>
          <w:p w14:paraId="30036E02" w14:textId="6C503868" w:rsidR="009E244A" w:rsidRPr="003F7F6C" w:rsidRDefault="009E244A" w:rsidP="009E244A">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        58,333 </w:t>
            </w:r>
          </w:p>
        </w:tc>
        <w:tc>
          <w:tcPr>
            <w:tcW w:w="1134" w:type="dxa"/>
            <w:tcBorders>
              <w:top w:val="nil"/>
              <w:left w:val="nil"/>
              <w:bottom w:val="single" w:sz="4" w:space="0" w:color="auto"/>
              <w:right w:val="single" w:sz="4" w:space="0" w:color="auto"/>
            </w:tcBorders>
            <w:shd w:val="clear" w:color="auto" w:fill="auto"/>
            <w:noWrap/>
            <w:hideMark/>
          </w:tcPr>
          <w:p w14:paraId="0EA00B30" w14:textId="5497BDD9" w:rsidR="009E244A" w:rsidRPr="003F7F6C" w:rsidRDefault="009E244A" w:rsidP="009E244A">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58,333 </w:t>
            </w:r>
          </w:p>
        </w:tc>
        <w:tc>
          <w:tcPr>
            <w:tcW w:w="1134" w:type="dxa"/>
            <w:tcBorders>
              <w:top w:val="nil"/>
              <w:left w:val="nil"/>
              <w:bottom w:val="single" w:sz="4" w:space="0" w:color="auto"/>
              <w:right w:val="single" w:sz="4" w:space="0" w:color="auto"/>
            </w:tcBorders>
            <w:shd w:val="clear" w:color="auto" w:fill="auto"/>
            <w:noWrap/>
            <w:hideMark/>
          </w:tcPr>
          <w:p w14:paraId="2CD9D65A" w14:textId="2CF42FA1" w:rsidR="009E244A" w:rsidRPr="003F7F6C" w:rsidRDefault="009E244A" w:rsidP="009E244A">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58,333 </w:t>
            </w:r>
          </w:p>
        </w:tc>
        <w:tc>
          <w:tcPr>
            <w:tcW w:w="992" w:type="dxa"/>
            <w:tcBorders>
              <w:top w:val="nil"/>
              <w:left w:val="nil"/>
              <w:bottom w:val="single" w:sz="4" w:space="0" w:color="auto"/>
              <w:right w:val="single" w:sz="4" w:space="0" w:color="auto"/>
            </w:tcBorders>
            <w:shd w:val="clear" w:color="auto" w:fill="auto"/>
            <w:noWrap/>
            <w:hideMark/>
          </w:tcPr>
          <w:p w14:paraId="3C011117" w14:textId="16BA1095" w:rsidR="009E244A" w:rsidRPr="003F7F6C" w:rsidRDefault="009E244A" w:rsidP="009E244A">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58,333 </w:t>
            </w:r>
          </w:p>
        </w:tc>
        <w:tc>
          <w:tcPr>
            <w:tcW w:w="993" w:type="dxa"/>
            <w:tcBorders>
              <w:top w:val="nil"/>
              <w:left w:val="nil"/>
              <w:bottom w:val="single" w:sz="4" w:space="0" w:color="auto"/>
              <w:right w:val="single" w:sz="4" w:space="0" w:color="auto"/>
            </w:tcBorders>
            <w:shd w:val="clear" w:color="auto" w:fill="auto"/>
            <w:noWrap/>
            <w:hideMark/>
          </w:tcPr>
          <w:p w14:paraId="0FF96365" w14:textId="5E751FA6" w:rsidR="009E244A" w:rsidRPr="003F7F6C" w:rsidRDefault="009E244A" w:rsidP="009E244A">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58,334 </w:t>
            </w:r>
          </w:p>
        </w:tc>
        <w:tc>
          <w:tcPr>
            <w:tcW w:w="992" w:type="dxa"/>
            <w:tcBorders>
              <w:top w:val="nil"/>
              <w:left w:val="nil"/>
              <w:bottom w:val="single" w:sz="4" w:space="0" w:color="auto"/>
              <w:right w:val="single" w:sz="4" w:space="0" w:color="auto"/>
            </w:tcBorders>
            <w:shd w:val="clear" w:color="auto" w:fill="auto"/>
            <w:noWrap/>
            <w:hideMark/>
          </w:tcPr>
          <w:p w14:paraId="6D66CA78" w14:textId="5668ED06" w:rsidR="009E244A" w:rsidRPr="003F7F6C" w:rsidRDefault="009E244A" w:rsidP="009E244A">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58,334 </w:t>
            </w:r>
          </w:p>
        </w:tc>
        <w:tc>
          <w:tcPr>
            <w:tcW w:w="1134" w:type="dxa"/>
            <w:tcBorders>
              <w:top w:val="nil"/>
              <w:left w:val="nil"/>
              <w:bottom w:val="single" w:sz="4" w:space="0" w:color="auto"/>
              <w:right w:val="single" w:sz="4" w:space="0" w:color="auto"/>
            </w:tcBorders>
            <w:shd w:val="clear" w:color="auto" w:fill="auto"/>
            <w:noWrap/>
            <w:vAlign w:val="center"/>
            <w:hideMark/>
          </w:tcPr>
          <w:p w14:paraId="1B7240F4" w14:textId="1BB545DD" w:rsidR="009E244A" w:rsidRPr="003F7F6C" w:rsidRDefault="009E244A" w:rsidP="009E244A">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      350,000 </w:t>
            </w:r>
          </w:p>
        </w:tc>
      </w:tr>
      <w:tr w:rsidR="001328BB" w:rsidRPr="003F7F6C" w14:paraId="37F771FE" w14:textId="77777777" w:rsidTr="008B171D">
        <w:trPr>
          <w:trHeight w:val="296"/>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71344DE1" w14:textId="77777777" w:rsidR="001328BB" w:rsidRPr="003F7F6C" w:rsidRDefault="001328BB" w:rsidP="008B171D">
            <w:pPr>
              <w:jc w:val="left"/>
              <w:rPr>
                <w:rFonts w:eastAsia="Times New Roman" w:cs="Arial"/>
                <w:sz w:val="18"/>
                <w:szCs w:val="18"/>
                <w:lang w:val="es-PY" w:eastAsia="es-ES_tradnl"/>
              </w:rPr>
            </w:pPr>
            <w:r w:rsidRPr="003F7F6C">
              <w:rPr>
                <w:rFonts w:eastAsia="Times New Roman" w:cs="Arial"/>
                <w:sz w:val="18"/>
                <w:szCs w:val="18"/>
                <w:lang w:val="es-PY" w:eastAsia="es-ES_tradnl"/>
              </w:rPr>
              <w:t>UNDP</w:t>
            </w:r>
          </w:p>
        </w:tc>
        <w:tc>
          <w:tcPr>
            <w:tcW w:w="1134" w:type="dxa"/>
            <w:tcBorders>
              <w:top w:val="nil"/>
              <w:left w:val="nil"/>
              <w:bottom w:val="single" w:sz="4" w:space="0" w:color="auto"/>
              <w:right w:val="single" w:sz="4" w:space="0" w:color="auto"/>
            </w:tcBorders>
            <w:shd w:val="clear" w:color="auto" w:fill="auto"/>
            <w:noWrap/>
            <w:vAlign w:val="center"/>
            <w:hideMark/>
          </w:tcPr>
          <w:p w14:paraId="7E9CA64C" w14:textId="77777777" w:rsidR="001328BB" w:rsidRPr="003F7F6C" w:rsidRDefault="001328BB" w:rsidP="008B171D">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           33,334 </w:t>
            </w:r>
          </w:p>
        </w:tc>
        <w:tc>
          <w:tcPr>
            <w:tcW w:w="1134" w:type="dxa"/>
            <w:tcBorders>
              <w:top w:val="nil"/>
              <w:left w:val="nil"/>
              <w:bottom w:val="single" w:sz="4" w:space="0" w:color="auto"/>
              <w:right w:val="single" w:sz="4" w:space="0" w:color="auto"/>
            </w:tcBorders>
            <w:shd w:val="clear" w:color="auto" w:fill="auto"/>
            <w:noWrap/>
            <w:vAlign w:val="center"/>
            <w:hideMark/>
          </w:tcPr>
          <w:p w14:paraId="5AA4B1A9" w14:textId="77777777" w:rsidR="001328BB" w:rsidRPr="003F7F6C" w:rsidRDefault="001328BB" w:rsidP="008B171D">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            33,334 </w:t>
            </w:r>
          </w:p>
        </w:tc>
        <w:tc>
          <w:tcPr>
            <w:tcW w:w="1134" w:type="dxa"/>
            <w:tcBorders>
              <w:top w:val="nil"/>
              <w:left w:val="nil"/>
              <w:bottom w:val="single" w:sz="4" w:space="0" w:color="auto"/>
              <w:right w:val="single" w:sz="4" w:space="0" w:color="auto"/>
            </w:tcBorders>
            <w:shd w:val="clear" w:color="auto" w:fill="auto"/>
            <w:noWrap/>
            <w:vAlign w:val="center"/>
            <w:hideMark/>
          </w:tcPr>
          <w:p w14:paraId="7B408A91" w14:textId="77777777" w:rsidR="001328BB" w:rsidRPr="003F7F6C" w:rsidRDefault="001328BB" w:rsidP="008B171D">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            33,333 </w:t>
            </w:r>
          </w:p>
        </w:tc>
        <w:tc>
          <w:tcPr>
            <w:tcW w:w="992" w:type="dxa"/>
            <w:tcBorders>
              <w:top w:val="nil"/>
              <w:left w:val="nil"/>
              <w:bottom w:val="single" w:sz="4" w:space="0" w:color="auto"/>
              <w:right w:val="single" w:sz="4" w:space="0" w:color="auto"/>
            </w:tcBorders>
            <w:shd w:val="clear" w:color="auto" w:fill="auto"/>
            <w:noWrap/>
            <w:vAlign w:val="center"/>
            <w:hideMark/>
          </w:tcPr>
          <w:p w14:paraId="7610C546" w14:textId="77777777" w:rsidR="001328BB" w:rsidRPr="003F7F6C" w:rsidRDefault="001328BB" w:rsidP="008B171D">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        33,333 </w:t>
            </w:r>
          </w:p>
        </w:tc>
        <w:tc>
          <w:tcPr>
            <w:tcW w:w="993" w:type="dxa"/>
            <w:tcBorders>
              <w:top w:val="nil"/>
              <w:left w:val="nil"/>
              <w:bottom w:val="single" w:sz="4" w:space="0" w:color="auto"/>
              <w:right w:val="single" w:sz="4" w:space="0" w:color="auto"/>
            </w:tcBorders>
            <w:shd w:val="clear" w:color="auto" w:fill="auto"/>
            <w:noWrap/>
            <w:vAlign w:val="center"/>
            <w:hideMark/>
          </w:tcPr>
          <w:p w14:paraId="7C6CFE25" w14:textId="77777777" w:rsidR="001328BB" w:rsidRPr="003F7F6C" w:rsidRDefault="001328BB" w:rsidP="008B171D">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        33,333 </w:t>
            </w:r>
          </w:p>
        </w:tc>
        <w:tc>
          <w:tcPr>
            <w:tcW w:w="992" w:type="dxa"/>
            <w:tcBorders>
              <w:top w:val="nil"/>
              <w:left w:val="nil"/>
              <w:bottom w:val="single" w:sz="4" w:space="0" w:color="auto"/>
              <w:right w:val="single" w:sz="4" w:space="0" w:color="auto"/>
            </w:tcBorders>
            <w:shd w:val="clear" w:color="auto" w:fill="auto"/>
            <w:noWrap/>
            <w:vAlign w:val="center"/>
            <w:hideMark/>
          </w:tcPr>
          <w:p w14:paraId="7C5ECB0C" w14:textId="77777777" w:rsidR="001328BB" w:rsidRPr="003F7F6C" w:rsidRDefault="001328BB" w:rsidP="008B171D">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        33,333 </w:t>
            </w:r>
          </w:p>
        </w:tc>
        <w:tc>
          <w:tcPr>
            <w:tcW w:w="1134" w:type="dxa"/>
            <w:tcBorders>
              <w:top w:val="nil"/>
              <w:left w:val="nil"/>
              <w:bottom w:val="single" w:sz="4" w:space="0" w:color="auto"/>
              <w:right w:val="single" w:sz="4" w:space="0" w:color="auto"/>
            </w:tcBorders>
            <w:shd w:val="clear" w:color="auto" w:fill="auto"/>
            <w:noWrap/>
            <w:vAlign w:val="center"/>
            <w:hideMark/>
          </w:tcPr>
          <w:p w14:paraId="5BA08411" w14:textId="77777777" w:rsidR="001328BB" w:rsidRPr="003F7F6C" w:rsidRDefault="001328BB" w:rsidP="008B171D">
            <w:pPr>
              <w:jc w:val="right"/>
              <w:rPr>
                <w:rFonts w:eastAsia="Times New Roman" w:cs="Arial"/>
                <w:sz w:val="18"/>
                <w:szCs w:val="18"/>
                <w:lang w:val="es-PY" w:eastAsia="es-ES_tradnl"/>
              </w:rPr>
            </w:pPr>
            <w:r w:rsidRPr="003F7F6C">
              <w:rPr>
                <w:rFonts w:eastAsia="Times New Roman" w:cs="Arial"/>
                <w:sz w:val="18"/>
                <w:szCs w:val="18"/>
                <w:lang w:val="es-PY" w:eastAsia="es-ES_tradnl"/>
              </w:rPr>
              <w:t xml:space="preserve">         200,000 </w:t>
            </w:r>
          </w:p>
        </w:tc>
      </w:tr>
      <w:tr w:rsidR="001328BB" w:rsidRPr="003F7F6C" w14:paraId="774340C2" w14:textId="77777777" w:rsidTr="008B171D">
        <w:trPr>
          <w:trHeight w:val="280"/>
        </w:trPr>
        <w:tc>
          <w:tcPr>
            <w:tcW w:w="2410" w:type="dxa"/>
            <w:tcBorders>
              <w:top w:val="nil"/>
              <w:left w:val="single" w:sz="4" w:space="0" w:color="auto"/>
              <w:bottom w:val="single" w:sz="4" w:space="0" w:color="auto"/>
              <w:right w:val="single" w:sz="4" w:space="0" w:color="auto"/>
            </w:tcBorders>
            <w:shd w:val="clear" w:color="auto" w:fill="D9D9D9" w:themeFill="background1" w:themeFillShade="D9"/>
            <w:noWrap/>
            <w:vAlign w:val="bottom"/>
            <w:hideMark/>
          </w:tcPr>
          <w:p w14:paraId="2ADCF3BE" w14:textId="77777777" w:rsidR="001328BB" w:rsidRPr="003F7F6C" w:rsidRDefault="001328BB" w:rsidP="008B171D">
            <w:pPr>
              <w:rPr>
                <w:rFonts w:eastAsia="Times New Roman" w:cs="Arial"/>
                <w:sz w:val="18"/>
                <w:szCs w:val="18"/>
                <w:lang w:val="es-PY" w:eastAsia="es-ES_tradnl"/>
              </w:rPr>
            </w:pPr>
            <w:r w:rsidRPr="003F7F6C">
              <w:rPr>
                <w:rFonts w:eastAsia="Times New Roman" w:cs="Arial"/>
                <w:sz w:val="18"/>
                <w:szCs w:val="18"/>
                <w:lang w:val="es-PY" w:eastAsia="es-ES_tradnl"/>
              </w:rPr>
              <w:t>Total</w:t>
            </w:r>
          </w:p>
        </w:tc>
        <w:tc>
          <w:tcPr>
            <w:tcW w:w="1134" w:type="dxa"/>
            <w:tcBorders>
              <w:top w:val="nil"/>
              <w:left w:val="nil"/>
              <w:bottom w:val="single" w:sz="4" w:space="0" w:color="auto"/>
              <w:right w:val="single" w:sz="4" w:space="0" w:color="auto"/>
            </w:tcBorders>
            <w:shd w:val="clear" w:color="auto" w:fill="D9D9D9" w:themeFill="background1" w:themeFillShade="D9"/>
            <w:noWrap/>
            <w:vAlign w:val="center"/>
            <w:hideMark/>
          </w:tcPr>
          <w:p w14:paraId="797F8B06" w14:textId="5CB9ABE1" w:rsidR="001328BB" w:rsidRPr="003F7F6C" w:rsidRDefault="00B848C3" w:rsidP="008B171D">
            <w:pPr>
              <w:jc w:val="right"/>
              <w:rPr>
                <w:rFonts w:eastAsia="Times New Roman" w:cs="Arial"/>
                <w:b/>
                <w:bCs/>
                <w:sz w:val="18"/>
                <w:szCs w:val="18"/>
                <w:lang w:val="es-PY" w:eastAsia="es-ES_tradnl"/>
              </w:rPr>
            </w:pPr>
            <w:r w:rsidRPr="003F7F6C">
              <w:rPr>
                <w:rFonts w:eastAsia="Times New Roman" w:cs="Arial"/>
                <w:b/>
                <w:bCs/>
                <w:sz w:val="18"/>
                <w:szCs w:val="18"/>
                <w:lang w:val="es-PY" w:eastAsia="es-ES_tradnl"/>
              </w:rPr>
              <w:t>7,894,518</w:t>
            </w:r>
          </w:p>
        </w:tc>
        <w:tc>
          <w:tcPr>
            <w:tcW w:w="1134" w:type="dxa"/>
            <w:tcBorders>
              <w:top w:val="nil"/>
              <w:left w:val="nil"/>
              <w:bottom w:val="single" w:sz="4" w:space="0" w:color="auto"/>
              <w:right w:val="single" w:sz="4" w:space="0" w:color="auto"/>
            </w:tcBorders>
            <w:shd w:val="clear" w:color="auto" w:fill="D9D9D9" w:themeFill="background1" w:themeFillShade="D9"/>
            <w:noWrap/>
            <w:vAlign w:val="center"/>
            <w:hideMark/>
          </w:tcPr>
          <w:p w14:paraId="2D055E91" w14:textId="7197D324" w:rsidR="001328BB" w:rsidRPr="003F7F6C" w:rsidRDefault="00B848C3" w:rsidP="008B171D">
            <w:pPr>
              <w:jc w:val="right"/>
              <w:rPr>
                <w:rFonts w:eastAsia="Times New Roman" w:cs="Arial"/>
                <w:b/>
                <w:bCs/>
                <w:sz w:val="18"/>
                <w:szCs w:val="18"/>
                <w:lang w:val="es-PY" w:eastAsia="es-ES_tradnl"/>
              </w:rPr>
            </w:pPr>
            <w:r w:rsidRPr="003F7F6C">
              <w:rPr>
                <w:rFonts w:eastAsia="Times New Roman" w:cs="Arial"/>
                <w:b/>
                <w:bCs/>
                <w:sz w:val="18"/>
                <w:szCs w:val="18"/>
                <w:lang w:val="es-PY" w:eastAsia="es-ES_tradnl"/>
              </w:rPr>
              <w:t>8,632,567</w:t>
            </w:r>
            <w:r w:rsidR="001328BB" w:rsidRPr="003F7F6C">
              <w:rPr>
                <w:rFonts w:eastAsia="Times New Roman" w:cs="Arial"/>
                <w:b/>
                <w:bCs/>
                <w:sz w:val="18"/>
                <w:szCs w:val="18"/>
                <w:lang w:val="es-PY" w:eastAsia="es-ES_tradnl"/>
              </w:rPr>
              <w:t xml:space="preserve"> </w:t>
            </w:r>
          </w:p>
        </w:tc>
        <w:tc>
          <w:tcPr>
            <w:tcW w:w="1134" w:type="dxa"/>
            <w:tcBorders>
              <w:top w:val="nil"/>
              <w:left w:val="nil"/>
              <w:bottom w:val="single" w:sz="4" w:space="0" w:color="auto"/>
              <w:right w:val="single" w:sz="4" w:space="0" w:color="auto"/>
            </w:tcBorders>
            <w:shd w:val="clear" w:color="auto" w:fill="D9D9D9" w:themeFill="background1" w:themeFillShade="D9"/>
            <w:noWrap/>
            <w:vAlign w:val="center"/>
            <w:hideMark/>
          </w:tcPr>
          <w:p w14:paraId="42099E0B" w14:textId="13DA593A" w:rsidR="001328BB" w:rsidRPr="003F7F6C" w:rsidRDefault="00B848C3" w:rsidP="008B171D">
            <w:pPr>
              <w:jc w:val="right"/>
              <w:rPr>
                <w:rFonts w:eastAsia="Times New Roman" w:cs="Arial"/>
                <w:b/>
                <w:bCs/>
                <w:sz w:val="18"/>
                <w:szCs w:val="18"/>
                <w:lang w:val="es-PY" w:eastAsia="es-ES_tradnl"/>
              </w:rPr>
            </w:pPr>
            <w:r w:rsidRPr="003F7F6C">
              <w:rPr>
                <w:rFonts w:eastAsia="Times New Roman" w:cs="Arial"/>
                <w:b/>
                <w:bCs/>
                <w:sz w:val="18"/>
                <w:szCs w:val="18"/>
                <w:lang w:val="es-PY" w:eastAsia="es-ES_tradnl"/>
              </w:rPr>
              <w:t>8,673,884</w:t>
            </w:r>
            <w:r w:rsidR="001328BB" w:rsidRPr="003F7F6C">
              <w:rPr>
                <w:rFonts w:eastAsia="Times New Roman" w:cs="Arial"/>
                <w:b/>
                <w:bCs/>
                <w:sz w:val="18"/>
                <w:szCs w:val="18"/>
                <w:lang w:val="es-PY" w:eastAsia="es-ES_tradnl"/>
              </w:rPr>
              <w:t xml:space="preserve"> </w:t>
            </w:r>
          </w:p>
        </w:tc>
        <w:tc>
          <w:tcPr>
            <w:tcW w:w="992" w:type="dxa"/>
            <w:tcBorders>
              <w:top w:val="nil"/>
              <w:left w:val="nil"/>
              <w:bottom w:val="single" w:sz="4" w:space="0" w:color="auto"/>
              <w:right w:val="single" w:sz="4" w:space="0" w:color="auto"/>
            </w:tcBorders>
            <w:shd w:val="clear" w:color="auto" w:fill="D9D9D9" w:themeFill="background1" w:themeFillShade="D9"/>
            <w:noWrap/>
            <w:vAlign w:val="center"/>
            <w:hideMark/>
          </w:tcPr>
          <w:p w14:paraId="0600DCC6" w14:textId="0C496E30" w:rsidR="001328BB" w:rsidRPr="003F7F6C" w:rsidRDefault="001328BB" w:rsidP="008B171D">
            <w:pPr>
              <w:jc w:val="right"/>
              <w:rPr>
                <w:rFonts w:eastAsia="Times New Roman" w:cs="Arial"/>
                <w:b/>
                <w:bCs/>
                <w:sz w:val="18"/>
                <w:szCs w:val="18"/>
                <w:lang w:val="es-PY" w:eastAsia="es-ES_tradnl"/>
              </w:rPr>
            </w:pPr>
            <w:r w:rsidRPr="003F7F6C">
              <w:rPr>
                <w:rFonts w:eastAsia="Times New Roman" w:cs="Arial"/>
                <w:b/>
                <w:bCs/>
                <w:sz w:val="18"/>
                <w:szCs w:val="18"/>
                <w:lang w:val="es-PY" w:eastAsia="es-ES_tradnl"/>
              </w:rPr>
              <w:t xml:space="preserve"> </w:t>
            </w:r>
            <w:r w:rsidR="00B848C3" w:rsidRPr="003F7F6C">
              <w:rPr>
                <w:rFonts w:eastAsia="Times New Roman" w:cs="Arial"/>
                <w:b/>
                <w:bCs/>
                <w:sz w:val="18"/>
                <w:szCs w:val="18"/>
                <w:lang w:val="es-PY" w:eastAsia="es-ES_tradnl"/>
              </w:rPr>
              <w:t>8,766,425</w:t>
            </w:r>
            <w:r w:rsidRPr="003F7F6C">
              <w:rPr>
                <w:rFonts w:eastAsia="Times New Roman" w:cs="Arial"/>
                <w:b/>
                <w:bCs/>
                <w:sz w:val="18"/>
                <w:szCs w:val="18"/>
                <w:lang w:val="es-PY" w:eastAsia="es-ES_tradnl"/>
              </w:rPr>
              <w:t xml:space="preserve"> </w:t>
            </w:r>
          </w:p>
        </w:tc>
        <w:tc>
          <w:tcPr>
            <w:tcW w:w="993" w:type="dxa"/>
            <w:tcBorders>
              <w:top w:val="nil"/>
              <w:left w:val="nil"/>
              <w:bottom w:val="single" w:sz="4" w:space="0" w:color="auto"/>
              <w:right w:val="single" w:sz="4" w:space="0" w:color="auto"/>
            </w:tcBorders>
            <w:shd w:val="clear" w:color="auto" w:fill="D9D9D9" w:themeFill="background1" w:themeFillShade="D9"/>
            <w:noWrap/>
            <w:vAlign w:val="center"/>
            <w:hideMark/>
          </w:tcPr>
          <w:p w14:paraId="6A22440F" w14:textId="0AE74F07" w:rsidR="001328BB" w:rsidRPr="003F7F6C" w:rsidRDefault="00B848C3" w:rsidP="008B171D">
            <w:pPr>
              <w:jc w:val="right"/>
              <w:rPr>
                <w:rFonts w:eastAsia="Times New Roman" w:cs="Arial"/>
                <w:b/>
                <w:bCs/>
                <w:sz w:val="18"/>
                <w:szCs w:val="18"/>
                <w:lang w:val="es-PY" w:eastAsia="es-ES_tradnl"/>
              </w:rPr>
            </w:pPr>
            <w:r w:rsidRPr="003F7F6C">
              <w:rPr>
                <w:rFonts w:eastAsia="Times New Roman" w:cs="Arial"/>
                <w:b/>
                <w:bCs/>
                <w:sz w:val="18"/>
                <w:szCs w:val="18"/>
                <w:lang w:val="es-PY" w:eastAsia="es-ES_tradnl"/>
              </w:rPr>
              <w:t>8,713,779</w:t>
            </w:r>
            <w:r w:rsidR="001328BB" w:rsidRPr="003F7F6C">
              <w:rPr>
                <w:rFonts w:eastAsia="Times New Roman" w:cs="Arial"/>
                <w:b/>
                <w:bCs/>
                <w:sz w:val="18"/>
                <w:szCs w:val="18"/>
                <w:lang w:val="es-PY" w:eastAsia="es-ES_tradnl"/>
              </w:rPr>
              <w:t xml:space="preserve"> </w:t>
            </w:r>
          </w:p>
        </w:tc>
        <w:tc>
          <w:tcPr>
            <w:tcW w:w="992" w:type="dxa"/>
            <w:tcBorders>
              <w:top w:val="nil"/>
              <w:left w:val="nil"/>
              <w:bottom w:val="single" w:sz="4" w:space="0" w:color="auto"/>
              <w:right w:val="single" w:sz="4" w:space="0" w:color="auto"/>
            </w:tcBorders>
            <w:shd w:val="clear" w:color="auto" w:fill="D9D9D9" w:themeFill="background1" w:themeFillShade="D9"/>
            <w:noWrap/>
            <w:vAlign w:val="center"/>
            <w:hideMark/>
          </w:tcPr>
          <w:p w14:paraId="3F99F321" w14:textId="4FC54C54" w:rsidR="001328BB" w:rsidRPr="003F7F6C" w:rsidRDefault="001328BB" w:rsidP="008B171D">
            <w:pPr>
              <w:jc w:val="right"/>
              <w:rPr>
                <w:rFonts w:eastAsia="Times New Roman" w:cs="Arial"/>
                <w:b/>
                <w:bCs/>
                <w:sz w:val="18"/>
                <w:szCs w:val="18"/>
                <w:lang w:val="es-PY" w:eastAsia="es-ES_tradnl"/>
              </w:rPr>
            </w:pPr>
            <w:r w:rsidRPr="003F7F6C">
              <w:rPr>
                <w:rFonts w:eastAsia="Times New Roman" w:cs="Arial"/>
                <w:b/>
                <w:bCs/>
                <w:sz w:val="18"/>
                <w:szCs w:val="18"/>
                <w:lang w:val="es-PY" w:eastAsia="es-ES_tradnl"/>
              </w:rPr>
              <w:t xml:space="preserve">  </w:t>
            </w:r>
            <w:r w:rsidR="00B848C3" w:rsidRPr="003F7F6C">
              <w:rPr>
                <w:rFonts w:eastAsia="Times New Roman" w:cs="Arial"/>
                <w:b/>
                <w:bCs/>
                <w:sz w:val="18"/>
                <w:szCs w:val="18"/>
                <w:lang w:val="es-PY" w:eastAsia="es-ES_tradnl"/>
              </w:rPr>
              <w:t>8,704,261</w:t>
            </w:r>
            <w:r w:rsidRPr="003F7F6C">
              <w:rPr>
                <w:rFonts w:eastAsia="Times New Roman" w:cs="Arial"/>
                <w:b/>
                <w:bCs/>
                <w:sz w:val="18"/>
                <w:szCs w:val="18"/>
                <w:lang w:val="es-PY" w:eastAsia="es-ES_tradnl"/>
              </w:rPr>
              <w:t xml:space="preserve"> </w:t>
            </w:r>
          </w:p>
        </w:tc>
        <w:tc>
          <w:tcPr>
            <w:tcW w:w="1134" w:type="dxa"/>
            <w:tcBorders>
              <w:top w:val="nil"/>
              <w:left w:val="nil"/>
              <w:bottom w:val="single" w:sz="4" w:space="0" w:color="auto"/>
              <w:right w:val="single" w:sz="4" w:space="0" w:color="auto"/>
            </w:tcBorders>
            <w:shd w:val="clear" w:color="auto" w:fill="D9D9D9" w:themeFill="background1" w:themeFillShade="D9"/>
            <w:noWrap/>
            <w:vAlign w:val="center"/>
            <w:hideMark/>
          </w:tcPr>
          <w:p w14:paraId="10110040" w14:textId="5D862CEA" w:rsidR="001328BB" w:rsidRPr="003F7F6C" w:rsidRDefault="001328BB" w:rsidP="008B171D">
            <w:pPr>
              <w:jc w:val="right"/>
              <w:rPr>
                <w:rFonts w:eastAsia="Times New Roman" w:cs="Arial"/>
                <w:b/>
                <w:bCs/>
                <w:sz w:val="18"/>
                <w:szCs w:val="18"/>
                <w:lang w:val="es-PY" w:eastAsia="es-ES_tradnl"/>
              </w:rPr>
            </w:pPr>
            <w:r w:rsidRPr="003F7F6C">
              <w:rPr>
                <w:rFonts w:eastAsia="Times New Roman" w:cs="Arial"/>
                <w:b/>
                <w:bCs/>
                <w:sz w:val="18"/>
                <w:szCs w:val="18"/>
                <w:lang w:val="es-PY" w:eastAsia="es-ES_tradnl"/>
              </w:rPr>
              <w:t xml:space="preserve">    </w:t>
            </w:r>
            <w:r w:rsidR="00B848C3" w:rsidRPr="003F7F6C">
              <w:rPr>
                <w:rFonts w:eastAsia="Times New Roman" w:cs="Arial"/>
                <w:b/>
                <w:bCs/>
                <w:sz w:val="18"/>
                <w:szCs w:val="18"/>
                <w:lang w:val="es-PY" w:eastAsia="es-ES_tradnl"/>
              </w:rPr>
              <w:t>51,385,434</w:t>
            </w:r>
            <w:r w:rsidRPr="003F7F6C">
              <w:rPr>
                <w:rFonts w:eastAsia="Times New Roman" w:cs="Arial"/>
                <w:b/>
                <w:bCs/>
                <w:sz w:val="18"/>
                <w:szCs w:val="18"/>
                <w:lang w:val="es-PY" w:eastAsia="es-ES_tradnl"/>
              </w:rPr>
              <w:t xml:space="preserve"> </w:t>
            </w:r>
          </w:p>
        </w:tc>
      </w:tr>
    </w:tbl>
    <w:p w14:paraId="6A184471" w14:textId="77777777" w:rsidR="001328BB" w:rsidRPr="003F7F6C" w:rsidRDefault="001328BB" w:rsidP="001328BB">
      <w:pPr>
        <w:rPr>
          <w:b/>
          <w:szCs w:val="22"/>
        </w:rPr>
      </w:pPr>
    </w:p>
    <w:p w14:paraId="08CB03A6" w14:textId="3B578F72" w:rsidR="00805D4C" w:rsidRPr="003F7F6C" w:rsidRDefault="00805D4C" w:rsidP="003B2A79">
      <w:pPr>
        <w:rPr>
          <w:rFonts w:ascii="Times New Roman" w:hAnsi="Times New Roman"/>
          <w:sz w:val="18"/>
          <w:szCs w:val="18"/>
        </w:rPr>
      </w:pPr>
    </w:p>
    <w:p w14:paraId="558A3622" w14:textId="77777777" w:rsidR="001328BB" w:rsidRPr="003F7F6C" w:rsidRDefault="001328BB" w:rsidP="003B2A79">
      <w:pPr>
        <w:rPr>
          <w:b/>
          <w:szCs w:val="22"/>
        </w:rPr>
        <w:sectPr w:rsidR="001328BB" w:rsidRPr="003F7F6C" w:rsidSect="0096798B">
          <w:pgSz w:w="15840" w:h="12240" w:orient="landscape" w:code="1"/>
          <w:pgMar w:top="1440" w:right="1440" w:bottom="1440" w:left="1440" w:header="720" w:footer="720" w:gutter="0"/>
          <w:cols w:space="720"/>
          <w:docGrid w:linePitch="360"/>
        </w:sectPr>
      </w:pPr>
    </w:p>
    <w:p w14:paraId="690A6262" w14:textId="40068788" w:rsidR="005C526E" w:rsidRPr="003F7F6C" w:rsidRDefault="005C526E" w:rsidP="003B2A79">
      <w:pPr>
        <w:rPr>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3"/>
        <w:gridCol w:w="11717"/>
      </w:tblGrid>
      <w:tr w:rsidR="005C526E" w:rsidRPr="003F7F6C" w14:paraId="76B8EE0D" w14:textId="77777777" w:rsidTr="009A700C">
        <w:trPr>
          <w:tblHeader/>
        </w:trPr>
        <w:tc>
          <w:tcPr>
            <w:tcW w:w="1233" w:type="dxa"/>
            <w:shd w:val="clear" w:color="auto" w:fill="auto"/>
          </w:tcPr>
          <w:p w14:paraId="4E6D4981" w14:textId="77777777" w:rsidR="005C526E" w:rsidRPr="003F7F6C" w:rsidRDefault="00E507CB" w:rsidP="00DF4BF7">
            <w:pPr>
              <w:spacing w:after="0"/>
              <w:jc w:val="left"/>
              <w:rPr>
                <w:b/>
                <w:szCs w:val="22"/>
              </w:rPr>
            </w:pPr>
            <w:r w:rsidRPr="003F7F6C">
              <w:rPr>
                <w:b/>
                <w:szCs w:val="22"/>
              </w:rPr>
              <w:t>Budget note number</w:t>
            </w:r>
          </w:p>
        </w:tc>
        <w:tc>
          <w:tcPr>
            <w:tcW w:w="11717" w:type="dxa"/>
            <w:shd w:val="clear" w:color="auto" w:fill="auto"/>
          </w:tcPr>
          <w:p w14:paraId="51A9B606" w14:textId="77777777" w:rsidR="005C526E" w:rsidRPr="003F7F6C" w:rsidRDefault="005C526E" w:rsidP="00DF4BF7">
            <w:pPr>
              <w:spacing w:after="0"/>
              <w:rPr>
                <w:b/>
                <w:szCs w:val="22"/>
              </w:rPr>
            </w:pPr>
            <w:r w:rsidRPr="003F7F6C">
              <w:rPr>
                <w:b/>
                <w:szCs w:val="22"/>
              </w:rPr>
              <w:t>Comments</w:t>
            </w:r>
          </w:p>
        </w:tc>
      </w:tr>
      <w:tr w:rsidR="00A23EC8" w:rsidRPr="003F7F6C" w14:paraId="767C1466" w14:textId="77777777" w:rsidTr="009A700C">
        <w:tc>
          <w:tcPr>
            <w:tcW w:w="12950" w:type="dxa"/>
            <w:gridSpan w:val="2"/>
            <w:shd w:val="clear" w:color="auto" w:fill="D9D9D9"/>
          </w:tcPr>
          <w:p w14:paraId="2F915BD0" w14:textId="77777777" w:rsidR="00A23EC8" w:rsidRPr="003F7F6C" w:rsidRDefault="00A23EC8" w:rsidP="00DF4BF7">
            <w:pPr>
              <w:spacing w:after="0"/>
              <w:rPr>
                <w:b/>
                <w:szCs w:val="22"/>
              </w:rPr>
            </w:pPr>
            <w:r w:rsidRPr="003F7F6C">
              <w:rPr>
                <w:rFonts w:cs="Calibri"/>
                <w:b/>
                <w:bCs/>
                <w:color w:val="000000"/>
                <w:sz w:val="18"/>
                <w:szCs w:val="18"/>
              </w:rPr>
              <w:t>Outcome 1: Federal enabling framework and strategies to reinforce ELUP, and underpin implementation in priority ecosystems and habitats to reduce pressure from key production sectors, (target sectors: agriculture &amp; livestock; mining and peri-urban infrastructure, tourism)</w:t>
            </w:r>
          </w:p>
        </w:tc>
      </w:tr>
      <w:tr w:rsidR="00A23EC8" w:rsidRPr="003F7F6C" w14:paraId="3B74D95B" w14:textId="77777777" w:rsidTr="009A700C">
        <w:tc>
          <w:tcPr>
            <w:tcW w:w="1233" w:type="dxa"/>
            <w:shd w:val="clear" w:color="auto" w:fill="auto"/>
          </w:tcPr>
          <w:p w14:paraId="11278518" w14:textId="77777777" w:rsidR="00A23EC8" w:rsidRPr="003F7F6C" w:rsidRDefault="007D6904" w:rsidP="00DF4BF7">
            <w:pPr>
              <w:spacing w:after="0"/>
              <w:jc w:val="center"/>
              <w:rPr>
                <w:szCs w:val="22"/>
              </w:rPr>
            </w:pPr>
            <w:r w:rsidRPr="003F7F6C">
              <w:rPr>
                <w:szCs w:val="22"/>
              </w:rPr>
              <w:t>1</w:t>
            </w:r>
          </w:p>
        </w:tc>
        <w:tc>
          <w:tcPr>
            <w:tcW w:w="11717" w:type="dxa"/>
            <w:shd w:val="clear" w:color="auto" w:fill="auto"/>
          </w:tcPr>
          <w:p w14:paraId="34299CE5" w14:textId="77777777" w:rsidR="00A23EC8" w:rsidRPr="003F7F6C" w:rsidRDefault="007D6904" w:rsidP="00DF4BF7">
            <w:pPr>
              <w:spacing w:after="0"/>
              <w:rPr>
                <w:szCs w:val="22"/>
              </w:rPr>
            </w:pPr>
            <w:r w:rsidRPr="003F7F6C">
              <w:rPr>
                <w:szCs w:val="22"/>
              </w:rPr>
              <w:t xml:space="preserve">Local consultant to support the development of criteria for priority areas of environmental value </w:t>
            </w:r>
            <w:r w:rsidR="000B6A79" w:rsidRPr="003F7F6C">
              <w:rPr>
                <w:szCs w:val="22"/>
              </w:rPr>
              <w:t xml:space="preserve">for ELUP </w:t>
            </w:r>
            <w:r w:rsidRPr="003F7F6C">
              <w:rPr>
                <w:szCs w:val="22"/>
              </w:rPr>
              <w:t>(Output 1.3). Total costs: USD 48,000 (48 months x USD 1,000/month)</w:t>
            </w:r>
          </w:p>
        </w:tc>
      </w:tr>
      <w:tr w:rsidR="00A23EC8" w:rsidRPr="003F7F6C" w14:paraId="14FC9431" w14:textId="77777777" w:rsidTr="009A700C">
        <w:tc>
          <w:tcPr>
            <w:tcW w:w="1233" w:type="dxa"/>
            <w:shd w:val="clear" w:color="auto" w:fill="auto"/>
          </w:tcPr>
          <w:p w14:paraId="0CC33B93" w14:textId="77777777" w:rsidR="00A23EC8" w:rsidRPr="003F7F6C" w:rsidRDefault="007D6904" w:rsidP="00DF4BF7">
            <w:pPr>
              <w:spacing w:after="0"/>
              <w:jc w:val="center"/>
              <w:rPr>
                <w:szCs w:val="22"/>
              </w:rPr>
            </w:pPr>
            <w:r w:rsidRPr="003F7F6C">
              <w:rPr>
                <w:szCs w:val="22"/>
              </w:rPr>
              <w:t>2</w:t>
            </w:r>
          </w:p>
        </w:tc>
        <w:tc>
          <w:tcPr>
            <w:tcW w:w="11717" w:type="dxa"/>
            <w:shd w:val="clear" w:color="auto" w:fill="auto"/>
          </w:tcPr>
          <w:p w14:paraId="38D11CC4" w14:textId="5797960D" w:rsidR="00B52E36" w:rsidRPr="003F7F6C" w:rsidRDefault="00B52E36" w:rsidP="00E91275">
            <w:pPr>
              <w:numPr>
                <w:ilvl w:val="0"/>
                <w:numId w:val="38"/>
              </w:numPr>
              <w:spacing w:after="0"/>
              <w:rPr>
                <w:szCs w:val="22"/>
              </w:rPr>
            </w:pPr>
            <w:r w:rsidRPr="003F7F6C">
              <w:rPr>
                <w:szCs w:val="22"/>
              </w:rPr>
              <w:t xml:space="preserve">Project Coordinator to  </w:t>
            </w:r>
            <w:r w:rsidR="00434B4C" w:rsidRPr="003F7F6C">
              <w:rPr>
                <w:szCs w:val="22"/>
              </w:rPr>
              <w:t xml:space="preserve">technically support the SGAyDS in </w:t>
            </w:r>
            <w:r w:rsidR="000D6CFB" w:rsidRPr="003F7F6C">
              <w:rPr>
                <w:szCs w:val="22"/>
              </w:rPr>
              <w:t xml:space="preserve">the </w:t>
            </w:r>
            <w:r w:rsidR="00104B11" w:rsidRPr="003F7F6C">
              <w:rPr>
                <w:szCs w:val="22"/>
              </w:rPr>
              <w:t>implementation</w:t>
            </w:r>
            <w:r w:rsidR="00434B4C" w:rsidRPr="003F7F6C">
              <w:rPr>
                <w:szCs w:val="22"/>
              </w:rPr>
              <w:t xml:space="preserve"> of the ELUP approach</w:t>
            </w:r>
            <w:r w:rsidRPr="003F7F6C">
              <w:rPr>
                <w:szCs w:val="22"/>
              </w:rPr>
              <w:t xml:space="preserve">, including </w:t>
            </w:r>
            <w:r w:rsidR="00434B4C" w:rsidRPr="003F7F6C">
              <w:rPr>
                <w:szCs w:val="22"/>
              </w:rPr>
              <w:t>the development of</w:t>
            </w:r>
            <w:r w:rsidRPr="003F7F6C">
              <w:rPr>
                <w:szCs w:val="22"/>
              </w:rPr>
              <w:t xml:space="preserve"> ELUP criteria</w:t>
            </w:r>
            <w:r w:rsidR="00434B4C" w:rsidRPr="003F7F6C">
              <w:rPr>
                <w:szCs w:val="22"/>
              </w:rPr>
              <w:t>; assessment of ELUP instruments; development of maps of priority areas of environmental value for ELUP; analysis of ELUP regulations; assessment of valuation methodologies for environmental services</w:t>
            </w:r>
            <w:r w:rsidR="006D6380" w:rsidRPr="003F7F6C">
              <w:rPr>
                <w:szCs w:val="22"/>
              </w:rPr>
              <w:t xml:space="preserve">. </w:t>
            </w:r>
            <w:r w:rsidRPr="003F7F6C">
              <w:rPr>
                <w:szCs w:val="22"/>
              </w:rPr>
              <w:t xml:space="preserve">Total cost: USD </w:t>
            </w:r>
            <w:r w:rsidR="00AA7184" w:rsidRPr="003F7F6C">
              <w:rPr>
                <w:szCs w:val="22"/>
              </w:rPr>
              <w:t>28,028</w:t>
            </w:r>
            <w:r w:rsidRPr="003F7F6C">
              <w:rPr>
                <w:szCs w:val="22"/>
              </w:rPr>
              <w:t xml:space="preserve"> (1</w:t>
            </w:r>
            <w:r w:rsidR="00D07DF0" w:rsidRPr="003F7F6C">
              <w:rPr>
                <w:szCs w:val="22"/>
              </w:rPr>
              <w:t>4</w:t>
            </w:r>
            <w:r w:rsidRPr="003F7F6C">
              <w:rPr>
                <w:szCs w:val="22"/>
              </w:rPr>
              <w:t xml:space="preserve"> months x USD </w:t>
            </w:r>
            <w:r w:rsidR="00AA7184" w:rsidRPr="003F7F6C">
              <w:rPr>
                <w:szCs w:val="22"/>
              </w:rPr>
              <w:t>2,002</w:t>
            </w:r>
            <w:r w:rsidRPr="003F7F6C">
              <w:rPr>
                <w:szCs w:val="22"/>
              </w:rPr>
              <w:t>/month)</w:t>
            </w:r>
          </w:p>
          <w:p w14:paraId="4949650B" w14:textId="77777777" w:rsidR="00A23EC8" w:rsidRPr="003F7F6C" w:rsidRDefault="007D6904" w:rsidP="00E91275">
            <w:pPr>
              <w:numPr>
                <w:ilvl w:val="0"/>
                <w:numId w:val="38"/>
              </w:numPr>
              <w:spacing w:after="0"/>
              <w:rPr>
                <w:szCs w:val="22"/>
              </w:rPr>
            </w:pPr>
            <w:r w:rsidRPr="003F7F6C">
              <w:rPr>
                <w:szCs w:val="22"/>
              </w:rPr>
              <w:t>Information Systems Specialist to support the development of the environmental information system</w:t>
            </w:r>
            <w:r w:rsidR="000B6A79" w:rsidRPr="003F7F6C">
              <w:rPr>
                <w:szCs w:val="22"/>
              </w:rPr>
              <w:t>: systematization and standardization of information; defining indicators for ELUP; preparation of maps of priority areas for ELUP</w:t>
            </w:r>
            <w:r w:rsidRPr="003F7F6C">
              <w:rPr>
                <w:szCs w:val="22"/>
              </w:rPr>
              <w:t xml:space="preserve"> (Output 1.1). </w:t>
            </w:r>
            <w:r w:rsidR="000B6A79" w:rsidRPr="003F7F6C">
              <w:rPr>
                <w:szCs w:val="22"/>
              </w:rPr>
              <w:t xml:space="preserve"> Total cost: USD 36,000 (36 months x USD 1,000/month)</w:t>
            </w:r>
          </w:p>
          <w:p w14:paraId="1FB628AC" w14:textId="77777777" w:rsidR="000B6A79" w:rsidRPr="003F7F6C" w:rsidRDefault="000B6A79" w:rsidP="00E91275">
            <w:pPr>
              <w:numPr>
                <w:ilvl w:val="0"/>
                <w:numId w:val="38"/>
              </w:numPr>
              <w:spacing w:after="0"/>
              <w:rPr>
                <w:szCs w:val="22"/>
              </w:rPr>
            </w:pPr>
            <w:r w:rsidRPr="003F7F6C">
              <w:rPr>
                <w:szCs w:val="22"/>
              </w:rPr>
              <w:t>Economic and Financial Instruments Specialist to support assessment and development of compensation schemes; valuation of ecosystem goods and services (Output 1.2) and development of eligibility criteria for accessing economic and financial instruments and mainstreaming of ELUP in economic and financial instruments (Output 1.3). Total Cost: USD 48,000 (48 months x USD 1,000/month)</w:t>
            </w:r>
          </w:p>
          <w:p w14:paraId="2A430183" w14:textId="66872F1E" w:rsidR="00FD463E" w:rsidRPr="003F7F6C" w:rsidRDefault="00FD463E" w:rsidP="00E91275">
            <w:pPr>
              <w:numPr>
                <w:ilvl w:val="0"/>
                <w:numId w:val="38"/>
              </w:numPr>
              <w:spacing w:after="0"/>
              <w:rPr>
                <w:szCs w:val="22"/>
              </w:rPr>
            </w:pPr>
            <w:r w:rsidRPr="003F7F6C">
              <w:rPr>
                <w:szCs w:val="22"/>
              </w:rPr>
              <w:t>Stakeholder Engagement Specialist to support</w:t>
            </w:r>
            <w:r w:rsidR="00533E18" w:rsidRPr="003F7F6C">
              <w:rPr>
                <w:szCs w:val="22"/>
              </w:rPr>
              <w:t xml:space="preserve"> national</w:t>
            </w:r>
            <w:r w:rsidR="00E47A92" w:rsidRPr="003F7F6C">
              <w:rPr>
                <w:szCs w:val="22"/>
              </w:rPr>
              <w:t xml:space="preserve"> implementation of the Stakeholder Engagement Plan, including</w:t>
            </w:r>
            <w:r w:rsidRPr="003F7F6C">
              <w:rPr>
                <w:szCs w:val="22"/>
              </w:rPr>
              <w:t xml:space="preserve"> stakeholder mapping, </w:t>
            </w:r>
            <w:r w:rsidR="005C20F1" w:rsidRPr="003F7F6C">
              <w:rPr>
                <w:szCs w:val="22"/>
              </w:rPr>
              <w:t xml:space="preserve">development of the detailed Indigenous Peoples Plan (IPP), </w:t>
            </w:r>
            <w:r w:rsidRPr="003F7F6C">
              <w:rPr>
                <w:szCs w:val="22"/>
              </w:rPr>
              <w:t xml:space="preserve">design and implementation of multi-stakeholder dialogue and coordination spaces, developing capacity building programs for national level strengthening, promotion of stakeholder participation in project interventions (Output 1.4). Total cost: USD </w:t>
            </w:r>
            <w:r w:rsidR="003C47E2" w:rsidRPr="003F7F6C">
              <w:rPr>
                <w:szCs w:val="22"/>
              </w:rPr>
              <w:t>30,0</w:t>
            </w:r>
            <w:r w:rsidRPr="003F7F6C">
              <w:rPr>
                <w:szCs w:val="22"/>
              </w:rPr>
              <w:t>00 (</w:t>
            </w:r>
            <w:r w:rsidR="003C47E2" w:rsidRPr="003F7F6C">
              <w:rPr>
                <w:szCs w:val="22"/>
              </w:rPr>
              <w:t>30 months x USD 1,000)</w:t>
            </w:r>
          </w:p>
          <w:p w14:paraId="679DCCD0" w14:textId="77777777" w:rsidR="000B6A79" w:rsidRPr="003F7F6C" w:rsidRDefault="00AE046F" w:rsidP="00E91275">
            <w:pPr>
              <w:numPr>
                <w:ilvl w:val="0"/>
                <w:numId w:val="38"/>
              </w:numPr>
              <w:spacing w:after="0"/>
              <w:rPr>
                <w:szCs w:val="22"/>
              </w:rPr>
            </w:pPr>
            <w:r w:rsidRPr="003F7F6C">
              <w:rPr>
                <w:szCs w:val="22"/>
              </w:rPr>
              <w:t xml:space="preserve">Gender Specialist </w:t>
            </w:r>
            <w:r w:rsidR="00E47A92" w:rsidRPr="003F7F6C">
              <w:rPr>
                <w:szCs w:val="22"/>
              </w:rPr>
              <w:t>for supervision, coordination and implementation of the Gender Action Plan: gender mainstreaming in environmental information management (Output 1.1), ELUP federal regulations (Output 1.2), economic and financial instruments (Output 1.3) and women´s participation in stakeholder dialogue (Output 1.4). Total cost: USD 18,000 (18 months x USD 1,000/month).</w:t>
            </w:r>
          </w:p>
          <w:p w14:paraId="2BC739AE" w14:textId="6306FAB5" w:rsidR="00FC5AFE" w:rsidRPr="003F7F6C" w:rsidRDefault="00FC5AFE" w:rsidP="00E91275">
            <w:pPr>
              <w:numPr>
                <w:ilvl w:val="0"/>
                <w:numId w:val="38"/>
              </w:numPr>
              <w:spacing w:after="0"/>
              <w:rPr>
                <w:szCs w:val="22"/>
              </w:rPr>
            </w:pPr>
            <w:r w:rsidRPr="003F7F6C">
              <w:rPr>
                <w:szCs w:val="22"/>
              </w:rPr>
              <w:t xml:space="preserve">Administrative Assistant to support the Project Coordinator in planning and </w:t>
            </w:r>
            <w:r w:rsidR="00D07DF0" w:rsidRPr="003F7F6C">
              <w:rPr>
                <w:szCs w:val="22"/>
              </w:rPr>
              <w:t xml:space="preserve">supporting </w:t>
            </w:r>
            <w:r w:rsidRPr="003F7F6C">
              <w:rPr>
                <w:szCs w:val="22"/>
              </w:rPr>
              <w:t xml:space="preserve">implementation of activities under Outcome </w:t>
            </w:r>
            <w:r w:rsidR="005927EB" w:rsidRPr="003F7F6C">
              <w:rPr>
                <w:szCs w:val="22"/>
              </w:rPr>
              <w:t>1</w:t>
            </w:r>
            <w:r w:rsidRPr="003F7F6C">
              <w:rPr>
                <w:szCs w:val="22"/>
              </w:rPr>
              <w:t xml:space="preserve">. Total cost: USD </w:t>
            </w:r>
            <w:r w:rsidR="00AA7184" w:rsidRPr="003F7F6C">
              <w:rPr>
                <w:szCs w:val="22"/>
              </w:rPr>
              <w:t>11,676</w:t>
            </w:r>
            <w:r w:rsidRPr="003F7F6C">
              <w:rPr>
                <w:szCs w:val="22"/>
              </w:rPr>
              <w:t xml:space="preserve"> (1</w:t>
            </w:r>
            <w:r w:rsidR="00D07DF0" w:rsidRPr="003F7F6C">
              <w:rPr>
                <w:szCs w:val="22"/>
              </w:rPr>
              <w:t>4</w:t>
            </w:r>
            <w:r w:rsidRPr="003F7F6C">
              <w:rPr>
                <w:szCs w:val="22"/>
              </w:rPr>
              <w:t xml:space="preserve"> months x USD </w:t>
            </w:r>
            <w:r w:rsidR="00AA7184" w:rsidRPr="003F7F6C">
              <w:rPr>
                <w:szCs w:val="22"/>
              </w:rPr>
              <w:t>834</w:t>
            </w:r>
            <w:r w:rsidRPr="003F7F6C">
              <w:rPr>
                <w:szCs w:val="22"/>
              </w:rPr>
              <w:t>/month)</w:t>
            </w:r>
          </w:p>
        </w:tc>
      </w:tr>
      <w:tr w:rsidR="00A23EC8" w:rsidRPr="003F7F6C" w14:paraId="68479857" w14:textId="77777777" w:rsidTr="009A700C">
        <w:tc>
          <w:tcPr>
            <w:tcW w:w="1233" w:type="dxa"/>
            <w:shd w:val="clear" w:color="auto" w:fill="auto"/>
          </w:tcPr>
          <w:p w14:paraId="38CDD652" w14:textId="77777777" w:rsidR="00A23EC8" w:rsidRPr="003F7F6C" w:rsidRDefault="007D73CC" w:rsidP="00DF4BF7">
            <w:pPr>
              <w:spacing w:after="0"/>
              <w:jc w:val="center"/>
              <w:rPr>
                <w:szCs w:val="22"/>
              </w:rPr>
            </w:pPr>
            <w:r w:rsidRPr="003F7F6C">
              <w:rPr>
                <w:szCs w:val="22"/>
              </w:rPr>
              <w:t>3</w:t>
            </w:r>
          </w:p>
        </w:tc>
        <w:tc>
          <w:tcPr>
            <w:tcW w:w="11717" w:type="dxa"/>
            <w:shd w:val="clear" w:color="auto" w:fill="auto"/>
          </w:tcPr>
          <w:p w14:paraId="4BA3DC4F" w14:textId="13A6B090" w:rsidR="00A23EC8" w:rsidRPr="003F7F6C" w:rsidRDefault="002C36E4" w:rsidP="00DF4BF7">
            <w:pPr>
              <w:spacing w:after="0"/>
              <w:rPr>
                <w:szCs w:val="22"/>
              </w:rPr>
            </w:pPr>
            <w:r w:rsidRPr="003F7F6C">
              <w:rPr>
                <w:szCs w:val="22"/>
              </w:rPr>
              <w:t>Travel related to technical support for</w:t>
            </w:r>
            <w:r w:rsidR="009A34E3" w:rsidRPr="003F7F6C">
              <w:rPr>
                <w:szCs w:val="22"/>
              </w:rPr>
              <w:t xml:space="preserve"> </w:t>
            </w:r>
            <w:r w:rsidR="006E6D2D" w:rsidRPr="003F7F6C">
              <w:rPr>
                <w:szCs w:val="22"/>
              </w:rPr>
              <w:t>data collection, validation of environmental data and participation in IDERA meetings (Output 1.1),</w:t>
            </w:r>
            <w:r w:rsidRPr="003F7F6C">
              <w:rPr>
                <w:szCs w:val="22"/>
              </w:rPr>
              <w:t xml:space="preserve"> </w:t>
            </w:r>
            <w:r w:rsidR="006E6D2D" w:rsidRPr="003F7F6C">
              <w:rPr>
                <w:szCs w:val="22"/>
              </w:rPr>
              <w:t>dialogue and coordination for: validation of ELUP criteria, valuation of environmental services, ELUP regulatory proposals (Output 1.2); economic and financial instruments (Output 1.3); stakeholder mapping</w:t>
            </w:r>
            <w:r w:rsidR="005C20F1" w:rsidRPr="003F7F6C">
              <w:rPr>
                <w:szCs w:val="22"/>
              </w:rPr>
              <w:t>, development of IPP,</w:t>
            </w:r>
            <w:r w:rsidR="006E6D2D" w:rsidRPr="003F7F6C">
              <w:rPr>
                <w:szCs w:val="22"/>
              </w:rPr>
              <w:t xml:space="preserve"> and stakeholder participation in dialogue spaces (Output 1.4) and gender mainstreaming in project activities (cross-cutting). Total cost:  USD </w:t>
            </w:r>
            <w:r w:rsidR="001E0C9E" w:rsidRPr="003F7F6C">
              <w:rPr>
                <w:szCs w:val="22"/>
              </w:rPr>
              <w:t>412,560</w:t>
            </w:r>
            <w:r w:rsidR="006E6D2D" w:rsidRPr="003F7F6C">
              <w:rPr>
                <w:szCs w:val="22"/>
              </w:rPr>
              <w:t xml:space="preserve"> (72 months x average USD </w:t>
            </w:r>
            <w:r w:rsidR="001E0C9E" w:rsidRPr="003F7F6C">
              <w:rPr>
                <w:szCs w:val="22"/>
              </w:rPr>
              <w:t>5,730</w:t>
            </w:r>
            <w:r w:rsidR="006E6D2D" w:rsidRPr="003F7F6C">
              <w:rPr>
                <w:szCs w:val="22"/>
              </w:rPr>
              <w:t>/month)</w:t>
            </w:r>
          </w:p>
        </w:tc>
      </w:tr>
      <w:tr w:rsidR="00D57F78" w:rsidRPr="003F7F6C" w14:paraId="16EB8EF2" w14:textId="77777777" w:rsidTr="009A700C">
        <w:tc>
          <w:tcPr>
            <w:tcW w:w="1233" w:type="dxa"/>
            <w:shd w:val="clear" w:color="auto" w:fill="auto"/>
          </w:tcPr>
          <w:p w14:paraId="1DAC330D" w14:textId="77777777" w:rsidR="00D57F78" w:rsidRPr="003F7F6C" w:rsidRDefault="00FA1D0A" w:rsidP="00DF4BF7">
            <w:pPr>
              <w:spacing w:after="0"/>
              <w:jc w:val="center"/>
              <w:rPr>
                <w:szCs w:val="22"/>
              </w:rPr>
            </w:pPr>
            <w:r w:rsidRPr="003F7F6C">
              <w:rPr>
                <w:szCs w:val="22"/>
              </w:rPr>
              <w:t>4</w:t>
            </w:r>
          </w:p>
        </w:tc>
        <w:tc>
          <w:tcPr>
            <w:tcW w:w="11717" w:type="dxa"/>
            <w:shd w:val="clear" w:color="auto" w:fill="auto"/>
          </w:tcPr>
          <w:p w14:paraId="722F2D58" w14:textId="581005C9" w:rsidR="00D57F78" w:rsidRPr="003F7F6C" w:rsidRDefault="00C91090" w:rsidP="00DF4BF7">
            <w:pPr>
              <w:spacing w:after="0"/>
              <w:rPr>
                <w:szCs w:val="22"/>
              </w:rPr>
            </w:pPr>
            <w:r w:rsidRPr="003F7F6C">
              <w:rPr>
                <w:szCs w:val="22"/>
              </w:rPr>
              <w:t>Two</w:t>
            </w:r>
            <w:r w:rsidR="00CD63DB" w:rsidRPr="003F7F6C">
              <w:rPr>
                <w:szCs w:val="22"/>
              </w:rPr>
              <w:t xml:space="preserve"> 4x4</w:t>
            </w:r>
            <w:r w:rsidRPr="003F7F6C">
              <w:rPr>
                <w:szCs w:val="22"/>
              </w:rPr>
              <w:t xml:space="preserve"> </w:t>
            </w:r>
            <w:r w:rsidR="00104B11" w:rsidRPr="003F7F6C">
              <w:rPr>
                <w:szCs w:val="22"/>
              </w:rPr>
              <w:t>v</w:t>
            </w:r>
            <w:r w:rsidR="00D57F78" w:rsidRPr="003F7F6C">
              <w:rPr>
                <w:szCs w:val="22"/>
              </w:rPr>
              <w:t>ehicle</w:t>
            </w:r>
            <w:r w:rsidRPr="003F7F6C">
              <w:rPr>
                <w:szCs w:val="22"/>
              </w:rPr>
              <w:t>s</w:t>
            </w:r>
            <w:r w:rsidR="00D57F78" w:rsidRPr="003F7F6C">
              <w:rPr>
                <w:szCs w:val="22"/>
              </w:rPr>
              <w:t xml:space="preserve"> for </w:t>
            </w:r>
            <w:r w:rsidR="00FA1D0A" w:rsidRPr="003F7F6C">
              <w:rPr>
                <w:szCs w:val="22"/>
              </w:rPr>
              <w:t>mobilization of project staff</w:t>
            </w:r>
            <w:r w:rsidR="00187C81" w:rsidRPr="003F7F6C">
              <w:rPr>
                <w:szCs w:val="22"/>
              </w:rPr>
              <w:t xml:space="preserve"> for inter-institutional coordination, development of partnerships and dialogue spaces</w:t>
            </w:r>
            <w:r w:rsidR="00FA1D0A" w:rsidRPr="003F7F6C">
              <w:rPr>
                <w:szCs w:val="22"/>
              </w:rPr>
              <w:t xml:space="preserve">. Total cost: USD </w:t>
            </w:r>
            <w:r w:rsidR="005E56CE" w:rsidRPr="003F7F6C">
              <w:rPr>
                <w:szCs w:val="22"/>
              </w:rPr>
              <w:t>75,000 (2 x USD 37,500). Purchase of vehicles is proposed given that the concerned institutions cannot guarantee that their own resources are sufficient given that public institutions currently have budgetary restrictions in regard to procurement of  - among others -equipment and vehicles</w:t>
            </w:r>
            <w:r w:rsidR="00104B11" w:rsidRPr="003F7F6C">
              <w:rPr>
                <w:szCs w:val="22"/>
              </w:rPr>
              <w:t>.</w:t>
            </w:r>
          </w:p>
        </w:tc>
      </w:tr>
      <w:tr w:rsidR="00A23EC8" w:rsidRPr="003F7F6C" w14:paraId="69296912" w14:textId="77777777" w:rsidTr="009A700C">
        <w:tc>
          <w:tcPr>
            <w:tcW w:w="1233" w:type="dxa"/>
            <w:shd w:val="clear" w:color="auto" w:fill="auto"/>
          </w:tcPr>
          <w:p w14:paraId="65D784B2" w14:textId="2C3DA996" w:rsidR="00A23EC8" w:rsidRPr="003F7F6C" w:rsidRDefault="00FA1D0A" w:rsidP="00DF4BF7">
            <w:pPr>
              <w:spacing w:after="0"/>
              <w:jc w:val="center"/>
              <w:rPr>
                <w:szCs w:val="22"/>
              </w:rPr>
            </w:pPr>
            <w:r w:rsidRPr="003F7F6C">
              <w:rPr>
                <w:szCs w:val="22"/>
              </w:rPr>
              <w:t>5</w:t>
            </w:r>
          </w:p>
        </w:tc>
        <w:tc>
          <w:tcPr>
            <w:tcW w:w="11717" w:type="dxa"/>
            <w:shd w:val="clear" w:color="auto" w:fill="auto"/>
          </w:tcPr>
          <w:p w14:paraId="180A9601" w14:textId="77777777" w:rsidR="00A23EC8" w:rsidRPr="003F7F6C" w:rsidRDefault="00E46FB4" w:rsidP="00DF4BF7">
            <w:pPr>
              <w:spacing w:after="0"/>
              <w:rPr>
                <w:szCs w:val="22"/>
              </w:rPr>
            </w:pPr>
            <w:r w:rsidRPr="003F7F6C">
              <w:rPr>
                <w:szCs w:val="22"/>
              </w:rPr>
              <w:t xml:space="preserve">Projector and camera for </w:t>
            </w:r>
            <w:r w:rsidR="004D734C" w:rsidRPr="003F7F6C">
              <w:rPr>
                <w:szCs w:val="22"/>
              </w:rPr>
              <w:t xml:space="preserve">presentations in </w:t>
            </w:r>
            <w:r w:rsidRPr="003F7F6C">
              <w:rPr>
                <w:szCs w:val="22"/>
              </w:rPr>
              <w:t xml:space="preserve">workshops and meetings. Total cost: USD 5,356 </w:t>
            </w:r>
          </w:p>
        </w:tc>
      </w:tr>
      <w:tr w:rsidR="00E46FB4" w:rsidRPr="003F7F6C" w14:paraId="2160F983" w14:textId="77777777" w:rsidTr="009A700C">
        <w:tc>
          <w:tcPr>
            <w:tcW w:w="1233" w:type="dxa"/>
            <w:shd w:val="clear" w:color="auto" w:fill="auto"/>
          </w:tcPr>
          <w:p w14:paraId="74B0C708" w14:textId="77777777" w:rsidR="00E46FB4" w:rsidRPr="003F7F6C" w:rsidRDefault="00FA1D0A" w:rsidP="00DF4BF7">
            <w:pPr>
              <w:spacing w:after="0"/>
              <w:jc w:val="center"/>
              <w:rPr>
                <w:szCs w:val="22"/>
              </w:rPr>
            </w:pPr>
            <w:r w:rsidRPr="003F7F6C">
              <w:rPr>
                <w:szCs w:val="22"/>
              </w:rPr>
              <w:t>6</w:t>
            </w:r>
          </w:p>
        </w:tc>
        <w:tc>
          <w:tcPr>
            <w:tcW w:w="11717" w:type="dxa"/>
            <w:shd w:val="clear" w:color="auto" w:fill="auto"/>
          </w:tcPr>
          <w:p w14:paraId="3CD06289" w14:textId="77777777" w:rsidR="00E46FB4" w:rsidRPr="003F7F6C" w:rsidRDefault="00FA1D0A" w:rsidP="00DF4BF7">
            <w:pPr>
              <w:spacing w:after="0"/>
              <w:rPr>
                <w:szCs w:val="22"/>
              </w:rPr>
            </w:pPr>
            <w:bookmarkStart w:id="29" w:name="_Hlk528581450"/>
            <w:r w:rsidRPr="003F7F6C">
              <w:rPr>
                <w:szCs w:val="22"/>
              </w:rPr>
              <w:t xml:space="preserve">Computer equipment for management of GIS/data bases and mapping of priority areas for ELUP (PCs, printers, external drives, accessories). Total cost: USD </w:t>
            </w:r>
            <w:r w:rsidR="005569AC" w:rsidRPr="003F7F6C">
              <w:rPr>
                <w:szCs w:val="22"/>
              </w:rPr>
              <w:t>61,025</w:t>
            </w:r>
            <w:bookmarkEnd w:id="29"/>
          </w:p>
        </w:tc>
      </w:tr>
      <w:tr w:rsidR="00FA1D0A" w:rsidRPr="003F7F6C" w14:paraId="4C815628" w14:textId="77777777" w:rsidTr="009A700C">
        <w:tc>
          <w:tcPr>
            <w:tcW w:w="1233" w:type="dxa"/>
            <w:shd w:val="clear" w:color="auto" w:fill="auto"/>
          </w:tcPr>
          <w:p w14:paraId="2050E4F8" w14:textId="77777777" w:rsidR="00FA1D0A" w:rsidRPr="003F7F6C" w:rsidRDefault="00FA1D0A" w:rsidP="00DF4BF7">
            <w:pPr>
              <w:spacing w:after="0"/>
              <w:jc w:val="center"/>
              <w:rPr>
                <w:szCs w:val="22"/>
              </w:rPr>
            </w:pPr>
            <w:r w:rsidRPr="003F7F6C">
              <w:rPr>
                <w:szCs w:val="22"/>
              </w:rPr>
              <w:t>7</w:t>
            </w:r>
          </w:p>
        </w:tc>
        <w:tc>
          <w:tcPr>
            <w:tcW w:w="11717" w:type="dxa"/>
            <w:shd w:val="clear" w:color="auto" w:fill="auto"/>
          </w:tcPr>
          <w:p w14:paraId="5A6CB16B" w14:textId="50B9A19B" w:rsidR="00D1388C" w:rsidRPr="003F7F6C" w:rsidRDefault="00FA1D0A" w:rsidP="00DF4BF7">
            <w:pPr>
              <w:spacing w:after="0"/>
              <w:rPr>
                <w:szCs w:val="22"/>
              </w:rPr>
            </w:pPr>
            <w:r w:rsidRPr="003F7F6C">
              <w:rPr>
                <w:szCs w:val="22"/>
              </w:rPr>
              <w:t>Publication</w:t>
            </w:r>
            <w:r w:rsidR="00D1388C" w:rsidRPr="003F7F6C">
              <w:rPr>
                <w:szCs w:val="22"/>
              </w:rPr>
              <w:t>s</w:t>
            </w:r>
            <w:r w:rsidRPr="003F7F6C">
              <w:rPr>
                <w:szCs w:val="22"/>
              </w:rPr>
              <w:t xml:space="preserve"> </w:t>
            </w:r>
            <w:r w:rsidR="00D1388C" w:rsidRPr="003F7F6C">
              <w:rPr>
                <w:szCs w:val="22"/>
              </w:rPr>
              <w:t xml:space="preserve">related to ELUP implementation. Total cost: USD </w:t>
            </w:r>
            <w:r w:rsidR="00A25CFE" w:rsidRPr="003F7F6C">
              <w:rPr>
                <w:szCs w:val="22"/>
              </w:rPr>
              <w:t>2</w:t>
            </w:r>
            <w:r w:rsidR="00D1388C" w:rsidRPr="003F7F6C">
              <w:rPr>
                <w:szCs w:val="22"/>
              </w:rPr>
              <w:t>8,000:</w:t>
            </w:r>
          </w:p>
          <w:p w14:paraId="16DF3FF9" w14:textId="4D251DD6" w:rsidR="00D1388C" w:rsidRPr="003F7F6C" w:rsidRDefault="00FA1D0A" w:rsidP="00DF4BF7">
            <w:pPr>
              <w:spacing w:after="0"/>
              <w:rPr>
                <w:szCs w:val="22"/>
              </w:rPr>
            </w:pPr>
            <w:r w:rsidRPr="003F7F6C">
              <w:rPr>
                <w:szCs w:val="22"/>
              </w:rPr>
              <w:t xml:space="preserve">a) criteria to define valuation of ES, BD conservation, SLM practices and assessment of compensation schemes (USD </w:t>
            </w:r>
            <w:r w:rsidR="007949DE" w:rsidRPr="003F7F6C">
              <w:rPr>
                <w:szCs w:val="22"/>
              </w:rPr>
              <w:t>8</w:t>
            </w:r>
            <w:r w:rsidRPr="003F7F6C">
              <w:rPr>
                <w:szCs w:val="22"/>
              </w:rPr>
              <w:t xml:space="preserve">,000); </w:t>
            </w:r>
          </w:p>
          <w:p w14:paraId="0DA5EEBB" w14:textId="4428E618" w:rsidR="00D1388C" w:rsidRPr="003F7F6C" w:rsidRDefault="00FA1D0A" w:rsidP="00DF4BF7">
            <w:pPr>
              <w:spacing w:after="0"/>
              <w:rPr>
                <w:szCs w:val="22"/>
              </w:rPr>
            </w:pPr>
            <w:r w:rsidRPr="003F7F6C">
              <w:rPr>
                <w:szCs w:val="22"/>
              </w:rPr>
              <w:t xml:space="preserve">b) guide to define land uses and restrictions to production adapted to local realities (USD </w:t>
            </w:r>
            <w:r w:rsidR="007949DE" w:rsidRPr="003F7F6C">
              <w:rPr>
                <w:szCs w:val="22"/>
              </w:rPr>
              <w:t>8</w:t>
            </w:r>
            <w:r w:rsidRPr="003F7F6C">
              <w:rPr>
                <w:szCs w:val="22"/>
              </w:rPr>
              <w:t xml:space="preserve">,000); </w:t>
            </w:r>
          </w:p>
          <w:p w14:paraId="27EBEC8A" w14:textId="77777777" w:rsidR="00FA1D0A" w:rsidRPr="003F7F6C" w:rsidRDefault="00FA1D0A" w:rsidP="00DF4BF7">
            <w:pPr>
              <w:spacing w:after="0"/>
              <w:rPr>
                <w:szCs w:val="22"/>
              </w:rPr>
            </w:pPr>
            <w:r w:rsidRPr="003F7F6C">
              <w:rPr>
                <w:szCs w:val="22"/>
              </w:rPr>
              <w:t>c) information materials on ELUP (USD 8,000).</w:t>
            </w:r>
          </w:p>
          <w:p w14:paraId="31C4230C" w14:textId="7CE6CD8B" w:rsidR="007949DE" w:rsidRPr="003F7F6C" w:rsidRDefault="007949DE" w:rsidP="00DF4BF7">
            <w:pPr>
              <w:spacing w:after="0"/>
              <w:rPr>
                <w:szCs w:val="22"/>
              </w:rPr>
            </w:pPr>
            <w:r w:rsidRPr="003F7F6C">
              <w:rPr>
                <w:szCs w:val="22"/>
              </w:rPr>
              <w:t xml:space="preserve">d) project communication and information materials (USD </w:t>
            </w:r>
            <w:r w:rsidR="002946EA" w:rsidRPr="003F7F6C">
              <w:rPr>
                <w:szCs w:val="22"/>
              </w:rPr>
              <w:t>4</w:t>
            </w:r>
            <w:r w:rsidRPr="003F7F6C">
              <w:rPr>
                <w:szCs w:val="22"/>
              </w:rPr>
              <w:t>,000)</w:t>
            </w:r>
          </w:p>
        </w:tc>
      </w:tr>
      <w:tr w:rsidR="00FA1D0A" w:rsidRPr="003F7F6C" w14:paraId="60E9B73D" w14:textId="77777777" w:rsidTr="009A700C">
        <w:tc>
          <w:tcPr>
            <w:tcW w:w="1233" w:type="dxa"/>
            <w:shd w:val="clear" w:color="auto" w:fill="auto"/>
          </w:tcPr>
          <w:p w14:paraId="18D30B5C" w14:textId="77777777" w:rsidR="00FA1D0A" w:rsidRPr="003F7F6C" w:rsidRDefault="00D1388C" w:rsidP="00DF4BF7">
            <w:pPr>
              <w:spacing w:after="0"/>
              <w:jc w:val="center"/>
              <w:rPr>
                <w:szCs w:val="22"/>
              </w:rPr>
            </w:pPr>
            <w:r w:rsidRPr="003F7F6C">
              <w:rPr>
                <w:szCs w:val="22"/>
              </w:rPr>
              <w:t>8</w:t>
            </w:r>
          </w:p>
        </w:tc>
        <w:tc>
          <w:tcPr>
            <w:tcW w:w="11717" w:type="dxa"/>
            <w:shd w:val="clear" w:color="auto" w:fill="auto"/>
          </w:tcPr>
          <w:p w14:paraId="73677F31" w14:textId="33A50499" w:rsidR="00D1388C" w:rsidRPr="003F7F6C" w:rsidRDefault="00D1388C" w:rsidP="00DF4BF7">
            <w:pPr>
              <w:spacing w:after="0"/>
              <w:rPr>
                <w:szCs w:val="22"/>
              </w:rPr>
            </w:pPr>
            <w:r w:rsidRPr="003F7F6C">
              <w:rPr>
                <w:szCs w:val="22"/>
              </w:rPr>
              <w:t>Workshops/meetings/roundtables for national discussion</w:t>
            </w:r>
            <w:r w:rsidR="001E5BC6" w:rsidRPr="003F7F6C">
              <w:rPr>
                <w:szCs w:val="22"/>
              </w:rPr>
              <w:t>, awareness raising and capacity building</w:t>
            </w:r>
            <w:r w:rsidR="008C250D" w:rsidRPr="003F7F6C">
              <w:rPr>
                <w:szCs w:val="22"/>
              </w:rPr>
              <w:t xml:space="preserve">. Total cost USD </w:t>
            </w:r>
            <w:r w:rsidR="00187301" w:rsidRPr="003F7F6C">
              <w:rPr>
                <w:szCs w:val="22"/>
              </w:rPr>
              <w:t>796,015</w:t>
            </w:r>
          </w:p>
          <w:p w14:paraId="64877289" w14:textId="115AC45A" w:rsidR="00D1388C" w:rsidRPr="003F7F6C" w:rsidRDefault="00D1388C" w:rsidP="00DF4BF7">
            <w:pPr>
              <w:spacing w:after="0"/>
              <w:rPr>
                <w:szCs w:val="22"/>
              </w:rPr>
            </w:pPr>
            <w:r w:rsidRPr="003F7F6C">
              <w:rPr>
                <w:szCs w:val="22"/>
              </w:rPr>
              <w:t xml:space="preserve">a) environmental variables and data, ELUP criteria, maps of priority areas for ELUP, coordination with provincial IDEs (Output 1.1):  USD </w:t>
            </w:r>
            <w:r w:rsidR="00187301" w:rsidRPr="003F7F6C">
              <w:rPr>
                <w:szCs w:val="22"/>
              </w:rPr>
              <w:t>272,015</w:t>
            </w:r>
            <w:r w:rsidRPr="003F7F6C">
              <w:rPr>
                <w:szCs w:val="22"/>
              </w:rPr>
              <w:t xml:space="preserve">; </w:t>
            </w:r>
          </w:p>
          <w:p w14:paraId="3B41D5CD" w14:textId="77777777" w:rsidR="00FA1D0A" w:rsidRPr="003F7F6C" w:rsidRDefault="00D1388C" w:rsidP="00DF4BF7">
            <w:pPr>
              <w:spacing w:after="0"/>
              <w:rPr>
                <w:szCs w:val="22"/>
              </w:rPr>
            </w:pPr>
            <w:r w:rsidRPr="003F7F6C">
              <w:rPr>
                <w:szCs w:val="22"/>
              </w:rPr>
              <w:t>b) criteria for federal level regulations and development of a federal minimum standard regulation for ELUP (Output 1.2): USD 107,</w:t>
            </w:r>
            <w:r w:rsidR="00A46828" w:rsidRPr="003F7F6C">
              <w:rPr>
                <w:szCs w:val="22"/>
              </w:rPr>
              <w:t>000</w:t>
            </w:r>
          </w:p>
          <w:p w14:paraId="67B3DFC1" w14:textId="1547C375" w:rsidR="00D1388C" w:rsidRPr="003F7F6C" w:rsidRDefault="00D1388C" w:rsidP="00DF4BF7">
            <w:pPr>
              <w:spacing w:after="0"/>
              <w:rPr>
                <w:szCs w:val="22"/>
              </w:rPr>
            </w:pPr>
            <w:r w:rsidRPr="003F7F6C">
              <w:rPr>
                <w:szCs w:val="22"/>
              </w:rPr>
              <w:t>c) mainstreaming of ELUP in economic and financial instruments (Output 1.3): USD 4</w:t>
            </w:r>
            <w:r w:rsidR="007949DE" w:rsidRPr="003F7F6C">
              <w:rPr>
                <w:szCs w:val="22"/>
              </w:rPr>
              <w:t>2</w:t>
            </w:r>
            <w:r w:rsidR="00A46828" w:rsidRPr="003F7F6C">
              <w:rPr>
                <w:szCs w:val="22"/>
              </w:rPr>
              <w:t>,000</w:t>
            </w:r>
          </w:p>
          <w:p w14:paraId="7A9BD77C" w14:textId="77777777" w:rsidR="00D1388C" w:rsidRPr="003F7F6C" w:rsidRDefault="00D1388C" w:rsidP="00DF4BF7">
            <w:pPr>
              <w:spacing w:after="0"/>
              <w:rPr>
                <w:szCs w:val="22"/>
              </w:rPr>
            </w:pPr>
            <w:r w:rsidRPr="003F7F6C">
              <w:rPr>
                <w:szCs w:val="22"/>
              </w:rPr>
              <w:t xml:space="preserve">d) awareness raising and capacity building for ELUP and stakeholder participation (Output 1.4): USD </w:t>
            </w:r>
            <w:r w:rsidR="008C250D" w:rsidRPr="003F7F6C">
              <w:rPr>
                <w:szCs w:val="22"/>
              </w:rPr>
              <w:t>303,</w:t>
            </w:r>
            <w:r w:rsidR="00A46828" w:rsidRPr="003F7F6C">
              <w:rPr>
                <w:szCs w:val="22"/>
              </w:rPr>
              <w:t>000</w:t>
            </w:r>
          </w:p>
          <w:p w14:paraId="47A6B139" w14:textId="77777777" w:rsidR="001D6424" w:rsidRPr="003F7F6C" w:rsidRDefault="001D6424" w:rsidP="00DF4BF7">
            <w:pPr>
              <w:spacing w:after="0"/>
              <w:rPr>
                <w:szCs w:val="22"/>
              </w:rPr>
            </w:pPr>
            <w:r w:rsidRPr="003F7F6C">
              <w:rPr>
                <w:szCs w:val="22"/>
              </w:rPr>
              <w:t xml:space="preserve">e) </w:t>
            </w:r>
            <w:r w:rsidR="00533E18" w:rsidRPr="003F7F6C">
              <w:rPr>
                <w:szCs w:val="22"/>
              </w:rPr>
              <w:t>awareness</w:t>
            </w:r>
            <w:r w:rsidRPr="003F7F6C">
              <w:rPr>
                <w:szCs w:val="22"/>
              </w:rPr>
              <w:t xml:space="preserve"> raising and capacity building for gender mainstreaming (cross-cutting): USD 72,000</w:t>
            </w:r>
          </w:p>
        </w:tc>
      </w:tr>
      <w:tr w:rsidR="00A23EC8" w:rsidRPr="003F7F6C" w14:paraId="65C0BF7C" w14:textId="77777777" w:rsidTr="009A700C">
        <w:tc>
          <w:tcPr>
            <w:tcW w:w="12950" w:type="dxa"/>
            <w:gridSpan w:val="2"/>
            <w:shd w:val="clear" w:color="auto" w:fill="D9D9D9"/>
          </w:tcPr>
          <w:p w14:paraId="01278FB5" w14:textId="77777777" w:rsidR="00A23EC8" w:rsidRPr="003F7F6C" w:rsidRDefault="00A23EC8" w:rsidP="00DF4BF7">
            <w:pPr>
              <w:spacing w:after="0"/>
              <w:rPr>
                <w:b/>
                <w:szCs w:val="22"/>
              </w:rPr>
            </w:pPr>
            <w:r w:rsidRPr="003F7F6C">
              <w:rPr>
                <w:rFonts w:cs="Calibri"/>
                <w:b/>
                <w:bCs/>
                <w:color w:val="000000"/>
                <w:sz w:val="18"/>
                <w:szCs w:val="18"/>
              </w:rPr>
              <w:t>Outcome 2: Application of ELUP procedures and instruments in pilot Provinces with targeted ecoregions and production sector land uses</w:t>
            </w:r>
          </w:p>
        </w:tc>
      </w:tr>
      <w:tr w:rsidR="00A23EC8" w:rsidRPr="003F7F6C" w14:paraId="7E94AAA1" w14:textId="77777777" w:rsidTr="009A700C">
        <w:tc>
          <w:tcPr>
            <w:tcW w:w="1233" w:type="dxa"/>
            <w:shd w:val="clear" w:color="auto" w:fill="auto"/>
          </w:tcPr>
          <w:p w14:paraId="2E7EE2BF" w14:textId="77777777" w:rsidR="00A23EC8" w:rsidRPr="003F7F6C" w:rsidRDefault="00533E18" w:rsidP="00DF4BF7">
            <w:pPr>
              <w:spacing w:after="0"/>
              <w:jc w:val="center"/>
              <w:rPr>
                <w:szCs w:val="22"/>
              </w:rPr>
            </w:pPr>
            <w:r w:rsidRPr="003F7F6C">
              <w:rPr>
                <w:szCs w:val="22"/>
              </w:rPr>
              <w:t>9</w:t>
            </w:r>
          </w:p>
        </w:tc>
        <w:tc>
          <w:tcPr>
            <w:tcW w:w="11717" w:type="dxa"/>
            <w:shd w:val="clear" w:color="auto" w:fill="auto"/>
          </w:tcPr>
          <w:p w14:paraId="54CD9180" w14:textId="44F9FD1D" w:rsidR="004639A2" w:rsidRPr="003F7F6C" w:rsidRDefault="00F034AD" w:rsidP="00E91275">
            <w:pPr>
              <w:numPr>
                <w:ilvl w:val="0"/>
                <w:numId w:val="38"/>
              </w:numPr>
              <w:spacing w:after="0"/>
              <w:rPr>
                <w:szCs w:val="22"/>
              </w:rPr>
            </w:pPr>
            <w:r w:rsidRPr="003F7F6C">
              <w:rPr>
                <w:szCs w:val="22"/>
              </w:rPr>
              <w:t xml:space="preserve">Project Coordinator to provide technical advice </w:t>
            </w:r>
            <w:r w:rsidR="00EF11A2" w:rsidRPr="003F7F6C">
              <w:rPr>
                <w:szCs w:val="22"/>
              </w:rPr>
              <w:t xml:space="preserve">in the three pilot provinces and </w:t>
            </w:r>
            <w:r w:rsidRPr="003F7F6C">
              <w:rPr>
                <w:szCs w:val="22"/>
              </w:rPr>
              <w:t xml:space="preserve">to participating environmental authorities and key stakeholders in planning and developing ELUP at provincial and target landscape levels. Total cost: USD </w:t>
            </w:r>
            <w:r w:rsidR="00247B4E" w:rsidRPr="003F7F6C">
              <w:rPr>
                <w:szCs w:val="22"/>
              </w:rPr>
              <w:t>28,028</w:t>
            </w:r>
            <w:r w:rsidRPr="003F7F6C">
              <w:rPr>
                <w:szCs w:val="22"/>
              </w:rPr>
              <w:t xml:space="preserve"> (1</w:t>
            </w:r>
            <w:r w:rsidR="004C7074" w:rsidRPr="003F7F6C">
              <w:rPr>
                <w:szCs w:val="22"/>
              </w:rPr>
              <w:t>4</w:t>
            </w:r>
            <w:r w:rsidRPr="003F7F6C">
              <w:rPr>
                <w:szCs w:val="22"/>
              </w:rPr>
              <w:t xml:space="preserve"> months x USD </w:t>
            </w:r>
            <w:r w:rsidR="00247B4E" w:rsidRPr="003F7F6C">
              <w:rPr>
                <w:szCs w:val="22"/>
              </w:rPr>
              <w:t>2,002</w:t>
            </w:r>
            <w:r w:rsidRPr="003F7F6C">
              <w:rPr>
                <w:szCs w:val="22"/>
              </w:rPr>
              <w:t>/month)</w:t>
            </w:r>
          </w:p>
          <w:p w14:paraId="6D53CCB7" w14:textId="77777777" w:rsidR="00533E18" w:rsidRPr="003F7F6C" w:rsidRDefault="00533E18" w:rsidP="00E91275">
            <w:pPr>
              <w:numPr>
                <w:ilvl w:val="0"/>
                <w:numId w:val="38"/>
              </w:numPr>
              <w:spacing w:after="0"/>
              <w:rPr>
                <w:szCs w:val="22"/>
              </w:rPr>
            </w:pPr>
            <w:r w:rsidRPr="003F7F6C">
              <w:rPr>
                <w:szCs w:val="22"/>
              </w:rPr>
              <w:t>Stakeholder Engagement Specialist to support provincial implementation of the Stakeholder Engagement Plan, including stakeholder mapping, design and implementation of multi-stakeholder dialogue and coordination spaces, developing capacity building programs for provincial level strengthening, promotion of stakeholder participation in project interventions (Output 2.2). Total cost: USD 14,000 (14 months x USD 1,000).</w:t>
            </w:r>
          </w:p>
          <w:p w14:paraId="42E173EE" w14:textId="77777777" w:rsidR="00A23EC8" w:rsidRPr="003F7F6C" w:rsidRDefault="00533E18" w:rsidP="00E91275">
            <w:pPr>
              <w:numPr>
                <w:ilvl w:val="0"/>
                <w:numId w:val="38"/>
              </w:numPr>
              <w:spacing w:after="0"/>
              <w:rPr>
                <w:szCs w:val="22"/>
              </w:rPr>
            </w:pPr>
            <w:r w:rsidRPr="003F7F6C">
              <w:rPr>
                <w:szCs w:val="22"/>
              </w:rPr>
              <w:t xml:space="preserve">Gender Specialist for supervision, coordination and implementation of the Gender Action Plan: gender mainstreaming in provincial ELUP instruments (Output 2.1), participation of women in dialogue spaces (Output 2.2), economic and financial instruments (Output 2.3) and </w:t>
            </w:r>
            <w:r w:rsidR="00B810A7" w:rsidRPr="003F7F6C">
              <w:rPr>
                <w:szCs w:val="22"/>
              </w:rPr>
              <w:t>testing and validating best practices</w:t>
            </w:r>
            <w:r w:rsidRPr="003F7F6C">
              <w:rPr>
                <w:szCs w:val="22"/>
              </w:rPr>
              <w:t xml:space="preserve"> (Output </w:t>
            </w:r>
            <w:r w:rsidR="00B810A7" w:rsidRPr="003F7F6C">
              <w:rPr>
                <w:szCs w:val="22"/>
              </w:rPr>
              <w:t>2</w:t>
            </w:r>
            <w:r w:rsidRPr="003F7F6C">
              <w:rPr>
                <w:szCs w:val="22"/>
              </w:rPr>
              <w:t>.4). Total cost: USD 18,000 (18 months x USD 1,000/month).</w:t>
            </w:r>
          </w:p>
          <w:p w14:paraId="5E293738" w14:textId="0C4183AC" w:rsidR="003F4DFF" w:rsidRPr="003F7F6C" w:rsidRDefault="003F4DFF" w:rsidP="00E91275">
            <w:pPr>
              <w:numPr>
                <w:ilvl w:val="0"/>
                <w:numId w:val="38"/>
              </w:numPr>
              <w:spacing w:after="0"/>
              <w:rPr>
                <w:szCs w:val="22"/>
              </w:rPr>
            </w:pPr>
            <w:r w:rsidRPr="003F7F6C">
              <w:rPr>
                <w:szCs w:val="22"/>
              </w:rPr>
              <w:t>Three provincial technicians</w:t>
            </w:r>
            <w:r w:rsidR="00104B11" w:rsidRPr="003F7F6C">
              <w:rPr>
                <w:szCs w:val="22"/>
              </w:rPr>
              <w:t>,</w:t>
            </w:r>
            <w:r w:rsidR="00B9076A" w:rsidRPr="003F7F6C">
              <w:rPr>
                <w:szCs w:val="22"/>
              </w:rPr>
              <w:t xml:space="preserve"> </w:t>
            </w:r>
            <w:r w:rsidR="00FB1C43" w:rsidRPr="003F7F6C">
              <w:rPr>
                <w:szCs w:val="22"/>
              </w:rPr>
              <w:t xml:space="preserve">one </w:t>
            </w:r>
            <w:r w:rsidR="00B9076A" w:rsidRPr="003F7F6C">
              <w:rPr>
                <w:szCs w:val="22"/>
              </w:rPr>
              <w:t>based in each province</w:t>
            </w:r>
            <w:r w:rsidRPr="003F7F6C">
              <w:rPr>
                <w:szCs w:val="22"/>
              </w:rPr>
              <w:t xml:space="preserve"> for backstopping and technical support, and monitoring of project activities in pilot provinces. Total cost: USD </w:t>
            </w:r>
            <w:r w:rsidR="00247B4E" w:rsidRPr="003F7F6C">
              <w:rPr>
                <w:szCs w:val="22"/>
              </w:rPr>
              <w:t>243,216</w:t>
            </w:r>
            <w:r w:rsidRPr="003F7F6C">
              <w:rPr>
                <w:szCs w:val="22"/>
              </w:rPr>
              <w:t xml:space="preserve"> (3 x 72 months x USD </w:t>
            </w:r>
            <w:r w:rsidR="00635762" w:rsidRPr="003F7F6C">
              <w:rPr>
                <w:szCs w:val="22"/>
              </w:rPr>
              <w:t>1,126</w:t>
            </w:r>
            <w:r w:rsidRPr="003F7F6C">
              <w:rPr>
                <w:szCs w:val="22"/>
              </w:rPr>
              <w:t>/month)</w:t>
            </w:r>
          </w:p>
          <w:p w14:paraId="6E383D4D" w14:textId="3E1F2226" w:rsidR="00F034AD" w:rsidRPr="003F7F6C" w:rsidRDefault="00F034AD" w:rsidP="00E91275">
            <w:pPr>
              <w:numPr>
                <w:ilvl w:val="0"/>
                <w:numId w:val="38"/>
              </w:numPr>
              <w:spacing w:after="0"/>
              <w:rPr>
                <w:szCs w:val="22"/>
              </w:rPr>
            </w:pPr>
            <w:r w:rsidRPr="003F7F6C">
              <w:rPr>
                <w:szCs w:val="22"/>
              </w:rPr>
              <w:t xml:space="preserve">Administrative Assistant to support the Project Coordinator in planning and </w:t>
            </w:r>
            <w:r w:rsidR="004C7074" w:rsidRPr="003F7F6C">
              <w:rPr>
                <w:szCs w:val="22"/>
              </w:rPr>
              <w:t xml:space="preserve">supporting </w:t>
            </w:r>
            <w:r w:rsidRPr="003F7F6C">
              <w:rPr>
                <w:szCs w:val="22"/>
              </w:rPr>
              <w:t xml:space="preserve">implementation of activities under Outcome 2. Total cost: USD </w:t>
            </w:r>
            <w:r w:rsidR="00247B4E" w:rsidRPr="003F7F6C">
              <w:rPr>
                <w:szCs w:val="22"/>
              </w:rPr>
              <w:t>11,676</w:t>
            </w:r>
            <w:r w:rsidRPr="003F7F6C">
              <w:rPr>
                <w:szCs w:val="22"/>
              </w:rPr>
              <w:t xml:space="preserve"> (1</w:t>
            </w:r>
            <w:r w:rsidR="004C7074" w:rsidRPr="003F7F6C">
              <w:rPr>
                <w:szCs w:val="22"/>
              </w:rPr>
              <w:t>4</w:t>
            </w:r>
            <w:r w:rsidRPr="003F7F6C">
              <w:rPr>
                <w:szCs w:val="22"/>
              </w:rPr>
              <w:t xml:space="preserve"> months x USD </w:t>
            </w:r>
            <w:r w:rsidR="00247B4E" w:rsidRPr="003F7F6C">
              <w:rPr>
                <w:szCs w:val="22"/>
              </w:rPr>
              <w:t>834</w:t>
            </w:r>
            <w:r w:rsidRPr="003F7F6C">
              <w:rPr>
                <w:szCs w:val="22"/>
              </w:rPr>
              <w:t>/month)</w:t>
            </w:r>
            <w:r w:rsidR="00FB1C43" w:rsidRPr="003F7F6C">
              <w:rPr>
                <w:szCs w:val="22"/>
              </w:rPr>
              <w:t xml:space="preserve"> </w:t>
            </w:r>
          </w:p>
        </w:tc>
      </w:tr>
      <w:tr w:rsidR="00A23EC8" w:rsidRPr="003F7F6C" w14:paraId="3B747620" w14:textId="77777777" w:rsidTr="009A700C">
        <w:tc>
          <w:tcPr>
            <w:tcW w:w="1233" w:type="dxa"/>
            <w:shd w:val="clear" w:color="auto" w:fill="auto"/>
          </w:tcPr>
          <w:p w14:paraId="2862E5D7" w14:textId="77777777" w:rsidR="00A23EC8" w:rsidRPr="003F7F6C" w:rsidRDefault="008F5B20" w:rsidP="00DF4BF7">
            <w:pPr>
              <w:spacing w:after="0"/>
              <w:jc w:val="center"/>
              <w:rPr>
                <w:szCs w:val="22"/>
              </w:rPr>
            </w:pPr>
            <w:r w:rsidRPr="003F7F6C">
              <w:rPr>
                <w:szCs w:val="22"/>
              </w:rPr>
              <w:t>10</w:t>
            </w:r>
          </w:p>
        </w:tc>
        <w:tc>
          <w:tcPr>
            <w:tcW w:w="11717" w:type="dxa"/>
            <w:shd w:val="clear" w:color="auto" w:fill="auto"/>
          </w:tcPr>
          <w:p w14:paraId="75182C9D" w14:textId="23033E54" w:rsidR="00A23EC8" w:rsidRPr="003F7F6C" w:rsidRDefault="008F5B20" w:rsidP="00DF4BF7">
            <w:pPr>
              <w:spacing w:after="0"/>
              <w:rPr>
                <w:szCs w:val="22"/>
              </w:rPr>
            </w:pPr>
            <w:r w:rsidRPr="003F7F6C">
              <w:rPr>
                <w:szCs w:val="22"/>
              </w:rPr>
              <w:t xml:space="preserve">Travel related to technical support for development of provincial ELUP (Output 2.1); promotion of stakeholder participation (Output 2.2); economic instruments (Output 2.3); and monitoring of best practices implemented by the provinces in the target landscapes (Output 2.4). Total cost: USD </w:t>
            </w:r>
            <w:r w:rsidR="003E141D" w:rsidRPr="003F7F6C">
              <w:rPr>
                <w:szCs w:val="22"/>
              </w:rPr>
              <w:t>142,992</w:t>
            </w:r>
            <w:r w:rsidRPr="003F7F6C">
              <w:rPr>
                <w:szCs w:val="22"/>
              </w:rPr>
              <w:t xml:space="preserve"> (72 months x USD </w:t>
            </w:r>
            <w:r w:rsidR="003E141D" w:rsidRPr="003F7F6C">
              <w:rPr>
                <w:szCs w:val="22"/>
              </w:rPr>
              <w:t>1,986</w:t>
            </w:r>
            <w:r w:rsidRPr="003F7F6C">
              <w:rPr>
                <w:szCs w:val="22"/>
              </w:rPr>
              <w:t>/month)</w:t>
            </w:r>
          </w:p>
        </w:tc>
      </w:tr>
      <w:tr w:rsidR="00721653" w:rsidRPr="003F7F6C" w14:paraId="417384AA" w14:textId="77777777" w:rsidTr="009A700C">
        <w:tc>
          <w:tcPr>
            <w:tcW w:w="1233" w:type="dxa"/>
            <w:shd w:val="clear" w:color="auto" w:fill="auto"/>
          </w:tcPr>
          <w:p w14:paraId="7DE48376" w14:textId="77777777" w:rsidR="00721653" w:rsidRPr="003F7F6C" w:rsidRDefault="00721653" w:rsidP="00DF4BF7">
            <w:pPr>
              <w:spacing w:after="0"/>
              <w:jc w:val="center"/>
              <w:rPr>
                <w:szCs w:val="22"/>
              </w:rPr>
            </w:pPr>
            <w:r w:rsidRPr="003F7F6C">
              <w:rPr>
                <w:szCs w:val="22"/>
              </w:rPr>
              <w:t>11</w:t>
            </w:r>
          </w:p>
        </w:tc>
        <w:tc>
          <w:tcPr>
            <w:tcW w:w="11717" w:type="dxa"/>
            <w:shd w:val="clear" w:color="auto" w:fill="auto"/>
          </w:tcPr>
          <w:p w14:paraId="66F1A97E" w14:textId="6DEF57EC" w:rsidR="00187C81" w:rsidRPr="003F7F6C" w:rsidRDefault="00187C81" w:rsidP="00E91275">
            <w:pPr>
              <w:numPr>
                <w:ilvl w:val="0"/>
                <w:numId w:val="39"/>
              </w:numPr>
              <w:spacing w:after="0"/>
              <w:rPr>
                <w:szCs w:val="22"/>
              </w:rPr>
            </w:pPr>
            <w:r w:rsidRPr="003F7F6C">
              <w:rPr>
                <w:szCs w:val="22"/>
              </w:rPr>
              <w:t xml:space="preserve">Three </w:t>
            </w:r>
            <w:r w:rsidR="00721653" w:rsidRPr="003F7F6C">
              <w:rPr>
                <w:szCs w:val="22"/>
              </w:rPr>
              <w:t xml:space="preserve">4 x 4 vehicles for project mobilization in </w:t>
            </w:r>
            <w:r w:rsidR="001D5844" w:rsidRPr="003F7F6C">
              <w:rPr>
                <w:szCs w:val="22"/>
              </w:rPr>
              <w:t xml:space="preserve">the provinces of Buenos Aires, Mendoza and Jujuy. Total cost: USD </w:t>
            </w:r>
            <w:r w:rsidR="003E141D" w:rsidRPr="003F7F6C">
              <w:rPr>
                <w:szCs w:val="22"/>
              </w:rPr>
              <w:t>112</w:t>
            </w:r>
            <w:r w:rsidR="004F6A51" w:rsidRPr="003F7F6C">
              <w:rPr>
                <w:szCs w:val="22"/>
              </w:rPr>
              <w:t>,500</w:t>
            </w:r>
            <w:r w:rsidR="001D5844" w:rsidRPr="003F7F6C">
              <w:rPr>
                <w:szCs w:val="22"/>
              </w:rPr>
              <w:t xml:space="preserve"> (3 x USD </w:t>
            </w:r>
            <w:r w:rsidR="004F6A51" w:rsidRPr="003F7F6C">
              <w:rPr>
                <w:szCs w:val="22"/>
              </w:rPr>
              <w:t>37,500</w:t>
            </w:r>
            <w:r w:rsidR="001D5844" w:rsidRPr="003F7F6C">
              <w:rPr>
                <w:szCs w:val="22"/>
              </w:rPr>
              <w:t>)</w:t>
            </w:r>
            <w:r w:rsidR="0080213D" w:rsidRPr="003F7F6C">
              <w:rPr>
                <w:szCs w:val="22"/>
              </w:rPr>
              <w:t>. Purchase of vehicles is proposed given that the concerned institutions cannot guarantee that their own resources are sufficient to ensure an adequate level of presence in the target landscapes to ensure the proposed interventions are effectively carried out to achieve the expected outputs and outcomes.</w:t>
            </w:r>
            <w:r w:rsidR="006A6ADF" w:rsidRPr="003F7F6C">
              <w:rPr>
                <w:szCs w:val="22"/>
              </w:rPr>
              <w:t xml:space="preserve"> Several target landscapes are located far from the provincial capitals and distances are </w:t>
            </w:r>
            <w:r w:rsidR="00D82B2F" w:rsidRPr="003F7F6C">
              <w:rPr>
                <w:szCs w:val="22"/>
              </w:rPr>
              <w:t>large</w:t>
            </w:r>
            <w:r w:rsidR="006A6ADF" w:rsidRPr="003F7F6C">
              <w:rPr>
                <w:szCs w:val="22"/>
              </w:rPr>
              <w:t>.</w:t>
            </w:r>
            <w:r w:rsidR="0080213D" w:rsidRPr="003F7F6C">
              <w:rPr>
                <w:szCs w:val="22"/>
              </w:rPr>
              <w:t xml:space="preserve"> </w:t>
            </w:r>
            <w:r w:rsidR="006A6ADF" w:rsidRPr="003F7F6C">
              <w:rPr>
                <w:szCs w:val="22"/>
              </w:rPr>
              <w:t>Public institutions currently have budgetary restrictions in regard to procurement of vehicles.</w:t>
            </w:r>
          </w:p>
          <w:p w14:paraId="4C17A075" w14:textId="594C5552" w:rsidR="001D5844" w:rsidRPr="003F7F6C" w:rsidRDefault="001D5844" w:rsidP="00E91275">
            <w:pPr>
              <w:numPr>
                <w:ilvl w:val="0"/>
                <w:numId w:val="39"/>
              </w:numPr>
              <w:spacing w:after="0"/>
              <w:rPr>
                <w:szCs w:val="22"/>
              </w:rPr>
            </w:pPr>
            <w:r w:rsidRPr="003F7F6C">
              <w:rPr>
                <w:szCs w:val="22"/>
              </w:rPr>
              <w:t>Equipment to strengthen the</w:t>
            </w:r>
            <w:r w:rsidR="001B3E08" w:rsidRPr="003F7F6C">
              <w:rPr>
                <w:szCs w:val="22"/>
              </w:rPr>
              <w:t xml:space="preserve"> provinces for implementation and monitoring of activities:</w:t>
            </w:r>
            <w:r w:rsidR="004D4889" w:rsidRPr="003F7F6C">
              <w:rPr>
                <w:szCs w:val="22"/>
              </w:rPr>
              <w:t xml:space="preserve"> computer equipment and accessories; equipment for management of remote sensing information and large data bases; equipment for environmental monitoring. </w:t>
            </w:r>
            <w:r w:rsidR="001B3E08" w:rsidRPr="003F7F6C">
              <w:rPr>
                <w:szCs w:val="22"/>
              </w:rPr>
              <w:t xml:space="preserve">Total cost: USD </w:t>
            </w:r>
            <w:r w:rsidR="00635762" w:rsidRPr="003F7F6C">
              <w:rPr>
                <w:szCs w:val="22"/>
              </w:rPr>
              <w:t>4</w:t>
            </w:r>
            <w:r w:rsidR="004F6A51" w:rsidRPr="003F7F6C">
              <w:rPr>
                <w:szCs w:val="22"/>
              </w:rPr>
              <w:t>0</w:t>
            </w:r>
            <w:r w:rsidR="00635762" w:rsidRPr="003F7F6C">
              <w:rPr>
                <w:szCs w:val="22"/>
              </w:rPr>
              <w:t>0,000</w:t>
            </w:r>
            <w:r w:rsidR="004D4889" w:rsidRPr="003F7F6C">
              <w:rPr>
                <w:szCs w:val="22"/>
              </w:rPr>
              <w:t>.  This equipment will be detailed in the agreements to be signed by the SGAyDS and pilot provinces</w:t>
            </w:r>
            <w:r w:rsidR="00080343" w:rsidRPr="003F7F6C">
              <w:rPr>
                <w:szCs w:val="22"/>
              </w:rPr>
              <w:t xml:space="preserve"> for implementation of activities at provincial level. </w:t>
            </w:r>
          </w:p>
        </w:tc>
      </w:tr>
      <w:tr w:rsidR="001D5844" w:rsidRPr="003F7F6C" w14:paraId="50093D9B" w14:textId="77777777" w:rsidTr="009A700C">
        <w:tc>
          <w:tcPr>
            <w:tcW w:w="1233" w:type="dxa"/>
            <w:shd w:val="clear" w:color="auto" w:fill="auto"/>
          </w:tcPr>
          <w:p w14:paraId="07B557A3" w14:textId="77777777" w:rsidR="001D5844" w:rsidRPr="003F7F6C" w:rsidRDefault="001D5844" w:rsidP="00DF4BF7">
            <w:pPr>
              <w:spacing w:after="0"/>
              <w:jc w:val="center"/>
              <w:rPr>
                <w:szCs w:val="22"/>
              </w:rPr>
            </w:pPr>
            <w:r w:rsidRPr="003F7F6C">
              <w:rPr>
                <w:szCs w:val="22"/>
              </w:rPr>
              <w:t>12</w:t>
            </w:r>
          </w:p>
        </w:tc>
        <w:tc>
          <w:tcPr>
            <w:tcW w:w="11717" w:type="dxa"/>
            <w:shd w:val="clear" w:color="auto" w:fill="auto"/>
          </w:tcPr>
          <w:p w14:paraId="52EFAE94" w14:textId="77777777" w:rsidR="001D5844" w:rsidRPr="003F7F6C" w:rsidRDefault="004F265F" w:rsidP="00DF4BF7">
            <w:pPr>
              <w:spacing w:after="0"/>
              <w:rPr>
                <w:szCs w:val="22"/>
              </w:rPr>
            </w:pPr>
            <w:r w:rsidRPr="003F7F6C">
              <w:rPr>
                <w:szCs w:val="22"/>
              </w:rPr>
              <w:t xml:space="preserve">Fuel for project mobilization in target landscapes of the provinces (Mendoza – Malargüe; La Plata – Carmen de Patagones; Jujuy – Paso Jama and Jujuy – Valle Grande). Total cost: USD </w:t>
            </w:r>
            <w:r w:rsidR="00C72A0D" w:rsidRPr="003F7F6C">
              <w:rPr>
                <w:szCs w:val="22"/>
              </w:rPr>
              <w:t>50,000</w:t>
            </w:r>
          </w:p>
        </w:tc>
      </w:tr>
      <w:tr w:rsidR="00DB5D01" w:rsidRPr="003F7F6C" w14:paraId="293D87A1" w14:textId="77777777" w:rsidTr="009A700C">
        <w:tc>
          <w:tcPr>
            <w:tcW w:w="1233" w:type="dxa"/>
            <w:shd w:val="clear" w:color="auto" w:fill="auto"/>
          </w:tcPr>
          <w:p w14:paraId="0D8D34FC" w14:textId="3BD2E054" w:rsidR="00DB5D01" w:rsidRPr="003F7F6C" w:rsidRDefault="00DB5D01" w:rsidP="00DB5D01">
            <w:pPr>
              <w:spacing w:after="0"/>
              <w:jc w:val="center"/>
              <w:rPr>
                <w:szCs w:val="22"/>
              </w:rPr>
            </w:pPr>
            <w:r w:rsidRPr="003F7F6C">
              <w:rPr>
                <w:szCs w:val="22"/>
              </w:rPr>
              <w:t>13</w:t>
            </w:r>
          </w:p>
        </w:tc>
        <w:tc>
          <w:tcPr>
            <w:tcW w:w="11717" w:type="dxa"/>
            <w:shd w:val="clear" w:color="auto" w:fill="auto"/>
          </w:tcPr>
          <w:p w14:paraId="7D365A92" w14:textId="127161AB" w:rsidR="00DB5D01" w:rsidRPr="003F7F6C" w:rsidRDefault="00A22DA7" w:rsidP="00DB5D01">
            <w:pPr>
              <w:spacing w:after="0"/>
              <w:rPr>
                <w:szCs w:val="22"/>
              </w:rPr>
            </w:pPr>
            <w:r w:rsidRPr="00A22DA7">
              <w:rPr>
                <w:szCs w:val="22"/>
              </w:rPr>
              <w:t>Plan to engage the provincial governments of Buenos Aires, Mendoza and Jujuy, and INTA, for development of provincial ELUP regulations (Output 1.1), stakeholder dialogue and coordination (Output 2.2); economic and financial instruments (Output 2.3) and testing and validating environmentally friendly and sustainable practices (Output 2.4). Total cost: USD 4,700,000 (3 agreements with provinces x USD 1,300,000 each; USD 800,000 agreement with INTA).  All agreements will follow UNDP policies.</w:t>
            </w:r>
          </w:p>
        </w:tc>
      </w:tr>
      <w:tr w:rsidR="004F265F" w:rsidRPr="003F7F6C" w14:paraId="5A3C009D" w14:textId="77777777" w:rsidTr="009A700C">
        <w:tc>
          <w:tcPr>
            <w:tcW w:w="1233" w:type="dxa"/>
            <w:shd w:val="clear" w:color="auto" w:fill="auto"/>
          </w:tcPr>
          <w:p w14:paraId="3888F73E" w14:textId="77777777" w:rsidR="004F265F" w:rsidRPr="003F7F6C" w:rsidRDefault="00F42CF5" w:rsidP="00DF4BF7">
            <w:pPr>
              <w:spacing w:after="0"/>
              <w:jc w:val="center"/>
              <w:rPr>
                <w:szCs w:val="22"/>
              </w:rPr>
            </w:pPr>
            <w:r w:rsidRPr="003F7F6C">
              <w:rPr>
                <w:szCs w:val="22"/>
              </w:rPr>
              <w:t>1</w:t>
            </w:r>
            <w:r w:rsidR="00C72A0D" w:rsidRPr="003F7F6C">
              <w:rPr>
                <w:szCs w:val="22"/>
              </w:rPr>
              <w:t>4</w:t>
            </w:r>
          </w:p>
        </w:tc>
        <w:tc>
          <w:tcPr>
            <w:tcW w:w="11717" w:type="dxa"/>
            <w:shd w:val="clear" w:color="auto" w:fill="auto"/>
          </w:tcPr>
          <w:p w14:paraId="7981D17F" w14:textId="64275B4F" w:rsidR="004F265F" w:rsidRPr="003F7F6C" w:rsidRDefault="00F42CF5" w:rsidP="00DF4BF7">
            <w:pPr>
              <w:spacing w:after="0"/>
              <w:rPr>
                <w:szCs w:val="22"/>
              </w:rPr>
            </w:pPr>
            <w:r w:rsidRPr="003F7F6C">
              <w:rPr>
                <w:szCs w:val="22"/>
              </w:rPr>
              <w:t xml:space="preserve">Workshops/meetings/roundtables for provincial level discussion. Total cost USD </w:t>
            </w:r>
            <w:r w:rsidR="004F6A51" w:rsidRPr="003F7F6C">
              <w:rPr>
                <w:szCs w:val="22"/>
              </w:rPr>
              <w:t>152,347</w:t>
            </w:r>
          </w:p>
          <w:p w14:paraId="044EFC63" w14:textId="12876A6B" w:rsidR="00F42CF5" w:rsidRPr="003F7F6C" w:rsidRDefault="00F42CF5" w:rsidP="00DF4BF7">
            <w:pPr>
              <w:spacing w:after="0"/>
              <w:rPr>
                <w:szCs w:val="22"/>
              </w:rPr>
            </w:pPr>
            <w:r w:rsidRPr="003F7F6C">
              <w:rPr>
                <w:szCs w:val="22"/>
              </w:rPr>
              <w:t>a) environmental variables, standardization of data, ELUP regulations (Output 2.1): USD</w:t>
            </w:r>
            <w:r w:rsidR="00FB42BE" w:rsidRPr="003F7F6C">
              <w:rPr>
                <w:szCs w:val="22"/>
              </w:rPr>
              <w:t xml:space="preserve"> </w:t>
            </w:r>
            <w:r w:rsidR="00635762" w:rsidRPr="003F7F6C">
              <w:rPr>
                <w:szCs w:val="22"/>
              </w:rPr>
              <w:t>2</w:t>
            </w:r>
            <w:r w:rsidR="004F6A51" w:rsidRPr="003F7F6C">
              <w:rPr>
                <w:szCs w:val="22"/>
              </w:rPr>
              <w:t>0</w:t>
            </w:r>
            <w:r w:rsidR="00635762" w:rsidRPr="003F7F6C">
              <w:rPr>
                <w:szCs w:val="22"/>
              </w:rPr>
              <w:t>,000</w:t>
            </w:r>
          </w:p>
          <w:p w14:paraId="65351032" w14:textId="7B4EA416" w:rsidR="00F42CF5" w:rsidRPr="003F7F6C" w:rsidRDefault="00FB42BE" w:rsidP="00DF4BF7">
            <w:pPr>
              <w:spacing w:after="0"/>
              <w:rPr>
                <w:szCs w:val="22"/>
              </w:rPr>
            </w:pPr>
            <w:r w:rsidRPr="003F7F6C">
              <w:rPr>
                <w:szCs w:val="22"/>
              </w:rPr>
              <w:t>b</w:t>
            </w:r>
            <w:r w:rsidR="00F42CF5" w:rsidRPr="003F7F6C">
              <w:rPr>
                <w:szCs w:val="22"/>
              </w:rPr>
              <w:t xml:space="preserve">) </w:t>
            </w:r>
            <w:r w:rsidRPr="003F7F6C">
              <w:rPr>
                <w:szCs w:val="22"/>
              </w:rPr>
              <w:t xml:space="preserve">dialogue, awareness raising and capacity building for ELUP and stakeholder participation (Output 2.2): USD </w:t>
            </w:r>
            <w:r w:rsidR="004F6A51" w:rsidRPr="003F7F6C">
              <w:rPr>
                <w:szCs w:val="22"/>
              </w:rPr>
              <w:t>56</w:t>
            </w:r>
            <w:r w:rsidR="00635762" w:rsidRPr="003F7F6C">
              <w:rPr>
                <w:szCs w:val="22"/>
              </w:rPr>
              <w:t>,000</w:t>
            </w:r>
          </w:p>
          <w:p w14:paraId="3FBB2AC7" w14:textId="43152D72" w:rsidR="00FB42BE" w:rsidRPr="003F7F6C" w:rsidRDefault="00F42CF5" w:rsidP="00DF4BF7">
            <w:pPr>
              <w:spacing w:after="0"/>
              <w:rPr>
                <w:szCs w:val="22"/>
              </w:rPr>
            </w:pPr>
            <w:r w:rsidRPr="003F7F6C">
              <w:rPr>
                <w:szCs w:val="22"/>
              </w:rPr>
              <w:t xml:space="preserve">c) </w:t>
            </w:r>
            <w:r w:rsidR="00FB42BE" w:rsidRPr="003F7F6C">
              <w:rPr>
                <w:szCs w:val="22"/>
              </w:rPr>
              <w:t xml:space="preserve">development of economic and financial instruments (Output 2.3): USD </w:t>
            </w:r>
            <w:r w:rsidR="004F6A51" w:rsidRPr="003F7F6C">
              <w:rPr>
                <w:szCs w:val="22"/>
              </w:rPr>
              <w:t>40,347</w:t>
            </w:r>
          </w:p>
          <w:p w14:paraId="0A64DB41" w14:textId="3BEA9AD8" w:rsidR="00F42CF5" w:rsidRPr="003F7F6C" w:rsidRDefault="00FB42BE" w:rsidP="00DF4BF7">
            <w:pPr>
              <w:spacing w:after="0"/>
              <w:rPr>
                <w:szCs w:val="22"/>
              </w:rPr>
            </w:pPr>
            <w:r w:rsidRPr="003F7F6C">
              <w:rPr>
                <w:szCs w:val="22"/>
              </w:rPr>
              <w:t>d</w:t>
            </w:r>
            <w:r w:rsidR="00F42CF5" w:rsidRPr="003F7F6C">
              <w:rPr>
                <w:szCs w:val="22"/>
              </w:rPr>
              <w:t xml:space="preserve">) awareness raising and capacity building for gender mainstreaming (cross-cutting): USD </w:t>
            </w:r>
            <w:r w:rsidR="004F6A51" w:rsidRPr="003F7F6C">
              <w:rPr>
                <w:szCs w:val="22"/>
              </w:rPr>
              <w:t>36,000</w:t>
            </w:r>
          </w:p>
        </w:tc>
      </w:tr>
      <w:tr w:rsidR="00A23EC8" w:rsidRPr="003F7F6C" w14:paraId="03177F2C" w14:textId="77777777" w:rsidTr="009A700C">
        <w:tc>
          <w:tcPr>
            <w:tcW w:w="12950" w:type="dxa"/>
            <w:gridSpan w:val="2"/>
            <w:shd w:val="clear" w:color="auto" w:fill="D9D9D9"/>
          </w:tcPr>
          <w:p w14:paraId="4AF0631F" w14:textId="77777777" w:rsidR="00A23EC8" w:rsidRPr="003F7F6C" w:rsidRDefault="00A23EC8" w:rsidP="00DF4BF7">
            <w:pPr>
              <w:spacing w:after="0"/>
              <w:rPr>
                <w:b/>
                <w:szCs w:val="22"/>
              </w:rPr>
            </w:pPr>
            <w:r w:rsidRPr="003F7F6C">
              <w:rPr>
                <w:rFonts w:cs="Calibri"/>
                <w:b/>
                <w:bCs/>
                <w:color w:val="000000"/>
                <w:sz w:val="18"/>
                <w:szCs w:val="18"/>
              </w:rPr>
              <w:t>Outcome 3:  Replicability framework for ELUP uptake in all Argentine provinces</w:t>
            </w:r>
          </w:p>
        </w:tc>
      </w:tr>
      <w:tr w:rsidR="00A23EC8" w:rsidRPr="003F7F6C" w14:paraId="1393A860" w14:textId="77777777" w:rsidTr="009A700C">
        <w:tc>
          <w:tcPr>
            <w:tcW w:w="1233" w:type="dxa"/>
            <w:shd w:val="clear" w:color="auto" w:fill="auto"/>
          </w:tcPr>
          <w:p w14:paraId="37766578" w14:textId="77777777" w:rsidR="00A23EC8" w:rsidRPr="003F7F6C" w:rsidRDefault="000E514C" w:rsidP="00DF4BF7">
            <w:pPr>
              <w:spacing w:after="0"/>
              <w:jc w:val="center"/>
              <w:rPr>
                <w:szCs w:val="22"/>
              </w:rPr>
            </w:pPr>
            <w:r w:rsidRPr="003F7F6C">
              <w:rPr>
                <w:szCs w:val="22"/>
              </w:rPr>
              <w:t>1</w:t>
            </w:r>
            <w:r w:rsidR="005D668C" w:rsidRPr="003F7F6C">
              <w:rPr>
                <w:szCs w:val="22"/>
              </w:rPr>
              <w:t>5</w:t>
            </w:r>
          </w:p>
        </w:tc>
        <w:tc>
          <w:tcPr>
            <w:tcW w:w="11717" w:type="dxa"/>
            <w:shd w:val="clear" w:color="auto" w:fill="auto"/>
          </w:tcPr>
          <w:p w14:paraId="541F860F" w14:textId="3ACFE9B8" w:rsidR="00645195" w:rsidRPr="003F7F6C" w:rsidRDefault="00645195" w:rsidP="00E91275">
            <w:pPr>
              <w:numPr>
                <w:ilvl w:val="0"/>
                <w:numId w:val="38"/>
              </w:numPr>
              <w:spacing w:after="0"/>
              <w:rPr>
                <w:szCs w:val="22"/>
              </w:rPr>
            </w:pPr>
            <w:r w:rsidRPr="003F7F6C">
              <w:rPr>
                <w:szCs w:val="22"/>
              </w:rPr>
              <w:t xml:space="preserve">Project Coordinator to technically support the SGAyDS in development of the ELUP approach, including the assessment of experiences and lessons learned from </w:t>
            </w:r>
            <w:r w:rsidR="006D6380" w:rsidRPr="003F7F6C">
              <w:rPr>
                <w:szCs w:val="22"/>
              </w:rPr>
              <w:t>ongoing and past projects; facilitating dialogue and coordination with selected non-pilot provinces to initiate ELUP; elaboration of methodological guides for ELUP</w:t>
            </w:r>
            <w:r w:rsidRPr="003F7F6C">
              <w:rPr>
                <w:szCs w:val="22"/>
              </w:rPr>
              <w:t xml:space="preserve">. Total cost: USD </w:t>
            </w:r>
            <w:r w:rsidR="00FA37F7" w:rsidRPr="003F7F6C">
              <w:rPr>
                <w:szCs w:val="22"/>
              </w:rPr>
              <w:t>28,028</w:t>
            </w:r>
            <w:r w:rsidRPr="003F7F6C">
              <w:rPr>
                <w:szCs w:val="22"/>
              </w:rPr>
              <w:t xml:space="preserve"> (1</w:t>
            </w:r>
            <w:r w:rsidR="00467711" w:rsidRPr="003F7F6C">
              <w:rPr>
                <w:szCs w:val="22"/>
              </w:rPr>
              <w:t>4</w:t>
            </w:r>
            <w:r w:rsidRPr="003F7F6C">
              <w:rPr>
                <w:szCs w:val="22"/>
              </w:rPr>
              <w:t xml:space="preserve"> months x USD </w:t>
            </w:r>
            <w:r w:rsidR="00FA37F7" w:rsidRPr="003F7F6C">
              <w:rPr>
                <w:szCs w:val="22"/>
              </w:rPr>
              <w:t>2,002</w:t>
            </w:r>
            <w:r w:rsidRPr="003F7F6C">
              <w:rPr>
                <w:szCs w:val="22"/>
              </w:rPr>
              <w:t>/month)</w:t>
            </w:r>
          </w:p>
          <w:p w14:paraId="5866D9A5" w14:textId="77777777" w:rsidR="000E514C" w:rsidRPr="003F7F6C" w:rsidRDefault="000E514C" w:rsidP="00E91275">
            <w:pPr>
              <w:numPr>
                <w:ilvl w:val="0"/>
                <w:numId w:val="38"/>
              </w:numPr>
              <w:spacing w:after="0"/>
              <w:rPr>
                <w:szCs w:val="22"/>
              </w:rPr>
            </w:pPr>
            <w:r w:rsidRPr="003F7F6C">
              <w:rPr>
                <w:szCs w:val="22"/>
              </w:rPr>
              <w:t>Information Systems Specialist to support the design of the system for evaluation and monitoring of ELUP implementation and develop a financial sustainability plan for the system</w:t>
            </w:r>
            <w:r w:rsidR="00592736" w:rsidRPr="003F7F6C">
              <w:rPr>
                <w:szCs w:val="22"/>
              </w:rPr>
              <w:t xml:space="preserve"> (Output 3.3)</w:t>
            </w:r>
            <w:r w:rsidRPr="003F7F6C">
              <w:rPr>
                <w:szCs w:val="22"/>
              </w:rPr>
              <w:t>. Total cost: USD 36,000 (36 months x USD 1,000/month)</w:t>
            </w:r>
          </w:p>
          <w:p w14:paraId="7CB873DE" w14:textId="77777777" w:rsidR="000E514C" w:rsidRPr="003F7F6C" w:rsidRDefault="000E514C" w:rsidP="00E91275">
            <w:pPr>
              <w:numPr>
                <w:ilvl w:val="0"/>
                <w:numId w:val="38"/>
              </w:numPr>
              <w:spacing w:after="0"/>
              <w:rPr>
                <w:szCs w:val="22"/>
              </w:rPr>
            </w:pPr>
            <w:r w:rsidRPr="003F7F6C">
              <w:rPr>
                <w:szCs w:val="22"/>
              </w:rPr>
              <w:t xml:space="preserve">Economic and Financial Instruments Specialist to support assessment </w:t>
            </w:r>
            <w:r w:rsidR="00592736" w:rsidRPr="003F7F6C">
              <w:rPr>
                <w:szCs w:val="22"/>
              </w:rPr>
              <w:t>of lessons learned on ecosystem services valuation, economic and financial instruments and compensation schemes at national level (Output 3.1)</w:t>
            </w:r>
            <w:r w:rsidRPr="003F7F6C">
              <w:rPr>
                <w:szCs w:val="22"/>
              </w:rPr>
              <w:t>. Total Cost: USD 24,000 (24 months x USD 1,000/month)</w:t>
            </w:r>
          </w:p>
          <w:p w14:paraId="4B41FF30" w14:textId="77777777" w:rsidR="00592736" w:rsidRPr="003F7F6C" w:rsidRDefault="00592736" w:rsidP="00E91275">
            <w:pPr>
              <w:numPr>
                <w:ilvl w:val="0"/>
                <w:numId w:val="38"/>
              </w:numPr>
              <w:spacing w:after="0"/>
              <w:rPr>
                <w:szCs w:val="22"/>
              </w:rPr>
            </w:pPr>
            <w:r w:rsidRPr="003F7F6C">
              <w:rPr>
                <w:szCs w:val="22"/>
              </w:rPr>
              <w:t xml:space="preserve">Stakeholder Engagement Specialist to support development of capacity building </w:t>
            </w:r>
            <w:r w:rsidR="001D1529" w:rsidRPr="003F7F6C">
              <w:rPr>
                <w:szCs w:val="22"/>
              </w:rPr>
              <w:t>programs</w:t>
            </w:r>
            <w:r w:rsidRPr="003F7F6C">
              <w:rPr>
                <w:szCs w:val="22"/>
              </w:rPr>
              <w:t xml:space="preserve"> for non-pilot provinces and promotion of stakeholder participation (Output 3.2). Total cost: USD 14,000 (14 months x USD 1,000).</w:t>
            </w:r>
          </w:p>
          <w:p w14:paraId="3DE7B1E0" w14:textId="77777777" w:rsidR="00A23EC8" w:rsidRPr="003F7F6C" w:rsidRDefault="001D1529" w:rsidP="00E91275">
            <w:pPr>
              <w:numPr>
                <w:ilvl w:val="0"/>
                <w:numId w:val="38"/>
              </w:numPr>
              <w:spacing w:after="0"/>
              <w:rPr>
                <w:szCs w:val="22"/>
              </w:rPr>
            </w:pPr>
            <w:r w:rsidRPr="003F7F6C">
              <w:rPr>
                <w:szCs w:val="22"/>
              </w:rPr>
              <w:t>Gender Specialist for supervision, coordination and implementation of the Gender Action Plan: gender mainstreaming</w:t>
            </w:r>
            <w:r w:rsidR="005B0CD2" w:rsidRPr="003F7F6C">
              <w:rPr>
                <w:szCs w:val="22"/>
              </w:rPr>
              <w:t xml:space="preserve"> assessment in non-pilot provinces (Output 3.1)</w:t>
            </w:r>
            <w:r w:rsidRPr="003F7F6C">
              <w:rPr>
                <w:szCs w:val="22"/>
              </w:rPr>
              <w:t xml:space="preserve"> in capacity building programs (Output 3.2), </w:t>
            </w:r>
            <w:r w:rsidR="005B0CD2" w:rsidRPr="003F7F6C">
              <w:rPr>
                <w:szCs w:val="22"/>
              </w:rPr>
              <w:t xml:space="preserve">and </w:t>
            </w:r>
            <w:r w:rsidRPr="003F7F6C">
              <w:rPr>
                <w:szCs w:val="22"/>
              </w:rPr>
              <w:t>methodological guides for ELUP (Output 3.3). Total cost: USD 18,000 (18 months x USD 1,000/month).</w:t>
            </w:r>
          </w:p>
          <w:p w14:paraId="7C9FA541" w14:textId="2909732D" w:rsidR="006D6380" w:rsidRPr="003F7F6C" w:rsidRDefault="006D6380" w:rsidP="00E91275">
            <w:pPr>
              <w:numPr>
                <w:ilvl w:val="0"/>
                <w:numId w:val="38"/>
              </w:numPr>
              <w:spacing w:after="0"/>
              <w:rPr>
                <w:szCs w:val="22"/>
              </w:rPr>
            </w:pPr>
            <w:r w:rsidRPr="003F7F6C">
              <w:rPr>
                <w:szCs w:val="22"/>
              </w:rPr>
              <w:t xml:space="preserve">Administrative Assistant to support the Project Coordinator in planning and following implementation of activities under Outcome </w:t>
            </w:r>
            <w:r w:rsidR="005927EB" w:rsidRPr="003F7F6C">
              <w:rPr>
                <w:szCs w:val="22"/>
              </w:rPr>
              <w:t>3</w:t>
            </w:r>
            <w:r w:rsidRPr="003F7F6C">
              <w:rPr>
                <w:szCs w:val="22"/>
              </w:rPr>
              <w:t xml:space="preserve">. Total cost: USD </w:t>
            </w:r>
            <w:r w:rsidR="00FA37F7" w:rsidRPr="003F7F6C">
              <w:rPr>
                <w:szCs w:val="22"/>
              </w:rPr>
              <w:t>11,676</w:t>
            </w:r>
            <w:r w:rsidRPr="003F7F6C">
              <w:rPr>
                <w:szCs w:val="22"/>
              </w:rPr>
              <w:t xml:space="preserve"> (1</w:t>
            </w:r>
            <w:r w:rsidR="004C7074" w:rsidRPr="003F7F6C">
              <w:rPr>
                <w:szCs w:val="22"/>
              </w:rPr>
              <w:t>4</w:t>
            </w:r>
            <w:r w:rsidRPr="003F7F6C">
              <w:rPr>
                <w:szCs w:val="22"/>
              </w:rPr>
              <w:t xml:space="preserve"> months x USD </w:t>
            </w:r>
            <w:r w:rsidR="00FA37F7" w:rsidRPr="003F7F6C">
              <w:rPr>
                <w:szCs w:val="22"/>
              </w:rPr>
              <w:t>834</w:t>
            </w:r>
            <w:r w:rsidRPr="003F7F6C">
              <w:rPr>
                <w:szCs w:val="22"/>
              </w:rPr>
              <w:t>/month)</w:t>
            </w:r>
          </w:p>
        </w:tc>
      </w:tr>
      <w:tr w:rsidR="000E514C" w:rsidRPr="003F7F6C" w14:paraId="4D896622" w14:textId="77777777" w:rsidTr="009A700C">
        <w:tc>
          <w:tcPr>
            <w:tcW w:w="1233" w:type="dxa"/>
            <w:shd w:val="clear" w:color="auto" w:fill="auto"/>
          </w:tcPr>
          <w:p w14:paraId="22AF24CC" w14:textId="77777777" w:rsidR="000E514C" w:rsidRPr="003F7F6C" w:rsidRDefault="000E514C" w:rsidP="00DF4BF7">
            <w:pPr>
              <w:spacing w:after="0"/>
              <w:jc w:val="center"/>
              <w:rPr>
                <w:szCs w:val="22"/>
              </w:rPr>
            </w:pPr>
            <w:r w:rsidRPr="003F7F6C">
              <w:rPr>
                <w:szCs w:val="22"/>
              </w:rPr>
              <w:t>1</w:t>
            </w:r>
            <w:r w:rsidR="005D668C" w:rsidRPr="003F7F6C">
              <w:rPr>
                <w:szCs w:val="22"/>
              </w:rPr>
              <w:t>6</w:t>
            </w:r>
          </w:p>
        </w:tc>
        <w:tc>
          <w:tcPr>
            <w:tcW w:w="11717" w:type="dxa"/>
            <w:shd w:val="clear" w:color="auto" w:fill="auto"/>
          </w:tcPr>
          <w:p w14:paraId="3423693F" w14:textId="77777777" w:rsidR="000E514C" w:rsidRPr="003F7F6C" w:rsidRDefault="00DE51C5" w:rsidP="00DF4BF7">
            <w:pPr>
              <w:spacing w:after="0"/>
              <w:rPr>
                <w:szCs w:val="22"/>
              </w:rPr>
            </w:pPr>
            <w:r w:rsidRPr="003F7F6C">
              <w:rPr>
                <w:szCs w:val="22"/>
              </w:rPr>
              <w:t xml:space="preserve">Travel related to </w:t>
            </w:r>
            <w:r w:rsidR="00AA39BE" w:rsidRPr="003F7F6C">
              <w:rPr>
                <w:szCs w:val="22"/>
              </w:rPr>
              <w:t xml:space="preserve">support in evaluating lessons from ongoing and past projects in non-pilot provinces (Output 3.1),  stakeholder mapping and development of capacity building programs for non-pilot provinces (Output 3.2); and </w:t>
            </w:r>
            <w:r w:rsidRPr="003F7F6C">
              <w:rPr>
                <w:szCs w:val="22"/>
              </w:rPr>
              <w:t>participation in IDERA meetings for development of the system for evaluation and monitoring of ELUP</w:t>
            </w:r>
            <w:r w:rsidR="00AA39BE" w:rsidRPr="003F7F6C">
              <w:rPr>
                <w:szCs w:val="22"/>
              </w:rPr>
              <w:t xml:space="preserve">. Total cost: USD 92,168 </w:t>
            </w:r>
          </w:p>
        </w:tc>
      </w:tr>
      <w:tr w:rsidR="000E514C" w:rsidRPr="003F7F6C" w14:paraId="614BA047" w14:textId="77777777" w:rsidTr="009A700C">
        <w:tc>
          <w:tcPr>
            <w:tcW w:w="1233" w:type="dxa"/>
            <w:shd w:val="clear" w:color="auto" w:fill="auto"/>
          </w:tcPr>
          <w:p w14:paraId="2B2014CC" w14:textId="77777777" w:rsidR="000E514C" w:rsidRPr="003F7F6C" w:rsidRDefault="000E514C" w:rsidP="00DF4BF7">
            <w:pPr>
              <w:spacing w:after="0"/>
              <w:jc w:val="center"/>
              <w:rPr>
                <w:szCs w:val="22"/>
              </w:rPr>
            </w:pPr>
            <w:r w:rsidRPr="003F7F6C">
              <w:rPr>
                <w:szCs w:val="22"/>
              </w:rPr>
              <w:t>1</w:t>
            </w:r>
            <w:r w:rsidR="005D668C" w:rsidRPr="003F7F6C">
              <w:rPr>
                <w:szCs w:val="22"/>
              </w:rPr>
              <w:t>7</w:t>
            </w:r>
          </w:p>
        </w:tc>
        <w:tc>
          <w:tcPr>
            <w:tcW w:w="11717" w:type="dxa"/>
            <w:shd w:val="clear" w:color="auto" w:fill="auto"/>
          </w:tcPr>
          <w:p w14:paraId="08CAA5E9" w14:textId="77777777" w:rsidR="000E514C" w:rsidRPr="003F7F6C" w:rsidRDefault="002B7E2A" w:rsidP="00DF4BF7">
            <w:pPr>
              <w:spacing w:after="0"/>
              <w:rPr>
                <w:szCs w:val="22"/>
              </w:rPr>
            </w:pPr>
            <w:r w:rsidRPr="003F7F6C">
              <w:rPr>
                <w:szCs w:val="22"/>
              </w:rPr>
              <w:t>Contract to undertake a Knowledge, Aptitude and Practice (KAP) survey to assess the degree in which stakeholders have increased their knowledge, acceptance and application of ELUP (baseline in PY1 and target measurement in PY6). Total cost: USD 40,000</w:t>
            </w:r>
          </w:p>
        </w:tc>
      </w:tr>
      <w:tr w:rsidR="000E514C" w:rsidRPr="003F7F6C" w14:paraId="2247FDA4" w14:textId="77777777" w:rsidTr="009A700C">
        <w:tc>
          <w:tcPr>
            <w:tcW w:w="1233" w:type="dxa"/>
            <w:shd w:val="clear" w:color="auto" w:fill="auto"/>
          </w:tcPr>
          <w:p w14:paraId="2D50AC52" w14:textId="77777777" w:rsidR="000E514C" w:rsidRPr="003F7F6C" w:rsidRDefault="000E514C" w:rsidP="00DF4BF7">
            <w:pPr>
              <w:spacing w:after="0"/>
              <w:jc w:val="center"/>
              <w:rPr>
                <w:szCs w:val="22"/>
              </w:rPr>
            </w:pPr>
            <w:r w:rsidRPr="003F7F6C">
              <w:rPr>
                <w:szCs w:val="22"/>
              </w:rPr>
              <w:t>1</w:t>
            </w:r>
            <w:r w:rsidR="005D668C" w:rsidRPr="003F7F6C">
              <w:rPr>
                <w:szCs w:val="22"/>
              </w:rPr>
              <w:t>8</w:t>
            </w:r>
          </w:p>
        </w:tc>
        <w:tc>
          <w:tcPr>
            <w:tcW w:w="11717" w:type="dxa"/>
            <w:shd w:val="clear" w:color="auto" w:fill="auto"/>
          </w:tcPr>
          <w:p w14:paraId="0AEF882E" w14:textId="1336477B" w:rsidR="00B00461" w:rsidRPr="003F7F6C" w:rsidRDefault="00B00461" w:rsidP="00DF4BF7">
            <w:pPr>
              <w:spacing w:after="0"/>
              <w:rPr>
                <w:szCs w:val="22"/>
              </w:rPr>
            </w:pPr>
            <w:r w:rsidRPr="003F7F6C">
              <w:rPr>
                <w:szCs w:val="22"/>
              </w:rPr>
              <w:t xml:space="preserve">Publications related to ELUP implementation and upscaling: Methodological guides for implementation of ELUP in pilot provinces (USD </w:t>
            </w:r>
            <w:r w:rsidR="00FA37F7" w:rsidRPr="003F7F6C">
              <w:rPr>
                <w:szCs w:val="22"/>
              </w:rPr>
              <w:t>9</w:t>
            </w:r>
            <w:r w:rsidRPr="003F7F6C">
              <w:rPr>
                <w:szCs w:val="22"/>
              </w:rPr>
              <w:t xml:space="preserve">,000); Methodological guides for implementation of ELUP in non-pilot provinces (USD </w:t>
            </w:r>
            <w:r w:rsidR="00FA37F7" w:rsidRPr="003F7F6C">
              <w:rPr>
                <w:szCs w:val="22"/>
              </w:rPr>
              <w:t>9</w:t>
            </w:r>
            <w:r w:rsidRPr="003F7F6C">
              <w:rPr>
                <w:szCs w:val="22"/>
              </w:rPr>
              <w:t xml:space="preserve">,000); Methodological guides for implementation of ELUP in shared </w:t>
            </w:r>
            <w:r w:rsidR="00D273E9" w:rsidRPr="003F7F6C">
              <w:rPr>
                <w:szCs w:val="22"/>
              </w:rPr>
              <w:t>ecosystems</w:t>
            </w:r>
            <w:r w:rsidRPr="003F7F6C">
              <w:rPr>
                <w:szCs w:val="22"/>
              </w:rPr>
              <w:t xml:space="preserve"> (USD </w:t>
            </w:r>
            <w:r w:rsidR="00FA37F7" w:rsidRPr="003F7F6C">
              <w:rPr>
                <w:szCs w:val="22"/>
              </w:rPr>
              <w:t>9</w:t>
            </w:r>
            <w:r w:rsidRPr="003F7F6C">
              <w:rPr>
                <w:szCs w:val="22"/>
              </w:rPr>
              <w:t>,000)</w:t>
            </w:r>
            <w:r w:rsidR="00FA37F7" w:rsidRPr="003F7F6C">
              <w:rPr>
                <w:szCs w:val="22"/>
              </w:rPr>
              <w:t>; project communication and information materials (USD 3,000)</w:t>
            </w:r>
            <w:r w:rsidRPr="003F7F6C">
              <w:rPr>
                <w:szCs w:val="22"/>
              </w:rPr>
              <w:t xml:space="preserve">. Total cost: USD </w:t>
            </w:r>
            <w:r w:rsidR="001E5BC6" w:rsidRPr="003F7F6C">
              <w:rPr>
                <w:szCs w:val="22"/>
              </w:rPr>
              <w:t>30</w:t>
            </w:r>
            <w:r w:rsidRPr="003F7F6C">
              <w:rPr>
                <w:szCs w:val="22"/>
              </w:rPr>
              <w:t>,000</w:t>
            </w:r>
          </w:p>
        </w:tc>
      </w:tr>
      <w:tr w:rsidR="000E514C" w:rsidRPr="003F7F6C" w14:paraId="053087AF" w14:textId="77777777" w:rsidTr="009A700C">
        <w:tc>
          <w:tcPr>
            <w:tcW w:w="1233" w:type="dxa"/>
            <w:shd w:val="clear" w:color="auto" w:fill="auto"/>
          </w:tcPr>
          <w:p w14:paraId="3EDA4782" w14:textId="77777777" w:rsidR="000E514C" w:rsidRPr="003F7F6C" w:rsidRDefault="005D668C" w:rsidP="00DF4BF7">
            <w:pPr>
              <w:spacing w:after="0"/>
              <w:jc w:val="center"/>
              <w:rPr>
                <w:szCs w:val="22"/>
              </w:rPr>
            </w:pPr>
            <w:r w:rsidRPr="003F7F6C">
              <w:rPr>
                <w:szCs w:val="22"/>
              </w:rPr>
              <w:t>19</w:t>
            </w:r>
          </w:p>
        </w:tc>
        <w:tc>
          <w:tcPr>
            <w:tcW w:w="11717" w:type="dxa"/>
            <w:shd w:val="clear" w:color="auto" w:fill="auto"/>
          </w:tcPr>
          <w:p w14:paraId="56F61247" w14:textId="1895F850" w:rsidR="000E514C" w:rsidRPr="003F7F6C" w:rsidRDefault="00615B92" w:rsidP="00DF4BF7">
            <w:pPr>
              <w:spacing w:after="0"/>
              <w:rPr>
                <w:szCs w:val="22"/>
              </w:rPr>
            </w:pPr>
            <w:r w:rsidRPr="003F7F6C">
              <w:rPr>
                <w:szCs w:val="22"/>
              </w:rPr>
              <w:t>Workshops/meetings/roundtables</w:t>
            </w:r>
            <w:r w:rsidR="00C512EA" w:rsidRPr="003F7F6C">
              <w:rPr>
                <w:szCs w:val="22"/>
              </w:rPr>
              <w:t xml:space="preserve">. Total cost: USD </w:t>
            </w:r>
            <w:r w:rsidR="00FA37F7" w:rsidRPr="003F7F6C">
              <w:rPr>
                <w:szCs w:val="22"/>
              </w:rPr>
              <w:t>345,780</w:t>
            </w:r>
          </w:p>
          <w:p w14:paraId="392815A5" w14:textId="4D05318B" w:rsidR="007B5FBF" w:rsidRPr="003F7F6C" w:rsidRDefault="007B5FBF" w:rsidP="00DF4BF7">
            <w:pPr>
              <w:spacing w:after="0"/>
              <w:rPr>
                <w:szCs w:val="22"/>
              </w:rPr>
            </w:pPr>
            <w:r w:rsidRPr="003F7F6C">
              <w:rPr>
                <w:szCs w:val="22"/>
              </w:rPr>
              <w:t xml:space="preserve">a) Assessment of lessons learned (Output 3.1): USD </w:t>
            </w:r>
            <w:r w:rsidR="00FA37F7" w:rsidRPr="003F7F6C">
              <w:rPr>
                <w:szCs w:val="22"/>
              </w:rPr>
              <w:t>20,000</w:t>
            </w:r>
          </w:p>
          <w:p w14:paraId="51D32B57" w14:textId="1D72B2BC" w:rsidR="007B5FBF" w:rsidRPr="003F7F6C" w:rsidRDefault="007B5FBF" w:rsidP="00DF4BF7">
            <w:pPr>
              <w:spacing w:after="0"/>
              <w:rPr>
                <w:szCs w:val="22"/>
              </w:rPr>
            </w:pPr>
            <w:r w:rsidRPr="003F7F6C">
              <w:rPr>
                <w:szCs w:val="22"/>
              </w:rPr>
              <w:t xml:space="preserve">b) Awareness raising and capacity building of non-pilot provinces for developing and implementing ELUP (Output 3.2): USD </w:t>
            </w:r>
            <w:r w:rsidR="00FA37F7" w:rsidRPr="003F7F6C">
              <w:rPr>
                <w:szCs w:val="22"/>
              </w:rPr>
              <w:t>216,167</w:t>
            </w:r>
          </w:p>
          <w:p w14:paraId="2D327EA0" w14:textId="0A7D3E53" w:rsidR="00615B92" w:rsidRPr="003F7F6C" w:rsidRDefault="007B5FBF" w:rsidP="00DF4BF7">
            <w:pPr>
              <w:spacing w:after="0"/>
              <w:rPr>
                <w:szCs w:val="22"/>
              </w:rPr>
            </w:pPr>
            <w:r w:rsidRPr="003F7F6C">
              <w:rPr>
                <w:szCs w:val="22"/>
              </w:rPr>
              <w:t xml:space="preserve">c) </w:t>
            </w:r>
            <w:r w:rsidR="00615B92" w:rsidRPr="003F7F6C">
              <w:rPr>
                <w:szCs w:val="22"/>
              </w:rPr>
              <w:t>Development of the system for evaluation and monitoring of ELUP</w:t>
            </w:r>
            <w:r w:rsidRPr="003F7F6C">
              <w:rPr>
                <w:szCs w:val="22"/>
              </w:rPr>
              <w:t xml:space="preserve"> and coordination for mainstreaming of ELUP in national programs</w:t>
            </w:r>
            <w:r w:rsidR="00615B92" w:rsidRPr="003F7F6C">
              <w:rPr>
                <w:szCs w:val="22"/>
              </w:rPr>
              <w:t xml:space="preserve"> (Output 3.3)</w:t>
            </w:r>
            <w:r w:rsidRPr="003F7F6C">
              <w:rPr>
                <w:szCs w:val="22"/>
              </w:rPr>
              <w:t xml:space="preserve">: USD </w:t>
            </w:r>
            <w:r w:rsidR="00FA37F7" w:rsidRPr="003F7F6C">
              <w:rPr>
                <w:szCs w:val="22"/>
              </w:rPr>
              <w:t>109,613</w:t>
            </w:r>
          </w:p>
        </w:tc>
      </w:tr>
      <w:tr w:rsidR="00A23EC8" w:rsidRPr="003F7F6C" w14:paraId="61D4DD7C" w14:textId="77777777" w:rsidTr="009A700C">
        <w:tc>
          <w:tcPr>
            <w:tcW w:w="12950" w:type="dxa"/>
            <w:gridSpan w:val="2"/>
            <w:shd w:val="clear" w:color="auto" w:fill="D9D9D9"/>
          </w:tcPr>
          <w:p w14:paraId="31D209F6" w14:textId="77777777" w:rsidR="00A23EC8" w:rsidRPr="003F7F6C" w:rsidRDefault="00A23EC8" w:rsidP="00DF4BF7">
            <w:pPr>
              <w:spacing w:after="0"/>
              <w:rPr>
                <w:b/>
                <w:szCs w:val="22"/>
              </w:rPr>
            </w:pPr>
            <w:r w:rsidRPr="003F7F6C">
              <w:rPr>
                <w:rFonts w:cs="Calibri"/>
                <w:b/>
                <w:bCs/>
                <w:color w:val="000000"/>
                <w:sz w:val="18"/>
                <w:szCs w:val="18"/>
              </w:rPr>
              <w:t>Outcome 4: Dissemination of lessons learned and monitoring and evaluation</w:t>
            </w:r>
          </w:p>
        </w:tc>
      </w:tr>
      <w:tr w:rsidR="00A23EC8" w:rsidRPr="003F7F6C" w14:paraId="37D61D80" w14:textId="77777777" w:rsidTr="009A700C">
        <w:tc>
          <w:tcPr>
            <w:tcW w:w="1233" w:type="dxa"/>
            <w:shd w:val="clear" w:color="auto" w:fill="auto"/>
          </w:tcPr>
          <w:p w14:paraId="3E41C3F3" w14:textId="77777777" w:rsidR="00A23EC8" w:rsidRPr="003F7F6C" w:rsidRDefault="00DF4BF7" w:rsidP="00DF4BF7">
            <w:pPr>
              <w:spacing w:after="0"/>
              <w:jc w:val="center"/>
              <w:rPr>
                <w:szCs w:val="22"/>
              </w:rPr>
            </w:pPr>
            <w:r w:rsidRPr="003F7F6C">
              <w:rPr>
                <w:szCs w:val="22"/>
              </w:rPr>
              <w:t>2</w:t>
            </w:r>
            <w:r w:rsidR="005D668C" w:rsidRPr="003F7F6C">
              <w:rPr>
                <w:szCs w:val="22"/>
              </w:rPr>
              <w:t>0</w:t>
            </w:r>
          </w:p>
        </w:tc>
        <w:tc>
          <w:tcPr>
            <w:tcW w:w="11717" w:type="dxa"/>
            <w:shd w:val="clear" w:color="auto" w:fill="auto"/>
          </w:tcPr>
          <w:p w14:paraId="089BED4B" w14:textId="77777777" w:rsidR="00DD5120" w:rsidRPr="003F7F6C" w:rsidRDefault="00DF4BF7" w:rsidP="00DF4BF7">
            <w:pPr>
              <w:spacing w:after="0"/>
              <w:rPr>
                <w:szCs w:val="22"/>
              </w:rPr>
            </w:pPr>
            <w:r w:rsidRPr="003F7F6C">
              <w:rPr>
                <w:szCs w:val="22"/>
              </w:rPr>
              <w:t xml:space="preserve">International consultants for: </w:t>
            </w:r>
          </w:p>
          <w:p w14:paraId="23A9FF75" w14:textId="1942DF1F" w:rsidR="00DD5120" w:rsidRPr="003F7F6C" w:rsidRDefault="00DF4BF7" w:rsidP="00E91275">
            <w:pPr>
              <w:pStyle w:val="ListParagraph"/>
              <w:numPr>
                <w:ilvl w:val="0"/>
                <w:numId w:val="59"/>
              </w:numPr>
              <w:spacing w:after="0"/>
              <w:rPr>
                <w:szCs w:val="22"/>
              </w:rPr>
            </w:pPr>
            <w:r w:rsidRPr="003F7F6C">
              <w:rPr>
                <w:szCs w:val="22"/>
              </w:rPr>
              <w:t>Mid-term Review</w:t>
            </w:r>
            <w:r w:rsidR="00DD5120" w:rsidRPr="003F7F6C">
              <w:rPr>
                <w:szCs w:val="22"/>
              </w:rPr>
              <w:t>. Total cost</w:t>
            </w:r>
            <w:r w:rsidRPr="003F7F6C">
              <w:rPr>
                <w:szCs w:val="22"/>
              </w:rPr>
              <w:t xml:space="preserve"> USD </w:t>
            </w:r>
            <w:r w:rsidR="00DD5120" w:rsidRPr="003F7F6C">
              <w:rPr>
                <w:szCs w:val="22"/>
              </w:rPr>
              <w:t>15</w:t>
            </w:r>
            <w:r w:rsidRPr="003F7F6C">
              <w:rPr>
                <w:szCs w:val="22"/>
              </w:rPr>
              <w:t>,000</w:t>
            </w:r>
            <w:r w:rsidR="00DD5120" w:rsidRPr="003F7F6C">
              <w:rPr>
                <w:szCs w:val="22"/>
              </w:rPr>
              <w:t xml:space="preserve"> (6 weeks x USD 2,500)</w:t>
            </w:r>
          </w:p>
          <w:p w14:paraId="7C071C50" w14:textId="1B978B9B" w:rsidR="00A23EC8" w:rsidRPr="003F7F6C" w:rsidRDefault="00DF4BF7" w:rsidP="00E91275">
            <w:pPr>
              <w:pStyle w:val="ListParagraph"/>
              <w:numPr>
                <w:ilvl w:val="0"/>
                <w:numId w:val="59"/>
              </w:numPr>
              <w:spacing w:after="0"/>
              <w:rPr>
                <w:szCs w:val="22"/>
              </w:rPr>
            </w:pPr>
            <w:r w:rsidRPr="003F7F6C">
              <w:rPr>
                <w:szCs w:val="22"/>
              </w:rPr>
              <w:t>Terminal Evaluation</w:t>
            </w:r>
            <w:r w:rsidR="00DD5120" w:rsidRPr="003F7F6C">
              <w:rPr>
                <w:szCs w:val="22"/>
              </w:rPr>
              <w:t xml:space="preserve">. Total cost </w:t>
            </w:r>
            <w:r w:rsidRPr="003F7F6C">
              <w:rPr>
                <w:szCs w:val="22"/>
              </w:rPr>
              <w:t xml:space="preserve">USD </w:t>
            </w:r>
            <w:r w:rsidR="00DD5120" w:rsidRPr="003F7F6C">
              <w:rPr>
                <w:szCs w:val="22"/>
              </w:rPr>
              <w:t>18</w:t>
            </w:r>
            <w:r w:rsidRPr="003F7F6C">
              <w:rPr>
                <w:szCs w:val="22"/>
              </w:rPr>
              <w:t>,000</w:t>
            </w:r>
            <w:r w:rsidR="00DD5120" w:rsidRPr="003F7F6C">
              <w:rPr>
                <w:szCs w:val="22"/>
              </w:rPr>
              <w:t xml:space="preserve"> (6 weeks x USD 3,000)</w:t>
            </w:r>
          </w:p>
        </w:tc>
      </w:tr>
      <w:tr w:rsidR="00DF4BF7" w:rsidRPr="003F7F6C" w14:paraId="7A0E4FFD" w14:textId="77777777" w:rsidTr="009A700C">
        <w:tc>
          <w:tcPr>
            <w:tcW w:w="1233" w:type="dxa"/>
            <w:shd w:val="clear" w:color="auto" w:fill="auto"/>
          </w:tcPr>
          <w:p w14:paraId="2C369BD5" w14:textId="77777777" w:rsidR="00DF4BF7" w:rsidRPr="003F7F6C" w:rsidRDefault="00DF4BF7" w:rsidP="00DF4BF7">
            <w:pPr>
              <w:spacing w:after="0"/>
              <w:jc w:val="center"/>
              <w:rPr>
                <w:szCs w:val="22"/>
              </w:rPr>
            </w:pPr>
            <w:r w:rsidRPr="003F7F6C">
              <w:rPr>
                <w:szCs w:val="22"/>
              </w:rPr>
              <w:t>2</w:t>
            </w:r>
            <w:r w:rsidR="005D668C" w:rsidRPr="003F7F6C">
              <w:rPr>
                <w:szCs w:val="22"/>
              </w:rPr>
              <w:t>1</w:t>
            </w:r>
          </w:p>
        </w:tc>
        <w:tc>
          <w:tcPr>
            <w:tcW w:w="11717" w:type="dxa"/>
            <w:shd w:val="clear" w:color="auto" w:fill="auto"/>
          </w:tcPr>
          <w:p w14:paraId="4604F62C" w14:textId="77777777" w:rsidR="00DB51B6" w:rsidRPr="003F7F6C" w:rsidRDefault="00DF4BF7" w:rsidP="00DF4BF7">
            <w:pPr>
              <w:spacing w:after="0"/>
              <w:rPr>
                <w:szCs w:val="22"/>
              </w:rPr>
            </w:pPr>
            <w:r w:rsidRPr="003F7F6C">
              <w:rPr>
                <w:szCs w:val="22"/>
              </w:rPr>
              <w:t>Local consultants to support</w:t>
            </w:r>
            <w:r w:rsidR="00DB51B6" w:rsidRPr="003F7F6C">
              <w:rPr>
                <w:szCs w:val="22"/>
              </w:rPr>
              <w:t>:</w:t>
            </w:r>
            <w:r w:rsidRPr="003F7F6C">
              <w:rPr>
                <w:szCs w:val="22"/>
              </w:rPr>
              <w:t xml:space="preserve"> </w:t>
            </w:r>
          </w:p>
          <w:p w14:paraId="4764CDE0" w14:textId="51B82E81" w:rsidR="00DB51B6" w:rsidRPr="003F7F6C" w:rsidRDefault="00DB51B6" w:rsidP="00E91275">
            <w:pPr>
              <w:numPr>
                <w:ilvl w:val="0"/>
                <w:numId w:val="41"/>
              </w:numPr>
              <w:spacing w:after="0"/>
              <w:rPr>
                <w:szCs w:val="22"/>
              </w:rPr>
            </w:pPr>
            <w:r w:rsidRPr="003F7F6C">
              <w:rPr>
                <w:szCs w:val="22"/>
              </w:rPr>
              <w:t>Mid-term Review</w:t>
            </w:r>
            <w:r w:rsidR="001D19FD" w:rsidRPr="003F7F6C">
              <w:rPr>
                <w:szCs w:val="22"/>
              </w:rPr>
              <w:t xml:space="preserve">. Total cost: USD </w:t>
            </w:r>
            <w:r w:rsidR="00DD5120" w:rsidRPr="003F7F6C">
              <w:rPr>
                <w:szCs w:val="22"/>
              </w:rPr>
              <w:t>6</w:t>
            </w:r>
            <w:r w:rsidR="001D19FD" w:rsidRPr="003F7F6C">
              <w:rPr>
                <w:szCs w:val="22"/>
              </w:rPr>
              <w:t>,000</w:t>
            </w:r>
            <w:r w:rsidRPr="003F7F6C">
              <w:rPr>
                <w:szCs w:val="22"/>
              </w:rPr>
              <w:t xml:space="preserve"> </w:t>
            </w:r>
            <w:r w:rsidR="00DD5120" w:rsidRPr="003F7F6C">
              <w:rPr>
                <w:szCs w:val="22"/>
              </w:rPr>
              <w:t>(6 weeks x USD 1,000)</w:t>
            </w:r>
          </w:p>
          <w:p w14:paraId="013AE6B1" w14:textId="71D659D9" w:rsidR="00DB51B6" w:rsidRPr="003F7F6C" w:rsidRDefault="00DB51B6" w:rsidP="00E91275">
            <w:pPr>
              <w:numPr>
                <w:ilvl w:val="0"/>
                <w:numId w:val="41"/>
              </w:numPr>
              <w:spacing w:after="0"/>
              <w:rPr>
                <w:szCs w:val="22"/>
              </w:rPr>
            </w:pPr>
            <w:r w:rsidRPr="003F7F6C">
              <w:rPr>
                <w:szCs w:val="22"/>
              </w:rPr>
              <w:t xml:space="preserve">Terminal Evaluation </w:t>
            </w:r>
            <w:r w:rsidR="001D19FD" w:rsidRPr="003F7F6C">
              <w:rPr>
                <w:szCs w:val="22"/>
              </w:rPr>
              <w:t xml:space="preserve">Total cost: USD </w:t>
            </w:r>
            <w:r w:rsidR="00DD5120" w:rsidRPr="003F7F6C">
              <w:rPr>
                <w:szCs w:val="22"/>
              </w:rPr>
              <w:t>6</w:t>
            </w:r>
            <w:r w:rsidR="001D19FD" w:rsidRPr="003F7F6C">
              <w:rPr>
                <w:szCs w:val="22"/>
              </w:rPr>
              <w:t xml:space="preserve">,000 (6 weeks x USD </w:t>
            </w:r>
            <w:r w:rsidR="00DD5120" w:rsidRPr="003F7F6C">
              <w:rPr>
                <w:szCs w:val="22"/>
              </w:rPr>
              <w:t>1</w:t>
            </w:r>
            <w:r w:rsidR="001D19FD" w:rsidRPr="003F7F6C">
              <w:rPr>
                <w:szCs w:val="22"/>
              </w:rPr>
              <w:t>,000)</w:t>
            </w:r>
            <w:r w:rsidRPr="003F7F6C">
              <w:rPr>
                <w:szCs w:val="22"/>
              </w:rPr>
              <w:t xml:space="preserve">); </w:t>
            </w:r>
          </w:p>
          <w:p w14:paraId="4BB0BF62" w14:textId="77777777" w:rsidR="00DB51B6" w:rsidRPr="003F7F6C" w:rsidRDefault="00DB51B6" w:rsidP="00E91275">
            <w:pPr>
              <w:numPr>
                <w:ilvl w:val="0"/>
                <w:numId w:val="41"/>
              </w:numPr>
              <w:spacing w:after="0"/>
              <w:rPr>
                <w:szCs w:val="22"/>
              </w:rPr>
            </w:pPr>
            <w:r w:rsidRPr="003F7F6C">
              <w:rPr>
                <w:szCs w:val="22"/>
              </w:rPr>
              <w:t xml:space="preserve">Tracking of GEF Core Indicators at mid-term (1 month x USD </w:t>
            </w:r>
            <w:r w:rsidR="004F4918" w:rsidRPr="003F7F6C">
              <w:rPr>
                <w:szCs w:val="22"/>
              </w:rPr>
              <w:t>2</w:t>
            </w:r>
            <w:r w:rsidRPr="003F7F6C">
              <w:rPr>
                <w:szCs w:val="22"/>
              </w:rPr>
              <w:t xml:space="preserve">,000) and end of project (1 month x USD </w:t>
            </w:r>
            <w:r w:rsidR="004F4918" w:rsidRPr="003F7F6C">
              <w:rPr>
                <w:szCs w:val="22"/>
              </w:rPr>
              <w:t>2</w:t>
            </w:r>
            <w:r w:rsidRPr="003F7F6C">
              <w:rPr>
                <w:szCs w:val="22"/>
              </w:rPr>
              <w:t>,000)</w:t>
            </w:r>
          </w:p>
          <w:p w14:paraId="56AAFD73" w14:textId="2EDBC759" w:rsidR="00DF4BF7" w:rsidRPr="003F7F6C" w:rsidRDefault="00DB51B6" w:rsidP="00E91275">
            <w:pPr>
              <w:numPr>
                <w:ilvl w:val="0"/>
                <w:numId w:val="41"/>
              </w:numPr>
              <w:spacing w:after="0"/>
              <w:rPr>
                <w:szCs w:val="22"/>
              </w:rPr>
            </w:pPr>
            <w:r w:rsidRPr="003F7F6C">
              <w:rPr>
                <w:szCs w:val="22"/>
              </w:rPr>
              <w:t>Annual monitoring of indicators</w:t>
            </w:r>
            <w:r w:rsidR="001D19FD" w:rsidRPr="003F7F6C">
              <w:rPr>
                <w:szCs w:val="22"/>
              </w:rPr>
              <w:t>. Total cost: USD 24,000</w:t>
            </w:r>
            <w:r w:rsidRPr="003F7F6C">
              <w:rPr>
                <w:szCs w:val="22"/>
              </w:rPr>
              <w:t xml:space="preserve"> (6 </w:t>
            </w:r>
            <w:r w:rsidR="001D19FD" w:rsidRPr="003F7F6C">
              <w:rPr>
                <w:szCs w:val="22"/>
              </w:rPr>
              <w:t xml:space="preserve">years </w:t>
            </w:r>
            <w:r w:rsidRPr="003F7F6C">
              <w:rPr>
                <w:szCs w:val="22"/>
              </w:rPr>
              <w:t>x USD 4,000</w:t>
            </w:r>
            <w:r w:rsidR="001D19FD" w:rsidRPr="003F7F6C">
              <w:rPr>
                <w:szCs w:val="22"/>
              </w:rPr>
              <w:t>/year</w:t>
            </w:r>
            <w:r w:rsidRPr="003F7F6C">
              <w:rPr>
                <w:szCs w:val="22"/>
              </w:rPr>
              <w:t>)</w:t>
            </w:r>
          </w:p>
          <w:p w14:paraId="78CA0AD4" w14:textId="247A9E75" w:rsidR="00DB51B6" w:rsidRPr="003F7F6C" w:rsidRDefault="00DB51B6" w:rsidP="00DB51B6">
            <w:pPr>
              <w:spacing w:after="0"/>
              <w:rPr>
                <w:szCs w:val="22"/>
              </w:rPr>
            </w:pPr>
            <w:r w:rsidRPr="003F7F6C">
              <w:rPr>
                <w:szCs w:val="22"/>
              </w:rPr>
              <w:t xml:space="preserve">Total cost: USD </w:t>
            </w:r>
            <w:r w:rsidR="00214581" w:rsidRPr="003F7F6C">
              <w:rPr>
                <w:szCs w:val="22"/>
              </w:rPr>
              <w:t>40</w:t>
            </w:r>
            <w:r w:rsidRPr="003F7F6C">
              <w:rPr>
                <w:szCs w:val="22"/>
              </w:rPr>
              <w:t>,000</w:t>
            </w:r>
          </w:p>
        </w:tc>
      </w:tr>
      <w:tr w:rsidR="00DF4BF7" w:rsidRPr="003F7F6C" w14:paraId="4F17071C" w14:textId="77777777" w:rsidTr="009A700C">
        <w:tc>
          <w:tcPr>
            <w:tcW w:w="1233" w:type="dxa"/>
            <w:shd w:val="clear" w:color="auto" w:fill="auto"/>
          </w:tcPr>
          <w:p w14:paraId="121F892F" w14:textId="77777777" w:rsidR="00DF4BF7" w:rsidRPr="003F7F6C" w:rsidRDefault="00DF4BF7" w:rsidP="00DF4BF7">
            <w:pPr>
              <w:spacing w:after="0"/>
              <w:jc w:val="center"/>
              <w:rPr>
                <w:szCs w:val="22"/>
              </w:rPr>
            </w:pPr>
            <w:r w:rsidRPr="003F7F6C">
              <w:rPr>
                <w:szCs w:val="22"/>
              </w:rPr>
              <w:t>2</w:t>
            </w:r>
            <w:r w:rsidR="005D668C" w:rsidRPr="003F7F6C">
              <w:rPr>
                <w:szCs w:val="22"/>
              </w:rPr>
              <w:t>2</w:t>
            </w:r>
          </w:p>
        </w:tc>
        <w:tc>
          <w:tcPr>
            <w:tcW w:w="11717" w:type="dxa"/>
            <w:shd w:val="clear" w:color="auto" w:fill="auto"/>
          </w:tcPr>
          <w:p w14:paraId="5EDE95AE" w14:textId="6F5B03F2" w:rsidR="00687470" w:rsidRPr="003F7F6C" w:rsidRDefault="00687470" w:rsidP="00E91275">
            <w:pPr>
              <w:numPr>
                <w:ilvl w:val="0"/>
                <w:numId w:val="38"/>
              </w:numPr>
              <w:spacing w:after="0"/>
              <w:rPr>
                <w:szCs w:val="22"/>
              </w:rPr>
            </w:pPr>
            <w:r w:rsidRPr="003F7F6C">
              <w:rPr>
                <w:szCs w:val="22"/>
              </w:rPr>
              <w:t xml:space="preserve">Project Coordinator to coordinate and implement the M&amp;E plan. Total cost: USD </w:t>
            </w:r>
            <w:r w:rsidR="00C11B91" w:rsidRPr="003F7F6C">
              <w:rPr>
                <w:szCs w:val="22"/>
              </w:rPr>
              <w:t>28,028</w:t>
            </w:r>
            <w:r w:rsidRPr="003F7F6C">
              <w:rPr>
                <w:szCs w:val="22"/>
              </w:rPr>
              <w:t xml:space="preserve"> (1</w:t>
            </w:r>
            <w:r w:rsidR="009412E5" w:rsidRPr="003F7F6C">
              <w:rPr>
                <w:szCs w:val="22"/>
              </w:rPr>
              <w:t>4</w:t>
            </w:r>
            <w:r w:rsidRPr="003F7F6C">
              <w:rPr>
                <w:szCs w:val="22"/>
              </w:rPr>
              <w:t xml:space="preserve"> months x USD </w:t>
            </w:r>
            <w:r w:rsidR="00C11B91" w:rsidRPr="003F7F6C">
              <w:rPr>
                <w:szCs w:val="22"/>
              </w:rPr>
              <w:t>2,002</w:t>
            </w:r>
            <w:r w:rsidRPr="003F7F6C">
              <w:rPr>
                <w:szCs w:val="22"/>
              </w:rPr>
              <w:t>/month)</w:t>
            </w:r>
          </w:p>
          <w:p w14:paraId="1C212A9A" w14:textId="2925571B" w:rsidR="00DB51B6" w:rsidRPr="003F7F6C" w:rsidRDefault="00DB51B6" w:rsidP="00E91275">
            <w:pPr>
              <w:numPr>
                <w:ilvl w:val="0"/>
                <w:numId w:val="38"/>
              </w:numPr>
              <w:spacing w:after="0"/>
              <w:rPr>
                <w:szCs w:val="22"/>
              </w:rPr>
            </w:pPr>
            <w:r w:rsidRPr="003F7F6C">
              <w:rPr>
                <w:szCs w:val="22"/>
              </w:rPr>
              <w:t>Stakeholder Engagement Specialist to monitor project-level stakeholder engagement</w:t>
            </w:r>
            <w:r w:rsidR="005C20F1" w:rsidRPr="003F7F6C">
              <w:rPr>
                <w:szCs w:val="22"/>
              </w:rPr>
              <w:t xml:space="preserve"> and implementation of the IPP</w:t>
            </w:r>
            <w:r w:rsidRPr="003F7F6C">
              <w:rPr>
                <w:szCs w:val="22"/>
              </w:rPr>
              <w:t>. Total cost: USD 14,000 (14 months x USD 1,000).</w:t>
            </w:r>
          </w:p>
          <w:p w14:paraId="3F6C091F" w14:textId="77777777" w:rsidR="00DF4BF7" w:rsidRPr="003F7F6C" w:rsidRDefault="00DB51B6" w:rsidP="00E91275">
            <w:pPr>
              <w:numPr>
                <w:ilvl w:val="0"/>
                <w:numId w:val="38"/>
              </w:numPr>
              <w:spacing w:after="0"/>
              <w:rPr>
                <w:szCs w:val="22"/>
              </w:rPr>
            </w:pPr>
            <w:r w:rsidRPr="003F7F6C">
              <w:rPr>
                <w:szCs w:val="22"/>
              </w:rPr>
              <w:t>Gender Specialist to monitor project-level gender mainstreaming. Total cost: USD 18,000 (18 months x USD 1,000/month).</w:t>
            </w:r>
          </w:p>
          <w:p w14:paraId="2EA6C66D" w14:textId="6ED2DFB7" w:rsidR="005927EB" w:rsidRPr="003F7F6C" w:rsidRDefault="005927EB" w:rsidP="00E91275">
            <w:pPr>
              <w:numPr>
                <w:ilvl w:val="0"/>
                <w:numId w:val="38"/>
              </w:numPr>
              <w:spacing w:after="0"/>
              <w:rPr>
                <w:szCs w:val="22"/>
              </w:rPr>
            </w:pPr>
            <w:r w:rsidRPr="003F7F6C">
              <w:rPr>
                <w:szCs w:val="22"/>
              </w:rPr>
              <w:t xml:space="preserve">Administrative Assistant to support the Project Coordinator in implementing the M&amp;E plan. Total cost USD </w:t>
            </w:r>
            <w:r w:rsidR="00C11B91" w:rsidRPr="003F7F6C">
              <w:rPr>
                <w:szCs w:val="22"/>
              </w:rPr>
              <w:t>11,676</w:t>
            </w:r>
            <w:r w:rsidRPr="003F7F6C">
              <w:rPr>
                <w:szCs w:val="22"/>
              </w:rPr>
              <w:t xml:space="preserve"> (1</w:t>
            </w:r>
            <w:r w:rsidR="009412E5" w:rsidRPr="003F7F6C">
              <w:rPr>
                <w:szCs w:val="22"/>
              </w:rPr>
              <w:t>4</w:t>
            </w:r>
            <w:r w:rsidRPr="003F7F6C">
              <w:rPr>
                <w:szCs w:val="22"/>
              </w:rPr>
              <w:t xml:space="preserve"> months x USD </w:t>
            </w:r>
            <w:r w:rsidR="00C11B91" w:rsidRPr="003F7F6C">
              <w:rPr>
                <w:szCs w:val="22"/>
              </w:rPr>
              <w:t>834</w:t>
            </w:r>
            <w:r w:rsidRPr="003F7F6C">
              <w:rPr>
                <w:szCs w:val="22"/>
              </w:rPr>
              <w:t>)</w:t>
            </w:r>
          </w:p>
        </w:tc>
      </w:tr>
      <w:tr w:rsidR="00DF4BF7" w:rsidRPr="003F7F6C" w14:paraId="1D1AF25E" w14:textId="77777777" w:rsidTr="009A700C">
        <w:tc>
          <w:tcPr>
            <w:tcW w:w="1233" w:type="dxa"/>
            <w:shd w:val="clear" w:color="auto" w:fill="auto"/>
          </w:tcPr>
          <w:p w14:paraId="417889E6" w14:textId="77777777" w:rsidR="00DF4BF7" w:rsidRPr="003F7F6C" w:rsidRDefault="00DF4BF7" w:rsidP="00DF4BF7">
            <w:pPr>
              <w:spacing w:after="0"/>
              <w:jc w:val="center"/>
              <w:rPr>
                <w:szCs w:val="22"/>
              </w:rPr>
            </w:pPr>
            <w:r w:rsidRPr="003F7F6C">
              <w:rPr>
                <w:szCs w:val="22"/>
              </w:rPr>
              <w:t>2</w:t>
            </w:r>
            <w:r w:rsidR="005D668C" w:rsidRPr="003F7F6C">
              <w:rPr>
                <w:szCs w:val="22"/>
              </w:rPr>
              <w:t>3</w:t>
            </w:r>
          </w:p>
        </w:tc>
        <w:tc>
          <w:tcPr>
            <w:tcW w:w="11717" w:type="dxa"/>
            <w:shd w:val="clear" w:color="auto" w:fill="auto"/>
          </w:tcPr>
          <w:p w14:paraId="484F1665" w14:textId="3FBF851D" w:rsidR="00DF4BF7" w:rsidRPr="003F7F6C" w:rsidRDefault="00EB01D7" w:rsidP="00DF4BF7">
            <w:pPr>
              <w:spacing w:after="0"/>
              <w:rPr>
                <w:szCs w:val="22"/>
              </w:rPr>
            </w:pPr>
            <w:r w:rsidRPr="003F7F6C">
              <w:rPr>
                <w:szCs w:val="22"/>
              </w:rPr>
              <w:t>Travel</w:t>
            </w:r>
            <w:r w:rsidR="00DD5120" w:rsidRPr="003F7F6C">
              <w:rPr>
                <w:szCs w:val="22"/>
              </w:rPr>
              <w:t>: International travel for external evaluations (USD 21,636) and</w:t>
            </w:r>
            <w:r w:rsidRPr="003F7F6C">
              <w:rPr>
                <w:szCs w:val="22"/>
              </w:rPr>
              <w:t xml:space="preserve"> </w:t>
            </w:r>
            <w:r w:rsidR="00DD5120" w:rsidRPr="003F7F6C">
              <w:rPr>
                <w:szCs w:val="22"/>
              </w:rPr>
              <w:t xml:space="preserve">local travel for </w:t>
            </w:r>
            <w:r w:rsidRPr="003F7F6C">
              <w:rPr>
                <w:szCs w:val="22"/>
              </w:rPr>
              <w:t xml:space="preserve">monitoring and exchange of lessons/experiences in ELUP: Total cost: USD </w:t>
            </w:r>
            <w:r w:rsidR="000C2509" w:rsidRPr="003F7F6C">
              <w:rPr>
                <w:szCs w:val="22"/>
              </w:rPr>
              <w:t>12,000</w:t>
            </w:r>
            <w:r w:rsidR="00DD5120" w:rsidRPr="003F7F6C">
              <w:rPr>
                <w:szCs w:val="22"/>
              </w:rPr>
              <w:t xml:space="preserve">. Total cost. USD </w:t>
            </w:r>
            <w:r w:rsidR="000C2509" w:rsidRPr="003F7F6C">
              <w:rPr>
                <w:szCs w:val="22"/>
              </w:rPr>
              <w:t>33,636</w:t>
            </w:r>
          </w:p>
        </w:tc>
      </w:tr>
      <w:tr w:rsidR="00DF4BF7" w:rsidRPr="003F7F6C" w14:paraId="40ABDC82" w14:textId="77777777" w:rsidTr="009A700C">
        <w:tc>
          <w:tcPr>
            <w:tcW w:w="1233" w:type="dxa"/>
            <w:shd w:val="clear" w:color="auto" w:fill="auto"/>
          </w:tcPr>
          <w:p w14:paraId="2DD0B32D" w14:textId="77777777" w:rsidR="00DF4BF7" w:rsidRPr="003F7F6C" w:rsidRDefault="00DF4BF7" w:rsidP="00DF4BF7">
            <w:pPr>
              <w:spacing w:after="0"/>
              <w:jc w:val="center"/>
              <w:rPr>
                <w:szCs w:val="22"/>
              </w:rPr>
            </w:pPr>
            <w:r w:rsidRPr="003F7F6C">
              <w:rPr>
                <w:szCs w:val="22"/>
              </w:rPr>
              <w:t>2</w:t>
            </w:r>
            <w:r w:rsidR="005D668C" w:rsidRPr="003F7F6C">
              <w:rPr>
                <w:szCs w:val="22"/>
              </w:rPr>
              <w:t>4</w:t>
            </w:r>
          </w:p>
        </w:tc>
        <w:tc>
          <w:tcPr>
            <w:tcW w:w="11717" w:type="dxa"/>
            <w:shd w:val="clear" w:color="auto" w:fill="auto"/>
          </w:tcPr>
          <w:p w14:paraId="3A769393" w14:textId="5C7A3343" w:rsidR="00DF4BF7" w:rsidRPr="003F7F6C" w:rsidRDefault="00EB01D7" w:rsidP="00DF4BF7">
            <w:pPr>
              <w:spacing w:after="0"/>
              <w:rPr>
                <w:szCs w:val="22"/>
              </w:rPr>
            </w:pPr>
            <w:r w:rsidRPr="003F7F6C">
              <w:rPr>
                <w:szCs w:val="22"/>
              </w:rPr>
              <w:t xml:space="preserve">Contracts for: measurement of progress in the </w:t>
            </w:r>
            <w:r w:rsidR="009412E5" w:rsidRPr="003F7F6C">
              <w:rPr>
                <w:szCs w:val="22"/>
              </w:rPr>
              <w:t>Sustainable Livelihoods Framework</w:t>
            </w:r>
            <w:r w:rsidRPr="003F7F6C">
              <w:rPr>
                <w:szCs w:val="22"/>
              </w:rPr>
              <w:t xml:space="preserve"> Index (baseline and end of project): USD </w:t>
            </w:r>
            <w:r w:rsidR="00CE236F" w:rsidRPr="003F7F6C">
              <w:rPr>
                <w:szCs w:val="22"/>
              </w:rPr>
              <w:t>3</w:t>
            </w:r>
            <w:r w:rsidRPr="003F7F6C">
              <w:rPr>
                <w:szCs w:val="22"/>
              </w:rPr>
              <w:t>0,000</w:t>
            </w:r>
            <w:r w:rsidR="002534F4" w:rsidRPr="003F7F6C">
              <w:rPr>
                <w:szCs w:val="22"/>
              </w:rPr>
              <w:t xml:space="preserve">; </w:t>
            </w:r>
            <w:r w:rsidRPr="003F7F6C">
              <w:rPr>
                <w:szCs w:val="22"/>
              </w:rPr>
              <w:t xml:space="preserve">field surveys/assessments to measure progress in best practices in target landscapes/BD and LD indicators: USD </w:t>
            </w:r>
            <w:r w:rsidR="002534F4" w:rsidRPr="003F7F6C">
              <w:rPr>
                <w:szCs w:val="22"/>
              </w:rPr>
              <w:t>3</w:t>
            </w:r>
            <w:r w:rsidRPr="003F7F6C">
              <w:rPr>
                <w:szCs w:val="22"/>
              </w:rPr>
              <w:t>0,000</w:t>
            </w:r>
            <w:r w:rsidR="002534F4" w:rsidRPr="003F7F6C">
              <w:rPr>
                <w:szCs w:val="22"/>
              </w:rPr>
              <w:t>; gender surveys: USD 10,000</w:t>
            </w:r>
          </w:p>
          <w:p w14:paraId="72083A27" w14:textId="77777777" w:rsidR="009458B0" w:rsidRPr="003F7F6C" w:rsidRDefault="009458B0" w:rsidP="00DF4BF7">
            <w:pPr>
              <w:spacing w:after="0"/>
              <w:rPr>
                <w:szCs w:val="22"/>
              </w:rPr>
            </w:pPr>
            <w:r w:rsidRPr="003F7F6C">
              <w:rPr>
                <w:szCs w:val="22"/>
              </w:rPr>
              <w:t>Total cost</w:t>
            </w:r>
            <w:r w:rsidR="00C7383F" w:rsidRPr="003F7F6C">
              <w:rPr>
                <w:szCs w:val="22"/>
              </w:rPr>
              <w:t xml:space="preserve"> of contracts</w:t>
            </w:r>
            <w:r w:rsidRPr="003F7F6C">
              <w:rPr>
                <w:szCs w:val="22"/>
              </w:rPr>
              <w:t xml:space="preserve">: USD </w:t>
            </w:r>
            <w:r w:rsidR="00CE236F" w:rsidRPr="003F7F6C">
              <w:rPr>
                <w:szCs w:val="22"/>
              </w:rPr>
              <w:t>7</w:t>
            </w:r>
            <w:r w:rsidRPr="003F7F6C">
              <w:rPr>
                <w:szCs w:val="22"/>
              </w:rPr>
              <w:t>0,000</w:t>
            </w:r>
          </w:p>
        </w:tc>
      </w:tr>
      <w:tr w:rsidR="00DF4BF7" w:rsidRPr="003F7F6C" w14:paraId="238F0801" w14:textId="77777777" w:rsidTr="009A700C">
        <w:tc>
          <w:tcPr>
            <w:tcW w:w="1233" w:type="dxa"/>
            <w:shd w:val="clear" w:color="auto" w:fill="auto"/>
          </w:tcPr>
          <w:p w14:paraId="1C374843" w14:textId="77777777" w:rsidR="00DF4BF7" w:rsidRPr="003F7F6C" w:rsidRDefault="00DF4BF7" w:rsidP="00DF4BF7">
            <w:pPr>
              <w:spacing w:after="0"/>
              <w:jc w:val="center"/>
              <w:rPr>
                <w:szCs w:val="22"/>
              </w:rPr>
            </w:pPr>
            <w:r w:rsidRPr="003F7F6C">
              <w:rPr>
                <w:szCs w:val="22"/>
              </w:rPr>
              <w:t>2</w:t>
            </w:r>
            <w:r w:rsidR="005D668C" w:rsidRPr="003F7F6C">
              <w:rPr>
                <w:szCs w:val="22"/>
              </w:rPr>
              <w:t>5</w:t>
            </w:r>
          </w:p>
        </w:tc>
        <w:tc>
          <w:tcPr>
            <w:tcW w:w="11717" w:type="dxa"/>
            <w:shd w:val="clear" w:color="auto" w:fill="auto"/>
          </w:tcPr>
          <w:p w14:paraId="0FDBEE70" w14:textId="77777777" w:rsidR="00DF4BF7" w:rsidRPr="003F7F6C" w:rsidRDefault="00B52F36" w:rsidP="00B52F36">
            <w:pPr>
              <w:spacing w:after="0"/>
              <w:rPr>
                <w:szCs w:val="22"/>
              </w:rPr>
            </w:pPr>
            <w:r w:rsidRPr="003F7F6C">
              <w:rPr>
                <w:szCs w:val="22"/>
              </w:rPr>
              <w:t xml:space="preserve">Annual project audits: USD 30,000 </w:t>
            </w:r>
            <w:r w:rsidR="001608A1" w:rsidRPr="003F7F6C">
              <w:rPr>
                <w:szCs w:val="22"/>
              </w:rPr>
              <w:t>(6 audits x USD 5,000/each)</w:t>
            </w:r>
          </w:p>
          <w:p w14:paraId="37B7DC66" w14:textId="51095101" w:rsidR="00C7383F" w:rsidRPr="003F7F6C" w:rsidRDefault="00C7383F" w:rsidP="00B52F36">
            <w:pPr>
              <w:spacing w:after="0"/>
              <w:rPr>
                <w:szCs w:val="22"/>
              </w:rPr>
            </w:pPr>
            <w:r w:rsidRPr="003F7F6C">
              <w:rPr>
                <w:szCs w:val="22"/>
              </w:rPr>
              <w:t xml:space="preserve">Total cost: USD </w:t>
            </w:r>
            <w:r w:rsidR="00647B01" w:rsidRPr="003F7F6C">
              <w:rPr>
                <w:szCs w:val="22"/>
              </w:rPr>
              <w:t>3</w:t>
            </w:r>
            <w:r w:rsidRPr="003F7F6C">
              <w:rPr>
                <w:szCs w:val="22"/>
              </w:rPr>
              <w:t>0,000</w:t>
            </w:r>
          </w:p>
        </w:tc>
      </w:tr>
      <w:tr w:rsidR="00DF4BF7" w:rsidRPr="003F7F6C" w14:paraId="1EED9B6C" w14:textId="77777777" w:rsidTr="009A700C">
        <w:tc>
          <w:tcPr>
            <w:tcW w:w="1233" w:type="dxa"/>
            <w:shd w:val="clear" w:color="auto" w:fill="auto"/>
          </w:tcPr>
          <w:p w14:paraId="4132C4C3" w14:textId="77777777" w:rsidR="00DF4BF7" w:rsidRPr="003F7F6C" w:rsidRDefault="00DF4BF7" w:rsidP="00DF4BF7">
            <w:pPr>
              <w:spacing w:after="0"/>
              <w:jc w:val="center"/>
              <w:rPr>
                <w:szCs w:val="22"/>
              </w:rPr>
            </w:pPr>
            <w:r w:rsidRPr="003F7F6C">
              <w:rPr>
                <w:szCs w:val="22"/>
              </w:rPr>
              <w:t>2</w:t>
            </w:r>
            <w:r w:rsidR="005D668C" w:rsidRPr="003F7F6C">
              <w:rPr>
                <w:szCs w:val="22"/>
              </w:rPr>
              <w:t>6</w:t>
            </w:r>
          </w:p>
        </w:tc>
        <w:tc>
          <w:tcPr>
            <w:tcW w:w="11717" w:type="dxa"/>
            <w:shd w:val="clear" w:color="auto" w:fill="auto"/>
          </w:tcPr>
          <w:p w14:paraId="53B341BC" w14:textId="5C04181F" w:rsidR="00DF4BF7" w:rsidRPr="003F7F6C" w:rsidRDefault="000F4F9F" w:rsidP="00DF4BF7">
            <w:pPr>
              <w:spacing w:after="0"/>
              <w:rPr>
                <w:szCs w:val="22"/>
              </w:rPr>
            </w:pPr>
            <w:r w:rsidRPr="003F7F6C">
              <w:rPr>
                <w:szCs w:val="22"/>
              </w:rPr>
              <w:t xml:space="preserve">Publications on project best practices and lessons </w:t>
            </w:r>
            <w:r w:rsidR="00066FA3" w:rsidRPr="003F7F6C">
              <w:rPr>
                <w:szCs w:val="22"/>
              </w:rPr>
              <w:t xml:space="preserve">learned </w:t>
            </w:r>
            <w:r w:rsidRPr="003F7F6C">
              <w:rPr>
                <w:szCs w:val="22"/>
              </w:rPr>
              <w:t>(at least 1 on gender mainstreaming)</w:t>
            </w:r>
            <w:r w:rsidR="00DD5120" w:rsidRPr="003F7F6C">
              <w:rPr>
                <w:szCs w:val="22"/>
              </w:rPr>
              <w:t xml:space="preserve"> and project communication and information materials</w:t>
            </w:r>
            <w:r w:rsidRPr="003F7F6C">
              <w:rPr>
                <w:szCs w:val="22"/>
              </w:rPr>
              <w:t xml:space="preserve">. </w:t>
            </w:r>
            <w:r w:rsidR="00647B01" w:rsidRPr="003F7F6C">
              <w:rPr>
                <w:szCs w:val="22"/>
              </w:rPr>
              <w:t>All publication costs includes its translations services. Total cost: USD 112,669</w:t>
            </w:r>
          </w:p>
        </w:tc>
      </w:tr>
      <w:tr w:rsidR="00A23EC8" w:rsidRPr="003F7F6C" w14:paraId="31F7C933" w14:textId="77777777" w:rsidTr="009A700C">
        <w:tc>
          <w:tcPr>
            <w:tcW w:w="1233" w:type="dxa"/>
            <w:shd w:val="clear" w:color="auto" w:fill="auto"/>
          </w:tcPr>
          <w:p w14:paraId="1C7034B6" w14:textId="77777777" w:rsidR="00A23EC8" w:rsidRPr="003F7F6C" w:rsidRDefault="000F4F9F" w:rsidP="00DF4BF7">
            <w:pPr>
              <w:spacing w:after="0"/>
              <w:jc w:val="center"/>
              <w:rPr>
                <w:szCs w:val="22"/>
              </w:rPr>
            </w:pPr>
            <w:r w:rsidRPr="003F7F6C">
              <w:rPr>
                <w:szCs w:val="22"/>
              </w:rPr>
              <w:t>2</w:t>
            </w:r>
            <w:r w:rsidR="005D668C" w:rsidRPr="003F7F6C">
              <w:rPr>
                <w:szCs w:val="22"/>
              </w:rPr>
              <w:t>7</w:t>
            </w:r>
          </w:p>
        </w:tc>
        <w:tc>
          <w:tcPr>
            <w:tcW w:w="11717" w:type="dxa"/>
            <w:shd w:val="clear" w:color="auto" w:fill="auto"/>
          </w:tcPr>
          <w:p w14:paraId="17A2DF9E" w14:textId="77777777" w:rsidR="00A23EC8" w:rsidRPr="003F7F6C" w:rsidRDefault="00954BC7" w:rsidP="00DF4BF7">
            <w:pPr>
              <w:spacing w:after="0"/>
              <w:rPr>
                <w:szCs w:val="22"/>
              </w:rPr>
            </w:pPr>
            <w:r w:rsidRPr="003F7F6C">
              <w:rPr>
                <w:szCs w:val="22"/>
              </w:rPr>
              <w:t>Workshops</w:t>
            </w:r>
            <w:r w:rsidR="00A05764" w:rsidRPr="003F7F6C">
              <w:rPr>
                <w:szCs w:val="22"/>
              </w:rPr>
              <w:t>. Total cost: 66,</w:t>
            </w:r>
            <w:r w:rsidR="00877177" w:rsidRPr="003F7F6C">
              <w:rPr>
                <w:szCs w:val="22"/>
              </w:rPr>
              <w:t>000</w:t>
            </w:r>
          </w:p>
          <w:p w14:paraId="5E697E66" w14:textId="77777777" w:rsidR="000F4F9F" w:rsidRPr="003F7F6C" w:rsidRDefault="006C7947" w:rsidP="000F4F9F">
            <w:pPr>
              <w:spacing w:after="0"/>
              <w:rPr>
                <w:szCs w:val="22"/>
              </w:rPr>
            </w:pPr>
            <w:r w:rsidRPr="003F7F6C">
              <w:rPr>
                <w:szCs w:val="22"/>
              </w:rPr>
              <w:t xml:space="preserve">a) </w:t>
            </w:r>
            <w:r w:rsidR="000F4F9F" w:rsidRPr="003F7F6C">
              <w:rPr>
                <w:szCs w:val="22"/>
              </w:rPr>
              <w:t>Project Inception Workshop (national): USD 15,</w:t>
            </w:r>
            <w:r w:rsidR="009B487A" w:rsidRPr="003F7F6C">
              <w:rPr>
                <w:szCs w:val="22"/>
              </w:rPr>
              <w:t>000</w:t>
            </w:r>
          </w:p>
          <w:p w14:paraId="1022EC45" w14:textId="77777777" w:rsidR="000F4F9F" w:rsidRPr="003F7F6C" w:rsidRDefault="006C7947" w:rsidP="000F4F9F">
            <w:pPr>
              <w:spacing w:after="0"/>
              <w:rPr>
                <w:szCs w:val="22"/>
              </w:rPr>
            </w:pPr>
            <w:r w:rsidRPr="003F7F6C">
              <w:rPr>
                <w:szCs w:val="22"/>
              </w:rPr>
              <w:t xml:space="preserve">b) </w:t>
            </w:r>
            <w:r w:rsidR="000F4F9F" w:rsidRPr="003F7F6C">
              <w:rPr>
                <w:szCs w:val="22"/>
              </w:rPr>
              <w:t>Project Inception Workshops (3 provinces): USD 15,000 (3 workshops x USD 5,000/each)</w:t>
            </w:r>
          </w:p>
          <w:p w14:paraId="26CEC50C" w14:textId="77777777" w:rsidR="000F4F9F" w:rsidRPr="003F7F6C" w:rsidRDefault="006C7947" w:rsidP="000F4F9F">
            <w:pPr>
              <w:spacing w:after="0"/>
              <w:rPr>
                <w:szCs w:val="22"/>
              </w:rPr>
            </w:pPr>
            <w:r w:rsidRPr="003F7F6C">
              <w:rPr>
                <w:szCs w:val="22"/>
              </w:rPr>
              <w:t xml:space="preserve">c) </w:t>
            </w:r>
            <w:r w:rsidR="000F4F9F" w:rsidRPr="003F7F6C">
              <w:rPr>
                <w:szCs w:val="22"/>
              </w:rPr>
              <w:t>Annual meetings of the Project Board: USD 6,000 (6 meetings x USD 1,000/each)</w:t>
            </w:r>
          </w:p>
          <w:p w14:paraId="656A16C1" w14:textId="77777777" w:rsidR="000F4F9F" w:rsidRPr="003F7F6C" w:rsidRDefault="006C7947" w:rsidP="000F4F9F">
            <w:pPr>
              <w:spacing w:after="0"/>
              <w:rPr>
                <w:szCs w:val="22"/>
              </w:rPr>
            </w:pPr>
            <w:r w:rsidRPr="003F7F6C">
              <w:rPr>
                <w:szCs w:val="22"/>
              </w:rPr>
              <w:t xml:space="preserve">d) </w:t>
            </w:r>
            <w:r w:rsidR="000F4F9F" w:rsidRPr="003F7F6C">
              <w:rPr>
                <w:szCs w:val="22"/>
              </w:rPr>
              <w:t>Annual project planning/lessons learned workshops: USD 30,000 (6 workshops x USD 5,000/each)</w:t>
            </w:r>
          </w:p>
        </w:tc>
      </w:tr>
      <w:tr w:rsidR="00A23EC8" w:rsidRPr="003F7F6C" w14:paraId="1B557FCD" w14:textId="77777777" w:rsidTr="009A700C">
        <w:tc>
          <w:tcPr>
            <w:tcW w:w="12950" w:type="dxa"/>
            <w:gridSpan w:val="2"/>
            <w:shd w:val="clear" w:color="auto" w:fill="D9D9D9"/>
          </w:tcPr>
          <w:p w14:paraId="09EE7043" w14:textId="77777777" w:rsidR="00A23EC8" w:rsidRPr="003F7F6C" w:rsidRDefault="00A23EC8" w:rsidP="00DF4BF7">
            <w:pPr>
              <w:spacing w:after="0"/>
              <w:rPr>
                <w:b/>
                <w:szCs w:val="22"/>
              </w:rPr>
            </w:pPr>
            <w:r w:rsidRPr="003F7F6C">
              <w:rPr>
                <w:rFonts w:cs="Calibri"/>
                <w:b/>
                <w:bCs/>
                <w:color w:val="000000"/>
                <w:sz w:val="18"/>
                <w:szCs w:val="18"/>
              </w:rPr>
              <w:t>Project Management Cost</w:t>
            </w:r>
          </w:p>
        </w:tc>
      </w:tr>
      <w:tr w:rsidR="00A23EC8" w:rsidRPr="003F7F6C" w14:paraId="7D04D509" w14:textId="77777777" w:rsidTr="009A700C">
        <w:tc>
          <w:tcPr>
            <w:tcW w:w="1233" w:type="dxa"/>
            <w:shd w:val="clear" w:color="auto" w:fill="auto"/>
          </w:tcPr>
          <w:p w14:paraId="3A149D8F" w14:textId="77777777" w:rsidR="00A23EC8" w:rsidRPr="003F7F6C" w:rsidRDefault="00B9076A" w:rsidP="00B9076A">
            <w:pPr>
              <w:spacing w:after="0"/>
              <w:jc w:val="center"/>
              <w:rPr>
                <w:szCs w:val="22"/>
              </w:rPr>
            </w:pPr>
            <w:r w:rsidRPr="003F7F6C">
              <w:rPr>
                <w:szCs w:val="22"/>
              </w:rPr>
              <w:t>2</w:t>
            </w:r>
            <w:r w:rsidR="005D668C" w:rsidRPr="003F7F6C">
              <w:rPr>
                <w:szCs w:val="22"/>
              </w:rPr>
              <w:t>8</w:t>
            </w:r>
          </w:p>
        </w:tc>
        <w:tc>
          <w:tcPr>
            <w:tcW w:w="11717" w:type="dxa"/>
            <w:shd w:val="clear" w:color="auto" w:fill="auto"/>
          </w:tcPr>
          <w:p w14:paraId="43ED58BB" w14:textId="110E90BD" w:rsidR="00A23EC8" w:rsidRPr="003F7F6C" w:rsidRDefault="00EF3482" w:rsidP="00E91275">
            <w:pPr>
              <w:numPr>
                <w:ilvl w:val="0"/>
                <w:numId w:val="49"/>
              </w:numPr>
              <w:spacing w:after="0"/>
              <w:rPr>
                <w:szCs w:val="22"/>
              </w:rPr>
            </w:pPr>
            <w:r w:rsidRPr="003F7F6C">
              <w:rPr>
                <w:szCs w:val="22"/>
              </w:rPr>
              <w:t xml:space="preserve">Part of time of </w:t>
            </w:r>
            <w:r w:rsidR="00B9076A" w:rsidRPr="003F7F6C">
              <w:rPr>
                <w:szCs w:val="22"/>
              </w:rPr>
              <w:t>Project Coordinator</w:t>
            </w:r>
            <w:r w:rsidRPr="003F7F6C">
              <w:rPr>
                <w:szCs w:val="22"/>
              </w:rPr>
              <w:t xml:space="preserve"> dedicated to </w:t>
            </w:r>
            <w:r w:rsidR="006C7947" w:rsidRPr="003F7F6C">
              <w:rPr>
                <w:szCs w:val="22"/>
              </w:rPr>
              <w:t xml:space="preserve">project management: Total cost USD </w:t>
            </w:r>
            <w:r w:rsidR="00520DEB" w:rsidRPr="003F7F6C">
              <w:rPr>
                <w:szCs w:val="22"/>
              </w:rPr>
              <w:t>28,028</w:t>
            </w:r>
            <w:r w:rsidR="006C7947" w:rsidRPr="003F7F6C">
              <w:rPr>
                <w:szCs w:val="22"/>
              </w:rPr>
              <w:t xml:space="preserve"> (</w:t>
            </w:r>
            <w:r w:rsidR="0008603D" w:rsidRPr="003F7F6C">
              <w:rPr>
                <w:szCs w:val="22"/>
              </w:rPr>
              <w:t>1</w:t>
            </w:r>
            <w:r w:rsidR="00347E40" w:rsidRPr="003F7F6C">
              <w:rPr>
                <w:szCs w:val="22"/>
              </w:rPr>
              <w:t>4</w:t>
            </w:r>
            <w:r w:rsidR="006C7947" w:rsidRPr="003F7F6C">
              <w:rPr>
                <w:szCs w:val="22"/>
              </w:rPr>
              <w:t xml:space="preserve"> months x USD </w:t>
            </w:r>
            <w:r w:rsidR="00520DEB" w:rsidRPr="003F7F6C">
              <w:rPr>
                <w:szCs w:val="22"/>
              </w:rPr>
              <w:t>2,002</w:t>
            </w:r>
            <w:r w:rsidR="006C7947" w:rsidRPr="003F7F6C">
              <w:rPr>
                <w:szCs w:val="22"/>
              </w:rPr>
              <w:t>/month)</w:t>
            </w:r>
          </w:p>
          <w:p w14:paraId="0371D95A" w14:textId="269F58D6" w:rsidR="0008603D" w:rsidRPr="003F7F6C" w:rsidRDefault="0008603D" w:rsidP="00E91275">
            <w:pPr>
              <w:numPr>
                <w:ilvl w:val="0"/>
                <w:numId w:val="49"/>
              </w:numPr>
              <w:spacing w:after="0"/>
              <w:rPr>
                <w:szCs w:val="22"/>
              </w:rPr>
            </w:pPr>
            <w:r w:rsidRPr="003F7F6C">
              <w:rPr>
                <w:szCs w:val="22"/>
              </w:rPr>
              <w:t xml:space="preserve">Part of time of Administrative Assistant in support of project management. Total cost USD </w:t>
            </w:r>
            <w:r w:rsidR="00520DEB" w:rsidRPr="003F7F6C">
              <w:rPr>
                <w:szCs w:val="22"/>
              </w:rPr>
              <w:t>11,676</w:t>
            </w:r>
            <w:r w:rsidRPr="003F7F6C">
              <w:rPr>
                <w:szCs w:val="22"/>
              </w:rPr>
              <w:t xml:space="preserve"> (1</w:t>
            </w:r>
            <w:r w:rsidR="00347E40" w:rsidRPr="003F7F6C">
              <w:rPr>
                <w:szCs w:val="22"/>
              </w:rPr>
              <w:t>4</w:t>
            </w:r>
            <w:r w:rsidRPr="003F7F6C">
              <w:rPr>
                <w:szCs w:val="22"/>
              </w:rPr>
              <w:t xml:space="preserve"> months x USD </w:t>
            </w:r>
            <w:r w:rsidR="00520DEB" w:rsidRPr="003F7F6C">
              <w:rPr>
                <w:szCs w:val="22"/>
              </w:rPr>
              <w:t>834</w:t>
            </w:r>
            <w:r w:rsidRPr="003F7F6C">
              <w:rPr>
                <w:szCs w:val="22"/>
              </w:rPr>
              <w:t>/month)</w:t>
            </w:r>
          </w:p>
          <w:p w14:paraId="41ABF5E3" w14:textId="77777777" w:rsidR="0008603D" w:rsidRPr="003F7F6C" w:rsidRDefault="0008603D" w:rsidP="00E91275">
            <w:pPr>
              <w:numPr>
                <w:ilvl w:val="0"/>
                <w:numId w:val="49"/>
              </w:numPr>
              <w:spacing w:after="0"/>
              <w:rPr>
                <w:szCs w:val="22"/>
              </w:rPr>
            </w:pPr>
            <w:r w:rsidRPr="003F7F6C">
              <w:rPr>
                <w:szCs w:val="22"/>
              </w:rPr>
              <w:t>Project Accountant for project management. Total cost USD 85,752 (72 months x USD 1,191/month)</w:t>
            </w:r>
          </w:p>
        </w:tc>
      </w:tr>
      <w:tr w:rsidR="00B9076A" w:rsidRPr="003F7F6C" w14:paraId="2AC83913" w14:textId="77777777" w:rsidTr="009A700C">
        <w:tc>
          <w:tcPr>
            <w:tcW w:w="1233" w:type="dxa"/>
            <w:shd w:val="clear" w:color="auto" w:fill="auto"/>
          </w:tcPr>
          <w:p w14:paraId="6A1A27B7" w14:textId="21941E2C" w:rsidR="00B9076A" w:rsidRPr="003F7F6C" w:rsidRDefault="00352380" w:rsidP="00B9076A">
            <w:pPr>
              <w:spacing w:after="0"/>
              <w:jc w:val="center"/>
              <w:rPr>
                <w:szCs w:val="22"/>
              </w:rPr>
            </w:pPr>
            <w:r w:rsidRPr="003F7F6C">
              <w:rPr>
                <w:szCs w:val="22"/>
              </w:rPr>
              <w:t>29</w:t>
            </w:r>
          </w:p>
        </w:tc>
        <w:tc>
          <w:tcPr>
            <w:tcW w:w="11717" w:type="dxa"/>
            <w:shd w:val="clear" w:color="auto" w:fill="auto"/>
          </w:tcPr>
          <w:p w14:paraId="08727A3D" w14:textId="77777777" w:rsidR="00B9076A" w:rsidRPr="003F7F6C" w:rsidRDefault="006C7947" w:rsidP="00DF4BF7">
            <w:pPr>
              <w:spacing w:after="0"/>
              <w:rPr>
                <w:szCs w:val="22"/>
              </w:rPr>
            </w:pPr>
            <w:r w:rsidRPr="003F7F6C">
              <w:rPr>
                <w:szCs w:val="22"/>
              </w:rPr>
              <w:t>Computer equipment for Project Coordinator</w:t>
            </w:r>
            <w:r w:rsidR="0008603D" w:rsidRPr="003F7F6C">
              <w:rPr>
                <w:szCs w:val="22"/>
              </w:rPr>
              <w:t xml:space="preserve">, Project Administrative Assistant and Project Accountant. Total cost USD 4,500 (3 PCs x </w:t>
            </w:r>
            <w:r w:rsidRPr="003F7F6C">
              <w:rPr>
                <w:szCs w:val="22"/>
              </w:rPr>
              <w:t>USD 1,500</w:t>
            </w:r>
            <w:r w:rsidR="0008603D" w:rsidRPr="003F7F6C">
              <w:rPr>
                <w:szCs w:val="22"/>
              </w:rPr>
              <w:t>)</w:t>
            </w:r>
          </w:p>
        </w:tc>
      </w:tr>
      <w:tr w:rsidR="00B9076A" w:rsidRPr="003F7F6C" w14:paraId="295EED8E" w14:textId="77777777" w:rsidTr="009A700C">
        <w:tc>
          <w:tcPr>
            <w:tcW w:w="1233" w:type="dxa"/>
            <w:shd w:val="clear" w:color="auto" w:fill="auto"/>
          </w:tcPr>
          <w:p w14:paraId="5E42493E" w14:textId="58F77B4F" w:rsidR="00B9076A" w:rsidRPr="003F7F6C" w:rsidRDefault="00352380" w:rsidP="00B9076A">
            <w:pPr>
              <w:spacing w:after="0"/>
              <w:jc w:val="center"/>
              <w:rPr>
                <w:szCs w:val="22"/>
              </w:rPr>
            </w:pPr>
            <w:r w:rsidRPr="003F7F6C">
              <w:rPr>
                <w:szCs w:val="22"/>
              </w:rPr>
              <w:t>30</w:t>
            </w:r>
          </w:p>
        </w:tc>
        <w:tc>
          <w:tcPr>
            <w:tcW w:w="11717" w:type="dxa"/>
            <w:shd w:val="clear" w:color="auto" w:fill="auto"/>
          </w:tcPr>
          <w:p w14:paraId="3000CA55" w14:textId="1A15EC00" w:rsidR="00B9076A" w:rsidRPr="003F7F6C" w:rsidRDefault="006C7947" w:rsidP="00DF4BF7">
            <w:pPr>
              <w:spacing w:after="0"/>
              <w:rPr>
                <w:szCs w:val="22"/>
              </w:rPr>
            </w:pPr>
            <w:r w:rsidRPr="003F7F6C">
              <w:rPr>
                <w:szCs w:val="22"/>
              </w:rPr>
              <w:t xml:space="preserve">UNDP </w:t>
            </w:r>
            <w:r w:rsidR="00CD5122" w:rsidRPr="003F7F6C">
              <w:rPr>
                <w:szCs w:val="22"/>
              </w:rPr>
              <w:t>Cost Recovery Charges</w:t>
            </w:r>
            <w:r w:rsidRPr="003F7F6C">
              <w:rPr>
                <w:szCs w:val="22"/>
              </w:rPr>
              <w:t xml:space="preserve">: USD </w:t>
            </w:r>
            <w:r w:rsidR="00C838C8" w:rsidRPr="003F7F6C">
              <w:rPr>
                <w:szCs w:val="22"/>
              </w:rPr>
              <w:t>298,398</w:t>
            </w:r>
            <w:r w:rsidR="00B76CD8" w:rsidRPr="003F7F6C">
              <w:rPr>
                <w:szCs w:val="22"/>
              </w:rPr>
              <w:t xml:space="preserve">. Estimated UNDP Direct Project Service/Cost recovery charges to UNDP for executing services. In accordance with GEF Council requirements, the costs of these services will be part of the executing entity’s Project Management Cost allocation identified in the project budget. DPS costs </w:t>
            </w:r>
            <w:r w:rsidR="00D82B2F" w:rsidRPr="003F7F6C">
              <w:rPr>
                <w:szCs w:val="22"/>
              </w:rPr>
              <w:t>will</w:t>
            </w:r>
            <w:r w:rsidR="00B76CD8" w:rsidRPr="003F7F6C">
              <w:rPr>
                <w:szCs w:val="22"/>
              </w:rPr>
              <w:t xml:space="preserve"> be charged at the end of each year based on the UNDP Universal Price List (UPL) or the actual corresponding service cost. The amounts here are estimations based on the services indicated, however as part of annual project operational planning the DPS to be requested during the calendar year </w:t>
            </w:r>
            <w:r w:rsidR="00D82B2F" w:rsidRPr="003F7F6C">
              <w:rPr>
                <w:szCs w:val="22"/>
              </w:rPr>
              <w:t>will</w:t>
            </w:r>
            <w:r w:rsidR="00B76CD8" w:rsidRPr="003F7F6C">
              <w:rPr>
                <w:szCs w:val="22"/>
              </w:rPr>
              <w:t xml:space="preserve"> be defined and the amount included in the yearly project management budgets and </w:t>
            </w:r>
            <w:r w:rsidR="00D82B2F" w:rsidRPr="003F7F6C">
              <w:rPr>
                <w:szCs w:val="22"/>
              </w:rPr>
              <w:t>will</w:t>
            </w:r>
            <w:r w:rsidR="00B76CD8" w:rsidRPr="003F7F6C">
              <w:rPr>
                <w:szCs w:val="22"/>
              </w:rPr>
              <w:t xml:space="preserve"> be charged based on actual services provided at the end of that year.  </w:t>
            </w:r>
          </w:p>
        </w:tc>
      </w:tr>
    </w:tbl>
    <w:p w14:paraId="39CC2FC9" w14:textId="14200202" w:rsidR="005C526E" w:rsidRPr="003F7F6C" w:rsidRDefault="005C526E" w:rsidP="003B2A79">
      <w:pPr>
        <w:rPr>
          <w:b/>
          <w:szCs w:val="22"/>
        </w:rPr>
      </w:pPr>
    </w:p>
    <w:p w14:paraId="69520BA2" w14:textId="77777777" w:rsidR="0096798B" w:rsidRPr="003F7F6C" w:rsidRDefault="0096798B" w:rsidP="0096798B">
      <w:pPr>
        <w:pStyle w:val="ColorfulList-Accent11"/>
        <w:numPr>
          <w:ilvl w:val="0"/>
          <w:numId w:val="5"/>
        </w:numPr>
        <w:spacing w:after="60"/>
        <w:rPr>
          <w:rFonts w:ascii="Calibri" w:hAnsi="Calibri"/>
          <w:i/>
          <w:sz w:val="20"/>
          <w:szCs w:val="20"/>
        </w:rPr>
        <w:sectPr w:rsidR="0096798B" w:rsidRPr="003F7F6C" w:rsidSect="0096798B">
          <w:pgSz w:w="15840" w:h="12240" w:orient="landscape" w:code="1"/>
          <w:pgMar w:top="1440" w:right="1440" w:bottom="1440" w:left="1440" w:header="720" w:footer="720" w:gutter="0"/>
          <w:cols w:space="720"/>
          <w:docGrid w:linePitch="360"/>
        </w:sectPr>
      </w:pPr>
    </w:p>
    <w:p w14:paraId="0B9528FC" w14:textId="77777777" w:rsidR="003E3ABA" w:rsidRPr="003F7F6C" w:rsidRDefault="003E3ABA" w:rsidP="003B2A79">
      <w:pPr>
        <w:pStyle w:val="Heading1"/>
        <w:spacing w:before="0" w:after="60"/>
        <w:rPr>
          <w:rFonts w:ascii="Calibri" w:hAnsi="Calibri"/>
          <w:szCs w:val="28"/>
        </w:rPr>
      </w:pPr>
      <w:bookmarkStart w:id="30" w:name="_Toc529891417"/>
      <w:r w:rsidRPr="003F7F6C">
        <w:rPr>
          <w:rFonts w:ascii="Calibri" w:hAnsi="Calibri"/>
          <w:szCs w:val="28"/>
        </w:rPr>
        <w:t>Legal Context</w:t>
      </w:r>
      <w:bookmarkEnd w:id="30"/>
    </w:p>
    <w:p w14:paraId="74520AEF" w14:textId="77777777" w:rsidR="005D6247" w:rsidRPr="003F7F6C" w:rsidRDefault="00872F38" w:rsidP="00E91275">
      <w:pPr>
        <w:pStyle w:val="NormalWeb"/>
        <w:numPr>
          <w:ilvl w:val="0"/>
          <w:numId w:val="40"/>
        </w:numPr>
        <w:spacing w:before="0" w:beforeAutospacing="0" w:after="240" w:afterAutospacing="0"/>
        <w:ind w:left="0" w:firstLine="0"/>
        <w:rPr>
          <w:rFonts w:ascii="Calibri" w:hAnsi="Calibri" w:cs="Calibri"/>
          <w:sz w:val="20"/>
          <w:szCs w:val="20"/>
        </w:rPr>
      </w:pPr>
      <w:r w:rsidRPr="003F7F6C">
        <w:rPr>
          <w:rFonts w:ascii="Calibri" w:hAnsi="Calibri" w:cs="Calibri"/>
          <w:sz w:val="20"/>
          <w:szCs w:val="20"/>
        </w:rPr>
        <w:t xml:space="preserve">This project document shall be the instrument referred to as such in Article 1 of the Standard Basic Assistance Agreement between the Government of </w:t>
      </w:r>
      <w:r w:rsidR="004A2F30" w:rsidRPr="003F7F6C">
        <w:rPr>
          <w:rFonts w:ascii="Calibri" w:hAnsi="Calibri" w:cs="Calibri"/>
          <w:sz w:val="20"/>
          <w:szCs w:val="20"/>
        </w:rPr>
        <w:t>Argentina</w:t>
      </w:r>
      <w:r w:rsidRPr="003F7F6C">
        <w:rPr>
          <w:rFonts w:ascii="Calibri" w:hAnsi="Calibri" w:cs="Calibri"/>
          <w:sz w:val="20"/>
          <w:szCs w:val="20"/>
        </w:rPr>
        <w:t xml:space="preserve"> and UNDP, signed on</w:t>
      </w:r>
      <w:r w:rsidR="004A2F30" w:rsidRPr="003F7F6C">
        <w:rPr>
          <w:rFonts w:ascii="Calibri" w:hAnsi="Calibri" w:cs="Calibri"/>
          <w:sz w:val="20"/>
          <w:szCs w:val="20"/>
        </w:rPr>
        <w:t xml:space="preserve"> </w:t>
      </w:r>
      <w:r w:rsidR="004A2F30" w:rsidRPr="003F7F6C">
        <w:rPr>
          <w:rFonts w:ascii="Calibri" w:eastAsia="Times New Roman" w:hAnsi="Calibri" w:cs="Calibri"/>
          <w:sz w:val="20"/>
          <w:szCs w:val="20"/>
          <w:lang w:eastAsia="es-ES_tradnl"/>
        </w:rPr>
        <w:t>February 26, 1985 and approved by Law 23396 of October 10, 1986</w:t>
      </w:r>
      <w:r w:rsidRPr="003F7F6C">
        <w:rPr>
          <w:rFonts w:ascii="Calibri" w:hAnsi="Calibri" w:cs="Calibri"/>
          <w:sz w:val="20"/>
          <w:szCs w:val="20"/>
        </w:rPr>
        <w:t>.   All references in the SBAA to “Executing Agency” shall be deemed to refer to “Implementing Partner.”</w:t>
      </w:r>
    </w:p>
    <w:p w14:paraId="0A7A664B" w14:textId="77777777" w:rsidR="005D6247" w:rsidRPr="003F7F6C" w:rsidRDefault="00872F38" w:rsidP="00E91275">
      <w:pPr>
        <w:pStyle w:val="NormalWeb"/>
        <w:numPr>
          <w:ilvl w:val="0"/>
          <w:numId w:val="40"/>
        </w:numPr>
        <w:spacing w:before="0" w:beforeAutospacing="0" w:after="240" w:afterAutospacing="0"/>
        <w:ind w:left="0" w:firstLine="0"/>
        <w:rPr>
          <w:rFonts w:ascii="Calibri" w:hAnsi="Calibri" w:cs="Calibri"/>
          <w:sz w:val="20"/>
          <w:szCs w:val="20"/>
        </w:rPr>
      </w:pPr>
      <w:r w:rsidRPr="003F7F6C">
        <w:rPr>
          <w:rFonts w:ascii="Calibri" w:hAnsi="Calibri" w:cs="Calibri"/>
          <w:sz w:val="20"/>
          <w:szCs w:val="20"/>
        </w:rPr>
        <w:t xml:space="preserve">This project will be </w:t>
      </w:r>
      <w:r w:rsidR="0013797D" w:rsidRPr="003F7F6C">
        <w:rPr>
          <w:rFonts w:ascii="Calibri" w:hAnsi="Calibri" w:cs="Calibri"/>
          <w:sz w:val="20"/>
          <w:szCs w:val="20"/>
        </w:rPr>
        <w:t xml:space="preserve">executed </w:t>
      </w:r>
      <w:r w:rsidRPr="003F7F6C">
        <w:rPr>
          <w:rFonts w:ascii="Calibri" w:hAnsi="Calibri" w:cs="Calibri"/>
          <w:sz w:val="20"/>
          <w:szCs w:val="20"/>
        </w:rPr>
        <w:t xml:space="preserve">by </w:t>
      </w:r>
      <w:r w:rsidR="004A2F30" w:rsidRPr="003F7F6C">
        <w:rPr>
          <w:rFonts w:ascii="Calibri" w:hAnsi="Calibri" w:cs="Calibri"/>
          <w:sz w:val="20"/>
          <w:szCs w:val="20"/>
        </w:rPr>
        <w:t xml:space="preserve">the </w:t>
      </w:r>
      <w:r w:rsidR="004A2F30" w:rsidRPr="003F7F6C">
        <w:rPr>
          <w:rFonts w:ascii="Calibri" w:hAnsi="Calibri" w:cs="Calibri"/>
          <w:b/>
          <w:sz w:val="20"/>
          <w:szCs w:val="20"/>
        </w:rPr>
        <w:t>Secretariat of Environment and Sustainable Development</w:t>
      </w:r>
      <w:r w:rsidR="005D6247" w:rsidRPr="003F7F6C">
        <w:rPr>
          <w:rFonts w:ascii="Calibri" w:hAnsi="Calibri" w:cs="Calibri"/>
          <w:b/>
          <w:sz w:val="20"/>
          <w:szCs w:val="20"/>
        </w:rPr>
        <w:t xml:space="preserve"> (SGAyDS)</w:t>
      </w:r>
      <w:r w:rsidRPr="003F7F6C">
        <w:rPr>
          <w:rFonts w:ascii="Calibri" w:hAnsi="Calibri" w:cs="Calibri"/>
          <w:sz w:val="20"/>
          <w:szCs w:val="20"/>
        </w:rPr>
        <w:t xml:space="preserve">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14B2FB47" w14:textId="77777777" w:rsidR="003E3ABA" w:rsidRPr="003F7F6C" w:rsidRDefault="003E3ABA" w:rsidP="00E91275">
      <w:pPr>
        <w:pStyle w:val="NormalWeb"/>
        <w:numPr>
          <w:ilvl w:val="0"/>
          <w:numId w:val="40"/>
        </w:numPr>
        <w:spacing w:before="0" w:beforeAutospacing="0" w:after="240" w:afterAutospacing="0"/>
        <w:ind w:left="0" w:firstLine="0"/>
        <w:rPr>
          <w:rFonts w:ascii="Calibri" w:hAnsi="Calibri" w:cs="Calibri"/>
          <w:sz w:val="20"/>
          <w:szCs w:val="20"/>
        </w:rPr>
      </w:pPr>
      <w:r w:rsidRPr="003F7F6C">
        <w:rPr>
          <w:rFonts w:ascii="Calibri" w:hAnsi="Calibri" w:cs="Calibri"/>
          <w:sz w:val="20"/>
          <w:szCs w:val="20"/>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315E96D4" w14:textId="77777777" w:rsidR="00F62A77" w:rsidRPr="003F7F6C" w:rsidRDefault="00F62A77" w:rsidP="00E223D9">
      <w:pPr>
        <w:jc w:val="left"/>
        <w:rPr>
          <w:szCs w:val="20"/>
        </w:rPr>
      </w:pPr>
    </w:p>
    <w:p w14:paraId="14CD1A29" w14:textId="77777777" w:rsidR="00A94FFC" w:rsidRPr="003F7F6C" w:rsidRDefault="00A94FFC" w:rsidP="00E223D9">
      <w:pPr>
        <w:pStyle w:val="Heading1"/>
        <w:spacing w:before="0" w:after="60"/>
        <w:jc w:val="left"/>
        <w:rPr>
          <w:rFonts w:ascii="Calibri" w:hAnsi="Calibri"/>
          <w:szCs w:val="28"/>
        </w:rPr>
      </w:pPr>
      <w:bookmarkStart w:id="31" w:name="_Toc529891418"/>
      <w:r w:rsidRPr="003F7F6C">
        <w:rPr>
          <w:rFonts w:ascii="Calibri" w:hAnsi="Calibri"/>
          <w:szCs w:val="28"/>
        </w:rPr>
        <w:t>Risk Management</w:t>
      </w:r>
      <w:bookmarkEnd w:id="31"/>
    </w:p>
    <w:p w14:paraId="1B7153E4" w14:textId="77777777" w:rsidR="00872F38" w:rsidRPr="003F7F6C" w:rsidRDefault="00872F38" w:rsidP="00E91275">
      <w:pPr>
        <w:numPr>
          <w:ilvl w:val="0"/>
          <w:numId w:val="40"/>
        </w:numPr>
        <w:spacing w:after="240"/>
        <w:ind w:left="0" w:firstLine="0"/>
        <w:rPr>
          <w:rFonts w:cs="Arial"/>
          <w:szCs w:val="20"/>
        </w:rPr>
      </w:pPr>
      <w:r w:rsidRPr="003F7F6C">
        <w:rPr>
          <w:rFonts w:cs="Arial"/>
          <w:szCs w:val="20"/>
        </w:rPr>
        <w:t xml:space="preserve">Consistent with the Article III of the SBAA </w:t>
      </w:r>
      <w:r w:rsidRPr="003F7F6C">
        <w:rPr>
          <w:rFonts w:cs="Arial"/>
          <w:i/>
          <w:szCs w:val="20"/>
        </w:rPr>
        <w:t>[or the Supplemental Provisions to the Project Document]</w:t>
      </w:r>
      <w:r w:rsidRPr="003F7F6C">
        <w:rPr>
          <w:rFonts w:cs="Arial"/>
          <w:szCs w:val="20"/>
        </w:rPr>
        <w:t>, the responsibility for the safety and security of the Implementing Partner and its personnel and property, and of UNDP’s property in the Implementing Partner’s custody, rests with the Implementing Partner.  To this end, the Implementing Partner shall:</w:t>
      </w:r>
    </w:p>
    <w:p w14:paraId="65ABFFC2" w14:textId="77777777" w:rsidR="00872F38" w:rsidRPr="003F7F6C" w:rsidRDefault="00872F38" w:rsidP="00E91275">
      <w:pPr>
        <w:numPr>
          <w:ilvl w:val="0"/>
          <w:numId w:val="17"/>
        </w:numPr>
        <w:spacing w:after="0"/>
        <w:rPr>
          <w:rFonts w:cs="Arial"/>
          <w:szCs w:val="20"/>
        </w:rPr>
      </w:pPr>
      <w:r w:rsidRPr="003F7F6C">
        <w:rPr>
          <w:rFonts w:cs="Arial"/>
          <w:szCs w:val="20"/>
        </w:rPr>
        <w:t>put in place an appropriate security plan and maintain the security plan, taking into account the security situation in the country where the project is being carried;</w:t>
      </w:r>
    </w:p>
    <w:p w14:paraId="127F9C95" w14:textId="77777777" w:rsidR="00872F38" w:rsidRPr="003F7F6C" w:rsidRDefault="00872F38" w:rsidP="00E91275">
      <w:pPr>
        <w:numPr>
          <w:ilvl w:val="0"/>
          <w:numId w:val="17"/>
        </w:numPr>
        <w:spacing w:after="0"/>
        <w:rPr>
          <w:rFonts w:cs="Arial"/>
          <w:szCs w:val="20"/>
        </w:rPr>
      </w:pPr>
      <w:r w:rsidRPr="003F7F6C">
        <w:rPr>
          <w:rFonts w:cs="Arial"/>
          <w:szCs w:val="20"/>
        </w:rPr>
        <w:t>assume all risks and liabilities related to the Implementing Partner’s security, and the full implementation of the security plan.</w:t>
      </w:r>
    </w:p>
    <w:p w14:paraId="44A6B135" w14:textId="77777777" w:rsidR="00872F38" w:rsidRPr="003F7F6C" w:rsidRDefault="00872F38" w:rsidP="00872F38">
      <w:pPr>
        <w:spacing w:after="0"/>
        <w:rPr>
          <w:rFonts w:cs="Arial"/>
          <w:szCs w:val="20"/>
        </w:rPr>
      </w:pPr>
    </w:p>
    <w:p w14:paraId="49E9171E" w14:textId="77777777" w:rsidR="002619E3" w:rsidRPr="003F7F6C" w:rsidRDefault="00872F38" w:rsidP="00E91275">
      <w:pPr>
        <w:numPr>
          <w:ilvl w:val="0"/>
          <w:numId w:val="40"/>
        </w:numPr>
        <w:spacing w:after="240"/>
        <w:ind w:left="0" w:firstLine="0"/>
        <w:rPr>
          <w:rFonts w:cs="Arial"/>
          <w:szCs w:val="20"/>
        </w:rPr>
      </w:pPr>
      <w:r w:rsidRPr="003F7F6C">
        <w:rPr>
          <w:rFonts w:cs="Arial"/>
          <w:szCs w:val="20"/>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0E28C413" w14:textId="77777777" w:rsidR="002619E3" w:rsidRPr="003F7F6C" w:rsidRDefault="00872F38" w:rsidP="00E91275">
      <w:pPr>
        <w:numPr>
          <w:ilvl w:val="0"/>
          <w:numId w:val="40"/>
        </w:numPr>
        <w:spacing w:after="240"/>
        <w:ind w:left="0" w:firstLine="0"/>
        <w:rPr>
          <w:rFonts w:cs="Arial"/>
          <w:szCs w:val="20"/>
        </w:rPr>
      </w:pPr>
      <w:r w:rsidRPr="003F7F6C">
        <w:rPr>
          <w:rFonts w:cs="Arial"/>
          <w:szCs w:val="20"/>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3" w:history="1">
        <w:r w:rsidRPr="003F7F6C">
          <w:rPr>
            <w:rStyle w:val="Hyperlink"/>
            <w:rFonts w:cs="Arial"/>
            <w:szCs w:val="20"/>
          </w:rPr>
          <w:t>http://www.un.org/sc/committees/1267/aq_sanctions_list.shtml</w:t>
        </w:r>
      </w:hyperlink>
      <w:r w:rsidRPr="003F7F6C">
        <w:rPr>
          <w:rFonts w:cs="Arial"/>
          <w:color w:val="000080"/>
          <w:szCs w:val="20"/>
        </w:rPr>
        <w:t>.</w:t>
      </w:r>
      <w:r w:rsidRPr="003F7F6C">
        <w:rPr>
          <w:rFonts w:cs="Arial"/>
          <w:szCs w:val="20"/>
        </w:rPr>
        <w:t xml:space="preserve">  </w:t>
      </w:r>
    </w:p>
    <w:p w14:paraId="4CF6CF23" w14:textId="77777777" w:rsidR="002619E3" w:rsidRPr="003F7F6C" w:rsidRDefault="00872F38" w:rsidP="00E91275">
      <w:pPr>
        <w:numPr>
          <w:ilvl w:val="0"/>
          <w:numId w:val="40"/>
        </w:numPr>
        <w:spacing w:after="240"/>
        <w:ind w:left="0" w:firstLine="0"/>
        <w:rPr>
          <w:rFonts w:cs="Arial"/>
          <w:szCs w:val="20"/>
        </w:rPr>
      </w:pPr>
      <w:r w:rsidRPr="003F7F6C">
        <w:rPr>
          <w:rFonts w:cs="Arial"/>
          <w:szCs w:val="20"/>
        </w:rPr>
        <w:t xml:space="preserve">Social and environmental sustainability will be enhanced through application of the UNDP Social and Environmental Standards (http://www.undp.org/ses) and related Accountability Mechanism (http://www.undp.org/secu-srm).  </w:t>
      </w:r>
      <w:r w:rsidRPr="003F7F6C">
        <w:rPr>
          <w:rFonts w:cs="Arial"/>
          <w:color w:val="000000"/>
          <w:szCs w:val="20"/>
        </w:rPr>
        <w:t> </w:t>
      </w:r>
    </w:p>
    <w:p w14:paraId="3375616F" w14:textId="77777777" w:rsidR="002619E3" w:rsidRPr="003F7F6C" w:rsidRDefault="00872F38" w:rsidP="00E91275">
      <w:pPr>
        <w:numPr>
          <w:ilvl w:val="0"/>
          <w:numId w:val="40"/>
        </w:numPr>
        <w:spacing w:after="240"/>
        <w:ind w:left="0" w:firstLine="0"/>
        <w:rPr>
          <w:rFonts w:cs="Calibri"/>
          <w:szCs w:val="20"/>
        </w:rPr>
      </w:pPr>
      <w:r w:rsidRPr="003F7F6C">
        <w:rPr>
          <w:rFonts w:cs="Calibri"/>
          <w:color w:val="101010"/>
          <w:spacing w:val="-6"/>
          <w:kern w:val="1"/>
          <w:szCs w:val="20"/>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3F7F6C">
        <w:rPr>
          <w:rFonts w:cs="Calibri"/>
          <w:color w:val="141414"/>
          <w:spacing w:val="-4"/>
          <w:szCs w:val="20"/>
          <w:lang w:val="en-GB"/>
        </w:rPr>
        <w:t>UNDP</w:t>
      </w:r>
      <w:r w:rsidRPr="003F7F6C">
        <w:rPr>
          <w:rFonts w:cs="Calibri"/>
          <w:szCs w:val="20"/>
          <w:lang w:val="en-GB"/>
        </w:rPr>
        <w:t xml:space="preserve"> will seek to ensure that communities and other project stakeholders are informed of and have access to the Accountability Mechanism. </w:t>
      </w:r>
    </w:p>
    <w:p w14:paraId="3927B27F" w14:textId="77777777" w:rsidR="002619E3" w:rsidRPr="003F7F6C" w:rsidRDefault="00872F38" w:rsidP="00E91275">
      <w:pPr>
        <w:numPr>
          <w:ilvl w:val="0"/>
          <w:numId w:val="40"/>
        </w:numPr>
        <w:spacing w:after="240"/>
        <w:ind w:left="0" w:firstLine="0"/>
        <w:rPr>
          <w:rFonts w:cs="Calibri"/>
          <w:szCs w:val="20"/>
        </w:rPr>
      </w:pPr>
      <w:r w:rsidRPr="003F7F6C">
        <w:rPr>
          <w:rFonts w:cs="Arial"/>
          <w:spacing w:val="-4"/>
          <w:szCs w:val="20"/>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42F77D71" w14:textId="77777777" w:rsidR="002619E3" w:rsidRPr="003F7F6C" w:rsidRDefault="00872F38" w:rsidP="00E91275">
      <w:pPr>
        <w:numPr>
          <w:ilvl w:val="0"/>
          <w:numId w:val="40"/>
        </w:numPr>
        <w:spacing w:after="240"/>
        <w:ind w:left="0" w:firstLine="0"/>
        <w:rPr>
          <w:rFonts w:cs="Calibri"/>
          <w:szCs w:val="20"/>
        </w:rPr>
      </w:pPr>
      <w:r w:rsidRPr="003F7F6C">
        <w:rPr>
          <w:rFonts w:eastAsia="Calibri" w:cs="Arial"/>
          <w:color w:val="000000"/>
          <w:szCs w:val="20"/>
        </w:rPr>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2B942095" w14:textId="77777777" w:rsidR="002619E3" w:rsidRPr="003F7F6C" w:rsidRDefault="00872F38" w:rsidP="00E91275">
      <w:pPr>
        <w:numPr>
          <w:ilvl w:val="0"/>
          <w:numId w:val="40"/>
        </w:numPr>
        <w:spacing w:after="240"/>
        <w:ind w:left="0" w:firstLine="0"/>
        <w:rPr>
          <w:rFonts w:cs="Calibri"/>
          <w:szCs w:val="20"/>
        </w:rPr>
      </w:pPr>
      <w:r w:rsidRPr="003F7F6C">
        <w:rPr>
          <w:rFonts w:eastAsia="Calibri" w:cs="Arial"/>
          <w:color w:val="000000"/>
          <w:szCs w:val="20"/>
        </w:rPr>
        <w:t xml:space="preserve">The requirements of the following documents, then in force at the time of signature of the Project Document, apply to the Implementing Partner: </w:t>
      </w:r>
      <w:r w:rsidRPr="003F7F6C">
        <w:rPr>
          <w:rFonts w:eastAsia="Calibri" w:cs="Arial"/>
          <w:bCs/>
          <w:color w:val="000000"/>
          <w:szCs w:val="20"/>
        </w:rPr>
        <w:t>(a)</w:t>
      </w:r>
      <w:r w:rsidRPr="003F7F6C">
        <w:rPr>
          <w:rFonts w:eastAsia="Calibri" w:cs="Arial"/>
          <w:b/>
          <w:bCs/>
          <w:color w:val="000000"/>
          <w:szCs w:val="20"/>
        </w:rPr>
        <w:t xml:space="preserve"> </w:t>
      </w:r>
      <w:r w:rsidRPr="003F7F6C">
        <w:rPr>
          <w:rFonts w:eastAsia="Calibri" w:cs="Arial"/>
          <w:color w:val="000000"/>
          <w:szCs w:val="20"/>
        </w:rPr>
        <w:t xml:space="preserve">UNDP Policy on Fraud and other Corrupt Practices and </w:t>
      </w:r>
      <w:r w:rsidRPr="003F7F6C">
        <w:rPr>
          <w:rFonts w:eastAsia="Calibri" w:cs="Arial"/>
          <w:bCs/>
          <w:color w:val="000000"/>
          <w:szCs w:val="20"/>
        </w:rPr>
        <w:t>(b)</w:t>
      </w:r>
      <w:r w:rsidRPr="003F7F6C">
        <w:rPr>
          <w:rFonts w:eastAsia="Calibri" w:cs="Arial"/>
          <w:b/>
          <w:bCs/>
          <w:color w:val="000000"/>
          <w:szCs w:val="20"/>
        </w:rPr>
        <w:t xml:space="preserve"> </w:t>
      </w:r>
      <w:r w:rsidRPr="003F7F6C">
        <w:rPr>
          <w:rFonts w:eastAsia="Calibri" w:cs="Arial"/>
          <w:color w:val="000000"/>
          <w:szCs w:val="20"/>
        </w:rPr>
        <w:t xml:space="preserve">UNDP Office of Audit and Investigations Investigation Guidelines. </w:t>
      </w:r>
      <w:r w:rsidRPr="003F7F6C">
        <w:rPr>
          <w:rFonts w:eastAsia="Calibri" w:cs="Arial"/>
          <w:szCs w:val="20"/>
        </w:rPr>
        <w:t xml:space="preserve">The Implementing Partner agrees to the requirements of the above documents, which are an integral part of this Project Document and are available online at www.undp.org. </w:t>
      </w:r>
    </w:p>
    <w:p w14:paraId="6CB2C75F" w14:textId="77777777" w:rsidR="002619E3" w:rsidRPr="003F7F6C" w:rsidRDefault="00872F38" w:rsidP="00E91275">
      <w:pPr>
        <w:numPr>
          <w:ilvl w:val="0"/>
          <w:numId w:val="40"/>
        </w:numPr>
        <w:spacing w:after="240"/>
        <w:ind w:left="0" w:firstLine="0"/>
        <w:rPr>
          <w:rFonts w:cs="Calibri"/>
          <w:szCs w:val="20"/>
        </w:rPr>
      </w:pPr>
      <w:r w:rsidRPr="003F7F6C">
        <w:rPr>
          <w:rFonts w:cs="Arial"/>
          <w:color w:val="000000"/>
          <w:szCs w:val="20"/>
        </w:rPr>
        <w:t>In the event that an investigation is required, UNDP has the obligation to conduct investigations relating to any aspect of UNDP projects and programs. The Implementing Partner shall provide its full cooperation, including making available personnel, relevant documentation, and granting access to the Implementing Partner’s</w:t>
      </w:r>
      <w:r w:rsidRPr="003F7F6C">
        <w:rPr>
          <w:rFonts w:eastAsia="Calibri" w:cs="Arial"/>
          <w:color w:val="000000"/>
          <w:szCs w:val="20"/>
        </w:rPr>
        <w:t xml:space="preserve"> </w:t>
      </w:r>
      <w:r w:rsidRPr="003F7F6C">
        <w:rPr>
          <w:rFonts w:cs="Arial"/>
          <w:color w:val="000000"/>
          <w:szCs w:val="20"/>
        </w:rPr>
        <w:t>(and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21978026" w14:textId="77777777" w:rsidR="002619E3" w:rsidRPr="003F7F6C" w:rsidRDefault="00872F38" w:rsidP="00E91275">
      <w:pPr>
        <w:numPr>
          <w:ilvl w:val="0"/>
          <w:numId w:val="40"/>
        </w:numPr>
        <w:spacing w:after="240"/>
        <w:ind w:left="0" w:firstLine="0"/>
        <w:rPr>
          <w:rFonts w:cs="Calibri"/>
          <w:szCs w:val="20"/>
        </w:rPr>
      </w:pPr>
      <w:r w:rsidRPr="003F7F6C">
        <w:rPr>
          <w:rFonts w:cs="Arial"/>
          <w:szCs w:val="20"/>
        </w:rPr>
        <w:t>The signatories to this Project Document will promptly inform one another in case of any incidence of inappropriate use of funds, or credible allegation of fraud or corruption with due confidentiality.</w:t>
      </w:r>
    </w:p>
    <w:p w14:paraId="4C1BF65D" w14:textId="77777777" w:rsidR="002619E3" w:rsidRPr="003F7F6C" w:rsidRDefault="00872F38" w:rsidP="00E91275">
      <w:pPr>
        <w:numPr>
          <w:ilvl w:val="0"/>
          <w:numId w:val="40"/>
        </w:numPr>
        <w:spacing w:after="240"/>
        <w:ind w:left="0" w:firstLine="0"/>
        <w:rPr>
          <w:rFonts w:cs="Calibri"/>
          <w:szCs w:val="20"/>
        </w:rPr>
      </w:pPr>
      <w:r w:rsidRPr="003F7F6C">
        <w:rPr>
          <w:rFonts w:cs="Arial"/>
          <w:szCs w:val="20"/>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67C72F57" w14:textId="77777777" w:rsidR="002619E3" w:rsidRPr="003F7F6C" w:rsidRDefault="00872F38" w:rsidP="00E91275">
      <w:pPr>
        <w:numPr>
          <w:ilvl w:val="0"/>
          <w:numId w:val="40"/>
        </w:numPr>
        <w:spacing w:after="240"/>
        <w:ind w:left="0" w:firstLine="0"/>
        <w:rPr>
          <w:rFonts w:cs="Calibri"/>
          <w:szCs w:val="20"/>
        </w:rPr>
      </w:pPr>
      <w:r w:rsidRPr="003F7F6C">
        <w:rPr>
          <w:rFonts w:cs="Arial"/>
          <w:szCs w:val="20"/>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5F70097A" w14:textId="77777777" w:rsidR="002619E3" w:rsidRPr="003F7F6C" w:rsidRDefault="00872F38" w:rsidP="00E91275">
      <w:pPr>
        <w:numPr>
          <w:ilvl w:val="0"/>
          <w:numId w:val="40"/>
        </w:numPr>
        <w:spacing w:after="240"/>
        <w:ind w:left="0" w:firstLine="0"/>
        <w:rPr>
          <w:rFonts w:cs="Calibri"/>
          <w:szCs w:val="20"/>
        </w:rPr>
      </w:pPr>
      <w:r w:rsidRPr="003F7F6C">
        <w:rPr>
          <w:rFonts w:cs="Arial"/>
          <w:szCs w:val="20"/>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6828643C" w14:textId="77777777" w:rsidR="002619E3" w:rsidRPr="003F7F6C" w:rsidRDefault="00872F38" w:rsidP="00E91275">
      <w:pPr>
        <w:numPr>
          <w:ilvl w:val="0"/>
          <w:numId w:val="40"/>
        </w:numPr>
        <w:spacing w:after="240"/>
        <w:ind w:left="0" w:firstLine="0"/>
        <w:rPr>
          <w:rFonts w:cs="Calibri"/>
          <w:szCs w:val="20"/>
        </w:rPr>
      </w:pPr>
      <w:r w:rsidRPr="003F7F6C">
        <w:rPr>
          <w:rFonts w:cs="Arial"/>
          <w:i/>
          <w:szCs w:val="20"/>
          <w:u w:val="single"/>
        </w:rPr>
        <w:t>Note</w:t>
      </w:r>
      <w:r w:rsidRPr="003F7F6C">
        <w:rPr>
          <w:rFonts w:cs="Arial"/>
          <w:i/>
          <w:szCs w:val="20"/>
        </w:rPr>
        <w:t>:</w:t>
      </w:r>
      <w:r w:rsidRPr="003F7F6C">
        <w:rPr>
          <w:rFonts w:cs="Arial"/>
          <w:szCs w:val="20"/>
        </w:rPr>
        <w:t xml:space="preserve">  The term “Project Document” as used in this clause shall be deemed to include any relevant subsidiary agreement further to the Project Document, including those with responsible parties, subcontractors and sub-recipients.</w:t>
      </w:r>
    </w:p>
    <w:p w14:paraId="709A469C" w14:textId="77777777" w:rsidR="002619E3" w:rsidRPr="003F7F6C" w:rsidRDefault="00872F38" w:rsidP="00E91275">
      <w:pPr>
        <w:numPr>
          <w:ilvl w:val="0"/>
          <w:numId w:val="40"/>
        </w:numPr>
        <w:spacing w:after="240"/>
        <w:ind w:left="0" w:firstLine="0"/>
        <w:rPr>
          <w:rFonts w:cs="Calibri"/>
          <w:szCs w:val="20"/>
        </w:rPr>
      </w:pPr>
      <w:r w:rsidRPr="003F7F6C">
        <w:rPr>
          <w:rFonts w:cs="Arial"/>
          <w:szCs w:val="20"/>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6993AF54" w14:textId="77777777" w:rsidR="002619E3" w:rsidRPr="003F7F6C" w:rsidRDefault="00872F38" w:rsidP="00E91275">
      <w:pPr>
        <w:numPr>
          <w:ilvl w:val="0"/>
          <w:numId w:val="40"/>
        </w:numPr>
        <w:spacing w:after="240"/>
        <w:ind w:left="0" w:firstLine="0"/>
        <w:rPr>
          <w:rFonts w:cs="Calibri"/>
          <w:szCs w:val="20"/>
        </w:rPr>
      </w:pPr>
      <w:r w:rsidRPr="003F7F6C">
        <w:rPr>
          <w:rFonts w:cs="Arial"/>
          <w:szCs w:val="20"/>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61BA0FA4" w14:textId="77777777" w:rsidR="00872F38" w:rsidRPr="003F7F6C" w:rsidRDefault="00872F38" w:rsidP="00E91275">
      <w:pPr>
        <w:numPr>
          <w:ilvl w:val="0"/>
          <w:numId w:val="40"/>
        </w:numPr>
        <w:spacing w:after="240"/>
        <w:ind w:left="0" w:firstLine="0"/>
        <w:rPr>
          <w:rFonts w:cs="Calibri"/>
          <w:szCs w:val="20"/>
        </w:rPr>
      </w:pPr>
      <w:r w:rsidRPr="003F7F6C">
        <w:rPr>
          <w:rFonts w:cs="Arial"/>
          <w:szCs w:val="20"/>
        </w:rPr>
        <w:t xml:space="preserve">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w:t>
      </w:r>
      <w:bookmarkStart w:id="32" w:name="_Hlk526346203"/>
      <w:r w:rsidRPr="003F7F6C">
        <w:rPr>
          <w:rFonts w:cs="Arial"/>
          <w:i/>
          <w:szCs w:val="20"/>
        </w:rPr>
        <w:t>mutatis mutandis</w:t>
      </w:r>
      <w:bookmarkEnd w:id="32"/>
      <w:r w:rsidRPr="003F7F6C">
        <w:rPr>
          <w:rFonts w:cs="Arial"/>
          <w:szCs w:val="20"/>
        </w:rPr>
        <w:t>, in all sub-contracts or sub-agreements entered into further to this Project Document.</w:t>
      </w:r>
    </w:p>
    <w:p w14:paraId="39F6F686" w14:textId="77777777" w:rsidR="00872F38" w:rsidRPr="003F7F6C" w:rsidRDefault="00872F38" w:rsidP="00872F38">
      <w:pPr>
        <w:pStyle w:val="ColorfulList-Accent11"/>
        <w:spacing w:before="120" w:after="120"/>
        <w:ind w:left="360"/>
        <w:rPr>
          <w:rFonts w:ascii="Calibri" w:hAnsi="Calibri" w:cs="Arial"/>
          <w:spacing w:val="-4"/>
          <w:sz w:val="20"/>
          <w:szCs w:val="20"/>
        </w:rPr>
      </w:pPr>
    </w:p>
    <w:p w14:paraId="525C3464" w14:textId="77777777" w:rsidR="00872F38" w:rsidRPr="003F7F6C" w:rsidRDefault="00872F38" w:rsidP="00872F38">
      <w:pPr>
        <w:rPr>
          <w:rFonts w:cs="Arial"/>
          <w:b/>
          <w:szCs w:val="20"/>
        </w:rPr>
      </w:pPr>
    </w:p>
    <w:p w14:paraId="3652C5A2" w14:textId="77777777" w:rsidR="00872F38" w:rsidRPr="003F7F6C" w:rsidRDefault="00872F38" w:rsidP="00872F38">
      <w:pPr>
        <w:rPr>
          <w:rFonts w:cs="Arial"/>
          <w:b/>
          <w:szCs w:val="20"/>
        </w:rPr>
      </w:pPr>
    </w:p>
    <w:p w14:paraId="2074A182" w14:textId="77777777" w:rsidR="00872F38" w:rsidRPr="003F7F6C" w:rsidRDefault="002619E3" w:rsidP="00872F38">
      <w:pPr>
        <w:autoSpaceDE w:val="0"/>
        <w:autoSpaceDN w:val="0"/>
        <w:adjustRightInd w:val="0"/>
        <w:spacing w:after="0"/>
        <w:ind w:left="360"/>
        <w:rPr>
          <w:rFonts w:eastAsia="Calibri" w:cs="Arial"/>
          <w:color w:val="000000"/>
          <w:szCs w:val="20"/>
        </w:rPr>
      </w:pPr>
      <w:r w:rsidRPr="003F7F6C">
        <w:rPr>
          <w:rFonts w:eastAsia="Calibri" w:cs="Arial"/>
          <w:color w:val="000000"/>
          <w:szCs w:val="20"/>
        </w:rPr>
        <w:br w:type="page"/>
      </w:r>
    </w:p>
    <w:p w14:paraId="3564C0E8" w14:textId="77777777" w:rsidR="003E3ABA" w:rsidRPr="003F7F6C" w:rsidRDefault="003E3ABA" w:rsidP="003B2A79">
      <w:pPr>
        <w:pStyle w:val="Heading1"/>
        <w:spacing w:before="0" w:after="60"/>
        <w:rPr>
          <w:rFonts w:ascii="Calibri" w:hAnsi="Calibri"/>
        </w:rPr>
      </w:pPr>
      <w:bookmarkStart w:id="33" w:name="_Toc529891419"/>
      <w:r w:rsidRPr="003F7F6C">
        <w:rPr>
          <w:rFonts w:ascii="Calibri" w:hAnsi="Calibri"/>
        </w:rPr>
        <w:t>Mandatory Annexes</w:t>
      </w:r>
      <w:bookmarkEnd w:id="33"/>
    </w:p>
    <w:p w14:paraId="75496576" w14:textId="77777777" w:rsidR="003E3ABA" w:rsidRPr="003F7F6C" w:rsidRDefault="003E3ABA" w:rsidP="00E91275">
      <w:pPr>
        <w:pStyle w:val="ColorfulList-Accent11"/>
        <w:numPr>
          <w:ilvl w:val="0"/>
          <w:numId w:val="7"/>
        </w:numPr>
        <w:spacing w:after="60"/>
        <w:ind w:left="720"/>
        <w:rPr>
          <w:rFonts w:ascii="Calibri" w:hAnsi="Calibri"/>
          <w:sz w:val="20"/>
          <w:szCs w:val="20"/>
        </w:rPr>
      </w:pPr>
      <w:r w:rsidRPr="003F7F6C">
        <w:rPr>
          <w:rFonts w:ascii="Calibri" w:hAnsi="Calibri"/>
          <w:sz w:val="20"/>
          <w:szCs w:val="20"/>
        </w:rPr>
        <w:t>Multi</w:t>
      </w:r>
      <w:r w:rsidR="002D5784" w:rsidRPr="003F7F6C">
        <w:rPr>
          <w:rFonts w:ascii="Calibri" w:hAnsi="Calibri"/>
          <w:sz w:val="20"/>
          <w:szCs w:val="20"/>
        </w:rPr>
        <w:t>-</w:t>
      </w:r>
      <w:r w:rsidRPr="003F7F6C">
        <w:rPr>
          <w:rFonts w:ascii="Calibri" w:hAnsi="Calibri"/>
          <w:sz w:val="20"/>
          <w:szCs w:val="20"/>
        </w:rPr>
        <w:t xml:space="preserve">year Workplan </w:t>
      </w:r>
    </w:p>
    <w:p w14:paraId="1BC65043" w14:textId="77777777" w:rsidR="00055F28" w:rsidRPr="003F7F6C" w:rsidRDefault="003E3ABA" w:rsidP="00E91275">
      <w:pPr>
        <w:pStyle w:val="ColorfulList-Accent11"/>
        <w:numPr>
          <w:ilvl w:val="0"/>
          <w:numId w:val="7"/>
        </w:numPr>
        <w:spacing w:after="60"/>
        <w:ind w:left="720"/>
        <w:rPr>
          <w:rFonts w:ascii="Calibri" w:hAnsi="Calibri"/>
          <w:sz w:val="20"/>
          <w:szCs w:val="20"/>
        </w:rPr>
      </w:pPr>
      <w:r w:rsidRPr="003F7F6C">
        <w:rPr>
          <w:rFonts w:ascii="Calibri" w:hAnsi="Calibri"/>
          <w:sz w:val="20"/>
          <w:szCs w:val="20"/>
        </w:rPr>
        <w:t>GE</w:t>
      </w:r>
      <w:r w:rsidR="00055F28" w:rsidRPr="003F7F6C">
        <w:rPr>
          <w:rFonts w:ascii="Calibri" w:hAnsi="Calibri"/>
          <w:sz w:val="20"/>
          <w:szCs w:val="20"/>
        </w:rPr>
        <w:t xml:space="preserve">F </w:t>
      </w:r>
      <w:r w:rsidR="00984B1E" w:rsidRPr="003F7F6C">
        <w:rPr>
          <w:rFonts w:ascii="Calibri" w:hAnsi="Calibri"/>
          <w:sz w:val="20"/>
          <w:szCs w:val="20"/>
        </w:rPr>
        <w:t>Core Indicators</w:t>
      </w:r>
      <w:r w:rsidR="00055F28" w:rsidRPr="003F7F6C">
        <w:rPr>
          <w:rFonts w:ascii="Calibri" w:hAnsi="Calibri"/>
          <w:sz w:val="20"/>
          <w:szCs w:val="20"/>
        </w:rPr>
        <w:t xml:space="preserve"> at baseline</w:t>
      </w:r>
    </w:p>
    <w:p w14:paraId="2201DF80" w14:textId="77777777" w:rsidR="00F90D32" w:rsidRPr="003F7F6C" w:rsidRDefault="00F90D32" w:rsidP="00E91275">
      <w:pPr>
        <w:pStyle w:val="ColorfulList-Accent11"/>
        <w:numPr>
          <w:ilvl w:val="0"/>
          <w:numId w:val="7"/>
        </w:numPr>
        <w:spacing w:after="60"/>
        <w:ind w:left="720"/>
        <w:rPr>
          <w:rFonts w:ascii="Calibri" w:hAnsi="Calibri"/>
          <w:sz w:val="20"/>
          <w:szCs w:val="20"/>
        </w:rPr>
      </w:pPr>
      <w:r w:rsidRPr="003F7F6C">
        <w:rPr>
          <w:rFonts w:ascii="Calibri" w:hAnsi="Calibri"/>
          <w:sz w:val="20"/>
          <w:szCs w:val="20"/>
        </w:rPr>
        <w:t xml:space="preserve">Overview of technical consultancies/subcontracts </w:t>
      </w:r>
    </w:p>
    <w:p w14:paraId="3CE7FE14" w14:textId="77777777" w:rsidR="003E3ABA" w:rsidRPr="003F7F6C" w:rsidRDefault="003E3ABA" w:rsidP="00E91275">
      <w:pPr>
        <w:pStyle w:val="ColorfulList-Accent11"/>
        <w:numPr>
          <w:ilvl w:val="0"/>
          <w:numId w:val="7"/>
        </w:numPr>
        <w:spacing w:after="60"/>
        <w:ind w:left="720"/>
        <w:rPr>
          <w:rFonts w:ascii="Calibri" w:hAnsi="Calibri"/>
          <w:sz w:val="20"/>
          <w:szCs w:val="20"/>
        </w:rPr>
      </w:pPr>
      <w:r w:rsidRPr="003F7F6C">
        <w:rPr>
          <w:rFonts w:ascii="Calibri" w:hAnsi="Calibri"/>
          <w:sz w:val="20"/>
          <w:szCs w:val="20"/>
        </w:rPr>
        <w:t xml:space="preserve">Terms of Reference for Project Board, Project </w:t>
      </w:r>
      <w:r w:rsidR="00F47AF3" w:rsidRPr="003F7F6C">
        <w:rPr>
          <w:rFonts w:ascii="Calibri" w:hAnsi="Calibri"/>
          <w:sz w:val="20"/>
          <w:szCs w:val="20"/>
        </w:rPr>
        <w:t>Coordinator</w:t>
      </w:r>
      <w:r w:rsidRPr="003F7F6C">
        <w:rPr>
          <w:rFonts w:ascii="Calibri" w:hAnsi="Calibri"/>
          <w:sz w:val="20"/>
          <w:szCs w:val="20"/>
        </w:rPr>
        <w:t>, Chief Technical Advisor and other positions as appropriate</w:t>
      </w:r>
      <w:r w:rsidR="00F90D32" w:rsidRPr="003F7F6C">
        <w:rPr>
          <w:rFonts w:ascii="Calibri" w:hAnsi="Calibri"/>
          <w:sz w:val="20"/>
          <w:szCs w:val="20"/>
        </w:rPr>
        <w:t xml:space="preserve"> (see example template below)</w:t>
      </w:r>
    </w:p>
    <w:p w14:paraId="2B0B112B" w14:textId="77777777" w:rsidR="003E3ABA" w:rsidRPr="003F7F6C" w:rsidRDefault="003E3ABA" w:rsidP="00E91275">
      <w:pPr>
        <w:pStyle w:val="ColorfulList-Accent11"/>
        <w:numPr>
          <w:ilvl w:val="0"/>
          <w:numId w:val="7"/>
        </w:numPr>
        <w:spacing w:after="60"/>
        <w:ind w:left="720"/>
        <w:rPr>
          <w:rFonts w:ascii="Calibri" w:hAnsi="Calibri"/>
          <w:sz w:val="20"/>
          <w:szCs w:val="20"/>
        </w:rPr>
      </w:pPr>
      <w:r w:rsidRPr="003F7F6C">
        <w:rPr>
          <w:rFonts w:ascii="Calibri" w:hAnsi="Calibri"/>
          <w:sz w:val="20"/>
          <w:szCs w:val="20"/>
        </w:rPr>
        <w:t>UNDP Social and Environmental and Social Screening Template (SESP)</w:t>
      </w:r>
      <w:r w:rsidR="003B6502" w:rsidRPr="003F7F6C">
        <w:rPr>
          <w:rFonts w:ascii="Calibri" w:hAnsi="Calibri"/>
          <w:sz w:val="20"/>
          <w:szCs w:val="20"/>
        </w:rPr>
        <w:t xml:space="preserve"> and </w:t>
      </w:r>
      <w:r w:rsidRPr="003F7F6C">
        <w:rPr>
          <w:rFonts w:ascii="Calibri" w:hAnsi="Calibri"/>
          <w:sz w:val="20"/>
          <w:szCs w:val="20"/>
        </w:rPr>
        <w:t>Environmental and Social Management Plan (ESMP) for moderate and high risk projects</w:t>
      </w:r>
    </w:p>
    <w:p w14:paraId="629E7889" w14:textId="516D8768" w:rsidR="00FC59B8" w:rsidRPr="003F7F6C" w:rsidRDefault="00FC59B8" w:rsidP="00E91275">
      <w:pPr>
        <w:pStyle w:val="ColorfulList-Accent11"/>
        <w:numPr>
          <w:ilvl w:val="0"/>
          <w:numId w:val="7"/>
        </w:numPr>
        <w:spacing w:after="60"/>
        <w:ind w:left="720"/>
        <w:rPr>
          <w:rFonts w:ascii="Calibri" w:hAnsi="Calibri"/>
          <w:sz w:val="20"/>
          <w:szCs w:val="20"/>
        </w:rPr>
      </w:pPr>
      <w:r w:rsidRPr="003F7F6C">
        <w:rPr>
          <w:rFonts w:ascii="Calibri" w:hAnsi="Calibri"/>
          <w:sz w:val="20"/>
          <w:szCs w:val="20"/>
        </w:rPr>
        <w:t>Stakeholder Engagement Plan</w:t>
      </w:r>
      <w:r w:rsidR="00AC3886" w:rsidRPr="003F7F6C">
        <w:rPr>
          <w:rFonts w:ascii="Calibri" w:hAnsi="Calibri"/>
          <w:sz w:val="20"/>
          <w:szCs w:val="20"/>
        </w:rPr>
        <w:t>, including list of people consulted during project development</w:t>
      </w:r>
    </w:p>
    <w:p w14:paraId="7482F868" w14:textId="77777777" w:rsidR="00FC59B8" w:rsidRPr="003F7F6C" w:rsidRDefault="00FC59B8" w:rsidP="00E91275">
      <w:pPr>
        <w:pStyle w:val="ColorfulList-Accent11"/>
        <w:numPr>
          <w:ilvl w:val="0"/>
          <w:numId w:val="7"/>
        </w:numPr>
        <w:spacing w:after="60"/>
        <w:ind w:left="720"/>
        <w:rPr>
          <w:rFonts w:ascii="Calibri" w:hAnsi="Calibri"/>
          <w:sz w:val="20"/>
          <w:szCs w:val="20"/>
        </w:rPr>
      </w:pPr>
      <w:r w:rsidRPr="003F7F6C">
        <w:rPr>
          <w:rFonts w:ascii="Calibri" w:hAnsi="Calibri"/>
          <w:sz w:val="20"/>
          <w:szCs w:val="20"/>
        </w:rPr>
        <w:t>Gender Analysis and Action Plan</w:t>
      </w:r>
    </w:p>
    <w:p w14:paraId="5F80A969" w14:textId="77777777" w:rsidR="00D45D10" w:rsidRPr="003F7F6C" w:rsidRDefault="00D45D10" w:rsidP="00E91275">
      <w:pPr>
        <w:pStyle w:val="ColorfulList-Accent11"/>
        <w:numPr>
          <w:ilvl w:val="0"/>
          <w:numId w:val="7"/>
        </w:numPr>
        <w:spacing w:after="60"/>
        <w:ind w:left="720"/>
        <w:rPr>
          <w:rFonts w:ascii="Calibri" w:hAnsi="Calibri"/>
          <w:sz w:val="20"/>
          <w:szCs w:val="20"/>
        </w:rPr>
      </w:pPr>
      <w:r w:rsidRPr="003F7F6C">
        <w:rPr>
          <w:rFonts w:ascii="Calibri" w:hAnsi="Calibri"/>
          <w:sz w:val="20"/>
          <w:szCs w:val="20"/>
        </w:rPr>
        <w:t xml:space="preserve">UNDP Risk Log </w:t>
      </w:r>
    </w:p>
    <w:p w14:paraId="65F01641" w14:textId="77777777" w:rsidR="00D90C42" w:rsidRPr="003F7F6C" w:rsidRDefault="00D90C42" w:rsidP="00E91275">
      <w:pPr>
        <w:pStyle w:val="ColorfulList-Accent11"/>
        <w:numPr>
          <w:ilvl w:val="0"/>
          <w:numId w:val="7"/>
        </w:numPr>
        <w:spacing w:after="60"/>
        <w:ind w:left="720"/>
        <w:rPr>
          <w:rFonts w:ascii="Calibri" w:hAnsi="Calibri"/>
          <w:sz w:val="20"/>
          <w:szCs w:val="20"/>
        </w:rPr>
      </w:pPr>
      <w:r w:rsidRPr="003F7F6C">
        <w:rPr>
          <w:rFonts w:ascii="Calibri" w:hAnsi="Calibri"/>
          <w:sz w:val="20"/>
          <w:szCs w:val="20"/>
        </w:rPr>
        <w:t xml:space="preserve">Results of the capacity assessment of the project implementing partner and HACT micro assessment (to be completed by UNDP Country Office) </w:t>
      </w:r>
    </w:p>
    <w:p w14:paraId="4692B825" w14:textId="77777777" w:rsidR="003E3ABA" w:rsidRPr="003F7F6C" w:rsidRDefault="00984B1E" w:rsidP="00E91275">
      <w:pPr>
        <w:pStyle w:val="ColorfulList-Accent11"/>
        <w:numPr>
          <w:ilvl w:val="0"/>
          <w:numId w:val="7"/>
        </w:numPr>
        <w:spacing w:after="60"/>
        <w:ind w:left="720"/>
        <w:rPr>
          <w:rFonts w:ascii="Calibri" w:hAnsi="Calibri"/>
          <w:sz w:val="20"/>
          <w:szCs w:val="20"/>
        </w:rPr>
      </w:pPr>
      <w:r w:rsidRPr="003F7F6C">
        <w:rPr>
          <w:rFonts w:ascii="Calibri" w:hAnsi="Calibri"/>
          <w:sz w:val="20"/>
          <w:szCs w:val="20"/>
        </w:rPr>
        <w:t>Letter of Agreement with the Government of Argentina and Description of UNDP Country Office Support Services</w:t>
      </w:r>
      <w:r w:rsidR="003E3ABA" w:rsidRPr="003F7F6C">
        <w:rPr>
          <w:rFonts w:ascii="Calibri" w:hAnsi="Calibri"/>
          <w:sz w:val="20"/>
          <w:szCs w:val="20"/>
        </w:rPr>
        <w:t xml:space="preserve">. </w:t>
      </w:r>
    </w:p>
    <w:p w14:paraId="05AF38F0" w14:textId="77777777" w:rsidR="003B6502" w:rsidRPr="003F7F6C" w:rsidRDefault="003B6502" w:rsidP="00E91275">
      <w:pPr>
        <w:pStyle w:val="ColorfulList-Accent11"/>
        <w:numPr>
          <w:ilvl w:val="0"/>
          <w:numId w:val="7"/>
        </w:numPr>
        <w:spacing w:after="60"/>
        <w:ind w:left="720"/>
        <w:rPr>
          <w:rFonts w:ascii="Calibri" w:hAnsi="Calibri"/>
          <w:sz w:val="20"/>
          <w:szCs w:val="20"/>
        </w:rPr>
      </w:pPr>
      <w:r w:rsidRPr="003F7F6C">
        <w:rPr>
          <w:rFonts w:ascii="Calibri" w:hAnsi="Calibri"/>
          <w:sz w:val="20"/>
          <w:szCs w:val="20"/>
        </w:rPr>
        <w:t>UNDP Project Quality Assurance Report (to be completed</w:t>
      </w:r>
      <w:r w:rsidR="00297969" w:rsidRPr="003F7F6C">
        <w:rPr>
          <w:rFonts w:ascii="Calibri" w:hAnsi="Calibri"/>
          <w:sz w:val="20"/>
          <w:szCs w:val="20"/>
        </w:rPr>
        <w:t xml:space="preserve"> in UNDP online corporate planning system</w:t>
      </w:r>
      <w:r w:rsidRPr="003F7F6C">
        <w:rPr>
          <w:rFonts w:ascii="Calibri" w:hAnsi="Calibri"/>
          <w:sz w:val="20"/>
          <w:szCs w:val="20"/>
        </w:rPr>
        <w:t xml:space="preserve"> by UNDP Country Office</w:t>
      </w:r>
      <w:r w:rsidR="00297969" w:rsidRPr="003F7F6C">
        <w:rPr>
          <w:rFonts w:ascii="Calibri" w:hAnsi="Calibri"/>
          <w:sz w:val="20"/>
          <w:szCs w:val="20"/>
        </w:rPr>
        <w:t>, does not need to be attached as separate document</w:t>
      </w:r>
      <w:r w:rsidRPr="003F7F6C">
        <w:rPr>
          <w:rFonts w:ascii="Calibri" w:hAnsi="Calibri"/>
          <w:sz w:val="20"/>
          <w:szCs w:val="20"/>
        </w:rPr>
        <w:t xml:space="preserve">) </w:t>
      </w:r>
    </w:p>
    <w:p w14:paraId="2E280C55" w14:textId="77777777" w:rsidR="00D13412" w:rsidRPr="003F7F6C" w:rsidRDefault="00D13412" w:rsidP="00E91275">
      <w:pPr>
        <w:pStyle w:val="ColorfulList-Accent11"/>
        <w:numPr>
          <w:ilvl w:val="0"/>
          <w:numId w:val="7"/>
        </w:numPr>
        <w:spacing w:after="60"/>
        <w:ind w:left="720"/>
        <w:rPr>
          <w:rFonts w:ascii="Calibri" w:hAnsi="Calibri"/>
          <w:sz w:val="20"/>
          <w:szCs w:val="20"/>
        </w:rPr>
      </w:pPr>
      <w:r w:rsidRPr="003F7F6C">
        <w:rPr>
          <w:rFonts w:ascii="Calibri" w:hAnsi="Calibri"/>
          <w:sz w:val="20"/>
          <w:szCs w:val="20"/>
        </w:rPr>
        <w:t>Project Target Landscapes and Maps</w:t>
      </w:r>
    </w:p>
    <w:p w14:paraId="516DD4BF" w14:textId="77777777" w:rsidR="003B6502" w:rsidRPr="003F7F6C" w:rsidRDefault="003B6502" w:rsidP="00297969">
      <w:pPr>
        <w:pStyle w:val="ColorfulList-Accent11"/>
        <w:spacing w:after="60"/>
        <w:ind w:left="360"/>
        <w:rPr>
          <w:rFonts w:ascii="Calibri" w:hAnsi="Calibri"/>
          <w:sz w:val="20"/>
          <w:szCs w:val="20"/>
        </w:rPr>
      </w:pPr>
    </w:p>
    <w:p w14:paraId="529C8314" w14:textId="77777777" w:rsidR="003E3ABA" w:rsidRPr="003F7F6C" w:rsidRDefault="003E3ABA" w:rsidP="003B2A79">
      <w:pPr>
        <w:rPr>
          <w:szCs w:val="22"/>
        </w:rPr>
      </w:pPr>
    </w:p>
    <w:p w14:paraId="595D6829" w14:textId="77777777" w:rsidR="003E3ABA" w:rsidRPr="003F7F6C" w:rsidRDefault="003E3ABA" w:rsidP="003B2A79">
      <w:pPr>
        <w:jc w:val="left"/>
        <w:sectPr w:rsidR="003E3ABA" w:rsidRPr="003F7F6C" w:rsidSect="0096798B">
          <w:pgSz w:w="12240" w:h="15840" w:code="1"/>
          <w:pgMar w:top="1440" w:right="1440" w:bottom="1440" w:left="1440" w:header="720" w:footer="720" w:gutter="0"/>
          <w:cols w:space="720"/>
          <w:docGrid w:linePitch="360"/>
        </w:sectPr>
      </w:pPr>
    </w:p>
    <w:p w14:paraId="6F71DB30" w14:textId="77777777" w:rsidR="009750B4" w:rsidRPr="003F7F6C" w:rsidRDefault="007259BD" w:rsidP="00556F17">
      <w:pPr>
        <w:pStyle w:val="Heading2"/>
        <w:ind w:left="0"/>
        <w:rPr>
          <w:rFonts w:ascii="Calibri" w:hAnsi="Calibri"/>
          <w:szCs w:val="22"/>
        </w:rPr>
      </w:pPr>
      <w:bookmarkStart w:id="34" w:name="_Toc529891420"/>
      <w:r w:rsidRPr="003F7F6C">
        <w:rPr>
          <w:rFonts w:ascii="Calibri" w:hAnsi="Calibri"/>
          <w:szCs w:val="22"/>
        </w:rPr>
        <w:t xml:space="preserve">Annex A:  </w:t>
      </w:r>
      <w:r w:rsidR="003E3ABA" w:rsidRPr="003F7F6C">
        <w:rPr>
          <w:rFonts w:ascii="Calibri" w:hAnsi="Calibri"/>
          <w:szCs w:val="22"/>
        </w:rPr>
        <w:t>Multi Year Work Plan</w:t>
      </w:r>
      <w:bookmarkEnd w:id="34"/>
    </w:p>
    <w:p w14:paraId="7DF2A8A9" w14:textId="77777777" w:rsidR="00072CB3" w:rsidRPr="003F7F6C" w:rsidRDefault="00072CB3" w:rsidP="003B2A79">
      <w:pPr>
        <w:rPr>
          <w:szCs w:val="22"/>
        </w:rPr>
      </w:pPr>
    </w:p>
    <w:tbl>
      <w:tblPr>
        <w:tblW w:w="130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8"/>
        <w:gridCol w:w="1057"/>
        <w:gridCol w:w="428"/>
        <w:gridCol w:w="444"/>
        <w:gridCol w:w="428"/>
        <w:gridCol w:w="418"/>
        <w:gridCol w:w="10"/>
        <w:gridCol w:w="428"/>
        <w:gridCol w:w="427"/>
        <w:gridCol w:w="427"/>
        <w:gridCol w:w="417"/>
        <w:gridCol w:w="10"/>
        <w:gridCol w:w="428"/>
        <w:gridCol w:w="428"/>
        <w:gridCol w:w="428"/>
        <w:gridCol w:w="418"/>
        <w:gridCol w:w="10"/>
        <w:gridCol w:w="428"/>
        <w:gridCol w:w="428"/>
        <w:gridCol w:w="428"/>
        <w:gridCol w:w="418"/>
        <w:gridCol w:w="10"/>
        <w:gridCol w:w="428"/>
        <w:gridCol w:w="428"/>
        <w:gridCol w:w="428"/>
        <w:gridCol w:w="418"/>
        <w:gridCol w:w="10"/>
        <w:gridCol w:w="428"/>
        <w:gridCol w:w="428"/>
        <w:gridCol w:w="428"/>
        <w:gridCol w:w="428"/>
      </w:tblGrid>
      <w:tr w:rsidR="002B04EB" w:rsidRPr="003F7F6C" w14:paraId="26C67F16" w14:textId="77777777" w:rsidTr="00D25E0D">
        <w:trPr>
          <w:tblHeader/>
        </w:trPr>
        <w:tc>
          <w:tcPr>
            <w:tcW w:w="1668" w:type="dxa"/>
            <w:vMerge w:val="restart"/>
            <w:shd w:val="clear" w:color="auto" w:fill="D9D9D9"/>
          </w:tcPr>
          <w:p w14:paraId="613D4EB5" w14:textId="77777777" w:rsidR="002B04EB" w:rsidRPr="003F7F6C" w:rsidRDefault="002B04EB" w:rsidP="00B851B7">
            <w:pPr>
              <w:jc w:val="center"/>
              <w:rPr>
                <w:rFonts w:cs="Calibri"/>
                <w:b/>
                <w:sz w:val="16"/>
                <w:szCs w:val="16"/>
              </w:rPr>
            </w:pPr>
            <w:r w:rsidRPr="003F7F6C">
              <w:rPr>
                <w:rFonts w:cs="Calibri"/>
                <w:b/>
                <w:sz w:val="16"/>
                <w:szCs w:val="16"/>
              </w:rPr>
              <w:t>Output</w:t>
            </w:r>
          </w:p>
        </w:tc>
        <w:tc>
          <w:tcPr>
            <w:tcW w:w="1057" w:type="dxa"/>
            <w:vMerge w:val="restart"/>
            <w:shd w:val="clear" w:color="auto" w:fill="D9D9D9"/>
          </w:tcPr>
          <w:p w14:paraId="08016494" w14:textId="77777777" w:rsidR="002B04EB" w:rsidRPr="003F7F6C" w:rsidRDefault="002B04EB" w:rsidP="00B851B7">
            <w:pPr>
              <w:jc w:val="center"/>
              <w:rPr>
                <w:rFonts w:cs="Calibri"/>
                <w:sz w:val="16"/>
                <w:szCs w:val="16"/>
              </w:rPr>
            </w:pPr>
            <w:r w:rsidRPr="003F7F6C">
              <w:rPr>
                <w:rFonts w:cs="Calibri"/>
                <w:b/>
                <w:sz w:val="16"/>
                <w:szCs w:val="16"/>
              </w:rPr>
              <w:t>Responsible Party</w:t>
            </w:r>
          </w:p>
        </w:tc>
        <w:tc>
          <w:tcPr>
            <w:tcW w:w="1718" w:type="dxa"/>
            <w:gridSpan w:val="4"/>
            <w:shd w:val="clear" w:color="auto" w:fill="D9D9D9"/>
          </w:tcPr>
          <w:p w14:paraId="387C27AE" w14:textId="77777777" w:rsidR="002B04EB" w:rsidRPr="003F7F6C" w:rsidRDefault="002B04EB" w:rsidP="00B851B7">
            <w:pPr>
              <w:jc w:val="center"/>
              <w:rPr>
                <w:rFonts w:cs="Calibri"/>
                <w:sz w:val="16"/>
                <w:szCs w:val="16"/>
              </w:rPr>
            </w:pPr>
            <w:r w:rsidRPr="003F7F6C">
              <w:rPr>
                <w:rFonts w:cs="Calibri"/>
                <w:b/>
                <w:sz w:val="16"/>
                <w:szCs w:val="16"/>
              </w:rPr>
              <w:t>Year 1</w:t>
            </w:r>
          </w:p>
        </w:tc>
        <w:tc>
          <w:tcPr>
            <w:tcW w:w="1709" w:type="dxa"/>
            <w:gridSpan w:val="5"/>
            <w:shd w:val="clear" w:color="auto" w:fill="D9D9D9"/>
          </w:tcPr>
          <w:p w14:paraId="0E0B149B" w14:textId="77777777" w:rsidR="002B04EB" w:rsidRPr="003F7F6C" w:rsidRDefault="002B04EB" w:rsidP="00B851B7">
            <w:pPr>
              <w:jc w:val="center"/>
              <w:rPr>
                <w:rFonts w:cs="Calibri"/>
                <w:sz w:val="16"/>
                <w:szCs w:val="16"/>
              </w:rPr>
            </w:pPr>
            <w:r w:rsidRPr="003F7F6C">
              <w:rPr>
                <w:rFonts w:cs="Calibri"/>
                <w:b/>
                <w:sz w:val="16"/>
                <w:szCs w:val="16"/>
              </w:rPr>
              <w:t>Year 2</w:t>
            </w:r>
          </w:p>
        </w:tc>
        <w:tc>
          <w:tcPr>
            <w:tcW w:w="1712" w:type="dxa"/>
            <w:gridSpan w:val="5"/>
            <w:shd w:val="clear" w:color="auto" w:fill="D9D9D9"/>
          </w:tcPr>
          <w:p w14:paraId="5A224258" w14:textId="77777777" w:rsidR="002B04EB" w:rsidRPr="003F7F6C" w:rsidRDefault="002B04EB" w:rsidP="00B851B7">
            <w:pPr>
              <w:jc w:val="center"/>
              <w:rPr>
                <w:rFonts w:cs="Calibri"/>
                <w:sz w:val="16"/>
                <w:szCs w:val="16"/>
              </w:rPr>
            </w:pPr>
            <w:r w:rsidRPr="003F7F6C">
              <w:rPr>
                <w:rFonts w:cs="Calibri"/>
                <w:b/>
                <w:sz w:val="16"/>
                <w:szCs w:val="16"/>
              </w:rPr>
              <w:t>Year 3</w:t>
            </w:r>
          </w:p>
        </w:tc>
        <w:tc>
          <w:tcPr>
            <w:tcW w:w="1712" w:type="dxa"/>
            <w:gridSpan w:val="5"/>
            <w:shd w:val="clear" w:color="auto" w:fill="D9D9D9"/>
          </w:tcPr>
          <w:p w14:paraId="6F58011C" w14:textId="77777777" w:rsidR="002B04EB" w:rsidRPr="003F7F6C" w:rsidRDefault="002B04EB" w:rsidP="00B851B7">
            <w:pPr>
              <w:jc w:val="center"/>
              <w:rPr>
                <w:rFonts w:cs="Calibri"/>
                <w:sz w:val="16"/>
                <w:szCs w:val="16"/>
              </w:rPr>
            </w:pPr>
            <w:r w:rsidRPr="003F7F6C">
              <w:rPr>
                <w:rFonts w:cs="Calibri"/>
                <w:b/>
                <w:sz w:val="16"/>
                <w:szCs w:val="16"/>
              </w:rPr>
              <w:t>Year 4</w:t>
            </w:r>
          </w:p>
        </w:tc>
        <w:tc>
          <w:tcPr>
            <w:tcW w:w="1712" w:type="dxa"/>
            <w:gridSpan w:val="5"/>
            <w:shd w:val="clear" w:color="auto" w:fill="D9D9D9"/>
          </w:tcPr>
          <w:p w14:paraId="1E2F7287" w14:textId="77777777" w:rsidR="002B04EB" w:rsidRPr="003F7F6C" w:rsidRDefault="002B04EB" w:rsidP="00B851B7">
            <w:pPr>
              <w:jc w:val="center"/>
              <w:rPr>
                <w:rFonts w:cs="Calibri"/>
                <w:sz w:val="16"/>
                <w:szCs w:val="16"/>
              </w:rPr>
            </w:pPr>
            <w:r w:rsidRPr="003F7F6C">
              <w:rPr>
                <w:rFonts w:cs="Calibri"/>
                <w:b/>
                <w:sz w:val="16"/>
                <w:szCs w:val="16"/>
              </w:rPr>
              <w:t>Year 5</w:t>
            </w:r>
          </w:p>
        </w:tc>
        <w:tc>
          <w:tcPr>
            <w:tcW w:w="1722" w:type="dxa"/>
            <w:gridSpan w:val="5"/>
            <w:shd w:val="clear" w:color="auto" w:fill="D9D9D9"/>
          </w:tcPr>
          <w:p w14:paraId="1D49797D" w14:textId="77777777" w:rsidR="002B04EB" w:rsidRPr="003F7F6C" w:rsidRDefault="002B04EB" w:rsidP="00B851B7">
            <w:pPr>
              <w:jc w:val="center"/>
              <w:rPr>
                <w:rFonts w:cs="Calibri"/>
                <w:sz w:val="16"/>
                <w:szCs w:val="16"/>
              </w:rPr>
            </w:pPr>
            <w:r w:rsidRPr="003F7F6C">
              <w:rPr>
                <w:rFonts w:cs="Calibri"/>
                <w:b/>
                <w:sz w:val="16"/>
                <w:szCs w:val="16"/>
              </w:rPr>
              <w:t>Year 6</w:t>
            </w:r>
          </w:p>
        </w:tc>
      </w:tr>
      <w:tr w:rsidR="0044356C" w:rsidRPr="003F7F6C" w14:paraId="5FA27009" w14:textId="77777777" w:rsidTr="00D25E0D">
        <w:trPr>
          <w:tblHeader/>
        </w:trPr>
        <w:tc>
          <w:tcPr>
            <w:tcW w:w="1668" w:type="dxa"/>
            <w:vMerge/>
            <w:shd w:val="clear" w:color="auto" w:fill="D9D9D9"/>
          </w:tcPr>
          <w:p w14:paraId="28063E31" w14:textId="77777777" w:rsidR="002B04EB" w:rsidRPr="003F7F6C" w:rsidRDefault="002B04EB" w:rsidP="00B851B7">
            <w:pPr>
              <w:rPr>
                <w:rFonts w:cs="Calibri"/>
                <w:sz w:val="16"/>
                <w:szCs w:val="16"/>
              </w:rPr>
            </w:pPr>
          </w:p>
        </w:tc>
        <w:tc>
          <w:tcPr>
            <w:tcW w:w="1057" w:type="dxa"/>
            <w:vMerge/>
            <w:shd w:val="clear" w:color="auto" w:fill="D9D9D9"/>
          </w:tcPr>
          <w:p w14:paraId="128CB76B" w14:textId="77777777" w:rsidR="002B04EB" w:rsidRPr="003F7F6C" w:rsidRDefault="002B04EB" w:rsidP="00B851B7">
            <w:pPr>
              <w:rPr>
                <w:rFonts w:cs="Calibri"/>
                <w:sz w:val="16"/>
                <w:szCs w:val="16"/>
              </w:rPr>
            </w:pPr>
          </w:p>
        </w:tc>
        <w:tc>
          <w:tcPr>
            <w:tcW w:w="428" w:type="dxa"/>
            <w:shd w:val="clear" w:color="auto" w:fill="D9D9D9"/>
          </w:tcPr>
          <w:p w14:paraId="3B6540A3" w14:textId="77777777" w:rsidR="002B04EB" w:rsidRPr="003F7F6C" w:rsidRDefault="002B04EB" w:rsidP="00B851B7">
            <w:pPr>
              <w:rPr>
                <w:rFonts w:cs="Calibri"/>
                <w:sz w:val="16"/>
                <w:szCs w:val="16"/>
              </w:rPr>
            </w:pPr>
            <w:r w:rsidRPr="003F7F6C">
              <w:rPr>
                <w:rFonts w:cs="Calibri"/>
                <w:sz w:val="16"/>
                <w:szCs w:val="16"/>
              </w:rPr>
              <w:t>Q1</w:t>
            </w:r>
          </w:p>
        </w:tc>
        <w:tc>
          <w:tcPr>
            <w:tcW w:w="444" w:type="dxa"/>
            <w:shd w:val="clear" w:color="auto" w:fill="D9D9D9"/>
          </w:tcPr>
          <w:p w14:paraId="366D92F8" w14:textId="77777777" w:rsidR="002B04EB" w:rsidRPr="003F7F6C" w:rsidRDefault="002B04EB" w:rsidP="00B851B7">
            <w:pPr>
              <w:rPr>
                <w:rFonts w:cs="Calibri"/>
                <w:sz w:val="16"/>
                <w:szCs w:val="16"/>
              </w:rPr>
            </w:pPr>
            <w:r w:rsidRPr="003F7F6C">
              <w:rPr>
                <w:rFonts w:cs="Calibri"/>
                <w:sz w:val="16"/>
                <w:szCs w:val="16"/>
              </w:rPr>
              <w:t>Q2</w:t>
            </w:r>
          </w:p>
        </w:tc>
        <w:tc>
          <w:tcPr>
            <w:tcW w:w="428" w:type="dxa"/>
            <w:shd w:val="clear" w:color="auto" w:fill="D9D9D9"/>
          </w:tcPr>
          <w:p w14:paraId="24AC0132" w14:textId="77777777" w:rsidR="002B04EB" w:rsidRPr="003F7F6C" w:rsidRDefault="002B04EB" w:rsidP="00B851B7">
            <w:pPr>
              <w:rPr>
                <w:rFonts w:cs="Calibri"/>
                <w:sz w:val="16"/>
                <w:szCs w:val="16"/>
              </w:rPr>
            </w:pPr>
            <w:r w:rsidRPr="003F7F6C">
              <w:rPr>
                <w:rFonts w:cs="Calibri"/>
                <w:sz w:val="16"/>
                <w:szCs w:val="16"/>
              </w:rPr>
              <w:t>Q3</w:t>
            </w:r>
          </w:p>
        </w:tc>
        <w:tc>
          <w:tcPr>
            <w:tcW w:w="428" w:type="dxa"/>
            <w:gridSpan w:val="2"/>
            <w:shd w:val="clear" w:color="auto" w:fill="D9D9D9"/>
          </w:tcPr>
          <w:p w14:paraId="75B6B17A" w14:textId="77777777" w:rsidR="002B04EB" w:rsidRPr="003F7F6C" w:rsidRDefault="002B04EB" w:rsidP="00B851B7">
            <w:pPr>
              <w:rPr>
                <w:rFonts w:cs="Calibri"/>
                <w:sz w:val="16"/>
                <w:szCs w:val="16"/>
              </w:rPr>
            </w:pPr>
            <w:r w:rsidRPr="003F7F6C">
              <w:rPr>
                <w:rFonts w:cs="Calibri"/>
                <w:sz w:val="16"/>
                <w:szCs w:val="16"/>
              </w:rPr>
              <w:t>Q4</w:t>
            </w:r>
          </w:p>
        </w:tc>
        <w:tc>
          <w:tcPr>
            <w:tcW w:w="428" w:type="dxa"/>
            <w:shd w:val="clear" w:color="auto" w:fill="D9D9D9"/>
          </w:tcPr>
          <w:p w14:paraId="7CC39F1C" w14:textId="77777777" w:rsidR="002B04EB" w:rsidRPr="003F7F6C" w:rsidRDefault="002B04EB" w:rsidP="00B851B7">
            <w:pPr>
              <w:rPr>
                <w:rFonts w:cs="Calibri"/>
                <w:sz w:val="16"/>
                <w:szCs w:val="16"/>
              </w:rPr>
            </w:pPr>
            <w:r w:rsidRPr="003F7F6C">
              <w:rPr>
                <w:rFonts w:cs="Calibri"/>
                <w:sz w:val="16"/>
                <w:szCs w:val="16"/>
              </w:rPr>
              <w:t>Q1</w:t>
            </w:r>
          </w:p>
        </w:tc>
        <w:tc>
          <w:tcPr>
            <w:tcW w:w="427" w:type="dxa"/>
            <w:shd w:val="clear" w:color="auto" w:fill="D9D9D9"/>
          </w:tcPr>
          <w:p w14:paraId="77BBF6DF" w14:textId="77777777" w:rsidR="002B04EB" w:rsidRPr="003F7F6C" w:rsidRDefault="002B04EB" w:rsidP="00B851B7">
            <w:pPr>
              <w:rPr>
                <w:rFonts w:cs="Calibri"/>
                <w:sz w:val="16"/>
                <w:szCs w:val="16"/>
              </w:rPr>
            </w:pPr>
            <w:r w:rsidRPr="003F7F6C">
              <w:rPr>
                <w:rFonts w:cs="Calibri"/>
                <w:sz w:val="16"/>
                <w:szCs w:val="16"/>
              </w:rPr>
              <w:t>Q2</w:t>
            </w:r>
          </w:p>
        </w:tc>
        <w:tc>
          <w:tcPr>
            <w:tcW w:w="427" w:type="dxa"/>
            <w:shd w:val="clear" w:color="auto" w:fill="D9D9D9"/>
          </w:tcPr>
          <w:p w14:paraId="00FAB30A" w14:textId="77777777" w:rsidR="002B04EB" w:rsidRPr="003F7F6C" w:rsidRDefault="002B04EB" w:rsidP="00B851B7">
            <w:pPr>
              <w:rPr>
                <w:rFonts w:cs="Calibri"/>
                <w:sz w:val="16"/>
                <w:szCs w:val="16"/>
              </w:rPr>
            </w:pPr>
            <w:r w:rsidRPr="003F7F6C">
              <w:rPr>
                <w:rFonts w:cs="Calibri"/>
                <w:sz w:val="16"/>
                <w:szCs w:val="16"/>
              </w:rPr>
              <w:t>Q3</w:t>
            </w:r>
          </w:p>
        </w:tc>
        <w:tc>
          <w:tcPr>
            <w:tcW w:w="427" w:type="dxa"/>
            <w:gridSpan w:val="2"/>
            <w:shd w:val="clear" w:color="auto" w:fill="D9D9D9"/>
          </w:tcPr>
          <w:p w14:paraId="2CB33B02" w14:textId="77777777" w:rsidR="002B04EB" w:rsidRPr="003F7F6C" w:rsidRDefault="002B04EB" w:rsidP="00B851B7">
            <w:pPr>
              <w:rPr>
                <w:rFonts w:cs="Calibri"/>
                <w:sz w:val="16"/>
                <w:szCs w:val="16"/>
              </w:rPr>
            </w:pPr>
            <w:r w:rsidRPr="003F7F6C">
              <w:rPr>
                <w:rFonts w:cs="Calibri"/>
                <w:sz w:val="16"/>
                <w:szCs w:val="16"/>
              </w:rPr>
              <w:t>Q4</w:t>
            </w:r>
          </w:p>
        </w:tc>
        <w:tc>
          <w:tcPr>
            <w:tcW w:w="428" w:type="dxa"/>
            <w:shd w:val="clear" w:color="auto" w:fill="D9D9D9"/>
          </w:tcPr>
          <w:p w14:paraId="72EB944A" w14:textId="77777777" w:rsidR="002B04EB" w:rsidRPr="003F7F6C" w:rsidRDefault="002B04EB" w:rsidP="00B851B7">
            <w:pPr>
              <w:rPr>
                <w:rFonts w:cs="Calibri"/>
                <w:sz w:val="16"/>
                <w:szCs w:val="16"/>
              </w:rPr>
            </w:pPr>
            <w:r w:rsidRPr="003F7F6C">
              <w:rPr>
                <w:rFonts w:cs="Calibri"/>
                <w:sz w:val="16"/>
                <w:szCs w:val="16"/>
              </w:rPr>
              <w:t>Q1</w:t>
            </w:r>
          </w:p>
        </w:tc>
        <w:tc>
          <w:tcPr>
            <w:tcW w:w="428" w:type="dxa"/>
            <w:shd w:val="clear" w:color="auto" w:fill="D9D9D9"/>
          </w:tcPr>
          <w:p w14:paraId="52A4DB0C" w14:textId="77777777" w:rsidR="002B04EB" w:rsidRPr="003F7F6C" w:rsidRDefault="002B04EB" w:rsidP="00B851B7">
            <w:pPr>
              <w:rPr>
                <w:rFonts w:cs="Calibri"/>
                <w:sz w:val="16"/>
                <w:szCs w:val="16"/>
              </w:rPr>
            </w:pPr>
            <w:r w:rsidRPr="003F7F6C">
              <w:rPr>
                <w:rFonts w:cs="Calibri"/>
                <w:sz w:val="16"/>
                <w:szCs w:val="16"/>
              </w:rPr>
              <w:t>Q2</w:t>
            </w:r>
          </w:p>
        </w:tc>
        <w:tc>
          <w:tcPr>
            <w:tcW w:w="428" w:type="dxa"/>
            <w:shd w:val="clear" w:color="auto" w:fill="D9D9D9"/>
          </w:tcPr>
          <w:p w14:paraId="19743CD8" w14:textId="77777777" w:rsidR="002B04EB" w:rsidRPr="003F7F6C" w:rsidRDefault="002B04EB" w:rsidP="00B851B7">
            <w:pPr>
              <w:rPr>
                <w:rFonts w:cs="Calibri"/>
                <w:sz w:val="16"/>
                <w:szCs w:val="16"/>
              </w:rPr>
            </w:pPr>
            <w:r w:rsidRPr="003F7F6C">
              <w:rPr>
                <w:rFonts w:cs="Calibri"/>
                <w:sz w:val="16"/>
                <w:szCs w:val="16"/>
              </w:rPr>
              <w:t>Q3</w:t>
            </w:r>
          </w:p>
        </w:tc>
        <w:tc>
          <w:tcPr>
            <w:tcW w:w="428" w:type="dxa"/>
            <w:gridSpan w:val="2"/>
            <w:shd w:val="clear" w:color="auto" w:fill="D9D9D9"/>
          </w:tcPr>
          <w:p w14:paraId="1B4EEA03" w14:textId="77777777" w:rsidR="002B04EB" w:rsidRPr="003F7F6C" w:rsidRDefault="002B04EB" w:rsidP="00B851B7">
            <w:pPr>
              <w:rPr>
                <w:rFonts w:cs="Calibri"/>
                <w:sz w:val="16"/>
                <w:szCs w:val="16"/>
              </w:rPr>
            </w:pPr>
            <w:r w:rsidRPr="003F7F6C">
              <w:rPr>
                <w:rFonts w:cs="Calibri"/>
                <w:sz w:val="16"/>
                <w:szCs w:val="16"/>
              </w:rPr>
              <w:t>Q4</w:t>
            </w:r>
          </w:p>
        </w:tc>
        <w:tc>
          <w:tcPr>
            <w:tcW w:w="428" w:type="dxa"/>
            <w:shd w:val="clear" w:color="auto" w:fill="D9D9D9"/>
          </w:tcPr>
          <w:p w14:paraId="3D7429C4" w14:textId="77777777" w:rsidR="002B04EB" w:rsidRPr="003F7F6C" w:rsidRDefault="002B04EB" w:rsidP="00B851B7">
            <w:pPr>
              <w:rPr>
                <w:rFonts w:cs="Calibri"/>
                <w:sz w:val="16"/>
                <w:szCs w:val="16"/>
              </w:rPr>
            </w:pPr>
            <w:r w:rsidRPr="003F7F6C">
              <w:rPr>
                <w:rFonts w:cs="Calibri"/>
                <w:sz w:val="16"/>
                <w:szCs w:val="16"/>
              </w:rPr>
              <w:t>Q1</w:t>
            </w:r>
          </w:p>
        </w:tc>
        <w:tc>
          <w:tcPr>
            <w:tcW w:w="428" w:type="dxa"/>
            <w:shd w:val="clear" w:color="auto" w:fill="D9D9D9"/>
          </w:tcPr>
          <w:p w14:paraId="2C731248" w14:textId="77777777" w:rsidR="002B04EB" w:rsidRPr="003F7F6C" w:rsidRDefault="002B04EB" w:rsidP="00B851B7">
            <w:pPr>
              <w:rPr>
                <w:rFonts w:cs="Calibri"/>
                <w:sz w:val="16"/>
                <w:szCs w:val="16"/>
              </w:rPr>
            </w:pPr>
            <w:r w:rsidRPr="003F7F6C">
              <w:rPr>
                <w:rFonts w:cs="Calibri"/>
                <w:sz w:val="16"/>
                <w:szCs w:val="16"/>
              </w:rPr>
              <w:t>Q2</w:t>
            </w:r>
          </w:p>
        </w:tc>
        <w:tc>
          <w:tcPr>
            <w:tcW w:w="428" w:type="dxa"/>
            <w:shd w:val="clear" w:color="auto" w:fill="D9D9D9"/>
          </w:tcPr>
          <w:p w14:paraId="559111F9" w14:textId="77777777" w:rsidR="002B04EB" w:rsidRPr="003F7F6C" w:rsidRDefault="002B04EB" w:rsidP="00B851B7">
            <w:pPr>
              <w:rPr>
                <w:rFonts w:cs="Calibri"/>
                <w:sz w:val="16"/>
                <w:szCs w:val="16"/>
              </w:rPr>
            </w:pPr>
            <w:r w:rsidRPr="003F7F6C">
              <w:rPr>
                <w:rFonts w:cs="Calibri"/>
                <w:sz w:val="16"/>
                <w:szCs w:val="16"/>
              </w:rPr>
              <w:t>Q3</w:t>
            </w:r>
          </w:p>
        </w:tc>
        <w:tc>
          <w:tcPr>
            <w:tcW w:w="428" w:type="dxa"/>
            <w:gridSpan w:val="2"/>
            <w:shd w:val="clear" w:color="auto" w:fill="D9D9D9"/>
          </w:tcPr>
          <w:p w14:paraId="396B51AD" w14:textId="77777777" w:rsidR="002B04EB" w:rsidRPr="003F7F6C" w:rsidRDefault="002B04EB" w:rsidP="00B851B7">
            <w:pPr>
              <w:rPr>
                <w:rFonts w:cs="Calibri"/>
                <w:sz w:val="16"/>
                <w:szCs w:val="16"/>
              </w:rPr>
            </w:pPr>
            <w:r w:rsidRPr="003F7F6C">
              <w:rPr>
                <w:rFonts w:cs="Calibri"/>
                <w:sz w:val="16"/>
                <w:szCs w:val="16"/>
              </w:rPr>
              <w:t>Q4</w:t>
            </w:r>
          </w:p>
        </w:tc>
        <w:tc>
          <w:tcPr>
            <w:tcW w:w="428" w:type="dxa"/>
            <w:shd w:val="clear" w:color="auto" w:fill="D9D9D9"/>
          </w:tcPr>
          <w:p w14:paraId="652939FB" w14:textId="77777777" w:rsidR="002B04EB" w:rsidRPr="003F7F6C" w:rsidRDefault="002B04EB" w:rsidP="00B851B7">
            <w:pPr>
              <w:rPr>
                <w:rFonts w:cs="Calibri"/>
                <w:sz w:val="16"/>
                <w:szCs w:val="16"/>
              </w:rPr>
            </w:pPr>
            <w:r w:rsidRPr="003F7F6C">
              <w:rPr>
                <w:rFonts w:cs="Calibri"/>
                <w:sz w:val="16"/>
                <w:szCs w:val="16"/>
              </w:rPr>
              <w:t>Q1</w:t>
            </w:r>
          </w:p>
        </w:tc>
        <w:tc>
          <w:tcPr>
            <w:tcW w:w="428" w:type="dxa"/>
            <w:shd w:val="clear" w:color="auto" w:fill="D9D9D9"/>
          </w:tcPr>
          <w:p w14:paraId="79A22DBE" w14:textId="77777777" w:rsidR="002B04EB" w:rsidRPr="003F7F6C" w:rsidRDefault="002B04EB" w:rsidP="00B851B7">
            <w:pPr>
              <w:rPr>
                <w:rFonts w:cs="Calibri"/>
                <w:sz w:val="16"/>
                <w:szCs w:val="16"/>
              </w:rPr>
            </w:pPr>
            <w:r w:rsidRPr="003F7F6C">
              <w:rPr>
                <w:rFonts w:cs="Calibri"/>
                <w:sz w:val="16"/>
                <w:szCs w:val="16"/>
              </w:rPr>
              <w:t>Q2</w:t>
            </w:r>
          </w:p>
        </w:tc>
        <w:tc>
          <w:tcPr>
            <w:tcW w:w="428" w:type="dxa"/>
            <w:shd w:val="clear" w:color="auto" w:fill="D9D9D9"/>
          </w:tcPr>
          <w:p w14:paraId="5DC1D0E0" w14:textId="77777777" w:rsidR="002B04EB" w:rsidRPr="003F7F6C" w:rsidRDefault="002B04EB" w:rsidP="00B851B7">
            <w:pPr>
              <w:rPr>
                <w:rFonts w:cs="Calibri"/>
                <w:sz w:val="16"/>
                <w:szCs w:val="16"/>
              </w:rPr>
            </w:pPr>
            <w:r w:rsidRPr="003F7F6C">
              <w:rPr>
                <w:rFonts w:cs="Calibri"/>
                <w:sz w:val="16"/>
                <w:szCs w:val="16"/>
              </w:rPr>
              <w:t>Q3</w:t>
            </w:r>
          </w:p>
        </w:tc>
        <w:tc>
          <w:tcPr>
            <w:tcW w:w="428" w:type="dxa"/>
            <w:gridSpan w:val="2"/>
            <w:shd w:val="clear" w:color="auto" w:fill="D9D9D9"/>
          </w:tcPr>
          <w:p w14:paraId="6F770F24" w14:textId="77777777" w:rsidR="002B04EB" w:rsidRPr="003F7F6C" w:rsidRDefault="002B04EB" w:rsidP="00B851B7">
            <w:pPr>
              <w:rPr>
                <w:rFonts w:cs="Calibri"/>
                <w:sz w:val="16"/>
                <w:szCs w:val="16"/>
              </w:rPr>
            </w:pPr>
            <w:r w:rsidRPr="003F7F6C">
              <w:rPr>
                <w:rFonts w:cs="Calibri"/>
                <w:sz w:val="16"/>
                <w:szCs w:val="16"/>
              </w:rPr>
              <w:t>Q4</w:t>
            </w:r>
          </w:p>
        </w:tc>
        <w:tc>
          <w:tcPr>
            <w:tcW w:w="428" w:type="dxa"/>
            <w:shd w:val="clear" w:color="auto" w:fill="D9D9D9"/>
          </w:tcPr>
          <w:p w14:paraId="458CDC40" w14:textId="77777777" w:rsidR="002B04EB" w:rsidRPr="003F7F6C" w:rsidRDefault="002B04EB" w:rsidP="00B851B7">
            <w:pPr>
              <w:rPr>
                <w:rFonts w:cs="Calibri"/>
                <w:sz w:val="16"/>
                <w:szCs w:val="16"/>
              </w:rPr>
            </w:pPr>
            <w:r w:rsidRPr="003F7F6C">
              <w:rPr>
                <w:rFonts w:cs="Calibri"/>
                <w:sz w:val="16"/>
                <w:szCs w:val="16"/>
              </w:rPr>
              <w:t>Q1</w:t>
            </w:r>
          </w:p>
        </w:tc>
        <w:tc>
          <w:tcPr>
            <w:tcW w:w="428" w:type="dxa"/>
            <w:shd w:val="clear" w:color="auto" w:fill="D9D9D9"/>
          </w:tcPr>
          <w:p w14:paraId="47EA6CF9" w14:textId="77777777" w:rsidR="002B04EB" w:rsidRPr="003F7F6C" w:rsidRDefault="002B04EB" w:rsidP="00B851B7">
            <w:pPr>
              <w:rPr>
                <w:rFonts w:cs="Calibri"/>
                <w:sz w:val="16"/>
                <w:szCs w:val="16"/>
              </w:rPr>
            </w:pPr>
            <w:r w:rsidRPr="003F7F6C">
              <w:rPr>
                <w:rFonts w:cs="Calibri"/>
                <w:sz w:val="16"/>
                <w:szCs w:val="16"/>
              </w:rPr>
              <w:t>Q2</w:t>
            </w:r>
          </w:p>
        </w:tc>
        <w:tc>
          <w:tcPr>
            <w:tcW w:w="428" w:type="dxa"/>
            <w:shd w:val="clear" w:color="auto" w:fill="D9D9D9"/>
          </w:tcPr>
          <w:p w14:paraId="0763719D" w14:textId="77777777" w:rsidR="002B04EB" w:rsidRPr="003F7F6C" w:rsidRDefault="002B04EB" w:rsidP="00B851B7">
            <w:pPr>
              <w:rPr>
                <w:rFonts w:cs="Calibri"/>
                <w:sz w:val="16"/>
                <w:szCs w:val="16"/>
              </w:rPr>
            </w:pPr>
            <w:r w:rsidRPr="003F7F6C">
              <w:rPr>
                <w:rFonts w:cs="Calibri"/>
                <w:sz w:val="16"/>
                <w:szCs w:val="16"/>
              </w:rPr>
              <w:t>Q3</w:t>
            </w:r>
          </w:p>
        </w:tc>
        <w:tc>
          <w:tcPr>
            <w:tcW w:w="428" w:type="dxa"/>
            <w:shd w:val="clear" w:color="auto" w:fill="D9D9D9"/>
          </w:tcPr>
          <w:p w14:paraId="0D0A4FC2" w14:textId="77777777" w:rsidR="002B04EB" w:rsidRPr="003F7F6C" w:rsidRDefault="002B04EB" w:rsidP="00B851B7">
            <w:pPr>
              <w:rPr>
                <w:rFonts w:cs="Calibri"/>
                <w:sz w:val="16"/>
                <w:szCs w:val="16"/>
              </w:rPr>
            </w:pPr>
            <w:r w:rsidRPr="003F7F6C">
              <w:rPr>
                <w:rFonts w:cs="Calibri"/>
                <w:sz w:val="16"/>
                <w:szCs w:val="16"/>
              </w:rPr>
              <w:t>Q4</w:t>
            </w:r>
          </w:p>
        </w:tc>
      </w:tr>
      <w:tr w:rsidR="002B04EB" w:rsidRPr="003F7F6C" w14:paraId="1F026F77" w14:textId="77777777" w:rsidTr="002B04EB">
        <w:tc>
          <w:tcPr>
            <w:tcW w:w="13010" w:type="dxa"/>
            <w:gridSpan w:val="31"/>
            <w:shd w:val="clear" w:color="auto" w:fill="C5E0B3"/>
          </w:tcPr>
          <w:p w14:paraId="75B0E9B3" w14:textId="77777777" w:rsidR="002B04EB" w:rsidRPr="003F7F6C" w:rsidRDefault="002B04EB" w:rsidP="00B851B7">
            <w:pPr>
              <w:rPr>
                <w:rFonts w:cs="Calibri"/>
                <w:sz w:val="16"/>
                <w:szCs w:val="16"/>
              </w:rPr>
            </w:pPr>
            <w:r w:rsidRPr="003F7F6C">
              <w:rPr>
                <w:rFonts w:cs="Calibri"/>
                <w:bCs/>
                <w:i/>
                <w:sz w:val="16"/>
                <w:szCs w:val="16"/>
              </w:rPr>
              <w:t xml:space="preserve">Output 1.1: </w:t>
            </w:r>
            <w:r w:rsidRPr="003F7F6C">
              <w:rPr>
                <w:rFonts w:eastAsia="Times New Roman" w:cs="Calibri"/>
                <w:bCs/>
                <w:i/>
                <w:sz w:val="16"/>
                <w:szCs w:val="16"/>
                <w:lang w:eastAsia="es-ES_tradnl"/>
              </w:rPr>
              <w:t xml:space="preserve">Environmental information system updated and standardized to support the ELUP process </w:t>
            </w:r>
            <w:r w:rsidRPr="003F7F6C">
              <w:rPr>
                <w:rFonts w:eastAsia="Times New Roman" w:cs="Calibri"/>
                <w:i/>
                <w:sz w:val="16"/>
                <w:szCs w:val="16"/>
                <w:lang w:eastAsia="es-ES_tradnl"/>
              </w:rPr>
              <w:t xml:space="preserve">&amp; </w:t>
            </w:r>
            <w:r w:rsidRPr="003F7F6C">
              <w:rPr>
                <w:rFonts w:eastAsia="Times New Roman" w:cs="Calibri"/>
                <w:bCs/>
                <w:i/>
                <w:sz w:val="16"/>
                <w:szCs w:val="16"/>
                <w:lang w:eastAsia="es-ES_tradnl"/>
              </w:rPr>
              <w:t>decision- making</w:t>
            </w:r>
          </w:p>
        </w:tc>
      </w:tr>
      <w:tr w:rsidR="002B04EB" w:rsidRPr="003F7F6C" w14:paraId="6CDB8DAD" w14:textId="77777777" w:rsidTr="00B851B7">
        <w:tc>
          <w:tcPr>
            <w:tcW w:w="1668" w:type="dxa"/>
          </w:tcPr>
          <w:p w14:paraId="3B7AF063" w14:textId="77777777" w:rsidR="002B04EB" w:rsidRPr="003F7F6C" w:rsidRDefault="002B04EB" w:rsidP="00B851B7">
            <w:pPr>
              <w:rPr>
                <w:rFonts w:cs="Calibri"/>
                <w:sz w:val="16"/>
                <w:szCs w:val="16"/>
              </w:rPr>
            </w:pPr>
            <w:r w:rsidRPr="003F7F6C">
              <w:rPr>
                <w:rFonts w:cs="Calibri"/>
                <w:sz w:val="16"/>
                <w:szCs w:val="16"/>
              </w:rPr>
              <w:t>1.1.1 Standardize and systematize data at national, provincial and local levels</w:t>
            </w:r>
          </w:p>
        </w:tc>
        <w:tc>
          <w:tcPr>
            <w:tcW w:w="1057" w:type="dxa"/>
          </w:tcPr>
          <w:p w14:paraId="7664DCBB" w14:textId="77777777" w:rsidR="002B04EB" w:rsidRPr="003F7F6C" w:rsidRDefault="002B04EB" w:rsidP="00B851B7">
            <w:pPr>
              <w:rPr>
                <w:rFonts w:cs="Calibri"/>
                <w:sz w:val="16"/>
                <w:szCs w:val="16"/>
              </w:rPr>
            </w:pPr>
            <w:r w:rsidRPr="003F7F6C">
              <w:rPr>
                <w:rFonts w:cs="Calibri"/>
                <w:sz w:val="16"/>
                <w:szCs w:val="16"/>
              </w:rPr>
              <w:t>SGAyDS</w:t>
            </w:r>
          </w:p>
        </w:tc>
        <w:tc>
          <w:tcPr>
            <w:tcW w:w="428" w:type="dxa"/>
          </w:tcPr>
          <w:p w14:paraId="1674D8D0" w14:textId="77777777" w:rsidR="002B04EB" w:rsidRPr="003F7F6C" w:rsidRDefault="002B04EB" w:rsidP="00B851B7">
            <w:pPr>
              <w:rPr>
                <w:rFonts w:cs="Calibri"/>
                <w:sz w:val="16"/>
                <w:szCs w:val="16"/>
              </w:rPr>
            </w:pPr>
          </w:p>
        </w:tc>
        <w:tc>
          <w:tcPr>
            <w:tcW w:w="444" w:type="dxa"/>
          </w:tcPr>
          <w:p w14:paraId="1BAE662D" w14:textId="77777777" w:rsidR="002B04EB" w:rsidRPr="003F7F6C" w:rsidRDefault="002B04EB" w:rsidP="00B851B7">
            <w:pPr>
              <w:rPr>
                <w:sz w:val="16"/>
                <w:szCs w:val="16"/>
              </w:rPr>
            </w:pPr>
            <w:r w:rsidRPr="003F7F6C">
              <w:rPr>
                <w:rFonts w:cs="Calibri"/>
                <w:sz w:val="16"/>
                <w:szCs w:val="16"/>
              </w:rPr>
              <w:t>X</w:t>
            </w:r>
          </w:p>
        </w:tc>
        <w:tc>
          <w:tcPr>
            <w:tcW w:w="428" w:type="dxa"/>
          </w:tcPr>
          <w:p w14:paraId="0C92922F"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6DFED3A3" w14:textId="77777777" w:rsidR="002B04EB" w:rsidRPr="003F7F6C" w:rsidRDefault="002B04EB" w:rsidP="00B851B7">
            <w:pPr>
              <w:rPr>
                <w:sz w:val="16"/>
                <w:szCs w:val="16"/>
              </w:rPr>
            </w:pPr>
            <w:r w:rsidRPr="003F7F6C">
              <w:rPr>
                <w:rFonts w:cs="Calibri"/>
                <w:sz w:val="16"/>
                <w:szCs w:val="16"/>
              </w:rPr>
              <w:t>X</w:t>
            </w:r>
          </w:p>
        </w:tc>
        <w:tc>
          <w:tcPr>
            <w:tcW w:w="428" w:type="dxa"/>
          </w:tcPr>
          <w:p w14:paraId="640A07C1" w14:textId="77777777" w:rsidR="002B04EB" w:rsidRPr="003F7F6C" w:rsidRDefault="002B04EB" w:rsidP="00B851B7">
            <w:pPr>
              <w:rPr>
                <w:sz w:val="16"/>
                <w:szCs w:val="16"/>
              </w:rPr>
            </w:pPr>
            <w:r w:rsidRPr="003F7F6C">
              <w:rPr>
                <w:rFonts w:cs="Calibri"/>
                <w:sz w:val="16"/>
                <w:szCs w:val="16"/>
              </w:rPr>
              <w:t>X</w:t>
            </w:r>
          </w:p>
        </w:tc>
        <w:tc>
          <w:tcPr>
            <w:tcW w:w="427" w:type="dxa"/>
          </w:tcPr>
          <w:p w14:paraId="6FD8548C" w14:textId="77777777" w:rsidR="002B04EB" w:rsidRPr="003F7F6C" w:rsidRDefault="002B04EB" w:rsidP="00B851B7">
            <w:pPr>
              <w:rPr>
                <w:sz w:val="16"/>
                <w:szCs w:val="16"/>
              </w:rPr>
            </w:pPr>
            <w:r w:rsidRPr="003F7F6C">
              <w:rPr>
                <w:rFonts w:cs="Calibri"/>
                <w:sz w:val="16"/>
                <w:szCs w:val="16"/>
              </w:rPr>
              <w:t>X</w:t>
            </w:r>
          </w:p>
        </w:tc>
        <w:tc>
          <w:tcPr>
            <w:tcW w:w="427" w:type="dxa"/>
          </w:tcPr>
          <w:p w14:paraId="59306C1B" w14:textId="77777777" w:rsidR="002B04EB" w:rsidRPr="003F7F6C" w:rsidRDefault="002B04EB" w:rsidP="00B851B7">
            <w:pPr>
              <w:rPr>
                <w:sz w:val="16"/>
                <w:szCs w:val="16"/>
              </w:rPr>
            </w:pPr>
            <w:r w:rsidRPr="003F7F6C">
              <w:rPr>
                <w:rFonts w:cs="Calibri"/>
                <w:sz w:val="16"/>
                <w:szCs w:val="16"/>
              </w:rPr>
              <w:t>X</w:t>
            </w:r>
          </w:p>
        </w:tc>
        <w:tc>
          <w:tcPr>
            <w:tcW w:w="427" w:type="dxa"/>
            <w:gridSpan w:val="2"/>
          </w:tcPr>
          <w:p w14:paraId="31B01B5B" w14:textId="77777777" w:rsidR="002B04EB" w:rsidRPr="003F7F6C" w:rsidRDefault="002B04EB" w:rsidP="00B851B7">
            <w:pPr>
              <w:rPr>
                <w:sz w:val="16"/>
                <w:szCs w:val="16"/>
              </w:rPr>
            </w:pPr>
            <w:r w:rsidRPr="003F7F6C">
              <w:rPr>
                <w:rFonts w:cs="Calibri"/>
                <w:sz w:val="16"/>
                <w:szCs w:val="16"/>
              </w:rPr>
              <w:t>X</w:t>
            </w:r>
          </w:p>
        </w:tc>
        <w:tc>
          <w:tcPr>
            <w:tcW w:w="428" w:type="dxa"/>
          </w:tcPr>
          <w:p w14:paraId="4C1639D7" w14:textId="77777777" w:rsidR="002B04EB" w:rsidRPr="003F7F6C" w:rsidRDefault="002B04EB" w:rsidP="00B851B7">
            <w:pPr>
              <w:rPr>
                <w:sz w:val="16"/>
                <w:szCs w:val="16"/>
              </w:rPr>
            </w:pPr>
            <w:r w:rsidRPr="003F7F6C">
              <w:rPr>
                <w:rFonts w:cs="Calibri"/>
                <w:sz w:val="16"/>
                <w:szCs w:val="16"/>
              </w:rPr>
              <w:t>X</w:t>
            </w:r>
          </w:p>
        </w:tc>
        <w:tc>
          <w:tcPr>
            <w:tcW w:w="428" w:type="dxa"/>
          </w:tcPr>
          <w:p w14:paraId="0BB5C766" w14:textId="77777777" w:rsidR="002B04EB" w:rsidRPr="003F7F6C" w:rsidRDefault="002B04EB" w:rsidP="00B851B7">
            <w:pPr>
              <w:rPr>
                <w:sz w:val="16"/>
                <w:szCs w:val="16"/>
              </w:rPr>
            </w:pPr>
            <w:r w:rsidRPr="003F7F6C">
              <w:rPr>
                <w:rFonts w:cs="Calibri"/>
                <w:sz w:val="16"/>
                <w:szCs w:val="16"/>
              </w:rPr>
              <w:t>X</w:t>
            </w:r>
          </w:p>
        </w:tc>
        <w:tc>
          <w:tcPr>
            <w:tcW w:w="428" w:type="dxa"/>
          </w:tcPr>
          <w:p w14:paraId="57AF42CF"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79A2E639" w14:textId="77777777" w:rsidR="002B04EB" w:rsidRPr="003F7F6C" w:rsidRDefault="002B04EB" w:rsidP="00B851B7">
            <w:pPr>
              <w:rPr>
                <w:sz w:val="16"/>
                <w:szCs w:val="16"/>
              </w:rPr>
            </w:pPr>
            <w:r w:rsidRPr="003F7F6C">
              <w:rPr>
                <w:rFonts w:cs="Calibri"/>
                <w:sz w:val="16"/>
                <w:szCs w:val="16"/>
              </w:rPr>
              <w:t>X</w:t>
            </w:r>
          </w:p>
        </w:tc>
        <w:tc>
          <w:tcPr>
            <w:tcW w:w="428" w:type="dxa"/>
          </w:tcPr>
          <w:p w14:paraId="79670F8A" w14:textId="77777777" w:rsidR="002B04EB" w:rsidRPr="003F7F6C" w:rsidRDefault="002B04EB" w:rsidP="00B851B7">
            <w:pPr>
              <w:rPr>
                <w:sz w:val="16"/>
                <w:szCs w:val="16"/>
              </w:rPr>
            </w:pPr>
            <w:r w:rsidRPr="003F7F6C">
              <w:rPr>
                <w:rFonts w:cs="Calibri"/>
                <w:sz w:val="16"/>
                <w:szCs w:val="16"/>
              </w:rPr>
              <w:t>X</w:t>
            </w:r>
          </w:p>
        </w:tc>
        <w:tc>
          <w:tcPr>
            <w:tcW w:w="428" w:type="dxa"/>
          </w:tcPr>
          <w:p w14:paraId="01CC24A3" w14:textId="77777777" w:rsidR="002B04EB" w:rsidRPr="003F7F6C" w:rsidRDefault="002B04EB" w:rsidP="00B851B7">
            <w:pPr>
              <w:rPr>
                <w:sz w:val="16"/>
                <w:szCs w:val="16"/>
              </w:rPr>
            </w:pPr>
            <w:r w:rsidRPr="003F7F6C">
              <w:rPr>
                <w:rFonts w:cs="Calibri"/>
                <w:sz w:val="16"/>
                <w:szCs w:val="16"/>
              </w:rPr>
              <w:t>X</w:t>
            </w:r>
          </w:p>
        </w:tc>
        <w:tc>
          <w:tcPr>
            <w:tcW w:w="428" w:type="dxa"/>
          </w:tcPr>
          <w:p w14:paraId="0FA62C4D"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74FE4A75" w14:textId="77777777" w:rsidR="002B04EB" w:rsidRPr="003F7F6C" w:rsidRDefault="002B04EB" w:rsidP="00B851B7">
            <w:pPr>
              <w:rPr>
                <w:sz w:val="16"/>
                <w:szCs w:val="16"/>
              </w:rPr>
            </w:pPr>
            <w:r w:rsidRPr="003F7F6C">
              <w:rPr>
                <w:rFonts w:cs="Calibri"/>
                <w:sz w:val="16"/>
                <w:szCs w:val="16"/>
              </w:rPr>
              <w:t>X</w:t>
            </w:r>
          </w:p>
        </w:tc>
        <w:tc>
          <w:tcPr>
            <w:tcW w:w="428" w:type="dxa"/>
          </w:tcPr>
          <w:p w14:paraId="5A7B5C18" w14:textId="77777777" w:rsidR="002B04EB" w:rsidRPr="003F7F6C" w:rsidRDefault="002B04EB" w:rsidP="00B851B7">
            <w:pPr>
              <w:rPr>
                <w:sz w:val="16"/>
                <w:szCs w:val="16"/>
              </w:rPr>
            </w:pPr>
            <w:r w:rsidRPr="003F7F6C">
              <w:rPr>
                <w:rFonts w:cs="Calibri"/>
                <w:sz w:val="16"/>
                <w:szCs w:val="16"/>
              </w:rPr>
              <w:t>X</w:t>
            </w:r>
          </w:p>
        </w:tc>
        <w:tc>
          <w:tcPr>
            <w:tcW w:w="428" w:type="dxa"/>
          </w:tcPr>
          <w:p w14:paraId="4988ECA5" w14:textId="77777777" w:rsidR="002B04EB" w:rsidRPr="003F7F6C" w:rsidRDefault="002B04EB" w:rsidP="00B851B7">
            <w:pPr>
              <w:rPr>
                <w:sz w:val="16"/>
                <w:szCs w:val="16"/>
              </w:rPr>
            </w:pPr>
            <w:r w:rsidRPr="003F7F6C">
              <w:rPr>
                <w:rFonts w:cs="Calibri"/>
                <w:sz w:val="16"/>
                <w:szCs w:val="16"/>
              </w:rPr>
              <w:t>X</w:t>
            </w:r>
          </w:p>
        </w:tc>
        <w:tc>
          <w:tcPr>
            <w:tcW w:w="428" w:type="dxa"/>
          </w:tcPr>
          <w:p w14:paraId="24EB4D4F"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7201A198" w14:textId="77777777" w:rsidR="002B04EB" w:rsidRPr="003F7F6C" w:rsidRDefault="002B04EB" w:rsidP="00B851B7">
            <w:pPr>
              <w:rPr>
                <w:sz w:val="16"/>
                <w:szCs w:val="16"/>
              </w:rPr>
            </w:pPr>
            <w:r w:rsidRPr="003F7F6C">
              <w:rPr>
                <w:rFonts w:cs="Calibri"/>
                <w:sz w:val="16"/>
                <w:szCs w:val="16"/>
              </w:rPr>
              <w:t>X</w:t>
            </w:r>
          </w:p>
        </w:tc>
        <w:tc>
          <w:tcPr>
            <w:tcW w:w="428" w:type="dxa"/>
          </w:tcPr>
          <w:p w14:paraId="43A13283" w14:textId="77777777" w:rsidR="002B04EB" w:rsidRPr="003F7F6C" w:rsidRDefault="002B04EB" w:rsidP="00B851B7">
            <w:pPr>
              <w:rPr>
                <w:sz w:val="16"/>
                <w:szCs w:val="16"/>
              </w:rPr>
            </w:pPr>
            <w:r w:rsidRPr="003F7F6C">
              <w:rPr>
                <w:rFonts w:cs="Calibri"/>
                <w:sz w:val="16"/>
                <w:szCs w:val="16"/>
              </w:rPr>
              <w:t>X</w:t>
            </w:r>
          </w:p>
        </w:tc>
        <w:tc>
          <w:tcPr>
            <w:tcW w:w="428" w:type="dxa"/>
          </w:tcPr>
          <w:p w14:paraId="1A1BB3D1" w14:textId="77777777" w:rsidR="002B04EB" w:rsidRPr="003F7F6C" w:rsidRDefault="002B04EB" w:rsidP="00B851B7">
            <w:pPr>
              <w:rPr>
                <w:sz w:val="16"/>
                <w:szCs w:val="16"/>
              </w:rPr>
            </w:pPr>
            <w:r w:rsidRPr="003F7F6C">
              <w:rPr>
                <w:rFonts w:cs="Calibri"/>
                <w:sz w:val="16"/>
                <w:szCs w:val="16"/>
              </w:rPr>
              <w:t>X</w:t>
            </w:r>
          </w:p>
        </w:tc>
        <w:tc>
          <w:tcPr>
            <w:tcW w:w="428" w:type="dxa"/>
          </w:tcPr>
          <w:p w14:paraId="33CE25CE" w14:textId="77777777" w:rsidR="002B04EB" w:rsidRPr="003F7F6C" w:rsidRDefault="002B04EB" w:rsidP="00B851B7">
            <w:pPr>
              <w:rPr>
                <w:sz w:val="16"/>
                <w:szCs w:val="16"/>
              </w:rPr>
            </w:pPr>
            <w:r w:rsidRPr="003F7F6C">
              <w:rPr>
                <w:rFonts w:cs="Calibri"/>
                <w:sz w:val="16"/>
                <w:szCs w:val="16"/>
              </w:rPr>
              <w:t>X</w:t>
            </w:r>
          </w:p>
        </w:tc>
        <w:tc>
          <w:tcPr>
            <w:tcW w:w="428" w:type="dxa"/>
          </w:tcPr>
          <w:p w14:paraId="068D1141" w14:textId="77777777" w:rsidR="002B04EB" w:rsidRPr="003F7F6C" w:rsidRDefault="002B04EB" w:rsidP="00B851B7">
            <w:pPr>
              <w:rPr>
                <w:sz w:val="16"/>
                <w:szCs w:val="16"/>
              </w:rPr>
            </w:pPr>
            <w:r w:rsidRPr="003F7F6C">
              <w:rPr>
                <w:rFonts w:cs="Calibri"/>
                <w:sz w:val="16"/>
                <w:szCs w:val="16"/>
              </w:rPr>
              <w:t>X</w:t>
            </w:r>
          </w:p>
        </w:tc>
      </w:tr>
      <w:tr w:rsidR="002B04EB" w:rsidRPr="003F7F6C" w14:paraId="2D22C888" w14:textId="77777777" w:rsidTr="00B851B7">
        <w:tc>
          <w:tcPr>
            <w:tcW w:w="1668" w:type="dxa"/>
          </w:tcPr>
          <w:p w14:paraId="3DD7265A" w14:textId="77777777" w:rsidR="002B04EB" w:rsidRPr="003F7F6C" w:rsidRDefault="002B04EB" w:rsidP="00E91275">
            <w:pPr>
              <w:pStyle w:val="ListParagraph"/>
              <w:numPr>
                <w:ilvl w:val="0"/>
                <w:numId w:val="29"/>
              </w:numPr>
              <w:tabs>
                <w:tab w:val="left" w:pos="166"/>
              </w:tabs>
              <w:spacing w:after="0"/>
              <w:ind w:left="166" w:hanging="166"/>
              <w:contextualSpacing w:val="0"/>
              <w:jc w:val="left"/>
              <w:rPr>
                <w:rFonts w:cs="Calibri"/>
                <w:sz w:val="16"/>
                <w:szCs w:val="16"/>
              </w:rPr>
            </w:pPr>
            <w:r w:rsidRPr="003F7F6C">
              <w:rPr>
                <w:rFonts w:cs="Calibri"/>
                <w:sz w:val="16"/>
                <w:szCs w:val="16"/>
              </w:rPr>
              <w:t>Incorporate an ELUP sub-system to IDE Environment</w:t>
            </w:r>
          </w:p>
        </w:tc>
        <w:tc>
          <w:tcPr>
            <w:tcW w:w="1057" w:type="dxa"/>
          </w:tcPr>
          <w:p w14:paraId="01E711F5" w14:textId="77777777" w:rsidR="002B04EB" w:rsidRPr="003F7F6C" w:rsidRDefault="002B04EB" w:rsidP="00B851B7">
            <w:pPr>
              <w:rPr>
                <w:sz w:val="16"/>
                <w:szCs w:val="16"/>
              </w:rPr>
            </w:pPr>
            <w:r w:rsidRPr="003F7F6C">
              <w:rPr>
                <w:rFonts w:cs="Calibri"/>
                <w:sz w:val="16"/>
                <w:szCs w:val="16"/>
              </w:rPr>
              <w:t>SGAyDS</w:t>
            </w:r>
          </w:p>
        </w:tc>
        <w:tc>
          <w:tcPr>
            <w:tcW w:w="428" w:type="dxa"/>
          </w:tcPr>
          <w:p w14:paraId="18A88D84" w14:textId="77777777" w:rsidR="002B04EB" w:rsidRPr="003F7F6C" w:rsidRDefault="002B04EB" w:rsidP="00B851B7">
            <w:pPr>
              <w:rPr>
                <w:rFonts w:cs="Calibri"/>
                <w:sz w:val="16"/>
                <w:szCs w:val="16"/>
              </w:rPr>
            </w:pPr>
          </w:p>
        </w:tc>
        <w:tc>
          <w:tcPr>
            <w:tcW w:w="444" w:type="dxa"/>
          </w:tcPr>
          <w:p w14:paraId="1549CC90" w14:textId="77777777" w:rsidR="002B04EB" w:rsidRPr="003F7F6C" w:rsidRDefault="002B04EB" w:rsidP="00B851B7">
            <w:pPr>
              <w:rPr>
                <w:sz w:val="16"/>
                <w:szCs w:val="16"/>
              </w:rPr>
            </w:pPr>
            <w:r w:rsidRPr="003F7F6C">
              <w:rPr>
                <w:rFonts w:cs="Calibri"/>
                <w:sz w:val="16"/>
                <w:szCs w:val="16"/>
              </w:rPr>
              <w:t>X</w:t>
            </w:r>
          </w:p>
        </w:tc>
        <w:tc>
          <w:tcPr>
            <w:tcW w:w="428" w:type="dxa"/>
          </w:tcPr>
          <w:p w14:paraId="4B395EFE"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72FE1654" w14:textId="77777777" w:rsidR="002B04EB" w:rsidRPr="003F7F6C" w:rsidRDefault="002B04EB" w:rsidP="00B851B7">
            <w:pPr>
              <w:rPr>
                <w:sz w:val="16"/>
                <w:szCs w:val="16"/>
              </w:rPr>
            </w:pPr>
            <w:r w:rsidRPr="003F7F6C">
              <w:rPr>
                <w:rFonts w:cs="Calibri"/>
                <w:sz w:val="16"/>
                <w:szCs w:val="16"/>
              </w:rPr>
              <w:t>X</w:t>
            </w:r>
          </w:p>
        </w:tc>
        <w:tc>
          <w:tcPr>
            <w:tcW w:w="428" w:type="dxa"/>
          </w:tcPr>
          <w:p w14:paraId="18AB8F7A" w14:textId="77777777" w:rsidR="002B04EB" w:rsidRPr="003F7F6C" w:rsidRDefault="002B04EB" w:rsidP="00B851B7">
            <w:pPr>
              <w:rPr>
                <w:rFonts w:cs="Calibri"/>
                <w:sz w:val="16"/>
                <w:szCs w:val="16"/>
              </w:rPr>
            </w:pPr>
          </w:p>
        </w:tc>
        <w:tc>
          <w:tcPr>
            <w:tcW w:w="427" w:type="dxa"/>
          </w:tcPr>
          <w:p w14:paraId="08ABF1A6" w14:textId="77777777" w:rsidR="002B04EB" w:rsidRPr="003F7F6C" w:rsidRDefault="002B04EB" w:rsidP="00B851B7">
            <w:pPr>
              <w:rPr>
                <w:rFonts w:cs="Calibri"/>
                <w:sz w:val="16"/>
                <w:szCs w:val="16"/>
              </w:rPr>
            </w:pPr>
          </w:p>
        </w:tc>
        <w:tc>
          <w:tcPr>
            <w:tcW w:w="427" w:type="dxa"/>
          </w:tcPr>
          <w:p w14:paraId="476214DE" w14:textId="77777777" w:rsidR="002B04EB" w:rsidRPr="003F7F6C" w:rsidRDefault="002B04EB" w:rsidP="00B851B7">
            <w:pPr>
              <w:rPr>
                <w:rFonts w:cs="Calibri"/>
                <w:sz w:val="16"/>
                <w:szCs w:val="16"/>
              </w:rPr>
            </w:pPr>
          </w:p>
        </w:tc>
        <w:tc>
          <w:tcPr>
            <w:tcW w:w="427" w:type="dxa"/>
            <w:gridSpan w:val="2"/>
          </w:tcPr>
          <w:p w14:paraId="18C75EE5" w14:textId="77777777" w:rsidR="002B04EB" w:rsidRPr="003F7F6C" w:rsidRDefault="002B04EB" w:rsidP="00B851B7">
            <w:pPr>
              <w:rPr>
                <w:rFonts w:cs="Calibri"/>
                <w:sz w:val="16"/>
                <w:szCs w:val="16"/>
              </w:rPr>
            </w:pPr>
          </w:p>
        </w:tc>
        <w:tc>
          <w:tcPr>
            <w:tcW w:w="428" w:type="dxa"/>
          </w:tcPr>
          <w:p w14:paraId="33902D4A" w14:textId="77777777" w:rsidR="002B04EB" w:rsidRPr="003F7F6C" w:rsidRDefault="002B04EB" w:rsidP="00B851B7">
            <w:pPr>
              <w:rPr>
                <w:rFonts w:cs="Calibri"/>
                <w:sz w:val="16"/>
                <w:szCs w:val="16"/>
              </w:rPr>
            </w:pPr>
          </w:p>
        </w:tc>
        <w:tc>
          <w:tcPr>
            <w:tcW w:w="428" w:type="dxa"/>
          </w:tcPr>
          <w:p w14:paraId="3D264F44" w14:textId="77777777" w:rsidR="002B04EB" w:rsidRPr="003F7F6C" w:rsidRDefault="002B04EB" w:rsidP="00B851B7">
            <w:pPr>
              <w:rPr>
                <w:rFonts w:cs="Calibri"/>
                <w:sz w:val="16"/>
                <w:szCs w:val="16"/>
              </w:rPr>
            </w:pPr>
          </w:p>
        </w:tc>
        <w:tc>
          <w:tcPr>
            <w:tcW w:w="428" w:type="dxa"/>
          </w:tcPr>
          <w:p w14:paraId="01BBC650" w14:textId="77777777" w:rsidR="002B04EB" w:rsidRPr="003F7F6C" w:rsidRDefault="002B04EB" w:rsidP="00B851B7">
            <w:pPr>
              <w:rPr>
                <w:rFonts w:cs="Calibri"/>
                <w:sz w:val="16"/>
                <w:szCs w:val="16"/>
              </w:rPr>
            </w:pPr>
          </w:p>
        </w:tc>
        <w:tc>
          <w:tcPr>
            <w:tcW w:w="428" w:type="dxa"/>
            <w:gridSpan w:val="2"/>
          </w:tcPr>
          <w:p w14:paraId="1BB3A00A" w14:textId="77777777" w:rsidR="002B04EB" w:rsidRPr="003F7F6C" w:rsidRDefault="002B04EB" w:rsidP="00B851B7">
            <w:pPr>
              <w:rPr>
                <w:rFonts w:cs="Calibri"/>
                <w:sz w:val="16"/>
                <w:szCs w:val="16"/>
              </w:rPr>
            </w:pPr>
          </w:p>
        </w:tc>
        <w:tc>
          <w:tcPr>
            <w:tcW w:w="428" w:type="dxa"/>
          </w:tcPr>
          <w:p w14:paraId="550F6338" w14:textId="77777777" w:rsidR="002B04EB" w:rsidRPr="003F7F6C" w:rsidRDefault="002B04EB" w:rsidP="00B851B7">
            <w:pPr>
              <w:rPr>
                <w:rFonts w:cs="Calibri"/>
                <w:sz w:val="16"/>
                <w:szCs w:val="16"/>
              </w:rPr>
            </w:pPr>
          </w:p>
        </w:tc>
        <w:tc>
          <w:tcPr>
            <w:tcW w:w="428" w:type="dxa"/>
          </w:tcPr>
          <w:p w14:paraId="4A5E460B" w14:textId="77777777" w:rsidR="002B04EB" w:rsidRPr="003F7F6C" w:rsidRDefault="002B04EB" w:rsidP="00B851B7">
            <w:pPr>
              <w:rPr>
                <w:rFonts w:cs="Calibri"/>
                <w:sz w:val="16"/>
                <w:szCs w:val="16"/>
              </w:rPr>
            </w:pPr>
          </w:p>
        </w:tc>
        <w:tc>
          <w:tcPr>
            <w:tcW w:w="428" w:type="dxa"/>
          </w:tcPr>
          <w:p w14:paraId="1DB1E0A6" w14:textId="77777777" w:rsidR="002B04EB" w:rsidRPr="003F7F6C" w:rsidRDefault="002B04EB" w:rsidP="00B851B7">
            <w:pPr>
              <w:rPr>
                <w:rFonts w:cs="Calibri"/>
                <w:sz w:val="16"/>
                <w:szCs w:val="16"/>
              </w:rPr>
            </w:pPr>
          </w:p>
        </w:tc>
        <w:tc>
          <w:tcPr>
            <w:tcW w:w="428" w:type="dxa"/>
            <w:gridSpan w:val="2"/>
          </w:tcPr>
          <w:p w14:paraId="4C04132D" w14:textId="77777777" w:rsidR="002B04EB" w:rsidRPr="003F7F6C" w:rsidRDefault="002B04EB" w:rsidP="00B851B7">
            <w:pPr>
              <w:rPr>
                <w:rFonts w:cs="Calibri"/>
                <w:sz w:val="16"/>
                <w:szCs w:val="16"/>
              </w:rPr>
            </w:pPr>
          </w:p>
        </w:tc>
        <w:tc>
          <w:tcPr>
            <w:tcW w:w="428" w:type="dxa"/>
          </w:tcPr>
          <w:p w14:paraId="53607B24" w14:textId="77777777" w:rsidR="002B04EB" w:rsidRPr="003F7F6C" w:rsidRDefault="002B04EB" w:rsidP="00B851B7">
            <w:pPr>
              <w:rPr>
                <w:rFonts w:cs="Calibri"/>
                <w:sz w:val="16"/>
                <w:szCs w:val="16"/>
              </w:rPr>
            </w:pPr>
          </w:p>
        </w:tc>
        <w:tc>
          <w:tcPr>
            <w:tcW w:w="428" w:type="dxa"/>
          </w:tcPr>
          <w:p w14:paraId="3760ED18" w14:textId="77777777" w:rsidR="002B04EB" w:rsidRPr="003F7F6C" w:rsidRDefault="002B04EB" w:rsidP="00B851B7">
            <w:pPr>
              <w:rPr>
                <w:rFonts w:cs="Calibri"/>
                <w:sz w:val="16"/>
                <w:szCs w:val="16"/>
              </w:rPr>
            </w:pPr>
          </w:p>
        </w:tc>
        <w:tc>
          <w:tcPr>
            <w:tcW w:w="428" w:type="dxa"/>
          </w:tcPr>
          <w:p w14:paraId="1C748378" w14:textId="77777777" w:rsidR="002B04EB" w:rsidRPr="003F7F6C" w:rsidRDefault="002B04EB" w:rsidP="00B851B7">
            <w:pPr>
              <w:rPr>
                <w:rFonts w:cs="Calibri"/>
                <w:sz w:val="16"/>
                <w:szCs w:val="16"/>
              </w:rPr>
            </w:pPr>
          </w:p>
        </w:tc>
        <w:tc>
          <w:tcPr>
            <w:tcW w:w="428" w:type="dxa"/>
            <w:gridSpan w:val="2"/>
          </w:tcPr>
          <w:p w14:paraId="3CE44C97" w14:textId="77777777" w:rsidR="002B04EB" w:rsidRPr="003F7F6C" w:rsidRDefault="002B04EB" w:rsidP="00B851B7">
            <w:pPr>
              <w:rPr>
                <w:rFonts w:cs="Calibri"/>
                <w:sz w:val="16"/>
                <w:szCs w:val="16"/>
              </w:rPr>
            </w:pPr>
          </w:p>
        </w:tc>
        <w:tc>
          <w:tcPr>
            <w:tcW w:w="428" w:type="dxa"/>
          </w:tcPr>
          <w:p w14:paraId="1D5B06F6" w14:textId="77777777" w:rsidR="002B04EB" w:rsidRPr="003F7F6C" w:rsidRDefault="002B04EB" w:rsidP="00B851B7">
            <w:pPr>
              <w:rPr>
                <w:rFonts w:cs="Calibri"/>
                <w:sz w:val="16"/>
                <w:szCs w:val="16"/>
              </w:rPr>
            </w:pPr>
          </w:p>
        </w:tc>
        <w:tc>
          <w:tcPr>
            <w:tcW w:w="428" w:type="dxa"/>
          </w:tcPr>
          <w:p w14:paraId="4826D77F" w14:textId="77777777" w:rsidR="002B04EB" w:rsidRPr="003F7F6C" w:rsidRDefault="002B04EB" w:rsidP="00B851B7">
            <w:pPr>
              <w:rPr>
                <w:rFonts w:cs="Calibri"/>
                <w:sz w:val="16"/>
                <w:szCs w:val="16"/>
              </w:rPr>
            </w:pPr>
          </w:p>
        </w:tc>
        <w:tc>
          <w:tcPr>
            <w:tcW w:w="428" w:type="dxa"/>
          </w:tcPr>
          <w:p w14:paraId="1525EB98" w14:textId="77777777" w:rsidR="002B04EB" w:rsidRPr="003F7F6C" w:rsidRDefault="002B04EB" w:rsidP="00B851B7">
            <w:pPr>
              <w:rPr>
                <w:rFonts w:cs="Calibri"/>
                <w:sz w:val="16"/>
                <w:szCs w:val="16"/>
              </w:rPr>
            </w:pPr>
          </w:p>
        </w:tc>
        <w:tc>
          <w:tcPr>
            <w:tcW w:w="428" w:type="dxa"/>
          </w:tcPr>
          <w:p w14:paraId="6ACBF27E" w14:textId="77777777" w:rsidR="002B04EB" w:rsidRPr="003F7F6C" w:rsidRDefault="002B04EB" w:rsidP="00B851B7">
            <w:pPr>
              <w:rPr>
                <w:rFonts w:cs="Calibri"/>
                <w:sz w:val="16"/>
                <w:szCs w:val="16"/>
              </w:rPr>
            </w:pPr>
          </w:p>
        </w:tc>
      </w:tr>
      <w:tr w:rsidR="002B04EB" w:rsidRPr="003F7F6C" w14:paraId="74DD352F" w14:textId="77777777" w:rsidTr="00B851B7">
        <w:tc>
          <w:tcPr>
            <w:tcW w:w="1668" w:type="dxa"/>
          </w:tcPr>
          <w:p w14:paraId="2A73CD85" w14:textId="77777777" w:rsidR="002B04EB" w:rsidRPr="003F7F6C" w:rsidRDefault="002B04EB" w:rsidP="00E91275">
            <w:pPr>
              <w:pStyle w:val="ListParagraph"/>
              <w:numPr>
                <w:ilvl w:val="0"/>
                <w:numId w:val="29"/>
              </w:numPr>
              <w:spacing w:after="0"/>
              <w:ind w:left="166" w:hanging="166"/>
              <w:contextualSpacing w:val="0"/>
              <w:rPr>
                <w:rFonts w:cs="Calibri"/>
                <w:sz w:val="16"/>
                <w:szCs w:val="16"/>
              </w:rPr>
            </w:pPr>
            <w:r w:rsidRPr="003F7F6C">
              <w:rPr>
                <w:rFonts w:cs="Calibri"/>
                <w:sz w:val="16"/>
                <w:szCs w:val="16"/>
              </w:rPr>
              <w:t>Generate, consolidate, standardize information and metadata</w:t>
            </w:r>
          </w:p>
        </w:tc>
        <w:tc>
          <w:tcPr>
            <w:tcW w:w="1057" w:type="dxa"/>
          </w:tcPr>
          <w:p w14:paraId="37A01F10" w14:textId="77777777" w:rsidR="002B04EB" w:rsidRPr="003F7F6C" w:rsidRDefault="002B04EB" w:rsidP="00B851B7">
            <w:pPr>
              <w:rPr>
                <w:sz w:val="16"/>
                <w:szCs w:val="16"/>
              </w:rPr>
            </w:pPr>
            <w:r w:rsidRPr="003F7F6C">
              <w:rPr>
                <w:rFonts w:cs="Calibri"/>
                <w:sz w:val="16"/>
                <w:szCs w:val="16"/>
              </w:rPr>
              <w:t>SGAyDS</w:t>
            </w:r>
          </w:p>
        </w:tc>
        <w:tc>
          <w:tcPr>
            <w:tcW w:w="428" w:type="dxa"/>
          </w:tcPr>
          <w:p w14:paraId="14D4880D" w14:textId="77777777" w:rsidR="002B04EB" w:rsidRPr="003F7F6C" w:rsidRDefault="002B04EB" w:rsidP="00B851B7">
            <w:pPr>
              <w:rPr>
                <w:rFonts w:cs="Calibri"/>
                <w:sz w:val="16"/>
                <w:szCs w:val="16"/>
              </w:rPr>
            </w:pPr>
          </w:p>
        </w:tc>
        <w:tc>
          <w:tcPr>
            <w:tcW w:w="444" w:type="dxa"/>
          </w:tcPr>
          <w:p w14:paraId="38740907" w14:textId="77777777" w:rsidR="002B04EB" w:rsidRPr="003F7F6C" w:rsidRDefault="002B04EB" w:rsidP="00B851B7">
            <w:pPr>
              <w:rPr>
                <w:rFonts w:cs="Calibri"/>
                <w:sz w:val="16"/>
                <w:szCs w:val="16"/>
              </w:rPr>
            </w:pPr>
            <w:r w:rsidRPr="003F7F6C">
              <w:rPr>
                <w:rFonts w:cs="Calibri"/>
                <w:sz w:val="16"/>
                <w:szCs w:val="16"/>
              </w:rPr>
              <w:t>X</w:t>
            </w:r>
          </w:p>
        </w:tc>
        <w:tc>
          <w:tcPr>
            <w:tcW w:w="428" w:type="dxa"/>
          </w:tcPr>
          <w:p w14:paraId="568B351F"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3581CF76" w14:textId="77777777" w:rsidR="002B04EB" w:rsidRPr="003F7F6C" w:rsidRDefault="002B04EB" w:rsidP="00B851B7">
            <w:pPr>
              <w:rPr>
                <w:sz w:val="16"/>
                <w:szCs w:val="16"/>
              </w:rPr>
            </w:pPr>
            <w:r w:rsidRPr="003F7F6C">
              <w:rPr>
                <w:rFonts w:cs="Calibri"/>
                <w:sz w:val="16"/>
                <w:szCs w:val="16"/>
              </w:rPr>
              <w:t>X</w:t>
            </w:r>
          </w:p>
        </w:tc>
        <w:tc>
          <w:tcPr>
            <w:tcW w:w="428" w:type="dxa"/>
          </w:tcPr>
          <w:p w14:paraId="5000BC9B" w14:textId="77777777" w:rsidR="002B04EB" w:rsidRPr="003F7F6C" w:rsidRDefault="002B04EB" w:rsidP="00B851B7">
            <w:pPr>
              <w:rPr>
                <w:sz w:val="16"/>
                <w:szCs w:val="16"/>
              </w:rPr>
            </w:pPr>
            <w:r w:rsidRPr="003F7F6C">
              <w:rPr>
                <w:rFonts w:cs="Calibri"/>
                <w:sz w:val="16"/>
                <w:szCs w:val="16"/>
              </w:rPr>
              <w:t>X</w:t>
            </w:r>
          </w:p>
        </w:tc>
        <w:tc>
          <w:tcPr>
            <w:tcW w:w="427" w:type="dxa"/>
          </w:tcPr>
          <w:p w14:paraId="47505EE0" w14:textId="77777777" w:rsidR="002B04EB" w:rsidRPr="003F7F6C" w:rsidRDefault="002B04EB" w:rsidP="00B851B7">
            <w:pPr>
              <w:rPr>
                <w:rFonts w:cs="Calibri"/>
                <w:sz w:val="16"/>
                <w:szCs w:val="16"/>
              </w:rPr>
            </w:pPr>
          </w:p>
        </w:tc>
        <w:tc>
          <w:tcPr>
            <w:tcW w:w="427" w:type="dxa"/>
          </w:tcPr>
          <w:p w14:paraId="715485AC" w14:textId="77777777" w:rsidR="002B04EB" w:rsidRPr="003F7F6C" w:rsidRDefault="002B04EB" w:rsidP="00B851B7">
            <w:pPr>
              <w:rPr>
                <w:rFonts w:cs="Calibri"/>
                <w:sz w:val="16"/>
                <w:szCs w:val="16"/>
              </w:rPr>
            </w:pPr>
          </w:p>
        </w:tc>
        <w:tc>
          <w:tcPr>
            <w:tcW w:w="427" w:type="dxa"/>
            <w:gridSpan w:val="2"/>
          </w:tcPr>
          <w:p w14:paraId="52991091" w14:textId="77777777" w:rsidR="002B04EB" w:rsidRPr="003F7F6C" w:rsidRDefault="002B04EB" w:rsidP="00B851B7">
            <w:pPr>
              <w:rPr>
                <w:rFonts w:cs="Calibri"/>
                <w:sz w:val="16"/>
                <w:szCs w:val="16"/>
              </w:rPr>
            </w:pPr>
          </w:p>
        </w:tc>
        <w:tc>
          <w:tcPr>
            <w:tcW w:w="428" w:type="dxa"/>
          </w:tcPr>
          <w:p w14:paraId="551D78E5" w14:textId="77777777" w:rsidR="002B04EB" w:rsidRPr="003F7F6C" w:rsidRDefault="002B04EB" w:rsidP="00B851B7">
            <w:pPr>
              <w:rPr>
                <w:rFonts w:cs="Calibri"/>
                <w:sz w:val="16"/>
                <w:szCs w:val="16"/>
              </w:rPr>
            </w:pPr>
          </w:p>
        </w:tc>
        <w:tc>
          <w:tcPr>
            <w:tcW w:w="428" w:type="dxa"/>
          </w:tcPr>
          <w:p w14:paraId="66B3CA72" w14:textId="77777777" w:rsidR="002B04EB" w:rsidRPr="003F7F6C" w:rsidRDefault="002B04EB" w:rsidP="00B851B7">
            <w:pPr>
              <w:rPr>
                <w:rFonts w:cs="Calibri"/>
                <w:sz w:val="16"/>
                <w:szCs w:val="16"/>
              </w:rPr>
            </w:pPr>
          </w:p>
        </w:tc>
        <w:tc>
          <w:tcPr>
            <w:tcW w:w="428" w:type="dxa"/>
          </w:tcPr>
          <w:p w14:paraId="1A6A6EC7" w14:textId="77777777" w:rsidR="002B04EB" w:rsidRPr="003F7F6C" w:rsidRDefault="002B04EB" w:rsidP="00B851B7">
            <w:pPr>
              <w:rPr>
                <w:rFonts w:cs="Calibri"/>
                <w:sz w:val="16"/>
                <w:szCs w:val="16"/>
              </w:rPr>
            </w:pPr>
          </w:p>
        </w:tc>
        <w:tc>
          <w:tcPr>
            <w:tcW w:w="428" w:type="dxa"/>
            <w:gridSpan w:val="2"/>
          </w:tcPr>
          <w:p w14:paraId="00288956" w14:textId="77777777" w:rsidR="002B04EB" w:rsidRPr="003F7F6C" w:rsidRDefault="002B04EB" w:rsidP="00B851B7">
            <w:pPr>
              <w:rPr>
                <w:rFonts w:cs="Calibri"/>
                <w:sz w:val="16"/>
                <w:szCs w:val="16"/>
              </w:rPr>
            </w:pPr>
          </w:p>
        </w:tc>
        <w:tc>
          <w:tcPr>
            <w:tcW w:w="428" w:type="dxa"/>
          </w:tcPr>
          <w:p w14:paraId="2E294ED5" w14:textId="77777777" w:rsidR="002B04EB" w:rsidRPr="003F7F6C" w:rsidRDefault="002B04EB" w:rsidP="00B851B7">
            <w:pPr>
              <w:rPr>
                <w:rFonts w:cs="Calibri"/>
                <w:sz w:val="16"/>
                <w:szCs w:val="16"/>
              </w:rPr>
            </w:pPr>
          </w:p>
        </w:tc>
        <w:tc>
          <w:tcPr>
            <w:tcW w:w="428" w:type="dxa"/>
          </w:tcPr>
          <w:p w14:paraId="01C209C4" w14:textId="77777777" w:rsidR="002B04EB" w:rsidRPr="003F7F6C" w:rsidRDefault="002B04EB" w:rsidP="00B851B7">
            <w:pPr>
              <w:rPr>
                <w:rFonts w:cs="Calibri"/>
                <w:sz w:val="16"/>
                <w:szCs w:val="16"/>
              </w:rPr>
            </w:pPr>
          </w:p>
        </w:tc>
        <w:tc>
          <w:tcPr>
            <w:tcW w:w="428" w:type="dxa"/>
          </w:tcPr>
          <w:p w14:paraId="0BFD518A" w14:textId="77777777" w:rsidR="002B04EB" w:rsidRPr="003F7F6C" w:rsidRDefault="002B04EB" w:rsidP="00B851B7">
            <w:pPr>
              <w:rPr>
                <w:rFonts w:cs="Calibri"/>
                <w:sz w:val="16"/>
                <w:szCs w:val="16"/>
              </w:rPr>
            </w:pPr>
          </w:p>
        </w:tc>
        <w:tc>
          <w:tcPr>
            <w:tcW w:w="428" w:type="dxa"/>
            <w:gridSpan w:val="2"/>
          </w:tcPr>
          <w:p w14:paraId="102DCA7E" w14:textId="77777777" w:rsidR="002B04EB" w:rsidRPr="003F7F6C" w:rsidRDefault="002B04EB" w:rsidP="00B851B7">
            <w:pPr>
              <w:rPr>
                <w:rFonts w:cs="Calibri"/>
                <w:sz w:val="16"/>
                <w:szCs w:val="16"/>
              </w:rPr>
            </w:pPr>
          </w:p>
        </w:tc>
        <w:tc>
          <w:tcPr>
            <w:tcW w:w="428" w:type="dxa"/>
          </w:tcPr>
          <w:p w14:paraId="47BE0673" w14:textId="77777777" w:rsidR="002B04EB" w:rsidRPr="003F7F6C" w:rsidRDefault="002B04EB" w:rsidP="00B851B7">
            <w:pPr>
              <w:rPr>
                <w:rFonts w:cs="Calibri"/>
                <w:sz w:val="16"/>
                <w:szCs w:val="16"/>
              </w:rPr>
            </w:pPr>
          </w:p>
        </w:tc>
        <w:tc>
          <w:tcPr>
            <w:tcW w:w="428" w:type="dxa"/>
          </w:tcPr>
          <w:p w14:paraId="600A4DB1" w14:textId="77777777" w:rsidR="002B04EB" w:rsidRPr="003F7F6C" w:rsidRDefault="002B04EB" w:rsidP="00B851B7">
            <w:pPr>
              <w:rPr>
                <w:rFonts w:cs="Calibri"/>
                <w:sz w:val="16"/>
                <w:szCs w:val="16"/>
              </w:rPr>
            </w:pPr>
          </w:p>
        </w:tc>
        <w:tc>
          <w:tcPr>
            <w:tcW w:w="428" w:type="dxa"/>
          </w:tcPr>
          <w:p w14:paraId="065374A4" w14:textId="77777777" w:rsidR="002B04EB" w:rsidRPr="003F7F6C" w:rsidRDefault="002B04EB" w:rsidP="00B851B7">
            <w:pPr>
              <w:rPr>
                <w:rFonts w:cs="Calibri"/>
                <w:sz w:val="16"/>
                <w:szCs w:val="16"/>
              </w:rPr>
            </w:pPr>
          </w:p>
        </w:tc>
        <w:tc>
          <w:tcPr>
            <w:tcW w:w="428" w:type="dxa"/>
            <w:gridSpan w:val="2"/>
          </w:tcPr>
          <w:p w14:paraId="4AAE7C49" w14:textId="77777777" w:rsidR="002B04EB" w:rsidRPr="003F7F6C" w:rsidRDefault="002B04EB" w:rsidP="00B851B7">
            <w:pPr>
              <w:rPr>
                <w:rFonts w:cs="Calibri"/>
                <w:sz w:val="16"/>
                <w:szCs w:val="16"/>
              </w:rPr>
            </w:pPr>
          </w:p>
        </w:tc>
        <w:tc>
          <w:tcPr>
            <w:tcW w:w="428" w:type="dxa"/>
          </w:tcPr>
          <w:p w14:paraId="22E2EC04" w14:textId="77777777" w:rsidR="002B04EB" w:rsidRPr="003F7F6C" w:rsidRDefault="002B04EB" w:rsidP="00B851B7">
            <w:pPr>
              <w:rPr>
                <w:rFonts w:cs="Calibri"/>
                <w:sz w:val="16"/>
                <w:szCs w:val="16"/>
              </w:rPr>
            </w:pPr>
          </w:p>
        </w:tc>
        <w:tc>
          <w:tcPr>
            <w:tcW w:w="428" w:type="dxa"/>
          </w:tcPr>
          <w:p w14:paraId="768513B7" w14:textId="77777777" w:rsidR="002B04EB" w:rsidRPr="003F7F6C" w:rsidRDefault="002B04EB" w:rsidP="00B851B7">
            <w:pPr>
              <w:rPr>
                <w:rFonts w:cs="Calibri"/>
                <w:sz w:val="16"/>
                <w:szCs w:val="16"/>
              </w:rPr>
            </w:pPr>
          </w:p>
        </w:tc>
        <w:tc>
          <w:tcPr>
            <w:tcW w:w="428" w:type="dxa"/>
          </w:tcPr>
          <w:p w14:paraId="6A525182" w14:textId="77777777" w:rsidR="002B04EB" w:rsidRPr="003F7F6C" w:rsidRDefault="002B04EB" w:rsidP="00B851B7">
            <w:pPr>
              <w:rPr>
                <w:rFonts w:cs="Calibri"/>
                <w:sz w:val="16"/>
                <w:szCs w:val="16"/>
              </w:rPr>
            </w:pPr>
          </w:p>
        </w:tc>
        <w:tc>
          <w:tcPr>
            <w:tcW w:w="428" w:type="dxa"/>
          </w:tcPr>
          <w:p w14:paraId="730DD625" w14:textId="77777777" w:rsidR="002B04EB" w:rsidRPr="003F7F6C" w:rsidRDefault="002B04EB" w:rsidP="00B851B7">
            <w:pPr>
              <w:rPr>
                <w:rFonts w:cs="Calibri"/>
                <w:sz w:val="16"/>
                <w:szCs w:val="16"/>
              </w:rPr>
            </w:pPr>
          </w:p>
        </w:tc>
      </w:tr>
      <w:tr w:rsidR="002B04EB" w:rsidRPr="003F7F6C" w14:paraId="4A9A51F7" w14:textId="77777777" w:rsidTr="00B851B7">
        <w:tc>
          <w:tcPr>
            <w:tcW w:w="1668" w:type="dxa"/>
          </w:tcPr>
          <w:p w14:paraId="654E5411" w14:textId="77777777" w:rsidR="002B04EB" w:rsidRPr="003F7F6C" w:rsidRDefault="002B04EB" w:rsidP="00E91275">
            <w:pPr>
              <w:pStyle w:val="ListParagraph"/>
              <w:numPr>
                <w:ilvl w:val="0"/>
                <w:numId w:val="29"/>
              </w:numPr>
              <w:spacing w:after="0"/>
              <w:ind w:left="166" w:hanging="166"/>
              <w:contextualSpacing w:val="0"/>
              <w:rPr>
                <w:rFonts w:cs="Calibri"/>
                <w:sz w:val="16"/>
                <w:szCs w:val="16"/>
              </w:rPr>
            </w:pPr>
            <w:r w:rsidRPr="003F7F6C">
              <w:rPr>
                <w:rFonts w:cs="Calibri"/>
                <w:sz w:val="16"/>
                <w:szCs w:val="16"/>
              </w:rPr>
              <w:t>Online availability of information</w:t>
            </w:r>
          </w:p>
        </w:tc>
        <w:tc>
          <w:tcPr>
            <w:tcW w:w="1057" w:type="dxa"/>
          </w:tcPr>
          <w:p w14:paraId="08FC0418" w14:textId="77777777" w:rsidR="002B04EB" w:rsidRPr="003F7F6C" w:rsidRDefault="002B04EB" w:rsidP="00B851B7">
            <w:pPr>
              <w:rPr>
                <w:sz w:val="16"/>
                <w:szCs w:val="16"/>
              </w:rPr>
            </w:pPr>
            <w:r w:rsidRPr="003F7F6C">
              <w:rPr>
                <w:rFonts w:cs="Calibri"/>
                <w:sz w:val="16"/>
                <w:szCs w:val="16"/>
              </w:rPr>
              <w:t>SGAyDS</w:t>
            </w:r>
          </w:p>
        </w:tc>
        <w:tc>
          <w:tcPr>
            <w:tcW w:w="428" w:type="dxa"/>
          </w:tcPr>
          <w:p w14:paraId="4735C01F" w14:textId="77777777" w:rsidR="002B04EB" w:rsidRPr="003F7F6C" w:rsidRDefault="002B04EB" w:rsidP="00B851B7">
            <w:pPr>
              <w:rPr>
                <w:rFonts w:cs="Calibri"/>
                <w:sz w:val="16"/>
                <w:szCs w:val="16"/>
              </w:rPr>
            </w:pPr>
          </w:p>
        </w:tc>
        <w:tc>
          <w:tcPr>
            <w:tcW w:w="444" w:type="dxa"/>
          </w:tcPr>
          <w:p w14:paraId="74182FF6" w14:textId="77777777" w:rsidR="002B04EB" w:rsidRPr="003F7F6C" w:rsidRDefault="002B04EB" w:rsidP="00B851B7">
            <w:pPr>
              <w:rPr>
                <w:rFonts w:cs="Calibri"/>
                <w:sz w:val="16"/>
                <w:szCs w:val="16"/>
              </w:rPr>
            </w:pPr>
          </w:p>
        </w:tc>
        <w:tc>
          <w:tcPr>
            <w:tcW w:w="428" w:type="dxa"/>
          </w:tcPr>
          <w:p w14:paraId="5EF4F43D" w14:textId="77777777" w:rsidR="002B04EB" w:rsidRPr="003F7F6C" w:rsidRDefault="002B04EB" w:rsidP="00B851B7">
            <w:pPr>
              <w:rPr>
                <w:rFonts w:cs="Calibri"/>
                <w:sz w:val="16"/>
                <w:szCs w:val="16"/>
              </w:rPr>
            </w:pPr>
          </w:p>
        </w:tc>
        <w:tc>
          <w:tcPr>
            <w:tcW w:w="428" w:type="dxa"/>
            <w:gridSpan w:val="2"/>
          </w:tcPr>
          <w:p w14:paraId="764ABC5F" w14:textId="77777777" w:rsidR="002B04EB" w:rsidRPr="003F7F6C" w:rsidRDefault="002B04EB" w:rsidP="00B851B7">
            <w:pPr>
              <w:rPr>
                <w:rFonts w:cs="Calibri"/>
                <w:sz w:val="16"/>
                <w:szCs w:val="16"/>
              </w:rPr>
            </w:pPr>
          </w:p>
        </w:tc>
        <w:tc>
          <w:tcPr>
            <w:tcW w:w="428" w:type="dxa"/>
          </w:tcPr>
          <w:p w14:paraId="2C297E27" w14:textId="77777777" w:rsidR="002B04EB" w:rsidRPr="003F7F6C" w:rsidRDefault="002B04EB" w:rsidP="00B851B7">
            <w:pPr>
              <w:rPr>
                <w:sz w:val="16"/>
                <w:szCs w:val="16"/>
              </w:rPr>
            </w:pPr>
            <w:r w:rsidRPr="003F7F6C">
              <w:rPr>
                <w:rFonts w:cs="Calibri"/>
                <w:sz w:val="16"/>
                <w:szCs w:val="16"/>
              </w:rPr>
              <w:t>X</w:t>
            </w:r>
          </w:p>
        </w:tc>
        <w:tc>
          <w:tcPr>
            <w:tcW w:w="427" w:type="dxa"/>
          </w:tcPr>
          <w:p w14:paraId="4ED95889" w14:textId="77777777" w:rsidR="002B04EB" w:rsidRPr="003F7F6C" w:rsidRDefault="002B04EB" w:rsidP="00B851B7">
            <w:pPr>
              <w:rPr>
                <w:sz w:val="16"/>
                <w:szCs w:val="16"/>
              </w:rPr>
            </w:pPr>
            <w:r w:rsidRPr="003F7F6C">
              <w:rPr>
                <w:rFonts w:cs="Calibri"/>
                <w:sz w:val="16"/>
                <w:szCs w:val="16"/>
              </w:rPr>
              <w:t>X</w:t>
            </w:r>
          </w:p>
        </w:tc>
        <w:tc>
          <w:tcPr>
            <w:tcW w:w="427" w:type="dxa"/>
          </w:tcPr>
          <w:p w14:paraId="03266CB8" w14:textId="77777777" w:rsidR="002B04EB" w:rsidRPr="003F7F6C" w:rsidRDefault="002B04EB" w:rsidP="00B851B7">
            <w:pPr>
              <w:rPr>
                <w:sz w:val="16"/>
                <w:szCs w:val="16"/>
              </w:rPr>
            </w:pPr>
            <w:r w:rsidRPr="003F7F6C">
              <w:rPr>
                <w:rFonts w:cs="Calibri"/>
                <w:sz w:val="16"/>
                <w:szCs w:val="16"/>
              </w:rPr>
              <w:t>X</w:t>
            </w:r>
          </w:p>
        </w:tc>
        <w:tc>
          <w:tcPr>
            <w:tcW w:w="427" w:type="dxa"/>
            <w:gridSpan w:val="2"/>
          </w:tcPr>
          <w:p w14:paraId="7425865D" w14:textId="77777777" w:rsidR="002B04EB" w:rsidRPr="003F7F6C" w:rsidRDefault="002B04EB" w:rsidP="00B851B7">
            <w:pPr>
              <w:rPr>
                <w:sz w:val="16"/>
                <w:szCs w:val="16"/>
              </w:rPr>
            </w:pPr>
            <w:r w:rsidRPr="003F7F6C">
              <w:rPr>
                <w:rFonts w:cs="Calibri"/>
                <w:sz w:val="16"/>
                <w:szCs w:val="16"/>
              </w:rPr>
              <w:t>X</w:t>
            </w:r>
          </w:p>
        </w:tc>
        <w:tc>
          <w:tcPr>
            <w:tcW w:w="428" w:type="dxa"/>
          </w:tcPr>
          <w:p w14:paraId="5EA08E7A" w14:textId="77777777" w:rsidR="002B04EB" w:rsidRPr="003F7F6C" w:rsidRDefault="002B04EB" w:rsidP="00B851B7">
            <w:pPr>
              <w:rPr>
                <w:sz w:val="16"/>
                <w:szCs w:val="16"/>
              </w:rPr>
            </w:pPr>
            <w:r w:rsidRPr="003F7F6C">
              <w:rPr>
                <w:rFonts w:cs="Calibri"/>
                <w:sz w:val="16"/>
                <w:szCs w:val="16"/>
              </w:rPr>
              <w:t>X</w:t>
            </w:r>
          </w:p>
        </w:tc>
        <w:tc>
          <w:tcPr>
            <w:tcW w:w="428" w:type="dxa"/>
          </w:tcPr>
          <w:p w14:paraId="5086D66E" w14:textId="77777777" w:rsidR="002B04EB" w:rsidRPr="003F7F6C" w:rsidRDefault="002B04EB" w:rsidP="00B851B7">
            <w:pPr>
              <w:rPr>
                <w:sz w:val="16"/>
                <w:szCs w:val="16"/>
              </w:rPr>
            </w:pPr>
            <w:r w:rsidRPr="003F7F6C">
              <w:rPr>
                <w:rFonts w:cs="Calibri"/>
                <w:sz w:val="16"/>
                <w:szCs w:val="16"/>
              </w:rPr>
              <w:t>X</w:t>
            </w:r>
          </w:p>
        </w:tc>
        <w:tc>
          <w:tcPr>
            <w:tcW w:w="428" w:type="dxa"/>
          </w:tcPr>
          <w:p w14:paraId="5FDD1A51"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404785E5" w14:textId="77777777" w:rsidR="002B04EB" w:rsidRPr="003F7F6C" w:rsidRDefault="002B04EB" w:rsidP="00B851B7">
            <w:pPr>
              <w:rPr>
                <w:sz w:val="16"/>
                <w:szCs w:val="16"/>
              </w:rPr>
            </w:pPr>
            <w:r w:rsidRPr="003F7F6C">
              <w:rPr>
                <w:rFonts w:cs="Calibri"/>
                <w:sz w:val="16"/>
                <w:szCs w:val="16"/>
              </w:rPr>
              <w:t>X</w:t>
            </w:r>
          </w:p>
        </w:tc>
        <w:tc>
          <w:tcPr>
            <w:tcW w:w="428" w:type="dxa"/>
          </w:tcPr>
          <w:p w14:paraId="12E86E52" w14:textId="77777777" w:rsidR="002B04EB" w:rsidRPr="003F7F6C" w:rsidRDefault="002B04EB" w:rsidP="00B851B7">
            <w:pPr>
              <w:rPr>
                <w:sz w:val="16"/>
                <w:szCs w:val="16"/>
              </w:rPr>
            </w:pPr>
            <w:r w:rsidRPr="003F7F6C">
              <w:rPr>
                <w:rFonts w:cs="Calibri"/>
                <w:sz w:val="16"/>
                <w:szCs w:val="16"/>
              </w:rPr>
              <w:t>X</w:t>
            </w:r>
          </w:p>
        </w:tc>
        <w:tc>
          <w:tcPr>
            <w:tcW w:w="428" w:type="dxa"/>
          </w:tcPr>
          <w:p w14:paraId="79DD083E" w14:textId="77777777" w:rsidR="002B04EB" w:rsidRPr="003F7F6C" w:rsidRDefault="002B04EB" w:rsidP="00B851B7">
            <w:pPr>
              <w:rPr>
                <w:sz w:val="16"/>
                <w:szCs w:val="16"/>
              </w:rPr>
            </w:pPr>
            <w:r w:rsidRPr="003F7F6C">
              <w:rPr>
                <w:rFonts w:cs="Calibri"/>
                <w:sz w:val="16"/>
                <w:szCs w:val="16"/>
              </w:rPr>
              <w:t>X</w:t>
            </w:r>
          </w:p>
        </w:tc>
        <w:tc>
          <w:tcPr>
            <w:tcW w:w="428" w:type="dxa"/>
          </w:tcPr>
          <w:p w14:paraId="2F92252A"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14A892CE" w14:textId="77777777" w:rsidR="002B04EB" w:rsidRPr="003F7F6C" w:rsidRDefault="002B04EB" w:rsidP="00B851B7">
            <w:pPr>
              <w:rPr>
                <w:sz w:val="16"/>
                <w:szCs w:val="16"/>
              </w:rPr>
            </w:pPr>
            <w:r w:rsidRPr="003F7F6C">
              <w:rPr>
                <w:rFonts w:cs="Calibri"/>
                <w:sz w:val="16"/>
                <w:szCs w:val="16"/>
              </w:rPr>
              <w:t>X</w:t>
            </w:r>
          </w:p>
        </w:tc>
        <w:tc>
          <w:tcPr>
            <w:tcW w:w="428" w:type="dxa"/>
          </w:tcPr>
          <w:p w14:paraId="22149472" w14:textId="77777777" w:rsidR="002B04EB" w:rsidRPr="003F7F6C" w:rsidRDefault="002B04EB" w:rsidP="00B851B7">
            <w:pPr>
              <w:rPr>
                <w:sz w:val="16"/>
                <w:szCs w:val="16"/>
              </w:rPr>
            </w:pPr>
            <w:r w:rsidRPr="003F7F6C">
              <w:rPr>
                <w:rFonts w:cs="Calibri"/>
                <w:sz w:val="16"/>
                <w:szCs w:val="16"/>
              </w:rPr>
              <w:t>X</w:t>
            </w:r>
          </w:p>
        </w:tc>
        <w:tc>
          <w:tcPr>
            <w:tcW w:w="428" w:type="dxa"/>
          </w:tcPr>
          <w:p w14:paraId="0A8FA851" w14:textId="77777777" w:rsidR="002B04EB" w:rsidRPr="003F7F6C" w:rsidRDefault="002B04EB" w:rsidP="00B851B7">
            <w:pPr>
              <w:rPr>
                <w:sz w:val="16"/>
                <w:szCs w:val="16"/>
              </w:rPr>
            </w:pPr>
            <w:r w:rsidRPr="003F7F6C">
              <w:rPr>
                <w:rFonts w:cs="Calibri"/>
                <w:sz w:val="16"/>
                <w:szCs w:val="16"/>
              </w:rPr>
              <w:t>X</w:t>
            </w:r>
          </w:p>
        </w:tc>
        <w:tc>
          <w:tcPr>
            <w:tcW w:w="428" w:type="dxa"/>
          </w:tcPr>
          <w:p w14:paraId="4438E92B"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5655E3DF" w14:textId="77777777" w:rsidR="002B04EB" w:rsidRPr="003F7F6C" w:rsidRDefault="002B04EB" w:rsidP="00B851B7">
            <w:pPr>
              <w:rPr>
                <w:sz w:val="16"/>
                <w:szCs w:val="16"/>
              </w:rPr>
            </w:pPr>
            <w:r w:rsidRPr="003F7F6C">
              <w:rPr>
                <w:rFonts w:cs="Calibri"/>
                <w:sz w:val="16"/>
                <w:szCs w:val="16"/>
              </w:rPr>
              <w:t>X</w:t>
            </w:r>
          </w:p>
        </w:tc>
        <w:tc>
          <w:tcPr>
            <w:tcW w:w="428" w:type="dxa"/>
          </w:tcPr>
          <w:p w14:paraId="3813C644" w14:textId="77777777" w:rsidR="002B04EB" w:rsidRPr="003F7F6C" w:rsidRDefault="002B04EB" w:rsidP="00B851B7">
            <w:pPr>
              <w:rPr>
                <w:sz w:val="16"/>
                <w:szCs w:val="16"/>
              </w:rPr>
            </w:pPr>
            <w:r w:rsidRPr="003F7F6C">
              <w:rPr>
                <w:rFonts w:cs="Calibri"/>
                <w:sz w:val="16"/>
                <w:szCs w:val="16"/>
              </w:rPr>
              <w:t>X</w:t>
            </w:r>
          </w:p>
        </w:tc>
        <w:tc>
          <w:tcPr>
            <w:tcW w:w="428" w:type="dxa"/>
          </w:tcPr>
          <w:p w14:paraId="69A9F9E3" w14:textId="77777777" w:rsidR="002B04EB" w:rsidRPr="003F7F6C" w:rsidRDefault="002B04EB" w:rsidP="00B851B7">
            <w:pPr>
              <w:rPr>
                <w:sz w:val="16"/>
                <w:szCs w:val="16"/>
              </w:rPr>
            </w:pPr>
            <w:r w:rsidRPr="003F7F6C">
              <w:rPr>
                <w:rFonts w:cs="Calibri"/>
                <w:sz w:val="16"/>
                <w:szCs w:val="16"/>
              </w:rPr>
              <w:t>X</w:t>
            </w:r>
          </w:p>
        </w:tc>
        <w:tc>
          <w:tcPr>
            <w:tcW w:w="428" w:type="dxa"/>
          </w:tcPr>
          <w:p w14:paraId="38E47BD7" w14:textId="77777777" w:rsidR="002B04EB" w:rsidRPr="003F7F6C" w:rsidRDefault="002B04EB" w:rsidP="00B851B7">
            <w:pPr>
              <w:rPr>
                <w:sz w:val="16"/>
                <w:szCs w:val="16"/>
              </w:rPr>
            </w:pPr>
            <w:r w:rsidRPr="003F7F6C">
              <w:rPr>
                <w:rFonts w:cs="Calibri"/>
                <w:sz w:val="16"/>
                <w:szCs w:val="16"/>
              </w:rPr>
              <w:t>X</w:t>
            </w:r>
          </w:p>
        </w:tc>
        <w:tc>
          <w:tcPr>
            <w:tcW w:w="428" w:type="dxa"/>
          </w:tcPr>
          <w:p w14:paraId="306FC30B" w14:textId="77777777" w:rsidR="002B04EB" w:rsidRPr="003F7F6C" w:rsidRDefault="002B04EB" w:rsidP="00B851B7">
            <w:pPr>
              <w:rPr>
                <w:sz w:val="16"/>
                <w:szCs w:val="16"/>
              </w:rPr>
            </w:pPr>
            <w:r w:rsidRPr="003F7F6C">
              <w:rPr>
                <w:rFonts w:cs="Calibri"/>
                <w:sz w:val="16"/>
                <w:szCs w:val="16"/>
              </w:rPr>
              <w:t>X</w:t>
            </w:r>
          </w:p>
        </w:tc>
      </w:tr>
      <w:tr w:rsidR="002B04EB" w:rsidRPr="003F7F6C" w14:paraId="2CCA98DA" w14:textId="77777777" w:rsidTr="00B851B7">
        <w:tc>
          <w:tcPr>
            <w:tcW w:w="1668" w:type="dxa"/>
          </w:tcPr>
          <w:p w14:paraId="1D4749D3" w14:textId="77777777" w:rsidR="002B04EB" w:rsidRPr="003F7F6C" w:rsidRDefault="002B04EB" w:rsidP="00B851B7">
            <w:pPr>
              <w:rPr>
                <w:rFonts w:cs="Calibri"/>
                <w:sz w:val="16"/>
                <w:szCs w:val="16"/>
              </w:rPr>
            </w:pPr>
            <w:r w:rsidRPr="003F7F6C">
              <w:rPr>
                <w:rFonts w:cs="Calibri"/>
                <w:sz w:val="16"/>
                <w:szCs w:val="16"/>
              </w:rPr>
              <w:t>1.1.2 Define/ update indicators for ELUP</w:t>
            </w:r>
          </w:p>
        </w:tc>
        <w:tc>
          <w:tcPr>
            <w:tcW w:w="1057" w:type="dxa"/>
          </w:tcPr>
          <w:p w14:paraId="52E7D601" w14:textId="77777777" w:rsidR="002B04EB" w:rsidRPr="003F7F6C" w:rsidRDefault="002B04EB" w:rsidP="00B851B7">
            <w:pPr>
              <w:rPr>
                <w:rFonts w:cs="Calibri"/>
                <w:sz w:val="16"/>
                <w:szCs w:val="16"/>
              </w:rPr>
            </w:pPr>
            <w:r w:rsidRPr="003F7F6C">
              <w:rPr>
                <w:rFonts w:cs="Calibri"/>
                <w:sz w:val="16"/>
                <w:szCs w:val="16"/>
              </w:rPr>
              <w:t xml:space="preserve">SGAyDS </w:t>
            </w:r>
          </w:p>
          <w:p w14:paraId="2309C09A" w14:textId="77777777" w:rsidR="002B04EB" w:rsidRPr="003F7F6C" w:rsidRDefault="002B04EB" w:rsidP="00B851B7">
            <w:pPr>
              <w:rPr>
                <w:rFonts w:cs="Calibri"/>
                <w:sz w:val="16"/>
                <w:szCs w:val="16"/>
              </w:rPr>
            </w:pPr>
            <w:r w:rsidRPr="003F7F6C">
              <w:rPr>
                <w:rFonts w:cs="Calibri"/>
                <w:sz w:val="16"/>
                <w:szCs w:val="16"/>
              </w:rPr>
              <w:t>Provinces</w:t>
            </w:r>
          </w:p>
          <w:p w14:paraId="482E9E6D" w14:textId="77777777" w:rsidR="002B04EB" w:rsidRPr="003F7F6C" w:rsidRDefault="002B04EB" w:rsidP="00B851B7">
            <w:pPr>
              <w:rPr>
                <w:rFonts w:cs="Calibri"/>
                <w:sz w:val="16"/>
                <w:szCs w:val="16"/>
              </w:rPr>
            </w:pPr>
            <w:r w:rsidRPr="003F7F6C">
              <w:rPr>
                <w:rFonts w:cs="Calibri"/>
                <w:sz w:val="16"/>
                <w:szCs w:val="16"/>
              </w:rPr>
              <w:t>INTA</w:t>
            </w:r>
          </w:p>
        </w:tc>
        <w:tc>
          <w:tcPr>
            <w:tcW w:w="428" w:type="dxa"/>
          </w:tcPr>
          <w:p w14:paraId="3F808434" w14:textId="77777777" w:rsidR="002B04EB" w:rsidRPr="003F7F6C" w:rsidRDefault="002B04EB" w:rsidP="00B851B7">
            <w:pPr>
              <w:rPr>
                <w:rFonts w:cs="Calibri"/>
                <w:sz w:val="16"/>
                <w:szCs w:val="16"/>
              </w:rPr>
            </w:pPr>
          </w:p>
        </w:tc>
        <w:tc>
          <w:tcPr>
            <w:tcW w:w="444" w:type="dxa"/>
          </w:tcPr>
          <w:p w14:paraId="405C991B" w14:textId="77777777" w:rsidR="002B04EB" w:rsidRPr="003F7F6C" w:rsidRDefault="002B04EB" w:rsidP="00B851B7">
            <w:pPr>
              <w:rPr>
                <w:sz w:val="16"/>
                <w:szCs w:val="16"/>
              </w:rPr>
            </w:pPr>
            <w:r w:rsidRPr="003F7F6C">
              <w:rPr>
                <w:rFonts w:cs="Calibri"/>
                <w:sz w:val="16"/>
                <w:szCs w:val="16"/>
              </w:rPr>
              <w:t>X</w:t>
            </w:r>
          </w:p>
        </w:tc>
        <w:tc>
          <w:tcPr>
            <w:tcW w:w="428" w:type="dxa"/>
          </w:tcPr>
          <w:p w14:paraId="3B6A6EF6" w14:textId="77777777" w:rsidR="002B04EB" w:rsidRPr="003F7F6C" w:rsidRDefault="002B04EB" w:rsidP="00B851B7">
            <w:pPr>
              <w:rPr>
                <w:rFonts w:cs="Calibri"/>
                <w:sz w:val="16"/>
                <w:szCs w:val="16"/>
              </w:rPr>
            </w:pPr>
            <w:r w:rsidRPr="003F7F6C">
              <w:rPr>
                <w:rFonts w:cs="Calibri"/>
                <w:sz w:val="16"/>
                <w:szCs w:val="16"/>
              </w:rPr>
              <w:t>X</w:t>
            </w:r>
          </w:p>
        </w:tc>
        <w:tc>
          <w:tcPr>
            <w:tcW w:w="428" w:type="dxa"/>
            <w:gridSpan w:val="2"/>
          </w:tcPr>
          <w:p w14:paraId="7D2F9826" w14:textId="77777777" w:rsidR="002B04EB" w:rsidRPr="003F7F6C" w:rsidRDefault="002B04EB" w:rsidP="00B851B7">
            <w:pPr>
              <w:rPr>
                <w:sz w:val="16"/>
                <w:szCs w:val="16"/>
              </w:rPr>
            </w:pPr>
            <w:r w:rsidRPr="003F7F6C">
              <w:rPr>
                <w:rFonts w:cs="Calibri"/>
                <w:sz w:val="16"/>
                <w:szCs w:val="16"/>
              </w:rPr>
              <w:t>X</w:t>
            </w:r>
          </w:p>
        </w:tc>
        <w:tc>
          <w:tcPr>
            <w:tcW w:w="428" w:type="dxa"/>
          </w:tcPr>
          <w:p w14:paraId="25ECE045" w14:textId="77777777" w:rsidR="002B04EB" w:rsidRPr="003F7F6C" w:rsidRDefault="002B04EB" w:rsidP="00B851B7">
            <w:pPr>
              <w:rPr>
                <w:sz w:val="16"/>
                <w:szCs w:val="16"/>
              </w:rPr>
            </w:pPr>
            <w:r w:rsidRPr="003F7F6C">
              <w:rPr>
                <w:rFonts w:cs="Calibri"/>
                <w:sz w:val="16"/>
                <w:szCs w:val="16"/>
              </w:rPr>
              <w:t>X</w:t>
            </w:r>
          </w:p>
        </w:tc>
        <w:tc>
          <w:tcPr>
            <w:tcW w:w="427" w:type="dxa"/>
          </w:tcPr>
          <w:p w14:paraId="0B64714A" w14:textId="77777777" w:rsidR="002B04EB" w:rsidRPr="003F7F6C" w:rsidRDefault="002B04EB" w:rsidP="00B851B7">
            <w:pPr>
              <w:rPr>
                <w:sz w:val="16"/>
                <w:szCs w:val="16"/>
              </w:rPr>
            </w:pPr>
            <w:r w:rsidRPr="003F7F6C">
              <w:rPr>
                <w:rFonts w:cs="Calibri"/>
                <w:sz w:val="16"/>
                <w:szCs w:val="16"/>
              </w:rPr>
              <w:t>X</w:t>
            </w:r>
          </w:p>
        </w:tc>
        <w:tc>
          <w:tcPr>
            <w:tcW w:w="427" w:type="dxa"/>
          </w:tcPr>
          <w:p w14:paraId="275ADC88" w14:textId="77777777" w:rsidR="002B04EB" w:rsidRPr="003F7F6C" w:rsidRDefault="002B04EB" w:rsidP="00B851B7">
            <w:pPr>
              <w:rPr>
                <w:sz w:val="16"/>
                <w:szCs w:val="16"/>
              </w:rPr>
            </w:pPr>
            <w:r w:rsidRPr="003F7F6C">
              <w:rPr>
                <w:rFonts w:cs="Calibri"/>
                <w:sz w:val="16"/>
                <w:szCs w:val="16"/>
              </w:rPr>
              <w:t>X</w:t>
            </w:r>
          </w:p>
        </w:tc>
        <w:tc>
          <w:tcPr>
            <w:tcW w:w="427" w:type="dxa"/>
            <w:gridSpan w:val="2"/>
          </w:tcPr>
          <w:p w14:paraId="63CB0D2B" w14:textId="77777777" w:rsidR="002B04EB" w:rsidRPr="003F7F6C" w:rsidRDefault="002B04EB" w:rsidP="00B851B7">
            <w:pPr>
              <w:rPr>
                <w:sz w:val="16"/>
                <w:szCs w:val="16"/>
              </w:rPr>
            </w:pPr>
            <w:r w:rsidRPr="003F7F6C">
              <w:rPr>
                <w:rFonts w:cs="Calibri"/>
                <w:sz w:val="16"/>
                <w:szCs w:val="16"/>
              </w:rPr>
              <w:t>X</w:t>
            </w:r>
          </w:p>
        </w:tc>
        <w:tc>
          <w:tcPr>
            <w:tcW w:w="428" w:type="dxa"/>
          </w:tcPr>
          <w:p w14:paraId="7FC51A8F" w14:textId="77777777" w:rsidR="002B04EB" w:rsidRPr="003F7F6C" w:rsidRDefault="002B04EB" w:rsidP="00B851B7">
            <w:pPr>
              <w:rPr>
                <w:sz w:val="16"/>
                <w:szCs w:val="16"/>
              </w:rPr>
            </w:pPr>
          </w:p>
        </w:tc>
        <w:tc>
          <w:tcPr>
            <w:tcW w:w="428" w:type="dxa"/>
          </w:tcPr>
          <w:p w14:paraId="4798EE63" w14:textId="77777777" w:rsidR="002B04EB" w:rsidRPr="003F7F6C" w:rsidRDefault="002B04EB" w:rsidP="00B851B7">
            <w:pPr>
              <w:rPr>
                <w:sz w:val="16"/>
                <w:szCs w:val="16"/>
              </w:rPr>
            </w:pPr>
          </w:p>
        </w:tc>
        <w:tc>
          <w:tcPr>
            <w:tcW w:w="428" w:type="dxa"/>
          </w:tcPr>
          <w:p w14:paraId="50FE3158" w14:textId="77777777" w:rsidR="002B04EB" w:rsidRPr="003F7F6C" w:rsidRDefault="002B04EB" w:rsidP="00B851B7">
            <w:pPr>
              <w:rPr>
                <w:sz w:val="16"/>
                <w:szCs w:val="16"/>
              </w:rPr>
            </w:pPr>
          </w:p>
        </w:tc>
        <w:tc>
          <w:tcPr>
            <w:tcW w:w="428" w:type="dxa"/>
            <w:gridSpan w:val="2"/>
          </w:tcPr>
          <w:p w14:paraId="42B7CD97" w14:textId="77777777" w:rsidR="002B04EB" w:rsidRPr="003F7F6C" w:rsidRDefault="002B04EB" w:rsidP="00B851B7">
            <w:pPr>
              <w:rPr>
                <w:sz w:val="16"/>
                <w:szCs w:val="16"/>
              </w:rPr>
            </w:pPr>
          </w:p>
        </w:tc>
        <w:tc>
          <w:tcPr>
            <w:tcW w:w="428" w:type="dxa"/>
          </w:tcPr>
          <w:p w14:paraId="205704C8" w14:textId="77777777" w:rsidR="002B04EB" w:rsidRPr="003F7F6C" w:rsidRDefault="002B04EB" w:rsidP="00B851B7">
            <w:pPr>
              <w:rPr>
                <w:sz w:val="16"/>
                <w:szCs w:val="16"/>
              </w:rPr>
            </w:pPr>
          </w:p>
        </w:tc>
        <w:tc>
          <w:tcPr>
            <w:tcW w:w="428" w:type="dxa"/>
          </w:tcPr>
          <w:p w14:paraId="455F27D9" w14:textId="77777777" w:rsidR="002B04EB" w:rsidRPr="003F7F6C" w:rsidRDefault="002B04EB" w:rsidP="00B851B7">
            <w:pPr>
              <w:rPr>
                <w:sz w:val="16"/>
                <w:szCs w:val="16"/>
              </w:rPr>
            </w:pPr>
          </w:p>
        </w:tc>
        <w:tc>
          <w:tcPr>
            <w:tcW w:w="428" w:type="dxa"/>
          </w:tcPr>
          <w:p w14:paraId="6E889CB3" w14:textId="77777777" w:rsidR="002B04EB" w:rsidRPr="003F7F6C" w:rsidRDefault="002B04EB" w:rsidP="00B851B7">
            <w:pPr>
              <w:rPr>
                <w:sz w:val="16"/>
                <w:szCs w:val="16"/>
              </w:rPr>
            </w:pPr>
          </w:p>
        </w:tc>
        <w:tc>
          <w:tcPr>
            <w:tcW w:w="428" w:type="dxa"/>
            <w:gridSpan w:val="2"/>
          </w:tcPr>
          <w:p w14:paraId="09F07C50" w14:textId="77777777" w:rsidR="002B04EB" w:rsidRPr="003F7F6C" w:rsidRDefault="002B04EB" w:rsidP="00B851B7">
            <w:pPr>
              <w:rPr>
                <w:sz w:val="16"/>
                <w:szCs w:val="16"/>
              </w:rPr>
            </w:pPr>
          </w:p>
        </w:tc>
        <w:tc>
          <w:tcPr>
            <w:tcW w:w="428" w:type="dxa"/>
          </w:tcPr>
          <w:p w14:paraId="69DDB126" w14:textId="77777777" w:rsidR="002B04EB" w:rsidRPr="003F7F6C" w:rsidRDefault="002B04EB" w:rsidP="00B851B7">
            <w:pPr>
              <w:rPr>
                <w:sz w:val="16"/>
                <w:szCs w:val="16"/>
              </w:rPr>
            </w:pPr>
          </w:p>
        </w:tc>
        <w:tc>
          <w:tcPr>
            <w:tcW w:w="428" w:type="dxa"/>
          </w:tcPr>
          <w:p w14:paraId="78E1DF76" w14:textId="77777777" w:rsidR="002B04EB" w:rsidRPr="003F7F6C" w:rsidRDefault="002B04EB" w:rsidP="00B851B7">
            <w:pPr>
              <w:rPr>
                <w:sz w:val="16"/>
                <w:szCs w:val="16"/>
              </w:rPr>
            </w:pPr>
          </w:p>
        </w:tc>
        <w:tc>
          <w:tcPr>
            <w:tcW w:w="428" w:type="dxa"/>
          </w:tcPr>
          <w:p w14:paraId="0C4697D9" w14:textId="77777777" w:rsidR="002B04EB" w:rsidRPr="003F7F6C" w:rsidRDefault="002B04EB" w:rsidP="00B851B7">
            <w:pPr>
              <w:rPr>
                <w:sz w:val="16"/>
                <w:szCs w:val="16"/>
              </w:rPr>
            </w:pPr>
          </w:p>
        </w:tc>
        <w:tc>
          <w:tcPr>
            <w:tcW w:w="428" w:type="dxa"/>
            <w:gridSpan w:val="2"/>
          </w:tcPr>
          <w:p w14:paraId="0B3C1B8E" w14:textId="77777777" w:rsidR="002B04EB" w:rsidRPr="003F7F6C" w:rsidRDefault="002B04EB" w:rsidP="00B851B7">
            <w:pPr>
              <w:rPr>
                <w:sz w:val="16"/>
                <w:szCs w:val="16"/>
              </w:rPr>
            </w:pPr>
          </w:p>
        </w:tc>
        <w:tc>
          <w:tcPr>
            <w:tcW w:w="428" w:type="dxa"/>
          </w:tcPr>
          <w:p w14:paraId="1BF9C126" w14:textId="77777777" w:rsidR="002B04EB" w:rsidRPr="003F7F6C" w:rsidRDefault="002B04EB" w:rsidP="00B851B7">
            <w:pPr>
              <w:rPr>
                <w:sz w:val="16"/>
                <w:szCs w:val="16"/>
              </w:rPr>
            </w:pPr>
          </w:p>
        </w:tc>
        <w:tc>
          <w:tcPr>
            <w:tcW w:w="428" w:type="dxa"/>
          </w:tcPr>
          <w:p w14:paraId="577388DF" w14:textId="77777777" w:rsidR="002B04EB" w:rsidRPr="003F7F6C" w:rsidRDefault="002B04EB" w:rsidP="00B851B7">
            <w:pPr>
              <w:rPr>
                <w:sz w:val="16"/>
                <w:szCs w:val="16"/>
              </w:rPr>
            </w:pPr>
          </w:p>
        </w:tc>
        <w:tc>
          <w:tcPr>
            <w:tcW w:w="428" w:type="dxa"/>
          </w:tcPr>
          <w:p w14:paraId="0656CA74" w14:textId="77777777" w:rsidR="002B04EB" w:rsidRPr="003F7F6C" w:rsidRDefault="002B04EB" w:rsidP="00B851B7">
            <w:pPr>
              <w:rPr>
                <w:sz w:val="16"/>
                <w:szCs w:val="16"/>
              </w:rPr>
            </w:pPr>
          </w:p>
        </w:tc>
        <w:tc>
          <w:tcPr>
            <w:tcW w:w="428" w:type="dxa"/>
          </w:tcPr>
          <w:p w14:paraId="4AA165C8" w14:textId="77777777" w:rsidR="002B04EB" w:rsidRPr="003F7F6C" w:rsidRDefault="002B04EB" w:rsidP="00B851B7">
            <w:pPr>
              <w:rPr>
                <w:sz w:val="16"/>
                <w:szCs w:val="16"/>
              </w:rPr>
            </w:pPr>
          </w:p>
        </w:tc>
      </w:tr>
      <w:tr w:rsidR="002B04EB" w:rsidRPr="003F7F6C" w14:paraId="3ACB0349" w14:textId="77777777" w:rsidTr="00B851B7">
        <w:tc>
          <w:tcPr>
            <w:tcW w:w="1668" w:type="dxa"/>
          </w:tcPr>
          <w:p w14:paraId="7356ABF3" w14:textId="77777777" w:rsidR="002B04EB" w:rsidRPr="003F7F6C" w:rsidRDefault="002B04EB" w:rsidP="00B851B7">
            <w:pPr>
              <w:rPr>
                <w:rFonts w:cs="Calibri"/>
                <w:sz w:val="16"/>
                <w:szCs w:val="16"/>
              </w:rPr>
            </w:pPr>
            <w:r w:rsidRPr="003F7F6C">
              <w:rPr>
                <w:rFonts w:cs="Calibri"/>
                <w:sz w:val="16"/>
                <w:szCs w:val="16"/>
              </w:rPr>
              <w:t>1.1.3 Participate in the IDERA Initiative for inter-institutional and inter-jurisdictional coordination</w:t>
            </w:r>
          </w:p>
        </w:tc>
        <w:tc>
          <w:tcPr>
            <w:tcW w:w="1057" w:type="dxa"/>
          </w:tcPr>
          <w:p w14:paraId="5F0F716D" w14:textId="77777777" w:rsidR="002B04EB" w:rsidRPr="003F7F6C" w:rsidRDefault="002B04EB" w:rsidP="00B851B7">
            <w:pPr>
              <w:rPr>
                <w:rFonts w:cs="Calibri"/>
                <w:sz w:val="16"/>
                <w:szCs w:val="16"/>
              </w:rPr>
            </w:pPr>
            <w:r w:rsidRPr="003F7F6C">
              <w:rPr>
                <w:rFonts w:cs="Calibri"/>
                <w:sz w:val="16"/>
                <w:szCs w:val="16"/>
              </w:rPr>
              <w:t>SGAyDS</w:t>
            </w:r>
          </w:p>
        </w:tc>
        <w:tc>
          <w:tcPr>
            <w:tcW w:w="428" w:type="dxa"/>
          </w:tcPr>
          <w:p w14:paraId="6E7F4F04" w14:textId="77777777" w:rsidR="002B04EB" w:rsidRPr="003F7F6C" w:rsidRDefault="002B04EB" w:rsidP="00B851B7">
            <w:pPr>
              <w:rPr>
                <w:rFonts w:cs="Calibri"/>
                <w:sz w:val="16"/>
                <w:szCs w:val="16"/>
              </w:rPr>
            </w:pPr>
          </w:p>
        </w:tc>
        <w:tc>
          <w:tcPr>
            <w:tcW w:w="444" w:type="dxa"/>
          </w:tcPr>
          <w:p w14:paraId="2507464A" w14:textId="77777777" w:rsidR="002B04EB" w:rsidRPr="003F7F6C" w:rsidRDefault="002B04EB" w:rsidP="00B851B7">
            <w:pPr>
              <w:rPr>
                <w:rFonts w:cs="Calibri"/>
                <w:sz w:val="16"/>
                <w:szCs w:val="16"/>
              </w:rPr>
            </w:pPr>
          </w:p>
        </w:tc>
        <w:tc>
          <w:tcPr>
            <w:tcW w:w="428" w:type="dxa"/>
          </w:tcPr>
          <w:p w14:paraId="232045D9" w14:textId="77777777" w:rsidR="002B04EB" w:rsidRPr="003F7F6C" w:rsidRDefault="002B04EB" w:rsidP="00B851B7">
            <w:pPr>
              <w:rPr>
                <w:rFonts w:cs="Calibri"/>
                <w:sz w:val="16"/>
                <w:szCs w:val="16"/>
              </w:rPr>
            </w:pPr>
          </w:p>
        </w:tc>
        <w:tc>
          <w:tcPr>
            <w:tcW w:w="428" w:type="dxa"/>
            <w:gridSpan w:val="2"/>
          </w:tcPr>
          <w:p w14:paraId="28245BD1" w14:textId="77777777" w:rsidR="002B04EB" w:rsidRPr="003F7F6C" w:rsidRDefault="002B04EB" w:rsidP="00B851B7">
            <w:pPr>
              <w:rPr>
                <w:rFonts w:cs="Calibri"/>
                <w:sz w:val="16"/>
                <w:szCs w:val="16"/>
              </w:rPr>
            </w:pPr>
          </w:p>
        </w:tc>
        <w:tc>
          <w:tcPr>
            <w:tcW w:w="428" w:type="dxa"/>
          </w:tcPr>
          <w:p w14:paraId="15E32D6E" w14:textId="77777777" w:rsidR="002B04EB" w:rsidRPr="003F7F6C" w:rsidRDefault="002B04EB" w:rsidP="00B851B7">
            <w:pPr>
              <w:rPr>
                <w:sz w:val="16"/>
                <w:szCs w:val="16"/>
              </w:rPr>
            </w:pPr>
            <w:r w:rsidRPr="003F7F6C">
              <w:rPr>
                <w:rFonts w:cs="Calibri"/>
                <w:sz w:val="16"/>
                <w:szCs w:val="16"/>
              </w:rPr>
              <w:t>X</w:t>
            </w:r>
          </w:p>
        </w:tc>
        <w:tc>
          <w:tcPr>
            <w:tcW w:w="427" w:type="dxa"/>
          </w:tcPr>
          <w:p w14:paraId="475299E5" w14:textId="77777777" w:rsidR="002B04EB" w:rsidRPr="003F7F6C" w:rsidRDefault="002B04EB" w:rsidP="00B851B7">
            <w:pPr>
              <w:rPr>
                <w:sz w:val="16"/>
                <w:szCs w:val="16"/>
              </w:rPr>
            </w:pPr>
            <w:r w:rsidRPr="003F7F6C">
              <w:rPr>
                <w:rFonts w:cs="Calibri"/>
                <w:sz w:val="16"/>
                <w:szCs w:val="16"/>
              </w:rPr>
              <w:t>X</w:t>
            </w:r>
          </w:p>
        </w:tc>
        <w:tc>
          <w:tcPr>
            <w:tcW w:w="427" w:type="dxa"/>
          </w:tcPr>
          <w:p w14:paraId="46E6C43A" w14:textId="77777777" w:rsidR="002B04EB" w:rsidRPr="003F7F6C" w:rsidRDefault="002B04EB" w:rsidP="00B851B7">
            <w:pPr>
              <w:rPr>
                <w:sz w:val="16"/>
                <w:szCs w:val="16"/>
              </w:rPr>
            </w:pPr>
            <w:r w:rsidRPr="003F7F6C">
              <w:rPr>
                <w:rFonts w:cs="Calibri"/>
                <w:sz w:val="16"/>
                <w:szCs w:val="16"/>
              </w:rPr>
              <w:t>X</w:t>
            </w:r>
          </w:p>
        </w:tc>
        <w:tc>
          <w:tcPr>
            <w:tcW w:w="427" w:type="dxa"/>
            <w:gridSpan w:val="2"/>
          </w:tcPr>
          <w:p w14:paraId="1E02BD57" w14:textId="77777777" w:rsidR="002B04EB" w:rsidRPr="003F7F6C" w:rsidRDefault="002B04EB" w:rsidP="00B851B7">
            <w:pPr>
              <w:rPr>
                <w:sz w:val="16"/>
                <w:szCs w:val="16"/>
              </w:rPr>
            </w:pPr>
            <w:r w:rsidRPr="003F7F6C">
              <w:rPr>
                <w:rFonts w:cs="Calibri"/>
                <w:sz w:val="16"/>
                <w:szCs w:val="16"/>
              </w:rPr>
              <w:t>X</w:t>
            </w:r>
          </w:p>
        </w:tc>
        <w:tc>
          <w:tcPr>
            <w:tcW w:w="428" w:type="dxa"/>
          </w:tcPr>
          <w:p w14:paraId="6A266508" w14:textId="77777777" w:rsidR="002B04EB" w:rsidRPr="003F7F6C" w:rsidRDefault="002B04EB" w:rsidP="00B851B7">
            <w:pPr>
              <w:rPr>
                <w:sz w:val="16"/>
                <w:szCs w:val="16"/>
              </w:rPr>
            </w:pPr>
            <w:r w:rsidRPr="003F7F6C">
              <w:rPr>
                <w:rFonts w:cs="Calibri"/>
                <w:sz w:val="16"/>
                <w:szCs w:val="16"/>
              </w:rPr>
              <w:t>X</w:t>
            </w:r>
          </w:p>
        </w:tc>
        <w:tc>
          <w:tcPr>
            <w:tcW w:w="428" w:type="dxa"/>
          </w:tcPr>
          <w:p w14:paraId="5DFEC71C" w14:textId="77777777" w:rsidR="002B04EB" w:rsidRPr="003F7F6C" w:rsidRDefault="002B04EB" w:rsidP="00B851B7">
            <w:pPr>
              <w:rPr>
                <w:sz w:val="16"/>
                <w:szCs w:val="16"/>
              </w:rPr>
            </w:pPr>
            <w:r w:rsidRPr="003F7F6C">
              <w:rPr>
                <w:rFonts w:cs="Calibri"/>
                <w:sz w:val="16"/>
                <w:szCs w:val="16"/>
              </w:rPr>
              <w:t>X</w:t>
            </w:r>
          </w:p>
        </w:tc>
        <w:tc>
          <w:tcPr>
            <w:tcW w:w="428" w:type="dxa"/>
          </w:tcPr>
          <w:p w14:paraId="122969E5"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59D03F2C" w14:textId="77777777" w:rsidR="002B04EB" w:rsidRPr="003F7F6C" w:rsidRDefault="002B04EB" w:rsidP="00B851B7">
            <w:pPr>
              <w:rPr>
                <w:sz w:val="16"/>
                <w:szCs w:val="16"/>
              </w:rPr>
            </w:pPr>
            <w:r w:rsidRPr="003F7F6C">
              <w:rPr>
                <w:rFonts w:cs="Calibri"/>
                <w:sz w:val="16"/>
                <w:szCs w:val="16"/>
              </w:rPr>
              <w:t>X</w:t>
            </w:r>
          </w:p>
        </w:tc>
        <w:tc>
          <w:tcPr>
            <w:tcW w:w="428" w:type="dxa"/>
          </w:tcPr>
          <w:p w14:paraId="251451AE" w14:textId="77777777" w:rsidR="002B04EB" w:rsidRPr="003F7F6C" w:rsidRDefault="002B04EB" w:rsidP="00B851B7">
            <w:pPr>
              <w:rPr>
                <w:sz w:val="16"/>
                <w:szCs w:val="16"/>
              </w:rPr>
            </w:pPr>
            <w:r w:rsidRPr="003F7F6C">
              <w:rPr>
                <w:rFonts w:cs="Calibri"/>
                <w:sz w:val="16"/>
                <w:szCs w:val="16"/>
              </w:rPr>
              <w:t>X</w:t>
            </w:r>
          </w:p>
        </w:tc>
        <w:tc>
          <w:tcPr>
            <w:tcW w:w="428" w:type="dxa"/>
          </w:tcPr>
          <w:p w14:paraId="178E39C2" w14:textId="77777777" w:rsidR="002B04EB" w:rsidRPr="003F7F6C" w:rsidRDefault="002B04EB" w:rsidP="00B851B7">
            <w:pPr>
              <w:rPr>
                <w:sz w:val="16"/>
                <w:szCs w:val="16"/>
              </w:rPr>
            </w:pPr>
            <w:r w:rsidRPr="003F7F6C">
              <w:rPr>
                <w:rFonts w:cs="Calibri"/>
                <w:sz w:val="16"/>
                <w:szCs w:val="16"/>
              </w:rPr>
              <w:t>X</w:t>
            </w:r>
          </w:p>
        </w:tc>
        <w:tc>
          <w:tcPr>
            <w:tcW w:w="428" w:type="dxa"/>
          </w:tcPr>
          <w:p w14:paraId="464A8E22"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353B9335" w14:textId="77777777" w:rsidR="002B04EB" w:rsidRPr="003F7F6C" w:rsidRDefault="002B04EB" w:rsidP="00B851B7">
            <w:pPr>
              <w:rPr>
                <w:sz w:val="16"/>
                <w:szCs w:val="16"/>
              </w:rPr>
            </w:pPr>
            <w:r w:rsidRPr="003F7F6C">
              <w:rPr>
                <w:rFonts w:cs="Calibri"/>
                <w:sz w:val="16"/>
                <w:szCs w:val="16"/>
              </w:rPr>
              <w:t>X</w:t>
            </w:r>
          </w:p>
        </w:tc>
        <w:tc>
          <w:tcPr>
            <w:tcW w:w="428" w:type="dxa"/>
          </w:tcPr>
          <w:p w14:paraId="498B1E76" w14:textId="77777777" w:rsidR="002B04EB" w:rsidRPr="003F7F6C" w:rsidRDefault="002B04EB" w:rsidP="00B851B7">
            <w:pPr>
              <w:rPr>
                <w:sz w:val="16"/>
                <w:szCs w:val="16"/>
              </w:rPr>
            </w:pPr>
            <w:r w:rsidRPr="003F7F6C">
              <w:rPr>
                <w:rFonts w:cs="Calibri"/>
                <w:sz w:val="16"/>
                <w:szCs w:val="16"/>
              </w:rPr>
              <w:t>X</w:t>
            </w:r>
          </w:p>
        </w:tc>
        <w:tc>
          <w:tcPr>
            <w:tcW w:w="428" w:type="dxa"/>
          </w:tcPr>
          <w:p w14:paraId="791C7645" w14:textId="77777777" w:rsidR="002B04EB" w:rsidRPr="003F7F6C" w:rsidRDefault="002B04EB" w:rsidP="00B851B7">
            <w:pPr>
              <w:rPr>
                <w:sz w:val="16"/>
                <w:szCs w:val="16"/>
              </w:rPr>
            </w:pPr>
            <w:r w:rsidRPr="003F7F6C">
              <w:rPr>
                <w:rFonts w:cs="Calibri"/>
                <w:sz w:val="16"/>
                <w:szCs w:val="16"/>
              </w:rPr>
              <w:t>X</w:t>
            </w:r>
          </w:p>
        </w:tc>
        <w:tc>
          <w:tcPr>
            <w:tcW w:w="428" w:type="dxa"/>
          </w:tcPr>
          <w:p w14:paraId="53F23A5D"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0EB5E106" w14:textId="77777777" w:rsidR="002B04EB" w:rsidRPr="003F7F6C" w:rsidRDefault="002B04EB" w:rsidP="00B851B7">
            <w:pPr>
              <w:rPr>
                <w:sz w:val="16"/>
                <w:szCs w:val="16"/>
              </w:rPr>
            </w:pPr>
            <w:r w:rsidRPr="003F7F6C">
              <w:rPr>
                <w:rFonts w:cs="Calibri"/>
                <w:sz w:val="16"/>
                <w:szCs w:val="16"/>
              </w:rPr>
              <w:t>X</w:t>
            </w:r>
          </w:p>
        </w:tc>
        <w:tc>
          <w:tcPr>
            <w:tcW w:w="428" w:type="dxa"/>
          </w:tcPr>
          <w:p w14:paraId="7286517C" w14:textId="77777777" w:rsidR="002B04EB" w:rsidRPr="003F7F6C" w:rsidRDefault="002B04EB" w:rsidP="00B851B7">
            <w:pPr>
              <w:rPr>
                <w:sz w:val="16"/>
                <w:szCs w:val="16"/>
              </w:rPr>
            </w:pPr>
            <w:r w:rsidRPr="003F7F6C">
              <w:rPr>
                <w:rFonts w:cs="Calibri"/>
                <w:sz w:val="16"/>
                <w:szCs w:val="16"/>
              </w:rPr>
              <w:t>X</w:t>
            </w:r>
          </w:p>
        </w:tc>
        <w:tc>
          <w:tcPr>
            <w:tcW w:w="428" w:type="dxa"/>
          </w:tcPr>
          <w:p w14:paraId="25F0E5A1" w14:textId="77777777" w:rsidR="002B04EB" w:rsidRPr="003F7F6C" w:rsidRDefault="002B04EB" w:rsidP="00B851B7">
            <w:pPr>
              <w:rPr>
                <w:sz w:val="16"/>
                <w:szCs w:val="16"/>
              </w:rPr>
            </w:pPr>
            <w:r w:rsidRPr="003F7F6C">
              <w:rPr>
                <w:rFonts w:cs="Calibri"/>
                <w:sz w:val="16"/>
                <w:szCs w:val="16"/>
              </w:rPr>
              <w:t>X</w:t>
            </w:r>
          </w:p>
        </w:tc>
        <w:tc>
          <w:tcPr>
            <w:tcW w:w="428" w:type="dxa"/>
          </w:tcPr>
          <w:p w14:paraId="25A61467" w14:textId="77777777" w:rsidR="002B04EB" w:rsidRPr="003F7F6C" w:rsidRDefault="002B04EB" w:rsidP="00B851B7">
            <w:pPr>
              <w:rPr>
                <w:sz w:val="16"/>
                <w:szCs w:val="16"/>
              </w:rPr>
            </w:pPr>
            <w:r w:rsidRPr="003F7F6C">
              <w:rPr>
                <w:rFonts w:cs="Calibri"/>
                <w:sz w:val="16"/>
                <w:szCs w:val="16"/>
              </w:rPr>
              <w:t>X</w:t>
            </w:r>
          </w:p>
        </w:tc>
        <w:tc>
          <w:tcPr>
            <w:tcW w:w="428" w:type="dxa"/>
          </w:tcPr>
          <w:p w14:paraId="6F696EC2" w14:textId="77777777" w:rsidR="002B04EB" w:rsidRPr="003F7F6C" w:rsidRDefault="002B04EB" w:rsidP="00B851B7">
            <w:pPr>
              <w:rPr>
                <w:sz w:val="16"/>
                <w:szCs w:val="16"/>
              </w:rPr>
            </w:pPr>
            <w:r w:rsidRPr="003F7F6C">
              <w:rPr>
                <w:rFonts w:cs="Calibri"/>
                <w:sz w:val="16"/>
                <w:szCs w:val="16"/>
              </w:rPr>
              <w:t>X</w:t>
            </w:r>
          </w:p>
        </w:tc>
      </w:tr>
      <w:tr w:rsidR="002B04EB" w:rsidRPr="003F7F6C" w14:paraId="3ECA9800" w14:textId="77777777" w:rsidTr="00B851B7">
        <w:tc>
          <w:tcPr>
            <w:tcW w:w="1668" w:type="dxa"/>
          </w:tcPr>
          <w:p w14:paraId="1949D646" w14:textId="28FDC76F" w:rsidR="002B04EB" w:rsidRPr="003F7F6C" w:rsidRDefault="002B04EB" w:rsidP="00E91275">
            <w:pPr>
              <w:pStyle w:val="ListParagraph"/>
              <w:numPr>
                <w:ilvl w:val="0"/>
                <w:numId w:val="29"/>
              </w:numPr>
              <w:spacing w:after="0"/>
              <w:ind w:left="166" w:hanging="166"/>
              <w:contextualSpacing w:val="0"/>
              <w:jc w:val="left"/>
              <w:rPr>
                <w:rFonts w:cs="Calibri"/>
                <w:sz w:val="16"/>
                <w:szCs w:val="16"/>
              </w:rPr>
            </w:pPr>
            <w:r w:rsidRPr="003F7F6C">
              <w:rPr>
                <w:rFonts w:cs="Calibri"/>
                <w:sz w:val="16"/>
                <w:szCs w:val="16"/>
              </w:rPr>
              <w:t xml:space="preserve">Receive </w:t>
            </w:r>
            <w:r w:rsidR="00D02100" w:rsidRPr="003F7F6C">
              <w:rPr>
                <w:rFonts w:cs="Calibri"/>
                <w:sz w:val="16"/>
                <w:szCs w:val="16"/>
              </w:rPr>
              <w:t>p</w:t>
            </w:r>
            <w:r w:rsidRPr="003F7F6C">
              <w:rPr>
                <w:rFonts w:cs="Calibri"/>
                <w:sz w:val="16"/>
                <w:szCs w:val="16"/>
              </w:rPr>
              <w:t>ositive feedback from IDERA members</w:t>
            </w:r>
          </w:p>
        </w:tc>
        <w:tc>
          <w:tcPr>
            <w:tcW w:w="1057" w:type="dxa"/>
          </w:tcPr>
          <w:p w14:paraId="40ADEB3C" w14:textId="77777777" w:rsidR="002B04EB" w:rsidRPr="003F7F6C" w:rsidRDefault="002B04EB" w:rsidP="00B851B7">
            <w:pPr>
              <w:rPr>
                <w:rFonts w:cs="Calibri"/>
                <w:sz w:val="16"/>
                <w:szCs w:val="16"/>
              </w:rPr>
            </w:pPr>
            <w:r w:rsidRPr="003F7F6C">
              <w:rPr>
                <w:rFonts w:cs="Calibri"/>
                <w:sz w:val="16"/>
                <w:szCs w:val="16"/>
              </w:rPr>
              <w:t>SGAyDS</w:t>
            </w:r>
          </w:p>
        </w:tc>
        <w:tc>
          <w:tcPr>
            <w:tcW w:w="428" w:type="dxa"/>
          </w:tcPr>
          <w:p w14:paraId="6B26324A" w14:textId="77777777" w:rsidR="002B04EB" w:rsidRPr="003F7F6C" w:rsidRDefault="002B04EB" w:rsidP="00B851B7">
            <w:pPr>
              <w:rPr>
                <w:rFonts w:cs="Calibri"/>
                <w:sz w:val="16"/>
                <w:szCs w:val="16"/>
              </w:rPr>
            </w:pPr>
          </w:p>
        </w:tc>
        <w:tc>
          <w:tcPr>
            <w:tcW w:w="444" w:type="dxa"/>
          </w:tcPr>
          <w:p w14:paraId="33642464" w14:textId="77777777" w:rsidR="002B04EB" w:rsidRPr="003F7F6C" w:rsidRDefault="002B04EB" w:rsidP="00B851B7">
            <w:pPr>
              <w:rPr>
                <w:rFonts w:cs="Calibri"/>
                <w:sz w:val="16"/>
                <w:szCs w:val="16"/>
              </w:rPr>
            </w:pPr>
          </w:p>
        </w:tc>
        <w:tc>
          <w:tcPr>
            <w:tcW w:w="428" w:type="dxa"/>
          </w:tcPr>
          <w:p w14:paraId="23D4CC33" w14:textId="77777777" w:rsidR="002B04EB" w:rsidRPr="003F7F6C" w:rsidRDefault="002B04EB" w:rsidP="00B851B7">
            <w:pPr>
              <w:rPr>
                <w:rFonts w:cs="Calibri"/>
                <w:sz w:val="16"/>
                <w:szCs w:val="16"/>
              </w:rPr>
            </w:pPr>
          </w:p>
        </w:tc>
        <w:tc>
          <w:tcPr>
            <w:tcW w:w="428" w:type="dxa"/>
            <w:gridSpan w:val="2"/>
          </w:tcPr>
          <w:p w14:paraId="35AA7906" w14:textId="77777777" w:rsidR="002B04EB" w:rsidRPr="003F7F6C" w:rsidRDefault="002B04EB" w:rsidP="00B851B7">
            <w:pPr>
              <w:rPr>
                <w:rFonts w:cs="Calibri"/>
                <w:sz w:val="16"/>
                <w:szCs w:val="16"/>
              </w:rPr>
            </w:pPr>
          </w:p>
        </w:tc>
        <w:tc>
          <w:tcPr>
            <w:tcW w:w="428" w:type="dxa"/>
          </w:tcPr>
          <w:p w14:paraId="67F1B35E" w14:textId="77777777" w:rsidR="002B04EB" w:rsidRPr="003F7F6C" w:rsidRDefault="002B04EB" w:rsidP="00B851B7">
            <w:pPr>
              <w:rPr>
                <w:sz w:val="16"/>
                <w:szCs w:val="16"/>
              </w:rPr>
            </w:pPr>
            <w:r w:rsidRPr="003F7F6C">
              <w:rPr>
                <w:rFonts w:cs="Calibri"/>
                <w:sz w:val="16"/>
                <w:szCs w:val="16"/>
              </w:rPr>
              <w:t>X</w:t>
            </w:r>
          </w:p>
        </w:tc>
        <w:tc>
          <w:tcPr>
            <w:tcW w:w="427" w:type="dxa"/>
          </w:tcPr>
          <w:p w14:paraId="3E7B1555" w14:textId="77777777" w:rsidR="002B04EB" w:rsidRPr="003F7F6C" w:rsidRDefault="002B04EB" w:rsidP="00B851B7">
            <w:pPr>
              <w:rPr>
                <w:sz w:val="16"/>
                <w:szCs w:val="16"/>
              </w:rPr>
            </w:pPr>
            <w:r w:rsidRPr="003F7F6C">
              <w:rPr>
                <w:rFonts w:cs="Calibri"/>
                <w:sz w:val="16"/>
                <w:szCs w:val="16"/>
              </w:rPr>
              <w:t>X</w:t>
            </w:r>
          </w:p>
        </w:tc>
        <w:tc>
          <w:tcPr>
            <w:tcW w:w="427" w:type="dxa"/>
          </w:tcPr>
          <w:p w14:paraId="12EE4535" w14:textId="77777777" w:rsidR="002B04EB" w:rsidRPr="003F7F6C" w:rsidRDefault="002B04EB" w:rsidP="00B851B7">
            <w:pPr>
              <w:rPr>
                <w:sz w:val="16"/>
                <w:szCs w:val="16"/>
              </w:rPr>
            </w:pPr>
            <w:r w:rsidRPr="003F7F6C">
              <w:rPr>
                <w:rFonts w:cs="Calibri"/>
                <w:sz w:val="16"/>
                <w:szCs w:val="16"/>
              </w:rPr>
              <w:t>X</w:t>
            </w:r>
          </w:p>
        </w:tc>
        <w:tc>
          <w:tcPr>
            <w:tcW w:w="427" w:type="dxa"/>
            <w:gridSpan w:val="2"/>
          </w:tcPr>
          <w:p w14:paraId="59E1C83C" w14:textId="77777777" w:rsidR="002B04EB" w:rsidRPr="003F7F6C" w:rsidRDefault="002B04EB" w:rsidP="00B851B7">
            <w:pPr>
              <w:rPr>
                <w:sz w:val="16"/>
                <w:szCs w:val="16"/>
              </w:rPr>
            </w:pPr>
            <w:r w:rsidRPr="003F7F6C">
              <w:rPr>
                <w:rFonts w:cs="Calibri"/>
                <w:sz w:val="16"/>
                <w:szCs w:val="16"/>
              </w:rPr>
              <w:t>X</w:t>
            </w:r>
          </w:p>
        </w:tc>
        <w:tc>
          <w:tcPr>
            <w:tcW w:w="428" w:type="dxa"/>
          </w:tcPr>
          <w:p w14:paraId="45CB98A9" w14:textId="77777777" w:rsidR="002B04EB" w:rsidRPr="003F7F6C" w:rsidRDefault="002B04EB" w:rsidP="00B851B7">
            <w:pPr>
              <w:rPr>
                <w:sz w:val="16"/>
                <w:szCs w:val="16"/>
              </w:rPr>
            </w:pPr>
            <w:r w:rsidRPr="003F7F6C">
              <w:rPr>
                <w:rFonts w:cs="Calibri"/>
                <w:sz w:val="16"/>
                <w:szCs w:val="16"/>
              </w:rPr>
              <w:t>X</w:t>
            </w:r>
          </w:p>
        </w:tc>
        <w:tc>
          <w:tcPr>
            <w:tcW w:w="428" w:type="dxa"/>
          </w:tcPr>
          <w:p w14:paraId="2EAC76B1" w14:textId="77777777" w:rsidR="002B04EB" w:rsidRPr="003F7F6C" w:rsidRDefault="002B04EB" w:rsidP="00B851B7">
            <w:pPr>
              <w:rPr>
                <w:sz w:val="16"/>
                <w:szCs w:val="16"/>
              </w:rPr>
            </w:pPr>
            <w:r w:rsidRPr="003F7F6C">
              <w:rPr>
                <w:rFonts w:cs="Calibri"/>
                <w:sz w:val="16"/>
                <w:szCs w:val="16"/>
              </w:rPr>
              <w:t>X</w:t>
            </w:r>
          </w:p>
        </w:tc>
        <w:tc>
          <w:tcPr>
            <w:tcW w:w="428" w:type="dxa"/>
          </w:tcPr>
          <w:p w14:paraId="29524256"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53C7B582" w14:textId="77777777" w:rsidR="002B04EB" w:rsidRPr="003F7F6C" w:rsidRDefault="002B04EB" w:rsidP="00B851B7">
            <w:pPr>
              <w:rPr>
                <w:sz w:val="16"/>
                <w:szCs w:val="16"/>
              </w:rPr>
            </w:pPr>
            <w:r w:rsidRPr="003F7F6C">
              <w:rPr>
                <w:rFonts w:cs="Calibri"/>
                <w:sz w:val="16"/>
                <w:szCs w:val="16"/>
              </w:rPr>
              <w:t>X</w:t>
            </w:r>
          </w:p>
        </w:tc>
        <w:tc>
          <w:tcPr>
            <w:tcW w:w="428" w:type="dxa"/>
          </w:tcPr>
          <w:p w14:paraId="2F8B1505" w14:textId="77777777" w:rsidR="002B04EB" w:rsidRPr="003F7F6C" w:rsidRDefault="002B04EB" w:rsidP="00B851B7">
            <w:pPr>
              <w:rPr>
                <w:sz w:val="16"/>
                <w:szCs w:val="16"/>
              </w:rPr>
            </w:pPr>
            <w:r w:rsidRPr="003F7F6C">
              <w:rPr>
                <w:rFonts w:cs="Calibri"/>
                <w:sz w:val="16"/>
                <w:szCs w:val="16"/>
              </w:rPr>
              <w:t>X</w:t>
            </w:r>
          </w:p>
        </w:tc>
        <w:tc>
          <w:tcPr>
            <w:tcW w:w="428" w:type="dxa"/>
          </w:tcPr>
          <w:p w14:paraId="05B21DA9" w14:textId="77777777" w:rsidR="002B04EB" w:rsidRPr="003F7F6C" w:rsidRDefault="002B04EB" w:rsidP="00B851B7">
            <w:pPr>
              <w:rPr>
                <w:sz w:val="16"/>
                <w:szCs w:val="16"/>
              </w:rPr>
            </w:pPr>
            <w:r w:rsidRPr="003F7F6C">
              <w:rPr>
                <w:rFonts w:cs="Calibri"/>
                <w:sz w:val="16"/>
                <w:szCs w:val="16"/>
              </w:rPr>
              <w:t>X</w:t>
            </w:r>
          </w:p>
        </w:tc>
        <w:tc>
          <w:tcPr>
            <w:tcW w:w="428" w:type="dxa"/>
          </w:tcPr>
          <w:p w14:paraId="1D28A2C1"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3AF88F18" w14:textId="77777777" w:rsidR="002B04EB" w:rsidRPr="003F7F6C" w:rsidRDefault="002B04EB" w:rsidP="00B851B7">
            <w:pPr>
              <w:rPr>
                <w:sz w:val="16"/>
                <w:szCs w:val="16"/>
              </w:rPr>
            </w:pPr>
            <w:r w:rsidRPr="003F7F6C">
              <w:rPr>
                <w:rFonts w:cs="Calibri"/>
                <w:sz w:val="16"/>
                <w:szCs w:val="16"/>
              </w:rPr>
              <w:t>X</w:t>
            </w:r>
          </w:p>
        </w:tc>
        <w:tc>
          <w:tcPr>
            <w:tcW w:w="428" w:type="dxa"/>
          </w:tcPr>
          <w:p w14:paraId="6C966269" w14:textId="77777777" w:rsidR="002B04EB" w:rsidRPr="003F7F6C" w:rsidRDefault="002B04EB" w:rsidP="00B851B7">
            <w:pPr>
              <w:rPr>
                <w:sz w:val="16"/>
                <w:szCs w:val="16"/>
              </w:rPr>
            </w:pPr>
            <w:r w:rsidRPr="003F7F6C">
              <w:rPr>
                <w:rFonts w:cs="Calibri"/>
                <w:sz w:val="16"/>
                <w:szCs w:val="16"/>
              </w:rPr>
              <w:t>X</w:t>
            </w:r>
          </w:p>
        </w:tc>
        <w:tc>
          <w:tcPr>
            <w:tcW w:w="428" w:type="dxa"/>
          </w:tcPr>
          <w:p w14:paraId="604A360D" w14:textId="77777777" w:rsidR="002B04EB" w:rsidRPr="003F7F6C" w:rsidRDefault="002B04EB" w:rsidP="00B851B7">
            <w:pPr>
              <w:rPr>
                <w:sz w:val="16"/>
                <w:szCs w:val="16"/>
              </w:rPr>
            </w:pPr>
            <w:r w:rsidRPr="003F7F6C">
              <w:rPr>
                <w:rFonts w:cs="Calibri"/>
                <w:sz w:val="16"/>
                <w:szCs w:val="16"/>
              </w:rPr>
              <w:t>X</w:t>
            </w:r>
          </w:p>
        </w:tc>
        <w:tc>
          <w:tcPr>
            <w:tcW w:w="428" w:type="dxa"/>
          </w:tcPr>
          <w:p w14:paraId="1A087DBF"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52CCC6E0" w14:textId="77777777" w:rsidR="002B04EB" w:rsidRPr="003F7F6C" w:rsidRDefault="002B04EB" w:rsidP="00B851B7">
            <w:pPr>
              <w:rPr>
                <w:sz w:val="16"/>
                <w:szCs w:val="16"/>
              </w:rPr>
            </w:pPr>
            <w:r w:rsidRPr="003F7F6C">
              <w:rPr>
                <w:rFonts w:cs="Calibri"/>
                <w:sz w:val="16"/>
                <w:szCs w:val="16"/>
              </w:rPr>
              <w:t>X</w:t>
            </w:r>
          </w:p>
        </w:tc>
        <w:tc>
          <w:tcPr>
            <w:tcW w:w="428" w:type="dxa"/>
          </w:tcPr>
          <w:p w14:paraId="14F66BF3" w14:textId="77777777" w:rsidR="002B04EB" w:rsidRPr="003F7F6C" w:rsidRDefault="002B04EB" w:rsidP="00B851B7">
            <w:pPr>
              <w:rPr>
                <w:sz w:val="16"/>
                <w:szCs w:val="16"/>
              </w:rPr>
            </w:pPr>
            <w:r w:rsidRPr="003F7F6C">
              <w:rPr>
                <w:rFonts w:cs="Calibri"/>
                <w:sz w:val="16"/>
                <w:szCs w:val="16"/>
              </w:rPr>
              <w:t>X</w:t>
            </w:r>
          </w:p>
        </w:tc>
        <w:tc>
          <w:tcPr>
            <w:tcW w:w="428" w:type="dxa"/>
          </w:tcPr>
          <w:p w14:paraId="4C980452" w14:textId="77777777" w:rsidR="002B04EB" w:rsidRPr="003F7F6C" w:rsidRDefault="002B04EB" w:rsidP="00B851B7">
            <w:pPr>
              <w:rPr>
                <w:sz w:val="16"/>
                <w:szCs w:val="16"/>
              </w:rPr>
            </w:pPr>
            <w:r w:rsidRPr="003F7F6C">
              <w:rPr>
                <w:rFonts w:cs="Calibri"/>
                <w:sz w:val="16"/>
                <w:szCs w:val="16"/>
              </w:rPr>
              <w:t>X</w:t>
            </w:r>
          </w:p>
        </w:tc>
        <w:tc>
          <w:tcPr>
            <w:tcW w:w="428" w:type="dxa"/>
          </w:tcPr>
          <w:p w14:paraId="7EEA9CB8" w14:textId="77777777" w:rsidR="002B04EB" w:rsidRPr="003F7F6C" w:rsidRDefault="002B04EB" w:rsidP="00B851B7">
            <w:pPr>
              <w:rPr>
                <w:sz w:val="16"/>
                <w:szCs w:val="16"/>
              </w:rPr>
            </w:pPr>
            <w:r w:rsidRPr="003F7F6C">
              <w:rPr>
                <w:rFonts w:cs="Calibri"/>
                <w:sz w:val="16"/>
                <w:szCs w:val="16"/>
              </w:rPr>
              <w:t>X</w:t>
            </w:r>
          </w:p>
        </w:tc>
        <w:tc>
          <w:tcPr>
            <w:tcW w:w="428" w:type="dxa"/>
          </w:tcPr>
          <w:p w14:paraId="098B445F" w14:textId="77777777" w:rsidR="002B04EB" w:rsidRPr="003F7F6C" w:rsidRDefault="002B04EB" w:rsidP="00B851B7">
            <w:pPr>
              <w:rPr>
                <w:sz w:val="16"/>
                <w:szCs w:val="16"/>
              </w:rPr>
            </w:pPr>
            <w:r w:rsidRPr="003F7F6C">
              <w:rPr>
                <w:rFonts w:cs="Calibri"/>
                <w:sz w:val="16"/>
                <w:szCs w:val="16"/>
              </w:rPr>
              <w:t>X</w:t>
            </w:r>
          </w:p>
        </w:tc>
      </w:tr>
      <w:tr w:rsidR="002B04EB" w:rsidRPr="003F7F6C" w14:paraId="21EAF273" w14:textId="77777777" w:rsidTr="00B851B7">
        <w:tc>
          <w:tcPr>
            <w:tcW w:w="1668" w:type="dxa"/>
          </w:tcPr>
          <w:p w14:paraId="7D360745" w14:textId="77777777" w:rsidR="002B04EB" w:rsidRPr="003F7F6C" w:rsidRDefault="002B04EB" w:rsidP="00E91275">
            <w:pPr>
              <w:pStyle w:val="ListParagraph"/>
              <w:numPr>
                <w:ilvl w:val="0"/>
                <w:numId w:val="29"/>
              </w:numPr>
              <w:spacing w:after="0"/>
              <w:ind w:left="166" w:hanging="166"/>
              <w:contextualSpacing w:val="0"/>
              <w:jc w:val="left"/>
              <w:rPr>
                <w:rFonts w:cs="Calibri"/>
                <w:sz w:val="16"/>
                <w:szCs w:val="16"/>
              </w:rPr>
            </w:pPr>
            <w:r w:rsidRPr="003F7F6C">
              <w:rPr>
                <w:rFonts w:cs="Calibri"/>
                <w:sz w:val="16"/>
                <w:szCs w:val="16"/>
              </w:rPr>
              <w:t>Disseminate public information</w:t>
            </w:r>
          </w:p>
        </w:tc>
        <w:tc>
          <w:tcPr>
            <w:tcW w:w="1057" w:type="dxa"/>
          </w:tcPr>
          <w:p w14:paraId="1CC1E904" w14:textId="77777777" w:rsidR="002B04EB" w:rsidRPr="003F7F6C" w:rsidRDefault="002B04EB" w:rsidP="00B851B7">
            <w:pPr>
              <w:rPr>
                <w:rFonts w:cs="Calibri"/>
                <w:sz w:val="16"/>
                <w:szCs w:val="16"/>
              </w:rPr>
            </w:pPr>
            <w:r w:rsidRPr="003F7F6C">
              <w:rPr>
                <w:rFonts w:cs="Calibri"/>
                <w:sz w:val="16"/>
                <w:szCs w:val="16"/>
              </w:rPr>
              <w:t>SGAyDS</w:t>
            </w:r>
          </w:p>
        </w:tc>
        <w:tc>
          <w:tcPr>
            <w:tcW w:w="428" w:type="dxa"/>
          </w:tcPr>
          <w:p w14:paraId="5614F72C" w14:textId="77777777" w:rsidR="002B04EB" w:rsidRPr="003F7F6C" w:rsidRDefault="002B04EB" w:rsidP="00B851B7">
            <w:pPr>
              <w:rPr>
                <w:rFonts w:cs="Calibri"/>
                <w:sz w:val="16"/>
                <w:szCs w:val="16"/>
              </w:rPr>
            </w:pPr>
          </w:p>
        </w:tc>
        <w:tc>
          <w:tcPr>
            <w:tcW w:w="444" w:type="dxa"/>
          </w:tcPr>
          <w:p w14:paraId="7D5B4014" w14:textId="77777777" w:rsidR="002B04EB" w:rsidRPr="003F7F6C" w:rsidRDefault="002B04EB" w:rsidP="00B851B7">
            <w:pPr>
              <w:rPr>
                <w:rFonts w:cs="Calibri"/>
                <w:sz w:val="16"/>
                <w:szCs w:val="16"/>
              </w:rPr>
            </w:pPr>
          </w:p>
        </w:tc>
        <w:tc>
          <w:tcPr>
            <w:tcW w:w="428" w:type="dxa"/>
          </w:tcPr>
          <w:p w14:paraId="30B62B17" w14:textId="77777777" w:rsidR="002B04EB" w:rsidRPr="003F7F6C" w:rsidRDefault="002B04EB" w:rsidP="00B851B7">
            <w:pPr>
              <w:rPr>
                <w:rFonts w:cs="Calibri"/>
                <w:sz w:val="16"/>
                <w:szCs w:val="16"/>
              </w:rPr>
            </w:pPr>
          </w:p>
        </w:tc>
        <w:tc>
          <w:tcPr>
            <w:tcW w:w="428" w:type="dxa"/>
            <w:gridSpan w:val="2"/>
          </w:tcPr>
          <w:p w14:paraId="579FD384" w14:textId="77777777" w:rsidR="002B04EB" w:rsidRPr="003F7F6C" w:rsidRDefault="002B04EB" w:rsidP="00B851B7">
            <w:pPr>
              <w:rPr>
                <w:rFonts w:cs="Calibri"/>
                <w:sz w:val="16"/>
                <w:szCs w:val="16"/>
              </w:rPr>
            </w:pPr>
          </w:p>
        </w:tc>
        <w:tc>
          <w:tcPr>
            <w:tcW w:w="428" w:type="dxa"/>
          </w:tcPr>
          <w:p w14:paraId="298257B4" w14:textId="77777777" w:rsidR="002B04EB" w:rsidRPr="003F7F6C" w:rsidRDefault="002B04EB" w:rsidP="00B851B7">
            <w:pPr>
              <w:rPr>
                <w:rFonts w:cs="Calibri"/>
                <w:sz w:val="16"/>
                <w:szCs w:val="16"/>
              </w:rPr>
            </w:pPr>
          </w:p>
        </w:tc>
        <w:tc>
          <w:tcPr>
            <w:tcW w:w="427" w:type="dxa"/>
          </w:tcPr>
          <w:p w14:paraId="086B6BB0" w14:textId="77777777" w:rsidR="002B04EB" w:rsidRPr="003F7F6C" w:rsidRDefault="002B04EB" w:rsidP="00B851B7">
            <w:pPr>
              <w:rPr>
                <w:rFonts w:cs="Calibri"/>
                <w:sz w:val="16"/>
                <w:szCs w:val="16"/>
              </w:rPr>
            </w:pPr>
          </w:p>
        </w:tc>
        <w:tc>
          <w:tcPr>
            <w:tcW w:w="427" w:type="dxa"/>
          </w:tcPr>
          <w:p w14:paraId="1C0EE381" w14:textId="77777777" w:rsidR="002B04EB" w:rsidRPr="003F7F6C" w:rsidRDefault="002B04EB" w:rsidP="00B851B7">
            <w:pPr>
              <w:rPr>
                <w:rFonts w:cs="Calibri"/>
                <w:sz w:val="16"/>
                <w:szCs w:val="16"/>
              </w:rPr>
            </w:pPr>
          </w:p>
        </w:tc>
        <w:tc>
          <w:tcPr>
            <w:tcW w:w="427" w:type="dxa"/>
            <w:gridSpan w:val="2"/>
          </w:tcPr>
          <w:p w14:paraId="023A97EB" w14:textId="77777777" w:rsidR="002B04EB" w:rsidRPr="003F7F6C" w:rsidRDefault="002B04EB" w:rsidP="00B851B7">
            <w:pPr>
              <w:rPr>
                <w:rFonts w:cs="Calibri"/>
                <w:sz w:val="16"/>
                <w:szCs w:val="16"/>
              </w:rPr>
            </w:pPr>
          </w:p>
        </w:tc>
        <w:tc>
          <w:tcPr>
            <w:tcW w:w="428" w:type="dxa"/>
          </w:tcPr>
          <w:p w14:paraId="1CE2D3DC" w14:textId="77777777" w:rsidR="002B04EB" w:rsidRPr="003F7F6C" w:rsidRDefault="002B04EB" w:rsidP="00B851B7">
            <w:pPr>
              <w:rPr>
                <w:rFonts w:cs="Calibri"/>
                <w:sz w:val="16"/>
                <w:szCs w:val="16"/>
              </w:rPr>
            </w:pPr>
          </w:p>
        </w:tc>
        <w:tc>
          <w:tcPr>
            <w:tcW w:w="428" w:type="dxa"/>
          </w:tcPr>
          <w:p w14:paraId="44E66F53" w14:textId="77777777" w:rsidR="002B04EB" w:rsidRPr="003F7F6C" w:rsidRDefault="002B04EB" w:rsidP="00B851B7">
            <w:pPr>
              <w:rPr>
                <w:rFonts w:cs="Calibri"/>
                <w:sz w:val="16"/>
                <w:szCs w:val="16"/>
              </w:rPr>
            </w:pPr>
          </w:p>
        </w:tc>
        <w:tc>
          <w:tcPr>
            <w:tcW w:w="428" w:type="dxa"/>
          </w:tcPr>
          <w:p w14:paraId="574989CF"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3B38AF0E" w14:textId="77777777" w:rsidR="002B04EB" w:rsidRPr="003F7F6C" w:rsidRDefault="002B04EB" w:rsidP="00B851B7">
            <w:pPr>
              <w:rPr>
                <w:sz w:val="16"/>
                <w:szCs w:val="16"/>
              </w:rPr>
            </w:pPr>
            <w:r w:rsidRPr="003F7F6C">
              <w:rPr>
                <w:rFonts w:cs="Calibri"/>
                <w:sz w:val="16"/>
                <w:szCs w:val="16"/>
              </w:rPr>
              <w:t>X</w:t>
            </w:r>
          </w:p>
        </w:tc>
        <w:tc>
          <w:tcPr>
            <w:tcW w:w="428" w:type="dxa"/>
          </w:tcPr>
          <w:p w14:paraId="08A0724C" w14:textId="77777777" w:rsidR="002B04EB" w:rsidRPr="003F7F6C" w:rsidRDefault="002B04EB" w:rsidP="00B851B7">
            <w:pPr>
              <w:rPr>
                <w:sz w:val="16"/>
                <w:szCs w:val="16"/>
              </w:rPr>
            </w:pPr>
            <w:r w:rsidRPr="003F7F6C">
              <w:rPr>
                <w:rFonts w:cs="Calibri"/>
                <w:sz w:val="16"/>
                <w:szCs w:val="16"/>
              </w:rPr>
              <w:t>X</w:t>
            </w:r>
          </w:p>
        </w:tc>
        <w:tc>
          <w:tcPr>
            <w:tcW w:w="428" w:type="dxa"/>
          </w:tcPr>
          <w:p w14:paraId="0E4D88A8" w14:textId="77777777" w:rsidR="002B04EB" w:rsidRPr="003F7F6C" w:rsidRDefault="002B04EB" w:rsidP="00B851B7">
            <w:pPr>
              <w:rPr>
                <w:sz w:val="16"/>
                <w:szCs w:val="16"/>
              </w:rPr>
            </w:pPr>
            <w:r w:rsidRPr="003F7F6C">
              <w:rPr>
                <w:rFonts w:cs="Calibri"/>
                <w:sz w:val="16"/>
                <w:szCs w:val="16"/>
              </w:rPr>
              <w:t>X</w:t>
            </w:r>
          </w:p>
        </w:tc>
        <w:tc>
          <w:tcPr>
            <w:tcW w:w="428" w:type="dxa"/>
          </w:tcPr>
          <w:p w14:paraId="4F804D9A"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082DEC1C" w14:textId="77777777" w:rsidR="002B04EB" w:rsidRPr="003F7F6C" w:rsidRDefault="002B04EB" w:rsidP="00B851B7">
            <w:pPr>
              <w:rPr>
                <w:sz w:val="16"/>
                <w:szCs w:val="16"/>
              </w:rPr>
            </w:pPr>
            <w:r w:rsidRPr="003F7F6C">
              <w:rPr>
                <w:rFonts w:cs="Calibri"/>
                <w:sz w:val="16"/>
                <w:szCs w:val="16"/>
              </w:rPr>
              <w:t>X</w:t>
            </w:r>
          </w:p>
        </w:tc>
        <w:tc>
          <w:tcPr>
            <w:tcW w:w="428" w:type="dxa"/>
          </w:tcPr>
          <w:p w14:paraId="64C79582" w14:textId="77777777" w:rsidR="002B04EB" w:rsidRPr="003F7F6C" w:rsidRDefault="002B04EB" w:rsidP="00B851B7">
            <w:pPr>
              <w:rPr>
                <w:sz w:val="16"/>
                <w:szCs w:val="16"/>
              </w:rPr>
            </w:pPr>
            <w:r w:rsidRPr="003F7F6C">
              <w:rPr>
                <w:rFonts w:cs="Calibri"/>
                <w:sz w:val="16"/>
                <w:szCs w:val="16"/>
              </w:rPr>
              <w:t>X</w:t>
            </w:r>
          </w:p>
        </w:tc>
        <w:tc>
          <w:tcPr>
            <w:tcW w:w="428" w:type="dxa"/>
          </w:tcPr>
          <w:p w14:paraId="57BF83ED" w14:textId="77777777" w:rsidR="002B04EB" w:rsidRPr="003F7F6C" w:rsidRDefault="002B04EB" w:rsidP="00B851B7">
            <w:pPr>
              <w:rPr>
                <w:sz w:val="16"/>
                <w:szCs w:val="16"/>
              </w:rPr>
            </w:pPr>
            <w:r w:rsidRPr="003F7F6C">
              <w:rPr>
                <w:rFonts w:cs="Calibri"/>
                <w:sz w:val="16"/>
                <w:szCs w:val="16"/>
              </w:rPr>
              <w:t>X</w:t>
            </w:r>
          </w:p>
        </w:tc>
        <w:tc>
          <w:tcPr>
            <w:tcW w:w="428" w:type="dxa"/>
          </w:tcPr>
          <w:p w14:paraId="693503EC"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31E452FF" w14:textId="77777777" w:rsidR="002B04EB" w:rsidRPr="003F7F6C" w:rsidRDefault="002B04EB" w:rsidP="00B851B7">
            <w:pPr>
              <w:rPr>
                <w:sz w:val="16"/>
                <w:szCs w:val="16"/>
              </w:rPr>
            </w:pPr>
            <w:r w:rsidRPr="003F7F6C">
              <w:rPr>
                <w:rFonts w:cs="Calibri"/>
                <w:sz w:val="16"/>
                <w:szCs w:val="16"/>
              </w:rPr>
              <w:t>X</w:t>
            </w:r>
          </w:p>
        </w:tc>
        <w:tc>
          <w:tcPr>
            <w:tcW w:w="428" w:type="dxa"/>
          </w:tcPr>
          <w:p w14:paraId="1F50C772" w14:textId="77777777" w:rsidR="002B04EB" w:rsidRPr="003F7F6C" w:rsidRDefault="002B04EB" w:rsidP="00B851B7">
            <w:pPr>
              <w:rPr>
                <w:sz w:val="16"/>
                <w:szCs w:val="16"/>
              </w:rPr>
            </w:pPr>
            <w:r w:rsidRPr="003F7F6C">
              <w:rPr>
                <w:rFonts w:cs="Calibri"/>
                <w:sz w:val="16"/>
                <w:szCs w:val="16"/>
              </w:rPr>
              <w:t>X</w:t>
            </w:r>
          </w:p>
        </w:tc>
        <w:tc>
          <w:tcPr>
            <w:tcW w:w="428" w:type="dxa"/>
          </w:tcPr>
          <w:p w14:paraId="79002CD6" w14:textId="77777777" w:rsidR="002B04EB" w:rsidRPr="003F7F6C" w:rsidRDefault="002B04EB" w:rsidP="00B851B7">
            <w:pPr>
              <w:rPr>
                <w:sz w:val="16"/>
                <w:szCs w:val="16"/>
              </w:rPr>
            </w:pPr>
            <w:r w:rsidRPr="003F7F6C">
              <w:rPr>
                <w:rFonts w:cs="Calibri"/>
                <w:sz w:val="16"/>
                <w:szCs w:val="16"/>
              </w:rPr>
              <w:t>X</w:t>
            </w:r>
          </w:p>
        </w:tc>
        <w:tc>
          <w:tcPr>
            <w:tcW w:w="428" w:type="dxa"/>
          </w:tcPr>
          <w:p w14:paraId="16C51870" w14:textId="77777777" w:rsidR="002B04EB" w:rsidRPr="003F7F6C" w:rsidRDefault="002B04EB" w:rsidP="00B851B7">
            <w:pPr>
              <w:rPr>
                <w:sz w:val="16"/>
                <w:szCs w:val="16"/>
              </w:rPr>
            </w:pPr>
            <w:r w:rsidRPr="003F7F6C">
              <w:rPr>
                <w:rFonts w:cs="Calibri"/>
                <w:sz w:val="16"/>
                <w:szCs w:val="16"/>
              </w:rPr>
              <w:t>X</w:t>
            </w:r>
          </w:p>
        </w:tc>
        <w:tc>
          <w:tcPr>
            <w:tcW w:w="428" w:type="dxa"/>
          </w:tcPr>
          <w:p w14:paraId="22473C8F" w14:textId="77777777" w:rsidR="002B04EB" w:rsidRPr="003F7F6C" w:rsidRDefault="002B04EB" w:rsidP="00B851B7">
            <w:pPr>
              <w:rPr>
                <w:sz w:val="16"/>
                <w:szCs w:val="16"/>
              </w:rPr>
            </w:pPr>
            <w:r w:rsidRPr="003F7F6C">
              <w:rPr>
                <w:rFonts w:cs="Calibri"/>
                <w:sz w:val="16"/>
                <w:szCs w:val="16"/>
              </w:rPr>
              <w:t>X</w:t>
            </w:r>
          </w:p>
        </w:tc>
      </w:tr>
      <w:tr w:rsidR="002B04EB" w:rsidRPr="003F7F6C" w14:paraId="0A532722" w14:textId="77777777" w:rsidTr="002B04EB">
        <w:tc>
          <w:tcPr>
            <w:tcW w:w="13010" w:type="dxa"/>
            <w:gridSpan w:val="31"/>
            <w:shd w:val="clear" w:color="auto" w:fill="C5E0B3"/>
          </w:tcPr>
          <w:p w14:paraId="4D63D79B" w14:textId="77777777" w:rsidR="002B04EB" w:rsidRPr="003F7F6C" w:rsidRDefault="002B04EB" w:rsidP="00B851B7">
            <w:pPr>
              <w:pStyle w:val="ListParagraph"/>
              <w:tabs>
                <w:tab w:val="left" w:pos="426"/>
              </w:tabs>
              <w:spacing w:after="0"/>
              <w:ind w:left="0"/>
              <w:contextualSpacing w:val="0"/>
              <w:rPr>
                <w:rFonts w:eastAsia="Times New Roman" w:cs="Calibri"/>
                <w:bCs/>
                <w:i/>
                <w:sz w:val="16"/>
                <w:szCs w:val="16"/>
                <w:lang w:eastAsia="es-ES_tradnl"/>
              </w:rPr>
            </w:pPr>
            <w:r w:rsidRPr="003F7F6C">
              <w:rPr>
                <w:rFonts w:eastAsia="Times New Roman" w:cs="Calibri"/>
                <w:bCs/>
                <w:i/>
                <w:sz w:val="16"/>
                <w:szCs w:val="16"/>
                <w:lang w:eastAsia="es-ES_tradnl"/>
              </w:rPr>
              <w:t xml:space="preserve">Output 1.2: Federal level ELUP criteria agreed-upon </w:t>
            </w:r>
          </w:p>
        </w:tc>
      </w:tr>
      <w:tr w:rsidR="002B04EB" w:rsidRPr="003F7F6C" w14:paraId="0EEBFC80" w14:textId="77777777" w:rsidTr="00B851B7">
        <w:tc>
          <w:tcPr>
            <w:tcW w:w="1668" w:type="dxa"/>
          </w:tcPr>
          <w:p w14:paraId="33110451" w14:textId="77777777" w:rsidR="002B04EB" w:rsidRPr="003F7F6C" w:rsidRDefault="002B04EB" w:rsidP="00B851B7">
            <w:pPr>
              <w:rPr>
                <w:rFonts w:cs="Calibri"/>
                <w:sz w:val="16"/>
                <w:szCs w:val="16"/>
              </w:rPr>
            </w:pPr>
            <w:r w:rsidRPr="003F7F6C">
              <w:rPr>
                <w:rFonts w:cs="Calibri"/>
                <w:sz w:val="16"/>
                <w:szCs w:val="16"/>
              </w:rPr>
              <w:t>1.2.1 Elaborate criteria to define ES valuation, BD conservation and SLM</w:t>
            </w:r>
          </w:p>
        </w:tc>
        <w:tc>
          <w:tcPr>
            <w:tcW w:w="1057" w:type="dxa"/>
          </w:tcPr>
          <w:p w14:paraId="2EDF5D69" w14:textId="77777777" w:rsidR="002B04EB" w:rsidRPr="003F7F6C" w:rsidRDefault="002B04EB" w:rsidP="00B851B7">
            <w:pPr>
              <w:rPr>
                <w:rFonts w:cs="Calibri"/>
                <w:sz w:val="16"/>
                <w:szCs w:val="16"/>
              </w:rPr>
            </w:pPr>
            <w:r w:rsidRPr="003F7F6C">
              <w:rPr>
                <w:rFonts w:cs="Calibri"/>
                <w:sz w:val="16"/>
                <w:szCs w:val="16"/>
              </w:rPr>
              <w:t>SGAyDS</w:t>
            </w:r>
          </w:p>
        </w:tc>
        <w:tc>
          <w:tcPr>
            <w:tcW w:w="428" w:type="dxa"/>
          </w:tcPr>
          <w:p w14:paraId="4A0F51A5" w14:textId="77777777" w:rsidR="002B04EB" w:rsidRPr="003F7F6C" w:rsidRDefault="002B04EB" w:rsidP="00B851B7">
            <w:pPr>
              <w:rPr>
                <w:rFonts w:cs="Calibri"/>
                <w:sz w:val="16"/>
                <w:szCs w:val="16"/>
              </w:rPr>
            </w:pPr>
          </w:p>
        </w:tc>
        <w:tc>
          <w:tcPr>
            <w:tcW w:w="444" w:type="dxa"/>
          </w:tcPr>
          <w:p w14:paraId="48BC123D" w14:textId="77777777" w:rsidR="002B04EB" w:rsidRPr="003F7F6C" w:rsidRDefault="002B04EB" w:rsidP="00B851B7">
            <w:pPr>
              <w:rPr>
                <w:sz w:val="16"/>
                <w:szCs w:val="16"/>
              </w:rPr>
            </w:pPr>
            <w:r w:rsidRPr="003F7F6C">
              <w:rPr>
                <w:rFonts w:cs="Calibri"/>
                <w:sz w:val="16"/>
                <w:szCs w:val="16"/>
              </w:rPr>
              <w:t>X</w:t>
            </w:r>
          </w:p>
        </w:tc>
        <w:tc>
          <w:tcPr>
            <w:tcW w:w="428" w:type="dxa"/>
          </w:tcPr>
          <w:p w14:paraId="72148C31"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1953326F" w14:textId="77777777" w:rsidR="002B04EB" w:rsidRPr="003F7F6C" w:rsidRDefault="002B04EB" w:rsidP="00B851B7">
            <w:pPr>
              <w:rPr>
                <w:sz w:val="16"/>
                <w:szCs w:val="16"/>
              </w:rPr>
            </w:pPr>
            <w:r w:rsidRPr="003F7F6C">
              <w:rPr>
                <w:rFonts w:cs="Calibri"/>
                <w:sz w:val="16"/>
                <w:szCs w:val="16"/>
              </w:rPr>
              <w:t>X</w:t>
            </w:r>
          </w:p>
        </w:tc>
        <w:tc>
          <w:tcPr>
            <w:tcW w:w="428" w:type="dxa"/>
          </w:tcPr>
          <w:p w14:paraId="27C27EE7" w14:textId="77777777" w:rsidR="002B04EB" w:rsidRPr="003F7F6C" w:rsidRDefault="002B04EB" w:rsidP="00B851B7">
            <w:pPr>
              <w:rPr>
                <w:sz w:val="16"/>
                <w:szCs w:val="16"/>
              </w:rPr>
            </w:pPr>
            <w:r w:rsidRPr="003F7F6C">
              <w:rPr>
                <w:rFonts w:cs="Calibri"/>
                <w:sz w:val="16"/>
                <w:szCs w:val="16"/>
              </w:rPr>
              <w:t>X</w:t>
            </w:r>
          </w:p>
        </w:tc>
        <w:tc>
          <w:tcPr>
            <w:tcW w:w="427" w:type="dxa"/>
          </w:tcPr>
          <w:p w14:paraId="6B8B2EB2" w14:textId="77777777" w:rsidR="002B04EB" w:rsidRPr="003F7F6C" w:rsidRDefault="002B04EB" w:rsidP="00B851B7">
            <w:pPr>
              <w:rPr>
                <w:sz w:val="16"/>
                <w:szCs w:val="16"/>
              </w:rPr>
            </w:pPr>
            <w:r w:rsidRPr="003F7F6C">
              <w:rPr>
                <w:rFonts w:cs="Calibri"/>
                <w:sz w:val="16"/>
                <w:szCs w:val="16"/>
              </w:rPr>
              <w:t>X</w:t>
            </w:r>
          </w:p>
        </w:tc>
        <w:tc>
          <w:tcPr>
            <w:tcW w:w="427" w:type="dxa"/>
          </w:tcPr>
          <w:p w14:paraId="558B4724" w14:textId="77777777" w:rsidR="002B04EB" w:rsidRPr="003F7F6C" w:rsidRDefault="002B04EB" w:rsidP="00B851B7">
            <w:pPr>
              <w:rPr>
                <w:sz w:val="16"/>
                <w:szCs w:val="16"/>
              </w:rPr>
            </w:pPr>
            <w:r w:rsidRPr="003F7F6C">
              <w:rPr>
                <w:rFonts w:cs="Calibri"/>
                <w:sz w:val="16"/>
                <w:szCs w:val="16"/>
              </w:rPr>
              <w:t>X</w:t>
            </w:r>
          </w:p>
        </w:tc>
        <w:tc>
          <w:tcPr>
            <w:tcW w:w="427" w:type="dxa"/>
            <w:gridSpan w:val="2"/>
          </w:tcPr>
          <w:p w14:paraId="5B35203F" w14:textId="77777777" w:rsidR="002B04EB" w:rsidRPr="003F7F6C" w:rsidRDefault="002B04EB" w:rsidP="00B851B7">
            <w:pPr>
              <w:rPr>
                <w:sz w:val="16"/>
                <w:szCs w:val="16"/>
              </w:rPr>
            </w:pPr>
            <w:r w:rsidRPr="003F7F6C">
              <w:rPr>
                <w:rFonts w:cs="Calibri"/>
                <w:sz w:val="16"/>
                <w:szCs w:val="16"/>
              </w:rPr>
              <w:t>X</w:t>
            </w:r>
          </w:p>
        </w:tc>
        <w:tc>
          <w:tcPr>
            <w:tcW w:w="428" w:type="dxa"/>
          </w:tcPr>
          <w:p w14:paraId="2022E782" w14:textId="77777777" w:rsidR="002B04EB" w:rsidRPr="003F7F6C" w:rsidRDefault="002B04EB" w:rsidP="00B851B7">
            <w:pPr>
              <w:rPr>
                <w:sz w:val="16"/>
                <w:szCs w:val="16"/>
              </w:rPr>
            </w:pPr>
            <w:r w:rsidRPr="003F7F6C">
              <w:rPr>
                <w:rFonts w:cs="Calibri"/>
                <w:sz w:val="16"/>
                <w:szCs w:val="16"/>
              </w:rPr>
              <w:t>X</w:t>
            </w:r>
          </w:p>
        </w:tc>
        <w:tc>
          <w:tcPr>
            <w:tcW w:w="428" w:type="dxa"/>
          </w:tcPr>
          <w:p w14:paraId="761818CD" w14:textId="77777777" w:rsidR="002B04EB" w:rsidRPr="003F7F6C" w:rsidRDefault="002B04EB" w:rsidP="00B851B7">
            <w:pPr>
              <w:rPr>
                <w:sz w:val="16"/>
                <w:szCs w:val="16"/>
              </w:rPr>
            </w:pPr>
            <w:r w:rsidRPr="003F7F6C">
              <w:rPr>
                <w:rFonts w:cs="Calibri"/>
                <w:sz w:val="16"/>
                <w:szCs w:val="16"/>
              </w:rPr>
              <w:t>X</w:t>
            </w:r>
          </w:p>
        </w:tc>
        <w:tc>
          <w:tcPr>
            <w:tcW w:w="428" w:type="dxa"/>
          </w:tcPr>
          <w:p w14:paraId="157C619E"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5FB9A8AA" w14:textId="77777777" w:rsidR="002B04EB" w:rsidRPr="003F7F6C" w:rsidRDefault="002B04EB" w:rsidP="00B851B7">
            <w:pPr>
              <w:rPr>
                <w:sz w:val="16"/>
                <w:szCs w:val="16"/>
              </w:rPr>
            </w:pPr>
            <w:r w:rsidRPr="003F7F6C">
              <w:rPr>
                <w:rFonts w:cs="Calibri"/>
                <w:sz w:val="16"/>
                <w:szCs w:val="16"/>
              </w:rPr>
              <w:t>X</w:t>
            </w:r>
          </w:p>
        </w:tc>
        <w:tc>
          <w:tcPr>
            <w:tcW w:w="428" w:type="dxa"/>
          </w:tcPr>
          <w:p w14:paraId="7088596C" w14:textId="77777777" w:rsidR="002B04EB" w:rsidRPr="003F7F6C" w:rsidRDefault="002B04EB" w:rsidP="00B851B7">
            <w:pPr>
              <w:rPr>
                <w:sz w:val="16"/>
                <w:szCs w:val="16"/>
              </w:rPr>
            </w:pPr>
            <w:r w:rsidRPr="003F7F6C">
              <w:rPr>
                <w:rFonts w:cs="Calibri"/>
                <w:sz w:val="16"/>
                <w:szCs w:val="16"/>
              </w:rPr>
              <w:t>X</w:t>
            </w:r>
          </w:p>
        </w:tc>
        <w:tc>
          <w:tcPr>
            <w:tcW w:w="428" w:type="dxa"/>
          </w:tcPr>
          <w:p w14:paraId="39DB7201" w14:textId="77777777" w:rsidR="002B04EB" w:rsidRPr="003F7F6C" w:rsidRDefault="002B04EB" w:rsidP="00B851B7">
            <w:pPr>
              <w:rPr>
                <w:sz w:val="16"/>
                <w:szCs w:val="16"/>
              </w:rPr>
            </w:pPr>
            <w:r w:rsidRPr="003F7F6C">
              <w:rPr>
                <w:rFonts w:cs="Calibri"/>
                <w:sz w:val="16"/>
                <w:szCs w:val="16"/>
              </w:rPr>
              <w:t>X</w:t>
            </w:r>
          </w:p>
        </w:tc>
        <w:tc>
          <w:tcPr>
            <w:tcW w:w="428" w:type="dxa"/>
          </w:tcPr>
          <w:p w14:paraId="32B16E40"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5BDF5794" w14:textId="77777777" w:rsidR="002B04EB" w:rsidRPr="003F7F6C" w:rsidRDefault="002B04EB" w:rsidP="00B851B7">
            <w:pPr>
              <w:rPr>
                <w:sz w:val="16"/>
                <w:szCs w:val="16"/>
              </w:rPr>
            </w:pPr>
            <w:r w:rsidRPr="003F7F6C">
              <w:rPr>
                <w:rFonts w:cs="Calibri"/>
                <w:sz w:val="16"/>
                <w:szCs w:val="16"/>
              </w:rPr>
              <w:t>X</w:t>
            </w:r>
          </w:p>
        </w:tc>
        <w:tc>
          <w:tcPr>
            <w:tcW w:w="428" w:type="dxa"/>
          </w:tcPr>
          <w:p w14:paraId="222FA9CD" w14:textId="77777777" w:rsidR="002B04EB" w:rsidRPr="003F7F6C" w:rsidRDefault="002B04EB" w:rsidP="00B851B7">
            <w:pPr>
              <w:rPr>
                <w:sz w:val="16"/>
                <w:szCs w:val="16"/>
              </w:rPr>
            </w:pPr>
            <w:r w:rsidRPr="003F7F6C">
              <w:rPr>
                <w:rFonts w:cs="Calibri"/>
                <w:sz w:val="16"/>
                <w:szCs w:val="16"/>
              </w:rPr>
              <w:t>X</w:t>
            </w:r>
          </w:p>
        </w:tc>
        <w:tc>
          <w:tcPr>
            <w:tcW w:w="428" w:type="dxa"/>
          </w:tcPr>
          <w:p w14:paraId="1991D991" w14:textId="77777777" w:rsidR="002B04EB" w:rsidRPr="003F7F6C" w:rsidRDefault="002B04EB" w:rsidP="00B851B7">
            <w:pPr>
              <w:rPr>
                <w:sz w:val="16"/>
                <w:szCs w:val="16"/>
              </w:rPr>
            </w:pPr>
            <w:r w:rsidRPr="003F7F6C">
              <w:rPr>
                <w:rFonts w:cs="Calibri"/>
                <w:sz w:val="16"/>
                <w:szCs w:val="16"/>
              </w:rPr>
              <w:t>X</w:t>
            </w:r>
          </w:p>
        </w:tc>
        <w:tc>
          <w:tcPr>
            <w:tcW w:w="428" w:type="dxa"/>
          </w:tcPr>
          <w:p w14:paraId="0B545D15"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3E839418" w14:textId="77777777" w:rsidR="002B04EB" w:rsidRPr="003F7F6C" w:rsidRDefault="002B04EB" w:rsidP="00B851B7">
            <w:pPr>
              <w:rPr>
                <w:sz w:val="16"/>
                <w:szCs w:val="16"/>
              </w:rPr>
            </w:pPr>
            <w:r w:rsidRPr="003F7F6C">
              <w:rPr>
                <w:rFonts w:cs="Calibri"/>
                <w:sz w:val="16"/>
                <w:szCs w:val="16"/>
              </w:rPr>
              <w:t>X</w:t>
            </w:r>
          </w:p>
        </w:tc>
        <w:tc>
          <w:tcPr>
            <w:tcW w:w="428" w:type="dxa"/>
          </w:tcPr>
          <w:p w14:paraId="58D52FAA" w14:textId="77777777" w:rsidR="002B04EB" w:rsidRPr="003F7F6C" w:rsidRDefault="002B04EB" w:rsidP="00B851B7">
            <w:pPr>
              <w:rPr>
                <w:sz w:val="16"/>
                <w:szCs w:val="16"/>
              </w:rPr>
            </w:pPr>
            <w:r w:rsidRPr="003F7F6C">
              <w:rPr>
                <w:rFonts w:cs="Calibri"/>
                <w:sz w:val="16"/>
                <w:szCs w:val="16"/>
              </w:rPr>
              <w:t>X</w:t>
            </w:r>
          </w:p>
        </w:tc>
        <w:tc>
          <w:tcPr>
            <w:tcW w:w="428" w:type="dxa"/>
          </w:tcPr>
          <w:p w14:paraId="05926986" w14:textId="77777777" w:rsidR="002B04EB" w:rsidRPr="003F7F6C" w:rsidRDefault="002B04EB" w:rsidP="00B851B7">
            <w:pPr>
              <w:rPr>
                <w:sz w:val="16"/>
                <w:szCs w:val="16"/>
              </w:rPr>
            </w:pPr>
            <w:r w:rsidRPr="003F7F6C">
              <w:rPr>
                <w:rFonts w:cs="Calibri"/>
                <w:sz w:val="16"/>
                <w:szCs w:val="16"/>
              </w:rPr>
              <w:t>X</w:t>
            </w:r>
          </w:p>
        </w:tc>
        <w:tc>
          <w:tcPr>
            <w:tcW w:w="428" w:type="dxa"/>
          </w:tcPr>
          <w:p w14:paraId="5CE6E835" w14:textId="77777777" w:rsidR="002B04EB" w:rsidRPr="003F7F6C" w:rsidRDefault="002B04EB" w:rsidP="00B851B7">
            <w:pPr>
              <w:rPr>
                <w:sz w:val="16"/>
                <w:szCs w:val="16"/>
              </w:rPr>
            </w:pPr>
            <w:r w:rsidRPr="003F7F6C">
              <w:rPr>
                <w:rFonts w:cs="Calibri"/>
                <w:sz w:val="16"/>
                <w:szCs w:val="16"/>
              </w:rPr>
              <w:t>X</w:t>
            </w:r>
          </w:p>
        </w:tc>
        <w:tc>
          <w:tcPr>
            <w:tcW w:w="428" w:type="dxa"/>
          </w:tcPr>
          <w:p w14:paraId="216731BE" w14:textId="77777777" w:rsidR="002B04EB" w:rsidRPr="003F7F6C" w:rsidRDefault="002B04EB" w:rsidP="00B851B7">
            <w:pPr>
              <w:rPr>
                <w:sz w:val="16"/>
                <w:szCs w:val="16"/>
              </w:rPr>
            </w:pPr>
            <w:r w:rsidRPr="003F7F6C">
              <w:rPr>
                <w:rFonts w:cs="Calibri"/>
                <w:sz w:val="16"/>
                <w:szCs w:val="16"/>
              </w:rPr>
              <w:t>X</w:t>
            </w:r>
          </w:p>
        </w:tc>
      </w:tr>
      <w:tr w:rsidR="002B04EB" w:rsidRPr="003F7F6C" w14:paraId="376C3D14" w14:textId="77777777" w:rsidTr="00B851B7">
        <w:tc>
          <w:tcPr>
            <w:tcW w:w="1668" w:type="dxa"/>
          </w:tcPr>
          <w:p w14:paraId="0E427001" w14:textId="77777777" w:rsidR="002B04EB" w:rsidRPr="003F7F6C" w:rsidRDefault="002B04EB" w:rsidP="00E91275">
            <w:pPr>
              <w:pStyle w:val="ListParagraph"/>
              <w:numPr>
                <w:ilvl w:val="0"/>
                <w:numId w:val="29"/>
              </w:numPr>
              <w:spacing w:after="0"/>
              <w:ind w:left="166" w:hanging="142"/>
              <w:contextualSpacing w:val="0"/>
              <w:rPr>
                <w:rFonts w:cs="Calibri"/>
                <w:sz w:val="16"/>
                <w:szCs w:val="16"/>
              </w:rPr>
            </w:pPr>
            <w:r w:rsidRPr="003F7F6C">
              <w:rPr>
                <w:rFonts w:cs="Calibri"/>
                <w:sz w:val="16"/>
                <w:szCs w:val="16"/>
              </w:rPr>
              <w:t>Analyze mechanisms</w:t>
            </w:r>
          </w:p>
        </w:tc>
        <w:tc>
          <w:tcPr>
            <w:tcW w:w="1057" w:type="dxa"/>
          </w:tcPr>
          <w:p w14:paraId="25CF7E01" w14:textId="77777777" w:rsidR="002B04EB" w:rsidRPr="003F7F6C" w:rsidRDefault="002B04EB" w:rsidP="00B851B7">
            <w:pPr>
              <w:rPr>
                <w:rFonts w:cs="Calibri"/>
                <w:sz w:val="16"/>
                <w:szCs w:val="16"/>
              </w:rPr>
            </w:pPr>
            <w:r w:rsidRPr="003F7F6C">
              <w:rPr>
                <w:rFonts w:cs="Calibri"/>
                <w:sz w:val="16"/>
                <w:szCs w:val="16"/>
              </w:rPr>
              <w:t xml:space="preserve">SGAyDS </w:t>
            </w:r>
          </w:p>
          <w:p w14:paraId="2421A336" w14:textId="77777777" w:rsidR="002B04EB" w:rsidRPr="003F7F6C" w:rsidRDefault="002B04EB" w:rsidP="00B851B7">
            <w:pPr>
              <w:rPr>
                <w:rFonts w:cs="Calibri"/>
                <w:sz w:val="16"/>
                <w:szCs w:val="16"/>
              </w:rPr>
            </w:pPr>
            <w:r w:rsidRPr="003F7F6C">
              <w:rPr>
                <w:rFonts w:cs="Calibri"/>
                <w:sz w:val="16"/>
                <w:szCs w:val="16"/>
              </w:rPr>
              <w:t>INTA</w:t>
            </w:r>
          </w:p>
        </w:tc>
        <w:tc>
          <w:tcPr>
            <w:tcW w:w="428" w:type="dxa"/>
          </w:tcPr>
          <w:p w14:paraId="397F26F5" w14:textId="77777777" w:rsidR="002B04EB" w:rsidRPr="003F7F6C" w:rsidRDefault="002B04EB" w:rsidP="00B851B7">
            <w:pPr>
              <w:rPr>
                <w:rFonts w:cs="Calibri"/>
                <w:sz w:val="16"/>
                <w:szCs w:val="16"/>
              </w:rPr>
            </w:pPr>
          </w:p>
        </w:tc>
        <w:tc>
          <w:tcPr>
            <w:tcW w:w="444" w:type="dxa"/>
          </w:tcPr>
          <w:p w14:paraId="5E0664C3" w14:textId="77777777" w:rsidR="002B04EB" w:rsidRPr="003F7F6C" w:rsidRDefault="002B04EB" w:rsidP="00B851B7">
            <w:pPr>
              <w:rPr>
                <w:sz w:val="16"/>
                <w:szCs w:val="16"/>
              </w:rPr>
            </w:pPr>
            <w:r w:rsidRPr="003F7F6C">
              <w:rPr>
                <w:rFonts w:cs="Calibri"/>
                <w:sz w:val="16"/>
                <w:szCs w:val="16"/>
              </w:rPr>
              <w:t>X</w:t>
            </w:r>
          </w:p>
        </w:tc>
        <w:tc>
          <w:tcPr>
            <w:tcW w:w="428" w:type="dxa"/>
          </w:tcPr>
          <w:p w14:paraId="36546BED"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5FBD29D4" w14:textId="77777777" w:rsidR="002B04EB" w:rsidRPr="003F7F6C" w:rsidRDefault="002B04EB" w:rsidP="00B851B7">
            <w:pPr>
              <w:rPr>
                <w:sz w:val="16"/>
                <w:szCs w:val="16"/>
              </w:rPr>
            </w:pPr>
            <w:r w:rsidRPr="003F7F6C">
              <w:rPr>
                <w:rFonts w:cs="Calibri"/>
                <w:sz w:val="16"/>
                <w:szCs w:val="16"/>
              </w:rPr>
              <w:t>X</w:t>
            </w:r>
          </w:p>
        </w:tc>
        <w:tc>
          <w:tcPr>
            <w:tcW w:w="428" w:type="dxa"/>
          </w:tcPr>
          <w:p w14:paraId="76FA95D6" w14:textId="77777777" w:rsidR="002B04EB" w:rsidRPr="003F7F6C" w:rsidRDefault="002B04EB" w:rsidP="00B851B7">
            <w:pPr>
              <w:rPr>
                <w:sz w:val="16"/>
                <w:szCs w:val="16"/>
              </w:rPr>
            </w:pPr>
            <w:r w:rsidRPr="003F7F6C">
              <w:rPr>
                <w:rFonts w:cs="Calibri"/>
                <w:sz w:val="16"/>
                <w:szCs w:val="16"/>
              </w:rPr>
              <w:t>X</w:t>
            </w:r>
          </w:p>
        </w:tc>
        <w:tc>
          <w:tcPr>
            <w:tcW w:w="427" w:type="dxa"/>
          </w:tcPr>
          <w:p w14:paraId="06531B32" w14:textId="77777777" w:rsidR="002B04EB" w:rsidRPr="003F7F6C" w:rsidRDefault="002B04EB" w:rsidP="00B851B7">
            <w:pPr>
              <w:rPr>
                <w:sz w:val="16"/>
                <w:szCs w:val="16"/>
              </w:rPr>
            </w:pPr>
            <w:r w:rsidRPr="003F7F6C">
              <w:rPr>
                <w:rFonts w:cs="Calibri"/>
                <w:sz w:val="16"/>
                <w:szCs w:val="16"/>
              </w:rPr>
              <w:t>X</w:t>
            </w:r>
          </w:p>
        </w:tc>
        <w:tc>
          <w:tcPr>
            <w:tcW w:w="427" w:type="dxa"/>
          </w:tcPr>
          <w:p w14:paraId="3D4708BC" w14:textId="77777777" w:rsidR="002B04EB" w:rsidRPr="003F7F6C" w:rsidRDefault="002B04EB" w:rsidP="00B851B7">
            <w:pPr>
              <w:rPr>
                <w:sz w:val="16"/>
                <w:szCs w:val="16"/>
              </w:rPr>
            </w:pPr>
            <w:r w:rsidRPr="003F7F6C">
              <w:rPr>
                <w:rFonts w:cs="Calibri"/>
                <w:sz w:val="16"/>
                <w:szCs w:val="16"/>
              </w:rPr>
              <w:t>X</w:t>
            </w:r>
          </w:p>
        </w:tc>
        <w:tc>
          <w:tcPr>
            <w:tcW w:w="427" w:type="dxa"/>
            <w:gridSpan w:val="2"/>
          </w:tcPr>
          <w:p w14:paraId="6926D748" w14:textId="77777777" w:rsidR="002B04EB" w:rsidRPr="003F7F6C" w:rsidRDefault="002B04EB" w:rsidP="00B851B7">
            <w:pPr>
              <w:rPr>
                <w:sz w:val="16"/>
                <w:szCs w:val="16"/>
              </w:rPr>
            </w:pPr>
            <w:r w:rsidRPr="003F7F6C">
              <w:rPr>
                <w:rFonts w:cs="Calibri"/>
                <w:sz w:val="16"/>
                <w:szCs w:val="16"/>
              </w:rPr>
              <w:t>X</w:t>
            </w:r>
          </w:p>
        </w:tc>
        <w:tc>
          <w:tcPr>
            <w:tcW w:w="428" w:type="dxa"/>
          </w:tcPr>
          <w:p w14:paraId="121DCDD6" w14:textId="77777777" w:rsidR="002B04EB" w:rsidRPr="003F7F6C" w:rsidRDefault="002B04EB" w:rsidP="00B851B7">
            <w:pPr>
              <w:rPr>
                <w:sz w:val="16"/>
                <w:szCs w:val="16"/>
              </w:rPr>
            </w:pPr>
            <w:r w:rsidRPr="003F7F6C">
              <w:rPr>
                <w:rFonts w:cs="Calibri"/>
                <w:sz w:val="16"/>
                <w:szCs w:val="16"/>
              </w:rPr>
              <w:t>X</w:t>
            </w:r>
          </w:p>
        </w:tc>
        <w:tc>
          <w:tcPr>
            <w:tcW w:w="428" w:type="dxa"/>
          </w:tcPr>
          <w:p w14:paraId="1C6E34B4" w14:textId="77777777" w:rsidR="002B04EB" w:rsidRPr="003F7F6C" w:rsidRDefault="002B04EB" w:rsidP="00B851B7">
            <w:pPr>
              <w:rPr>
                <w:sz w:val="16"/>
                <w:szCs w:val="16"/>
              </w:rPr>
            </w:pPr>
            <w:r w:rsidRPr="003F7F6C">
              <w:rPr>
                <w:rFonts w:cs="Calibri"/>
                <w:sz w:val="16"/>
                <w:szCs w:val="16"/>
              </w:rPr>
              <w:t>X</w:t>
            </w:r>
          </w:p>
        </w:tc>
        <w:tc>
          <w:tcPr>
            <w:tcW w:w="428" w:type="dxa"/>
          </w:tcPr>
          <w:p w14:paraId="4AE8AC71"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5B2C36BA" w14:textId="77777777" w:rsidR="002B04EB" w:rsidRPr="003F7F6C" w:rsidRDefault="002B04EB" w:rsidP="00B851B7">
            <w:pPr>
              <w:rPr>
                <w:sz w:val="16"/>
                <w:szCs w:val="16"/>
              </w:rPr>
            </w:pPr>
            <w:r w:rsidRPr="003F7F6C">
              <w:rPr>
                <w:rFonts w:cs="Calibri"/>
                <w:sz w:val="16"/>
                <w:szCs w:val="16"/>
              </w:rPr>
              <w:t>X</w:t>
            </w:r>
          </w:p>
        </w:tc>
        <w:tc>
          <w:tcPr>
            <w:tcW w:w="428" w:type="dxa"/>
          </w:tcPr>
          <w:p w14:paraId="4A3C68F1" w14:textId="77777777" w:rsidR="002B04EB" w:rsidRPr="003F7F6C" w:rsidRDefault="002B04EB" w:rsidP="00B851B7">
            <w:pPr>
              <w:rPr>
                <w:rFonts w:cs="Calibri"/>
                <w:sz w:val="16"/>
                <w:szCs w:val="16"/>
              </w:rPr>
            </w:pPr>
          </w:p>
        </w:tc>
        <w:tc>
          <w:tcPr>
            <w:tcW w:w="428" w:type="dxa"/>
          </w:tcPr>
          <w:p w14:paraId="0A92CA8F" w14:textId="77777777" w:rsidR="002B04EB" w:rsidRPr="003F7F6C" w:rsidRDefault="002B04EB" w:rsidP="00B851B7">
            <w:pPr>
              <w:rPr>
                <w:rFonts w:cs="Calibri"/>
                <w:sz w:val="16"/>
                <w:szCs w:val="16"/>
              </w:rPr>
            </w:pPr>
          </w:p>
        </w:tc>
        <w:tc>
          <w:tcPr>
            <w:tcW w:w="428" w:type="dxa"/>
          </w:tcPr>
          <w:p w14:paraId="3C717DBB" w14:textId="77777777" w:rsidR="002B04EB" w:rsidRPr="003F7F6C" w:rsidRDefault="002B04EB" w:rsidP="00B851B7">
            <w:pPr>
              <w:rPr>
                <w:rFonts w:cs="Calibri"/>
                <w:sz w:val="16"/>
                <w:szCs w:val="16"/>
              </w:rPr>
            </w:pPr>
          </w:p>
        </w:tc>
        <w:tc>
          <w:tcPr>
            <w:tcW w:w="428" w:type="dxa"/>
            <w:gridSpan w:val="2"/>
          </w:tcPr>
          <w:p w14:paraId="68F14819" w14:textId="77777777" w:rsidR="002B04EB" w:rsidRPr="003F7F6C" w:rsidRDefault="002B04EB" w:rsidP="00B851B7">
            <w:pPr>
              <w:rPr>
                <w:rFonts w:cs="Calibri"/>
                <w:sz w:val="16"/>
                <w:szCs w:val="16"/>
              </w:rPr>
            </w:pPr>
          </w:p>
        </w:tc>
        <w:tc>
          <w:tcPr>
            <w:tcW w:w="428" w:type="dxa"/>
          </w:tcPr>
          <w:p w14:paraId="0B67C6C5" w14:textId="77777777" w:rsidR="002B04EB" w:rsidRPr="003F7F6C" w:rsidRDefault="002B04EB" w:rsidP="00B851B7">
            <w:pPr>
              <w:rPr>
                <w:rFonts w:cs="Calibri"/>
                <w:sz w:val="16"/>
                <w:szCs w:val="16"/>
              </w:rPr>
            </w:pPr>
          </w:p>
        </w:tc>
        <w:tc>
          <w:tcPr>
            <w:tcW w:w="428" w:type="dxa"/>
          </w:tcPr>
          <w:p w14:paraId="27412552" w14:textId="77777777" w:rsidR="002B04EB" w:rsidRPr="003F7F6C" w:rsidRDefault="002B04EB" w:rsidP="00B851B7">
            <w:pPr>
              <w:rPr>
                <w:rFonts w:cs="Calibri"/>
                <w:sz w:val="16"/>
                <w:szCs w:val="16"/>
              </w:rPr>
            </w:pPr>
          </w:p>
        </w:tc>
        <w:tc>
          <w:tcPr>
            <w:tcW w:w="428" w:type="dxa"/>
          </w:tcPr>
          <w:p w14:paraId="094185A5" w14:textId="77777777" w:rsidR="002B04EB" w:rsidRPr="003F7F6C" w:rsidRDefault="002B04EB" w:rsidP="00B851B7">
            <w:pPr>
              <w:rPr>
                <w:rFonts w:cs="Calibri"/>
                <w:sz w:val="16"/>
                <w:szCs w:val="16"/>
              </w:rPr>
            </w:pPr>
          </w:p>
        </w:tc>
        <w:tc>
          <w:tcPr>
            <w:tcW w:w="428" w:type="dxa"/>
            <w:gridSpan w:val="2"/>
          </w:tcPr>
          <w:p w14:paraId="31B0D007" w14:textId="77777777" w:rsidR="002B04EB" w:rsidRPr="003F7F6C" w:rsidRDefault="002B04EB" w:rsidP="00B851B7">
            <w:pPr>
              <w:rPr>
                <w:rFonts w:cs="Calibri"/>
                <w:sz w:val="16"/>
                <w:szCs w:val="16"/>
              </w:rPr>
            </w:pPr>
          </w:p>
        </w:tc>
        <w:tc>
          <w:tcPr>
            <w:tcW w:w="428" w:type="dxa"/>
          </w:tcPr>
          <w:p w14:paraId="67296226" w14:textId="77777777" w:rsidR="002B04EB" w:rsidRPr="003F7F6C" w:rsidRDefault="002B04EB" w:rsidP="00B851B7">
            <w:pPr>
              <w:rPr>
                <w:rFonts w:cs="Calibri"/>
                <w:sz w:val="16"/>
                <w:szCs w:val="16"/>
              </w:rPr>
            </w:pPr>
          </w:p>
        </w:tc>
        <w:tc>
          <w:tcPr>
            <w:tcW w:w="428" w:type="dxa"/>
          </w:tcPr>
          <w:p w14:paraId="39A74231" w14:textId="77777777" w:rsidR="002B04EB" w:rsidRPr="003F7F6C" w:rsidRDefault="002B04EB" w:rsidP="00B851B7">
            <w:pPr>
              <w:rPr>
                <w:rFonts w:cs="Calibri"/>
                <w:sz w:val="16"/>
                <w:szCs w:val="16"/>
              </w:rPr>
            </w:pPr>
          </w:p>
        </w:tc>
        <w:tc>
          <w:tcPr>
            <w:tcW w:w="428" w:type="dxa"/>
          </w:tcPr>
          <w:p w14:paraId="60A32B57" w14:textId="77777777" w:rsidR="002B04EB" w:rsidRPr="003F7F6C" w:rsidRDefault="002B04EB" w:rsidP="00B851B7">
            <w:pPr>
              <w:rPr>
                <w:rFonts w:cs="Calibri"/>
                <w:sz w:val="16"/>
                <w:szCs w:val="16"/>
              </w:rPr>
            </w:pPr>
          </w:p>
        </w:tc>
        <w:tc>
          <w:tcPr>
            <w:tcW w:w="428" w:type="dxa"/>
          </w:tcPr>
          <w:p w14:paraId="6EC284C4" w14:textId="77777777" w:rsidR="002B04EB" w:rsidRPr="003F7F6C" w:rsidRDefault="002B04EB" w:rsidP="00B851B7">
            <w:pPr>
              <w:rPr>
                <w:rFonts w:cs="Calibri"/>
                <w:sz w:val="16"/>
                <w:szCs w:val="16"/>
              </w:rPr>
            </w:pPr>
          </w:p>
        </w:tc>
      </w:tr>
      <w:tr w:rsidR="002B04EB" w:rsidRPr="003F7F6C" w14:paraId="4CAA4008" w14:textId="77777777" w:rsidTr="00B851B7">
        <w:tc>
          <w:tcPr>
            <w:tcW w:w="1668" w:type="dxa"/>
          </w:tcPr>
          <w:p w14:paraId="4E6FF511" w14:textId="77777777" w:rsidR="002B04EB" w:rsidRPr="003F7F6C" w:rsidRDefault="002B04EB" w:rsidP="00E91275">
            <w:pPr>
              <w:pStyle w:val="ListParagraph"/>
              <w:numPr>
                <w:ilvl w:val="0"/>
                <w:numId w:val="29"/>
              </w:numPr>
              <w:spacing w:after="0"/>
              <w:ind w:left="166" w:hanging="142"/>
              <w:contextualSpacing w:val="0"/>
              <w:rPr>
                <w:rFonts w:cs="Calibri"/>
                <w:sz w:val="16"/>
                <w:szCs w:val="16"/>
              </w:rPr>
            </w:pPr>
            <w:r w:rsidRPr="003F7F6C">
              <w:rPr>
                <w:rFonts w:cs="Calibri"/>
                <w:sz w:val="16"/>
                <w:szCs w:val="16"/>
              </w:rPr>
              <w:t>Stakeholder coordination workshops</w:t>
            </w:r>
          </w:p>
        </w:tc>
        <w:tc>
          <w:tcPr>
            <w:tcW w:w="1057" w:type="dxa"/>
          </w:tcPr>
          <w:p w14:paraId="38196DFC" w14:textId="77777777" w:rsidR="002B04EB" w:rsidRPr="003F7F6C" w:rsidRDefault="002B04EB" w:rsidP="00B851B7">
            <w:pPr>
              <w:rPr>
                <w:rFonts w:cs="Calibri"/>
                <w:sz w:val="16"/>
                <w:szCs w:val="16"/>
              </w:rPr>
            </w:pPr>
            <w:r w:rsidRPr="003F7F6C">
              <w:rPr>
                <w:rFonts w:cs="Calibri"/>
                <w:sz w:val="16"/>
                <w:szCs w:val="16"/>
              </w:rPr>
              <w:t>SGAyDS Provinces</w:t>
            </w:r>
          </w:p>
          <w:p w14:paraId="429D2A19" w14:textId="77777777" w:rsidR="002B04EB" w:rsidRPr="003F7F6C" w:rsidRDefault="002B04EB" w:rsidP="00B851B7">
            <w:pPr>
              <w:rPr>
                <w:rFonts w:cs="Calibri"/>
                <w:sz w:val="16"/>
                <w:szCs w:val="16"/>
              </w:rPr>
            </w:pPr>
            <w:r w:rsidRPr="003F7F6C">
              <w:rPr>
                <w:rFonts w:cs="Calibri"/>
                <w:sz w:val="16"/>
                <w:szCs w:val="16"/>
              </w:rPr>
              <w:t>INTA</w:t>
            </w:r>
          </w:p>
        </w:tc>
        <w:tc>
          <w:tcPr>
            <w:tcW w:w="428" w:type="dxa"/>
          </w:tcPr>
          <w:p w14:paraId="2264DAD9" w14:textId="77777777" w:rsidR="002B04EB" w:rsidRPr="003F7F6C" w:rsidRDefault="002B04EB" w:rsidP="00B851B7">
            <w:pPr>
              <w:rPr>
                <w:rFonts w:cs="Calibri"/>
                <w:sz w:val="16"/>
                <w:szCs w:val="16"/>
              </w:rPr>
            </w:pPr>
          </w:p>
        </w:tc>
        <w:tc>
          <w:tcPr>
            <w:tcW w:w="444" w:type="dxa"/>
          </w:tcPr>
          <w:p w14:paraId="122C818A" w14:textId="77777777" w:rsidR="002B04EB" w:rsidRPr="003F7F6C" w:rsidRDefault="002B04EB" w:rsidP="00B851B7">
            <w:pPr>
              <w:rPr>
                <w:sz w:val="16"/>
                <w:szCs w:val="16"/>
              </w:rPr>
            </w:pPr>
            <w:r w:rsidRPr="003F7F6C">
              <w:rPr>
                <w:rFonts w:cs="Calibri"/>
                <w:sz w:val="16"/>
                <w:szCs w:val="16"/>
              </w:rPr>
              <w:t>X</w:t>
            </w:r>
          </w:p>
        </w:tc>
        <w:tc>
          <w:tcPr>
            <w:tcW w:w="428" w:type="dxa"/>
          </w:tcPr>
          <w:p w14:paraId="50724248"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4A659202" w14:textId="77777777" w:rsidR="002B04EB" w:rsidRPr="003F7F6C" w:rsidRDefault="002B04EB" w:rsidP="00B851B7">
            <w:pPr>
              <w:rPr>
                <w:sz w:val="16"/>
                <w:szCs w:val="16"/>
              </w:rPr>
            </w:pPr>
            <w:r w:rsidRPr="003F7F6C">
              <w:rPr>
                <w:rFonts w:cs="Calibri"/>
                <w:sz w:val="16"/>
                <w:szCs w:val="16"/>
              </w:rPr>
              <w:t>X</w:t>
            </w:r>
          </w:p>
        </w:tc>
        <w:tc>
          <w:tcPr>
            <w:tcW w:w="428" w:type="dxa"/>
          </w:tcPr>
          <w:p w14:paraId="359F2600" w14:textId="77777777" w:rsidR="002B04EB" w:rsidRPr="003F7F6C" w:rsidRDefault="002B04EB" w:rsidP="00B851B7">
            <w:pPr>
              <w:rPr>
                <w:sz w:val="16"/>
                <w:szCs w:val="16"/>
              </w:rPr>
            </w:pPr>
            <w:r w:rsidRPr="003F7F6C">
              <w:rPr>
                <w:rFonts w:cs="Calibri"/>
                <w:sz w:val="16"/>
                <w:szCs w:val="16"/>
              </w:rPr>
              <w:t>X</w:t>
            </w:r>
          </w:p>
        </w:tc>
        <w:tc>
          <w:tcPr>
            <w:tcW w:w="427" w:type="dxa"/>
          </w:tcPr>
          <w:p w14:paraId="3581AE95" w14:textId="77777777" w:rsidR="002B04EB" w:rsidRPr="003F7F6C" w:rsidRDefault="002B04EB" w:rsidP="00B851B7">
            <w:pPr>
              <w:rPr>
                <w:sz w:val="16"/>
                <w:szCs w:val="16"/>
              </w:rPr>
            </w:pPr>
            <w:r w:rsidRPr="003F7F6C">
              <w:rPr>
                <w:rFonts w:cs="Calibri"/>
                <w:sz w:val="16"/>
                <w:szCs w:val="16"/>
              </w:rPr>
              <w:t>X</w:t>
            </w:r>
          </w:p>
        </w:tc>
        <w:tc>
          <w:tcPr>
            <w:tcW w:w="427" w:type="dxa"/>
          </w:tcPr>
          <w:p w14:paraId="4B136923" w14:textId="77777777" w:rsidR="002B04EB" w:rsidRPr="003F7F6C" w:rsidRDefault="002B04EB" w:rsidP="00B851B7">
            <w:pPr>
              <w:rPr>
                <w:sz w:val="16"/>
                <w:szCs w:val="16"/>
              </w:rPr>
            </w:pPr>
            <w:r w:rsidRPr="003F7F6C">
              <w:rPr>
                <w:rFonts w:cs="Calibri"/>
                <w:sz w:val="16"/>
                <w:szCs w:val="16"/>
              </w:rPr>
              <w:t>X</w:t>
            </w:r>
          </w:p>
        </w:tc>
        <w:tc>
          <w:tcPr>
            <w:tcW w:w="427" w:type="dxa"/>
            <w:gridSpan w:val="2"/>
          </w:tcPr>
          <w:p w14:paraId="42B549D8" w14:textId="77777777" w:rsidR="002B04EB" w:rsidRPr="003F7F6C" w:rsidRDefault="002B04EB" w:rsidP="00B851B7">
            <w:pPr>
              <w:rPr>
                <w:sz w:val="16"/>
                <w:szCs w:val="16"/>
              </w:rPr>
            </w:pPr>
            <w:r w:rsidRPr="003F7F6C">
              <w:rPr>
                <w:rFonts w:cs="Calibri"/>
                <w:sz w:val="16"/>
                <w:szCs w:val="16"/>
              </w:rPr>
              <w:t>X</w:t>
            </w:r>
          </w:p>
        </w:tc>
        <w:tc>
          <w:tcPr>
            <w:tcW w:w="428" w:type="dxa"/>
          </w:tcPr>
          <w:p w14:paraId="3FDEAD0C" w14:textId="77777777" w:rsidR="002B04EB" w:rsidRPr="003F7F6C" w:rsidRDefault="002B04EB" w:rsidP="00B851B7">
            <w:pPr>
              <w:rPr>
                <w:sz w:val="16"/>
                <w:szCs w:val="16"/>
              </w:rPr>
            </w:pPr>
            <w:r w:rsidRPr="003F7F6C">
              <w:rPr>
                <w:rFonts w:cs="Calibri"/>
                <w:sz w:val="16"/>
                <w:szCs w:val="16"/>
              </w:rPr>
              <w:t>X</w:t>
            </w:r>
          </w:p>
        </w:tc>
        <w:tc>
          <w:tcPr>
            <w:tcW w:w="428" w:type="dxa"/>
          </w:tcPr>
          <w:p w14:paraId="5CA18D6F" w14:textId="77777777" w:rsidR="002B04EB" w:rsidRPr="003F7F6C" w:rsidRDefault="002B04EB" w:rsidP="00B851B7">
            <w:pPr>
              <w:rPr>
                <w:sz w:val="16"/>
                <w:szCs w:val="16"/>
              </w:rPr>
            </w:pPr>
            <w:r w:rsidRPr="003F7F6C">
              <w:rPr>
                <w:rFonts w:cs="Calibri"/>
                <w:sz w:val="16"/>
                <w:szCs w:val="16"/>
              </w:rPr>
              <w:t>X</w:t>
            </w:r>
          </w:p>
        </w:tc>
        <w:tc>
          <w:tcPr>
            <w:tcW w:w="428" w:type="dxa"/>
          </w:tcPr>
          <w:p w14:paraId="3CBBC0A1"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09D9AA25" w14:textId="77777777" w:rsidR="002B04EB" w:rsidRPr="003F7F6C" w:rsidRDefault="002B04EB" w:rsidP="00B851B7">
            <w:pPr>
              <w:rPr>
                <w:sz w:val="16"/>
                <w:szCs w:val="16"/>
              </w:rPr>
            </w:pPr>
            <w:r w:rsidRPr="003F7F6C">
              <w:rPr>
                <w:rFonts w:cs="Calibri"/>
                <w:sz w:val="16"/>
                <w:szCs w:val="16"/>
              </w:rPr>
              <w:t>X</w:t>
            </w:r>
          </w:p>
        </w:tc>
        <w:tc>
          <w:tcPr>
            <w:tcW w:w="428" w:type="dxa"/>
          </w:tcPr>
          <w:p w14:paraId="7E61161E" w14:textId="77777777" w:rsidR="002B04EB" w:rsidRPr="003F7F6C" w:rsidRDefault="002B04EB" w:rsidP="00B851B7">
            <w:pPr>
              <w:rPr>
                <w:rFonts w:cs="Calibri"/>
                <w:sz w:val="16"/>
                <w:szCs w:val="16"/>
              </w:rPr>
            </w:pPr>
            <w:r w:rsidRPr="003F7F6C">
              <w:rPr>
                <w:rFonts w:cs="Calibri"/>
                <w:sz w:val="16"/>
                <w:szCs w:val="16"/>
              </w:rPr>
              <w:t>X</w:t>
            </w:r>
          </w:p>
        </w:tc>
        <w:tc>
          <w:tcPr>
            <w:tcW w:w="428" w:type="dxa"/>
          </w:tcPr>
          <w:p w14:paraId="6D9A8471" w14:textId="77777777" w:rsidR="002B04EB" w:rsidRPr="003F7F6C" w:rsidRDefault="002B04EB" w:rsidP="00B851B7">
            <w:pPr>
              <w:rPr>
                <w:sz w:val="16"/>
                <w:szCs w:val="16"/>
              </w:rPr>
            </w:pPr>
            <w:r w:rsidRPr="003F7F6C">
              <w:rPr>
                <w:rFonts w:cs="Calibri"/>
                <w:sz w:val="16"/>
                <w:szCs w:val="16"/>
              </w:rPr>
              <w:t>X</w:t>
            </w:r>
          </w:p>
        </w:tc>
        <w:tc>
          <w:tcPr>
            <w:tcW w:w="428" w:type="dxa"/>
          </w:tcPr>
          <w:p w14:paraId="5BD7D384"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01DA6186" w14:textId="77777777" w:rsidR="002B04EB" w:rsidRPr="003F7F6C" w:rsidRDefault="002B04EB" w:rsidP="00B851B7">
            <w:pPr>
              <w:rPr>
                <w:sz w:val="16"/>
                <w:szCs w:val="16"/>
              </w:rPr>
            </w:pPr>
            <w:r w:rsidRPr="003F7F6C">
              <w:rPr>
                <w:rFonts w:cs="Calibri"/>
                <w:sz w:val="16"/>
                <w:szCs w:val="16"/>
              </w:rPr>
              <w:t>X</w:t>
            </w:r>
          </w:p>
        </w:tc>
        <w:tc>
          <w:tcPr>
            <w:tcW w:w="428" w:type="dxa"/>
          </w:tcPr>
          <w:p w14:paraId="31DBFABE" w14:textId="77777777" w:rsidR="002B04EB" w:rsidRPr="003F7F6C" w:rsidRDefault="002B04EB" w:rsidP="00B851B7">
            <w:pPr>
              <w:rPr>
                <w:sz w:val="16"/>
                <w:szCs w:val="16"/>
              </w:rPr>
            </w:pPr>
            <w:r w:rsidRPr="003F7F6C">
              <w:rPr>
                <w:rFonts w:cs="Calibri"/>
                <w:sz w:val="16"/>
                <w:szCs w:val="16"/>
              </w:rPr>
              <w:t>X</w:t>
            </w:r>
          </w:p>
        </w:tc>
        <w:tc>
          <w:tcPr>
            <w:tcW w:w="428" w:type="dxa"/>
          </w:tcPr>
          <w:p w14:paraId="5F2F132E" w14:textId="77777777" w:rsidR="002B04EB" w:rsidRPr="003F7F6C" w:rsidRDefault="002B04EB" w:rsidP="00B851B7">
            <w:pPr>
              <w:rPr>
                <w:rFonts w:cs="Calibri"/>
                <w:sz w:val="16"/>
                <w:szCs w:val="16"/>
              </w:rPr>
            </w:pPr>
          </w:p>
        </w:tc>
        <w:tc>
          <w:tcPr>
            <w:tcW w:w="428" w:type="dxa"/>
          </w:tcPr>
          <w:p w14:paraId="2BFFB97C" w14:textId="77777777" w:rsidR="002B04EB" w:rsidRPr="003F7F6C" w:rsidRDefault="002B04EB" w:rsidP="00B851B7">
            <w:pPr>
              <w:rPr>
                <w:rFonts w:cs="Calibri"/>
                <w:sz w:val="16"/>
                <w:szCs w:val="16"/>
              </w:rPr>
            </w:pPr>
          </w:p>
        </w:tc>
        <w:tc>
          <w:tcPr>
            <w:tcW w:w="428" w:type="dxa"/>
            <w:gridSpan w:val="2"/>
          </w:tcPr>
          <w:p w14:paraId="0C7B817F" w14:textId="77777777" w:rsidR="002B04EB" w:rsidRPr="003F7F6C" w:rsidRDefault="002B04EB" w:rsidP="00B851B7">
            <w:pPr>
              <w:rPr>
                <w:rFonts w:cs="Calibri"/>
                <w:sz w:val="16"/>
                <w:szCs w:val="16"/>
              </w:rPr>
            </w:pPr>
          </w:p>
        </w:tc>
        <w:tc>
          <w:tcPr>
            <w:tcW w:w="428" w:type="dxa"/>
          </w:tcPr>
          <w:p w14:paraId="7923A87E" w14:textId="77777777" w:rsidR="002B04EB" w:rsidRPr="003F7F6C" w:rsidRDefault="002B04EB" w:rsidP="00B851B7">
            <w:pPr>
              <w:rPr>
                <w:rFonts w:cs="Calibri"/>
                <w:sz w:val="16"/>
                <w:szCs w:val="16"/>
              </w:rPr>
            </w:pPr>
          </w:p>
        </w:tc>
        <w:tc>
          <w:tcPr>
            <w:tcW w:w="428" w:type="dxa"/>
          </w:tcPr>
          <w:p w14:paraId="6803F54A" w14:textId="77777777" w:rsidR="002B04EB" w:rsidRPr="003F7F6C" w:rsidRDefault="002B04EB" w:rsidP="00B851B7">
            <w:pPr>
              <w:rPr>
                <w:rFonts w:cs="Calibri"/>
                <w:sz w:val="16"/>
                <w:szCs w:val="16"/>
              </w:rPr>
            </w:pPr>
          </w:p>
        </w:tc>
        <w:tc>
          <w:tcPr>
            <w:tcW w:w="428" w:type="dxa"/>
          </w:tcPr>
          <w:p w14:paraId="7AE5FA1C" w14:textId="77777777" w:rsidR="002B04EB" w:rsidRPr="003F7F6C" w:rsidRDefault="002B04EB" w:rsidP="00B851B7">
            <w:pPr>
              <w:rPr>
                <w:rFonts w:cs="Calibri"/>
                <w:sz w:val="16"/>
                <w:szCs w:val="16"/>
              </w:rPr>
            </w:pPr>
          </w:p>
        </w:tc>
        <w:tc>
          <w:tcPr>
            <w:tcW w:w="428" w:type="dxa"/>
          </w:tcPr>
          <w:p w14:paraId="63B90964" w14:textId="77777777" w:rsidR="002B04EB" w:rsidRPr="003F7F6C" w:rsidRDefault="002B04EB" w:rsidP="00B851B7">
            <w:pPr>
              <w:rPr>
                <w:rFonts w:cs="Calibri"/>
                <w:sz w:val="16"/>
                <w:szCs w:val="16"/>
              </w:rPr>
            </w:pPr>
          </w:p>
        </w:tc>
      </w:tr>
      <w:tr w:rsidR="002B04EB" w:rsidRPr="003F7F6C" w14:paraId="1E4D2105" w14:textId="77777777" w:rsidTr="00B851B7">
        <w:tc>
          <w:tcPr>
            <w:tcW w:w="1668" w:type="dxa"/>
          </w:tcPr>
          <w:p w14:paraId="3A6752AA" w14:textId="77777777" w:rsidR="002B04EB" w:rsidRPr="003F7F6C" w:rsidRDefault="002B04EB" w:rsidP="00E91275">
            <w:pPr>
              <w:pStyle w:val="ListParagraph"/>
              <w:numPr>
                <w:ilvl w:val="0"/>
                <w:numId w:val="29"/>
              </w:numPr>
              <w:spacing w:after="0"/>
              <w:ind w:left="166" w:hanging="142"/>
              <w:contextualSpacing w:val="0"/>
              <w:jc w:val="left"/>
              <w:rPr>
                <w:rFonts w:cs="Calibri"/>
                <w:sz w:val="16"/>
                <w:szCs w:val="16"/>
              </w:rPr>
            </w:pPr>
            <w:r w:rsidRPr="003F7F6C">
              <w:rPr>
                <w:rFonts w:cs="Calibri"/>
                <w:sz w:val="16"/>
                <w:szCs w:val="16"/>
              </w:rPr>
              <w:t>Validate mechanisms with key stakeholders</w:t>
            </w:r>
          </w:p>
        </w:tc>
        <w:tc>
          <w:tcPr>
            <w:tcW w:w="1057" w:type="dxa"/>
          </w:tcPr>
          <w:p w14:paraId="28DB22D8" w14:textId="77777777" w:rsidR="002B04EB" w:rsidRPr="003F7F6C" w:rsidRDefault="002B04EB" w:rsidP="00B851B7">
            <w:pPr>
              <w:rPr>
                <w:rFonts w:cs="Calibri"/>
                <w:sz w:val="16"/>
                <w:szCs w:val="16"/>
              </w:rPr>
            </w:pPr>
            <w:r w:rsidRPr="003F7F6C">
              <w:rPr>
                <w:rFonts w:cs="Calibri"/>
                <w:sz w:val="16"/>
                <w:szCs w:val="16"/>
              </w:rPr>
              <w:t>SGAyDS Provinces</w:t>
            </w:r>
          </w:p>
          <w:p w14:paraId="79D47F33" w14:textId="77777777" w:rsidR="002B04EB" w:rsidRPr="003F7F6C" w:rsidRDefault="002B04EB" w:rsidP="00B851B7">
            <w:pPr>
              <w:rPr>
                <w:rFonts w:cs="Calibri"/>
                <w:sz w:val="16"/>
                <w:szCs w:val="16"/>
              </w:rPr>
            </w:pPr>
            <w:r w:rsidRPr="003F7F6C">
              <w:rPr>
                <w:rFonts w:cs="Calibri"/>
                <w:sz w:val="16"/>
                <w:szCs w:val="16"/>
              </w:rPr>
              <w:t>INTA</w:t>
            </w:r>
          </w:p>
        </w:tc>
        <w:tc>
          <w:tcPr>
            <w:tcW w:w="428" w:type="dxa"/>
          </w:tcPr>
          <w:p w14:paraId="6820B359" w14:textId="77777777" w:rsidR="002B04EB" w:rsidRPr="003F7F6C" w:rsidRDefault="002B04EB" w:rsidP="00B851B7">
            <w:pPr>
              <w:rPr>
                <w:rFonts w:cs="Calibri"/>
                <w:sz w:val="16"/>
                <w:szCs w:val="16"/>
              </w:rPr>
            </w:pPr>
          </w:p>
        </w:tc>
        <w:tc>
          <w:tcPr>
            <w:tcW w:w="444" w:type="dxa"/>
          </w:tcPr>
          <w:p w14:paraId="498D45DB" w14:textId="77777777" w:rsidR="002B04EB" w:rsidRPr="003F7F6C" w:rsidRDefault="002B04EB" w:rsidP="00B851B7">
            <w:pPr>
              <w:rPr>
                <w:rFonts w:cs="Calibri"/>
                <w:sz w:val="16"/>
                <w:szCs w:val="16"/>
              </w:rPr>
            </w:pPr>
          </w:p>
        </w:tc>
        <w:tc>
          <w:tcPr>
            <w:tcW w:w="428" w:type="dxa"/>
          </w:tcPr>
          <w:p w14:paraId="4BBDCB4F" w14:textId="77777777" w:rsidR="002B04EB" w:rsidRPr="003F7F6C" w:rsidRDefault="002B04EB" w:rsidP="00B851B7">
            <w:pPr>
              <w:rPr>
                <w:rFonts w:cs="Calibri"/>
                <w:sz w:val="16"/>
                <w:szCs w:val="16"/>
              </w:rPr>
            </w:pPr>
          </w:p>
        </w:tc>
        <w:tc>
          <w:tcPr>
            <w:tcW w:w="428" w:type="dxa"/>
            <w:gridSpan w:val="2"/>
          </w:tcPr>
          <w:p w14:paraId="4B2D6CFE" w14:textId="77777777" w:rsidR="002B04EB" w:rsidRPr="003F7F6C" w:rsidRDefault="002B04EB" w:rsidP="00B851B7">
            <w:pPr>
              <w:rPr>
                <w:rFonts w:cs="Calibri"/>
                <w:sz w:val="16"/>
                <w:szCs w:val="16"/>
              </w:rPr>
            </w:pPr>
          </w:p>
        </w:tc>
        <w:tc>
          <w:tcPr>
            <w:tcW w:w="428" w:type="dxa"/>
          </w:tcPr>
          <w:p w14:paraId="28BB1734" w14:textId="77777777" w:rsidR="002B04EB" w:rsidRPr="003F7F6C" w:rsidRDefault="002B04EB" w:rsidP="00B851B7">
            <w:pPr>
              <w:rPr>
                <w:sz w:val="16"/>
                <w:szCs w:val="16"/>
              </w:rPr>
            </w:pPr>
            <w:r w:rsidRPr="003F7F6C">
              <w:rPr>
                <w:rFonts w:cs="Calibri"/>
                <w:sz w:val="16"/>
                <w:szCs w:val="16"/>
              </w:rPr>
              <w:t>X</w:t>
            </w:r>
          </w:p>
        </w:tc>
        <w:tc>
          <w:tcPr>
            <w:tcW w:w="427" w:type="dxa"/>
          </w:tcPr>
          <w:p w14:paraId="2C75F1F2" w14:textId="77777777" w:rsidR="002B04EB" w:rsidRPr="003F7F6C" w:rsidRDefault="002B04EB" w:rsidP="00B851B7">
            <w:pPr>
              <w:rPr>
                <w:sz w:val="16"/>
                <w:szCs w:val="16"/>
              </w:rPr>
            </w:pPr>
            <w:r w:rsidRPr="003F7F6C">
              <w:rPr>
                <w:rFonts w:cs="Calibri"/>
                <w:sz w:val="16"/>
                <w:szCs w:val="16"/>
              </w:rPr>
              <w:t>X</w:t>
            </w:r>
          </w:p>
        </w:tc>
        <w:tc>
          <w:tcPr>
            <w:tcW w:w="427" w:type="dxa"/>
          </w:tcPr>
          <w:p w14:paraId="43CF9267" w14:textId="77777777" w:rsidR="002B04EB" w:rsidRPr="003F7F6C" w:rsidRDefault="002B04EB" w:rsidP="00B851B7">
            <w:pPr>
              <w:rPr>
                <w:sz w:val="16"/>
                <w:szCs w:val="16"/>
              </w:rPr>
            </w:pPr>
            <w:r w:rsidRPr="003F7F6C">
              <w:rPr>
                <w:rFonts w:cs="Calibri"/>
                <w:sz w:val="16"/>
                <w:szCs w:val="16"/>
              </w:rPr>
              <w:t>X</w:t>
            </w:r>
          </w:p>
        </w:tc>
        <w:tc>
          <w:tcPr>
            <w:tcW w:w="427" w:type="dxa"/>
            <w:gridSpan w:val="2"/>
          </w:tcPr>
          <w:p w14:paraId="0D3049D2" w14:textId="77777777" w:rsidR="002B04EB" w:rsidRPr="003F7F6C" w:rsidRDefault="002B04EB" w:rsidP="00B851B7">
            <w:pPr>
              <w:rPr>
                <w:sz w:val="16"/>
                <w:szCs w:val="16"/>
              </w:rPr>
            </w:pPr>
            <w:r w:rsidRPr="003F7F6C">
              <w:rPr>
                <w:rFonts w:cs="Calibri"/>
                <w:sz w:val="16"/>
                <w:szCs w:val="16"/>
              </w:rPr>
              <w:t>X</w:t>
            </w:r>
          </w:p>
        </w:tc>
        <w:tc>
          <w:tcPr>
            <w:tcW w:w="428" w:type="dxa"/>
          </w:tcPr>
          <w:p w14:paraId="108CACF2" w14:textId="77777777" w:rsidR="002B04EB" w:rsidRPr="003F7F6C" w:rsidRDefault="002B04EB" w:rsidP="00B851B7">
            <w:pPr>
              <w:rPr>
                <w:sz w:val="16"/>
                <w:szCs w:val="16"/>
              </w:rPr>
            </w:pPr>
            <w:r w:rsidRPr="003F7F6C">
              <w:rPr>
                <w:rFonts w:cs="Calibri"/>
                <w:sz w:val="16"/>
                <w:szCs w:val="16"/>
              </w:rPr>
              <w:t>X</w:t>
            </w:r>
          </w:p>
        </w:tc>
        <w:tc>
          <w:tcPr>
            <w:tcW w:w="428" w:type="dxa"/>
          </w:tcPr>
          <w:p w14:paraId="7FD38778" w14:textId="77777777" w:rsidR="002B04EB" w:rsidRPr="003F7F6C" w:rsidRDefault="002B04EB" w:rsidP="00B851B7">
            <w:pPr>
              <w:rPr>
                <w:sz w:val="16"/>
                <w:szCs w:val="16"/>
              </w:rPr>
            </w:pPr>
            <w:r w:rsidRPr="003F7F6C">
              <w:rPr>
                <w:rFonts w:cs="Calibri"/>
                <w:sz w:val="16"/>
                <w:szCs w:val="16"/>
              </w:rPr>
              <w:t>X</w:t>
            </w:r>
          </w:p>
        </w:tc>
        <w:tc>
          <w:tcPr>
            <w:tcW w:w="428" w:type="dxa"/>
          </w:tcPr>
          <w:p w14:paraId="7100F257"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4C5DD53D" w14:textId="77777777" w:rsidR="002B04EB" w:rsidRPr="003F7F6C" w:rsidRDefault="002B04EB" w:rsidP="00B851B7">
            <w:pPr>
              <w:rPr>
                <w:sz w:val="16"/>
                <w:szCs w:val="16"/>
              </w:rPr>
            </w:pPr>
            <w:r w:rsidRPr="003F7F6C">
              <w:rPr>
                <w:rFonts w:cs="Calibri"/>
                <w:sz w:val="16"/>
                <w:szCs w:val="16"/>
              </w:rPr>
              <w:t>X</w:t>
            </w:r>
          </w:p>
        </w:tc>
        <w:tc>
          <w:tcPr>
            <w:tcW w:w="428" w:type="dxa"/>
          </w:tcPr>
          <w:p w14:paraId="46CA52B6" w14:textId="77777777" w:rsidR="002B04EB" w:rsidRPr="003F7F6C" w:rsidRDefault="002B04EB" w:rsidP="00B851B7">
            <w:pPr>
              <w:rPr>
                <w:sz w:val="16"/>
                <w:szCs w:val="16"/>
              </w:rPr>
            </w:pPr>
            <w:r w:rsidRPr="003F7F6C">
              <w:rPr>
                <w:rFonts w:cs="Calibri"/>
                <w:sz w:val="16"/>
                <w:szCs w:val="16"/>
              </w:rPr>
              <w:t>X</w:t>
            </w:r>
          </w:p>
        </w:tc>
        <w:tc>
          <w:tcPr>
            <w:tcW w:w="428" w:type="dxa"/>
          </w:tcPr>
          <w:p w14:paraId="5AD3E9E1" w14:textId="77777777" w:rsidR="002B04EB" w:rsidRPr="003F7F6C" w:rsidRDefault="002B04EB" w:rsidP="00B851B7">
            <w:pPr>
              <w:rPr>
                <w:sz w:val="16"/>
                <w:szCs w:val="16"/>
              </w:rPr>
            </w:pPr>
            <w:r w:rsidRPr="003F7F6C">
              <w:rPr>
                <w:rFonts w:cs="Calibri"/>
                <w:sz w:val="16"/>
                <w:szCs w:val="16"/>
              </w:rPr>
              <w:t>X</w:t>
            </w:r>
          </w:p>
        </w:tc>
        <w:tc>
          <w:tcPr>
            <w:tcW w:w="428" w:type="dxa"/>
          </w:tcPr>
          <w:p w14:paraId="0EC04DCF"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0275B55A" w14:textId="77777777" w:rsidR="002B04EB" w:rsidRPr="003F7F6C" w:rsidRDefault="002B04EB" w:rsidP="00B851B7">
            <w:pPr>
              <w:rPr>
                <w:sz w:val="16"/>
                <w:szCs w:val="16"/>
              </w:rPr>
            </w:pPr>
            <w:r w:rsidRPr="003F7F6C">
              <w:rPr>
                <w:rFonts w:cs="Calibri"/>
                <w:sz w:val="16"/>
                <w:szCs w:val="16"/>
              </w:rPr>
              <w:t>X</w:t>
            </w:r>
          </w:p>
        </w:tc>
        <w:tc>
          <w:tcPr>
            <w:tcW w:w="428" w:type="dxa"/>
          </w:tcPr>
          <w:p w14:paraId="78BAE52E" w14:textId="77777777" w:rsidR="002B04EB" w:rsidRPr="003F7F6C" w:rsidRDefault="002B04EB" w:rsidP="00B851B7">
            <w:pPr>
              <w:rPr>
                <w:sz w:val="16"/>
                <w:szCs w:val="16"/>
              </w:rPr>
            </w:pPr>
            <w:r w:rsidRPr="003F7F6C">
              <w:rPr>
                <w:rFonts w:cs="Calibri"/>
                <w:sz w:val="16"/>
                <w:szCs w:val="16"/>
              </w:rPr>
              <w:t>X</w:t>
            </w:r>
          </w:p>
        </w:tc>
        <w:tc>
          <w:tcPr>
            <w:tcW w:w="428" w:type="dxa"/>
          </w:tcPr>
          <w:p w14:paraId="34F70B5A" w14:textId="77777777" w:rsidR="002B04EB" w:rsidRPr="003F7F6C" w:rsidRDefault="002B04EB" w:rsidP="00B851B7">
            <w:pPr>
              <w:rPr>
                <w:sz w:val="16"/>
                <w:szCs w:val="16"/>
              </w:rPr>
            </w:pPr>
            <w:r w:rsidRPr="003F7F6C">
              <w:rPr>
                <w:rFonts w:cs="Calibri"/>
                <w:sz w:val="16"/>
                <w:szCs w:val="16"/>
              </w:rPr>
              <w:t>X</w:t>
            </w:r>
          </w:p>
        </w:tc>
        <w:tc>
          <w:tcPr>
            <w:tcW w:w="428" w:type="dxa"/>
          </w:tcPr>
          <w:p w14:paraId="047B4CFF"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09458930" w14:textId="77777777" w:rsidR="002B04EB" w:rsidRPr="003F7F6C" w:rsidRDefault="002B04EB" w:rsidP="00B851B7">
            <w:pPr>
              <w:rPr>
                <w:sz w:val="16"/>
                <w:szCs w:val="16"/>
              </w:rPr>
            </w:pPr>
            <w:r w:rsidRPr="003F7F6C">
              <w:rPr>
                <w:rFonts w:cs="Calibri"/>
                <w:sz w:val="16"/>
                <w:szCs w:val="16"/>
              </w:rPr>
              <w:t>X</w:t>
            </w:r>
          </w:p>
        </w:tc>
        <w:tc>
          <w:tcPr>
            <w:tcW w:w="428" w:type="dxa"/>
          </w:tcPr>
          <w:p w14:paraId="4BACB2E7" w14:textId="77777777" w:rsidR="002B04EB" w:rsidRPr="003F7F6C" w:rsidRDefault="002B04EB" w:rsidP="00B851B7">
            <w:pPr>
              <w:rPr>
                <w:rFonts w:cs="Calibri"/>
                <w:sz w:val="16"/>
                <w:szCs w:val="16"/>
              </w:rPr>
            </w:pPr>
          </w:p>
        </w:tc>
        <w:tc>
          <w:tcPr>
            <w:tcW w:w="428" w:type="dxa"/>
          </w:tcPr>
          <w:p w14:paraId="3B583829" w14:textId="77777777" w:rsidR="002B04EB" w:rsidRPr="003F7F6C" w:rsidRDefault="002B04EB" w:rsidP="00B851B7">
            <w:pPr>
              <w:rPr>
                <w:rFonts w:cs="Calibri"/>
                <w:sz w:val="16"/>
                <w:szCs w:val="16"/>
              </w:rPr>
            </w:pPr>
          </w:p>
        </w:tc>
        <w:tc>
          <w:tcPr>
            <w:tcW w:w="428" w:type="dxa"/>
          </w:tcPr>
          <w:p w14:paraId="426F5A7B" w14:textId="77777777" w:rsidR="002B04EB" w:rsidRPr="003F7F6C" w:rsidRDefault="002B04EB" w:rsidP="00B851B7">
            <w:pPr>
              <w:rPr>
                <w:rFonts w:cs="Calibri"/>
                <w:sz w:val="16"/>
                <w:szCs w:val="16"/>
              </w:rPr>
            </w:pPr>
          </w:p>
        </w:tc>
        <w:tc>
          <w:tcPr>
            <w:tcW w:w="428" w:type="dxa"/>
          </w:tcPr>
          <w:p w14:paraId="44EEF581" w14:textId="77777777" w:rsidR="002B04EB" w:rsidRPr="003F7F6C" w:rsidRDefault="002B04EB" w:rsidP="00B851B7">
            <w:pPr>
              <w:rPr>
                <w:rFonts w:cs="Calibri"/>
                <w:sz w:val="16"/>
                <w:szCs w:val="16"/>
              </w:rPr>
            </w:pPr>
          </w:p>
        </w:tc>
      </w:tr>
      <w:tr w:rsidR="002B04EB" w:rsidRPr="003F7F6C" w14:paraId="1BA57987" w14:textId="77777777" w:rsidTr="00B851B7">
        <w:tc>
          <w:tcPr>
            <w:tcW w:w="1668" w:type="dxa"/>
          </w:tcPr>
          <w:p w14:paraId="0FF8776A" w14:textId="77777777" w:rsidR="002B04EB" w:rsidRPr="003F7F6C" w:rsidRDefault="002B04EB" w:rsidP="00E91275">
            <w:pPr>
              <w:pStyle w:val="ListParagraph"/>
              <w:numPr>
                <w:ilvl w:val="0"/>
                <w:numId w:val="29"/>
              </w:numPr>
              <w:spacing w:after="0"/>
              <w:ind w:left="166" w:hanging="142"/>
              <w:contextualSpacing w:val="0"/>
              <w:jc w:val="left"/>
              <w:rPr>
                <w:rFonts w:cs="Calibri"/>
                <w:sz w:val="16"/>
                <w:szCs w:val="16"/>
              </w:rPr>
            </w:pPr>
            <w:r w:rsidRPr="003F7F6C">
              <w:rPr>
                <w:rFonts w:cs="Calibri"/>
                <w:sz w:val="16"/>
                <w:szCs w:val="16"/>
              </w:rPr>
              <w:t>Elaborate criteria document</w:t>
            </w:r>
          </w:p>
        </w:tc>
        <w:tc>
          <w:tcPr>
            <w:tcW w:w="1057" w:type="dxa"/>
          </w:tcPr>
          <w:p w14:paraId="4A09D2A2" w14:textId="77777777" w:rsidR="002B04EB" w:rsidRPr="003F7F6C" w:rsidRDefault="002B04EB" w:rsidP="00B851B7">
            <w:pPr>
              <w:rPr>
                <w:rFonts w:cs="Calibri"/>
                <w:sz w:val="16"/>
                <w:szCs w:val="16"/>
              </w:rPr>
            </w:pPr>
            <w:r w:rsidRPr="003F7F6C">
              <w:rPr>
                <w:rFonts w:cs="Calibri"/>
                <w:sz w:val="16"/>
                <w:szCs w:val="16"/>
              </w:rPr>
              <w:t xml:space="preserve">SGAyDS </w:t>
            </w:r>
          </w:p>
          <w:p w14:paraId="75E2625F" w14:textId="77777777" w:rsidR="002B04EB" w:rsidRPr="003F7F6C" w:rsidRDefault="002B04EB" w:rsidP="00B851B7">
            <w:pPr>
              <w:rPr>
                <w:rFonts w:cs="Calibri"/>
                <w:sz w:val="16"/>
                <w:szCs w:val="16"/>
              </w:rPr>
            </w:pPr>
            <w:r w:rsidRPr="003F7F6C">
              <w:rPr>
                <w:rFonts w:cs="Calibri"/>
                <w:sz w:val="16"/>
                <w:szCs w:val="16"/>
              </w:rPr>
              <w:t>INTA</w:t>
            </w:r>
          </w:p>
        </w:tc>
        <w:tc>
          <w:tcPr>
            <w:tcW w:w="428" w:type="dxa"/>
          </w:tcPr>
          <w:p w14:paraId="08E4C855" w14:textId="77777777" w:rsidR="002B04EB" w:rsidRPr="003F7F6C" w:rsidRDefault="002B04EB" w:rsidP="00B851B7">
            <w:pPr>
              <w:rPr>
                <w:rFonts w:cs="Calibri"/>
                <w:sz w:val="16"/>
                <w:szCs w:val="16"/>
              </w:rPr>
            </w:pPr>
          </w:p>
        </w:tc>
        <w:tc>
          <w:tcPr>
            <w:tcW w:w="444" w:type="dxa"/>
          </w:tcPr>
          <w:p w14:paraId="4BE6150F" w14:textId="77777777" w:rsidR="002B04EB" w:rsidRPr="003F7F6C" w:rsidRDefault="002B04EB" w:rsidP="00B851B7">
            <w:pPr>
              <w:rPr>
                <w:rFonts w:cs="Calibri"/>
                <w:sz w:val="16"/>
                <w:szCs w:val="16"/>
              </w:rPr>
            </w:pPr>
          </w:p>
        </w:tc>
        <w:tc>
          <w:tcPr>
            <w:tcW w:w="428" w:type="dxa"/>
          </w:tcPr>
          <w:p w14:paraId="54C2B26B" w14:textId="77777777" w:rsidR="002B04EB" w:rsidRPr="003F7F6C" w:rsidRDefault="002B04EB" w:rsidP="00B851B7">
            <w:pPr>
              <w:rPr>
                <w:rFonts w:cs="Calibri"/>
                <w:sz w:val="16"/>
                <w:szCs w:val="16"/>
              </w:rPr>
            </w:pPr>
          </w:p>
        </w:tc>
        <w:tc>
          <w:tcPr>
            <w:tcW w:w="428" w:type="dxa"/>
            <w:gridSpan w:val="2"/>
          </w:tcPr>
          <w:p w14:paraId="4C43A822" w14:textId="77777777" w:rsidR="002B04EB" w:rsidRPr="003F7F6C" w:rsidRDefault="002B04EB" w:rsidP="00B851B7">
            <w:pPr>
              <w:rPr>
                <w:rFonts w:cs="Calibri"/>
                <w:sz w:val="16"/>
                <w:szCs w:val="16"/>
              </w:rPr>
            </w:pPr>
          </w:p>
        </w:tc>
        <w:tc>
          <w:tcPr>
            <w:tcW w:w="428" w:type="dxa"/>
          </w:tcPr>
          <w:p w14:paraId="5A960474" w14:textId="77777777" w:rsidR="002B04EB" w:rsidRPr="003F7F6C" w:rsidRDefault="002B04EB" w:rsidP="00B851B7">
            <w:pPr>
              <w:rPr>
                <w:rFonts w:cs="Calibri"/>
                <w:sz w:val="16"/>
                <w:szCs w:val="16"/>
              </w:rPr>
            </w:pPr>
          </w:p>
        </w:tc>
        <w:tc>
          <w:tcPr>
            <w:tcW w:w="427" w:type="dxa"/>
          </w:tcPr>
          <w:p w14:paraId="4835C9C1" w14:textId="77777777" w:rsidR="002B04EB" w:rsidRPr="003F7F6C" w:rsidRDefault="002B04EB" w:rsidP="00B851B7">
            <w:pPr>
              <w:rPr>
                <w:rFonts w:cs="Calibri"/>
                <w:sz w:val="16"/>
                <w:szCs w:val="16"/>
              </w:rPr>
            </w:pPr>
          </w:p>
        </w:tc>
        <w:tc>
          <w:tcPr>
            <w:tcW w:w="427" w:type="dxa"/>
          </w:tcPr>
          <w:p w14:paraId="5289D55E" w14:textId="77777777" w:rsidR="002B04EB" w:rsidRPr="003F7F6C" w:rsidRDefault="002B04EB" w:rsidP="00B851B7">
            <w:pPr>
              <w:rPr>
                <w:rFonts w:cs="Calibri"/>
                <w:sz w:val="16"/>
                <w:szCs w:val="16"/>
              </w:rPr>
            </w:pPr>
          </w:p>
        </w:tc>
        <w:tc>
          <w:tcPr>
            <w:tcW w:w="427" w:type="dxa"/>
            <w:gridSpan w:val="2"/>
          </w:tcPr>
          <w:p w14:paraId="0CCB5257" w14:textId="77777777" w:rsidR="002B04EB" w:rsidRPr="003F7F6C" w:rsidRDefault="002B04EB" w:rsidP="00B851B7">
            <w:pPr>
              <w:rPr>
                <w:rFonts w:cs="Calibri"/>
                <w:sz w:val="16"/>
                <w:szCs w:val="16"/>
              </w:rPr>
            </w:pPr>
          </w:p>
        </w:tc>
        <w:tc>
          <w:tcPr>
            <w:tcW w:w="428" w:type="dxa"/>
          </w:tcPr>
          <w:p w14:paraId="6F228940" w14:textId="77777777" w:rsidR="002B04EB" w:rsidRPr="003F7F6C" w:rsidRDefault="002B04EB" w:rsidP="00B851B7">
            <w:pPr>
              <w:rPr>
                <w:rFonts w:cs="Calibri"/>
                <w:sz w:val="16"/>
                <w:szCs w:val="16"/>
              </w:rPr>
            </w:pPr>
          </w:p>
        </w:tc>
        <w:tc>
          <w:tcPr>
            <w:tcW w:w="428" w:type="dxa"/>
          </w:tcPr>
          <w:p w14:paraId="1AF85E8E" w14:textId="77777777" w:rsidR="002B04EB" w:rsidRPr="003F7F6C" w:rsidRDefault="002B04EB" w:rsidP="00B851B7">
            <w:pPr>
              <w:rPr>
                <w:rFonts w:cs="Calibri"/>
                <w:sz w:val="16"/>
                <w:szCs w:val="16"/>
              </w:rPr>
            </w:pPr>
          </w:p>
        </w:tc>
        <w:tc>
          <w:tcPr>
            <w:tcW w:w="428" w:type="dxa"/>
          </w:tcPr>
          <w:p w14:paraId="45501C44" w14:textId="77777777" w:rsidR="002B04EB" w:rsidRPr="003F7F6C" w:rsidRDefault="002B04EB" w:rsidP="00B851B7">
            <w:pPr>
              <w:rPr>
                <w:rFonts w:cs="Calibri"/>
                <w:sz w:val="16"/>
                <w:szCs w:val="16"/>
              </w:rPr>
            </w:pPr>
          </w:p>
        </w:tc>
        <w:tc>
          <w:tcPr>
            <w:tcW w:w="428" w:type="dxa"/>
            <w:gridSpan w:val="2"/>
          </w:tcPr>
          <w:p w14:paraId="2D593CC3" w14:textId="77777777" w:rsidR="002B04EB" w:rsidRPr="003F7F6C" w:rsidRDefault="002B04EB" w:rsidP="00B851B7">
            <w:pPr>
              <w:rPr>
                <w:rFonts w:cs="Calibri"/>
                <w:sz w:val="16"/>
                <w:szCs w:val="16"/>
              </w:rPr>
            </w:pPr>
          </w:p>
        </w:tc>
        <w:tc>
          <w:tcPr>
            <w:tcW w:w="428" w:type="dxa"/>
          </w:tcPr>
          <w:p w14:paraId="537CD96F" w14:textId="77777777" w:rsidR="002B04EB" w:rsidRPr="003F7F6C" w:rsidRDefault="002B04EB" w:rsidP="00B851B7">
            <w:pPr>
              <w:rPr>
                <w:rFonts w:cs="Calibri"/>
                <w:sz w:val="16"/>
                <w:szCs w:val="16"/>
              </w:rPr>
            </w:pPr>
          </w:p>
        </w:tc>
        <w:tc>
          <w:tcPr>
            <w:tcW w:w="428" w:type="dxa"/>
          </w:tcPr>
          <w:p w14:paraId="77AE53EF" w14:textId="77777777" w:rsidR="002B04EB" w:rsidRPr="003F7F6C" w:rsidRDefault="002B04EB" w:rsidP="00B851B7">
            <w:pPr>
              <w:rPr>
                <w:rFonts w:cs="Calibri"/>
                <w:sz w:val="16"/>
                <w:szCs w:val="16"/>
              </w:rPr>
            </w:pPr>
          </w:p>
        </w:tc>
        <w:tc>
          <w:tcPr>
            <w:tcW w:w="428" w:type="dxa"/>
          </w:tcPr>
          <w:p w14:paraId="75D6E524" w14:textId="77777777" w:rsidR="002B04EB" w:rsidRPr="003F7F6C" w:rsidRDefault="002B04EB" w:rsidP="00B851B7">
            <w:pPr>
              <w:rPr>
                <w:rFonts w:cs="Calibri"/>
                <w:sz w:val="16"/>
                <w:szCs w:val="16"/>
              </w:rPr>
            </w:pPr>
          </w:p>
        </w:tc>
        <w:tc>
          <w:tcPr>
            <w:tcW w:w="428" w:type="dxa"/>
            <w:gridSpan w:val="2"/>
          </w:tcPr>
          <w:p w14:paraId="502196E1" w14:textId="77777777" w:rsidR="002B04EB" w:rsidRPr="003F7F6C" w:rsidRDefault="002B04EB" w:rsidP="00B851B7">
            <w:pPr>
              <w:rPr>
                <w:rFonts w:cs="Calibri"/>
                <w:sz w:val="16"/>
                <w:szCs w:val="16"/>
              </w:rPr>
            </w:pPr>
          </w:p>
        </w:tc>
        <w:tc>
          <w:tcPr>
            <w:tcW w:w="428" w:type="dxa"/>
          </w:tcPr>
          <w:p w14:paraId="33A618DF" w14:textId="77777777" w:rsidR="002B04EB" w:rsidRPr="003F7F6C" w:rsidRDefault="002B04EB" w:rsidP="00B851B7">
            <w:pPr>
              <w:rPr>
                <w:sz w:val="16"/>
                <w:szCs w:val="16"/>
              </w:rPr>
            </w:pPr>
            <w:r w:rsidRPr="003F7F6C">
              <w:rPr>
                <w:rFonts w:cs="Calibri"/>
                <w:sz w:val="16"/>
                <w:szCs w:val="16"/>
              </w:rPr>
              <w:t>X</w:t>
            </w:r>
          </w:p>
        </w:tc>
        <w:tc>
          <w:tcPr>
            <w:tcW w:w="428" w:type="dxa"/>
          </w:tcPr>
          <w:p w14:paraId="0614E268" w14:textId="77777777" w:rsidR="002B04EB" w:rsidRPr="003F7F6C" w:rsidRDefault="002B04EB" w:rsidP="00B851B7">
            <w:pPr>
              <w:rPr>
                <w:sz w:val="16"/>
                <w:szCs w:val="16"/>
              </w:rPr>
            </w:pPr>
            <w:r w:rsidRPr="003F7F6C">
              <w:rPr>
                <w:rFonts w:cs="Calibri"/>
                <w:sz w:val="16"/>
                <w:szCs w:val="16"/>
              </w:rPr>
              <w:t>X</w:t>
            </w:r>
          </w:p>
        </w:tc>
        <w:tc>
          <w:tcPr>
            <w:tcW w:w="428" w:type="dxa"/>
          </w:tcPr>
          <w:p w14:paraId="6A3E5684"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748A02A2" w14:textId="77777777" w:rsidR="002B04EB" w:rsidRPr="003F7F6C" w:rsidRDefault="002B04EB" w:rsidP="00B851B7">
            <w:pPr>
              <w:rPr>
                <w:sz w:val="16"/>
                <w:szCs w:val="16"/>
              </w:rPr>
            </w:pPr>
            <w:r w:rsidRPr="003F7F6C">
              <w:rPr>
                <w:rFonts w:cs="Calibri"/>
                <w:sz w:val="16"/>
                <w:szCs w:val="16"/>
              </w:rPr>
              <w:t>X</w:t>
            </w:r>
          </w:p>
        </w:tc>
        <w:tc>
          <w:tcPr>
            <w:tcW w:w="428" w:type="dxa"/>
          </w:tcPr>
          <w:p w14:paraId="6D93E447" w14:textId="77777777" w:rsidR="002B04EB" w:rsidRPr="003F7F6C" w:rsidRDefault="002B04EB" w:rsidP="00B851B7">
            <w:pPr>
              <w:rPr>
                <w:sz w:val="16"/>
                <w:szCs w:val="16"/>
              </w:rPr>
            </w:pPr>
            <w:r w:rsidRPr="003F7F6C">
              <w:rPr>
                <w:rFonts w:cs="Calibri"/>
                <w:sz w:val="16"/>
                <w:szCs w:val="16"/>
              </w:rPr>
              <w:t>X</w:t>
            </w:r>
          </w:p>
        </w:tc>
        <w:tc>
          <w:tcPr>
            <w:tcW w:w="428" w:type="dxa"/>
          </w:tcPr>
          <w:p w14:paraId="5DA9797E" w14:textId="77777777" w:rsidR="002B04EB" w:rsidRPr="003F7F6C" w:rsidRDefault="002B04EB" w:rsidP="00B851B7">
            <w:pPr>
              <w:rPr>
                <w:sz w:val="16"/>
                <w:szCs w:val="16"/>
              </w:rPr>
            </w:pPr>
            <w:r w:rsidRPr="003F7F6C">
              <w:rPr>
                <w:rFonts w:cs="Calibri"/>
                <w:sz w:val="16"/>
                <w:szCs w:val="16"/>
              </w:rPr>
              <w:t>X</w:t>
            </w:r>
          </w:p>
        </w:tc>
        <w:tc>
          <w:tcPr>
            <w:tcW w:w="428" w:type="dxa"/>
          </w:tcPr>
          <w:p w14:paraId="49A6C0CC" w14:textId="77777777" w:rsidR="002B04EB" w:rsidRPr="003F7F6C" w:rsidRDefault="002B04EB" w:rsidP="00B851B7">
            <w:pPr>
              <w:rPr>
                <w:sz w:val="16"/>
                <w:szCs w:val="16"/>
              </w:rPr>
            </w:pPr>
            <w:r w:rsidRPr="003F7F6C">
              <w:rPr>
                <w:rFonts w:cs="Calibri"/>
                <w:sz w:val="16"/>
                <w:szCs w:val="16"/>
              </w:rPr>
              <w:t>X</w:t>
            </w:r>
          </w:p>
        </w:tc>
        <w:tc>
          <w:tcPr>
            <w:tcW w:w="428" w:type="dxa"/>
          </w:tcPr>
          <w:p w14:paraId="1D3F2CC6" w14:textId="77777777" w:rsidR="002B04EB" w:rsidRPr="003F7F6C" w:rsidRDefault="002B04EB" w:rsidP="00B851B7">
            <w:pPr>
              <w:rPr>
                <w:sz w:val="16"/>
                <w:szCs w:val="16"/>
              </w:rPr>
            </w:pPr>
            <w:r w:rsidRPr="003F7F6C">
              <w:rPr>
                <w:rFonts w:cs="Calibri"/>
                <w:sz w:val="16"/>
                <w:szCs w:val="16"/>
              </w:rPr>
              <w:t>X</w:t>
            </w:r>
          </w:p>
        </w:tc>
      </w:tr>
      <w:tr w:rsidR="002B04EB" w:rsidRPr="003F7F6C" w14:paraId="50234AA4" w14:textId="77777777" w:rsidTr="00B851B7">
        <w:tc>
          <w:tcPr>
            <w:tcW w:w="1668" w:type="dxa"/>
          </w:tcPr>
          <w:p w14:paraId="36340277" w14:textId="77777777" w:rsidR="002B04EB" w:rsidRPr="003F7F6C" w:rsidRDefault="002B04EB" w:rsidP="00B851B7">
            <w:pPr>
              <w:rPr>
                <w:rFonts w:cs="Calibri"/>
                <w:sz w:val="16"/>
                <w:szCs w:val="16"/>
              </w:rPr>
            </w:pPr>
            <w:r w:rsidRPr="003F7F6C">
              <w:rPr>
                <w:rFonts w:cs="Calibri"/>
                <w:sz w:val="16"/>
                <w:szCs w:val="16"/>
              </w:rPr>
              <w:t>1.2.2 Develop strategies to promote conservation and restoration areas with compensation schemes for ELUP</w:t>
            </w:r>
          </w:p>
        </w:tc>
        <w:tc>
          <w:tcPr>
            <w:tcW w:w="1057" w:type="dxa"/>
          </w:tcPr>
          <w:p w14:paraId="044F6195" w14:textId="77777777" w:rsidR="002B04EB" w:rsidRPr="003F7F6C" w:rsidRDefault="002B04EB" w:rsidP="00B851B7">
            <w:pPr>
              <w:rPr>
                <w:rFonts w:cs="Calibri"/>
                <w:sz w:val="16"/>
                <w:szCs w:val="16"/>
              </w:rPr>
            </w:pPr>
            <w:r w:rsidRPr="003F7F6C">
              <w:rPr>
                <w:rFonts w:cs="Calibri"/>
                <w:sz w:val="16"/>
                <w:szCs w:val="16"/>
              </w:rPr>
              <w:t xml:space="preserve">SGAyDS </w:t>
            </w:r>
          </w:p>
          <w:p w14:paraId="745F3624" w14:textId="77777777" w:rsidR="002B04EB" w:rsidRPr="003F7F6C" w:rsidRDefault="002B04EB" w:rsidP="00B851B7">
            <w:pPr>
              <w:rPr>
                <w:rFonts w:cs="Calibri"/>
                <w:sz w:val="16"/>
                <w:szCs w:val="16"/>
              </w:rPr>
            </w:pPr>
            <w:r w:rsidRPr="003F7F6C">
              <w:rPr>
                <w:rFonts w:cs="Calibri"/>
                <w:sz w:val="16"/>
                <w:szCs w:val="16"/>
              </w:rPr>
              <w:t>INTA</w:t>
            </w:r>
          </w:p>
        </w:tc>
        <w:tc>
          <w:tcPr>
            <w:tcW w:w="428" w:type="dxa"/>
          </w:tcPr>
          <w:p w14:paraId="03ACF8F2" w14:textId="77777777" w:rsidR="002B04EB" w:rsidRPr="003F7F6C" w:rsidRDefault="002B04EB" w:rsidP="00B851B7">
            <w:pPr>
              <w:rPr>
                <w:rFonts w:cs="Calibri"/>
                <w:sz w:val="16"/>
                <w:szCs w:val="16"/>
              </w:rPr>
            </w:pPr>
          </w:p>
        </w:tc>
        <w:tc>
          <w:tcPr>
            <w:tcW w:w="444" w:type="dxa"/>
          </w:tcPr>
          <w:p w14:paraId="1DD704C1" w14:textId="77777777" w:rsidR="002B04EB" w:rsidRPr="003F7F6C" w:rsidRDefault="002B04EB" w:rsidP="00B851B7">
            <w:pPr>
              <w:rPr>
                <w:sz w:val="16"/>
                <w:szCs w:val="16"/>
              </w:rPr>
            </w:pPr>
            <w:r w:rsidRPr="003F7F6C">
              <w:rPr>
                <w:rFonts w:cs="Calibri"/>
                <w:sz w:val="16"/>
                <w:szCs w:val="16"/>
              </w:rPr>
              <w:t>X</w:t>
            </w:r>
          </w:p>
        </w:tc>
        <w:tc>
          <w:tcPr>
            <w:tcW w:w="428" w:type="dxa"/>
          </w:tcPr>
          <w:p w14:paraId="5CDE135D"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4E99B9EA" w14:textId="77777777" w:rsidR="002B04EB" w:rsidRPr="003F7F6C" w:rsidRDefault="002B04EB" w:rsidP="00B851B7">
            <w:pPr>
              <w:rPr>
                <w:sz w:val="16"/>
                <w:szCs w:val="16"/>
              </w:rPr>
            </w:pPr>
            <w:r w:rsidRPr="003F7F6C">
              <w:rPr>
                <w:rFonts w:cs="Calibri"/>
                <w:sz w:val="16"/>
                <w:szCs w:val="16"/>
              </w:rPr>
              <w:t>X</w:t>
            </w:r>
          </w:p>
        </w:tc>
        <w:tc>
          <w:tcPr>
            <w:tcW w:w="428" w:type="dxa"/>
          </w:tcPr>
          <w:p w14:paraId="7A7E2BC2" w14:textId="77777777" w:rsidR="002B04EB" w:rsidRPr="003F7F6C" w:rsidRDefault="002B04EB" w:rsidP="00B851B7">
            <w:pPr>
              <w:rPr>
                <w:sz w:val="16"/>
                <w:szCs w:val="16"/>
              </w:rPr>
            </w:pPr>
            <w:r w:rsidRPr="003F7F6C">
              <w:rPr>
                <w:rFonts w:cs="Calibri"/>
                <w:sz w:val="16"/>
                <w:szCs w:val="16"/>
              </w:rPr>
              <w:t>X</w:t>
            </w:r>
          </w:p>
        </w:tc>
        <w:tc>
          <w:tcPr>
            <w:tcW w:w="427" w:type="dxa"/>
          </w:tcPr>
          <w:p w14:paraId="5561A4F1" w14:textId="77777777" w:rsidR="002B04EB" w:rsidRPr="003F7F6C" w:rsidRDefault="002B04EB" w:rsidP="00B851B7">
            <w:pPr>
              <w:rPr>
                <w:sz w:val="16"/>
                <w:szCs w:val="16"/>
              </w:rPr>
            </w:pPr>
            <w:r w:rsidRPr="003F7F6C">
              <w:rPr>
                <w:rFonts w:cs="Calibri"/>
                <w:sz w:val="16"/>
                <w:szCs w:val="16"/>
              </w:rPr>
              <w:t>X</w:t>
            </w:r>
          </w:p>
        </w:tc>
        <w:tc>
          <w:tcPr>
            <w:tcW w:w="427" w:type="dxa"/>
          </w:tcPr>
          <w:p w14:paraId="1E0187F2" w14:textId="77777777" w:rsidR="002B04EB" w:rsidRPr="003F7F6C" w:rsidRDefault="002B04EB" w:rsidP="00B851B7">
            <w:pPr>
              <w:rPr>
                <w:sz w:val="16"/>
                <w:szCs w:val="16"/>
              </w:rPr>
            </w:pPr>
            <w:r w:rsidRPr="003F7F6C">
              <w:rPr>
                <w:rFonts w:cs="Calibri"/>
                <w:sz w:val="16"/>
                <w:szCs w:val="16"/>
              </w:rPr>
              <w:t>X</w:t>
            </w:r>
          </w:p>
        </w:tc>
        <w:tc>
          <w:tcPr>
            <w:tcW w:w="427" w:type="dxa"/>
            <w:gridSpan w:val="2"/>
          </w:tcPr>
          <w:p w14:paraId="3BC912F3" w14:textId="77777777" w:rsidR="002B04EB" w:rsidRPr="003F7F6C" w:rsidRDefault="002B04EB" w:rsidP="00B851B7">
            <w:pPr>
              <w:rPr>
                <w:sz w:val="16"/>
                <w:szCs w:val="16"/>
              </w:rPr>
            </w:pPr>
            <w:r w:rsidRPr="003F7F6C">
              <w:rPr>
                <w:rFonts w:cs="Calibri"/>
                <w:sz w:val="16"/>
                <w:szCs w:val="16"/>
              </w:rPr>
              <w:t>X</w:t>
            </w:r>
          </w:p>
        </w:tc>
        <w:tc>
          <w:tcPr>
            <w:tcW w:w="428" w:type="dxa"/>
          </w:tcPr>
          <w:p w14:paraId="2BE8CB6C" w14:textId="77777777" w:rsidR="002B04EB" w:rsidRPr="003F7F6C" w:rsidRDefault="002B04EB" w:rsidP="00B851B7">
            <w:pPr>
              <w:rPr>
                <w:sz w:val="16"/>
                <w:szCs w:val="16"/>
              </w:rPr>
            </w:pPr>
            <w:r w:rsidRPr="003F7F6C">
              <w:rPr>
                <w:rFonts w:cs="Calibri"/>
                <w:sz w:val="16"/>
                <w:szCs w:val="16"/>
              </w:rPr>
              <w:t>X</w:t>
            </w:r>
          </w:p>
        </w:tc>
        <w:tc>
          <w:tcPr>
            <w:tcW w:w="428" w:type="dxa"/>
          </w:tcPr>
          <w:p w14:paraId="1CD0AB3A" w14:textId="77777777" w:rsidR="002B04EB" w:rsidRPr="003F7F6C" w:rsidRDefault="002B04EB" w:rsidP="00B851B7">
            <w:pPr>
              <w:rPr>
                <w:sz w:val="16"/>
                <w:szCs w:val="16"/>
              </w:rPr>
            </w:pPr>
            <w:r w:rsidRPr="003F7F6C">
              <w:rPr>
                <w:rFonts w:cs="Calibri"/>
                <w:sz w:val="16"/>
                <w:szCs w:val="16"/>
              </w:rPr>
              <w:t>X</w:t>
            </w:r>
          </w:p>
        </w:tc>
        <w:tc>
          <w:tcPr>
            <w:tcW w:w="428" w:type="dxa"/>
          </w:tcPr>
          <w:p w14:paraId="0C45A45E"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66BF6AE2" w14:textId="77777777" w:rsidR="002B04EB" w:rsidRPr="003F7F6C" w:rsidRDefault="002B04EB" w:rsidP="00B851B7">
            <w:pPr>
              <w:rPr>
                <w:sz w:val="16"/>
                <w:szCs w:val="16"/>
              </w:rPr>
            </w:pPr>
            <w:r w:rsidRPr="003F7F6C">
              <w:rPr>
                <w:rFonts w:cs="Calibri"/>
                <w:sz w:val="16"/>
                <w:szCs w:val="16"/>
              </w:rPr>
              <w:t>X</w:t>
            </w:r>
          </w:p>
        </w:tc>
        <w:tc>
          <w:tcPr>
            <w:tcW w:w="428" w:type="dxa"/>
          </w:tcPr>
          <w:p w14:paraId="58745DE8" w14:textId="77777777" w:rsidR="002B04EB" w:rsidRPr="003F7F6C" w:rsidRDefault="002B04EB" w:rsidP="00B851B7">
            <w:pPr>
              <w:rPr>
                <w:sz w:val="16"/>
                <w:szCs w:val="16"/>
              </w:rPr>
            </w:pPr>
            <w:r w:rsidRPr="003F7F6C">
              <w:rPr>
                <w:rFonts w:cs="Calibri"/>
                <w:sz w:val="16"/>
                <w:szCs w:val="16"/>
              </w:rPr>
              <w:t>X</w:t>
            </w:r>
          </w:p>
        </w:tc>
        <w:tc>
          <w:tcPr>
            <w:tcW w:w="428" w:type="dxa"/>
          </w:tcPr>
          <w:p w14:paraId="03436626" w14:textId="77777777" w:rsidR="002B04EB" w:rsidRPr="003F7F6C" w:rsidRDefault="002B04EB" w:rsidP="00B851B7">
            <w:pPr>
              <w:rPr>
                <w:sz w:val="16"/>
                <w:szCs w:val="16"/>
              </w:rPr>
            </w:pPr>
            <w:r w:rsidRPr="003F7F6C">
              <w:rPr>
                <w:rFonts w:cs="Calibri"/>
                <w:sz w:val="16"/>
                <w:szCs w:val="16"/>
              </w:rPr>
              <w:t>X</w:t>
            </w:r>
          </w:p>
        </w:tc>
        <w:tc>
          <w:tcPr>
            <w:tcW w:w="428" w:type="dxa"/>
          </w:tcPr>
          <w:p w14:paraId="4BB2839D"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1A7006A4" w14:textId="77777777" w:rsidR="002B04EB" w:rsidRPr="003F7F6C" w:rsidRDefault="002B04EB" w:rsidP="00B851B7">
            <w:pPr>
              <w:rPr>
                <w:sz w:val="16"/>
                <w:szCs w:val="16"/>
              </w:rPr>
            </w:pPr>
            <w:r w:rsidRPr="003F7F6C">
              <w:rPr>
                <w:rFonts w:cs="Calibri"/>
                <w:sz w:val="16"/>
                <w:szCs w:val="16"/>
              </w:rPr>
              <w:t>X</w:t>
            </w:r>
          </w:p>
        </w:tc>
        <w:tc>
          <w:tcPr>
            <w:tcW w:w="428" w:type="dxa"/>
          </w:tcPr>
          <w:p w14:paraId="56BB7B92" w14:textId="77777777" w:rsidR="002B04EB" w:rsidRPr="003F7F6C" w:rsidRDefault="002B04EB" w:rsidP="00B851B7">
            <w:pPr>
              <w:rPr>
                <w:sz w:val="16"/>
                <w:szCs w:val="16"/>
              </w:rPr>
            </w:pPr>
            <w:r w:rsidRPr="003F7F6C">
              <w:rPr>
                <w:rFonts w:cs="Calibri"/>
                <w:sz w:val="16"/>
                <w:szCs w:val="16"/>
              </w:rPr>
              <w:t>X</w:t>
            </w:r>
          </w:p>
        </w:tc>
        <w:tc>
          <w:tcPr>
            <w:tcW w:w="428" w:type="dxa"/>
          </w:tcPr>
          <w:p w14:paraId="71808081" w14:textId="77777777" w:rsidR="002B04EB" w:rsidRPr="003F7F6C" w:rsidRDefault="002B04EB" w:rsidP="00B851B7">
            <w:pPr>
              <w:rPr>
                <w:sz w:val="16"/>
                <w:szCs w:val="16"/>
              </w:rPr>
            </w:pPr>
            <w:r w:rsidRPr="003F7F6C">
              <w:rPr>
                <w:rFonts w:cs="Calibri"/>
                <w:sz w:val="16"/>
                <w:szCs w:val="16"/>
              </w:rPr>
              <w:t>X</w:t>
            </w:r>
          </w:p>
        </w:tc>
        <w:tc>
          <w:tcPr>
            <w:tcW w:w="428" w:type="dxa"/>
          </w:tcPr>
          <w:p w14:paraId="69CEC75A"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3CC2B684" w14:textId="77777777" w:rsidR="002B04EB" w:rsidRPr="003F7F6C" w:rsidRDefault="002B04EB" w:rsidP="00B851B7">
            <w:pPr>
              <w:rPr>
                <w:sz w:val="16"/>
                <w:szCs w:val="16"/>
              </w:rPr>
            </w:pPr>
            <w:r w:rsidRPr="003F7F6C">
              <w:rPr>
                <w:rFonts w:cs="Calibri"/>
                <w:sz w:val="16"/>
                <w:szCs w:val="16"/>
              </w:rPr>
              <w:t>X</w:t>
            </w:r>
          </w:p>
        </w:tc>
        <w:tc>
          <w:tcPr>
            <w:tcW w:w="428" w:type="dxa"/>
          </w:tcPr>
          <w:p w14:paraId="14E0B23C" w14:textId="77777777" w:rsidR="002B04EB" w:rsidRPr="003F7F6C" w:rsidRDefault="002B04EB" w:rsidP="00B851B7">
            <w:pPr>
              <w:rPr>
                <w:sz w:val="16"/>
                <w:szCs w:val="16"/>
              </w:rPr>
            </w:pPr>
            <w:r w:rsidRPr="003F7F6C">
              <w:rPr>
                <w:rFonts w:cs="Calibri"/>
                <w:sz w:val="16"/>
                <w:szCs w:val="16"/>
              </w:rPr>
              <w:t>X</w:t>
            </w:r>
          </w:p>
        </w:tc>
        <w:tc>
          <w:tcPr>
            <w:tcW w:w="428" w:type="dxa"/>
          </w:tcPr>
          <w:p w14:paraId="0B2257D4" w14:textId="77777777" w:rsidR="002B04EB" w:rsidRPr="003F7F6C" w:rsidRDefault="002B04EB" w:rsidP="00B851B7">
            <w:pPr>
              <w:rPr>
                <w:sz w:val="16"/>
                <w:szCs w:val="16"/>
              </w:rPr>
            </w:pPr>
            <w:r w:rsidRPr="003F7F6C">
              <w:rPr>
                <w:rFonts w:cs="Calibri"/>
                <w:sz w:val="16"/>
                <w:szCs w:val="16"/>
              </w:rPr>
              <w:t>X</w:t>
            </w:r>
          </w:p>
        </w:tc>
        <w:tc>
          <w:tcPr>
            <w:tcW w:w="428" w:type="dxa"/>
          </w:tcPr>
          <w:p w14:paraId="3F90240D" w14:textId="77777777" w:rsidR="002B04EB" w:rsidRPr="003F7F6C" w:rsidRDefault="002B04EB" w:rsidP="00B851B7">
            <w:pPr>
              <w:rPr>
                <w:sz w:val="16"/>
                <w:szCs w:val="16"/>
              </w:rPr>
            </w:pPr>
            <w:r w:rsidRPr="003F7F6C">
              <w:rPr>
                <w:rFonts w:cs="Calibri"/>
                <w:sz w:val="16"/>
                <w:szCs w:val="16"/>
              </w:rPr>
              <w:t>X</w:t>
            </w:r>
          </w:p>
        </w:tc>
        <w:tc>
          <w:tcPr>
            <w:tcW w:w="428" w:type="dxa"/>
          </w:tcPr>
          <w:p w14:paraId="17C3DDDE" w14:textId="77777777" w:rsidR="002B04EB" w:rsidRPr="003F7F6C" w:rsidRDefault="002B04EB" w:rsidP="00B851B7">
            <w:pPr>
              <w:rPr>
                <w:sz w:val="16"/>
                <w:szCs w:val="16"/>
              </w:rPr>
            </w:pPr>
            <w:r w:rsidRPr="003F7F6C">
              <w:rPr>
                <w:rFonts w:cs="Calibri"/>
                <w:sz w:val="16"/>
                <w:szCs w:val="16"/>
              </w:rPr>
              <w:t>X</w:t>
            </w:r>
          </w:p>
        </w:tc>
      </w:tr>
      <w:tr w:rsidR="002B04EB" w:rsidRPr="003F7F6C" w14:paraId="3499F491" w14:textId="77777777" w:rsidTr="00B851B7">
        <w:tc>
          <w:tcPr>
            <w:tcW w:w="1668" w:type="dxa"/>
          </w:tcPr>
          <w:p w14:paraId="74F349DF" w14:textId="77777777" w:rsidR="002B04EB" w:rsidRPr="003F7F6C" w:rsidRDefault="002B04EB" w:rsidP="00E91275">
            <w:pPr>
              <w:pStyle w:val="ListParagraph"/>
              <w:numPr>
                <w:ilvl w:val="0"/>
                <w:numId w:val="29"/>
              </w:numPr>
              <w:spacing w:after="0"/>
              <w:ind w:left="166" w:hanging="166"/>
              <w:contextualSpacing w:val="0"/>
              <w:rPr>
                <w:rFonts w:cs="Calibri"/>
                <w:sz w:val="16"/>
                <w:szCs w:val="16"/>
              </w:rPr>
            </w:pPr>
            <w:r w:rsidRPr="003F7F6C">
              <w:rPr>
                <w:rFonts w:cs="Calibri"/>
                <w:sz w:val="16"/>
                <w:szCs w:val="16"/>
              </w:rPr>
              <w:t>Collect, analyze and identify compensation schemes</w:t>
            </w:r>
          </w:p>
        </w:tc>
        <w:tc>
          <w:tcPr>
            <w:tcW w:w="1057" w:type="dxa"/>
          </w:tcPr>
          <w:p w14:paraId="3465D71D" w14:textId="77777777" w:rsidR="002B04EB" w:rsidRPr="003F7F6C" w:rsidRDefault="002B04EB" w:rsidP="00B851B7">
            <w:pPr>
              <w:rPr>
                <w:rFonts w:cs="Calibri"/>
                <w:sz w:val="16"/>
                <w:szCs w:val="16"/>
              </w:rPr>
            </w:pPr>
            <w:r w:rsidRPr="003F7F6C">
              <w:rPr>
                <w:rFonts w:cs="Calibri"/>
                <w:sz w:val="16"/>
                <w:szCs w:val="16"/>
              </w:rPr>
              <w:t xml:space="preserve">SGAyDS </w:t>
            </w:r>
          </w:p>
          <w:p w14:paraId="41FA4AFA" w14:textId="77777777" w:rsidR="002B04EB" w:rsidRPr="003F7F6C" w:rsidRDefault="002B04EB" w:rsidP="00B851B7">
            <w:pPr>
              <w:rPr>
                <w:rFonts w:cs="Calibri"/>
                <w:sz w:val="16"/>
                <w:szCs w:val="16"/>
              </w:rPr>
            </w:pPr>
            <w:r w:rsidRPr="003F7F6C">
              <w:rPr>
                <w:rFonts w:cs="Calibri"/>
                <w:sz w:val="16"/>
                <w:szCs w:val="16"/>
              </w:rPr>
              <w:t>INTA</w:t>
            </w:r>
          </w:p>
        </w:tc>
        <w:tc>
          <w:tcPr>
            <w:tcW w:w="428" w:type="dxa"/>
          </w:tcPr>
          <w:p w14:paraId="3A1B31B0" w14:textId="77777777" w:rsidR="002B04EB" w:rsidRPr="003F7F6C" w:rsidRDefault="002B04EB" w:rsidP="00B851B7">
            <w:pPr>
              <w:rPr>
                <w:rFonts w:cs="Calibri"/>
                <w:sz w:val="16"/>
                <w:szCs w:val="16"/>
              </w:rPr>
            </w:pPr>
          </w:p>
        </w:tc>
        <w:tc>
          <w:tcPr>
            <w:tcW w:w="444" w:type="dxa"/>
          </w:tcPr>
          <w:p w14:paraId="404DF0BF" w14:textId="77777777" w:rsidR="002B04EB" w:rsidRPr="003F7F6C" w:rsidRDefault="002B04EB" w:rsidP="00B851B7">
            <w:pPr>
              <w:rPr>
                <w:sz w:val="16"/>
                <w:szCs w:val="16"/>
              </w:rPr>
            </w:pPr>
            <w:r w:rsidRPr="003F7F6C">
              <w:rPr>
                <w:rFonts w:cs="Calibri"/>
                <w:sz w:val="16"/>
                <w:szCs w:val="16"/>
              </w:rPr>
              <w:t>X</w:t>
            </w:r>
          </w:p>
        </w:tc>
        <w:tc>
          <w:tcPr>
            <w:tcW w:w="428" w:type="dxa"/>
          </w:tcPr>
          <w:p w14:paraId="0919B7FE"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3AB42E44" w14:textId="77777777" w:rsidR="002B04EB" w:rsidRPr="003F7F6C" w:rsidRDefault="002B04EB" w:rsidP="00B851B7">
            <w:pPr>
              <w:rPr>
                <w:sz w:val="16"/>
                <w:szCs w:val="16"/>
              </w:rPr>
            </w:pPr>
            <w:r w:rsidRPr="003F7F6C">
              <w:rPr>
                <w:rFonts w:cs="Calibri"/>
                <w:sz w:val="16"/>
                <w:szCs w:val="16"/>
              </w:rPr>
              <w:t>X</w:t>
            </w:r>
          </w:p>
        </w:tc>
        <w:tc>
          <w:tcPr>
            <w:tcW w:w="428" w:type="dxa"/>
          </w:tcPr>
          <w:p w14:paraId="2D5FB9E0" w14:textId="77777777" w:rsidR="002B04EB" w:rsidRPr="003F7F6C" w:rsidRDefault="002B04EB" w:rsidP="00B851B7">
            <w:pPr>
              <w:rPr>
                <w:sz w:val="16"/>
                <w:szCs w:val="16"/>
              </w:rPr>
            </w:pPr>
            <w:r w:rsidRPr="003F7F6C">
              <w:rPr>
                <w:rFonts w:cs="Calibri"/>
                <w:sz w:val="16"/>
                <w:szCs w:val="16"/>
              </w:rPr>
              <w:t>X</w:t>
            </w:r>
          </w:p>
        </w:tc>
        <w:tc>
          <w:tcPr>
            <w:tcW w:w="427" w:type="dxa"/>
          </w:tcPr>
          <w:p w14:paraId="4C6A91AD" w14:textId="77777777" w:rsidR="002B04EB" w:rsidRPr="003F7F6C" w:rsidRDefault="002B04EB" w:rsidP="00B851B7">
            <w:pPr>
              <w:rPr>
                <w:sz w:val="16"/>
                <w:szCs w:val="16"/>
              </w:rPr>
            </w:pPr>
            <w:r w:rsidRPr="003F7F6C">
              <w:rPr>
                <w:rFonts w:cs="Calibri"/>
                <w:sz w:val="16"/>
                <w:szCs w:val="16"/>
              </w:rPr>
              <w:t>X</w:t>
            </w:r>
          </w:p>
        </w:tc>
        <w:tc>
          <w:tcPr>
            <w:tcW w:w="427" w:type="dxa"/>
          </w:tcPr>
          <w:p w14:paraId="2F6388BE" w14:textId="77777777" w:rsidR="002B04EB" w:rsidRPr="003F7F6C" w:rsidRDefault="002B04EB" w:rsidP="00B851B7">
            <w:pPr>
              <w:rPr>
                <w:sz w:val="16"/>
                <w:szCs w:val="16"/>
              </w:rPr>
            </w:pPr>
            <w:r w:rsidRPr="003F7F6C">
              <w:rPr>
                <w:rFonts w:cs="Calibri"/>
                <w:sz w:val="16"/>
                <w:szCs w:val="16"/>
              </w:rPr>
              <w:t>X</w:t>
            </w:r>
          </w:p>
        </w:tc>
        <w:tc>
          <w:tcPr>
            <w:tcW w:w="427" w:type="dxa"/>
            <w:gridSpan w:val="2"/>
          </w:tcPr>
          <w:p w14:paraId="1881B446" w14:textId="77777777" w:rsidR="002B04EB" w:rsidRPr="003F7F6C" w:rsidRDefault="002B04EB" w:rsidP="00B851B7">
            <w:pPr>
              <w:rPr>
                <w:sz w:val="16"/>
                <w:szCs w:val="16"/>
              </w:rPr>
            </w:pPr>
            <w:r w:rsidRPr="003F7F6C">
              <w:rPr>
                <w:rFonts w:cs="Calibri"/>
                <w:sz w:val="16"/>
                <w:szCs w:val="16"/>
              </w:rPr>
              <w:t>X</w:t>
            </w:r>
          </w:p>
        </w:tc>
        <w:tc>
          <w:tcPr>
            <w:tcW w:w="428" w:type="dxa"/>
          </w:tcPr>
          <w:p w14:paraId="42ED8D56" w14:textId="77777777" w:rsidR="002B04EB" w:rsidRPr="003F7F6C" w:rsidRDefault="002B04EB" w:rsidP="00B851B7">
            <w:pPr>
              <w:rPr>
                <w:sz w:val="16"/>
                <w:szCs w:val="16"/>
              </w:rPr>
            </w:pPr>
            <w:r w:rsidRPr="003F7F6C">
              <w:rPr>
                <w:rFonts w:cs="Calibri"/>
                <w:sz w:val="16"/>
                <w:szCs w:val="16"/>
              </w:rPr>
              <w:t>X</w:t>
            </w:r>
          </w:p>
        </w:tc>
        <w:tc>
          <w:tcPr>
            <w:tcW w:w="428" w:type="dxa"/>
          </w:tcPr>
          <w:p w14:paraId="2E540704" w14:textId="77777777" w:rsidR="002B04EB" w:rsidRPr="003F7F6C" w:rsidRDefault="002B04EB" w:rsidP="00B851B7">
            <w:pPr>
              <w:rPr>
                <w:sz w:val="16"/>
                <w:szCs w:val="16"/>
              </w:rPr>
            </w:pPr>
            <w:r w:rsidRPr="003F7F6C">
              <w:rPr>
                <w:rFonts w:cs="Calibri"/>
                <w:sz w:val="16"/>
                <w:szCs w:val="16"/>
              </w:rPr>
              <w:t>X</w:t>
            </w:r>
          </w:p>
        </w:tc>
        <w:tc>
          <w:tcPr>
            <w:tcW w:w="428" w:type="dxa"/>
          </w:tcPr>
          <w:p w14:paraId="689DF812"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0F42BFA8" w14:textId="77777777" w:rsidR="002B04EB" w:rsidRPr="003F7F6C" w:rsidRDefault="002B04EB" w:rsidP="00B851B7">
            <w:pPr>
              <w:rPr>
                <w:rFonts w:cs="Calibri"/>
                <w:sz w:val="16"/>
                <w:szCs w:val="16"/>
              </w:rPr>
            </w:pPr>
            <w:r w:rsidRPr="003F7F6C">
              <w:rPr>
                <w:rFonts w:cs="Calibri"/>
                <w:sz w:val="16"/>
                <w:szCs w:val="16"/>
              </w:rPr>
              <w:t>X</w:t>
            </w:r>
          </w:p>
        </w:tc>
        <w:tc>
          <w:tcPr>
            <w:tcW w:w="428" w:type="dxa"/>
          </w:tcPr>
          <w:p w14:paraId="0EBF3FD7" w14:textId="77777777" w:rsidR="002B04EB" w:rsidRPr="003F7F6C" w:rsidRDefault="002B04EB" w:rsidP="00B851B7">
            <w:pPr>
              <w:rPr>
                <w:rFonts w:cs="Calibri"/>
                <w:sz w:val="16"/>
                <w:szCs w:val="16"/>
              </w:rPr>
            </w:pPr>
          </w:p>
        </w:tc>
        <w:tc>
          <w:tcPr>
            <w:tcW w:w="428" w:type="dxa"/>
          </w:tcPr>
          <w:p w14:paraId="5A00CA3C" w14:textId="77777777" w:rsidR="002B04EB" w:rsidRPr="003F7F6C" w:rsidRDefault="002B04EB" w:rsidP="00B851B7">
            <w:pPr>
              <w:rPr>
                <w:rFonts w:cs="Calibri"/>
                <w:sz w:val="16"/>
                <w:szCs w:val="16"/>
              </w:rPr>
            </w:pPr>
          </w:p>
        </w:tc>
        <w:tc>
          <w:tcPr>
            <w:tcW w:w="428" w:type="dxa"/>
          </w:tcPr>
          <w:p w14:paraId="6B5B434D" w14:textId="77777777" w:rsidR="002B04EB" w:rsidRPr="003F7F6C" w:rsidRDefault="002B04EB" w:rsidP="00B851B7">
            <w:pPr>
              <w:rPr>
                <w:rFonts w:cs="Calibri"/>
                <w:sz w:val="16"/>
                <w:szCs w:val="16"/>
              </w:rPr>
            </w:pPr>
          </w:p>
        </w:tc>
        <w:tc>
          <w:tcPr>
            <w:tcW w:w="428" w:type="dxa"/>
            <w:gridSpan w:val="2"/>
          </w:tcPr>
          <w:p w14:paraId="2731C335" w14:textId="77777777" w:rsidR="002B04EB" w:rsidRPr="003F7F6C" w:rsidRDefault="002B04EB" w:rsidP="00B851B7">
            <w:pPr>
              <w:rPr>
                <w:rFonts w:cs="Calibri"/>
                <w:sz w:val="16"/>
                <w:szCs w:val="16"/>
              </w:rPr>
            </w:pPr>
          </w:p>
        </w:tc>
        <w:tc>
          <w:tcPr>
            <w:tcW w:w="428" w:type="dxa"/>
          </w:tcPr>
          <w:p w14:paraId="3B1A80D3" w14:textId="77777777" w:rsidR="002B04EB" w:rsidRPr="003F7F6C" w:rsidRDefault="002B04EB" w:rsidP="00B851B7">
            <w:pPr>
              <w:rPr>
                <w:rFonts w:cs="Calibri"/>
                <w:sz w:val="16"/>
                <w:szCs w:val="16"/>
              </w:rPr>
            </w:pPr>
          </w:p>
        </w:tc>
        <w:tc>
          <w:tcPr>
            <w:tcW w:w="428" w:type="dxa"/>
          </w:tcPr>
          <w:p w14:paraId="02CCFDD1" w14:textId="77777777" w:rsidR="002B04EB" w:rsidRPr="003F7F6C" w:rsidRDefault="002B04EB" w:rsidP="00B851B7">
            <w:pPr>
              <w:rPr>
                <w:rFonts w:cs="Calibri"/>
                <w:sz w:val="16"/>
                <w:szCs w:val="16"/>
              </w:rPr>
            </w:pPr>
          </w:p>
        </w:tc>
        <w:tc>
          <w:tcPr>
            <w:tcW w:w="428" w:type="dxa"/>
          </w:tcPr>
          <w:p w14:paraId="0D31E244" w14:textId="77777777" w:rsidR="002B04EB" w:rsidRPr="003F7F6C" w:rsidRDefault="002B04EB" w:rsidP="00B851B7">
            <w:pPr>
              <w:rPr>
                <w:rFonts w:cs="Calibri"/>
                <w:sz w:val="16"/>
                <w:szCs w:val="16"/>
              </w:rPr>
            </w:pPr>
          </w:p>
        </w:tc>
        <w:tc>
          <w:tcPr>
            <w:tcW w:w="428" w:type="dxa"/>
            <w:gridSpan w:val="2"/>
          </w:tcPr>
          <w:p w14:paraId="4DC20C0B" w14:textId="77777777" w:rsidR="002B04EB" w:rsidRPr="003F7F6C" w:rsidRDefault="002B04EB" w:rsidP="00B851B7">
            <w:pPr>
              <w:rPr>
                <w:rFonts w:cs="Calibri"/>
                <w:sz w:val="16"/>
                <w:szCs w:val="16"/>
              </w:rPr>
            </w:pPr>
          </w:p>
        </w:tc>
        <w:tc>
          <w:tcPr>
            <w:tcW w:w="428" w:type="dxa"/>
          </w:tcPr>
          <w:p w14:paraId="2854DB74" w14:textId="77777777" w:rsidR="002B04EB" w:rsidRPr="003F7F6C" w:rsidRDefault="002B04EB" w:rsidP="00B851B7">
            <w:pPr>
              <w:rPr>
                <w:rFonts w:cs="Calibri"/>
                <w:sz w:val="16"/>
                <w:szCs w:val="16"/>
              </w:rPr>
            </w:pPr>
          </w:p>
        </w:tc>
        <w:tc>
          <w:tcPr>
            <w:tcW w:w="428" w:type="dxa"/>
          </w:tcPr>
          <w:p w14:paraId="5A73B70C" w14:textId="77777777" w:rsidR="002B04EB" w:rsidRPr="003F7F6C" w:rsidRDefault="002B04EB" w:rsidP="00B851B7">
            <w:pPr>
              <w:rPr>
                <w:rFonts w:cs="Calibri"/>
                <w:sz w:val="16"/>
                <w:szCs w:val="16"/>
              </w:rPr>
            </w:pPr>
          </w:p>
        </w:tc>
        <w:tc>
          <w:tcPr>
            <w:tcW w:w="428" w:type="dxa"/>
          </w:tcPr>
          <w:p w14:paraId="24423342" w14:textId="77777777" w:rsidR="002B04EB" w:rsidRPr="003F7F6C" w:rsidRDefault="002B04EB" w:rsidP="00B851B7">
            <w:pPr>
              <w:rPr>
                <w:rFonts w:cs="Calibri"/>
                <w:sz w:val="16"/>
                <w:szCs w:val="16"/>
              </w:rPr>
            </w:pPr>
          </w:p>
        </w:tc>
        <w:tc>
          <w:tcPr>
            <w:tcW w:w="428" w:type="dxa"/>
          </w:tcPr>
          <w:p w14:paraId="1AB53409" w14:textId="77777777" w:rsidR="002B04EB" w:rsidRPr="003F7F6C" w:rsidRDefault="002B04EB" w:rsidP="00B851B7">
            <w:pPr>
              <w:rPr>
                <w:rFonts w:cs="Calibri"/>
                <w:sz w:val="16"/>
                <w:szCs w:val="16"/>
              </w:rPr>
            </w:pPr>
          </w:p>
        </w:tc>
      </w:tr>
      <w:tr w:rsidR="002B04EB" w:rsidRPr="003F7F6C" w14:paraId="228938EB" w14:textId="77777777" w:rsidTr="00B851B7">
        <w:tc>
          <w:tcPr>
            <w:tcW w:w="1668" w:type="dxa"/>
          </w:tcPr>
          <w:p w14:paraId="11483A77" w14:textId="77777777" w:rsidR="002B04EB" w:rsidRPr="003F7F6C" w:rsidRDefault="002B04EB" w:rsidP="00E91275">
            <w:pPr>
              <w:pStyle w:val="ListParagraph"/>
              <w:numPr>
                <w:ilvl w:val="0"/>
                <w:numId w:val="29"/>
              </w:numPr>
              <w:spacing w:after="0"/>
              <w:ind w:left="166" w:hanging="166"/>
              <w:contextualSpacing w:val="0"/>
              <w:rPr>
                <w:rFonts w:cs="Calibri"/>
                <w:sz w:val="16"/>
                <w:szCs w:val="16"/>
              </w:rPr>
            </w:pPr>
            <w:r w:rsidRPr="003F7F6C">
              <w:rPr>
                <w:rFonts w:cs="Calibri"/>
                <w:sz w:val="16"/>
                <w:szCs w:val="16"/>
              </w:rPr>
              <w:t>Validate schemes through dialogue platforms</w:t>
            </w:r>
          </w:p>
        </w:tc>
        <w:tc>
          <w:tcPr>
            <w:tcW w:w="1057" w:type="dxa"/>
          </w:tcPr>
          <w:p w14:paraId="1AF7AE44" w14:textId="77777777" w:rsidR="002B04EB" w:rsidRPr="003F7F6C" w:rsidRDefault="002B04EB" w:rsidP="00B851B7">
            <w:pPr>
              <w:rPr>
                <w:rFonts w:cs="Calibri"/>
                <w:sz w:val="16"/>
                <w:szCs w:val="16"/>
              </w:rPr>
            </w:pPr>
            <w:r w:rsidRPr="003F7F6C">
              <w:rPr>
                <w:rFonts w:cs="Calibri"/>
                <w:sz w:val="16"/>
                <w:szCs w:val="16"/>
              </w:rPr>
              <w:t xml:space="preserve">SGAyDS </w:t>
            </w:r>
          </w:p>
          <w:p w14:paraId="2AE521AC" w14:textId="77777777" w:rsidR="002B04EB" w:rsidRPr="003F7F6C" w:rsidRDefault="002B04EB" w:rsidP="00B851B7">
            <w:pPr>
              <w:rPr>
                <w:rFonts w:cs="Calibri"/>
                <w:sz w:val="16"/>
                <w:szCs w:val="16"/>
              </w:rPr>
            </w:pPr>
            <w:r w:rsidRPr="003F7F6C">
              <w:rPr>
                <w:rFonts w:cs="Calibri"/>
                <w:sz w:val="16"/>
                <w:szCs w:val="16"/>
              </w:rPr>
              <w:t>INTA</w:t>
            </w:r>
          </w:p>
        </w:tc>
        <w:tc>
          <w:tcPr>
            <w:tcW w:w="428" w:type="dxa"/>
          </w:tcPr>
          <w:p w14:paraId="33499B74" w14:textId="77777777" w:rsidR="002B04EB" w:rsidRPr="003F7F6C" w:rsidRDefault="002B04EB" w:rsidP="00B851B7">
            <w:pPr>
              <w:rPr>
                <w:rFonts w:cs="Calibri"/>
                <w:sz w:val="16"/>
                <w:szCs w:val="16"/>
              </w:rPr>
            </w:pPr>
          </w:p>
        </w:tc>
        <w:tc>
          <w:tcPr>
            <w:tcW w:w="444" w:type="dxa"/>
          </w:tcPr>
          <w:p w14:paraId="29DD6E0F" w14:textId="77777777" w:rsidR="002B04EB" w:rsidRPr="003F7F6C" w:rsidRDefault="002B04EB" w:rsidP="00B851B7">
            <w:pPr>
              <w:rPr>
                <w:sz w:val="16"/>
                <w:szCs w:val="16"/>
              </w:rPr>
            </w:pPr>
          </w:p>
        </w:tc>
        <w:tc>
          <w:tcPr>
            <w:tcW w:w="428" w:type="dxa"/>
          </w:tcPr>
          <w:p w14:paraId="2ED402C7" w14:textId="77777777" w:rsidR="002B04EB" w:rsidRPr="003F7F6C" w:rsidRDefault="002B04EB" w:rsidP="00B851B7">
            <w:pPr>
              <w:rPr>
                <w:sz w:val="16"/>
                <w:szCs w:val="16"/>
              </w:rPr>
            </w:pPr>
          </w:p>
        </w:tc>
        <w:tc>
          <w:tcPr>
            <w:tcW w:w="428" w:type="dxa"/>
            <w:gridSpan w:val="2"/>
          </w:tcPr>
          <w:p w14:paraId="167B5128" w14:textId="77777777" w:rsidR="002B04EB" w:rsidRPr="003F7F6C" w:rsidRDefault="002B04EB" w:rsidP="00B851B7">
            <w:pPr>
              <w:rPr>
                <w:sz w:val="16"/>
                <w:szCs w:val="16"/>
              </w:rPr>
            </w:pPr>
          </w:p>
        </w:tc>
        <w:tc>
          <w:tcPr>
            <w:tcW w:w="428" w:type="dxa"/>
          </w:tcPr>
          <w:p w14:paraId="13E51C3D" w14:textId="77777777" w:rsidR="002B04EB" w:rsidRPr="003F7F6C" w:rsidRDefault="002B04EB" w:rsidP="00B851B7">
            <w:pPr>
              <w:rPr>
                <w:sz w:val="16"/>
                <w:szCs w:val="16"/>
              </w:rPr>
            </w:pPr>
            <w:r w:rsidRPr="003F7F6C">
              <w:rPr>
                <w:rFonts w:cs="Calibri"/>
                <w:sz w:val="16"/>
                <w:szCs w:val="16"/>
              </w:rPr>
              <w:t>X</w:t>
            </w:r>
          </w:p>
        </w:tc>
        <w:tc>
          <w:tcPr>
            <w:tcW w:w="427" w:type="dxa"/>
          </w:tcPr>
          <w:p w14:paraId="5779062F" w14:textId="77777777" w:rsidR="002B04EB" w:rsidRPr="003F7F6C" w:rsidRDefault="002B04EB" w:rsidP="00B851B7">
            <w:pPr>
              <w:rPr>
                <w:rFonts w:cs="Calibri"/>
                <w:sz w:val="16"/>
                <w:szCs w:val="16"/>
              </w:rPr>
            </w:pPr>
            <w:r w:rsidRPr="003F7F6C">
              <w:rPr>
                <w:rFonts w:cs="Calibri"/>
                <w:sz w:val="16"/>
                <w:szCs w:val="16"/>
              </w:rPr>
              <w:t>X</w:t>
            </w:r>
          </w:p>
        </w:tc>
        <w:tc>
          <w:tcPr>
            <w:tcW w:w="427" w:type="dxa"/>
          </w:tcPr>
          <w:p w14:paraId="58EF117D" w14:textId="77777777" w:rsidR="002B04EB" w:rsidRPr="003F7F6C" w:rsidRDefault="002B04EB" w:rsidP="00B851B7">
            <w:pPr>
              <w:rPr>
                <w:sz w:val="16"/>
                <w:szCs w:val="16"/>
              </w:rPr>
            </w:pPr>
            <w:r w:rsidRPr="003F7F6C">
              <w:rPr>
                <w:rFonts w:cs="Calibri"/>
                <w:sz w:val="16"/>
                <w:szCs w:val="16"/>
              </w:rPr>
              <w:t>X</w:t>
            </w:r>
          </w:p>
        </w:tc>
        <w:tc>
          <w:tcPr>
            <w:tcW w:w="427" w:type="dxa"/>
            <w:gridSpan w:val="2"/>
          </w:tcPr>
          <w:p w14:paraId="667ECF23" w14:textId="77777777" w:rsidR="002B04EB" w:rsidRPr="003F7F6C" w:rsidRDefault="002B04EB" w:rsidP="00B851B7">
            <w:pPr>
              <w:rPr>
                <w:sz w:val="16"/>
                <w:szCs w:val="16"/>
              </w:rPr>
            </w:pPr>
            <w:r w:rsidRPr="003F7F6C">
              <w:rPr>
                <w:rFonts w:cs="Calibri"/>
                <w:sz w:val="16"/>
                <w:szCs w:val="16"/>
              </w:rPr>
              <w:t>X</w:t>
            </w:r>
          </w:p>
        </w:tc>
        <w:tc>
          <w:tcPr>
            <w:tcW w:w="428" w:type="dxa"/>
          </w:tcPr>
          <w:p w14:paraId="29DD4CAE" w14:textId="77777777" w:rsidR="002B04EB" w:rsidRPr="003F7F6C" w:rsidRDefault="002B04EB" w:rsidP="00B851B7">
            <w:pPr>
              <w:rPr>
                <w:sz w:val="16"/>
                <w:szCs w:val="16"/>
              </w:rPr>
            </w:pPr>
            <w:r w:rsidRPr="003F7F6C">
              <w:rPr>
                <w:rFonts w:cs="Calibri"/>
                <w:sz w:val="16"/>
                <w:szCs w:val="16"/>
              </w:rPr>
              <w:t>X</w:t>
            </w:r>
          </w:p>
        </w:tc>
        <w:tc>
          <w:tcPr>
            <w:tcW w:w="428" w:type="dxa"/>
          </w:tcPr>
          <w:p w14:paraId="29D37652" w14:textId="77777777" w:rsidR="002B04EB" w:rsidRPr="003F7F6C" w:rsidRDefault="002B04EB" w:rsidP="00B851B7">
            <w:pPr>
              <w:rPr>
                <w:sz w:val="16"/>
                <w:szCs w:val="16"/>
              </w:rPr>
            </w:pPr>
            <w:r w:rsidRPr="003F7F6C">
              <w:rPr>
                <w:rFonts w:cs="Calibri"/>
                <w:sz w:val="16"/>
                <w:szCs w:val="16"/>
              </w:rPr>
              <w:t>X</w:t>
            </w:r>
          </w:p>
        </w:tc>
        <w:tc>
          <w:tcPr>
            <w:tcW w:w="428" w:type="dxa"/>
          </w:tcPr>
          <w:p w14:paraId="306EE9BA"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2A09586B" w14:textId="77777777" w:rsidR="002B04EB" w:rsidRPr="003F7F6C" w:rsidRDefault="002B04EB" w:rsidP="00B851B7">
            <w:pPr>
              <w:rPr>
                <w:sz w:val="16"/>
                <w:szCs w:val="16"/>
              </w:rPr>
            </w:pPr>
            <w:r w:rsidRPr="003F7F6C">
              <w:rPr>
                <w:rFonts w:cs="Calibri"/>
                <w:sz w:val="16"/>
                <w:szCs w:val="16"/>
              </w:rPr>
              <w:t>X</w:t>
            </w:r>
          </w:p>
        </w:tc>
        <w:tc>
          <w:tcPr>
            <w:tcW w:w="428" w:type="dxa"/>
          </w:tcPr>
          <w:p w14:paraId="4391BE2A" w14:textId="77777777" w:rsidR="002B04EB" w:rsidRPr="003F7F6C" w:rsidRDefault="002B04EB" w:rsidP="00B851B7">
            <w:pPr>
              <w:rPr>
                <w:rFonts w:cs="Calibri"/>
                <w:sz w:val="16"/>
                <w:szCs w:val="16"/>
              </w:rPr>
            </w:pPr>
            <w:r w:rsidRPr="003F7F6C">
              <w:rPr>
                <w:rFonts w:cs="Calibri"/>
                <w:sz w:val="16"/>
                <w:szCs w:val="16"/>
              </w:rPr>
              <w:t>X</w:t>
            </w:r>
          </w:p>
        </w:tc>
        <w:tc>
          <w:tcPr>
            <w:tcW w:w="428" w:type="dxa"/>
          </w:tcPr>
          <w:p w14:paraId="49391B10" w14:textId="77777777" w:rsidR="002B04EB" w:rsidRPr="003F7F6C" w:rsidRDefault="002B04EB" w:rsidP="00B851B7">
            <w:pPr>
              <w:rPr>
                <w:sz w:val="16"/>
                <w:szCs w:val="16"/>
              </w:rPr>
            </w:pPr>
            <w:r w:rsidRPr="003F7F6C">
              <w:rPr>
                <w:rFonts w:cs="Calibri"/>
                <w:sz w:val="16"/>
                <w:szCs w:val="16"/>
              </w:rPr>
              <w:t>X</w:t>
            </w:r>
          </w:p>
        </w:tc>
        <w:tc>
          <w:tcPr>
            <w:tcW w:w="428" w:type="dxa"/>
          </w:tcPr>
          <w:p w14:paraId="2ED00B6E"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7E5353E6" w14:textId="77777777" w:rsidR="002B04EB" w:rsidRPr="003F7F6C" w:rsidRDefault="002B04EB" w:rsidP="00B851B7">
            <w:pPr>
              <w:rPr>
                <w:sz w:val="16"/>
                <w:szCs w:val="16"/>
              </w:rPr>
            </w:pPr>
            <w:r w:rsidRPr="003F7F6C">
              <w:rPr>
                <w:rFonts w:cs="Calibri"/>
                <w:sz w:val="16"/>
                <w:szCs w:val="16"/>
              </w:rPr>
              <w:t>X</w:t>
            </w:r>
          </w:p>
        </w:tc>
        <w:tc>
          <w:tcPr>
            <w:tcW w:w="428" w:type="dxa"/>
          </w:tcPr>
          <w:p w14:paraId="5DC68FB2" w14:textId="77777777" w:rsidR="002B04EB" w:rsidRPr="003F7F6C" w:rsidRDefault="002B04EB" w:rsidP="00B851B7">
            <w:pPr>
              <w:rPr>
                <w:rFonts w:cs="Calibri"/>
                <w:sz w:val="16"/>
                <w:szCs w:val="16"/>
              </w:rPr>
            </w:pPr>
          </w:p>
        </w:tc>
        <w:tc>
          <w:tcPr>
            <w:tcW w:w="428" w:type="dxa"/>
          </w:tcPr>
          <w:p w14:paraId="2583844B" w14:textId="77777777" w:rsidR="002B04EB" w:rsidRPr="003F7F6C" w:rsidRDefault="002B04EB" w:rsidP="00B851B7">
            <w:pPr>
              <w:rPr>
                <w:rFonts w:cs="Calibri"/>
                <w:sz w:val="16"/>
                <w:szCs w:val="16"/>
              </w:rPr>
            </w:pPr>
          </w:p>
        </w:tc>
        <w:tc>
          <w:tcPr>
            <w:tcW w:w="428" w:type="dxa"/>
          </w:tcPr>
          <w:p w14:paraId="417708EA" w14:textId="77777777" w:rsidR="002B04EB" w:rsidRPr="003F7F6C" w:rsidRDefault="002B04EB" w:rsidP="00B851B7">
            <w:pPr>
              <w:rPr>
                <w:rFonts w:cs="Calibri"/>
                <w:sz w:val="16"/>
                <w:szCs w:val="16"/>
              </w:rPr>
            </w:pPr>
          </w:p>
        </w:tc>
        <w:tc>
          <w:tcPr>
            <w:tcW w:w="428" w:type="dxa"/>
            <w:gridSpan w:val="2"/>
          </w:tcPr>
          <w:p w14:paraId="0E9DC06B" w14:textId="77777777" w:rsidR="002B04EB" w:rsidRPr="003F7F6C" w:rsidRDefault="002B04EB" w:rsidP="00B851B7">
            <w:pPr>
              <w:rPr>
                <w:rFonts w:cs="Calibri"/>
                <w:sz w:val="16"/>
                <w:szCs w:val="16"/>
              </w:rPr>
            </w:pPr>
          </w:p>
        </w:tc>
        <w:tc>
          <w:tcPr>
            <w:tcW w:w="428" w:type="dxa"/>
          </w:tcPr>
          <w:p w14:paraId="54EB8051" w14:textId="77777777" w:rsidR="002B04EB" w:rsidRPr="003F7F6C" w:rsidRDefault="002B04EB" w:rsidP="00B851B7">
            <w:pPr>
              <w:rPr>
                <w:rFonts w:cs="Calibri"/>
                <w:sz w:val="16"/>
                <w:szCs w:val="16"/>
              </w:rPr>
            </w:pPr>
          </w:p>
        </w:tc>
        <w:tc>
          <w:tcPr>
            <w:tcW w:w="428" w:type="dxa"/>
          </w:tcPr>
          <w:p w14:paraId="69A68D26" w14:textId="77777777" w:rsidR="002B04EB" w:rsidRPr="003F7F6C" w:rsidRDefault="002B04EB" w:rsidP="00B851B7">
            <w:pPr>
              <w:rPr>
                <w:rFonts w:cs="Calibri"/>
                <w:sz w:val="16"/>
                <w:szCs w:val="16"/>
              </w:rPr>
            </w:pPr>
          </w:p>
        </w:tc>
        <w:tc>
          <w:tcPr>
            <w:tcW w:w="428" w:type="dxa"/>
          </w:tcPr>
          <w:p w14:paraId="3581CFF5" w14:textId="77777777" w:rsidR="002B04EB" w:rsidRPr="003F7F6C" w:rsidRDefault="002B04EB" w:rsidP="00B851B7">
            <w:pPr>
              <w:rPr>
                <w:rFonts w:cs="Calibri"/>
                <w:sz w:val="16"/>
                <w:szCs w:val="16"/>
              </w:rPr>
            </w:pPr>
          </w:p>
        </w:tc>
        <w:tc>
          <w:tcPr>
            <w:tcW w:w="428" w:type="dxa"/>
          </w:tcPr>
          <w:p w14:paraId="5013CC16" w14:textId="77777777" w:rsidR="002B04EB" w:rsidRPr="003F7F6C" w:rsidRDefault="002B04EB" w:rsidP="00B851B7">
            <w:pPr>
              <w:rPr>
                <w:rFonts w:cs="Calibri"/>
                <w:sz w:val="16"/>
                <w:szCs w:val="16"/>
              </w:rPr>
            </w:pPr>
          </w:p>
        </w:tc>
      </w:tr>
      <w:tr w:rsidR="002B04EB" w:rsidRPr="003F7F6C" w14:paraId="016C9222" w14:textId="77777777" w:rsidTr="00B851B7">
        <w:tc>
          <w:tcPr>
            <w:tcW w:w="1668" w:type="dxa"/>
          </w:tcPr>
          <w:p w14:paraId="05594972" w14:textId="77777777" w:rsidR="002B04EB" w:rsidRPr="003F7F6C" w:rsidRDefault="002B04EB" w:rsidP="00E91275">
            <w:pPr>
              <w:pStyle w:val="ListParagraph"/>
              <w:numPr>
                <w:ilvl w:val="0"/>
                <w:numId w:val="29"/>
              </w:numPr>
              <w:spacing w:after="0"/>
              <w:ind w:left="166" w:hanging="166"/>
              <w:contextualSpacing w:val="0"/>
              <w:rPr>
                <w:rFonts w:cs="Calibri"/>
                <w:sz w:val="16"/>
                <w:szCs w:val="16"/>
              </w:rPr>
            </w:pPr>
            <w:r w:rsidRPr="003F7F6C">
              <w:rPr>
                <w:rFonts w:cs="Calibri"/>
                <w:sz w:val="16"/>
                <w:szCs w:val="16"/>
              </w:rPr>
              <w:t>Elaborate document with strategies</w:t>
            </w:r>
          </w:p>
        </w:tc>
        <w:tc>
          <w:tcPr>
            <w:tcW w:w="1057" w:type="dxa"/>
          </w:tcPr>
          <w:p w14:paraId="4D63451F" w14:textId="77777777" w:rsidR="002B04EB" w:rsidRPr="003F7F6C" w:rsidRDefault="002B04EB" w:rsidP="00B851B7">
            <w:pPr>
              <w:rPr>
                <w:rFonts w:cs="Calibri"/>
                <w:sz w:val="16"/>
                <w:szCs w:val="16"/>
              </w:rPr>
            </w:pPr>
            <w:r w:rsidRPr="003F7F6C">
              <w:rPr>
                <w:rFonts w:cs="Calibri"/>
                <w:sz w:val="16"/>
                <w:szCs w:val="16"/>
              </w:rPr>
              <w:t xml:space="preserve">SGAyDS </w:t>
            </w:r>
          </w:p>
          <w:p w14:paraId="745FA4A1" w14:textId="77777777" w:rsidR="002B04EB" w:rsidRPr="003F7F6C" w:rsidRDefault="002B04EB" w:rsidP="00B851B7">
            <w:pPr>
              <w:rPr>
                <w:rFonts w:cs="Calibri"/>
                <w:sz w:val="16"/>
                <w:szCs w:val="16"/>
              </w:rPr>
            </w:pPr>
          </w:p>
        </w:tc>
        <w:tc>
          <w:tcPr>
            <w:tcW w:w="428" w:type="dxa"/>
          </w:tcPr>
          <w:p w14:paraId="143BA3AF" w14:textId="77777777" w:rsidR="002B04EB" w:rsidRPr="003F7F6C" w:rsidRDefault="002B04EB" w:rsidP="00B851B7">
            <w:pPr>
              <w:rPr>
                <w:rFonts w:cs="Calibri"/>
                <w:sz w:val="16"/>
                <w:szCs w:val="16"/>
              </w:rPr>
            </w:pPr>
          </w:p>
        </w:tc>
        <w:tc>
          <w:tcPr>
            <w:tcW w:w="444" w:type="dxa"/>
          </w:tcPr>
          <w:p w14:paraId="4F033954" w14:textId="77777777" w:rsidR="002B04EB" w:rsidRPr="003F7F6C" w:rsidRDefault="002B04EB" w:rsidP="00B851B7">
            <w:pPr>
              <w:rPr>
                <w:rFonts w:cs="Calibri"/>
                <w:sz w:val="16"/>
                <w:szCs w:val="16"/>
              </w:rPr>
            </w:pPr>
          </w:p>
        </w:tc>
        <w:tc>
          <w:tcPr>
            <w:tcW w:w="428" w:type="dxa"/>
          </w:tcPr>
          <w:p w14:paraId="49BB33AA" w14:textId="77777777" w:rsidR="002B04EB" w:rsidRPr="003F7F6C" w:rsidRDefault="002B04EB" w:rsidP="00B851B7">
            <w:pPr>
              <w:rPr>
                <w:rFonts w:cs="Calibri"/>
                <w:sz w:val="16"/>
                <w:szCs w:val="16"/>
              </w:rPr>
            </w:pPr>
          </w:p>
        </w:tc>
        <w:tc>
          <w:tcPr>
            <w:tcW w:w="428" w:type="dxa"/>
            <w:gridSpan w:val="2"/>
          </w:tcPr>
          <w:p w14:paraId="2DB9ED08" w14:textId="77777777" w:rsidR="002B04EB" w:rsidRPr="003F7F6C" w:rsidRDefault="002B04EB" w:rsidP="00B851B7">
            <w:pPr>
              <w:rPr>
                <w:rFonts w:cs="Calibri"/>
                <w:sz w:val="16"/>
                <w:szCs w:val="16"/>
              </w:rPr>
            </w:pPr>
          </w:p>
        </w:tc>
        <w:tc>
          <w:tcPr>
            <w:tcW w:w="428" w:type="dxa"/>
          </w:tcPr>
          <w:p w14:paraId="50C71170" w14:textId="77777777" w:rsidR="002B04EB" w:rsidRPr="003F7F6C" w:rsidRDefault="002B04EB" w:rsidP="00B851B7">
            <w:pPr>
              <w:rPr>
                <w:rFonts w:cs="Calibri"/>
                <w:sz w:val="16"/>
                <w:szCs w:val="16"/>
              </w:rPr>
            </w:pPr>
          </w:p>
        </w:tc>
        <w:tc>
          <w:tcPr>
            <w:tcW w:w="427" w:type="dxa"/>
          </w:tcPr>
          <w:p w14:paraId="7FF4E51A" w14:textId="77777777" w:rsidR="002B04EB" w:rsidRPr="003F7F6C" w:rsidRDefault="002B04EB" w:rsidP="00B851B7">
            <w:pPr>
              <w:rPr>
                <w:rFonts w:cs="Calibri"/>
                <w:sz w:val="16"/>
                <w:szCs w:val="16"/>
              </w:rPr>
            </w:pPr>
          </w:p>
        </w:tc>
        <w:tc>
          <w:tcPr>
            <w:tcW w:w="427" w:type="dxa"/>
          </w:tcPr>
          <w:p w14:paraId="71061A77" w14:textId="77777777" w:rsidR="002B04EB" w:rsidRPr="003F7F6C" w:rsidRDefault="002B04EB" w:rsidP="00B851B7">
            <w:pPr>
              <w:rPr>
                <w:rFonts w:cs="Calibri"/>
                <w:sz w:val="16"/>
                <w:szCs w:val="16"/>
              </w:rPr>
            </w:pPr>
          </w:p>
        </w:tc>
        <w:tc>
          <w:tcPr>
            <w:tcW w:w="427" w:type="dxa"/>
            <w:gridSpan w:val="2"/>
          </w:tcPr>
          <w:p w14:paraId="12324989" w14:textId="77777777" w:rsidR="002B04EB" w:rsidRPr="003F7F6C" w:rsidRDefault="002B04EB" w:rsidP="00B851B7">
            <w:pPr>
              <w:rPr>
                <w:rFonts w:cs="Calibri"/>
                <w:sz w:val="16"/>
                <w:szCs w:val="16"/>
              </w:rPr>
            </w:pPr>
          </w:p>
        </w:tc>
        <w:tc>
          <w:tcPr>
            <w:tcW w:w="428" w:type="dxa"/>
          </w:tcPr>
          <w:p w14:paraId="2E3BBB74" w14:textId="77777777" w:rsidR="002B04EB" w:rsidRPr="003F7F6C" w:rsidRDefault="002B04EB" w:rsidP="00B851B7">
            <w:pPr>
              <w:rPr>
                <w:rFonts w:cs="Calibri"/>
                <w:sz w:val="16"/>
                <w:szCs w:val="16"/>
              </w:rPr>
            </w:pPr>
          </w:p>
        </w:tc>
        <w:tc>
          <w:tcPr>
            <w:tcW w:w="428" w:type="dxa"/>
          </w:tcPr>
          <w:p w14:paraId="44930AD6" w14:textId="77777777" w:rsidR="002B04EB" w:rsidRPr="003F7F6C" w:rsidRDefault="002B04EB" w:rsidP="00B851B7">
            <w:pPr>
              <w:rPr>
                <w:rFonts w:cs="Calibri"/>
                <w:sz w:val="16"/>
                <w:szCs w:val="16"/>
              </w:rPr>
            </w:pPr>
          </w:p>
        </w:tc>
        <w:tc>
          <w:tcPr>
            <w:tcW w:w="428" w:type="dxa"/>
          </w:tcPr>
          <w:p w14:paraId="58138856" w14:textId="77777777" w:rsidR="002B04EB" w:rsidRPr="003F7F6C" w:rsidRDefault="002B04EB" w:rsidP="00B851B7">
            <w:pPr>
              <w:rPr>
                <w:rFonts w:cs="Calibri"/>
                <w:sz w:val="16"/>
                <w:szCs w:val="16"/>
              </w:rPr>
            </w:pPr>
          </w:p>
        </w:tc>
        <w:tc>
          <w:tcPr>
            <w:tcW w:w="428" w:type="dxa"/>
            <w:gridSpan w:val="2"/>
          </w:tcPr>
          <w:p w14:paraId="006227DC" w14:textId="77777777" w:rsidR="002B04EB" w:rsidRPr="003F7F6C" w:rsidRDefault="002B04EB" w:rsidP="00B851B7">
            <w:pPr>
              <w:rPr>
                <w:rFonts w:cs="Calibri"/>
                <w:sz w:val="16"/>
                <w:szCs w:val="16"/>
              </w:rPr>
            </w:pPr>
          </w:p>
        </w:tc>
        <w:tc>
          <w:tcPr>
            <w:tcW w:w="428" w:type="dxa"/>
          </w:tcPr>
          <w:p w14:paraId="509FC384" w14:textId="77777777" w:rsidR="002B04EB" w:rsidRPr="003F7F6C" w:rsidRDefault="002B04EB" w:rsidP="00B851B7">
            <w:pPr>
              <w:rPr>
                <w:rFonts w:cs="Calibri"/>
                <w:sz w:val="16"/>
                <w:szCs w:val="16"/>
              </w:rPr>
            </w:pPr>
          </w:p>
        </w:tc>
        <w:tc>
          <w:tcPr>
            <w:tcW w:w="428" w:type="dxa"/>
          </w:tcPr>
          <w:p w14:paraId="1C1C7952" w14:textId="77777777" w:rsidR="002B04EB" w:rsidRPr="003F7F6C" w:rsidRDefault="002B04EB" w:rsidP="00B851B7">
            <w:pPr>
              <w:rPr>
                <w:rFonts w:cs="Calibri"/>
                <w:sz w:val="16"/>
                <w:szCs w:val="16"/>
              </w:rPr>
            </w:pPr>
          </w:p>
        </w:tc>
        <w:tc>
          <w:tcPr>
            <w:tcW w:w="428" w:type="dxa"/>
          </w:tcPr>
          <w:p w14:paraId="0B6702E7" w14:textId="77777777" w:rsidR="002B04EB" w:rsidRPr="003F7F6C" w:rsidRDefault="002B04EB" w:rsidP="00B851B7">
            <w:pPr>
              <w:rPr>
                <w:rFonts w:cs="Calibri"/>
                <w:sz w:val="16"/>
                <w:szCs w:val="16"/>
              </w:rPr>
            </w:pPr>
          </w:p>
        </w:tc>
        <w:tc>
          <w:tcPr>
            <w:tcW w:w="428" w:type="dxa"/>
            <w:gridSpan w:val="2"/>
          </w:tcPr>
          <w:p w14:paraId="09E70FAB" w14:textId="77777777" w:rsidR="002B04EB" w:rsidRPr="003F7F6C" w:rsidRDefault="002B04EB" w:rsidP="00B851B7">
            <w:pPr>
              <w:rPr>
                <w:rFonts w:cs="Calibri"/>
                <w:sz w:val="16"/>
                <w:szCs w:val="16"/>
              </w:rPr>
            </w:pPr>
          </w:p>
        </w:tc>
        <w:tc>
          <w:tcPr>
            <w:tcW w:w="428" w:type="dxa"/>
          </w:tcPr>
          <w:p w14:paraId="0050CBFF" w14:textId="77777777" w:rsidR="002B04EB" w:rsidRPr="003F7F6C" w:rsidRDefault="002B04EB" w:rsidP="00B851B7">
            <w:pPr>
              <w:rPr>
                <w:sz w:val="16"/>
                <w:szCs w:val="16"/>
              </w:rPr>
            </w:pPr>
            <w:r w:rsidRPr="003F7F6C">
              <w:rPr>
                <w:rFonts w:cs="Calibri"/>
                <w:sz w:val="16"/>
                <w:szCs w:val="16"/>
              </w:rPr>
              <w:t>X</w:t>
            </w:r>
          </w:p>
        </w:tc>
        <w:tc>
          <w:tcPr>
            <w:tcW w:w="428" w:type="dxa"/>
          </w:tcPr>
          <w:p w14:paraId="36AEA3F1" w14:textId="77777777" w:rsidR="002B04EB" w:rsidRPr="003F7F6C" w:rsidRDefault="002B04EB" w:rsidP="00B851B7">
            <w:pPr>
              <w:rPr>
                <w:sz w:val="16"/>
                <w:szCs w:val="16"/>
              </w:rPr>
            </w:pPr>
            <w:r w:rsidRPr="003F7F6C">
              <w:rPr>
                <w:rFonts w:cs="Calibri"/>
                <w:sz w:val="16"/>
                <w:szCs w:val="16"/>
              </w:rPr>
              <w:t>X</w:t>
            </w:r>
          </w:p>
        </w:tc>
        <w:tc>
          <w:tcPr>
            <w:tcW w:w="428" w:type="dxa"/>
          </w:tcPr>
          <w:p w14:paraId="64D43821"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3C7A4193" w14:textId="77777777" w:rsidR="002B04EB" w:rsidRPr="003F7F6C" w:rsidRDefault="002B04EB" w:rsidP="00B851B7">
            <w:pPr>
              <w:rPr>
                <w:sz w:val="16"/>
                <w:szCs w:val="16"/>
              </w:rPr>
            </w:pPr>
            <w:r w:rsidRPr="003F7F6C">
              <w:rPr>
                <w:rFonts w:cs="Calibri"/>
                <w:sz w:val="16"/>
                <w:szCs w:val="16"/>
              </w:rPr>
              <w:t>X</w:t>
            </w:r>
          </w:p>
        </w:tc>
        <w:tc>
          <w:tcPr>
            <w:tcW w:w="428" w:type="dxa"/>
          </w:tcPr>
          <w:p w14:paraId="39327A59" w14:textId="77777777" w:rsidR="002B04EB" w:rsidRPr="003F7F6C" w:rsidRDefault="002B04EB" w:rsidP="00B851B7">
            <w:pPr>
              <w:rPr>
                <w:sz w:val="16"/>
                <w:szCs w:val="16"/>
              </w:rPr>
            </w:pPr>
            <w:r w:rsidRPr="003F7F6C">
              <w:rPr>
                <w:rFonts w:cs="Calibri"/>
                <w:sz w:val="16"/>
                <w:szCs w:val="16"/>
              </w:rPr>
              <w:t>X</w:t>
            </w:r>
          </w:p>
        </w:tc>
        <w:tc>
          <w:tcPr>
            <w:tcW w:w="428" w:type="dxa"/>
          </w:tcPr>
          <w:p w14:paraId="608C68EB" w14:textId="77777777" w:rsidR="002B04EB" w:rsidRPr="003F7F6C" w:rsidRDefault="002B04EB" w:rsidP="00B851B7">
            <w:pPr>
              <w:rPr>
                <w:sz w:val="16"/>
                <w:szCs w:val="16"/>
              </w:rPr>
            </w:pPr>
            <w:r w:rsidRPr="003F7F6C">
              <w:rPr>
                <w:rFonts w:cs="Calibri"/>
                <w:sz w:val="16"/>
                <w:szCs w:val="16"/>
              </w:rPr>
              <w:t>X</w:t>
            </w:r>
          </w:p>
        </w:tc>
        <w:tc>
          <w:tcPr>
            <w:tcW w:w="428" w:type="dxa"/>
          </w:tcPr>
          <w:p w14:paraId="05A1EF3E" w14:textId="77777777" w:rsidR="002B04EB" w:rsidRPr="003F7F6C" w:rsidRDefault="002B04EB" w:rsidP="00B851B7">
            <w:pPr>
              <w:rPr>
                <w:sz w:val="16"/>
                <w:szCs w:val="16"/>
              </w:rPr>
            </w:pPr>
            <w:r w:rsidRPr="003F7F6C">
              <w:rPr>
                <w:rFonts w:cs="Calibri"/>
                <w:sz w:val="16"/>
                <w:szCs w:val="16"/>
              </w:rPr>
              <w:t>X</w:t>
            </w:r>
          </w:p>
        </w:tc>
        <w:tc>
          <w:tcPr>
            <w:tcW w:w="428" w:type="dxa"/>
          </w:tcPr>
          <w:p w14:paraId="3063D845" w14:textId="77777777" w:rsidR="002B04EB" w:rsidRPr="003F7F6C" w:rsidRDefault="002B04EB" w:rsidP="00B851B7">
            <w:pPr>
              <w:rPr>
                <w:sz w:val="16"/>
                <w:szCs w:val="16"/>
              </w:rPr>
            </w:pPr>
            <w:r w:rsidRPr="003F7F6C">
              <w:rPr>
                <w:rFonts w:cs="Calibri"/>
                <w:sz w:val="16"/>
                <w:szCs w:val="16"/>
              </w:rPr>
              <w:t>X</w:t>
            </w:r>
          </w:p>
        </w:tc>
      </w:tr>
      <w:tr w:rsidR="002B04EB" w:rsidRPr="003F7F6C" w14:paraId="458C2871" w14:textId="77777777" w:rsidTr="00B851B7">
        <w:tc>
          <w:tcPr>
            <w:tcW w:w="1668" w:type="dxa"/>
          </w:tcPr>
          <w:p w14:paraId="3D2EC545" w14:textId="77777777" w:rsidR="002B04EB" w:rsidRPr="003F7F6C" w:rsidRDefault="002B04EB" w:rsidP="00B851B7">
            <w:pPr>
              <w:rPr>
                <w:rFonts w:cs="Calibri"/>
                <w:sz w:val="16"/>
                <w:szCs w:val="16"/>
              </w:rPr>
            </w:pPr>
            <w:r w:rsidRPr="003F7F6C">
              <w:rPr>
                <w:rFonts w:cs="Calibri"/>
                <w:sz w:val="16"/>
                <w:szCs w:val="16"/>
              </w:rPr>
              <w:t>1.2.3 Design management instruments for ELUP at national, provincial and local levels</w:t>
            </w:r>
          </w:p>
        </w:tc>
        <w:tc>
          <w:tcPr>
            <w:tcW w:w="1057" w:type="dxa"/>
          </w:tcPr>
          <w:p w14:paraId="4652B445" w14:textId="77777777" w:rsidR="002B04EB" w:rsidRPr="003F7F6C" w:rsidRDefault="002B04EB" w:rsidP="00B851B7">
            <w:pPr>
              <w:rPr>
                <w:rFonts w:cs="Calibri"/>
                <w:sz w:val="16"/>
                <w:szCs w:val="16"/>
              </w:rPr>
            </w:pPr>
            <w:r w:rsidRPr="003F7F6C">
              <w:rPr>
                <w:rFonts w:cs="Calibri"/>
                <w:sz w:val="16"/>
                <w:szCs w:val="16"/>
              </w:rPr>
              <w:t xml:space="preserve">SGAyDS </w:t>
            </w:r>
          </w:p>
          <w:p w14:paraId="6DDA95F4" w14:textId="77777777" w:rsidR="002B04EB" w:rsidRPr="003F7F6C" w:rsidRDefault="002B04EB" w:rsidP="00B851B7">
            <w:pPr>
              <w:rPr>
                <w:rFonts w:cs="Calibri"/>
                <w:sz w:val="16"/>
                <w:szCs w:val="16"/>
              </w:rPr>
            </w:pPr>
            <w:r w:rsidRPr="003F7F6C">
              <w:rPr>
                <w:rFonts w:cs="Calibri"/>
                <w:sz w:val="16"/>
                <w:szCs w:val="16"/>
              </w:rPr>
              <w:t>INTA</w:t>
            </w:r>
          </w:p>
        </w:tc>
        <w:tc>
          <w:tcPr>
            <w:tcW w:w="428" w:type="dxa"/>
          </w:tcPr>
          <w:p w14:paraId="75B79824" w14:textId="77777777" w:rsidR="002B04EB" w:rsidRPr="003F7F6C" w:rsidRDefault="002B04EB" w:rsidP="00B851B7">
            <w:pPr>
              <w:rPr>
                <w:rFonts w:cs="Calibri"/>
                <w:sz w:val="16"/>
                <w:szCs w:val="16"/>
              </w:rPr>
            </w:pPr>
          </w:p>
        </w:tc>
        <w:tc>
          <w:tcPr>
            <w:tcW w:w="444" w:type="dxa"/>
          </w:tcPr>
          <w:p w14:paraId="1F548980" w14:textId="77777777" w:rsidR="002B04EB" w:rsidRPr="003F7F6C" w:rsidRDefault="002B04EB" w:rsidP="00B851B7">
            <w:pPr>
              <w:rPr>
                <w:sz w:val="16"/>
                <w:szCs w:val="16"/>
              </w:rPr>
            </w:pPr>
            <w:r w:rsidRPr="003F7F6C">
              <w:rPr>
                <w:rFonts w:cs="Calibri"/>
                <w:sz w:val="16"/>
                <w:szCs w:val="16"/>
              </w:rPr>
              <w:t>X</w:t>
            </w:r>
          </w:p>
        </w:tc>
        <w:tc>
          <w:tcPr>
            <w:tcW w:w="428" w:type="dxa"/>
          </w:tcPr>
          <w:p w14:paraId="092BC70C"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6F7FDF23" w14:textId="77777777" w:rsidR="002B04EB" w:rsidRPr="003F7F6C" w:rsidRDefault="002B04EB" w:rsidP="00B851B7">
            <w:pPr>
              <w:rPr>
                <w:sz w:val="16"/>
                <w:szCs w:val="16"/>
              </w:rPr>
            </w:pPr>
            <w:r w:rsidRPr="003F7F6C">
              <w:rPr>
                <w:rFonts w:cs="Calibri"/>
                <w:sz w:val="16"/>
                <w:szCs w:val="16"/>
              </w:rPr>
              <w:t>X</w:t>
            </w:r>
          </w:p>
        </w:tc>
        <w:tc>
          <w:tcPr>
            <w:tcW w:w="428" w:type="dxa"/>
          </w:tcPr>
          <w:p w14:paraId="17A0425F" w14:textId="77777777" w:rsidR="002B04EB" w:rsidRPr="003F7F6C" w:rsidRDefault="002B04EB" w:rsidP="00B851B7">
            <w:pPr>
              <w:rPr>
                <w:sz w:val="16"/>
                <w:szCs w:val="16"/>
              </w:rPr>
            </w:pPr>
            <w:r w:rsidRPr="003F7F6C">
              <w:rPr>
                <w:rFonts w:cs="Calibri"/>
                <w:sz w:val="16"/>
                <w:szCs w:val="16"/>
              </w:rPr>
              <w:t>X</w:t>
            </w:r>
          </w:p>
        </w:tc>
        <w:tc>
          <w:tcPr>
            <w:tcW w:w="427" w:type="dxa"/>
          </w:tcPr>
          <w:p w14:paraId="7A1EE557" w14:textId="77777777" w:rsidR="002B04EB" w:rsidRPr="003F7F6C" w:rsidRDefault="002B04EB" w:rsidP="00B851B7">
            <w:pPr>
              <w:rPr>
                <w:sz w:val="16"/>
                <w:szCs w:val="16"/>
              </w:rPr>
            </w:pPr>
            <w:r w:rsidRPr="003F7F6C">
              <w:rPr>
                <w:rFonts w:cs="Calibri"/>
                <w:sz w:val="16"/>
                <w:szCs w:val="16"/>
              </w:rPr>
              <w:t>X</w:t>
            </w:r>
          </w:p>
        </w:tc>
        <w:tc>
          <w:tcPr>
            <w:tcW w:w="427" w:type="dxa"/>
          </w:tcPr>
          <w:p w14:paraId="0E51289B" w14:textId="77777777" w:rsidR="002B04EB" w:rsidRPr="003F7F6C" w:rsidRDefault="002B04EB" w:rsidP="00B851B7">
            <w:pPr>
              <w:rPr>
                <w:sz w:val="16"/>
                <w:szCs w:val="16"/>
              </w:rPr>
            </w:pPr>
            <w:r w:rsidRPr="003F7F6C">
              <w:rPr>
                <w:rFonts w:cs="Calibri"/>
                <w:sz w:val="16"/>
                <w:szCs w:val="16"/>
              </w:rPr>
              <w:t>X</w:t>
            </w:r>
          </w:p>
        </w:tc>
        <w:tc>
          <w:tcPr>
            <w:tcW w:w="427" w:type="dxa"/>
            <w:gridSpan w:val="2"/>
          </w:tcPr>
          <w:p w14:paraId="5A8F684C" w14:textId="77777777" w:rsidR="002B04EB" w:rsidRPr="003F7F6C" w:rsidRDefault="002B04EB" w:rsidP="00B851B7">
            <w:pPr>
              <w:rPr>
                <w:sz w:val="16"/>
                <w:szCs w:val="16"/>
              </w:rPr>
            </w:pPr>
            <w:r w:rsidRPr="003F7F6C">
              <w:rPr>
                <w:rFonts w:cs="Calibri"/>
                <w:sz w:val="16"/>
                <w:szCs w:val="16"/>
              </w:rPr>
              <w:t>X</w:t>
            </w:r>
          </w:p>
        </w:tc>
        <w:tc>
          <w:tcPr>
            <w:tcW w:w="428" w:type="dxa"/>
          </w:tcPr>
          <w:p w14:paraId="4AA108F8" w14:textId="77777777" w:rsidR="002B04EB" w:rsidRPr="003F7F6C" w:rsidRDefault="002B04EB" w:rsidP="00B851B7">
            <w:pPr>
              <w:rPr>
                <w:sz w:val="16"/>
                <w:szCs w:val="16"/>
              </w:rPr>
            </w:pPr>
            <w:r w:rsidRPr="003F7F6C">
              <w:rPr>
                <w:rFonts w:cs="Calibri"/>
                <w:sz w:val="16"/>
                <w:szCs w:val="16"/>
              </w:rPr>
              <w:t>X</w:t>
            </w:r>
          </w:p>
        </w:tc>
        <w:tc>
          <w:tcPr>
            <w:tcW w:w="428" w:type="dxa"/>
          </w:tcPr>
          <w:p w14:paraId="1EE1F860" w14:textId="77777777" w:rsidR="002B04EB" w:rsidRPr="003F7F6C" w:rsidRDefault="002B04EB" w:rsidP="00B851B7">
            <w:pPr>
              <w:rPr>
                <w:sz w:val="16"/>
                <w:szCs w:val="16"/>
              </w:rPr>
            </w:pPr>
            <w:r w:rsidRPr="003F7F6C">
              <w:rPr>
                <w:rFonts w:cs="Calibri"/>
                <w:sz w:val="16"/>
                <w:szCs w:val="16"/>
              </w:rPr>
              <w:t>X</w:t>
            </w:r>
          </w:p>
        </w:tc>
        <w:tc>
          <w:tcPr>
            <w:tcW w:w="428" w:type="dxa"/>
          </w:tcPr>
          <w:p w14:paraId="5E022C07"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145FE861" w14:textId="77777777" w:rsidR="002B04EB" w:rsidRPr="003F7F6C" w:rsidRDefault="002B04EB" w:rsidP="00B851B7">
            <w:pPr>
              <w:rPr>
                <w:sz w:val="16"/>
                <w:szCs w:val="16"/>
              </w:rPr>
            </w:pPr>
            <w:r w:rsidRPr="003F7F6C">
              <w:rPr>
                <w:rFonts w:cs="Calibri"/>
                <w:sz w:val="16"/>
                <w:szCs w:val="16"/>
              </w:rPr>
              <w:t>X</w:t>
            </w:r>
          </w:p>
        </w:tc>
        <w:tc>
          <w:tcPr>
            <w:tcW w:w="428" w:type="dxa"/>
          </w:tcPr>
          <w:p w14:paraId="3E6290EE" w14:textId="77777777" w:rsidR="002B04EB" w:rsidRPr="003F7F6C" w:rsidRDefault="002B04EB" w:rsidP="00B851B7">
            <w:pPr>
              <w:rPr>
                <w:sz w:val="16"/>
                <w:szCs w:val="16"/>
              </w:rPr>
            </w:pPr>
            <w:r w:rsidRPr="003F7F6C">
              <w:rPr>
                <w:rFonts w:cs="Calibri"/>
                <w:sz w:val="16"/>
                <w:szCs w:val="16"/>
              </w:rPr>
              <w:t>X</w:t>
            </w:r>
          </w:p>
        </w:tc>
        <w:tc>
          <w:tcPr>
            <w:tcW w:w="428" w:type="dxa"/>
          </w:tcPr>
          <w:p w14:paraId="665EBD12" w14:textId="77777777" w:rsidR="002B04EB" w:rsidRPr="003F7F6C" w:rsidRDefault="002B04EB" w:rsidP="00B851B7">
            <w:pPr>
              <w:rPr>
                <w:sz w:val="16"/>
                <w:szCs w:val="16"/>
              </w:rPr>
            </w:pPr>
            <w:r w:rsidRPr="003F7F6C">
              <w:rPr>
                <w:rFonts w:cs="Calibri"/>
                <w:sz w:val="16"/>
                <w:szCs w:val="16"/>
              </w:rPr>
              <w:t>X</w:t>
            </w:r>
          </w:p>
        </w:tc>
        <w:tc>
          <w:tcPr>
            <w:tcW w:w="428" w:type="dxa"/>
          </w:tcPr>
          <w:p w14:paraId="5B8847BC"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1634DC3A" w14:textId="77777777" w:rsidR="002B04EB" w:rsidRPr="003F7F6C" w:rsidRDefault="002B04EB" w:rsidP="00B851B7">
            <w:pPr>
              <w:rPr>
                <w:sz w:val="16"/>
                <w:szCs w:val="16"/>
              </w:rPr>
            </w:pPr>
            <w:r w:rsidRPr="003F7F6C">
              <w:rPr>
                <w:rFonts w:cs="Calibri"/>
                <w:sz w:val="16"/>
                <w:szCs w:val="16"/>
              </w:rPr>
              <w:t>X</w:t>
            </w:r>
          </w:p>
        </w:tc>
        <w:tc>
          <w:tcPr>
            <w:tcW w:w="428" w:type="dxa"/>
          </w:tcPr>
          <w:p w14:paraId="04F16A40" w14:textId="77777777" w:rsidR="002B04EB" w:rsidRPr="003F7F6C" w:rsidRDefault="002B04EB" w:rsidP="00B851B7">
            <w:pPr>
              <w:rPr>
                <w:sz w:val="16"/>
                <w:szCs w:val="16"/>
              </w:rPr>
            </w:pPr>
            <w:r w:rsidRPr="003F7F6C">
              <w:rPr>
                <w:rFonts w:cs="Calibri"/>
                <w:sz w:val="16"/>
                <w:szCs w:val="16"/>
              </w:rPr>
              <w:t>X</w:t>
            </w:r>
          </w:p>
        </w:tc>
        <w:tc>
          <w:tcPr>
            <w:tcW w:w="428" w:type="dxa"/>
          </w:tcPr>
          <w:p w14:paraId="3C85D02C" w14:textId="77777777" w:rsidR="002B04EB" w:rsidRPr="003F7F6C" w:rsidRDefault="002B04EB" w:rsidP="00B851B7">
            <w:pPr>
              <w:rPr>
                <w:sz w:val="16"/>
                <w:szCs w:val="16"/>
              </w:rPr>
            </w:pPr>
            <w:r w:rsidRPr="003F7F6C">
              <w:rPr>
                <w:rFonts w:cs="Calibri"/>
                <w:sz w:val="16"/>
                <w:szCs w:val="16"/>
              </w:rPr>
              <w:t>X</w:t>
            </w:r>
          </w:p>
        </w:tc>
        <w:tc>
          <w:tcPr>
            <w:tcW w:w="428" w:type="dxa"/>
          </w:tcPr>
          <w:p w14:paraId="7490074A"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5474A3E2" w14:textId="77777777" w:rsidR="002B04EB" w:rsidRPr="003F7F6C" w:rsidRDefault="002B04EB" w:rsidP="00B851B7">
            <w:pPr>
              <w:rPr>
                <w:sz w:val="16"/>
                <w:szCs w:val="16"/>
              </w:rPr>
            </w:pPr>
            <w:r w:rsidRPr="003F7F6C">
              <w:rPr>
                <w:rFonts w:cs="Calibri"/>
                <w:sz w:val="16"/>
                <w:szCs w:val="16"/>
              </w:rPr>
              <w:t>X</w:t>
            </w:r>
          </w:p>
        </w:tc>
        <w:tc>
          <w:tcPr>
            <w:tcW w:w="428" w:type="dxa"/>
          </w:tcPr>
          <w:p w14:paraId="19BFF4A3" w14:textId="77777777" w:rsidR="002B04EB" w:rsidRPr="003F7F6C" w:rsidRDefault="002B04EB" w:rsidP="00B851B7">
            <w:pPr>
              <w:rPr>
                <w:sz w:val="16"/>
                <w:szCs w:val="16"/>
              </w:rPr>
            </w:pPr>
            <w:r w:rsidRPr="003F7F6C">
              <w:rPr>
                <w:rFonts w:cs="Calibri"/>
                <w:sz w:val="16"/>
                <w:szCs w:val="16"/>
              </w:rPr>
              <w:t>X</w:t>
            </w:r>
          </w:p>
        </w:tc>
        <w:tc>
          <w:tcPr>
            <w:tcW w:w="428" w:type="dxa"/>
          </w:tcPr>
          <w:p w14:paraId="7418DB64" w14:textId="77777777" w:rsidR="002B04EB" w:rsidRPr="003F7F6C" w:rsidRDefault="002B04EB" w:rsidP="00B851B7">
            <w:pPr>
              <w:rPr>
                <w:sz w:val="16"/>
                <w:szCs w:val="16"/>
              </w:rPr>
            </w:pPr>
            <w:r w:rsidRPr="003F7F6C">
              <w:rPr>
                <w:rFonts w:cs="Calibri"/>
                <w:sz w:val="16"/>
                <w:szCs w:val="16"/>
              </w:rPr>
              <w:t>X</w:t>
            </w:r>
          </w:p>
        </w:tc>
        <w:tc>
          <w:tcPr>
            <w:tcW w:w="428" w:type="dxa"/>
          </w:tcPr>
          <w:p w14:paraId="78A584C9" w14:textId="77777777" w:rsidR="002B04EB" w:rsidRPr="003F7F6C" w:rsidRDefault="002B04EB" w:rsidP="00B851B7">
            <w:pPr>
              <w:rPr>
                <w:sz w:val="16"/>
                <w:szCs w:val="16"/>
              </w:rPr>
            </w:pPr>
            <w:r w:rsidRPr="003F7F6C">
              <w:rPr>
                <w:rFonts w:cs="Calibri"/>
                <w:sz w:val="16"/>
                <w:szCs w:val="16"/>
              </w:rPr>
              <w:t>X</w:t>
            </w:r>
          </w:p>
        </w:tc>
        <w:tc>
          <w:tcPr>
            <w:tcW w:w="428" w:type="dxa"/>
          </w:tcPr>
          <w:p w14:paraId="00E3FDCC" w14:textId="77777777" w:rsidR="002B04EB" w:rsidRPr="003F7F6C" w:rsidRDefault="002B04EB" w:rsidP="00B851B7">
            <w:pPr>
              <w:rPr>
                <w:sz w:val="16"/>
                <w:szCs w:val="16"/>
              </w:rPr>
            </w:pPr>
            <w:r w:rsidRPr="003F7F6C">
              <w:rPr>
                <w:rFonts w:cs="Calibri"/>
                <w:sz w:val="16"/>
                <w:szCs w:val="16"/>
              </w:rPr>
              <w:t>X</w:t>
            </w:r>
          </w:p>
        </w:tc>
      </w:tr>
      <w:tr w:rsidR="002B04EB" w:rsidRPr="003F7F6C" w14:paraId="0453E995" w14:textId="77777777" w:rsidTr="00B851B7">
        <w:tc>
          <w:tcPr>
            <w:tcW w:w="1668" w:type="dxa"/>
          </w:tcPr>
          <w:p w14:paraId="2CF84CC5" w14:textId="77777777" w:rsidR="002B04EB" w:rsidRPr="003F7F6C" w:rsidRDefault="002B04EB" w:rsidP="00E91275">
            <w:pPr>
              <w:pStyle w:val="ListParagraph"/>
              <w:numPr>
                <w:ilvl w:val="0"/>
                <w:numId w:val="29"/>
              </w:numPr>
              <w:spacing w:after="0"/>
              <w:ind w:left="174" w:hanging="174"/>
              <w:contextualSpacing w:val="0"/>
              <w:rPr>
                <w:rFonts w:cs="Calibri"/>
                <w:sz w:val="16"/>
                <w:szCs w:val="16"/>
              </w:rPr>
            </w:pPr>
            <w:r w:rsidRPr="003F7F6C">
              <w:rPr>
                <w:rFonts w:cs="Calibri"/>
                <w:sz w:val="16"/>
                <w:szCs w:val="16"/>
              </w:rPr>
              <w:t>Harmonize ELUP regulations</w:t>
            </w:r>
          </w:p>
        </w:tc>
        <w:tc>
          <w:tcPr>
            <w:tcW w:w="1057" w:type="dxa"/>
          </w:tcPr>
          <w:p w14:paraId="4CA5FF14" w14:textId="77777777" w:rsidR="002B04EB" w:rsidRPr="003F7F6C" w:rsidRDefault="002B04EB" w:rsidP="00B851B7">
            <w:pPr>
              <w:rPr>
                <w:rFonts w:cs="Calibri"/>
                <w:sz w:val="16"/>
                <w:szCs w:val="16"/>
              </w:rPr>
            </w:pPr>
            <w:r w:rsidRPr="003F7F6C">
              <w:rPr>
                <w:rFonts w:cs="Calibri"/>
                <w:sz w:val="16"/>
                <w:szCs w:val="16"/>
              </w:rPr>
              <w:t>SGAyDS</w:t>
            </w:r>
          </w:p>
        </w:tc>
        <w:tc>
          <w:tcPr>
            <w:tcW w:w="428" w:type="dxa"/>
          </w:tcPr>
          <w:p w14:paraId="1737701E" w14:textId="77777777" w:rsidR="002B04EB" w:rsidRPr="003F7F6C" w:rsidRDefault="002B04EB" w:rsidP="00B851B7">
            <w:pPr>
              <w:rPr>
                <w:rFonts w:cs="Calibri"/>
                <w:sz w:val="16"/>
                <w:szCs w:val="16"/>
              </w:rPr>
            </w:pPr>
          </w:p>
        </w:tc>
        <w:tc>
          <w:tcPr>
            <w:tcW w:w="444" w:type="dxa"/>
          </w:tcPr>
          <w:p w14:paraId="44D4FE2C" w14:textId="77777777" w:rsidR="002B04EB" w:rsidRPr="003F7F6C" w:rsidRDefault="002B04EB" w:rsidP="00B851B7">
            <w:pPr>
              <w:rPr>
                <w:sz w:val="16"/>
                <w:szCs w:val="16"/>
              </w:rPr>
            </w:pPr>
            <w:r w:rsidRPr="003F7F6C">
              <w:rPr>
                <w:rFonts w:cs="Calibri"/>
                <w:sz w:val="16"/>
                <w:szCs w:val="16"/>
              </w:rPr>
              <w:t>X</w:t>
            </w:r>
          </w:p>
        </w:tc>
        <w:tc>
          <w:tcPr>
            <w:tcW w:w="428" w:type="dxa"/>
          </w:tcPr>
          <w:p w14:paraId="3A27BE91"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21C69FB0" w14:textId="77777777" w:rsidR="002B04EB" w:rsidRPr="003F7F6C" w:rsidRDefault="002B04EB" w:rsidP="00B851B7">
            <w:pPr>
              <w:rPr>
                <w:sz w:val="16"/>
                <w:szCs w:val="16"/>
              </w:rPr>
            </w:pPr>
            <w:r w:rsidRPr="003F7F6C">
              <w:rPr>
                <w:rFonts w:cs="Calibri"/>
                <w:sz w:val="16"/>
                <w:szCs w:val="16"/>
              </w:rPr>
              <w:t>X</w:t>
            </w:r>
          </w:p>
        </w:tc>
        <w:tc>
          <w:tcPr>
            <w:tcW w:w="428" w:type="dxa"/>
          </w:tcPr>
          <w:p w14:paraId="5BE8E2B3" w14:textId="77777777" w:rsidR="002B04EB" w:rsidRPr="003F7F6C" w:rsidRDefault="002B04EB" w:rsidP="00B851B7">
            <w:pPr>
              <w:rPr>
                <w:sz w:val="16"/>
                <w:szCs w:val="16"/>
              </w:rPr>
            </w:pPr>
            <w:r w:rsidRPr="003F7F6C">
              <w:rPr>
                <w:rFonts w:cs="Calibri"/>
                <w:sz w:val="16"/>
                <w:szCs w:val="16"/>
              </w:rPr>
              <w:t>X</w:t>
            </w:r>
          </w:p>
        </w:tc>
        <w:tc>
          <w:tcPr>
            <w:tcW w:w="427" w:type="dxa"/>
          </w:tcPr>
          <w:p w14:paraId="104DDCF9" w14:textId="77777777" w:rsidR="002B04EB" w:rsidRPr="003F7F6C" w:rsidRDefault="002B04EB" w:rsidP="00B851B7">
            <w:pPr>
              <w:rPr>
                <w:sz w:val="16"/>
                <w:szCs w:val="16"/>
              </w:rPr>
            </w:pPr>
            <w:r w:rsidRPr="003F7F6C">
              <w:rPr>
                <w:rFonts w:cs="Calibri"/>
                <w:sz w:val="16"/>
                <w:szCs w:val="16"/>
              </w:rPr>
              <w:t>X</w:t>
            </w:r>
          </w:p>
        </w:tc>
        <w:tc>
          <w:tcPr>
            <w:tcW w:w="427" w:type="dxa"/>
          </w:tcPr>
          <w:p w14:paraId="1622FE2C" w14:textId="77777777" w:rsidR="002B04EB" w:rsidRPr="003F7F6C" w:rsidRDefault="002B04EB" w:rsidP="00B851B7">
            <w:pPr>
              <w:rPr>
                <w:sz w:val="16"/>
                <w:szCs w:val="16"/>
              </w:rPr>
            </w:pPr>
            <w:r w:rsidRPr="003F7F6C">
              <w:rPr>
                <w:rFonts w:cs="Calibri"/>
                <w:sz w:val="16"/>
                <w:szCs w:val="16"/>
              </w:rPr>
              <w:t>X</w:t>
            </w:r>
          </w:p>
        </w:tc>
        <w:tc>
          <w:tcPr>
            <w:tcW w:w="427" w:type="dxa"/>
            <w:gridSpan w:val="2"/>
          </w:tcPr>
          <w:p w14:paraId="577D9CEC" w14:textId="77777777" w:rsidR="002B04EB" w:rsidRPr="003F7F6C" w:rsidRDefault="002B04EB" w:rsidP="00B851B7">
            <w:pPr>
              <w:rPr>
                <w:sz w:val="16"/>
                <w:szCs w:val="16"/>
              </w:rPr>
            </w:pPr>
            <w:r w:rsidRPr="003F7F6C">
              <w:rPr>
                <w:rFonts w:cs="Calibri"/>
                <w:sz w:val="16"/>
                <w:szCs w:val="16"/>
              </w:rPr>
              <w:t>X</w:t>
            </w:r>
          </w:p>
        </w:tc>
        <w:tc>
          <w:tcPr>
            <w:tcW w:w="428" w:type="dxa"/>
          </w:tcPr>
          <w:p w14:paraId="08F9F9C1" w14:textId="77777777" w:rsidR="002B04EB" w:rsidRPr="003F7F6C" w:rsidRDefault="002B04EB" w:rsidP="00B851B7">
            <w:pPr>
              <w:rPr>
                <w:sz w:val="16"/>
                <w:szCs w:val="16"/>
              </w:rPr>
            </w:pPr>
            <w:r w:rsidRPr="003F7F6C">
              <w:rPr>
                <w:rFonts w:cs="Calibri"/>
                <w:sz w:val="16"/>
                <w:szCs w:val="16"/>
              </w:rPr>
              <w:t>X</w:t>
            </w:r>
          </w:p>
        </w:tc>
        <w:tc>
          <w:tcPr>
            <w:tcW w:w="428" w:type="dxa"/>
          </w:tcPr>
          <w:p w14:paraId="78EF29CA" w14:textId="77777777" w:rsidR="002B04EB" w:rsidRPr="003F7F6C" w:rsidRDefault="002B04EB" w:rsidP="00B851B7">
            <w:pPr>
              <w:rPr>
                <w:sz w:val="16"/>
                <w:szCs w:val="16"/>
              </w:rPr>
            </w:pPr>
            <w:r w:rsidRPr="003F7F6C">
              <w:rPr>
                <w:rFonts w:cs="Calibri"/>
                <w:sz w:val="16"/>
                <w:szCs w:val="16"/>
              </w:rPr>
              <w:t>X</w:t>
            </w:r>
          </w:p>
        </w:tc>
        <w:tc>
          <w:tcPr>
            <w:tcW w:w="428" w:type="dxa"/>
          </w:tcPr>
          <w:p w14:paraId="0A2331EF"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033F4192" w14:textId="77777777" w:rsidR="002B04EB" w:rsidRPr="003F7F6C" w:rsidRDefault="002B04EB" w:rsidP="00B851B7">
            <w:pPr>
              <w:rPr>
                <w:sz w:val="16"/>
                <w:szCs w:val="16"/>
              </w:rPr>
            </w:pPr>
            <w:r w:rsidRPr="003F7F6C">
              <w:rPr>
                <w:rFonts w:cs="Calibri"/>
                <w:sz w:val="16"/>
                <w:szCs w:val="16"/>
              </w:rPr>
              <w:t>X</w:t>
            </w:r>
          </w:p>
        </w:tc>
        <w:tc>
          <w:tcPr>
            <w:tcW w:w="428" w:type="dxa"/>
          </w:tcPr>
          <w:p w14:paraId="2CC323CE" w14:textId="77777777" w:rsidR="002B04EB" w:rsidRPr="003F7F6C" w:rsidRDefault="002B04EB" w:rsidP="00B851B7">
            <w:pPr>
              <w:rPr>
                <w:sz w:val="16"/>
                <w:szCs w:val="16"/>
              </w:rPr>
            </w:pPr>
            <w:r w:rsidRPr="003F7F6C">
              <w:rPr>
                <w:rFonts w:cs="Calibri"/>
                <w:sz w:val="16"/>
                <w:szCs w:val="16"/>
              </w:rPr>
              <w:t>X</w:t>
            </w:r>
          </w:p>
        </w:tc>
        <w:tc>
          <w:tcPr>
            <w:tcW w:w="428" w:type="dxa"/>
          </w:tcPr>
          <w:p w14:paraId="55415E4B" w14:textId="77777777" w:rsidR="002B04EB" w:rsidRPr="003F7F6C" w:rsidRDefault="002B04EB" w:rsidP="00B851B7">
            <w:pPr>
              <w:rPr>
                <w:sz w:val="16"/>
                <w:szCs w:val="16"/>
              </w:rPr>
            </w:pPr>
            <w:r w:rsidRPr="003F7F6C">
              <w:rPr>
                <w:rFonts w:cs="Calibri"/>
                <w:sz w:val="16"/>
                <w:szCs w:val="16"/>
              </w:rPr>
              <w:t>X</w:t>
            </w:r>
          </w:p>
        </w:tc>
        <w:tc>
          <w:tcPr>
            <w:tcW w:w="428" w:type="dxa"/>
          </w:tcPr>
          <w:p w14:paraId="47CB4687"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5C5D765E" w14:textId="77777777" w:rsidR="002B04EB" w:rsidRPr="003F7F6C" w:rsidRDefault="002B04EB" w:rsidP="00B851B7">
            <w:pPr>
              <w:rPr>
                <w:sz w:val="16"/>
                <w:szCs w:val="16"/>
              </w:rPr>
            </w:pPr>
            <w:r w:rsidRPr="003F7F6C">
              <w:rPr>
                <w:rFonts w:cs="Calibri"/>
                <w:sz w:val="16"/>
                <w:szCs w:val="16"/>
              </w:rPr>
              <w:t>X</w:t>
            </w:r>
          </w:p>
        </w:tc>
        <w:tc>
          <w:tcPr>
            <w:tcW w:w="428" w:type="dxa"/>
          </w:tcPr>
          <w:p w14:paraId="0892DF60" w14:textId="77777777" w:rsidR="002B04EB" w:rsidRPr="003F7F6C" w:rsidRDefault="002B04EB" w:rsidP="00B851B7">
            <w:pPr>
              <w:rPr>
                <w:sz w:val="16"/>
                <w:szCs w:val="16"/>
              </w:rPr>
            </w:pPr>
            <w:r w:rsidRPr="003F7F6C">
              <w:rPr>
                <w:rFonts w:cs="Calibri"/>
                <w:sz w:val="16"/>
                <w:szCs w:val="16"/>
              </w:rPr>
              <w:t>X</w:t>
            </w:r>
          </w:p>
        </w:tc>
        <w:tc>
          <w:tcPr>
            <w:tcW w:w="428" w:type="dxa"/>
          </w:tcPr>
          <w:p w14:paraId="05901695" w14:textId="77777777" w:rsidR="002B04EB" w:rsidRPr="003F7F6C" w:rsidRDefault="002B04EB" w:rsidP="00B851B7">
            <w:pPr>
              <w:rPr>
                <w:sz w:val="16"/>
                <w:szCs w:val="16"/>
              </w:rPr>
            </w:pPr>
            <w:r w:rsidRPr="003F7F6C">
              <w:rPr>
                <w:rFonts w:cs="Calibri"/>
                <w:sz w:val="16"/>
                <w:szCs w:val="16"/>
              </w:rPr>
              <w:t>X</w:t>
            </w:r>
          </w:p>
        </w:tc>
        <w:tc>
          <w:tcPr>
            <w:tcW w:w="428" w:type="dxa"/>
          </w:tcPr>
          <w:p w14:paraId="03BF0828"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52A89895" w14:textId="77777777" w:rsidR="002B04EB" w:rsidRPr="003F7F6C" w:rsidRDefault="002B04EB" w:rsidP="00B851B7">
            <w:pPr>
              <w:rPr>
                <w:sz w:val="16"/>
                <w:szCs w:val="16"/>
              </w:rPr>
            </w:pPr>
            <w:r w:rsidRPr="003F7F6C">
              <w:rPr>
                <w:rFonts w:cs="Calibri"/>
                <w:sz w:val="16"/>
                <w:szCs w:val="16"/>
              </w:rPr>
              <w:t>X</w:t>
            </w:r>
          </w:p>
        </w:tc>
        <w:tc>
          <w:tcPr>
            <w:tcW w:w="428" w:type="dxa"/>
          </w:tcPr>
          <w:p w14:paraId="28F272DB" w14:textId="77777777" w:rsidR="002B04EB" w:rsidRPr="003F7F6C" w:rsidRDefault="002B04EB" w:rsidP="00B851B7">
            <w:pPr>
              <w:rPr>
                <w:sz w:val="16"/>
                <w:szCs w:val="16"/>
              </w:rPr>
            </w:pPr>
            <w:r w:rsidRPr="003F7F6C">
              <w:rPr>
                <w:rFonts w:cs="Calibri"/>
                <w:sz w:val="16"/>
                <w:szCs w:val="16"/>
              </w:rPr>
              <w:t>X</w:t>
            </w:r>
          </w:p>
        </w:tc>
        <w:tc>
          <w:tcPr>
            <w:tcW w:w="428" w:type="dxa"/>
          </w:tcPr>
          <w:p w14:paraId="782D1685" w14:textId="77777777" w:rsidR="002B04EB" w:rsidRPr="003F7F6C" w:rsidRDefault="002B04EB" w:rsidP="00B851B7">
            <w:pPr>
              <w:rPr>
                <w:sz w:val="16"/>
                <w:szCs w:val="16"/>
              </w:rPr>
            </w:pPr>
            <w:r w:rsidRPr="003F7F6C">
              <w:rPr>
                <w:rFonts w:cs="Calibri"/>
                <w:sz w:val="16"/>
                <w:szCs w:val="16"/>
              </w:rPr>
              <w:t>X</w:t>
            </w:r>
          </w:p>
        </w:tc>
        <w:tc>
          <w:tcPr>
            <w:tcW w:w="428" w:type="dxa"/>
          </w:tcPr>
          <w:p w14:paraId="74C5D9C9" w14:textId="77777777" w:rsidR="002B04EB" w:rsidRPr="003F7F6C" w:rsidRDefault="002B04EB" w:rsidP="00B851B7">
            <w:pPr>
              <w:rPr>
                <w:sz w:val="16"/>
                <w:szCs w:val="16"/>
              </w:rPr>
            </w:pPr>
            <w:r w:rsidRPr="003F7F6C">
              <w:rPr>
                <w:rFonts w:cs="Calibri"/>
                <w:sz w:val="16"/>
                <w:szCs w:val="16"/>
              </w:rPr>
              <w:t>X</w:t>
            </w:r>
          </w:p>
        </w:tc>
        <w:tc>
          <w:tcPr>
            <w:tcW w:w="428" w:type="dxa"/>
          </w:tcPr>
          <w:p w14:paraId="6540DC65" w14:textId="77777777" w:rsidR="002B04EB" w:rsidRPr="003F7F6C" w:rsidRDefault="002B04EB" w:rsidP="00B851B7">
            <w:pPr>
              <w:rPr>
                <w:sz w:val="16"/>
                <w:szCs w:val="16"/>
              </w:rPr>
            </w:pPr>
            <w:r w:rsidRPr="003F7F6C">
              <w:rPr>
                <w:rFonts w:cs="Calibri"/>
                <w:sz w:val="16"/>
                <w:szCs w:val="16"/>
              </w:rPr>
              <w:t>X</w:t>
            </w:r>
          </w:p>
        </w:tc>
      </w:tr>
      <w:tr w:rsidR="002B04EB" w:rsidRPr="003F7F6C" w14:paraId="1ECA275E" w14:textId="77777777" w:rsidTr="00B851B7">
        <w:tc>
          <w:tcPr>
            <w:tcW w:w="1668" w:type="dxa"/>
          </w:tcPr>
          <w:p w14:paraId="2234B945" w14:textId="77777777" w:rsidR="002B04EB" w:rsidRPr="003F7F6C" w:rsidRDefault="002B04EB" w:rsidP="00E91275">
            <w:pPr>
              <w:pStyle w:val="ListParagraph"/>
              <w:numPr>
                <w:ilvl w:val="0"/>
                <w:numId w:val="29"/>
              </w:numPr>
              <w:spacing w:after="0"/>
              <w:ind w:left="174" w:hanging="174"/>
              <w:contextualSpacing w:val="0"/>
              <w:rPr>
                <w:rFonts w:cs="Calibri"/>
                <w:sz w:val="16"/>
                <w:szCs w:val="16"/>
              </w:rPr>
            </w:pPr>
            <w:r w:rsidRPr="003F7F6C">
              <w:rPr>
                <w:rFonts w:cs="Calibri"/>
                <w:sz w:val="16"/>
                <w:szCs w:val="16"/>
              </w:rPr>
              <w:t>Assessment of ELUP related regulations</w:t>
            </w:r>
          </w:p>
        </w:tc>
        <w:tc>
          <w:tcPr>
            <w:tcW w:w="1057" w:type="dxa"/>
          </w:tcPr>
          <w:p w14:paraId="5BB4521F" w14:textId="77777777" w:rsidR="002B04EB" w:rsidRPr="003F7F6C" w:rsidRDefault="002B04EB" w:rsidP="00B851B7">
            <w:pPr>
              <w:rPr>
                <w:rFonts w:cs="Calibri"/>
                <w:sz w:val="16"/>
                <w:szCs w:val="16"/>
              </w:rPr>
            </w:pPr>
            <w:r w:rsidRPr="003F7F6C">
              <w:rPr>
                <w:rFonts w:cs="Calibri"/>
                <w:sz w:val="16"/>
                <w:szCs w:val="16"/>
              </w:rPr>
              <w:t>SGAyDS</w:t>
            </w:r>
          </w:p>
        </w:tc>
        <w:tc>
          <w:tcPr>
            <w:tcW w:w="428" w:type="dxa"/>
          </w:tcPr>
          <w:p w14:paraId="2FBF6919" w14:textId="77777777" w:rsidR="002B04EB" w:rsidRPr="003F7F6C" w:rsidRDefault="002B04EB" w:rsidP="00B851B7">
            <w:pPr>
              <w:rPr>
                <w:rFonts w:cs="Calibri"/>
                <w:sz w:val="16"/>
                <w:szCs w:val="16"/>
              </w:rPr>
            </w:pPr>
          </w:p>
        </w:tc>
        <w:tc>
          <w:tcPr>
            <w:tcW w:w="444" w:type="dxa"/>
          </w:tcPr>
          <w:p w14:paraId="5D2FA4E5" w14:textId="77777777" w:rsidR="002B04EB" w:rsidRPr="003F7F6C" w:rsidRDefault="002B04EB" w:rsidP="00B851B7">
            <w:pPr>
              <w:rPr>
                <w:sz w:val="16"/>
                <w:szCs w:val="16"/>
              </w:rPr>
            </w:pPr>
            <w:r w:rsidRPr="003F7F6C">
              <w:rPr>
                <w:rFonts w:cs="Calibri"/>
                <w:sz w:val="16"/>
                <w:szCs w:val="16"/>
              </w:rPr>
              <w:t>X</w:t>
            </w:r>
          </w:p>
        </w:tc>
        <w:tc>
          <w:tcPr>
            <w:tcW w:w="428" w:type="dxa"/>
          </w:tcPr>
          <w:p w14:paraId="07D5C39B"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2EBDBFB1" w14:textId="77777777" w:rsidR="002B04EB" w:rsidRPr="003F7F6C" w:rsidRDefault="002B04EB" w:rsidP="00B851B7">
            <w:pPr>
              <w:rPr>
                <w:sz w:val="16"/>
                <w:szCs w:val="16"/>
              </w:rPr>
            </w:pPr>
            <w:r w:rsidRPr="003F7F6C">
              <w:rPr>
                <w:rFonts w:cs="Calibri"/>
                <w:sz w:val="16"/>
                <w:szCs w:val="16"/>
              </w:rPr>
              <w:t>X</w:t>
            </w:r>
          </w:p>
        </w:tc>
        <w:tc>
          <w:tcPr>
            <w:tcW w:w="428" w:type="dxa"/>
          </w:tcPr>
          <w:p w14:paraId="406FAD7C" w14:textId="77777777" w:rsidR="002B04EB" w:rsidRPr="003F7F6C" w:rsidRDefault="002B04EB" w:rsidP="00B851B7">
            <w:pPr>
              <w:rPr>
                <w:sz w:val="16"/>
                <w:szCs w:val="16"/>
              </w:rPr>
            </w:pPr>
            <w:r w:rsidRPr="003F7F6C">
              <w:rPr>
                <w:rFonts w:cs="Calibri"/>
                <w:sz w:val="16"/>
                <w:szCs w:val="16"/>
              </w:rPr>
              <w:t>X</w:t>
            </w:r>
          </w:p>
        </w:tc>
        <w:tc>
          <w:tcPr>
            <w:tcW w:w="427" w:type="dxa"/>
          </w:tcPr>
          <w:p w14:paraId="175F5321" w14:textId="77777777" w:rsidR="002B04EB" w:rsidRPr="003F7F6C" w:rsidRDefault="002B04EB" w:rsidP="00B851B7">
            <w:pPr>
              <w:rPr>
                <w:sz w:val="16"/>
                <w:szCs w:val="16"/>
              </w:rPr>
            </w:pPr>
            <w:r w:rsidRPr="003F7F6C">
              <w:rPr>
                <w:rFonts w:cs="Calibri"/>
                <w:sz w:val="16"/>
                <w:szCs w:val="16"/>
              </w:rPr>
              <w:t>X</w:t>
            </w:r>
          </w:p>
        </w:tc>
        <w:tc>
          <w:tcPr>
            <w:tcW w:w="427" w:type="dxa"/>
          </w:tcPr>
          <w:p w14:paraId="3F04CDBD" w14:textId="77777777" w:rsidR="002B04EB" w:rsidRPr="003F7F6C" w:rsidRDefault="002B04EB" w:rsidP="00B851B7">
            <w:pPr>
              <w:rPr>
                <w:sz w:val="16"/>
                <w:szCs w:val="16"/>
              </w:rPr>
            </w:pPr>
            <w:r w:rsidRPr="003F7F6C">
              <w:rPr>
                <w:rFonts w:cs="Calibri"/>
                <w:sz w:val="16"/>
                <w:szCs w:val="16"/>
              </w:rPr>
              <w:t>X</w:t>
            </w:r>
          </w:p>
        </w:tc>
        <w:tc>
          <w:tcPr>
            <w:tcW w:w="427" w:type="dxa"/>
            <w:gridSpan w:val="2"/>
          </w:tcPr>
          <w:p w14:paraId="3655A0B4" w14:textId="77777777" w:rsidR="002B04EB" w:rsidRPr="003F7F6C" w:rsidRDefault="002B04EB" w:rsidP="00B851B7">
            <w:pPr>
              <w:rPr>
                <w:sz w:val="16"/>
                <w:szCs w:val="16"/>
              </w:rPr>
            </w:pPr>
            <w:r w:rsidRPr="003F7F6C">
              <w:rPr>
                <w:rFonts w:cs="Calibri"/>
                <w:sz w:val="16"/>
                <w:szCs w:val="16"/>
              </w:rPr>
              <w:t>X</w:t>
            </w:r>
          </w:p>
        </w:tc>
        <w:tc>
          <w:tcPr>
            <w:tcW w:w="428" w:type="dxa"/>
          </w:tcPr>
          <w:p w14:paraId="0E02F974" w14:textId="77777777" w:rsidR="002B04EB" w:rsidRPr="003F7F6C" w:rsidRDefault="002B04EB" w:rsidP="00B851B7">
            <w:pPr>
              <w:rPr>
                <w:rFonts w:cs="Calibri"/>
                <w:sz w:val="16"/>
                <w:szCs w:val="16"/>
              </w:rPr>
            </w:pPr>
          </w:p>
        </w:tc>
        <w:tc>
          <w:tcPr>
            <w:tcW w:w="428" w:type="dxa"/>
          </w:tcPr>
          <w:p w14:paraId="23288560" w14:textId="77777777" w:rsidR="002B04EB" w:rsidRPr="003F7F6C" w:rsidRDefault="002B04EB" w:rsidP="00B851B7">
            <w:pPr>
              <w:rPr>
                <w:rFonts w:cs="Calibri"/>
                <w:sz w:val="16"/>
                <w:szCs w:val="16"/>
              </w:rPr>
            </w:pPr>
          </w:p>
        </w:tc>
        <w:tc>
          <w:tcPr>
            <w:tcW w:w="428" w:type="dxa"/>
          </w:tcPr>
          <w:p w14:paraId="64916A1F" w14:textId="77777777" w:rsidR="002B04EB" w:rsidRPr="003F7F6C" w:rsidRDefault="002B04EB" w:rsidP="00B851B7">
            <w:pPr>
              <w:rPr>
                <w:rFonts w:cs="Calibri"/>
                <w:sz w:val="16"/>
                <w:szCs w:val="16"/>
              </w:rPr>
            </w:pPr>
          </w:p>
        </w:tc>
        <w:tc>
          <w:tcPr>
            <w:tcW w:w="428" w:type="dxa"/>
            <w:gridSpan w:val="2"/>
          </w:tcPr>
          <w:p w14:paraId="39A11495" w14:textId="77777777" w:rsidR="002B04EB" w:rsidRPr="003F7F6C" w:rsidRDefault="002B04EB" w:rsidP="00B851B7">
            <w:pPr>
              <w:rPr>
                <w:rFonts w:cs="Calibri"/>
                <w:sz w:val="16"/>
                <w:szCs w:val="16"/>
              </w:rPr>
            </w:pPr>
          </w:p>
        </w:tc>
        <w:tc>
          <w:tcPr>
            <w:tcW w:w="428" w:type="dxa"/>
          </w:tcPr>
          <w:p w14:paraId="739F727D" w14:textId="77777777" w:rsidR="002B04EB" w:rsidRPr="003F7F6C" w:rsidRDefault="002B04EB" w:rsidP="00B851B7">
            <w:pPr>
              <w:rPr>
                <w:rFonts w:cs="Calibri"/>
                <w:sz w:val="16"/>
                <w:szCs w:val="16"/>
              </w:rPr>
            </w:pPr>
          </w:p>
        </w:tc>
        <w:tc>
          <w:tcPr>
            <w:tcW w:w="428" w:type="dxa"/>
          </w:tcPr>
          <w:p w14:paraId="46F827DC" w14:textId="77777777" w:rsidR="002B04EB" w:rsidRPr="003F7F6C" w:rsidRDefault="002B04EB" w:rsidP="00B851B7">
            <w:pPr>
              <w:rPr>
                <w:rFonts w:cs="Calibri"/>
                <w:sz w:val="16"/>
                <w:szCs w:val="16"/>
              </w:rPr>
            </w:pPr>
          </w:p>
        </w:tc>
        <w:tc>
          <w:tcPr>
            <w:tcW w:w="428" w:type="dxa"/>
          </w:tcPr>
          <w:p w14:paraId="391E05E7" w14:textId="77777777" w:rsidR="002B04EB" w:rsidRPr="003F7F6C" w:rsidRDefault="002B04EB" w:rsidP="00B851B7">
            <w:pPr>
              <w:rPr>
                <w:rFonts w:cs="Calibri"/>
                <w:sz w:val="16"/>
                <w:szCs w:val="16"/>
              </w:rPr>
            </w:pPr>
          </w:p>
        </w:tc>
        <w:tc>
          <w:tcPr>
            <w:tcW w:w="428" w:type="dxa"/>
            <w:gridSpan w:val="2"/>
          </w:tcPr>
          <w:p w14:paraId="4FD546BC" w14:textId="77777777" w:rsidR="002B04EB" w:rsidRPr="003F7F6C" w:rsidRDefault="002B04EB" w:rsidP="00B851B7">
            <w:pPr>
              <w:rPr>
                <w:rFonts w:cs="Calibri"/>
                <w:sz w:val="16"/>
                <w:szCs w:val="16"/>
              </w:rPr>
            </w:pPr>
          </w:p>
        </w:tc>
        <w:tc>
          <w:tcPr>
            <w:tcW w:w="428" w:type="dxa"/>
          </w:tcPr>
          <w:p w14:paraId="44076FA4" w14:textId="77777777" w:rsidR="002B04EB" w:rsidRPr="003F7F6C" w:rsidRDefault="002B04EB" w:rsidP="00B851B7">
            <w:pPr>
              <w:rPr>
                <w:rFonts w:cs="Calibri"/>
                <w:sz w:val="16"/>
                <w:szCs w:val="16"/>
              </w:rPr>
            </w:pPr>
          </w:p>
        </w:tc>
        <w:tc>
          <w:tcPr>
            <w:tcW w:w="428" w:type="dxa"/>
          </w:tcPr>
          <w:p w14:paraId="6C52BC25" w14:textId="77777777" w:rsidR="002B04EB" w:rsidRPr="003F7F6C" w:rsidRDefault="002B04EB" w:rsidP="00B851B7">
            <w:pPr>
              <w:rPr>
                <w:rFonts w:cs="Calibri"/>
                <w:sz w:val="16"/>
                <w:szCs w:val="16"/>
              </w:rPr>
            </w:pPr>
          </w:p>
        </w:tc>
        <w:tc>
          <w:tcPr>
            <w:tcW w:w="428" w:type="dxa"/>
          </w:tcPr>
          <w:p w14:paraId="3D08C1EA" w14:textId="77777777" w:rsidR="002B04EB" w:rsidRPr="003F7F6C" w:rsidRDefault="002B04EB" w:rsidP="00B851B7">
            <w:pPr>
              <w:rPr>
                <w:rFonts w:cs="Calibri"/>
                <w:sz w:val="16"/>
                <w:szCs w:val="16"/>
              </w:rPr>
            </w:pPr>
          </w:p>
        </w:tc>
        <w:tc>
          <w:tcPr>
            <w:tcW w:w="428" w:type="dxa"/>
            <w:gridSpan w:val="2"/>
          </w:tcPr>
          <w:p w14:paraId="14040C32" w14:textId="77777777" w:rsidR="002B04EB" w:rsidRPr="003F7F6C" w:rsidRDefault="002B04EB" w:rsidP="00B851B7">
            <w:pPr>
              <w:rPr>
                <w:rFonts w:cs="Calibri"/>
                <w:sz w:val="16"/>
                <w:szCs w:val="16"/>
              </w:rPr>
            </w:pPr>
          </w:p>
        </w:tc>
        <w:tc>
          <w:tcPr>
            <w:tcW w:w="428" w:type="dxa"/>
          </w:tcPr>
          <w:p w14:paraId="7A549A00" w14:textId="77777777" w:rsidR="002B04EB" w:rsidRPr="003F7F6C" w:rsidRDefault="002B04EB" w:rsidP="00B851B7">
            <w:pPr>
              <w:rPr>
                <w:rFonts w:cs="Calibri"/>
                <w:sz w:val="16"/>
                <w:szCs w:val="16"/>
              </w:rPr>
            </w:pPr>
          </w:p>
        </w:tc>
        <w:tc>
          <w:tcPr>
            <w:tcW w:w="428" w:type="dxa"/>
          </w:tcPr>
          <w:p w14:paraId="1AA4E8EA" w14:textId="77777777" w:rsidR="002B04EB" w:rsidRPr="003F7F6C" w:rsidRDefault="002B04EB" w:rsidP="00B851B7">
            <w:pPr>
              <w:rPr>
                <w:rFonts w:cs="Calibri"/>
                <w:sz w:val="16"/>
                <w:szCs w:val="16"/>
              </w:rPr>
            </w:pPr>
          </w:p>
        </w:tc>
        <w:tc>
          <w:tcPr>
            <w:tcW w:w="428" w:type="dxa"/>
          </w:tcPr>
          <w:p w14:paraId="438816AD" w14:textId="77777777" w:rsidR="002B04EB" w:rsidRPr="003F7F6C" w:rsidRDefault="002B04EB" w:rsidP="00B851B7">
            <w:pPr>
              <w:rPr>
                <w:rFonts w:cs="Calibri"/>
                <w:sz w:val="16"/>
                <w:szCs w:val="16"/>
              </w:rPr>
            </w:pPr>
          </w:p>
        </w:tc>
        <w:tc>
          <w:tcPr>
            <w:tcW w:w="428" w:type="dxa"/>
          </w:tcPr>
          <w:p w14:paraId="56DAB121" w14:textId="77777777" w:rsidR="002B04EB" w:rsidRPr="003F7F6C" w:rsidRDefault="002B04EB" w:rsidP="00B851B7">
            <w:pPr>
              <w:rPr>
                <w:rFonts w:cs="Calibri"/>
                <w:sz w:val="16"/>
                <w:szCs w:val="16"/>
              </w:rPr>
            </w:pPr>
          </w:p>
        </w:tc>
      </w:tr>
      <w:tr w:rsidR="002B04EB" w:rsidRPr="003F7F6C" w14:paraId="3000D01E" w14:textId="77777777" w:rsidTr="00B851B7">
        <w:tc>
          <w:tcPr>
            <w:tcW w:w="1668" w:type="dxa"/>
          </w:tcPr>
          <w:p w14:paraId="4C54F599" w14:textId="77777777" w:rsidR="002B04EB" w:rsidRPr="003F7F6C" w:rsidRDefault="002B04EB" w:rsidP="00E91275">
            <w:pPr>
              <w:pStyle w:val="ListParagraph"/>
              <w:numPr>
                <w:ilvl w:val="0"/>
                <w:numId w:val="29"/>
              </w:numPr>
              <w:spacing w:after="0"/>
              <w:ind w:left="166" w:hanging="166"/>
              <w:contextualSpacing w:val="0"/>
              <w:rPr>
                <w:rFonts w:cs="Calibri"/>
                <w:sz w:val="16"/>
                <w:szCs w:val="16"/>
              </w:rPr>
            </w:pPr>
            <w:r w:rsidRPr="003F7F6C">
              <w:rPr>
                <w:rFonts w:cs="Calibri"/>
                <w:sz w:val="16"/>
                <w:szCs w:val="16"/>
              </w:rPr>
              <w:t>Inter-sectoral coordination for mainstreaming ELUP into regulations</w:t>
            </w:r>
          </w:p>
        </w:tc>
        <w:tc>
          <w:tcPr>
            <w:tcW w:w="1057" w:type="dxa"/>
          </w:tcPr>
          <w:p w14:paraId="725ECE1D" w14:textId="77777777" w:rsidR="002B04EB" w:rsidRPr="003F7F6C" w:rsidRDefault="002B04EB" w:rsidP="00B851B7">
            <w:pPr>
              <w:rPr>
                <w:rFonts w:cs="Calibri"/>
                <w:sz w:val="16"/>
                <w:szCs w:val="16"/>
              </w:rPr>
            </w:pPr>
            <w:r w:rsidRPr="003F7F6C">
              <w:rPr>
                <w:rFonts w:cs="Calibri"/>
                <w:sz w:val="16"/>
                <w:szCs w:val="16"/>
              </w:rPr>
              <w:t>SGAyDS Provinces</w:t>
            </w:r>
          </w:p>
          <w:p w14:paraId="3A161F14" w14:textId="77777777" w:rsidR="002B04EB" w:rsidRPr="003F7F6C" w:rsidRDefault="002B04EB" w:rsidP="00B851B7">
            <w:pPr>
              <w:rPr>
                <w:rFonts w:cs="Calibri"/>
                <w:sz w:val="16"/>
                <w:szCs w:val="16"/>
              </w:rPr>
            </w:pPr>
            <w:r w:rsidRPr="003F7F6C">
              <w:rPr>
                <w:rFonts w:cs="Calibri"/>
                <w:sz w:val="16"/>
                <w:szCs w:val="16"/>
              </w:rPr>
              <w:t>INTA</w:t>
            </w:r>
          </w:p>
        </w:tc>
        <w:tc>
          <w:tcPr>
            <w:tcW w:w="428" w:type="dxa"/>
          </w:tcPr>
          <w:p w14:paraId="7DB31582" w14:textId="77777777" w:rsidR="002B04EB" w:rsidRPr="003F7F6C" w:rsidRDefault="002B04EB" w:rsidP="00B851B7">
            <w:pPr>
              <w:rPr>
                <w:rFonts w:cs="Calibri"/>
                <w:sz w:val="16"/>
                <w:szCs w:val="16"/>
              </w:rPr>
            </w:pPr>
          </w:p>
        </w:tc>
        <w:tc>
          <w:tcPr>
            <w:tcW w:w="444" w:type="dxa"/>
          </w:tcPr>
          <w:p w14:paraId="5A4D14DC" w14:textId="77777777" w:rsidR="002B04EB" w:rsidRPr="003F7F6C" w:rsidRDefault="002B04EB" w:rsidP="00B851B7">
            <w:pPr>
              <w:rPr>
                <w:sz w:val="16"/>
                <w:szCs w:val="16"/>
              </w:rPr>
            </w:pPr>
            <w:r w:rsidRPr="003F7F6C">
              <w:rPr>
                <w:rFonts w:cs="Calibri"/>
                <w:sz w:val="16"/>
                <w:szCs w:val="16"/>
              </w:rPr>
              <w:t>X</w:t>
            </w:r>
          </w:p>
        </w:tc>
        <w:tc>
          <w:tcPr>
            <w:tcW w:w="428" w:type="dxa"/>
          </w:tcPr>
          <w:p w14:paraId="5A2626D8"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04AD0E08" w14:textId="77777777" w:rsidR="002B04EB" w:rsidRPr="003F7F6C" w:rsidRDefault="002B04EB" w:rsidP="00B851B7">
            <w:pPr>
              <w:rPr>
                <w:sz w:val="16"/>
                <w:szCs w:val="16"/>
              </w:rPr>
            </w:pPr>
            <w:r w:rsidRPr="003F7F6C">
              <w:rPr>
                <w:rFonts w:cs="Calibri"/>
                <w:sz w:val="16"/>
                <w:szCs w:val="16"/>
              </w:rPr>
              <w:t>X</w:t>
            </w:r>
          </w:p>
        </w:tc>
        <w:tc>
          <w:tcPr>
            <w:tcW w:w="428" w:type="dxa"/>
          </w:tcPr>
          <w:p w14:paraId="7DFFE90C" w14:textId="77777777" w:rsidR="002B04EB" w:rsidRPr="003F7F6C" w:rsidRDefault="002B04EB" w:rsidP="00B851B7">
            <w:pPr>
              <w:rPr>
                <w:sz w:val="16"/>
                <w:szCs w:val="16"/>
              </w:rPr>
            </w:pPr>
            <w:r w:rsidRPr="003F7F6C">
              <w:rPr>
                <w:rFonts w:cs="Calibri"/>
                <w:sz w:val="16"/>
                <w:szCs w:val="16"/>
              </w:rPr>
              <w:t>X</w:t>
            </w:r>
          </w:p>
        </w:tc>
        <w:tc>
          <w:tcPr>
            <w:tcW w:w="427" w:type="dxa"/>
          </w:tcPr>
          <w:p w14:paraId="5D9C6EA3" w14:textId="77777777" w:rsidR="002B04EB" w:rsidRPr="003F7F6C" w:rsidRDefault="002B04EB" w:rsidP="00B851B7">
            <w:pPr>
              <w:rPr>
                <w:sz w:val="16"/>
                <w:szCs w:val="16"/>
              </w:rPr>
            </w:pPr>
            <w:r w:rsidRPr="003F7F6C">
              <w:rPr>
                <w:rFonts w:cs="Calibri"/>
                <w:sz w:val="16"/>
                <w:szCs w:val="16"/>
              </w:rPr>
              <w:t>X</w:t>
            </w:r>
          </w:p>
        </w:tc>
        <w:tc>
          <w:tcPr>
            <w:tcW w:w="427" w:type="dxa"/>
          </w:tcPr>
          <w:p w14:paraId="554D5807" w14:textId="77777777" w:rsidR="002B04EB" w:rsidRPr="003F7F6C" w:rsidRDefault="002B04EB" w:rsidP="00B851B7">
            <w:pPr>
              <w:rPr>
                <w:sz w:val="16"/>
                <w:szCs w:val="16"/>
              </w:rPr>
            </w:pPr>
            <w:r w:rsidRPr="003F7F6C">
              <w:rPr>
                <w:rFonts w:cs="Calibri"/>
                <w:sz w:val="16"/>
                <w:szCs w:val="16"/>
              </w:rPr>
              <w:t>X</w:t>
            </w:r>
          </w:p>
        </w:tc>
        <w:tc>
          <w:tcPr>
            <w:tcW w:w="427" w:type="dxa"/>
            <w:gridSpan w:val="2"/>
          </w:tcPr>
          <w:p w14:paraId="1336E534" w14:textId="77777777" w:rsidR="002B04EB" w:rsidRPr="003F7F6C" w:rsidRDefault="002B04EB" w:rsidP="00B851B7">
            <w:pPr>
              <w:rPr>
                <w:sz w:val="16"/>
                <w:szCs w:val="16"/>
              </w:rPr>
            </w:pPr>
            <w:r w:rsidRPr="003F7F6C">
              <w:rPr>
                <w:rFonts w:cs="Calibri"/>
                <w:sz w:val="16"/>
                <w:szCs w:val="16"/>
              </w:rPr>
              <w:t>X</w:t>
            </w:r>
          </w:p>
        </w:tc>
        <w:tc>
          <w:tcPr>
            <w:tcW w:w="428" w:type="dxa"/>
          </w:tcPr>
          <w:p w14:paraId="3C03BB81" w14:textId="77777777" w:rsidR="002B04EB" w:rsidRPr="003F7F6C" w:rsidRDefault="002B04EB" w:rsidP="00B851B7">
            <w:pPr>
              <w:rPr>
                <w:sz w:val="16"/>
                <w:szCs w:val="16"/>
              </w:rPr>
            </w:pPr>
            <w:r w:rsidRPr="003F7F6C">
              <w:rPr>
                <w:rFonts w:cs="Calibri"/>
                <w:sz w:val="16"/>
                <w:szCs w:val="16"/>
              </w:rPr>
              <w:t>X</w:t>
            </w:r>
          </w:p>
        </w:tc>
        <w:tc>
          <w:tcPr>
            <w:tcW w:w="428" w:type="dxa"/>
          </w:tcPr>
          <w:p w14:paraId="763D25DE" w14:textId="77777777" w:rsidR="002B04EB" w:rsidRPr="003F7F6C" w:rsidRDefault="002B04EB" w:rsidP="00B851B7">
            <w:pPr>
              <w:rPr>
                <w:sz w:val="16"/>
                <w:szCs w:val="16"/>
              </w:rPr>
            </w:pPr>
            <w:r w:rsidRPr="003F7F6C">
              <w:rPr>
                <w:rFonts w:cs="Calibri"/>
                <w:sz w:val="16"/>
                <w:szCs w:val="16"/>
              </w:rPr>
              <w:t>X</w:t>
            </w:r>
          </w:p>
        </w:tc>
        <w:tc>
          <w:tcPr>
            <w:tcW w:w="428" w:type="dxa"/>
          </w:tcPr>
          <w:p w14:paraId="22E2A5F8"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6C05D95B" w14:textId="77777777" w:rsidR="002B04EB" w:rsidRPr="003F7F6C" w:rsidRDefault="002B04EB" w:rsidP="00B851B7">
            <w:pPr>
              <w:rPr>
                <w:sz w:val="16"/>
                <w:szCs w:val="16"/>
              </w:rPr>
            </w:pPr>
            <w:r w:rsidRPr="003F7F6C">
              <w:rPr>
                <w:rFonts w:cs="Calibri"/>
                <w:sz w:val="16"/>
                <w:szCs w:val="16"/>
              </w:rPr>
              <w:t>X</w:t>
            </w:r>
          </w:p>
        </w:tc>
        <w:tc>
          <w:tcPr>
            <w:tcW w:w="428" w:type="dxa"/>
          </w:tcPr>
          <w:p w14:paraId="37707617" w14:textId="77777777" w:rsidR="002B04EB" w:rsidRPr="003F7F6C" w:rsidRDefault="002B04EB" w:rsidP="00B851B7">
            <w:pPr>
              <w:rPr>
                <w:sz w:val="16"/>
                <w:szCs w:val="16"/>
              </w:rPr>
            </w:pPr>
            <w:r w:rsidRPr="003F7F6C">
              <w:rPr>
                <w:rFonts w:cs="Calibri"/>
                <w:sz w:val="16"/>
                <w:szCs w:val="16"/>
              </w:rPr>
              <w:t>X</w:t>
            </w:r>
          </w:p>
        </w:tc>
        <w:tc>
          <w:tcPr>
            <w:tcW w:w="428" w:type="dxa"/>
          </w:tcPr>
          <w:p w14:paraId="706F17E9" w14:textId="77777777" w:rsidR="002B04EB" w:rsidRPr="003F7F6C" w:rsidRDefault="002B04EB" w:rsidP="00B851B7">
            <w:pPr>
              <w:rPr>
                <w:sz w:val="16"/>
                <w:szCs w:val="16"/>
              </w:rPr>
            </w:pPr>
            <w:r w:rsidRPr="003F7F6C">
              <w:rPr>
                <w:rFonts w:cs="Calibri"/>
                <w:sz w:val="16"/>
                <w:szCs w:val="16"/>
              </w:rPr>
              <w:t>X</w:t>
            </w:r>
          </w:p>
        </w:tc>
        <w:tc>
          <w:tcPr>
            <w:tcW w:w="428" w:type="dxa"/>
          </w:tcPr>
          <w:p w14:paraId="70F53164"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0974AAF7" w14:textId="77777777" w:rsidR="002B04EB" w:rsidRPr="003F7F6C" w:rsidRDefault="002B04EB" w:rsidP="00B851B7">
            <w:pPr>
              <w:rPr>
                <w:sz w:val="16"/>
                <w:szCs w:val="16"/>
              </w:rPr>
            </w:pPr>
            <w:r w:rsidRPr="003F7F6C">
              <w:rPr>
                <w:rFonts w:cs="Calibri"/>
                <w:sz w:val="16"/>
                <w:szCs w:val="16"/>
              </w:rPr>
              <w:t>X</w:t>
            </w:r>
          </w:p>
        </w:tc>
        <w:tc>
          <w:tcPr>
            <w:tcW w:w="428" w:type="dxa"/>
          </w:tcPr>
          <w:p w14:paraId="5BCF6CEB" w14:textId="77777777" w:rsidR="002B04EB" w:rsidRPr="003F7F6C" w:rsidRDefault="002B04EB" w:rsidP="00B851B7">
            <w:pPr>
              <w:rPr>
                <w:rFonts w:cs="Calibri"/>
                <w:sz w:val="16"/>
                <w:szCs w:val="16"/>
              </w:rPr>
            </w:pPr>
          </w:p>
        </w:tc>
        <w:tc>
          <w:tcPr>
            <w:tcW w:w="428" w:type="dxa"/>
          </w:tcPr>
          <w:p w14:paraId="3F924D23" w14:textId="77777777" w:rsidR="002B04EB" w:rsidRPr="003F7F6C" w:rsidRDefault="002B04EB" w:rsidP="00B851B7">
            <w:pPr>
              <w:rPr>
                <w:rFonts w:cs="Calibri"/>
                <w:sz w:val="16"/>
                <w:szCs w:val="16"/>
              </w:rPr>
            </w:pPr>
          </w:p>
        </w:tc>
        <w:tc>
          <w:tcPr>
            <w:tcW w:w="428" w:type="dxa"/>
          </w:tcPr>
          <w:p w14:paraId="6AA6026B" w14:textId="77777777" w:rsidR="002B04EB" w:rsidRPr="003F7F6C" w:rsidRDefault="002B04EB" w:rsidP="00B851B7">
            <w:pPr>
              <w:rPr>
                <w:rFonts w:cs="Calibri"/>
                <w:sz w:val="16"/>
                <w:szCs w:val="16"/>
              </w:rPr>
            </w:pPr>
          </w:p>
        </w:tc>
        <w:tc>
          <w:tcPr>
            <w:tcW w:w="428" w:type="dxa"/>
            <w:gridSpan w:val="2"/>
          </w:tcPr>
          <w:p w14:paraId="7DB7A061" w14:textId="77777777" w:rsidR="002B04EB" w:rsidRPr="003F7F6C" w:rsidRDefault="002B04EB" w:rsidP="00B851B7">
            <w:pPr>
              <w:rPr>
                <w:rFonts w:cs="Calibri"/>
                <w:sz w:val="16"/>
                <w:szCs w:val="16"/>
              </w:rPr>
            </w:pPr>
          </w:p>
        </w:tc>
        <w:tc>
          <w:tcPr>
            <w:tcW w:w="428" w:type="dxa"/>
          </w:tcPr>
          <w:p w14:paraId="08909D75" w14:textId="77777777" w:rsidR="002B04EB" w:rsidRPr="003F7F6C" w:rsidRDefault="002B04EB" w:rsidP="00B851B7">
            <w:pPr>
              <w:rPr>
                <w:rFonts w:cs="Calibri"/>
                <w:sz w:val="16"/>
                <w:szCs w:val="16"/>
              </w:rPr>
            </w:pPr>
          </w:p>
        </w:tc>
        <w:tc>
          <w:tcPr>
            <w:tcW w:w="428" w:type="dxa"/>
          </w:tcPr>
          <w:p w14:paraId="2EF53A7E" w14:textId="77777777" w:rsidR="002B04EB" w:rsidRPr="003F7F6C" w:rsidRDefault="002B04EB" w:rsidP="00B851B7">
            <w:pPr>
              <w:rPr>
                <w:rFonts w:cs="Calibri"/>
                <w:sz w:val="16"/>
                <w:szCs w:val="16"/>
              </w:rPr>
            </w:pPr>
          </w:p>
        </w:tc>
        <w:tc>
          <w:tcPr>
            <w:tcW w:w="428" w:type="dxa"/>
          </w:tcPr>
          <w:p w14:paraId="10D1B4F7" w14:textId="77777777" w:rsidR="002B04EB" w:rsidRPr="003F7F6C" w:rsidRDefault="002B04EB" w:rsidP="00B851B7">
            <w:pPr>
              <w:rPr>
                <w:rFonts w:cs="Calibri"/>
                <w:sz w:val="16"/>
                <w:szCs w:val="16"/>
              </w:rPr>
            </w:pPr>
          </w:p>
        </w:tc>
        <w:tc>
          <w:tcPr>
            <w:tcW w:w="428" w:type="dxa"/>
          </w:tcPr>
          <w:p w14:paraId="58181C41" w14:textId="77777777" w:rsidR="002B04EB" w:rsidRPr="003F7F6C" w:rsidRDefault="002B04EB" w:rsidP="00B851B7">
            <w:pPr>
              <w:rPr>
                <w:rFonts w:cs="Calibri"/>
                <w:sz w:val="16"/>
                <w:szCs w:val="16"/>
              </w:rPr>
            </w:pPr>
          </w:p>
        </w:tc>
      </w:tr>
      <w:tr w:rsidR="002B04EB" w:rsidRPr="003F7F6C" w14:paraId="319C6756" w14:textId="77777777" w:rsidTr="00B851B7">
        <w:tc>
          <w:tcPr>
            <w:tcW w:w="1668" w:type="dxa"/>
          </w:tcPr>
          <w:p w14:paraId="2A3CD4F5" w14:textId="77777777" w:rsidR="002B04EB" w:rsidRPr="003F7F6C" w:rsidRDefault="002B04EB" w:rsidP="00E91275">
            <w:pPr>
              <w:pStyle w:val="ListParagraph"/>
              <w:numPr>
                <w:ilvl w:val="0"/>
                <w:numId w:val="29"/>
              </w:numPr>
              <w:spacing w:after="0"/>
              <w:ind w:left="166" w:hanging="166"/>
              <w:contextualSpacing w:val="0"/>
              <w:rPr>
                <w:rFonts w:cs="Calibri"/>
                <w:sz w:val="16"/>
                <w:szCs w:val="16"/>
              </w:rPr>
            </w:pPr>
            <w:r w:rsidRPr="003F7F6C">
              <w:rPr>
                <w:rFonts w:cs="Calibri"/>
                <w:sz w:val="16"/>
                <w:szCs w:val="16"/>
              </w:rPr>
              <w:t>Mainstream ELUP in at least 4 existing financial instruments</w:t>
            </w:r>
          </w:p>
        </w:tc>
        <w:tc>
          <w:tcPr>
            <w:tcW w:w="1057" w:type="dxa"/>
          </w:tcPr>
          <w:p w14:paraId="7AC28E79" w14:textId="77777777" w:rsidR="002B04EB" w:rsidRPr="003F7F6C" w:rsidRDefault="002B04EB" w:rsidP="00B851B7">
            <w:pPr>
              <w:rPr>
                <w:rFonts w:cs="Calibri"/>
                <w:sz w:val="16"/>
                <w:szCs w:val="16"/>
              </w:rPr>
            </w:pPr>
            <w:r w:rsidRPr="003F7F6C">
              <w:rPr>
                <w:rFonts w:cs="Calibri"/>
                <w:sz w:val="16"/>
                <w:szCs w:val="16"/>
              </w:rPr>
              <w:t>SGAyDS Provinces</w:t>
            </w:r>
          </w:p>
          <w:p w14:paraId="14E09F23" w14:textId="77777777" w:rsidR="002B04EB" w:rsidRPr="003F7F6C" w:rsidRDefault="002B04EB" w:rsidP="00B851B7">
            <w:pPr>
              <w:rPr>
                <w:rFonts w:cs="Calibri"/>
                <w:sz w:val="16"/>
                <w:szCs w:val="16"/>
              </w:rPr>
            </w:pPr>
            <w:r w:rsidRPr="003F7F6C">
              <w:rPr>
                <w:rFonts w:cs="Calibri"/>
                <w:sz w:val="16"/>
                <w:szCs w:val="16"/>
              </w:rPr>
              <w:t>INTA</w:t>
            </w:r>
          </w:p>
        </w:tc>
        <w:tc>
          <w:tcPr>
            <w:tcW w:w="428" w:type="dxa"/>
          </w:tcPr>
          <w:p w14:paraId="0845B9D7" w14:textId="77777777" w:rsidR="002B04EB" w:rsidRPr="003F7F6C" w:rsidRDefault="002B04EB" w:rsidP="00B851B7">
            <w:pPr>
              <w:rPr>
                <w:rFonts w:cs="Calibri"/>
                <w:sz w:val="16"/>
                <w:szCs w:val="16"/>
              </w:rPr>
            </w:pPr>
          </w:p>
        </w:tc>
        <w:tc>
          <w:tcPr>
            <w:tcW w:w="444" w:type="dxa"/>
          </w:tcPr>
          <w:p w14:paraId="75F72274" w14:textId="77777777" w:rsidR="002B04EB" w:rsidRPr="003F7F6C" w:rsidRDefault="002B04EB" w:rsidP="00B851B7">
            <w:pPr>
              <w:rPr>
                <w:rFonts w:cs="Calibri"/>
                <w:sz w:val="16"/>
                <w:szCs w:val="16"/>
              </w:rPr>
            </w:pPr>
          </w:p>
        </w:tc>
        <w:tc>
          <w:tcPr>
            <w:tcW w:w="428" w:type="dxa"/>
          </w:tcPr>
          <w:p w14:paraId="24F1A292" w14:textId="77777777" w:rsidR="002B04EB" w:rsidRPr="003F7F6C" w:rsidRDefault="002B04EB" w:rsidP="00B851B7">
            <w:pPr>
              <w:rPr>
                <w:rFonts w:cs="Calibri"/>
                <w:sz w:val="16"/>
                <w:szCs w:val="16"/>
              </w:rPr>
            </w:pPr>
          </w:p>
        </w:tc>
        <w:tc>
          <w:tcPr>
            <w:tcW w:w="428" w:type="dxa"/>
            <w:gridSpan w:val="2"/>
          </w:tcPr>
          <w:p w14:paraId="64F67A34" w14:textId="77777777" w:rsidR="002B04EB" w:rsidRPr="003F7F6C" w:rsidRDefault="002B04EB" w:rsidP="00B851B7">
            <w:pPr>
              <w:rPr>
                <w:rFonts w:cs="Calibri"/>
                <w:sz w:val="16"/>
                <w:szCs w:val="16"/>
              </w:rPr>
            </w:pPr>
          </w:p>
        </w:tc>
        <w:tc>
          <w:tcPr>
            <w:tcW w:w="428" w:type="dxa"/>
          </w:tcPr>
          <w:p w14:paraId="5EBAFB73" w14:textId="77777777" w:rsidR="002B04EB" w:rsidRPr="003F7F6C" w:rsidRDefault="002B04EB" w:rsidP="00B851B7">
            <w:pPr>
              <w:rPr>
                <w:rFonts w:cs="Calibri"/>
                <w:sz w:val="16"/>
                <w:szCs w:val="16"/>
              </w:rPr>
            </w:pPr>
          </w:p>
        </w:tc>
        <w:tc>
          <w:tcPr>
            <w:tcW w:w="427" w:type="dxa"/>
          </w:tcPr>
          <w:p w14:paraId="464D4D75" w14:textId="77777777" w:rsidR="002B04EB" w:rsidRPr="003F7F6C" w:rsidRDefault="002B04EB" w:rsidP="00B851B7">
            <w:pPr>
              <w:rPr>
                <w:rFonts w:cs="Calibri"/>
                <w:sz w:val="16"/>
                <w:szCs w:val="16"/>
              </w:rPr>
            </w:pPr>
          </w:p>
        </w:tc>
        <w:tc>
          <w:tcPr>
            <w:tcW w:w="427" w:type="dxa"/>
          </w:tcPr>
          <w:p w14:paraId="1EA163D0" w14:textId="77777777" w:rsidR="002B04EB" w:rsidRPr="003F7F6C" w:rsidRDefault="002B04EB" w:rsidP="00B851B7">
            <w:r w:rsidRPr="003F7F6C">
              <w:rPr>
                <w:rFonts w:cs="Calibri"/>
                <w:sz w:val="16"/>
                <w:szCs w:val="16"/>
              </w:rPr>
              <w:t>X</w:t>
            </w:r>
          </w:p>
        </w:tc>
        <w:tc>
          <w:tcPr>
            <w:tcW w:w="427" w:type="dxa"/>
            <w:gridSpan w:val="2"/>
          </w:tcPr>
          <w:p w14:paraId="307EE207" w14:textId="77777777" w:rsidR="002B04EB" w:rsidRPr="003F7F6C" w:rsidRDefault="002B04EB" w:rsidP="00B851B7">
            <w:r w:rsidRPr="003F7F6C">
              <w:rPr>
                <w:rFonts w:cs="Calibri"/>
                <w:sz w:val="16"/>
                <w:szCs w:val="16"/>
              </w:rPr>
              <w:t>X</w:t>
            </w:r>
          </w:p>
        </w:tc>
        <w:tc>
          <w:tcPr>
            <w:tcW w:w="428" w:type="dxa"/>
          </w:tcPr>
          <w:p w14:paraId="0EB1FA9E" w14:textId="77777777" w:rsidR="002B04EB" w:rsidRPr="003F7F6C" w:rsidRDefault="002B04EB" w:rsidP="00B851B7">
            <w:r w:rsidRPr="003F7F6C">
              <w:rPr>
                <w:rFonts w:cs="Calibri"/>
                <w:sz w:val="16"/>
                <w:szCs w:val="16"/>
              </w:rPr>
              <w:t>X</w:t>
            </w:r>
          </w:p>
        </w:tc>
        <w:tc>
          <w:tcPr>
            <w:tcW w:w="428" w:type="dxa"/>
          </w:tcPr>
          <w:p w14:paraId="5CE82B3B" w14:textId="77777777" w:rsidR="002B04EB" w:rsidRPr="003F7F6C" w:rsidRDefault="002B04EB" w:rsidP="00B851B7">
            <w:r w:rsidRPr="003F7F6C">
              <w:rPr>
                <w:rFonts w:cs="Calibri"/>
                <w:sz w:val="16"/>
                <w:szCs w:val="16"/>
              </w:rPr>
              <w:t>X</w:t>
            </w:r>
          </w:p>
        </w:tc>
        <w:tc>
          <w:tcPr>
            <w:tcW w:w="428" w:type="dxa"/>
          </w:tcPr>
          <w:p w14:paraId="51CF5A3D" w14:textId="77777777" w:rsidR="002B04EB" w:rsidRPr="003F7F6C" w:rsidRDefault="002B04EB" w:rsidP="00B851B7">
            <w:r w:rsidRPr="003F7F6C">
              <w:rPr>
                <w:rFonts w:cs="Calibri"/>
                <w:sz w:val="16"/>
                <w:szCs w:val="16"/>
              </w:rPr>
              <w:t>X</w:t>
            </w:r>
          </w:p>
        </w:tc>
        <w:tc>
          <w:tcPr>
            <w:tcW w:w="428" w:type="dxa"/>
            <w:gridSpan w:val="2"/>
          </w:tcPr>
          <w:p w14:paraId="1AC5ADE7" w14:textId="77777777" w:rsidR="002B04EB" w:rsidRPr="003F7F6C" w:rsidRDefault="002B04EB" w:rsidP="00B851B7">
            <w:r w:rsidRPr="003F7F6C">
              <w:rPr>
                <w:rFonts w:cs="Calibri"/>
                <w:sz w:val="16"/>
                <w:szCs w:val="16"/>
              </w:rPr>
              <w:t>X</w:t>
            </w:r>
          </w:p>
        </w:tc>
        <w:tc>
          <w:tcPr>
            <w:tcW w:w="428" w:type="dxa"/>
          </w:tcPr>
          <w:p w14:paraId="2CAD454B" w14:textId="77777777" w:rsidR="002B04EB" w:rsidRPr="003F7F6C" w:rsidRDefault="002B04EB" w:rsidP="00B851B7">
            <w:pPr>
              <w:rPr>
                <w:sz w:val="16"/>
                <w:szCs w:val="16"/>
              </w:rPr>
            </w:pPr>
            <w:r w:rsidRPr="003F7F6C">
              <w:rPr>
                <w:rFonts w:cs="Calibri"/>
                <w:sz w:val="16"/>
                <w:szCs w:val="16"/>
              </w:rPr>
              <w:t>X</w:t>
            </w:r>
          </w:p>
        </w:tc>
        <w:tc>
          <w:tcPr>
            <w:tcW w:w="428" w:type="dxa"/>
          </w:tcPr>
          <w:p w14:paraId="0E4827F0" w14:textId="77777777" w:rsidR="002B04EB" w:rsidRPr="003F7F6C" w:rsidRDefault="002B04EB" w:rsidP="00B851B7">
            <w:pPr>
              <w:rPr>
                <w:sz w:val="16"/>
                <w:szCs w:val="16"/>
              </w:rPr>
            </w:pPr>
            <w:r w:rsidRPr="003F7F6C">
              <w:rPr>
                <w:rFonts w:cs="Calibri"/>
                <w:sz w:val="16"/>
                <w:szCs w:val="16"/>
              </w:rPr>
              <w:t>X</w:t>
            </w:r>
          </w:p>
        </w:tc>
        <w:tc>
          <w:tcPr>
            <w:tcW w:w="428" w:type="dxa"/>
          </w:tcPr>
          <w:p w14:paraId="0130E5ED"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4BF1705E" w14:textId="77777777" w:rsidR="002B04EB" w:rsidRPr="003F7F6C" w:rsidRDefault="002B04EB" w:rsidP="00B851B7">
            <w:pPr>
              <w:rPr>
                <w:sz w:val="16"/>
                <w:szCs w:val="16"/>
              </w:rPr>
            </w:pPr>
            <w:r w:rsidRPr="003F7F6C">
              <w:rPr>
                <w:rFonts w:cs="Calibri"/>
                <w:sz w:val="16"/>
                <w:szCs w:val="16"/>
              </w:rPr>
              <w:t>X</w:t>
            </w:r>
          </w:p>
        </w:tc>
        <w:tc>
          <w:tcPr>
            <w:tcW w:w="428" w:type="dxa"/>
          </w:tcPr>
          <w:p w14:paraId="087093A1" w14:textId="77777777" w:rsidR="002B04EB" w:rsidRPr="003F7F6C" w:rsidRDefault="002B04EB" w:rsidP="00B851B7">
            <w:pPr>
              <w:rPr>
                <w:sz w:val="16"/>
                <w:szCs w:val="16"/>
              </w:rPr>
            </w:pPr>
            <w:r w:rsidRPr="003F7F6C">
              <w:rPr>
                <w:rFonts w:cs="Calibri"/>
                <w:sz w:val="16"/>
                <w:szCs w:val="16"/>
              </w:rPr>
              <w:t>X</w:t>
            </w:r>
          </w:p>
        </w:tc>
        <w:tc>
          <w:tcPr>
            <w:tcW w:w="428" w:type="dxa"/>
          </w:tcPr>
          <w:p w14:paraId="61DC3F62" w14:textId="77777777" w:rsidR="002B04EB" w:rsidRPr="003F7F6C" w:rsidRDefault="002B04EB" w:rsidP="00B851B7">
            <w:pPr>
              <w:rPr>
                <w:sz w:val="16"/>
                <w:szCs w:val="16"/>
              </w:rPr>
            </w:pPr>
            <w:r w:rsidRPr="003F7F6C">
              <w:rPr>
                <w:rFonts w:cs="Calibri"/>
                <w:sz w:val="16"/>
                <w:szCs w:val="16"/>
              </w:rPr>
              <w:t>X</w:t>
            </w:r>
          </w:p>
        </w:tc>
        <w:tc>
          <w:tcPr>
            <w:tcW w:w="428" w:type="dxa"/>
          </w:tcPr>
          <w:p w14:paraId="59787FC5"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7ECA9B5A" w14:textId="77777777" w:rsidR="002B04EB" w:rsidRPr="003F7F6C" w:rsidRDefault="002B04EB" w:rsidP="00B851B7">
            <w:pPr>
              <w:rPr>
                <w:sz w:val="16"/>
                <w:szCs w:val="16"/>
              </w:rPr>
            </w:pPr>
            <w:r w:rsidRPr="003F7F6C">
              <w:rPr>
                <w:rFonts w:cs="Calibri"/>
                <w:sz w:val="16"/>
                <w:szCs w:val="16"/>
              </w:rPr>
              <w:t>X</w:t>
            </w:r>
          </w:p>
        </w:tc>
        <w:tc>
          <w:tcPr>
            <w:tcW w:w="428" w:type="dxa"/>
          </w:tcPr>
          <w:p w14:paraId="3DB6D663" w14:textId="77777777" w:rsidR="002B04EB" w:rsidRPr="003F7F6C" w:rsidRDefault="002B04EB" w:rsidP="00B851B7">
            <w:pPr>
              <w:rPr>
                <w:sz w:val="16"/>
                <w:szCs w:val="16"/>
              </w:rPr>
            </w:pPr>
            <w:r w:rsidRPr="003F7F6C">
              <w:rPr>
                <w:rFonts w:cs="Calibri"/>
                <w:sz w:val="16"/>
                <w:szCs w:val="16"/>
              </w:rPr>
              <w:t>X</w:t>
            </w:r>
          </w:p>
        </w:tc>
        <w:tc>
          <w:tcPr>
            <w:tcW w:w="428" w:type="dxa"/>
          </w:tcPr>
          <w:p w14:paraId="2A4B7633" w14:textId="77777777" w:rsidR="002B04EB" w:rsidRPr="003F7F6C" w:rsidRDefault="002B04EB" w:rsidP="00B851B7">
            <w:pPr>
              <w:rPr>
                <w:sz w:val="16"/>
                <w:szCs w:val="16"/>
              </w:rPr>
            </w:pPr>
            <w:r w:rsidRPr="003F7F6C">
              <w:rPr>
                <w:rFonts w:cs="Calibri"/>
                <w:sz w:val="16"/>
                <w:szCs w:val="16"/>
              </w:rPr>
              <w:t>X</w:t>
            </w:r>
          </w:p>
        </w:tc>
        <w:tc>
          <w:tcPr>
            <w:tcW w:w="428" w:type="dxa"/>
          </w:tcPr>
          <w:p w14:paraId="2C023B06" w14:textId="77777777" w:rsidR="002B04EB" w:rsidRPr="003F7F6C" w:rsidRDefault="002B04EB" w:rsidP="00B851B7">
            <w:pPr>
              <w:rPr>
                <w:sz w:val="16"/>
                <w:szCs w:val="16"/>
              </w:rPr>
            </w:pPr>
            <w:r w:rsidRPr="003F7F6C">
              <w:rPr>
                <w:rFonts w:cs="Calibri"/>
                <w:sz w:val="16"/>
                <w:szCs w:val="16"/>
              </w:rPr>
              <w:t>X</w:t>
            </w:r>
          </w:p>
        </w:tc>
        <w:tc>
          <w:tcPr>
            <w:tcW w:w="428" w:type="dxa"/>
          </w:tcPr>
          <w:p w14:paraId="6C9F2D5E" w14:textId="77777777" w:rsidR="002B04EB" w:rsidRPr="003F7F6C" w:rsidRDefault="002B04EB" w:rsidP="00B851B7">
            <w:pPr>
              <w:rPr>
                <w:sz w:val="16"/>
                <w:szCs w:val="16"/>
              </w:rPr>
            </w:pPr>
            <w:r w:rsidRPr="003F7F6C">
              <w:rPr>
                <w:rFonts w:cs="Calibri"/>
                <w:sz w:val="16"/>
                <w:szCs w:val="16"/>
              </w:rPr>
              <w:t>X</w:t>
            </w:r>
          </w:p>
        </w:tc>
      </w:tr>
      <w:tr w:rsidR="002B04EB" w:rsidRPr="003F7F6C" w14:paraId="68F0C400" w14:textId="77777777" w:rsidTr="00B851B7">
        <w:tc>
          <w:tcPr>
            <w:tcW w:w="1668" w:type="dxa"/>
          </w:tcPr>
          <w:p w14:paraId="58350F34" w14:textId="77777777" w:rsidR="002B04EB" w:rsidRPr="003F7F6C" w:rsidRDefault="002B04EB" w:rsidP="00E91275">
            <w:pPr>
              <w:pStyle w:val="ListParagraph"/>
              <w:numPr>
                <w:ilvl w:val="0"/>
                <w:numId w:val="29"/>
              </w:numPr>
              <w:spacing w:after="0"/>
              <w:ind w:left="166" w:hanging="166"/>
              <w:contextualSpacing w:val="0"/>
              <w:rPr>
                <w:rFonts w:cs="Calibri"/>
                <w:sz w:val="16"/>
                <w:szCs w:val="16"/>
              </w:rPr>
            </w:pPr>
            <w:r w:rsidRPr="003F7F6C">
              <w:rPr>
                <w:rFonts w:cs="Calibri"/>
                <w:sz w:val="16"/>
                <w:szCs w:val="16"/>
              </w:rPr>
              <w:t>Proposal for ELUP legal framework</w:t>
            </w:r>
          </w:p>
        </w:tc>
        <w:tc>
          <w:tcPr>
            <w:tcW w:w="1057" w:type="dxa"/>
          </w:tcPr>
          <w:p w14:paraId="06952A3E" w14:textId="77777777" w:rsidR="002B04EB" w:rsidRPr="003F7F6C" w:rsidRDefault="002B04EB" w:rsidP="00B851B7">
            <w:pPr>
              <w:rPr>
                <w:rFonts w:cs="Calibri"/>
                <w:sz w:val="16"/>
                <w:szCs w:val="16"/>
              </w:rPr>
            </w:pPr>
            <w:r w:rsidRPr="003F7F6C">
              <w:rPr>
                <w:rFonts w:cs="Calibri"/>
                <w:sz w:val="16"/>
                <w:szCs w:val="16"/>
              </w:rPr>
              <w:t xml:space="preserve">SGAyDS </w:t>
            </w:r>
          </w:p>
          <w:p w14:paraId="238232AA" w14:textId="77777777" w:rsidR="002B04EB" w:rsidRPr="003F7F6C" w:rsidRDefault="002B04EB" w:rsidP="00B851B7">
            <w:pPr>
              <w:rPr>
                <w:rFonts w:cs="Calibri"/>
                <w:sz w:val="16"/>
                <w:szCs w:val="16"/>
              </w:rPr>
            </w:pPr>
          </w:p>
        </w:tc>
        <w:tc>
          <w:tcPr>
            <w:tcW w:w="428" w:type="dxa"/>
          </w:tcPr>
          <w:p w14:paraId="54DE68B1" w14:textId="77777777" w:rsidR="002B04EB" w:rsidRPr="003F7F6C" w:rsidRDefault="002B04EB" w:rsidP="00B851B7">
            <w:pPr>
              <w:rPr>
                <w:rFonts w:cs="Calibri"/>
                <w:sz w:val="16"/>
                <w:szCs w:val="16"/>
              </w:rPr>
            </w:pPr>
          </w:p>
        </w:tc>
        <w:tc>
          <w:tcPr>
            <w:tcW w:w="444" w:type="dxa"/>
          </w:tcPr>
          <w:p w14:paraId="73632C55" w14:textId="77777777" w:rsidR="002B04EB" w:rsidRPr="003F7F6C" w:rsidRDefault="002B04EB" w:rsidP="00B851B7">
            <w:pPr>
              <w:rPr>
                <w:rFonts w:cs="Calibri"/>
                <w:sz w:val="16"/>
                <w:szCs w:val="16"/>
              </w:rPr>
            </w:pPr>
          </w:p>
        </w:tc>
        <w:tc>
          <w:tcPr>
            <w:tcW w:w="428" w:type="dxa"/>
          </w:tcPr>
          <w:p w14:paraId="3EA8B782" w14:textId="77777777" w:rsidR="002B04EB" w:rsidRPr="003F7F6C" w:rsidRDefault="002B04EB" w:rsidP="00B851B7">
            <w:pPr>
              <w:rPr>
                <w:rFonts w:cs="Calibri"/>
                <w:sz w:val="16"/>
                <w:szCs w:val="16"/>
              </w:rPr>
            </w:pPr>
          </w:p>
        </w:tc>
        <w:tc>
          <w:tcPr>
            <w:tcW w:w="428" w:type="dxa"/>
            <w:gridSpan w:val="2"/>
          </w:tcPr>
          <w:p w14:paraId="6994CF2A" w14:textId="77777777" w:rsidR="002B04EB" w:rsidRPr="003F7F6C" w:rsidRDefault="002B04EB" w:rsidP="00B851B7">
            <w:pPr>
              <w:rPr>
                <w:rFonts w:cs="Calibri"/>
                <w:sz w:val="16"/>
                <w:szCs w:val="16"/>
              </w:rPr>
            </w:pPr>
          </w:p>
        </w:tc>
        <w:tc>
          <w:tcPr>
            <w:tcW w:w="428" w:type="dxa"/>
          </w:tcPr>
          <w:p w14:paraId="0CDC6F67" w14:textId="77777777" w:rsidR="002B04EB" w:rsidRPr="003F7F6C" w:rsidRDefault="002B04EB" w:rsidP="00B851B7">
            <w:pPr>
              <w:rPr>
                <w:rFonts w:cs="Calibri"/>
                <w:sz w:val="16"/>
                <w:szCs w:val="16"/>
              </w:rPr>
            </w:pPr>
          </w:p>
        </w:tc>
        <w:tc>
          <w:tcPr>
            <w:tcW w:w="427" w:type="dxa"/>
          </w:tcPr>
          <w:p w14:paraId="7FAA8088" w14:textId="77777777" w:rsidR="002B04EB" w:rsidRPr="003F7F6C" w:rsidRDefault="002B04EB" w:rsidP="00B851B7">
            <w:pPr>
              <w:rPr>
                <w:rFonts w:cs="Calibri"/>
                <w:sz w:val="16"/>
                <w:szCs w:val="16"/>
              </w:rPr>
            </w:pPr>
          </w:p>
        </w:tc>
        <w:tc>
          <w:tcPr>
            <w:tcW w:w="427" w:type="dxa"/>
          </w:tcPr>
          <w:p w14:paraId="4B11D180" w14:textId="77777777" w:rsidR="002B04EB" w:rsidRPr="003F7F6C" w:rsidRDefault="002B04EB" w:rsidP="00B851B7">
            <w:pPr>
              <w:rPr>
                <w:rFonts w:cs="Calibri"/>
                <w:sz w:val="16"/>
                <w:szCs w:val="16"/>
              </w:rPr>
            </w:pPr>
          </w:p>
        </w:tc>
        <w:tc>
          <w:tcPr>
            <w:tcW w:w="427" w:type="dxa"/>
            <w:gridSpan w:val="2"/>
          </w:tcPr>
          <w:p w14:paraId="059EEB27" w14:textId="77777777" w:rsidR="002B04EB" w:rsidRPr="003F7F6C" w:rsidRDefault="002B04EB" w:rsidP="00B851B7">
            <w:pPr>
              <w:rPr>
                <w:rFonts w:cs="Calibri"/>
                <w:sz w:val="16"/>
                <w:szCs w:val="16"/>
              </w:rPr>
            </w:pPr>
          </w:p>
        </w:tc>
        <w:tc>
          <w:tcPr>
            <w:tcW w:w="428" w:type="dxa"/>
          </w:tcPr>
          <w:p w14:paraId="3CAFEDDE" w14:textId="77777777" w:rsidR="002B04EB" w:rsidRPr="003F7F6C" w:rsidRDefault="002B04EB" w:rsidP="00B851B7">
            <w:pPr>
              <w:rPr>
                <w:rFonts w:cs="Calibri"/>
                <w:sz w:val="16"/>
                <w:szCs w:val="16"/>
              </w:rPr>
            </w:pPr>
          </w:p>
        </w:tc>
        <w:tc>
          <w:tcPr>
            <w:tcW w:w="428" w:type="dxa"/>
          </w:tcPr>
          <w:p w14:paraId="4445280D" w14:textId="77777777" w:rsidR="002B04EB" w:rsidRPr="003F7F6C" w:rsidRDefault="002B04EB" w:rsidP="00B851B7">
            <w:pPr>
              <w:rPr>
                <w:rFonts w:cs="Calibri"/>
                <w:sz w:val="16"/>
                <w:szCs w:val="16"/>
              </w:rPr>
            </w:pPr>
          </w:p>
        </w:tc>
        <w:tc>
          <w:tcPr>
            <w:tcW w:w="428" w:type="dxa"/>
          </w:tcPr>
          <w:p w14:paraId="2C1E62BA" w14:textId="77777777" w:rsidR="002B04EB" w:rsidRPr="003F7F6C" w:rsidRDefault="002B04EB" w:rsidP="00B851B7">
            <w:pPr>
              <w:rPr>
                <w:rFonts w:cs="Calibri"/>
                <w:sz w:val="16"/>
                <w:szCs w:val="16"/>
              </w:rPr>
            </w:pPr>
          </w:p>
        </w:tc>
        <w:tc>
          <w:tcPr>
            <w:tcW w:w="428" w:type="dxa"/>
            <w:gridSpan w:val="2"/>
          </w:tcPr>
          <w:p w14:paraId="24BE318B" w14:textId="77777777" w:rsidR="002B04EB" w:rsidRPr="003F7F6C" w:rsidRDefault="002B04EB" w:rsidP="00B851B7">
            <w:pPr>
              <w:rPr>
                <w:rFonts w:cs="Calibri"/>
                <w:sz w:val="16"/>
                <w:szCs w:val="16"/>
              </w:rPr>
            </w:pPr>
          </w:p>
        </w:tc>
        <w:tc>
          <w:tcPr>
            <w:tcW w:w="428" w:type="dxa"/>
          </w:tcPr>
          <w:p w14:paraId="2F7F6F46" w14:textId="77777777" w:rsidR="002B04EB" w:rsidRPr="003F7F6C" w:rsidRDefault="002B04EB" w:rsidP="00B851B7">
            <w:pPr>
              <w:rPr>
                <w:sz w:val="16"/>
                <w:szCs w:val="16"/>
              </w:rPr>
            </w:pPr>
            <w:r w:rsidRPr="003F7F6C">
              <w:rPr>
                <w:rFonts w:cs="Calibri"/>
                <w:sz w:val="16"/>
                <w:szCs w:val="16"/>
              </w:rPr>
              <w:t>X</w:t>
            </w:r>
          </w:p>
        </w:tc>
        <w:tc>
          <w:tcPr>
            <w:tcW w:w="428" w:type="dxa"/>
          </w:tcPr>
          <w:p w14:paraId="46DC98BC" w14:textId="77777777" w:rsidR="002B04EB" w:rsidRPr="003F7F6C" w:rsidRDefault="002B04EB" w:rsidP="00B851B7">
            <w:pPr>
              <w:rPr>
                <w:sz w:val="16"/>
                <w:szCs w:val="16"/>
              </w:rPr>
            </w:pPr>
            <w:r w:rsidRPr="003F7F6C">
              <w:rPr>
                <w:rFonts w:cs="Calibri"/>
                <w:sz w:val="16"/>
                <w:szCs w:val="16"/>
              </w:rPr>
              <w:t>X</w:t>
            </w:r>
          </w:p>
        </w:tc>
        <w:tc>
          <w:tcPr>
            <w:tcW w:w="428" w:type="dxa"/>
          </w:tcPr>
          <w:p w14:paraId="17DC4901"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78E963A2" w14:textId="77777777" w:rsidR="002B04EB" w:rsidRPr="003F7F6C" w:rsidRDefault="002B04EB" w:rsidP="00B851B7">
            <w:pPr>
              <w:rPr>
                <w:sz w:val="16"/>
                <w:szCs w:val="16"/>
              </w:rPr>
            </w:pPr>
            <w:r w:rsidRPr="003F7F6C">
              <w:rPr>
                <w:rFonts w:cs="Calibri"/>
                <w:sz w:val="16"/>
                <w:szCs w:val="16"/>
              </w:rPr>
              <w:t>X</w:t>
            </w:r>
          </w:p>
        </w:tc>
        <w:tc>
          <w:tcPr>
            <w:tcW w:w="428" w:type="dxa"/>
          </w:tcPr>
          <w:p w14:paraId="2CA02781" w14:textId="77777777" w:rsidR="002B04EB" w:rsidRPr="003F7F6C" w:rsidRDefault="002B04EB" w:rsidP="00B851B7">
            <w:pPr>
              <w:rPr>
                <w:sz w:val="16"/>
                <w:szCs w:val="16"/>
              </w:rPr>
            </w:pPr>
            <w:r w:rsidRPr="003F7F6C">
              <w:rPr>
                <w:rFonts w:cs="Calibri"/>
                <w:sz w:val="16"/>
                <w:szCs w:val="16"/>
              </w:rPr>
              <w:t>X</w:t>
            </w:r>
          </w:p>
        </w:tc>
        <w:tc>
          <w:tcPr>
            <w:tcW w:w="428" w:type="dxa"/>
          </w:tcPr>
          <w:p w14:paraId="171837D6" w14:textId="77777777" w:rsidR="002B04EB" w:rsidRPr="003F7F6C" w:rsidRDefault="002B04EB" w:rsidP="00B851B7">
            <w:pPr>
              <w:rPr>
                <w:sz w:val="16"/>
                <w:szCs w:val="16"/>
              </w:rPr>
            </w:pPr>
            <w:r w:rsidRPr="003F7F6C">
              <w:rPr>
                <w:rFonts w:cs="Calibri"/>
                <w:sz w:val="16"/>
                <w:szCs w:val="16"/>
              </w:rPr>
              <w:t>X</w:t>
            </w:r>
          </w:p>
        </w:tc>
        <w:tc>
          <w:tcPr>
            <w:tcW w:w="428" w:type="dxa"/>
          </w:tcPr>
          <w:p w14:paraId="1722DA85"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2F25E8A0" w14:textId="77777777" w:rsidR="002B04EB" w:rsidRPr="003F7F6C" w:rsidRDefault="002B04EB" w:rsidP="00B851B7">
            <w:pPr>
              <w:rPr>
                <w:sz w:val="16"/>
                <w:szCs w:val="16"/>
              </w:rPr>
            </w:pPr>
            <w:r w:rsidRPr="003F7F6C">
              <w:rPr>
                <w:rFonts w:cs="Calibri"/>
                <w:sz w:val="16"/>
                <w:szCs w:val="16"/>
              </w:rPr>
              <w:t>X</w:t>
            </w:r>
          </w:p>
        </w:tc>
        <w:tc>
          <w:tcPr>
            <w:tcW w:w="428" w:type="dxa"/>
          </w:tcPr>
          <w:p w14:paraId="5C5A0077" w14:textId="77777777" w:rsidR="002B04EB" w:rsidRPr="003F7F6C" w:rsidRDefault="002B04EB" w:rsidP="00B851B7">
            <w:pPr>
              <w:rPr>
                <w:sz w:val="16"/>
                <w:szCs w:val="16"/>
              </w:rPr>
            </w:pPr>
            <w:r w:rsidRPr="003F7F6C">
              <w:rPr>
                <w:rFonts w:cs="Calibri"/>
                <w:sz w:val="16"/>
                <w:szCs w:val="16"/>
              </w:rPr>
              <w:t>X</w:t>
            </w:r>
          </w:p>
        </w:tc>
        <w:tc>
          <w:tcPr>
            <w:tcW w:w="428" w:type="dxa"/>
          </w:tcPr>
          <w:p w14:paraId="03D0B3DE" w14:textId="77777777" w:rsidR="002B04EB" w:rsidRPr="003F7F6C" w:rsidRDefault="002B04EB" w:rsidP="00B851B7">
            <w:pPr>
              <w:rPr>
                <w:sz w:val="16"/>
                <w:szCs w:val="16"/>
              </w:rPr>
            </w:pPr>
            <w:r w:rsidRPr="003F7F6C">
              <w:rPr>
                <w:rFonts w:cs="Calibri"/>
                <w:sz w:val="16"/>
                <w:szCs w:val="16"/>
              </w:rPr>
              <w:t>X</w:t>
            </w:r>
          </w:p>
        </w:tc>
        <w:tc>
          <w:tcPr>
            <w:tcW w:w="428" w:type="dxa"/>
          </w:tcPr>
          <w:p w14:paraId="78910EEE" w14:textId="77777777" w:rsidR="002B04EB" w:rsidRPr="003F7F6C" w:rsidRDefault="002B04EB" w:rsidP="00B851B7">
            <w:pPr>
              <w:rPr>
                <w:sz w:val="16"/>
                <w:szCs w:val="16"/>
              </w:rPr>
            </w:pPr>
            <w:r w:rsidRPr="003F7F6C">
              <w:rPr>
                <w:rFonts w:cs="Calibri"/>
                <w:sz w:val="16"/>
                <w:szCs w:val="16"/>
              </w:rPr>
              <w:t>X</w:t>
            </w:r>
          </w:p>
        </w:tc>
        <w:tc>
          <w:tcPr>
            <w:tcW w:w="428" w:type="dxa"/>
          </w:tcPr>
          <w:p w14:paraId="6FF6C502" w14:textId="77777777" w:rsidR="002B04EB" w:rsidRPr="003F7F6C" w:rsidRDefault="002B04EB" w:rsidP="00B851B7">
            <w:pPr>
              <w:rPr>
                <w:sz w:val="16"/>
                <w:szCs w:val="16"/>
              </w:rPr>
            </w:pPr>
            <w:r w:rsidRPr="003F7F6C">
              <w:rPr>
                <w:rFonts w:cs="Calibri"/>
                <w:sz w:val="16"/>
                <w:szCs w:val="16"/>
              </w:rPr>
              <w:t>X</w:t>
            </w:r>
          </w:p>
        </w:tc>
      </w:tr>
      <w:tr w:rsidR="002B04EB" w:rsidRPr="003F7F6C" w14:paraId="43D470BF" w14:textId="77777777" w:rsidTr="00B851B7">
        <w:tc>
          <w:tcPr>
            <w:tcW w:w="1668" w:type="dxa"/>
          </w:tcPr>
          <w:p w14:paraId="779C31F4" w14:textId="77777777" w:rsidR="002B04EB" w:rsidRPr="003F7F6C" w:rsidRDefault="002B04EB" w:rsidP="00E91275">
            <w:pPr>
              <w:pStyle w:val="ListParagraph"/>
              <w:numPr>
                <w:ilvl w:val="0"/>
                <w:numId w:val="29"/>
              </w:numPr>
              <w:spacing w:after="0"/>
              <w:ind w:left="166" w:hanging="166"/>
              <w:contextualSpacing w:val="0"/>
              <w:rPr>
                <w:rFonts w:cs="Calibri"/>
                <w:sz w:val="16"/>
                <w:szCs w:val="16"/>
              </w:rPr>
            </w:pPr>
            <w:r w:rsidRPr="003F7F6C">
              <w:rPr>
                <w:rFonts w:cs="Calibri"/>
                <w:sz w:val="16"/>
                <w:szCs w:val="16"/>
              </w:rPr>
              <w:t>Methodological guides for ELUP</w:t>
            </w:r>
          </w:p>
        </w:tc>
        <w:tc>
          <w:tcPr>
            <w:tcW w:w="1057" w:type="dxa"/>
          </w:tcPr>
          <w:p w14:paraId="3E354471" w14:textId="77777777" w:rsidR="002B04EB" w:rsidRPr="003F7F6C" w:rsidRDefault="002B04EB" w:rsidP="00B851B7">
            <w:pPr>
              <w:rPr>
                <w:rFonts w:cs="Calibri"/>
                <w:sz w:val="16"/>
                <w:szCs w:val="16"/>
              </w:rPr>
            </w:pPr>
            <w:r w:rsidRPr="003F7F6C">
              <w:rPr>
                <w:rFonts w:cs="Calibri"/>
                <w:sz w:val="16"/>
                <w:szCs w:val="16"/>
              </w:rPr>
              <w:t xml:space="preserve">SGAyDS </w:t>
            </w:r>
          </w:p>
          <w:p w14:paraId="1C8F84FC" w14:textId="77777777" w:rsidR="002B04EB" w:rsidRPr="003F7F6C" w:rsidRDefault="002B04EB" w:rsidP="00B851B7">
            <w:pPr>
              <w:rPr>
                <w:rFonts w:cs="Calibri"/>
                <w:sz w:val="16"/>
                <w:szCs w:val="16"/>
              </w:rPr>
            </w:pPr>
          </w:p>
        </w:tc>
        <w:tc>
          <w:tcPr>
            <w:tcW w:w="428" w:type="dxa"/>
          </w:tcPr>
          <w:p w14:paraId="48ED7A88" w14:textId="77777777" w:rsidR="002B04EB" w:rsidRPr="003F7F6C" w:rsidRDefault="002B04EB" w:rsidP="00B851B7">
            <w:pPr>
              <w:rPr>
                <w:rFonts w:cs="Calibri"/>
                <w:sz w:val="16"/>
                <w:szCs w:val="16"/>
              </w:rPr>
            </w:pPr>
          </w:p>
        </w:tc>
        <w:tc>
          <w:tcPr>
            <w:tcW w:w="444" w:type="dxa"/>
          </w:tcPr>
          <w:p w14:paraId="59829C14" w14:textId="77777777" w:rsidR="002B04EB" w:rsidRPr="003F7F6C" w:rsidRDefault="002B04EB" w:rsidP="00B851B7">
            <w:pPr>
              <w:rPr>
                <w:rFonts w:cs="Calibri"/>
                <w:sz w:val="16"/>
                <w:szCs w:val="16"/>
              </w:rPr>
            </w:pPr>
          </w:p>
        </w:tc>
        <w:tc>
          <w:tcPr>
            <w:tcW w:w="428" w:type="dxa"/>
          </w:tcPr>
          <w:p w14:paraId="02AAA1F5" w14:textId="77777777" w:rsidR="002B04EB" w:rsidRPr="003F7F6C" w:rsidRDefault="002B04EB" w:rsidP="00B851B7">
            <w:pPr>
              <w:rPr>
                <w:rFonts w:cs="Calibri"/>
                <w:sz w:val="16"/>
                <w:szCs w:val="16"/>
              </w:rPr>
            </w:pPr>
          </w:p>
        </w:tc>
        <w:tc>
          <w:tcPr>
            <w:tcW w:w="428" w:type="dxa"/>
            <w:gridSpan w:val="2"/>
          </w:tcPr>
          <w:p w14:paraId="6713DCB0" w14:textId="77777777" w:rsidR="002B04EB" w:rsidRPr="003F7F6C" w:rsidRDefault="002B04EB" w:rsidP="00B851B7">
            <w:pPr>
              <w:rPr>
                <w:rFonts w:cs="Calibri"/>
                <w:sz w:val="16"/>
                <w:szCs w:val="16"/>
              </w:rPr>
            </w:pPr>
          </w:p>
        </w:tc>
        <w:tc>
          <w:tcPr>
            <w:tcW w:w="428" w:type="dxa"/>
          </w:tcPr>
          <w:p w14:paraId="00063DFC" w14:textId="77777777" w:rsidR="002B04EB" w:rsidRPr="003F7F6C" w:rsidRDefault="002B04EB" w:rsidP="00B851B7">
            <w:pPr>
              <w:rPr>
                <w:rFonts w:cs="Calibri"/>
                <w:sz w:val="16"/>
                <w:szCs w:val="16"/>
              </w:rPr>
            </w:pPr>
          </w:p>
        </w:tc>
        <w:tc>
          <w:tcPr>
            <w:tcW w:w="427" w:type="dxa"/>
          </w:tcPr>
          <w:p w14:paraId="0A84A233" w14:textId="77777777" w:rsidR="002B04EB" w:rsidRPr="003F7F6C" w:rsidRDefault="002B04EB" w:rsidP="00B851B7">
            <w:pPr>
              <w:rPr>
                <w:rFonts w:cs="Calibri"/>
                <w:sz w:val="16"/>
                <w:szCs w:val="16"/>
              </w:rPr>
            </w:pPr>
          </w:p>
        </w:tc>
        <w:tc>
          <w:tcPr>
            <w:tcW w:w="427" w:type="dxa"/>
          </w:tcPr>
          <w:p w14:paraId="1D4F341B" w14:textId="77777777" w:rsidR="002B04EB" w:rsidRPr="003F7F6C" w:rsidRDefault="002B04EB" w:rsidP="00B851B7">
            <w:pPr>
              <w:rPr>
                <w:rFonts w:cs="Calibri"/>
                <w:sz w:val="16"/>
                <w:szCs w:val="16"/>
              </w:rPr>
            </w:pPr>
          </w:p>
        </w:tc>
        <w:tc>
          <w:tcPr>
            <w:tcW w:w="427" w:type="dxa"/>
            <w:gridSpan w:val="2"/>
          </w:tcPr>
          <w:p w14:paraId="028EAC13" w14:textId="77777777" w:rsidR="002B04EB" w:rsidRPr="003F7F6C" w:rsidRDefault="002B04EB" w:rsidP="00B851B7">
            <w:pPr>
              <w:rPr>
                <w:rFonts w:cs="Calibri"/>
                <w:sz w:val="16"/>
                <w:szCs w:val="16"/>
              </w:rPr>
            </w:pPr>
          </w:p>
        </w:tc>
        <w:tc>
          <w:tcPr>
            <w:tcW w:w="428" w:type="dxa"/>
          </w:tcPr>
          <w:p w14:paraId="366C0203" w14:textId="77777777" w:rsidR="002B04EB" w:rsidRPr="003F7F6C" w:rsidRDefault="002B04EB" w:rsidP="00B851B7">
            <w:pPr>
              <w:rPr>
                <w:rFonts w:cs="Calibri"/>
                <w:sz w:val="16"/>
                <w:szCs w:val="16"/>
              </w:rPr>
            </w:pPr>
          </w:p>
        </w:tc>
        <w:tc>
          <w:tcPr>
            <w:tcW w:w="428" w:type="dxa"/>
          </w:tcPr>
          <w:p w14:paraId="6895EDE7" w14:textId="77777777" w:rsidR="002B04EB" w:rsidRPr="003F7F6C" w:rsidRDefault="002B04EB" w:rsidP="00B851B7">
            <w:pPr>
              <w:rPr>
                <w:rFonts w:cs="Calibri"/>
                <w:sz w:val="16"/>
                <w:szCs w:val="16"/>
              </w:rPr>
            </w:pPr>
          </w:p>
        </w:tc>
        <w:tc>
          <w:tcPr>
            <w:tcW w:w="428" w:type="dxa"/>
          </w:tcPr>
          <w:p w14:paraId="5AD4AC54" w14:textId="77777777" w:rsidR="002B04EB" w:rsidRPr="003F7F6C" w:rsidRDefault="002B04EB" w:rsidP="00B851B7">
            <w:pPr>
              <w:rPr>
                <w:rFonts w:cs="Calibri"/>
                <w:sz w:val="16"/>
                <w:szCs w:val="16"/>
              </w:rPr>
            </w:pPr>
          </w:p>
        </w:tc>
        <w:tc>
          <w:tcPr>
            <w:tcW w:w="428" w:type="dxa"/>
            <w:gridSpan w:val="2"/>
          </w:tcPr>
          <w:p w14:paraId="2BE4048F" w14:textId="77777777" w:rsidR="002B04EB" w:rsidRPr="003F7F6C" w:rsidRDefault="002B04EB" w:rsidP="00B851B7">
            <w:pPr>
              <w:rPr>
                <w:rFonts w:cs="Calibri"/>
                <w:sz w:val="16"/>
                <w:szCs w:val="16"/>
              </w:rPr>
            </w:pPr>
          </w:p>
        </w:tc>
        <w:tc>
          <w:tcPr>
            <w:tcW w:w="428" w:type="dxa"/>
          </w:tcPr>
          <w:p w14:paraId="658FA6F5" w14:textId="77777777" w:rsidR="002B04EB" w:rsidRPr="003F7F6C" w:rsidRDefault="002B04EB" w:rsidP="00B851B7">
            <w:pPr>
              <w:rPr>
                <w:rFonts w:cs="Calibri"/>
                <w:sz w:val="16"/>
                <w:szCs w:val="16"/>
              </w:rPr>
            </w:pPr>
          </w:p>
        </w:tc>
        <w:tc>
          <w:tcPr>
            <w:tcW w:w="428" w:type="dxa"/>
          </w:tcPr>
          <w:p w14:paraId="5304EA02" w14:textId="77777777" w:rsidR="002B04EB" w:rsidRPr="003F7F6C" w:rsidRDefault="002B04EB" w:rsidP="00B851B7">
            <w:pPr>
              <w:rPr>
                <w:rFonts w:cs="Calibri"/>
                <w:sz w:val="16"/>
                <w:szCs w:val="16"/>
              </w:rPr>
            </w:pPr>
          </w:p>
        </w:tc>
        <w:tc>
          <w:tcPr>
            <w:tcW w:w="428" w:type="dxa"/>
          </w:tcPr>
          <w:p w14:paraId="7E9222DE" w14:textId="77777777" w:rsidR="002B04EB" w:rsidRPr="003F7F6C" w:rsidRDefault="002B04EB" w:rsidP="00B851B7">
            <w:pPr>
              <w:rPr>
                <w:rFonts w:cs="Calibri"/>
                <w:sz w:val="16"/>
                <w:szCs w:val="16"/>
              </w:rPr>
            </w:pPr>
          </w:p>
        </w:tc>
        <w:tc>
          <w:tcPr>
            <w:tcW w:w="428" w:type="dxa"/>
            <w:gridSpan w:val="2"/>
          </w:tcPr>
          <w:p w14:paraId="47509E2D" w14:textId="77777777" w:rsidR="002B04EB" w:rsidRPr="003F7F6C" w:rsidRDefault="002B04EB" w:rsidP="00B851B7">
            <w:pPr>
              <w:rPr>
                <w:sz w:val="16"/>
                <w:szCs w:val="16"/>
              </w:rPr>
            </w:pPr>
            <w:r w:rsidRPr="003F7F6C">
              <w:rPr>
                <w:rFonts w:cs="Calibri"/>
                <w:sz w:val="16"/>
                <w:szCs w:val="16"/>
              </w:rPr>
              <w:t>X</w:t>
            </w:r>
          </w:p>
        </w:tc>
        <w:tc>
          <w:tcPr>
            <w:tcW w:w="428" w:type="dxa"/>
          </w:tcPr>
          <w:p w14:paraId="7AD1042D" w14:textId="77777777" w:rsidR="002B04EB" w:rsidRPr="003F7F6C" w:rsidRDefault="002B04EB" w:rsidP="00B851B7">
            <w:pPr>
              <w:rPr>
                <w:sz w:val="16"/>
                <w:szCs w:val="16"/>
              </w:rPr>
            </w:pPr>
            <w:r w:rsidRPr="003F7F6C">
              <w:rPr>
                <w:rFonts w:cs="Calibri"/>
                <w:sz w:val="16"/>
                <w:szCs w:val="16"/>
              </w:rPr>
              <w:t>X</w:t>
            </w:r>
          </w:p>
        </w:tc>
        <w:tc>
          <w:tcPr>
            <w:tcW w:w="428" w:type="dxa"/>
          </w:tcPr>
          <w:p w14:paraId="3F9A3EC3" w14:textId="77777777" w:rsidR="002B04EB" w:rsidRPr="003F7F6C" w:rsidRDefault="002B04EB" w:rsidP="00B851B7">
            <w:pPr>
              <w:rPr>
                <w:sz w:val="16"/>
                <w:szCs w:val="16"/>
              </w:rPr>
            </w:pPr>
            <w:r w:rsidRPr="003F7F6C">
              <w:rPr>
                <w:rFonts w:cs="Calibri"/>
                <w:sz w:val="16"/>
                <w:szCs w:val="16"/>
              </w:rPr>
              <w:t>X</w:t>
            </w:r>
          </w:p>
        </w:tc>
        <w:tc>
          <w:tcPr>
            <w:tcW w:w="428" w:type="dxa"/>
          </w:tcPr>
          <w:p w14:paraId="1B66A7F7"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4C468280" w14:textId="77777777" w:rsidR="002B04EB" w:rsidRPr="003F7F6C" w:rsidRDefault="002B04EB" w:rsidP="00B851B7">
            <w:pPr>
              <w:rPr>
                <w:sz w:val="16"/>
                <w:szCs w:val="16"/>
              </w:rPr>
            </w:pPr>
            <w:r w:rsidRPr="003F7F6C">
              <w:rPr>
                <w:rFonts w:cs="Calibri"/>
                <w:sz w:val="16"/>
                <w:szCs w:val="16"/>
              </w:rPr>
              <w:t>X</w:t>
            </w:r>
          </w:p>
        </w:tc>
        <w:tc>
          <w:tcPr>
            <w:tcW w:w="428" w:type="dxa"/>
          </w:tcPr>
          <w:p w14:paraId="48094530" w14:textId="77777777" w:rsidR="002B04EB" w:rsidRPr="003F7F6C" w:rsidRDefault="002B04EB" w:rsidP="00B851B7">
            <w:pPr>
              <w:rPr>
                <w:sz w:val="16"/>
                <w:szCs w:val="16"/>
              </w:rPr>
            </w:pPr>
            <w:r w:rsidRPr="003F7F6C">
              <w:rPr>
                <w:rFonts w:cs="Calibri"/>
                <w:sz w:val="16"/>
                <w:szCs w:val="16"/>
              </w:rPr>
              <w:t>X</w:t>
            </w:r>
          </w:p>
        </w:tc>
        <w:tc>
          <w:tcPr>
            <w:tcW w:w="428" w:type="dxa"/>
          </w:tcPr>
          <w:p w14:paraId="26B0105D" w14:textId="77777777" w:rsidR="002B04EB" w:rsidRPr="003F7F6C" w:rsidRDefault="002B04EB" w:rsidP="00B851B7">
            <w:pPr>
              <w:rPr>
                <w:sz w:val="16"/>
                <w:szCs w:val="16"/>
              </w:rPr>
            </w:pPr>
            <w:r w:rsidRPr="003F7F6C">
              <w:rPr>
                <w:rFonts w:cs="Calibri"/>
                <w:sz w:val="16"/>
                <w:szCs w:val="16"/>
              </w:rPr>
              <w:t>X</w:t>
            </w:r>
          </w:p>
        </w:tc>
        <w:tc>
          <w:tcPr>
            <w:tcW w:w="428" w:type="dxa"/>
          </w:tcPr>
          <w:p w14:paraId="4B709607" w14:textId="77777777" w:rsidR="002B04EB" w:rsidRPr="003F7F6C" w:rsidRDefault="002B04EB" w:rsidP="00B851B7">
            <w:pPr>
              <w:rPr>
                <w:sz w:val="16"/>
                <w:szCs w:val="16"/>
              </w:rPr>
            </w:pPr>
            <w:r w:rsidRPr="003F7F6C">
              <w:rPr>
                <w:rFonts w:cs="Calibri"/>
                <w:sz w:val="16"/>
                <w:szCs w:val="16"/>
              </w:rPr>
              <w:t>X</w:t>
            </w:r>
          </w:p>
        </w:tc>
        <w:tc>
          <w:tcPr>
            <w:tcW w:w="428" w:type="dxa"/>
          </w:tcPr>
          <w:p w14:paraId="39386701" w14:textId="77777777" w:rsidR="002B04EB" w:rsidRPr="003F7F6C" w:rsidRDefault="002B04EB" w:rsidP="00B851B7">
            <w:pPr>
              <w:rPr>
                <w:sz w:val="16"/>
                <w:szCs w:val="16"/>
              </w:rPr>
            </w:pPr>
            <w:r w:rsidRPr="003F7F6C">
              <w:rPr>
                <w:rFonts w:cs="Calibri"/>
                <w:sz w:val="16"/>
                <w:szCs w:val="16"/>
              </w:rPr>
              <w:t>X</w:t>
            </w:r>
          </w:p>
        </w:tc>
      </w:tr>
      <w:tr w:rsidR="002B04EB" w:rsidRPr="003F7F6C" w14:paraId="4AE8B89C" w14:textId="77777777" w:rsidTr="002B04EB">
        <w:tc>
          <w:tcPr>
            <w:tcW w:w="13010" w:type="dxa"/>
            <w:gridSpan w:val="31"/>
            <w:shd w:val="clear" w:color="auto" w:fill="C5E0B3"/>
          </w:tcPr>
          <w:p w14:paraId="47F631FE" w14:textId="77777777" w:rsidR="002B04EB" w:rsidRPr="003F7F6C" w:rsidRDefault="002B04EB" w:rsidP="00B851B7">
            <w:pPr>
              <w:pStyle w:val="ListParagraph"/>
              <w:tabs>
                <w:tab w:val="left" w:pos="426"/>
              </w:tabs>
              <w:spacing w:after="0"/>
              <w:ind w:left="0"/>
              <w:contextualSpacing w:val="0"/>
              <w:rPr>
                <w:rFonts w:cs="Calibri"/>
                <w:bCs/>
                <w:sz w:val="16"/>
                <w:szCs w:val="16"/>
              </w:rPr>
            </w:pPr>
            <w:r w:rsidRPr="003F7F6C">
              <w:rPr>
                <w:rFonts w:eastAsia="Times New Roman" w:cs="Calibri"/>
                <w:i/>
                <w:sz w:val="16"/>
                <w:szCs w:val="16"/>
                <w:lang w:eastAsia="es-ES_tradnl"/>
              </w:rPr>
              <w:t xml:space="preserve">Output 1.3: </w:t>
            </w:r>
            <w:r w:rsidRPr="003F7F6C">
              <w:rPr>
                <w:rFonts w:eastAsia="Times New Roman" w:cs="Calibri"/>
                <w:bCs/>
                <w:i/>
                <w:sz w:val="16"/>
                <w:szCs w:val="16"/>
                <w:lang w:eastAsia="es-ES_tradnl"/>
              </w:rPr>
              <w:t>Standardized instruments for implementing ELUP for targeted sectors</w:t>
            </w:r>
          </w:p>
        </w:tc>
      </w:tr>
      <w:tr w:rsidR="002B04EB" w:rsidRPr="003F7F6C" w14:paraId="5FB6FE80" w14:textId="77777777" w:rsidTr="00B851B7">
        <w:tc>
          <w:tcPr>
            <w:tcW w:w="1668" w:type="dxa"/>
          </w:tcPr>
          <w:p w14:paraId="5CFF229E" w14:textId="77777777" w:rsidR="002B04EB" w:rsidRPr="003F7F6C" w:rsidRDefault="002B04EB" w:rsidP="00B851B7">
            <w:pPr>
              <w:rPr>
                <w:rFonts w:cs="Calibri"/>
                <w:sz w:val="16"/>
                <w:szCs w:val="16"/>
              </w:rPr>
            </w:pPr>
            <w:r w:rsidRPr="003F7F6C">
              <w:rPr>
                <w:rFonts w:cs="Calibri"/>
                <w:sz w:val="16"/>
                <w:szCs w:val="16"/>
              </w:rPr>
              <w:t>1.3.1 Elaborate criteria for priority areas for ELUP</w:t>
            </w:r>
          </w:p>
        </w:tc>
        <w:tc>
          <w:tcPr>
            <w:tcW w:w="1057" w:type="dxa"/>
          </w:tcPr>
          <w:p w14:paraId="42E00175" w14:textId="77777777" w:rsidR="002B04EB" w:rsidRPr="003F7F6C" w:rsidRDefault="002B04EB" w:rsidP="00B851B7">
            <w:pPr>
              <w:rPr>
                <w:rFonts w:cs="Calibri"/>
                <w:sz w:val="16"/>
                <w:szCs w:val="16"/>
              </w:rPr>
            </w:pPr>
            <w:r w:rsidRPr="003F7F6C">
              <w:rPr>
                <w:rFonts w:cs="Calibri"/>
                <w:sz w:val="16"/>
                <w:szCs w:val="16"/>
              </w:rPr>
              <w:t>SGAyDS</w:t>
            </w:r>
          </w:p>
        </w:tc>
        <w:tc>
          <w:tcPr>
            <w:tcW w:w="428" w:type="dxa"/>
          </w:tcPr>
          <w:p w14:paraId="26A4BB39" w14:textId="77777777" w:rsidR="002B04EB" w:rsidRPr="003F7F6C" w:rsidRDefault="002B04EB" w:rsidP="00B851B7">
            <w:pPr>
              <w:jc w:val="center"/>
              <w:rPr>
                <w:sz w:val="16"/>
                <w:szCs w:val="16"/>
              </w:rPr>
            </w:pPr>
          </w:p>
        </w:tc>
        <w:tc>
          <w:tcPr>
            <w:tcW w:w="444" w:type="dxa"/>
          </w:tcPr>
          <w:p w14:paraId="18AF4BC2" w14:textId="77777777" w:rsidR="002B04EB" w:rsidRPr="003F7F6C" w:rsidRDefault="002B04EB" w:rsidP="00B851B7">
            <w:pPr>
              <w:jc w:val="center"/>
              <w:rPr>
                <w:sz w:val="16"/>
                <w:szCs w:val="16"/>
              </w:rPr>
            </w:pPr>
            <w:r w:rsidRPr="003F7F6C">
              <w:rPr>
                <w:rFonts w:cs="Calibri"/>
                <w:sz w:val="16"/>
                <w:szCs w:val="16"/>
              </w:rPr>
              <w:t>X</w:t>
            </w:r>
          </w:p>
        </w:tc>
        <w:tc>
          <w:tcPr>
            <w:tcW w:w="428" w:type="dxa"/>
          </w:tcPr>
          <w:p w14:paraId="17FA00FC" w14:textId="77777777" w:rsidR="002B04EB" w:rsidRPr="003F7F6C" w:rsidRDefault="002B04EB" w:rsidP="00B851B7">
            <w:pPr>
              <w:jc w:val="center"/>
              <w:rPr>
                <w:sz w:val="16"/>
                <w:szCs w:val="16"/>
              </w:rPr>
            </w:pPr>
            <w:r w:rsidRPr="003F7F6C">
              <w:rPr>
                <w:rFonts w:cs="Calibri"/>
                <w:sz w:val="16"/>
                <w:szCs w:val="16"/>
              </w:rPr>
              <w:t>X</w:t>
            </w:r>
          </w:p>
        </w:tc>
        <w:tc>
          <w:tcPr>
            <w:tcW w:w="428" w:type="dxa"/>
            <w:gridSpan w:val="2"/>
          </w:tcPr>
          <w:p w14:paraId="6D047D2A" w14:textId="77777777" w:rsidR="002B04EB" w:rsidRPr="003F7F6C" w:rsidRDefault="002B04EB" w:rsidP="00B851B7">
            <w:pPr>
              <w:jc w:val="center"/>
              <w:rPr>
                <w:sz w:val="16"/>
                <w:szCs w:val="16"/>
              </w:rPr>
            </w:pPr>
            <w:r w:rsidRPr="003F7F6C">
              <w:rPr>
                <w:rFonts w:cs="Calibri"/>
                <w:sz w:val="16"/>
                <w:szCs w:val="16"/>
              </w:rPr>
              <w:t>X</w:t>
            </w:r>
          </w:p>
        </w:tc>
        <w:tc>
          <w:tcPr>
            <w:tcW w:w="428" w:type="dxa"/>
          </w:tcPr>
          <w:p w14:paraId="6042A83F" w14:textId="77777777" w:rsidR="002B04EB" w:rsidRPr="003F7F6C" w:rsidRDefault="002B04EB" w:rsidP="00B851B7">
            <w:pPr>
              <w:jc w:val="center"/>
              <w:rPr>
                <w:sz w:val="16"/>
                <w:szCs w:val="16"/>
              </w:rPr>
            </w:pPr>
            <w:r w:rsidRPr="003F7F6C">
              <w:rPr>
                <w:rFonts w:cs="Calibri"/>
                <w:sz w:val="16"/>
                <w:szCs w:val="16"/>
              </w:rPr>
              <w:t>X</w:t>
            </w:r>
          </w:p>
        </w:tc>
        <w:tc>
          <w:tcPr>
            <w:tcW w:w="427" w:type="dxa"/>
          </w:tcPr>
          <w:p w14:paraId="783D599E" w14:textId="77777777" w:rsidR="002B04EB" w:rsidRPr="003F7F6C" w:rsidRDefault="002B04EB" w:rsidP="00B851B7">
            <w:pPr>
              <w:jc w:val="center"/>
              <w:rPr>
                <w:sz w:val="16"/>
                <w:szCs w:val="16"/>
              </w:rPr>
            </w:pPr>
            <w:r w:rsidRPr="003F7F6C">
              <w:rPr>
                <w:rFonts w:cs="Calibri"/>
                <w:sz w:val="16"/>
                <w:szCs w:val="16"/>
              </w:rPr>
              <w:t>X</w:t>
            </w:r>
          </w:p>
        </w:tc>
        <w:tc>
          <w:tcPr>
            <w:tcW w:w="427" w:type="dxa"/>
          </w:tcPr>
          <w:p w14:paraId="64A3EF58" w14:textId="77777777" w:rsidR="002B04EB" w:rsidRPr="003F7F6C" w:rsidRDefault="002B04EB" w:rsidP="00B851B7">
            <w:pPr>
              <w:jc w:val="center"/>
              <w:rPr>
                <w:sz w:val="16"/>
                <w:szCs w:val="16"/>
              </w:rPr>
            </w:pPr>
            <w:r w:rsidRPr="003F7F6C">
              <w:rPr>
                <w:rFonts w:cs="Calibri"/>
                <w:sz w:val="16"/>
                <w:szCs w:val="16"/>
              </w:rPr>
              <w:t>X</w:t>
            </w:r>
          </w:p>
        </w:tc>
        <w:tc>
          <w:tcPr>
            <w:tcW w:w="427" w:type="dxa"/>
            <w:gridSpan w:val="2"/>
          </w:tcPr>
          <w:p w14:paraId="0021E102" w14:textId="77777777" w:rsidR="002B04EB" w:rsidRPr="003F7F6C" w:rsidRDefault="002B04EB" w:rsidP="00B851B7">
            <w:pPr>
              <w:jc w:val="center"/>
              <w:rPr>
                <w:sz w:val="16"/>
                <w:szCs w:val="16"/>
              </w:rPr>
            </w:pPr>
            <w:r w:rsidRPr="003F7F6C">
              <w:rPr>
                <w:rFonts w:cs="Calibri"/>
                <w:sz w:val="16"/>
                <w:szCs w:val="16"/>
              </w:rPr>
              <w:t>X</w:t>
            </w:r>
          </w:p>
        </w:tc>
        <w:tc>
          <w:tcPr>
            <w:tcW w:w="428" w:type="dxa"/>
          </w:tcPr>
          <w:p w14:paraId="2EC1BBA1" w14:textId="77777777" w:rsidR="002B04EB" w:rsidRPr="003F7F6C" w:rsidRDefault="002B04EB" w:rsidP="00B851B7">
            <w:pPr>
              <w:jc w:val="center"/>
              <w:rPr>
                <w:sz w:val="16"/>
                <w:szCs w:val="16"/>
              </w:rPr>
            </w:pPr>
            <w:r w:rsidRPr="003F7F6C">
              <w:rPr>
                <w:rFonts w:cs="Calibri"/>
                <w:sz w:val="16"/>
                <w:szCs w:val="16"/>
              </w:rPr>
              <w:t>X</w:t>
            </w:r>
          </w:p>
        </w:tc>
        <w:tc>
          <w:tcPr>
            <w:tcW w:w="428" w:type="dxa"/>
          </w:tcPr>
          <w:p w14:paraId="5947E847" w14:textId="77777777" w:rsidR="002B04EB" w:rsidRPr="003F7F6C" w:rsidRDefault="002B04EB" w:rsidP="00B851B7">
            <w:pPr>
              <w:jc w:val="center"/>
              <w:rPr>
                <w:sz w:val="16"/>
                <w:szCs w:val="16"/>
              </w:rPr>
            </w:pPr>
            <w:r w:rsidRPr="003F7F6C">
              <w:rPr>
                <w:rFonts w:cs="Calibri"/>
                <w:sz w:val="16"/>
                <w:szCs w:val="16"/>
              </w:rPr>
              <w:t>X</w:t>
            </w:r>
          </w:p>
        </w:tc>
        <w:tc>
          <w:tcPr>
            <w:tcW w:w="428" w:type="dxa"/>
          </w:tcPr>
          <w:p w14:paraId="36A6DD63" w14:textId="77777777" w:rsidR="002B04EB" w:rsidRPr="003F7F6C" w:rsidRDefault="002B04EB" w:rsidP="00B851B7">
            <w:pPr>
              <w:jc w:val="center"/>
              <w:rPr>
                <w:sz w:val="16"/>
                <w:szCs w:val="16"/>
              </w:rPr>
            </w:pPr>
            <w:r w:rsidRPr="003F7F6C">
              <w:rPr>
                <w:rFonts w:cs="Calibri"/>
                <w:sz w:val="16"/>
                <w:szCs w:val="16"/>
              </w:rPr>
              <w:t>X</w:t>
            </w:r>
          </w:p>
        </w:tc>
        <w:tc>
          <w:tcPr>
            <w:tcW w:w="428" w:type="dxa"/>
            <w:gridSpan w:val="2"/>
          </w:tcPr>
          <w:p w14:paraId="3A87E087" w14:textId="77777777" w:rsidR="002B04EB" w:rsidRPr="003F7F6C" w:rsidRDefault="002B04EB" w:rsidP="00B851B7">
            <w:pPr>
              <w:jc w:val="center"/>
              <w:rPr>
                <w:sz w:val="16"/>
                <w:szCs w:val="16"/>
              </w:rPr>
            </w:pPr>
            <w:r w:rsidRPr="003F7F6C">
              <w:rPr>
                <w:rFonts w:cs="Calibri"/>
                <w:sz w:val="16"/>
                <w:szCs w:val="16"/>
              </w:rPr>
              <w:t>X</w:t>
            </w:r>
          </w:p>
        </w:tc>
        <w:tc>
          <w:tcPr>
            <w:tcW w:w="428" w:type="dxa"/>
          </w:tcPr>
          <w:p w14:paraId="09BD726A" w14:textId="77777777" w:rsidR="002B04EB" w:rsidRPr="003F7F6C" w:rsidRDefault="002B04EB" w:rsidP="00B851B7">
            <w:pPr>
              <w:jc w:val="center"/>
              <w:rPr>
                <w:sz w:val="16"/>
                <w:szCs w:val="16"/>
              </w:rPr>
            </w:pPr>
            <w:r w:rsidRPr="003F7F6C">
              <w:rPr>
                <w:rFonts w:cs="Calibri"/>
                <w:sz w:val="16"/>
                <w:szCs w:val="16"/>
              </w:rPr>
              <w:t>X</w:t>
            </w:r>
          </w:p>
        </w:tc>
        <w:tc>
          <w:tcPr>
            <w:tcW w:w="428" w:type="dxa"/>
          </w:tcPr>
          <w:p w14:paraId="43DAF80B" w14:textId="77777777" w:rsidR="002B04EB" w:rsidRPr="003F7F6C" w:rsidRDefault="002B04EB" w:rsidP="00B851B7">
            <w:pPr>
              <w:jc w:val="center"/>
              <w:rPr>
                <w:sz w:val="16"/>
                <w:szCs w:val="16"/>
              </w:rPr>
            </w:pPr>
            <w:r w:rsidRPr="003F7F6C">
              <w:rPr>
                <w:rFonts w:cs="Calibri"/>
                <w:sz w:val="16"/>
                <w:szCs w:val="16"/>
              </w:rPr>
              <w:t>X</w:t>
            </w:r>
          </w:p>
        </w:tc>
        <w:tc>
          <w:tcPr>
            <w:tcW w:w="428" w:type="dxa"/>
          </w:tcPr>
          <w:p w14:paraId="426A85ED" w14:textId="77777777" w:rsidR="002B04EB" w:rsidRPr="003F7F6C" w:rsidRDefault="002B04EB" w:rsidP="00B851B7">
            <w:pPr>
              <w:jc w:val="center"/>
              <w:rPr>
                <w:sz w:val="16"/>
                <w:szCs w:val="16"/>
              </w:rPr>
            </w:pPr>
            <w:r w:rsidRPr="003F7F6C">
              <w:rPr>
                <w:rFonts w:cs="Calibri"/>
                <w:sz w:val="16"/>
                <w:szCs w:val="16"/>
              </w:rPr>
              <w:t>X</w:t>
            </w:r>
          </w:p>
        </w:tc>
        <w:tc>
          <w:tcPr>
            <w:tcW w:w="428" w:type="dxa"/>
            <w:gridSpan w:val="2"/>
          </w:tcPr>
          <w:p w14:paraId="0BA0BD54" w14:textId="77777777" w:rsidR="002B04EB" w:rsidRPr="003F7F6C" w:rsidRDefault="002B04EB" w:rsidP="00B851B7">
            <w:pPr>
              <w:jc w:val="center"/>
              <w:rPr>
                <w:sz w:val="16"/>
                <w:szCs w:val="16"/>
              </w:rPr>
            </w:pPr>
            <w:r w:rsidRPr="003F7F6C">
              <w:rPr>
                <w:rFonts w:cs="Calibri"/>
                <w:sz w:val="16"/>
                <w:szCs w:val="16"/>
              </w:rPr>
              <w:t>X</w:t>
            </w:r>
          </w:p>
        </w:tc>
        <w:tc>
          <w:tcPr>
            <w:tcW w:w="428" w:type="dxa"/>
          </w:tcPr>
          <w:p w14:paraId="308BE608" w14:textId="77777777" w:rsidR="002B04EB" w:rsidRPr="003F7F6C" w:rsidRDefault="002B04EB" w:rsidP="00B851B7">
            <w:pPr>
              <w:jc w:val="center"/>
              <w:rPr>
                <w:sz w:val="16"/>
                <w:szCs w:val="16"/>
              </w:rPr>
            </w:pPr>
            <w:r w:rsidRPr="003F7F6C">
              <w:rPr>
                <w:rFonts w:cs="Calibri"/>
                <w:sz w:val="16"/>
                <w:szCs w:val="16"/>
              </w:rPr>
              <w:t>X</w:t>
            </w:r>
          </w:p>
        </w:tc>
        <w:tc>
          <w:tcPr>
            <w:tcW w:w="428" w:type="dxa"/>
          </w:tcPr>
          <w:p w14:paraId="02048253" w14:textId="77777777" w:rsidR="002B04EB" w:rsidRPr="003F7F6C" w:rsidRDefault="002B04EB" w:rsidP="00B851B7">
            <w:pPr>
              <w:jc w:val="center"/>
              <w:rPr>
                <w:sz w:val="16"/>
                <w:szCs w:val="16"/>
              </w:rPr>
            </w:pPr>
            <w:r w:rsidRPr="003F7F6C">
              <w:rPr>
                <w:rFonts w:cs="Calibri"/>
                <w:sz w:val="16"/>
                <w:szCs w:val="16"/>
              </w:rPr>
              <w:t>X</w:t>
            </w:r>
          </w:p>
        </w:tc>
        <w:tc>
          <w:tcPr>
            <w:tcW w:w="428" w:type="dxa"/>
          </w:tcPr>
          <w:p w14:paraId="02084D39" w14:textId="77777777" w:rsidR="002B04EB" w:rsidRPr="003F7F6C" w:rsidRDefault="002B04EB" w:rsidP="00B851B7">
            <w:pPr>
              <w:jc w:val="center"/>
              <w:rPr>
                <w:sz w:val="16"/>
                <w:szCs w:val="16"/>
              </w:rPr>
            </w:pPr>
            <w:r w:rsidRPr="003F7F6C">
              <w:rPr>
                <w:rFonts w:cs="Calibri"/>
                <w:sz w:val="16"/>
                <w:szCs w:val="16"/>
              </w:rPr>
              <w:t>X</w:t>
            </w:r>
          </w:p>
        </w:tc>
        <w:tc>
          <w:tcPr>
            <w:tcW w:w="428" w:type="dxa"/>
            <w:gridSpan w:val="2"/>
          </w:tcPr>
          <w:p w14:paraId="1387377D" w14:textId="77777777" w:rsidR="002B04EB" w:rsidRPr="003F7F6C" w:rsidRDefault="002B04EB" w:rsidP="00B851B7">
            <w:pPr>
              <w:jc w:val="center"/>
              <w:rPr>
                <w:sz w:val="16"/>
                <w:szCs w:val="16"/>
              </w:rPr>
            </w:pPr>
            <w:r w:rsidRPr="003F7F6C">
              <w:rPr>
                <w:rFonts w:cs="Calibri"/>
                <w:sz w:val="16"/>
                <w:szCs w:val="16"/>
              </w:rPr>
              <w:t>X</w:t>
            </w:r>
          </w:p>
        </w:tc>
        <w:tc>
          <w:tcPr>
            <w:tcW w:w="428" w:type="dxa"/>
          </w:tcPr>
          <w:p w14:paraId="45686E3A" w14:textId="77777777" w:rsidR="002B04EB" w:rsidRPr="003F7F6C" w:rsidRDefault="002B04EB" w:rsidP="00B851B7">
            <w:pPr>
              <w:rPr>
                <w:rFonts w:cs="Calibri"/>
                <w:sz w:val="16"/>
                <w:szCs w:val="16"/>
              </w:rPr>
            </w:pPr>
          </w:p>
        </w:tc>
        <w:tc>
          <w:tcPr>
            <w:tcW w:w="428" w:type="dxa"/>
          </w:tcPr>
          <w:p w14:paraId="525985A6" w14:textId="77777777" w:rsidR="002B04EB" w:rsidRPr="003F7F6C" w:rsidRDefault="002B04EB" w:rsidP="00B851B7">
            <w:pPr>
              <w:rPr>
                <w:rFonts w:cs="Calibri"/>
                <w:sz w:val="16"/>
                <w:szCs w:val="16"/>
              </w:rPr>
            </w:pPr>
          </w:p>
        </w:tc>
        <w:tc>
          <w:tcPr>
            <w:tcW w:w="428" w:type="dxa"/>
          </w:tcPr>
          <w:p w14:paraId="4F690C1E" w14:textId="77777777" w:rsidR="002B04EB" w:rsidRPr="003F7F6C" w:rsidRDefault="002B04EB" w:rsidP="00B851B7">
            <w:pPr>
              <w:rPr>
                <w:rFonts w:cs="Calibri"/>
                <w:sz w:val="16"/>
                <w:szCs w:val="16"/>
              </w:rPr>
            </w:pPr>
          </w:p>
        </w:tc>
        <w:tc>
          <w:tcPr>
            <w:tcW w:w="428" w:type="dxa"/>
          </w:tcPr>
          <w:p w14:paraId="0C02BA6F" w14:textId="77777777" w:rsidR="002B04EB" w:rsidRPr="003F7F6C" w:rsidRDefault="002B04EB" w:rsidP="00B851B7">
            <w:pPr>
              <w:rPr>
                <w:rFonts w:cs="Calibri"/>
                <w:sz w:val="16"/>
                <w:szCs w:val="16"/>
              </w:rPr>
            </w:pPr>
          </w:p>
        </w:tc>
      </w:tr>
      <w:tr w:rsidR="002B04EB" w:rsidRPr="003F7F6C" w14:paraId="38E67C93" w14:textId="77777777" w:rsidTr="00B851B7">
        <w:tc>
          <w:tcPr>
            <w:tcW w:w="1668" w:type="dxa"/>
          </w:tcPr>
          <w:p w14:paraId="0A4E6DF6" w14:textId="77777777" w:rsidR="002B04EB" w:rsidRPr="003F7F6C" w:rsidRDefault="002B04EB" w:rsidP="00E91275">
            <w:pPr>
              <w:pStyle w:val="ListParagraph"/>
              <w:numPr>
                <w:ilvl w:val="0"/>
                <w:numId w:val="29"/>
              </w:numPr>
              <w:spacing w:after="0"/>
              <w:ind w:left="166" w:hanging="166"/>
              <w:contextualSpacing w:val="0"/>
              <w:rPr>
                <w:rFonts w:cs="Calibri"/>
                <w:sz w:val="16"/>
                <w:szCs w:val="16"/>
              </w:rPr>
            </w:pPr>
            <w:r w:rsidRPr="003F7F6C">
              <w:rPr>
                <w:rFonts w:cs="Calibri"/>
                <w:sz w:val="16"/>
                <w:szCs w:val="16"/>
              </w:rPr>
              <w:t xml:space="preserve">Define criteria </w:t>
            </w:r>
          </w:p>
        </w:tc>
        <w:tc>
          <w:tcPr>
            <w:tcW w:w="1057" w:type="dxa"/>
          </w:tcPr>
          <w:p w14:paraId="7DDD3AB3" w14:textId="77777777" w:rsidR="002B04EB" w:rsidRPr="003F7F6C" w:rsidRDefault="002B04EB" w:rsidP="00B851B7">
            <w:pPr>
              <w:rPr>
                <w:rFonts w:cs="Calibri"/>
                <w:sz w:val="16"/>
                <w:szCs w:val="16"/>
              </w:rPr>
            </w:pPr>
            <w:r w:rsidRPr="003F7F6C">
              <w:rPr>
                <w:rFonts w:cs="Calibri"/>
                <w:sz w:val="16"/>
                <w:szCs w:val="16"/>
              </w:rPr>
              <w:t>SGAyDS Provinces</w:t>
            </w:r>
          </w:p>
          <w:p w14:paraId="2B21D80B" w14:textId="77777777" w:rsidR="002B04EB" w:rsidRPr="003F7F6C" w:rsidRDefault="002B04EB" w:rsidP="00B851B7">
            <w:pPr>
              <w:rPr>
                <w:rFonts w:cs="Calibri"/>
                <w:sz w:val="16"/>
                <w:szCs w:val="16"/>
              </w:rPr>
            </w:pPr>
            <w:r w:rsidRPr="003F7F6C">
              <w:rPr>
                <w:rFonts w:cs="Calibri"/>
                <w:sz w:val="16"/>
                <w:szCs w:val="16"/>
              </w:rPr>
              <w:t>INTA</w:t>
            </w:r>
          </w:p>
        </w:tc>
        <w:tc>
          <w:tcPr>
            <w:tcW w:w="428" w:type="dxa"/>
          </w:tcPr>
          <w:p w14:paraId="4C69F0F1" w14:textId="77777777" w:rsidR="002B04EB" w:rsidRPr="003F7F6C" w:rsidRDefault="002B04EB" w:rsidP="00B851B7">
            <w:pPr>
              <w:jc w:val="center"/>
              <w:rPr>
                <w:sz w:val="16"/>
                <w:szCs w:val="16"/>
              </w:rPr>
            </w:pPr>
          </w:p>
        </w:tc>
        <w:tc>
          <w:tcPr>
            <w:tcW w:w="444" w:type="dxa"/>
          </w:tcPr>
          <w:p w14:paraId="174D2A51" w14:textId="77777777" w:rsidR="002B04EB" w:rsidRPr="003F7F6C" w:rsidRDefault="002B04EB" w:rsidP="00B851B7">
            <w:pPr>
              <w:jc w:val="center"/>
              <w:rPr>
                <w:sz w:val="16"/>
                <w:szCs w:val="16"/>
              </w:rPr>
            </w:pPr>
            <w:r w:rsidRPr="003F7F6C">
              <w:rPr>
                <w:rFonts w:cs="Calibri"/>
                <w:sz w:val="16"/>
                <w:szCs w:val="16"/>
              </w:rPr>
              <w:t>X</w:t>
            </w:r>
          </w:p>
        </w:tc>
        <w:tc>
          <w:tcPr>
            <w:tcW w:w="428" w:type="dxa"/>
          </w:tcPr>
          <w:p w14:paraId="065D13F6" w14:textId="77777777" w:rsidR="002B04EB" w:rsidRPr="003F7F6C" w:rsidRDefault="002B04EB" w:rsidP="00B851B7">
            <w:pPr>
              <w:jc w:val="center"/>
              <w:rPr>
                <w:sz w:val="16"/>
                <w:szCs w:val="16"/>
              </w:rPr>
            </w:pPr>
            <w:r w:rsidRPr="003F7F6C">
              <w:rPr>
                <w:rFonts w:cs="Calibri"/>
                <w:sz w:val="16"/>
                <w:szCs w:val="16"/>
              </w:rPr>
              <w:t>X</w:t>
            </w:r>
          </w:p>
        </w:tc>
        <w:tc>
          <w:tcPr>
            <w:tcW w:w="428" w:type="dxa"/>
            <w:gridSpan w:val="2"/>
          </w:tcPr>
          <w:p w14:paraId="3BD37020" w14:textId="77777777" w:rsidR="002B04EB" w:rsidRPr="003F7F6C" w:rsidRDefault="002B04EB" w:rsidP="00B851B7">
            <w:pPr>
              <w:jc w:val="center"/>
              <w:rPr>
                <w:sz w:val="16"/>
                <w:szCs w:val="16"/>
              </w:rPr>
            </w:pPr>
            <w:r w:rsidRPr="003F7F6C">
              <w:rPr>
                <w:rFonts w:cs="Calibri"/>
                <w:sz w:val="16"/>
                <w:szCs w:val="16"/>
              </w:rPr>
              <w:t>X</w:t>
            </w:r>
          </w:p>
        </w:tc>
        <w:tc>
          <w:tcPr>
            <w:tcW w:w="428" w:type="dxa"/>
          </w:tcPr>
          <w:p w14:paraId="39815876" w14:textId="77777777" w:rsidR="002B04EB" w:rsidRPr="003F7F6C" w:rsidRDefault="002B04EB" w:rsidP="00B851B7">
            <w:pPr>
              <w:jc w:val="center"/>
              <w:rPr>
                <w:sz w:val="16"/>
                <w:szCs w:val="16"/>
              </w:rPr>
            </w:pPr>
            <w:r w:rsidRPr="003F7F6C">
              <w:rPr>
                <w:rFonts w:cs="Calibri"/>
                <w:sz w:val="16"/>
                <w:szCs w:val="16"/>
              </w:rPr>
              <w:t>X</w:t>
            </w:r>
          </w:p>
        </w:tc>
        <w:tc>
          <w:tcPr>
            <w:tcW w:w="427" w:type="dxa"/>
          </w:tcPr>
          <w:p w14:paraId="322B82BB" w14:textId="77777777" w:rsidR="002B04EB" w:rsidRPr="003F7F6C" w:rsidRDefault="002B04EB" w:rsidP="00B851B7">
            <w:pPr>
              <w:jc w:val="center"/>
              <w:rPr>
                <w:sz w:val="16"/>
                <w:szCs w:val="16"/>
              </w:rPr>
            </w:pPr>
            <w:r w:rsidRPr="003F7F6C">
              <w:rPr>
                <w:rFonts w:cs="Calibri"/>
                <w:sz w:val="16"/>
                <w:szCs w:val="16"/>
              </w:rPr>
              <w:t>X</w:t>
            </w:r>
          </w:p>
        </w:tc>
        <w:tc>
          <w:tcPr>
            <w:tcW w:w="427" w:type="dxa"/>
          </w:tcPr>
          <w:p w14:paraId="4A430DEF" w14:textId="77777777" w:rsidR="002B04EB" w:rsidRPr="003F7F6C" w:rsidRDefault="002B04EB" w:rsidP="00B851B7">
            <w:pPr>
              <w:jc w:val="center"/>
              <w:rPr>
                <w:sz w:val="16"/>
                <w:szCs w:val="16"/>
              </w:rPr>
            </w:pPr>
            <w:r w:rsidRPr="003F7F6C">
              <w:rPr>
                <w:rFonts w:cs="Calibri"/>
                <w:sz w:val="16"/>
                <w:szCs w:val="16"/>
              </w:rPr>
              <w:t>X</w:t>
            </w:r>
          </w:p>
        </w:tc>
        <w:tc>
          <w:tcPr>
            <w:tcW w:w="427" w:type="dxa"/>
            <w:gridSpan w:val="2"/>
          </w:tcPr>
          <w:p w14:paraId="097A670A" w14:textId="77777777" w:rsidR="002B04EB" w:rsidRPr="003F7F6C" w:rsidRDefault="002B04EB" w:rsidP="00B851B7">
            <w:pPr>
              <w:jc w:val="center"/>
              <w:rPr>
                <w:sz w:val="16"/>
                <w:szCs w:val="16"/>
              </w:rPr>
            </w:pPr>
            <w:r w:rsidRPr="003F7F6C">
              <w:rPr>
                <w:rFonts w:cs="Calibri"/>
                <w:sz w:val="16"/>
                <w:szCs w:val="16"/>
              </w:rPr>
              <w:t>X</w:t>
            </w:r>
          </w:p>
        </w:tc>
        <w:tc>
          <w:tcPr>
            <w:tcW w:w="428" w:type="dxa"/>
          </w:tcPr>
          <w:p w14:paraId="37CF9C9C" w14:textId="77777777" w:rsidR="002B04EB" w:rsidRPr="003F7F6C" w:rsidRDefault="002B04EB" w:rsidP="00B851B7">
            <w:pPr>
              <w:jc w:val="center"/>
              <w:rPr>
                <w:sz w:val="16"/>
                <w:szCs w:val="16"/>
              </w:rPr>
            </w:pPr>
            <w:r w:rsidRPr="003F7F6C">
              <w:rPr>
                <w:rFonts w:cs="Calibri"/>
                <w:sz w:val="16"/>
                <w:szCs w:val="16"/>
              </w:rPr>
              <w:t>X</w:t>
            </w:r>
          </w:p>
        </w:tc>
        <w:tc>
          <w:tcPr>
            <w:tcW w:w="428" w:type="dxa"/>
          </w:tcPr>
          <w:p w14:paraId="32B7EC6E" w14:textId="77777777" w:rsidR="002B04EB" w:rsidRPr="003F7F6C" w:rsidRDefault="002B04EB" w:rsidP="00B851B7">
            <w:pPr>
              <w:jc w:val="center"/>
              <w:rPr>
                <w:sz w:val="16"/>
                <w:szCs w:val="16"/>
              </w:rPr>
            </w:pPr>
            <w:r w:rsidRPr="003F7F6C">
              <w:rPr>
                <w:rFonts w:cs="Calibri"/>
                <w:sz w:val="16"/>
                <w:szCs w:val="16"/>
              </w:rPr>
              <w:t>X</w:t>
            </w:r>
          </w:p>
        </w:tc>
        <w:tc>
          <w:tcPr>
            <w:tcW w:w="428" w:type="dxa"/>
          </w:tcPr>
          <w:p w14:paraId="54F6170B" w14:textId="77777777" w:rsidR="002B04EB" w:rsidRPr="003F7F6C" w:rsidRDefault="002B04EB" w:rsidP="00B851B7">
            <w:pPr>
              <w:jc w:val="center"/>
              <w:rPr>
                <w:sz w:val="16"/>
                <w:szCs w:val="16"/>
              </w:rPr>
            </w:pPr>
            <w:r w:rsidRPr="003F7F6C">
              <w:rPr>
                <w:rFonts w:cs="Calibri"/>
                <w:sz w:val="16"/>
                <w:szCs w:val="16"/>
              </w:rPr>
              <w:t>X</w:t>
            </w:r>
          </w:p>
        </w:tc>
        <w:tc>
          <w:tcPr>
            <w:tcW w:w="428" w:type="dxa"/>
            <w:gridSpan w:val="2"/>
          </w:tcPr>
          <w:p w14:paraId="7FDEEE17" w14:textId="77777777" w:rsidR="002B04EB" w:rsidRPr="003F7F6C" w:rsidRDefault="002B04EB" w:rsidP="00B851B7">
            <w:pPr>
              <w:jc w:val="center"/>
              <w:rPr>
                <w:sz w:val="16"/>
                <w:szCs w:val="16"/>
              </w:rPr>
            </w:pPr>
            <w:r w:rsidRPr="003F7F6C">
              <w:rPr>
                <w:rFonts w:cs="Calibri"/>
                <w:sz w:val="16"/>
                <w:szCs w:val="16"/>
              </w:rPr>
              <w:t>X</w:t>
            </w:r>
          </w:p>
        </w:tc>
        <w:tc>
          <w:tcPr>
            <w:tcW w:w="428" w:type="dxa"/>
          </w:tcPr>
          <w:p w14:paraId="2660D42E" w14:textId="77777777" w:rsidR="002B04EB" w:rsidRPr="003F7F6C" w:rsidRDefault="002B04EB" w:rsidP="00B851B7">
            <w:pPr>
              <w:jc w:val="center"/>
              <w:rPr>
                <w:sz w:val="16"/>
                <w:szCs w:val="16"/>
              </w:rPr>
            </w:pPr>
            <w:r w:rsidRPr="003F7F6C">
              <w:rPr>
                <w:rFonts w:cs="Calibri"/>
                <w:sz w:val="16"/>
                <w:szCs w:val="16"/>
              </w:rPr>
              <w:t>X</w:t>
            </w:r>
          </w:p>
        </w:tc>
        <w:tc>
          <w:tcPr>
            <w:tcW w:w="428" w:type="dxa"/>
          </w:tcPr>
          <w:p w14:paraId="6BB8AADF" w14:textId="77777777" w:rsidR="002B04EB" w:rsidRPr="003F7F6C" w:rsidRDefault="002B04EB" w:rsidP="00B851B7">
            <w:pPr>
              <w:jc w:val="center"/>
              <w:rPr>
                <w:sz w:val="16"/>
                <w:szCs w:val="16"/>
              </w:rPr>
            </w:pPr>
            <w:r w:rsidRPr="003F7F6C">
              <w:rPr>
                <w:rFonts w:cs="Calibri"/>
                <w:sz w:val="16"/>
                <w:szCs w:val="16"/>
              </w:rPr>
              <w:t>X</w:t>
            </w:r>
          </w:p>
        </w:tc>
        <w:tc>
          <w:tcPr>
            <w:tcW w:w="428" w:type="dxa"/>
          </w:tcPr>
          <w:p w14:paraId="268015C3" w14:textId="77777777" w:rsidR="002B04EB" w:rsidRPr="003F7F6C" w:rsidRDefault="002B04EB" w:rsidP="00B851B7">
            <w:pPr>
              <w:jc w:val="center"/>
              <w:rPr>
                <w:sz w:val="16"/>
                <w:szCs w:val="16"/>
              </w:rPr>
            </w:pPr>
            <w:r w:rsidRPr="003F7F6C">
              <w:rPr>
                <w:rFonts w:cs="Calibri"/>
                <w:sz w:val="16"/>
                <w:szCs w:val="16"/>
              </w:rPr>
              <w:t>X</w:t>
            </w:r>
          </w:p>
        </w:tc>
        <w:tc>
          <w:tcPr>
            <w:tcW w:w="428" w:type="dxa"/>
            <w:gridSpan w:val="2"/>
          </w:tcPr>
          <w:p w14:paraId="1ACFB149" w14:textId="77777777" w:rsidR="002B04EB" w:rsidRPr="003F7F6C" w:rsidRDefault="002B04EB" w:rsidP="00B851B7">
            <w:pPr>
              <w:jc w:val="center"/>
              <w:rPr>
                <w:sz w:val="16"/>
                <w:szCs w:val="16"/>
              </w:rPr>
            </w:pPr>
            <w:r w:rsidRPr="003F7F6C">
              <w:rPr>
                <w:rFonts w:cs="Calibri"/>
                <w:sz w:val="16"/>
                <w:szCs w:val="16"/>
              </w:rPr>
              <w:t>X</w:t>
            </w:r>
          </w:p>
        </w:tc>
        <w:tc>
          <w:tcPr>
            <w:tcW w:w="428" w:type="dxa"/>
          </w:tcPr>
          <w:p w14:paraId="2CD0F006" w14:textId="77777777" w:rsidR="002B04EB" w:rsidRPr="003F7F6C" w:rsidRDefault="002B04EB" w:rsidP="00B851B7">
            <w:pPr>
              <w:rPr>
                <w:rFonts w:cs="Calibri"/>
                <w:sz w:val="16"/>
                <w:szCs w:val="16"/>
              </w:rPr>
            </w:pPr>
          </w:p>
        </w:tc>
        <w:tc>
          <w:tcPr>
            <w:tcW w:w="428" w:type="dxa"/>
          </w:tcPr>
          <w:p w14:paraId="6694D9FD" w14:textId="77777777" w:rsidR="002B04EB" w:rsidRPr="003F7F6C" w:rsidRDefault="002B04EB" w:rsidP="00B851B7">
            <w:pPr>
              <w:rPr>
                <w:rFonts w:cs="Calibri"/>
                <w:sz w:val="16"/>
                <w:szCs w:val="16"/>
              </w:rPr>
            </w:pPr>
          </w:p>
        </w:tc>
        <w:tc>
          <w:tcPr>
            <w:tcW w:w="428" w:type="dxa"/>
          </w:tcPr>
          <w:p w14:paraId="777BA782" w14:textId="77777777" w:rsidR="002B04EB" w:rsidRPr="003F7F6C" w:rsidRDefault="002B04EB" w:rsidP="00B851B7">
            <w:pPr>
              <w:rPr>
                <w:rFonts w:cs="Calibri"/>
                <w:sz w:val="16"/>
                <w:szCs w:val="16"/>
              </w:rPr>
            </w:pPr>
          </w:p>
        </w:tc>
        <w:tc>
          <w:tcPr>
            <w:tcW w:w="428" w:type="dxa"/>
            <w:gridSpan w:val="2"/>
          </w:tcPr>
          <w:p w14:paraId="5DD615F1" w14:textId="77777777" w:rsidR="002B04EB" w:rsidRPr="003F7F6C" w:rsidRDefault="002B04EB" w:rsidP="00B851B7">
            <w:pPr>
              <w:rPr>
                <w:rFonts w:cs="Calibri"/>
                <w:sz w:val="16"/>
                <w:szCs w:val="16"/>
              </w:rPr>
            </w:pPr>
          </w:p>
        </w:tc>
        <w:tc>
          <w:tcPr>
            <w:tcW w:w="428" w:type="dxa"/>
          </w:tcPr>
          <w:p w14:paraId="7914B828" w14:textId="77777777" w:rsidR="002B04EB" w:rsidRPr="003F7F6C" w:rsidRDefault="002B04EB" w:rsidP="00B851B7">
            <w:pPr>
              <w:rPr>
                <w:rFonts w:cs="Calibri"/>
                <w:sz w:val="16"/>
                <w:szCs w:val="16"/>
              </w:rPr>
            </w:pPr>
          </w:p>
        </w:tc>
        <w:tc>
          <w:tcPr>
            <w:tcW w:w="428" w:type="dxa"/>
          </w:tcPr>
          <w:p w14:paraId="2AE9CF2B" w14:textId="77777777" w:rsidR="002B04EB" w:rsidRPr="003F7F6C" w:rsidRDefault="002B04EB" w:rsidP="00B851B7">
            <w:pPr>
              <w:rPr>
                <w:rFonts w:cs="Calibri"/>
                <w:sz w:val="16"/>
                <w:szCs w:val="16"/>
              </w:rPr>
            </w:pPr>
          </w:p>
        </w:tc>
        <w:tc>
          <w:tcPr>
            <w:tcW w:w="428" w:type="dxa"/>
          </w:tcPr>
          <w:p w14:paraId="66BD692E" w14:textId="77777777" w:rsidR="002B04EB" w:rsidRPr="003F7F6C" w:rsidRDefault="002B04EB" w:rsidP="00B851B7">
            <w:pPr>
              <w:rPr>
                <w:rFonts w:cs="Calibri"/>
                <w:sz w:val="16"/>
                <w:szCs w:val="16"/>
              </w:rPr>
            </w:pPr>
          </w:p>
        </w:tc>
        <w:tc>
          <w:tcPr>
            <w:tcW w:w="428" w:type="dxa"/>
          </w:tcPr>
          <w:p w14:paraId="0B78EB45" w14:textId="77777777" w:rsidR="002B04EB" w:rsidRPr="003F7F6C" w:rsidRDefault="002B04EB" w:rsidP="00B851B7">
            <w:pPr>
              <w:rPr>
                <w:rFonts w:cs="Calibri"/>
                <w:sz w:val="16"/>
                <w:szCs w:val="16"/>
              </w:rPr>
            </w:pPr>
          </w:p>
        </w:tc>
      </w:tr>
      <w:tr w:rsidR="002B04EB" w:rsidRPr="003F7F6C" w14:paraId="3A7E75BF" w14:textId="77777777" w:rsidTr="00B851B7">
        <w:tc>
          <w:tcPr>
            <w:tcW w:w="1668" w:type="dxa"/>
          </w:tcPr>
          <w:p w14:paraId="7D45EA51" w14:textId="77777777" w:rsidR="002B04EB" w:rsidRPr="003F7F6C" w:rsidRDefault="002B04EB" w:rsidP="00E91275">
            <w:pPr>
              <w:pStyle w:val="ListParagraph"/>
              <w:numPr>
                <w:ilvl w:val="0"/>
                <w:numId w:val="29"/>
              </w:numPr>
              <w:spacing w:after="0"/>
              <w:ind w:left="166" w:hanging="166"/>
              <w:contextualSpacing w:val="0"/>
              <w:jc w:val="left"/>
              <w:rPr>
                <w:rFonts w:cs="Calibri"/>
                <w:sz w:val="16"/>
                <w:szCs w:val="16"/>
              </w:rPr>
            </w:pPr>
            <w:r w:rsidRPr="003F7F6C">
              <w:rPr>
                <w:rFonts w:cs="Calibri"/>
                <w:sz w:val="16"/>
                <w:szCs w:val="16"/>
              </w:rPr>
              <w:t>Define main territorial problems</w:t>
            </w:r>
          </w:p>
        </w:tc>
        <w:tc>
          <w:tcPr>
            <w:tcW w:w="1057" w:type="dxa"/>
          </w:tcPr>
          <w:p w14:paraId="7E3B1A3C" w14:textId="77777777" w:rsidR="002B04EB" w:rsidRPr="003F7F6C" w:rsidRDefault="002B04EB" w:rsidP="00B851B7">
            <w:pPr>
              <w:rPr>
                <w:rFonts w:cs="Calibri"/>
                <w:sz w:val="16"/>
                <w:szCs w:val="16"/>
              </w:rPr>
            </w:pPr>
            <w:r w:rsidRPr="003F7F6C">
              <w:rPr>
                <w:rFonts w:cs="Calibri"/>
                <w:sz w:val="16"/>
                <w:szCs w:val="16"/>
              </w:rPr>
              <w:t>SGAyDS Provinces</w:t>
            </w:r>
          </w:p>
          <w:p w14:paraId="3C6A76E5" w14:textId="77777777" w:rsidR="002B04EB" w:rsidRPr="003F7F6C" w:rsidRDefault="002B04EB" w:rsidP="00B851B7">
            <w:pPr>
              <w:rPr>
                <w:rFonts w:cs="Calibri"/>
                <w:sz w:val="16"/>
                <w:szCs w:val="16"/>
              </w:rPr>
            </w:pPr>
            <w:r w:rsidRPr="003F7F6C">
              <w:rPr>
                <w:rFonts w:cs="Calibri"/>
                <w:sz w:val="16"/>
                <w:szCs w:val="16"/>
              </w:rPr>
              <w:t>INTA</w:t>
            </w:r>
          </w:p>
        </w:tc>
        <w:tc>
          <w:tcPr>
            <w:tcW w:w="428" w:type="dxa"/>
          </w:tcPr>
          <w:p w14:paraId="5B5FF5D9" w14:textId="77777777" w:rsidR="002B04EB" w:rsidRPr="003F7F6C" w:rsidRDefault="002B04EB" w:rsidP="00B851B7">
            <w:pPr>
              <w:jc w:val="center"/>
              <w:rPr>
                <w:sz w:val="16"/>
                <w:szCs w:val="16"/>
              </w:rPr>
            </w:pPr>
          </w:p>
        </w:tc>
        <w:tc>
          <w:tcPr>
            <w:tcW w:w="444" w:type="dxa"/>
          </w:tcPr>
          <w:p w14:paraId="0B676AB0" w14:textId="77777777" w:rsidR="002B04EB" w:rsidRPr="003F7F6C" w:rsidRDefault="002B04EB" w:rsidP="00B851B7">
            <w:pPr>
              <w:jc w:val="center"/>
              <w:rPr>
                <w:sz w:val="16"/>
                <w:szCs w:val="16"/>
              </w:rPr>
            </w:pPr>
            <w:r w:rsidRPr="003F7F6C">
              <w:rPr>
                <w:rFonts w:cs="Calibri"/>
                <w:sz w:val="16"/>
                <w:szCs w:val="16"/>
              </w:rPr>
              <w:t>X</w:t>
            </w:r>
          </w:p>
        </w:tc>
        <w:tc>
          <w:tcPr>
            <w:tcW w:w="428" w:type="dxa"/>
          </w:tcPr>
          <w:p w14:paraId="1974A826" w14:textId="77777777" w:rsidR="002B04EB" w:rsidRPr="003F7F6C" w:rsidRDefault="002B04EB" w:rsidP="00B851B7">
            <w:pPr>
              <w:jc w:val="center"/>
              <w:rPr>
                <w:sz w:val="16"/>
                <w:szCs w:val="16"/>
              </w:rPr>
            </w:pPr>
            <w:r w:rsidRPr="003F7F6C">
              <w:rPr>
                <w:rFonts w:cs="Calibri"/>
                <w:sz w:val="16"/>
                <w:szCs w:val="16"/>
              </w:rPr>
              <w:t>X</w:t>
            </w:r>
          </w:p>
        </w:tc>
        <w:tc>
          <w:tcPr>
            <w:tcW w:w="428" w:type="dxa"/>
            <w:gridSpan w:val="2"/>
          </w:tcPr>
          <w:p w14:paraId="2B6374DA" w14:textId="77777777" w:rsidR="002B04EB" w:rsidRPr="003F7F6C" w:rsidRDefault="002B04EB" w:rsidP="00B851B7">
            <w:pPr>
              <w:jc w:val="center"/>
              <w:rPr>
                <w:sz w:val="16"/>
                <w:szCs w:val="16"/>
              </w:rPr>
            </w:pPr>
            <w:r w:rsidRPr="003F7F6C">
              <w:rPr>
                <w:rFonts w:cs="Calibri"/>
                <w:sz w:val="16"/>
                <w:szCs w:val="16"/>
              </w:rPr>
              <w:t>X</w:t>
            </w:r>
          </w:p>
        </w:tc>
        <w:tc>
          <w:tcPr>
            <w:tcW w:w="428" w:type="dxa"/>
          </w:tcPr>
          <w:p w14:paraId="218687C5" w14:textId="77777777" w:rsidR="002B04EB" w:rsidRPr="003F7F6C" w:rsidRDefault="002B04EB" w:rsidP="00B851B7">
            <w:pPr>
              <w:jc w:val="center"/>
              <w:rPr>
                <w:rFonts w:cs="Calibri"/>
                <w:sz w:val="16"/>
                <w:szCs w:val="16"/>
              </w:rPr>
            </w:pPr>
          </w:p>
        </w:tc>
        <w:tc>
          <w:tcPr>
            <w:tcW w:w="427" w:type="dxa"/>
          </w:tcPr>
          <w:p w14:paraId="4113495D" w14:textId="77777777" w:rsidR="002B04EB" w:rsidRPr="003F7F6C" w:rsidRDefault="002B04EB" w:rsidP="00B851B7">
            <w:pPr>
              <w:jc w:val="center"/>
              <w:rPr>
                <w:rFonts w:cs="Calibri"/>
                <w:sz w:val="16"/>
                <w:szCs w:val="16"/>
              </w:rPr>
            </w:pPr>
          </w:p>
        </w:tc>
        <w:tc>
          <w:tcPr>
            <w:tcW w:w="427" w:type="dxa"/>
          </w:tcPr>
          <w:p w14:paraId="1BF2427D" w14:textId="77777777" w:rsidR="002B04EB" w:rsidRPr="003F7F6C" w:rsidRDefault="002B04EB" w:rsidP="00B851B7">
            <w:pPr>
              <w:jc w:val="center"/>
              <w:rPr>
                <w:rFonts w:cs="Calibri"/>
                <w:sz w:val="16"/>
                <w:szCs w:val="16"/>
              </w:rPr>
            </w:pPr>
          </w:p>
        </w:tc>
        <w:tc>
          <w:tcPr>
            <w:tcW w:w="427" w:type="dxa"/>
            <w:gridSpan w:val="2"/>
          </w:tcPr>
          <w:p w14:paraId="37ED76C0" w14:textId="77777777" w:rsidR="002B04EB" w:rsidRPr="003F7F6C" w:rsidRDefault="002B04EB" w:rsidP="00B851B7">
            <w:pPr>
              <w:jc w:val="center"/>
              <w:rPr>
                <w:rFonts w:cs="Calibri"/>
                <w:sz w:val="16"/>
                <w:szCs w:val="16"/>
              </w:rPr>
            </w:pPr>
          </w:p>
        </w:tc>
        <w:tc>
          <w:tcPr>
            <w:tcW w:w="428" w:type="dxa"/>
          </w:tcPr>
          <w:p w14:paraId="2BF16637" w14:textId="77777777" w:rsidR="002B04EB" w:rsidRPr="003F7F6C" w:rsidRDefault="002B04EB" w:rsidP="00B851B7">
            <w:pPr>
              <w:jc w:val="center"/>
              <w:rPr>
                <w:rFonts w:cs="Calibri"/>
                <w:sz w:val="16"/>
                <w:szCs w:val="16"/>
              </w:rPr>
            </w:pPr>
          </w:p>
        </w:tc>
        <w:tc>
          <w:tcPr>
            <w:tcW w:w="428" w:type="dxa"/>
          </w:tcPr>
          <w:p w14:paraId="66EB03E0" w14:textId="77777777" w:rsidR="002B04EB" w:rsidRPr="003F7F6C" w:rsidRDefault="002B04EB" w:rsidP="00B851B7">
            <w:pPr>
              <w:jc w:val="center"/>
              <w:rPr>
                <w:rFonts w:cs="Calibri"/>
                <w:sz w:val="16"/>
                <w:szCs w:val="16"/>
              </w:rPr>
            </w:pPr>
          </w:p>
        </w:tc>
        <w:tc>
          <w:tcPr>
            <w:tcW w:w="428" w:type="dxa"/>
          </w:tcPr>
          <w:p w14:paraId="6100958B" w14:textId="77777777" w:rsidR="002B04EB" w:rsidRPr="003F7F6C" w:rsidRDefault="002B04EB" w:rsidP="00B851B7">
            <w:pPr>
              <w:jc w:val="center"/>
              <w:rPr>
                <w:rFonts w:cs="Calibri"/>
                <w:sz w:val="16"/>
                <w:szCs w:val="16"/>
              </w:rPr>
            </w:pPr>
          </w:p>
        </w:tc>
        <w:tc>
          <w:tcPr>
            <w:tcW w:w="428" w:type="dxa"/>
            <w:gridSpan w:val="2"/>
          </w:tcPr>
          <w:p w14:paraId="6E75E849" w14:textId="77777777" w:rsidR="002B04EB" w:rsidRPr="003F7F6C" w:rsidRDefault="002B04EB" w:rsidP="00B851B7">
            <w:pPr>
              <w:jc w:val="center"/>
              <w:rPr>
                <w:rFonts w:cs="Calibri"/>
                <w:sz w:val="16"/>
                <w:szCs w:val="16"/>
              </w:rPr>
            </w:pPr>
          </w:p>
        </w:tc>
        <w:tc>
          <w:tcPr>
            <w:tcW w:w="428" w:type="dxa"/>
          </w:tcPr>
          <w:p w14:paraId="3C5D1CD9" w14:textId="77777777" w:rsidR="002B04EB" w:rsidRPr="003F7F6C" w:rsidRDefault="002B04EB" w:rsidP="00B851B7">
            <w:pPr>
              <w:jc w:val="center"/>
              <w:rPr>
                <w:rFonts w:cs="Calibri"/>
                <w:sz w:val="16"/>
                <w:szCs w:val="16"/>
              </w:rPr>
            </w:pPr>
          </w:p>
        </w:tc>
        <w:tc>
          <w:tcPr>
            <w:tcW w:w="428" w:type="dxa"/>
          </w:tcPr>
          <w:p w14:paraId="5B289310" w14:textId="77777777" w:rsidR="002B04EB" w:rsidRPr="003F7F6C" w:rsidRDefault="002B04EB" w:rsidP="00B851B7">
            <w:pPr>
              <w:jc w:val="center"/>
              <w:rPr>
                <w:rFonts w:cs="Calibri"/>
                <w:sz w:val="16"/>
                <w:szCs w:val="16"/>
              </w:rPr>
            </w:pPr>
          </w:p>
        </w:tc>
        <w:tc>
          <w:tcPr>
            <w:tcW w:w="428" w:type="dxa"/>
          </w:tcPr>
          <w:p w14:paraId="3E9EABAC" w14:textId="77777777" w:rsidR="002B04EB" w:rsidRPr="003F7F6C" w:rsidRDefault="002B04EB" w:rsidP="00B851B7">
            <w:pPr>
              <w:jc w:val="center"/>
              <w:rPr>
                <w:rFonts w:cs="Calibri"/>
                <w:sz w:val="16"/>
                <w:szCs w:val="16"/>
              </w:rPr>
            </w:pPr>
          </w:p>
        </w:tc>
        <w:tc>
          <w:tcPr>
            <w:tcW w:w="428" w:type="dxa"/>
            <w:gridSpan w:val="2"/>
          </w:tcPr>
          <w:p w14:paraId="682CBDAC" w14:textId="77777777" w:rsidR="002B04EB" w:rsidRPr="003F7F6C" w:rsidRDefault="002B04EB" w:rsidP="00B851B7">
            <w:pPr>
              <w:jc w:val="center"/>
              <w:rPr>
                <w:rFonts w:cs="Calibri"/>
                <w:sz w:val="16"/>
                <w:szCs w:val="16"/>
              </w:rPr>
            </w:pPr>
          </w:p>
        </w:tc>
        <w:tc>
          <w:tcPr>
            <w:tcW w:w="428" w:type="dxa"/>
          </w:tcPr>
          <w:p w14:paraId="177567AC" w14:textId="77777777" w:rsidR="002B04EB" w:rsidRPr="003F7F6C" w:rsidRDefault="002B04EB" w:rsidP="00B851B7">
            <w:pPr>
              <w:rPr>
                <w:rFonts w:cs="Calibri"/>
                <w:sz w:val="16"/>
                <w:szCs w:val="16"/>
              </w:rPr>
            </w:pPr>
          </w:p>
        </w:tc>
        <w:tc>
          <w:tcPr>
            <w:tcW w:w="428" w:type="dxa"/>
          </w:tcPr>
          <w:p w14:paraId="0E16F273" w14:textId="77777777" w:rsidR="002B04EB" w:rsidRPr="003F7F6C" w:rsidRDefault="002B04EB" w:rsidP="00B851B7">
            <w:pPr>
              <w:rPr>
                <w:rFonts w:cs="Calibri"/>
                <w:sz w:val="16"/>
                <w:szCs w:val="16"/>
              </w:rPr>
            </w:pPr>
          </w:p>
        </w:tc>
        <w:tc>
          <w:tcPr>
            <w:tcW w:w="428" w:type="dxa"/>
          </w:tcPr>
          <w:p w14:paraId="215FEBC3" w14:textId="77777777" w:rsidR="002B04EB" w:rsidRPr="003F7F6C" w:rsidRDefault="002B04EB" w:rsidP="00B851B7">
            <w:pPr>
              <w:rPr>
                <w:rFonts w:cs="Calibri"/>
                <w:sz w:val="16"/>
                <w:szCs w:val="16"/>
              </w:rPr>
            </w:pPr>
          </w:p>
        </w:tc>
        <w:tc>
          <w:tcPr>
            <w:tcW w:w="428" w:type="dxa"/>
            <w:gridSpan w:val="2"/>
          </w:tcPr>
          <w:p w14:paraId="77E46457" w14:textId="77777777" w:rsidR="002B04EB" w:rsidRPr="003F7F6C" w:rsidRDefault="002B04EB" w:rsidP="00B851B7">
            <w:pPr>
              <w:rPr>
                <w:rFonts w:cs="Calibri"/>
                <w:sz w:val="16"/>
                <w:szCs w:val="16"/>
              </w:rPr>
            </w:pPr>
          </w:p>
        </w:tc>
        <w:tc>
          <w:tcPr>
            <w:tcW w:w="428" w:type="dxa"/>
          </w:tcPr>
          <w:p w14:paraId="0FEA48E8" w14:textId="77777777" w:rsidR="002B04EB" w:rsidRPr="003F7F6C" w:rsidRDefault="002B04EB" w:rsidP="00B851B7">
            <w:pPr>
              <w:rPr>
                <w:rFonts w:cs="Calibri"/>
                <w:sz w:val="16"/>
                <w:szCs w:val="16"/>
              </w:rPr>
            </w:pPr>
          </w:p>
        </w:tc>
        <w:tc>
          <w:tcPr>
            <w:tcW w:w="428" w:type="dxa"/>
          </w:tcPr>
          <w:p w14:paraId="29FBA3F4" w14:textId="77777777" w:rsidR="002B04EB" w:rsidRPr="003F7F6C" w:rsidRDefault="002B04EB" w:rsidP="00B851B7">
            <w:pPr>
              <w:rPr>
                <w:rFonts w:cs="Calibri"/>
                <w:sz w:val="16"/>
                <w:szCs w:val="16"/>
              </w:rPr>
            </w:pPr>
          </w:p>
        </w:tc>
        <w:tc>
          <w:tcPr>
            <w:tcW w:w="428" w:type="dxa"/>
          </w:tcPr>
          <w:p w14:paraId="35CD9FE8" w14:textId="77777777" w:rsidR="002B04EB" w:rsidRPr="003F7F6C" w:rsidRDefault="002B04EB" w:rsidP="00B851B7">
            <w:pPr>
              <w:rPr>
                <w:rFonts w:cs="Calibri"/>
                <w:sz w:val="16"/>
                <w:szCs w:val="16"/>
              </w:rPr>
            </w:pPr>
          </w:p>
        </w:tc>
        <w:tc>
          <w:tcPr>
            <w:tcW w:w="428" w:type="dxa"/>
          </w:tcPr>
          <w:p w14:paraId="2C7C6013" w14:textId="77777777" w:rsidR="002B04EB" w:rsidRPr="003F7F6C" w:rsidRDefault="002B04EB" w:rsidP="00B851B7">
            <w:pPr>
              <w:rPr>
                <w:rFonts w:cs="Calibri"/>
                <w:sz w:val="16"/>
                <w:szCs w:val="16"/>
              </w:rPr>
            </w:pPr>
          </w:p>
        </w:tc>
      </w:tr>
      <w:tr w:rsidR="002B04EB" w:rsidRPr="003F7F6C" w14:paraId="06FD74A4" w14:textId="77777777" w:rsidTr="00B851B7">
        <w:tc>
          <w:tcPr>
            <w:tcW w:w="1668" w:type="dxa"/>
          </w:tcPr>
          <w:p w14:paraId="2077E6BF" w14:textId="77777777" w:rsidR="002B04EB" w:rsidRPr="003F7F6C" w:rsidRDefault="002B04EB" w:rsidP="00E91275">
            <w:pPr>
              <w:pStyle w:val="ListParagraph"/>
              <w:numPr>
                <w:ilvl w:val="0"/>
                <w:numId w:val="29"/>
              </w:numPr>
              <w:spacing w:after="0"/>
              <w:ind w:left="166" w:hanging="166"/>
              <w:contextualSpacing w:val="0"/>
              <w:jc w:val="left"/>
              <w:rPr>
                <w:rFonts w:cs="Calibri"/>
                <w:sz w:val="16"/>
                <w:szCs w:val="16"/>
              </w:rPr>
            </w:pPr>
            <w:r w:rsidRPr="003F7F6C">
              <w:rPr>
                <w:rFonts w:cs="Calibri"/>
                <w:sz w:val="16"/>
                <w:szCs w:val="16"/>
              </w:rPr>
              <w:t>Categorize problems</w:t>
            </w:r>
          </w:p>
        </w:tc>
        <w:tc>
          <w:tcPr>
            <w:tcW w:w="1057" w:type="dxa"/>
          </w:tcPr>
          <w:p w14:paraId="32DBF65E" w14:textId="77777777" w:rsidR="002B04EB" w:rsidRPr="003F7F6C" w:rsidRDefault="002B04EB" w:rsidP="00B851B7">
            <w:pPr>
              <w:rPr>
                <w:rFonts w:cs="Calibri"/>
                <w:sz w:val="16"/>
                <w:szCs w:val="16"/>
              </w:rPr>
            </w:pPr>
            <w:r w:rsidRPr="003F7F6C">
              <w:rPr>
                <w:rFonts w:cs="Calibri"/>
                <w:sz w:val="16"/>
                <w:szCs w:val="16"/>
              </w:rPr>
              <w:t>SGAyDS Provinces</w:t>
            </w:r>
          </w:p>
          <w:p w14:paraId="3B874AD7" w14:textId="77777777" w:rsidR="002B04EB" w:rsidRPr="003F7F6C" w:rsidRDefault="002B04EB" w:rsidP="00B851B7">
            <w:pPr>
              <w:rPr>
                <w:rFonts w:cs="Calibri"/>
                <w:sz w:val="16"/>
                <w:szCs w:val="16"/>
              </w:rPr>
            </w:pPr>
            <w:r w:rsidRPr="003F7F6C">
              <w:rPr>
                <w:rFonts w:cs="Calibri"/>
                <w:sz w:val="16"/>
                <w:szCs w:val="16"/>
              </w:rPr>
              <w:t>INTA</w:t>
            </w:r>
          </w:p>
        </w:tc>
        <w:tc>
          <w:tcPr>
            <w:tcW w:w="428" w:type="dxa"/>
          </w:tcPr>
          <w:p w14:paraId="504EFA03" w14:textId="77777777" w:rsidR="002B04EB" w:rsidRPr="003F7F6C" w:rsidRDefault="002B04EB" w:rsidP="00B851B7">
            <w:pPr>
              <w:rPr>
                <w:rFonts w:cs="Calibri"/>
                <w:sz w:val="16"/>
                <w:szCs w:val="16"/>
              </w:rPr>
            </w:pPr>
          </w:p>
        </w:tc>
        <w:tc>
          <w:tcPr>
            <w:tcW w:w="444" w:type="dxa"/>
          </w:tcPr>
          <w:p w14:paraId="00DA321D" w14:textId="77777777" w:rsidR="002B04EB" w:rsidRPr="003F7F6C" w:rsidRDefault="002B04EB" w:rsidP="00B851B7">
            <w:pPr>
              <w:rPr>
                <w:rFonts w:cs="Calibri"/>
                <w:sz w:val="16"/>
                <w:szCs w:val="16"/>
              </w:rPr>
            </w:pPr>
          </w:p>
        </w:tc>
        <w:tc>
          <w:tcPr>
            <w:tcW w:w="428" w:type="dxa"/>
          </w:tcPr>
          <w:p w14:paraId="4DC14106" w14:textId="77777777" w:rsidR="002B04EB" w:rsidRPr="003F7F6C" w:rsidRDefault="002B04EB" w:rsidP="00B851B7">
            <w:pPr>
              <w:rPr>
                <w:rFonts w:cs="Calibri"/>
                <w:sz w:val="16"/>
                <w:szCs w:val="16"/>
              </w:rPr>
            </w:pPr>
          </w:p>
        </w:tc>
        <w:tc>
          <w:tcPr>
            <w:tcW w:w="428" w:type="dxa"/>
            <w:gridSpan w:val="2"/>
          </w:tcPr>
          <w:p w14:paraId="09E86FC1" w14:textId="77777777" w:rsidR="002B04EB" w:rsidRPr="003F7F6C" w:rsidRDefault="002B04EB" w:rsidP="00B851B7">
            <w:pPr>
              <w:rPr>
                <w:rFonts w:cs="Calibri"/>
                <w:sz w:val="16"/>
                <w:szCs w:val="16"/>
              </w:rPr>
            </w:pPr>
          </w:p>
        </w:tc>
        <w:tc>
          <w:tcPr>
            <w:tcW w:w="428" w:type="dxa"/>
          </w:tcPr>
          <w:p w14:paraId="3514059F" w14:textId="77777777" w:rsidR="002B04EB" w:rsidRPr="003F7F6C" w:rsidRDefault="002B04EB" w:rsidP="00B851B7">
            <w:pPr>
              <w:jc w:val="center"/>
              <w:rPr>
                <w:sz w:val="16"/>
                <w:szCs w:val="16"/>
              </w:rPr>
            </w:pPr>
            <w:r w:rsidRPr="003F7F6C">
              <w:rPr>
                <w:rFonts w:cs="Calibri"/>
                <w:sz w:val="16"/>
                <w:szCs w:val="16"/>
              </w:rPr>
              <w:t>X</w:t>
            </w:r>
          </w:p>
        </w:tc>
        <w:tc>
          <w:tcPr>
            <w:tcW w:w="427" w:type="dxa"/>
          </w:tcPr>
          <w:p w14:paraId="5C287BAD" w14:textId="77777777" w:rsidR="002B04EB" w:rsidRPr="003F7F6C" w:rsidRDefault="002B04EB" w:rsidP="00B851B7">
            <w:pPr>
              <w:jc w:val="center"/>
              <w:rPr>
                <w:sz w:val="16"/>
                <w:szCs w:val="16"/>
              </w:rPr>
            </w:pPr>
            <w:r w:rsidRPr="003F7F6C">
              <w:rPr>
                <w:rFonts w:cs="Calibri"/>
                <w:sz w:val="16"/>
                <w:szCs w:val="16"/>
              </w:rPr>
              <w:t>X</w:t>
            </w:r>
          </w:p>
        </w:tc>
        <w:tc>
          <w:tcPr>
            <w:tcW w:w="427" w:type="dxa"/>
          </w:tcPr>
          <w:p w14:paraId="181D90AA" w14:textId="77777777" w:rsidR="002B04EB" w:rsidRPr="003F7F6C" w:rsidRDefault="002B04EB" w:rsidP="00B851B7">
            <w:pPr>
              <w:jc w:val="center"/>
              <w:rPr>
                <w:sz w:val="16"/>
                <w:szCs w:val="16"/>
              </w:rPr>
            </w:pPr>
            <w:r w:rsidRPr="003F7F6C">
              <w:rPr>
                <w:rFonts w:cs="Calibri"/>
                <w:sz w:val="16"/>
                <w:szCs w:val="16"/>
              </w:rPr>
              <w:t>X</w:t>
            </w:r>
          </w:p>
        </w:tc>
        <w:tc>
          <w:tcPr>
            <w:tcW w:w="427" w:type="dxa"/>
            <w:gridSpan w:val="2"/>
          </w:tcPr>
          <w:p w14:paraId="4143840D" w14:textId="77777777" w:rsidR="002B04EB" w:rsidRPr="003F7F6C" w:rsidRDefault="002B04EB" w:rsidP="00B851B7">
            <w:pPr>
              <w:jc w:val="center"/>
              <w:rPr>
                <w:sz w:val="16"/>
                <w:szCs w:val="16"/>
              </w:rPr>
            </w:pPr>
            <w:r w:rsidRPr="003F7F6C">
              <w:rPr>
                <w:rFonts w:cs="Calibri"/>
                <w:sz w:val="16"/>
                <w:szCs w:val="16"/>
              </w:rPr>
              <w:t>X</w:t>
            </w:r>
          </w:p>
        </w:tc>
        <w:tc>
          <w:tcPr>
            <w:tcW w:w="428" w:type="dxa"/>
          </w:tcPr>
          <w:p w14:paraId="562DCCB3" w14:textId="77777777" w:rsidR="002B04EB" w:rsidRPr="003F7F6C" w:rsidRDefault="002B04EB" w:rsidP="00B851B7">
            <w:pPr>
              <w:jc w:val="center"/>
              <w:rPr>
                <w:sz w:val="16"/>
                <w:szCs w:val="16"/>
              </w:rPr>
            </w:pPr>
            <w:r w:rsidRPr="003F7F6C">
              <w:rPr>
                <w:rFonts w:cs="Calibri"/>
                <w:sz w:val="16"/>
                <w:szCs w:val="16"/>
              </w:rPr>
              <w:t>X</w:t>
            </w:r>
          </w:p>
        </w:tc>
        <w:tc>
          <w:tcPr>
            <w:tcW w:w="428" w:type="dxa"/>
          </w:tcPr>
          <w:p w14:paraId="3612D109" w14:textId="77777777" w:rsidR="002B04EB" w:rsidRPr="003F7F6C" w:rsidRDefault="002B04EB" w:rsidP="00B851B7">
            <w:pPr>
              <w:jc w:val="center"/>
              <w:rPr>
                <w:sz w:val="16"/>
                <w:szCs w:val="16"/>
              </w:rPr>
            </w:pPr>
            <w:r w:rsidRPr="003F7F6C">
              <w:rPr>
                <w:rFonts w:cs="Calibri"/>
                <w:sz w:val="16"/>
                <w:szCs w:val="16"/>
              </w:rPr>
              <w:t>X</w:t>
            </w:r>
          </w:p>
        </w:tc>
        <w:tc>
          <w:tcPr>
            <w:tcW w:w="428" w:type="dxa"/>
          </w:tcPr>
          <w:p w14:paraId="0AEA103A" w14:textId="77777777" w:rsidR="002B04EB" w:rsidRPr="003F7F6C" w:rsidRDefault="002B04EB" w:rsidP="00B851B7">
            <w:pPr>
              <w:jc w:val="center"/>
              <w:rPr>
                <w:sz w:val="16"/>
                <w:szCs w:val="16"/>
              </w:rPr>
            </w:pPr>
            <w:r w:rsidRPr="003F7F6C">
              <w:rPr>
                <w:rFonts w:cs="Calibri"/>
                <w:sz w:val="16"/>
                <w:szCs w:val="16"/>
              </w:rPr>
              <w:t>X</w:t>
            </w:r>
          </w:p>
        </w:tc>
        <w:tc>
          <w:tcPr>
            <w:tcW w:w="428" w:type="dxa"/>
            <w:gridSpan w:val="2"/>
          </w:tcPr>
          <w:p w14:paraId="507D3F43" w14:textId="77777777" w:rsidR="002B04EB" w:rsidRPr="003F7F6C" w:rsidRDefault="002B04EB" w:rsidP="00B851B7">
            <w:pPr>
              <w:jc w:val="center"/>
              <w:rPr>
                <w:sz w:val="16"/>
                <w:szCs w:val="16"/>
              </w:rPr>
            </w:pPr>
            <w:r w:rsidRPr="003F7F6C">
              <w:rPr>
                <w:rFonts w:cs="Calibri"/>
                <w:sz w:val="16"/>
                <w:szCs w:val="16"/>
              </w:rPr>
              <w:t>X</w:t>
            </w:r>
          </w:p>
        </w:tc>
        <w:tc>
          <w:tcPr>
            <w:tcW w:w="428" w:type="dxa"/>
          </w:tcPr>
          <w:p w14:paraId="6FF0BE09" w14:textId="77777777" w:rsidR="002B04EB" w:rsidRPr="003F7F6C" w:rsidRDefault="002B04EB" w:rsidP="00B851B7">
            <w:pPr>
              <w:jc w:val="center"/>
              <w:rPr>
                <w:rFonts w:cs="Calibri"/>
                <w:sz w:val="16"/>
                <w:szCs w:val="16"/>
              </w:rPr>
            </w:pPr>
          </w:p>
        </w:tc>
        <w:tc>
          <w:tcPr>
            <w:tcW w:w="428" w:type="dxa"/>
          </w:tcPr>
          <w:p w14:paraId="01B7512A" w14:textId="77777777" w:rsidR="002B04EB" w:rsidRPr="003F7F6C" w:rsidRDefault="002B04EB" w:rsidP="00B851B7">
            <w:pPr>
              <w:jc w:val="center"/>
              <w:rPr>
                <w:rFonts w:cs="Calibri"/>
                <w:sz w:val="16"/>
                <w:szCs w:val="16"/>
              </w:rPr>
            </w:pPr>
          </w:p>
        </w:tc>
        <w:tc>
          <w:tcPr>
            <w:tcW w:w="428" w:type="dxa"/>
          </w:tcPr>
          <w:p w14:paraId="70B16F54" w14:textId="77777777" w:rsidR="002B04EB" w:rsidRPr="003F7F6C" w:rsidRDefault="002B04EB" w:rsidP="00B851B7">
            <w:pPr>
              <w:jc w:val="center"/>
              <w:rPr>
                <w:rFonts w:cs="Calibri"/>
                <w:sz w:val="16"/>
                <w:szCs w:val="16"/>
              </w:rPr>
            </w:pPr>
          </w:p>
        </w:tc>
        <w:tc>
          <w:tcPr>
            <w:tcW w:w="428" w:type="dxa"/>
            <w:gridSpan w:val="2"/>
          </w:tcPr>
          <w:p w14:paraId="6208D6C3" w14:textId="77777777" w:rsidR="002B04EB" w:rsidRPr="003F7F6C" w:rsidRDefault="002B04EB" w:rsidP="00B851B7">
            <w:pPr>
              <w:jc w:val="center"/>
              <w:rPr>
                <w:rFonts w:cs="Calibri"/>
                <w:sz w:val="16"/>
                <w:szCs w:val="16"/>
              </w:rPr>
            </w:pPr>
          </w:p>
        </w:tc>
        <w:tc>
          <w:tcPr>
            <w:tcW w:w="428" w:type="dxa"/>
          </w:tcPr>
          <w:p w14:paraId="0823E151" w14:textId="77777777" w:rsidR="002B04EB" w:rsidRPr="003F7F6C" w:rsidRDefault="002B04EB" w:rsidP="00B851B7">
            <w:pPr>
              <w:rPr>
                <w:rFonts w:cs="Calibri"/>
                <w:sz w:val="16"/>
                <w:szCs w:val="16"/>
              </w:rPr>
            </w:pPr>
          </w:p>
        </w:tc>
        <w:tc>
          <w:tcPr>
            <w:tcW w:w="428" w:type="dxa"/>
          </w:tcPr>
          <w:p w14:paraId="6387982C" w14:textId="77777777" w:rsidR="002B04EB" w:rsidRPr="003F7F6C" w:rsidRDefault="002B04EB" w:rsidP="00B851B7">
            <w:pPr>
              <w:rPr>
                <w:rFonts w:cs="Calibri"/>
                <w:sz w:val="16"/>
                <w:szCs w:val="16"/>
              </w:rPr>
            </w:pPr>
          </w:p>
        </w:tc>
        <w:tc>
          <w:tcPr>
            <w:tcW w:w="428" w:type="dxa"/>
          </w:tcPr>
          <w:p w14:paraId="63E5AF37" w14:textId="77777777" w:rsidR="002B04EB" w:rsidRPr="003F7F6C" w:rsidRDefault="002B04EB" w:rsidP="00B851B7">
            <w:pPr>
              <w:rPr>
                <w:rFonts w:cs="Calibri"/>
                <w:sz w:val="16"/>
                <w:szCs w:val="16"/>
              </w:rPr>
            </w:pPr>
          </w:p>
        </w:tc>
        <w:tc>
          <w:tcPr>
            <w:tcW w:w="428" w:type="dxa"/>
            <w:gridSpan w:val="2"/>
          </w:tcPr>
          <w:p w14:paraId="7D7FCC02" w14:textId="77777777" w:rsidR="002B04EB" w:rsidRPr="003F7F6C" w:rsidRDefault="002B04EB" w:rsidP="00B851B7">
            <w:pPr>
              <w:rPr>
                <w:rFonts w:cs="Calibri"/>
                <w:sz w:val="16"/>
                <w:szCs w:val="16"/>
              </w:rPr>
            </w:pPr>
          </w:p>
        </w:tc>
        <w:tc>
          <w:tcPr>
            <w:tcW w:w="428" w:type="dxa"/>
          </w:tcPr>
          <w:p w14:paraId="2AC272AC" w14:textId="77777777" w:rsidR="002B04EB" w:rsidRPr="003F7F6C" w:rsidRDefault="002B04EB" w:rsidP="00B851B7">
            <w:pPr>
              <w:rPr>
                <w:rFonts w:cs="Calibri"/>
                <w:sz w:val="16"/>
                <w:szCs w:val="16"/>
              </w:rPr>
            </w:pPr>
          </w:p>
        </w:tc>
        <w:tc>
          <w:tcPr>
            <w:tcW w:w="428" w:type="dxa"/>
          </w:tcPr>
          <w:p w14:paraId="00B5F366" w14:textId="77777777" w:rsidR="002B04EB" w:rsidRPr="003F7F6C" w:rsidRDefault="002B04EB" w:rsidP="00B851B7">
            <w:pPr>
              <w:rPr>
                <w:rFonts w:cs="Calibri"/>
                <w:sz w:val="16"/>
                <w:szCs w:val="16"/>
              </w:rPr>
            </w:pPr>
          </w:p>
        </w:tc>
        <w:tc>
          <w:tcPr>
            <w:tcW w:w="428" w:type="dxa"/>
          </w:tcPr>
          <w:p w14:paraId="5F474B65" w14:textId="77777777" w:rsidR="002B04EB" w:rsidRPr="003F7F6C" w:rsidRDefault="002B04EB" w:rsidP="00B851B7">
            <w:pPr>
              <w:rPr>
                <w:rFonts w:cs="Calibri"/>
                <w:sz w:val="16"/>
                <w:szCs w:val="16"/>
              </w:rPr>
            </w:pPr>
          </w:p>
        </w:tc>
        <w:tc>
          <w:tcPr>
            <w:tcW w:w="428" w:type="dxa"/>
          </w:tcPr>
          <w:p w14:paraId="4D245C80" w14:textId="77777777" w:rsidR="002B04EB" w:rsidRPr="003F7F6C" w:rsidRDefault="002B04EB" w:rsidP="00B851B7">
            <w:pPr>
              <w:rPr>
                <w:rFonts w:cs="Calibri"/>
                <w:sz w:val="16"/>
                <w:szCs w:val="16"/>
              </w:rPr>
            </w:pPr>
          </w:p>
        </w:tc>
      </w:tr>
      <w:tr w:rsidR="002B04EB" w:rsidRPr="003F7F6C" w14:paraId="3429767F" w14:textId="77777777" w:rsidTr="00B851B7">
        <w:tc>
          <w:tcPr>
            <w:tcW w:w="1668" w:type="dxa"/>
          </w:tcPr>
          <w:p w14:paraId="44707EC3" w14:textId="77777777" w:rsidR="002B04EB" w:rsidRPr="003F7F6C" w:rsidRDefault="002B04EB" w:rsidP="00E91275">
            <w:pPr>
              <w:pStyle w:val="ListParagraph"/>
              <w:numPr>
                <w:ilvl w:val="0"/>
                <w:numId w:val="29"/>
              </w:numPr>
              <w:spacing w:after="0"/>
              <w:ind w:left="166" w:hanging="166"/>
              <w:contextualSpacing w:val="0"/>
              <w:rPr>
                <w:rFonts w:cs="Calibri"/>
                <w:sz w:val="16"/>
                <w:szCs w:val="16"/>
              </w:rPr>
            </w:pPr>
            <w:r w:rsidRPr="003F7F6C">
              <w:rPr>
                <w:rFonts w:cs="Calibri"/>
                <w:sz w:val="16"/>
                <w:szCs w:val="16"/>
              </w:rPr>
              <w:t>Identify ELUP instruments for different problems</w:t>
            </w:r>
          </w:p>
        </w:tc>
        <w:tc>
          <w:tcPr>
            <w:tcW w:w="1057" w:type="dxa"/>
          </w:tcPr>
          <w:p w14:paraId="2ABBC7BF" w14:textId="77777777" w:rsidR="002B04EB" w:rsidRPr="003F7F6C" w:rsidRDefault="002B04EB" w:rsidP="00B851B7">
            <w:pPr>
              <w:rPr>
                <w:rFonts w:cs="Calibri"/>
                <w:sz w:val="16"/>
                <w:szCs w:val="16"/>
              </w:rPr>
            </w:pPr>
            <w:r w:rsidRPr="003F7F6C">
              <w:rPr>
                <w:rFonts w:cs="Calibri"/>
                <w:sz w:val="16"/>
                <w:szCs w:val="16"/>
              </w:rPr>
              <w:t>SGAyDS Provinces</w:t>
            </w:r>
          </w:p>
          <w:p w14:paraId="00EABA1D" w14:textId="77777777" w:rsidR="002B04EB" w:rsidRPr="003F7F6C" w:rsidRDefault="002B04EB" w:rsidP="00B851B7">
            <w:pPr>
              <w:rPr>
                <w:rFonts w:cs="Calibri"/>
                <w:sz w:val="16"/>
                <w:szCs w:val="16"/>
              </w:rPr>
            </w:pPr>
            <w:r w:rsidRPr="003F7F6C">
              <w:rPr>
                <w:rFonts w:cs="Calibri"/>
                <w:sz w:val="16"/>
                <w:szCs w:val="16"/>
              </w:rPr>
              <w:t>INTA</w:t>
            </w:r>
          </w:p>
        </w:tc>
        <w:tc>
          <w:tcPr>
            <w:tcW w:w="428" w:type="dxa"/>
          </w:tcPr>
          <w:p w14:paraId="47F2A833" w14:textId="77777777" w:rsidR="002B04EB" w:rsidRPr="003F7F6C" w:rsidRDefault="002B04EB" w:rsidP="00B851B7">
            <w:pPr>
              <w:rPr>
                <w:rFonts w:cs="Calibri"/>
                <w:sz w:val="16"/>
                <w:szCs w:val="16"/>
              </w:rPr>
            </w:pPr>
          </w:p>
        </w:tc>
        <w:tc>
          <w:tcPr>
            <w:tcW w:w="444" w:type="dxa"/>
          </w:tcPr>
          <w:p w14:paraId="432B992D" w14:textId="77777777" w:rsidR="002B04EB" w:rsidRPr="003F7F6C" w:rsidRDefault="002B04EB" w:rsidP="00B851B7">
            <w:pPr>
              <w:rPr>
                <w:rFonts w:cs="Calibri"/>
                <w:sz w:val="16"/>
                <w:szCs w:val="16"/>
              </w:rPr>
            </w:pPr>
          </w:p>
        </w:tc>
        <w:tc>
          <w:tcPr>
            <w:tcW w:w="428" w:type="dxa"/>
          </w:tcPr>
          <w:p w14:paraId="7AA020D2" w14:textId="77777777" w:rsidR="002B04EB" w:rsidRPr="003F7F6C" w:rsidRDefault="002B04EB" w:rsidP="00B851B7">
            <w:pPr>
              <w:rPr>
                <w:rFonts w:cs="Calibri"/>
                <w:sz w:val="16"/>
                <w:szCs w:val="16"/>
              </w:rPr>
            </w:pPr>
          </w:p>
        </w:tc>
        <w:tc>
          <w:tcPr>
            <w:tcW w:w="428" w:type="dxa"/>
            <w:gridSpan w:val="2"/>
          </w:tcPr>
          <w:p w14:paraId="6C181172" w14:textId="77777777" w:rsidR="002B04EB" w:rsidRPr="003F7F6C" w:rsidRDefault="002B04EB" w:rsidP="00B851B7">
            <w:pPr>
              <w:rPr>
                <w:rFonts w:cs="Calibri"/>
                <w:sz w:val="16"/>
                <w:szCs w:val="16"/>
              </w:rPr>
            </w:pPr>
          </w:p>
        </w:tc>
        <w:tc>
          <w:tcPr>
            <w:tcW w:w="428" w:type="dxa"/>
          </w:tcPr>
          <w:p w14:paraId="726237AD" w14:textId="77777777" w:rsidR="002B04EB" w:rsidRPr="003F7F6C" w:rsidRDefault="002B04EB" w:rsidP="00B851B7">
            <w:pPr>
              <w:jc w:val="center"/>
              <w:rPr>
                <w:rFonts w:cs="Calibri"/>
                <w:sz w:val="16"/>
                <w:szCs w:val="16"/>
              </w:rPr>
            </w:pPr>
          </w:p>
        </w:tc>
        <w:tc>
          <w:tcPr>
            <w:tcW w:w="427" w:type="dxa"/>
          </w:tcPr>
          <w:p w14:paraId="3CFECC07" w14:textId="77777777" w:rsidR="002B04EB" w:rsidRPr="003F7F6C" w:rsidRDefault="002B04EB" w:rsidP="00B851B7">
            <w:pPr>
              <w:jc w:val="center"/>
              <w:rPr>
                <w:rFonts w:cs="Calibri"/>
                <w:sz w:val="16"/>
                <w:szCs w:val="16"/>
              </w:rPr>
            </w:pPr>
          </w:p>
        </w:tc>
        <w:tc>
          <w:tcPr>
            <w:tcW w:w="427" w:type="dxa"/>
          </w:tcPr>
          <w:p w14:paraId="15E5FCD7" w14:textId="77777777" w:rsidR="002B04EB" w:rsidRPr="003F7F6C" w:rsidRDefault="002B04EB" w:rsidP="00B851B7">
            <w:pPr>
              <w:jc w:val="center"/>
              <w:rPr>
                <w:rFonts w:cs="Calibri"/>
                <w:sz w:val="16"/>
                <w:szCs w:val="16"/>
              </w:rPr>
            </w:pPr>
          </w:p>
        </w:tc>
        <w:tc>
          <w:tcPr>
            <w:tcW w:w="427" w:type="dxa"/>
            <w:gridSpan w:val="2"/>
          </w:tcPr>
          <w:p w14:paraId="332184D8" w14:textId="77777777" w:rsidR="002B04EB" w:rsidRPr="003F7F6C" w:rsidRDefault="002B04EB" w:rsidP="00B851B7">
            <w:pPr>
              <w:jc w:val="center"/>
              <w:rPr>
                <w:rFonts w:cs="Calibri"/>
                <w:sz w:val="16"/>
                <w:szCs w:val="16"/>
              </w:rPr>
            </w:pPr>
          </w:p>
        </w:tc>
        <w:tc>
          <w:tcPr>
            <w:tcW w:w="428" w:type="dxa"/>
          </w:tcPr>
          <w:p w14:paraId="27F229E9" w14:textId="77777777" w:rsidR="002B04EB" w:rsidRPr="003F7F6C" w:rsidRDefault="002B04EB" w:rsidP="00B851B7">
            <w:pPr>
              <w:jc w:val="center"/>
              <w:rPr>
                <w:sz w:val="16"/>
                <w:szCs w:val="16"/>
              </w:rPr>
            </w:pPr>
            <w:r w:rsidRPr="003F7F6C">
              <w:rPr>
                <w:rFonts w:cs="Calibri"/>
                <w:sz w:val="16"/>
                <w:szCs w:val="16"/>
              </w:rPr>
              <w:t>X</w:t>
            </w:r>
          </w:p>
        </w:tc>
        <w:tc>
          <w:tcPr>
            <w:tcW w:w="428" w:type="dxa"/>
          </w:tcPr>
          <w:p w14:paraId="103EA883" w14:textId="77777777" w:rsidR="002B04EB" w:rsidRPr="003F7F6C" w:rsidRDefault="002B04EB" w:rsidP="00B851B7">
            <w:pPr>
              <w:jc w:val="center"/>
              <w:rPr>
                <w:sz w:val="16"/>
                <w:szCs w:val="16"/>
              </w:rPr>
            </w:pPr>
            <w:r w:rsidRPr="003F7F6C">
              <w:rPr>
                <w:rFonts w:cs="Calibri"/>
                <w:sz w:val="16"/>
                <w:szCs w:val="16"/>
              </w:rPr>
              <w:t>X</w:t>
            </w:r>
          </w:p>
        </w:tc>
        <w:tc>
          <w:tcPr>
            <w:tcW w:w="428" w:type="dxa"/>
          </w:tcPr>
          <w:p w14:paraId="4ED36D66" w14:textId="77777777" w:rsidR="002B04EB" w:rsidRPr="003F7F6C" w:rsidRDefault="002B04EB" w:rsidP="00B851B7">
            <w:pPr>
              <w:jc w:val="center"/>
              <w:rPr>
                <w:sz w:val="16"/>
                <w:szCs w:val="16"/>
              </w:rPr>
            </w:pPr>
            <w:r w:rsidRPr="003F7F6C">
              <w:rPr>
                <w:rFonts w:cs="Calibri"/>
                <w:sz w:val="16"/>
                <w:szCs w:val="16"/>
              </w:rPr>
              <w:t>X</w:t>
            </w:r>
          </w:p>
        </w:tc>
        <w:tc>
          <w:tcPr>
            <w:tcW w:w="428" w:type="dxa"/>
            <w:gridSpan w:val="2"/>
          </w:tcPr>
          <w:p w14:paraId="2018CAA8" w14:textId="77777777" w:rsidR="002B04EB" w:rsidRPr="003F7F6C" w:rsidRDefault="002B04EB" w:rsidP="00B851B7">
            <w:pPr>
              <w:jc w:val="center"/>
              <w:rPr>
                <w:sz w:val="16"/>
                <w:szCs w:val="16"/>
              </w:rPr>
            </w:pPr>
            <w:r w:rsidRPr="003F7F6C">
              <w:rPr>
                <w:rFonts w:cs="Calibri"/>
                <w:sz w:val="16"/>
                <w:szCs w:val="16"/>
              </w:rPr>
              <w:t>X</w:t>
            </w:r>
          </w:p>
        </w:tc>
        <w:tc>
          <w:tcPr>
            <w:tcW w:w="428" w:type="dxa"/>
          </w:tcPr>
          <w:p w14:paraId="72235862" w14:textId="77777777" w:rsidR="002B04EB" w:rsidRPr="003F7F6C" w:rsidRDefault="002B04EB" w:rsidP="00B851B7">
            <w:pPr>
              <w:jc w:val="center"/>
              <w:rPr>
                <w:sz w:val="16"/>
                <w:szCs w:val="16"/>
              </w:rPr>
            </w:pPr>
            <w:r w:rsidRPr="003F7F6C">
              <w:rPr>
                <w:rFonts w:cs="Calibri"/>
                <w:sz w:val="16"/>
                <w:szCs w:val="16"/>
              </w:rPr>
              <w:t>X</w:t>
            </w:r>
          </w:p>
        </w:tc>
        <w:tc>
          <w:tcPr>
            <w:tcW w:w="428" w:type="dxa"/>
          </w:tcPr>
          <w:p w14:paraId="5102A122" w14:textId="77777777" w:rsidR="002B04EB" w:rsidRPr="003F7F6C" w:rsidRDefault="002B04EB" w:rsidP="00B851B7">
            <w:pPr>
              <w:jc w:val="center"/>
              <w:rPr>
                <w:sz w:val="16"/>
                <w:szCs w:val="16"/>
              </w:rPr>
            </w:pPr>
            <w:r w:rsidRPr="003F7F6C">
              <w:rPr>
                <w:rFonts w:cs="Calibri"/>
                <w:sz w:val="16"/>
                <w:szCs w:val="16"/>
              </w:rPr>
              <w:t>X</w:t>
            </w:r>
          </w:p>
        </w:tc>
        <w:tc>
          <w:tcPr>
            <w:tcW w:w="428" w:type="dxa"/>
          </w:tcPr>
          <w:p w14:paraId="6CEC872A" w14:textId="77777777" w:rsidR="002B04EB" w:rsidRPr="003F7F6C" w:rsidRDefault="002B04EB" w:rsidP="00B851B7">
            <w:pPr>
              <w:jc w:val="center"/>
              <w:rPr>
                <w:sz w:val="16"/>
                <w:szCs w:val="16"/>
              </w:rPr>
            </w:pPr>
            <w:r w:rsidRPr="003F7F6C">
              <w:rPr>
                <w:rFonts w:cs="Calibri"/>
                <w:sz w:val="16"/>
                <w:szCs w:val="16"/>
              </w:rPr>
              <w:t>X</w:t>
            </w:r>
          </w:p>
        </w:tc>
        <w:tc>
          <w:tcPr>
            <w:tcW w:w="428" w:type="dxa"/>
            <w:gridSpan w:val="2"/>
          </w:tcPr>
          <w:p w14:paraId="490A5317" w14:textId="77777777" w:rsidR="002B04EB" w:rsidRPr="003F7F6C" w:rsidRDefault="002B04EB" w:rsidP="00B851B7">
            <w:pPr>
              <w:jc w:val="center"/>
              <w:rPr>
                <w:sz w:val="16"/>
                <w:szCs w:val="16"/>
              </w:rPr>
            </w:pPr>
            <w:r w:rsidRPr="003F7F6C">
              <w:rPr>
                <w:rFonts w:cs="Calibri"/>
                <w:sz w:val="16"/>
                <w:szCs w:val="16"/>
              </w:rPr>
              <w:t>X</w:t>
            </w:r>
          </w:p>
        </w:tc>
        <w:tc>
          <w:tcPr>
            <w:tcW w:w="428" w:type="dxa"/>
          </w:tcPr>
          <w:p w14:paraId="2C226483" w14:textId="77777777" w:rsidR="002B04EB" w:rsidRPr="003F7F6C" w:rsidRDefault="002B04EB" w:rsidP="00B851B7">
            <w:pPr>
              <w:jc w:val="center"/>
              <w:rPr>
                <w:sz w:val="16"/>
                <w:szCs w:val="16"/>
              </w:rPr>
            </w:pPr>
            <w:r w:rsidRPr="003F7F6C">
              <w:rPr>
                <w:rFonts w:cs="Calibri"/>
                <w:sz w:val="16"/>
                <w:szCs w:val="16"/>
              </w:rPr>
              <w:t>X</w:t>
            </w:r>
          </w:p>
        </w:tc>
        <w:tc>
          <w:tcPr>
            <w:tcW w:w="428" w:type="dxa"/>
          </w:tcPr>
          <w:p w14:paraId="3E76B02F" w14:textId="77777777" w:rsidR="002B04EB" w:rsidRPr="003F7F6C" w:rsidRDefault="002B04EB" w:rsidP="00B851B7">
            <w:pPr>
              <w:jc w:val="center"/>
              <w:rPr>
                <w:sz w:val="16"/>
                <w:szCs w:val="16"/>
              </w:rPr>
            </w:pPr>
            <w:r w:rsidRPr="003F7F6C">
              <w:rPr>
                <w:rFonts w:cs="Calibri"/>
                <w:sz w:val="16"/>
                <w:szCs w:val="16"/>
              </w:rPr>
              <w:t>X</w:t>
            </w:r>
          </w:p>
        </w:tc>
        <w:tc>
          <w:tcPr>
            <w:tcW w:w="428" w:type="dxa"/>
          </w:tcPr>
          <w:p w14:paraId="6A51D68F" w14:textId="77777777" w:rsidR="002B04EB" w:rsidRPr="003F7F6C" w:rsidRDefault="002B04EB" w:rsidP="00B851B7">
            <w:pPr>
              <w:jc w:val="center"/>
              <w:rPr>
                <w:sz w:val="16"/>
                <w:szCs w:val="16"/>
              </w:rPr>
            </w:pPr>
            <w:r w:rsidRPr="003F7F6C">
              <w:rPr>
                <w:rFonts w:cs="Calibri"/>
                <w:sz w:val="16"/>
                <w:szCs w:val="16"/>
              </w:rPr>
              <w:t>X</w:t>
            </w:r>
          </w:p>
        </w:tc>
        <w:tc>
          <w:tcPr>
            <w:tcW w:w="428" w:type="dxa"/>
            <w:gridSpan w:val="2"/>
          </w:tcPr>
          <w:p w14:paraId="60A123D5" w14:textId="77777777" w:rsidR="002B04EB" w:rsidRPr="003F7F6C" w:rsidRDefault="002B04EB" w:rsidP="00B851B7">
            <w:pPr>
              <w:jc w:val="center"/>
              <w:rPr>
                <w:sz w:val="16"/>
                <w:szCs w:val="16"/>
              </w:rPr>
            </w:pPr>
            <w:r w:rsidRPr="003F7F6C">
              <w:rPr>
                <w:rFonts w:cs="Calibri"/>
                <w:sz w:val="16"/>
                <w:szCs w:val="16"/>
              </w:rPr>
              <w:t>X</w:t>
            </w:r>
          </w:p>
        </w:tc>
        <w:tc>
          <w:tcPr>
            <w:tcW w:w="428" w:type="dxa"/>
          </w:tcPr>
          <w:p w14:paraId="20E89432" w14:textId="77777777" w:rsidR="002B04EB" w:rsidRPr="003F7F6C" w:rsidRDefault="002B04EB" w:rsidP="00B851B7">
            <w:pPr>
              <w:rPr>
                <w:rFonts w:cs="Calibri"/>
                <w:sz w:val="16"/>
                <w:szCs w:val="16"/>
              </w:rPr>
            </w:pPr>
          </w:p>
        </w:tc>
        <w:tc>
          <w:tcPr>
            <w:tcW w:w="428" w:type="dxa"/>
          </w:tcPr>
          <w:p w14:paraId="158A18A2" w14:textId="77777777" w:rsidR="002B04EB" w:rsidRPr="003F7F6C" w:rsidRDefault="002B04EB" w:rsidP="00B851B7">
            <w:pPr>
              <w:rPr>
                <w:rFonts w:cs="Calibri"/>
                <w:sz w:val="16"/>
                <w:szCs w:val="16"/>
              </w:rPr>
            </w:pPr>
          </w:p>
        </w:tc>
        <w:tc>
          <w:tcPr>
            <w:tcW w:w="428" w:type="dxa"/>
          </w:tcPr>
          <w:p w14:paraId="6DDFC9DA" w14:textId="77777777" w:rsidR="002B04EB" w:rsidRPr="003F7F6C" w:rsidRDefault="002B04EB" w:rsidP="00B851B7">
            <w:pPr>
              <w:rPr>
                <w:rFonts w:cs="Calibri"/>
                <w:sz w:val="16"/>
                <w:szCs w:val="16"/>
              </w:rPr>
            </w:pPr>
          </w:p>
        </w:tc>
        <w:tc>
          <w:tcPr>
            <w:tcW w:w="428" w:type="dxa"/>
          </w:tcPr>
          <w:p w14:paraId="3D4FA994" w14:textId="77777777" w:rsidR="002B04EB" w:rsidRPr="003F7F6C" w:rsidRDefault="002B04EB" w:rsidP="00B851B7">
            <w:pPr>
              <w:rPr>
                <w:rFonts w:cs="Calibri"/>
                <w:sz w:val="16"/>
                <w:szCs w:val="16"/>
              </w:rPr>
            </w:pPr>
          </w:p>
        </w:tc>
      </w:tr>
      <w:tr w:rsidR="002B04EB" w:rsidRPr="003F7F6C" w14:paraId="323CCCA4" w14:textId="77777777" w:rsidTr="00B851B7">
        <w:tc>
          <w:tcPr>
            <w:tcW w:w="1668" w:type="dxa"/>
          </w:tcPr>
          <w:p w14:paraId="35B3B6E9" w14:textId="77777777" w:rsidR="002B04EB" w:rsidRPr="003F7F6C" w:rsidRDefault="002B04EB" w:rsidP="00B851B7">
            <w:pPr>
              <w:rPr>
                <w:rFonts w:cs="Calibri"/>
                <w:sz w:val="16"/>
                <w:szCs w:val="16"/>
              </w:rPr>
            </w:pPr>
            <w:r w:rsidRPr="003F7F6C">
              <w:rPr>
                <w:rFonts w:cs="Calibri"/>
                <w:sz w:val="16"/>
                <w:szCs w:val="16"/>
              </w:rPr>
              <w:t xml:space="preserve">1.3.2 Elaborate and validate maps of priority areas of environmental value for ELUP </w:t>
            </w:r>
          </w:p>
        </w:tc>
        <w:tc>
          <w:tcPr>
            <w:tcW w:w="1057" w:type="dxa"/>
          </w:tcPr>
          <w:p w14:paraId="4A7CDB24" w14:textId="77777777" w:rsidR="002B04EB" w:rsidRPr="003F7F6C" w:rsidRDefault="002B04EB" w:rsidP="00B851B7">
            <w:pPr>
              <w:rPr>
                <w:rFonts w:cs="Calibri"/>
                <w:sz w:val="16"/>
                <w:szCs w:val="16"/>
              </w:rPr>
            </w:pPr>
            <w:r w:rsidRPr="003F7F6C">
              <w:rPr>
                <w:rFonts w:cs="Calibri"/>
                <w:sz w:val="16"/>
                <w:szCs w:val="16"/>
              </w:rPr>
              <w:t>SGAyDS</w:t>
            </w:r>
          </w:p>
        </w:tc>
        <w:tc>
          <w:tcPr>
            <w:tcW w:w="428" w:type="dxa"/>
          </w:tcPr>
          <w:p w14:paraId="32EFCD65" w14:textId="77777777" w:rsidR="002B04EB" w:rsidRPr="003F7F6C" w:rsidRDefault="002B04EB" w:rsidP="00B851B7">
            <w:pPr>
              <w:rPr>
                <w:sz w:val="16"/>
                <w:szCs w:val="16"/>
              </w:rPr>
            </w:pPr>
          </w:p>
        </w:tc>
        <w:tc>
          <w:tcPr>
            <w:tcW w:w="444" w:type="dxa"/>
          </w:tcPr>
          <w:p w14:paraId="34A762F3" w14:textId="77777777" w:rsidR="002B04EB" w:rsidRPr="003F7F6C" w:rsidRDefault="002B04EB" w:rsidP="00B851B7">
            <w:pPr>
              <w:rPr>
                <w:sz w:val="16"/>
                <w:szCs w:val="16"/>
              </w:rPr>
            </w:pPr>
            <w:r w:rsidRPr="003F7F6C">
              <w:rPr>
                <w:rFonts w:cs="Calibri"/>
                <w:sz w:val="16"/>
                <w:szCs w:val="16"/>
              </w:rPr>
              <w:t>X</w:t>
            </w:r>
          </w:p>
        </w:tc>
        <w:tc>
          <w:tcPr>
            <w:tcW w:w="428" w:type="dxa"/>
          </w:tcPr>
          <w:p w14:paraId="148BD427"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5356A7C5" w14:textId="77777777" w:rsidR="002B04EB" w:rsidRPr="003F7F6C" w:rsidRDefault="002B04EB" w:rsidP="00B851B7">
            <w:pPr>
              <w:rPr>
                <w:sz w:val="16"/>
                <w:szCs w:val="16"/>
              </w:rPr>
            </w:pPr>
            <w:r w:rsidRPr="003F7F6C">
              <w:rPr>
                <w:rFonts w:cs="Calibri"/>
                <w:sz w:val="16"/>
                <w:szCs w:val="16"/>
              </w:rPr>
              <w:t>X</w:t>
            </w:r>
          </w:p>
        </w:tc>
        <w:tc>
          <w:tcPr>
            <w:tcW w:w="428" w:type="dxa"/>
          </w:tcPr>
          <w:p w14:paraId="3E6F14F9" w14:textId="77777777" w:rsidR="002B04EB" w:rsidRPr="003F7F6C" w:rsidRDefault="002B04EB" w:rsidP="00B851B7">
            <w:pPr>
              <w:rPr>
                <w:sz w:val="16"/>
                <w:szCs w:val="16"/>
              </w:rPr>
            </w:pPr>
            <w:r w:rsidRPr="003F7F6C">
              <w:rPr>
                <w:rFonts w:cs="Calibri"/>
                <w:sz w:val="16"/>
                <w:szCs w:val="16"/>
              </w:rPr>
              <w:t>X</w:t>
            </w:r>
          </w:p>
        </w:tc>
        <w:tc>
          <w:tcPr>
            <w:tcW w:w="427" w:type="dxa"/>
          </w:tcPr>
          <w:p w14:paraId="46845738" w14:textId="77777777" w:rsidR="002B04EB" w:rsidRPr="003F7F6C" w:rsidRDefault="002B04EB" w:rsidP="00B851B7">
            <w:pPr>
              <w:rPr>
                <w:sz w:val="16"/>
                <w:szCs w:val="16"/>
              </w:rPr>
            </w:pPr>
            <w:r w:rsidRPr="003F7F6C">
              <w:rPr>
                <w:rFonts w:cs="Calibri"/>
                <w:sz w:val="16"/>
                <w:szCs w:val="16"/>
              </w:rPr>
              <w:t>X</w:t>
            </w:r>
          </w:p>
        </w:tc>
        <w:tc>
          <w:tcPr>
            <w:tcW w:w="427" w:type="dxa"/>
          </w:tcPr>
          <w:p w14:paraId="5E12D31D" w14:textId="77777777" w:rsidR="002B04EB" w:rsidRPr="003F7F6C" w:rsidRDefault="002B04EB" w:rsidP="00B851B7">
            <w:pPr>
              <w:rPr>
                <w:sz w:val="16"/>
                <w:szCs w:val="16"/>
              </w:rPr>
            </w:pPr>
            <w:r w:rsidRPr="003F7F6C">
              <w:rPr>
                <w:rFonts w:cs="Calibri"/>
                <w:sz w:val="16"/>
                <w:szCs w:val="16"/>
              </w:rPr>
              <w:t>X</w:t>
            </w:r>
          </w:p>
        </w:tc>
        <w:tc>
          <w:tcPr>
            <w:tcW w:w="427" w:type="dxa"/>
            <w:gridSpan w:val="2"/>
          </w:tcPr>
          <w:p w14:paraId="1339DC39" w14:textId="77777777" w:rsidR="002B04EB" w:rsidRPr="003F7F6C" w:rsidRDefault="002B04EB" w:rsidP="00B851B7">
            <w:pPr>
              <w:rPr>
                <w:sz w:val="16"/>
                <w:szCs w:val="16"/>
              </w:rPr>
            </w:pPr>
            <w:r w:rsidRPr="003F7F6C">
              <w:rPr>
                <w:rFonts w:cs="Calibri"/>
                <w:sz w:val="16"/>
                <w:szCs w:val="16"/>
              </w:rPr>
              <w:t>X</w:t>
            </w:r>
          </w:p>
        </w:tc>
        <w:tc>
          <w:tcPr>
            <w:tcW w:w="428" w:type="dxa"/>
          </w:tcPr>
          <w:p w14:paraId="2DC244A2" w14:textId="77777777" w:rsidR="002B04EB" w:rsidRPr="003F7F6C" w:rsidRDefault="002B04EB" w:rsidP="00B851B7">
            <w:pPr>
              <w:rPr>
                <w:sz w:val="16"/>
                <w:szCs w:val="16"/>
              </w:rPr>
            </w:pPr>
            <w:r w:rsidRPr="003F7F6C">
              <w:rPr>
                <w:rFonts w:cs="Calibri"/>
                <w:sz w:val="16"/>
                <w:szCs w:val="16"/>
              </w:rPr>
              <w:t>X</w:t>
            </w:r>
          </w:p>
        </w:tc>
        <w:tc>
          <w:tcPr>
            <w:tcW w:w="428" w:type="dxa"/>
          </w:tcPr>
          <w:p w14:paraId="10CFD119" w14:textId="77777777" w:rsidR="002B04EB" w:rsidRPr="003F7F6C" w:rsidRDefault="002B04EB" w:rsidP="00B851B7">
            <w:pPr>
              <w:rPr>
                <w:sz w:val="16"/>
                <w:szCs w:val="16"/>
              </w:rPr>
            </w:pPr>
            <w:r w:rsidRPr="003F7F6C">
              <w:rPr>
                <w:rFonts w:cs="Calibri"/>
                <w:sz w:val="16"/>
                <w:szCs w:val="16"/>
              </w:rPr>
              <w:t>X</w:t>
            </w:r>
          </w:p>
        </w:tc>
        <w:tc>
          <w:tcPr>
            <w:tcW w:w="428" w:type="dxa"/>
          </w:tcPr>
          <w:p w14:paraId="0F95622F"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70E45E18" w14:textId="77777777" w:rsidR="002B04EB" w:rsidRPr="003F7F6C" w:rsidRDefault="002B04EB" w:rsidP="00B851B7">
            <w:pPr>
              <w:rPr>
                <w:sz w:val="16"/>
                <w:szCs w:val="16"/>
              </w:rPr>
            </w:pPr>
            <w:r w:rsidRPr="003F7F6C">
              <w:rPr>
                <w:rFonts w:cs="Calibri"/>
                <w:sz w:val="16"/>
                <w:szCs w:val="16"/>
              </w:rPr>
              <w:t>X</w:t>
            </w:r>
          </w:p>
        </w:tc>
        <w:tc>
          <w:tcPr>
            <w:tcW w:w="428" w:type="dxa"/>
          </w:tcPr>
          <w:p w14:paraId="03FAA154" w14:textId="77777777" w:rsidR="002B04EB" w:rsidRPr="003F7F6C" w:rsidRDefault="002B04EB" w:rsidP="00B851B7">
            <w:pPr>
              <w:rPr>
                <w:sz w:val="16"/>
                <w:szCs w:val="16"/>
              </w:rPr>
            </w:pPr>
            <w:r w:rsidRPr="003F7F6C">
              <w:rPr>
                <w:rFonts w:cs="Calibri"/>
                <w:sz w:val="16"/>
                <w:szCs w:val="16"/>
              </w:rPr>
              <w:t>X</w:t>
            </w:r>
          </w:p>
        </w:tc>
        <w:tc>
          <w:tcPr>
            <w:tcW w:w="428" w:type="dxa"/>
          </w:tcPr>
          <w:p w14:paraId="410BC87D" w14:textId="77777777" w:rsidR="002B04EB" w:rsidRPr="003F7F6C" w:rsidRDefault="002B04EB" w:rsidP="00B851B7">
            <w:pPr>
              <w:rPr>
                <w:sz w:val="16"/>
                <w:szCs w:val="16"/>
              </w:rPr>
            </w:pPr>
            <w:r w:rsidRPr="003F7F6C">
              <w:rPr>
                <w:rFonts w:cs="Calibri"/>
                <w:sz w:val="16"/>
                <w:szCs w:val="16"/>
              </w:rPr>
              <w:t>X</w:t>
            </w:r>
          </w:p>
        </w:tc>
        <w:tc>
          <w:tcPr>
            <w:tcW w:w="428" w:type="dxa"/>
          </w:tcPr>
          <w:p w14:paraId="7C174D5B"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24FF961E" w14:textId="77777777" w:rsidR="002B04EB" w:rsidRPr="003F7F6C" w:rsidRDefault="002B04EB" w:rsidP="00B851B7">
            <w:pPr>
              <w:rPr>
                <w:sz w:val="16"/>
                <w:szCs w:val="16"/>
              </w:rPr>
            </w:pPr>
            <w:r w:rsidRPr="003F7F6C">
              <w:rPr>
                <w:rFonts w:cs="Calibri"/>
                <w:sz w:val="16"/>
                <w:szCs w:val="16"/>
              </w:rPr>
              <w:t>X</w:t>
            </w:r>
          </w:p>
        </w:tc>
        <w:tc>
          <w:tcPr>
            <w:tcW w:w="428" w:type="dxa"/>
          </w:tcPr>
          <w:p w14:paraId="7C2ED2B0" w14:textId="77777777" w:rsidR="002B04EB" w:rsidRPr="003F7F6C" w:rsidRDefault="002B04EB" w:rsidP="00B851B7">
            <w:pPr>
              <w:rPr>
                <w:rFonts w:cs="Calibri"/>
                <w:sz w:val="16"/>
                <w:szCs w:val="16"/>
              </w:rPr>
            </w:pPr>
          </w:p>
        </w:tc>
        <w:tc>
          <w:tcPr>
            <w:tcW w:w="428" w:type="dxa"/>
          </w:tcPr>
          <w:p w14:paraId="2B55A951" w14:textId="77777777" w:rsidR="002B04EB" w:rsidRPr="003F7F6C" w:rsidRDefault="002B04EB" w:rsidP="00B851B7">
            <w:pPr>
              <w:rPr>
                <w:rFonts w:cs="Calibri"/>
                <w:sz w:val="16"/>
                <w:szCs w:val="16"/>
              </w:rPr>
            </w:pPr>
          </w:p>
        </w:tc>
        <w:tc>
          <w:tcPr>
            <w:tcW w:w="428" w:type="dxa"/>
          </w:tcPr>
          <w:p w14:paraId="104D5A2D" w14:textId="77777777" w:rsidR="002B04EB" w:rsidRPr="003F7F6C" w:rsidRDefault="002B04EB" w:rsidP="00B851B7">
            <w:pPr>
              <w:rPr>
                <w:rFonts w:cs="Calibri"/>
                <w:sz w:val="16"/>
                <w:szCs w:val="16"/>
              </w:rPr>
            </w:pPr>
          </w:p>
        </w:tc>
        <w:tc>
          <w:tcPr>
            <w:tcW w:w="428" w:type="dxa"/>
            <w:gridSpan w:val="2"/>
          </w:tcPr>
          <w:p w14:paraId="02892A59" w14:textId="77777777" w:rsidR="002B04EB" w:rsidRPr="003F7F6C" w:rsidRDefault="002B04EB" w:rsidP="00B851B7">
            <w:pPr>
              <w:rPr>
                <w:rFonts w:cs="Calibri"/>
                <w:sz w:val="16"/>
                <w:szCs w:val="16"/>
              </w:rPr>
            </w:pPr>
          </w:p>
        </w:tc>
        <w:tc>
          <w:tcPr>
            <w:tcW w:w="428" w:type="dxa"/>
          </w:tcPr>
          <w:p w14:paraId="632A3C12" w14:textId="77777777" w:rsidR="002B04EB" w:rsidRPr="003F7F6C" w:rsidRDefault="002B04EB" w:rsidP="00B851B7">
            <w:pPr>
              <w:rPr>
                <w:rFonts w:cs="Calibri"/>
                <w:sz w:val="16"/>
                <w:szCs w:val="16"/>
              </w:rPr>
            </w:pPr>
          </w:p>
        </w:tc>
        <w:tc>
          <w:tcPr>
            <w:tcW w:w="428" w:type="dxa"/>
          </w:tcPr>
          <w:p w14:paraId="664F7108" w14:textId="77777777" w:rsidR="002B04EB" w:rsidRPr="003F7F6C" w:rsidRDefault="002B04EB" w:rsidP="00B851B7">
            <w:pPr>
              <w:rPr>
                <w:rFonts w:cs="Calibri"/>
                <w:sz w:val="16"/>
                <w:szCs w:val="16"/>
              </w:rPr>
            </w:pPr>
          </w:p>
        </w:tc>
        <w:tc>
          <w:tcPr>
            <w:tcW w:w="428" w:type="dxa"/>
          </w:tcPr>
          <w:p w14:paraId="10B01F5E" w14:textId="77777777" w:rsidR="002B04EB" w:rsidRPr="003F7F6C" w:rsidRDefault="002B04EB" w:rsidP="00B851B7">
            <w:pPr>
              <w:rPr>
                <w:rFonts w:cs="Calibri"/>
                <w:sz w:val="16"/>
                <w:szCs w:val="16"/>
              </w:rPr>
            </w:pPr>
          </w:p>
        </w:tc>
        <w:tc>
          <w:tcPr>
            <w:tcW w:w="428" w:type="dxa"/>
          </w:tcPr>
          <w:p w14:paraId="4FB01C5C" w14:textId="77777777" w:rsidR="002B04EB" w:rsidRPr="003F7F6C" w:rsidRDefault="002B04EB" w:rsidP="00B851B7">
            <w:pPr>
              <w:rPr>
                <w:rFonts w:cs="Calibri"/>
                <w:sz w:val="16"/>
                <w:szCs w:val="16"/>
              </w:rPr>
            </w:pPr>
          </w:p>
        </w:tc>
      </w:tr>
      <w:tr w:rsidR="002B04EB" w:rsidRPr="003F7F6C" w14:paraId="77739DB4" w14:textId="77777777" w:rsidTr="00B851B7">
        <w:tc>
          <w:tcPr>
            <w:tcW w:w="1668" w:type="dxa"/>
          </w:tcPr>
          <w:p w14:paraId="61837389" w14:textId="77777777" w:rsidR="002B04EB" w:rsidRPr="003F7F6C" w:rsidRDefault="002B04EB" w:rsidP="00E91275">
            <w:pPr>
              <w:pStyle w:val="ListParagraph"/>
              <w:numPr>
                <w:ilvl w:val="0"/>
                <w:numId w:val="29"/>
              </w:numPr>
              <w:spacing w:after="0"/>
              <w:ind w:left="166" w:hanging="166"/>
              <w:contextualSpacing w:val="0"/>
              <w:jc w:val="left"/>
              <w:rPr>
                <w:rFonts w:cs="Calibri"/>
                <w:sz w:val="16"/>
                <w:szCs w:val="16"/>
              </w:rPr>
            </w:pPr>
            <w:r w:rsidRPr="003F7F6C">
              <w:rPr>
                <w:rFonts w:cs="Calibri"/>
                <w:sz w:val="16"/>
                <w:szCs w:val="16"/>
              </w:rPr>
              <w:t xml:space="preserve">Identify priority areas for ELUP based on criteria </w:t>
            </w:r>
          </w:p>
        </w:tc>
        <w:tc>
          <w:tcPr>
            <w:tcW w:w="1057" w:type="dxa"/>
          </w:tcPr>
          <w:p w14:paraId="0AF4454F" w14:textId="77777777" w:rsidR="002B04EB" w:rsidRPr="003F7F6C" w:rsidRDefault="002B04EB" w:rsidP="00B851B7">
            <w:pPr>
              <w:rPr>
                <w:rFonts w:cs="Calibri"/>
                <w:sz w:val="16"/>
                <w:szCs w:val="16"/>
              </w:rPr>
            </w:pPr>
            <w:r w:rsidRPr="003F7F6C">
              <w:rPr>
                <w:rFonts w:cs="Calibri"/>
                <w:sz w:val="16"/>
                <w:szCs w:val="16"/>
              </w:rPr>
              <w:t>SGAyDS</w:t>
            </w:r>
          </w:p>
        </w:tc>
        <w:tc>
          <w:tcPr>
            <w:tcW w:w="428" w:type="dxa"/>
          </w:tcPr>
          <w:p w14:paraId="5813A8D0" w14:textId="77777777" w:rsidR="002B04EB" w:rsidRPr="003F7F6C" w:rsidRDefault="002B04EB" w:rsidP="00B851B7">
            <w:pPr>
              <w:rPr>
                <w:sz w:val="16"/>
                <w:szCs w:val="16"/>
              </w:rPr>
            </w:pPr>
          </w:p>
        </w:tc>
        <w:tc>
          <w:tcPr>
            <w:tcW w:w="444" w:type="dxa"/>
          </w:tcPr>
          <w:p w14:paraId="0540077C" w14:textId="77777777" w:rsidR="002B04EB" w:rsidRPr="003F7F6C" w:rsidRDefault="002B04EB" w:rsidP="00B851B7">
            <w:pPr>
              <w:rPr>
                <w:sz w:val="16"/>
                <w:szCs w:val="16"/>
              </w:rPr>
            </w:pPr>
            <w:r w:rsidRPr="003F7F6C">
              <w:rPr>
                <w:rFonts w:cs="Calibri"/>
                <w:sz w:val="16"/>
                <w:szCs w:val="16"/>
              </w:rPr>
              <w:t>X</w:t>
            </w:r>
          </w:p>
        </w:tc>
        <w:tc>
          <w:tcPr>
            <w:tcW w:w="428" w:type="dxa"/>
          </w:tcPr>
          <w:p w14:paraId="046BE44F"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3A227062" w14:textId="77777777" w:rsidR="002B04EB" w:rsidRPr="003F7F6C" w:rsidRDefault="002B04EB" w:rsidP="00B851B7">
            <w:pPr>
              <w:rPr>
                <w:sz w:val="16"/>
                <w:szCs w:val="16"/>
              </w:rPr>
            </w:pPr>
            <w:r w:rsidRPr="003F7F6C">
              <w:rPr>
                <w:rFonts w:cs="Calibri"/>
                <w:sz w:val="16"/>
                <w:szCs w:val="16"/>
              </w:rPr>
              <w:t>X</w:t>
            </w:r>
          </w:p>
        </w:tc>
        <w:tc>
          <w:tcPr>
            <w:tcW w:w="428" w:type="dxa"/>
          </w:tcPr>
          <w:p w14:paraId="563E3698" w14:textId="77777777" w:rsidR="002B04EB" w:rsidRPr="003F7F6C" w:rsidRDefault="002B04EB" w:rsidP="00B851B7">
            <w:pPr>
              <w:rPr>
                <w:sz w:val="16"/>
                <w:szCs w:val="16"/>
              </w:rPr>
            </w:pPr>
            <w:r w:rsidRPr="003F7F6C">
              <w:rPr>
                <w:rFonts w:cs="Calibri"/>
                <w:sz w:val="16"/>
                <w:szCs w:val="16"/>
              </w:rPr>
              <w:t>X</w:t>
            </w:r>
          </w:p>
        </w:tc>
        <w:tc>
          <w:tcPr>
            <w:tcW w:w="427" w:type="dxa"/>
          </w:tcPr>
          <w:p w14:paraId="2BC13AA3" w14:textId="77777777" w:rsidR="002B04EB" w:rsidRPr="003F7F6C" w:rsidRDefault="002B04EB" w:rsidP="00B851B7">
            <w:pPr>
              <w:rPr>
                <w:sz w:val="16"/>
                <w:szCs w:val="16"/>
              </w:rPr>
            </w:pPr>
            <w:r w:rsidRPr="003F7F6C">
              <w:rPr>
                <w:rFonts w:cs="Calibri"/>
                <w:sz w:val="16"/>
                <w:szCs w:val="16"/>
              </w:rPr>
              <w:t>X</w:t>
            </w:r>
          </w:p>
        </w:tc>
        <w:tc>
          <w:tcPr>
            <w:tcW w:w="427" w:type="dxa"/>
          </w:tcPr>
          <w:p w14:paraId="2EF35BC1" w14:textId="77777777" w:rsidR="002B04EB" w:rsidRPr="003F7F6C" w:rsidRDefault="002B04EB" w:rsidP="00B851B7">
            <w:pPr>
              <w:rPr>
                <w:sz w:val="16"/>
                <w:szCs w:val="16"/>
              </w:rPr>
            </w:pPr>
            <w:r w:rsidRPr="003F7F6C">
              <w:rPr>
                <w:rFonts w:cs="Calibri"/>
                <w:sz w:val="16"/>
                <w:szCs w:val="16"/>
              </w:rPr>
              <w:t>X</w:t>
            </w:r>
          </w:p>
        </w:tc>
        <w:tc>
          <w:tcPr>
            <w:tcW w:w="427" w:type="dxa"/>
            <w:gridSpan w:val="2"/>
          </w:tcPr>
          <w:p w14:paraId="4913BB1A" w14:textId="77777777" w:rsidR="002B04EB" w:rsidRPr="003F7F6C" w:rsidRDefault="002B04EB" w:rsidP="00B851B7">
            <w:pPr>
              <w:rPr>
                <w:sz w:val="16"/>
                <w:szCs w:val="16"/>
              </w:rPr>
            </w:pPr>
            <w:r w:rsidRPr="003F7F6C">
              <w:rPr>
                <w:rFonts w:cs="Calibri"/>
                <w:sz w:val="16"/>
                <w:szCs w:val="16"/>
              </w:rPr>
              <w:t>X</w:t>
            </w:r>
          </w:p>
        </w:tc>
        <w:tc>
          <w:tcPr>
            <w:tcW w:w="428" w:type="dxa"/>
          </w:tcPr>
          <w:p w14:paraId="14FDB2EF" w14:textId="77777777" w:rsidR="002B04EB" w:rsidRPr="003F7F6C" w:rsidRDefault="002B04EB" w:rsidP="00B851B7">
            <w:pPr>
              <w:rPr>
                <w:sz w:val="16"/>
                <w:szCs w:val="16"/>
              </w:rPr>
            </w:pPr>
            <w:r w:rsidRPr="003F7F6C">
              <w:rPr>
                <w:rFonts w:cs="Calibri"/>
                <w:sz w:val="16"/>
                <w:szCs w:val="16"/>
              </w:rPr>
              <w:t>X</w:t>
            </w:r>
          </w:p>
        </w:tc>
        <w:tc>
          <w:tcPr>
            <w:tcW w:w="428" w:type="dxa"/>
          </w:tcPr>
          <w:p w14:paraId="63C6302C" w14:textId="77777777" w:rsidR="002B04EB" w:rsidRPr="003F7F6C" w:rsidRDefault="002B04EB" w:rsidP="00B851B7">
            <w:pPr>
              <w:rPr>
                <w:sz w:val="16"/>
                <w:szCs w:val="16"/>
              </w:rPr>
            </w:pPr>
            <w:r w:rsidRPr="003F7F6C">
              <w:rPr>
                <w:rFonts w:cs="Calibri"/>
                <w:sz w:val="16"/>
                <w:szCs w:val="16"/>
              </w:rPr>
              <w:t>X</w:t>
            </w:r>
          </w:p>
        </w:tc>
        <w:tc>
          <w:tcPr>
            <w:tcW w:w="428" w:type="dxa"/>
          </w:tcPr>
          <w:p w14:paraId="4532EE69"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4DF11799" w14:textId="77777777" w:rsidR="002B04EB" w:rsidRPr="003F7F6C" w:rsidRDefault="002B04EB" w:rsidP="00B851B7">
            <w:pPr>
              <w:rPr>
                <w:sz w:val="16"/>
                <w:szCs w:val="16"/>
              </w:rPr>
            </w:pPr>
            <w:r w:rsidRPr="003F7F6C">
              <w:rPr>
                <w:rFonts w:cs="Calibri"/>
                <w:sz w:val="16"/>
                <w:szCs w:val="16"/>
              </w:rPr>
              <w:t>X</w:t>
            </w:r>
          </w:p>
        </w:tc>
        <w:tc>
          <w:tcPr>
            <w:tcW w:w="428" w:type="dxa"/>
          </w:tcPr>
          <w:p w14:paraId="3523202D" w14:textId="77777777" w:rsidR="002B04EB" w:rsidRPr="003F7F6C" w:rsidRDefault="002B04EB" w:rsidP="00B851B7">
            <w:pPr>
              <w:rPr>
                <w:rFonts w:cs="Calibri"/>
                <w:sz w:val="16"/>
                <w:szCs w:val="16"/>
              </w:rPr>
            </w:pPr>
          </w:p>
        </w:tc>
        <w:tc>
          <w:tcPr>
            <w:tcW w:w="428" w:type="dxa"/>
          </w:tcPr>
          <w:p w14:paraId="1F961ECA" w14:textId="77777777" w:rsidR="002B04EB" w:rsidRPr="003F7F6C" w:rsidRDefault="002B04EB" w:rsidP="00B851B7">
            <w:pPr>
              <w:rPr>
                <w:rFonts w:cs="Calibri"/>
                <w:sz w:val="16"/>
                <w:szCs w:val="16"/>
              </w:rPr>
            </w:pPr>
          </w:p>
        </w:tc>
        <w:tc>
          <w:tcPr>
            <w:tcW w:w="428" w:type="dxa"/>
          </w:tcPr>
          <w:p w14:paraId="5D27E6F3" w14:textId="77777777" w:rsidR="002B04EB" w:rsidRPr="003F7F6C" w:rsidRDefault="002B04EB" w:rsidP="00B851B7">
            <w:pPr>
              <w:rPr>
                <w:rFonts w:cs="Calibri"/>
                <w:sz w:val="16"/>
                <w:szCs w:val="16"/>
              </w:rPr>
            </w:pPr>
          </w:p>
        </w:tc>
        <w:tc>
          <w:tcPr>
            <w:tcW w:w="428" w:type="dxa"/>
            <w:gridSpan w:val="2"/>
          </w:tcPr>
          <w:p w14:paraId="5ED3E1A0" w14:textId="77777777" w:rsidR="002B04EB" w:rsidRPr="003F7F6C" w:rsidRDefault="002B04EB" w:rsidP="00B851B7">
            <w:pPr>
              <w:rPr>
                <w:rFonts w:cs="Calibri"/>
                <w:sz w:val="16"/>
                <w:szCs w:val="16"/>
              </w:rPr>
            </w:pPr>
          </w:p>
        </w:tc>
        <w:tc>
          <w:tcPr>
            <w:tcW w:w="428" w:type="dxa"/>
          </w:tcPr>
          <w:p w14:paraId="01839FCE" w14:textId="77777777" w:rsidR="002B04EB" w:rsidRPr="003F7F6C" w:rsidRDefault="002B04EB" w:rsidP="00B851B7">
            <w:pPr>
              <w:rPr>
                <w:rFonts w:cs="Calibri"/>
                <w:sz w:val="16"/>
                <w:szCs w:val="16"/>
              </w:rPr>
            </w:pPr>
          </w:p>
        </w:tc>
        <w:tc>
          <w:tcPr>
            <w:tcW w:w="428" w:type="dxa"/>
          </w:tcPr>
          <w:p w14:paraId="31964BCC" w14:textId="77777777" w:rsidR="002B04EB" w:rsidRPr="003F7F6C" w:rsidRDefault="002B04EB" w:rsidP="00B851B7">
            <w:pPr>
              <w:rPr>
                <w:rFonts w:cs="Calibri"/>
                <w:sz w:val="16"/>
                <w:szCs w:val="16"/>
              </w:rPr>
            </w:pPr>
          </w:p>
        </w:tc>
        <w:tc>
          <w:tcPr>
            <w:tcW w:w="428" w:type="dxa"/>
          </w:tcPr>
          <w:p w14:paraId="6DE6A028" w14:textId="77777777" w:rsidR="002B04EB" w:rsidRPr="003F7F6C" w:rsidRDefault="002B04EB" w:rsidP="00B851B7">
            <w:pPr>
              <w:rPr>
                <w:rFonts w:cs="Calibri"/>
                <w:sz w:val="16"/>
                <w:szCs w:val="16"/>
              </w:rPr>
            </w:pPr>
          </w:p>
        </w:tc>
        <w:tc>
          <w:tcPr>
            <w:tcW w:w="428" w:type="dxa"/>
            <w:gridSpan w:val="2"/>
          </w:tcPr>
          <w:p w14:paraId="439B1C13" w14:textId="77777777" w:rsidR="002B04EB" w:rsidRPr="003F7F6C" w:rsidRDefault="002B04EB" w:rsidP="00B851B7">
            <w:pPr>
              <w:rPr>
                <w:rFonts w:cs="Calibri"/>
                <w:sz w:val="16"/>
                <w:szCs w:val="16"/>
              </w:rPr>
            </w:pPr>
          </w:p>
        </w:tc>
        <w:tc>
          <w:tcPr>
            <w:tcW w:w="428" w:type="dxa"/>
          </w:tcPr>
          <w:p w14:paraId="3090D899" w14:textId="77777777" w:rsidR="002B04EB" w:rsidRPr="003F7F6C" w:rsidRDefault="002B04EB" w:rsidP="00B851B7">
            <w:pPr>
              <w:rPr>
                <w:rFonts w:cs="Calibri"/>
                <w:sz w:val="16"/>
                <w:szCs w:val="16"/>
              </w:rPr>
            </w:pPr>
          </w:p>
        </w:tc>
        <w:tc>
          <w:tcPr>
            <w:tcW w:w="428" w:type="dxa"/>
          </w:tcPr>
          <w:p w14:paraId="3FD23B4D" w14:textId="77777777" w:rsidR="002B04EB" w:rsidRPr="003F7F6C" w:rsidRDefault="002B04EB" w:rsidP="00B851B7">
            <w:pPr>
              <w:rPr>
                <w:rFonts w:cs="Calibri"/>
                <w:sz w:val="16"/>
                <w:szCs w:val="16"/>
              </w:rPr>
            </w:pPr>
          </w:p>
        </w:tc>
        <w:tc>
          <w:tcPr>
            <w:tcW w:w="428" w:type="dxa"/>
          </w:tcPr>
          <w:p w14:paraId="7F39CB04" w14:textId="77777777" w:rsidR="002B04EB" w:rsidRPr="003F7F6C" w:rsidRDefault="002B04EB" w:rsidP="00B851B7">
            <w:pPr>
              <w:rPr>
                <w:rFonts w:cs="Calibri"/>
                <w:sz w:val="16"/>
                <w:szCs w:val="16"/>
              </w:rPr>
            </w:pPr>
          </w:p>
        </w:tc>
        <w:tc>
          <w:tcPr>
            <w:tcW w:w="428" w:type="dxa"/>
          </w:tcPr>
          <w:p w14:paraId="672E54AF" w14:textId="77777777" w:rsidR="002B04EB" w:rsidRPr="003F7F6C" w:rsidRDefault="002B04EB" w:rsidP="00B851B7">
            <w:pPr>
              <w:rPr>
                <w:rFonts w:cs="Calibri"/>
                <w:sz w:val="16"/>
                <w:szCs w:val="16"/>
              </w:rPr>
            </w:pPr>
          </w:p>
        </w:tc>
      </w:tr>
      <w:tr w:rsidR="002B04EB" w:rsidRPr="003F7F6C" w14:paraId="741057D9" w14:textId="77777777" w:rsidTr="00B851B7">
        <w:tc>
          <w:tcPr>
            <w:tcW w:w="1668" w:type="dxa"/>
          </w:tcPr>
          <w:p w14:paraId="29760451" w14:textId="77777777" w:rsidR="002B04EB" w:rsidRPr="003F7F6C" w:rsidRDefault="002B04EB" w:rsidP="00E91275">
            <w:pPr>
              <w:pStyle w:val="ListParagraph"/>
              <w:numPr>
                <w:ilvl w:val="0"/>
                <w:numId w:val="29"/>
              </w:numPr>
              <w:spacing w:after="0"/>
              <w:ind w:left="166" w:hanging="166"/>
              <w:contextualSpacing w:val="0"/>
              <w:jc w:val="left"/>
              <w:rPr>
                <w:rFonts w:cs="Calibri"/>
                <w:sz w:val="16"/>
                <w:szCs w:val="16"/>
              </w:rPr>
            </w:pPr>
            <w:r w:rsidRPr="003F7F6C">
              <w:rPr>
                <w:rFonts w:cs="Calibri"/>
                <w:sz w:val="16"/>
                <w:szCs w:val="16"/>
              </w:rPr>
              <w:t>Analyze NNRR evaluation systems thru satellite imagery</w:t>
            </w:r>
          </w:p>
        </w:tc>
        <w:tc>
          <w:tcPr>
            <w:tcW w:w="1057" w:type="dxa"/>
          </w:tcPr>
          <w:p w14:paraId="2F907011" w14:textId="77777777" w:rsidR="002B04EB" w:rsidRPr="003F7F6C" w:rsidRDefault="002B04EB" w:rsidP="00B851B7">
            <w:pPr>
              <w:rPr>
                <w:rFonts w:cs="Calibri"/>
                <w:sz w:val="16"/>
                <w:szCs w:val="16"/>
              </w:rPr>
            </w:pPr>
            <w:r w:rsidRPr="003F7F6C">
              <w:rPr>
                <w:rFonts w:cs="Calibri"/>
                <w:sz w:val="16"/>
                <w:szCs w:val="16"/>
              </w:rPr>
              <w:t>SGAyDS</w:t>
            </w:r>
          </w:p>
        </w:tc>
        <w:tc>
          <w:tcPr>
            <w:tcW w:w="428" w:type="dxa"/>
          </w:tcPr>
          <w:p w14:paraId="53281171" w14:textId="77777777" w:rsidR="002B04EB" w:rsidRPr="003F7F6C" w:rsidRDefault="002B04EB" w:rsidP="00B851B7">
            <w:pPr>
              <w:rPr>
                <w:sz w:val="16"/>
                <w:szCs w:val="16"/>
              </w:rPr>
            </w:pPr>
          </w:p>
        </w:tc>
        <w:tc>
          <w:tcPr>
            <w:tcW w:w="444" w:type="dxa"/>
          </w:tcPr>
          <w:p w14:paraId="43321104" w14:textId="77777777" w:rsidR="002B04EB" w:rsidRPr="003F7F6C" w:rsidRDefault="002B04EB" w:rsidP="00B851B7">
            <w:pPr>
              <w:rPr>
                <w:sz w:val="16"/>
                <w:szCs w:val="16"/>
              </w:rPr>
            </w:pPr>
            <w:r w:rsidRPr="003F7F6C">
              <w:rPr>
                <w:rFonts w:cs="Calibri"/>
                <w:sz w:val="16"/>
                <w:szCs w:val="16"/>
              </w:rPr>
              <w:t>X</w:t>
            </w:r>
          </w:p>
        </w:tc>
        <w:tc>
          <w:tcPr>
            <w:tcW w:w="428" w:type="dxa"/>
          </w:tcPr>
          <w:p w14:paraId="72C38EAE"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5345AD4F" w14:textId="77777777" w:rsidR="002B04EB" w:rsidRPr="003F7F6C" w:rsidRDefault="002B04EB" w:rsidP="00B851B7">
            <w:pPr>
              <w:rPr>
                <w:sz w:val="16"/>
                <w:szCs w:val="16"/>
              </w:rPr>
            </w:pPr>
            <w:r w:rsidRPr="003F7F6C">
              <w:rPr>
                <w:rFonts w:cs="Calibri"/>
                <w:sz w:val="16"/>
                <w:szCs w:val="16"/>
              </w:rPr>
              <w:t>X</w:t>
            </w:r>
          </w:p>
        </w:tc>
        <w:tc>
          <w:tcPr>
            <w:tcW w:w="428" w:type="dxa"/>
          </w:tcPr>
          <w:p w14:paraId="33169288" w14:textId="77777777" w:rsidR="002B04EB" w:rsidRPr="003F7F6C" w:rsidRDefault="002B04EB" w:rsidP="00B851B7">
            <w:pPr>
              <w:rPr>
                <w:sz w:val="16"/>
                <w:szCs w:val="16"/>
              </w:rPr>
            </w:pPr>
            <w:r w:rsidRPr="003F7F6C">
              <w:rPr>
                <w:rFonts w:cs="Calibri"/>
                <w:sz w:val="16"/>
                <w:szCs w:val="16"/>
              </w:rPr>
              <w:t>X</w:t>
            </w:r>
          </w:p>
        </w:tc>
        <w:tc>
          <w:tcPr>
            <w:tcW w:w="427" w:type="dxa"/>
          </w:tcPr>
          <w:p w14:paraId="0400354A" w14:textId="77777777" w:rsidR="002B04EB" w:rsidRPr="003F7F6C" w:rsidRDefault="002B04EB" w:rsidP="00B851B7">
            <w:pPr>
              <w:rPr>
                <w:sz w:val="16"/>
                <w:szCs w:val="16"/>
              </w:rPr>
            </w:pPr>
            <w:r w:rsidRPr="003F7F6C">
              <w:rPr>
                <w:rFonts w:cs="Calibri"/>
                <w:sz w:val="16"/>
                <w:szCs w:val="16"/>
              </w:rPr>
              <w:t>X</w:t>
            </w:r>
          </w:p>
        </w:tc>
        <w:tc>
          <w:tcPr>
            <w:tcW w:w="427" w:type="dxa"/>
          </w:tcPr>
          <w:p w14:paraId="17090F1C" w14:textId="77777777" w:rsidR="002B04EB" w:rsidRPr="003F7F6C" w:rsidRDefault="002B04EB" w:rsidP="00B851B7">
            <w:pPr>
              <w:rPr>
                <w:sz w:val="16"/>
                <w:szCs w:val="16"/>
              </w:rPr>
            </w:pPr>
            <w:r w:rsidRPr="003F7F6C">
              <w:rPr>
                <w:rFonts w:cs="Calibri"/>
                <w:sz w:val="16"/>
                <w:szCs w:val="16"/>
              </w:rPr>
              <w:t>X</w:t>
            </w:r>
          </w:p>
        </w:tc>
        <w:tc>
          <w:tcPr>
            <w:tcW w:w="427" w:type="dxa"/>
            <w:gridSpan w:val="2"/>
          </w:tcPr>
          <w:p w14:paraId="519553A0" w14:textId="77777777" w:rsidR="002B04EB" w:rsidRPr="003F7F6C" w:rsidRDefault="002B04EB" w:rsidP="00B851B7">
            <w:pPr>
              <w:rPr>
                <w:sz w:val="16"/>
                <w:szCs w:val="16"/>
              </w:rPr>
            </w:pPr>
            <w:r w:rsidRPr="003F7F6C">
              <w:rPr>
                <w:rFonts w:cs="Calibri"/>
                <w:sz w:val="16"/>
                <w:szCs w:val="16"/>
              </w:rPr>
              <w:t>X</w:t>
            </w:r>
          </w:p>
        </w:tc>
        <w:tc>
          <w:tcPr>
            <w:tcW w:w="428" w:type="dxa"/>
          </w:tcPr>
          <w:p w14:paraId="68B612A4" w14:textId="77777777" w:rsidR="002B04EB" w:rsidRPr="003F7F6C" w:rsidRDefault="002B04EB" w:rsidP="00B851B7">
            <w:pPr>
              <w:rPr>
                <w:sz w:val="16"/>
                <w:szCs w:val="16"/>
              </w:rPr>
            </w:pPr>
            <w:r w:rsidRPr="003F7F6C">
              <w:rPr>
                <w:rFonts w:cs="Calibri"/>
                <w:sz w:val="16"/>
                <w:szCs w:val="16"/>
              </w:rPr>
              <w:t>X</w:t>
            </w:r>
          </w:p>
        </w:tc>
        <w:tc>
          <w:tcPr>
            <w:tcW w:w="428" w:type="dxa"/>
          </w:tcPr>
          <w:p w14:paraId="2BF5FE89" w14:textId="77777777" w:rsidR="002B04EB" w:rsidRPr="003F7F6C" w:rsidRDefault="002B04EB" w:rsidP="00B851B7">
            <w:pPr>
              <w:rPr>
                <w:sz w:val="16"/>
                <w:szCs w:val="16"/>
              </w:rPr>
            </w:pPr>
            <w:r w:rsidRPr="003F7F6C">
              <w:rPr>
                <w:rFonts w:cs="Calibri"/>
                <w:sz w:val="16"/>
                <w:szCs w:val="16"/>
              </w:rPr>
              <w:t>X</w:t>
            </w:r>
          </w:p>
        </w:tc>
        <w:tc>
          <w:tcPr>
            <w:tcW w:w="428" w:type="dxa"/>
          </w:tcPr>
          <w:p w14:paraId="1732A943"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0D941A80" w14:textId="77777777" w:rsidR="002B04EB" w:rsidRPr="003F7F6C" w:rsidRDefault="002B04EB" w:rsidP="00B851B7">
            <w:pPr>
              <w:rPr>
                <w:sz w:val="16"/>
                <w:szCs w:val="16"/>
              </w:rPr>
            </w:pPr>
            <w:r w:rsidRPr="003F7F6C">
              <w:rPr>
                <w:rFonts w:cs="Calibri"/>
                <w:sz w:val="16"/>
                <w:szCs w:val="16"/>
              </w:rPr>
              <w:t>X</w:t>
            </w:r>
          </w:p>
        </w:tc>
        <w:tc>
          <w:tcPr>
            <w:tcW w:w="428" w:type="dxa"/>
          </w:tcPr>
          <w:p w14:paraId="05C96BF5" w14:textId="77777777" w:rsidR="002B04EB" w:rsidRPr="003F7F6C" w:rsidRDefault="002B04EB" w:rsidP="00B851B7">
            <w:pPr>
              <w:rPr>
                <w:rFonts w:cs="Calibri"/>
                <w:sz w:val="16"/>
                <w:szCs w:val="16"/>
              </w:rPr>
            </w:pPr>
          </w:p>
        </w:tc>
        <w:tc>
          <w:tcPr>
            <w:tcW w:w="428" w:type="dxa"/>
          </w:tcPr>
          <w:p w14:paraId="1B3F461C" w14:textId="77777777" w:rsidR="002B04EB" w:rsidRPr="003F7F6C" w:rsidRDefault="002B04EB" w:rsidP="00B851B7">
            <w:pPr>
              <w:rPr>
                <w:rFonts w:cs="Calibri"/>
                <w:sz w:val="16"/>
                <w:szCs w:val="16"/>
              </w:rPr>
            </w:pPr>
          </w:p>
        </w:tc>
        <w:tc>
          <w:tcPr>
            <w:tcW w:w="428" w:type="dxa"/>
          </w:tcPr>
          <w:p w14:paraId="65716B2C" w14:textId="77777777" w:rsidR="002B04EB" w:rsidRPr="003F7F6C" w:rsidRDefault="002B04EB" w:rsidP="00B851B7">
            <w:pPr>
              <w:rPr>
                <w:rFonts w:cs="Calibri"/>
                <w:sz w:val="16"/>
                <w:szCs w:val="16"/>
              </w:rPr>
            </w:pPr>
          </w:p>
        </w:tc>
        <w:tc>
          <w:tcPr>
            <w:tcW w:w="428" w:type="dxa"/>
            <w:gridSpan w:val="2"/>
          </w:tcPr>
          <w:p w14:paraId="4B29705E" w14:textId="77777777" w:rsidR="002B04EB" w:rsidRPr="003F7F6C" w:rsidRDefault="002B04EB" w:rsidP="00B851B7">
            <w:pPr>
              <w:rPr>
                <w:rFonts w:cs="Calibri"/>
                <w:sz w:val="16"/>
                <w:szCs w:val="16"/>
              </w:rPr>
            </w:pPr>
          </w:p>
        </w:tc>
        <w:tc>
          <w:tcPr>
            <w:tcW w:w="428" w:type="dxa"/>
          </w:tcPr>
          <w:p w14:paraId="0FC8A9E2" w14:textId="77777777" w:rsidR="002B04EB" w:rsidRPr="003F7F6C" w:rsidRDefault="002B04EB" w:rsidP="00B851B7">
            <w:pPr>
              <w:rPr>
                <w:rFonts w:cs="Calibri"/>
                <w:sz w:val="16"/>
                <w:szCs w:val="16"/>
              </w:rPr>
            </w:pPr>
          </w:p>
        </w:tc>
        <w:tc>
          <w:tcPr>
            <w:tcW w:w="428" w:type="dxa"/>
          </w:tcPr>
          <w:p w14:paraId="2029ED83" w14:textId="77777777" w:rsidR="002B04EB" w:rsidRPr="003F7F6C" w:rsidRDefault="002B04EB" w:rsidP="00B851B7">
            <w:pPr>
              <w:rPr>
                <w:rFonts w:cs="Calibri"/>
                <w:sz w:val="16"/>
                <w:szCs w:val="16"/>
              </w:rPr>
            </w:pPr>
          </w:p>
        </w:tc>
        <w:tc>
          <w:tcPr>
            <w:tcW w:w="428" w:type="dxa"/>
          </w:tcPr>
          <w:p w14:paraId="03898D17" w14:textId="77777777" w:rsidR="002B04EB" w:rsidRPr="003F7F6C" w:rsidRDefault="002B04EB" w:rsidP="00B851B7">
            <w:pPr>
              <w:rPr>
                <w:rFonts w:cs="Calibri"/>
                <w:sz w:val="16"/>
                <w:szCs w:val="16"/>
              </w:rPr>
            </w:pPr>
          </w:p>
        </w:tc>
        <w:tc>
          <w:tcPr>
            <w:tcW w:w="428" w:type="dxa"/>
            <w:gridSpan w:val="2"/>
          </w:tcPr>
          <w:p w14:paraId="4EF65E4E" w14:textId="77777777" w:rsidR="002B04EB" w:rsidRPr="003F7F6C" w:rsidRDefault="002B04EB" w:rsidP="00B851B7">
            <w:pPr>
              <w:rPr>
                <w:rFonts w:cs="Calibri"/>
                <w:sz w:val="16"/>
                <w:szCs w:val="16"/>
              </w:rPr>
            </w:pPr>
          </w:p>
        </w:tc>
        <w:tc>
          <w:tcPr>
            <w:tcW w:w="428" w:type="dxa"/>
          </w:tcPr>
          <w:p w14:paraId="5C8CC3F4" w14:textId="77777777" w:rsidR="002B04EB" w:rsidRPr="003F7F6C" w:rsidRDefault="002B04EB" w:rsidP="00B851B7">
            <w:pPr>
              <w:rPr>
                <w:rFonts w:cs="Calibri"/>
                <w:sz w:val="16"/>
                <w:szCs w:val="16"/>
              </w:rPr>
            </w:pPr>
          </w:p>
        </w:tc>
        <w:tc>
          <w:tcPr>
            <w:tcW w:w="428" w:type="dxa"/>
          </w:tcPr>
          <w:p w14:paraId="1F465DE1" w14:textId="77777777" w:rsidR="002B04EB" w:rsidRPr="003F7F6C" w:rsidRDefault="002B04EB" w:rsidP="00B851B7">
            <w:pPr>
              <w:rPr>
                <w:rFonts w:cs="Calibri"/>
                <w:sz w:val="16"/>
                <w:szCs w:val="16"/>
              </w:rPr>
            </w:pPr>
          </w:p>
        </w:tc>
        <w:tc>
          <w:tcPr>
            <w:tcW w:w="428" w:type="dxa"/>
          </w:tcPr>
          <w:p w14:paraId="698C4C57" w14:textId="77777777" w:rsidR="002B04EB" w:rsidRPr="003F7F6C" w:rsidRDefault="002B04EB" w:rsidP="00B851B7">
            <w:pPr>
              <w:rPr>
                <w:rFonts w:cs="Calibri"/>
                <w:sz w:val="16"/>
                <w:szCs w:val="16"/>
              </w:rPr>
            </w:pPr>
          </w:p>
        </w:tc>
        <w:tc>
          <w:tcPr>
            <w:tcW w:w="428" w:type="dxa"/>
          </w:tcPr>
          <w:p w14:paraId="46598A02" w14:textId="77777777" w:rsidR="002B04EB" w:rsidRPr="003F7F6C" w:rsidRDefault="002B04EB" w:rsidP="00B851B7">
            <w:pPr>
              <w:rPr>
                <w:rFonts w:cs="Calibri"/>
                <w:sz w:val="16"/>
                <w:szCs w:val="16"/>
              </w:rPr>
            </w:pPr>
          </w:p>
        </w:tc>
      </w:tr>
      <w:tr w:rsidR="002B04EB" w:rsidRPr="003F7F6C" w14:paraId="370D0376" w14:textId="77777777" w:rsidTr="00B851B7">
        <w:tc>
          <w:tcPr>
            <w:tcW w:w="1668" w:type="dxa"/>
          </w:tcPr>
          <w:p w14:paraId="320719F7" w14:textId="77777777" w:rsidR="002B04EB" w:rsidRPr="003F7F6C" w:rsidRDefault="002B04EB" w:rsidP="00E91275">
            <w:pPr>
              <w:pStyle w:val="ListParagraph"/>
              <w:numPr>
                <w:ilvl w:val="0"/>
                <w:numId w:val="29"/>
              </w:numPr>
              <w:spacing w:after="0"/>
              <w:ind w:left="166" w:hanging="166"/>
              <w:contextualSpacing w:val="0"/>
              <w:jc w:val="left"/>
              <w:rPr>
                <w:rFonts w:cs="Calibri"/>
                <w:sz w:val="16"/>
                <w:szCs w:val="16"/>
              </w:rPr>
            </w:pPr>
            <w:r w:rsidRPr="003F7F6C">
              <w:rPr>
                <w:rFonts w:cs="Calibri"/>
                <w:sz w:val="16"/>
                <w:szCs w:val="16"/>
              </w:rPr>
              <w:t>Elaborate and validate maps of priority areas</w:t>
            </w:r>
          </w:p>
        </w:tc>
        <w:tc>
          <w:tcPr>
            <w:tcW w:w="1057" w:type="dxa"/>
          </w:tcPr>
          <w:p w14:paraId="557BF591" w14:textId="77777777" w:rsidR="002B04EB" w:rsidRPr="003F7F6C" w:rsidRDefault="00A76779" w:rsidP="00B851B7">
            <w:pPr>
              <w:rPr>
                <w:rFonts w:cs="Calibri"/>
                <w:sz w:val="16"/>
                <w:szCs w:val="16"/>
              </w:rPr>
            </w:pPr>
            <w:r w:rsidRPr="003F7F6C">
              <w:rPr>
                <w:rFonts w:cs="Calibri"/>
                <w:sz w:val="16"/>
                <w:szCs w:val="16"/>
              </w:rPr>
              <w:t>SGAyDS</w:t>
            </w:r>
          </w:p>
        </w:tc>
        <w:tc>
          <w:tcPr>
            <w:tcW w:w="428" w:type="dxa"/>
          </w:tcPr>
          <w:p w14:paraId="0F88978B" w14:textId="77777777" w:rsidR="002B04EB" w:rsidRPr="003F7F6C" w:rsidRDefault="002B04EB" w:rsidP="00B851B7">
            <w:pPr>
              <w:rPr>
                <w:rFonts w:cs="Calibri"/>
                <w:sz w:val="16"/>
                <w:szCs w:val="16"/>
              </w:rPr>
            </w:pPr>
          </w:p>
        </w:tc>
        <w:tc>
          <w:tcPr>
            <w:tcW w:w="444" w:type="dxa"/>
          </w:tcPr>
          <w:p w14:paraId="062A5723" w14:textId="77777777" w:rsidR="002B04EB" w:rsidRPr="003F7F6C" w:rsidRDefault="002B04EB" w:rsidP="00B851B7">
            <w:pPr>
              <w:rPr>
                <w:rFonts w:cs="Calibri"/>
                <w:sz w:val="16"/>
                <w:szCs w:val="16"/>
              </w:rPr>
            </w:pPr>
          </w:p>
        </w:tc>
        <w:tc>
          <w:tcPr>
            <w:tcW w:w="428" w:type="dxa"/>
          </w:tcPr>
          <w:p w14:paraId="215D9091" w14:textId="77777777" w:rsidR="002B04EB" w:rsidRPr="003F7F6C" w:rsidRDefault="002B04EB" w:rsidP="00B851B7">
            <w:pPr>
              <w:rPr>
                <w:rFonts w:cs="Calibri"/>
                <w:sz w:val="16"/>
                <w:szCs w:val="16"/>
              </w:rPr>
            </w:pPr>
          </w:p>
        </w:tc>
        <w:tc>
          <w:tcPr>
            <w:tcW w:w="428" w:type="dxa"/>
            <w:gridSpan w:val="2"/>
          </w:tcPr>
          <w:p w14:paraId="1D7FBCA8" w14:textId="77777777" w:rsidR="002B04EB" w:rsidRPr="003F7F6C" w:rsidRDefault="002B04EB" w:rsidP="00B851B7">
            <w:pPr>
              <w:rPr>
                <w:rFonts w:cs="Calibri"/>
                <w:sz w:val="16"/>
                <w:szCs w:val="16"/>
              </w:rPr>
            </w:pPr>
          </w:p>
        </w:tc>
        <w:tc>
          <w:tcPr>
            <w:tcW w:w="428" w:type="dxa"/>
          </w:tcPr>
          <w:p w14:paraId="4875326D" w14:textId="77777777" w:rsidR="002B04EB" w:rsidRPr="003F7F6C" w:rsidRDefault="002B04EB" w:rsidP="00B851B7">
            <w:pPr>
              <w:rPr>
                <w:sz w:val="16"/>
                <w:szCs w:val="16"/>
              </w:rPr>
            </w:pPr>
            <w:r w:rsidRPr="003F7F6C">
              <w:rPr>
                <w:rFonts w:cs="Calibri"/>
                <w:sz w:val="16"/>
                <w:szCs w:val="16"/>
              </w:rPr>
              <w:t>X</w:t>
            </w:r>
          </w:p>
        </w:tc>
        <w:tc>
          <w:tcPr>
            <w:tcW w:w="427" w:type="dxa"/>
          </w:tcPr>
          <w:p w14:paraId="531C5EAE" w14:textId="77777777" w:rsidR="002B04EB" w:rsidRPr="003F7F6C" w:rsidRDefault="002B04EB" w:rsidP="00B851B7">
            <w:pPr>
              <w:rPr>
                <w:sz w:val="16"/>
                <w:szCs w:val="16"/>
              </w:rPr>
            </w:pPr>
            <w:r w:rsidRPr="003F7F6C">
              <w:rPr>
                <w:rFonts w:cs="Calibri"/>
                <w:sz w:val="16"/>
                <w:szCs w:val="16"/>
              </w:rPr>
              <w:t>X</w:t>
            </w:r>
          </w:p>
        </w:tc>
        <w:tc>
          <w:tcPr>
            <w:tcW w:w="427" w:type="dxa"/>
          </w:tcPr>
          <w:p w14:paraId="02692650" w14:textId="77777777" w:rsidR="002B04EB" w:rsidRPr="003F7F6C" w:rsidRDefault="002B04EB" w:rsidP="00B851B7">
            <w:pPr>
              <w:rPr>
                <w:sz w:val="16"/>
                <w:szCs w:val="16"/>
              </w:rPr>
            </w:pPr>
            <w:r w:rsidRPr="003F7F6C">
              <w:rPr>
                <w:rFonts w:cs="Calibri"/>
                <w:sz w:val="16"/>
                <w:szCs w:val="16"/>
              </w:rPr>
              <w:t>X</w:t>
            </w:r>
          </w:p>
        </w:tc>
        <w:tc>
          <w:tcPr>
            <w:tcW w:w="427" w:type="dxa"/>
            <w:gridSpan w:val="2"/>
          </w:tcPr>
          <w:p w14:paraId="16EF6A29" w14:textId="77777777" w:rsidR="002B04EB" w:rsidRPr="003F7F6C" w:rsidRDefault="002B04EB" w:rsidP="00B851B7">
            <w:pPr>
              <w:rPr>
                <w:sz w:val="16"/>
                <w:szCs w:val="16"/>
              </w:rPr>
            </w:pPr>
            <w:r w:rsidRPr="003F7F6C">
              <w:rPr>
                <w:rFonts w:cs="Calibri"/>
                <w:sz w:val="16"/>
                <w:szCs w:val="16"/>
              </w:rPr>
              <w:t>X</w:t>
            </w:r>
          </w:p>
        </w:tc>
        <w:tc>
          <w:tcPr>
            <w:tcW w:w="428" w:type="dxa"/>
          </w:tcPr>
          <w:p w14:paraId="79C868FB" w14:textId="77777777" w:rsidR="002B04EB" w:rsidRPr="003F7F6C" w:rsidRDefault="002B04EB" w:rsidP="00B851B7">
            <w:pPr>
              <w:rPr>
                <w:sz w:val="16"/>
                <w:szCs w:val="16"/>
              </w:rPr>
            </w:pPr>
            <w:r w:rsidRPr="003F7F6C">
              <w:rPr>
                <w:rFonts w:cs="Calibri"/>
                <w:sz w:val="16"/>
                <w:szCs w:val="16"/>
              </w:rPr>
              <w:t>X</w:t>
            </w:r>
          </w:p>
        </w:tc>
        <w:tc>
          <w:tcPr>
            <w:tcW w:w="428" w:type="dxa"/>
          </w:tcPr>
          <w:p w14:paraId="18705DF9" w14:textId="77777777" w:rsidR="002B04EB" w:rsidRPr="003F7F6C" w:rsidRDefault="002B04EB" w:rsidP="00B851B7">
            <w:pPr>
              <w:rPr>
                <w:sz w:val="16"/>
                <w:szCs w:val="16"/>
              </w:rPr>
            </w:pPr>
            <w:r w:rsidRPr="003F7F6C">
              <w:rPr>
                <w:rFonts w:cs="Calibri"/>
                <w:sz w:val="16"/>
                <w:szCs w:val="16"/>
              </w:rPr>
              <w:t>X</w:t>
            </w:r>
          </w:p>
        </w:tc>
        <w:tc>
          <w:tcPr>
            <w:tcW w:w="428" w:type="dxa"/>
          </w:tcPr>
          <w:p w14:paraId="29D1C571"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6F904B6D" w14:textId="77777777" w:rsidR="002B04EB" w:rsidRPr="003F7F6C" w:rsidRDefault="002B04EB" w:rsidP="00B851B7">
            <w:pPr>
              <w:rPr>
                <w:sz w:val="16"/>
                <w:szCs w:val="16"/>
              </w:rPr>
            </w:pPr>
            <w:r w:rsidRPr="003F7F6C">
              <w:rPr>
                <w:rFonts w:cs="Calibri"/>
                <w:sz w:val="16"/>
                <w:szCs w:val="16"/>
              </w:rPr>
              <w:t>X</w:t>
            </w:r>
          </w:p>
        </w:tc>
        <w:tc>
          <w:tcPr>
            <w:tcW w:w="428" w:type="dxa"/>
          </w:tcPr>
          <w:p w14:paraId="0DAA8A77" w14:textId="77777777" w:rsidR="002B04EB" w:rsidRPr="003F7F6C" w:rsidRDefault="002B04EB" w:rsidP="00B851B7">
            <w:pPr>
              <w:rPr>
                <w:sz w:val="16"/>
                <w:szCs w:val="16"/>
              </w:rPr>
            </w:pPr>
            <w:r w:rsidRPr="003F7F6C">
              <w:rPr>
                <w:rFonts w:cs="Calibri"/>
                <w:sz w:val="16"/>
                <w:szCs w:val="16"/>
              </w:rPr>
              <w:t>X</w:t>
            </w:r>
          </w:p>
        </w:tc>
        <w:tc>
          <w:tcPr>
            <w:tcW w:w="428" w:type="dxa"/>
          </w:tcPr>
          <w:p w14:paraId="628EA011" w14:textId="77777777" w:rsidR="002B04EB" w:rsidRPr="003F7F6C" w:rsidRDefault="002B04EB" w:rsidP="00B851B7">
            <w:pPr>
              <w:rPr>
                <w:sz w:val="16"/>
                <w:szCs w:val="16"/>
              </w:rPr>
            </w:pPr>
            <w:r w:rsidRPr="003F7F6C">
              <w:rPr>
                <w:rFonts w:cs="Calibri"/>
                <w:sz w:val="16"/>
                <w:szCs w:val="16"/>
              </w:rPr>
              <w:t>X</w:t>
            </w:r>
          </w:p>
        </w:tc>
        <w:tc>
          <w:tcPr>
            <w:tcW w:w="428" w:type="dxa"/>
          </w:tcPr>
          <w:p w14:paraId="149F85CB"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46DC7983" w14:textId="77777777" w:rsidR="002B04EB" w:rsidRPr="003F7F6C" w:rsidRDefault="002B04EB" w:rsidP="00B851B7">
            <w:pPr>
              <w:rPr>
                <w:sz w:val="16"/>
                <w:szCs w:val="16"/>
              </w:rPr>
            </w:pPr>
            <w:r w:rsidRPr="003F7F6C">
              <w:rPr>
                <w:rFonts w:cs="Calibri"/>
                <w:sz w:val="16"/>
                <w:szCs w:val="16"/>
              </w:rPr>
              <w:t>X</w:t>
            </w:r>
          </w:p>
        </w:tc>
        <w:tc>
          <w:tcPr>
            <w:tcW w:w="428" w:type="dxa"/>
          </w:tcPr>
          <w:p w14:paraId="132E7C58" w14:textId="77777777" w:rsidR="002B04EB" w:rsidRPr="003F7F6C" w:rsidRDefault="002B04EB" w:rsidP="00B851B7">
            <w:pPr>
              <w:rPr>
                <w:rFonts w:cs="Calibri"/>
                <w:sz w:val="16"/>
                <w:szCs w:val="16"/>
              </w:rPr>
            </w:pPr>
          </w:p>
        </w:tc>
        <w:tc>
          <w:tcPr>
            <w:tcW w:w="428" w:type="dxa"/>
          </w:tcPr>
          <w:p w14:paraId="79650911" w14:textId="77777777" w:rsidR="002B04EB" w:rsidRPr="003F7F6C" w:rsidRDefault="002B04EB" w:rsidP="00B851B7">
            <w:pPr>
              <w:rPr>
                <w:rFonts w:cs="Calibri"/>
                <w:sz w:val="16"/>
                <w:szCs w:val="16"/>
              </w:rPr>
            </w:pPr>
          </w:p>
        </w:tc>
        <w:tc>
          <w:tcPr>
            <w:tcW w:w="428" w:type="dxa"/>
          </w:tcPr>
          <w:p w14:paraId="3419CDDC" w14:textId="77777777" w:rsidR="002B04EB" w:rsidRPr="003F7F6C" w:rsidRDefault="002B04EB" w:rsidP="00B851B7">
            <w:pPr>
              <w:rPr>
                <w:rFonts w:cs="Calibri"/>
                <w:sz w:val="16"/>
                <w:szCs w:val="16"/>
              </w:rPr>
            </w:pPr>
          </w:p>
        </w:tc>
        <w:tc>
          <w:tcPr>
            <w:tcW w:w="428" w:type="dxa"/>
            <w:gridSpan w:val="2"/>
          </w:tcPr>
          <w:p w14:paraId="5CFB2DFD" w14:textId="77777777" w:rsidR="002B04EB" w:rsidRPr="003F7F6C" w:rsidRDefault="002B04EB" w:rsidP="00B851B7">
            <w:pPr>
              <w:rPr>
                <w:rFonts w:cs="Calibri"/>
                <w:sz w:val="16"/>
                <w:szCs w:val="16"/>
              </w:rPr>
            </w:pPr>
          </w:p>
        </w:tc>
        <w:tc>
          <w:tcPr>
            <w:tcW w:w="428" w:type="dxa"/>
          </w:tcPr>
          <w:p w14:paraId="2B201E2D" w14:textId="77777777" w:rsidR="002B04EB" w:rsidRPr="003F7F6C" w:rsidRDefault="002B04EB" w:rsidP="00B851B7">
            <w:pPr>
              <w:rPr>
                <w:rFonts w:cs="Calibri"/>
                <w:sz w:val="16"/>
                <w:szCs w:val="16"/>
              </w:rPr>
            </w:pPr>
          </w:p>
        </w:tc>
        <w:tc>
          <w:tcPr>
            <w:tcW w:w="428" w:type="dxa"/>
          </w:tcPr>
          <w:p w14:paraId="0A3260F8" w14:textId="77777777" w:rsidR="002B04EB" w:rsidRPr="003F7F6C" w:rsidRDefault="002B04EB" w:rsidP="00B851B7">
            <w:pPr>
              <w:rPr>
                <w:rFonts w:cs="Calibri"/>
                <w:sz w:val="16"/>
                <w:szCs w:val="16"/>
              </w:rPr>
            </w:pPr>
          </w:p>
        </w:tc>
        <w:tc>
          <w:tcPr>
            <w:tcW w:w="428" w:type="dxa"/>
          </w:tcPr>
          <w:p w14:paraId="49BEBB8C" w14:textId="77777777" w:rsidR="002B04EB" w:rsidRPr="003F7F6C" w:rsidRDefault="002B04EB" w:rsidP="00B851B7">
            <w:pPr>
              <w:rPr>
                <w:rFonts w:cs="Calibri"/>
                <w:sz w:val="16"/>
                <w:szCs w:val="16"/>
              </w:rPr>
            </w:pPr>
          </w:p>
        </w:tc>
        <w:tc>
          <w:tcPr>
            <w:tcW w:w="428" w:type="dxa"/>
          </w:tcPr>
          <w:p w14:paraId="352DBF34" w14:textId="77777777" w:rsidR="002B04EB" w:rsidRPr="003F7F6C" w:rsidRDefault="002B04EB" w:rsidP="00B851B7">
            <w:pPr>
              <w:rPr>
                <w:rFonts w:cs="Calibri"/>
                <w:sz w:val="16"/>
                <w:szCs w:val="16"/>
              </w:rPr>
            </w:pPr>
          </w:p>
        </w:tc>
      </w:tr>
      <w:tr w:rsidR="002B04EB" w:rsidRPr="003F7F6C" w14:paraId="0CB148EF" w14:textId="77777777" w:rsidTr="00B851B7">
        <w:tc>
          <w:tcPr>
            <w:tcW w:w="1668" w:type="dxa"/>
          </w:tcPr>
          <w:p w14:paraId="094A89FB" w14:textId="77777777" w:rsidR="002B04EB" w:rsidRPr="003F7F6C" w:rsidRDefault="002B04EB" w:rsidP="00E91275">
            <w:pPr>
              <w:pStyle w:val="ListParagraph"/>
              <w:numPr>
                <w:ilvl w:val="0"/>
                <w:numId w:val="29"/>
              </w:numPr>
              <w:spacing w:after="0"/>
              <w:ind w:left="166" w:hanging="166"/>
              <w:contextualSpacing w:val="0"/>
              <w:rPr>
                <w:rFonts w:cs="Calibri"/>
                <w:sz w:val="16"/>
                <w:szCs w:val="16"/>
              </w:rPr>
            </w:pPr>
            <w:r w:rsidRPr="003F7F6C">
              <w:rPr>
                <w:rFonts w:cs="Calibri"/>
                <w:sz w:val="16"/>
                <w:szCs w:val="16"/>
              </w:rPr>
              <w:t>Adjust maps</w:t>
            </w:r>
          </w:p>
        </w:tc>
        <w:tc>
          <w:tcPr>
            <w:tcW w:w="1057" w:type="dxa"/>
          </w:tcPr>
          <w:p w14:paraId="0B9C19EF" w14:textId="77777777" w:rsidR="002B04EB" w:rsidRPr="003F7F6C" w:rsidRDefault="00A76779" w:rsidP="00B851B7">
            <w:pPr>
              <w:rPr>
                <w:rFonts w:cs="Calibri"/>
                <w:sz w:val="16"/>
                <w:szCs w:val="16"/>
              </w:rPr>
            </w:pPr>
            <w:r w:rsidRPr="003F7F6C">
              <w:rPr>
                <w:rFonts w:cs="Calibri"/>
                <w:sz w:val="16"/>
                <w:szCs w:val="16"/>
              </w:rPr>
              <w:t>SGAyDS</w:t>
            </w:r>
          </w:p>
        </w:tc>
        <w:tc>
          <w:tcPr>
            <w:tcW w:w="428" w:type="dxa"/>
          </w:tcPr>
          <w:p w14:paraId="7E9B9EB1" w14:textId="77777777" w:rsidR="002B04EB" w:rsidRPr="003F7F6C" w:rsidRDefault="002B04EB" w:rsidP="00B851B7">
            <w:pPr>
              <w:rPr>
                <w:rFonts w:cs="Calibri"/>
                <w:sz w:val="16"/>
                <w:szCs w:val="16"/>
              </w:rPr>
            </w:pPr>
          </w:p>
        </w:tc>
        <w:tc>
          <w:tcPr>
            <w:tcW w:w="444" w:type="dxa"/>
          </w:tcPr>
          <w:p w14:paraId="3323E756" w14:textId="77777777" w:rsidR="002B04EB" w:rsidRPr="003F7F6C" w:rsidRDefault="002B04EB" w:rsidP="00B851B7">
            <w:pPr>
              <w:rPr>
                <w:rFonts w:cs="Calibri"/>
                <w:sz w:val="16"/>
                <w:szCs w:val="16"/>
              </w:rPr>
            </w:pPr>
          </w:p>
        </w:tc>
        <w:tc>
          <w:tcPr>
            <w:tcW w:w="428" w:type="dxa"/>
          </w:tcPr>
          <w:p w14:paraId="036E8B9D" w14:textId="77777777" w:rsidR="002B04EB" w:rsidRPr="003F7F6C" w:rsidRDefault="002B04EB" w:rsidP="00B851B7">
            <w:pPr>
              <w:rPr>
                <w:rFonts w:cs="Calibri"/>
                <w:sz w:val="16"/>
                <w:szCs w:val="16"/>
              </w:rPr>
            </w:pPr>
          </w:p>
        </w:tc>
        <w:tc>
          <w:tcPr>
            <w:tcW w:w="428" w:type="dxa"/>
            <w:gridSpan w:val="2"/>
          </w:tcPr>
          <w:p w14:paraId="42EEB072" w14:textId="77777777" w:rsidR="002B04EB" w:rsidRPr="003F7F6C" w:rsidRDefault="002B04EB" w:rsidP="00B851B7">
            <w:pPr>
              <w:rPr>
                <w:rFonts w:cs="Calibri"/>
                <w:sz w:val="16"/>
                <w:szCs w:val="16"/>
              </w:rPr>
            </w:pPr>
          </w:p>
        </w:tc>
        <w:tc>
          <w:tcPr>
            <w:tcW w:w="428" w:type="dxa"/>
          </w:tcPr>
          <w:p w14:paraId="59F3D7E9" w14:textId="77777777" w:rsidR="002B04EB" w:rsidRPr="003F7F6C" w:rsidRDefault="002B04EB" w:rsidP="00B851B7">
            <w:pPr>
              <w:rPr>
                <w:rFonts w:cs="Calibri"/>
                <w:sz w:val="16"/>
                <w:szCs w:val="16"/>
              </w:rPr>
            </w:pPr>
          </w:p>
        </w:tc>
        <w:tc>
          <w:tcPr>
            <w:tcW w:w="427" w:type="dxa"/>
          </w:tcPr>
          <w:p w14:paraId="7AAEDEF5" w14:textId="77777777" w:rsidR="002B04EB" w:rsidRPr="003F7F6C" w:rsidRDefault="002B04EB" w:rsidP="00B851B7">
            <w:pPr>
              <w:rPr>
                <w:rFonts w:cs="Calibri"/>
                <w:sz w:val="16"/>
                <w:szCs w:val="16"/>
              </w:rPr>
            </w:pPr>
          </w:p>
        </w:tc>
        <w:tc>
          <w:tcPr>
            <w:tcW w:w="427" w:type="dxa"/>
          </w:tcPr>
          <w:p w14:paraId="21AC4AA0" w14:textId="77777777" w:rsidR="002B04EB" w:rsidRPr="003F7F6C" w:rsidRDefault="002B04EB" w:rsidP="00B851B7">
            <w:pPr>
              <w:rPr>
                <w:rFonts w:cs="Calibri"/>
                <w:sz w:val="16"/>
                <w:szCs w:val="16"/>
              </w:rPr>
            </w:pPr>
          </w:p>
        </w:tc>
        <w:tc>
          <w:tcPr>
            <w:tcW w:w="427" w:type="dxa"/>
            <w:gridSpan w:val="2"/>
          </w:tcPr>
          <w:p w14:paraId="69B7AC12" w14:textId="77777777" w:rsidR="002B04EB" w:rsidRPr="003F7F6C" w:rsidRDefault="002B04EB" w:rsidP="00B851B7">
            <w:pPr>
              <w:rPr>
                <w:rFonts w:cs="Calibri"/>
                <w:sz w:val="16"/>
                <w:szCs w:val="16"/>
              </w:rPr>
            </w:pPr>
          </w:p>
        </w:tc>
        <w:tc>
          <w:tcPr>
            <w:tcW w:w="428" w:type="dxa"/>
          </w:tcPr>
          <w:p w14:paraId="46512779" w14:textId="77777777" w:rsidR="002B04EB" w:rsidRPr="003F7F6C" w:rsidRDefault="002B04EB" w:rsidP="00B851B7">
            <w:pPr>
              <w:rPr>
                <w:rFonts w:cs="Calibri"/>
                <w:sz w:val="16"/>
                <w:szCs w:val="16"/>
              </w:rPr>
            </w:pPr>
          </w:p>
        </w:tc>
        <w:tc>
          <w:tcPr>
            <w:tcW w:w="428" w:type="dxa"/>
          </w:tcPr>
          <w:p w14:paraId="32642D3E" w14:textId="77777777" w:rsidR="002B04EB" w:rsidRPr="003F7F6C" w:rsidRDefault="002B04EB" w:rsidP="00B851B7">
            <w:pPr>
              <w:rPr>
                <w:rFonts w:cs="Calibri"/>
                <w:sz w:val="16"/>
                <w:szCs w:val="16"/>
              </w:rPr>
            </w:pPr>
          </w:p>
        </w:tc>
        <w:tc>
          <w:tcPr>
            <w:tcW w:w="428" w:type="dxa"/>
          </w:tcPr>
          <w:p w14:paraId="482866A9" w14:textId="77777777" w:rsidR="002B04EB" w:rsidRPr="003F7F6C" w:rsidRDefault="002B04EB" w:rsidP="00B851B7">
            <w:pPr>
              <w:rPr>
                <w:rFonts w:cs="Calibri"/>
                <w:sz w:val="16"/>
                <w:szCs w:val="16"/>
              </w:rPr>
            </w:pPr>
          </w:p>
        </w:tc>
        <w:tc>
          <w:tcPr>
            <w:tcW w:w="428" w:type="dxa"/>
            <w:gridSpan w:val="2"/>
          </w:tcPr>
          <w:p w14:paraId="50F731A4" w14:textId="77777777" w:rsidR="002B04EB" w:rsidRPr="003F7F6C" w:rsidRDefault="002B04EB" w:rsidP="00B851B7">
            <w:pPr>
              <w:rPr>
                <w:rFonts w:cs="Calibri"/>
                <w:sz w:val="16"/>
                <w:szCs w:val="16"/>
              </w:rPr>
            </w:pPr>
          </w:p>
        </w:tc>
        <w:tc>
          <w:tcPr>
            <w:tcW w:w="428" w:type="dxa"/>
          </w:tcPr>
          <w:p w14:paraId="36384F06" w14:textId="77777777" w:rsidR="002B04EB" w:rsidRPr="003F7F6C" w:rsidRDefault="002B04EB" w:rsidP="00B851B7">
            <w:pPr>
              <w:rPr>
                <w:rFonts w:cs="Calibri"/>
                <w:sz w:val="16"/>
                <w:szCs w:val="16"/>
              </w:rPr>
            </w:pPr>
          </w:p>
        </w:tc>
        <w:tc>
          <w:tcPr>
            <w:tcW w:w="428" w:type="dxa"/>
          </w:tcPr>
          <w:p w14:paraId="293C68FB" w14:textId="77777777" w:rsidR="002B04EB" w:rsidRPr="003F7F6C" w:rsidRDefault="002B04EB" w:rsidP="00B851B7">
            <w:pPr>
              <w:rPr>
                <w:rFonts w:cs="Calibri"/>
                <w:sz w:val="16"/>
                <w:szCs w:val="16"/>
              </w:rPr>
            </w:pPr>
          </w:p>
        </w:tc>
        <w:tc>
          <w:tcPr>
            <w:tcW w:w="428" w:type="dxa"/>
          </w:tcPr>
          <w:p w14:paraId="0D9429D2"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08151F74" w14:textId="77777777" w:rsidR="002B04EB" w:rsidRPr="003F7F6C" w:rsidRDefault="002B04EB" w:rsidP="00B851B7">
            <w:pPr>
              <w:rPr>
                <w:sz w:val="16"/>
                <w:szCs w:val="16"/>
              </w:rPr>
            </w:pPr>
            <w:r w:rsidRPr="003F7F6C">
              <w:rPr>
                <w:rFonts w:cs="Calibri"/>
                <w:sz w:val="16"/>
                <w:szCs w:val="16"/>
              </w:rPr>
              <w:t>X</w:t>
            </w:r>
          </w:p>
        </w:tc>
        <w:tc>
          <w:tcPr>
            <w:tcW w:w="428" w:type="dxa"/>
          </w:tcPr>
          <w:p w14:paraId="2D646787" w14:textId="77777777" w:rsidR="002B04EB" w:rsidRPr="003F7F6C" w:rsidRDefault="002B04EB" w:rsidP="00B851B7">
            <w:pPr>
              <w:rPr>
                <w:rFonts w:cs="Calibri"/>
                <w:sz w:val="16"/>
                <w:szCs w:val="16"/>
              </w:rPr>
            </w:pPr>
          </w:p>
        </w:tc>
        <w:tc>
          <w:tcPr>
            <w:tcW w:w="428" w:type="dxa"/>
          </w:tcPr>
          <w:p w14:paraId="7FE47D55" w14:textId="77777777" w:rsidR="002B04EB" w:rsidRPr="003F7F6C" w:rsidRDefault="002B04EB" w:rsidP="00B851B7">
            <w:pPr>
              <w:rPr>
                <w:rFonts w:cs="Calibri"/>
                <w:sz w:val="16"/>
                <w:szCs w:val="16"/>
              </w:rPr>
            </w:pPr>
          </w:p>
        </w:tc>
        <w:tc>
          <w:tcPr>
            <w:tcW w:w="428" w:type="dxa"/>
          </w:tcPr>
          <w:p w14:paraId="7BA9172B" w14:textId="77777777" w:rsidR="002B04EB" w:rsidRPr="003F7F6C" w:rsidRDefault="002B04EB" w:rsidP="00B851B7">
            <w:pPr>
              <w:rPr>
                <w:rFonts w:cs="Calibri"/>
                <w:sz w:val="16"/>
                <w:szCs w:val="16"/>
              </w:rPr>
            </w:pPr>
          </w:p>
        </w:tc>
        <w:tc>
          <w:tcPr>
            <w:tcW w:w="428" w:type="dxa"/>
            <w:gridSpan w:val="2"/>
          </w:tcPr>
          <w:p w14:paraId="20EABF0A" w14:textId="77777777" w:rsidR="002B04EB" w:rsidRPr="003F7F6C" w:rsidRDefault="002B04EB" w:rsidP="00B851B7">
            <w:pPr>
              <w:rPr>
                <w:rFonts w:cs="Calibri"/>
                <w:sz w:val="16"/>
                <w:szCs w:val="16"/>
              </w:rPr>
            </w:pPr>
          </w:p>
        </w:tc>
        <w:tc>
          <w:tcPr>
            <w:tcW w:w="428" w:type="dxa"/>
          </w:tcPr>
          <w:p w14:paraId="68AFA431" w14:textId="77777777" w:rsidR="002B04EB" w:rsidRPr="003F7F6C" w:rsidRDefault="002B04EB" w:rsidP="00B851B7">
            <w:pPr>
              <w:rPr>
                <w:rFonts w:cs="Calibri"/>
                <w:sz w:val="16"/>
                <w:szCs w:val="16"/>
              </w:rPr>
            </w:pPr>
          </w:p>
        </w:tc>
        <w:tc>
          <w:tcPr>
            <w:tcW w:w="428" w:type="dxa"/>
          </w:tcPr>
          <w:p w14:paraId="353AE988" w14:textId="77777777" w:rsidR="002B04EB" w:rsidRPr="003F7F6C" w:rsidRDefault="002B04EB" w:rsidP="00B851B7">
            <w:pPr>
              <w:rPr>
                <w:rFonts w:cs="Calibri"/>
                <w:sz w:val="16"/>
                <w:szCs w:val="16"/>
              </w:rPr>
            </w:pPr>
          </w:p>
        </w:tc>
        <w:tc>
          <w:tcPr>
            <w:tcW w:w="428" w:type="dxa"/>
          </w:tcPr>
          <w:p w14:paraId="301DD84E" w14:textId="77777777" w:rsidR="002B04EB" w:rsidRPr="003F7F6C" w:rsidRDefault="002B04EB" w:rsidP="00B851B7">
            <w:pPr>
              <w:rPr>
                <w:rFonts w:cs="Calibri"/>
                <w:sz w:val="16"/>
                <w:szCs w:val="16"/>
              </w:rPr>
            </w:pPr>
          </w:p>
        </w:tc>
        <w:tc>
          <w:tcPr>
            <w:tcW w:w="428" w:type="dxa"/>
          </w:tcPr>
          <w:p w14:paraId="03FFF045" w14:textId="77777777" w:rsidR="002B04EB" w:rsidRPr="003F7F6C" w:rsidRDefault="002B04EB" w:rsidP="00B851B7">
            <w:pPr>
              <w:rPr>
                <w:rFonts w:cs="Calibri"/>
                <w:sz w:val="16"/>
                <w:szCs w:val="16"/>
              </w:rPr>
            </w:pPr>
          </w:p>
        </w:tc>
      </w:tr>
      <w:tr w:rsidR="002B04EB" w:rsidRPr="003F7F6C" w14:paraId="1C5DC07D" w14:textId="77777777" w:rsidTr="00B851B7">
        <w:tc>
          <w:tcPr>
            <w:tcW w:w="1668" w:type="dxa"/>
          </w:tcPr>
          <w:p w14:paraId="08479F57" w14:textId="77777777" w:rsidR="002B04EB" w:rsidRPr="003F7F6C" w:rsidRDefault="002B04EB" w:rsidP="00B851B7">
            <w:pPr>
              <w:rPr>
                <w:rFonts w:cs="Calibri"/>
                <w:sz w:val="16"/>
                <w:szCs w:val="16"/>
              </w:rPr>
            </w:pPr>
            <w:r w:rsidRPr="003F7F6C">
              <w:rPr>
                <w:rFonts w:cs="Calibri"/>
                <w:sz w:val="16"/>
                <w:szCs w:val="16"/>
              </w:rPr>
              <w:t>1.3.3 Develop criteria for production best practices in priority areas for BD and ES conservation</w:t>
            </w:r>
          </w:p>
        </w:tc>
        <w:tc>
          <w:tcPr>
            <w:tcW w:w="1057" w:type="dxa"/>
          </w:tcPr>
          <w:p w14:paraId="3EB88E05" w14:textId="77777777" w:rsidR="002B04EB" w:rsidRPr="003F7F6C" w:rsidRDefault="002B04EB" w:rsidP="00B851B7">
            <w:pPr>
              <w:rPr>
                <w:rFonts w:cs="Calibri"/>
                <w:sz w:val="16"/>
                <w:szCs w:val="16"/>
              </w:rPr>
            </w:pPr>
            <w:r w:rsidRPr="003F7F6C">
              <w:rPr>
                <w:rFonts w:cs="Calibri"/>
                <w:sz w:val="16"/>
                <w:szCs w:val="16"/>
              </w:rPr>
              <w:t xml:space="preserve">SGAyDS </w:t>
            </w:r>
          </w:p>
          <w:p w14:paraId="492D1F3F" w14:textId="77777777" w:rsidR="002B04EB" w:rsidRPr="003F7F6C" w:rsidRDefault="002B04EB" w:rsidP="00B851B7">
            <w:pPr>
              <w:rPr>
                <w:rFonts w:cs="Calibri"/>
                <w:sz w:val="16"/>
                <w:szCs w:val="16"/>
              </w:rPr>
            </w:pPr>
            <w:r w:rsidRPr="003F7F6C">
              <w:rPr>
                <w:rFonts w:cs="Calibri"/>
                <w:sz w:val="16"/>
                <w:szCs w:val="16"/>
              </w:rPr>
              <w:t>INTA</w:t>
            </w:r>
          </w:p>
        </w:tc>
        <w:tc>
          <w:tcPr>
            <w:tcW w:w="428" w:type="dxa"/>
          </w:tcPr>
          <w:p w14:paraId="63148E06" w14:textId="77777777" w:rsidR="002B04EB" w:rsidRPr="003F7F6C" w:rsidRDefault="002B04EB" w:rsidP="00B851B7">
            <w:pPr>
              <w:rPr>
                <w:rFonts w:cs="Calibri"/>
                <w:sz w:val="16"/>
                <w:szCs w:val="16"/>
              </w:rPr>
            </w:pPr>
          </w:p>
        </w:tc>
        <w:tc>
          <w:tcPr>
            <w:tcW w:w="444" w:type="dxa"/>
          </w:tcPr>
          <w:p w14:paraId="269969BA" w14:textId="77777777" w:rsidR="002B04EB" w:rsidRPr="003F7F6C" w:rsidRDefault="002B04EB" w:rsidP="00B851B7">
            <w:pPr>
              <w:rPr>
                <w:sz w:val="16"/>
                <w:szCs w:val="16"/>
              </w:rPr>
            </w:pPr>
            <w:r w:rsidRPr="003F7F6C">
              <w:rPr>
                <w:rFonts w:cs="Calibri"/>
                <w:sz w:val="16"/>
                <w:szCs w:val="16"/>
              </w:rPr>
              <w:t>X</w:t>
            </w:r>
          </w:p>
        </w:tc>
        <w:tc>
          <w:tcPr>
            <w:tcW w:w="428" w:type="dxa"/>
          </w:tcPr>
          <w:p w14:paraId="6679CD79"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69CC910B" w14:textId="77777777" w:rsidR="002B04EB" w:rsidRPr="003F7F6C" w:rsidRDefault="002B04EB" w:rsidP="00B851B7">
            <w:pPr>
              <w:rPr>
                <w:sz w:val="16"/>
                <w:szCs w:val="16"/>
              </w:rPr>
            </w:pPr>
            <w:r w:rsidRPr="003F7F6C">
              <w:rPr>
                <w:rFonts w:cs="Calibri"/>
                <w:sz w:val="16"/>
                <w:szCs w:val="16"/>
              </w:rPr>
              <w:t>X</w:t>
            </w:r>
          </w:p>
        </w:tc>
        <w:tc>
          <w:tcPr>
            <w:tcW w:w="428" w:type="dxa"/>
          </w:tcPr>
          <w:p w14:paraId="67E53706" w14:textId="77777777" w:rsidR="002B04EB" w:rsidRPr="003F7F6C" w:rsidRDefault="002B04EB" w:rsidP="00B851B7">
            <w:pPr>
              <w:rPr>
                <w:sz w:val="16"/>
                <w:szCs w:val="16"/>
              </w:rPr>
            </w:pPr>
            <w:r w:rsidRPr="003F7F6C">
              <w:rPr>
                <w:rFonts w:cs="Calibri"/>
                <w:sz w:val="16"/>
                <w:szCs w:val="16"/>
              </w:rPr>
              <w:t>X</w:t>
            </w:r>
          </w:p>
        </w:tc>
        <w:tc>
          <w:tcPr>
            <w:tcW w:w="427" w:type="dxa"/>
          </w:tcPr>
          <w:p w14:paraId="5F7CCDD3" w14:textId="77777777" w:rsidR="002B04EB" w:rsidRPr="003F7F6C" w:rsidRDefault="002B04EB" w:rsidP="00B851B7">
            <w:pPr>
              <w:rPr>
                <w:sz w:val="16"/>
                <w:szCs w:val="16"/>
              </w:rPr>
            </w:pPr>
            <w:r w:rsidRPr="003F7F6C">
              <w:rPr>
                <w:rFonts w:cs="Calibri"/>
                <w:sz w:val="16"/>
                <w:szCs w:val="16"/>
              </w:rPr>
              <w:t>X</w:t>
            </w:r>
          </w:p>
        </w:tc>
        <w:tc>
          <w:tcPr>
            <w:tcW w:w="427" w:type="dxa"/>
          </w:tcPr>
          <w:p w14:paraId="51F10007" w14:textId="77777777" w:rsidR="002B04EB" w:rsidRPr="003F7F6C" w:rsidRDefault="002B04EB" w:rsidP="00B851B7">
            <w:pPr>
              <w:rPr>
                <w:sz w:val="16"/>
                <w:szCs w:val="16"/>
              </w:rPr>
            </w:pPr>
            <w:r w:rsidRPr="003F7F6C">
              <w:rPr>
                <w:rFonts w:cs="Calibri"/>
                <w:sz w:val="16"/>
                <w:szCs w:val="16"/>
              </w:rPr>
              <w:t>X</w:t>
            </w:r>
          </w:p>
        </w:tc>
        <w:tc>
          <w:tcPr>
            <w:tcW w:w="427" w:type="dxa"/>
            <w:gridSpan w:val="2"/>
          </w:tcPr>
          <w:p w14:paraId="259AE75C" w14:textId="77777777" w:rsidR="002B04EB" w:rsidRPr="003F7F6C" w:rsidRDefault="002B04EB" w:rsidP="00B851B7">
            <w:pPr>
              <w:rPr>
                <w:sz w:val="16"/>
                <w:szCs w:val="16"/>
              </w:rPr>
            </w:pPr>
            <w:r w:rsidRPr="003F7F6C">
              <w:rPr>
                <w:rFonts w:cs="Calibri"/>
                <w:sz w:val="16"/>
                <w:szCs w:val="16"/>
              </w:rPr>
              <w:t>X</w:t>
            </w:r>
          </w:p>
        </w:tc>
        <w:tc>
          <w:tcPr>
            <w:tcW w:w="428" w:type="dxa"/>
          </w:tcPr>
          <w:p w14:paraId="42AA6D98" w14:textId="77777777" w:rsidR="002B04EB" w:rsidRPr="003F7F6C" w:rsidRDefault="002B04EB" w:rsidP="00B851B7">
            <w:pPr>
              <w:rPr>
                <w:sz w:val="16"/>
                <w:szCs w:val="16"/>
              </w:rPr>
            </w:pPr>
            <w:r w:rsidRPr="003F7F6C">
              <w:rPr>
                <w:rFonts w:cs="Calibri"/>
                <w:sz w:val="16"/>
                <w:szCs w:val="16"/>
              </w:rPr>
              <w:t>X</w:t>
            </w:r>
          </w:p>
        </w:tc>
        <w:tc>
          <w:tcPr>
            <w:tcW w:w="428" w:type="dxa"/>
          </w:tcPr>
          <w:p w14:paraId="1F3B2A66" w14:textId="77777777" w:rsidR="002B04EB" w:rsidRPr="003F7F6C" w:rsidRDefault="002B04EB" w:rsidP="00B851B7">
            <w:pPr>
              <w:rPr>
                <w:sz w:val="16"/>
                <w:szCs w:val="16"/>
              </w:rPr>
            </w:pPr>
            <w:r w:rsidRPr="003F7F6C">
              <w:rPr>
                <w:rFonts w:cs="Calibri"/>
                <w:sz w:val="16"/>
                <w:szCs w:val="16"/>
              </w:rPr>
              <w:t>X</w:t>
            </w:r>
          </w:p>
        </w:tc>
        <w:tc>
          <w:tcPr>
            <w:tcW w:w="428" w:type="dxa"/>
          </w:tcPr>
          <w:p w14:paraId="3BD65E27"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29E6C281" w14:textId="77777777" w:rsidR="002B04EB" w:rsidRPr="003F7F6C" w:rsidRDefault="002B04EB" w:rsidP="00B851B7">
            <w:pPr>
              <w:rPr>
                <w:sz w:val="16"/>
                <w:szCs w:val="16"/>
              </w:rPr>
            </w:pPr>
            <w:r w:rsidRPr="003F7F6C">
              <w:rPr>
                <w:rFonts w:cs="Calibri"/>
                <w:sz w:val="16"/>
                <w:szCs w:val="16"/>
              </w:rPr>
              <w:t>X</w:t>
            </w:r>
          </w:p>
        </w:tc>
        <w:tc>
          <w:tcPr>
            <w:tcW w:w="428" w:type="dxa"/>
          </w:tcPr>
          <w:p w14:paraId="14C09B85" w14:textId="77777777" w:rsidR="002B04EB" w:rsidRPr="003F7F6C" w:rsidRDefault="002B04EB" w:rsidP="00B851B7">
            <w:pPr>
              <w:rPr>
                <w:sz w:val="16"/>
                <w:szCs w:val="16"/>
              </w:rPr>
            </w:pPr>
          </w:p>
        </w:tc>
        <w:tc>
          <w:tcPr>
            <w:tcW w:w="428" w:type="dxa"/>
          </w:tcPr>
          <w:p w14:paraId="3C1AE9D3" w14:textId="77777777" w:rsidR="002B04EB" w:rsidRPr="003F7F6C" w:rsidRDefault="002B04EB" w:rsidP="00B851B7">
            <w:pPr>
              <w:rPr>
                <w:sz w:val="16"/>
                <w:szCs w:val="16"/>
              </w:rPr>
            </w:pPr>
          </w:p>
        </w:tc>
        <w:tc>
          <w:tcPr>
            <w:tcW w:w="428" w:type="dxa"/>
          </w:tcPr>
          <w:p w14:paraId="6F891971" w14:textId="77777777" w:rsidR="002B04EB" w:rsidRPr="003F7F6C" w:rsidRDefault="002B04EB" w:rsidP="00B851B7">
            <w:pPr>
              <w:rPr>
                <w:sz w:val="16"/>
                <w:szCs w:val="16"/>
              </w:rPr>
            </w:pPr>
          </w:p>
        </w:tc>
        <w:tc>
          <w:tcPr>
            <w:tcW w:w="428" w:type="dxa"/>
            <w:gridSpan w:val="2"/>
          </w:tcPr>
          <w:p w14:paraId="79A2036D" w14:textId="77777777" w:rsidR="002B04EB" w:rsidRPr="003F7F6C" w:rsidRDefault="002B04EB" w:rsidP="00B851B7">
            <w:pPr>
              <w:rPr>
                <w:sz w:val="16"/>
                <w:szCs w:val="16"/>
              </w:rPr>
            </w:pPr>
          </w:p>
        </w:tc>
        <w:tc>
          <w:tcPr>
            <w:tcW w:w="428" w:type="dxa"/>
          </w:tcPr>
          <w:p w14:paraId="576A64B5" w14:textId="77777777" w:rsidR="002B04EB" w:rsidRPr="003F7F6C" w:rsidRDefault="002B04EB" w:rsidP="00B851B7">
            <w:pPr>
              <w:rPr>
                <w:rFonts w:cs="Calibri"/>
                <w:sz w:val="16"/>
                <w:szCs w:val="16"/>
              </w:rPr>
            </w:pPr>
          </w:p>
        </w:tc>
        <w:tc>
          <w:tcPr>
            <w:tcW w:w="428" w:type="dxa"/>
          </w:tcPr>
          <w:p w14:paraId="27A65430" w14:textId="77777777" w:rsidR="002B04EB" w:rsidRPr="003F7F6C" w:rsidRDefault="002B04EB" w:rsidP="00B851B7">
            <w:pPr>
              <w:rPr>
                <w:rFonts w:cs="Calibri"/>
                <w:sz w:val="16"/>
                <w:szCs w:val="16"/>
              </w:rPr>
            </w:pPr>
          </w:p>
        </w:tc>
        <w:tc>
          <w:tcPr>
            <w:tcW w:w="428" w:type="dxa"/>
          </w:tcPr>
          <w:p w14:paraId="32F88683" w14:textId="77777777" w:rsidR="002B04EB" w:rsidRPr="003F7F6C" w:rsidRDefault="002B04EB" w:rsidP="00B851B7">
            <w:pPr>
              <w:rPr>
                <w:rFonts w:cs="Calibri"/>
                <w:sz w:val="16"/>
                <w:szCs w:val="16"/>
              </w:rPr>
            </w:pPr>
          </w:p>
        </w:tc>
        <w:tc>
          <w:tcPr>
            <w:tcW w:w="428" w:type="dxa"/>
            <w:gridSpan w:val="2"/>
          </w:tcPr>
          <w:p w14:paraId="034D179A" w14:textId="77777777" w:rsidR="002B04EB" w:rsidRPr="003F7F6C" w:rsidRDefault="002B04EB" w:rsidP="00B851B7">
            <w:pPr>
              <w:rPr>
                <w:rFonts w:cs="Calibri"/>
                <w:sz w:val="16"/>
                <w:szCs w:val="16"/>
              </w:rPr>
            </w:pPr>
          </w:p>
        </w:tc>
        <w:tc>
          <w:tcPr>
            <w:tcW w:w="428" w:type="dxa"/>
          </w:tcPr>
          <w:p w14:paraId="3F8F116A" w14:textId="77777777" w:rsidR="002B04EB" w:rsidRPr="003F7F6C" w:rsidRDefault="002B04EB" w:rsidP="00B851B7">
            <w:pPr>
              <w:rPr>
                <w:rFonts w:cs="Calibri"/>
                <w:sz w:val="16"/>
                <w:szCs w:val="16"/>
              </w:rPr>
            </w:pPr>
          </w:p>
        </w:tc>
        <w:tc>
          <w:tcPr>
            <w:tcW w:w="428" w:type="dxa"/>
          </w:tcPr>
          <w:p w14:paraId="6E9BD843" w14:textId="77777777" w:rsidR="002B04EB" w:rsidRPr="003F7F6C" w:rsidRDefault="002B04EB" w:rsidP="00B851B7">
            <w:pPr>
              <w:rPr>
                <w:rFonts w:cs="Calibri"/>
                <w:sz w:val="16"/>
                <w:szCs w:val="16"/>
              </w:rPr>
            </w:pPr>
          </w:p>
        </w:tc>
        <w:tc>
          <w:tcPr>
            <w:tcW w:w="428" w:type="dxa"/>
          </w:tcPr>
          <w:p w14:paraId="6BC4817E" w14:textId="77777777" w:rsidR="002B04EB" w:rsidRPr="003F7F6C" w:rsidRDefault="002B04EB" w:rsidP="00B851B7">
            <w:pPr>
              <w:rPr>
                <w:rFonts w:cs="Calibri"/>
                <w:sz w:val="16"/>
                <w:szCs w:val="16"/>
              </w:rPr>
            </w:pPr>
          </w:p>
        </w:tc>
        <w:tc>
          <w:tcPr>
            <w:tcW w:w="428" w:type="dxa"/>
          </w:tcPr>
          <w:p w14:paraId="6CA8A20D" w14:textId="77777777" w:rsidR="002B04EB" w:rsidRPr="003F7F6C" w:rsidRDefault="002B04EB" w:rsidP="00B851B7">
            <w:pPr>
              <w:rPr>
                <w:rFonts w:cs="Calibri"/>
                <w:sz w:val="16"/>
                <w:szCs w:val="16"/>
              </w:rPr>
            </w:pPr>
          </w:p>
        </w:tc>
      </w:tr>
      <w:tr w:rsidR="002B04EB" w:rsidRPr="003F7F6C" w14:paraId="4C300347" w14:textId="77777777" w:rsidTr="00B851B7">
        <w:tc>
          <w:tcPr>
            <w:tcW w:w="1668" w:type="dxa"/>
          </w:tcPr>
          <w:p w14:paraId="53AE4750" w14:textId="77777777" w:rsidR="002B04EB" w:rsidRPr="003F7F6C" w:rsidRDefault="002B04EB" w:rsidP="00B851B7">
            <w:pPr>
              <w:rPr>
                <w:rFonts w:cs="Calibri"/>
                <w:sz w:val="16"/>
                <w:szCs w:val="16"/>
              </w:rPr>
            </w:pPr>
            <w:r w:rsidRPr="003F7F6C">
              <w:rPr>
                <w:rFonts w:cs="Calibri"/>
                <w:sz w:val="16"/>
                <w:szCs w:val="16"/>
              </w:rPr>
              <w:t>1.3.4 Develop protocol to establish protected areas as basis for ELUP</w:t>
            </w:r>
          </w:p>
        </w:tc>
        <w:tc>
          <w:tcPr>
            <w:tcW w:w="1057" w:type="dxa"/>
          </w:tcPr>
          <w:p w14:paraId="5FF2A1FA" w14:textId="77777777" w:rsidR="002B04EB" w:rsidRPr="003F7F6C" w:rsidRDefault="002B04EB" w:rsidP="00B851B7">
            <w:pPr>
              <w:rPr>
                <w:rFonts w:cs="Calibri"/>
                <w:sz w:val="16"/>
                <w:szCs w:val="16"/>
              </w:rPr>
            </w:pPr>
            <w:r w:rsidRPr="003F7F6C">
              <w:rPr>
                <w:rFonts w:cs="Calibri"/>
                <w:sz w:val="16"/>
                <w:szCs w:val="16"/>
              </w:rPr>
              <w:t xml:space="preserve">SGAyDS </w:t>
            </w:r>
          </w:p>
          <w:p w14:paraId="7A3CCC75" w14:textId="77777777" w:rsidR="002B04EB" w:rsidRPr="003F7F6C" w:rsidRDefault="002B04EB" w:rsidP="00B851B7">
            <w:pPr>
              <w:rPr>
                <w:rFonts w:cs="Calibri"/>
                <w:sz w:val="16"/>
                <w:szCs w:val="16"/>
              </w:rPr>
            </w:pPr>
          </w:p>
        </w:tc>
        <w:tc>
          <w:tcPr>
            <w:tcW w:w="428" w:type="dxa"/>
          </w:tcPr>
          <w:p w14:paraId="097CA024" w14:textId="77777777" w:rsidR="002B04EB" w:rsidRPr="003F7F6C" w:rsidRDefault="002B04EB" w:rsidP="00B851B7">
            <w:pPr>
              <w:rPr>
                <w:rFonts w:cs="Calibri"/>
                <w:sz w:val="16"/>
                <w:szCs w:val="16"/>
              </w:rPr>
            </w:pPr>
          </w:p>
        </w:tc>
        <w:tc>
          <w:tcPr>
            <w:tcW w:w="444" w:type="dxa"/>
          </w:tcPr>
          <w:p w14:paraId="0D182D78" w14:textId="77777777" w:rsidR="002B04EB" w:rsidRPr="003F7F6C" w:rsidRDefault="002B04EB" w:rsidP="00B851B7">
            <w:pPr>
              <w:rPr>
                <w:sz w:val="16"/>
                <w:szCs w:val="16"/>
              </w:rPr>
            </w:pPr>
          </w:p>
        </w:tc>
        <w:tc>
          <w:tcPr>
            <w:tcW w:w="428" w:type="dxa"/>
          </w:tcPr>
          <w:p w14:paraId="73950465" w14:textId="77777777" w:rsidR="002B04EB" w:rsidRPr="003F7F6C" w:rsidRDefault="002B04EB" w:rsidP="00B851B7">
            <w:pPr>
              <w:rPr>
                <w:sz w:val="16"/>
                <w:szCs w:val="16"/>
              </w:rPr>
            </w:pPr>
          </w:p>
        </w:tc>
        <w:tc>
          <w:tcPr>
            <w:tcW w:w="428" w:type="dxa"/>
            <w:gridSpan w:val="2"/>
          </w:tcPr>
          <w:p w14:paraId="36D6928C" w14:textId="77777777" w:rsidR="002B04EB" w:rsidRPr="003F7F6C" w:rsidRDefault="002B04EB" w:rsidP="00B851B7">
            <w:pPr>
              <w:rPr>
                <w:sz w:val="16"/>
                <w:szCs w:val="16"/>
              </w:rPr>
            </w:pPr>
          </w:p>
        </w:tc>
        <w:tc>
          <w:tcPr>
            <w:tcW w:w="428" w:type="dxa"/>
          </w:tcPr>
          <w:p w14:paraId="60C0E870" w14:textId="77777777" w:rsidR="002B04EB" w:rsidRPr="003F7F6C" w:rsidRDefault="002B04EB" w:rsidP="00B851B7">
            <w:pPr>
              <w:rPr>
                <w:sz w:val="16"/>
                <w:szCs w:val="16"/>
              </w:rPr>
            </w:pPr>
          </w:p>
        </w:tc>
        <w:tc>
          <w:tcPr>
            <w:tcW w:w="427" w:type="dxa"/>
          </w:tcPr>
          <w:p w14:paraId="63A1F9E3" w14:textId="77777777" w:rsidR="002B04EB" w:rsidRPr="003F7F6C" w:rsidRDefault="002B04EB" w:rsidP="00B851B7">
            <w:pPr>
              <w:rPr>
                <w:sz w:val="16"/>
                <w:szCs w:val="16"/>
              </w:rPr>
            </w:pPr>
          </w:p>
        </w:tc>
        <w:tc>
          <w:tcPr>
            <w:tcW w:w="427" w:type="dxa"/>
          </w:tcPr>
          <w:p w14:paraId="57FC5434" w14:textId="77777777" w:rsidR="002B04EB" w:rsidRPr="003F7F6C" w:rsidRDefault="002B04EB" w:rsidP="00B851B7">
            <w:pPr>
              <w:rPr>
                <w:sz w:val="16"/>
                <w:szCs w:val="16"/>
              </w:rPr>
            </w:pPr>
          </w:p>
        </w:tc>
        <w:tc>
          <w:tcPr>
            <w:tcW w:w="427" w:type="dxa"/>
            <w:gridSpan w:val="2"/>
          </w:tcPr>
          <w:p w14:paraId="06372776" w14:textId="77777777" w:rsidR="002B04EB" w:rsidRPr="003F7F6C" w:rsidRDefault="002B04EB" w:rsidP="00B851B7">
            <w:pPr>
              <w:rPr>
                <w:sz w:val="16"/>
                <w:szCs w:val="16"/>
              </w:rPr>
            </w:pPr>
          </w:p>
        </w:tc>
        <w:tc>
          <w:tcPr>
            <w:tcW w:w="428" w:type="dxa"/>
          </w:tcPr>
          <w:p w14:paraId="0CF181CF" w14:textId="77777777" w:rsidR="002B04EB" w:rsidRPr="003F7F6C" w:rsidRDefault="002B04EB" w:rsidP="00B851B7">
            <w:pPr>
              <w:rPr>
                <w:sz w:val="16"/>
                <w:szCs w:val="16"/>
              </w:rPr>
            </w:pPr>
          </w:p>
        </w:tc>
        <w:tc>
          <w:tcPr>
            <w:tcW w:w="428" w:type="dxa"/>
          </w:tcPr>
          <w:p w14:paraId="280D8E8F" w14:textId="77777777" w:rsidR="002B04EB" w:rsidRPr="003F7F6C" w:rsidRDefault="002B04EB" w:rsidP="00B851B7">
            <w:pPr>
              <w:rPr>
                <w:sz w:val="16"/>
                <w:szCs w:val="16"/>
              </w:rPr>
            </w:pPr>
          </w:p>
        </w:tc>
        <w:tc>
          <w:tcPr>
            <w:tcW w:w="428" w:type="dxa"/>
          </w:tcPr>
          <w:p w14:paraId="2B22CBCF" w14:textId="77777777" w:rsidR="002B04EB" w:rsidRPr="003F7F6C" w:rsidRDefault="002B04EB" w:rsidP="00B851B7">
            <w:pPr>
              <w:rPr>
                <w:sz w:val="16"/>
                <w:szCs w:val="16"/>
              </w:rPr>
            </w:pPr>
          </w:p>
        </w:tc>
        <w:tc>
          <w:tcPr>
            <w:tcW w:w="428" w:type="dxa"/>
            <w:gridSpan w:val="2"/>
          </w:tcPr>
          <w:p w14:paraId="70F17F17" w14:textId="77777777" w:rsidR="002B04EB" w:rsidRPr="003F7F6C" w:rsidRDefault="002B04EB" w:rsidP="00B851B7">
            <w:pPr>
              <w:rPr>
                <w:sz w:val="16"/>
                <w:szCs w:val="16"/>
              </w:rPr>
            </w:pPr>
          </w:p>
        </w:tc>
        <w:tc>
          <w:tcPr>
            <w:tcW w:w="428" w:type="dxa"/>
          </w:tcPr>
          <w:p w14:paraId="7BA58CB7" w14:textId="77777777" w:rsidR="002B04EB" w:rsidRPr="003F7F6C" w:rsidRDefault="002B04EB" w:rsidP="00B851B7">
            <w:pPr>
              <w:rPr>
                <w:rFonts w:cs="Calibri"/>
                <w:sz w:val="16"/>
                <w:szCs w:val="16"/>
              </w:rPr>
            </w:pPr>
            <w:r w:rsidRPr="003F7F6C">
              <w:rPr>
                <w:rFonts w:cs="Calibri"/>
                <w:sz w:val="16"/>
                <w:szCs w:val="16"/>
              </w:rPr>
              <w:t>X</w:t>
            </w:r>
          </w:p>
        </w:tc>
        <w:tc>
          <w:tcPr>
            <w:tcW w:w="428" w:type="dxa"/>
          </w:tcPr>
          <w:p w14:paraId="19142FF6" w14:textId="77777777" w:rsidR="002B04EB" w:rsidRPr="003F7F6C" w:rsidRDefault="002B04EB" w:rsidP="00B851B7">
            <w:pPr>
              <w:rPr>
                <w:sz w:val="16"/>
                <w:szCs w:val="16"/>
              </w:rPr>
            </w:pPr>
            <w:r w:rsidRPr="003F7F6C">
              <w:rPr>
                <w:rFonts w:cs="Calibri"/>
                <w:sz w:val="16"/>
                <w:szCs w:val="16"/>
              </w:rPr>
              <w:t>X</w:t>
            </w:r>
          </w:p>
        </w:tc>
        <w:tc>
          <w:tcPr>
            <w:tcW w:w="428" w:type="dxa"/>
          </w:tcPr>
          <w:p w14:paraId="36809E00"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7F3A3139" w14:textId="77777777" w:rsidR="002B04EB" w:rsidRPr="003F7F6C" w:rsidRDefault="002B04EB" w:rsidP="00B851B7">
            <w:pPr>
              <w:rPr>
                <w:sz w:val="16"/>
                <w:szCs w:val="16"/>
              </w:rPr>
            </w:pPr>
            <w:r w:rsidRPr="003F7F6C">
              <w:rPr>
                <w:rFonts w:cs="Calibri"/>
                <w:sz w:val="16"/>
                <w:szCs w:val="16"/>
              </w:rPr>
              <w:t>X</w:t>
            </w:r>
          </w:p>
        </w:tc>
        <w:tc>
          <w:tcPr>
            <w:tcW w:w="428" w:type="dxa"/>
          </w:tcPr>
          <w:p w14:paraId="767F65FE" w14:textId="77777777" w:rsidR="002B04EB" w:rsidRPr="003F7F6C" w:rsidRDefault="002B04EB" w:rsidP="00B851B7">
            <w:pPr>
              <w:rPr>
                <w:sz w:val="16"/>
                <w:szCs w:val="16"/>
              </w:rPr>
            </w:pPr>
            <w:r w:rsidRPr="003F7F6C">
              <w:rPr>
                <w:rFonts w:cs="Calibri"/>
                <w:sz w:val="16"/>
                <w:szCs w:val="16"/>
              </w:rPr>
              <w:t>X</w:t>
            </w:r>
          </w:p>
        </w:tc>
        <w:tc>
          <w:tcPr>
            <w:tcW w:w="428" w:type="dxa"/>
          </w:tcPr>
          <w:p w14:paraId="1078BF15" w14:textId="77777777" w:rsidR="002B04EB" w:rsidRPr="003F7F6C" w:rsidRDefault="002B04EB" w:rsidP="00B851B7">
            <w:pPr>
              <w:rPr>
                <w:sz w:val="16"/>
                <w:szCs w:val="16"/>
              </w:rPr>
            </w:pPr>
            <w:r w:rsidRPr="003F7F6C">
              <w:rPr>
                <w:rFonts w:cs="Calibri"/>
                <w:sz w:val="16"/>
                <w:szCs w:val="16"/>
              </w:rPr>
              <w:t>X</w:t>
            </w:r>
          </w:p>
        </w:tc>
        <w:tc>
          <w:tcPr>
            <w:tcW w:w="428" w:type="dxa"/>
          </w:tcPr>
          <w:p w14:paraId="03473B36"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5EB72B08" w14:textId="77777777" w:rsidR="002B04EB" w:rsidRPr="003F7F6C" w:rsidRDefault="002B04EB" w:rsidP="00B851B7">
            <w:pPr>
              <w:rPr>
                <w:sz w:val="16"/>
                <w:szCs w:val="16"/>
              </w:rPr>
            </w:pPr>
            <w:r w:rsidRPr="003F7F6C">
              <w:rPr>
                <w:rFonts w:cs="Calibri"/>
                <w:sz w:val="16"/>
                <w:szCs w:val="16"/>
              </w:rPr>
              <w:t>X</w:t>
            </w:r>
          </w:p>
        </w:tc>
        <w:tc>
          <w:tcPr>
            <w:tcW w:w="428" w:type="dxa"/>
          </w:tcPr>
          <w:p w14:paraId="33FAB663" w14:textId="77777777" w:rsidR="002B04EB" w:rsidRPr="003F7F6C" w:rsidRDefault="002B04EB" w:rsidP="00B851B7">
            <w:pPr>
              <w:rPr>
                <w:sz w:val="16"/>
                <w:szCs w:val="16"/>
              </w:rPr>
            </w:pPr>
            <w:r w:rsidRPr="003F7F6C">
              <w:rPr>
                <w:rFonts w:cs="Calibri"/>
                <w:sz w:val="16"/>
                <w:szCs w:val="16"/>
              </w:rPr>
              <w:t>X</w:t>
            </w:r>
          </w:p>
        </w:tc>
        <w:tc>
          <w:tcPr>
            <w:tcW w:w="428" w:type="dxa"/>
          </w:tcPr>
          <w:p w14:paraId="3433D4B3" w14:textId="77777777" w:rsidR="002B04EB" w:rsidRPr="003F7F6C" w:rsidRDefault="002B04EB" w:rsidP="00B851B7">
            <w:pPr>
              <w:rPr>
                <w:sz w:val="16"/>
                <w:szCs w:val="16"/>
              </w:rPr>
            </w:pPr>
            <w:r w:rsidRPr="003F7F6C">
              <w:rPr>
                <w:rFonts w:cs="Calibri"/>
                <w:sz w:val="16"/>
                <w:szCs w:val="16"/>
              </w:rPr>
              <w:t>X</w:t>
            </w:r>
          </w:p>
        </w:tc>
        <w:tc>
          <w:tcPr>
            <w:tcW w:w="428" w:type="dxa"/>
          </w:tcPr>
          <w:p w14:paraId="43739D9C" w14:textId="77777777" w:rsidR="002B04EB" w:rsidRPr="003F7F6C" w:rsidRDefault="002B04EB" w:rsidP="00B851B7">
            <w:pPr>
              <w:rPr>
                <w:sz w:val="16"/>
                <w:szCs w:val="16"/>
              </w:rPr>
            </w:pPr>
            <w:r w:rsidRPr="003F7F6C">
              <w:rPr>
                <w:rFonts w:cs="Calibri"/>
                <w:sz w:val="16"/>
                <w:szCs w:val="16"/>
              </w:rPr>
              <w:t>X</w:t>
            </w:r>
          </w:p>
        </w:tc>
        <w:tc>
          <w:tcPr>
            <w:tcW w:w="428" w:type="dxa"/>
          </w:tcPr>
          <w:p w14:paraId="4572478F" w14:textId="77777777" w:rsidR="002B04EB" w:rsidRPr="003F7F6C" w:rsidRDefault="002B04EB" w:rsidP="00B851B7">
            <w:pPr>
              <w:rPr>
                <w:sz w:val="16"/>
                <w:szCs w:val="16"/>
              </w:rPr>
            </w:pPr>
            <w:r w:rsidRPr="003F7F6C">
              <w:rPr>
                <w:rFonts w:cs="Calibri"/>
                <w:sz w:val="16"/>
                <w:szCs w:val="16"/>
              </w:rPr>
              <w:t>X</w:t>
            </w:r>
          </w:p>
        </w:tc>
      </w:tr>
      <w:tr w:rsidR="002B04EB" w:rsidRPr="003F7F6C" w14:paraId="7138D01B" w14:textId="77777777" w:rsidTr="002B04EB">
        <w:tc>
          <w:tcPr>
            <w:tcW w:w="13010" w:type="dxa"/>
            <w:gridSpan w:val="31"/>
            <w:shd w:val="clear" w:color="auto" w:fill="C5E0B3"/>
          </w:tcPr>
          <w:p w14:paraId="68FA9BD3" w14:textId="77777777" w:rsidR="002B04EB" w:rsidRPr="003F7F6C" w:rsidRDefault="002B04EB" w:rsidP="00B851B7">
            <w:pPr>
              <w:pStyle w:val="ListParagraph"/>
              <w:tabs>
                <w:tab w:val="left" w:pos="426"/>
              </w:tabs>
              <w:spacing w:after="0"/>
              <w:ind w:left="0"/>
              <w:contextualSpacing w:val="0"/>
              <w:rPr>
                <w:rFonts w:cs="Calibri"/>
                <w:bCs/>
                <w:sz w:val="16"/>
                <w:szCs w:val="16"/>
              </w:rPr>
            </w:pPr>
            <w:r w:rsidRPr="003F7F6C">
              <w:rPr>
                <w:rFonts w:eastAsia="Times New Roman" w:cs="Calibri"/>
                <w:i/>
                <w:sz w:val="16"/>
                <w:szCs w:val="16"/>
                <w:lang w:eastAsia="es-ES_tradnl"/>
              </w:rPr>
              <w:t xml:space="preserve">Output 1.4 </w:t>
            </w:r>
            <w:r w:rsidRPr="003F7F6C">
              <w:rPr>
                <w:rFonts w:eastAsia="Times New Roman" w:cs="Calibri"/>
                <w:bCs/>
                <w:i/>
                <w:sz w:val="16"/>
                <w:szCs w:val="16"/>
                <w:lang w:eastAsia="es-ES_tradnl"/>
              </w:rPr>
              <w:t>Inter-sectoral and inter jurisdictional co-ordination mechanisms</w:t>
            </w:r>
          </w:p>
        </w:tc>
      </w:tr>
      <w:tr w:rsidR="002B04EB" w:rsidRPr="003F7F6C" w14:paraId="2E6BB0DA" w14:textId="77777777" w:rsidTr="00B851B7">
        <w:tc>
          <w:tcPr>
            <w:tcW w:w="1668" w:type="dxa"/>
          </w:tcPr>
          <w:p w14:paraId="2B948F93" w14:textId="77777777" w:rsidR="002B04EB" w:rsidRPr="003F7F6C" w:rsidRDefault="002B04EB" w:rsidP="00B851B7">
            <w:pPr>
              <w:rPr>
                <w:rFonts w:cs="Calibri"/>
                <w:sz w:val="16"/>
                <w:szCs w:val="16"/>
              </w:rPr>
            </w:pPr>
            <w:r w:rsidRPr="003F7F6C">
              <w:rPr>
                <w:rFonts w:cs="Calibri"/>
                <w:sz w:val="16"/>
                <w:szCs w:val="16"/>
              </w:rPr>
              <w:t>1.4.1 Inter-institutional and inter-sectoral dialogue spaces</w:t>
            </w:r>
          </w:p>
        </w:tc>
        <w:tc>
          <w:tcPr>
            <w:tcW w:w="1057" w:type="dxa"/>
          </w:tcPr>
          <w:p w14:paraId="7D54C64D" w14:textId="77777777" w:rsidR="002B04EB" w:rsidRPr="003F7F6C" w:rsidRDefault="002B04EB" w:rsidP="00B851B7">
            <w:pPr>
              <w:rPr>
                <w:rFonts w:cs="Calibri"/>
                <w:sz w:val="16"/>
                <w:szCs w:val="16"/>
              </w:rPr>
            </w:pPr>
            <w:r w:rsidRPr="003F7F6C">
              <w:rPr>
                <w:rFonts w:cs="Calibri"/>
                <w:sz w:val="16"/>
                <w:szCs w:val="16"/>
              </w:rPr>
              <w:t>SGAyDS Provinces</w:t>
            </w:r>
          </w:p>
          <w:p w14:paraId="38487840" w14:textId="77777777" w:rsidR="002B04EB" w:rsidRPr="003F7F6C" w:rsidRDefault="002B04EB" w:rsidP="00B851B7">
            <w:pPr>
              <w:rPr>
                <w:rFonts w:cs="Calibri"/>
                <w:sz w:val="16"/>
                <w:szCs w:val="16"/>
              </w:rPr>
            </w:pPr>
            <w:r w:rsidRPr="003F7F6C">
              <w:rPr>
                <w:rFonts w:cs="Calibri"/>
                <w:sz w:val="16"/>
                <w:szCs w:val="16"/>
              </w:rPr>
              <w:t>INTA</w:t>
            </w:r>
          </w:p>
        </w:tc>
        <w:tc>
          <w:tcPr>
            <w:tcW w:w="428" w:type="dxa"/>
          </w:tcPr>
          <w:p w14:paraId="4F3A07E4" w14:textId="77777777" w:rsidR="002B04EB" w:rsidRPr="003F7F6C" w:rsidRDefault="002B04EB" w:rsidP="00B851B7">
            <w:pPr>
              <w:rPr>
                <w:rFonts w:cs="Calibri"/>
                <w:sz w:val="16"/>
                <w:szCs w:val="16"/>
              </w:rPr>
            </w:pPr>
          </w:p>
        </w:tc>
        <w:tc>
          <w:tcPr>
            <w:tcW w:w="444" w:type="dxa"/>
          </w:tcPr>
          <w:p w14:paraId="004D8B1A" w14:textId="77777777" w:rsidR="002B04EB" w:rsidRPr="003F7F6C" w:rsidRDefault="002B04EB" w:rsidP="00B851B7">
            <w:pPr>
              <w:rPr>
                <w:sz w:val="16"/>
                <w:szCs w:val="16"/>
              </w:rPr>
            </w:pPr>
            <w:r w:rsidRPr="003F7F6C">
              <w:rPr>
                <w:rFonts w:cs="Calibri"/>
                <w:sz w:val="16"/>
                <w:szCs w:val="16"/>
              </w:rPr>
              <w:t>X</w:t>
            </w:r>
          </w:p>
        </w:tc>
        <w:tc>
          <w:tcPr>
            <w:tcW w:w="428" w:type="dxa"/>
          </w:tcPr>
          <w:p w14:paraId="39DE0CAF"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16995DCF" w14:textId="77777777" w:rsidR="002B04EB" w:rsidRPr="003F7F6C" w:rsidRDefault="002B04EB" w:rsidP="00B851B7">
            <w:pPr>
              <w:rPr>
                <w:sz w:val="16"/>
                <w:szCs w:val="16"/>
              </w:rPr>
            </w:pPr>
            <w:r w:rsidRPr="003F7F6C">
              <w:rPr>
                <w:rFonts w:cs="Calibri"/>
                <w:sz w:val="16"/>
                <w:szCs w:val="16"/>
              </w:rPr>
              <w:t>X</w:t>
            </w:r>
          </w:p>
        </w:tc>
        <w:tc>
          <w:tcPr>
            <w:tcW w:w="428" w:type="dxa"/>
          </w:tcPr>
          <w:p w14:paraId="14B093F6" w14:textId="77777777" w:rsidR="002B04EB" w:rsidRPr="003F7F6C" w:rsidRDefault="002B04EB" w:rsidP="00B851B7">
            <w:pPr>
              <w:rPr>
                <w:sz w:val="16"/>
                <w:szCs w:val="16"/>
              </w:rPr>
            </w:pPr>
            <w:r w:rsidRPr="003F7F6C">
              <w:rPr>
                <w:rFonts w:cs="Calibri"/>
                <w:sz w:val="16"/>
                <w:szCs w:val="16"/>
              </w:rPr>
              <w:t>X</w:t>
            </w:r>
          </w:p>
        </w:tc>
        <w:tc>
          <w:tcPr>
            <w:tcW w:w="427" w:type="dxa"/>
          </w:tcPr>
          <w:p w14:paraId="5528FBF7" w14:textId="77777777" w:rsidR="002B04EB" w:rsidRPr="003F7F6C" w:rsidRDefault="002B04EB" w:rsidP="00B851B7">
            <w:pPr>
              <w:rPr>
                <w:sz w:val="16"/>
                <w:szCs w:val="16"/>
              </w:rPr>
            </w:pPr>
            <w:r w:rsidRPr="003F7F6C">
              <w:rPr>
                <w:rFonts w:cs="Calibri"/>
                <w:sz w:val="16"/>
                <w:szCs w:val="16"/>
              </w:rPr>
              <w:t>X</w:t>
            </w:r>
          </w:p>
        </w:tc>
        <w:tc>
          <w:tcPr>
            <w:tcW w:w="427" w:type="dxa"/>
          </w:tcPr>
          <w:p w14:paraId="20570408" w14:textId="77777777" w:rsidR="002B04EB" w:rsidRPr="003F7F6C" w:rsidRDefault="002B04EB" w:rsidP="00B851B7">
            <w:pPr>
              <w:rPr>
                <w:sz w:val="16"/>
                <w:szCs w:val="16"/>
              </w:rPr>
            </w:pPr>
            <w:r w:rsidRPr="003F7F6C">
              <w:rPr>
                <w:rFonts w:cs="Calibri"/>
                <w:sz w:val="16"/>
                <w:szCs w:val="16"/>
              </w:rPr>
              <w:t>X</w:t>
            </w:r>
          </w:p>
        </w:tc>
        <w:tc>
          <w:tcPr>
            <w:tcW w:w="427" w:type="dxa"/>
            <w:gridSpan w:val="2"/>
          </w:tcPr>
          <w:p w14:paraId="45425D74" w14:textId="77777777" w:rsidR="002B04EB" w:rsidRPr="003F7F6C" w:rsidRDefault="002B04EB" w:rsidP="00B851B7">
            <w:pPr>
              <w:rPr>
                <w:sz w:val="16"/>
                <w:szCs w:val="16"/>
              </w:rPr>
            </w:pPr>
            <w:r w:rsidRPr="003F7F6C">
              <w:rPr>
                <w:rFonts w:cs="Calibri"/>
                <w:sz w:val="16"/>
                <w:szCs w:val="16"/>
              </w:rPr>
              <w:t>X</w:t>
            </w:r>
          </w:p>
        </w:tc>
        <w:tc>
          <w:tcPr>
            <w:tcW w:w="428" w:type="dxa"/>
          </w:tcPr>
          <w:p w14:paraId="1E080DF9" w14:textId="77777777" w:rsidR="002B04EB" w:rsidRPr="003F7F6C" w:rsidRDefault="002B04EB" w:rsidP="00B851B7">
            <w:pPr>
              <w:rPr>
                <w:sz w:val="16"/>
                <w:szCs w:val="16"/>
              </w:rPr>
            </w:pPr>
            <w:r w:rsidRPr="003F7F6C">
              <w:rPr>
                <w:rFonts w:cs="Calibri"/>
                <w:sz w:val="16"/>
                <w:szCs w:val="16"/>
              </w:rPr>
              <w:t>X</w:t>
            </w:r>
          </w:p>
        </w:tc>
        <w:tc>
          <w:tcPr>
            <w:tcW w:w="428" w:type="dxa"/>
          </w:tcPr>
          <w:p w14:paraId="360CD356" w14:textId="77777777" w:rsidR="002B04EB" w:rsidRPr="003F7F6C" w:rsidRDefault="002B04EB" w:rsidP="00B851B7">
            <w:pPr>
              <w:rPr>
                <w:sz w:val="16"/>
                <w:szCs w:val="16"/>
              </w:rPr>
            </w:pPr>
            <w:r w:rsidRPr="003F7F6C">
              <w:rPr>
                <w:rFonts w:cs="Calibri"/>
                <w:sz w:val="16"/>
                <w:szCs w:val="16"/>
              </w:rPr>
              <w:t>X</w:t>
            </w:r>
          </w:p>
        </w:tc>
        <w:tc>
          <w:tcPr>
            <w:tcW w:w="428" w:type="dxa"/>
          </w:tcPr>
          <w:p w14:paraId="251467D4"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1AE004D6" w14:textId="77777777" w:rsidR="002B04EB" w:rsidRPr="003F7F6C" w:rsidRDefault="002B04EB" w:rsidP="00B851B7">
            <w:pPr>
              <w:rPr>
                <w:sz w:val="16"/>
                <w:szCs w:val="16"/>
              </w:rPr>
            </w:pPr>
            <w:r w:rsidRPr="003F7F6C">
              <w:rPr>
                <w:rFonts w:cs="Calibri"/>
                <w:sz w:val="16"/>
                <w:szCs w:val="16"/>
              </w:rPr>
              <w:t>X</w:t>
            </w:r>
          </w:p>
        </w:tc>
        <w:tc>
          <w:tcPr>
            <w:tcW w:w="428" w:type="dxa"/>
          </w:tcPr>
          <w:p w14:paraId="1F2650E6" w14:textId="77777777" w:rsidR="002B04EB" w:rsidRPr="003F7F6C" w:rsidRDefault="002B04EB" w:rsidP="00B851B7">
            <w:pPr>
              <w:rPr>
                <w:sz w:val="16"/>
                <w:szCs w:val="16"/>
              </w:rPr>
            </w:pPr>
            <w:r w:rsidRPr="003F7F6C">
              <w:rPr>
                <w:rFonts w:cs="Calibri"/>
                <w:sz w:val="16"/>
                <w:szCs w:val="16"/>
              </w:rPr>
              <w:t>X</w:t>
            </w:r>
          </w:p>
        </w:tc>
        <w:tc>
          <w:tcPr>
            <w:tcW w:w="428" w:type="dxa"/>
          </w:tcPr>
          <w:p w14:paraId="1BFA4227" w14:textId="77777777" w:rsidR="002B04EB" w:rsidRPr="003F7F6C" w:rsidRDefault="002B04EB" w:rsidP="00B851B7">
            <w:pPr>
              <w:rPr>
                <w:sz w:val="16"/>
                <w:szCs w:val="16"/>
              </w:rPr>
            </w:pPr>
            <w:r w:rsidRPr="003F7F6C">
              <w:rPr>
                <w:rFonts w:cs="Calibri"/>
                <w:sz w:val="16"/>
                <w:szCs w:val="16"/>
              </w:rPr>
              <w:t>X</w:t>
            </w:r>
          </w:p>
        </w:tc>
        <w:tc>
          <w:tcPr>
            <w:tcW w:w="428" w:type="dxa"/>
          </w:tcPr>
          <w:p w14:paraId="6AC8874A"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29FB19C5" w14:textId="77777777" w:rsidR="002B04EB" w:rsidRPr="003F7F6C" w:rsidRDefault="002B04EB" w:rsidP="00B851B7">
            <w:pPr>
              <w:rPr>
                <w:sz w:val="16"/>
                <w:szCs w:val="16"/>
              </w:rPr>
            </w:pPr>
            <w:r w:rsidRPr="003F7F6C">
              <w:rPr>
                <w:rFonts w:cs="Calibri"/>
                <w:sz w:val="16"/>
                <w:szCs w:val="16"/>
              </w:rPr>
              <w:t>X</w:t>
            </w:r>
          </w:p>
        </w:tc>
        <w:tc>
          <w:tcPr>
            <w:tcW w:w="428" w:type="dxa"/>
          </w:tcPr>
          <w:p w14:paraId="21186605" w14:textId="77777777" w:rsidR="002B04EB" w:rsidRPr="003F7F6C" w:rsidRDefault="002B04EB" w:rsidP="00B851B7">
            <w:pPr>
              <w:rPr>
                <w:sz w:val="16"/>
                <w:szCs w:val="16"/>
              </w:rPr>
            </w:pPr>
            <w:r w:rsidRPr="003F7F6C">
              <w:rPr>
                <w:rFonts w:cs="Calibri"/>
                <w:sz w:val="16"/>
                <w:szCs w:val="16"/>
              </w:rPr>
              <w:t>X</w:t>
            </w:r>
          </w:p>
        </w:tc>
        <w:tc>
          <w:tcPr>
            <w:tcW w:w="428" w:type="dxa"/>
          </w:tcPr>
          <w:p w14:paraId="400EA449" w14:textId="77777777" w:rsidR="002B04EB" w:rsidRPr="003F7F6C" w:rsidRDefault="002B04EB" w:rsidP="00B851B7">
            <w:pPr>
              <w:rPr>
                <w:sz w:val="16"/>
                <w:szCs w:val="16"/>
              </w:rPr>
            </w:pPr>
            <w:r w:rsidRPr="003F7F6C">
              <w:rPr>
                <w:rFonts w:cs="Calibri"/>
                <w:sz w:val="16"/>
                <w:szCs w:val="16"/>
              </w:rPr>
              <w:t>X</w:t>
            </w:r>
          </w:p>
        </w:tc>
        <w:tc>
          <w:tcPr>
            <w:tcW w:w="428" w:type="dxa"/>
          </w:tcPr>
          <w:p w14:paraId="0CC14F87"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6F149AB3" w14:textId="77777777" w:rsidR="002B04EB" w:rsidRPr="003F7F6C" w:rsidRDefault="002B04EB" w:rsidP="00B851B7">
            <w:pPr>
              <w:rPr>
                <w:sz w:val="16"/>
                <w:szCs w:val="16"/>
              </w:rPr>
            </w:pPr>
            <w:r w:rsidRPr="003F7F6C">
              <w:rPr>
                <w:rFonts w:cs="Calibri"/>
                <w:sz w:val="16"/>
                <w:szCs w:val="16"/>
              </w:rPr>
              <w:t>X</w:t>
            </w:r>
          </w:p>
        </w:tc>
        <w:tc>
          <w:tcPr>
            <w:tcW w:w="428" w:type="dxa"/>
          </w:tcPr>
          <w:p w14:paraId="047FA8C3" w14:textId="77777777" w:rsidR="002B04EB" w:rsidRPr="003F7F6C" w:rsidRDefault="002B04EB" w:rsidP="00B851B7">
            <w:pPr>
              <w:rPr>
                <w:sz w:val="16"/>
                <w:szCs w:val="16"/>
              </w:rPr>
            </w:pPr>
            <w:r w:rsidRPr="003F7F6C">
              <w:rPr>
                <w:rFonts w:cs="Calibri"/>
                <w:sz w:val="16"/>
                <w:szCs w:val="16"/>
              </w:rPr>
              <w:t>X</w:t>
            </w:r>
          </w:p>
        </w:tc>
        <w:tc>
          <w:tcPr>
            <w:tcW w:w="428" w:type="dxa"/>
          </w:tcPr>
          <w:p w14:paraId="3079EB53" w14:textId="77777777" w:rsidR="002B04EB" w:rsidRPr="003F7F6C" w:rsidRDefault="002B04EB" w:rsidP="00B851B7">
            <w:pPr>
              <w:rPr>
                <w:sz w:val="16"/>
                <w:szCs w:val="16"/>
              </w:rPr>
            </w:pPr>
            <w:r w:rsidRPr="003F7F6C">
              <w:rPr>
                <w:rFonts w:cs="Calibri"/>
                <w:sz w:val="16"/>
                <w:szCs w:val="16"/>
              </w:rPr>
              <w:t>X</w:t>
            </w:r>
          </w:p>
        </w:tc>
        <w:tc>
          <w:tcPr>
            <w:tcW w:w="428" w:type="dxa"/>
          </w:tcPr>
          <w:p w14:paraId="5045A89E" w14:textId="77777777" w:rsidR="002B04EB" w:rsidRPr="003F7F6C" w:rsidRDefault="002B04EB" w:rsidP="00B851B7">
            <w:pPr>
              <w:rPr>
                <w:sz w:val="16"/>
                <w:szCs w:val="16"/>
              </w:rPr>
            </w:pPr>
            <w:r w:rsidRPr="003F7F6C">
              <w:rPr>
                <w:rFonts w:cs="Calibri"/>
                <w:sz w:val="16"/>
                <w:szCs w:val="16"/>
              </w:rPr>
              <w:t>X</w:t>
            </w:r>
          </w:p>
        </w:tc>
        <w:tc>
          <w:tcPr>
            <w:tcW w:w="428" w:type="dxa"/>
          </w:tcPr>
          <w:p w14:paraId="1B628A98" w14:textId="77777777" w:rsidR="002B04EB" w:rsidRPr="003F7F6C" w:rsidRDefault="002B04EB" w:rsidP="00B851B7">
            <w:pPr>
              <w:rPr>
                <w:sz w:val="16"/>
                <w:szCs w:val="16"/>
              </w:rPr>
            </w:pPr>
            <w:r w:rsidRPr="003F7F6C">
              <w:rPr>
                <w:rFonts w:cs="Calibri"/>
                <w:sz w:val="16"/>
                <w:szCs w:val="16"/>
              </w:rPr>
              <w:t>X</w:t>
            </w:r>
          </w:p>
        </w:tc>
      </w:tr>
      <w:tr w:rsidR="002B04EB" w:rsidRPr="003F7F6C" w14:paraId="368F94F3" w14:textId="77777777" w:rsidTr="00B851B7">
        <w:tc>
          <w:tcPr>
            <w:tcW w:w="1668" w:type="dxa"/>
          </w:tcPr>
          <w:p w14:paraId="746C678B" w14:textId="77777777" w:rsidR="002B04EB" w:rsidRPr="003F7F6C" w:rsidRDefault="002B04EB" w:rsidP="00E91275">
            <w:pPr>
              <w:pStyle w:val="ListParagraph"/>
              <w:numPr>
                <w:ilvl w:val="0"/>
                <w:numId w:val="29"/>
              </w:numPr>
              <w:spacing w:after="0"/>
              <w:ind w:left="174" w:hanging="174"/>
              <w:contextualSpacing w:val="0"/>
              <w:rPr>
                <w:rFonts w:cs="Calibri"/>
                <w:sz w:val="16"/>
                <w:szCs w:val="16"/>
              </w:rPr>
            </w:pPr>
            <w:r w:rsidRPr="003F7F6C">
              <w:rPr>
                <w:rFonts w:cs="Calibri"/>
                <w:sz w:val="16"/>
                <w:szCs w:val="16"/>
              </w:rPr>
              <w:t>Update stakeholder mapping</w:t>
            </w:r>
          </w:p>
        </w:tc>
        <w:tc>
          <w:tcPr>
            <w:tcW w:w="1057" w:type="dxa"/>
          </w:tcPr>
          <w:p w14:paraId="7DCD4337" w14:textId="77777777" w:rsidR="002B04EB" w:rsidRPr="003F7F6C" w:rsidRDefault="00A76779" w:rsidP="00B851B7">
            <w:pPr>
              <w:rPr>
                <w:rFonts w:cs="Calibri"/>
                <w:sz w:val="16"/>
                <w:szCs w:val="16"/>
              </w:rPr>
            </w:pPr>
            <w:r w:rsidRPr="003F7F6C">
              <w:rPr>
                <w:rFonts w:cs="Calibri"/>
                <w:sz w:val="16"/>
                <w:szCs w:val="16"/>
              </w:rPr>
              <w:t>SGAyDS</w:t>
            </w:r>
          </w:p>
        </w:tc>
        <w:tc>
          <w:tcPr>
            <w:tcW w:w="428" w:type="dxa"/>
          </w:tcPr>
          <w:p w14:paraId="4698A1C5" w14:textId="77777777" w:rsidR="002B04EB" w:rsidRPr="003F7F6C" w:rsidRDefault="002B04EB" w:rsidP="00B851B7">
            <w:pPr>
              <w:rPr>
                <w:rFonts w:cs="Calibri"/>
                <w:sz w:val="16"/>
                <w:szCs w:val="16"/>
              </w:rPr>
            </w:pPr>
          </w:p>
        </w:tc>
        <w:tc>
          <w:tcPr>
            <w:tcW w:w="444" w:type="dxa"/>
          </w:tcPr>
          <w:p w14:paraId="6882E818" w14:textId="77777777" w:rsidR="002B04EB" w:rsidRPr="003F7F6C" w:rsidRDefault="002B04EB" w:rsidP="00B851B7">
            <w:pPr>
              <w:rPr>
                <w:sz w:val="16"/>
                <w:szCs w:val="16"/>
              </w:rPr>
            </w:pPr>
            <w:r w:rsidRPr="003F7F6C">
              <w:rPr>
                <w:rFonts w:cs="Calibri"/>
                <w:sz w:val="16"/>
                <w:szCs w:val="16"/>
              </w:rPr>
              <w:t>X</w:t>
            </w:r>
          </w:p>
        </w:tc>
        <w:tc>
          <w:tcPr>
            <w:tcW w:w="428" w:type="dxa"/>
          </w:tcPr>
          <w:p w14:paraId="010EBF48"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2DCCE97A" w14:textId="77777777" w:rsidR="002B04EB" w:rsidRPr="003F7F6C" w:rsidRDefault="002B04EB" w:rsidP="00B851B7">
            <w:pPr>
              <w:rPr>
                <w:sz w:val="16"/>
                <w:szCs w:val="16"/>
              </w:rPr>
            </w:pPr>
            <w:r w:rsidRPr="003F7F6C">
              <w:rPr>
                <w:rFonts w:cs="Calibri"/>
                <w:sz w:val="16"/>
                <w:szCs w:val="16"/>
              </w:rPr>
              <w:t>X</w:t>
            </w:r>
          </w:p>
        </w:tc>
        <w:tc>
          <w:tcPr>
            <w:tcW w:w="428" w:type="dxa"/>
          </w:tcPr>
          <w:p w14:paraId="2925A944" w14:textId="77777777" w:rsidR="002B04EB" w:rsidRPr="003F7F6C" w:rsidRDefault="002B04EB" w:rsidP="00B851B7">
            <w:pPr>
              <w:rPr>
                <w:rFonts w:cs="Calibri"/>
                <w:sz w:val="16"/>
                <w:szCs w:val="16"/>
              </w:rPr>
            </w:pPr>
          </w:p>
        </w:tc>
        <w:tc>
          <w:tcPr>
            <w:tcW w:w="427" w:type="dxa"/>
          </w:tcPr>
          <w:p w14:paraId="24DB60AC" w14:textId="77777777" w:rsidR="002B04EB" w:rsidRPr="003F7F6C" w:rsidRDefault="002B04EB" w:rsidP="00B851B7">
            <w:pPr>
              <w:rPr>
                <w:rFonts w:cs="Calibri"/>
                <w:sz w:val="16"/>
                <w:szCs w:val="16"/>
              </w:rPr>
            </w:pPr>
          </w:p>
        </w:tc>
        <w:tc>
          <w:tcPr>
            <w:tcW w:w="427" w:type="dxa"/>
          </w:tcPr>
          <w:p w14:paraId="0F1862D8" w14:textId="77777777" w:rsidR="002B04EB" w:rsidRPr="003F7F6C" w:rsidRDefault="002B04EB" w:rsidP="00B851B7">
            <w:pPr>
              <w:rPr>
                <w:rFonts w:cs="Calibri"/>
                <w:sz w:val="16"/>
                <w:szCs w:val="16"/>
              </w:rPr>
            </w:pPr>
          </w:p>
        </w:tc>
        <w:tc>
          <w:tcPr>
            <w:tcW w:w="427" w:type="dxa"/>
            <w:gridSpan w:val="2"/>
          </w:tcPr>
          <w:p w14:paraId="3594A4B7" w14:textId="77777777" w:rsidR="002B04EB" w:rsidRPr="003F7F6C" w:rsidRDefault="002B04EB" w:rsidP="00B851B7">
            <w:pPr>
              <w:rPr>
                <w:rFonts w:cs="Calibri"/>
                <w:sz w:val="16"/>
                <w:szCs w:val="16"/>
              </w:rPr>
            </w:pPr>
          </w:p>
        </w:tc>
        <w:tc>
          <w:tcPr>
            <w:tcW w:w="428" w:type="dxa"/>
          </w:tcPr>
          <w:p w14:paraId="227FD111" w14:textId="77777777" w:rsidR="002B04EB" w:rsidRPr="003F7F6C" w:rsidRDefault="002B04EB" w:rsidP="00B851B7">
            <w:pPr>
              <w:rPr>
                <w:rFonts w:cs="Calibri"/>
                <w:sz w:val="16"/>
                <w:szCs w:val="16"/>
              </w:rPr>
            </w:pPr>
          </w:p>
        </w:tc>
        <w:tc>
          <w:tcPr>
            <w:tcW w:w="428" w:type="dxa"/>
          </w:tcPr>
          <w:p w14:paraId="1C844D66" w14:textId="77777777" w:rsidR="002B04EB" w:rsidRPr="003F7F6C" w:rsidRDefault="002B04EB" w:rsidP="00B851B7">
            <w:pPr>
              <w:rPr>
                <w:rFonts w:cs="Calibri"/>
                <w:sz w:val="16"/>
                <w:szCs w:val="16"/>
              </w:rPr>
            </w:pPr>
          </w:p>
        </w:tc>
        <w:tc>
          <w:tcPr>
            <w:tcW w:w="428" w:type="dxa"/>
          </w:tcPr>
          <w:p w14:paraId="1A99FBD4" w14:textId="77777777" w:rsidR="002B04EB" w:rsidRPr="003F7F6C" w:rsidRDefault="002B04EB" w:rsidP="00B851B7">
            <w:pPr>
              <w:rPr>
                <w:rFonts w:cs="Calibri"/>
                <w:sz w:val="16"/>
                <w:szCs w:val="16"/>
              </w:rPr>
            </w:pPr>
          </w:p>
        </w:tc>
        <w:tc>
          <w:tcPr>
            <w:tcW w:w="428" w:type="dxa"/>
            <w:gridSpan w:val="2"/>
          </w:tcPr>
          <w:p w14:paraId="205EA938" w14:textId="77777777" w:rsidR="002B04EB" w:rsidRPr="003F7F6C" w:rsidRDefault="002B04EB" w:rsidP="00B851B7">
            <w:pPr>
              <w:rPr>
                <w:rFonts w:cs="Calibri"/>
                <w:sz w:val="16"/>
                <w:szCs w:val="16"/>
              </w:rPr>
            </w:pPr>
          </w:p>
        </w:tc>
        <w:tc>
          <w:tcPr>
            <w:tcW w:w="428" w:type="dxa"/>
          </w:tcPr>
          <w:p w14:paraId="6A8E7B78" w14:textId="77777777" w:rsidR="002B04EB" w:rsidRPr="003F7F6C" w:rsidRDefault="002B04EB" w:rsidP="00B851B7">
            <w:pPr>
              <w:rPr>
                <w:rFonts w:cs="Calibri"/>
                <w:sz w:val="16"/>
                <w:szCs w:val="16"/>
              </w:rPr>
            </w:pPr>
          </w:p>
        </w:tc>
        <w:tc>
          <w:tcPr>
            <w:tcW w:w="428" w:type="dxa"/>
          </w:tcPr>
          <w:p w14:paraId="77239849" w14:textId="77777777" w:rsidR="002B04EB" w:rsidRPr="003F7F6C" w:rsidRDefault="002B04EB" w:rsidP="00B851B7">
            <w:pPr>
              <w:rPr>
                <w:rFonts w:cs="Calibri"/>
                <w:sz w:val="16"/>
                <w:szCs w:val="16"/>
              </w:rPr>
            </w:pPr>
          </w:p>
        </w:tc>
        <w:tc>
          <w:tcPr>
            <w:tcW w:w="428" w:type="dxa"/>
          </w:tcPr>
          <w:p w14:paraId="2B9625BA" w14:textId="77777777" w:rsidR="002B04EB" w:rsidRPr="003F7F6C" w:rsidRDefault="002B04EB" w:rsidP="00B851B7">
            <w:pPr>
              <w:rPr>
                <w:rFonts w:cs="Calibri"/>
                <w:sz w:val="16"/>
                <w:szCs w:val="16"/>
              </w:rPr>
            </w:pPr>
          </w:p>
        </w:tc>
        <w:tc>
          <w:tcPr>
            <w:tcW w:w="428" w:type="dxa"/>
            <w:gridSpan w:val="2"/>
          </w:tcPr>
          <w:p w14:paraId="3A321821" w14:textId="77777777" w:rsidR="002B04EB" w:rsidRPr="003F7F6C" w:rsidRDefault="002B04EB" w:rsidP="00B851B7">
            <w:pPr>
              <w:rPr>
                <w:rFonts w:cs="Calibri"/>
                <w:sz w:val="16"/>
                <w:szCs w:val="16"/>
              </w:rPr>
            </w:pPr>
          </w:p>
        </w:tc>
        <w:tc>
          <w:tcPr>
            <w:tcW w:w="428" w:type="dxa"/>
          </w:tcPr>
          <w:p w14:paraId="2ED46F60" w14:textId="77777777" w:rsidR="002B04EB" w:rsidRPr="003F7F6C" w:rsidRDefault="002B04EB" w:rsidP="00B851B7">
            <w:pPr>
              <w:rPr>
                <w:rFonts w:cs="Calibri"/>
                <w:sz w:val="16"/>
                <w:szCs w:val="16"/>
              </w:rPr>
            </w:pPr>
          </w:p>
        </w:tc>
        <w:tc>
          <w:tcPr>
            <w:tcW w:w="428" w:type="dxa"/>
          </w:tcPr>
          <w:p w14:paraId="26C170FF" w14:textId="77777777" w:rsidR="002B04EB" w:rsidRPr="003F7F6C" w:rsidRDefault="002B04EB" w:rsidP="00B851B7">
            <w:pPr>
              <w:rPr>
                <w:rFonts w:cs="Calibri"/>
                <w:sz w:val="16"/>
                <w:szCs w:val="16"/>
              </w:rPr>
            </w:pPr>
          </w:p>
        </w:tc>
        <w:tc>
          <w:tcPr>
            <w:tcW w:w="428" w:type="dxa"/>
          </w:tcPr>
          <w:p w14:paraId="6618A62D" w14:textId="77777777" w:rsidR="002B04EB" w:rsidRPr="003F7F6C" w:rsidRDefault="002B04EB" w:rsidP="00B851B7">
            <w:pPr>
              <w:rPr>
                <w:rFonts w:cs="Calibri"/>
                <w:sz w:val="16"/>
                <w:szCs w:val="16"/>
              </w:rPr>
            </w:pPr>
          </w:p>
        </w:tc>
        <w:tc>
          <w:tcPr>
            <w:tcW w:w="428" w:type="dxa"/>
            <w:gridSpan w:val="2"/>
          </w:tcPr>
          <w:p w14:paraId="5AABE762" w14:textId="77777777" w:rsidR="002B04EB" w:rsidRPr="003F7F6C" w:rsidRDefault="002B04EB" w:rsidP="00B851B7">
            <w:pPr>
              <w:rPr>
                <w:rFonts w:cs="Calibri"/>
                <w:sz w:val="16"/>
                <w:szCs w:val="16"/>
              </w:rPr>
            </w:pPr>
          </w:p>
        </w:tc>
        <w:tc>
          <w:tcPr>
            <w:tcW w:w="428" w:type="dxa"/>
          </w:tcPr>
          <w:p w14:paraId="0FD88F0B" w14:textId="77777777" w:rsidR="002B04EB" w:rsidRPr="003F7F6C" w:rsidRDefault="002B04EB" w:rsidP="00B851B7">
            <w:pPr>
              <w:rPr>
                <w:rFonts w:cs="Calibri"/>
                <w:sz w:val="16"/>
                <w:szCs w:val="16"/>
              </w:rPr>
            </w:pPr>
          </w:p>
        </w:tc>
        <w:tc>
          <w:tcPr>
            <w:tcW w:w="428" w:type="dxa"/>
          </w:tcPr>
          <w:p w14:paraId="01F456D1" w14:textId="77777777" w:rsidR="002B04EB" w:rsidRPr="003F7F6C" w:rsidRDefault="002B04EB" w:rsidP="00B851B7">
            <w:pPr>
              <w:rPr>
                <w:rFonts w:cs="Calibri"/>
                <w:sz w:val="16"/>
                <w:szCs w:val="16"/>
              </w:rPr>
            </w:pPr>
          </w:p>
        </w:tc>
        <w:tc>
          <w:tcPr>
            <w:tcW w:w="428" w:type="dxa"/>
          </w:tcPr>
          <w:p w14:paraId="15B33DC9" w14:textId="77777777" w:rsidR="002B04EB" w:rsidRPr="003F7F6C" w:rsidRDefault="002B04EB" w:rsidP="00B851B7">
            <w:pPr>
              <w:rPr>
                <w:rFonts w:cs="Calibri"/>
                <w:sz w:val="16"/>
                <w:szCs w:val="16"/>
              </w:rPr>
            </w:pPr>
          </w:p>
        </w:tc>
        <w:tc>
          <w:tcPr>
            <w:tcW w:w="428" w:type="dxa"/>
          </w:tcPr>
          <w:p w14:paraId="185601CB" w14:textId="77777777" w:rsidR="002B04EB" w:rsidRPr="003F7F6C" w:rsidRDefault="002B04EB" w:rsidP="00B851B7">
            <w:pPr>
              <w:rPr>
                <w:rFonts w:cs="Calibri"/>
                <w:sz w:val="16"/>
                <w:szCs w:val="16"/>
              </w:rPr>
            </w:pPr>
          </w:p>
        </w:tc>
      </w:tr>
      <w:tr w:rsidR="005C20F1" w:rsidRPr="003F7F6C" w14:paraId="60211FEC" w14:textId="77777777" w:rsidTr="00B851B7">
        <w:tc>
          <w:tcPr>
            <w:tcW w:w="1668" w:type="dxa"/>
          </w:tcPr>
          <w:p w14:paraId="42719221" w14:textId="687068DA" w:rsidR="005C20F1" w:rsidRPr="003F7F6C" w:rsidRDefault="005C20F1" w:rsidP="00E91275">
            <w:pPr>
              <w:pStyle w:val="ListParagraph"/>
              <w:numPr>
                <w:ilvl w:val="0"/>
                <w:numId w:val="29"/>
              </w:numPr>
              <w:spacing w:after="0"/>
              <w:ind w:left="174" w:hanging="174"/>
              <w:contextualSpacing w:val="0"/>
              <w:rPr>
                <w:rFonts w:cs="Calibri"/>
                <w:sz w:val="16"/>
                <w:szCs w:val="16"/>
              </w:rPr>
            </w:pPr>
            <w:r w:rsidRPr="003F7F6C">
              <w:rPr>
                <w:rFonts w:cs="Calibri"/>
                <w:sz w:val="16"/>
                <w:szCs w:val="16"/>
              </w:rPr>
              <w:t>Develop detailed Indigenous Peoples Plan</w:t>
            </w:r>
          </w:p>
        </w:tc>
        <w:tc>
          <w:tcPr>
            <w:tcW w:w="1057" w:type="dxa"/>
          </w:tcPr>
          <w:p w14:paraId="19FFCA37" w14:textId="3B7355E0" w:rsidR="005C20F1" w:rsidRPr="003F7F6C" w:rsidRDefault="005C20F1" w:rsidP="005C20F1">
            <w:pPr>
              <w:rPr>
                <w:rFonts w:cs="Calibri"/>
                <w:sz w:val="16"/>
                <w:szCs w:val="16"/>
              </w:rPr>
            </w:pPr>
            <w:r w:rsidRPr="003F7F6C">
              <w:rPr>
                <w:rFonts w:cs="Calibri"/>
                <w:sz w:val="16"/>
                <w:szCs w:val="16"/>
              </w:rPr>
              <w:t>SGAyDS</w:t>
            </w:r>
          </w:p>
        </w:tc>
        <w:tc>
          <w:tcPr>
            <w:tcW w:w="428" w:type="dxa"/>
          </w:tcPr>
          <w:p w14:paraId="04FD6BBD" w14:textId="77777777" w:rsidR="005C20F1" w:rsidRPr="003F7F6C" w:rsidRDefault="005C20F1" w:rsidP="005C20F1">
            <w:pPr>
              <w:rPr>
                <w:rFonts w:cs="Calibri"/>
                <w:sz w:val="16"/>
                <w:szCs w:val="16"/>
              </w:rPr>
            </w:pPr>
          </w:p>
        </w:tc>
        <w:tc>
          <w:tcPr>
            <w:tcW w:w="444" w:type="dxa"/>
          </w:tcPr>
          <w:p w14:paraId="091AD747" w14:textId="52B254AE" w:rsidR="005C20F1" w:rsidRPr="003F7F6C" w:rsidRDefault="005C20F1" w:rsidP="005C20F1">
            <w:pPr>
              <w:rPr>
                <w:rFonts w:cs="Calibri"/>
                <w:sz w:val="16"/>
                <w:szCs w:val="16"/>
              </w:rPr>
            </w:pPr>
            <w:r w:rsidRPr="003F7F6C">
              <w:rPr>
                <w:rFonts w:cs="Calibri"/>
                <w:sz w:val="16"/>
                <w:szCs w:val="16"/>
              </w:rPr>
              <w:t>X</w:t>
            </w:r>
          </w:p>
        </w:tc>
        <w:tc>
          <w:tcPr>
            <w:tcW w:w="428" w:type="dxa"/>
          </w:tcPr>
          <w:p w14:paraId="65C1794F" w14:textId="1E677D0A" w:rsidR="005C20F1" w:rsidRPr="003F7F6C" w:rsidRDefault="005C20F1" w:rsidP="005C20F1">
            <w:pPr>
              <w:rPr>
                <w:rFonts w:cs="Calibri"/>
                <w:sz w:val="16"/>
                <w:szCs w:val="16"/>
              </w:rPr>
            </w:pPr>
            <w:r w:rsidRPr="003F7F6C">
              <w:rPr>
                <w:rFonts w:cs="Calibri"/>
                <w:sz w:val="16"/>
                <w:szCs w:val="16"/>
              </w:rPr>
              <w:t>X</w:t>
            </w:r>
          </w:p>
        </w:tc>
        <w:tc>
          <w:tcPr>
            <w:tcW w:w="428" w:type="dxa"/>
            <w:gridSpan w:val="2"/>
          </w:tcPr>
          <w:p w14:paraId="4A57C695" w14:textId="0334BCB5" w:rsidR="005C20F1" w:rsidRPr="003F7F6C" w:rsidRDefault="005C20F1" w:rsidP="005C20F1">
            <w:pPr>
              <w:rPr>
                <w:rFonts w:cs="Calibri"/>
                <w:sz w:val="16"/>
                <w:szCs w:val="16"/>
              </w:rPr>
            </w:pPr>
            <w:r w:rsidRPr="003F7F6C">
              <w:rPr>
                <w:rFonts w:cs="Calibri"/>
                <w:sz w:val="16"/>
                <w:szCs w:val="16"/>
              </w:rPr>
              <w:t>X</w:t>
            </w:r>
          </w:p>
        </w:tc>
        <w:tc>
          <w:tcPr>
            <w:tcW w:w="428" w:type="dxa"/>
          </w:tcPr>
          <w:p w14:paraId="246A17C6" w14:textId="77777777" w:rsidR="005C20F1" w:rsidRPr="003F7F6C" w:rsidRDefault="005C20F1" w:rsidP="005C20F1">
            <w:pPr>
              <w:rPr>
                <w:rFonts w:cs="Calibri"/>
                <w:sz w:val="16"/>
                <w:szCs w:val="16"/>
              </w:rPr>
            </w:pPr>
          </w:p>
        </w:tc>
        <w:tc>
          <w:tcPr>
            <w:tcW w:w="427" w:type="dxa"/>
          </w:tcPr>
          <w:p w14:paraId="151ED203" w14:textId="77777777" w:rsidR="005C20F1" w:rsidRPr="003F7F6C" w:rsidRDefault="005C20F1" w:rsidP="005C20F1">
            <w:pPr>
              <w:rPr>
                <w:rFonts w:cs="Calibri"/>
                <w:sz w:val="16"/>
                <w:szCs w:val="16"/>
              </w:rPr>
            </w:pPr>
          </w:p>
        </w:tc>
        <w:tc>
          <w:tcPr>
            <w:tcW w:w="427" w:type="dxa"/>
          </w:tcPr>
          <w:p w14:paraId="5A6B70B7" w14:textId="77777777" w:rsidR="005C20F1" w:rsidRPr="003F7F6C" w:rsidRDefault="005C20F1" w:rsidP="005C20F1">
            <w:pPr>
              <w:rPr>
                <w:rFonts w:cs="Calibri"/>
                <w:sz w:val="16"/>
                <w:szCs w:val="16"/>
              </w:rPr>
            </w:pPr>
          </w:p>
        </w:tc>
        <w:tc>
          <w:tcPr>
            <w:tcW w:w="427" w:type="dxa"/>
            <w:gridSpan w:val="2"/>
          </w:tcPr>
          <w:p w14:paraId="66CFFC16" w14:textId="77777777" w:rsidR="005C20F1" w:rsidRPr="003F7F6C" w:rsidRDefault="005C20F1" w:rsidP="005C20F1">
            <w:pPr>
              <w:rPr>
                <w:rFonts w:cs="Calibri"/>
                <w:sz w:val="16"/>
                <w:szCs w:val="16"/>
              </w:rPr>
            </w:pPr>
          </w:p>
        </w:tc>
        <w:tc>
          <w:tcPr>
            <w:tcW w:w="428" w:type="dxa"/>
          </w:tcPr>
          <w:p w14:paraId="5406CF80" w14:textId="77777777" w:rsidR="005C20F1" w:rsidRPr="003F7F6C" w:rsidRDefault="005C20F1" w:rsidP="005C20F1">
            <w:pPr>
              <w:rPr>
                <w:rFonts w:cs="Calibri"/>
                <w:sz w:val="16"/>
                <w:szCs w:val="16"/>
              </w:rPr>
            </w:pPr>
          </w:p>
        </w:tc>
        <w:tc>
          <w:tcPr>
            <w:tcW w:w="428" w:type="dxa"/>
          </w:tcPr>
          <w:p w14:paraId="245356D7" w14:textId="77777777" w:rsidR="005C20F1" w:rsidRPr="003F7F6C" w:rsidRDefault="005C20F1" w:rsidP="005C20F1">
            <w:pPr>
              <w:rPr>
                <w:rFonts w:cs="Calibri"/>
                <w:sz w:val="16"/>
                <w:szCs w:val="16"/>
              </w:rPr>
            </w:pPr>
          </w:p>
        </w:tc>
        <w:tc>
          <w:tcPr>
            <w:tcW w:w="428" w:type="dxa"/>
          </w:tcPr>
          <w:p w14:paraId="2C373AD1" w14:textId="77777777" w:rsidR="005C20F1" w:rsidRPr="003F7F6C" w:rsidRDefault="005C20F1" w:rsidP="005C20F1">
            <w:pPr>
              <w:rPr>
                <w:rFonts w:cs="Calibri"/>
                <w:sz w:val="16"/>
                <w:szCs w:val="16"/>
              </w:rPr>
            </w:pPr>
          </w:p>
        </w:tc>
        <w:tc>
          <w:tcPr>
            <w:tcW w:w="428" w:type="dxa"/>
            <w:gridSpan w:val="2"/>
          </w:tcPr>
          <w:p w14:paraId="5DD82D0E" w14:textId="77777777" w:rsidR="005C20F1" w:rsidRPr="003F7F6C" w:rsidRDefault="005C20F1" w:rsidP="005C20F1">
            <w:pPr>
              <w:rPr>
                <w:rFonts w:cs="Calibri"/>
                <w:sz w:val="16"/>
                <w:szCs w:val="16"/>
              </w:rPr>
            </w:pPr>
          </w:p>
        </w:tc>
        <w:tc>
          <w:tcPr>
            <w:tcW w:w="428" w:type="dxa"/>
          </w:tcPr>
          <w:p w14:paraId="494556B7" w14:textId="77777777" w:rsidR="005C20F1" w:rsidRPr="003F7F6C" w:rsidRDefault="005C20F1" w:rsidP="005C20F1">
            <w:pPr>
              <w:rPr>
                <w:rFonts w:cs="Calibri"/>
                <w:sz w:val="16"/>
                <w:szCs w:val="16"/>
              </w:rPr>
            </w:pPr>
          </w:p>
        </w:tc>
        <w:tc>
          <w:tcPr>
            <w:tcW w:w="428" w:type="dxa"/>
          </w:tcPr>
          <w:p w14:paraId="041C8227" w14:textId="77777777" w:rsidR="005C20F1" w:rsidRPr="003F7F6C" w:rsidRDefault="005C20F1" w:rsidP="005C20F1">
            <w:pPr>
              <w:rPr>
                <w:rFonts w:cs="Calibri"/>
                <w:sz w:val="16"/>
                <w:szCs w:val="16"/>
              </w:rPr>
            </w:pPr>
          </w:p>
        </w:tc>
        <w:tc>
          <w:tcPr>
            <w:tcW w:w="428" w:type="dxa"/>
          </w:tcPr>
          <w:p w14:paraId="54B9B336" w14:textId="77777777" w:rsidR="005C20F1" w:rsidRPr="003F7F6C" w:rsidRDefault="005C20F1" w:rsidP="005C20F1">
            <w:pPr>
              <w:rPr>
                <w:rFonts w:cs="Calibri"/>
                <w:sz w:val="16"/>
                <w:szCs w:val="16"/>
              </w:rPr>
            </w:pPr>
          </w:p>
        </w:tc>
        <w:tc>
          <w:tcPr>
            <w:tcW w:w="428" w:type="dxa"/>
            <w:gridSpan w:val="2"/>
          </w:tcPr>
          <w:p w14:paraId="731CFC6D" w14:textId="77777777" w:rsidR="005C20F1" w:rsidRPr="003F7F6C" w:rsidRDefault="005C20F1" w:rsidP="005C20F1">
            <w:pPr>
              <w:rPr>
                <w:rFonts w:cs="Calibri"/>
                <w:sz w:val="16"/>
                <w:szCs w:val="16"/>
              </w:rPr>
            </w:pPr>
          </w:p>
        </w:tc>
        <w:tc>
          <w:tcPr>
            <w:tcW w:w="428" w:type="dxa"/>
          </w:tcPr>
          <w:p w14:paraId="3A0CCB52" w14:textId="77777777" w:rsidR="005C20F1" w:rsidRPr="003F7F6C" w:rsidRDefault="005C20F1" w:rsidP="005C20F1">
            <w:pPr>
              <w:rPr>
                <w:rFonts w:cs="Calibri"/>
                <w:sz w:val="16"/>
                <w:szCs w:val="16"/>
              </w:rPr>
            </w:pPr>
          </w:p>
        </w:tc>
        <w:tc>
          <w:tcPr>
            <w:tcW w:w="428" w:type="dxa"/>
          </w:tcPr>
          <w:p w14:paraId="17E0EE05" w14:textId="77777777" w:rsidR="005C20F1" w:rsidRPr="003F7F6C" w:rsidRDefault="005C20F1" w:rsidP="005C20F1">
            <w:pPr>
              <w:rPr>
                <w:rFonts w:cs="Calibri"/>
                <w:sz w:val="16"/>
                <w:szCs w:val="16"/>
              </w:rPr>
            </w:pPr>
          </w:p>
        </w:tc>
        <w:tc>
          <w:tcPr>
            <w:tcW w:w="428" w:type="dxa"/>
          </w:tcPr>
          <w:p w14:paraId="2B17F881" w14:textId="77777777" w:rsidR="005C20F1" w:rsidRPr="003F7F6C" w:rsidRDefault="005C20F1" w:rsidP="005C20F1">
            <w:pPr>
              <w:rPr>
                <w:rFonts w:cs="Calibri"/>
                <w:sz w:val="16"/>
                <w:szCs w:val="16"/>
              </w:rPr>
            </w:pPr>
          </w:p>
        </w:tc>
        <w:tc>
          <w:tcPr>
            <w:tcW w:w="428" w:type="dxa"/>
            <w:gridSpan w:val="2"/>
          </w:tcPr>
          <w:p w14:paraId="51A539AA" w14:textId="77777777" w:rsidR="005C20F1" w:rsidRPr="003F7F6C" w:rsidRDefault="005C20F1" w:rsidP="005C20F1">
            <w:pPr>
              <w:rPr>
                <w:rFonts w:cs="Calibri"/>
                <w:sz w:val="16"/>
                <w:szCs w:val="16"/>
              </w:rPr>
            </w:pPr>
          </w:p>
        </w:tc>
        <w:tc>
          <w:tcPr>
            <w:tcW w:w="428" w:type="dxa"/>
          </w:tcPr>
          <w:p w14:paraId="4AA20F91" w14:textId="77777777" w:rsidR="005C20F1" w:rsidRPr="003F7F6C" w:rsidRDefault="005C20F1" w:rsidP="005C20F1">
            <w:pPr>
              <w:rPr>
                <w:rFonts w:cs="Calibri"/>
                <w:sz w:val="16"/>
                <w:szCs w:val="16"/>
              </w:rPr>
            </w:pPr>
          </w:p>
        </w:tc>
        <w:tc>
          <w:tcPr>
            <w:tcW w:w="428" w:type="dxa"/>
          </w:tcPr>
          <w:p w14:paraId="463BFB3A" w14:textId="77777777" w:rsidR="005C20F1" w:rsidRPr="003F7F6C" w:rsidRDefault="005C20F1" w:rsidP="005C20F1">
            <w:pPr>
              <w:rPr>
                <w:rFonts w:cs="Calibri"/>
                <w:sz w:val="16"/>
                <w:szCs w:val="16"/>
              </w:rPr>
            </w:pPr>
          </w:p>
        </w:tc>
        <w:tc>
          <w:tcPr>
            <w:tcW w:w="428" w:type="dxa"/>
          </w:tcPr>
          <w:p w14:paraId="0621B9D7" w14:textId="77777777" w:rsidR="005C20F1" w:rsidRPr="003F7F6C" w:rsidRDefault="005C20F1" w:rsidP="005C20F1">
            <w:pPr>
              <w:rPr>
                <w:rFonts w:cs="Calibri"/>
                <w:sz w:val="16"/>
                <w:szCs w:val="16"/>
              </w:rPr>
            </w:pPr>
          </w:p>
        </w:tc>
        <w:tc>
          <w:tcPr>
            <w:tcW w:w="428" w:type="dxa"/>
          </w:tcPr>
          <w:p w14:paraId="56E31172" w14:textId="77777777" w:rsidR="005C20F1" w:rsidRPr="003F7F6C" w:rsidRDefault="005C20F1" w:rsidP="005C20F1">
            <w:pPr>
              <w:rPr>
                <w:rFonts w:cs="Calibri"/>
                <w:sz w:val="16"/>
                <w:szCs w:val="16"/>
              </w:rPr>
            </w:pPr>
          </w:p>
        </w:tc>
      </w:tr>
      <w:tr w:rsidR="002B04EB" w:rsidRPr="003F7F6C" w14:paraId="2790996B" w14:textId="77777777" w:rsidTr="00B851B7">
        <w:tc>
          <w:tcPr>
            <w:tcW w:w="1668" w:type="dxa"/>
          </w:tcPr>
          <w:p w14:paraId="3D51FDB4" w14:textId="77777777" w:rsidR="002B04EB" w:rsidRPr="003F7F6C" w:rsidRDefault="002B04EB" w:rsidP="00E91275">
            <w:pPr>
              <w:pStyle w:val="ListParagraph"/>
              <w:numPr>
                <w:ilvl w:val="0"/>
                <w:numId w:val="29"/>
              </w:numPr>
              <w:spacing w:after="0"/>
              <w:ind w:left="166" w:hanging="166"/>
              <w:contextualSpacing w:val="0"/>
              <w:rPr>
                <w:rFonts w:cs="Calibri"/>
                <w:sz w:val="16"/>
                <w:szCs w:val="16"/>
              </w:rPr>
            </w:pPr>
            <w:r w:rsidRPr="003F7F6C">
              <w:rPr>
                <w:rFonts w:cs="Calibri"/>
                <w:sz w:val="16"/>
                <w:szCs w:val="16"/>
              </w:rPr>
              <w:t>Establish inter-institutional working agreements for multi-stakeholder dialogue</w:t>
            </w:r>
          </w:p>
        </w:tc>
        <w:tc>
          <w:tcPr>
            <w:tcW w:w="1057" w:type="dxa"/>
          </w:tcPr>
          <w:p w14:paraId="0D7EAA8D" w14:textId="77777777" w:rsidR="002B04EB" w:rsidRPr="003F7F6C" w:rsidRDefault="002B04EB" w:rsidP="00B851B7">
            <w:pPr>
              <w:rPr>
                <w:rFonts w:cs="Calibri"/>
                <w:sz w:val="16"/>
                <w:szCs w:val="16"/>
              </w:rPr>
            </w:pPr>
            <w:r w:rsidRPr="003F7F6C">
              <w:rPr>
                <w:rFonts w:cs="Calibri"/>
                <w:sz w:val="16"/>
                <w:szCs w:val="16"/>
              </w:rPr>
              <w:t>SGAyDS</w:t>
            </w:r>
          </w:p>
        </w:tc>
        <w:tc>
          <w:tcPr>
            <w:tcW w:w="428" w:type="dxa"/>
          </w:tcPr>
          <w:p w14:paraId="4F6193A0" w14:textId="77777777" w:rsidR="002B04EB" w:rsidRPr="003F7F6C" w:rsidRDefault="002B04EB" w:rsidP="00B851B7">
            <w:pPr>
              <w:rPr>
                <w:rFonts w:cs="Calibri"/>
                <w:sz w:val="16"/>
                <w:szCs w:val="16"/>
              </w:rPr>
            </w:pPr>
          </w:p>
        </w:tc>
        <w:tc>
          <w:tcPr>
            <w:tcW w:w="444" w:type="dxa"/>
          </w:tcPr>
          <w:p w14:paraId="6D694800" w14:textId="77777777" w:rsidR="002B04EB" w:rsidRPr="003F7F6C" w:rsidRDefault="002B04EB" w:rsidP="00B851B7">
            <w:pPr>
              <w:rPr>
                <w:sz w:val="16"/>
                <w:szCs w:val="16"/>
              </w:rPr>
            </w:pPr>
            <w:r w:rsidRPr="003F7F6C">
              <w:rPr>
                <w:rFonts w:cs="Calibri"/>
                <w:sz w:val="16"/>
                <w:szCs w:val="16"/>
              </w:rPr>
              <w:t>X</w:t>
            </w:r>
          </w:p>
        </w:tc>
        <w:tc>
          <w:tcPr>
            <w:tcW w:w="428" w:type="dxa"/>
          </w:tcPr>
          <w:p w14:paraId="7AFC10E5"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33212CC9" w14:textId="77777777" w:rsidR="002B04EB" w:rsidRPr="003F7F6C" w:rsidRDefault="002B04EB" w:rsidP="00B851B7">
            <w:pPr>
              <w:rPr>
                <w:sz w:val="16"/>
                <w:szCs w:val="16"/>
              </w:rPr>
            </w:pPr>
            <w:r w:rsidRPr="003F7F6C">
              <w:rPr>
                <w:rFonts w:cs="Calibri"/>
                <w:sz w:val="16"/>
                <w:szCs w:val="16"/>
              </w:rPr>
              <w:t>X</w:t>
            </w:r>
          </w:p>
        </w:tc>
        <w:tc>
          <w:tcPr>
            <w:tcW w:w="428" w:type="dxa"/>
          </w:tcPr>
          <w:p w14:paraId="1ABFDDC9" w14:textId="77777777" w:rsidR="002B04EB" w:rsidRPr="003F7F6C" w:rsidRDefault="002B04EB" w:rsidP="00B851B7">
            <w:pPr>
              <w:rPr>
                <w:rFonts w:cs="Calibri"/>
                <w:sz w:val="16"/>
                <w:szCs w:val="16"/>
              </w:rPr>
            </w:pPr>
          </w:p>
        </w:tc>
        <w:tc>
          <w:tcPr>
            <w:tcW w:w="427" w:type="dxa"/>
          </w:tcPr>
          <w:p w14:paraId="4DAC156D" w14:textId="77777777" w:rsidR="002B04EB" w:rsidRPr="003F7F6C" w:rsidRDefault="002B04EB" w:rsidP="00B851B7">
            <w:pPr>
              <w:rPr>
                <w:rFonts w:cs="Calibri"/>
                <w:sz w:val="16"/>
                <w:szCs w:val="16"/>
              </w:rPr>
            </w:pPr>
          </w:p>
        </w:tc>
        <w:tc>
          <w:tcPr>
            <w:tcW w:w="427" w:type="dxa"/>
          </w:tcPr>
          <w:p w14:paraId="5DBED348" w14:textId="77777777" w:rsidR="002B04EB" w:rsidRPr="003F7F6C" w:rsidRDefault="002B04EB" w:rsidP="00B851B7">
            <w:pPr>
              <w:rPr>
                <w:rFonts w:cs="Calibri"/>
                <w:sz w:val="16"/>
                <w:szCs w:val="16"/>
              </w:rPr>
            </w:pPr>
          </w:p>
        </w:tc>
        <w:tc>
          <w:tcPr>
            <w:tcW w:w="427" w:type="dxa"/>
            <w:gridSpan w:val="2"/>
          </w:tcPr>
          <w:p w14:paraId="7CBC6571" w14:textId="77777777" w:rsidR="002B04EB" w:rsidRPr="003F7F6C" w:rsidRDefault="002B04EB" w:rsidP="00B851B7">
            <w:pPr>
              <w:rPr>
                <w:rFonts w:cs="Calibri"/>
                <w:sz w:val="16"/>
                <w:szCs w:val="16"/>
              </w:rPr>
            </w:pPr>
          </w:p>
        </w:tc>
        <w:tc>
          <w:tcPr>
            <w:tcW w:w="428" w:type="dxa"/>
          </w:tcPr>
          <w:p w14:paraId="628C9CA8" w14:textId="77777777" w:rsidR="002B04EB" w:rsidRPr="003F7F6C" w:rsidRDefault="002B04EB" w:rsidP="00B851B7">
            <w:pPr>
              <w:rPr>
                <w:rFonts w:cs="Calibri"/>
                <w:sz w:val="16"/>
                <w:szCs w:val="16"/>
              </w:rPr>
            </w:pPr>
          </w:p>
        </w:tc>
        <w:tc>
          <w:tcPr>
            <w:tcW w:w="428" w:type="dxa"/>
          </w:tcPr>
          <w:p w14:paraId="4762B591" w14:textId="77777777" w:rsidR="002B04EB" w:rsidRPr="003F7F6C" w:rsidRDefault="002B04EB" w:rsidP="00B851B7">
            <w:pPr>
              <w:rPr>
                <w:rFonts w:cs="Calibri"/>
                <w:sz w:val="16"/>
                <w:szCs w:val="16"/>
              </w:rPr>
            </w:pPr>
          </w:p>
        </w:tc>
        <w:tc>
          <w:tcPr>
            <w:tcW w:w="428" w:type="dxa"/>
          </w:tcPr>
          <w:p w14:paraId="30DC6207" w14:textId="77777777" w:rsidR="002B04EB" w:rsidRPr="003F7F6C" w:rsidRDefault="002B04EB" w:rsidP="00B851B7">
            <w:pPr>
              <w:rPr>
                <w:rFonts w:cs="Calibri"/>
                <w:sz w:val="16"/>
                <w:szCs w:val="16"/>
              </w:rPr>
            </w:pPr>
          </w:p>
        </w:tc>
        <w:tc>
          <w:tcPr>
            <w:tcW w:w="428" w:type="dxa"/>
            <w:gridSpan w:val="2"/>
          </w:tcPr>
          <w:p w14:paraId="11A98508" w14:textId="77777777" w:rsidR="002B04EB" w:rsidRPr="003F7F6C" w:rsidRDefault="002B04EB" w:rsidP="00B851B7">
            <w:pPr>
              <w:rPr>
                <w:rFonts w:cs="Calibri"/>
                <w:sz w:val="16"/>
                <w:szCs w:val="16"/>
              </w:rPr>
            </w:pPr>
          </w:p>
        </w:tc>
        <w:tc>
          <w:tcPr>
            <w:tcW w:w="428" w:type="dxa"/>
          </w:tcPr>
          <w:p w14:paraId="2F613942" w14:textId="77777777" w:rsidR="002B04EB" w:rsidRPr="003F7F6C" w:rsidRDefault="002B04EB" w:rsidP="00B851B7">
            <w:pPr>
              <w:rPr>
                <w:rFonts w:cs="Calibri"/>
                <w:sz w:val="16"/>
                <w:szCs w:val="16"/>
              </w:rPr>
            </w:pPr>
          </w:p>
        </w:tc>
        <w:tc>
          <w:tcPr>
            <w:tcW w:w="428" w:type="dxa"/>
          </w:tcPr>
          <w:p w14:paraId="3FDE590A" w14:textId="77777777" w:rsidR="002B04EB" w:rsidRPr="003F7F6C" w:rsidRDefault="002B04EB" w:rsidP="00B851B7">
            <w:pPr>
              <w:rPr>
                <w:rFonts w:cs="Calibri"/>
                <w:sz w:val="16"/>
                <w:szCs w:val="16"/>
              </w:rPr>
            </w:pPr>
          </w:p>
        </w:tc>
        <w:tc>
          <w:tcPr>
            <w:tcW w:w="428" w:type="dxa"/>
          </w:tcPr>
          <w:p w14:paraId="500ABA16" w14:textId="77777777" w:rsidR="002B04EB" w:rsidRPr="003F7F6C" w:rsidRDefault="002B04EB" w:rsidP="00B851B7">
            <w:pPr>
              <w:rPr>
                <w:rFonts w:cs="Calibri"/>
                <w:sz w:val="16"/>
                <w:szCs w:val="16"/>
              </w:rPr>
            </w:pPr>
          </w:p>
        </w:tc>
        <w:tc>
          <w:tcPr>
            <w:tcW w:w="428" w:type="dxa"/>
            <w:gridSpan w:val="2"/>
          </w:tcPr>
          <w:p w14:paraId="4691B595" w14:textId="77777777" w:rsidR="002B04EB" w:rsidRPr="003F7F6C" w:rsidRDefault="002B04EB" w:rsidP="00B851B7">
            <w:pPr>
              <w:rPr>
                <w:rFonts w:cs="Calibri"/>
                <w:sz w:val="16"/>
                <w:szCs w:val="16"/>
              </w:rPr>
            </w:pPr>
          </w:p>
        </w:tc>
        <w:tc>
          <w:tcPr>
            <w:tcW w:w="428" w:type="dxa"/>
          </w:tcPr>
          <w:p w14:paraId="5EEFFBEE" w14:textId="77777777" w:rsidR="002B04EB" w:rsidRPr="003F7F6C" w:rsidRDefault="002B04EB" w:rsidP="00B851B7">
            <w:pPr>
              <w:rPr>
                <w:rFonts w:cs="Calibri"/>
                <w:sz w:val="16"/>
                <w:szCs w:val="16"/>
              </w:rPr>
            </w:pPr>
          </w:p>
        </w:tc>
        <w:tc>
          <w:tcPr>
            <w:tcW w:w="428" w:type="dxa"/>
          </w:tcPr>
          <w:p w14:paraId="37A0BB65" w14:textId="77777777" w:rsidR="002B04EB" w:rsidRPr="003F7F6C" w:rsidRDefault="002B04EB" w:rsidP="00B851B7">
            <w:pPr>
              <w:rPr>
                <w:rFonts w:cs="Calibri"/>
                <w:sz w:val="16"/>
                <w:szCs w:val="16"/>
              </w:rPr>
            </w:pPr>
          </w:p>
        </w:tc>
        <w:tc>
          <w:tcPr>
            <w:tcW w:w="428" w:type="dxa"/>
          </w:tcPr>
          <w:p w14:paraId="2C41D4AE" w14:textId="77777777" w:rsidR="002B04EB" w:rsidRPr="003F7F6C" w:rsidRDefault="002B04EB" w:rsidP="00B851B7">
            <w:pPr>
              <w:rPr>
                <w:rFonts w:cs="Calibri"/>
                <w:sz w:val="16"/>
                <w:szCs w:val="16"/>
              </w:rPr>
            </w:pPr>
          </w:p>
        </w:tc>
        <w:tc>
          <w:tcPr>
            <w:tcW w:w="428" w:type="dxa"/>
            <w:gridSpan w:val="2"/>
          </w:tcPr>
          <w:p w14:paraId="7488D985" w14:textId="77777777" w:rsidR="002B04EB" w:rsidRPr="003F7F6C" w:rsidRDefault="002B04EB" w:rsidP="00B851B7">
            <w:pPr>
              <w:rPr>
                <w:rFonts w:cs="Calibri"/>
                <w:sz w:val="16"/>
                <w:szCs w:val="16"/>
              </w:rPr>
            </w:pPr>
          </w:p>
        </w:tc>
        <w:tc>
          <w:tcPr>
            <w:tcW w:w="428" w:type="dxa"/>
          </w:tcPr>
          <w:p w14:paraId="410DBA01" w14:textId="77777777" w:rsidR="002B04EB" w:rsidRPr="003F7F6C" w:rsidRDefault="002B04EB" w:rsidP="00B851B7">
            <w:pPr>
              <w:rPr>
                <w:rFonts w:cs="Calibri"/>
                <w:sz w:val="16"/>
                <w:szCs w:val="16"/>
              </w:rPr>
            </w:pPr>
          </w:p>
        </w:tc>
        <w:tc>
          <w:tcPr>
            <w:tcW w:w="428" w:type="dxa"/>
          </w:tcPr>
          <w:p w14:paraId="46A5876A" w14:textId="77777777" w:rsidR="002B04EB" w:rsidRPr="003F7F6C" w:rsidRDefault="002B04EB" w:rsidP="00B851B7">
            <w:pPr>
              <w:rPr>
                <w:rFonts w:cs="Calibri"/>
                <w:sz w:val="16"/>
                <w:szCs w:val="16"/>
              </w:rPr>
            </w:pPr>
          </w:p>
        </w:tc>
        <w:tc>
          <w:tcPr>
            <w:tcW w:w="428" w:type="dxa"/>
          </w:tcPr>
          <w:p w14:paraId="5748B92F" w14:textId="77777777" w:rsidR="002B04EB" w:rsidRPr="003F7F6C" w:rsidRDefault="002B04EB" w:rsidP="00B851B7">
            <w:pPr>
              <w:rPr>
                <w:rFonts w:cs="Calibri"/>
                <w:sz w:val="16"/>
                <w:szCs w:val="16"/>
              </w:rPr>
            </w:pPr>
          </w:p>
        </w:tc>
        <w:tc>
          <w:tcPr>
            <w:tcW w:w="428" w:type="dxa"/>
          </w:tcPr>
          <w:p w14:paraId="1BF52B73" w14:textId="77777777" w:rsidR="002B04EB" w:rsidRPr="003F7F6C" w:rsidRDefault="002B04EB" w:rsidP="00B851B7">
            <w:pPr>
              <w:rPr>
                <w:rFonts w:cs="Calibri"/>
                <w:sz w:val="16"/>
                <w:szCs w:val="16"/>
              </w:rPr>
            </w:pPr>
          </w:p>
        </w:tc>
      </w:tr>
      <w:tr w:rsidR="002B04EB" w:rsidRPr="003F7F6C" w14:paraId="74344746" w14:textId="77777777" w:rsidTr="00B851B7">
        <w:tc>
          <w:tcPr>
            <w:tcW w:w="1668" w:type="dxa"/>
          </w:tcPr>
          <w:p w14:paraId="715A7203" w14:textId="77777777" w:rsidR="002B04EB" w:rsidRPr="003F7F6C" w:rsidRDefault="002B04EB" w:rsidP="00E91275">
            <w:pPr>
              <w:pStyle w:val="ListParagraph"/>
              <w:numPr>
                <w:ilvl w:val="0"/>
                <w:numId w:val="29"/>
              </w:numPr>
              <w:spacing w:after="0"/>
              <w:ind w:left="166" w:hanging="166"/>
              <w:contextualSpacing w:val="0"/>
              <w:rPr>
                <w:rFonts w:cs="Calibri"/>
                <w:sz w:val="16"/>
                <w:szCs w:val="16"/>
              </w:rPr>
            </w:pPr>
            <w:r w:rsidRPr="003F7F6C">
              <w:rPr>
                <w:rFonts w:cs="Calibri"/>
                <w:sz w:val="16"/>
                <w:szCs w:val="16"/>
              </w:rPr>
              <w:t>Establish multi-stakeholder dialogue spaces</w:t>
            </w:r>
          </w:p>
        </w:tc>
        <w:tc>
          <w:tcPr>
            <w:tcW w:w="1057" w:type="dxa"/>
          </w:tcPr>
          <w:p w14:paraId="35D4DC9E" w14:textId="77777777" w:rsidR="002B04EB" w:rsidRPr="003F7F6C" w:rsidRDefault="002B04EB" w:rsidP="00B851B7">
            <w:pPr>
              <w:rPr>
                <w:rFonts w:cs="Calibri"/>
                <w:sz w:val="16"/>
                <w:szCs w:val="16"/>
              </w:rPr>
            </w:pPr>
            <w:r w:rsidRPr="003F7F6C">
              <w:rPr>
                <w:rFonts w:cs="Calibri"/>
                <w:sz w:val="16"/>
                <w:szCs w:val="16"/>
              </w:rPr>
              <w:t>SGAyDS Provinces</w:t>
            </w:r>
          </w:p>
          <w:p w14:paraId="4220793B" w14:textId="77777777" w:rsidR="002B04EB" w:rsidRPr="003F7F6C" w:rsidRDefault="002B04EB" w:rsidP="00B851B7">
            <w:pPr>
              <w:rPr>
                <w:rFonts w:cs="Calibri"/>
                <w:sz w:val="16"/>
                <w:szCs w:val="16"/>
              </w:rPr>
            </w:pPr>
            <w:r w:rsidRPr="003F7F6C">
              <w:rPr>
                <w:rFonts w:cs="Calibri"/>
                <w:sz w:val="16"/>
                <w:szCs w:val="16"/>
              </w:rPr>
              <w:t>INTA</w:t>
            </w:r>
          </w:p>
        </w:tc>
        <w:tc>
          <w:tcPr>
            <w:tcW w:w="428" w:type="dxa"/>
          </w:tcPr>
          <w:p w14:paraId="72D7B27C" w14:textId="77777777" w:rsidR="002B04EB" w:rsidRPr="003F7F6C" w:rsidRDefault="002B04EB" w:rsidP="00B851B7">
            <w:pPr>
              <w:rPr>
                <w:rFonts w:cs="Calibri"/>
                <w:sz w:val="16"/>
                <w:szCs w:val="16"/>
              </w:rPr>
            </w:pPr>
          </w:p>
        </w:tc>
        <w:tc>
          <w:tcPr>
            <w:tcW w:w="444" w:type="dxa"/>
          </w:tcPr>
          <w:p w14:paraId="57E72805" w14:textId="77777777" w:rsidR="002B04EB" w:rsidRPr="003F7F6C" w:rsidRDefault="002B04EB" w:rsidP="00B851B7">
            <w:pPr>
              <w:rPr>
                <w:sz w:val="16"/>
                <w:szCs w:val="16"/>
              </w:rPr>
            </w:pPr>
            <w:r w:rsidRPr="003F7F6C">
              <w:rPr>
                <w:rFonts w:cs="Calibri"/>
                <w:sz w:val="16"/>
                <w:szCs w:val="16"/>
              </w:rPr>
              <w:t>X</w:t>
            </w:r>
          </w:p>
        </w:tc>
        <w:tc>
          <w:tcPr>
            <w:tcW w:w="428" w:type="dxa"/>
          </w:tcPr>
          <w:p w14:paraId="59F73416"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7B961BE3" w14:textId="77777777" w:rsidR="002B04EB" w:rsidRPr="003F7F6C" w:rsidRDefault="002B04EB" w:rsidP="00B851B7">
            <w:pPr>
              <w:rPr>
                <w:sz w:val="16"/>
                <w:szCs w:val="16"/>
              </w:rPr>
            </w:pPr>
            <w:r w:rsidRPr="003F7F6C">
              <w:rPr>
                <w:rFonts w:cs="Calibri"/>
                <w:sz w:val="16"/>
                <w:szCs w:val="16"/>
              </w:rPr>
              <w:t>X</w:t>
            </w:r>
          </w:p>
        </w:tc>
        <w:tc>
          <w:tcPr>
            <w:tcW w:w="428" w:type="dxa"/>
          </w:tcPr>
          <w:p w14:paraId="48B8C2E2" w14:textId="77777777" w:rsidR="002B04EB" w:rsidRPr="003F7F6C" w:rsidRDefault="002B04EB" w:rsidP="00B851B7">
            <w:pPr>
              <w:rPr>
                <w:sz w:val="16"/>
                <w:szCs w:val="16"/>
              </w:rPr>
            </w:pPr>
            <w:r w:rsidRPr="003F7F6C">
              <w:rPr>
                <w:rFonts w:cs="Calibri"/>
                <w:sz w:val="16"/>
                <w:szCs w:val="16"/>
              </w:rPr>
              <w:t>X</w:t>
            </w:r>
          </w:p>
        </w:tc>
        <w:tc>
          <w:tcPr>
            <w:tcW w:w="427" w:type="dxa"/>
          </w:tcPr>
          <w:p w14:paraId="731935D6" w14:textId="77777777" w:rsidR="002B04EB" w:rsidRPr="003F7F6C" w:rsidRDefault="002B04EB" w:rsidP="00B851B7">
            <w:pPr>
              <w:rPr>
                <w:sz w:val="16"/>
                <w:szCs w:val="16"/>
              </w:rPr>
            </w:pPr>
            <w:r w:rsidRPr="003F7F6C">
              <w:rPr>
                <w:rFonts w:cs="Calibri"/>
                <w:sz w:val="16"/>
                <w:szCs w:val="16"/>
              </w:rPr>
              <w:t>X</w:t>
            </w:r>
          </w:p>
        </w:tc>
        <w:tc>
          <w:tcPr>
            <w:tcW w:w="427" w:type="dxa"/>
          </w:tcPr>
          <w:p w14:paraId="29333580" w14:textId="77777777" w:rsidR="002B04EB" w:rsidRPr="003F7F6C" w:rsidRDefault="002B04EB" w:rsidP="00B851B7">
            <w:pPr>
              <w:rPr>
                <w:sz w:val="16"/>
                <w:szCs w:val="16"/>
              </w:rPr>
            </w:pPr>
            <w:r w:rsidRPr="003F7F6C">
              <w:rPr>
                <w:rFonts w:cs="Calibri"/>
                <w:sz w:val="16"/>
                <w:szCs w:val="16"/>
              </w:rPr>
              <w:t>X</w:t>
            </w:r>
          </w:p>
        </w:tc>
        <w:tc>
          <w:tcPr>
            <w:tcW w:w="427" w:type="dxa"/>
            <w:gridSpan w:val="2"/>
          </w:tcPr>
          <w:p w14:paraId="2C983290" w14:textId="77777777" w:rsidR="002B04EB" w:rsidRPr="003F7F6C" w:rsidRDefault="002B04EB" w:rsidP="00B851B7">
            <w:pPr>
              <w:rPr>
                <w:sz w:val="16"/>
                <w:szCs w:val="16"/>
              </w:rPr>
            </w:pPr>
            <w:r w:rsidRPr="003F7F6C">
              <w:rPr>
                <w:rFonts w:cs="Calibri"/>
                <w:sz w:val="16"/>
                <w:szCs w:val="16"/>
              </w:rPr>
              <w:t>X</w:t>
            </w:r>
          </w:p>
        </w:tc>
        <w:tc>
          <w:tcPr>
            <w:tcW w:w="428" w:type="dxa"/>
          </w:tcPr>
          <w:p w14:paraId="65D88797" w14:textId="77777777" w:rsidR="002B04EB" w:rsidRPr="003F7F6C" w:rsidRDefault="002B04EB" w:rsidP="00B851B7">
            <w:pPr>
              <w:rPr>
                <w:sz w:val="16"/>
                <w:szCs w:val="16"/>
              </w:rPr>
            </w:pPr>
            <w:r w:rsidRPr="003F7F6C">
              <w:rPr>
                <w:rFonts w:cs="Calibri"/>
                <w:sz w:val="16"/>
                <w:szCs w:val="16"/>
              </w:rPr>
              <w:t>X</w:t>
            </w:r>
          </w:p>
        </w:tc>
        <w:tc>
          <w:tcPr>
            <w:tcW w:w="428" w:type="dxa"/>
          </w:tcPr>
          <w:p w14:paraId="3ED69E6C" w14:textId="77777777" w:rsidR="002B04EB" w:rsidRPr="003F7F6C" w:rsidRDefault="002B04EB" w:rsidP="00B851B7">
            <w:pPr>
              <w:rPr>
                <w:sz w:val="16"/>
                <w:szCs w:val="16"/>
              </w:rPr>
            </w:pPr>
            <w:r w:rsidRPr="003F7F6C">
              <w:rPr>
                <w:rFonts w:cs="Calibri"/>
                <w:sz w:val="16"/>
                <w:szCs w:val="16"/>
              </w:rPr>
              <w:t>X</w:t>
            </w:r>
          </w:p>
        </w:tc>
        <w:tc>
          <w:tcPr>
            <w:tcW w:w="428" w:type="dxa"/>
          </w:tcPr>
          <w:p w14:paraId="4A8864A8"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6D8A6F8C" w14:textId="77777777" w:rsidR="002B04EB" w:rsidRPr="003F7F6C" w:rsidRDefault="002B04EB" w:rsidP="00B851B7">
            <w:pPr>
              <w:rPr>
                <w:sz w:val="16"/>
                <w:szCs w:val="16"/>
              </w:rPr>
            </w:pPr>
            <w:r w:rsidRPr="003F7F6C">
              <w:rPr>
                <w:rFonts w:cs="Calibri"/>
                <w:sz w:val="16"/>
                <w:szCs w:val="16"/>
              </w:rPr>
              <w:t>X</w:t>
            </w:r>
          </w:p>
        </w:tc>
        <w:tc>
          <w:tcPr>
            <w:tcW w:w="428" w:type="dxa"/>
          </w:tcPr>
          <w:p w14:paraId="72E64AFD" w14:textId="77777777" w:rsidR="002B04EB" w:rsidRPr="003F7F6C" w:rsidRDefault="002B04EB" w:rsidP="00B851B7">
            <w:pPr>
              <w:rPr>
                <w:sz w:val="16"/>
                <w:szCs w:val="16"/>
              </w:rPr>
            </w:pPr>
            <w:r w:rsidRPr="003F7F6C">
              <w:rPr>
                <w:rFonts w:cs="Calibri"/>
                <w:sz w:val="16"/>
                <w:szCs w:val="16"/>
              </w:rPr>
              <w:t>X</w:t>
            </w:r>
          </w:p>
        </w:tc>
        <w:tc>
          <w:tcPr>
            <w:tcW w:w="428" w:type="dxa"/>
          </w:tcPr>
          <w:p w14:paraId="07D7B2F1" w14:textId="77777777" w:rsidR="002B04EB" w:rsidRPr="003F7F6C" w:rsidRDefault="002B04EB" w:rsidP="00B851B7">
            <w:pPr>
              <w:rPr>
                <w:sz w:val="16"/>
                <w:szCs w:val="16"/>
              </w:rPr>
            </w:pPr>
            <w:r w:rsidRPr="003F7F6C">
              <w:rPr>
                <w:rFonts w:cs="Calibri"/>
                <w:sz w:val="16"/>
                <w:szCs w:val="16"/>
              </w:rPr>
              <w:t>X</w:t>
            </w:r>
          </w:p>
        </w:tc>
        <w:tc>
          <w:tcPr>
            <w:tcW w:w="428" w:type="dxa"/>
          </w:tcPr>
          <w:p w14:paraId="78F871BB"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6E301D40" w14:textId="77777777" w:rsidR="002B04EB" w:rsidRPr="003F7F6C" w:rsidRDefault="002B04EB" w:rsidP="00B851B7">
            <w:pPr>
              <w:rPr>
                <w:sz w:val="16"/>
                <w:szCs w:val="16"/>
              </w:rPr>
            </w:pPr>
            <w:r w:rsidRPr="003F7F6C">
              <w:rPr>
                <w:rFonts w:cs="Calibri"/>
                <w:sz w:val="16"/>
                <w:szCs w:val="16"/>
              </w:rPr>
              <w:t>X</w:t>
            </w:r>
          </w:p>
        </w:tc>
        <w:tc>
          <w:tcPr>
            <w:tcW w:w="428" w:type="dxa"/>
          </w:tcPr>
          <w:p w14:paraId="46DF0614" w14:textId="77777777" w:rsidR="002B04EB" w:rsidRPr="003F7F6C" w:rsidRDefault="002B04EB" w:rsidP="00B851B7">
            <w:pPr>
              <w:rPr>
                <w:rFonts w:cs="Calibri"/>
                <w:sz w:val="16"/>
                <w:szCs w:val="16"/>
              </w:rPr>
            </w:pPr>
          </w:p>
        </w:tc>
        <w:tc>
          <w:tcPr>
            <w:tcW w:w="428" w:type="dxa"/>
          </w:tcPr>
          <w:p w14:paraId="74F90168" w14:textId="77777777" w:rsidR="002B04EB" w:rsidRPr="003F7F6C" w:rsidRDefault="002B04EB" w:rsidP="00B851B7">
            <w:pPr>
              <w:rPr>
                <w:rFonts w:cs="Calibri"/>
                <w:sz w:val="16"/>
                <w:szCs w:val="16"/>
              </w:rPr>
            </w:pPr>
          </w:p>
        </w:tc>
        <w:tc>
          <w:tcPr>
            <w:tcW w:w="428" w:type="dxa"/>
          </w:tcPr>
          <w:p w14:paraId="0FB7F250" w14:textId="77777777" w:rsidR="002B04EB" w:rsidRPr="003F7F6C" w:rsidRDefault="002B04EB" w:rsidP="00B851B7">
            <w:pPr>
              <w:rPr>
                <w:rFonts w:cs="Calibri"/>
                <w:sz w:val="16"/>
                <w:szCs w:val="16"/>
              </w:rPr>
            </w:pPr>
          </w:p>
        </w:tc>
        <w:tc>
          <w:tcPr>
            <w:tcW w:w="428" w:type="dxa"/>
            <w:gridSpan w:val="2"/>
          </w:tcPr>
          <w:p w14:paraId="1ED7A089" w14:textId="77777777" w:rsidR="002B04EB" w:rsidRPr="003F7F6C" w:rsidRDefault="002B04EB" w:rsidP="00B851B7">
            <w:pPr>
              <w:rPr>
                <w:rFonts w:cs="Calibri"/>
                <w:sz w:val="16"/>
                <w:szCs w:val="16"/>
              </w:rPr>
            </w:pPr>
          </w:p>
        </w:tc>
        <w:tc>
          <w:tcPr>
            <w:tcW w:w="428" w:type="dxa"/>
          </w:tcPr>
          <w:p w14:paraId="51366775" w14:textId="77777777" w:rsidR="002B04EB" w:rsidRPr="003F7F6C" w:rsidRDefault="002B04EB" w:rsidP="00B851B7">
            <w:pPr>
              <w:rPr>
                <w:rFonts w:cs="Calibri"/>
                <w:sz w:val="16"/>
                <w:szCs w:val="16"/>
              </w:rPr>
            </w:pPr>
          </w:p>
        </w:tc>
        <w:tc>
          <w:tcPr>
            <w:tcW w:w="428" w:type="dxa"/>
          </w:tcPr>
          <w:p w14:paraId="2F2BDC7B" w14:textId="77777777" w:rsidR="002B04EB" w:rsidRPr="003F7F6C" w:rsidRDefault="002B04EB" w:rsidP="00B851B7">
            <w:pPr>
              <w:rPr>
                <w:rFonts w:cs="Calibri"/>
                <w:sz w:val="16"/>
                <w:szCs w:val="16"/>
              </w:rPr>
            </w:pPr>
          </w:p>
        </w:tc>
        <w:tc>
          <w:tcPr>
            <w:tcW w:w="428" w:type="dxa"/>
          </w:tcPr>
          <w:p w14:paraId="40B62084" w14:textId="77777777" w:rsidR="002B04EB" w:rsidRPr="003F7F6C" w:rsidRDefault="002B04EB" w:rsidP="00B851B7">
            <w:pPr>
              <w:rPr>
                <w:rFonts w:cs="Calibri"/>
                <w:sz w:val="16"/>
                <w:szCs w:val="16"/>
              </w:rPr>
            </w:pPr>
          </w:p>
        </w:tc>
        <w:tc>
          <w:tcPr>
            <w:tcW w:w="428" w:type="dxa"/>
          </w:tcPr>
          <w:p w14:paraId="260A4CE2" w14:textId="77777777" w:rsidR="002B04EB" w:rsidRPr="003F7F6C" w:rsidRDefault="002B04EB" w:rsidP="00B851B7">
            <w:pPr>
              <w:rPr>
                <w:rFonts w:cs="Calibri"/>
                <w:sz w:val="16"/>
                <w:szCs w:val="16"/>
              </w:rPr>
            </w:pPr>
          </w:p>
        </w:tc>
      </w:tr>
      <w:tr w:rsidR="002B04EB" w:rsidRPr="003F7F6C" w14:paraId="1F6D5BB3" w14:textId="77777777" w:rsidTr="00B851B7">
        <w:tc>
          <w:tcPr>
            <w:tcW w:w="1668" w:type="dxa"/>
          </w:tcPr>
          <w:p w14:paraId="149F4C15" w14:textId="77777777" w:rsidR="002B04EB" w:rsidRPr="003F7F6C" w:rsidRDefault="002B04EB" w:rsidP="00E91275">
            <w:pPr>
              <w:pStyle w:val="ListParagraph"/>
              <w:numPr>
                <w:ilvl w:val="0"/>
                <w:numId w:val="29"/>
              </w:numPr>
              <w:spacing w:after="0"/>
              <w:ind w:left="166" w:hanging="166"/>
              <w:contextualSpacing w:val="0"/>
              <w:rPr>
                <w:rFonts w:cs="Calibri"/>
                <w:sz w:val="16"/>
                <w:szCs w:val="16"/>
              </w:rPr>
            </w:pPr>
            <w:r w:rsidRPr="003F7F6C">
              <w:rPr>
                <w:rFonts w:cs="Calibri"/>
                <w:sz w:val="16"/>
                <w:szCs w:val="16"/>
              </w:rPr>
              <w:t>Functioning of spaces with work plans and budget</w:t>
            </w:r>
          </w:p>
        </w:tc>
        <w:tc>
          <w:tcPr>
            <w:tcW w:w="1057" w:type="dxa"/>
          </w:tcPr>
          <w:p w14:paraId="3E367AA6" w14:textId="77777777" w:rsidR="002B04EB" w:rsidRPr="003F7F6C" w:rsidRDefault="002B04EB" w:rsidP="00B851B7">
            <w:pPr>
              <w:rPr>
                <w:rFonts w:cs="Calibri"/>
                <w:sz w:val="16"/>
                <w:szCs w:val="16"/>
              </w:rPr>
            </w:pPr>
            <w:r w:rsidRPr="003F7F6C">
              <w:rPr>
                <w:rFonts w:cs="Calibri"/>
                <w:sz w:val="16"/>
                <w:szCs w:val="16"/>
              </w:rPr>
              <w:t>SGAyDS Provinces</w:t>
            </w:r>
          </w:p>
          <w:p w14:paraId="4B0C14E9" w14:textId="77777777" w:rsidR="002B04EB" w:rsidRPr="003F7F6C" w:rsidRDefault="002B04EB" w:rsidP="00B851B7">
            <w:pPr>
              <w:rPr>
                <w:rFonts w:cs="Calibri"/>
                <w:sz w:val="16"/>
                <w:szCs w:val="16"/>
              </w:rPr>
            </w:pPr>
            <w:r w:rsidRPr="003F7F6C">
              <w:rPr>
                <w:rFonts w:cs="Calibri"/>
                <w:sz w:val="16"/>
                <w:szCs w:val="16"/>
              </w:rPr>
              <w:t>INTA</w:t>
            </w:r>
          </w:p>
        </w:tc>
        <w:tc>
          <w:tcPr>
            <w:tcW w:w="428" w:type="dxa"/>
          </w:tcPr>
          <w:p w14:paraId="298B09FC" w14:textId="77777777" w:rsidR="002B04EB" w:rsidRPr="003F7F6C" w:rsidRDefault="002B04EB" w:rsidP="00B851B7">
            <w:pPr>
              <w:rPr>
                <w:rFonts w:cs="Calibri"/>
                <w:sz w:val="16"/>
                <w:szCs w:val="16"/>
              </w:rPr>
            </w:pPr>
          </w:p>
        </w:tc>
        <w:tc>
          <w:tcPr>
            <w:tcW w:w="444" w:type="dxa"/>
          </w:tcPr>
          <w:p w14:paraId="560ACC22" w14:textId="77777777" w:rsidR="002B04EB" w:rsidRPr="003F7F6C" w:rsidRDefault="002B04EB" w:rsidP="00B851B7">
            <w:pPr>
              <w:rPr>
                <w:rFonts w:cs="Calibri"/>
                <w:sz w:val="16"/>
                <w:szCs w:val="16"/>
              </w:rPr>
            </w:pPr>
          </w:p>
        </w:tc>
        <w:tc>
          <w:tcPr>
            <w:tcW w:w="428" w:type="dxa"/>
          </w:tcPr>
          <w:p w14:paraId="7746080B" w14:textId="77777777" w:rsidR="002B04EB" w:rsidRPr="003F7F6C" w:rsidRDefault="002B04EB" w:rsidP="00B851B7">
            <w:pPr>
              <w:rPr>
                <w:rFonts w:cs="Calibri"/>
                <w:sz w:val="16"/>
                <w:szCs w:val="16"/>
              </w:rPr>
            </w:pPr>
          </w:p>
        </w:tc>
        <w:tc>
          <w:tcPr>
            <w:tcW w:w="428" w:type="dxa"/>
            <w:gridSpan w:val="2"/>
          </w:tcPr>
          <w:p w14:paraId="54AF8A14" w14:textId="77777777" w:rsidR="002B04EB" w:rsidRPr="003F7F6C" w:rsidRDefault="002B04EB" w:rsidP="00B851B7">
            <w:pPr>
              <w:rPr>
                <w:rFonts w:cs="Calibri"/>
                <w:sz w:val="16"/>
                <w:szCs w:val="16"/>
              </w:rPr>
            </w:pPr>
          </w:p>
        </w:tc>
        <w:tc>
          <w:tcPr>
            <w:tcW w:w="428" w:type="dxa"/>
          </w:tcPr>
          <w:p w14:paraId="6D50F34F" w14:textId="77777777" w:rsidR="002B04EB" w:rsidRPr="003F7F6C" w:rsidRDefault="002B04EB" w:rsidP="00B851B7">
            <w:pPr>
              <w:rPr>
                <w:rFonts w:cs="Calibri"/>
                <w:sz w:val="16"/>
                <w:szCs w:val="16"/>
              </w:rPr>
            </w:pPr>
          </w:p>
        </w:tc>
        <w:tc>
          <w:tcPr>
            <w:tcW w:w="427" w:type="dxa"/>
          </w:tcPr>
          <w:p w14:paraId="559319EE" w14:textId="77777777" w:rsidR="002B04EB" w:rsidRPr="003F7F6C" w:rsidRDefault="002B04EB" w:rsidP="00B851B7">
            <w:pPr>
              <w:rPr>
                <w:rFonts w:cs="Calibri"/>
                <w:sz w:val="16"/>
                <w:szCs w:val="16"/>
              </w:rPr>
            </w:pPr>
          </w:p>
        </w:tc>
        <w:tc>
          <w:tcPr>
            <w:tcW w:w="427" w:type="dxa"/>
          </w:tcPr>
          <w:p w14:paraId="07569F99" w14:textId="77777777" w:rsidR="002B04EB" w:rsidRPr="003F7F6C" w:rsidRDefault="002B04EB" w:rsidP="00B851B7">
            <w:pPr>
              <w:rPr>
                <w:rFonts w:cs="Calibri"/>
                <w:sz w:val="16"/>
                <w:szCs w:val="16"/>
              </w:rPr>
            </w:pPr>
          </w:p>
        </w:tc>
        <w:tc>
          <w:tcPr>
            <w:tcW w:w="427" w:type="dxa"/>
            <w:gridSpan w:val="2"/>
          </w:tcPr>
          <w:p w14:paraId="213565C9" w14:textId="77777777" w:rsidR="002B04EB" w:rsidRPr="003F7F6C" w:rsidRDefault="002B04EB" w:rsidP="00B851B7">
            <w:pPr>
              <w:rPr>
                <w:rFonts w:cs="Calibri"/>
                <w:sz w:val="16"/>
                <w:szCs w:val="16"/>
              </w:rPr>
            </w:pPr>
          </w:p>
        </w:tc>
        <w:tc>
          <w:tcPr>
            <w:tcW w:w="428" w:type="dxa"/>
          </w:tcPr>
          <w:p w14:paraId="188E8226" w14:textId="77777777" w:rsidR="002B04EB" w:rsidRPr="003F7F6C" w:rsidRDefault="002B04EB" w:rsidP="00B851B7">
            <w:pPr>
              <w:rPr>
                <w:rFonts w:cs="Calibri"/>
                <w:sz w:val="16"/>
                <w:szCs w:val="16"/>
              </w:rPr>
            </w:pPr>
          </w:p>
        </w:tc>
        <w:tc>
          <w:tcPr>
            <w:tcW w:w="428" w:type="dxa"/>
          </w:tcPr>
          <w:p w14:paraId="2E23B323" w14:textId="77777777" w:rsidR="002B04EB" w:rsidRPr="003F7F6C" w:rsidRDefault="002B04EB" w:rsidP="00B851B7">
            <w:pPr>
              <w:rPr>
                <w:rFonts w:cs="Calibri"/>
                <w:sz w:val="16"/>
                <w:szCs w:val="16"/>
              </w:rPr>
            </w:pPr>
          </w:p>
        </w:tc>
        <w:tc>
          <w:tcPr>
            <w:tcW w:w="428" w:type="dxa"/>
          </w:tcPr>
          <w:p w14:paraId="2A9C1C8F" w14:textId="77777777" w:rsidR="002B04EB" w:rsidRPr="003F7F6C" w:rsidRDefault="002B04EB" w:rsidP="00B851B7">
            <w:pPr>
              <w:rPr>
                <w:rFonts w:cs="Calibri"/>
                <w:sz w:val="16"/>
                <w:szCs w:val="16"/>
              </w:rPr>
            </w:pPr>
          </w:p>
        </w:tc>
        <w:tc>
          <w:tcPr>
            <w:tcW w:w="428" w:type="dxa"/>
            <w:gridSpan w:val="2"/>
          </w:tcPr>
          <w:p w14:paraId="4200616E" w14:textId="77777777" w:rsidR="002B04EB" w:rsidRPr="003F7F6C" w:rsidRDefault="002B04EB" w:rsidP="00B851B7">
            <w:pPr>
              <w:rPr>
                <w:rFonts w:cs="Calibri"/>
                <w:sz w:val="16"/>
                <w:szCs w:val="16"/>
              </w:rPr>
            </w:pPr>
          </w:p>
        </w:tc>
        <w:tc>
          <w:tcPr>
            <w:tcW w:w="428" w:type="dxa"/>
          </w:tcPr>
          <w:p w14:paraId="23A69DBE" w14:textId="77777777" w:rsidR="002B04EB" w:rsidRPr="003F7F6C" w:rsidRDefault="002B04EB" w:rsidP="00B851B7">
            <w:pPr>
              <w:rPr>
                <w:rFonts w:cs="Calibri"/>
                <w:sz w:val="16"/>
                <w:szCs w:val="16"/>
              </w:rPr>
            </w:pPr>
          </w:p>
        </w:tc>
        <w:tc>
          <w:tcPr>
            <w:tcW w:w="428" w:type="dxa"/>
          </w:tcPr>
          <w:p w14:paraId="49FE4143" w14:textId="77777777" w:rsidR="002B04EB" w:rsidRPr="003F7F6C" w:rsidRDefault="002B04EB" w:rsidP="00B851B7">
            <w:pPr>
              <w:rPr>
                <w:rFonts w:cs="Calibri"/>
                <w:sz w:val="16"/>
                <w:szCs w:val="16"/>
              </w:rPr>
            </w:pPr>
          </w:p>
        </w:tc>
        <w:tc>
          <w:tcPr>
            <w:tcW w:w="428" w:type="dxa"/>
          </w:tcPr>
          <w:p w14:paraId="3A1A8CDE" w14:textId="77777777" w:rsidR="002B04EB" w:rsidRPr="003F7F6C" w:rsidRDefault="002B04EB" w:rsidP="00B851B7">
            <w:pPr>
              <w:rPr>
                <w:rFonts w:cs="Calibri"/>
                <w:sz w:val="16"/>
                <w:szCs w:val="16"/>
              </w:rPr>
            </w:pPr>
          </w:p>
        </w:tc>
        <w:tc>
          <w:tcPr>
            <w:tcW w:w="428" w:type="dxa"/>
            <w:gridSpan w:val="2"/>
          </w:tcPr>
          <w:p w14:paraId="279AFF36" w14:textId="77777777" w:rsidR="002B04EB" w:rsidRPr="003F7F6C" w:rsidRDefault="002B04EB" w:rsidP="00B851B7">
            <w:pPr>
              <w:rPr>
                <w:rFonts w:cs="Calibri"/>
                <w:sz w:val="16"/>
                <w:szCs w:val="16"/>
              </w:rPr>
            </w:pPr>
          </w:p>
        </w:tc>
        <w:tc>
          <w:tcPr>
            <w:tcW w:w="428" w:type="dxa"/>
          </w:tcPr>
          <w:p w14:paraId="003D76F0" w14:textId="77777777" w:rsidR="002B04EB" w:rsidRPr="003F7F6C" w:rsidRDefault="002B04EB" w:rsidP="00B851B7">
            <w:pPr>
              <w:rPr>
                <w:sz w:val="16"/>
                <w:szCs w:val="16"/>
              </w:rPr>
            </w:pPr>
            <w:r w:rsidRPr="003F7F6C">
              <w:rPr>
                <w:rFonts w:cs="Calibri"/>
                <w:sz w:val="16"/>
                <w:szCs w:val="16"/>
              </w:rPr>
              <w:t>X</w:t>
            </w:r>
          </w:p>
        </w:tc>
        <w:tc>
          <w:tcPr>
            <w:tcW w:w="428" w:type="dxa"/>
          </w:tcPr>
          <w:p w14:paraId="51089121" w14:textId="77777777" w:rsidR="002B04EB" w:rsidRPr="003F7F6C" w:rsidRDefault="002B04EB" w:rsidP="00B851B7">
            <w:pPr>
              <w:rPr>
                <w:sz w:val="16"/>
                <w:szCs w:val="16"/>
              </w:rPr>
            </w:pPr>
            <w:r w:rsidRPr="003F7F6C">
              <w:rPr>
                <w:rFonts w:cs="Calibri"/>
                <w:sz w:val="16"/>
                <w:szCs w:val="16"/>
              </w:rPr>
              <w:t>X</w:t>
            </w:r>
          </w:p>
        </w:tc>
        <w:tc>
          <w:tcPr>
            <w:tcW w:w="428" w:type="dxa"/>
          </w:tcPr>
          <w:p w14:paraId="50B484D1"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38582862" w14:textId="77777777" w:rsidR="002B04EB" w:rsidRPr="003F7F6C" w:rsidRDefault="002B04EB" w:rsidP="00B851B7">
            <w:pPr>
              <w:rPr>
                <w:sz w:val="16"/>
                <w:szCs w:val="16"/>
              </w:rPr>
            </w:pPr>
            <w:r w:rsidRPr="003F7F6C">
              <w:rPr>
                <w:rFonts w:cs="Calibri"/>
                <w:sz w:val="16"/>
                <w:szCs w:val="16"/>
              </w:rPr>
              <w:t>X</w:t>
            </w:r>
          </w:p>
        </w:tc>
        <w:tc>
          <w:tcPr>
            <w:tcW w:w="428" w:type="dxa"/>
          </w:tcPr>
          <w:p w14:paraId="29120501" w14:textId="77777777" w:rsidR="002B04EB" w:rsidRPr="003F7F6C" w:rsidRDefault="002B04EB" w:rsidP="00B851B7">
            <w:pPr>
              <w:rPr>
                <w:sz w:val="16"/>
                <w:szCs w:val="16"/>
              </w:rPr>
            </w:pPr>
            <w:r w:rsidRPr="003F7F6C">
              <w:rPr>
                <w:rFonts w:cs="Calibri"/>
                <w:sz w:val="16"/>
                <w:szCs w:val="16"/>
              </w:rPr>
              <w:t>X</w:t>
            </w:r>
          </w:p>
        </w:tc>
        <w:tc>
          <w:tcPr>
            <w:tcW w:w="428" w:type="dxa"/>
          </w:tcPr>
          <w:p w14:paraId="3356C331" w14:textId="77777777" w:rsidR="002B04EB" w:rsidRPr="003F7F6C" w:rsidRDefault="002B04EB" w:rsidP="00B851B7">
            <w:pPr>
              <w:rPr>
                <w:sz w:val="16"/>
                <w:szCs w:val="16"/>
              </w:rPr>
            </w:pPr>
            <w:r w:rsidRPr="003F7F6C">
              <w:rPr>
                <w:rFonts w:cs="Calibri"/>
                <w:sz w:val="16"/>
                <w:szCs w:val="16"/>
              </w:rPr>
              <w:t>X</w:t>
            </w:r>
          </w:p>
        </w:tc>
        <w:tc>
          <w:tcPr>
            <w:tcW w:w="428" w:type="dxa"/>
          </w:tcPr>
          <w:p w14:paraId="228B01C0" w14:textId="77777777" w:rsidR="002B04EB" w:rsidRPr="003F7F6C" w:rsidRDefault="002B04EB" w:rsidP="00B851B7">
            <w:pPr>
              <w:rPr>
                <w:sz w:val="16"/>
                <w:szCs w:val="16"/>
              </w:rPr>
            </w:pPr>
            <w:r w:rsidRPr="003F7F6C">
              <w:rPr>
                <w:rFonts w:cs="Calibri"/>
                <w:sz w:val="16"/>
                <w:szCs w:val="16"/>
              </w:rPr>
              <w:t>X</w:t>
            </w:r>
          </w:p>
        </w:tc>
        <w:tc>
          <w:tcPr>
            <w:tcW w:w="428" w:type="dxa"/>
          </w:tcPr>
          <w:p w14:paraId="49CED926" w14:textId="77777777" w:rsidR="002B04EB" w:rsidRPr="003F7F6C" w:rsidRDefault="002B04EB" w:rsidP="00B851B7">
            <w:pPr>
              <w:rPr>
                <w:sz w:val="16"/>
                <w:szCs w:val="16"/>
              </w:rPr>
            </w:pPr>
            <w:r w:rsidRPr="003F7F6C">
              <w:rPr>
                <w:rFonts w:cs="Calibri"/>
                <w:sz w:val="16"/>
                <w:szCs w:val="16"/>
              </w:rPr>
              <w:t>X</w:t>
            </w:r>
          </w:p>
        </w:tc>
      </w:tr>
      <w:tr w:rsidR="002B04EB" w:rsidRPr="003F7F6C" w14:paraId="7C1CDD26" w14:textId="77777777" w:rsidTr="00B851B7">
        <w:tc>
          <w:tcPr>
            <w:tcW w:w="1668" w:type="dxa"/>
          </w:tcPr>
          <w:p w14:paraId="4163B426" w14:textId="77777777" w:rsidR="002B04EB" w:rsidRPr="003F7F6C" w:rsidRDefault="002B04EB" w:rsidP="00E91275">
            <w:pPr>
              <w:pStyle w:val="ListParagraph"/>
              <w:numPr>
                <w:ilvl w:val="0"/>
                <w:numId w:val="29"/>
              </w:numPr>
              <w:spacing w:after="0"/>
              <w:ind w:left="166" w:hanging="166"/>
              <w:contextualSpacing w:val="0"/>
              <w:rPr>
                <w:rFonts w:cs="Calibri"/>
                <w:sz w:val="16"/>
                <w:szCs w:val="16"/>
              </w:rPr>
            </w:pPr>
            <w:r w:rsidRPr="003F7F6C">
              <w:rPr>
                <w:rFonts w:cs="Calibri"/>
                <w:sz w:val="16"/>
                <w:szCs w:val="16"/>
              </w:rPr>
              <w:t>Design and implement a communication program for ELUP</w:t>
            </w:r>
          </w:p>
        </w:tc>
        <w:tc>
          <w:tcPr>
            <w:tcW w:w="1057" w:type="dxa"/>
          </w:tcPr>
          <w:p w14:paraId="2902F2A4" w14:textId="77777777" w:rsidR="002B04EB" w:rsidRPr="003F7F6C" w:rsidRDefault="002B04EB" w:rsidP="00B851B7">
            <w:pPr>
              <w:rPr>
                <w:rFonts w:cs="Calibri"/>
                <w:sz w:val="16"/>
                <w:szCs w:val="16"/>
              </w:rPr>
            </w:pPr>
            <w:r w:rsidRPr="003F7F6C">
              <w:rPr>
                <w:rFonts w:cs="Calibri"/>
                <w:sz w:val="16"/>
                <w:szCs w:val="16"/>
              </w:rPr>
              <w:t>SGAyDS</w:t>
            </w:r>
          </w:p>
        </w:tc>
        <w:tc>
          <w:tcPr>
            <w:tcW w:w="428" w:type="dxa"/>
          </w:tcPr>
          <w:p w14:paraId="71235970" w14:textId="77777777" w:rsidR="002B04EB" w:rsidRPr="003F7F6C" w:rsidRDefault="002B04EB" w:rsidP="00B851B7">
            <w:pPr>
              <w:rPr>
                <w:rFonts w:cs="Calibri"/>
                <w:sz w:val="16"/>
                <w:szCs w:val="16"/>
              </w:rPr>
            </w:pPr>
          </w:p>
        </w:tc>
        <w:tc>
          <w:tcPr>
            <w:tcW w:w="444" w:type="dxa"/>
          </w:tcPr>
          <w:p w14:paraId="742B120C" w14:textId="77777777" w:rsidR="002B04EB" w:rsidRPr="003F7F6C" w:rsidRDefault="002B04EB" w:rsidP="00B851B7">
            <w:pPr>
              <w:rPr>
                <w:sz w:val="16"/>
                <w:szCs w:val="16"/>
              </w:rPr>
            </w:pPr>
            <w:r w:rsidRPr="003F7F6C">
              <w:rPr>
                <w:rFonts w:cs="Calibri"/>
                <w:sz w:val="16"/>
                <w:szCs w:val="16"/>
              </w:rPr>
              <w:t>X</w:t>
            </w:r>
          </w:p>
        </w:tc>
        <w:tc>
          <w:tcPr>
            <w:tcW w:w="428" w:type="dxa"/>
          </w:tcPr>
          <w:p w14:paraId="33605A02"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1269DE1D" w14:textId="77777777" w:rsidR="002B04EB" w:rsidRPr="003F7F6C" w:rsidRDefault="002B04EB" w:rsidP="00B851B7">
            <w:pPr>
              <w:rPr>
                <w:sz w:val="16"/>
                <w:szCs w:val="16"/>
              </w:rPr>
            </w:pPr>
            <w:r w:rsidRPr="003F7F6C">
              <w:rPr>
                <w:rFonts w:cs="Calibri"/>
                <w:sz w:val="16"/>
                <w:szCs w:val="16"/>
              </w:rPr>
              <w:t>X</w:t>
            </w:r>
          </w:p>
        </w:tc>
        <w:tc>
          <w:tcPr>
            <w:tcW w:w="428" w:type="dxa"/>
          </w:tcPr>
          <w:p w14:paraId="027ABAC8" w14:textId="77777777" w:rsidR="002B04EB" w:rsidRPr="003F7F6C" w:rsidRDefault="002B04EB" w:rsidP="00B851B7">
            <w:pPr>
              <w:rPr>
                <w:sz w:val="16"/>
                <w:szCs w:val="16"/>
              </w:rPr>
            </w:pPr>
            <w:r w:rsidRPr="003F7F6C">
              <w:rPr>
                <w:rFonts w:cs="Calibri"/>
                <w:sz w:val="16"/>
                <w:szCs w:val="16"/>
              </w:rPr>
              <w:t>X</w:t>
            </w:r>
          </w:p>
        </w:tc>
        <w:tc>
          <w:tcPr>
            <w:tcW w:w="427" w:type="dxa"/>
          </w:tcPr>
          <w:p w14:paraId="395C3FA2" w14:textId="77777777" w:rsidR="002B04EB" w:rsidRPr="003F7F6C" w:rsidRDefault="002B04EB" w:rsidP="00B851B7">
            <w:pPr>
              <w:rPr>
                <w:sz w:val="16"/>
                <w:szCs w:val="16"/>
              </w:rPr>
            </w:pPr>
            <w:r w:rsidRPr="003F7F6C">
              <w:rPr>
                <w:rFonts w:cs="Calibri"/>
                <w:sz w:val="16"/>
                <w:szCs w:val="16"/>
              </w:rPr>
              <w:t>X</w:t>
            </w:r>
          </w:p>
        </w:tc>
        <w:tc>
          <w:tcPr>
            <w:tcW w:w="427" w:type="dxa"/>
          </w:tcPr>
          <w:p w14:paraId="2301ED71" w14:textId="77777777" w:rsidR="002B04EB" w:rsidRPr="003F7F6C" w:rsidRDefault="002B04EB" w:rsidP="00B851B7">
            <w:pPr>
              <w:rPr>
                <w:sz w:val="16"/>
                <w:szCs w:val="16"/>
              </w:rPr>
            </w:pPr>
            <w:r w:rsidRPr="003F7F6C">
              <w:rPr>
                <w:rFonts w:cs="Calibri"/>
                <w:sz w:val="16"/>
                <w:szCs w:val="16"/>
              </w:rPr>
              <w:t>X</w:t>
            </w:r>
          </w:p>
        </w:tc>
        <w:tc>
          <w:tcPr>
            <w:tcW w:w="427" w:type="dxa"/>
            <w:gridSpan w:val="2"/>
          </w:tcPr>
          <w:p w14:paraId="1BFECC63" w14:textId="77777777" w:rsidR="002B04EB" w:rsidRPr="003F7F6C" w:rsidRDefault="002B04EB" w:rsidP="00B851B7">
            <w:pPr>
              <w:rPr>
                <w:sz w:val="16"/>
                <w:szCs w:val="16"/>
              </w:rPr>
            </w:pPr>
            <w:r w:rsidRPr="003F7F6C">
              <w:rPr>
                <w:rFonts w:cs="Calibri"/>
                <w:sz w:val="16"/>
                <w:szCs w:val="16"/>
              </w:rPr>
              <w:t>X</w:t>
            </w:r>
          </w:p>
        </w:tc>
        <w:tc>
          <w:tcPr>
            <w:tcW w:w="428" w:type="dxa"/>
          </w:tcPr>
          <w:p w14:paraId="18F3BE9F" w14:textId="77777777" w:rsidR="002B04EB" w:rsidRPr="003F7F6C" w:rsidRDefault="002B04EB" w:rsidP="00B851B7">
            <w:pPr>
              <w:rPr>
                <w:sz w:val="16"/>
                <w:szCs w:val="16"/>
              </w:rPr>
            </w:pPr>
            <w:r w:rsidRPr="003F7F6C">
              <w:rPr>
                <w:rFonts w:cs="Calibri"/>
                <w:sz w:val="16"/>
                <w:szCs w:val="16"/>
              </w:rPr>
              <w:t>X</w:t>
            </w:r>
          </w:p>
        </w:tc>
        <w:tc>
          <w:tcPr>
            <w:tcW w:w="428" w:type="dxa"/>
          </w:tcPr>
          <w:p w14:paraId="59E48645" w14:textId="77777777" w:rsidR="002B04EB" w:rsidRPr="003F7F6C" w:rsidRDefault="002B04EB" w:rsidP="00B851B7">
            <w:pPr>
              <w:rPr>
                <w:sz w:val="16"/>
                <w:szCs w:val="16"/>
              </w:rPr>
            </w:pPr>
            <w:r w:rsidRPr="003F7F6C">
              <w:rPr>
                <w:rFonts w:cs="Calibri"/>
                <w:sz w:val="16"/>
                <w:szCs w:val="16"/>
              </w:rPr>
              <w:t>X</w:t>
            </w:r>
          </w:p>
        </w:tc>
        <w:tc>
          <w:tcPr>
            <w:tcW w:w="428" w:type="dxa"/>
          </w:tcPr>
          <w:p w14:paraId="2EFFDADC"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287C02F0" w14:textId="77777777" w:rsidR="002B04EB" w:rsidRPr="003F7F6C" w:rsidRDefault="002B04EB" w:rsidP="00B851B7">
            <w:pPr>
              <w:rPr>
                <w:sz w:val="16"/>
                <w:szCs w:val="16"/>
              </w:rPr>
            </w:pPr>
            <w:r w:rsidRPr="003F7F6C">
              <w:rPr>
                <w:rFonts w:cs="Calibri"/>
                <w:sz w:val="16"/>
                <w:szCs w:val="16"/>
              </w:rPr>
              <w:t>X</w:t>
            </w:r>
          </w:p>
        </w:tc>
        <w:tc>
          <w:tcPr>
            <w:tcW w:w="428" w:type="dxa"/>
          </w:tcPr>
          <w:p w14:paraId="388982EF" w14:textId="77777777" w:rsidR="002B04EB" w:rsidRPr="003F7F6C" w:rsidRDefault="002B04EB" w:rsidP="00B851B7">
            <w:pPr>
              <w:rPr>
                <w:sz w:val="16"/>
                <w:szCs w:val="16"/>
              </w:rPr>
            </w:pPr>
            <w:r w:rsidRPr="003F7F6C">
              <w:rPr>
                <w:rFonts w:cs="Calibri"/>
                <w:sz w:val="16"/>
                <w:szCs w:val="16"/>
              </w:rPr>
              <w:t>X</w:t>
            </w:r>
          </w:p>
        </w:tc>
        <w:tc>
          <w:tcPr>
            <w:tcW w:w="428" w:type="dxa"/>
          </w:tcPr>
          <w:p w14:paraId="0E70EB2F" w14:textId="77777777" w:rsidR="002B04EB" w:rsidRPr="003F7F6C" w:rsidRDefault="002B04EB" w:rsidP="00B851B7">
            <w:pPr>
              <w:rPr>
                <w:sz w:val="16"/>
                <w:szCs w:val="16"/>
              </w:rPr>
            </w:pPr>
            <w:r w:rsidRPr="003F7F6C">
              <w:rPr>
                <w:rFonts w:cs="Calibri"/>
                <w:sz w:val="16"/>
                <w:szCs w:val="16"/>
              </w:rPr>
              <w:t>X</w:t>
            </w:r>
          </w:p>
        </w:tc>
        <w:tc>
          <w:tcPr>
            <w:tcW w:w="428" w:type="dxa"/>
          </w:tcPr>
          <w:p w14:paraId="1CFB342E"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6C0D94D6" w14:textId="77777777" w:rsidR="002B04EB" w:rsidRPr="003F7F6C" w:rsidRDefault="002B04EB" w:rsidP="00B851B7">
            <w:pPr>
              <w:rPr>
                <w:sz w:val="16"/>
                <w:szCs w:val="16"/>
              </w:rPr>
            </w:pPr>
            <w:r w:rsidRPr="003F7F6C">
              <w:rPr>
                <w:rFonts w:cs="Calibri"/>
                <w:sz w:val="16"/>
                <w:szCs w:val="16"/>
              </w:rPr>
              <w:t>X</w:t>
            </w:r>
          </w:p>
        </w:tc>
        <w:tc>
          <w:tcPr>
            <w:tcW w:w="428" w:type="dxa"/>
          </w:tcPr>
          <w:p w14:paraId="6013C48F" w14:textId="77777777" w:rsidR="002B04EB" w:rsidRPr="003F7F6C" w:rsidRDefault="002B04EB" w:rsidP="00B851B7">
            <w:pPr>
              <w:rPr>
                <w:sz w:val="16"/>
                <w:szCs w:val="16"/>
              </w:rPr>
            </w:pPr>
            <w:r w:rsidRPr="003F7F6C">
              <w:rPr>
                <w:rFonts w:cs="Calibri"/>
                <w:sz w:val="16"/>
                <w:szCs w:val="16"/>
              </w:rPr>
              <w:t>X</w:t>
            </w:r>
          </w:p>
        </w:tc>
        <w:tc>
          <w:tcPr>
            <w:tcW w:w="428" w:type="dxa"/>
          </w:tcPr>
          <w:p w14:paraId="716894A9" w14:textId="77777777" w:rsidR="002B04EB" w:rsidRPr="003F7F6C" w:rsidRDefault="002B04EB" w:rsidP="00B851B7">
            <w:pPr>
              <w:rPr>
                <w:sz w:val="16"/>
                <w:szCs w:val="16"/>
              </w:rPr>
            </w:pPr>
            <w:r w:rsidRPr="003F7F6C">
              <w:rPr>
                <w:rFonts w:cs="Calibri"/>
                <w:sz w:val="16"/>
                <w:szCs w:val="16"/>
              </w:rPr>
              <w:t>X</w:t>
            </w:r>
          </w:p>
        </w:tc>
        <w:tc>
          <w:tcPr>
            <w:tcW w:w="428" w:type="dxa"/>
          </w:tcPr>
          <w:p w14:paraId="541C1B1E"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55493453" w14:textId="77777777" w:rsidR="002B04EB" w:rsidRPr="003F7F6C" w:rsidRDefault="002B04EB" w:rsidP="00B851B7">
            <w:pPr>
              <w:rPr>
                <w:sz w:val="16"/>
                <w:szCs w:val="16"/>
              </w:rPr>
            </w:pPr>
            <w:r w:rsidRPr="003F7F6C">
              <w:rPr>
                <w:rFonts w:cs="Calibri"/>
                <w:sz w:val="16"/>
                <w:szCs w:val="16"/>
              </w:rPr>
              <w:t>X</w:t>
            </w:r>
          </w:p>
        </w:tc>
        <w:tc>
          <w:tcPr>
            <w:tcW w:w="428" w:type="dxa"/>
          </w:tcPr>
          <w:p w14:paraId="7469399A" w14:textId="77777777" w:rsidR="002B04EB" w:rsidRPr="003F7F6C" w:rsidRDefault="002B04EB" w:rsidP="00B851B7">
            <w:pPr>
              <w:rPr>
                <w:sz w:val="16"/>
                <w:szCs w:val="16"/>
              </w:rPr>
            </w:pPr>
            <w:r w:rsidRPr="003F7F6C">
              <w:rPr>
                <w:rFonts w:cs="Calibri"/>
                <w:sz w:val="16"/>
                <w:szCs w:val="16"/>
              </w:rPr>
              <w:t>X</w:t>
            </w:r>
          </w:p>
        </w:tc>
        <w:tc>
          <w:tcPr>
            <w:tcW w:w="428" w:type="dxa"/>
          </w:tcPr>
          <w:p w14:paraId="03D3C6E7" w14:textId="77777777" w:rsidR="002B04EB" w:rsidRPr="003F7F6C" w:rsidRDefault="002B04EB" w:rsidP="00B851B7">
            <w:pPr>
              <w:rPr>
                <w:sz w:val="16"/>
                <w:szCs w:val="16"/>
              </w:rPr>
            </w:pPr>
            <w:r w:rsidRPr="003F7F6C">
              <w:rPr>
                <w:rFonts w:cs="Calibri"/>
                <w:sz w:val="16"/>
                <w:szCs w:val="16"/>
              </w:rPr>
              <w:t>X</w:t>
            </w:r>
          </w:p>
        </w:tc>
        <w:tc>
          <w:tcPr>
            <w:tcW w:w="428" w:type="dxa"/>
          </w:tcPr>
          <w:p w14:paraId="6E824C6E" w14:textId="77777777" w:rsidR="002B04EB" w:rsidRPr="003F7F6C" w:rsidRDefault="002B04EB" w:rsidP="00B851B7">
            <w:pPr>
              <w:rPr>
                <w:sz w:val="16"/>
                <w:szCs w:val="16"/>
              </w:rPr>
            </w:pPr>
            <w:r w:rsidRPr="003F7F6C">
              <w:rPr>
                <w:rFonts w:cs="Calibri"/>
                <w:sz w:val="16"/>
                <w:szCs w:val="16"/>
              </w:rPr>
              <w:t>X</w:t>
            </w:r>
          </w:p>
        </w:tc>
        <w:tc>
          <w:tcPr>
            <w:tcW w:w="428" w:type="dxa"/>
          </w:tcPr>
          <w:p w14:paraId="17BB00DD" w14:textId="77777777" w:rsidR="002B04EB" w:rsidRPr="003F7F6C" w:rsidRDefault="002B04EB" w:rsidP="00B851B7">
            <w:pPr>
              <w:rPr>
                <w:sz w:val="16"/>
                <w:szCs w:val="16"/>
              </w:rPr>
            </w:pPr>
            <w:r w:rsidRPr="003F7F6C">
              <w:rPr>
                <w:rFonts w:cs="Calibri"/>
                <w:sz w:val="16"/>
                <w:szCs w:val="16"/>
              </w:rPr>
              <w:t>X</w:t>
            </w:r>
          </w:p>
        </w:tc>
      </w:tr>
      <w:tr w:rsidR="002B04EB" w:rsidRPr="003F7F6C" w14:paraId="04D4F2AE" w14:textId="77777777" w:rsidTr="00B851B7">
        <w:tc>
          <w:tcPr>
            <w:tcW w:w="1668" w:type="dxa"/>
          </w:tcPr>
          <w:p w14:paraId="7A5CE3DA" w14:textId="77777777" w:rsidR="002B04EB" w:rsidRPr="003F7F6C" w:rsidRDefault="002B04EB" w:rsidP="00E91275">
            <w:pPr>
              <w:pStyle w:val="ListParagraph"/>
              <w:numPr>
                <w:ilvl w:val="0"/>
                <w:numId w:val="29"/>
              </w:numPr>
              <w:spacing w:after="0"/>
              <w:ind w:left="166" w:hanging="166"/>
              <w:contextualSpacing w:val="0"/>
              <w:rPr>
                <w:rFonts w:cs="Calibri"/>
                <w:sz w:val="16"/>
                <w:szCs w:val="16"/>
              </w:rPr>
            </w:pPr>
            <w:r w:rsidRPr="003F7F6C">
              <w:rPr>
                <w:rFonts w:cs="Calibri"/>
                <w:sz w:val="16"/>
                <w:szCs w:val="16"/>
              </w:rPr>
              <w:t>Design and implement a capacity development program for ELUP and participation</w:t>
            </w:r>
          </w:p>
        </w:tc>
        <w:tc>
          <w:tcPr>
            <w:tcW w:w="1057" w:type="dxa"/>
          </w:tcPr>
          <w:p w14:paraId="589E1582" w14:textId="77777777" w:rsidR="002B04EB" w:rsidRPr="003F7F6C" w:rsidRDefault="002B04EB" w:rsidP="00B851B7">
            <w:pPr>
              <w:rPr>
                <w:rFonts w:cs="Calibri"/>
                <w:sz w:val="16"/>
                <w:szCs w:val="16"/>
              </w:rPr>
            </w:pPr>
            <w:r w:rsidRPr="003F7F6C">
              <w:rPr>
                <w:rFonts w:cs="Calibri"/>
                <w:sz w:val="16"/>
                <w:szCs w:val="16"/>
              </w:rPr>
              <w:t>SGAyDS</w:t>
            </w:r>
          </w:p>
        </w:tc>
        <w:tc>
          <w:tcPr>
            <w:tcW w:w="428" w:type="dxa"/>
          </w:tcPr>
          <w:p w14:paraId="43AC0B0C" w14:textId="77777777" w:rsidR="002B04EB" w:rsidRPr="003F7F6C" w:rsidRDefault="002B04EB" w:rsidP="00B851B7">
            <w:pPr>
              <w:rPr>
                <w:rFonts w:cs="Calibri"/>
                <w:sz w:val="16"/>
                <w:szCs w:val="16"/>
              </w:rPr>
            </w:pPr>
          </w:p>
        </w:tc>
        <w:tc>
          <w:tcPr>
            <w:tcW w:w="444" w:type="dxa"/>
          </w:tcPr>
          <w:p w14:paraId="3A3097A3" w14:textId="77777777" w:rsidR="002B04EB" w:rsidRPr="003F7F6C" w:rsidRDefault="002B04EB" w:rsidP="00B851B7">
            <w:pPr>
              <w:rPr>
                <w:sz w:val="16"/>
                <w:szCs w:val="16"/>
              </w:rPr>
            </w:pPr>
            <w:r w:rsidRPr="003F7F6C">
              <w:rPr>
                <w:rFonts w:cs="Calibri"/>
                <w:sz w:val="16"/>
                <w:szCs w:val="16"/>
              </w:rPr>
              <w:t>X</w:t>
            </w:r>
          </w:p>
        </w:tc>
        <w:tc>
          <w:tcPr>
            <w:tcW w:w="428" w:type="dxa"/>
          </w:tcPr>
          <w:p w14:paraId="75361E9B"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38410AB5" w14:textId="77777777" w:rsidR="002B04EB" w:rsidRPr="003F7F6C" w:rsidRDefault="002B04EB" w:rsidP="00B851B7">
            <w:pPr>
              <w:rPr>
                <w:sz w:val="16"/>
                <w:szCs w:val="16"/>
              </w:rPr>
            </w:pPr>
            <w:r w:rsidRPr="003F7F6C">
              <w:rPr>
                <w:rFonts w:cs="Calibri"/>
                <w:sz w:val="16"/>
                <w:szCs w:val="16"/>
              </w:rPr>
              <w:t>X</w:t>
            </w:r>
          </w:p>
        </w:tc>
        <w:tc>
          <w:tcPr>
            <w:tcW w:w="428" w:type="dxa"/>
          </w:tcPr>
          <w:p w14:paraId="324498E6" w14:textId="77777777" w:rsidR="002B04EB" w:rsidRPr="003F7F6C" w:rsidRDefault="002B04EB" w:rsidP="00B851B7">
            <w:pPr>
              <w:rPr>
                <w:sz w:val="16"/>
                <w:szCs w:val="16"/>
              </w:rPr>
            </w:pPr>
            <w:r w:rsidRPr="003F7F6C">
              <w:rPr>
                <w:rFonts w:cs="Calibri"/>
                <w:sz w:val="16"/>
                <w:szCs w:val="16"/>
              </w:rPr>
              <w:t>X</w:t>
            </w:r>
          </w:p>
        </w:tc>
        <w:tc>
          <w:tcPr>
            <w:tcW w:w="427" w:type="dxa"/>
          </w:tcPr>
          <w:p w14:paraId="0CAA6C8D" w14:textId="77777777" w:rsidR="002B04EB" w:rsidRPr="003F7F6C" w:rsidRDefault="002B04EB" w:rsidP="00B851B7">
            <w:pPr>
              <w:rPr>
                <w:sz w:val="16"/>
                <w:szCs w:val="16"/>
              </w:rPr>
            </w:pPr>
            <w:r w:rsidRPr="003F7F6C">
              <w:rPr>
                <w:rFonts w:cs="Calibri"/>
                <w:sz w:val="16"/>
                <w:szCs w:val="16"/>
              </w:rPr>
              <w:t>X</w:t>
            </w:r>
          </w:p>
        </w:tc>
        <w:tc>
          <w:tcPr>
            <w:tcW w:w="427" w:type="dxa"/>
          </w:tcPr>
          <w:p w14:paraId="01130B28" w14:textId="77777777" w:rsidR="002B04EB" w:rsidRPr="003F7F6C" w:rsidRDefault="002B04EB" w:rsidP="00B851B7">
            <w:pPr>
              <w:rPr>
                <w:sz w:val="16"/>
                <w:szCs w:val="16"/>
              </w:rPr>
            </w:pPr>
            <w:r w:rsidRPr="003F7F6C">
              <w:rPr>
                <w:rFonts w:cs="Calibri"/>
                <w:sz w:val="16"/>
                <w:szCs w:val="16"/>
              </w:rPr>
              <w:t>X</w:t>
            </w:r>
          </w:p>
        </w:tc>
        <w:tc>
          <w:tcPr>
            <w:tcW w:w="427" w:type="dxa"/>
            <w:gridSpan w:val="2"/>
          </w:tcPr>
          <w:p w14:paraId="529FBE45" w14:textId="77777777" w:rsidR="002B04EB" w:rsidRPr="003F7F6C" w:rsidRDefault="002B04EB" w:rsidP="00B851B7">
            <w:pPr>
              <w:rPr>
                <w:sz w:val="16"/>
                <w:szCs w:val="16"/>
              </w:rPr>
            </w:pPr>
            <w:r w:rsidRPr="003F7F6C">
              <w:rPr>
                <w:rFonts w:cs="Calibri"/>
                <w:sz w:val="16"/>
                <w:szCs w:val="16"/>
              </w:rPr>
              <w:t>X</w:t>
            </w:r>
          </w:p>
        </w:tc>
        <w:tc>
          <w:tcPr>
            <w:tcW w:w="428" w:type="dxa"/>
          </w:tcPr>
          <w:p w14:paraId="55533482" w14:textId="77777777" w:rsidR="002B04EB" w:rsidRPr="003F7F6C" w:rsidRDefault="002B04EB" w:rsidP="00B851B7">
            <w:pPr>
              <w:rPr>
                <w:sz w:val="16"/>
                <w:szCs w:val="16"/>
              </w:rPr>
            </w:pPr>
            <w:r w:rsidRPr="003F7F6C">
              <w:rPr>
                <w:rFonts w:cs="Calibri"/>
                <w:sz w:val="16"/>
                <w:szCs w:val="16"/>
              </w:rPr>
              <w:t>X</w:t>
            </w:r>
          </w:p>
        </w:tc>
        <w:tc>
          <w:tcPr>
            <w:tcW w:w="428" w:type="dxa"/>
          </w:tcPr>
          <w:p w14:paraId="7412438D" w14:textId="77777777" w:rsidR="002B04EB" w:rsidRPr="003F7F6C" w:rsidRDefault="002B04EB" w:rsidP="00B851B7">
            <w:pPr>
              <w:rPr>
                <w:sz w:val="16"/>
                <w:szCs w:val="16"/>
              </w:rPr>
            </w:pPr>
            <w:r w:rsidRPr="003F7F6C">
              <w:rPr>
                <w:rFonts w:cs="Calibri"/>
                <w:sz w:val="16"/>
                <w:szCs w:val="16"/>
              </w:rPr>
              <w:t>X</w:t>
            </w:r>
          </w:p>
        </w:tc>
        <w:tc>
          <w:tcPr>
            <w:tcW w:w="428" w:type="dxa"/>
          </w:tcPr>
          <w:p w14:paraId="7BB680BD"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2375D111" w14:textId="77777777" w:rsidR="002B04EB" w:rsidRPr="003F7F6C" w:rsidRDefault="002B04EB" w:rsidP="00B851B7">
            <w:pPr>
              <w:rPr>
                <w:sz w:val="16"/>
                <w:szCs w:val="16"/>
              </w:rPr>
            </w:pPr>
            <w:r w:rsidRPr="003F7F6C">
              <w:rPr>
                <w:rFonts w:cs="Calibri"/>
                <w:sz w:val="16"/>
                <w:szCs w:val="16"/>
              </w:rPr>
              <w:t>X</w:t>
            </w:r>
          </w:p>
        </w:tc>
        <w:tc>
          <w:tcPr>
            <w:tcW w:w="428" w:type="dxa"/>
          </w:tcPr>
          <w:p w14:paraId="79E23D22" w14:textId="77777777" w:rsidR="002B04EB" w:rsidRPr="003F7F6C" w:rsidRDefault="002B04EB" w:rsidP="00B851B7">
            <w:pPr>
              <w:rPr>
                <w:sz w:val="16"/>
                <w:szCs w:val="16"/>
              </w:rPr>
            </w:pPr>
            <w:r w:rsidRPr="003F7F6C">
              <w:rPr>
                <w:rFonts w:cs="Calibri"/>
                <w:sz w:val="16"/>
                <w:szCs w:val="16"/>
              </w:rPr>
              <w:t>X</w:t>
            </w:r>
          </w:p>
        </w:tc>
        <w:tc>
          <w:tcPr>
            <w:tcW w:w="428" w:type="dxa"/>
          </w:tcPr>
          <w:p w14:paraId="775037E3" w14:textId="77777777" w:rsidR="002B04EB" w:rsidRPr="003F7F6C" w:rsidRDefault="002B04EB" w:rsidP="00B851B7">
            <w:pPr>
              <w:rPr>
                <w:sz w:val="16"/>
                <w:szCs w:val="16"/>
              </w:rPr>
            </w:pPr>
            <w:r w:rsidRPr="003F7F6C">
              <w:rPr>
                <w:rFonts w:cs="Calibri"/>
                <w:sz w:val="16"/>
                <w:szCs w:val="16"/>
              </w:rPr>
              <w:t>X</w:t>
            </w:r>
          </w:p>
        </w:tc>
        <w:tc>
          <w:tcPr>
            <w:tcW w:w="428" w:type="dxa"/>
          </w:tcPr>
          <w:p w14:paraId="5B7CE717"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61BA3F49" w14:textId="77777777" w:rsidR="002B04EB" w:rsidRPr="003F7F6C" w:rsidRDefault="002B04EB" w:rsidP="00B851B7">
            <w:pPr>
              <w:rPr>
                <w:sz w:val="16"/>
                <w:szCs w:val="16"/>
              </w:rPr>
            </w:pPr>
            <w:r w:rsidRPr="003F7F6C">
              <w:rPr>
                <w:rFonts w:cs="Calibri"/>
                <w:sz w:val="16"/>
                <w:szCs w:val="16"/>
              </w:rPr>
              <w:t>X</w:t>
            </w:r>
          </w:p>
        </w:tc>
        <w:tc>
          <w:tcPr>
            <w:tcW w:w="428" w:type="dxa"/>
          </w:tcPr>
          <w:p w14:paraId="411ABCDE" w14:textId="77777777" w:rsidR="002B04EB" w:rsidRPr="003F7F6C" w:rsidRDefault="002B04EB" w:rsidP="00B851B7">
            <w:pPr>
              <w:rPr>
                <w:sz w:val="16"/>
                <w:szCs w:val="16"/>
              </w:rPr>
            </w:pPr>
            <w:r w:rsidRPr="003F7F6C">
              <w:rPr>
                <w:rFonts w:cs="Calibri"/>
                <w:sz w:val="16"/>
                <w:szCs w:val="16"/>
              </w:rPr>
              <w:t>X</w:t>
            </w:r>
          </w:p>
        </w:tc>
        <w:tc>
          <w:tcPr>
            <w:tcW w:w="428" w:type="dxa"/>
          </w:tcPr>
          <w:p w14:paraId="39CC7953" w14:textId="77777777" w:rsidR="002B04EB" w:rsidRPr="003F7F6C" w:rsidRDefault="002B04EB" w:rsidP="00B851B7">
            <w:pPr>
              <w:rPr>
                <w:sz w:val="16"/>
                <w:szCs w:val="16"/>
              </w:rPr>
            </w:pPr>
            <w:r w:rsidRPr="003F7F6C">
              <w:rPr>
                <w:rFonts w:cs="Calibri"/>
                <w:sz w:val="16"/>
                <w:szCs w:val="16"/>
              </w:rPr>
              <w:t>X</w:t>
            </w:r>
          </w:p>
        </w:tc>
        <w:tc>
          <w:tcPr>
            <w:tcW w:w="428" w:type="dxa"/>
          </w:tcPr>
          <w:p w14:paraId="74573579"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50AB585E" w14:textId="77777777" w:rsidR="002B04EB" w:rsidRPr="003F7F6C" w:rsidRDefault="002B04EB" w:rsidP="00B851B7">
            <w:pPr>
              <w:rPr>
                <w:sz w:val="16"/>
                <w:szCs w:val="16"/>
              </w:rPr>
            </w:pPr>
            <w:r w:rsidRPr="003F7F6C">
              <w:rPr>
                <w:rFonts w:cs="Calibri"/>
                <w:sz w:val="16"/>
                <w:szCs w:val="16"/>
              </w:rPr>
              <w:t>X</w:t>
            </w:r>
          </w:p>
        </w:tc>
        <w:tc>
          <w:tcPr>
            <w:tcW w:w="428" w:type="dxa"/>
          </w:tcPr>
          <w:p w14:paraId="586A0043" w14:textId="77777777" w:rsidR="002B04EB" w:rsidRPr="003F7F6C" w:rsidRDefault="002B04EB" w:rsidP="00B851B7">
            <w:pPr>
              <w:rPr>
                <w:sz w:val="16"/>
                <w:szCs w:val="16"/>
              </w:rPr>
            </w:pPr>
            <w:r w:rsidRPr="003F7F6C">
              <w:rPr>
                <w:rFonts w:cs="Calibri"/>
                <w:sz w:val="16"/>
                <w:szCs w:val="16"/>
              </w:rPr>
              <w:t>X</w:t>
            </w:r>
          </w:p>
        </w:tc>
        <w:tc>
          <w:tcPr>
            <w:tcW w:w="428" w:type="dxa"/>
          </w:tcPr>
          <w:p w14:paraId="7598FCAD" w14:textId="77777777" w:rsidR="002B04EB" w:rsidRPr="003F7F6C" w:rsidRDefault="002B04EB" w:rsidP="00B851B7">
            <w:pPr>
              <w:rPr>
                <w:sz w:val="16"/>
                <w:szCs w:val="16"/>
              </w:rPr>
            </w:pPr>
            <w:r w:rsidRPr="003F7F6C">
              <w:rPr>
                <w:rFonts w:cs="Calibri"/>
                <w:sz w:val="16"/>
                <w:szCs w:val="16"/>
              </w:rPr>
              <w:t>X</w:t>
            </w:r>
          </w:p>
        </w:tc>
        <w:tc>
          <w:tcPr>
            <w:tcW w:w="428" w:type="dxa"/>
          </w:tcPr>
          <w:p w14:paraId="09228019" w14:textId="77777777" w:rsidR="002B04EB" w:rsidRPr="003F7F6C" w:rsidRDefault="002B04EB" w:rsidP="00B851B7">
            <w:pPr>
              <w:rPr>
                <w:sz w:val="16"/>
                <w:szCs w:val="16"/>
              </w:rPr>
            </w:pPr>
            <w:r w:rsidRPr="003F7F6C">
              <w:rPr>
                <w:rFonts w:cs="Calibri"/>
                <w:sz w:val="16"/>
                <w:szCs w:val="16"/>
              </w:rPr>
              <w:t>X</w:t>
            </w:r>
          </w:p>
        </w:tc>
        <w:tc>
          <w:tcPr>
            <w:tcW w:w="428" w:type="dxa"/>
          </w:tcPr>
          <w:p w14:paraId="0B98ED51" w14:textId="77777777" w:rsidR="002B04EB" w:rsidRPr="003F7F6C" w:rsidRDefault="002B04EB" w:rsidP="00B851B7">
            <w:pPr>
              <w:rPr>
                <w:sz w:val="16"/>
                <w:szCs w:val="16"/>
              </w:rPr>
            </w:pPr>
            <w:r w:rsidRPr="003F7F6C">
              <w:rPr>
                <w:rFonts w:cs="Calibri"/>
                <w:sz w:val="16"/>
                <w:szCs w:val="16"/>
              </w:rPr>
              <w:t>X</w:t>
            </w:r>
          </w:p>
        </w:tc>
      </w:tr>
      <w:tr w:rsidR="002B04EB" w:rsidRPr="003F7F6C" w14:paraId="46A8C233" w14:textId="77777777" w:rsidTr="002B04EB">
        <w:trPr>
          <w:trHeight w:val="231"/>
        </w:trPr>
        <w:tc>
          <w:tcPr>
            <w:tcW w:w="13010" w:type="dxa"/>
            <w:gridSpan w:val="31"/>
            <w:shd w:val="clear" w:color="auto" w:fill="F4B083"/>
          </w:tcPr>
          <w:p w14:paraId="786E9DCD" w14:textId="77777777" w:rsidR="002B04EB" w:rsidRPr="003F7F6C" w:rsidRDefault="002B04EB" w:rsidP="00B851B7">
            <w:pPr>
              <w:pStyle w:val="ListParagraph"/>
              <w:tabs>
                <w:tab w:val="left" w:pos="426"/>
              </w:tabs>
              <w:spacing w:after="0"/>
              <w:ind w:left="0"/>
              <w:contextualSpacing w:val="0"/>
              <w:rPr>
                <w:rFonts w:cs="Calibri"/>
                <w:bCs/>
                <w:sz w:val="16"/>
                <w:szCs w:val="16"/>
              </w:rPr>
            </w:pPr>
            <w:r w:rsidRPr="003F7F6C">
              <w:rPr>
                <w:rFonts w:eastAsia="Times New Roman" w:cs="Calibri"/>
                <w:bCs/>
                <w:i/>
                <w:sz w:val="16"/>
                <w:szCs w:val="16"/>
                <w:lang w:eastAsia="es-ES_tradnl"/>
              </w:rPr>
              <w:t xml:space="preserve">Output 2.1. Provincial Regulatory Framework for ELUP strengthened </w:t>
            </w:r>
          </w:p>
        </w:tc>
      </w:tr>
      <w:tr w:rsidR="002B04EB" w:rsidRPr="003F7F6C" w14:paraId="4C56FBAE" w14:textId="77777777" w:rsidTr="002B04EB">
        <w:trPr>
          <w:trHeight w:val="268"/>
        </w:trPr>
        <w:tc>
          <w:tcPr>
            <w:tcW w:w="13010" w:type="dxa"/>
            <w:gridSpan w:val="31"/>
            <w:shd w:val="clear" w:color="auto" w:fill="F7CAAC"/>
          </w:tcPr>
          <w:p w14:paraId="532EFAC3" w14:textId="77777777" w:rsidR="002B04EB" w:rsidRPr="003F7F6C" w:rsidRDefault="002B04EB" w:rsidP="00B851B7">
            <w:pPr>
              <w:pStyle w:val="ListParagraph"/>
              <w:tabs>
                <w:tab w:val="left" w:pos="426"/>
              </w:tabs>
              <w:spacing w:after="0"/>
              <w:ind w:left="0"/>
              <w:contextualSpacing w:val="0"/>
              <w:rPr>
                <w:rFonts w:eastAsia="Times New Roman" w:cs="Calibri"/>
                <w:bCs/>
                <w:sz w:val="16"/>
                <w:szCs w:val="16"/>
                <w:lang w:eastAsia="es-ES_tradnl"/>
              </w:rPr>
            </w:pPr>
            <w:r w:rsidRPr="003F7F6C">
              <w:rPr>
                <w:rFonts w:eastAsia="Times New Roman" w:cs="Calibri"/>
                <w:bCs/>
                <w:sz w:val="16"/>
                <w:szCs w:val="16"/>
                <w:lang w:eastAsia="es-ES_tradnl"/>
              </w:rPr>
              <w:t>Buenos Aires</w:t>
            </w:r>
          </w:p>
        </w:tc>
      </w:tr>
      <w:tr w:rsidR="002B04EB" w:rsidRPr="003F7F6C" w14:paraId="11F27748" w14:textId="77777777" w:rsidTr="00B851B7">
        <w:tc>
          <w:tcPr>
            <w:tcW w:w="1668" w:type="dxa"/>
          </w:tcPr>
          <w:p w14:paraId="4002312E" w14:textId="77777777" w:rsidR="002B04EB" w:rsidRPr="003F7F6C" w:rsidRDefault="002B04EB" w:rsidP="00B851B7">
            <w:pPr>
              <w:rPr>
                <w:rFonts w:cs="Calibri"/>
                <w:sz w:val="16"/>
                <w:szCs w:val="16"/>
              </w:rPr>
            </w:pPr>
            <w:r w:rsidRPr="003F7F6C">
              <w:rPr>
                <w:rFonts w:cs="Calibri"/>
                <w:sz w:val="16"/>
                <w:szCs w:val="16"/>
              </w:rPr>
              <w:t>2.1.1 Develop provincial regulations for ELUP</w:t>
            </w:r>
          </w:p>
        </w:tc>
        <w:tc>
          <w:tcPr>
            <w:tcW w:w="1057" w:type="dxa"/>
          </w:tcPr>
          <w:p w14:paraId="2F258BED" w14:textId="77777777" w:rsidR="002B04EB" w:rsidRPr="003F7F6C" w:rsidRDefault="002B04EB" w:rsidP="00B851B7">
            <w:pPr>
              <w:rPr>
                <w:rFonts w:cs="Calibri"/>
                <w:sz w:val="16"/>
                <w:szCs w:val="16"/>
              </w:rPr>
            </w:pPr>
            <w:r w:rsidRPr="003F7F6C">
              <w:rPr>
                <w:rFonts w:cs="Calibri"/>
                <w:sz w:val="16"/>
                <w:szCs w:val="16"/>
              </w:rPr>
              <w:t>OPDS</w:t>
            </w:r>
          </w:p>
        </w:tc>
        <w:tc>
          <w:tcPr>
            <w:tcW w:w="428" w:type="dxa"/>
          </w:tcPr>
          <w:p w14:paraId="4E75D13F" w14:textId="77777777" w:rsidR="002B04EB" w:rsidRPr="003F7F6C" w:rsidRDefault="002B04EB" w:rsidP="00B851B7">
            <w:pPr>
              <w:rPr>
                <w:rFonts w:cs="Calibri"/>
                <w:sz w:val="16"/>
                <w:szCs w:val="16"/>
              </w:rPr>
            </w:pPr>
          </w:p>
        </w:tc>
        <w:tc>
          <w:tcPr>
            <w:tcW w:w="444" w:type="dxa"/>
          </w:tcPr>
          <w:p w14:paraId="18E94909" w14:textId="77777777" w:rsidR="002B04EB" w:rsidRPr="003F7F6C" w:rsidRDefault="002B04EB" w:rsidP="00B851B7">
            <w:pPr>
              <w:rPr>
                <w:sz w:val="16"/>
                <w:szCs w:val="16"/>
              </w:rPr>
            </w:pPr>
            <w:r w:rsidRPr="003F7F6C">
              <w:rPr>
                <w:rFonts w:cs="Calibri"/>
                <w:sz w:val="16"/>
                <w:szCs w:val="16"/>
              </w:rPr>
              <w:t>X</w:t>
            </w:r>
          </w:p>
        </w:tc>
        <w:tc>
          <w:tcPr>
            <w:tcW w:w="428" w:type="dxa"/>
          </w:tcPr>
          <w:p w14:paraId="48A3AE5E"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4A652CA8" w14:textId="77777777" w:rsidR="002B04EB" w:rsidRPr="003F7F6C" w:rsidRDefault="002B04EB" w:rsidP="00B851B7">
            <w:pPr>
              <w:rPr>
                <w:sz w:val="16"/>
                <w:szCs w:val="16"/>
              </w:rPr>
            </w:pPr>
            <w:r w:rsidRPr="003F7F6C">
              <w:rPr>
                <w:rFonts w:cs="Calibri"/>
                <w:sz w:val="16"/>
                <w:szCs w:val="16"/>
              </w:rPr>
              <w:t>X</w:t>
            </w:r>
          </w:p>
        </w:tc>
        <w:tc>
          <w:tcPr>
            <w:tcW w:w="428" w:type="dxa"/>
          </w:tcPr>
          <w:p w14:paraId="266F0113" w14:textId="77777777" w:rsidR="002B04EB" w:rsidRPr="003F7F6C" w:rsidRDefault="002B04EB" w:rsidP="00B851B7">
            <w:pPr>
              <w:rPr>
                <w:sz w:val="16"/>
                <w:szCs w:val="16"/>
              </w:rPr>
            </w:pPr>
            <w:r w:rsidRPr="003F7F6C">
              <w:rPr>
                <w:rFonts w:cs="Calibri"/>
                <w:sz w:val="16"/>
                <w:szCs w:val="16"/>
              </w:rPr>
              <w:t>X</w:t>
            </w:r>
          </w:p>
        </w:tc>
        <w:tc>
          <w:tcPr>
            <w:tcW w:w="427" w:type="dxa"/>
          </w:tcPr>
          <w:p w14:paraId="0B88F9CA" w14:textId="77777777" w:rsidR="002B04EB" w:rsidRPr="003F7F6C" w:rsidRDefault="002B04EB" w:rsidP="00B851B7">
            <w:pPr>
              <w:rPr>
                <w:sz w:val="16"/>
                <w:szCs w:val="16"/>
              </w:rPr>
            </w:pPr>
            <w:r w:rsidRPr="003F7F6C">
              <w:rPr>
                <w:rFonts w:cs="Calibri"/>
                <w:sz w:val="16"/>
                <w:szCs w:val="16"/>
              </w:rPr>
              <w:t>X</w:t>
            </w:r>
          </w:p>
        </w:tc>
        <w:tc>
          <w:tcPr>
            <w:tcW w:w="427" w:type="dxa"/>
          </w:tcPr>
          <w:p w14:paraId="20E38397" w14:textId="77777777" w:rsidR="002B04EB" w:rsidRPr="003F7F6C" w:rsidRDefault="002B04EB" w:rsidP="00B851B7">
            <w:pPr>
              <w:rPr>
                <w:sz w:val="16"/>
                <w:szCs w:val="16"/>
              </w:rPr>
            </w:pPr>
            <w:r w:rsidRPr="003F7F6C">
              <w:rPr>
                <w:rFonts w:cs="Calibri"/>
                <w:sz w:val="16"/>
                <w:szCs w:val="16"/>
              </w:rPr>
              <w:t>X</w:t>
            </w:r>
          </w:p>
        </w:tc>
        <w:tc>
          <w:tcPr>
            <w:tcW w:w="427" w:type="dxa"/>
            <w:gridSpan w:val="2"/>
          </w:tcPr>
          <w:p w14:paraId="533BFD17" w14:textId="77777777" w:rsidR="002B04EB" w:rsidRPr="003F7F6C" w:rsidRDefault="002B04EB" w:rsidP="00B851B7">
            <w:pPr>
              <w:rPr>
                <w:sz w:val="16"/>
                <w:szCs w:val="16"/>
              </w:rPr>
            </w:pPr>
            <w:r w:rsidRPr="003F7F6C">
              <w:rPr>
                <w:rFonts w:cs="Calibri"/>
                <w:sz w:val="16"/>
                <w:szCs w:val="16"/>
              </w:rPr>
              <w:t>X</w:t>
            </w:r>
          </w:p>
        </w:tc>
        <w:tc>
          <w:tcPr>
            <w:tcW w:w="428" w:type="dxa"/>
          </w:tcPr>
          <w:p w14:paraId="3F692EE7" w14:textId="77777777" w:rsidR="002B04EB" w:rsidRPr="003F7F6C" w:rsidRDefault="002B04EB" w:rsidP="00B851B7">
            <w:pPr>
              <w:rPr>
                <w:sz w:val="16"/>
                <w:szCs w:val="16"/>
              </w:rPr>
            </w:pPr>
            <w:r w:rsidRPr="003F7F6C">
              <w:rPr>
                <w:rFonts w:cs="Calibri"/>
                <w:sz w:val="16"/>
                <w:szCs w:val="16"/>
              </w:rPr>
              <w:t>X</w:t>
            </w:r>
          </w:p>
        </w:tc>
        <w:tc>
          <w:tcPr>
            <w:tcW w:w="428" w:type="dxa"/>
          </w:tcPr>
          <w:p w14:paraId="41391BB3" w14:textId="77777777" w:rsidR="002B04EB" w:rsidRPr="003F7F6C" w:rsidRDefault="002B04EB" w:rsidP="00B851B7">
            <w:pPr>
              <w:rPr>
                <w:sz w:val="16"/>
                <w:szCs w:val="16"/>
              </w:rPr>
            </w:pPr>
            <w:r w:rsidRPr="003F7F6C">
              <w:rPr>
                <w:rFonts w:cs="Calibri"/>
                <w:sz w:val="16"/>
                <w:szCs w:val="16"/>
              </w:rPr>
              <w:t>X</w:t>
            </w:r>
          </w:p>
        </w:tc>
        <w:tc>
          <w:tcPr>
            <w:tcW w:w="428" w:type="dxa"/>
          </w:tcPr>
          <w:p w14:paraId="46E87C51"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5FF6048B" w14:textId="77777777" w:rsidR="002B04EB" w:rsidRPr="003F7F6C" w:rsidRDefault="002B04EB" w:rsidP="00B851B7">
            <w:pPr>
              <w:rPr>
                <w:sz w:val="16"/>
                <w:szCs w:val="16"/>
              </w:rPr>
            </w:pPr>
            <w:r w:rsidRPr="003F7F6C">
              <w:rPr>
                <w:rFonts w:cs="Calibri"/>
                <w:sz w:val="16"/>
                <w:szCs w:val="16"/>
              </w:rPr>
              <w:t>X</w:t>
            </w:r>
          </w:p>
        </w:tc>
        <w:tc>
          <w:tcPr>
            <w:tcW w:w="428" w:type="dxa"/>
          </w:tcPr>
          <w:p w14:paraId="7C192F85" w14:textId="77777777" w:rsidR="002B04EB" w:rsidRPr="003F7F6C" w:rsidRDefault="002B04EB" w:rsidP="00B851B7">
            <w:pPr>
              <w:rPr>
                <w:sz w:val="16"/>
                <w:szCs w:val="16"/>
              </w:rPr>
            </w:pPr>
            <w:r w:rsidRPr="003F7F6C">
              <w:rPr>
                <w:rFonts w:cs="Calibri"/>
                <w:sz w:val="16"/>
                <w:szCs w:val="16"/>
              </w:rPr>
              <w:t>X</w:t>
            </w:r>
          </w:p>
        </w:tc>
        <w:tc>
          <w:tcPr>
            <w:tcW w:w="428" w:type="dxa"/>
          </w:tcPr>
          <w:p w14:paraId="6D40F826" w14:textId="77777777" w:rsidR="002B04EB" w:rsidRPr="003F7F6C" w:rsidRDefault="002B04EB" w:rsidP="00B851B7">
            <w:pPr>
              <w:rPr>
                <w:sz w:val="16"/>
                <w:szCs w:val="16"/>
              </w:rPr>
            </w:pPr>
            <w:r w:rsidRPr="003F7F6C">
              <w:rPr>
                <w:rFonts w:cs="Calibri"/>
                <w:sz w:val="16"/>
                <w:szCs w:val="16"/>
              </w:rPr>
              <w:t>X</w:t>
            </w:r>
          </w:p>
        </w:tc>
        <w:tc>
          <w:tcPr>
            <w:tcW w:w="428" w:type="dxa"/>
          </w:tcPr>
          <w:p w14:paraId="707CCD4D"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7EDCFAC8" w14:textId="77777777" w:rsidR="002B04EB" w:rsidRPr="003F7F6C" w:rsidRDefault="002B04EB" w:rsidP="00B851B7">
            <w:pPr>
              <w:rPr>
                <w:sz w:val="16"/>
                <w:szCs w:val="16"/>
              </w:rPr>
            </w:pPr>
            <w:r w:rsidRPr="003F7F6C">
              <w:rPr>
                <w:rFonts w:cs="Calibri"/>
                <w:sz w:val="16"/>
                <w:szCs w:val="16"/>
              </w:rPr>
              <w:t>X</w:t>
            </w:r>
          </w:p>
        </w:tc>
        <w:tc>
          <w:tcPr>
            <w:tcW w:w="428" w:type="dxa"/>
          </w:tcPr>
          <w:p w14:paraId="7E8DB593" w14:textId="77777777" w:rsidR="002B04EB" w:rsidRPr="003F7F6C" w:rsidRDefault="002B04EB" w:rsidP="00B851B7">
            <w:pPr>
              <w:rPr>
                <w:sz w:val="16"/>
                <w:szCs w:val="16"/>
              </w:rPr>
            </w:pPr>
            <w:r w:rsidRPr="003F7F6C">
              <w:rPr>
                <w:rFonts w:cs="Calibri"/>
                <w:sz w:val="16"/>
                <w:szCs w:val="16"/>
              </w:rPr>
              <w:t>X</w:t>
            </w:r>
          </w:p>
        </w:tc>
        <w:tc>
          <w:tcPr>
            <w:tcW w:w="428" w:type="dxa"/>
          </w:tcPr>
          <w:p w14:paraId="1D7BD066" w14:textId="77777777" w:rsidR="002B04EB" w:rsidRPr="003F7F6C" w:rsidRDefault="002B04EB" w:rsidP="00B851B7">
            <w:pPr>
              <w:rPr>
                <w:sz w:val="16"/>
                <w:szCs w:val="16"/>
              </w:rPr>
            </w:pPr>
            <w:r w:rsidRPr="003F7F6C">
              <w:rPr>
                <w:rFonts w:cs="Calibri"/>
                <w:sz w:val="16"/>
                <w:szCs w:val="16"/>
              </w:rPr>
              <w:t>X</w:t>
            </w:r>
          </w:p>
        </w:tc>
        <w:tc>
          <w:tcPr>
            <w:tcW w:w="428" w:type="dxa"/>
          </w:tcPr>
          <w:p w14:paraId="31F6A69B"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5E626212" w14:textId="77777777" w:rsidR="002B04EB" w:rsidRPr="003F7F6C" w:rsidRDefault="002B04EB" w:rsidP="00B851B7">
            <w:pPr>
              <w:rPr>
                <w:sz w:val="16"/>
                <w:szCs w:val="16"/>
              </w:rPr>
            </w:pPr>
            <w:r w:rsidRPr="003F7F6C">
              <w:rPr>
                <w:rFonts w:cs="Calibri"/>
                <w:sz w:val="16"/>
                <w:szCs w:val="16"/>
              </w:rPr>
              <w:t>X</w:t>
            </w:r>
          </w:p>
        </w:tc>
        <w:tc>
          <w:tcPr>
            <w:tcW w:w="428" w:type="dxa"/>
          </w:tcPr>
          <w:p w14:paraId="7F593D9A" w14:textId="77777777" w:rsidR="002B04EB" w:rsidRPr="003F7F6C" w:rsidRDefault="002B04EB" w:rsidP="00B851B7">
            <w:pPr>
              <w:rPr>
                <w:sz w:val="16"/>
                <w:szCs w:val="16"/>
              </w:rPr>
            </w:pPr>
            <w:r w:rsidRPr="003F7F6C">
              <w:rPr>
                <w:rFonts w:cs="Calibri"/>
                <w:sz w:val="16"/>
                <w:szCs w:val="16"/>
              </w:rPr>
              <w:t>X</w:t>
            </w:r>
          </w:p>
        </w:tc>
        <w:tc>
          <w:tcPr>
            <w:tcW w:w="428" w:type="dxa"/>
          </w:tcPr>
          <w:p w14:paraId="1D9D40D2" w14:textId="77777777" w:rsidR="002B04EB" w:rsidRPr="003F7F6C" w:rsidRDefault="002B04EB" w:rsidP="00B851B7">
            <w:pPr>
              <w:rPr>
                <w:sz w:val="16"/>
                <w:szCs w:val="16"/>
              </w:rPr>
            </w:pPr>
            <w:r w:rsidRPr="003F7F6C">
              <w:rPr>
                <w:rFonts w:cs="Calibri"/>
                <w:sz w:val="16"/>
                <w:szCs w:val="16"/>
              </w:rPr>
              <w:t>X</w:t>
            </w:r>
          </w:p>
        </w:tc>
        <w:tc>
          <w:tcPr>
            <w:tcW w:w="428" w:type="dxa"/>
          </w:tcPr>
          <w:p w14:paraId="34CC8624" w14:textId="77777777" w:rsidR="002B04EB" w:rsidRPr="003F7F6C" w:rsidRDefault="002B04EB" w:rsidP="00B851B7">
            <w:pPr>
              <w:rPr>
                <w:sz w:val="16"/>
                <w:szCs w:val="16"/>
              </w:rPr>
            </w:pPr>
            <w:r w:rsidRPr="003F7F6C">
              <w:rPr>
                <w:rFonts w:cs="Calibri"/>
                <w:sz w:val="16"/>
                <w:szCs w:val="16"/>
              </w:rPr>
              <w:t>X</w:t>
            </w:r>
          </w:p>
        </w:tc>
        <w:tc>
          <w:tcPr>
            <w:tcW w:w="428" w:type="dxa"/>
          </w:tcPr>
          <w:p w14:paraId="2542E25B" w14:textId="77777777" w:rsidR="002B04EB" w:rsidRPr="003F7F6C" w:rsidRDefault="002B04EB" w:rsidP="00B851B7">
            <w:pPr>
              <w:rPr>
                <w:sz w:val="16"/>
                <w:szCs w:val="16"/>
              </w:rPr>
            </w:pPr>
            <w:r w:rsidRPr="003F7F6C">
              <w:rPr>
                <w:rFonts w:cs="Calibri"/>
                <w:sz w:val="16"/>
                <w:szCs w:val="16"/>
              </w:rPr>
              <w:t>X</w:t>
            </w:r>
          </w:p>
        </w:tc>
      </w:tr>
      <w:tr w:rsidR="002B04EB" w:rsidRPr="003F7F6C" w14:paraId="5C6D9EF3" w14:textId="77777777" w:rsidTr="00B851B7">
        <w:tc>
          <w:tcPr>
            <w:tcW w:w="1668" w:type="dxa"/>
          </w:tcPr>
          <w:p w14:paraId="1DD6BDCE" w14:textId="77777777" w:rsidR="002B04EB" w:rsidRPr="003F7F6C" w:rsidRDefault="002B04EB" w:rsidP="00E91275">
            <w:pPr>
              <w:pStyle w:val="ListParagraph"/>
              <w:numPr>
                <w:ilvl w:val="0"/>
                <w:numId w:val="29"/>
              </w:numPr>
              <w:spacing w:after="0"/>
              <w:ind w:left="174" w:hanging="174"/>
              <w:contextualSpacing w:val="0"/>
              <w:jc w:val="left"/>
              <w:rPr>
                <w:rFonts w:cs="Calibri"/>
                <w:sz w:val="16"/>
                <w:szCs w:val="16"/>
              </w:rPr>
            </w:pPr>
            <w:r w:rsidRPr="003F7F6C">
              <w:rPr>
                <w:rFonts w:cs="Calibri"/>
                <w:sz w:val="16"/>
                <w:szCs w:val="16"/>
              </w:rPr>
              <w:t>Elaborate proposal for regulating the provincial environment law (Law Nº11723)</w:t>
            </w:r>
          </w:p>
        </w:tc>
        <w:tc>
          <w:tcPr>
            <w:tcW w:w="1057" w:type="dxa"/>
          </w:tcPr>
          <w:p w14:paraId="523C4799" w14:textId="77777777" w:rsidR="002B04EB" w:rsidRPr="003F7F6C" w:rsidRDefault="002B04EB" w:rsidP="00B851B7">
            <w:pPr>
              <w:rPr>
                <w:rFonts w:cs="Calibri"/>
                <w:sz w:val="16"/>
                <w:szCs w:val="16"/>
              </w:rPr>
            </w:pPr>
            <w:r w:rsidRPr="003F7F6C">
              <w:rPr>
                <w:rFonts w:cs="Calibri"/>
                <w:sz w:val="16"/>
                <w:szCs w:val="16"/>
              </w:rPr>
              <w:t>OPDS</w:t>
            </w:r>
          </w:p>
        </w:tc>
        <w:tc>
          <w:tcPr>
            <w:tcW w:w="428" w:type="dxa"/>
          </w:tcPr>
          <w:p w14:paraId="6D93A886" w14:textId="77777777" w:rsidR="002B04EB" w:rsidRPr="003F7F6C" w:rsidRDefault="002B04EB" w:rsidP="00B851B7">
            <w:pPr>
              <w:rPr>
                <w:rFonts w:cs="Calibri"/>
                <w:sz w:val="16"/>
                <w:szCs w:val="16"/>
              </w:rPr>
            </w:pPr>
          </w:p>
        </w:tc>
        <w:tc>
          <w:tcPr>
            <w:tcW w:w="444" w:type="dxa"/>
          </w:tcPr>
          <w:p w14:paraId="54B504C1" w14:textId="77777777" w:rsidR="002B04EB" w:rsidRPr="003F7F6C" w:rsidRDefault="002B04EB" w:rsidP="00B851B7">
            <w:pPr>
              <w:rPr>
                <w:sz w:val="16"/>
                <w:szCs w:val="16"/>
              </w:rPr>
            </w:pPr>
            <w:r w:rsidRPr="003F7F6C">
              <w:rPr>
                <w:rFonts w:cs="Calibri"/>
                <w:sz w:val="16"/>
                <w:szCs w:val="16"/>
              </w:rPr>
              <w:t>X</w:t>
            </w:r>
          </w:p>
        </w:tc>
        <w:tc>
          <w:tcPr>
            <w:tcW w:w="428" w:type="dxa"/>
          </w:tcPr>
          <w:p w14:paraId="3F84457E"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506AC365" w14:textId="77777777" w:rsidR="002B04EB" w:rsidRPr="003F7F6C" w:rsidRDefault="002B04EB" w:rsidP="00B851B7">
            <w:pPr>
              <w:rPr>
                <w:rFonts w:cs="Calibri"/>
                <w:sz w:val="16"/>
                <w:szCs w:val="16"/>
              </w:rPr>
            </w:pPr>
          </w:p>
        </w:tc>
        <w:tc>
          <w:tcPr>
            <w:tcW w:w="428" w:type="dxa"/>
          </w:tcPr>
          <w:p w14:paraId="2AD6E49E" w14:textId="77777777" w:rsidR="002B04EB" w:rsidRPr="003F7F6C" w:rsidRDefault="002B04EB" w:rsidP="00B851B7">
            <w:pPr>
              <w:rPr>
                <w:rFonts w:cs="Calibri"/>
                <w:sz w:val="16"/>
                <w:szCs w:val="16"/>
              </w:rPr>
            </w:pPr>
          </w:p>
        </w:tc>
        <w:tc>
          <w:tcPr>
            <w:tcW w:w="427" w:type="dxa"/>
          </w:tcPr>
          <w:p w14:paraId="110D3C98" w14:textId="77777777" w:rsidR="002B04EB" w:rsidRPr="003F7F6C" w:rsidRDefault="002B04EB" w:rsidP="00B851B7">
            <w:pPr>
              <w:rPr>
                <w:rFonts w:cs="Calibri"/>
                <w:sz w:val="16"/>
                <w:szCs w:val="16"/>
              </w:rPr>
            </w:pPr>
          </w:p>
        </w:tc>
        <w:tc>
          <w:tcPr>
            <w:tcW w:w="427" w:type="dxa"/>
          </w:tcPr>
          <w:p w14:paraId="43DA59BA" w14:textId="77777777" w:rsidR="002B04EB" w:rsidRPr="003F7F6C" w:rsidRDefault="002B04EB" w:rsidP="00B851B7">
            <w:pPr>
              <w:rPr>
                <w:rFonts w:cs="Calibri"/>
                <w:sz w:val="16"/>
                <w:szCs w:val="16"/>
              </w:rPr>
            </w:pPr>
          </w:p>
        </w:tc>
        <w:tc>
          <w:tcPr>
            <w:tcW w:w="427" w:type="dxa"/>
            <w:gridSpan w:val="2"/>
          </w:tcPr>
          <w:p w14:paraId="2AB10B7D" w14:textId="77777777" w:rsidR="002B04EB" w:rsidRPr="003F7F6C" w:rsidRDefault="002B04EB" w:rsidP="00B851B7">
            <w:pPr>
              <w:rPr>
                <w:rFonts w:cs="Calibri"/>
                <w:sz w:val="16"/>
                <w:szCs w:val="16"/>
              </w:rPr>
            </w:pPr>
          </w:p>
        </w:tc>
        <w:tc>
          <w:tcPr>
            <w:tcW w:w="428" w:type="dxa"/>
          </w:tcPr>
          <w:p w14:paraId="651288DC" w14:textId="77777777" w:rsidR="002B04EB" w:rsidRPr="003F7F6C" w:rsidRDefault="002B04EB" w:rsidP="00B851B7">
            <w:pPr>
              <w:rPr>
                <w:rFonts w:cs="Calibri"/>
                <w:sz w:val="16"/>
                <w:szCs w:val="16"/>
              </w:rPr>
            </w:pPr>
          </w:p>
        </w:tc>
        <w:tc>
          <w:tcPr>
            <w:tcW w:w="428" w:type="dxa"/>
          </w:tcPr>
          <w:p w14:paraId="13194095" w14:textId="77777777" w:rsidR="002B04EB" w:rsidRPr="003F7F6C" w:rsidRDefault="002B04EB" w:rsidP="00B851B7">
            <w:pPr>
              <w:rPr>
                <w:rFonts w:cs="Calibri"/>
                <w:sz w:val="16"/>
                <w:szCs w:val="16"/>
              </w:rPr>
            </w:pPr>
          </w:p>
        </w:tc>
        <w:tc>
          <w:tcPr>
            <w:tcW w:w="428" w:type="dxa"/>
          </w:tcPr>
          <w:p w14:paraId="4ACF53BE" w14:textId="77777777" w:rsidR="002B04EB" w:rsidRPr="003F7F6C" w:rsidRDefault="002B04EB" w:rsidP="00B851B7">
            <w:pPr>
              <w:rPr>
                <w:rFonts w:cs="Calibri"/>
                <w:sz w:val="16"/>
                <w:szCs w:val="16"/>
              </w:rPr>
            </w:pPr>
          </w:p>
        </w:tc>
        <w:tc>
          <w:tcPr>
            <w:tcW w:w="428" w:type="dxa"/>
            <w:gridSpan w:val="2"/>
          </w:tcPr>
          <w:p w14:paraId="0ECC8208" w14:textId="77777777" w:rsidR="002B04EB" w:rsidRPr="003F7F6C" w:rsidRDefault="002B04EB" w:rsidP="00B851B7">
            <w:pPr>
              <w:rPr>
                <w:rFonts w:cs="Calibri"/>
                <w:sz w:val="16"/>
                <w:szCs w:val="16"/>
              </w:rPr>
            </w:pPr>
          </w:p>
        </w:tc>
        <w:tc>
          <w:tcPr>
            <w:tcW w:w="428" w:type="dxa"/>
          </w:tcPr>
          <w:p w14:paraId="56A536DC" w14:textId="77777777" w:rsidR="002B04EB" w:rsidRPr="003F7F6C" w:rsidRDefault="002B04EB" w:rsidP="00B851B7">
            <w:pPr>
              <w:rPr>
                <w:rFonts w:cs="Calibri"/>
                <w:sz w:val="16"/>
                <w:szCs w:val="16"/>
              </w:rPr>
            </w:pPr>
          </w:p>
        </w:tc>
        <w:tc>
          <w:tcPr>
            <w:tcW w:w="428" w:type="dxa"/>
          </w:tcPr>
          <w:p w14:paraId="1B367A7A" w14:textId="77777777" w:rsidR="002B04EB" w:rsidRPr="003F7F6C" w:rsidRDefault="002B04EB" w:rsidP="00B851B7">
            <w:pPr>
              <w:rPr>
                <w:rFonts w:cs="Calibri"/>
                <w:sz w:val="16"/>
                <w:szCs w:val="16"/>
              </w:rPr>
            </w:pPr>
          </w:p>
        </w:tc>
        <w:tc>
          <w:tcPr>
            <w:tcW w:w="428" w:type="dxa"/>
          </w:tcPr>
          <w:p w14:paraId="14056B05" w14:textId="77777777" w:rsidR="002B04EB" w:rsidRPr="003F7F6C" w:rsidRDefault="002B04EB" w:rsidP="00B851B7">
            <w:pPr>
              <w:rPr>
                <w:rFonts w:cs="Calibri"/>
                <w:sz w:val="16"/>
                <w:szCs w:val="16"/>
              </w:rPr>
            </w:pPr>
          </w:p>
        </w:tc>
        <w:tc>
          <w:tcPr>
            <w:tcW w:w="428" w:type="dxa"/>
            <w:gridSpan w:val="2"/>
          </w:tcPr>
          <w:p w14:paraId="2EE76A58" w14:textId="77777777" w:rsidR="002B04EB" w:rsidRPr="003F7F6C" w:rsidRDefault="002B04EB" w:rsidP="00B851B7">
            <w:pPr>
              <w:rPr>
                <w:rFonts w:cs="Calibri"/>
                <w:sz w:val="16"/>
                <w:szCs w:val="16"/>
              </w:rPr>
            </w:pPr>
          </w:p>
        </w:tc>
        <w:tc>
          <w:tcPr>
            <w:tcW w:w="428" w:type="dxa"/>
          </w:tcPr>
          <w:p w14:paraId="7EE78F67" w14:textId="77777777" w:rsidR="002B04EB" w:rsidRPr="003F7F6C" w:rsidRDefault="002B04EB" w:rsidP="00B851B7">
            <w:pPr>
              <w:rPr>
                <w:rFonts w:cs="Calibri"/>
                <w:sz w:val="16"/>
                <w:szCs w:val="16"/>
              </w:rPr>
            </w:pPr>
          </w:p>
        </w:tc>
        <w:tc>
          <w:tcPr>
            <w:tcW w:w="428" w:type="dxa"/>
          </w:tcPr>
          <w:p w14:paraId="14754FAB" w14:textId="77777777" w:rsidR="002B04EB" w:rsidRPr="003F7F6C" w:rsidRDefault="002B04EB" w:rsidP="00B851B7">
            <w:pPr>
              <w:rPr>
                <w:rFonts w:cs="Calibri"/>
                <w:sz w:val="16"/>
                <w:szCs w:val="16"/>
              </w:rPr>
            </w:pPr>
          </w:p>
        </w:tc>
        <w:tc>
          <w:tcPr>
            <w:tcW w:w="428" w:type="dxa"/>
          </w:tcPr>
          <w:p w14:paraId="737E004D" w14:textId="77777777" w:rsidR="002B04EB" w:rsidRPr="003F7F6C" w:rsidRDefault="002B04EB" w:rsidP="00B851B7">
            <w:pPr>
              <w:rPr>
                <w:rFonts w:cs="Calibri"/>
                <w:sz w:val="16"/>
                <w:szCs w:val="16"/>
              </w:rPr>
            </w:pPr>
          </w:p>
        </w:tc>
        <w:tc>
          <w:tcPr>
            <w:tcW w:w="428" w:type="dxa"/>
            <w:gridSpan w:val="2"/>
          </w:tcPr>
          <w:p w14:paraId="43DE781E" w14:textId="77777777" w:rsidR="002B04EB" w:rsidRPr="003F7F6C" w:rsidRDefault="002B04EB" w:rsidP="00B851B7">
            <w:pPr>
              <w:rPr>
                <w:rFonts w:cs="Calibri"/>
                <w:sz w:val="16"/>
                <w:szCs w:val="16"/>
              </w:rPr>
            </w:pPr>
          </w:p>
        </w:tc>
        <w:tc>
          <w:tcPr>
            <w:tcW w:w="428" w:type="dxa"/>
          </w:tcPr>
          <w:p w14:paraId="48B2F156" w14:textId="77777777" w:rsidR="002B04EB" w:rsidRPr="003F7F6C" w:rsidRDefault="002B04EB" w:rsidP="00B851B7">
            <w:pPr>
              <w:rPr>
                <w:rFonts w:cs="Calibri"/>
                <w:sz w:val="16"/>
                <w:szCs w:val="16"/>
              </w:rPr>
            </w:pPr>
          </w:p>
        </w:tc>
        <w:tc>
          <w:tcPr>
            <w:tcW w:w="428" w:type="dxa"/>
          </w:tcPr>
          <w:p w14:paraId="13E1534D" w14:textId="77777777" w:rsidR="002B04EB" w:rsidRPr="003F7F6C" w:rsidRDefault="002B04EB" w:rsidP="00B851B7">
            <w:pPr>
              <w:rPr>
                <w:rFonts w:cs="Calibri"/>
                <w:sz w:val="16"/>
                <w:szCs w:val="16"/>
              </w:rPr>
            </w:pPr>
          </w:p>
        </w:tc>
        <w:tc>
          <w:tcPr>
            <w:tcW w:w="428" w:type="dxa"/>
          </w:tcPr>
          <w:p w14:paraId="46456965" w14:textId="77777777" w:rsidR="002B04EB" w:rsidRPr="003F7F6C" w:rsidRDefault="002B04EB" w:rsidP="00B851B7">
            <w:pPr>
              <w:rPr>
                <w:rFonts w:cs="Calibri"/>
                <w:sz w:val="16"/>
                <w:szCs w:val="16"/>
              </w:rPr>
            </w:pPr>
          </w:p>
        </w:tc>
        <w:tc>
          <w:tcPr>
            <w:tcW w:w="428" w:type="dxa"/>
          </w:tcPr>
          <w:p w14:paraId="6FE918E9" w14:textId="77777777" w:rsidR="002B04EB" w:rsidRPr="003F7F6C" w:rsidRDefault="002B04EB" w:rsidP="00B851B7">
            <w:pPr>
              <w:rPr>
                <w:rFonts w:cs="Calibri"/>
                <w:sz w:val="16"/>
                <w:szCs w:val="16"/>
              </w:rPr>
            </w:pPr>
          </w:p>
        </w:tc>
      </w:tr>
      <w:tr w:rsidR="002B04EB" w:rsidRPr="003F7F6C" w14:paraId="51B143F3" w14:textId="77777777" w:rsidTr="00B851B7">
        <w:tc>
          <w:tcPr>
            <w:tcW w:w="1668" w:type="dxa"/>
          </w:tcPr>
          <w:p w14:paraId="7477B74D" w14:textId="77777777" w:rsidR="002B04EB" w:rsidRPr="003F7F6C" w:rsidRDefault="002B04EB" w:rsidP="00B851B7">
            <w:pPr>
              <w:rPr>
                <w:rFonts w:cs="Calibri"/>
                <w:sz w:val="16"/>
                <w:szCs w:val="16"/>
              </w:rPr>
            </w:pPr>
            <w:r w:rsidRPr="003F7F6C">
              <w:rPr>
                <w:rFonts w:cs="Calibri"/>
                <w:sz w:val="16"/>
                <w:szCs w:val="16"/>
              </w:rPr>
              <w:t>2.1.2 Define and implement guidelines for design of initiatives by targeted sectors</w:t>
            </w:r>
          </w:p>
        </w:tc>
        <w:tc>
          <w:tcPr>
            <w:tcW w:w="1057" w:type="dxa"/>
          </w:tcPr>
          <w:p w14:paraId="2FBFFBCF" w14:textId="77777777" w:rsidR="002B04EB" w:rsidRPr="003F7F6C" w:rsidRDefault="002B04EB" w:rsidP="00B851B7">
            <w:pPr>
              <w:rPr>
                <w:rFonts w:cs="Calibri"/>
                <w:sz w:val="16"/>
                <w:szCs w:val="16"/>
              </w:rPr>
            </w:pPr>
            <w:r w:rsidRPr="003F7F6C">
              <w:rPr>
                <w:rFonts w:cs="Calibri"/>
                <w:sz w:val="16"/>
                <w:szCs w:val="16"/>
              </w:rPr>
              <w:t>OPDS</w:t>
            </w:r>
          </w:p>
        </w:tc>
        <w:tc>
          <w:tcPr>
            <w:tcW w:w="428" w:type="dxa"/>
          </w:tcPr>
          <w:p w14:paraId="732C1155" w14:textId="77777777" w:rsidR="002B04EB" w:rsidRPr="003F7F6C" w:rsidRDefault="002B04EB" w:rsidP="00B851B7">
            <w:pPr>
              <w:rPr>
                <w:rFonts w:cs="Calibri"/>
                <w:sz w:val="16"/>
                <w:szCs w:val="16"/>
              </w:rPr>
            </w:pPr>
          </w:p>
        </w:tc>
        <w:tc>
          <w:tcPr>
            <w:tcW w:w="444" w:type="dxa"/>
          </w:tcPr>
          <w:p w14:paraId="7CA1E19C" w14:textId="77777777" w:rsidR="002B04EB" w:rsidRPr="003F7F6C" w:rsidRDefault="002B04EB" w:rsidP="00B851B7">
            <w:pPr>
              <w:rPr>
                <w:rFonts w:cs="Calibri"/>
                <w:sz w:val="16"/>
                <w:szCs w:val="16"/>
              </w:rPr>
            </w:pPr>
            <w:r w:rsidRPr="003F7F6C">
              <w:rPr>
                <w:rFonts w:cs="Calibri"/>
                <w:sz w:val="16"/>
                <w:szCs w:val="16"/>
              </w:rPr>
              <w:t>X</w:t>
            </w:r>
          </w:p>
        </w:tc>
        <w:tc>
          <w:tcPr>
            <w:tcW w:w="428" w:type="dxa"/>
          </w:tcPr>
          <w:p w14:paraId="69592810"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1C62DA89" w14:textId="77777777" w:rsidR="002B04EB" w:rsidRPr="003F7F6C" w:rsidRDefault="002B04EB" w:rsidP="00B851B7">
            <w:pPr>
              <w:rPr>
                <w:sz w:val="16"/>
                <w:szCs w:val="16"/>
              </w:rPr>
            </w:pPr>
            <w:r w:rsidRPr="003F7F6C">
              <w:rPr>
                <w:rFonts w:cs="Calibri"/>
                <w:sz w:val="16"/>
                <w:szCs w:val="16"/>
              </w:rPr>
              <w:t>X</w:t>
            </w:r>
          </w:p>
        </w:tc>
        <w:tc>
          <w:tcPr>
            <w:tcW w:w="428" w:type="dxa"/>
          </w:tcPr>
          <w:p w14:paraId="176682C1" w14:textId="77777777" w:rsidR="002B04EB" w:rsidRPr="003F7F6C" w:rsidRDefault="002B04EB" w:rsidP="00B851B7">
            <w:pPr>
              <w:rPr>
                <w:rFonts w:cs="Calibri"/>
                <w:sz w:val="16"/>
                <w:szCs w:val="16"/>
              </w:rPr>
            </w:pPr>
            <w:r w:rsidRPr="003F7F6C">
              <w:rPr>
                <w:rFonts w:cs="Calibri"/>
                <w:sz w:val="16"/>
                <w:szCs w:val="16"/>
              </w:rPr>
              <w:t>X</w:t>
            </w:r>
          </w:p>
        </w:tc>
        <w:tc>
          <w:tcPr>
            <w:tcW w:w="427" w:type="dxa"/>
          </w:tcPr>
          <w:p w14:paraId="52B2D671" w14:textId="77777777" w:rsidR="002B04EB" w:rsidRPr="003F7F6C" w:rsidRDefault="002B04EB" w:rsidP="00B851B7">
            <w:pPr>
              <w:rPr>
                <w:sz w:val="16"/>
                <w:szCs w:val="16"/>
              </w:rPr>
            </w:pPr>
            <w:r w:rsidRPr="003F7F6C">
              <w:rPr>
                <w:rFonts w:cs="Calibri"/>
                <w:sz w:val="16"/>
                <w:szCs w:val="16"/>
              </w:rPr>
              <w:t>X</w:t>
            </w:r>
          </w:p>
        </w:tc>
        <w:tc>
          <w:tcPr>
            <w:tcW w:w="427" w:type="dxa"/>
          </w:tcPr>
          <w:p w14:paraId="31D98CF6" w14:textId="77777777" w:rsidR="002B04EB" w:rsidRPr="003F7F6C" w:rsidRDefault="002B04EB" w:rsidP="00B851B7">
            <w:pPr>
              <w:rPr>
                <w:sz w:val="16"/>
                <w:szCs w:val="16"/>
              </w:rPr>
            </w:pPr>
            <w:r w:rsidRPr="003F7F6C">
              <w:rPr>
                <w:rFonts w:cs="Calibri"/>
                <w:sz w:val="16"/>
                <w:szCs w:val="16"/>
              </w:rPr>
              <w:t>X</w:t>
            </w:r>
          </w:p>
        </w:tc>
        <w:tc>
          <w:tcPr>
            <w:tcW w:w="427" w:type="dxa"/>
            <w:gridSpan w:val="2"/>
          </w:tcPr>
          <w:p w14:paraId="02018007" w14:textId="77777777" w:rsidR="002B04EB" w:rsidRPr="003F7F6C" w:rsidRDefault="002B04EB" w:rsidP="00B851B7">
            <w:r w:rsidRPr="003F7F6C">
              <w:rPr>
                <w:rFonts w:cs="Calibri"/>
                <w:sz w:val="16"/>
                <w:szCs w:val="16"/>
              </w:rPr>
              <w:t>X</w:t>
            </w:r>
          </w:p>
        </w:tc>
        <w:tc>
          <w:tcPr>
            <w:tcW w:w="428" w:type="dxa"/>
          </w:tcPr>
          <w:p w14:paraId="0E994B09" w14:textId="77777777" w:rsidR="002B04EB" w:rsidRPr="003F7F6C" w:rsidRDefault="002B04EB" w:rsidP="00B851B7">
            <w:r w:rsidRPr="003F7F6C">
              <w:rPr>
                <w:rFonts w:cs="Calibri"/>
                <w:sz w:val="16"/>
                <w:szCs w:val="16"/>
              </w:rPr>
              <w:t>X</w:t>
            </w:r>
          </w:p>
        </w:tc>
        <w:tc>
          <w:tcPr>
            <w:tcW w:w="428" w:type="dxa"/>
          </w:tcPr>
          <w:p w14:paraId="29E05E7B" w14:textId="77777777" w:rsidR="002B04EB" w:rsidRPr="003F7F6C" w:rsidRDefault="002B04EB" w:rsidP="00B851B7">
            <w:r w:rsidRPr="003F7F6C">
              <w:rPr>
                <w:rFonts w:cs="Calibri"/>
                <w:sz w:val="16"/>
                <w:szCs w:val="16"/>
              </w:rPr>
              <w:t>X</w:t>
            </w:r>
          </w:p>
        </w:tc>
        <w:tc>
          <w:tcPr>
            <w:tcW w:w="428" w:type="dxa"/>
          </w:tcPr>
          <w:p w14:paraId="1F9566BB" w14:textId="77777777" w:rsidR="002B04EB" w:rsidRPr="003F7F6C" w:rsidRDefault="002B04EB" w:rsidP="00B851B7">
            <w:r w:rsidRPr="003F7F6C">
              <w:rPr>
                <w:rFonts w:cs="Calibri"/>
                <w:sz w:val="16"/>
                <w:szCs w:val="16"/>
              </w:rPr>
              <w:t>X</w:t>
            </w:r>
          </w:p>
        </w:tc>
        <w:tc>
          <w:tcPr>
            <w:tcW w:w="428" w:type="dxa"/>
            <w:gridSpan w:val="2"/>
          </w:tcPr>
          <w:p w14:paraId="4192E9CD" w14:textId="77777777" w:rsidR="002B04EB" w:rsidRPr="003F7F6C" w:rsidRDefault="002B04EB" w:rsidP="00B851B7">
            <w:r w:rsidRPr="003F7F6C">
              <w:rPr>
                <w:rFonts w:cs="Calibri"/>
                <w:sz w:val="16"/>
                <w:szCs w:val="16"/>
              </w:rPr>
              <w:t>X</w:t>
            </w:r>
          </w:p>
        </w:tc>
        <w:tc>
          <w:tcPr>
            <w:tcW w:w="428" w:type="dxa"/>
          </w:tcPr>
          <w:p w14:paraId="3C203D75" w14:textId="77777777" w:rsidR="002B04EB" w:rsidRPr="003F7F6C" w:rsidRDefault="002B04EB" w:rsidP="00B851B7">
            <w:r w:rsidRPr="003F7F6C">
              <w:rPr>
                <w:rFonts w:cs="Calibri"/>
                <w:sz w:val="16"/>
                <w:szCs w:val="16"/>
              </w:rPr>
              <w:t>X</w:t>
            </w:r>
          </w:p>
        </w:tc>
        <w:tc>
          <w:tcPr>
            <w:tcW w:w="428" w:type="dxa"/>
          </w:tcPr>
          <w:p w14:paraId="3BE27F21" w14:textId="77777777" w:rsidR="002B04EB" w:rsidRPr="003F7F6C" w:rsidRDefault="002B04EB" w:rsidP="00B851B7">
            <w:r w:rsidRPr="003F7F6C">
              <w:rPr>
                <w:rFonts w:cs="Calibri"/>
                <w:sz w:val="16"/>
                <w:szCs w:val="16"/>
              </w:rPr>
              <w:t>X</w:t>
            </w:r>
          </w:p>
        </w:tc>
        <w:tc>
          <w:tcPr>
            <w:tcW w:w="428" w:type="dxa"/>
          </w:tcPr>
          <w:p w14:paraId="7B33F5B8" w14:textId="77777777" w:rsidR="002B04EB" w:rsidRPr="003F7F6C" w:rsidRDefault="002B04EB" w:rsidP="00B851B7">
            <w:r w:rsidRPr="003F7F6C">
              <w:rPr>
                <w:rFonts w:cs="Calibri"/>
                <w:sz w:val="16"/>
                <w:szCs w:val="16"/>
              </w:rPr>
              <w:t>X</w:t>
            </w:r>
          </w:p>
        </w:tc>
        <w:tc>
          <w:tcPr>
            <w:tcW w:w="428" w:type="dxa"/>
            <w:gridSpan w:val="2"/>
          </w:tcPr>
          <w:p w14:paraId="136680CB" w14:textId="77777777" w:rsidR="002B04EB" w:rsidRPr="003F7F6C" w:rsidRDefault="002B04EB" w:rsidP="00B851B7">
            <w:r w:rsidRPr="003F7F6C">
              <w:rPr>
                <w:rFonts w:cs="Calibri"/>
                <w:sz w:val="16"/>
                <w:szCs w:val="16"/>
              </w:rPr>
              <w:t>X</w:t>
            </w:r>
          </w:p>
        </w:tc>
        <w:tc>
          <w:tcPr>
            <w:tcW w:w="428" w:type="dxa"/>
          </w:tcPr>
          <w:p w14:paraId="5E67A36B" w14:textId="77777777" w:rsidR="002B04EB" w:rsidRPr="003F7F6C" w:rsidRDefault="002B04EB" w:rsidP="00B851B7">
            <w:r w:rsidRPr="003F7F6C">
              <w:rPr>
                <w:rFonts w:cs="Calibri"/>
                <w:sz w:val="16"/>
                <w:szCs w:val="16"/>
              </w:rPr>
              <w:t>X</w:t>
            </w:r>
          </w:p>
        </w:tc>
        <w:tc>
          <w:tcPr>
            <w:tcW w:w="428" w:type="dxa"/>
          </w:tcPr>
          <w:p w14:paraId="48F51823" w14:textId="77777777" w:rsidR="002B04EB" w:rsidRPr="003F7F6C" w:rsidRDefault="002B04EB" w:rsidP="00B851B7">
            <w:r w:rsidRPr="003F7F6C">
              <w:rPr>
                <w:rFonts w:cs="Calibri"/>
                <w:sz w:val="16"/>
                <w:szCs w:val="16"/>
              </w:rPr>
              <w:t>X</w:t>
            </w:r>
          </w:p>
        </w:tc>
        <w:tc>
          <w:tcPr>
            <w:tcW w:w="428" w:type="dxa"/>
          </w:tcPr>
          <w:p w14:paraId="7DABCF80" w14:textId="77777777" w:rsidR="002B04EB" w:rsidRPr="003F7F6C" w:rsidRDefault="002B04EB" w:rsidP="00B851B7">
            <w:r w:rsidRPr="003F7F6C">
              <w:rPr>
                <w:rFonts w:cs="Calibri"/>
                <w:sz w:val="16"/>
                <w:szCs w:val="16"/>
              </w:rPr>
              <w:t>X</w:t>
            </w:r>
          </w:p>
        </w:tc>
        <w:tc>
          <w:tcPr>
            <w:tcW w:w="428" w:type="dxa"/>
            <w:gridSpan w:val="2"/>
          </w:tcPr>
          <w:p w14:paraId="43446B12" w14:textId="77777777" w:rsidR="002B04EB" w:rsidRPr="003F7F6C" w:rsidRDefault="002B04EB" w:rsidP="00B851B7">
            <w:r w:rsidRPr="003F7F6C">
              <w:rPr>
                <w:rFonts w:cs="Calibri"/>
                <w:sz w:val="16"/>
                <w:szCs w:val="16"/>
              </w:rPr>
              <w:t>X</w:t>
            </w:r>
          </w:p>
        </w:tc>
        <w:tc>
          <w:tcPr>
            <w:tcW w:w="428" w:type="dxa"/>
          </w:tcPr>
          <w:p w14:paraId="32CC57E6" w14:textId="77777777" w:rsidR="002B04EB" w:rsidRPr="003F7F6C" w:rsidRDefault="002B04EB" w:rsidP="00B851B7">
            <w:r w:rsidRPr="003F7F6C">
              <w:rPr>
                <w:rFonts w:cs="Calibri"/>
                <w:sz w:val="16"/>
                <w:szCs w:val="16"/>
              </w:rPr>
              <w:t>X</w:t>
            </w:r>
          </w:p>
        </w:tc>
        <w:tc>
          <w:tcPr>
            <w:tcW w:w="428" w:type="dxa"/>
          </w:tcPr>
          <w:p w14:paraId="6454DB88" w14:textId="77777777" w:rsidR="002B04EB" w:rsidRPr="003F7F6C" w:rsidRDefault="002B04EB" w:rsidP="00B851B7">
            <w:r w:rsidRPr="003F7F6C">
              <w:rPr>
                <w:rFonts w:cs="Calibri"/>
                <w:sz w:val="16"/>
                <w:szCs w:val="16"/>
              </w:rPr>
              <w:t>X</w:t>
            </w:r>
          </w:p>
        </w:tc>
        <w:tc>
          <w:tcPr>
            <w:tcW w:w="428" w:type="dxa"/>
          </w:tcPr>
          <w:p w14:paraId="2676ED77" w14:textId="77777777" w:rsidR="002B04EB" w:rsidRPr="003F7F6C" w:rsidRDefault="002B04EB" w:rsidP="00B851B7">
            <w:r w:rsidRPr="003F7F6C">
              <w:rPr>
                <w:rFonts w:cs="Calibri"/>
                <w:sz w:val="16"/>
                <w:szCs w:val="16"/>
              </w:rPr>
              <w:t>X</w:t>
            </w:r>
          </w:p>
        </w:tc>
        <w:tc>
          <w:tcPr>
            <w:tcW w:w="428" w:type="dxa"/>
          </w:tcPr>
          <w:p w14:paraId="3B80A7C7" w14:textId="77777777" w:rsidR="002B04EB" w:rsidRPr="003F7F6C" w:rsidRDefault="002B04EB" w:rsidP="00B851B7">
            <w:r w:rsidRPr="003F7F6C">
              <w:rPr>
                <w:rFonts w:cs="Calibri"/>
                <w:sz w:val="16"/>
                <w:szCs w:val="16"/>
              </w:rPr>
              <w:t>X</w:t>
            </w:r>
          </w:p>
        </w:tc>
      </w:tr>
      <w:tr w:rsidR="002B04EB" w:rsidRPr="003F7F6C" w14:paraId="56E6ED8D" w14:textId="77777777" w:rsidTr="00B851B7">
        <w:tc>
          <w:tcPr>
            <w:tcW w:w="1668" w:type="dxa"/>
          </w:tcPr>
          <w:p w14:paraId="1888A622" w14:textId="77777777" w:rsidR="002B04EB" w:rsidRPr="003F7F6C" w:rsidRDefault="002B04EB" w:rsidP="00B851B7">
            <w:pPr>
              <w:rPr>
                <w:rFonts w:cs="Calibri"/>
                <w:sz w:val="16"/>
                <w:szCs w:val="16"/>
              </w:rPr>
            </w:pPr>
            <w:r w:rsidRPr="003F7F6C">
              <w:rPr>
                <w:rFonts w:cs="Calibri"/>
                <w:sz w:val="16"/>
                <w:szCs w:val="16"/>
              </w:rPr>
              <w:t>2.1.3 Establish two observatories</w:t>
            </w:r>
          </w:p>
        </w:tc>
        <w:tc>
          <w:tcPr>
            <w:tcW w:w="1057" w:type="dxa"/>
          </w:tcPr>
          <w:p w14:paraId="4D5A2C8F" w14:textId="77777777" w:rsidR="002B04EB" w:rsidRPr="003F7F6C" w:rsidRDefault="00A76779" w:rsidP="00B851B7">
            <w:pPr>
              <w:rPr>
                <w:rFonts w:cs="Calibri"/>
                <w:sz w:val="16"/>
                <w:szCs w:val="16"/>
              </w:rPr>
            </w:pPr>
            <w:r w:rsidRPr="003F7F6C">
              <w:rPr>
                <w:rFonts w:cs="Calibri"/>
                <w:sz w:val="16"/>
                <w:szCs w:val="16"/>
              </w:rPr>
              <w:t>OPDS</w:t>
            </w:r>
          </w:p>
        </w:tc>
        <w:tc>
          <w:tcPr>
            <w:tcW w:w="428" w:type="dxa"/>
          </w:tcPr>
          <w:p w14:paraId="176C4B5C" w14:textId="77777777" w:rsidR="002B04EB" w:rsidRPr="003F7F6C" w:rsidRDefault="002B04EB" w:rsidP="00B851B7">
            <w:pPr>
              <w:rPr>
                <w:rFonts w:cs="Calibri"/>
                <w:sz w:val="16"/>
                <w:szCs w:val="16"/>
              </w:rPr>
            </w:pPr>
          </w:p>
        </w:tc>
        <w:tc>
          <w:tcPr>
            <w:tcW w:w="444" w:type="dxa"/>
          </w:tcPr>
          <w:p w14:paraId="3093C0FE" w14:textId="77777777" w:rsidR="002B04EB" w:rsidRPr="003F7F6C" w:rsidRDefault="002B04EB" w:rsidP="00B851B7">
            <w:pPr>
              <w:rPr>
                <w:rFonts w:cs="Calibri"/>
                <w:sz w:val="16"/>
                <w:szCs w:val="16"/>
              </w:rPr>
            </w:pPr>
          </w:p>
        </w:tc>
        <w:tc>
          <w:tcPr>
            <w:tcW w:w="428" w:type="dxa"/>
          </w:tcPr>
          <w:p w14:paraId="2F5FAF6F" w14:textId="77777777" w:rsidR="002B04EB" w:rsidRPr="003F7F6C" w:rsidRDefault="002B04EB" w:rsidP="00B851B7">
            <w:pPr>
              <w:rPr>
                <w:rFonts w:cs="Calibri"/>
                <w:sz w:val="16"/>
                <w:szCs w:val="16"/>
              </w:rPr>
            </w:pPr>
          </w:p>
        </w:tc>
        <w:tc>
          <w:tcPr>
            <w:tcW w:w="428" w:type="dxa"/>
            <w:gridSpan w:val="2"/>
          </w:tcPr>
          <w:p w14:paraId="04DA0307" w14:textId="77777777" w:rsidR="002B04EB" w:rsidRPr="003F7F6C" w:rsidRDefault="002B04EB" w:rsidP="00B851B7">
            <w:pPr>
              <w:rPr>
                <w:rFonts w:cs="Calibri"/>
                <w:sz w:val="16"/>
                <w:szCs w:val="16"/>
              </w:rPr>
            </w:pPr>
          </w:p>
        </w:tc>
        <w:tc>
          <w:tcPr>
            <w:tcW w:w="428" w:type="dxa"/>
          </w:tcPr>
          <w:p w14:paraId="3AB2E4E2" w14:textId="77777777" w:rsidR="002B04EB" w:rsidRPr="003F7F6C" w:rsidRDefault="002B04EB" w:rsidP="00B851B7">
            <w:pPr>
              <w:rPr>
                <w:rFonts w:cs="Calibri"/>
                <w:sz w:val="16"/>
                <w:szCs w:val="16"/>
              </w:rPr>
            </w:pPr>
          </w:p>
        </w:tc>
        <w:tc>
          <w:tcPr>
            <w:tcW w:w="427" w:type="dxa"/>
          </w:tcPr>
          <w:p w14:paraId="7C03748F" w14:textId="77777777" w:rsidR="002B04EB" w:rsidRPr="003F7F6C" w:rsidRDefault="002B04EB" w:rsidP="00B851B7">
            <w:pPr>
              <w:rPr>
                <w:rFonts w:cs="Calibri"/>
                <w:sz w:val="16"/>
                <w:szCs w:val="16"/>
              </w:rPr>
            </w:pPr>
          </w:p>
        </w:tc>
        <w:tc>
          <w:tcPr>
            <w:tcW w:w="427" w:type="dxa"/>
          </w:tcPr>
          <w:p w14:paraId="2B9B9693" w14:textId="77777777" w:rsidR="002B04EB" w:rsidRPr="003F7F6C" w:rsidRDefault="002B04EB" w:rsidP="00B851B7">
            <w:pPr>
              <w:rPr>
                <w:rFonts w:cs="Calibri"/>
                <w:sz w:val="16"/>
                <w:szCs w:val="16"/>
              </w:rPr>
            </w:pPr>
          </w:p>
        </w:tc>
        <w:tc>
          <w:tcPr>
            <w:tcW w:w="427" w:type="dxa"/>
            <w:gridSpan w:val="2"/>
          </w:tcPr>
          <w:p w14:paraId="0AEC4C5D" w14:textId="77777777" w:rsidR="002B04EB" w:rsidRPr="003F7F6C" w:rsidRDefault="002B04EB" w:rsidP="00B851B7">
            <w:pPr>
              <w:rPr>
                <w:rFonts w:cs="Calibri"/>
                <w:sz w:val="16"/>
                <w:szCs w:val="16"/>
              </w:rPr>
            </w:pPr>
          </w:p>
        </w:tc>
        <w:tc>
          <w:tcPr>
            <w:tcW w:w="428" w:type="dxa"/>
          </w:tcPr>
          <w:p w14:paraId="263A3FCA" w14:textId="77777777" w:rsidR="002B04EB" w:rsidRPr="003F7F6C" w:rsidRDefault="002B04EB" w:rsidP="00B851B7">
            <w:r w:rsidRPr="003F7F6C">
              <w:rPr>
                <w:rFonts w:cs="Calibri"/>
                <w:sz w:val="16"/>
                <w:szCs w:val="16"/>
              </w:rPr>
              <w:t>X</w:t>
            </w:r>
          </w:p>
        </w:tc>
        <w:tc>
          <w:tcPr>
            <w:tcW w:w="428" w:type="dxa"/>
          </w:tcPr>
          <w:p w14:paraId="23ADDE1C" w14:textId="77777777" w:rsidR="002B04EB" w:rsidRPr="003F7F6C" w:rsidRDefault="002B04EB" w:rsidP="00B851B7">
            <w:r w:rsidRPr="003F7F6C">
              <w:rPr>
                <w:rFonts w:cs="Calibri"/>
                <w:sz w:val="16"/>
                <w:szCs w:val="16"/>
              </w:rPr>
              <w:t>X</w:t>
            </w:r>
          </w:p>
        </w:tc>
        <w:tc>
          <w:tcPr>
            <w:tcW w:w="428" w:type="dxa"/>
          </w:tcPr>
          <w:p w14:paraId="602E94B6" w14:textId="77777777" w:rsidR="002B04EB" w:rsidRPr="003F7F6C" w:rsidRDefault="002B04EB" w:rsidP="00B851B7">
            <w:r w:rsidRPr="003F7F6C">
              <w:rPr>
                <w:rFonts w:cs="Calibri"/>
                <w:sz w:val="16"/>
                <w:szCs w:val="16"/>
              </w:rPr>
              <w:t>X</w:t>
            </w:r>
          </w:p>
        </w:tc>
        <w:tc>
          <w:tcPr>
            <w:tcW w:w="428" w:type="dxa"/>
            <w:gridSpan w:val="2"/>
          </w:tcPr>
          <w:p w14:paraId="760C0153" w14:textId="77777777" w:rsidR="002B04EB" w:rsidRPr="003F7F6C" w:rsidRDefault="002B04EB" w:rsidP="00B851B7">
            <w:r w:rsidRPr="003F7F6C">
              <w:rPr>
                <w:rFonts w:cs="Calibri"/>
                <w:sz w:val="16"/>
                <w:szCs w:val="16"/>
              </w:rPr>
              <w:t>X</w:t>
            </w:r>
          </w:p>
        </w:tc>
        <w:tc>
          <w:tcPr>
            <w:tcW w:w="428" w:type="dxa"/>
          </w:tcPr>
          <w:p w14:paraId="459BCCFB" w14:textId="77777777" w:rsidR="002B04EB" w:rsidRPr="003F7F6C" w:rsidRDefault="002B04EB" w:rsidP="00B851B7">
            <w:r w:rsidRPr="003F7F6C">
              <w:rPr>
                <w:rFonts w:cs="Calibri"/>
                <w:sz w:val="16"/>
                <w:szCs w:val="16"/>
              </w:rPr>
              <w:t>X</w:t>
            </w:r>
          </w:p>
        </w:tc>
        <w:tc>
          <w:tcPr>
            <w:tcW w:w="428" w:type="dxa"/>
          </w:tcPr>
          <w:p w14:paraId="05138E88" w14:textId="77777777" w:rsidR="002B04EB" w:rsidRPr="003F7F6C" w:rsidRDefault="002B04EB" w:rsidP="00B851B7">
            <w:r w:rsidRPr="003F7F6C">
              <w:rPr>
                <w:rFonts w:cs="Calibri"/>
                <w:sz w:val="16"/>
                <w:szCs w:val="16"/>
              </w:rPr>
              <w:t>X</w:t>
            </w:r>
          </w:p>
        </w:tc>
        <w:tc>
          <w:tcPr>
            <w:tcW w:w="428" w:type="dxa"/>
          </w:tcPr>
          <w:p w14:paraId="5A4FA69C" w14:textId="77777777" w:rsidR="002B04EB" w:rsidRPr="003F7F6C" w:rsidRDefault="002B04EB" w:rsidP="00B851B7">
            <w:r w:rsidRPr="003F7F6C">
              <w:rPr>
                <w:rFonts w:cs="Calibri"/>
                <w:sz w:val="16"/>
                <w:szCs w:val="16"/>
              </w:rPr>
              <w:t>X</w:t>
            </w:r>
          </w:p>
        </w:tc>
        <w:tc>
          <w:tcPr>
            <w:tcW w:w="428" w:type="dxa"/>
            <w:gridSpan w:val="2"/>
          </w:tcPr>
          <w:p w14:paraId="3CB79925" w14:textId="77777777" w:rsidR="002B04EB" w:rsidRPr="003F7F6C" w:rsidRDefault="002B04EB" w:rsidP="00B851B7">
            <w:r w:rsidRPr="003F7F6C">
              <w:rPr>
                <w:rFonts w:cs="Calibri"/>
                <w:sz w:val="16"/>
                <w:szCs w:val="16"/>
              </w:rPr>
              <w:t>X</w:t>
            </w:r>
          </w:p>
        </w:tc>
        <w:tc>
          <w:tcPr>
            <w:tcW w:w="428" w:type="dxa"/>
          </w:tcPr>
          <w:p w14:paraId="6A7AFE8D" w14:textId="77777777" w:rsidR="002B04EB" w:rsidRPr="003F7F6C" w:rsidRDefault="002B04EB" w:rsidP="00B851B7">
            <w:r w:rsidRPr="003F7F6C">
              <w:rPr>
                <w:rFonts w:cs="Calibri"/>
                <w:sz w:val="16"/>
                <w:szCs w:val="16"/>
              </w:rPr>
              <w:t>X</w:t>
            </w:r>
          </w:p>
        </w:tc>
        <w:tc>
          <w:tcPr>
            <w:tcW w:w="428" w:type="dxa"/>
          </w:tcPr>
          <w:p w14:paraId="0B844676" w14:textId="77777777" w:rsidR="002B04EB" w:rsidRPr="003F7F6C" w:rsidRDefault="002B04EB" w:rsidP="00B851B7">
            <w:r w:rsidRPr="003F7F6C">
              <w:rPr>
                <w:rFonts w:cs="Calibri"/>
                <w:sz w:val="16"/>
                <w:szCs w:val="16"/>
              </w:rPr>
              <w:t>X</w:t>
            </w:r>
          </w:p>
        </w:tc>
        <w:tc>
          <w:tcPr>
            <w:tcW w:w="428" w:type="dxa"/>
          </w:tcPr>
          <w:p w14:paraId="6C8FCB2C" w14:textId="77777777" w:rsidR="002B04EB" w:rsidRPr="003F7F6C" w:rsidRDefault="002B04EB" w:rsidP="00B851B7">
            <w:r w:rsidRPr="003F7F6C">
              <w:rPr>
                <w:rFonts w:cs="Calibri"/>
                <w:sz w:val="16"/>
                <w:szCs w:val="16"/>
              </w:rPr>
              <w:t>X</w:t>
            </w:r>
          </w:p>
        </w:tc>
        <w:tc>
          <w:tcPr>
            <w:tcW w:w="428" w:type="dxa"/>
            <w:gridSpan w:val="2"/>
          </w:tcPr>
          <w:p w14:paraId="63723A90" w14:textId="77777777" w:rsidR="002B04EB" w:rsidRPr="003F7F6C" w:rsidRDefault="002B04EB" w:rsidP="00B851B7">
            <w:r w:rsidRPr="003F7F6C">
              <w:rPr>
                <w:rFonts w:cs="Calibri"/>
                <w:sz w:val="16"/>
                <w:szCs w:val="16"/>
              </w:rPr>
              <w:t>X</w:t>
            </w:r>
          </w:p>
        </w:tc>
        <w:tc>
          <w:tcPr>
            <w:tcW w:w="428" w:type="dxa"/>
          </w:tcPr>
          <w:p w14:paraId="303D8F97" w14:textId="77777777" w:rsidR="002B04EB" w:rsidRPr="003F7F6C" w:rsidRDefault="002B04EB" w:rsidP="00B851B7">
            <w:r w:rsidRPr="003F7F6C">
              <w:rPr>
                <w:rFonts w:cs="Calibri"/>
                <w:sz w:val="16"/>
                <w:szCs w:val="16"/>
              </w:rPr>
              <w:t>X</w:t>
            </w:r>
          </w:p>
        </w:tc>
        <w:tc>
          <w:tcPr>
            <w:tcW w:w="428" w:type="dxa"/>
          </w:tcPr>
          <w:p w14:paraId="44BA4F33" w14:textId="77777777" w:rsidR="002B04EB" w:rsidRPr="003F7F6C" w:rsidRDefault="002B04EB" w:rsidP="00B851B7">
            <w:r w:rsidRPr="003F7F6C">
              <w:rPr>
                <w:rFonts w:cs="Calibri"/>
                <w:sz w:val="16"/>
                <w:szCs w:val="16"/>
              </w:rPr>
              <w:t>X</w:t>
            </w:r>
          </w:p>
        </w:tc>
        <w:tc>
          <w:tcPr>
            <w:tcW w:w="428" w:type="dxa"/>
          </w:tcPr>
          <w:p w14:paraId="3A7D2BF9" w14:textId="77777777" w:rsidR="002B04EB" w:rsidRPr="003F7F6C" w:rsidRDefault="002B04EB" w:rsidP="00B851B7">
            <w:r w:rsidRPr="003F7F6C">
              <w:rPr>
                <w:rFonts w:cs="Calibri"/>
                <w:sz w:val="16"/>
                <w:szCs w:val="16"/>
              </w:rPr>
              <w:t>X</w:t>
            </w:r>
          </w:p>
        </w:tc>
        <w:tc>
          <w:tcPr>
            <w:tcW w:w="428" w:type="dxa"/>
          </w:tcPr>
          <w:p w14:paraId="6F0CBE21" w14:textId="77777777" w:rsidR="002B04EB" w:rsidRPr="003F7F6C" w:rsidRDefault="002B04EB" w:rsidP="00B851B7">
            <w:r w:rsidRPr="003F7F6C">
              <w:rPr>
                <w:rFonts w:cs="Calibri"/>
                <w:sz w:val="16"/>
                <w:szCs w:val="16"/>
              </w:rPr>
              <w:t>X</w:t>
            </w:r>
          </w:p>
        </w:tc>
      </w:tr>
      <w:tr w:rsidR="002B04EB" w:rsidRPr="003F7F6C" w14:paraId="0CECBBBF" w14:textId="77777777" w:rsidTr="002B04EB">
        <w:tc>
          <w:tcPr>
            <w:tcW w:w="13010" w:type="dxa"/>
            <w:gridSpan w:val="31"/>
            <w:shd w:val="clear" w:color="auto" w:fill="F7CAAC"/>
          </w:tcPr>
          <w:p w14:paraId="743413E9" w14:textId="77777777" w:rsidR="002B04EB" w:rsidRPr="003F7F6C" w:rsidRDefault="002B04EB" w:rsidP="00B851B7">
            <w:pPr>
              <w:rPr>
                <w:rFonts w:cs="Calibri"/>
                <w:sz w:val="16"/>
                <w:szCs w:val="16"/>
              </w:rPr>
            </w:pPr>
            <w:r w:rsidRPr="003F7F6C">
              <w:rPr>
                <w:rFonts w:cs="Calibri"/>
                <w:sz w:val="16"/>
                <w:szCs w:val="16"/>
              </w:rPr>
              <w:t>Jujuy</w:t>
            </w:r>
          </w:p>
        </w:tc>
      </w:tr>
      <w:tr w:rsidR="002B04EB" w:rsidRPr="003F7F6C" w14:paraId="7D421D10" w14:textId="77777777" w:rsidTr="00B851B7">
        <w:tc>
          <w:tcPr>
            <w:tcW w:w="1668" w:type="dxa"/>
          </w:tcPr>
          <w:p w14:paraId="70EB49A7" w14:textId="77777777" w:rsidR="002B04EB" w:rsidRPr="003F7F6C" w:rsidRDefault="002B04EB" w:rsidP="00B851B7">
            <w:pPr>
              <w:rPr>
                <w:rFonts w:cs="Calibri"/>
                <w:sz w:val="16"/>
                <w:szCs w:val="16"/>
              </w:rPr>
            </w:pPr>
            <w:r w:rsidRPr="003F7F6C">
              <w:rPr>
                <w:rFonts w:cs="Calibri"/>
                <w:sz w:val="16"/>
                <w:szCs w:val="16"/>
              </w:rPr>
              <w:t>2.1.1 Develop guidelines for strategic planning of pilot site 1 corridor</w:t>
            </w:r>
          </w:p>
        </w:tc>
        <w:tc>
          <w:tcPr>
            <w:tcW w:w="1057" w:type="dxa"/>
          </w:tcPr>
          <w:p w14:paraId="0D757F83" w14:textId="77777777" w:rsidR="002B04EB" w:rsidRPr="003F7F6C" w:rsidRDefault="002B04EB" w:rsidP="00B851B7">
            <w:pPr>
              <w:rPr>
                <w:rFonts w:cs="Calibri"/>
                <w:sz w:val="16"/>
                <w:szCs w:val="16"/>
              </w:rPr>
            </w:pPr>
            <w:r w:rsidRPr="003F7F6C">
              <w:rPr>
                <w:rFonts w:cs="Calibri"/>
                <w:sz w:val="16"/>
                <w:szCs w:val="16"/>
              </w:rPr>
              <w:t>Ministry of Environment</w:t>
            </w:r>
          </w:p>
        </w:tc>
        <w:tc>
          <w:tcPr>
            <w:tcW w:w="428" w:type="dxa"/>
          </w:tcPr>
          <w:p w14:paraId="6FA9712B" w14:textId="77777777" w:rsidR="002B04EB" w:rsidRPr="003F7F6C" w:rsidRDefault="002B04EB" w:rsidP="00B851B7"/>
        </w:tc>
        <w:tc>
          <w:tcPr>
            <w:tcW w:w="444" w:type="dxa"/>
          </w:tcPr>
          <w:p w14:paraId="526781BF" w14:textId="77777777" w:rsidR="002B04EB" w:rsidRPr="003F7F6C" w:rsidRDefault="002B04EB" w:rsidP="00B851B7">
            <w:r w:rsidRPr="003F7F6C">
              <w:rPr>
                <w:rFonts w:cs="Calibri"/>
                <w:sz w:val="16"/>
                <w:szCs w:val="16"/>
              </w:rPr>
              <w:t>X</w:t>
            </w:r>
          </w:p>
        </w:tc>
        <w:tc>
          <w:tcPr>
            <w:tcW w:w="428" w:type="dxa"/>
          </w:tcPr>
          <w:p w14:paraId="67E9516E" w14:textId="77777777" w:rsidR="002B04EB" w:rsidRPr="003F7F6C" w:rsidRDefault="002B04EB" w:rsidP="00B851B7">
            <w:r w:rsidRPr="003F7F6C">
              <w:rPr>
                <w:rFonts w:cs="Calibri"/>
                <w:sz w:val="16"/>
                <w:szCs w:val="16"/>
              </w:rPr>
              <w:t>X</w:t>
            </w:r>
          </w:p>
        </w:tc>
        <w:tc>
          <w:tcPr>
            <w:tcW w:w="428" w:type="dxa"/>
            <w:gridSpan w:val="2"/>
          </w:tcPr>
          <w:p w14:paraId="7CE5C904" w14:textId="77777777" w:rsidR="002B04EB" w:rsidRPr="003F7F6C" w:rsidRDefault="002B04EB" w:rsidP="00B851B7">
            <w:r w:rsidRPr="003F7F6C">
              <w:rPr>
                <w:rFonts w:cs="Calibri"/>
                <w:sz w:val="16"/>
                <w:szCs w:val="16"/>
              </w:rPr>
              <w:t>X</w:t>
            </w:r>
          </w:p>
        </w:tc>
        <w:tc>
          <w:tcPr>
            <w:tcW w:w="428" w:type="dxa"/>
          </w:tcPr>
          <w:p w14:paraId="165D996A" w14:textId="77777777" w:rsidR="002B04EB" w:rsidRPr="003F7F6C" w:rsidRDefault="002B04EB" w:rsidP="00B851B7">
            <w:r w:rsidRPr="003F7F6C">
              <w:rPr>
                <w:rFonts w:cs="Calibri"/>
                <w:sz w:val="16"/>
                <w:szCs w:val="16"/>
              </w:rPr>
              <w:t>X</w:t>
            </w:r>
          </w:p>
        </w:tc>
        <w:tc>
          <w:tcPr>
            <w:tcW w:w="427" w:type="dxa"/>
          </w:tcPr>
          <w:p w14:paraId="1FD32DD5" w14:textId="77777777" w:rsidR="002B04EB" w:rsidRPr="003F7F6C" w:rsidRDefault="002B04EB" w:rsidP="00B851B7">
            <w:r w:rsidRPr="003F7F6C">
              <w:rPr>
                <w:rFonts w:cs="Calibri"/>
                <w:sz w:val="16"/>
                <w:szCs w:val="16"/>
              </w:rPr>
              <w:t>X</w:t>
            </w:r>
          </w:p>
        </w:tc>
        <w:tc>
          <w:tcPr>
            <w:tcW w:w="427" w:type="dxa"/>
          </w:tcPr>
          <w:p w14:paraId="0392124F" w14:textId="77777777" w:rsidR="002B04EB" w:rsidRPr="003F7F6C" w:rsidRDefault="002B04EB" w:rsidP="00B851B7">
            <w:r w:rsidRPr="003F7F6C">
              <w:rPr>
                <w:rFonts w:cs="Calibri"/>
                <w:sz w:val="16"/>
                <w:szCs w:val="16"/>
              </w:rPr>
              <w:t>X</w:t>
            </w:r>
          </w:p>
        </w:tc>
        <w:tc>
          <w:tcPr>
            <w:tcW w:w="427" w:type="dxa"/>
            <w:gridSpan w:val="2"/>
          </w:tcPr>
          <w:p w14:paraId="15D51095" w14:textId="77777777" w:rsidR="002B04EB" w:rsidRPr="003F7F6C" w:rsidRDefault="002B04EB" w:rsidP="00B851B7">
            <w:r w:rsidRPr="003F7F6C">
              <w:rPr>
                <w:rFonts w:cs="Calibri"/>
                <w:sz w:val="16"/>
                <w:szCs w:val="16"/>
              </w:rPr>
              <w:t>X</w:t>
            </w:r>
          </w:p>
        </w:tc>
        <w:tc>
          <w:tcPr>
            <w:tcW w:w="428" w:type="dxa"/>
          </w:tcPr>
          <w:p w14:paraId="29E9DA3B" w14:textId="77777777" w:rsidR="002B04EB" w:rsidRPr="003F7F6C" w:rsidRDefault="002B04EB" w:rsidP="00B851B7">
            <w:r w:rsidRPr="003F7F6C">
              <w:rPr>
                <w:rFonts w:cs="Calibri"/>
                <w:sz w:val="16"/>
                <w:szCs w:val="16"/>
              </w:rPr>
              <w:t>X</w:t>
            </w:r>
          </w:p>
        </w:tc>
        <w:tc>
          <w:tcPr>
            <w:tcW w:w="428" w:type="dxa"/>
          </w:tcPr>
          <w:p w14:paraId="0B65C275" w14:textId="77777777" w:rsidR="002B04EB" w:rsidRPr="003F7F6C" w:rsidRDefault="002B04EB" w:rsidP="00B851B7">
            <w:r w:rsidRPr="003F7F6C">
              <w:rPr>
                <w:rFonts w:cs="Calibri"/>
                <w:sz w:val="16"/>
                <w:szCs w:val="16"/>
              </w:rPr>
              <w:t>X</w:t>
            </w:r>
          </w:p>
        </w:tc>
        <w:tc>
          <w:tcPr>
            <w:tcW w:w="428" w:type="dxa"/>
          </w:tcPr>
          <w:p w14:paraId="59E1BEBF" w14:textId="77777777" w:rsidR="002B04EB" w:rsidRPr="003F7F6C" w:rsidRDefault="002B04EB" w:rsidP="00B851B7">
            <w:r w:rsidRPr="003F7F6C">
              <w:rPr>
                <w:rFonts w:cs="Calibri"/>
                <w:sz w:val="16"/>
                <w:szCs w:val="16"/>
              </w:rPr>
              <w:t>X</w:t>
            </w:r>
          </w:p>
        </w:tc>
        <w:tc>
          <w:tcPr>
            <w:tcW w:w="428" w:type="dxa"/>
            <w:gridSpan w:val="2"/>
          </w:tcPr>
          <w:p w14:paraId="445F80B9" w14:textId="77777777" w:rsidR="002B04EB" w:rsidRPr="003F7F6C" w:rsidRDefault="002B04EB" w:rsidP="00B851B7">
            <w:r w:rsidRPr="003F7F6C">
              <w:rPr>
                <w:rFonts w:cs="Calibri"/>
                <w:sz w:val="16"/>
                <w:szCs w:val="16"/>
              </w:rPr>
              <w:t>X</w:t>
            </w:r>
          </w:p>
        </w:tc>
        <w:tc>
          <w:tcPr>
            <w:tcW w:w="428" w:type="dxa"/>
          </w:tcPr>
          <w:p w14:paraId="1EDA2328" w14:textId="77777777" w:rsidR="002B04EB" w:rsidRPr="003F7F6C" w:rsidRDefault="002B04EB" w:rsidP="00B851B7">
            <w:r w:rsidRPr="003F7F6C">
              <w:rPr>
                <w:rFonts w:cs="Calibri"/>
                <w:sz w:val="16"/>
                <w:szCs w:val="16"/>
              </w:rPr>
              <w:t>X</w:t>
            </w:r>
          </w:p>
        </w:tc>
        <w:tc>
          <w:tcPr>
            <w:tcW w:w="428" w:type="dxa"/>
          </w:tcPr>
          <w:p w14:paraId="3183893A" w14:textId="77777777" w:rsidR="002B04EB" w:rsidRPr="003F7F6C" w:rsidRDefault="002B04EB" w:rsidP="00B851B7">
            <w:pPr>
              <w:rPr>
                <w:rFonts w:cs="Calibri"/>
                <w:sz w:val="16"/>
                <w:szCs w:val="16"/>
              </w:rPr>
            </w:pPr>
          </w:p>
        </w:tc>
        <w:tc>
          <w:tcPr>
            <w:tcW w:w="428" w:type="dxa"/>
          </w:tcPr>
          <w:p w14:paraId="1E344BCA" w14:textId="77777777" w:rsidR="002B04EB" w:rsidRPr="003F7F6C" w:rsidRDefault="002B04EB" w:rsidP="00B851B7">
            <w:pPr>
              <w:rPr>
                <w:rFonts w:cs="Calibri"/>
                <w:sz w:val="16"/>
                <w:szCs w:val="16"/>
              </w:rPr>
            </w:pPr>
          </w:p>
        </w:tc>
        <w:tc>
          <w:tcPr>
            <w:tcW w:w="428" w:type="dxa"/>
            <w:gridSpan w:val="2"/>
          </w:tcPr>
          <w:p w14:paraId="574C566E" w14:textId="77777777" w:rsidR="002B04EB" w:rsidRPr="003F7F6C" w:rsidRDefault="002B04EB" w:rsidP="00B851B7">
            <w:pPr>
              <w:rPr>
                <w:rFonts w:cs="Calibri"/>
                <w:sz w:val="16"/>
                <w:szCs w:val="16"/>
              </w:rPr>
            </w:pPr>
          </w:p>
        </w:tc>
        <w:tc>
          <w:tcPr>
            <w:tcW w:w="428" w:type="dxa"/>
          </w:tcPr>
          <w:p w14:paraId="269C8FD5" w14:textId="77777777" w:rsidR="002B04EB" w:rsidRPr="003F7F6C" w:rsidRDefault="002B04EB" w:rsidP="00B851B7">
            <w:pPr>
              <w:rPr>
                <w:rFonts w:cs="Calibri"/>
                <w:sz w:val="16"/>
                <w:szCs w:val="16"/>
              </w:rPr>
            </w:pPr>
          </w:p>
        </w:tc>
        <w:tc>
          <w:tcPr>
            <w:tcW w:w="428" w:type="dxa"/>
          </w:tcPr>
          <w:p w14:paraId="5F4697FF" w14:textId="77777777" w:rsidR="002B04EB" w:rsidRPr="003F7F6C" w:rsidRDefault="002B04EB" w:rsidP="00B851B7">
            <w:pPr>
              <w:rPr>
                <w:rFonts w:cs="Calibri"/>
                <w:sz w:val="16"/>
                <w:szCs w:val="16"/>
              </w:rPr>
            </w:pPr>
          </w:p>
        </w:tc>
        <w:tc>
          <w:tcPr>
            <w:tcW w:w="428" w:type="dxa"/>
          </w:tcPr>
          <w:p w14:paraId="324205A0" w14:textId="77777777" w:rsidR="002B04EB" w:rsidRPr="003F7F6C" w:rsidRDefault="002B04EB" w:rsidP="00B851B7">
            <w:pPr>
              <w:rPr>
                <w:rFonts w:cs="Calibri"/>
                <w:sz w:val="16"/>
                <w:szCs w:val="16"/>
              </w:rPr>
            </w:pPr>
          </w:p>
        </w:tc>
        <w:tc>
          <w:tcPr>
            <w:tcW w:w="428" w:type="dxa"/>
            <w:gridSpan w:val="2"/>
          </w:tcPr>
          <w:p w14:paraId="29DEABDC" w14:textId="77777777" w:rsidR="002B04EB" w:rsidRPr="003F7F6C" w:rsidRDefault="002B04EB" w:rsidP="00B851B7">
            <w:pPr>
              <w:rPr>
                <w:rFonts w:cs="Calibri"/>
                <w:sz w:val="16"/>
                <w:szCs w:val="16"/>
              </w:rPr>
            </w:pPr>
          </w:p>
        </w:tc>
        <w:tc>
          <w:tcPr>
            <w:tcW w:w="428" w:type="dxa"/>
          </w:tcPr>
          <w:p w14:paraId="5E73DD81" w14:textId="77777777" w:rsidR="002B04EB" w:rsidRPr="003F7F6C" w:rsidRDefault="002B04EB" w:rsidP="00B851B7">
            <w:pPr>
              <w:rPr>
                <w:rFonts w:cs="Calibri"/>
                <w:sz w:val="16"/>
                <w:szCs w:val="16"/>
              </w:rPr>
            </w:pPr>
          </w:p>
        </w:tc>
        <w:tc>
          <w:tcPr>
            <w:tcW w:w="428" w:type="dxa"/>
          </w:tcPr>
          <w:p w14:paraId="1E057BC0" w14:textId="77777777" w:rsidR="002B04EB" w:rsidRPr="003F7F6C" w:rsidRDefault="002B04EB" w:rsidP="00B851B7">
            <w:pPr>
              <w:rPr>
                <w:rFonts w:cs="Calibri"/>
                <w:sz w:val="16"/>
                <w:szCs w:val="16"/>
              </w:rPr>
            </w:pPr>
          </w:p>
        </w:tc>
        <w:tc>
          <w:tcPr>
            <w:tcW w:w="428" w:type="dxa"/>
          </w:tcPr>
          <w:p w14:paraId="53693F14" w14:textId="77777777" w:rsidR="002B04EB" w:rsidRPr="003F7F6C" w:rsidRDefault="002B04EB" w:rsidP="00B851B7">
            <w:pPr>
              <w:rPr>
                <w:rFonts w:cs="Calibri"/>
                <w:sz w:val="16"/>
                <w:szCs w:val="16"/>
              </w:rPr>
            </w:pPr>
          </w:p>
        </w:tc>
        <w:tc>
          <w:tcPr>
            <w:tcW w:w="428" w:type="dxa"/>
          </w:tcPr>
          <w:p w14:paraId="07A5C34D" w14:textId="77777777" w:rsidR="002B04EB" w:rsidRPr="003F7F6C" w:rsidRDefault="002B04EB" w:rsidP="00B851B7">
            <w:pPr>
              <w:rPr>
                <w:rFonts w:cs="Calibri"/>
                <w:sz w:val="16"/>
                <w:szCs w:val="16"/>
              </w:rPr>
            </w:pPr>
          </w:p>
        </w:tc>
      </w:tr>
      <w:tr w:rsidR="002B04EB" w:rsidRPr="003F7F6C" w14:paraId="601FADC5" w14:textId="77777777" w:rsidTr="00B851B7">
        <w:tc>
          <w:tcPr>
            <w:tcW w:w="1668" w:type="dxa"/>
          </w:tcPr>
          <w:p w14:paraId="6C61E293" w14:textId="77777777" w:rsidR="002B04EB" w:rsidRPr="003F7F6C" w:rsidRDefault="002B04EB" w:rsidP="00B851B7">
            <w:pPr>
              <w:rPr>
                <w:rFonts w:cs="Calibri"/>
                <w:sz w:val="16"/>
                <w:szCs w:val="16"/>
              </w:rPr>
            </w:pPr>
            <w:r w:rsidRPr="003F7F6C">
              <w:rPr>
                <w:rFonts w:cs="Calibri"/>
                <w:sz w:val="16"/>
                <w:szCs w:val="16"/>
              </w:rPr>
              <w:t>2.1.2 Design schematic plan for the GIRSU</w:t>
            </w:r>
          </w:p>
        </w:tc>
        <w:tc>
          <w:tcPr>
            <w:tcW w:w="1057" w:type="dxa"/>
          </w:tcPr>
          <w:p w14:paraId="023E13AC" w14:textId="77777777" w:rsidR="002B04EB" w:rsidRPr="003F7F6C" w:rsidRDefault="002B04EB" w:rsidP="00B851B7">
            <w:pPr>
              <w:rPr>
                <w:rFonts w:cs="Calibri"/>
                <w:sz w:val="16"/>
                <w:szCs w:val="16"/>
              </w:rPr>
            </w:pPr>
            <w:r w:rsidRPr="003F7F6C">
              <w:rPr>
                <w:rFonts w:cs="Calibri"/>
                <w:sz w:val="16"/>
                <w:szCs w:val="16"/>
              </w:rPr>
              <w:t>Ministry of Environment</w:t>
            </w:r>
          </w:p>
        </w:tc>
        <w:tc>
          <w:tcPr>
            <w:tcW w:w="428" w:type="dxa"/>
          </w:tcPr>
          <w:p w14:paraId="2285611D" w14:textId="77777777" w:rsidR="002B04EB" w:rsidRPr="003F7F6C" w:rsidRDefault="002B04EB" w:rsidP="00B851B7"/>
        </w:tc>
        <w:tc>
          <w:tcPr>
            <w:tcW w:w="444" w:type="dxa"/>
          </w:tcPr>
          <w:p w14:paraId="71EB4EC8" w14:textId="77777777" w:rsidR="002B04EB" w:rsidRPr="003F7F6C" w:rsidRDefault="002B04EB" w:rsidP="00B851B7">
            <w:r w:rsidRPr="003F7F6C">
              <w:rPr>
                <w:rFonts w:cs="Calibri"/>
                <w:sz w:val="16"/>
                <w:szCs w:val="16"/>
              </w:rPr>
              <w:t>X</w:t>
            </w:r>
          </w:p>
        </w:tc>
        <w:tc>
          <w:tcPr>
            <w:tcW w:w="428" w:type="dxa"/>
          </w:tcPr>
          <w:p w14:paraId="6B3A36CE" w14:textId="77777777" w:rsidR="002B04EB" w:rsidRPr="003F7F6C" w:rsidRDefault="002B04EB" w:rsidP="00B851B7">
            <w:r w:rsidRPr="003F7F6C">
              <w:rPr>
                <w:rFonts w:cs="Calibri"/>
                <w:sz w:val="16"/>
                <w:szCs w:val="16"/>
              </w:rPr>
              <w:t>X</w:t>
            </w:r>
          </w:p>
        </w:tc>
        <w:tc>
          <w:tcPr>
            <w:tcW w:w="428" w:type="dxa"/>
            <w:gridSpan w:val="2"/>
          </w:tcPr>
          <w:p w14:paraId="33556942" w14:textId="77777777" w:rsidR="002B04EB" w:rsidRPr="003F7F6C" w:rsidRDefault="002B04EB" w:rsidP="00B851B7">
            <w:r w:rsidRPr="003F7F6C">
              <w:rPr>
                <w:rFonts w:cs="Calibri"/>
                <w:sz w:val="16"/>
                <w:szCs w:val="16"/>
              </w:rPr>
              <w:t>X</w:t>
            </w:r>
          </w:p>
        </w:tc>
        <w:tc>
          <w:tcPr>
            <w:tcW w:w="428" w:type="dxa"/>
          </w:tcPr>
          <w:p w14:paraId="6EB3DC85" w14:textId="77777777" w:rsidR="002B04EB" w:rsidRPr="003F7F6C" w:rsidRDefault="002B04EB" w:rsidP="00B851B7">
            <w:r w:rsidRPr="003F7F6C">
              <w:rPr>
                <w:rFonts w:cs="Calibri"/>
                <w:sz w:val="16"/>
                <w:szCs w:val="16"/>
              </w:rPr>
              <w:t>X</w:t>
            </w:r>
          </w:p>
        </w:tc>
        <w:tc>
          <w:tcPr>
            <w:tcW w:w="427" w:type="dxa"/>
          </w:tcPr>
          <w:p w14:paraId="051FC877" w14:textId="77777777" w:rsidR="002B04EB" w:rsidRPr="003F7F6C" w:rsidRDefault="002B04EB" w:rsidP="00B851B7">
            <w:r w:rsidRPr="003F7F6C">
              <w:rPr>
                <w:rFonts w:cs="Calibri"/>
                <w:sz w:val="16"/>
                <w:szCs w:val="16"/>
              </w:rPr>
              <w:t>X</w:t>
            </w:r>
          </w:p>
        </w:tc>
        <w:tc>
          <w:tcPr>
            <w:tcW w:w="427" w:type="dxa"/>
          </w:tcPr>
          <w:p w14:paraId="2F5A314F" w14:textId="77777777" w:rsidR="002B04EB" w:rsidRPr="003F7F6C" w:rsidRDefault="002B04EB" w:rsidP="00B851B7">
            <w:r w:rsidRPr="003F7F6C">
              <w:rPr>
                <w:rFonts w:cs="Calibri"/>
                <w:sz w:val="16"/>
                <w:szCs w:val="16"/>
              </w:rPr>
              <w:t>X</w:t>
            </w:r>
          </w:p>
        </w:tc>
        <w:tc>
          <w:tcPr>
            <w:tcW w:w="427" w:type="dxa"/>
            <w:gridSpan w:val="2"/>
          </w:tcPr>
          <w:p w14:paraId="32226064" w14:textId="77777777" w:rsidR="002B04EB" w:rsidRPr="003F7F6C" w:rsidRDefault="002B04EB" w:rsidP="00B851B7">
            <w:r w:rsidRPr="003F7F6C">
              <w:rPr>
                <w:rFonts w:cs="Calibri"/>
                <w:sz w:val="16"/>
                <w:szCs w:val="16"/>
              </w:rPr>
              <w:t>X</w:t>
            </w:r>
          </w:p>
        </w:tc>
        <w:tc>
          <w:tcPr>
            <w:tcW w:w="428" w:type="dxa"/>
          </w:tcPr>
          <w:p w14:paraId="6BD8BB1C" w14:textId="77777777" w:rsidR="002B04EB" w:rsidRPr="003F7F6C" w:rsidRDefault="002B04EB" w:rsidP="00B851B7">
            <w:r w:rsidRPr="003F7F6C">
              <w:rPr>
                <w:rFonts w:cs="Calibri"/>
                <w:sz w:val="16"/>
                <w:szCs w:val="16"/>
              </w:rPr>
              <w:t>X</w:t>
            </w:r>
          </w:p>
        </w:tc>
        <w:tc>
          <w:tcPr>
            <w:tcW w:w="428" w:type="dxa"/>
          </w:tcPr>
          <w:p w14:paraId="748F18C1" w14:textId="77777777" w:rsidR="002B04EB" w:rsidRPr="003F7F6C" w:rsidRDefault="002B04EB" w:rsidP="00B851B7">
            <w:r w:rsidRPr="003F7F6C">
              <w:rPr>
                <w:rFonts w:cs="Calibri"/>
                <w:sz w:val="16"/>
                <w:szCs w:val="16"/>
              </w:rPr>
              <w:t>X</w:t>
            </w:r>
          </w:p>
        </w:tc>
        <w:tc>
          <w:tcPr>
            <w:tcW w:w="428" w:type="dxa"/>
          </w:tcPr>
          <w:p w14:paraId="30B5A06C" w14:textId="77777777" w:rsidR="002B04EB" w:rsidRPr="003F7F6C" w:rsidRDefault="002B04EB" w:rsidP="00B851B7">
            <w:r w:rsidRPr="003F7F6C">
              <w:rPr>
                <w:rFonts w:cs="Calibri"/>
                <w:sz w:val="16"/>
                <w:szCs w:val="16"/>
              </w:rPr>
              <w:t>X</w:t>
            </w:r>
          </w:p>
        </w:tc>
        <w:tc>
          <w:tcPr>
            <w:tcW w:w="428" w:type="dxa"/>
            <w:gridSpan w:val="2"/>
          </w:tcPr>
          <w:p w14:paraId="42D80FE6" w14:textId="77777777" w:rsidR="002B04EB" w:rsidRPr="003F7F6C" w:rsidRDefault="002B04EB" w:rsidP="00B851B7">
            <w:r w:rsidRPr="003F7F6C">
              <w:rPr>
                <w:rFonts w:cs="Calibri"/>
                <w:sz w:val="16"/>
                <w:szCs w:val="16"/>
              </w:rPr>
              <w:t>X</w:t>
            </w:r>
          </w:p>
        </w:tc>
        <w:tc>
          <w:tcPr>
            <w:tcW w:w="428" w:type="dxa"/>
          </w:tcPr>
          <w:p w14:paraId="75E6BB06" w14:textId="77777777" w:rsidR="002B04EB" w:rsidRPr="003F7F6C" w:rsidRDefault="002B04EB" w:rsidP="00B851B7">
            <w:r w:rsidRPr="003F7F6C">
              <w:rPr>
                <w:rFonts w:cs="Calibri"/>
                <w:sz w:val="16"/>
                <w:szCs w:val="16"/>
              </w:rPr>
              <w:t>X</w:t>
            </w:r>
          </w:p>
        </w:tc>
        <w:tc>
          <w:tcPr>
            <w:tcW w:w="428" w:type="dxa"/>
          </w:tcPr>
          <w:p w14:paraId="2FA1D888" w14:textId="77777777" w:rsidR="002B04EB" w:rsidRPr="003F7F6C" w:rsidRDefault="002B04EB" w:rsidP="00B851B7">
            <w:pPr>
              <w:rPr>
                <w:rFonts w:cs="Calibri"/>
                <w:sz w:val="16"/>
                <w:szCs w:val="16"/>
              </w:rPr>
            </w:pPr>
          </w:p>
        </w:tc>
        <w:tc>
          <w:tcPr>
            <w:tcW w:w="428" w:type="dxa"/>
          </w:tcPr>
          <w:p w14:paraId="6EFC9CEA" w14:textId="77777777" w:rsidR="002B04EB" w:rsidRPr="003F7F6C" w:rsidRDefault="002B04EB" w:rsidP="00B851B7">
            <w:pPr>
              <w:rPr>
                <w:rFonts w:cs="Calibri"/>
                <w:sz w:val="16"/>
                <w:szCs w:val="16"/>
              </w:rPr>
            </w:pPr>
          </w:p>
        </w:tc>
        <w:tc>
          <w:tcPr>
            <w:tcW w:w="428" w:type="dxa"/>
            <w:gridSpan w:val="2"/>
          </w:tcPr>
          <w:p w14:paraId="6C1CB018" w14:textId="77777777" w:rsidR="002B04EB" w:rsidRPr="003F7F6C" w:rsidRDefault="002B04EB" w:rsidP="00B851B7">
            <w:pPr>
              <w:rPr>
                <w:rFonts w:cs="Calibri"/>
                <w:sz w:val="16"/>
                <w:szCs w:val="16"/>
              </w:rPr>
            </w:pPr>
          </w:p>
        </w:tc>
        <w:tc>
          <w:tcPr>
            <w:tcW w:w="428" w:type="dxa"/>
          </w:tcPr>
          <w:p w14:paraId="239C88EC" w14:textId="77777777" w:rsidR="002B04EB" w:rsidRPr="003F7F6C" w:rsidRDefault="002B04EB" w:rsidP="00B851B7">
            <w:pPr>
              <w:rPr>
                <w:rFonts w:cs="Calibri"/>
                <w:sz w:val="16"/>
                <w:szCs w:val="16"/>
              </w:rPr>
            </w:pPr>
          </w:p>
        </w:tc>
        <w:tc>
          <w:tcPr>
            <w:tcW w:w="428" w:type="dxa"/>
          </w:tcPr>
          <w:p w14:paraId="473D977B" w14:textId="77777777" w:rsidR="002B04EB" w:rsidRPr="003F7F6C" w:rsidRDefault="002B04EB" w:rsidP="00B851B7">
            <w:pPr>
              <w:rPr>
                <w:rFonts w:cs="Calibri"/>
                <w:sz w:val="16"/>
                <w:szCs w:val="16"/>
              </w:rPr>
            </w:pPr>
          </w:p>
        </w:tc>
        <w:tc>
          <w:tcPr>
            <w:tcW w:w="428" w:type="dxa"/>
          </w:tcPr>
          <w:p w14:paraId="20E92A0B" w14:textId="77777777" w:rsidR="002B04EB" w:rsidRPr="003F7F6C" w:rsidRDefault="002B04EB" w:rsidP="00B851B7">
            <w:pPr>
              <w:rPr>
                <w:rFonts w:cs="Calibri"/>
                <w:sz w:val="16"/>
                <w:szCs w:val="16"/>
              </w:rPr>
            </w:pPr>
          </w:p>
        </w:tc>
        <w:tc>
          <w:tcPr>
            <w:tcW w:w="428" w:type="dxa"/>
            <w:gridSpan w:val="2"/>
          </w:tcPr>
          <w:p w14:paraId="2BFEB21A" w14:textId="77777777" w:rsidR="002B04EB" w:rsidRPr="003F7F6C" w:rsidRDefault="002B04EB" w:rsidP="00B851B7">
            <w:pPr>
              <w:rPr>
                <w:rFonts w:cs="Calibri"/>
                <w:sz w:val="16"/>
                <w:szCs w:val="16"/>
              </w:rPr>
            </w:pPr>
          </w:p>
        </w:tc>
        <w:tc>
          <w:tcPr>
            <w:tcW w:w="428" w:type="dxa"/>
          </w:tcPr>
          <w:p w14:paraId="65035B92" w14:textId="77777777" w:rsidR="002B04EB" w:rsidRPr="003F7F6C" w:rsidRDefault="002B04EB" w:rsidP="00B851B7">
            <w:pPr>
              <w:rPr>
                <w:rFonts w:cs="Calibri"/>
                <w:sz w:val="16"/>
                <w:szCs w:val="16"/>
              </w:rPr>
            </w:pPr>
          </w:p>
        </w:tc>
        <w:tc>
          <w:tcPr>
            <w:tcW w:w="428" w:type="dxa"/>
          </w:tcPr>
          <w:p w14:paraId="4CDCDEDC" w14:textId="77777777" w:rsidR="002B04EB" w:rsidRPr="003F7F6C" w:rsidRDefault="002B04EB" w:rsidP="00B851B7">
            <w:pPr>
              <w:rPr>
                <w:rFonts w:cs="Calibri"/>
                <w:sz w:val="16"/>
                <w:szCs w:val="16"/>
              </w:rPr>
            </w:pPr>
          </w:p>
        </w:tc>
        <w:tc>
          <w:tcPr>
            <w:tcW w:w="428" w:type="dxa"/>
          </w:tcPr>
          <w:p w14:paraId="505E6A33" w14:textId="77777777" w:rsidR="002B04EB" w:rsidRPr="003F7F6C" w:rsidRDefault="002B04EB" w:rsidP="00B851B7">
            <w:pPr>
              <w:rPr>
                <w:rFonts w:cs="Calibri"/>
                <w:sz w:val="16"/>
                <w:szCs w:val="16"/>
              </w:rPr>
            </w:pPr>
          </w:p>
        </w:tc>
        <w:tc>
          <w:tcPr>
            <w:tcW w:w="428" w:type="dxa"/>
          </w:tcPr>
          <w:p w14:paraId="511CFCEB" w14:textId="77777777" w:rsidR="002B04EB" w:rsidRPr="003F7F6C" w:rsidRDefault="002B04EB" w:rsidP="00B851B7">
            <w:pPr>
              <w:rPr>
                <w:rFonts w:cs="Calibri"/>
                <w:sz w:val="16"/>
                <w:szCs w:val="16"/>
              </w:rPr>
            </w:pPr>
          </w:p>
        </w:tc>
      </w:tr>
      <w:tr w:rsidR="002B04EB" w:rsidRPr="003F7F6C" w14:paraId="3017D4C5" w14:textId="77777777" w:rsidTr="00B851B7">
        <w:tc>
          <w:tcPr>
            <w:tcW w:w="1668" w:type="dxa"/>
          </w:tcPr>
          <w:p w14:paraId="3A5A35B5" w14:textId="77777777" w:rsidR="002B04EB" w:rsidRPr="003F7F6C" w:rsidRDefault="002B04EB" w:rsidP="00E91275">
            <w:pPr>
              <w:pStyle w:val="ListParagraph"/>
              <w:numPr>
                <w:ilvl w:val="0"/>
                <w:numId w:val="29"/>
              </w:numPr>
              <w:spacing w:after="0"/>
              <w:ind w:left="174" w:hanging="174"/>
              <w:contextualSpacing w:val="0"/>
              <w:rPr>
                <w:rFonts w:cs="Calibri"/>
                <w:sz w:val="16"/>
                <w:szCs w:val="16"/>
              </w:rPr>
            </w:pPr>
            <w:r w:rsidRPr="003F7F6C">
              <w:rPr>
                <w:rFonts w:cs="Calibri"/>
                <w:sz w:val="16"/>
                <w:szCs w:val="16"/>
              </w:rPr>
              <w:t>Define implementation schemes</w:t>
            </w:r>
          </w:p>
        </w:tc>
        <w:tc>
          <w:tcPr>
            <w:tcW w:w="1057" w:type="dxa"/>
          </w:tcPr>
          <w:p w14:paraId="31CB441C" w14:textId="77777777" w:rsidR="002B04EB" w:rsidRPr="003F7F6C" w:rsidRDefault="002B04EB" w:rsidP="00B851B7">
            <w:pPr>
              <w:rPr>
                <w:rFonts w:cs="Calibri"/>
                <w:sz w:val="16"/>
                <w:szCs w:val="16"/>
              </w:rPr>
            </w:pPr>
            <w:r w:rsidRPr="003F7F6C">
              <w:rPr>
                <w:rFonts w:cs="Calibri"/>
                <w:sz w:val="16"/>
                <w:szCs w:val="16"/>
              </w:rPr>
              <w:t>Ministry of Environment</w:t>
            </w:r>
          </w:p>
        </w:tc>
        <w:tc>
          <w:tcPr>
            <w:tcW w:w="428" w:type="dxa"/>
          </w:tcPr>
          <w:p w14:paraId="5E00BA77" w14:textId="77777777" w:rsidR="002B04EB" w:rsidRPr="003F7F6C" w:rsidRDefault="002B04EB" w:rsidP="00B851B7"/>
        </w:tc>
        <w:tc>
          <w:tcPr>
            <w:tcW w:w="444" w:type="dxa"/>
          </w:tcPr>
          <w:p w14:paraId="5CFE4E55" w14:textId="77777777" w:rsidR="002B04EB" w:rsidRPr="003F7F6C" w:rsidRDefault="002B04EB" w:rsidP="00B851B7">
            <w:r w:rsidRPr="003F7F6C">
              <w:rPr>
                <w:rFonts w:cs="Calibri"/>
                <w:sz w:val="16"/>
                <w:szCs w:val="16"/>
              </w:rPr>
              <w:t>X</w:t>
            </w:r>
          </w:p>
        </w:tc>
        <w:tc>
          <w:tcPr>
            <w:tcW w:w="428" w:type="dxa"/>
          </w:tcPr>
          <w:p w14:paraId="230FEA53" w14:textId="77777777" w:rsidR="002B04EB" w:rsidRPr="003F7F6C" w:rsidRDefault="002B04EB" w:rsidP="00B851B7">
            <w:r w:rsidRPr="003F7F6C">
              <w:rPr>
                <w:rFonts w:cs="Calibri"/>
                <w:sz w:val="16"/>
                <w:szCs w:val="16"/>
              </w:rPr>
              <w:t>X</w:t>
            </w:r>
          </w:p>
        </w:tc>
        <w:tc>
          <w:tcPr>
            <w:tcW w:w="428" w:type="dxa"/>
            <w:gridSpan w:val="2"/>
          </w:tcPr>
          <w:p w14:paraId="349D24A8" w14:textId="77777777" w:rsidR="002B04EB" w:rsidRPr="003F7F6C" w:rsidRDefault="002B04EB" w:rsidP="00B851B7">
            <w:r w:rsidRPr="003F7F6C">
              <w:rPr>
                <w:rFonts w:cs="Calibri"/>
                <w:sz w:val="16"/>
                <w:szCs w:val="16"/>
              </w:rPr>
              <w:t>X</w:t>
            </w:r>
          </w:p>
        </w:tc>
        <w:tc>
          <w:tcPr>
            <w:tcW w:w="428" w:type="dxa"/>
          </w:tcPr>
          <w:p w14:paraId="0B9404D8" w14:textId="77777777" w:rsidR="002B04EB" w:rsidRPr="003F7F6C" w:rsidRDefault="002B04EB" w:rsidP="00B851B7">
            <w:r w:rsidRPr="003F7F6C">
              <w:rPr>
                <w:rFonts w:cs="Calibri"/>
                <w:sz w:val="16"/>
                <w:szCs w:val="16"/>
              </w:rPr>
              <w:t>X</w:t>
            </w:r>
          </w:p>
        </w:tc>
        <w:tc>
          <w:tcPr>
            <w:tcW w:w="427" w:type="dxa"/>
          </w:tcPr>
          <w:p w14:paraId="488A94B5" w14:textId="77777777" w:rsidR="002B04EB" w:rsidRPr="003F7F6C" w:rsidRDefault="002B04EB" w:rsidP="00B851B7">
            <w:r w:rsidRPr="003F7F6C">
              <w:rPr>
                <w:rFonts w:cs="Calibri"/>
                <w:sz w:val="16"/>
                <w:szCs w:val="16"/>
              </w:rPr>
              <w:t>X</w:t>
            </w:r>
          </w:p>
        </w:tc>
        <w:tc>
          <w:tcPr>
            <w:tcW w:w="427" w:type="dxa"/>
          </w:tcPr>
          <w:p w14:paraId="0777AD1D" w14:textId="77777777" w:rsidR="002B04EB" w:rsidRPr="003F7F6C" w:rsidRDefault="002B04EB" w:rsidP="00B851B7">
            <w:r w:rsidRPr="003F7F6C">
              <w:rPr>
                <w:rFonts w:cs="Calibri"/>
                <w:sz w:val="16"/>
                <w:szCs w:val="16"/>
              </w:rPr>
              <w:t>X</w:t>
            </w:r>
          </w:p>
        </w:tc>
        <w:tc>
          <w:tcPr>
            <w:tcW w:w="427" w:type="dxa"/>
            <w:gridSpan w:val="2"/>
          </w:tcPr>
          <w:p w14:paraId="1538DE58" w14:textId="77777777" w:rsidR="002B04EB" w:rsidRPr="003F7F6C" w:rsidRDefault="002B04EB" w:rsidP="00B851B7">
            <w:r w:rsidRPr="003F7F6C">
              <w:rPr>
                <w:rFonts w:cs="Calibri"/>
                <w:sz w:val="16"/>
                <w:szCs w:val="16"/>
              </w:rPr>
              <w:t>X</w:t>
            </w:r>
          </w:p>
        </w:tc>
        <w:tc>
          <w:tcPr>
            <w:tcW w:w="428" w:type="dxa"/>
          </w:tcPr>
          <w:p w14:paraId="41B6A146" w14:textId="77777777" w:rsidR="002B04EB" w:rsidRPr="003F7F6C" w:rsidRDefault="002B04EB" w:rsidP="00B851B7">
            <w:r w:rsidRPr="003F7F6C">
              <w:rPr>
                <w:rFonts w:cs="Calibri"/>
                <w:sz w:val="16"/>
                <w:szCs w:val="16"/>
              </w:rPr>
              <w:t>X</w:t>
            </w:r>
          </w:p>
        </w:tc>
        <w:tc>
          <w:tcPr>
            <w:tcW w:w="428" w:type="dxa"/>
          </w:tcPr>
          <w:p w14:paraId="1655C2F7" w14:textId="77777777" w:rsidR="002B04EB" w:rsidRPr="003F7F6C" w:rsidRDefault="002B04EB" w:rsidP="00B851B7">
            <w:r w:rsidRPr="003F7F6C">
              <w:rPr>
                <w:rFonts w:cs="Calibri"/>
                <w:sz w:val="16"/>
                <w:szCs w:val="16"/>
              </w:rPr>
              <w:t>X</w:t>
            </w:r>
          </w:p>
        </w:tc>
        <w:tc>
          <w:tcPr>
            <w:tcW w:w="428" w:type="dxa"/>
          </w:tcPr>
          <w:p w14:paraId="73252A9C" w14:textId="77777777" w:rsidR="002B04EB" w:rsidRPr="003F7F6C" w:rsidRDefault="002B04EB" w:rsidP="00B851B7">
            <w:r w:rsidRPr="003F7F6C">
              <w:rPr>
                <w:rFonts w:cs="Calibri"/>
                <w:sz w:val="16"/>
                <w:szCs w:val="16"/>
              </w:rPr>
              <w:t>X</w:t>
            </w:r>
          </w:p>
        </w:tc>
        <w:tc>
          <w:tcPr>
            <w:tcW w:w="428" w:type="dxa"/>
            <w:gridSpan w:val="2"/>
          </w:tcPr>
          <w:p w14:paraId="73E09B4E" w14:textId="77777777" w:rsidR="002B04EB" w:rsidRPr="003F7F6C" w:rsidRDefault="002B04EB" w:rsidP="00B851B7">
            <w:r w:rsidRPr="003F7F6C">
              <w:rPr>
                <w:rFonts w:cs="Calibri"/>
                <w:sz w:val="16"/>
                <w:szCs w:val="16"/>
              </w:rPr>
              <w:t>X</w:t>
            </w:r>
          </w:p>
        </w:tc>
        <w:tc>
          <w:tcPr>
            <w:tcW w:w="428" w:type="dxa"/>
          </w:tcPr>
          <w:p w14:paraId="0AB2EA43" w14:textId="77777777" w:rsidR="002B04EB" w:rsidRPr="003F7F6C" w:rsidRDefault="002B04EB" w:rsidP="00B851B7">
            <w:r w:rsidRPr="003F7F6C">
              <w:rPr>
                <w:rFonts w:cs="Calibri"/>
                <w:sz w:val="16"/>
                <w:szCs w:val="16"/>
              </w:rPr>
              <w:t>X</w:t>
            </w:r>
          </w:p>
        </w:tc>
        <w:tc>
          <w:tcPr>
            <w:tcW w:w="428" w:type="dxa"/>
          </w:tcPr>
          <w:p w14:paraId="0CD1C79D" w14:textId="77777777" w:rsidR="002B04EB" w:rsidRPr="003F7F6C" w:rsidRDefault="002B04EB" w:rsidP="00B851B7">
            <w:pPr>
              <w:rPr>
                <w:rFonts w:cs="Calibri"/>
                <w:sz w:val="16"/>
                <w:szCs w:val="16"/>
              </w:rPr>
            </w:pPr>
          </w:p>
        </w:tc>
        <w:tc>
          <w:tcPr>
            <w:tcW w:w="428" w:type="dxa"/>
          </w:tcPr>
          <w:p w14:paraId="66E37925" w14:textId="77777777" w:rsidR="002B04EB" w:rsidRPr="003F7F6C" w:rsidRDefault="002B04EB" w:rsidP="00B851B7">
            <w:pPr>
              <w:rPr>
                <w:rFonts w:cs="Calibri"/>
                <w:sz w:val="16"/>
                <w:szCs w:val="16"/>
              </w:rPr>
            </w:pPr>
          </w:p>
        </w:tc>
        <w:tc>
          <w:tcPr>
            <w:tcW w:w="428" w:type="dxa"/>
            <w:gridSpan w:val="2"/>
          </w:tcPr>
          <w:p w14:paraId="3FAB799A" w14:textId="77777777" w:rsidR="002B04EB" w:rsidRPr="003F7F6C" w:rsidRDefault="002B04EB" w:rsidP="00B851B7">
            <w:pPr>
              <w:rPr>
                <w:rFonts w:cs="Calibri"/>
                <w:sz w:val="16"/>
                <w:szCs w:val="16"/>
              </w:rPr>
            </w:pPr>
          </w:p>
        </w:tc>
        <w:tc>
          <w:tcPr>
            <w:tcW w:w="428" w:type="dxa"/>
          </w:tcPr>
          <w:p w14:paraId="3064D7C5" w14:textId="77777777" w:rsidR="002B04EB" w:rsidRPr="003F7F6C" w:rsidRDefault="002B04EB" w:rsidP="00B851B7">
            <w:pPr>
              <w:rPr>
                <w:rFonts w:cs="Calibri"/>
                <w:sz w:val="16"/>
                <w:szCs w:val="16"/>
              </w:rPr>
            </w:pPr>
          </w:p>
        </w:tc>
        <w:tc>
          <w:tcPr>
            <w:tcW w:w="428" w:type="dxa"/>
          </w:tcPr>
          <w:p w14:paraId="27B67DB4" w14:textId="77777777" w:rsidR="002B04EB" w:rsidRPr="003F7F6C" w:rsidRDefault="002B04EB" w:rsidP="00B851B7">
            <w:pPr>
              <w:rPr>
                <w:rFonts w:cs="Calibri"/>
                <w:sz w:val="16"/>
                <w:szCs w:val="16"/>
              </w:rPr>
            </w:pPr>
          </w:p>
        </w:tc>
        <w:tc>
          <w:tcPr>
            <w:tcW w:w="428" w:type="dxa"/>
          </w:tcPr>
          <w:p w14:paraId="1F0133C4" w14:textId="77777777" w:rsidR="002B04EB" w:rsidRPr="003F7F6C" w:rsidRDefault="002B04EB" w:rsidP="00B851B7">
            <w:pPr>
              <w:rPr>
                <w:rFonts w:cs="Calibri"/>
                <w:sz w:val="16"/>
                <w:szCs w:val="16"/>
              </w:rPr>
            </w:pPr>
          </w:p>
        </w:tc>
        <w:tc>
          <w:tcPr>
            <w:tcW w:w="428" w:type="dxa"/>
            <w:gridSpan w:val="2"/>
          </w:tcPr>
          <w:p w14:paraId="0C2BA3B9" w14:textId="77777777" w:rsidR="002B04EB" w:rsidRPr="003F7F6C" w:rsidRDefault="002B04EB" w:rsidP="00B851B7">
            <w:pPr>
              <w:rPr>
                <w:rFonts w:cs="Calibri"/>
                <w:sz w:val="16"/>
                <w:szCs w:val="16"/>
              </w:rPr>
            </w:pPr>
          </w:p>
        </w:tc>
        <w:tc>
          <w:tcPr>
            <w:tcW w:w="428" w:type="dxa"/>
          </w:tcPr>
          <w:p w14:paraId="0134A88F" w14:textId="77777777" w:rsidR="002B04EB" w:rsidRPr="003F7F6C" w:rsidRDefault="002B04EB" w:rsidP="00B851B7">
            <w:pPr>
              <w:rPr>
                <w:rFonts w:cs="Calibri"/>
                <w:sz w:val="16"/>
                <w:szCs w:val="16"/>
              </w:rPr>
            </w:pPr>
          </w:p>
        </w:tc>
        <w:tc>
          <w:tcPr>
            <w:tcW w:w="428" w:type="dxa"/>
          </w:tcPr>
          <w:p w14:paraId="5C3319D7" w14:textId="77777777" w:rsidR="002B04EB" w:rsidRPr="003F7F6C" w:rsidRDefault="002B04EB" w:rsidP="00B851B7">
            <w:pPr>
              <w:rPr>
                <w:rFonts w:cs="Calibri"/>
                <w:sz w:val="16"/>
                <w:szCs w:val="16"/>
              </w:rPr>
            </w:pPr>
          </w:p>
        </w:tc>
        <w:tc>
          <w:tcPr>
            <w:tcW w:w="428" w:type="dxa"/>
          </w:tcPr>
          <w:p w14:paraId="2F73272C" w14:textId="77777777" w:rsidR="002B04EB" w:rsidRPr="003F7F6C" w:rsidRDefault="002B04EB" w:rsidP="00B851B7">
            <w:pPr>
              <w:rPr>
                <w:rFonts w:cs="Calibri"/>
                <w:sz w:val="16"/>
                <w:szCs w:val="16"/>
              </w:rPr>
            </w:pPr>
          </w:p>
        </w:tc>
        <w:tc>
          <w:tcPr>
            <w:tcW w:w="428" w:type="dxa"/>
          </w:tcPr>
          <w:p w14:paraId="6FB28EA9" w14:textId="77777777" w:rsidR="002B04EB" w:rsidRPr="003F7F6C" w:rsidRDefault="002B04EB" w:rsidP="00B851B7">
            <w:pPr>
              <w:rPr>
                <w:rFonts w:cs="Calibri"/>
                <w:sz w:val="16"/>
                <w:szCs w:val="16"/>
              </w:rPr>
            </w:pPr>
          </w:p>
        </w:tc>
      </w:tr>
      <w:tr w:rsidR="002B04EB" w:rsidRPr="003F7F6C" w14:paraId="3516B003" w14:textId="77777777" w:rsidTr="00B851B7">
        <w:tc>
          <w:tcPr>
            <w:tcW w:w="1668" w:type="dxa"/>
          </w:tcPr>
          <w:p w14:paraId="1D4A4849" w14:textId="77777777" w:rsidR="002B04EB" w:rsidRPr="003F7F6C" w:rsidRDefault="002B04EB" w:rsidP="00E91275">
            <w:pPr>
              <w:pStyle w:val="ListParagraph"/>
              <w:numPr>
                <w:ilvl w:val="0"/>
                <w:numId w:val="29"/>
              </w:numPr>
              <w:spacing w:after="0"/>
              <w:ind w:left="174" w:hanging="174"/>
              <w:contextualSpacing w:val="0"/>
              <w:rPr>
                <w:rFonts w:cs="Calibri"/>
                <w:sz w:val="16"/>
                <w:szCs w:val="16"/>
              </w:rPr>
            </w:pPr>
            <w:r w:rsidRPr="003F7F6C">
              <w:rPr>
                <w:rFonts w:cs="Calibri"/>
                <w:sz w:val="16"/>
                <w:szCs w:val="16"/>
              </w:rPr>
              <w:t>Upscale to other municipalities</w:t>
            </w:r>
          </w:p>
        </w:tc>
        <w:tc>
          <w:tcPr>
            <w:tcW w:w="1057" w:type="dxa"/>
          </w:tcPr>
          <w:p w14:paraId="45C3CD45" w14:textId="77777777" w:rsidR="002B04EB" w:rsidRPr="003F7F6C" w:rsidRDefault="002B04EB" w:rsidP="00B851B7">
            <w:pPr>
              <w:rPr>
                <w:rFonts w:cs="Calibri"/>
                <w:sz w:val="16"/>
                <w:szCs w:val="16"/>
              </w:rPr>
            </w:pPr>
            <w:r w:rsidRPr="003F7F6C">
              <w:rPr>
                <w:rFonts w:cs="Calibri"/>
                <w:sz w:val="16"/>
                <w:szCs w:val="16"/>
              </w:rPr>
              <w:t>Ministry of Environment</w:t>
            </w:r>
          </w:p>
        </w:tc>
        <w:tc>
          <w:tcPr>
            <w:tcW w:w="428" w:type="dxa"/>
          </w:tcPr>
          <w:p w14:paraId="03A6A51D" w14:textId="77777777" w:rsidR="002B04EB" w:rsidRPr="003F7F6C" w:rsidRDefault="002B04EB" w:rsidP="00B851B7">
            <w:pPr>
              <w:rPr>
                <w:rFonts w:cs="Calibri"/>
                <w:sz w:val="16"/>
                <w:szCs w:val="16"/>
              </w:rPr>
            </w:pPr>
          </w:p>
        </w:tc>
        <w:tc>
          <w:tcPr>
            <w:tcW w:w="444" w:type="dxa"/>
          </w:tcPr>
          <w:p w14:paraId="2B19033B" w14:textId="77777777" w:rsidR="002B04EB" w:rsidRPr="003F7F6C" w:rsidRDefault="002B04EB" w:rsidP="00B851B7">
            <w:pPr>
              <w:rPr>
                <w:rFonts w:cs="Calibri"/>
                <w:sz w:val="16"/>
                <w:szCs w:val="16"/>
              </w:rPr>
            </w:pPr>
          </w:p>
        </w:tc>
        <w:tc>
          <w:tcPr>
            <w:tcW w:w="428" w:type="dxa"/>
          </w:tcPr>
          <w:p w14:paraId="799DC306" w14:textId="77777777" w:rsidR="002B04EB" w:rsidRPr="003F7F6C" w:rsidRDefault="002B04EB" w:rsidP="00B851B7">
            <w:pPr>
              <w:rPr>
                <w:rFonts w:cs="Calibri"/>
                <w:sz w:val="16"/>
                <w:szCs w:val="16"/>
              </w:rPr>
            </w:pPr>
          </w:p>
        </w:tc>
        <w:tc>
          <w:tcPr>
            <w:tcW w:w="428" w:type="dxa"/>
            <w:gridSpan w:val="2"/>
          </w:tcPr>
          <w:p w14:paraId="344FC028" w14:textId="77777777" w:rsidR="002B04EB" w:rsidRPr="003F7F6C" w:rsidRDefault="002B04EB" w:rsidP="00B851B7">
            <w:pPr>
              <w:rPr>
                <w:rFonts w:cs="Calibri"/>
                <w:sz w:val="16"/>
                <w:szCs w:val="16"/>
              </w:rPr>
            </w:pPr>
          </w:p>
        </w:tc>
        <w:tc>
          <w:tcPr>
            <w:tcW w:w="428" w:type="dxa"/>
          </w:tcPr>
          <w:p w14:paraId="728B857C" w14:textId="77777777" w:rsidR="002B04EB" w:rsidRPr="003F7F6C" w:rsidRDefault="002B04EB" w:rsidP="00B851B7">
            <w:pPr>
              <w:rPr>
                <w:rFonts w:cs="Calibri"/>
                <w:sz w:val="16"/>
                <w:szCs w:val="16"/>
              </w:rPr>
            </w:pPr>
          </w:p>
        </w:tc>
        <w:tc>
          <w:tcPr>
            <w:tcW w:w="427" w:type="dxa"/>
          </w:tcPr>
          <w:p w14:paraId="6D8CE6C5" w14:textId="77777777" w:rsidR="002B04EB" w:rsidRPr="003F7F6C" w:rsidRDefault="002B04EB" w:rsidP="00B851B7">
            <w:pPr>
              <w:rPr>
                <w:rFonts w:cs="Calibri"/>
                <w:sz w:val="16"/>
                <w:szCs w:val="16"/>
              </w:rPr>
            </w:pPr>
          </w:p>
        </w:tc>
        <w:tc>
          <w:tcPr>
            <w:tcW w:w="427" w:type="dxa"/>
          </w:tcPr>
          <w:p w14:paraId="517E162A" w14:textId="77777777" w:rsidR="002B04EB" w:rsidRPr="003F7F6C" w:rsidRDefault="002B04EB" w:rsidP="00B851B7">
            <w:pPr>
              <w:rPr>
                <w:rFonts w:cs="Calibri"/>
                <w:sz w:val="16"/>
                <w:szCs w:val="16"/>
              </w:rPr>
            </w:pPr>
          </w:p>
        </w:tc>
        <w:tc>
          <w:tcPr>
            <w:tcW w:w="427" w:type="dxa"/>
            <w:gridSpan w:val="2"/>
          </w:tcPr>
          <w:p w14:paraId="6D253A2C" w14:textId="77777777" w:rsidR="002B04EB" w:rsidRPr="003F7F6C" w:rsidRDefault="002B04EB" w:rsidP="00B851B7">
            <w:pPr>
              <w:rPr>
                <w:rFonts w:cs="Calibri"/>
                <w:sz w:val="16"/>
                <w:szCs w:val="16"/>
              </w:rPr>
            </w:pPr>
          </w:p>
        </w:tc>
        <w:tc>
          <w:tcPr>
            <w:tcW w:w="428" w:type="dxa"/>
          </w:tcPr>
          <w:p w14:paraId="48359FEC" w14:textId="77777777" w:rsidR="002B04EB" w:rsidRPr="003F7F6C" w:rsidRDefault="002B04EB" w:rsidP="00B851B7">
            <w:pPr>
              <w:rPr>
                <w:rFonts w:cs="Calibri"/>
                <w:sz w:val="16"/>
                <w:szCs w:val="16"/>
              </w:rPr>
            </w:pPr>
          </w:p>
        </w:tc>
        <w:tc>
          <w:tcPr>
            <w:tcW w:w="428" w:type="dxa"/>
          </w:tcPr>
          <w:p w14:paraId="4C44F6FA" w14:textId="77777777" w:rsidR="002B04EB" w:rsidRPr="003F7F6C" w:rsidRDefault="002B04EB" w:rsidP="00B851B7">
            <w:pPr>
              <w:rPr>
                <w:rFonts w:cs="Calibri"/>
                <w:sz w:val="16"/>
                <w:szCs w:val="16"/>
              </w:rPr>
            </w:pPr>
          </w:p>
        </w:tc>
        <w:tc>
          <w:tcPr>
            <w:tcW w:w="428" w:type="dxa"/>
          </w:tcPr>
          <w:p w14:paraId="0CC3B149" w14:textId="77777777" w:rsidR="002B04EB" w:rsidRPr="003F7F6C" w:rsidRDefault="002B04EB" w:rsidP="00B851B7">
            <w:pPr>
              <w:rPr>
                <w:rFonts w:cs="Calibri"/>
                <w:sz w:val="16"/>
                <w:szCs w:val="16"/>
              </w:rPr>
            </w:pPr>
          </w:p>
        </w:tc>
        <w:tc>
          <w:tcPr>
            <w:tcW w:w="428" w:type="dxa"/>
            <w:gridSpan w:val="2"/>
          </w:tcPr>
          <w:p w14:paraId="4A74F68A" w14:textId="77777777" w:rsidR="002B04EB" w:rsidRPr="003F7F6C" w:rsidRDefault="002B04EB" w:rsidP="00B851B7">
            <w:pPr>
              <w:rPr>
                <w:rFonts w:cs="Calibri"/>
                <w:sz w:val="16"/>
                <w:szCs w:val="16"/>
              </w:rPr>
            </w:pPr>
          </w:p>
        </w:tc>
        <w:tc>
          <w:tcPr>
            <w:tcW w:w="428" w:type="dxa"/>
          </w:tcPr>
          <w:p w14:paraId="0422EEBE" w14:textId="77777777" w:rsidR="002B04EB" w:rsidRPr="003F7F6C" w:rsidRDefault="002B04EB" w:rsidP="00B851B7">
            <w:r w:rsidRPr="003F7F6C">
              <w:rPr>
                <w:rFonts w:cs="Calibri"/>
                <w:sz w:val="16"/>
                <w:szCs w:val="16"/>
              </w:rPr>
              <w:t>X</w:t>
            </w:r>
          </w:p>
        </w:tc>
        <w:tc>
          <w:tcPr>
            <w:tcW w:w="428" w:type="dxa"/>
          </w:tcPr>
          <w:p w14:paraId="4B2DA3FF" w14:textId="77777777" w:rsidR="002B04EB" w:rsidRPr="003F7F6C" w:rsidRDefault="002B04EB" w:rsidP="00B851B7">
            <w:r w:rsidRPr="003F7F6C">
              <w:rPr>
                <w:rFonts w:cs="Calibri"/>
                <w:sz w:val="16"/>
                <w:szCs w:val="16"/>
              </w:rPr>
              <w:t>X</w:t>
            </w:r>
          </w:p>
        </w:tc>
        <w:tc>
          <w:tcPr>
            <w:tcW w:w="428" w:type="dxa"/>
          </w:tcPr>
          <w:p w14:paraId="30F95796" w14:textId="77777777" w:rsidR="002B04EB" w:rsidRPr="003F7F6C" w:rsidRDefault="002B04EB" w:rsidP="00B851B7">
            <w:r w:rsidRPr="003F7F6C">
              <w:rPr>
                <w:rFonts w:cs="Calibri"/>
                <w:sz w:val="16"/>
                <w:szCs w:val="16"/>
              </w:rPr>
              <w:t>X</w:t>
            </w:r>
          </w:p>
        </w:tc>
        <w:tc>
          <w:tcPr>
            <w:tcW w:w="428" w:type="dxa"/>
            <w:gridSpan w:val="2"/>
          </w:tcPr>
          <w:p w14:paraId="68A1E92F" w14:textId="77777777" w:rsidR="002B04EB" w:rsidRPr="003F7F6C" w:rsidRDefault="002B04EB" w:rsidP="00B851B7">
            <w:r w:rsidRPr="003F7F6C">
              <w:rPr>
                <w:rFonts w:cs="Calibri"/>
                <w:sz w:val="16"/>
                <w:szCs w:val="16"/>
              </w:rPr>
              <w:t>X</w:t>
            </w:r>
          </w:p>
        </w:tc>
        <w:tc>
          <w:tcPr>
            <w:tcW w:w="428" w:type="dxa"/>
          </w:tcPr>
          <w:p w14:paraId="267BAC28" w14:textId="77777777" w:rsidR="002B04EB" w:rsidRPr="003F7F6C" w:rsidRDefault="002B04EB" w:rsidP="00B851B7">
            <w:r w:rsidRPr="003F7F6C">
              <w:rPr>
                <w:rFonts w:cs="Calibri"/>
                <w:sz w:val="16"/>
                <w:szCs w:val="16"/>
              </w:rPr>
              <w:t>X</w:t>
            </w:r>
          </w:p>
        </w:tc>
        <w:tc>
          <w:tcPr>
            <w:tcW w:w="428" w:type="dxa"/>
          </w:tcPr>
          <w:p w14:paraId="71884C93" w14:textId="77777777" w:rsidR="002B04EB" w:rsidRPr="003F7F6C" w:rsidRDefault="002B04EB" w:rsidP="00B851B7">
            <w:r w:rsidRPr="003F7F6C">
              <w:rPr>
                <w:rFonts w:cs="Calibri"/>
                <w:sz w:val="16"/>
                <w:szCs w:val="16"/>
              </w:rPr>
              <w:t>X</w:t>
            </w:r>
          </w:p>
        </w:tc>
        <w:tc>
          <w:tcPr>
            <w:tcW w:w="428" w:type="dxa"/>
          </w:tcPr>
          <w:p w14:paraId="14EE9FA3" w14:textId="77777777" w:rsidR="002B04EB" w:rsidRPr="003F7F6C" w:rsidRDefault="002B04EB" w:rsidP="00B851B7">
            <w:r w:rsidRPr="003F7F6C">
              <w:rPr>
                <w:rFonts w:cs="Calibri"/>
                <w:sz w:val="16"/>
                <w:szCs w:val="16"/>
              </w:rPr>
              <w:t>X</w:t>
            </w:r>
          </w:p>
        </w:tc>
        <w:tc>
          <w:tcPr>
            <w:tcW w:w="428" w:type="dxa"/>
            <w:gridSpan w:val="2"/>
          </w:tcPr>
          <w:p w14:paraId="216EE9FD" w14:textId="77777777" w:rsidR="002B04EB" w:rsidRPr="003F7F6C" w:rsidRDefault="002B04EB" w:rsidP="00B851B7">
            <w:r w:rsidRPr="003F7F6C">
              <w:rPr>
                <w:rFonts w:cs="Calibri"/>
                <w:sz w:val="16"/>
                <w:szCs w:val="16"/>
              </w:rPr>
              <w:t>X</w:t>
            </w:r>
          </w:p>
        </w:tc>
        <w:tc>
          <w:tcPr>
            <w:tcW w:w="428" w:type="dxa"/>
          </w:tcPr>
          <w:p w14:paraId="3713441C" w14:textId="77777777" w:rsidR="002B04EB" w:rsidRPr="003F7F6C" w:rsidRDefault="002B04EB" w:rsidP="00B851B7">
            <w:r w:rsidRPr="003F7F6C">
              <w:rPr>
                <w:rFonts w:cs="Calibri"/>
                <w:sz w:val="16"/>
                <w:szCs w:val="16"/>
              </w:rPr>
              <w:t>X</w:t>
            </w:r>
          </w:p>
        </w:tc>
        <w:tc>
          <w:tcPr>
            <w:tcW w:w="428" w:type="dxa"/>
          </w:tcPr>
          <w:p w14:paraId="7928BEA9" w14:textId="77777777" w:rsidR="002B04EB" w:rsidRPr="003F7F6C" w:rsidRDefault="002B04EB" w:rsidP="00B851B7">
            <w:r w:rsidRPr="003F7F6C">
              <w:rPr>
                <w:rFonts w:cs="Calibri"/>
                <w:sz w:val="16"/>
                <w:szCs w:val="16"/>
              </w:rPr>
              <w:t>X</w:t>
            </w:r>
          </w:p>
        </w:tc>
        <w:tc>
          <w:tcPr>
            <w:tcW w:w="428" w:type="dxa"/>
          </w:tcPr>
          <w:p w14:paraId="2B274717" w14:textId="77777777" w:rsidR="002B04EB" w:rsidRPr="003F7F6C" w:rsidRDefault="002B04EB" w:rsidP="00B851B7">
            <w:r w:rsidRPr="003F7F6C">
              <w:rPr>
                <w:rFonts w:cs="Calibri"/>
                <w:sz w:val="16"/>
                <w:szCs w:val="16"/>
              </w:rPr>
              <w:t>X</w:t>
            </w:r>
          </w:p>
        </w:tc>
        <w:tc>
          <w:tcPr>
            <w:tcW w:w="428" w:type="dxa"/>
          </w:tcPr>
          <w:p w14:paraId="1CDF1433" w14:textId="77777777" w:rsidR="002B04EB" w:rsidRPr="003F7F6C" w:rsidRDefault="002B04EB" w:rsidP="00B851B7">
            <w:r w:rsidRPr="003F7F6C">
              <w:rPr>
                <w:rFonts w:cs="Calibri"/>
                <w:sz w:val="16"/>
                <w:szCs w:val="16"/>
              </w:rPr>
              <w:t>X</w:t>
            </w:r>
          </w:p>
        </w:tc>
      </w:tr>
      <w:tr w:rsidR="002B04EB" w:rsidRPr="003F7F6C" w14:paraId="3BDA4794" w14:textId="77777777" w:rsidTr="00B851B7">
        <w:tc>
          <w:tcPr>
            <w:tcW w:w="1668" w:type="dxa"/>
          </w:tcPr>
          <w:p w14:paraId="426B2181" w14:textId="77777777" w:rsidR="002B04EB" w:rsidRPr="003F7F6C" w:rsidRDefault="002B04EB" w:rsidP="00B851B7">
            <w:pPr>
              <w:rPr>
                <w:rFonts w:cs="Calibri"/>
                <w:sz w:val="16"/>
                <w:szCs w:val="16"/>
                <w:lang w:val="pt-BR"/>
              </w:rPr>
            </w:pPr>
            <w:r w:rsidRPr="003F7F6C">
              <w:rPr>
                <w:rFonts w:cs="Calibri"/>
                <w:sz w:val="16"/>
                <w:szCs w:val="16"/>
                <w:lang w:val="pt-BR"/>
              </w:rPr>
              <w:t xml:space="preserve">2.1.3 Design Susques-Catua tourism corridor  </w:t>
            </w:r>
          </w:p>
        </w:tc>
        <w:tc>
          <w:tcPr>
            <w:tcW w:w="1057" w:type="dxa"/>
          </w:tcPr>
          <w:p w14:paraId="22F13778" w14:textId="77777777" w:rsidR="002B04EB" w:rsidRPr="003F7F6C" w:rsidRDefault="002B04EB" w:rsidP="00B851B7">
            <w:pPr>
              <w:rPr>
                <w:rFonts w:cs="Calibri"/>
                <w:sz w:val="16"/>
                <w:szCs w:val="16"/>
                <w:lang w:val="es-PY"/>
              </w:rPr>
            </w:pPr>
            <w:r w:rsidRPr="003F7F6C">
              <w:rPr>
                <w:rFonts w:cs="Calibri"/>
                <w:sz w:val="16"/>
                <w:szCs w:val="16"/>
              </w:rPr>
              <w:t>Ministry of Environment</w:t>
            </w:r>
          </w:p>
        </w:tc>
        <w:tc>
          <w:tcPr>
            <w:tcW w:w="428" w:type="dxa"/>
          </w:tcPr>
          <w:p w14:paraId="1AE9B5C3" w14:textId="77777777" w:rsidR="002B04EB" w:rsidRPr="003F7F6C" w:rsidRDefault="002B04EB" w:rsidP="00B851B7"/>
        </w:tc>
        <w:tc>
          <w:tcPr>
            <w:tcW w:w="444" w:type="dxa"/>
          </w:tcPr>
          <w:p w14:paraId="12EEB20A" w14:textId="77777777" w:rsidR="002B04EB" w:rsidRPr="003F7F6C" w:rsidRDefault="002B04EB" w:rsidP="00B851B7">
            <w:r w:rsidRPr="003F7F6C">
              <w:rPr>
                <w:rFonts w:cs="Calibri"/>
                <w:sz w:val="16"/>
                <w:szCs w:val="16"/>
              </w:rPr>
              <w:t>X</w:t>
            </w:r>
          </w:p>
        </w:tc>
        <w:tc>
          <w:tcPr>
            <w:tcW w:w="428" w:type="dxa"/>
          </w:tcPr>
          <w:p w14:paraId="6A30E5F3" w14:textId="77777777" w:rsidR="002B04EB" w:rsidRPr="003F7F6C" w:rsidRDefault="002B04EB" w:rsidP="00B851B7">
            <w:r w:rsidRPr="003F7F6C">
              <w:rPr>
                <w:rFonts w:cs="Calibri"/>
                <w:sz w:val="16"/>
                <w:szCs w:val="16"/>
              </w:rPr>
              <w:t>X</w:t>
            </w:r>
          </w:p>
        </w:tc>
        <w:tc>
          <w:tcPr>
            <w:tcW w:w="428" w:type="dxa"/>
            <w:gridSpan w:val="2"/>
          </w:tcPr>
          <w:p w14:paraId="70F27D95" w14:textId="77777777" w:rsidR="002B04EB" w:rsidRPr="003F7F6C" w:rsidRDefault="002B04EB" w:rsidP="00B851B7">
            <w:r w:rsidRPr="003F7F6C">
              <w:rPr>
                <w:rFonts w:cs="Calibri"/>
                <w:sz w:val="16"/>
                <w:szCs w:val="16"/>
              </w:rPr>
              <w:t>X</w:t>
            </w:r>
          </w:p>
        </w:tc>
        <w:tc>
          <w:tcPr>
            <w:tcW w:w="428" w:type="dxa"/>
          </w:tcPr>
          <w:p w14:paraId="21C8A2F5" w14:textId="77777777" w:rsidR="002B04EB" w:rsidRPr="003F7F6C" w:rsidRDefault="002B04EB" w:rsidP="00B851B7">
            <w:r w:rsidRPr="003F7F6C">
              <w:rPr>
                <w:rFonts w:cs="Calibri"/>
                <w:sz w:val="16"/>
                <w:szCs w:val="16"/>
              </w:rPr>
              <w:t>X</w:t>
            </w:r>
          </w:p>
        </w:tc>
        <w:tc>
          <w:tcPr>
            <w:tcW w:w="427" w:type="dxa"/>
          </w:tcPr>
          <w:p w14:paraId="29206526" w14:textId="77777777" w:rsidR="002B04EB" w:rsidRPr="003F7F6C" w:rsidRDefault="002B04EB" w:rsidP="00B851B7">
            <w:r w:rsidRPr="003F7F6C">
              <w:rPr>
                <w:rFonts w:cs="Calibri"/>
                <w:sz w:val="16"/>
                <w:szCs w:val="16"/>
              </w:rPr>
              <w:t>X</w:t>
            </w:r>
          </w:p>
        </w:tc>
        <w:tc>
          <w:tcPr>
            <w:tcW w:w="427" w:type="dxa"/>
          </w:tcPr>
          <w:p w14:paraId="5AD53BF8" w14:textId="77777777" w:rsidR="002B04EB" w:rsidRPr="003F7F6C" w:rsidRDefault="002B04EB" w:rsidP="00B851B7">
            <w:r w:rsidRPr="003F7F6C">
              <w:rPr>
                <w:rFonts w:cs="Calibri"/>
                <w:sz w:val="16"/>
                <w:szCs w:val="16"/>
              </w:rPr>
              <w:t>X</w:t>
            </w:r>
          </w:p>
        </w:tc>
        <w:tc>
          <w:tcPr>
            <w:tcW w:w="427" w:type="dxa"/>
            <w:gridSpan w:val="2"/>
          </w:tcPr>
          <w:p w14:paraId="416A78C7" w14:textId="77777777" w:rsidR="002B04EB" w:rsidRPr="003F7F6C" w:rsidRDefault="002B04EB" w:rsidP="00B851B7">
            <w:r w:rsidRPr="003F7F6C">
              <w:rPr>
                <w:rFonts w:cs="Calibri"/>
                <w:sz w:val="16"/>
                <w:szCs w:val="16"/>
              </w:rPr>
              <w:t>X</w:t>
            </w:r>
          </w:p>
        </w:tc>
        <w:tc>
          <w:tcPr>
            <w:tcW w:w="428" w:type="dxa"/>
          </w:tcPr>
          <w:p w14:paraId="2CA84269" w14:textId="77777777" w:rsidR="002B04EB" w:rsidRPr="003F7F6C" w:rsidRDefault="002B04EB" w:rsidP="00B851B7">
            <w:r w:rsidRPr="003F7F6C">
              <w:rPr>
                <w:rFonts w:cs="Calibri"/>
                <w:sz w:val="16"/>
                <w:szCs w:val="16"/>
              </w:rPr>
              <w:t>X</w:t>
            </w:r>
          </w:p>
        </w:tc>
        <w:tc>
          <w:tcPr>
            <w:tcW w:w="428" w:type="dxa"/>
          </w:tcPr>
          <w:p w14:paraId="4E0880FF" w14:textId="77777777" w:rsidR="002B04EB" w:rsidRPr="003F7F6C" w:rsidRDefault="002B04EB" w:rsidP="00B851B7">
            <w:r w:rsidRPr="003F7F6C">
              <w:rPr>
                <w:rFonts w:cs="Calibri"/>
                <w:sz w:val="16"/>
                <w:szCs w:val="16"/>
              </w:rPr>
              <w:t>X</w:t>
            </w:r>
          </w:p>
        </w:tc>
        <w:tc>
          <w:tcPr>
            <w:tcW w:w="428" w:type="dxa"/>
          </w:tcPr>
          <w:p w14:paraId="3749A216" w14:textId="77777777" w:rsidR="002B04EB" w:rsidRPr="003F7F6C" w:rsidRDefault="002B04EB" w:rsidP="00B851B7">
            <w:r w:rsidRPr="003F7F6C">
              <w:rPr>
                <w:rFonts w:cs="Calibri"/>
                <w:sz w:val="16"/>
                <w:szCs w:val="16"/>
              </w:rPr>
              <w:t>X</w:t>
            </w:r>
          </w:p>
        </w:tc>
        <w:tc>
          <w:tcPr>
            <w:tcW w:w="428" w:type="dxa"/>
            <w:gridSpan w:val="2"/>
          </w:tcPr>
          <w:p w14:paraId="1EDBEB9A" w14:textId="77777777" w:rsidR="002B04EB" w:rsidRPr="003F7F6C" w:rsidRDefault="002B04EB" w:rsidP="00B851B7">
            <w:r w:rsidRPr="003F7F6C">
              <w:rPr>
                <w:rFonts w:cs="Calibri"/>
                <w:sz w:val="16"/>
                <w:szCs w:val="16"/>
              </w:rPr>
              <w:t>X</w:t>
            </w:r>
          </w:p>
        </w:tc>
        <w:tc>
          <w:tcPr>
            <w:tcW w:w="428" w:type="dxa"/>
          </w:tcPr>
          <w:p w14:paraId="75EA42F7" w14:textId="77777777" w:rsidR="002B04EB" w:rsidRPr="003F7F6C" w:rsidRDefault="002B04EB" w:rsidP="00B851B7">
            <w:r w:rsidRPr="003F7F6C">
              <w:rPr>
                <w:rFonts w:cs="Calibri"/>
                <w:sz w:val="16"/>
                <w:szCs w:val="16"/>
              </w:rPr>
              <w:t>X</w:t>
            </w:r>
          </w:p>
        </w:tc>
        <w:tc>
          <w:tcPr>
            <w:tcW w:w="428" w:type="dxa"/>
          </w:tcPr>
          <w:p w14:paraId="3717FDA2" w14:textId="77777777" w:rsidR="002B04EB" w:rsidRPr="003F7F6C" w:rsidRDefault="002B04EB" w:rsidP="00B851B7">
            <w:r w:rsidRPr="003F7F6C">
              <w:rPr>
                <w:rFonts w:cs="Calibri"/>
                <w:sz w:val="16"/>
                <w:szCs w:val="16"/>
              </w:rPr>
              <w:t>X</w:t>
            </w:r>
          </w:p>
        </w:tc>
        <w:tc>
          <w:tcPr>
            <w:tcW w:w="428" w:type="dxa"/>
          </w:tcPr>
          <w:p w14:paraId="2E6A0C17" w14:textId="77777777" w:rsidR="002B04EB" w:rsidRPr="003F7F6C" w:rsidRDefault="002B04EB" w:rsidP="00B851B7">
            <w:r w:rsidRPr="003F7F6C">
              <w:rPr>
                <w:rFonts w:cs="Calibri"/>
                <w:sz w:val="16"/>
                <w:szCs w:val="16"/>
              </w:rPr>
              <w:t>X</w:t>
            </w:r>
          </w:p>
        </w:tc>
        <w:tc>
          <w:tcPr>
            <w:tcW w:w="428" w:type="dxa"/>
            <w:gridSpan w:val="2"/>
          </w:tcPr>
          <w:p w14:paraId="355E98D6" w14:textId="77777777" w:rsidR="002B04EB" w:rsidRPr="003F7F6C" w:rsidRDefault="002B04EB" w:rsidP="00B851B7">
            <w:r w:rsidRPr="003F7F6C">
              <w:rPr>
                <w:rFonts w:cs="Calibri"/>
                <w:sz w:val="16"/>
                <w:szCs w:val="16"/>
              </w:rPr>
              <w:t>X</w:t>
            </w:r>
          </w:p>
        </w:tc>
        <w:tc>
          <w:tcPr>
            <w:tcW w:w="428" w:type="dxa"/>
          </w:tcPr>
          <w:p w14:paraId="091A125A" w14:textId="77777777" w:rsidR="002B04EB" w:rsidRPr="003F7F6C" w:rsidRDefault="002B04EB" w:rsidP="00B851B7">
            <w:r w:rsidRPr="003F7F6C">
              <w:rPr>
                <w:rFonts w:cs="Calibri"/>
                <w:sz w:val="16"/>
                <w:szCs w:val="16"/>
              </w:rPr>
              <w:t>X</w:t>
            </w:r>
          </w:p>
        </w:tc>
        <w:tc>
          <w:tcPr>
            <w:tcW w:w="428" w:type="dxa"/>
          </w:tcPr>
          <w:p w14:paraId="483EBA8C" w14:textId="77777777" w:rsidR="002B04EB" w:rsidRPr="003F7F6C" w:rsidRDefault="002B04EB" w:rsidP="00B851B7">
            <w:r w:rsidRPr="003F7F6C">
              <w:rPr>
                <w:rFonts w:cs="Calibri"/>
                <w:sz w:val="16"/>
                <w:szCs w:val="16"/>
              </w:rPr>
              <w:t>X</w:t>
            </w:r>
          </w:p>
        </w:tc>
        <w:tc>
          <w:tcPr>
            <w:tcW w:w="428" w:type="dxa"/>
          </w:tcPr>
          <w:p w14:paraId="29875B03" w14:textId="77777777" w:rsidR="002B04EB" w:rsidRPr="003F7F6C" w:rsidRDefault="002B04EB" w:rsidP="00B851B7">
            <w:r w:rsidRPr="003F7F6C">
              <w:rPr>
                <w:rFonts w:cs="Calibri"/>
                <w:sz w:val="16"/>
                <w:szCs w:val="16"/>
              </w:rPr>
              <w:t>X</w:t>
            </w:r>
          </w:p>
        </w:tc>
        <w:tc>
          <w:tcPr>
            <w:tcW w:w="428" w:type="dxa"/>
            <w:gridSpan w:val="2"/>
          </w:tcPr>
          <w:p w14:paraId="48BB46E0" w14:textId="77777777" w:rsidR="002B04EB" w:rsidRPr="003F7F6C" w:rsidRDefault="002B04EB" w:rsidP="00B851B7">
            <w:r w:rsidRPr="003F7F6C">
              <w:rPr>
                <w:rFonts w:cs="Calibri"/>
                <w:sz w:val="16"/>
                <w:szCs w:val="16"/>
              </w:rPr>
              <w:t>X</w:t>
            </w:r>
          </w:p>
        </w:tc>
        <w:tc>
          <w:tcPr>
            <w:tcW w:w="428" w:type="dxa"/>
          </w:tcPr>
          <w:p w14:paraId="539ACF79" w14:textId="77777777" w:rsidR="002B04EB" w:rsidRPr="003F7F6C" w:rsidRDefault="002B04EB" w:rsidP="00B851B7">
            <w:r w:rsidRPr="003F7F6C">
              <w:rPr>
                <w:rFonts w:cs="Calibri"/>
                <w:sz w:val="16"/>
                <w:szCs w:val="16"/>
              </w:rPr>
              <w:t>X</w:t>
            </w:r>
          </w:p>
        </w:tc>
        <w:tc>
          <w:tcPr>
            <w:tcW w:w="428" w:type="dxa"/>
          </w:tcPr>
          <w:p w14:paraId="75163576" w14:textId="77777777" w:rsidR="002B04EB" w:rsidRPr="003F7F6C" w:rsidRDefault="002B04EB" w:rsidP="00B851B7">
            <w:r w:rsidRPr="003F7F6C">
              <w:rPr>
                <w:rFonts w:cs="Calibri"/>
                <w:sz w:val="16"/>
                <w:szCs w:val="16"/>
              </w:rPr>
              <w:t>X</w:t>
            </w:r>
          </w:p>
        </w:tc>
        <w:tc>
          <w:tcPr>
            <w:tcW w:w="428" w:type="dxa"/>
          </w:tcPr>
          <w:p w14:paraId="700DEE45" w14:textId="77777777" w:rsidR="002B04EB" w:rsidRPr="003F7F6C" w:rsidRDefault="002B04EB" w:rsidP="00B851B7">
            <w:r w:rsidRPr="003F7F6C">
              <w:rPr>
                <w:rFonts w:cs="Calibri"/>
                <w:sz w:val="16"/>
                <w:szCs w:val="16"/>
              </w:rPr>
              <w:t>X</w:t>
            </w:r>
          </w:p>
        </w:tc>
        <w:tc>
          <w:tcPr>
            <w:tcW w:w="428" w:type="dxa"/>
          </w:tcPr>
          <w:p w14:paraId="617AB763" w14:textId="77777777" w:rsidR="002B04EB" w:rsidRPr="003F7F6C" w:rsidRDefault="002B04EB" w:rsidP="00B851B7">
            <w:r w:rsidRPr="003F7F6C">
              <w:rPr>
                <w:rFonts w:cs="Calibri"/>
                <w:sz w:val="16"/>
                <w:szCs w:val="16"/>
              </w:rPr>
              <w:t>X</w:t>
            </w:r>
          </w:p>
        </w:tc>
      </w:tr>
      <w:tr w:rsidR="002B04EB" w:rsidRPr="003F7F6C" w14:paraId="3C8B217A" w14:textId="77777777" w:rsidTr="00B851B7">
        <w:tc>
          <w:tcPr>
            <w:tcW w:w="1668" w:type="dxa"/>
          </w:tcPr>
          <w:p w14:paraId="3FF8C0D9" w14:textId="77777777" w:rsidR="002B04EB" w:rsidRPr="003F7F6C" w:rsidRDefault="002B04EB" w:rsidP="00B851B7">
            <w:pPr>
              <w:rPr>
                <w:rFonts w:cs="Calibri"/>
                <w:sz w:val="16"/>
                <w:szCs w:val="16"/>
              </w:rPr>
            </w:pPr>
            <w:r w:rsidRPr="003F7F6C">
              <w:rPr>
                <w:rFonts w:cs="Calibri"/>
                <w:sz w:val="16"/>
                <w:szCs w:val="16"/>
              </w:rPr>
              <w:t>2.1.4 Develop Management Plan for Olaroz-Cauchari-Catua Reserve</w:t>
            </w:r>
          </w:p>
        </w:tc>
        <w:tc>
          <w:tcPr>
            <w:tcW w:w="1057" w:type="dxa"/>
          </w:tcPr>
          <w:p w14:paraId="450B14A1" w14:textId="77777777" w:rsidR="002B04EB" w:rsidRPr="003F7F6C" w:rsidRDefault="002B04EB" w:rsidP="00B851B7">
            <w:pPr>
              <w:rPr>
                <w:rFonts w:cs="Calibri"/>
                <w:sz w:val="16"/>
                <w:szCs w:val="16"/>
              </w:rPr>
            </w:pPr>
            <w:r w:rsidRPr="003F7F6C">
              <w:rPr>
                <w:rFonts w:cs="Calibri"/>
                <w:sz w:val="16"/>
                <w:szCs w:val="16"/>
              </w:rPr>
              <w:t>Ministry of Environment</w:t>
            </w:r>
          </w:p>
        </w:tc>
        <w:tc>
          <w:tcPr>
            <w:tcW w:w="428" w:type="dxa"/>
          </w:tcPr>
          <w:p w14:paraId="55234F7C" w14:textId="77777777" w:rsidR="002B04EB" w:rsidRPr="003F7F6C" w:rsidRDefault="002B04EB" w:rsidP="00B851B7"/>
        </w:tc>
        <w:tc>
          <w:tcPr>
            <w:tcW w:w="444" w:type="dxa"/>
          </w:tcPr>
          <w:p w14:paraId="46AD3092" w14:textId="77777777" w:rsidR="002B04EB" w:rsidRPr="003F7F6C" w:rsidRDefault="002B04EB" w:rsidP="00B851B7">
            <w:r w:rsidRPr="003F7F6C">
              <w:rPr>
                <w:rFonts w:cs="Calibri"/>
                <w:sz w:val="16"/>
                <w:szCs w:val="16"/>
              </w:rPr>
              <w:t>X</w:t>
            </w:r>
          </w:p>
        </w:tc>
        <w:tc>
          <w:tcPr>
            <w:tcW w:w="428" w:type="dxa"/>
          </w:tcPr>
          <w:p w14:paraId="7D2D39C9" w14:textId="77777777" w:rsidR="002B04EB" w:rsidRPr="003F7F6C" w:rsidRDefault="002B04EB" w:rsidP="00B851B7">
            <w:r w:rsidRPr="003F7F6C">
              <w:rPr>
                <w:rFonts w:cs="Calibri"/>
                <w:sz w:val="16"/>
                <w:szCs w:val="16"/>
              </w:rPr>
              <w:t>X</w:t>
            </w:r>
          </w:p>
        </w:tc>
        <w:tc>
          <w:tcPr>
            <w:tcW w:w="428" w:type="dxa"/>
            <w:gridSpan w:val="2"/>
          </w:tcPr>
          <w:p w14:paraId="4B0ED1AD" w14:textId="77777777" w:rsidR="002B04EB" w:rsidRPr="003F7F6C" w:rsidRDefault="002B04EB" w:rsidP="00B851B7">
            <w:r w:rsidRPr="003F7F6C">
              <w:rPr>
                <w:rFonts w:cs="Calibri"/>
                <w:sz w:val="16"/>
                <w:szCs w:val="16"/>
              </w:rPr>
              <w:t>X</w:t>
            </w:r>
          </w:p>
        </w:tc>
        <w:tc>
          <w:tcPr>
            <w:tcW w:w="428" w:type="dxa"/>
          </w:tcPr>
          <w:p w14:paraId="128EA4DB" w14:textId="77777777" w:rsidR="002B04EB" w:rsidRPr="003F7F6C" w:rsidRDefault="002B04EB" w:rsidP="00B851B7">
            <w:r w:rsidRPr="003F7F6C">
              <w:rPr>
                <w:rFonts w:cs="Calibri"/>
                <w:sz w:val="16"/>
                <w:szCs w:val="16"/>
              </w:rPr>
              <w:t>X</w:t>
            </w:r>
          </w:p>
        </w:tc>
        <w:tc>
          <w:tcPr>
            <w:tcW w:w="427" w:type="dxa"/>
          </w:tcPr>
          <w:p w14:paraId="05571238" w14:textId="77777777" w:rsidR="002B04EB" w:rsidRPr="003F7F6C" w:rsidRDefault="002B04EB" w:rsidP="00B851B7">
            <w:r w:rsidRPr="003F7F6C">
              <w:rPr>
                <w:rFonts w:cs="Calibri"/>
                <w:sz w:val="16"/>
                <w:szCs w:val="16"/>
              </w:rPr>
              <w:t>X</w:t>
            </w:r>
          </w:p>
        </w:tc>
        <w:tc>
          <w:tcPr>
            <w:tcW w:w="427" w:type="dxa"/>
          </w:tcPr>
          <w:p w14:paraId="7862ABB5" w14:textId="77777777" w:rsidR="002B04EB" w:rsidRPr="003F7F6C" w:rsidRDefault="002B04EB" w:rsidP="00B851B7">
            <w:r w:rsidRPr="003F7F6C">
              <w:rPr>
                <w:rFonts w:cs="Calibri"/>
                <w:sz w:val="16"/>
                <w:szCs w:val="16"/>
              </w:rPr>
              <w:t>X</w:t>
            </w:r>
          </w:p>
        </w:tc>
        <w:tc>
          <w:tcPr>
            <w:tcW w:w="427" w:type="dxa"/>
            <w:gridSpan w:val="2"/>
          </w:tcPr>
          <w:p w14:paraId="7C6235E3" w14:textId="77777777" w:rsidR="002B04EB" w:rsidRPr="003F7F6C" w:rsidRDefault="002B04EB" w:rsidP="00B851B7">
            <w:r w:rsidRPr="003F7F6C">
              <w:rPr>
                <w:rFonts w:cs="Calibri"/>
                <w:sz w:val="16"/>
                <w:szCs w:val="16"/>
              </w:rPr>
              <w:t>X</w:t>
            </w:r>
          </w:p>
        </w:tc>
        <w:tc>
          <w:tcPr>
            <w:tcW w:w="428" w:type="dxa"/>
          </w:tcPr>
          <w:p w14:paraId="5EBA3E79" w14:textId="77777777" w:rsidR="002B04EB" w:rsidRPr="003F7F6C" w:rsidRDefault="002B04EB" w:rsidP="00B851B7">
            <w:r w:rsidRPr="003F7F6C">
              <w:rPr>
                <w:rFonts w:cs="Calibri"/>
                <w:sz w:val="16"/>
                <w:szCs w:val="16"/>
              </w:rPr>
              <w:t>X</w:t>
            </w:r>
          </w:p>
        </w:tc>
        <w:tc>
          <w:tcPr>
            <w:tcW w:w="428" w:type="dxa"/>
          </w:tcPr>
          <w:p w14:paraId="29FB8F49" w14:textId="77777777" w:rsidR="002B04EB" w:rsidRPr="003F7F6C" w:rsidRDefault="002B04EB" w:rsidP="00B851B7">
            <w:r w:rsidRPr="003F7F6C">
              <w:rPr>
                <w:rFonts w:cs="Calibri"/>
                <w:sz w:val="16"/>
                <w:szCs w:val="16"/>
              </w:rPr>
              <w:t>X</w:t>
            </w:r>
          </w:p>
        </w:tc>
        <w:tc>
          <w:tcPr>
            <w:tcW w:w="428" w:type="dxa"/>
          </w:tcPr>
          <w:p w14:paraId="32B4A981" w14:textId="77777777" w:rsidR="002B04EB" w:rsidRPr="003F7F6C" w:rsidRDefault="002B04EB" w:rsidP="00B851B7">
            <w:r w:rsidRPr="003F7F6C">
              <w:rPr>
                <w:rFonts w:cs="Calibri"/>
                <w:sz w:val="16"/>
                <w:szCs w:val="16"/>
              </w:rPr>
              <w:t>X</w:t>
            </w:r>
          </w:p>
        </w:tc>
        <w:tc>
          <w:tcPr>
            <w:tcW w:w="428" w:type="dxa"/>
            <w:gridSpan w:val="2"/>
          </w:tcPr>
          <w:p w14:paraId="57D7865D" w14:textId="77777777" w:rsidR="002B04EB" w:rsidRPr="003F7F6C" w:rsidRDefault="002B04EB" w:rsidP="00B851B7">
            <w:r w:rsidRPr="003F7F6C">
              <w:rPr>
                <w:rFonts w:cs="Calibri"/>
                <w:sz w:val="16"/>
                <w:szCs w:val="16"/>
              </w:rPr>
              <w:t>X</w:t>
            </w:r>
          </w:p>
        </w:tc>
        <w:tc>
          <w:tcPr>
            <w:tcW w:w="428" w:type="dxa"/>
          </w:tcPr>
          <w:p w14:paraId="024A8916" w14:textId="77777777" w:rsidR="002B04EB" w:rsidRPr="003F7F6C" w:rsidRDefault="002B04EB" w:rsidP="00B851B7">
            <w:pPr>
              <w:rPr>
                <w:rFonts w:cs="Calibri"/>
                <w:sz w:val="16"/>
                <w:szCs w:val="16"/>
              </w:rPr>
            </w:pPr>
          </w:p>
        </w:tc>
        <w:tc>
          <w:tcPr>
            <w:tcW w:w="428" w:type="dxa"/>
          </w:tcPr>
          <w:p w14:paraId="0079C8AB" w14:textId="77777777" w:rsidR="002B04EB" w:rsidRPr="003F7F6C" w:rsidRDefault="002B04EB" w:rsidP="00B851B7">
            <w:pPr>
              <w:rPr>
                <w:rFonts w:cs="Calibri"/>
                <w:sz w:val="16"/>
                <w:szCs w:val="16"/>
              </w:rPr>
            </w:pPr>
          </w:p>
        </w:tc>
        <w:tc>
          <w:tcPr>
            <w:tcW w:w="428" w:type="dxa"/>
          </w:tcPr>
          <w:p w14:paraId="5B13FA06" w14:textId="77777777" w:rsidR="002B04EB" w:rsidRPr="003F7F6C" w:rsidRDefault="002B04EB" w:rsidP="00B851B7">
            <w:pPr>
              <w:rPr>
                <w:rFonts w:cs="Calibri"/>
                <w:sz w:val="16"/>
                <w:szCs w:val="16"/>
              </w:rPr>
            </w:pPr>
          </w:p>
        </w:tc>
        <w:tc>
          <w:tcPr>
            <w:tcW w:w="428" w:type="dxa"/>
            <w:gridSpan w:val="2"/>
          </w:tcPr>
          <w:p w14:paraId="286BA7F8" w14:textId="77777777" w:rsidR="002B04EB" w:rsidRPr="003F7F6C" w:rsidRDefault="002B04EB" w:rsidP="00B851B7">
            <w:pPr>
              <w:rPr>
                <w:rFonts w:cs="Calibri"/>
                <w:sz w:val="16"/>
                <w:szCs w:val="16"/>
              </w:rPr>
            </w:pPr>
          </w:p>
        </w:tc>
        <w:tc>
          <w:tcPr>
            <w:tcW w:w="428" w:type="dxa"/>
          </w:tcPr>
          <w:p w14:paraId="45179C20" w14:textId="77777777" w:rsidR="002B04EB" w:rsidRPr="003F7F6C" w:rsidRDefault="002B04EB" w:rsidP="00B851B7">
            <w:pPr>
              <w:rPr>
                <w:rFonts w:cs="Calibri"/>
                <w:sz w:val="16"/>
                <w:szCs w:val="16"/>
              </w:rPr>
            </w:pPr>
          </w:p>
        </w:tc>
        <w:tc>
          <w:tcPr>
            <w:tcW w:w="428" w:type="dxa"/>
          </w:tcPr>
          <w:p w14:paraId="35CD58F5" w14:textId="77777777" w:rsidR="002B04EB" w:rsidRPr="003F7F6C" w:rsidRDefault="002B04EB" w:rsidP="00B851B7">
            <w:pPr>
              <w:rPr>
                <w:rFonts w:cs="Calibri"/>
                <w:sz w:val="16"/>
                <w:szCs w:val="16"/>
              </w:rPr>
            </w:pPr>
          </w:p>
        </w:tc>
        <w:tc>
          <w:tcPr>
            <w:tcW w:w="428" w:type="dxa"/>
          </w:tcPr>
          <w:p w14:paraId="21DA86F9" w14:textId="77777777" w:rsidR="002B04EB" w:rsidRPr="003F7F6C" w:rsidRDefault="002B04EB" w:rsidP="00B851B7">
            <w:pPr>
              <w:rPr>
                <w:rFonts w:cs="Calibri"/>
                <w:sz w:val="16"/>
                <w:szCs w:val="16"/>
              </w:rPr>
            </w:pPr>
          </w:p>
        </w:tc>
        <w:tc>
          <w:tcPr>
            <w:tcW w:w="428" w:type="dxa"/>
            <w:gridSpan w:val="2"/>
          </w:tcPr>
          <w:p w14:paraId="5778BB5F" w14:textId="77777777" w:rsidR="002B04EB" w:rsidRPr="003F7F6C" w:rsidRDefault="002B04EB" w:rsidP="00B851B7">
            <w:pPr>
              <w:rPr>
                <w:rFonts w:cs="Calibri"/>
                <w:sz w:val="16"/>
                <w:szCs w:val="16"/>
              </w:rPr>
            </w:pPr>
          </w:p>
        </w:tc>
        <w:tc>
          <w:tcPr>
            <w:tcW w:w="428" w:type="dxa"/>
          </w:tcPr>
          <w:p w14:paraId="4DB91F33" w14:textId="77777777" w:rsidR="002B04EB" w:rsidRPr="003F7F6C" w:rsidRDefault="002B04EB" w:rsidP="00B851B7">
            <w:pPr>
              <w:rPr>
                <w:rFonts w:cs="Calibri"/>
                <w:sz w:val="16"/>
                <w:szCs w:val="16"/>
              </w:rPr>
            </w:pPr>
          </w:p>
        </w:tc>
        <w:tc>
          <w:tcPr>
            <w:tcW w:w="428" w:type="dxa"/>
          </w:tcPr>
          <w:p w14:paraId="51EED2C0" w14:textId="77777777" w:rsidR="002B04EB" w:rsidRPr="003F7F6C" w:rsidRDefault="002B04EB" w:rsidP="00B851B7">
            <w:pPr>
              <w:rPr>
                <w:rFonts w:cs="Calibri"/>
                <w:sz w:val="16"/>
                <w:szCs w:val="16"/>
              </w:rPr>
            </w:pPr>
          </w:p>
        </w:tc>
        <w:tc>
          <w:tcPr>
            <w:tcW w:w="428" w:type="dxa"/>
          </w:tcPr>
          <w:p w14:paraId="5217E6D1" w14:textId="77777777" w:rsidR="002B04EB" w:rsidRPr="003F7F6C" w:rsidRDefault="002B04EB" w:rsidP="00B851B7">
            <w:pPr>
              <w:rPr>
                <w:rFonts w:cs="Calibri"/>
                <w:sz w:val="16"/>
                <w:szCs w:val="16"/>
              </w:rPr>
            </w:pPr>
          </w:p>
        </w:tc>
        <w:tc>
          <w:tcPr>
            <w:tcW w:w="428" w:type="dxa"/>
          </w:tcPr>
          <w:p w14:paraId="79FEBC4F" w14:textId="77777777" w:rsidR="002B04EB" w:rsidRPr="003F7F6C" w:rsidRDefault="002B04EB" w:rsidP="00B851B7">
            <w:pPr>
              <w:rPr>
                <w:rFonts w:cs="Calibri"/>
                <w:sz w:val="16"/>
                <w:szCs w:val="16"/>
              </w:rPr>
            </w:pPr>
          </w:p>
        </w:tc>
      </w:tr>
      <w:tr w:rsidR="002B04EB" w:rsidRPr="003F7F6C" w14:paraId="30118A65" w14:textId="77777777" w:rsidTr="00B851B7">
        <w:tc>
          <w:tcPr>
            <w:tcW w:w="1668" w:type="dxa"/>
          </w:tcPr>
          <w:p w14:paraId="40902C0C" w14:textId="77777777" w:rsidR="002B04EB" w:rsidRPr="003F7F6C" w:rsidRDefault="002B04EB" w:rsidP="00E91275">
            <w:pPr>
              <w:pStyle w:val="ListParagraph"/>
              <w:numPr>
                <w:ilvl w:val="0"/>
                <w:numId w:val="29"/>
              </w:numPr>
              <w:spacing w:after="0"/>
              <w:ind w:left="174" w:hanging="174"/>
              <w:contextualSpacing w:val="0"/>
              <w:rPr>
                <w:rFonts w:cs="Calibri"/>
                <w:sz w:val="16"/>
                <w:szCs w:val="16"/>
              </w:rPr>
            </w:pPr>
            <w:r w:rsidRPr="003F7F6C">
              <w:rPr>
                <w:rFonts w:cs="Calibri"/>
                <w:sz w:val="16"/>
                <w:szCs w:val="16"/>
              </w:rPr>
              <w:t>Assess enforcement of Law 6080</w:t>
            </w:r>
          </w:p>
        </w:tc>
        <w:tc>
          <w:tcPr>
            <w:tcW w:w="1057" w:type="dxa"/>
          </w:tcPr>
          <w:p w14:paraId="75F6A352" w14:textId="77777777" w:rsidR="002B04EB" w:rsidRPr="003F7F6C" w:rsidRDefault="002B04EB" w:rsidP="00B851B7">
            <w:pPr>
              <w:rPr>
                <w:rFonts w:cs="Calibri"/>
                <w:sz w:val="16"/>
                <w:szCs w:val="16"/>
              </w:rPr>
            </w:pPr>
            <w:r w:rsidRPr="003F7F6C">
              <w:rPr>
                <w:rFonts w:cs="Calibri"/>
                <w:sz w:val="16"/>
                <w:szCs w:val="16"/>
              </w:rPr>
              <w:t>Ministry of Environment</w:t>
            </w:r>
          </w:p>
        </w:tc>
        <w:tc>
          <w:tcPr>
            <w:tcW w:w="428" w:type="dxa"/>
          </w:tcPr>
          <w:p w14:paraId="11E46E43" w14:textId="77777777" w:rsidR="002B04EB" w:rsidRPr="003F7F6C" w:rsidRDefault="002B04EB" w:rsidP="00B851B7"/>
        </w:tc>
        <w:tc>
          <w:tcPr>
            <w:tcW w:w="444" w:type="dxa"/>
          </w:tcPr>
          <w:p w14:paraId="0366C25B" w14:textId="77777777" w:rsidR="002B04EB" w:rsidRPr="003F7F6C" w:rsidRDefault="002B04EB" w:rsidP="00B851B7">
            <w:r w:rsidRPr="003F7F6C">
              <w:rPr>
                <w:rFonts w:cs="Calibri"/>
                <w:sz w:val="16"/>
                <w:szCs w:val="16"/>
              </w:rPr>
              <w:t>X</w:t>
            </w:r>
          </w:p>
        </w:tc>
        <w:tc>
          <w:tcPr>
            <w:tcW w:w="428" w:type="dxa"/>
          </w:tcPr>
          <w:p w14:paraId="183AD183" w14:textId="77777777" w:rsidR="002B04EB" w:rsidRPr="003F7F6C" w:rsidRDefault="002B04EB" w:rsidP="00B851B7">
            <w:r w:rsidRPr="003F7F6C">
              <w:rPr>
                <w:rFonts w:cs="Calibri"/>
                <w:sz w:val="16"/>
                <w:szCs w:val="16"/>
              </w:rPr>
              <w:t>X</w:t>
            </w:r>
          </w:p>
        </w:tc>
        <w:tc>
          <w:tcPr>
            <w:tcW w:w="428" w:type="dxa"/>
            <w:gridSpan w:val="2"/>
          </w:tcPr>
          <w:p w14:paraId="238447C3" w14:textId="77777777" w:rsidR="002B04EB" w:rsidRPr="003F7F6C" w:rsidRDefault="002B04EB" w:rsidP="00B851B7">
            <w:r w:rsidRPr="003F7F6C">
              <w:rPr>
                <w:rFonts w:cs="Calibri"/>
                <w:sz w:val="16"/>
                <w:szCs w:val="16"/>
              </w:rPr>
              <w:t>X</w:t>
            </w:r>
          </w:p>
        </w:tc>
        <w:tc>
          <w:tcPr>
            <w:tcW w:w="428" w:type="dxa"/>
          </w:tcPr>
          <w:p w14:paraId="24C1CE05" w14:textId="77777777" w:rsidR="002B04EB" w:rsidRPr="003F7F6C" w:rsidRDefault="002B04EB" w:rsidP="00B851B7">
            <w:r w:rsidRPr="003F7F6C">
              <w:rPr>
                <w:rFonts w:cs="Calibri"/>
                <w:sz w:val="16"/>
                <w:szCs w:val="16"/>
              </w:rPr>
              <w:t>X</w:t>
            </w:r>
          </w:p>
        </w:tc>
        <w:tc>
          <w:tcPr>
            <w:tcW w:w="427" w:type="dxa"/>
          </w:tcPr>
          <w:p w14:paraId="3A0968EA" w14:textId="77777777" w:rsidR="002B04EB" w:rsidRPr="003F7F6C" w:rsidRDefault="002B04EB" w:rsidP="00B851B7">
            <w:r w:rsidRPr="003F7F6C">
              <w:rPr>
                <w:rFonts w:cs="Calibri"/>
                <w:sz w:val="16"/>
                <w:szCs w:val="16"/>
              </w:rPr>
              <w:t>X</w:t>
            </w:r>
          </w:p>
        </w:tc>
        <w:tc>
          <w:tcPr>
            <w:tcW w:w="427" w:type="dxa"/>
          </w:tcPr>
          <w:p w14:paraId="160A9D58" w14:textId="77777777" w:rsidR="002B04EB" w:rsidRPr="003F7F6C" w:rsidRDefault="002B04EB" w:rsidP="00B851B7">
            <w:r w:rsidRPr="003F7F6C">
              <w:rPr>
                <w:rFonts w:cs="Calibri"/>
                <w:sz w:val="16"/>
                <w:szCs w:val="16"/>
              </w:rPr>
              <w:t>X</w:t>
            </w:r>
          </w:p>
        </w:tc>
        <w:tc>
          <w:tcPr>
            <w:tcW w:w="427" w:type="dxa"/>
            <w:gridSpan w:val="2"/>
          </w:tcPr>
          <w:p w14:paraId="3043059F" w14:textId="77777777" w:rsidR="002B04EB" w:rsidRPr="003F7F6C" w:rsidRDefault="002B04EB" w:rsidP="00B851B7">
            <w:r w:rsidRPr="003F7F6C">
              <w:rPr>
                <w:rFonts w:cs="Calibri"/>
                <w:sz w:val="16"/>
                <w:szCs w:val="16"/>
              </w:rPr>
              <w:t>X</w:t>
            </w:r>
          </w:p>
        </w:tc>
        <w:tc>
          <w:tcPr>
            <w:tcW w:w="428" w:type="dxa"/>
          </w:tcPr>
          <w:p w14:paraId="163B77A3" w14:textId="77777777" w:rsidR="002B04EB" w:rsidRPr="003F7F6C" w:rsidRDefault="002B04EB" w:rsidP="00B851B7">
            <w:r w:rsidRPr="003F7F6C">
              <w:rPr>
                <w:rFonts w:cs="Calibri"/>
                <w:sz w:val="16"/>
                <w:szCs w:val="16"/>
              </w:rPr>
              <w:t>X</w:t>
            </w:r>
          </w:p>
        </w:tc>
        <w:tc>
          <w:tcPr>
            <w:tcW w:w="428" w:type="dxa"/>
          </w:tcPr>
          <w:p w14:paraId="026957A6" w14:textId="77777777" w:rsidR="002B04EB" w:rsidRPr="003F7F6C" w:rsidRDefault="002B04EB" w:rsidP="00B851B7">
            <w:r w:rsidRPr="003F7F6C">
              <w:rPr>
                <w:rFonts w:cs="Calibri"/>
                <w:sz w:val="16"/>
                <w:szCs w:val="16"/>
              </w:rPr>
              <w:t>X</w:t>
            </w:r>
          </w:p>
        </w:tc>
        <w:tc>
          <w:tcPr>
            <w:tcW w:w="428" w:type="dxa"/>
          </w:tcPr>
          <w:p w14:paraId="1E542DF5" w14:textId="77777777" w:rsidR="002B04EB" w:rsidRPr="003F7F6C" w:rsidRDefault="002B04EB" w:rsidP="00B851B7">
            <w:r w:rsidRPr="003F7F6C">
              <w:rPr>
                <w:rFonts w:cs="Calibri"/>
                <w:sz w:val="16"/>
                <w:szCs w:val="16"/>
              </w:rPr>
              <w:t>X</w:t>
            </w:r>
          </w:p>
        </w:tc>
        <w:tc>
          <w:tcPr>
            <w:tcW w:w="428" w:type="dxa"/>
            <w:gridSpan w:val="2"/>
          </w:tcPr>
          <w:p w14:paraId="1E73E1C1" w14:textId="77777777" w:rsidR="002B04EB" w:rsidRPr="003F7F6C" w:rsidRDefault="002B04EB" w:rsidP="00B851B7">
            <w:r w:rsidRPr="003F7F6C">
              <w:rPr>
                <w:rFonts w:cs="Calibri"/>
                <w:sz w:val="16"/>
                <w:szCs w:val="16"/>
              </w:rPr>
              <w:t>X</w:t>
            </w:r>
          </w:p>
        </w:tc>
        <w:tc>
          <w:tcPr>
            <w:tcW w:w="428" w:type="dxa"/>
          </w:tcPr>
          <w:p w14:paraId="5EA87A1C" w14:textId="77777777" w:rsidR="002B04EB" w:rsidRPr="003F7F6C" w:rsidRDefault="002B04EB" w:rsidP="00B851B7">
            <w:pPr>
              <w:rPr>
                <w:rFonts w:cs="Calibri"/>
                <w:sz w:val="16"/>
                <w:szCs w:val="16"/>
              </w:rPr>
            </w:pPr>
          </w:p>
        </w:tc>
        <w:tc>
          <w:tcPr>
            <w:tcW w:w="428" w:type="dxa"/>
          </w:tcPr>
          <w:p w14:paraId="00616B94" w14:textId="77777777" w:rsidR="002B04EB" w:rsidRPr="003F7F6C" w:rsidRDefault="002B04EB" w:rsidP="00B851B7">
            <w:pPr>
              <w:rPr>
                <w:rFonts w:cs="Calibri"/>
                <w:sz w:val="16"/>
                <w:szCs w:val="16"/>
              </w:rPr>
            </w:pPr>
          </w:p>
        </w:tc>
        <w:tc>
          <w:tcPr>
            <w:tcW w:w="428" w:type="dxa"/>
          </w:tcPr>
          <w:p w14:paraId="3468B35B" w14:textId="77777777" w:rsidR="002B04EB" w:rsidRPr="003F7F6C" w:rsidRDefault="002B04EB" w:rsidP="00B851B7">
            <w:pPr>
              <w:rPr>
                <w:rFonts w:cs="Calibri"/>
                <w:sz w:val="16"/>
                <w:szCs w:val="16"/>
              </w:rPr>
            </w:pPr>
          </w:p>
        </w:tc>
        <w:tc>
          <w:tcPr>
            <w:tcW w:w="428" w:type="dxa"/>
            <w:gridSpan w:val="2"/>
          </w:tcPr>
          <w:p w14:paraId="2FB57271" w14:textId="77777777" w:rsidR="002B04EB" w:rsidRPr="003F7F6C" w:rsidRDefault="002B04EB" w:rsidP="00B851B7">
            <w:pPr>
              <w:rPr>
                <w:rFonts w:cs="Calibri"/>
                <w:sz w:val="16"/>
                <w:szCs w:val="16"/>
              </w:rPr>
            </w:pPr>
          </w:p>
        </w:tc>
        <w:tc>
          <w:tcPr>
            <w:tcW w:w="428" w:type="dxa"/>
          </w:tcPr>
          <w:p w14:paraId="5EF42CBE" w14:textId="77777777" w:rsidR="002B04EB" w:rsidRPr="003F7F6C" w:rsidRDefault="002B04EB" w:rsidP="00B851B7">
            <w:pPr>
              <w:rPr>
                <w:rFonts w:cs="Calibri"/>
                <w:sz w:val="16"/>
                <w:szCs w:val="16"/>
              </w:rPr>
            </w:pPr>
          </w:p>
        </w:tc>
        <w:tc>
          <w:tcPr>
            <w:tcW w:w="428" w:type="dxa"/>
          </w:tcPr>
          <w:p w14:paraId="5865711B" w14:textId="77777777" w:rsidR="002B04EB" w:rsidRPr="003F7F6C" w:rsidRDefault="002B04EB" w:rsidP="00B851B7">
            <w:pPr>
              <w:rPr>
                <w:rFonts w:cs="Calibri"/>
                <w:sz w:val="16"/>
                <w:szCs w:val="16"/>
              </w:rPr>
            </w:pPr>
          </w:p>
        </w:tc>
        <w:tc>
          <w:tcPr>
            <w:tcW w:w="428" w:type="dxa"/>
          </w:tcPr>
          <w:p w14:paraId="46B0EADB" w14:textId="77777777" w:rsidR="002B04EB" w:rsidRPr="003F7F6C" w:rsidRDefault="002B04EB" w:rsidP="00B851B7">
            <w:pPr>
              <w:rPr>
                <w:rFonts w:cs="Calibri"/>
                <w:sz w:val="16"/>
                <w:szCs w:val="16"/>
              </w:rPr>
            </w:pPr>
          </w:p>
        </w:tc>
        <w:tc>
          <w:tcPr>
            <w:tcW w:w="428" w:type="dxa"/>
            <w:gridSpan w:val="2"/>
          </w:tcPr>
          <w:p w14:paraId="0C2EA96E" w14:textId="77777777" w:rsidR="002B04EB" w:rsidRPr="003F7F6C" w:rsidRDefault="002B04EB" w:rsidP="00B851B7">
            <w:pPr>
              <w:rPr>
                <w:rFonts w:cs="Calibri"/>
                <w:sz w:val="16"/>
                <w:szCs w:val="16"/>
              </w:rPr>
            </w:pPr>
          </w:p>
        </w:tc>
        <w:tc>
          <w:tcPr>
            <w:tcW w:w="428" w:type="dxa"/>
          </w:tcPr>
          <w:p w14:paraId="75269A94" w14:textId="77777777" w:rsidR="002B04EB" w:rsidRPr="003F7F6C" w:rsidRDefault="002B04EB" w:rsidP="00B851B7">
            <w:pPr>
              <w:rPr>
                <w:rFonts w:cs="Calibri"/>
                <w:sz w:val="16"/>
                <w:szCs w:val="16"/>
              </w:rPr>
            </w:pPr>
          </w:p>
        </w:tc>
        <w:tc>
          <w:tcPr>
            <w:tcW w:w="428" w:type="dxa"/>
          </w:tcPr>
          <w:p w14:paraId="650513C1" w14:textId="77777777" w:rsidR="002B04EB" w:rsidRPr="003F7F6C" w:rsidRDefault="002B04EB" w:rsidP="00B851B7">
            <w:pPr>
              <w:rPr>
                <w:rFonts w:cs="Calibri"/>
                <w:sz w:val="16"/>
                <w:szCs w:val="16"/>
              </w:rPr>
            </w:pPr>
          </w:p>
        </w:tc>
        <w:tc>
          <w:tcPr>
            <w:tcW w:w="428" w:type="dxa"/>
          </w:tcPr>
          <w:p w14:paraId="0ED3B3D9" w14:textId="77777777" w:rsidR="002B04EB" w:rsidRPr="003F7F6C" w:rsidRDefault="002B04EB" w:rsidP="00B851B7">
            <w:pPr>
              <w:rPr>
                <w:rFonts w:cs="Calibri"/>
                <w:sz w:val="16"/>
                <w:szCs w:val="16"/>
              </w:rPr>
            </w:pPr>
          </w:p>
        </w:tc>
        <w:tc>
          <w:tcPr>
            <w:tcW w:w="428" w:type="dxa"/>
          </w:tcPr>
          <w:p w14:paraId="6AA7526A" w14:textId="77777777" w:rsidR="002B04EB" w:rsidRPr="003F7F6C" w:rsidRDefault="002B04EB" w:rsidP="00B851B7">
            <w:pPr>
              <w:rPr>
                <w:rFonts w:cs="Calibri"/>
                <w:sz w:val="16"/>
                <w:szCs w:val="16"/>
              </w:rPr>
            </w:pPr>
          </w:p>
        </w:tc>
      </w:tr>
      <w:tr w:rsidR="002B04EB" w:rsidRPr="003F7F6C" w14:paraId="527836E3" w14:textId="77777777" w:rsidTr="00B851B7">
        <w:tc>
          <w:tcPr>
            <w:tcW w:w="1668" w:type="dxa"/>
          </w:tcPr>
          <w:p w14:paraId="2BF70F06" w14:textId="77777777" w:rsidR="002B04EB" w:rsidRPr="003F7F6C" w:rsidRDefault="002B04EB" w:rsidP="00E91275">
            <w:pPr>
              <w:pStyle w:val="ListParagraph"/>
              <w:numPr>
                <w:ilvl w:val="0"/>
                <w:numId w:val="29"/>
              </w:numPr>
              <w:spacing w:after="0"/>
              <w:ind w:left="174" w:hanging="174"/>
              <w:contextualSpacing w:val="0"/>
              <w:rPr>
                <w:rFonts w:cs="Calibri"/>
                <w:sz w:val="16"/>
                <w:szCs w:val="16"/>
              </w:rPr>
            </w:pPr>
            <w:r w:rsidRPr="003F7F6C">
              <w:rPr>
                <w:rFonts w:cs="Calibri"/>
                <w:sz w:val="16"/>
                <w:szCs w:val="16"/>
              </w:rPr>
              <w:t>Develop proposal for management plan</w:t>
            </w:r>
          </w:p>
        </w:tc>
        <w:tc>
          <w:tcPr>
            <w:tcW w:w="1057" w:type="dxa"/>
          </w:tcPr>
          <w:p w14:paraId="400813D9" w14:textId="77777777" w:rsidR="002B04EB" w:rsidRPr="003F7F6C" w:rsidRDefault="002B04EB" w:rsidP="00B851B7">
            <w:pPr>
              <w:rPr>
                <w:rFonts w:cs="Calibri"/>
                <w:sz w:val="16"/>
                <w:szCs w:val="16"/>
              </w:rPr>
            </w:pPr>
            <w:r w:rsidRPr="003F7F6C">
              <w:rPr>
                <w:rFonts w:cs="Calibri"/>
                <w:sz w:val="16"/>
                <w:szCs w:val="16"/>
              </w:rPr>
              <w:t>Ministry of Environment</w:t>
            </w:r>
          </w:p>
        </w:tc>
        <w:tc>
          <w:tcPr>
            <w:tcW w:w="428" w:type="dxa"/>
          </w:tcPr>
          <w:p w14:paraId="10EE4E4A" w14:textId="77777777" w:rsidR="002B04EB" w:rsidRPr="003F7F6C" w:rsidRDefault="002B04EB" w:rsidP="00B851B7"/>
        </w:tc>
        <w:tc>
          <w:tcPr>
            <w:tcW w:w="444" w:type="dxa"/>
          </w:tcPr>
          <w:p w14:paraId="213E3A49" w14:textId="77777777" w:rsidR="002B04EB" w:rsidRPr="003F7F6C" w:rsidRDefault="002B04EB" w:rsidP="00B851B7">
            <w:r w:rsidRPr="003F7F6C">
              <w:rPr>
                <w:rFonts w:cs="Calibri"/>
                <w:sz w:val="16"/>
                <w:szCs w:val="16"/>
              </w:rPr>
              <w:t>X</w:t>
            </w:r>
          </w:p>
        </w:tc>
        <w:tc>
          <w:tcPr>
            <w:tcW w:w="428" w:type="dxa"/>
          </w:tcPr>
          <w:p w14:paraId="6B4ECE58" w14:textId="77777777" w:rsidR="002B04EB" w:rsidRPr="003F7F6C" w:rsidRDefault="002B04EB" w:rsidP="00B851B7">
            <w:r w:rsidRPr="003F7F6C">
              <w:rPr>
                <w:rFonts w:cs="Calibri"/>
                <w:sz w:val="16"/>
                <w:szCs w:val="16"/>
              </w:rPr>
              <w:t>X</w:t>
            </w:r>
          </w:p>
        </w:tc>
        <w:tc>
          <w:tcPr>
            <w:tcW w:w="428" w:type="dxa"/>
            <w:gridSpan w:val="2"/>
          </w:tcPr>
          <w:p w14:paraId="494EFF47" w14:textId="77777777" w:rsidR="002B04EB" w:rsidRPr="003F7F6C" w:rsidRDefault="002B04EB" w:rsidP="00B851B7">
            <w:r w:rsidRPr="003F7F6C">
              <w:rPr>
                <w:rFonts w:cs="Calibri"/>
                <w:sz w:val="16"/>
                <w:szCs w:val="16"/>
              </w:rPr>
              <w:t>X</w:t>
            </w:r>
          </w:p>
        </w:tc>
        <w:tc>
          <w:tcPr>
            <w:tcW w:w="428" w:type="dxa"/>
          </w:tcPr>
          <w:p w14:paraId="76A423A0" w14:textId="77777777" w:rsidR="002B04EB" w:rsidRPr="003F7F6C" w:rsidRDefault="002B04EB" w:rsidP="00B851B7">
            <w:r w:rsidRPr="003F7F6C">
              <w:rPr>
                <w:rFonts w:cs="Calibri"/>
                <w:sz w:val="16"/>
                <w:szCs w:val="16"/>
              </w:rPr>
              <w:t>X</w:t>
            </w:r>
          </w:p>
        </w:tc>
        <w:tc>
          <w:tcPr>
            <w:tcW w:w="427" w:type="dxa"/>
          </w:tcPr>
          <w:p w14:paraId="11F7B35B" w14:textId="77777777" w:rsidR="002B04EB" w:rsidRPr="003F7F6C" w:rsidRDefault="002B04EB" w:rsidP="00B851B7">
            <w:r w:rsidRPr="003F7F6C">
              <w:rPr>
                <w:rFonts w:cs="Calibri"/>
                <w:sz w:val="16"/>
                <w:szCs w:val="16"/>
              </w:rPr>
              <w:t>X</w:t>
            </w:r>
          </w:p>
        </w:tc>
        <w:tc>
          <w:tcPr>
            <w:tcW w:w="427" w:type="dxa"/>
          </w:tcPr>
          <w:p w14:paraId="66A851D8" w14:textId="77777777" w:rsidR="002B04EB" w:rsidRPr="003F7F6C" w:rsidRDefault="002B04EB" w:rsidP="00B851B7">
            <w:r w:rsidRPr="003F7F6C">
              <w:rPr>
                <w:rFonts w:cs="Calibri"/>
                <w:sz w:val="16"/>
                <w:szCs w:val="16"/>
              </w:rPr>
              <w:t>X</w:t>
            </w:r>
          </w:p>
        </w:tc>
        <w:tc>
          <w:tcPr>
            <w:tcW w:w="427" w:type="dxa"/>
            <w:gridSpan w:val="2"/>
          </w:tcPr>
          <w:p w14:paraId="6258B69D" w14:textId="77777777" w:rsidR="002B04EB" w:rsidRPr="003F7F6C" w:rsidRDefault="002B04EB" w:rsidP="00B851B7">
            <w:r w:rsidRPr="003F7F6C">
              <w:rPr>
                <w:rFonts w:cs="Calibri"/>
                <w:sz w:val="16"/>
                <w:szCs w:val="16"/>
              </w:rPr>
              <w:t>X</w:t>
            </w:r>
          </w:p>
        </w:tc>
        <w:tc>
          <w:tcPr>
            <w:tcW w:w="428" w:type="dxa"/>
          </w:tcPr>
          <w:p w14:paraId="00629B80" w14:textId="77777777" w:rsidR="002B04EB" w:rsidRPr="003F7F6C" w:rsidRDefault="002B04EB" w:rsidP="00B851B7">
            <w:r w:rsidRPr="003F7F6C">
              <w:rPr>
                <w:rFonts w:cs="Calibri"/>
                <w:sz w:val="16"/>
                <w:szCs w:val="16"/>
              </w:rPr>
              <w:t>X</w:t>
            </w:r>
          </w:p>
        </w:tc>
        <w:tc>
          <w:tcPr>
            <w:tcW w:w="428" w:type="dxa"/>
          </w:tcPr>
          <w:p w14:paraId="61F437A5" w14:textId="77777777" w:rsidR="002B04EB" w:rsidRPr="003F7F6C" w:rsidRDefault="002B04EB" w:rsidP="00B851B7">
            <w:r w:rsidRPr="003F7F6C">
              <w:rPr>
                <w:rFonts w:cs="Calibri"/>
                <w:sz w:val="16"/>
                <w:szCs w:val="16"/>
              </w:rPr>
              <w:t>X</w:t>
            </w:r>
          </w:p>
        </w:tc>
        <w:tc>
          <w:tcPr>
            <w:tcW w:w="428" w:type="dxa"/>
          </w:tcPr>
          <w:p w14:paraId="71078CFB" w14:textId="77777777" w:rsidR="002B04EB" w:rsidRPr="003F7F6C" w:rsidRDefault="002B04EB" w:rsidP="00B851B7">
            <w:r w:rsidRPr="003F7F6C">
              <w:rPr>
                <w:rFonts w:cs="Calibri"/>
                <w:sz w:val="16"/>
                <w:szCs w:val="16"/>
              </w:rPr>
              <w:t>X</w:t>
            </w:r>
          </w:p>
        </w:tc>
        <w:tc>
          <w:tcPr>
            <w:tcW w:w="428" w:type="dxa"/>
            <w:gridSpan w:val="2"/>
          </w:tcPr>
          <w:p w14:paraId="49B871D1" w14:textId="77777777" w:rsidR="002B04EB" w:rsidRPr="003F7F6C" w:rsidRDefault="002B04EB" w:rsidP="00B851B7">
            <w:r w:rsidRPr="003F7F6C">
              <w:rPr>
                <w:rFonts w:cs="Calibri"/>
                <w:sz w:val="16"/>
                <w:szCs w:val="16"/>
              </w:rPr>
              <w:t>X</w:t>
            </w:r>
          </w:p>
        </w:tc>
        <w:tc>
          <w:tcPr>
            <w:tcW w:w="428" w:type="dxa"/>
          </w:tcPr>
          <w:p w14:paraId="43F349D9" w14:textId="77777777" w:rsidR="002B04EB" w:rsidRPr="003F7F6C" w:rsidRDefault="002B04EB" w:rsidP="00B851B7">
            <w:pPr>
              <w:rPr>
                <w:rFonts w:cs="Calibri"/>
                <w:sz w:val="16"/>
                <w:szCs w:val="16"/>
              </w:rPr>
            </w:pPr>
          </w:p>
        </w:tc>
        <w:tc>
          <w:tcPr>
            <w:tcW w:w="428" w:type="dxa"/>
          </w:tcPr>
          <w:p w14:paraId="6764EB63" w14:textId="77777777" w:rsidR="002B04EB" w:rsidRPr="003F7F6C" w:rsidRDefault="002B04EB" w:rsidP="00B851B7">
            <w:pPr>
              <w:rPr>
                <w:rFonts w:cs="Calibri"/>
                <w:sz w:val="16"/>
                <w:szCs w:val="16"/>
              </w:rPr>
            </w:pPr>
          </w:p>
        </w:tc>
        <w:tc>
          <w:tcPr>
            <w:tcW w:w="428" w:type="dxa"/>
          </w:tcPr>
          <w:p w14:paraId="25A721D6" w14:textId="77777777" w:rsidR="002B04EB" w:rsidRPr="003F7F6C" w:rsidRDefault="002B04EB" w:rsidP="00B851B7">
            <w:pPr>
              <w:rPr>
                <w:rFonts w:cs="Calibri"/>
                <w:sz w:val="16"/>
                <w:szCs w:val="16"/>
              </w:rPr>
            </w:pPr>
          </w:p>
        </w:tc>
        <w:tc>
          <w:tcPr>
            <w:tcW w:w="428" w:type="dxa"/>
            <w:gridSpan w:val="2"/>
          </w:tcPr>
          <w:p w14:paraId="17C9E5A9" w14:textId="77777777" w:rsidR="002B04EB" w:rsidRPr="003F7F6C" w:rsidRDefault="002B04EB" w:rsidP="00B851B7">
            <w:pPr>
              <w:rPr>
                <w:rFonts w:cs="Calibri"/>
                <w:sz w:val="16"/>
                <w:szCs w:val="16"/>
              </w:rPr>
            </w:pPr>
          </w:p>
        </w:tc>
        <w:tc>
          <w:tcPr>
            <w:tcW w:w="428" w:type="dxa"/>
          </w:tcPr>
          <w:p w14:paraId="377C52D8" w14:textId="77777777" w:rsidR="002B04EB" w:rsidRPr="003F7F6C" w:rsidRDefault="002B04EB" w:rsidP="00B851B7">
            <w:pPr>
              <w:rPr>
                <w:rFonts w:cs="Calibri"/>
                <w:sz w:val="16"/>
                <w:szCs w:val="16"/>
              </w:rPr>
            </w:pPr>
          </w:p>
        </w:tc>
        <w:tc>
          <w:tcPr>
            <w:tcW w:w="428" w:type="dxa"/>
          </w:tcPr>
          <w:p w14:paraId="37830921" w14:textId="77777777" w:rsidR="002B04EB" w:rsidRPr="003F7F6C" w:rsidRDefault="002B04EB" w:rsidP="00B851B7">
            <w:pPr>
              <w:rPr>
                <w:rFonts w:cs="Calibri"/>
                <w:sz w:val="16"/>
                <w:szCs w:val="16"/>
              </w:rPr>
            </w:pPr>
          </w:p>
        </w:tc>
        <w:tc>
          <w:tcPr>
            <w:tcW w:w="428" w:type="dxa"/>
          </w:tcPr>
          <w:p w14:paraId="3901F69A" w14:textId="77777777" w:rsidR="002B04EB" w:rsidRPr="003F7F6C" w:rsidRDefault="002B04EB" w:rsidP="00B851B7">
            <w:pPr>
              <w:rPr>
                <w:rFonts w:cs="Calibri"/>
                <w:sz w:val="16"/>
                <w:szCs w:val="16"/>
              </w:rPr>
            </w:pPr>
          </w:p>
        </w:tc>
        <w:tc>
          <w:tcPr>
            <w:tcW w:w="428" w:type="dxa"/>
            <w:gridSpan w:val="2"/>
          </w:tcPr>
          <w:p w14:paraId="1B5E53F4" w14:textId="77777777" w:rsidR="002B04EB" w:rsidRPr="003F7F6C" w:rsidRDefault="002B04EB" w:rsidP="00B851B7">
            <w:pPr>
              <w:rPr>
                <w:rFonts w:cs="Calibri"/>
                <w:sz w:val="16"/>
                <w:szCs w:val="16"/>
              </w:rPr>
            </w:pPr>
          </w:p>
        </w:tc>
        <w:tc>
          <w:tcPr>
            <w:tcW w:w="428" w:type="dxa"/>
          </w:tcPr>
          <w:p w14:paraId="0CC78199" w14:textId="77777777" w:rsidR="002B04EB" w:rsidRPr="003F7F6C" w:rsidRDefault="002B04EB" w:rsidP="00B851B7">
            <w:pPr>
              <w:rPr>
                <w:rFonts w:cs="Calibri"/>
                <w:sz w:val="16"/>
                <w:szCs w:val="16"/>
              </w:rPr>
            </w:pPr>
          </w:p>
        </w:tc>
        <w:tc>
          <w:tcPr>
            <w:tcW w:w="428" w:type="dxa"/>
          </w:tcPr>
          <w:p w14:paraId="5CC388C5" w14:textId="77777777" w:rsidR="002B04EB" w:rsidRPr="003F7F6C" w:rsidRDefault="002B04EB" w:rsidP="00B851B7">
            <w:pPr>
              <w:rPr>
                <w:rFonts w:cs="Calibri"/>
                <w:sz w:val="16"/>
                <w:szCs w:val="16"/>
              </w:rPr>
            </w:pPr>
          </w:p>
        </w:tc>
        <w:tc>
          <w:tcPr>
            <w:tcW w:w="428" w:type="dxa"/>
          </w:tcPr>
          <w:p w14:paraId="5462E4A0" w14:textId="77777777" w:rsidR="002B04EB" w:rsidRPr="003F7F6C" w:rsidRDefault="002B04EB" w:rsidP="00B851B7">
            <w:pPr>
              <w:rPr>
                <w:rFonts w:cs="Calibri"/>
                <w:sz w:val="16"/>
                <w:szCs w:val="16"/>
              </w:rPr>
            </w:pPr>
          </w:p>
        </w:tc>
        <w:tc>
          <w:tcPr>
            <w:tcW w:w="428" w:type="dxa"/>
          </w:tcPr>
          <w:p w14:paraId="70E9C003" w14:textId="77777777" w:rsidR="002B04EB" w:rsidRPr="003F7F6C" w:rsidRDefault="002B04EB" w:rsidP="00B851B7">
            <w:pPr>
              <w:rPr>
                <w:rFonts w:cs="Calibri"/>
                <w:sz w:val="16"/>
                <w:szCs w:val="16"/>
              </w:rPr>
            </w:pPr>
          </w:p>
        </w:tc>
      </w:tr>
      <w:tr w:rsidR="002B04EB" w:rsidRPr="003F7F6C" w14:paraId="5F542099" w14:textId="77777777" w:rsidTr="00B851B7">
        <w:tc>
          <w:tcPr>
            <w:tcW w:w="1668" w:type="dxa"/>
          </w:tcPr>
          <w:p w14:paraId="68DE8FC8" w14:textId="77777777" w:rsidR="002B04EB" w:rsidRPr="003F7F6C" w:rsidRDefault="002B04EB" w:rsidP="00E91275">
            <w:pPr>
              <w:pStyle w:val="ListParagraph"/>
              <w:numPr>
                <w:ilvl w:val="0"/>
                <w:numId w:val="29"/>
              </w:numPr>
              <w:spacing w:after="0"/>
              <w:ind w:left="174" w:hanging="174"/>
              <w:contextualSpacing w:val="0"/>
              <w:rPr>
                <w:rFonts w:cs="Calibri"/>
                <w:sz w:val="16"/>
                <w:szCs w:val="16"/>
              </w:rPr>
            </w:pPr>
            <w:r w:rsidRPr="003F7F6C">
              <w:rPr>
                <w:rFonts w:cs="Calibri"/>
                <w:sz w:val="16"/>
                <w:szCs w:val="16"/>
              </w:rPr>
              <w:t>Implementation of the management plan</w:t>
            </w:r>
          </w:p>
        </w:tc>
        <w:tc>
          <w:tcPr>
            <w:tcW w:w="1057" w:type="dxa"/>
          </w:tcPr>
          <w:p w14:paraId="3D3EEC62" w14:textId="77777777" w:rsidR="002B04EB" w:rsidRPr="003F7F6C" w:rsidRDefault="002B04EB" w:rsidP="00B851B7">
            <w:pPr>
              <w:rPr>
                <w:rFonts w:cs="Calibri"/>
                <w:sz w:val="16"/>
                <w:szCs w:val="16"/>
              </w:rPr>
            </w:pPr>
            <w:r w:rsidRPr="003F7F6C">
              <w:rPr>
                <w:rFonts w:cs="Calibri"/>
                <w:sz w:val="16"/>
                <w:szCs w:val="16"/>
              </w:rPr>
              <w:t>Ministry of Environment</w:t>
            </w:r>
          </w:p>
        </w:tc>
        <w:tc>
          <w:tcPr>
            <w:tcW w:w="428" w:type="dxa"/>
          </w:tcPr>
          <w:p w14:paraId="31FF47B1" w14:textId="77777777" w:rsidR="002B04EB" w:rsidRPr="003F7F6C" w:rsidRDefault="002B04EB" w:rsidP="00B851B7"/>
        </w:tc>
        <w:tc>
          <w:tcPr>
            <w:tcW w:w="444" w:type="dxa"/>
          </w:tcPr>
          <w:p w14:paraId="296E0DD8" w14:textId="77777777" w:rsidR="002B04EB" w:rsidRPr="003F7F6C" w:rsidRDefault="002B04EB" w:rsidP="00B851B7"/>
        </w:tc>
        <w:tc>
          <w:tcPr>
            <w:tcW w:w="428" w:type="dxa"/>
          </w:tcPr>
          <w:p w14:paraId="7E15E850" w14:textId="77777777" w:rsidR="002B04EB" w:rsidRPr="003F7F6C" w:rsidRDefault="002B04EB" w:rsidP="00B851B7"/>
        </w:tc>
        <w:tc>
          <w:tcPr>
            <w:tcW w:w="428" w:type="dxa"/>
            <w:gridSpan w:val="2"/>
          </w:tcPr>
          <w:p w14:paraId="297E44E4" w14:textId="77777777" w:rsidR="002B04EB" w:rsidRPr="003F7F6C" w:rsidRDefault="002B04EB" w:rsidP="00B851B7"/>
        </w:tc>
        <w:tc>
          <w:tcPr>
            <w:tcW w:w="428" w:type="dxa"/>
          </w:tcPr>
          <w:p w14:paraId="6C25B42B" w14:textId="77777777" w:rsidR="002B04EB" w:rsidRPr="003F7F6C" w:rsidRDefault="002B04EB" w:rsidP="00B851B7"/>
        </w:tc>
        <w:tc>
          <w:tcPr>
            <w:tcW w:w="427" w:type="dxa"/>
          </w:tcPr>
          <w:p w14:paraId="7D7DD18D" w14:textId="77777777" w:rsidR="002B04EB" w:rsidRPr="003F7F6C" w:rsidRDefault="002B04EB" w:rsidP="00B851B7">
            <w:r w:rsidRPr="003F7F6C">
              <w:rPr>
                <w:rFonts w:cs="Calibri"/>
                <w:sz w:val="16"/>
                <w:szCs w:val="16"/>
              </w:rPr>
              <w:t>X</w:t>
            </w:r>
          </w:p>
        </w:tc>
        <w:tc>
          <w:tcPr>
            <w:tcW w:w="427" w:type="dxa"/>
          </w:tcPr>
          <w:p w14:paraId="5EDCF8D8" w14:textId="77777777" w:rsidR="002B04EB" w:rsidRPr="003F7F6C" w:rsidRDefault="002B04EB" w:rsidP="00B851B7">
            <w:r w:rsidRPr="003F7F6C">
              <w:rPr>
                <w:rFonts w:cs="Calibri"/>
                <w:sz w:val="16"/>
                <w:szCs w:val="16"/>
              </w:rPr>
              <w:t>X</w:t>
            </w:r>
          </w:p>
        </w:tc>
        <w:tc>
          <w:tcPr>
            <w:tcW w:w="427" w:type="dxa"/>
            <w:gridSpan w:val="2"/>
          </w:tcPr>
          <w:p w14:paraId="5E436297" w14:textId="77777777" w:rsidR="002B04EB" w:rsidRPr="003F7F6C" w:rsidRDefault="002B04EB" w:rsidP="00B851B7">
            <w:r w:rsidRPr="003F7F6C">
              <w:rPr>
                <w:rFonts w:cs="Calibri"/>
                <w:sz w:val="16"/>
                <w:szCs w:val="16"/>
              </w:rPr>
              <w:t>X</w:t>
            </w:r>
          </w:p>
        </w:tc>
        <w:tc>
          <w:tcPr>
            <w:tcW w:w="428" w:type="dxa"/>
          </w:tcPr>
          <w:p w14:paraId="5A2A18D0" w14:textId="77777777" w:rsidR="002B04EB" w:rsidRPr="003F7F6C" w:rsidRDefault="002B04EB" w:rsidP="00B851B7">
            <w:r w:rsidRPr="003F7F6C">
              <w:rPr>
                <w:rFonts w:cs="Calibri"/>
                <w:sz w:val="16"/>
                <w:szCs w:val="16"/>
              </w:rPr>
              <w:t>X</w:t>
            </w:r>
          </w:p>
        </w:tc>
        <w:tc>
          <w:tcPr>
            <w:tcW w:w="428" w:type="dxa"/>
          </w:tcPr>
          <w:p w14:paraId="1C06DB3A" w14:textId="77777777" w:rsidR="002B04EB" w:rsidRPr="003F7F6C" w:rsidRDefault="002B04EB" w:rsidP="00B851B7">
            <w:r w:rsidRPr="003F7F6C">
              <w:rPr>
                <w:rFonts w:cs="Calibri"/>
                <w:sz w:val="16"/>
                <w:szCs w:val="16"/>
              </w:rPr>
              <w:t>X</w:t>
            </w:r>
          </w:p>
        </w:tc>
        <w:tc>
          <w:tcPr>
            <w:tcW w:w="428" w:type="dxa"/>
          </w:tcPr>
          <w:p w14:paraId="4E14F69E" w14:textId="77777777" w:rsidR="002B04EB" w:rsidRPr="003F7F6C" w:rsidRDefault="002B04EB" w:rsidP="00B851B7">
            <w:r w:rsidRPr="003F7F6C">
              <w:rPr>
                <w:rFonts w:cs="Calibri"/>
                <w:sz w:val="16"/>
                <w:szCs w:val="16"/>
              </w:rPr>
              <w:t>X</w:t>
            </w:r>
          </w:p>
        </w:tc>
        <w:tc>
          <w:tcPr>
            <w:tcW w:w="428" w:type="dxa"/>
            <w:gridSpan w:val="2"/>
          </w:tcPr>
          <w:p w14:paraId="1545EE3B" w14:textId="77777777" w:rsidR="002B04EB" w:rsidRPr="003F7F6C" w:rsidRDefault="002B04EB" w:rsidP="00B851B7">
            <w:r w:rsidRPr="003F7F6C">
              <w:rPr>
                <w:rFonts w:cs="Calibri"/>
                <w:sz w:val="16"/>
                <w:szCs w:val="16"/>
              </w:rPr>
              <w:t>X</w:t>
            </w:r>
          </w:p>
        </w:tc>
        <w:tc>
          <w:tcPr>
            <w:tcW w:w="428" w:type="dxa"/>
          </w:tcPr>
          <w:p w14:paraId="36D11750" w14:textId="77777777" w:rsidR="002B04EB" w:rsidRPr="003F7F6C" w:rsidRDefault="002B04EB" w:rsidP="00B851B7">
            <w:r w:rsidRPr="003F7F6C">
              <w:rPr>
                <w:rFonts w:cs="Calibri"/>
                <w:sz w:val="16"/>
                <w:szCs w:val="16"/>
              </w:rPr>
              <w:t>X</w:t>
            </w:r>
          </w:p>
        </w:tc>
        <w:tc>
          <w:tcPr>
            <w:tcW w:w="428" w:type="dxa"/>
          </w:tcPr>
          <w:p w14:paraId="0E7835A7" w14:textId="77777777" w:rsidR="002B04EB" w:rsidRPr="003F7F6C" w:rsidRDefault="002B04EB" w:rsidP="00B851B7">
            <w:r w:rsidRPr="003F7F6C">
              <w:rPr>
                <w:rFonts w:cs="Calibri"/>
                <w:sz w:val="16"/>
                <w:szCs w:val="16"/>
              </w:rPr>
              <w:t>X</w:t>
            </w:r>
          </w:p>
        </w:tc>
        <w:tc>
          <w:tcPr>
            <w:tcW w:w="428" w:type="dxa"/>
          </w:tcPr>
          <w:p w14:paraId="34AEF620" w14:textId="77777777" w:rsidR="002B04EB" w:rsidRPr="003F7F6C" w:rsidRDefault="002B04EB" w:rsidP="00B851B7">
            <w:r w:rsidRPr="003F7F6C">
              <w:rPr>
                <w:rFonts w:cs="Calibri"/>
                <w:sz w:val="16"/>
                <w:szCs w:val="16"/>
              </w:rPr>
              <w:t>X</w:t>
            </w:r>
          </w:p>
        </w:tc>
        <w:tc>
          <w:tcPr>
            <w:tcW w:w="428" w:type="dxa"/>
            <w:gridSpan w:val="2"/>
          </w:tcPr>
          <w:p w14:paraId="3724F4C7" w14:textId="77777777" w:rsidR="002B04EB" w:rsidRPr="003F7F6C" w:rsidRDefault="002B04EB" w:rsidP="00B851B7">
            <w:r w:rsidRPr="003F7F6C">
              <w:rPr>
                <w:rFonts w:cs="Calibri"/>
                <w:sz w:val="16"/>
                <w:szCs w:val="16"/>
              </w:rPr>
              <w:t>X</w:t>
            </w:r>
          </w:p>
        </w:tc>
        <w:tc>
          <w:tcPr>
            <w:tcW w:w="428" w:type="dxa"/>
          </w:tcPr>
          <w:p w14:paraId="1FCF5741" w14:textId="77777777" w:rsidR="002B04EB" w:rsidRPr="003F7F6C" w:rsidRDefault="002B04EB" w:rsidP="00B851B7">
            <w:r w:rsidRPr="003F7F6C">
              <w:rPr>
                <w:rFonts w:cs="Calibri"/>
                <w:sz w:val="16"/>
                <w:szCs w:val="16"/>
              </w:rPr>
              <w:t>X</w:t>
            </w:r>
          </w:p>
        </w:tc>
        <w:tc>
          <w:tcPr>
            <w:tcW w:w="428" w:type="dxa"/>
          </w:tcPr>
          <w:p w14:paraId="70530DBC" w14:textId="77777777" w:rsidR="002B04EB" w:rsidRPr="003F7F6C" w:rsidRDefault="002B04EB" w:rsidP="00B851B7">
            <w:r w:rsidRPr="003F7F6C">
              <w:rPr>
                <w:rFonts w:cs="Calibri"/>
                <w:sz w:val="16"/>
                <w:szCs w:val="16"/>
              </w:rPr>
              <w:t>X</w:t>
            </w:r>
          </w:p>
        </w:tc>
        <w:tc>
          <w:tcPr>
            <w:tcW w:w="428" w:type="dxa"/>
          </w:tcPr>
          <w:p w14:paraId="3D42DD2F" w14:textId="77777777" w:rsidR="002B04EB" w:rsidRPr="003F7F6C" w:rsidRDefault="002B04EB" w:rsidP="00B851B7">
            <w:r w:rsidRPr="003F7F6C">
              <w:rPr>
                <w:rFonts w:cs="Calibri"/>
                <w:sz w:val="16"/>
                <w:szCs w:val="16"/>
              </w:rPr>
              <w:t>X</w:t>
            </w:r>
          </w:p>
        </w:tc>
        <w:tc>
          <w:tcPr>
            <w:tcW w:w="428" w:type="dxa"/>
            <w:gridSpan w:val="2"/>
          </w:tcPr>
          <w:p w14:paraId="492C1F87" w14:textId="77777777" w:rsidR="002B04EB" w:rsidRPr="003F7F6C" w:rsidRDefault="002B04EB" w:rsidP="00B851B7">
            <w:r w:rsidRPr="003F7F6C">
              <w:rPr>
                <w:rFonts w:cs="Calibri"/>
                <w:sz w:val="16"/>
                <w:szCs w:val="16"/>
              </w:rPr>
              <w:t>X</w:t>
            </w:r>
          </w:p>
        </w:tc>
        <w:tc>
          <w:tcPr>
            <w:tcW w:w="428" w:type="dxa"/>
          </w:tcPr>
          <w:p w14:paraId="3CC25483" w14:textId="77777777" w:rsidR="002B04EB" w:rsidRPr="003F7F6C" w:rsidRDefault="002B04EB" w:rsidP="00B851B7">
            <w:r w:rsidRPr="003F7F6C">
              <w:rPr>
                <w:rFonts w:cs="Calibri"/>
                <w:sz w:val="16"/>
                <w:szCs w:val="16"/>
              </w:rPr>
              <w:t>X</w:t>
            </w:r>
          </w:p>
        </w:tc>
        <w:tc>
          <w:tcPr>
            <w:tcW w:w="428" w:type="dxa"/>
          </w:tcPr>
          <w:p w14:paraId="0630F099" w14:textId="77777777" w:rsidR="002B04EB" w:rsidRPr="003F7F6C" w:rsidRDefault="002B04EB" w:rsidP="00B851B7">
            <w:r w:rsidRPr="003F7F6C">
              <w:rPr>
                <w:rFonts w:cs="Calibri"/>
                <w:sz w:val="16"/>
                <w:szCs w:val="16"/>
              </w:rPr>
              <w:t>X</w:t>
            </w:r>
          </w:p>
        </w:tc>
        <w:tc>
          <w:tcPr>
            <w:tcW w:w="428" w:type="dxa"/>
          </w:tcPr>
          <w:p w14:paraId="1E8ACA3E" w14:textId="77777777" w:rsidR="002B04EB" w:rsidRPr="003F7F6C" w:rsidRDefault="002B04EB" w:rsidP="00B851B7">
            <w:r w:rsidRPr="003F7F6C">
              <w:rPr>
                <w:rFonts w:cs="Calibri"/>
                <w:sz w:val="16"/>
                <w:szCs w:val="16"/>
              </w:rPr>
              <w:t>X</w:t>
            </w:r>
          </w:p>
        </w:tc>
        <w:tc>
          <w:tcPr>
            <w:tcW w:w="428" w:type="dxa"/>
          </w:tcPr>
          <w:p w14:paraId="4D7D69E4" w14:textId="77777777" w:rsidR="002B04EB" w:rsidRPr="003F7F6C" w:rsidRDefault="002B04EB" w:rsidP="00B851B7">
            <w:r w:rsidRPr="003F7F6C">
              <w:rPr>
                <w:rFonts w:cs="Calibri"/>
                <w:sz w:val="16"/>
                <w:szCs w:val="16"/>
              </w:rPr>
              <w:t>X</w:t>
            </w:r>
          </w:p>
        </w:tc>
      </w:tr>
      <w:tr w:rsidR="002B04EB" w:rsidRPr="003F7F6C" w14:paraId="1FF9765E" w14:textId="77777777" w:rsidTr="002B04EB">
        <w:tc>
          <w:tcPr>
            <w:tcW w:w="13010" w:type="dxa"/>
            <w:gridSpan w:val="31"/>
            <w:shd w:val="clear" w:color="auto" w:fill="F7CAAC"/>
          </w:tcPr>
          <w:p w14:paraId="39738671" w14:textId="77777777" w:rsidR="002B04EB" w:rsidRPr="003F7F6C" w:rsidRDefault="002B04EB" w:rsidP="00B851B7">
            <w:pPr>
              <w:rPr>
                <w:rFonts w:cs="Calibri"/>
                <w:sz w:val="16"/>
                <w:szCs w:val="16"/>
              </w:rPr>
            </w:pPr>
            <w:r w:rsidRPr="003F7F6C">
              <w:rPr>
                <w:rFonts w:cs="Calibri"/>
                <w:sz w:val="16"/>
                <w:szCs w:val="16"/>
              </w:rPr>
              <w:t>Mendoza</w:t>
            </w:r>
          </w:p>
        </w:tc>
      </w:tr>
      <w:tr w:rsidR="002B04EB" w:rsidRPr="003F7F6C" w14:paraId="2BE6487E" w14:textId="77777777" w:rsidTr="00B851B7">
        <w:tc>
          <w:tcPr>
            <w:tcW w:w="1668" w:type="dxa"/>
          </w:tcPr>
          <w:p w14:paraId="403EBB68" w14:textId="77777777" w:rsidR="002B04EB" w:rsidRPr="003F7F6C" w:rsidRDefault="002B04EB" w:rsidP="00B851B7">
            <w:pPr>
              <w:rPr>
                <w:rFonts w:cs="Calibri"/>
                <w:sz w:val="16"/>
                <w:szCs w:val="16"/>
              </w:rPr>
            </w:pPr>
            <w:r w:rsidRPr="003F7F6C">
              <w:rPr>
                <w:rFonts w:cs="Calibri"/>
                <w:sz w:val="16"/>
                <w:szCs w:val="16"/>
              </w:rPr>
              <w:t>2.1.1 Develop regulations for piedmont areas</w:t>
            </w:r>
          </w:p>
        </w:tc>
        <w:tc>
          <w:tcPr>
            <w:tcW w:w="1057" w:type="dxa"/>
          </w:tcPr>
          <w:p w14:paraId="41A854A8" w14:textId="77777777" w:rsidR="002B04EB" w:rsidRPr="003F7F6C" w:rsidRDefault="002B04EB" w:rsidP="00B851B7">
            <w:pPr>
              <w:rPr>
                <w:rFonts w:cs="Calibri"/>
                <w:sz w:val="16"/>
                <w:szCs w:val="16"/>
              </w:rPr>
            </w:pPr>
            <w:r w:rsidRPr="003F7F6C">
              <w:rPr>
                <w:rFonts w:cs="Calibri"/>
                <w:sz w:val="16"/>
                <w:szCs w:val="16"/>
              </w:rPr>
              <w:t>SAOT</w:t>
            </w:r>
          </w:p>
        </w:tc>
        <w:tc>
          <w:tcPr>
            <w:tcW w:w="428" w:type="dxa"/>
          </w:tcPr>
          <w:p w14:paraId="71C47CA2" w14:textId="77777777" w:rsidR="002B04EB" w:rsidRPr="003F7F6C" w:rsidRDefault="002B04EB" w:rsidP="00B851B7"/>
        </w:tc>
        <w:tc>
          <w:tcPr>
            <w:tcW w:w="444" w:type="dxa"/>
          </w:tcPr>
          <w:p w14:paraId="19EE3742" w14:textId="77777777" w:rsidR="002B04EB" w:rsidRPr="003F7F6C" w:rsidRDefault="002B04EB" w:rsidP="00B851B7">
            <w:r w:rsidRPr="003F7F6C">
              <w:rPr>
                <w:rFonts w:cs="Calibri"/>
                <w:sz w:val="16"/>
                <w:szCs w:val="16"/>
              </w:rPr>
              <w:t>X</w:t>
            </w:r>
          </w:p>
        </w:tc>
        <w:tc>
          <w:tcPr>
            <w:tcW w:w="428" w:type="dxa"/>
          </w:tcPr>
          <w:p w14:paraId="62CAA1BC" w14:textId="77777777" w:rsidR="002B04EB" w:rsidRPr="003F7F6C" w:rsidRDefault="002B04EB" w:rsidP="00B851B7">
            <w:r w:rsidRPr="003F7F6C">
              <w:rPr>
                <w:rFonts w:cs="Calibri"/>
                <w:sz w:val="16"/>
                <w:szCs w:val="16"/>
              </w:rPr>
              <w:t>X</w:t>
            </w:r>
          </w:p>
        </w:tc>
        <w:tc>
          <w:tcPr>
            <w:tcW w:w="428" w:type="dxa"/>
            <w:gridSpan w:val="2"/>
          </w:tcPr>
          <w:p w14:paraId="12ABA36F" w14:textId="77777777" w:rsidR="002B04EB" w:rsidRPr="003F7F6C" w:rsidRDefault="002B04EB" w:rsidP="00B851B7">
            <w:r w:rsidRPr="003F7F6C">
              <w:rPr>
                <w:rFonts w:cs="Calibri"/>
                <w:sz w:val="16"/>
                <w:szCs w:val="16"/>
              </w:rPr>
              <w:t>X</w:t>
            </w:r>
          </w:p>
        </w:tc>
        <w:tc>
          <w:tcPr>
            <w:tcW w:w="428" w:type="dxa"/>
          </w:tcPr>
          <w:p w14:paraId="5DA98FA5" w14:textId="77777777" w:rsidR="002B04EB" w:rsidRPr="003F7F6C" w:rsidRDefault="002B04EB" w:rsidP="00B851B7">
            <w:r w:rsidRPr="003F7F6C">
              <w:rPr>
                <w:rFonts w:cs="Calibri"/>
                <w:sz w:val="16"/>
                <w:szCs w:val="16"/>
              </w:rPr>
              <w:t>X</w:t>
            </w:r>
          </w:p>
        </w:tc>
        <w:tc>
          <w:tcPr>
            <w:tcW w:w="427" w:type="dxa"/>
          </w:tcPr>
          <w:p w14:paraId="4CF8A13B" w14:textId="77777777" w:rsidR="002B04EB" w:rsidRPr="003F7F6C" w:rsidRDefault="002B04EB" w:rsidP="00B851B7">
            <w:r w:rsidRPr="003F7F6C">
              <w:rPr>
                <w:rFonts w:cs="Calibri"/>
                <w:sz w:val="16"/>
                <w:szCs w:val="16"/>
              </w:rPr>
              <w:t>X</w:t>
            </w:r>
          </w:p>
        </w:tc>
        <w:tc>
          <w:tcPr>
            <w:tcW w:w="427" w:type="dxa"/>
          </w:tcPr>
          <w:p w14:paraId="794E2AAC" w14:textId="77777777" w:rsidR="002B04EB" w:rsidRPr="003F7F6C" w:rsidRDefault="002B04EB" w:rsidP="00B851B7">
            <w:r w:rsidRPr="003F7F6C">
              <w:rPr>
                <w:rFonts w:cs="Calibri"/>
                <w:sz w:val="16"/>
                <w:szCs w:val="16"/>
              </w:rPr>
              <w:t>X</w:t>
            </w:r>
          </w:p>
        </w:tc>
        <w:tc>
          <w:tcPr>
            <w:tcW w:w="427" w:type="dxa"/>
            <w:gridSpan w:val="2"/>
          </w:tcPr>
          <w:p w14:paraId="46C80B4F" w14:textId="77777777" w:rsidR="002B04EB" w:rsidRPr="003F7F6C" w:rsidRDefault="002B04EB" w:rsidP="00B851B7">
            <w:r w:rsidRPr="003F7F6C">
              <w:rPr>
                <w:rFonts w:cs="Calibri"/>
                <w:sz w:val="16"/>
                <w:szCs w:val="16"/>
              </w:rPr>
              <w:t>X</w:t>
            </w:r>
          </w:p>
        </w:tc>
        <w:tc>
          <w:tcPr>
            <w:tcW w:w="428" w:type="dxa"/>
          </w:tcPr>
          <w:p w14:paraId="0366B53D" w14:textId="77777777" w:rsidR="002B04EB" w:rsidRPr="003F7F6C" w:rsidRDefault="002B04EB" w:rsidP="00B851B7">
            <w:pPr>
              <w:rPr>
                <w:rFonts w:cs="Calibri"/>
                <w:sz w:val="16"/>
                <w:szCs w:val="16"/>
              </w:rPr>
            </w:pPr>
          </w:p>
        </w:tc>
        <w:tc>
          <w:tcPr>
            <w:tcW w:w="428" w:type="dxa"/>
          </w:tcPr>
          <w:p w14:paraId="164388FB" w14:textId="77777777" w:rsidR="002B04EB" w:rsidRPr="003F7F6C" w:rsidRDefault="002B04EB" w:rsidP="00B851B7">
            <w:pPr>
              <w:rPr>
                <w:rFonts w:cs="Calibri"/>
                <w:sz w:val="16"/>
                <w:szCs w:val="16"/>
              </w:rPr>
            </w:pPr>
          </w:p>
        </w:tc>
        <w:tc>
          <w:tcPr>
            <w:tcW w:w="428" w:type="dxa"/>
          </w:tcPr>
          <w:p w14:paraId="37EAB1EB" w14:textId="77777777" w:rsidR="002B04EB" w:rsidRPr="003F7F6C" w:rsidRDefault="002B04EB" w:rsidP="00B851B7">
            <w:pPr>
              <w:rPr>
                <w:rFonts w:cs="Calibri"/>
                <w:sz w:val="16"/>
                <w:szCs w:val="16"/>
              </w:rPr>
            </w:pPr>
          </w:p>
        </w:tc>
        <w:tc>
          <w:tcPr>
            <w:tcW w:w="428" w:type="dxa"/>
            <w:gridSpan w:val="2"/>
          </w:tcPr>
          <w:p w14:paraId="41B848B5" w14:textId="77777777" w:rsidR="002B04EB" w:rsidRPr="003F7F6C" w:rsidRDefault="002B04EB" w:rsidP="00B851B7">
            <w:pPr>
              <w:rPr>
                <w:rFonts w:cs="Calibri"/>
                <w:sz w:val="16"/>
                <w:szCs w:val="16"/>
              </w:rPr>
            </w:pPr>
          </w:p>
        </w:tc>
        <w:tc>
          <w:tcPr>
            <w:tcW w:w="428" w:type="dxa"/>
          </w:tcPr>
          <w:p w14:paraId="55CA1468" w14:textId="77777777" w:rsidR="002B04EB" w:rsidRPr="003F7F6C" w:rsidRDefault="002B04EB" w:rsidP="00B851B7">
            <w:pPr>
              <w:rPr>
                <w:rFonts w:cs="Calibri"/>
                <w:sz w:val="16"/>
                <w:szCs w:val="16"/>
              </w:rPr>
            </w:pPr>
          </w:p>
        </w:tc>
        <w:tc>
          <w:tcPr>
            <w:tcW w:w="428" w:type="dxa"/>
          </w:tcPr>
          <w:p w14:paraId="447DACA7" w14:textId="77777777" w:rsidR="002B04EB" w:rsidRPr="003F7F6C" w:rsidRDefault="002B04EB" w:rsidP="00B851B7">
            <w:pPr>
              <w:rPr>
                <w:rFonts w:cs="Calibri"/>
                <w:sz w:val="16"/>
                <w:szCs w:val="16"/>
              </w:rPr>
            </w:pPr>
          </w:p>
        </w:tc>
        <w:tc>
          <w:tcPr>
            <w:tcW w:w="428" w:type="dxa"/>
          </w:tcPr>
          <w:p w14:paraId="24555876" w14:textId="77777777" w:rsidR="002B04EB" w:rsidRPr="003F7F6C" w:rsidRDefault="002B04EB" w:rsidP="00B851B7">
            <w:pPr>
              <w:rPr>
                <w:rFonts w:cs="Calibri"/>
                <w:sz w:val="16"/>
                <w:szCs w:val="16"/>
              </w:rPr>
            </w:pPr>
          </w:p>
        </w:tc>
        <w:tc>
          <w:tcPr>
            <w:tcW w:w="428" w:type="dxa"/>
            <w:gridSpan w:val="2"/>
          </w:tcPr>
          <w:p w14:paraId="792F7FE1" w14:textId="77777777" w:rsidR="002B04EB" w:rsidRPr="003F7F6C" w:rsidRDefault="002B04EB" w:rsidP="00B851B7">
            <w:pPr>
              <w:rPr>
                <w:rFonts w:cs="Calibri"/>
                <w:sz w:val="16"/>
                <w:szCs w:val="16"/>
              </w:rPr>
            </w:pPr>
          </w:p>
        </w:tc>
        <w:tc>
          <w:tcPr>
            <w:tcW w:w="428" w:type="dxa"/>
          </w:tcPr>
          <w:p w14:paraId="2E49D2DA" w14:textId="77777777" w:rsidR="002B04EB" w:rsidRPr="003F7F6C" w:rsidRDefault="002B04EB" w:rsidP="00B851B7">
            <w:pPr>
              <w:rPr>
                <w:rFonts w:cs="Calibri"/>
                <w:sz w:val="16"/>
                <w:szCs w:val="16"/>
              </w:rPr>
            </w:pPr>
          </w:p>
        </w:tc>
        <w:tc>
          <w:tcPr>
            <w:tcW w:w="428" w:type="dxa"/>
          </w:tcPr>
          <w:p w14:paraId="612AAF43" w14:textId="77777777" w:rsidR="002B04EB" w:rsidRPr="003F7F6C" w:rsidRDefault="002B04EB" w:rsidP="00B851B7">
            <w:pPr>
              <w:rPr>
                <w:rFonts w:cs="Calibri"/>
                <w:sz w:val="16"/>
                <w:szCs w:val="16"/>
              </w:rPr>
            </w:pPr>
          </w:p>
        </w:tc>
        <w:tc>
          <w:tcPr>
            <w:tcW w:w="428" w:type="dxa"/>
          </w:tcPr>
          <w:p w14:paraId="3D9294C7" w14:textId="77777777" w:rsidR="002B04EB" w:rsidRPr="003F7F6C" w:rsidRDefault="002B04EB" w:rsidP="00B851B7">
            <w:pPr>
              <w:rPr>
                <w:rFonts w:cs="Calibri"/>
                <w:sz w:val="16"/>
                <w:szCs w:val="16"/>
              </w:rPr>
            </w:pPr>
          </w:p>
        </w:tc>
        <w:tc>
          <w:tcPr>
            <w:tcW w:w="428" w:type="dxa"/>
            <w:gridSpan w:val="2"/>
          </w:tcPr>
          <w:p w14:paraId="3B625E4D" w14:textId="77777777" w:rsidR="002B04EB" w:rsidRPr="003F7F6C" w:rsidRDefault="002B04EB" w:rsidP="00B851B7">
            <w:pPr>
              <w:rPr>
                <w:rFonts w:cs="Calibri"/>
                <w:sz w:val="16"/>
                <w:szCs w:val="16"/>
              </w:rPr>
            </w:pPr>
          </w:p>
        </w:tc>
        <w:tc>
          <w:tcPr>
            <w:tcW w:w="428" w:type="dxa"/>
          </w:tcPr>
          <w:p w14:paraId="47C878CE" w14:textId="77777777" w:rsidR="002B04EB" w:rsidRPr="003F7F6C" w:rsidRDefault="002B04EB" w:rsidP="00B851B7">
            <w:pPr>
              <w:rPr>
                <w:rFonts w:cs="Calibri"/>
                <w:sz w:val="16"/>
                <w:szCs w:val="16"/>
              </w:rPr>
            </w:pPr>
          </w:p>
        </w:tc>
        <w:tc>
          <w:tcPr>
            <w:tcW w:w="428" w:type="dxa"/>
          </w:tcPr>
          <w:p w14:paraId="70CF3F97" w14:textId="77777777" w:rsidR="002B04EB" w:rsidRPr="003F7F6C" w:rsidRDefault="002B04EB" w:rsidP="00B851B7">
            <w:pPr>
              <w:rPr>
                <w:rFonts w:cs="Calibri"/>
                <w:sz w:val="16"/>
                <w:szCs w:val="16"/>
              </w:rPr>
            </w:pPr>
          </w:p>
        </w:tc>
        <w:tc>
          <w:tcPr>
            <w:tcW w:w="428" w:type="dxa"/>
          </w:tcPr>
          <w:p w14:paraId="59C76C01" w14:textId="77777777" w:rsidR="002B04EB" w:rsidRPr="003F7F6C" w:rsidRDefault="002B04EB" w:rsidP="00B851B7">
            <w:pPr>
              <w:rPr>
                <w:rFonts w:cs="Calibri"/>
                <w:sz w:val="16"/>
                <w:szCs w:val="16"/>
              </w:rPr>
            </w:pPr>
          </w:p>
        </w:tc>
        <w:tc>
          <w:tcPr>
            <w:tcW w:w="428" w:type="dxa"/>
          </w:tcPr>
          <w:p w14:paraId="52874EC9" w14:textId="77777777" w:rsidR="002B04EB" w:rsidRPr="003F7F6C" w:rsidRDefault="002B04EB" w:rsidP="00B851B7">
            <w:pPr>
              <w:rPr>
                <w:rFonts w:cs="Calibri"/>
                <w:sz w:val="16"/>
                <w:szCs w:val="16"/>
              </w:rPr>
            </w:pPr>
          </w:p>
        </w:tc>
      </w:tr>
      <w:tr w:rsidR="002B04EB" w:rsidRPr="003F7F6C" w14:paraId="78BE01DC" w14:textId="77777777" w:rsidTr="00B851B7">
        <w:tc>
          <w:tcPr>
            <w:tcW w:w="1668" w:type="dxa"/>
          </w:tcPr>
          <w:p w14:paraId="3C77CA96" w14:textId="77777777" w:rsidR="002B04EB" w:rsidRPr="003F7F6C" w:rsidRDefault="002B04EB" w:rsidP="00E91275">
            <w:pPr>
              <w:pStyle w:val="ListParagraph"/>
              <w:numPr>
                <w:ilvl w:val="0"/>
                <w:numId w:val="29"/>
              </w:numPr>
              <w:spacing w:after="0"/>
              <w:ind w:left="174" w:hanging="174"/>
              <w:contextualSpacing w:val="0"/>
              <w:rPr>
                <w:rFonts w:cs="Calibri"/>
                <w:sz w:val="16"/>
                <w:szCs w:val="16"/>
              </w:rPr>
            </w:pPr>
            <w:r w:rsidRPr="003F7F6C">
              <w:rPr>
                <w:rFonts w:cs="Calibri"/>
                <w:sz w:val="16"/>
                <w:szCs w:val="16"/>
              </w:rPr>
              <w:t>Define land use criteria</w:t>
            </w:r>
          </w:p>
        </w:tc>
        <w:tc>
          <w:tcPr>
            <w:tcW w:w="1057" w:type="dxa"/>
          </w:tcPr>
          <w:p w14:paraId="5AA3BAE7" w14:textId="77777777" w:rsidR="002B04EB" w:rsidRPr="003F7F6C" w:rsidRDefault="002B04EB" w:rsidP="00B851B7">
            <w:pPr>
              <w:rPr>
                <w:rFonts w:cs="Calibri"/>
                <w:sz w:val="16"/>
                <w:szCs w:val="16"/>
              </w:rPr>
            </w:pPr>
            <w:r w:rsidRPr="003F7F6C">
              <w:rPr>
                <w:rFonts w:cs="Calibri"/>
                <w:sz w:val="16"/>
                <w:szCs w:val="16"/>
              </w:rPr>
              <w:t>SAOT</w:t>
            </w:r>
          </w:p>
        </w:tc>
        <w:tc>
          <w:tcPr>
            <w:tcW w:w="428" w:type="dxa"/>
          </w:tcPr>
          <w:p w14:paraId="564604A9" w14:textId="77777777" w:rsidR="002B04EB" w:rsidRPr="003F7F6C" w:rsidRDefault="002B04EB" w:rsidP="00B851B7"/>
        </w:tc>
        <w:tc>
          <w:tcPr>
            <w:tcW w:w="444" w:type="dxa"/>
          </w:tcPr>
          <w:p w14:paraId="572DB1F1" w14:textId="77777777" w:rsidR="002B04EB" w:rsidRPr="003F7F6C" w:rsidRDefault="002B04EB" w:rsidP="00B851B7">
            <w:r w:rsidRPr="003F7F6C">
              <w:rPr>
                <w:rFonts w:cs="Calibri"/>
                <w:sz w:val="16"/>
                <w:szCs w:val="16"/>
              </w:rPr>
              <w:t>X</w:t>
            </w:r>
          </w:p>
        </w:tc>
        <w:tc>
          <w:tcPr>
            <w:tcW w:w="428" w:type="dxa"/>
          </w:tcPr>
          <w:p w14:paraId="0F104FA2" w14:textId="77777777" w:rsidR="002B04EB" w:rsidRPr="003F7F6C" w:rsidRDefault="002B04EB" w:rsidP="00B851B7">
            <w:r w:rsidRPr="003F7F6C">
              <w:rPr>
                <w:rFonts w:cs="Calibri"/>
                <w:sz w:val="16"/>
                <w:szCs w:val="16"/>
              </w:rPr>
              <w:t>X</w:t>
            </w:r>
          </w:p>
        </w:tc>
        <w:tc>
          <w:tcPr>
            <w:tcW w:w="428" w:type="dxa"/>
            <w:gridSpan w:val="2"/>
          </w:tcPr>
          <w:p w14:paraId="7FCBAE99" w14:textId="77777777" w:rsidR="002B04EB" w:rsidRPr="003F7F6C" w:rsidRDefault="002B04EB" w:rsidP="00B851B7">
            <w:r w:rsidRPr="003F7F6C">
              <w:rPr>
                <w:rFonts w:cs="Calibri"/>
                <w:sz w:val="16"/>
                <w:szCs w:val="16"/>
              </w:rPr>
              <w:t>X</w:t>
            </w:r>
          </w:p>
        </w:tc>
        <w:tc>
          <w:tcPr>
            <w:tcW w:w="428" w:type="dxa"/>
          </w:tcPr>
          <w:p w14:paraId="43F61EFD" w14:textId="77777777" w:rsidR="002B04EB" w:rsidRPr="003F7F6C" w:rsidRDefault="002B04EB" w:rsidP="00B851B7">
            <w:r w:rsidRPr="003F7F6C">
              <w:rPr>
                <w:rFonts w:cs="Calibri"/>
                <w:sz w:val="16"/>
                <w:szCs w:val="16"/>
              </w:rPr>
              <w:t>X</w:t>
            </w:r>
          </w:p>
        </w:tc>
        <w:tc>
          <w:tcPr>
            <w:tcW w:w="427" w:type="dxa"/>
          </w:tcPr>
          <w:p w14:paraId="540FB00B" w14:textId="77777777" w:rsidR="002B04EB" w:rsidRPr="003F7F6C" w:rsidRDefault="002B04EB" w:rsidP="00B851B7">
            <w:r w:rsidRPr="003F7F6C">
              <w:rPr>
                <w:rFonts w:cs="Calibri"/>
                <w:sz w:val="16"/>
                <w:szCs w:val="16"/>
              </w:rPr>
              <w:t>X</w:t>
            </w:r>
          </w:p>
        </w:tc>
        <w:tc>
          <w:tcPr>
            <w:tcW w:w="427" w:type="dxa"/>
          </w:tcPr>
          <w:p w14:paraId="78E1718E" w14:textId="77777777" w:rsidR="002B04EB" w:rsidRPr="003F7F6C" w:rsidRDefault="002B04EB" w:rsidP="00B851B7">
            <w:r w:rsidRPr="003F7F6C">
              <w:rPr>
                <w:rFonts w:cs="Calibri"/>
                <w:sz w:val="16"/>
                <w:szCs w:val="16"/>
              </w:rPr>
              <w:t>X</w:t>
            </w:r>
          </w:p>
        </w:tc>
        <w:tc>
          <w:tcPr>
            <w:tcW w:w="427" w:type="dxa"/>
            <w:gridSpan w:val="2"/>
          </w:tcPr>
          <w:p w14:paraId="7BCE5370" w14:textId="77777777" w:rsidR="002B04EB" w:rsidRPr="003F7F6C" w:rsidRDefault="002B04EB" w:rsidP="00B851B7">
            <w:r w:rsidRPr="003F7F6C">
              <w:rPr>
                <w:rFonts w:cs="Calibri"/>
                <w:sz w:val="16"/>
                <w:szCs w:val="16"/>
              </w:rPr>
              <w:t>X</w:t>
            </w:r>
          </w:p>
        </w:tc>
        <w:tc>
          <w:tcPr>
            <w:tcW w:w="428" w:type="dxa"/>
          </w:tcPr>
          <w:p w14:paraId="3563DD75" w14:textId="77777777" w:rsidR="002B04EB" w:rsidRPr="003F7F6C" w:rsidRDefault="002B04EB" w:rsidP="00B851B7">
            <w:pPr>
              <w:rPr>
                <w:rFonts w:cs="Calibri"/>
                <w:sz w:val="16"/>
                <w:szCs w:val="16"/>
              </w:rPr>
            </w:pPr>
          </w:p>
        </w:tc>
        <w:tc>
          <w:tcPr>
            <w:tcW w:w="428" w:type="dxa"/>
          </w:tcPr>
          <w:p w14:paraId="5333AF63" w14:textId="77777777" w:rsidR="002B04EB" w:rsidRPr="003F7F6C" w:rsidRDefault="002B04EB" w:rsidP="00B851B7">
            <w:pPr>
              <w:rPr>
                <w:rFonts w:cs="Calibri"/>
                <w:sz w:val="16"/>
                <w:szCs w:val="16"/>
              </w:rPr>
            </w:pPr>
          </w:p>
        </w:tc>
        <w:tc>
          <w:tcPr>
            <w:tcW w:w="428" w:type="dxa"/>
          </w:tcPr>
          <w:p w14:paraId="00DC59A9" w14:textId="77777777" w:rsidR="002B04EB" w:rsidRPr="003F7F6C" w:rsidRDefault="002B04EB" w:rsidP="00B851B7">
            <w:pPr>
              <w:rPr>
                <w:rFonts w:cs="Calibri"/>
                <w:sz w:val="16"/>
                <w:szCs w:val="16"/>
              </w:rPr>
            </w:pPr>
          </w:p>
        </w:tc>
        <w:tc>
          <w:tcPr>
            <w:tcW w:w="428" w:type="dxa"/>
            <w:gridSpan w:val="2"/>
          </w:tcPr>
          <w:p w14:paraId="20686311" w14:textId="77777777" w:rsidR="002B04EB" w:rsidRPr="003F7F6C" w:rsidRDefault="002B04EB" w:rsidP="00B851B7">
            <w:pPr>
              <w:rPr>
                <w:rFonts w:cs="Calibri"/>
                <w:sz w:val="16"/>
                <w:szCs w:val="16"/>
              </w:rPr>
            </w:pPr>
          </w:p>
        </w:tc>
        <w:tc>
          <w:tcPr>
            <w:tcW w:w="428" w:type="dxa"/>
          </w:tcPr>
          <w:p w14:paraId="5FAD3F45" w14:textId="77777777" w:rsidR="002B04EB" w:rsidRPr="003F7F6C" w:rsidRDefault="002B04EB" w:rsidP="00B851B7">
            <w:pPr>
              <w:rPr>
                <w:rFonts w:cs="Calibri"/>
                <w:sz w:val="16"/>
                <w:szCs w:val="16"/>
              </w:rPr>
            </w:pPr>
          </w:p>
        </w:tc>
        <w:tc>
          <w:tcPr>
            <w:tcW w:w="428" w:type="dxa"/>
          </w:tcPr>
          <w:p w14:paraId="146112F9" w14:textId="77777777" w:rsidR="002B04EB" w:rsidRPr="003F7F6C" w:rsidRDefault="002B04EB" w:rsidP="00B851B7">
            <w:pPr>
              <w:rPr>
                <w:rFonts w:cs="Calibri"/>
                <w:sz w:val="16"/>
                <w:szCs w:val="16"/>
              </w:rPr>
            </w:pPr>
          </w:p>
        </w:tc>
        <w:tc>
          <w:tcPr>
            <w:tcW w:w="428" w:type="dxa"/>
          </w:tcPr>
          <w:p w14:paraId="6B218E9B" w14:textId="77777777" w:rsidR="002B04EB" w:rsidRPr="003F7F6C" w:rsidRDefault="002B04EB" w:rsidP="00B851B7">
            <w:pPr>
              <w:rPr>
                <w:rFonts w:cs="Calibri"/>
                <w:sz w:val="16"/>
                <w:szCs w:val="16"/>
              </w:rPr>
            </w:pPr>
          </w:p>
        </w:tc>
        <w:tc>
          <w:tcPr>
            <w:tcW w:w="428" w:type="dxa"/>
            <w:gridSpan w:val="2"/>
          </w:tcPr>
          <w:p w14:paraId="0168BA56" w14:textId="77777777" w:rsidR="002B04EB" w:rsidRPr="003F7F6C" w:rsidRDefault="002B04EB" w:rsidP="00B851B7">
            <w:pPr>
              <w:rPr>
                <w:rFonts w:cs="Calibri"/>
                <w:sz w:val="16"/>
                <w:szCs w:val="16"/>
              </w:rPr>
            </w:pPr>
          </w:p>
        </w:tc>
        <w:tc>
          <w:tcPr>
            <w:tcW w:w="428" w:type="dxa"/>
          </w:tcPr>
          <w:p w14:paraId="29C1299E" w14:textId="77777777" w:rsidR="002B04EB" w:rsidRPr="003F7F6C" w:rsidRDefault="002B04EB" w:rsidP="00B851B7">
            <w:pPr>
              <w:rPr>
                <w:rFonts w:cs="Calibri"/>
                <w:sz w:val="16"/>
                <w:szCs w:val="16"/>
              </w:rPr>
            </w:pPr>
          </w:p>
        </w:tc>
        <w:tc>
          <w:tcPr>
            <w:tcW w:w="428" w:type="dxa"/>
          </w:tcPr>
          <w:p w14:paraId="72666AF6" w14:textId="77777777" w:rsidR="002B04EB" w:rsidRPr="003F7F6C" w:rsidRDefault="002B04EB" w:rsidP="00B851B7">
            <w:pPr>
              <w:rPr>
                <w:rFonts w:cs="Calibri"/>
                <w:sz w:val="16"/>
                <w:szCs w:val="16"/>
              </w:rPr>
            </w:pPr>
          </w:p>
        </w:tc>
        <w:tc>
          <w:tcPr>
            <w:tcW w:w="428" w:type="dxa"/>
          </w:tcPr>
          <w:p w14:paraId="5E225F88" w14:textId="77777777" w:rsidR="002B04EB" w:rsidRPr="003F7F6C" w:rsidRDefault="002B04EB" w:rsidP="00B851B7">
            <w:pPr>
              <w:rPr>
                <w:rFonts w:cs="Calibri"/>
                <w:sz w:val="16"/>
                <w:szCs w:val="16"/>
              </w:rPr>
            </w:pPr>
          </w:p>
        </w:tc>
        <w:tc>
          <w:tcPr>
            <w:tcW w:w="428" w:type="dxa"/>
            <w:gridSpan w:val="2"/>
          </w:tcPr>
          <w:p w14:paraId="67B7C5E3" w14:textId="77777777" w:rsidR="002B04EB" w:rsidRPr="003F7F6C" w:rsidRDefault="002B04EB" w:rsidP="00B851B7">
            <w:pPr>
              <w:rPr>
                <w:rFonts w:cs="Calibri"/>
                <w:sz w:val="16"/>
                <w:szCs w:val="16"/>
              </w:rPr>
            </w:pPr>
          </w:p>
        </w:tc>
        <w:tc>
          <w:tcPr>
            <w:tcW w:w="428" w:type="dxa"/>
          </w:tcPr>
          <w:p w14:paraId="102F7B5F" w14:textId="77777777" w:rsidR="002B04EB" w:rsidRPr="003F7F6C" w:rsidRDefault="002B04EB" w:rsidP="00B851B7">
            <w:pPr>
              <w:rPr>
                <w:rFonts w:cs="Calibri"/>
                <w:sz w:val="16"/>
                <w:szCs w:val="16"/>
              </w:rPr>
            </w:pPr>
          </w:p>
        </w:tc>
        <w:tc>
          <w:tcPr>
            <w:tcW w:w="428" w:type="dxa"/>
          </w:tcPr>
          <w:p w14:paraId="089CA031" w14:textId="77777777" w:rsidR="002B04EB" w:rsidRPr="003F7F6C" w:rsidRDefault="002B04EB" w:rsidP="00B851B7">
            <w:pPr>
              <w:rPr>
                <w:rFonts w:cs="Calibri"/>
                <w:sz w:val="16"/>
                <w:szCs w:val="16"/>
              </w:rPr>
            </w:pPr>
          </w:p>
        </w:tc>
        <w:tc>
          <w:tcPr>
            <w:tcW w:w="428" w:type="dxa"/>
          </w:tcPr>
          <w:p w14:paraId="7BBA1F82" w14:textId="77777777" w:rsidR="002B04EB" w:rsidRPr="003F7F6C" w:rsidRDefault="002B04EB" w:rsidP="00B851B7">
            <w:pPr>
              <w:rPr>
                <w:rFonts w:cs="Calibri"/>
                <w:sz w:val="16"/>
                <w:szCs w:val="16"/>
              </w:rPr>
            </w:pPr>
          </w:p>
        </w:tc>
        <w:tc>
          <w:tcPr>
            <w:tcW w:w="428" w:type="dxa"/>
          </w:tcPr>
          <w:p w14:paraId="2E57C8C5" w14:textId="77777777" w:rsidR="002B04EB" w:rsidRPr="003F7F6C" w:rsidRDefault="002B04EB" w:rsidP="00B851B7">
            <w:pPr>
              <w:rPr>
                <w:rFonts w:cs="Calibri"/>
                <w:sz w:val="16"/>
                <w:szCs w:val="16"/>
              </w:rPr>
            </w:pPr>
          </w:p>
        </w:tc>
      </w:tr>
      <w:tr w:rsidR="002B04EB" w:rsidRPr="003F7F6C" w14:paraId="5114AF05" w14:textId="77777777" w:rsidTr="00B851B7">
        <w:tc>
          <w:tcPr>
            <w:tcW w:w="1668" w:type="dxa"/>
          </w:tcPr>
          <w:p w14:paraId="2C5A3C06" w14:textId="77777777" w:rsidR="002B04EB" w:rsidRPr="003F7F6C" w:rsidRDefault="002B04EB" w:rsidP="00E91275">
            <w:pPr>
              <w:pStyle w:val="ListParagraph"/>
              <w:numPr>
                <w:ilvl w:val="0"/>
                <w:numId w:val="29"/>
              </w:numPr>
              <w:spacing w:after="0"/>
              <w:ind w:left="174" w:hanging="174"/>
              <w:contextualSpacing w:val="0"/>
              <w:rPr>
                <w:rFonts w:cs="Calibri"/>
                <w:sz w:val="16"/>
                <w:szCs w:val="16"/>
              </w:rPr>
            </w:pPr>
            <w:r w:rsidRPr="003F7F6C">
              <w:rPr>
                <w:rFonts w:cs="Calibri"/>
                <w:sz w:val="16"/>
                <w:szCs w:val="16"/>
              </w:rPr>
              <w:t xml:space="preserve">Develop and implement regulations </w:t>
            </w:r>
          </w:p>
        </w:tc>
        <w:tc>
          <w:tcPr>
            <w:tcW w:w="1057" w:type="dxa"/>
          </w:tcPr>
          <w:p w14:paraId="1CBD89A0" w14:textId="77777777" w:rsidR="002B04EB" w:rsidRPr="003F7F6C" w:rsidRDefault="002B04EB" w:rsidP="00B851B7">
            <w:pPr>
              <w:rPr>
                <w:rFonts w:cs="Calibri"/>
                <w:sz w:val="16"/>
                <w:szCs w:val="16"/>
              </w:rPr>
            </w:pPr>
          </w:p>
        </w:tc>
        <w:tc>
          <w:tcPr>
            <w:tcW w:w="428" w:type="dxa"/>
          </w:tcPr>
          <w:p w14:paraId="2E5571A1" w14:textId="77777777" w:rsidR="002B04EB" w:rsidRPr="003F7F6C" w:rsidRDefault="002B04EB" w:rsidP="00B851B7"/>
        </w:tc>
        <w:tc>
          <w:tcPr>
            <w:tcW w:w="444" w:type="dxa"/>
          </w:tcPr>
          <w:p w14:paraId="1EF4F14D" w14:textId="77777777" w:rsidR="002B04EB" w:rsidRPr="003F7F6C" w:rsidRDefault="002B04EB" w:rsidP="00B851B7">
            <w:pPr>
              <w:rPr>
                <w:rFonts w:cs="Calibri"/>
                <w:sz w:val="16"/>
                <w:szCs w:val="16"/>
              </w:rPr>
            </w:pPr>
          </w:p>
        </w:tc>
        <w:tc>
          <w:tcPr>
            <w:tcW w:w="428" w:type="dxa"/>
          </w:tcPr>
          <w:p w14:paraId="35D9D936" w14:textId="77777777" w:rsidR="002B04EB" w:rsidRPr="003F7F6C" w:rsidRDefault="002B04EB" w:rsidP="00B851B7">
            <w:pPr>
              <w:rPr>
                <w:rFonts w:cs="Calibri"/>
                <w:sz w:val="16"/>
                <w:szCs w:val="16"/>
              </w:rPr>
            </w:pPr>
          </w:p>
        </w:tc>
        <w:tc>
          <w:tcPr>
            <w:tcW w:w="428" w:type="dxa"/>
            <w:gridSpan w:val="2"/>
          </w:tcPr>
          <w:p w14:paraId="016EB5FA" w14:textId="77777777" w:rsidR="002B04EB" w:rsidRPr="003F7F6C" w:rsidRDefault="002B04EB" w:rsidP="00B851B7">
            <w:pPr>
              <w:rPr>
                <w:rFonts w:cs="Calibri"/>
                <w:sz w:val="16"/>
                <w:szCs w:val="16"/>
              </w:rPr>
            </w:pPr>
          </w:p>
        </w:tc>
        <w:tc>
          <w:tcPr>
            <w:tcW w:w="428" w:type="dxa"/>
          </w:tcPr>
          <w:p w14:paraId="0F47E4A1" w14:textId="77777777" w:rsidR="002B04EB" w:rsidRPr="003F7F6C" w:rsidRDefault="002B04EB" w:rsidP="00B851B7">
            <w:pPr>
              <w:rPr>
                <w:rFonts w:cs="Calibri"/>
                <w:sz w:val="16"/>
                <w:szCs w:val="16"/>
              </w:rPr>
            </w:pPr>
          </w:p>
        </w:tc>
        <w:tc>
          <w:tcPr>
            <w:tcW w:w="427" w:type="dxa"/>
          </w:tcPr>
          <w:p w14:paraId="541ABFCB" w14:textId="77777777" w:rsidR="002B04EB" w:rsidRPr="003F7F6C" w:rsidRDefault="002B04EB" w:rsidP="00B851B7">
            <w:pPr>
              <w:rPr>
                <w:rFonts w:cs="Calibri"/>
                <w:sz w:val="16"/>
                <w:szCs w:val="16"/>
              </w:rPr>
            </w:pPr>
          </w:p>
        </w:tc>
        <w:tc>
          <w:tcPr>
            <w:tcW w:w="427" w:type="dxa"/>
          </w:tcPr>
          <w:p w14:paraId="213CA2C8" w14:textId="77777777" w:rsidR="002B04EB" w:rsidRPr="003F7F6C" w:rsidRDefault="002B04EB" w:rsidP="00B851B7">
            <w:pPr>
              <w:rPr>
                <w:rFonts w:cs="Calibri"/>
                <w:sz w:val="16"/>
                <w:szCs w:val="16"/>
              </w:rPr>
            </w:pPr>
          </w:p>
        </w:tc>
        <w:tc>
          <w:tcPr>
            <w:tcW w:w="427" w:type="dxa"/>
            <w:gridSpan w:val="2"/>
          </w:tcPr>
          <w:p w14:paraId="2E3D8E27" w14:textId="77777777" w:rsidR="002B04EB" w:rsidRPr="003F7F6C" w:rsidRDefault="002B04EB" w:rsidP="00B851B7">
            <w:pPr>
              <w:rPr>
                <w:rFonts w:cs="Calibri"/>
                <w:sz w:val="16"/>
                <w:szCs w:val="16"/>
              </w:rPr>
            </w:pPr>
          </w:p>
        </w:tc>
        <w:tc>
          <w:tcPr>
            <w:tcW w:w="428" w:type="dxa"/>
          </w:tcPr>
          <w:p w14:paraId="0A832A30" w14:textId="77777777" w:rsidR="002B04EB" w:rsidRPr="003F7F6C" w:rsidRDefault="002B04EB" w:rsidP="00B851B7">
            <w:r w:rsidRPr="003F7F6C">
              <w:rPr>
                <w:rFonts w:cs="Calibri"/>
                <w:sz w:val="16"/>
                <w:szCs w:val="16"/>
              </w:rPr>
              <w:t>X</w:t>
            </w:r>
          </w:p>
        </w:tc>
        <w:tc>
          <w:tcPr>
            <w:tcW w:w="428" w:type="dxa"/>
          </w:tcPr>
          <w:p w14:paraId="64F639DE" w14:textId="77777777" w:rsidR="002B04EB" w:rsidRPr="003F7F6C" w:rsidRDefault="002B04EB" w:rsidP="00B851B7">
            <w:r w:rsidRPr="003F7F6C">
              <w:rPr>
                <w:rFonts w:cs="Calibri"/>
                <w:sz w:val="16"/>
                <w:szCs w:val="16"/>
              </w:rPr>
              <w:t>X</w:t>
            </w:r>
          </w:p>
        </w:tc>
        <w:tc>
          <w:tcPr>
            <w:tcW w:w="428" w:type="dxa"/>
          </w:tcPr>
          <w:p w14:paraId="5516EFF6" w14:textId="77777777" w:rsidR="002B04EB" w:rsidRPr="003F7F6C" w:rsidRDefault="002B04EB" w:rsidP="00B851B7">
            <w:r w:rsidRPr="003F7F6C">
              <w:rPr>
                <w:rFonts w:cs="Calibri"/>
                <w:sz w:val="16"/>
                <w:szCs w:val="16"/>
              </w:rPr>
              <w:t>X</w:t>
            </w:r>
          </w:p>
        </w:tc>
        <w:tc>
          <w:tcPr>
            <w:tcW w:w="428" w:type="dxa"/>
            <w:gridSpan w:val="2"/>
          </w:tcPr>
          <w:p w14:paraId="6C0082F0" w14:textId="77777777" w:rsidR="002B04EB" w:rsidRPr="003F7F6C" w:rsidRDefault="002B04EB" w:rsidP="00B851B7">
            <w:r w:rsidRPr="003F7F6C">
              <w:rPr>
                <w:rFonts w:cs="Calibri"/>
                <w:sz w:val="16"/>
                <w:szCs w:val="16"/>
              </w:rPr>
              <w:t>X</w:t>
            </w:r>
          </w:p>
        </w:tc>
        <w:tc>
          <w:tcPr>
            <w:tcW w:w="428" w:type="dxa"/>
          </w:tcPr>
          <w:p w14:paraId="6AAC1178" w14:textId="77777777" w:rsidR="002B04EB" w:rsidRPr="003F7F6C" w:rsidRDefault="002B04EB" w:rsidP="00B851B7">
            <w:r w:rsidRPr="003F7F6C">
              <w:rPr>
                <w:rFonts w:cs="Calibri"/>
                <w:sz w:val="16"/>
                <w:szCs w:val="16"/>
              </w:rPr>
              <w:t>X</w:t>
            </w:r>
          </w:p>
        </w:tc>
        <w:tc>
          <w:tcPr>
            <w:tcW w:w="428" w:type="dxa"/>
          </w:tcPr>
          <w:p w14:paraId="6627122A" w14:textId="77777777" w:rsidR="002B04EB" w:rsidRPr="003F7F6C" w:rsidRDefault="002B04EB" w:rsidP="00B851B7">
            <w:r w:rsidRPr="003F7F6C">
              <w:rPr>
                <w:rFonts w:cs="Calibri"/>
                <w:sz w:val="16"/>
                <w:szCs w:val="16"/>
              </w:rPr>
              <w:t>X</w:t>
            </w:r>
          </w:p>
        </w:tc>
        <w:tc>
          <w:tcPr>
            <w:tcW w:w="428" w:type="dxa"/>
          </w:tcPr>
          <w:p w14:paraId="03F0D2D7" w14:textId="77777777" w:rsidR="002B04EB" w:rsidRPr="003F7F6C" w:rsidRDefault="002B04EB" w:rsidP="00B851B7">
            <w:r w:rsidRPr="003F7F6C">
              <w:rPr>
                <w:rFonts w:cs="Calibri"/>
                <w:sz w:val="16"/>
                <w:szCs w:val="16"/>
              </w:rPr>
              <w:t>X</w:t>
            </w:r>
          </w:p>
        </w:tc>
        <w:tc>
          <w:tcPr>
            <w:tcW w:w="428" w:type="dxa"/>
            <w:gridSpan w:val="2"/>
          </w:tcPr>
          <w:p w14:paraId="48D54611" w14:textId="77777777" w:rsidR="002B04EB" w:rsidRPr="003F7F6C" w:rsidRDefault="002B04EB" w:rsidP="00B851B7">
            <w:r w:rsidRPr="003F7F6C">
              <w:rPr>
                <w:rFonts w:cs="Calibri"/>
                <w:sz w:val="16"/>
                <w:szCs w:val="16"/>
              </w:rPr>
              <w:t>X</w:t>
            </w:r>
          </w:p>
        </w:tc>
        <w:tc>
          <w:tcPr>
            <w:tcW w:w="428" w:type="dxa"/>
          </w:tcPr>
          <w:p w14:paraId="38EDCA5A" w14:textId="77777777" w:rsidR="002B04EB" w:rsidRPr="003F7F6C" w:rsidRDefault="002B04EB" w:rsidP="00B851B7">
            <w:r w:rsidRPr="003F7F6C">
              <w:rPr>
                <w:rFonts w:cs="Calibri"/>
                <w:sz w:val="16"/>
                <w:szCs w:val="16"/>
              </w:rPr>
              <w:t>X</w:t>
            </w:r>
          </w:p>
        </w:tc>
        <w:tc>
          <w:tcPr>
            <w:tcW w:w="428" w:type="dxa"/>
          </w:tcPr>
          <w:p w14:paraId="15789FD0" w14:textId="77777777" w:rsidR="002B04EB" w:rsidRPr="003F7F6C" w:rsidRDefault="002B04EB" w:rsidP="00B851B7">
            <w:r w:rsidRPr="003F7F6C">
              <w:rPr>
                <w:rFonts w:cs="Calibri"/>
                <w:sz w:val="16"/>
                <w:szCs w:val="16"/>
              </w:rPr>
              <w:t>X</w:t>
            </w:r>
          </w:p>
        </w:tc>
        <w:tc>
          <w:tcPr>
            <w:tcW w:w="428" w:type="dxa"/>
          </w:tcPr>
          <w:p w14:paraId="4F979C1E" w14:textId="77777777" w:rsidR="002B04EB" w:rsidRPr="003F7F6C" w:rsidRDefault="002B04EB" w:rsidP="00B851B7">
            <w:r w:rsidRPr="003F7F6C">
              <w:rPr>
                <w:rFonts w:cs="Calibri"/>
                <w:sz w:val="16"/>
                <w:szCs w:val="16"/>
              </w:rPr>
              <w:t>X</w:t>
            </w:r>
          </w:p>
        </w:tc>
        <w:tc>
          <w:tcPr>
            <w:tcW w:w="428" w:type="dxa"/>
            <w:gridSpan w:val="2"/>
          </w:tcPr>
          <w:p w14:paraId="064D1586" w14:textId="77777777" w:rsidR="002B04EB" w:rsidRPr="003F7F6C" w:rsidRDefault="002B04EB" w:rsidP="00B851B7">
            <w:r w:rsidRPr="003F7F6C">
              <w:rPr>
                <w:rFonts w:cs="Calibri"/>
                <w:sz w:val="16"/>
                <w:szCs w:val="16"/>
              </w:rPr>
              <w:t>X</w:t>
            </w:r>
          </w:p>
        </w:tc>
        <w:tc>
          <w:tcPr>
            <w:tcW w:w="428" w:type="dxa"/>
          </w:tcPr>
          <w:p w14:paraId="563F7B5D" w14:textId="77777777" w:rsidR="002B04EB" w:rsidRPr="003F7F6C" w:rsidRDefault="002B04EB" w:rsidP="00B851B7">
            <w:r w:rsidRPr="003F7F6C">
              <w:rPr>
                <w:rFonts w:cs="Calibri"/>
                <w:sz w:val="16"/>
                <w:szCs w:val="16"/>
              </w:rPr>
              <w:t>X</w:t>
            </w:r>
          </w:p>
        </w:tc>
        <w:tc>
          <w:tcPr>
            <w:tcW w:w="428" w:type="dxa"/>
          </w:tcPr>
          <w:p w14:paraId="5C6C75C7" w14:textId="77777777" w:rsidR="002B04EB" w:rsidRPr="003F7F6C" w:rsidRDefault="002B04EB" w:rsidP="00B851B7">
            <w:r w:rsidRPr="003F7F6C">
              <w:rPr>
                <w:rFonts w:cs="Calibri"/>
                <w:sz w:val="16"/>
                <w:szCs w:val="16"/>
              </w:rPr>
              <w:t>X</w:t>
            </w:r>
          </w:p>
        </w:tc>
        <w:tc>
          <w:tcPr>
            <w:tcW w:w="428" w:type="dxa"/>
          </w:tcPr>
          <w:p w14:paraId="47EF28B6" w14:textId="77777777" w:rsidR="002B04EB" w:rsidRPr="003F7F6C" w:rsidRDefault="002B04EB" w:rsidP="00B851B7">
            <w:r w:rsidRPr="003F7F6C">
              <w:rPr>
                <w:rFonts w:cs="Calibri"/>
                <w:sz w:val="16"/>
                <w:szCs w:val="16"/>
              </w:rPr>
              <w:t>X</w:t>
            </w:r>
          </w:p>
        </w:tc>
        <w:tc>
          <w:tcPr>
            <w:tcW w:w="428" w:type="dxa"/>
          </w:tcPr>
          <w:p w14:paraId="3CF9AAA7" w14:textId="77777777" w:rsidR="002B04EB" w:rsidRPr="003F7F6C" w:rsidRDefault="002B04EB" w:rsidP="00B851B7">
            <w:r w:rsidRPr="003F7F6C">
              <w:rPr>
                <w:rFonts w:cs="Calibri"/>
                <w:sz w:val="16"/>
                <w:szCs w:val="16"/>
              </w:rPr>
              <w:t>X</w:t>
            </w:r>
          </w:p>
        </w:tc>
      </w:tr>
      <w:tr w:rsidR="002B04EB" w:rsidRPr="003F7F6C" w14:paraId="3D3286F4" w14:textId="77777777" w:rsidTr="00B851B7">
        <w:tc>
          <w:tcPr>
            <w:tcW w:w="1668" w:type="dxa"/>
          </w:tcPr>
          <w:p w14:paraId="218B314E" w14:textId="77777777" w:rsidR="002B04EB" w:rsidRPr="003F7F6C" w:rsidRDefault="002B04EB" w:rsidP="00B851B7">
            <w:pPr>
              <w:rPr>
                <w:rFonts w:cs="Calibri"/>
                <w:sz w:val="16"/>
                <w:szCs w:val="16"/>
              </w:rPr>
            </w:pPr>
            <w:r w:rsidRPr="003F7F6C">
              <w:rPr>
                <w:rFonts w:cs="Calibri"/>
                <w:sz w:val="16"/>
                <w:szCs w:val="16"/>
              </w:rPr>
              <w:t>2.1.2 Strengthen legal framework for EIA agricultural projects</w:t>
            </w:r>
          </w:p>
        </w:tc>
        <w:tc>
          <w:tcPr>
            <w:tcW w:w="1057" w:type="dxa"/>
          </w:tcPr>
          <w:p w14:paraId="73EF32AF" w14:textId="77777777" w:rsidR="002B04EB" w:rsidRPr="003F7F6C" w:rsidRDefault="002B04EB" w:rsidP="00B851B7">
            <w:pPr>
              <w:rPr>
                <w:rFonts w:cs="Calibri"/>
                <w:sz w:val="16"/>
                <w:szCs w:val="16"/>
              </w:rPr>
            </w:pPr>
            <w:r w:rsidRPr="003F7F6C">
              <w:rPr>
                <w:rFonts w:cs="Calibri"/>
                <w:sz w:val="16"/>
                <w:szCs w:val="16"/>
              </w:rPr>
              <w:t>SAOT</w:t>
            </w:r>
          </w:p>
        </w:tc>
        <w:tc>
          <w:tcPr>
            <w:tcW w:w="428" w:type="dxa"/>
          </w:tcPr>
          <w:p w14:paraId="3A784A00" w14:textId="77777777" w:rsidR="002B04EB" w:rsidRPr="003F7F6C" w:rsidRDefault="002B04EB" w:rsidP="00B851B7"/>
        </w:tc>
        <w:tc>
          <w:tcPr>
            <w:tcW w:w="444" w:type="dxa"/>
          </w:tcPr>
          <w:p w14:paraId="33BBC787" w14:textId="77777777" w:rsidR="002B04EB" w:rsidRPr="003F7F6C" w:rsidRDefault="002B04EB" w:rsidP="00B851B7">
            <w:r w:rsidRPr="003F7F6C">
              <w:rPr>
                <w:rFonts w:cs="Calibri"/>
                <w:sz w:val="16"/>
                <w:szCs w:val="16"/>
              </w:rPr>
              <w:t>X</w:t>
            </w:r>
          </w:p>
        </w:tc>
        <w:tc>
          <w:tcPr>
            <w:tcW w:w="428" w:type="dxa"/>
          </w:tcPr>
          <w:p w14:paraId="45E2649A" w14:textId="77777777" w:rsidR="002B04EB" w:rsidRPr="003F7F6C" w:rsidRDefault="002B04EB" w:rsidP="00B851B7">
            <w:r w:rsidRPr="003F7F6C">
              <w:rPr>
                <w:rFonts w:cs="Calibri"/>
                <w:sz w:val="16"/>
                <w:szCs w:val="16"/>
              </w:rPr>
              <w:t>X</w:t>
            </w:r>
          </w:p>
        </w:tc>
        <w:tc>
          <w:tcPr>
            <w:tcW w:w="428" w:type="dxa"/>
            <w:gridSpan w:val="2"/>
          </w:tcPr>
          <w:p w14:paraId="193A4AA1" w14:textId="77777777" w:rsidR="002B04EB" w:rsidRPr="003F7F6C" w:rsidRDefault="002B04EB" w:rsidP="00B851B7">
            <w:r w:rsidRPr="003F7F6C">
              <w:rPr>
                <w:rFonts w:cs="Calibri"/>
                <w:sz w:val="16"/>
                <w:szCs w:val="16"/>
              </w:rPr>
              <w:t>X</w:t>
            </w:r>
          </w:p>
        </w:tc>
        <w:tc>
          <w:tcPr>
            <w:tcW w:w="428" w:type="dxa"/>
          </w:tcPr>
          <w:p w14:paraId="6C4DBE6E" w14:textId="77777777" w:rsidR="002B04EB" w:rsidRPr="003F7F6C" w:rsidRDefault="002B04EB" w:rsidP="00B851B7">
            <w:r w:rsidRPr="003F7F6C">
              <w:rPr>
                <w:rFonts w:cs="Calibri"/>
                <w:sz w:val="16"/>
                <w:szCs w:val="16"/>
              </w:rPr>
              <w:t>X</w:t>
            </w:r>
          </w:p>
        </w:tc>
        <w:tc>
          <w:tcPr>
            <w:tcW w:w="427" w:type="dxa"/>
          </w:tcPr>
          <w:p w14:paraId="7D8F67C9" w14:textId="77777777" w:rsidR="002B04EB" w:rsidRPr="003F7F6C" w:rsidRDefault="002B04EB" w:rsidP="00B851B7">
            <w:r w:rsidRPr="003F7F6C">
              <w:rPr>
                <w:rFonts w:cs="Calibri"/>
                <w:sz w:val="16"/>
                <w:szCs w:val="16"/>
              </w:rPr>
              <w:t>X</w:t>
            </w:r>
          </w:p>
        </w:tc>
        <w:tc>
          <w:tcPr>
            <w:tcW w:w="427" w:type="dxa"/>
          </w:tcPr>
          <w:p w14:paraId="018D8488" w14:textId="77777777" w:rsidR="002B04EB" w:rsidRPr="003F7F6C" w:rsidRDefault="002B04EB" w:rsidP="00B851B7">
            <w:r w:rsidRPr="003F7F6C">
              <w:rPr>
                <w:rFonts w:cs="Calibri"/>
                <w:sz w:val="16"/>
                <w:szCs w:val="16"/>
              </w:rPr>
              <w:t>X</w:t>
            </w:r>
          </w:p>
        </w:tc>
        <w:tc>
          <w:tcPr>
            <w:tcW w:w="427" w:type="dxa"/>
            <w:gridSpan w:val="2"/>
          </w:tcPr>
          <w:p w14:paraId="2D220849" w14:textId="77777777" w:rsidR="002B04EB" w:rsidRPr="003F7F6C" w:rsidRDefault="002B04EB" w:rsidP="00B851B7">
            <w:r w:rsidRPr="003F7F6C">
              <w:rPr>
                <w:rFonts w:cs="Calibri"/>
                <w:sz w:val="16"/>
                <w:szCs w:val="16"/>
              </w:rPr>
              <w:t>X</w:t>
            </w:r>
          </w:p>
        </w:tc>
        <w:tc>
          <w:tcPr>
            <w:tcW w:w="428" w:type="dxa"/>
          </w:tcPr>
          <w:p w14:paraId="0DA498D0" w14:textId="77777777" w:rsidR="002B04EB" w:rsidRPr="003F7F6C" w:rsidRDefault="002B04EB" w:rsidP="00B851B7">
            <w:r w:rsidRPr="003F7F6C">
              <w:rPr>
                <w:rFonts w:cs="Calibri"/>
                <w:sz w:val="16"/>
                <w:szCs w:val="16"/>
              </w:rPr>
              <w:t>X</w:t>
            </w:r>
          </w:p>
        </w:tc>
        <w:tc>
          <w:tcPr>
            <w:tcW w:w="428" w:type="dxa"/>
          </w:tcPr>
          <w:p w14:paraId="7E871CB1" w14:textId="77777777" w:rsidR="002B04EB" w:rsidRPr="003F7F6C" w:rsidRDefault="002B04EB" w:rsidP="00B851B7">
            <w:r w:rsidRPr="003F7F6C">
              <w:rPr>
                <w:rFonts w:cs="Calibri"/>
                <w:sz w:val="16"/>
                <w:szCs w:val="16"/>
              </w:rPr>
              <w:t>X</w:t>
            </w:r>
          </w:p>
        </w:tc>
        <w:tc>
          <w:tcPr>
            <w:tcW w:w="428" w:type="dxa"/>
          </w:tcPr>
          <w:p w14:paraId="2064B28B" w14:textId="77777777" w:rsidR="002B04EB" w:rsidRPr="003F7F6C" w:rsidRDefault="002B04EB" w:rsidP="00B851B7">
            <w:r w:rsidRPr="003F7F6C">
              <w:rPr>
                <w:rFonts w:cs="Calibri"/>
                <w:sz w:val="16"/>
                <w:szCs w:val="16"/>
              </w:rPr>
              <w:t>X</w:t>
            </w:r>
          </w:p>
        </w:tc>
        <w:tc>
          <w:tcPr>
            <w:tcW w:w="428" w:type="dxa"/>
            <w:gridSpan w:val="2"/>
          </w:tcPr>
          <w:p w14:paraId="52224082" w14:textId="77777777" w:rsidR="002B04EB" w:rsidRPr="003F7F6C" w:rsidRDefault="002B04EB" w:rsidP="00B851B7">
            <w:r w:rsidRPr="003F7F6C">
              <w:rPr>
                <w:rFonts w:cs="Calibri"/>
                <w:sz w:val="16"/>
                <w:szCs w:val="16"/>
              </w:rPr>
              <w:t>X</w:t>
            </w:r>
          </w:p>
        </w:tc>
        <w:tc>
          <w:tcPr>
            <w:tcW w:w="428" w:type="dxa"/>
          </w:tcPr>
          <w:p w14:paraId="0711960B" w14:textId="77777777" w:rsidR="002B04EB" w:rsidRPr="003F7F6C" w:rsidRDefault="002B04EB" w:rsidP="00B851B7">
            <w:r w:rsidRPr="003F7F6C">
              <w:rPr>
                <w:rFonts w:cs="Calibri"/>
                <w:sz w:val="16"/>
                <w:szCs w:val="16"/>
              </w:rPr>
              <w:t>X</w:t>
            </w:r>
          </w:p>
        </w:tc>
        <w:tc>
          <w:tcPr>
            <w:tcW w:w="428" w:type="dxa"/>
          </w:tcPr>
          <w:p w14:paraId="48B5DD2B" w14:textId="77777777" w:rsidR="002B04EB" w:rsidRPr="003F7F6C" w:rsidRDefault="002B04EB" w:rsidP="00B851B7">
            <w:r w:rsidRPr="003F7F6C">
              <w:rPr>
                <w:rFonts w:cs="Calibri"/>
                <w:sz w:val="16"/>
                <w:szCs w:val="16"/>
              </w:rPr>
              <w:t>X</w:t>
            </w:r>
          </w:p>
        </w:tc>
        <w:tc>
          <w:tcPr>
            <w:tcW w:w="428" w:type="dxa"/>
          </w:tcPr>
          <w:p w14:paraId="03F284CE" w14:textId="77777777" w:rsidR="002B04EB" w:rsidRPr="003F7F6C" w:rsidRDefault="002B04EB" w:rsidP="00B851B7">
            <w:r w:rsidRPr="003F7F6C">
              <w:rPr>
                <w:rFonts w:cs="Calibri"/>
                <w:sz w:val="16"/>
                <w:szCs w:val="16"/>
              </w:rPr>
              <w:t>X</w:t>
            </w:r>
          </w:p>
        </w:tc>
        <w:tc>
          <w:tcPr>
            <w:tcW w:w="428" w:type="dxa"/>
            <w:gridSpan w:val="2"/>
          </w:tcPr>
          <w:p w14:paraId="09DD7F92" w14:textId="77777777" w:rsidR="002B04EB" w:rsidRPr="003F7F6C" w:rsidRDefault="002B04EB" w:rsidP="00B851B7">
            <w:r w:rsidRPr="003F7F6C">
              <w:rPr>
                <w:rFonts w:cs="Calibri"/>
                <w:sz w:val="16"/>
                <w:szCs w:val="16"/>
              </w:rPr>
              <w:t>X</w:t>
            </w:r>
          </w:p>
        </w:tc>
        <w:tc>
          <w:tcPr>
            <w:tcW w:w="428" w:type="dxa"/>
          </w:tcPr>
          <w:p w14:paraId="1173C860" w14:textId="77777777" w:rsidR="002B04EB" w:rsidRPr="003F7F6C" w:rsidRDefault="002B04EB" w:rsidP="00B851B7">
            <w:r w:rsidRPr="003F7F6C">
              <w:rPr>
                <w:rFonts w:cs="Calibri"/>
                <w:sz w:val="16"/>
                <w:szCs w:val="16"/>
              </w:rPr>
              <w:t>X</w:t>
            </w:r>
          </w:p>
        </w:tc>
        <w:tc>
          <w:tcPr>
            <w:tcW w:w="428" w:type="dxa"/>
          </w:tcPr>
          <w:p w14:paraId="21DAD787" w14:textId="77777777" w:rsidR="002B04EB" w:rsidRPr="003F7F6C" w:rsidRDefault="002B04EB" w:rsidP="00B851B7">
            <w:r w:rsidRPr="003F7F6C">
              <w:rPr>
                <w:rFonts w:cs="Calibri"/>
                <w:sz w:val="16"/>
                <w:szCs w:val="16"/>
              </w:rPr>
              <w:t>X</w:t>
            </w:r>
          </w:p>
        </w:tc>
        <w:tc>
          <w:tcPr>
            <w:tcW w:w="428" w:type="dxa"/>
          </w:tcPr>
          <w:p w14:paraId="638B28E9" w14:textId="77777777" w:rsidR="002B04EB" w:rsidRPr="003F7F6C" w:rsidRDefault="002B04EB" w:rsidP="00B851B7">
            <w:r w:rsidRPr="003F7F6C">
              <w:rPr>
                <w:rFonts w:cs="Calibri"/>
                <w:sz w:val="16"/>
                <w:szCs w:val="16"/>
              </w:rPr>
              <w:t>X</w:t>
            </w:r>
          </w:p>
        </w:tc>
        <w:tc>
          <w:tcPr>
            <w:tcW w:w="428" w:type="dxa"/>
            <w:gridSpan w:val="2"/>
          </w:tcPr>
          <w:p w14:paraId="6CAD6ECC" w14:textId="77777777" w:rsidR="002B04EB" w:rsidRPr="003F7F6C" w:rsidRDefault="002B04EB" w:rsidP="00B851B7">
            <w:r w:rsidRPr="003F7F6C">
              <w:rPr>
                <w:rFonts w:cs="Calibri"/>
                <w:sz w:val="16"/>
                <w:szCs w:val="16"/>
              </w:rPr>
              <w:t>X</w:t>
            </w:r>
          </w:p>
        </w:tc>
        <w:tc>
          <w:tcPr>
            <w:tcW w:w="428" w:type="dxa"/>
          </w:tcPr>
          <w:p w14:paraId="5480877D" w14:textId="77777777" w:rsidR="002B04EB" w:rsidRPr="003F7F6C" w:rsidRDefault="002B04EB" w:rsidP="00B851B7">
            <w:r w:rsidRPr="003F7F6C">
              <w:rPr>
                <w:rFonts w:cs="Calibri"/>
                <w:sz w:val="16"/>
                <w:szCs w:val="16"/>
              </w:rPr>
              <w:t>X</w:t>
            </w:r>
          </w:p>
        </w:tc>
        <w:tc>
          <w:tcPr>
            <w:tcW w:w="428" w:type="dxa"/>
          </w:tcPr>
          <w:p w14:paraId="61DA9828" w14:textId="77777777" w:rsidR="002B04EB" w:rsidRPr="003F7F6C" w:rsidRDefault="002B04EB" w:rsidP="00B851B7">
            <w:r w:rsidRPr="003F7F6C">
              <w:rPr>
                <w:rFonts w:cs="Calibri"/>
                <w:sz w:val="16"/>
                <w:szCs w:val="16"/>
              </w:rPr>
              <w:t>X</w:t>
            </w:r>
          </w:p>
        </w:tc>
        <w:tc>
          <w:tcPr>
            <w:tcW w:w="428" w:type="dxa"/>
          </w:tcPr>
          <w:p w14:paraId="1A0C16E4" w14:textId="77777777" w:rsidR="002B04EB" w:rsidRPr="003F7F6C" w:rsidRDefault="002B04EB" w:rsidP="00B851B7">
            <w:r w:rsidRPr="003F7F6C">
              <w:rPr>
                <w:rFonts w:cs="Calibri"/>
                <w:sz w:val="16"/>
                <w:szCs w:val="16"/>
              </w:rPr>
              <w:t>X</w:t>
            </w:r>
          </w:p>
        </w:tc>
        <w:tc>
          <w:tcPr>
            <w:tcW w:w="428" w:type="dxa"/>
          </w:tcPr>
          <w:p w14:paraId="5CD6F2EE" w14:textId="77777777" w:rsidR="002B04EB" w:rsidRPr="003F7F6C" w:rsidRDefault="002B04EB" w:rsidP="00B851B7">
            <w:r w:rsidRPr="003F7F6C">
              <w:rPr>
                <w:rFonts w:cs="Calibri"/>
                <w:sz w:val="16"/>
                <w:szCs w:val="16"/>
              </w:rPr>
              <w:t>X</w:t>
            </w:r>
          </w:p>
        </w:tc>
      </w:tr>
      <w:tr w:rsidR="002B04EB" w:rsidRPr="003F7F6C" w14:paraId="0E66128F" w14:textId="77777777" w:rsidTr="00B851B7">
        <w:tc>
          <w:tcPr>
            <w:tcW w:w="1668" w:type="dxa"/>
          </w:tcPr>
          <w:p w14:paraId="56700718" w14:textId="77777777" w:rsidR="002B04EB" w:rsidRPr="003F7F6C" w:rsidRDefault="002B04EB" w:rsidP="00E91275">
            <w:pPr>
              <w:pStyle w:val="ListParagraph"/>
              <w:numPr>
                <w:ilvl w:val="0"/>
                <w:numId w:val="29"/>
              </w:numPr>
              <w:spacing w:after="0"/>
              <w:ind w:left="174" w:hanging="174"/>
              <w:contextualSpacing w:val="0"/>
              <w:rPr>
                <w:rFonts w:cs="Calibri"/>
                <w:sz w:val="16"/>
                <w:szCs w:val="16"/>
              </w:rPr>
            </w:pPr>
            <w:r w:rsidRPr="003F7F6C">
              <w:rPr>
                <w:rFonts w:cs="Calibri"/>
                <w:sz w:val="16"/>
                <w:szCs w:val="16"/>
              </w:rPr>
              <w:t>Assess implementation of Law 6045 and Law 4902</w:t>
            </w:r>
          </w:p>
        </w:tc>
        <w:tc>
          <w:tcPr>
            <w:tcW w:w="1057" w:type="dxa"/>
          </w:tcPr>
          <w:p w14:paraId="22CD165C" w14:textId="77777777" w:rsidR="002B04EB" w:rsidRPr="003F7F6C" w:rsidRDefault="002B04EB" w:rsidP="00B851B7">
            <w:pPr>
              <w:rPr>
                <w:rFonts w:cs="Calibri"/>
                <w:sz w:val="16"/>
                <w:szCs w:val="16"/>
              </w:rPr>
            </w:pPr>
            <w:r w:rsidRPr="003F7F6C">
              <w:rPr>
                <w:rFonts w:cs="Calibri"/>
                <w:sz w:val="16"/>
                <w:szCs w:val="16"/>
              </w:rPr>
              <w:t>SAOT</w:t>
            </w:r>
          </w:p>
        </w:tc>
        <w:tc>
          <w:tcPr>
            <w:tcW w:w="428" w:type="dxa"/>
          </w:tcPr>
          <w:p w14:paraId="30DF9DD1" w14:textId="77777777" w:rsidR="002B04EB" w:rsidRPr="003F7F6C" w:rsidRDefault="002B04EB" w:rsidP="00B851B7"/>
        </w:tc>
        <w:tc>
          <w:tcPr>
            <w:tcW w:w="444" w:type="dxa"/>
          </w:tcPr>
          <w:p w14:paraId="0DB61EF7" w14:textId="77777777" w:rsidR="002B04EB" w:rsidRPr="003F7F6C" w:rsidRDefault="002B04EB" w:rsidP="00B851B7">
            <w:r w:rsidRPr="003F7F6C">
              <w:rPr>
                <w:rFonts w:cs="Calibri"/>
                <w:sz w:val="16"/>
                <w:szCs w:val="16"/>
              </w:rPr>
              <w:t>X</w:t>
            </w:r>
          </w:p>
        </w:tc>
        <w:tc>
          <w:tcPr>
            <w:tcW w:w="428" w:type="dxa"/>
          </w:tcPr>
          <w:p w14:paraId="1ECE9A83" w14:textId="77777777" w:rsidR="002B04EB" w:rsidRPr="003F7F6C" w:rsidRDefault="002B04EB" w:rsidP="00B851B7">
            <w:r w:rsidRPr="003F7F6C">
              <w:rPr>
                <w:rFonts w:cs="Calibri"/>
                <w:sz w:val="16"/>
                <w:szCs w:val="16"/>
              </w:rPr>
              <w:t>X</w:t>
            </w:r>
          </w:p>
        </w:tc>
        <w:tc>
          <w:tcPr>
            <w:tcW w:w="428" w:type="dxa"/>
            <w:gridSpan w:val="2"/>
          </w:tcPr>
          <w:p w14:paraId="770A5094" w14:textId="77777777" w:rsidR="002B04EB" w:rsidRPr="003F7F6C" w:rsidRDefault="002B04EB" w:rsidP="00B851B7">
            <w:r w:rsidRPr="003F7F6C">
              <w:rPr>
                <w:rFonts w:cs="Calibri"/>
                <w:sz w:val="16"/>
                <w:szCs w:val="16"/>
              </w:rPr>
              <w:t>X</w:t>
            </w:r>
          </w:p>
        </w:tc>
        <w:tc>
          <w:tcPr>
            <w:tcW w:w="428" w:type="dxa"/>
          </w:tcPr>
          <w:p w14:paraId="61C2386C" w14:textId="77777777" w:rsidR="002B04EB" w:rsidRPr="003F7F6C" w:rsidRDefault="002B04EB" w:rsidP="00B851B7">
            <w:r w:rsidRPr="003F7F6C">
              <w:rPr>
                <w:rFonts w:cs="Calibri"/>
                <w:sz w:val="16"/>
                <w:szCs w:val="16"/>
              </w:rPr>
              <w:t>X</w:t>
            </w:r>
          </w:p>
        </w:tc>
        <w:tc>
          <w:tcPr>
            <w:tcW w:w="427" w:type="dxa"/>
          </w:tcPr>
          <w:p w14:paraId="72FB6E68" w14:textId="77777777" w:rsidR="002B04EB" w:rsidRPr="003F7F6C" w:rsidRDefault="002B04EB" w:rsidP="00B851B7">
            <w:r w:rsidRPr="003F7F6C">
              <w:rPr>
                <w:rFonts w:cs="Calibri"/>
                <w:sz w:val="16"/>
                <w:szCs w:val="16"/>
              </w:rPr>
              <w:t>X</w:t>
            </w:r>
          </w:p>
        </w:tc>
        <w:tc>
          <w:tcPr>
            <w:tcW w:w="427" w:type="dxa"/>
          </w:tcPr>
          <w:p w14:paraId="32C7908E" w14:textId="77777777" w:rsidR="002B04EB" w:rsidRPr="003F7F6C" w:rsidRDefault="002B04EB" w:rsidP="00B851B7">
            <w:r w:rsidRPr="003F7F6C">
              <w:rPr>
                <w:rFonts w:cs="Calibri"/>
                <w:sz w:val="16"/>
                <w:szCs w:val="16"/>
              </w:rPr>
              <w:t>X</w:t>
            </w:r>
          </w:p>
        </w:tc>
        <w:tc>
          <w:tcPr>
            <w:tcW w:w="427" w:type="dxa"/>
            <w:gridSpan w:val="2"/>
          </w:tcPr>
          <w:p w14:paraId="2D016C55" w14:textId="77777777" w:rsidR="002B04EB" w:rsidRPr="003F7F6C" w:rsidRDefault="002B04EB" w:rsidP="00B851B7">
            <w:r w:rsidRPr="003F7F6C">
              <w:rPr>
                <w:rFonts w:cs="Calibri"/>
                <w:sz w:val="16"/>
                <w:szCs w:val="16"/>
              </w:rPr>
              <w:t>X</w:t>
            </w:r>
          </w:p>
        </w:tc>
        <w:tc>
          <w:tcPr>
            <w:tcW w:w="428" w:type="dxa"/>
          </w:tcPr>
          <w:p w14:paraId="2AA5BD11" w14:textId="77777777" w:rsidR="002B04EB" w:rsidRPr="003F7F6C" w:rsidRDefault="002B04EB" w:rsidP="00B851B7">
            <w:r w:rsidRPr="003F7F6C">
              <w:rPr>
                <w:rFonts w:cs="Calibri"/>
                <w:sz w:val="16"/>
                <w:szCs w:val="16"/>
              </w:rPr>
              <w:t>X</w:t>
            </w:r>
          </w:p>
        </w:tc>
        <w:tc>
          <w:tcPr>
            <w:tcW w:w="428" w:type="dxa"/>
          </w:tcPr>
          <w:p w14:paraId="3352F3E4" w14:textId="77777777" w:rsidR="002B04EB" w:rsidRPr="003F7F6C" w:rsidRDefault="002B04EB" w:rsidP="00B851B7">
            <w:r w:rsidRPr="003F7F6C">
              <w:rPr>
                <w:rFonts w:cs="Calibri"/>
                <w:sz w:val="16"/>
                <w:szCs w:val="16"/>
              </w:rPr>
              <w:t>X</w:t>
            </w:r>
          </w:p>
        </w:tc>
        <w:tc>
          <w:tcPr>
            <w:tcW w:w="428" w:type="dxa"/>
          </w:tcPr>
          <w:p w14:paraId="10634CF2" w14:textId="77777777" w:rsidR="002B04EB" w:rsidRPr="003F7F6C" w:rsidRDefault="002B04EB" w:rsidP="00B851B7">
            <w:r w:rsidRPr="003F7F6C">
              <w:rPr>
                <w:rFonts w:cs="Calibri"/>
                <w:sz w:val="16"/>
                <w:szCs w:val="16"/>
              </w:rPr>
              <w:t>X</w:t>
            </w:r>
          </w:p>
        </w:tc>
        <w:tc>
          <w:tcPr>
            <w:tcW w:w="428" w:type="dxa"/>
            <w:gridSpan w:val="2"/>
          </w:tcPr>
          <w:p w14:paraId="4C8B8E98" w14:textId="77777777" w:rsidR="002B04EB" w:rsidRPr="003F7F6C" w:rsidRDefault="002B04EB" w:rsidP="00B851B7">
            <w:r w:rsidRPr="003F7F6C">
              <w:rPr>
                <w:rFonts w:cs="Calibri"/>
                <w:sz w:val="16"/>
                <w:szCs w:val="16"/>
              </w:rPr>
              <w:t>X</w:t>
            </w:r>
          </w:p>
        </w:tc>
        <w:tc>
          <w:tcPr>
            <w:tcW w:w="428" w:type="dxa"/>
          </w:tcPr>
          <w:p w14:paraId="20EA3D47" w14:textId="77777777" w:rsidR="002B04EB" w:rsidRPr="003F7F6C" w:rsidRDefault="002B04EB" w:rsidP="00B851B7">
            <w:r w:rsidRPr="003F7F6C">
              <w:rPr>
                <w:rFonts w:cs="Calibri"/>
                <w:sz w:val="16"/>
                <w:szCs w:val="16"/>
              </w:rPr>
              <w:t>X</w:t>
            </w:r>
          </w:p>
        </w:tc>
        <w:tc>
          <w:tcPr>
            <w:tcW w:w="428" w:type="dxa"/>
          </w:tcPr>
          <w:p w14:paraId="553DA163" w14:textId="77777777" w:rsidR="002B04EB" w:rsidRPr="003F7F6C" w:rsidRDefault="002B04EB" w:rsidP="00B851B7">
            <w:r w:rsidRPr="003F7F6C">
              <w:rPr>
                <w:rFonts w:cs="Calibri"/>
                <w:sz w:val="16"/>
                <w:szCs w:val="16"/>
              </w:rPr>
              <w:t>X</w:t>
            </w:r>
          </w:p>
        </w:tc>
        <w:tc>
          <w:tcPr>
            <w:tcW w:w="428" w:type="dxa"/>
          </w:tcPr>
          <w:p w14:paraId="38652F94" w14:textId="77777777" w:rsidR="002B04EB" w:rsidRPr="003F7F6C" w:rsidRDefault="002B04EB" w:rsidP="00B851B7">
            <w:r w:rsidRPr="003F7F6C">
              <w:rPr>
                <w:rFonts w:cs="Calibri"/>
                <w:sz w:val="16"/>
                <w:szCs w:val="16"/>
              </w:rPr>
              <w:t>X</w:t>
            </w:r>
          </w:p>
        </w:tc>
        <w:tc>
          <w:tcPr>
            <w:tcW w:w="428" w:type="dxa"/>
            <w:gridSpan w:val="2"/>
          </w:tcPr>
          <w:p w14:paraId="1CDF07BA" w14:textId="77777777" w:rsidR="002B04EB" w:rsidRPr="003F7F6C" w:rsidRDefault="002B04EB" w:rsidP="00B851B7">
            <w:r w:rsidRPr="003F7F6C">
              <w:rPr>
                <w:rFonts w:cs="Calibri"/>
                <w:sz w:val="16"/>
                <w:szCs w:val="16"/>
              </w:rPr>
              <w:t>X</w:t>
            </w:r>
          </w:p>
        </w:tc>
        <w:tc>
          <w:tcPr>
            <w:tcW w:w="428" w:type="dxa"/>
          </w:tcPr>
          <w:p w14:paraId="33381E92" w14:textId="77777777" w:rsidR="002B04EB" w:rsidRPr="003F7F6C" w:rsidRDefault="002B04EB" w:rsidP="00B851B7">
            <w:r w:rsidRPr="003F7F6C">
              <w:rPr>
                <w:rFonts w:cs="Calibri"/>
                <w:sz w:val="16"/>
                <w:szCs w:val="16"/>
              </w:rPr>
              <w:t>X</w:t>
            </w:r>
          </w:p>
        </w:tc>
        <w:tc>
          <w:tcPr>
            <w:tcW w:w="428" w:type="dxa"/>
          </w:tcPr>
          <w:p w14:paraId="0AF9A321" w14:textId="77777777" w:rsidR="002B04EB" w:rsidRPr="003F7F6C" w:rsidRDefault="002B04EB" w:rsidP="00B851B7">
            <w:r w:rsidRPr="003F7F6C">
              <w:rPr>
                <w:rFonts w:cs="Calibri"/>
                <w:sz w:val="16"/>
                <w:szCs w:val="16"/>
              </w:rPr>
              <w:t>X</w:t>
            </w:r>
          </w:p>
        </w:tc>
        <w:tc>
          <w:tcPr>
            <w:tcW w:w="428" w:type="dxa"/>
          </w:tcPr>
          <w:p w14:paraId="25F3E588" w14:textId="77777777" w:rsidR="002B04EB" w:rsidRPr="003F7F6C" w:rsidRDefault="002B04EB" w:rsidP="00B851B7">
            <w:r w:rsidRPr="003F7F6C">
              <w:rPr>
                <w:rFonts w:cs="Calibri"/>
                <w:sz w:val="16"/>
                <w:szCs w:val="16"/>
              </w:rPr>
              <w:t>X</w:t>
            </w:r>
          </w:p>
        </w:tc>
        <w:tc>
          <w:tcPr>
            <w:tcW w:w="428" w:type="dxa"/>
            <w:gridSpan w:val="2"/>
          </w:tcPr>
          <w:p w14:paraId="18B96342" w14:textId="77777777" w:rsidR="002B04EB" w:rsidRPr="003F7F6C" w:rsidRDefault="002B04EB" w:rsidP="00B851B7">
            <w:r w:rsidRPr="003F7F6C">
              <w:rPr>
                <w:rFonts w:cs="Calibri"/>
                <w:sz w:val="16"/>
                <w:szCs w:val="16"/>
              </w:rPr>
              <w:t>X</w:t>
            </w:r>
          </w:p>
        </w:tc>
        <w:tc>
          <w:tcPr>
            <w:tcW w:w="428" w:type="dxa"/>
          </w:tcPr>
          <w:p w14:paraId="1B218E15" w14:textId="77777777" w:rsidR="002B04EB" w:rsidRPr="003F7F6C" w:rsidRDefault="002B04EB" w:rsidP="00B851B7">
            <w:r w:rsidRPr="003F7F6C">
              <w:rPr>
                <w:rFonts w:cs="Calibri"/>
                <w:sz w:val="16"/>
                <w:szCs w:val="16"/>
              </w:rPr>
              <w:t>X</w:t>
            </w:r>
          </w:p>
        </w:tc>
        <w:tc>
          <w:tcPr>
            <w:tcW w:w="428" w:type="dxa"/>
          </w:tcPr>
          <w:p w14:paraId="71546A75" w14:textId="77777777" w:rsidR="002B04EB" w:rsidRPr="003F7F6C" w:rsidRDefault="002B04EB" w:rsidP="00B851B7">
            <w:r w:rsidRPr="003F7F6C">
              <w:rPr>
                <w:rFonts w:cs="Calibri"/>
                <w:sz w:val="16"/>
                <w:szCs w:val="16"/>
              </w:rPr>
              <w:t>X</w:t>
            </w:r>
          </w:p>
        </w:tc>
        <w:tc>
          <w:tcPr>
            <w:tcW w:w="428" w:type="dxa"/>
          </w:tcPr>
          <w:p w14:paraId="4E84F880" w14:textId="77777777" w:rsidR="002B04EB" w:rsidRPr="003F7F6C" w:rsidRDefault="002B04EB" w:rsidP="00B851B7">
            <w:r w:rsidRPr="003F7F6C">
              <w:rPr>
                <w:rFonts w:cs="Calibri"/>
                <w:sz w:val="16"/>
                <w:szCs w:val="16"/>
              </w:rPr>
              <w:t>X</w:t>
            </w:r>
          </w:p>
        </w:tc>
        <w:tc>
          <w:tcPr>
            <w:tcW w:w="428" w:type="dxa"/>
          </w:tcPr>
          <w:p w14:paraId="5E3E12DA" w14:textId="77777777" w:rsidR="002B04EB" w:rsidRPr="003F7F6C" w:rsidRDefault="002B04EB" w:rsidP="00B851B7">
            <w:r w:rsidRPr="003F7F6C">
              <w:rPr>
                <w:rFonts w:cs="Calibri"/>
                <w:sz w:val="16"/>
                <w:szCs w:val="16"/>
              </w:rPr>
              <w:t>X</w:t>
            </w:r>
          </w:p>
        </w:tc>
      </w:tr>
      <w:tr w:rsidR="002B04EB" w:rsidRPr="003F7F6C" w14:paraId="1D3BFCBE" w14:textId="77777777" w:rsidTr="00B851B7">
        <w:tc>
          <w:tcPr>
            <w:tcW w:w="1668" w:type="dxa"/>
          </w:tcPr>
          <w:p w14:paraId="7CE2B7DC" w14:textId="77777777" w:rsidR="002B04EB" w:rsidRPr="003F7F6C" w:rsidRDefault="002B04EB" w:rsidP="00B851B7">
            <w:pPr>
              <w:rPr>
                <w:rFonts w:cs="Calibri"/>
                <w:sz w:val="16"/>
                <w:szCs w:val="16"/>
              </w:rPr>
            </w:pPr>
            <w:r w:rsidRPr="003F7F6C">
              <w:rPr>
                <w:rFonts w:cs="Calibri"/>
                <w:sz w:val="16"/>
                <w:szCs w:val="16"/>
              </w:rPr>
              <w:t>2.1.3 Develop instruments for PAs</w:t>
            </w:r>
          </w:p>
        </w:tc>
        <w:tc>
          <w:tcPr>
            <w:tcW w:w="1057" w:type="dxa"/>
          </w:tcPr>
          <w:p w14:paraId="20B470CE" w14:textId="77777777" w:rsidR="002B04EB" w:rsidRPr="003F7F6C" w:rsidRDefault="002B04EB" w:rsidP="00B851B7">
            <w:pPr>
              <w:rPr>
                <w:rFonts w:cs="Calibri"/>
                <w:sz w:val="16"/>
                <w:szCs w:val="16"/>
              </w:rPr>
            </w:pPr>
            <w:r w:rsidRPr="003F7F6C">
              <w:rPr>
                <w:rFonts w:cs="Calibri"/>
                <w:sz w:val="16"/>
                <w:szCs w:val="16"/>
              </w:rPr>
              <w:t>SAOT</w:t>
            </w:r>
          </w:p>
        </w:tc>
        <w:tc>
          <w:tcPr>
            <w:tcW w:w="428" w:type="dxa"/>
          </w:tcPr>
          <w:p w14:paraId="4558484E" w14:textId="77777777" w:rsidR="002B04EB" w:rsidRPr="003F7F6C" w:rsidRDefault="002B04EB" w:rsidP="00B851B7"/>
        </w:tc>
        <w:tc>
          <w:tcPr>
            <w:tcW w:w="444" w:type="dxa"/>
          </w:tcPr>
          <w:p w14:paraId="66DABE63" w14:textId="77777777" w:rsidR="002B04EB" w:rsidRPr="003F7F6C" w:rsidRDefault="002B04EB" w:rsidP="00B851B7">
            <w:r w:rsidRPr="003F7F6C">
              <w:rPr>
                <w:rFonts w:cs="Calibri"/>
                <w:sz w:val="16"/>
                <w:szCs w:val="16"/>
              </w:rPr>
              <w:t>X</w:t>
            </w:r>
          </w:p>
        </w:tc>
        <w:tc>
          <w:tcPr>
            <w:tcW w:w="428" w:type="dxa"/>
          </w:tcPr>
          <w:p w14:paraId="70C6C4F0" w14:textId="77777777" w:rsidR="002B04EB" w:rsidRPr="003F7F6C" w:rsidRDefault="002B04EB" w:rsidP="00B851B7">
            <w:r w:rsidRPr="003F7F6C">
              <w:rPr>
                <w:rFonts w:cs="Calibri"/>
                <w:sz w:val="16"/>
                <w:szCs w:val="16"/>
              </w:rPr>
              <w:t>X</w:t>
            </w:r>
          </w:p>
        </w:tc>
        <w:tc>
          <w:tcPr>
            <w:tcW w:w="428" w:type="dxa"/>
            <w:gridSpan w:val="2"/>
          </w:tcPr>
          <w:p w14:paraId="147E1763" w14:textId="77777777" w:rsidR="002B04EB" w:rsidRPr="003F7F6C" w:rsidRDefault="002B04EB" w:rsidP="00B851B7">
            <w:r w:rsidRPr="003F7F6C">
              <w:rPr>
                <w:rFonts w:cs="Calibri"/>
                <w:sz w:val="16"/>
                <w:szCs w:val="16"/>
              </w:rPr>
              <w:t>X</w:t>
            </w:r>
          </w:p>
        </w:tc>
        <w:tc>
          <w:tcPr>
            <w:tcW w:w="428" w:type="dxa"/>
          </w:tcPr>
          <w:p w14:paraId="4453EF88" w14:textId="77777777" w:rsidR="002B04EB" w:rsidRPr="003F7F6C" w:rsidRDefault="002B04EB" w:rsidP="00B851B7">
            <w:r w:rsidRPr="003F7F6C">
              <w:rPr>
                <w:rFonts w:cs="Calibri"/>
                <w:sz w:val="16"/>
                <w:szCs w:val="16"/>
              </w:rPr>
              <w:t>X</w:t>
            </w:r>
          </w:p>
        </w:tc>
        <w:tc>
          <w:tcPr>
            <w:tcW w:w="427" w:type="dxa"/>
          </w:tcPr>
          <w:p w14:paraId="63190195" w14:textId="77777777" w:rsidR="002B04EB" w:rsidRPr="003F7F6C" w:rsidRDefault="002B04EB" w:rsidP="00B851B7">
            <w:r w:rsidRPr="003F7F6C">
              <w:rPr>
                <w:rFonts w:cs="Calibri"/>
                <w:sz w:val="16"/>
                <w:szCs w:val="16"/>
              </w:rPr>
              <w:t>X</w:t>
            </w:r>
          </w:p>
        </w:tc>
        <w:tc>
          <w:tcPr>
            <w:tcW w:w="427" w:type="dxa"/>
          </w:tcPr>
          <w:p w14:paraId="515E8E6A" w14:textId="77777777" w:rsidR="002B04EB" w:rsidRPr="003F7F6C" w:rsidRDefault="002B04EB" w:rsidP="00B851B7">
            <w:r w:rsidRPr="003F7F6C">
              <w:rPr>
                <w:rFonts w:cs="Calibri"/>
                <w:sz w:val="16"/>
                <w:szCs w:val="16"/>
              </w:rPr>
              <w:t>X</w:t>
            </w:r>
          </w:p>
        </w:tc>
        <w:tc>
          <w:tcPr>
            <w:tcW w:w="427" w:type="dxa"/>
            <w:gridSpan w:val="2"/>
          </w:tcPr>
          <w:p w14:paraId="338A57D1" w14:textId="77777777" w:rsidR="002B04EB" w:rsidRPr="003F7F6C" w:rsidRDefault="002B04EB" w:rsidP="00B851B7">
            <w:r w:rsidRPr="003F7F6C">
              <w:rPr>
                <w:rFonts w:cs="Calibri"/>
                <w:sz w:val="16"/>
                <w:szCs w:val="16"/>
              </w:rPr>
              <w:t>X</w:t>
            </w:r>
          </w:p>
        </w:tc>
        <w:tc>
          <w:tcPr>
            <w:tcW w:w="428" w:type="dxa"/>
          </w:tcPr>
          <w:p w14:paraId="5D57C890" w14:textId="77777777" w:rsidR="002B04EB" w:rsidRPr="003F7F6C" w:rsidRDefault="002B04EB" w:rsidP="00B851B7">
            <w:r w:rsidRPr="003F7F6C">
              <w:rPr>
                <w:rFonts w:cs="Calibri"/>
                <w:sz w:val="16"/>
                <w:szCs w:val="16"/>
              </w:rPr>
              <w:t>X</w:t>
            </w:r>
          </w:p>
        </w:tc>
        <w:tc>
          <w:tcPr>
            <w:tcW w:w="428" w:type="dxa"/>
          </w:tcPr>
          <w:p w14:paraId="0BB61BC6" w14:textId="77777777" w:rsidR="002B04EB" w:rsidRPr="003F7F6C" w:rsidRDefault="002B04EB" w:rsidP="00B851B7">
            <w:r w:rsidRPr="003F7F6C">
              <w:rPr>
                <w:rFonts w:cs="Calibri"/>
                <w:sz w:val="16"/>
                <w:szCs w:val="16"/>
              </w:rPr>
              <w:t>X</w:t>
            </w:r>
          </w:p>
        </w:tc>
        <w:tc>
          <w:tcPr>
            <w:tcW w:w="428" w:type="dxa"/>
          </w:tcPr>
          <w:p w14:paraId="64543E23" w14:textId="77777777" w:rsidR="002B04EB" w:rsidRPr="003F7F6C" w:rsidRDefault="002B04EB" w:rsidP="00B851B7">
            <w:r w:rsidRPr="003F7F6C">
              <w:rPr>
                <w:rFonts w:cs="Calibri"/>
                <w:sz w:val="16"/>
                <w:szCs w:val="16"/>
              </w:rPr>
              <w:t>X</w:t>
            </w:r>
          </w:p>
        </w:tc>
        <w:tc>
          <w:tcPr>
            <w:tcW w:w="428" w:type="dxa"/>
            <w:gridSpan w:val="2"/>
          </w:tcPr>
          <w:p w14:paraId="0EE0C24C" w14:textId="77777777" w:rsidR="002B04EB" w:rsidRPr="003F7F6C" w:rsidRDefault="002B04EB" w:rsidP="00B851B7">
            <w:r w:rsidRPr="003F7F6C">
              <w:rPr>
                <w:rFonts w:cs="Calibri"/>
                <w:sz w:val="16"/>
                <w:szCs w:val="16"/>
              </w:rPr>
              <w:t>X</w:t>
            </w:r>
          </w:p>
        </w:tc>
        <w:tc>
          <w:tcPr>
            <w:tcW w:w="428" w:type="dxa"/>
          </w:tcPr>
          <w:p w14:paraId="5F8AA191" w14:textId="77777777" w:rsidR="002B04EB" w:rsidRPr="003F7F6C" w:rsidRDefault="002B04EB" w:rsidP="00B851B7">
            <w:r w:rsidRPr="003F7F6C">
              <w:rPr>
                <w:rFonts w:cs="Calibri"/>
                <w:sz w:val="16"/>
                <w:szCs w:val="16"/>
              </w:rPr>
              <w:t>X</w:t>
            </w:r>
          </w:p>
        </w:tc>
        <w:tc>
          <w:tcPr>
            <w:tcW w:w="428" w:type="dxa"/>
          </w:tcPr>
          <w:p w14:paraId="64652E36" w14:textId="77777777" w:rsidR="002B04EB" w:rsidRPr="003F7F6C" w:rsidRDefault="002B04EB" w:rsidP="00B851B7">
            <w:r w:rsidRPr="003F7F6C">
              <w:rPr>
                <w:rFonts w:cs="Calibri"/>
                <w:sz w:val="16"/>
                <w:szCs w:val="16"/>
              </w:rPr>
              <w:t>X</w:t>
            </w:r>
          </w:p>
        </w:tc>
        <w:tc>
          <w:tcPr>
            <w:tcW w:w="428" w:type="dxa"/>
          </w:tcPr>
          <w:p w14:paraId="18AAB519" w14:textId="77777777" w:rsidR="002B04EB" w:rsidRPr="003F7F6C" w:rsidRDefault="002B04EB" w:rsidP="00B851B7">
            <w:r w:rsidRPr="003F7F6C">
              <w:rPr>
                <w:rFonts w:cs="Calibri"/>
                <w:sz w:val="16"/>
                <w:szCs w:val="16"/>
              </w:rPr>
              <w:t>X</w:t>
            </w:r>
          </w:p>
        </w:tc>
        <w:tc>
          <w:tcPr>
            <w:tcW w:w="428" w:type="dxa"/>
            <w:gridSpan w:val="2"/>
          </w:tcPr>
          <w:p w14:paraId="67F22DA3" w14:textId="77777777" w:rsidR="002B04EB" w:rsidRPr="003F7F6C" w:rsidRDefault="002B04EB" w:rsidP="00B851B7">
            <w:r w:rsidRPr="003F7F6C">
              <w:rPr>
                <w:rFonts w:cs="Calibri"/>
                <w:sz w:val="16"/>
                <w:szCs w:val="16"/>
              </w:rPr>
              <w:t>X</w:t>
            </w:r>
          </w:p>
        </w:tc>
        <w:tc>
          <w:tcPr>
            <w:tcW w:w="428" w:type="dxa"/>
          </w:tcPr>
          <w:p w14:paraId="50CDB0D6" w14:textId="77777777" w:rsidR="002B04EB" w:rsidRPr="003F7F6C" w:rsidRDefault="002B04EB" w:rsidP="00B851B7">
            <w:r w:rsidRPr="003F7F6C">
              <w:rPr>
                <w:rFonts w:cs="Calibri"/>
                <w:sz w:val="16"/>
                <w:szCs w:val="16"/>
              </w:rPr>
              <w:t>X</w:t>
            </w:r>
          </w:p>
        </w:tc>
        <w:tc>
          <w:tcPr>
            <w:tcW w:w="428" w:type="dxa"/>
          </w:tcPr>
          <w:p w14:paraId="7E05EDC9" w14:textId="77777777" w:rsidR="002B04EB" w:rsidRPr="003F7F6C" w:rsidRDefault="002B04EB" w:rsidP="00B851B7">
            <w:r w:rsidRPr="003F7F6C">
              <w:rPr>
                <w:rFonts w:cs="Calibri"/>
                <w:sz w:val="16"/>
                <w:szCs w:val="16"/>
              </w:rPr>
              <w:t>X</w:t>
            </w:r>
          </w:p>
        </w:tc>
        <w:tc>
          <w:tcPr>
            <w:tcW w:w="428" w:type="dxa"/>
          </w:tcPr>
          <w:p w14:paraId="44803560" w14:textId="77777777" w:rsidR="002B04EB" w:rsidRPr="003F7F6C" w:rsidRDefault="002B04EB" w:rsidP="00B851B7">
            <w:r w:rsidRPr="003F7F6C">
              <w:rPr>
                <w:rFonts w:cs="Calibri"/>
                <w:sz w:val="16"/>
                <w:szCs w:val="16"/>
              </w:rPr>
              <w:t>X</w:t>
            </w:r>
          </w:p>
        </w:tc>
        <w:tc>
          <w:tcPr>
            <w:tcW w:w="428" w:type="dxa"/>
            <w:gridSpan w:val="2"/>
          </w:tcPr>
          <w:p w14:paraId="058C795F" w14:textId="77777777" w:rsidR="002B04EB" w:rsidRPr="003F7F6C" w:rsidRDefault="002B04EB" w:rsidP="00B851B7">
            <w:r w:rsidRPr="003F7F6C">
              <w:rPr>
                <w:rFonts w:cs="Calibri"/>
                <w:sz w:val="16"/>
                <w:szCs w:val="16"/>
              </w:rPr>
              <w:t>X</w:t>
            </w:r>
          </w:p>
        </w:tc>
        <w:tc>
          <w:tcPr>
            <w:tcW w:w="428" w:type="dxa"/>
          </w:tcPr>
          <w:p w14:paraId="7918EEA6" w14:textId="77777777" w:rsidR="002B04EB" w:rsidRPr="003F7F6C" w:rsidRDefault="002B04EB" w:rsidP="00B851B7">
            <w:r w:rsidRPr="003F7F6C">
              <w:rPr>
                <w:rFonts w:cs="Calibri"/>
                <w:sz w:val="16"/>
                <w:szCs w:val="16"/>
              </w:rPr>
              <w:t>X</w:t>
            </w:r>
          </w:p>
        </w:tc>
        <w:tc>
          <w:tcPr>
            <w:tcW w:w="428" w:type="dxa"/>
          </w:tcPr>
          <w:p w14:paraId="4C885EE6" w14:textId="77777777" w:rsidR="002B04EB" w:rsidRPr="003F7F6C" w:rsidRDefault="002B04EB" w:rsidP="00B851B7">
            <w:r w:rsidRPr="003F7F6C">
              <w:rPr>
                <w:rFonts w:cs="Calibri"/>
                <w:sz w:val="16"/>
                <w:szCs w:val="16"/>
              </w:rPr>
              <w:t>X</w:t>
            </w:r>
          </w:p>
        </w:tc>
        <w:tc>
          <w:tcPr>
            <w:tcW w:w="428" w:type="dxa"/>
          </w:tcPr>
          <w:p w14:paraId="26AD7C7E" w14:textId="77777777" w:rsidR="002B04EB" w:rsidRPr="003F7F6C" w:rsidRDefault="002B04EB" w:rsidP="00B851B7">
            <w:r w:rsidRPr="003F7F6C">
              <w:rPr>
                <w:rFonts w:cs="Calibri"/>
                <w:sz w:val="16"/>
                <w:szCs w:val="16"/>
              </w:rPr>
              <w:t>X</w:t>
            </w:r>
          </w:p>
        </w:tc>
        <w:tc>
          <w:tcPr>
            <w:tcW w:w="428" w:type="dxa"/>
          </w:tcPr>
          <w:p w14:paraId="688DA691" w14:textId="77777777" w:rsidR="002B04EB" w:rsidRPr="003F7F6C" w:rsidRDefault="002B04EB" w:rsidP="00B851B7">
            <w:r w:rsidRPr="003F7F6C">
              <w:rPr>
                <w:rFonts w:cs="Calibri"/>
                <w:sz w:val="16"/>
                <w:szCs w:val="16"/>
              </w:rPr>
              <w:t>X</w:t>
            </w:r>
          </w:p>
        </w:tc>
      </w:tr>
      <w:tr w:rsidR="002B04EB" w:rsidRPr="003F7F6C" w14:paraId="4647F0D6" w14:textId="77777777" w:rsidTr="00B851B7">
        <w:tc>
          <w:tcPr>
            <w:tcW w:w="1668" w:type="dxa"/>
          </w:tcPr>
          <w:p w14:paraId="215BC65D" w14:textId="77777777" w:rsidR="002B04EB" w:rsidRPr="003F7F6C" w:rsidRDefault="002B04EB" w:rsidP="00E91275">
            <w:pPr>
              <w:pStyle w:val="ListParagraph"/>
              <w:numPr>
                <w:ilvl w:val="0"/>
                <w:numId w:val="29"/>
              </w:numPr>
              <w:spacing w:after="0"/>
              <w:ind w:left="174" w:hanging="174"/>
              <w:contextualSpacing w:val="0"/>
              <w:jc w:val="left"/>
              <w:rPr>
                <w:rFonts w:cs="Calibri"/>
                <w:sz w:val="16"/>
                <w:szCs w:val="16"/>
              </w:rPr>
            </w:pPr>
            <w:r w:rsidRPr="003F7F6C">
              <w:rPr>
                <w:rFonts w:cs="Calibri"/>
                <w:sz w:val="16"/>
                <w:szCs w:val="16"/>
              </w:rPr>
              <w:t>Develop a best practice manual for tourism in PAs</w:t>
            </w:r>
          </w:p>
        </w:tc>
        <w:tc>
          <w:tcPr>
            <w:tcW w:w="1057" w:type="dxa"/>
          </w:tcPr>
          <w:p w14:paraId="58D5A03F" w14:textId="77777777" w:rsidR="002B04EB" w:rsidRPr="003F7F6C" w:rsidRDefault="002B04EB" w:rsidP="00B851B7">
            <w:pPr>
              <w:rPr>
                <w:rFonts w:cs="Calibri"/>
                <w:sz w:val="16"/>
                <w:szCs w:val="16"/>
              </w:rPr>
            </w:pPr>
            <w:r w:rsidRPr="003F7F6C">
              <w:rPr>
                <w:rFonts w:cs="Calibri"/>
                <w:sz w:val="16"/>
                <w:szCs w:val="16"/>
              </w:rPr>
              <w:t>SAOT</w:t>
            </w:r>
          </w:p>
        </w:tc>
        <w:tc>
          <w:tcPr>
            <w:tcW w:w="428" w:type="dxa"/>
          </w:tcPr>
          <w:p w14:paraId="16716F26" w14:textId="77777777" w:rsidR="002B04EB" w:rsidRPr="003F7F6C" w:rsidRDefault="002B04EB" w:rsidP="00B851B7">
            <w:pPr>
              <w:rPr>
                <w:rFonts w:cs="Calibri"/>
                <w:sz w:val="16"/>
                <w:szCs w:val="16"/>
              </w:rPr>
            </w:pPr>
          </w:p>
        </w:tc>
        <w:tc>
          <w:tcPr>
            <w:tcW w:w="444" w:type="dxa"/>
          </w:tcPr>
          <w:p w14:paraId="18C1CB9D" w14:textId="77777777" w:rsidR="002B04EB" w:rsidRPr="003F7F6C" w:rsidRDefault="002B04EB" w:rsidP="00B851B7">
            <w:pPr>
              <w:rPr>
                <w:rFonts w:cs="Calibri"/>
                <w:sz w:val="16"/>
                <w:szCs w:val="16"/>
              </w:rPr>
            </w:pPr>
          </w:p>
        </w:tc>
        <w:tc>
          <w:tcPr>
            <w:tcW w:w="428" w:type="dxa"/>
          </w:tcPr>
          <w:p w14:paraId="5DAD1276" w14:textId="77777777" w:rsidR="002B04EB" w:rsidRPr="003F7F6C" w:rsidRDefault="002B04EB" w:rsidP="00B851B7">
            <w:pPr>
              <w:rPr>
                <w:rFonts w:cs="Calibri"/>
                <w:sz w:val="16"/>
                <w:szCs w:val="16"/>
              </w:rPr>
            </w:pPr>
          </w:p>
        </w:tc>
        <w:tc>
          <w:tcPr>
            <w:tcW w:w="428" w:type="dxa"/>
            <w:gridSpan w:val="2"/>
          </w:tcPr>
          <w:p w14:paraId="53AA1D32" w14:textId="77777777" w:rsidR="002B04EB" w:rsidRPr="003F7F6C" w:rsidRDefault="002B04EB" w:rsidP="00B851B7">
            <w:pPr>
              <w:rPr>
                <w:rFonts w:cs="Calibri"/>
                <w:sz w:val="16"/>
                <w:szCs w:val="16"/>
              </w:rPr>
            </w:pPr>
          </w:p>
        </w:tc>
        <w:tc>
          <w:tcPr>
            <w:tcW w:w="428" w:type="dxa"/>
          </w:tcPr>
          <w:p w14:paraId="402EE952" w14:textId="77777777" w:rsidR="002B04EB" w:rsidRPr="003F7F6C" w:rsidRDefault="002B04EB" w:rsidP="00B851B7">
            <w:r w:rsidRPr="003F7F6C">
              <w:rPr>
                <w:rFonts w:cs="Calibri"/>
                <w:sz w:val="16"/>
                <w:szCs w:val="16"/>
              </w:rPr>
              <w:t>X</w:t>
            </w:r>
          </w:p>
        </w:tc>
        <w:tc>
          <w:tcPr>
            <w:tcW w:w="427" w:type="dxa"/>
          </w:tcPr>
          <w:p w14:paraId="62B9C6AE" w14:textId="77777777" w:rsidR="002B04EB" w:rsidRPr="003F7F6C" w:rsidRDefault="002B04EB" w:rsidP="00B851B7">
            <w:r w:rsidRPr="003F7F6C">
              <w:rPr>
                <w:rFonts w:cs="Calibri"/>
                <w:sz w:val="16"/>
                <w:szCs w:val="16"/>
              </w:rPr>
              <w:t>X</w:t>
            </w:r>
          </w:p>
        </w:tc>
        <w:tc>
          <w:tcPr>
            <w:tcW w:w="427" w:type="dxa"/>
          </w:tcPr>
          <w:p w14:paraId="0C07DD87" w14:textId="77777777" w:rsidR="002B04EB" w:rsidRPr="003F7F6C" w:rsidRDefault="002B04EB" w:rsidP="00B851B7">
            <w:r w:rsidRPr="003F7F6C">
              <w:rPr>
                <w:rFonts w:cs="Calibri"/>
                <w:sz w:val="16"/>
                <w:szCs w:val="16"/>
              </w:rPr>
              <w:t>X</w:t>
            </w:r>
          </w:p>
        </w:tc>
        <w:tc>
          <w:tcPr>
            <w:tcW w:w="427" w:type="dxa"/>
            <w:gridSpan w:val="2"/>
          </w:tcPr>
          <w:p w14:paraId="24CA2F21" w14:textId="77777777" w:rsidR="002B04EB" w:rsidRPr="003F7F6C" w:rsidRDefault="002B04EB" w:rsidP="00B851B7">
            <w:r w:rsidRPr="003F7F6C">
              <w:rPr>
                <w:rFonts w:cs="Calibri"/>
                <w:sz w:val="16"/>
                <w:szCs w:val="16"/>
              </w:rPr>
              <w:t>X</w:t>
            </w:r>
          </w:p>
        </w:tc>
        <w:tc>
          <w:tcPr>
            <w:tcW w:w="428" w:type="dxa"/>
          </w:tcPr>
          <w:p w14:paraId="7B7EC978" w14:textId="77777777" w:rsidR="002B04EB" w:rsidRPr="003F7F6C" w:rsidRDefault="002B04EB" w:rsidP="00B851B7">
            <w:r w:rsidRPr="003F7F6C">
              <w:rPr>
                <w:rFonts w:cs="Calibri"/>
                <w:sz w:val="16"/>
                <w:szCs w:val="16"/>
              </w:rPr>
              <w:t>X</w:t>
            </w:r>
          </w:p>
        </w:tc>
        <w:tc>
          <w:tcPr>
            <w:tcW w:w="428" w:type="dxa"/>
          </w:tcPr>
          <w:p w14:paraId="4A04018C" w14:textId="77777777" w:rsidR="002B04EB" w:rsidRPr="003F7F6C" w:rsidRDefault="002B04EB" w:rsidP="00B851B7">
            <w:r w:rsidRPr="003F7F6C">
              <w:rPr>
                <w:rFonts w:cs="Calibri"/>
                <w:sz w:val="16"/>
                <w:szCs w:val="16"/>
              </w:rPr>
              <w:t>X</w:t>
            </w:r>
          </w:p>
        </w:tc>
        <w:tc>
          <w:tcPr>
            <w:tcW w:w="428" w:type="dxa"/>
          </w:tcPr>
          <w:p w14:paraId="16BC2291" w14:textId="77777777" w:rsidR="002B04EB" w:rsidRPr="003F7F6C" w:rsidRDefault="002B04EB" w:rsidP="00B851B7">
            <w:r w:rsidRPr="003F7F6C">
              <w:rPr>
                <w:rFonts w:cs="Calibri"/>
                <w:sz w:val="16"/>
                <w:szCs w:val="16"/>
              </w:rPr>
              <w:t>X</w:t>
            </w:r>
          </w:p>
        </w:tc>
        <w:tc>
          <w:tcPr>
            <w:tcW w:w="428" w:type="dxa"/>
            <w:gridSpan w:val="2"/>
          </w:tcPr>
          <w:p w14:paraId="4A86CBD3" w14:textId="77777777" w:rsidR="002B04EB" w:rsidRPr="003F7F6C" w:rsidRDefault="002B04EB" w:rsidP="00B851B7">
            <w:r w:rsidRPr="003F7F6C">
              <w:rPr>
                <w:rFonts w:cs="Calibri"/>
                <w:sz w:val="16"/>
                <w:szCs w:val="16"/>
              </w:rPr>
              <w:t>X</w:t>
            </w:r>
          </w:p>
        </w:tc>
        <w:tc>
          <w:tcPr>
            <w:tcW w:w="428" w:type="dxa"/>
          </w:tcPr>
          <w:p w14:paraId="30462B81" w14:textId="77777777" w:rsidR="002B04EB" w:rsidRPr="003F7F6C" w:rsidRDefault="002B04EB" w:rsidP="00B851B7">
            <w:r w:rsidRPr="003F7F6C">
              <w:rPr>
                <w:rFonts w:cs="Calibri"/>
                <w:sz w:val="16"/>
                <w:szCs w:val="16"/>
              </w:rPr>
              <w:t>X</w:t>
            </w:r>
          </w:p>
        </w:tc>
        <w:tc>
          <w:tcPr>
            <w:tcW w:w="428" w:type="dxa"/>
          </w:tcPr>
          <w:p w14:paraId="0EFFC324" w14:textId="77777777" w:rsidR="002B04EB" w:rsidRPr="003F7F6C" w:rsidRDefault="002B04EB" w:rsidP="00B851B7">
            <w:r w:rsidRPr="003F7F6C">
              <w:rPr>
                <w:rFonts w:cs="Calibri"/>
                <w:sz w:val="16"/>
                <w:szCs w:val="16"/>
              </w:rPr>
              <w:t>X</w:t>
            </w:r>
          </w:p>
        </w:tc>
        <w:tc>
          <w:tcPr>
            <w:tcW w:w="428" w:type="dxa"/>
          </w:tcPr>
          <w:p w14:paraId="04EDF64D" w14:textId="77777777" w:rsidR="002B04EB" w:rsidRPr="003F7F6C" w:rsidRDefault="002B04EB" w:rsidP="00B851B7">
            <w:r w:rsidRPr="003F7F6C">
              <w:rPr>
                <w:rFonts w:cs="Calibri"/>
                <w:sz w:val="16"/>
                <w:szCs w:val="16"/>
              </w:rPr>
              <w:t>X</w:t>
            </w:r>
          </w:p>
        </w:tc>
        <w:tc>
          <w:tcPr>
            <w:tcW w:w="428" w:type="dxa"/>
            <w:gridSpan w:val="2"/>
          </w:tcPr>
          <w:p w14:paraId="380EA09F" w14:textId="77777777" w:rsidR="002B04EB" w:rsidRPr="003F7F6C" w:rsidRDefault="002B04EB" w:rsidP="00B851B7">
            <w:r w:rsidRPr="003F7F6C">
              <w:rPr>
                <w:rFonts w:cs="Calibri"/>
                <w:sz w:val="16"/>
                <w:szCs w:val="16"/>
              </w:rPr>
              <w:t>X</w:t>
            </w:r>
          </w:p>
        </w:tc>
        <w:tc>
          <w:tcPr>
            <w:tcW w:w="428" w:type="dxa"/>
          </w:tcPr>
          <w:p w14:paraId="2434B387" w14:textId="77777777" w:rsidR="002B04EB" w:rsidRPr="003F7F6C" w:rsidRDefault="002B04EB" w:rsidP="00B851B7">
            <w:r w:rsidRPr="003F7F6C">
              <w:rPr>
                <w:rFonts w:cs="Calibri"/>
                <w:sz w:val="16"/>
                <w:szCs w:val="16"/>
              </w:rPr>
              <w:t>X</w:t>
            </w:r>
          </w:p>
        </w:tc>
        <w:tc>
          <w:tcPr>
            <w:tcW w:w="428" w:type="dxa"/>
          </w:tcPr>
          <w:p w14:paraId="14D80BA0" w14:textId="77777777" w:rsidR="002B04EB" w:rsidRPr="003F7F6C" w:rsidRDefault="002B04EB" w:rsidP="00B851B7">
            <w:r w:rsidRPr="003F7F6C">
              <w:rPr>
                <w:rFonts w:cs="Calibri"/>
                <w:sz w:val="16"/>
                <w:szCs w:val="16"/>
              </w:rPr>
              <w:t>X</w:t>
            </w:r>
          </w:p>
        </w:tc>
        <w:tc>
          <w:tcPr>
            <w:tcW w:w="428" w:type="dxa"/>
          </w:tcPr>
          <w:p w14:paraId="3F42BAD6" w14:textId="77777777" w:rsidR="002B04EB" w:rsidRPr="003F7F6C" w:rsidRDefault="002B04EB" w:rsidP="00B851B7">
            <w:r w:rsidRPr="003F7F6C">
              <w:rPr>
                <w:rFonts w:cs="Calibri"/>
                <w:sz w:val="16"/>
                <w:szCs w:val="16"/>
              </w:rPr>
              <w:t>X</w:t>
            </w:r>
          </w:p>
        </w:tc>
        <w:tc>
          <w:tcPr>
            <w:tcW w:w="428" w:type="dxa"/>
            <w:gridSpan w:val="2"/>
          </w:tcPr>
          <w:p w14:paraId="7E06890B" w14:textId="77777777" w:rsidR="002B04EB" w:rsidRPr="003F7F6C" w:rsidRDefault="002B04EB" w:rsidP="00B851B7">
            <w:r w:rsidRPr="003F7F6C">
              <w:rPr>
                <w:rFonts w:cs="Calibri"/>
                <w:sz w:val="16"/>
                <w:szCs w:val="16"/>
              </w:rPr>
              <w:t>X</w:t>
            </w:r>
          </w:p>
        </w:tc>
        <w:tc>
          <w:tcPr>
            <w:tcW w:w="428" w:type="dxa"/>
          </w:tcPr>
          <w:p w14:paraId="5BC45B03" w14:textId="77777777" w:rsidR="002B04EB" w:rsidRPr="003F7F6C" w:rsidRDefault="002B04EB" w:rsidP="00B851B7">
            <w:r w:rsidRPr="003F7F6C">
              <w:rPr>
                <w:rFonts w:cs="Calibri"/>
                <w:sz w:val="16"/>
                <w:szCs w:val="16"/>
              </w:rPr>
              <w:t>X</w:t>
            </w:r>
          </w:p>
        </w:tc>
        <w:tc>
          <w:tcPr>
            <w:tcW w:w="428" w:type="dxa"/>
          </w:tcPr>
          <w:p w14:paraId="16E47136" w14:textId="77777777" w:rsidR="002B04EB" w:rsidRPr="003F7F6C" w:rsidRDefault="002B04EB" w:rsidP="00B851B7">
            <w:r w:rsidRPr="003F7F6C">
              <w:rPr>
                <w:rFonts w:cs="Calibri"/>
                <w:sz w:val="16"/>
                <w:szCs w:val="16"/>
              </w:rPr>
              <w:t>X</w:t>
            </w:r>
          </w:p>
        </w:tc>
        <w:tc>
          <w:tcPr>
            <w:tcW w:w="428" w:type="dxa"/>
          </w:tcPr>
          <w:p w14:paraId="54D7E667" w14:textId="77777777" w:rsidR="002B04EB" w:rsidRPr="003F7F6C" w:rsidRDefault="002B04EB" w:rsidP="00B851B7">
            <w:r w:rsidRPr="003F7F6C">
              <w:rPr>
                <w:rFonts w:cs="Calibri"/>
                <w:sz w:val="16"/>
                <w:szCs w:val="16"/>
              </w:rPr>
              <w:t>X</w:t>
            </w:r>
          </w:p>
        </w:tc>
        <w:tc>
          <w:tcPr>
            <w:tcW w:w="428" w:type="dxa"/>
          </w:tcPr>
          <w:p w14:paraId="79AEE9B0" w14:textId="77777777" w:rsidR="002B04EB" w:rsidRPr="003F7F6C" w:rsidRDefault="002B04EB" w:rsidP="00B851B7">
            <w:r w:rsidRPr="003F7F6C">
              <w:rPr>
                <w:rFonts w:cs="Calibri"/>
                <w:sz w:val="16"/>
                <w:szCs w:val="16"/>
              </w:rPr>
              <w:t>X</w:t>
            </w:r>
          </w:p>
        </w:tc>
      </w:tr>
      <w:tr w:rsidR="002B04EB" w:rsidRPr="003F7F6C" w14:paraId="524E8A9F" w14:textId="77777777" w:rsidTr="00B851B7">
        <w:tc>
          <w:tcPr>
            <w:tcW w:w="1668" w:type="dxa"/>
          </w:tcPr>
          <w:p w14:paraId="50EF0ACC" w14:textId="77777777" w:rsidR="002B04EB" w:rsidRPr="003F7F6C" w:rsidRDefault="002B04EB" w:rsidP="00E91275">
            <w:pPr>
              <w:pStyle w:val="ListParagraph"/>
              <w:numPr>
                <w:ilvl w:val="0"/>
                <w:numId w:val="29"/>
              </w:numPr>
              <w:spacing w:after="0"/>
              <w:ind w:left="174" w:hanging="174"/>
              <w:contextualSpacing w:val="0"/>
              <w:jc w:val="left"/>
              <w:rPr>
                <w:rFonts w:cs="Calibri"/>
                <w:sz w:val="16"/>
                <w:szCs w:val="16"/>
              </w:rPr>
            </w:pPr>
            <w:r w:rsidRPr="003F7F6C">
              <w:rPr>
                <w:rFonts w:cs="Calibri"/>
                <w:sz w:val="16"/>
                <w:szCs w:val="16"/>
              </w:rPr>
              <w:t>Assess and design instruments to promote private protected areas</w:t>
            </w:r>
          </w:p>
        </w:tc>
        <w:tc>
          <w:tcPr>
            <w:tcW w:w="1057" w:type="dxa"/>
          </w:tcPr>
          <w:p w14:paraId="7D7E11C4" w14:textId="77777777" w:rsidR="002B04EB" w:rsidRPr="003F7F6C" w:rsidRDefault="002B04EB" w:rsidP="00B851B7">
            <w:pPr>
              <w:rPr>
                <w:rFonts w:cs="Calibri"/>
                <w:sz w:val="16"/>
                <w:szCs w:val="16"/>
              </w:rPr>
            </w:pPr>
            <w:r w:rsidRPr="003F7F6C">
              <w:rPr>
                <w:rFonts w:cs="Calibri"/>
                <w:sz w:val="16"/>
                <w:szCs w:val="16"/>
              </w:rPr>
              <w:t>SAOT</w:t>
            </w:r>
          </w:p>
        </w:tc>
        <w:tc>
          <w:tcPr>
            <w:tcW w:w="428" w:type="dxa"/>
          </w:tcPr>
          <w:p w14:paraId="687C8E5A" w14:textId="77777777" w:rsidR="002B04EB" w:rsidRPr="003F7F6C" w:rsidRDefault="002B04EB" w:rsidP="00B851B7"/>
        </w:tc>
        <w:tc>
          <w:tcPr>
            <w:tcW w:w="444" w:type="dxa"/>
          </w:tcPr>
          <w:p w14:paraId="0D6E002B" w14:textId="77777777" w:rsidR="002B04EB" w:rsidRPr="003F7F6C" w:rsidRDefault="002B04EB" w:rsidP="00B851B7">
            <w:r w:rsidRPr="003F7F6C">
              <w:rPr>
                <w:rFonts w:cs="Calibri"/>
                <w:sz w:val="16"/>
                <w:szCs w:val="16"/>
              </w:rPr>
              <w:t>X</w:t>
            </w:r>
          </w:p>
        </w:tc>
        <w:tc>
          <w:tcPr>
            <w:tcW w:w="428" w:type="dxa"/>
          </w:tcPr>
          <w:p w14:paraId="5009338F" w14:textId="77777777" w:rsidR="002B04EB" w:rsidRPr="003F7F6C" w:rsidRDefault="002B04EB" w:rsidP="00B851B7">
            <w:r w:rsidRPr="003F7F6C">
              <w:rPr>
                <w:rFonts w:cs="Calibri"/>
                <w:sz w:val="16"/>
                <w:szCs w:val="16"/>
              </w:rPr>
              <w:t>X</w:t>
            </w:r>
          </w:p>
        </w:tc>
        <w:tc>
          <w:tcPr>
            <w:tcW w:w="428" w:type="dxa"/>
            <w:gridSpan w:val="2"/>
          </w:tcPr>
          <w:p w14:paraId="0C0BC8CC" w14:textId="77777777" w:rsidR="002B04EB" w:rsidRPr="003F7F6C" w:rsidRDefault="002B04EB" w:rsidP="00B851B7">
            <w:r w:rsidRPr="003F7F6C">
              <w:rPr>
                <w:rFonts w:cs="Calibri"/>
                <w:sz w:val="16"/>
                <w:szCs w:val="16"/>
              </w:rPr>
              <w:t>X</w:t>
            </w:r>
          </w:p>
        </w:tc>
        <w:tc>
          <w:tcPr>
            <w:tcW w:w="428" w:type="dxa"/>
          </w:tcPr>
          <w:p w14:paraId="3B22F767" w14:textId="77777777" w:rsidR="002B04EB" w:rsidRPr="003F7F6C" w:rsidRDefault="002B04EB" w:rsidP="00B851B7">
            <w:r w:rsidRPr="003F7F6C">
              <w:rPr>
                <w:rFonts w:cs="Calibri"/>
                <w:sz w:val="16"/>
                <w:szCs w:val="16"/>
              </w:rPr>
              <w:t>X</w:t>
            </w:r>
          </w:p>
        </w:tc>
        <w:tc>
          <w:tcPr>
            <w:tcW w:w="427" w:type="dxa"/>
          </w:tcPr>
          <w:p w14:paraId="4779F439" w14:textId="77777777" w:rsidR="002B04EB" w:rsidRPr="003F7F6C" w:rsidRDefault="002B04EB" w:rsidP="00B851B7">
            <w:r w:rsidRPr="003F7F6C">
              <w:rPr>
                <w:rFonts w:cs="Calibri"/>
                <w:sz w:val="16"/>
                <w:szCs w:val="16"/>
              </w:rPr>
              <w:t>X</w:t>
            </w:r>
          </w:p>
        </w:tc>
        <w:tc>
          <w:tcPr>
            <w:tcW w:w="427" w:type="dxa"/>
          </w:tcPr>
          <w:p w14:paraId="2C9B0553" w14:textId="77777777" w:rsidR="002B04EB" w:rsidRPr="003F7F6C" w:rsidRDefault="002B04EB" w:rsidP="00B851B7">
            <w:r w:rsidRPr="003F7F6C">
              <w:rPr>
                <w:rFonts w:cs="Calibri"/>
                <w:sz w:val="16"/>
                <w:szCs w:val="16"/>
              </w:rPr>
              <w:t>X</w:t>
            </w:r>
          </w:p>
        </w:tc>
        <w:tc>
          <w:tcPr>
            <w:tcW w:w="427" w:type="dxa"/>
            <w:gridSpan w:val="2"/>
          </w:tcPr>
          <w:p w14:paraId="52281A17" w14:textId="77777777" w:rsidR="002B04EB" w:rsidRPr="003F7F6C" w:rsidRDefault="002B04EB" w:rsidP="00B851B7">
            <w:r w:rsidRPr="003F7F6C">
              <w:rPr>
                <w:rFonts w:cs="Calibri"/>
                <w:sz w:val="16"/>
                <w:szCs w:val="16"/>
              </w:rPr>
              <w:t>X</w:t>
            </w:r>
          </w:p>
        </w:tc>
        <w:tc>
          <w:tcPr>
            <w:tcW w:w="428" w:type="dxa"/>
          </w:tcPr>
          <w:p w14:paraId="677DD57F" w14:textId="77777777" w:rsidR="002B04EB" w:rsidRPr="003F7F6C" w:rsidRDefault="002B04EB" w:rsidP="00B851B7">
            <w:r w:rsidRPr="003F7F6C">
              <w:rPr>
                <w:rFonts w:cs="Calibri"/>
                <w:sz w:val="16"/>
                <w:szCs w:val="16"/>
              </w:rPr>
              <w:t>X</w:t>
            </w:r>
          </w:p>
        </w:tc>
        <w:tc>
          <w:tcPr>
            <w:tcW w:w="428" w:type="dxa"/>
          </w:tcPr>
          <w:p w14:paraId="61744D9D" w14:textId="77777777" w:rsidR="002B04EB" w:rsidRPr="003F7F6C" w:rsidRDefault="002B04EB" w:rsidP="00B851B7">
            <w:r w:rsidRPr="003F7F6C">
              <w:rPr>
                <w:rFonts w:cs="Calibri"/>
                <w:sz w:val="16"/>
                <w:szCs w:val="16"/>
              </w:rPr>
              <w:t>X</w:t>
            </w:r>
          </w:p>
        </w:tc>
        <w:tc>
          <w:tcPr>
            <w:tcW w:w="428" w:type="dxa"/>
          </w:tcPr>
          <w:p w14:paraId="45D27021" w14:textId="77777777" w:rsidR="002B04EB" w:rsidRPr="003F7F6C" w:rsidRDefault="002B04EB" w:rsidP="00B851B7">
            <w:r w:rsidRPr="003F7F6C">
              <w:rPr>
                <w:rFonts w:cs="Calibri"/>
                <w:sz w:val="16"/>
                <w:szCs w:val="16"/>
              </w:rPr>
              <w:t>X</w:t>
            </w:r>
          </w:p>
        </w:tc>
        <w:tc>
          <w:tcPr>
            <w:tcW w:w="428" w:type="dxa"/>
            <w:gridSpan w:val="2"/>
          </w:tcPr>
          <w:p w14:paraId="352471A3" w14:textId="77777777" w:rsidR="002B04EB" w:rsidRPr="003F7F6C" w:rsidRDefault="002B04EB" w:rsidP="00B851B7">
            <w:r w:rsidRPr="003F7F6C">
              <w:rPr>
                <w:rFonts w:cs="Calibri"/>
                <w:sz w:val="16"/>
                <w:szCs w:val="16"/>
              </w:rPr>
              <w:t>X</w:t>
            </w:r>
          </w:p>
        </w:tc>
        <w:tc>
          <w:tcPr>
            <w:tcW w:w="428" w:type="dxa"/>
          </w:tcPr>
          <w:p w14:paraId="52285746" w14:textId="77777777" w:rsidR="002B04EB" w:rsidRPr="003F7F6C" w:rsidRDefault="002B04EB" w:rsidP="00B851B7">
            <w:r w:rsidRPr="003F7F6C">
              <w:rPr>
                <w:rFonts w:cs="Calibri"/>
                <w:sz w:val="16"/>
                <w:szCs w:val="16"/>
              </w:rPr>
              <w:t>X</w:t>
            </w:r>
          </w:p>
        </w:tc>
        <w:tc>
          <w:tcPr>
            <w:tcW w:w="428" w:type="dxa"/>
          </w:tcPr>
          <w:p w14:paraId="70A90932" w14:textId="77777777" w:rsidR="002B04EB" w:rsidRPr="003F7F6C" w:rsidRDefault="002B04EB" w:rsidP="00B851B7">
            <w:r w:rsidRPr="003F7F6C">
              <w:rPr>
                <w:rFonts w:cs="Calibri"/>
                <w:sz w:val="16"/>
                <w:szCs w:val="16"/>
              </w:rPr>
              <w:t>X</w:t>
            </w:r>
          </w:p>
        </w:tc>
        <w:tc>
          <w:tcPr>
            <w:tcW w:w="428" w:type="dxa"/>
          </w:tcPr>
          <w:p w14:paraId="1FD2AB2B" w14:textId="77777777" w:rsidR="002B04EB" w:rsidRPr="003F7F6C" w:rsidRDefault="002B04EB" w:rsidP="00B851B7">
            <w:r w:rsidRPr="003F7F6C">
              <w:rPr>
                <w:rFonts w:cs="Calibri"/>
                <w:sz w:val="16"/>
                <w:szCs w:val="16"/>
              </w:rPr>
              <w:t>X</w:t>
            </w:r>
          </w:p>
        </w:tc>
        <w:tc>
          <w:tcPr>
            <w:tcW w:w="428" w:type="dxa"/>
            <w:gridSpan w:val="2"/>
          </w:tcPr>
          <w:p w14:paraId="6FFD4897" w14:textId="77777777" w:rsidR="002B04EB" w:rsidRPr="003F7F6C" w:rsidRDefault="002B04EB" w:rsidP="00B851B7">
            <w:r w:rsidRPr="003F7F6C">
              <w:rPr>
                <w:rFonts w:cs="Calibri"/>
                <w:sz w:val="16"/>
                <w:szCs w:val="16"/>
              </w:rPr>
              <w:t>X</w:t>
            </w:r>
          </w:p>
        </w:tc>
        <w:tc>
          <w:tcPr>
            <w:tcW w:w="428" w:type="dxa"/>
          </w:tcPr>
          <w:p w14:paraId="62D6BCFE" w14:textId="77777777" w:rsidR="002B04EB" w:rsidRPr="003F7F6C" w:rsidRDefault="002B04EB" w:rsidP="00B851B7">
            <w:pPr>
              <w:rPr>
                <w:rFonts w:cs="Calibri"/>
                <w:sz w:val="16"/>
                <w:szCs w:val="16"/>
              </w:rPr>
            </w:pPr>
          </w:p>
        </w:tc>
        <w:tc>
          <w:tcPr>
            <w:tcW w:w="428" w:type="dxa"/>
          </w:tcPr>
          <w:p w14:paraId="631D4B17" w14:textId="77777777" w:rsidR="002B04EB" w:rsidRPr="003F7F6C" w:rsidRDefault="002B04EB" w:rsidP="00B851B7">
            <w:pPr>
              <w:rPr>
                <w:rFonts w:cs="Calibri"/>
                <w:sz w:val="16"/>
                <w:szCs w:val="16"/>
              </w:rPr>
            </w:pPr>
          </w:p>
        </w:tc>
        <w:tc>
          <w:tcPr>
            <w:tcW w:w="428" w:type="dxa"/>
          </w:tcPr>
          <w:p w14:paraId="75D6A3FE" w14:textId="77777777" w:rsidR="002B04EB" w:rsidRPr="003F7F6C" w:rsidRDefault="002B04EB" w:rsidP="00B851B7">
            <w:pPr>
              <w:rPr>
                <w:rFonts w:cs="Calibri"/>
                <w:sz w:val="16"/>
                <w:szCs w:val="16"/>
              </w:rPr>
            </w:pPr>
          </w:p>
        </w:tc>
        <w:tc>
          <w:tcPr>
            <w:tcW w:w="428" w:type="dxa"/>
            <w:gridSpan w:val="2"/>
          </w:tcPr>
          <w:p w14:paraId="465E4407" w14:textId="77777777" w:rsidR="002B04EB" w:rsidRPr="003F7F6C" w:rsidRDefault="002B04EB" w:rsidP="00B851B7">
            <w:pPr>
              <w:rPr>
                <w:rFonts w:cs="Calibri"/>
                <w:sz w:val="16"/>
                <w:szCs w:val="16"/>
              </w:rPr>
            </w:pPr>
          </w:p>
        </w:tc>
        <w:tc>
          <w:tcPr>
            <w:tcW w:w="428" w:type="dxa"/>
          </w:tcPr>
          <w:p w14:paraId="2964AB05" w14:textId="77777777" w:rsidR="002B04EB" w:rsidRPr="003F7F6C" w:rsidRDefault="002B04EB" w:rsidP="00B851B7">
            <w:pPr>
              <w:rPr>
                <w:rFonts w:cs="Calibri"/>
                <w:sz w:val="16"/>
                <w:szCs w:val="16"/>
              </w:rPr>
            </w:pPr>
          </w:p>
        </w:tc>
        <w:tc>
          <w:tcPr>
            <w:tcW w:w="428" w:type="dxa"/>
          </w:tcPr>
          <w:p w14:paraId="16019691" w14:textId="77777777" w:rsidR="002B04EB" w:rsidRPr="003F7F6C" w:rsidRDefault="002B04EB" w:rsidP="00B851B7">
            <w:pPr>
              <w:rPr>
                <w:rFonts w:cs="Calibri"/>
                <w:sz w:val="16"/>
                <w:szCs w:val="16"/>
              </w:rPr>
            </w:pPr>
          </w:p>
        </w:tc>
        <w:tc>
          <w:tcPr>
            <w:tcW w:w="428" w:type="dxa"/>
          </w:tcPr>
          <w:p w14:paraId="55F9F18C" w14:textId="77777777" w:rsidR="002B04EB" w:rsidRPr="003F7F6C" w:rsidRDefault="002B04EB" w:rsidP="00B851B7">
            <w:pPr>
              <w:rPr>
                <w:rFonts w:cs="Calibri"/>
                <w:sz w:val="16"/>
                <w:szCs w:val="16"/>
              </w:rPr>
            </w:pPr>
          </w:p>
        </w:tc>
        <w:tc>
          <w:tcPr>
            <w:tcW w:w="428" w:type="dxa"/>
          </w:tcPr>
          <w:p w14:paraId="70B45C87" w14:textId="77777777" w:rsidR="002B04EB" w:rsidRPr="003F7F6C" w:rsidRDefault="002B04EB" w:rsidP="00B851B7">
            <w:pPr>
              <w:rPr>
                <w:rFonts w:cs="Calibri"/>
                <w:sz w:val="16"/>
                <w:szCs w:val="16"/>
              </w:rPr>
            </w:pPr>
          </w:p>
        </w:tc>
      </w:tr>
      <w:tr w:rsidR="002B04EB" w:rsidRPr="003F7F6C" w14:paraId="3DFD3083" w14:textId="77777777" w:rsidTr="00B851B7">
        <w:tc>
          <w:tcPr>
            <w:tcW w:w="1668" w:type="dxa"/>
          </w:tcPr>
          <w:p w14:paraId="2A28DF0A" w14:textId="77777777" w:rsidR="002B04EB" w:rsidRPr="003F7F6C" w:rsidRDefault="002B04EB" w:rsidP="00E91275">
            <w:pPr>
              <w:pStyle w:val="ListParagraph"/>
              <w:numPr>
                <w:ilvl w:val="0"/>
                <w:numId w:val="29"/>
              </w:numPr>
              <w:spacing w:after="0"/>
              <w:ind w:left="174" w:hanging="174"/>
              <w:contextualSpacing w:val="0"/>
              <w:rPr>
                <w:rFonts w:cs="Calibri"/>
                <w:sz w:val="16"/>
                <w:szCs w:val="16"/>
              </w:rPr>
            </w:pPr>
            <w:r w:rsidRPr="003F7F6C">
              <w:rPr>
                <w:rFonts w:cs="Calibri"/>
                <w:sz w:val="16"/>
                <w:szCs w:val="16"/>
              </w:rPr>
              <w:t>Design the network of protected natural spaces</w:t>
            </w:r>
          </w:p>
        </w:tc>
        <w:tc>
          <w:tcPr>
            <w:tcW w:w="1057" w:type="dxa"/>
          </w:tcPr>
          <w:p w14:paraId="7D013DF9" w14:textId="77777777" w:rsidR="002B04EB" w:rsidRPr="003F7F6C" w:rsidRDefault="002B04EB" w:rsidP="00B851B7">
            <w:pPr>
              <w:rPr>
                <w:rFonts w:cs="Calibri"/>
                <w:sz w:val="16"/>
                <w:szCs w:val="16"/>
              </w:rPr>
            </w:pPr>
            <w:r w:rsidRPr="003F7F6C">
              <w:rPr>
                <w:rFonts w:cs="Calibri"/>
                <w:sz w:val="16"/>
                <w:szCs w:val="16"/>
              </w:rPr>
              <w:t>SAOT</w:t>
            </w:r>
          </w:p>
        </w:tc>
        <w:tc>
          <w:tcPr>
            <w:tcW w:w="428" w:type="dxa"/>
          </w:tcPr>
          <w:p w14:paraId="33B37444" w14:textId="77777777" w:rsidR="002B04EB" w:rsidRPr="003F7F6C" w:rsidRDefault="002B04EB" w:rsidP="00B851B7">
            <w:pPr>
              <w:rPr>
                <w:rFonts w:cs="Calibri"/>
                <w:sz w:val="16"/>
                <w:szCs w:val="16"/>
              </w:rPr>
            </w:pPr>
          </w:p>
        </w:tc>
        <w:tc>
          <w:tcPr>
            <w:tcW w:w="444" w:type="dxa"/>
          </w:tcPr>
          <w:p w14:paraId="06802375" w14:textId="77777777" w:rsidR="002B04EB" w:rsidRPr="003F7F6C" w:rsidRDefault="002B04EB" w:rsidP="00B851B7">
            <w:pPr>
              <w:rPr>
                <w:rFonts w:cs="Calibri"/>
                <w:sz w:val="16"/>
                <w:szCs w:val="16"/>
              </w:rPr>
            </w:pPr>
          </w:p>
        </w:tc>
        <w:tc>
          <w:tcPr>
            <w:tcW w:w="428" w:type="dxa"/>
          </w:tcPr>
          <w:p w14:paraId="7CDCEF4E" w14:textId="77777777" w:rsidR="002B04EB" w:rsidRPr="003F7F6C" w:rsidRDefault="002B04EB" w:rsidP="00B851B7">
            <w:pPr>
              <w:rPr>
                <w:rFonts w:cs="Calibri"/>
                <w:sz w:val="16"/>
                <w:szCs w:val="16"/>
              </w:rPr>
            </w:pPr>
          </w:p>
        </w:tc>
        <w:tc>
          <w:tcPr>
            <w:tcW w:w="428" w:type="dxa"/>
            <w:gridSpan w:val="2"/>
          </w:tcPr>
          <w:p w14:paraId="42D57F31" w14:textId="77777777" w:rsidR="002B04EB" w:rsidRPr="003F7F6C" w:rsidRDefault="002B04EB" w:rsidP="00B851B7">
            <w:pPr>
              <w:rPr>
                <w:rFonts w:cs="Calibri"/>
                <w:sz w:val="16"/>
                <w:szCs w:val="16"/>
              </w:rPr>
            </w:pPr>
          </w:p>
        </w:tc>
        <w:tc>
          <w:tcPr>
            <w:tcW w:w="428" w:type="dxa"/>
          </w:tcPr>
          <w:p w14:paraId="137D5E62" w14:textId="77777777" w:rsidR="002B04EB" w:rsidRPr="003F7F6C" w:rsidRDefault="002B04EB" w:rsidP="00B851B7">
            <w:pPr>
              <w:rPr>
                <w:rFonts w:cs="Calibri"/>
                <w:sz w:val="16"/>
                <w:szCs w:val="16"/>
              </w:rPr>
            </w:pPr>
          </w:p>
        </w:tc>
        <w:tc>
          <w:tcPr>
            <w:tcW w:w="427" w:type="dxa"/>
          </w:tcPr>
          <w:p w14:paraId="4B9A9870" w14:textId="77777777" w:rsidR="002B04EB" w:rsidRPr="003F7F6C" w:rsidRDefault="002B04EB" w:rsidP="00B851B7">
            <w:pPr>
              <w:rPr>
                <w:rFonts w:cs="Calibri"/>
                <w:sz w:val="16"/>
                <w:szCs w:val="16"/>
              </w:rPr>
            </w:pPr>
          </w:p>
        </w:tc>
        <w:tc>
          <w:tcPr>
            <w:tcW w:w="427" w:type="dxa"/>
          </w:tcPr>
          <w:p w14:paraId="04D6DB6E" w14:textId="77777777" w:rsidR="002B04EB" w:rsidRPr="003F7F6C" w:rsidRDefault="002B04EB" w:rsidP="00B851B7">
            <w:pPr>
              <w:rPr>
                <w:rFonts w:cs="Calibri"/>
                <w:sz w:val="16"/>
                <w:szCs w:val="16"/>
              </w:rPr>
            </w:pPr>
          </w:p>
        </w:tc>
        <w:tc>
          <w:tcPr>
            <w:tcW w:w="427" w:type="dxa"/>
            <w:gridSpan w:val="2"/>
          </w:tcPr>
          <w:p w14:paraId="41ACBD2A" w14:textId="77777777" w:rsidR="002B04EB" w:rsidRPr="003F7F6C" w:rsidRDefault="002B04EB" w:rsidP="00B851B7">
            <w:pPr>
              <w:rPr>
                <w:rFonts w:cs="Calibri"/>
                <w:sz w:val="16"/>
                <w:szCs w:val="16"/>
              </w:rPr>
            </w:pPr>
          </w:p>
        </w:tc>
        <w:tc>
          <w:tcPr>
            <w:tcW w:w="428" w:type="dxa"/>
          </w:tcPr>
          <w:p w14:paraId="1AE1C28F" w14:textId="77777777" w:rsidR="002B04EB" w:rsidRPr="003F7F6C" w:rsidRDefault="002B04EB" w:rsidP="00B851B7">
            <w:pPr>
              <w:rPr>
                <w:rFonts w:cs="Calibri"/>
                <w:sz w:val="16"/>
                <w:szCs w:val="16"/>
              </w:rPr>
            </w:pPr>
          </w:p>
        </w:tc>
        <w:tc>
          <w:tcPr>
            <w:tcW w:w="428" w:type="dxa"/>
          </w:tcPr>
          <w:p w14:paraId="61F1BAAB" w14:textId="77777777" w:rsidR="002B04EB" w:rsidRPr="003F7F6C" w:rsidRDefault="002B04EB" w:rsidP="00B851B7">
            <w:pPr>
              <w:rPr>
                <w:rFonts w:cs="Calibri"/>
                <w:sz w:val="16"/>
                <w:szCs w:val="16"/>
              </w:rPr>
            </w:pPr>
          </w:p>
        </w:tc>
        <w:tc>
          <w:tcPr>
            <w:tcW w:w="428" w:type="dxa"/>
          </w:tcPr>
          <w:p w14:paraId="11932058" w14:textId="77777777" w:rsidR="002B04EB" w:rsidRPr="003F7F6C" w:rsidRDefault="002B04EB" w:rsidP="00B851B7">
            <w:pPr>
              <w:rPr>
                <w:rFonts w:cs="Calibri"/>
                <w:sz w:val="16"/>
                <w:szCs w:val="16"/>
              </w:rPr>
            </w:pPr>
          </w:p>
        </w:tc>
        <w:tc>
          <w:tcPr>
            <w:tcW w:w="428" w:type="dxa"/>
            <w:gridSpan w:val="2"/>
          </w:tcPr>
          <w:p w14:paraId="544C8ADD" w14:textId="77777777" w:rsidR="002B04EB" w:rsidRPr="003F7F6C" w:rsidRDefault="002B04EB" w:rsidP="00B851B7">
            <w:pPr>
              <w:rPr>
                <w:rFonts w:cs="Calibri"/>
                <w:sz w:val="16"/>
                <w:szCs w:val="16"/>
              </w:rPr>
            </w:pPr>
          </w:p>
        </w:tc>
        <w:tc>
          <w:tcPr>
            <w:tcW w:w="428" w:type="dxa"/>
          </w:tcPr>
          <w:p w14:paraId="17781149" w14:textId="77777777" w:rsidR="002B04EB" w:rsidRPr="003F7F6C" w:rsidRDefault="002B04EB" w:rsidP="00B851B7">
            <w:r w:rsidRPr="003F7F6C">
              <w:rPr>
                <w:rFonts w:cs="Calibri"/>
                <w:sz w:val="16"/>
                <w:szCs w:val="16"/>
              </w:rPr>
              <w:t>X</w:t>
            </w:r>
          </w:p>
        </w:tc>
        <w:tc>
          <w:tcPr>
            <w:tcW w:w="428" w:type="dxa"/>
          </w:tcPr>
          <w:p w14:paraId="743BDE8E" w14:textId="77777777" w:rsidR="002B04EB" w:rsidRPr="003F7F6C" w:rsidRDefault="002B04EB" w:rsidP="00B851B7">
            <w:r w:rsidRPr="003F7F6C">
              <w:rPr>
                <w:rFonts w:cs="Calibri"/>
                <w:sz w:val="16"/>
                <w:szCs w:val="16"/>
              </w:rPr>
              <w:t>X</w:t>
            </w:r>
          </w:p>
        </w:tc>
        <w:tc>
          <w:tcPr>
            <w:tcW w:w="428" w:type="dxa"/>
          </w:tcPr>
          <w:p w14:paraId="37D5E0E7" w14:textId="77777777" w:rsidR="002B04EB" w:rsidRPr="003F7F6C" w:rsidRDefault="002B04EB" w:rsidP="00B851B7">
            <w:r w:rsidRPr="003F7F6C">
              <w:rPr>
                <w:rFonts w:cs="Calibri"/>
                <w:sz w:val="16"/>
                <w:szCs w:val="16"/>
              </w:rPr>
              <w:t>X</w:t>
            </w:r>
          </w:p>
        </w:tc>
        <w:tc>
          <w:tcPr>
            <w:tcW w:w="428" w:type="dxa"/>
            <w:gridSpan w:val="2"/>
          </w:tcPr>
          <w:p w14:paraId="2321C660" w14:textId="77777777" w:rsidR="002B04EB" w:rsidRPr="003F7F6C" w:rsidRDefault="002B04EB" w:rsidP="00B851B7">
            <w:r w:rsidRPr="003F7F6C">
              <w:rPr>
                <w:rFonts w:cs="Calibri"/>
                <w:sz w:val="16"/>
                <w:szCs w:val="16"/>
              </w:rPr>
              <w:t>X</w:t>
            </w:r>
          </w:p>
        </w:tc>
        <w:tc>
          <w:tcPr>
            <w:tcW w:w="428" w:type="dxa"/>
          </w:tcPr>
          <w:p w14:paraId="61C41D26" w14:textId="77777777" w:rsidR="002B04EB" w:rsidRPr="003F7F6C" w:rsidRDefault="002B04EB" w:rsidP="00B851B7">
            <w:r w:rsidRPr="003F7F6C">
              <w:rPr>
                <w:rFonts w:cs="Calibri"/>
                <w:sz w:val="16"/>
                <w:szCs w:val="16"/>
              </w:rPr>
              <w:t>X</w:t>
            </w:r>
          </w:p>
        </w:tc>
        <w:tc>
          <w:tcPr>
            <w:tcW w:w="428" w:type="dxa"/>
          </w:tcPr>
          <w:p w14:paraId="3B9F3790" w14:textId="77777777" w:rsidR="002B04EB" w:rsidRPr="003F7F6C" w:rsidRDefault="002B04EB" w:rsidP="00B851B7">
            <w:r w:rsidRPr="003F7F6C">
              <w:rPr>
                <w:rFonts w:cs="Calibri"/>
                <w:sz w:val="16"/>
                <w:szCs w:val="16"/>
              </w:rPr>
              <w:t>X</w:t>
            </w:r>
          </w:p>
        </w:tc>
        <w:tc>
          <w:tcPr>
            <w:tcW w:w="428" w:type="dxa"/>
          </w:tcPr>
          <w:p w14:paraId="66235358" w14:textId="77777777" w:rsidR="002B04EB" w:rsidRPr="003F7F6C" w:rsidRDefault="002B04EB" w:rsidP="00B851B7">
            <w:r w:rsidRPr="003F7F6C">
              <w:rPr>
                <w:rFonts w:cs="Calibri"/>
                <w:sz w:val="16"/>
                <w:szCs w:val="16"/>
              </w:rPr>
              <w:t>X</w:t>
            </w:r>
          </w:p>
        </w:tc>
        <w:tc>
          <w:tcPr>
            <w:tcW w:w="428" w:type="dxa"/>
            <w:gridSpan w:val="2"/>
          </w:tcPr>
          <w:p w14:paraId="74415479" w14:textId="77777777" w:rsidR="002B04EB" w:rsidRPr="003F7F6C" w:rsidRDefault="002B04EB" w:rsidP="00B851B7">
            <w:r w:rsidRPr="003F7F6C">
              <w:rPr>
                <w:rFonts w:cs="Calibri"/>
                <w:sz w:val="16"/>
                <w:szCs w:val="16"/>
              </w:rPr>
              <w:t>X</w:t>
            </w:r>
          </w:p>
        </w:tc>
        <w:tc>
          <w:tcPr>
            <w:tcW w:w="428" w:type="dxa"/>
          </w:tcPr>
          <w:p w14:paraId="09528951" w14:textId="77777777" w:rsidR="002B04EB" w:rsidRPr="003F7F6C" w:rsidRDefault="002B04EB" w:rsidP="00B851B7">
            <w:r w:rsidRPr="003F7F6C">
              <w:rPr>
                <w:rFonts w:cs="Calibri"/>
                <w:sz w:val="16"/>
                <w:szCs w:val="16"/>
              </w:rPr>
              <w:t>X</w:t>
            </w:r>
          </w:p>
        </w:tc>
        <w:tc>
          <w:tcPr>
            <w:tcW w:w="428" w:type="dxa"/>
          </w:tcPr>
          <w:p w14:paraId="3E6A9682" w14:textId="77777777" w:rsidR="002B04EB" w:rsidRPr="003F7F6C" w:rsidRDefault="002B04EB" w:rsidP="00B851B7">
            <w:r w:rsidRPr="003F7F6C">
              <w:rPr>
                <w:rFonts w:cs="Calibri"/>
                <w:sz w:val="16"/>
                <w:szCs w:val="16"/>
              </w:rPr>
              <w:t>X</w:t>
            </w:r>
          </w:p>
        </w:tc>
        <w:tc>
          <w:tcPr>
            <w:tcW w:w="428" w:type="dxa"/>
          </w:tcPr>
          <w:p w14:paraId="1A1CC7E7" w14:textId="77777777" w:rsidR="002B04EB" w:rsidRPr="003F7F6C" w:rsidRDefault="002B04EB" w:rsidP="00B851B7">
            <w:r w:rsidRPr="003F7F6C">
              <w:rPr>
                <w:rFonts w:cs="Calibri"/>
                <w:sz w:val="16"/>
                <w:szCs w:val="16"/>
              </w:rPr>
              <w:t>X</w:t>
            </w:r>
          </w:p>
        </w:tc>
        <w:tc>
          <w:tcPr>
            <w:tcW w:w="428" w:type="dxa"/>
          </w:tcPr>
          <w:p w14:paraId="5D2DB81E" w14:textId="77777777" w:rsidR="002B04EB" w:rsidRPr="003F7F6C" w:rsidRDefault="002B04EB" w:rsidP="00B851B7">
            <w:r w:rsidRPr="003F7F6C">
              <w:rPr>
                <w:rFonts w:cs="Calibri"/>
                <w:sz w:val="16"/>
                <w:szCs w:val="16"/>
              </w:rPr>
              <w:t>X</w:t>
            </w:r>
          </w:p>
        </w:tc>
      </w:tr>
      <w:tr w:rsidR="002B04EB" w:rsidRPr="003F7F6C" w14:paraId="1E3CE66F" w14:textId="77777777" w:rsidTr="00B851B7">
        <w:tc>
          <w:tcPr>
            <w:tcW w:w="1668" w:type="dxa"/>
          </w:tcPr>
          <w:p w14:paraId="353AF4B9" w14:textId="01049147" w:rsidR="002B04EB" w:rsidRPr="003F7F6C" w:rsidRDefault="002B04EB" w:rsidP="00E91275">
            <w:pPr>
              <w:pStyle w:val="ListParagraph"/>
              <w:numPr>
                <w:ilvl w:val="0"/>
                <w:numId w:val="29"/>
              </w:numPr>
              <w:spacing w:after="0"/>
              <w:ind w:left="174" w:hanging="174"/>
              <w:contextualSpacing w:val="0"/>
              <w:rPr>
                <w:rFonts w:cs="Calibri"/>
                <w:sz w:val="16"/>
                <w:szCs w:val="16"/>
              </w:rPr>
            </w:pPr>
            <w:r w:rsidRPr="003F7F6C">
              <w:rPr>
                <w:rFonts w:cs="Calibri"/>
                <w:sz w:val="16"/>
                <w:szCs w:val="16"/>
              </w:rPr>
              <w:t>Develop an integrated plan for public use infrastructure in P</w:t>
            </w:r>
            <w:r w:rsidR="00D02100" w:rsidRPr="003F7F6C">
              <w:rPr>
                <w:rFonts w:cs="Calibri"/>
                <w:sz w:val="16"/>
                <w:szCs w:val="16"/>
              </w:rPr>
              <w:t>a</w:t>
            </w:r>
            <w:r w:rsidRPr="003F7F6C">
              <w:rPr>
                <w:rFonts w:cs="Calibri"/>
                <w:sz w:val="16"/>
                <w:szCs w:val="16"/>
              </w:rPr>
              <w:t>s</w:t>
            </w:r>
          </w:p>
        </w:tc>
        <w:tc>
          <w:tcPr>
            <w:tcW w:w="1057" w:type="dxa"/>
          </w:tcPr>
          <w:p w14:paraId="31CB1C99" w14:textId="77777777" w:rsidR="002B04EB" w:rsidRPr="003F7F6C" w:rsidRDefault="002B04EB" w:rsidP="00B851B7">
            <w:pPr>
              <w:rPr>
                <w:rFonts w:cs="Calibri"/>
                <w:sz w:val="16"/>
                <w:szCs w:val="16"/>
              </w:rPr>
            </w:pPr>
            <w:r w:rsidRPr="003F7F6C">
              <w:rPr>
                <w:rFonts w:cs="Calibri"/>
                <w:sz w:val="16"/>
                <w:szCs w:val="16"/>
              </w:rPr>
              <w:t>SAOT</w:t>
            </w:r>
          </w:p>
        </w:tc>
        <w:tc>
          <w:tcPr>
            <w:tcW w:w="428" w:type="dxa"/>
          </w:tcPr>
          <w:p w14:paraId="5814E6AF" w14:textId="77777777" w:rsidR="002B04EB" w:rsidRPr="003F7F6C" w:rsidRDefault="002B04EB" w:rsidP="00B851B7">
            <w:pPr>
              <w:rPr>
                <w:rFonts w:cs="Calibri"/>
                <w:sz w:val="16"/>
                <w:szCs w:val="16"/>
              </w:rPr>
            </w:pPr>
          </w:p>
        </w:tc>
        <w:tc>
          <w:tcPr>
            <w:tcW w:w="444" w:type="dxa"/>
          </w:tcPr>
          <w:p w14:paraId="34E29DE5" w14:textId="77777777" w:rsidR="002B04EB" w:rsidRPr="003F7F6C" w:rsidRDefault="002B04EB" w:rsidP="00B851B7">
            <w:pPr>
              <w:rPr>
                <w:rFonts w:cs="Calibri"/>
                <w:sz w:val="16"/>
                <w:szCs w:val="16"/>
              </w:rPr>
            </w:pPr>
          </w:p>
        </w:tc>
        <w:tc>
          <w:tcPr>
            <w:tcW w:w="428" w:type="dxa"/>
          </w:tcPr>
          <w:p w14:paraId="74D01741" w14:textId="77777777" w:rsidR="002B04EB" w:rsidRPr="003F7F6C" w:rsidRDefault="002B04EB" w:rsidP="00B851B7">
            <w:pPr>
              <w:rPr>
                <w:rFonts w:cs="Calibri"/>
                <w:sz w:val="16"/>
                <w:szCs w:val="16"/>
              </w:rPr>
            </w:pPr>
          </w:p>
        </w:tc>
        <w:tc>
          <w:tcPr>
            <w:tcW w:w="428" w:type="dxa"/>
            <w:gridSpan w:val="2"/>
          </w:tcPr>
          <w:p w14:paraId="6E191A3D" w14:textId="77777777" w:rsidR="002B04EB" w:rsidRPr="003F7F6C" w:rsidRDefault="002B04EB" w:rsidP="00B851B7">
            <w:pPr>
              <w:rPr>
                <w:rFonts w:cs="Calibri"/>
                <w:sz w:val="16"/>
                <w:szCs w:val="16"/>
              </w:rPr>
            </w:pPr>
          </w:p>
        </w:tc>
        <w:tc>
          <w:tcPr>
            <w:tcW w:w="428" w:type="dxa"/>
          </w:tcPr>
          <w:p w14:paraId="5410794A" w14:textId="77777777" w:rsidR="002B04EB" w:rsidRPr="003F7F6C" w:rsidRDefault="002B04EB" w:rsidP="00B851B7">
            <w:r w:rsidRPr="003F7F6C">
              <w:rPr>
                <w:rFonts w:cs="Calibri"/>
                <w:sz w:val="16"/>
                <w:szCs w:val="16"/>
              </w:rPr>
              <w:t>X</w:t>
            </w:r>
          </w:p>
        </w:tc>
        <w:tc>
          <w:tcPr>
            <w:tcW w:w="427" w:type="dxa"/>
          </w:tcPr>
          <w:p w14:paraId="1709F1B7" w14:textId="77777777" w:rsidR="002B04EB" w:rsidRPr="003F7F6C" w:rsidRDefault="002B04EB" w:rsidP="00B851B7">
            <w:r w:rsidRPr="003F7F6C">
              <w:rPr>
                <w:rFonts w:cs="Calibri"/>
                <w:sz w:val="16"/>
                <w:szCs w:val="16"/>
              </w:rPr>
              <w:t>X</w:t>
            </w:r>
          </w:p>
        </w:tc>
        <w:tc>
          <w:tcPr>
            <w:tcW w:w="427" w:type="dxa"/>
          </w:tcPr>
          <w:p w14:paraId="738AA72F" w14:textId="77777777" w:rsidR="002B04EB" w:rsidRPr="003F7F6C" w:rsidRDefault="002B04EB" w:rsidP="00B851B7">
            <w:r w:rsidRPr="003F7F6C">
              <w:rPr>
                <w:rFonts w:cs="Calibri"/>
                <w:sz w:val="16"/>
                <w:szCs w:val="16"/>
              </w:rPr>
              <w:t>X</w:t>
            </w:r>
          </w:p>
        </w:tc>
        <w:tc>
          <w:tcPr>
            <w:tcW w:w="427" w:type="dxa"/>
            <w:gridSpan w:val="2"/>
          </w:tcPr>
          <w:p w14:paraId="293CAEA3" w14:textId="77777777" w:rsidR="002B04EB" w:rsidRPr="003F7F6C" w:rsidRDefault="002B04EB" w:rsidP="00B851B7">
            <w:r w:rsidRPr="003F7F6C">
              <w:rPr>
                <w:rFonts w:cs="Calibri"/>
                <w:sz w:val="16"/>
                <w:szCs w:val="16"/>
              </w:rPr>
              <w:t>X</w:t>
            </w:r>
          </w:p>
        </w:tc>
        <w:tc>
          <w:tcPr>
            <w:tcW w:w="428" w:type="dxa"/>
          </w:tcPr>
          <w:p w14:paraId="180460BC" w14:textId="77777777" w:rsidR="002B04EB" w:rsidRPr="003F7F6C" w:rsidRDefault="002B04EB" w:rsidP="00B851B7">
            <w:r w:rsidRPr="003F7F6C">
              <w:rPr>
                <w:rFonts w:cs="Calibri"/>
                <w:sz w:val="16"/>
                <w:szCs w:val="16"/>
              </w:rPr>
              <w:t>X</w:t>
            </w:r>
          </w:p>
        </w:tc>
        <w:tc>
          <w:tcPr>
            <w:tcW w:w="428" w:type="dxa"/>
          </w:tcPr>
          <w:p w14:paraId="7AFFC4A4" w14:textId="77777777" w:rsidR="002B04EB" w:rsidRPr="003F7F6C" w:rsidRDefault="002B04EB" w:rsidP="00B851B7">
            <w:r w:rsidRPr="003F7F6C">
              <w:rPr>
                <w:rFonts w:cs="Calibri"/>
                <w:sz w:val="16"/>
                <w:szCs w:val="16"/>
              </w:rPr>
              <w:t>X</w:t>
            </w:r>
          </w:p>
        </w:tc>
        <w:tc>
          <w:tcPr>
            <w:tcW w:w="428" w:type="dxa"/>
          </w:tcPr>
          <w:p w14:paraId="4127B832" w14:textId="77777777" w:rsidR="002B04EB" w:rsidRPr="003F7F6C" w:rsidRDefault="002B04EB" w:rsidP="00B851B7">
            <w:r w:rsidRPr="003F7F6C">
              <w:rPr>
                <w:rFonts w:cs="Calibri"/>
                <w:sz w:val="16"/>
                <w:szCs w:val="16"/>
              </w:rPr>
              <w:t>X</w:t>
            </w:r>
          </w:p>
        </w:tc>
        <w:tc>
          <w:tcPr>
            <w:tcW w:w="428" w:type="dxa"/>
            <w:gridSpan w:val="2"/>
          </w:tcPr>
          <w:p w14:paraId="2BD2304E" w14:textId="77777777" w:rsidR="002B04EB" w:rsidRPr="003F7F6C" w:rsidRDefault="002B04EB" w:rsidP="00B851B7">
            <w:r w:rsidRPr="003F7F6C">
              <w:rPr>
                <w:rFonts w:cs="Calibri"/>
                <w:sz w:val="16"/>
                <w:szCs w:val="16"/>
              </w:rPr>
              <w:t>X</w:t>
            </w:r>
          </w:p>
        </w:tc>
        <w:tc>
          <w:tcPr>
            <w:tcW w:w="428" w:type="dxa"/>
          </w:tcPr>
          <w:p w14:paraId="3993E785" w14:textId="77777777" w:rsidR="002B04EB" w:rsidRPr="003F7F6C" w:rsidRDefault="002B04EB" w:rsidP="00B851B7">
            <w:r w:rsidRPr="003F7F6C">
              <w:rPr>
                <w:rFonts w:cs="Calibri"/>
                <w:sz w:val="16"/>
                <w:szCs w:val="16"/>
              </w:rPr>
              <w:t>X</w:t>
            </w:r>
          </w:p>
        </w:tc>
        <w:tc>
          <w:tcPr>
            <w:tcW w:w="428" w:type="dxa"/>
          </w:tcPr>
          <w:p w14:paraId="7A25A238" w14:textId="77777777" w:rsidR="002B04EB" w:rsidRPr="003F7F6C" w:rsidRDefault="002B04EB" w:rsidP="00B851B7">
            <w:r w:rsidRPr="003F7F6C">
              <w:rPr>
                <w:rFonts w:cs="Calibri"/>
                <w:sz w:val="16"/>
                <w:szCs w:val="16"/>
              </w:rPr>
              <w:t>X</w:t>
            </w:r>
          </w:p>
        </w:tc>
        <w:tc>
          <w:tcPr>
            <w:tcW w:w="428" w:type="dxa"/>
          </w:tcPr>
          <w:p w14:paraId="10CD346F" w14:textId="77777777" w:rsidR="002B04EB" w:rsidRPr="003F7F6C" w:rsidRDefault="002B04EB" w:rsidP="00B851B7">
            <w:r w:rsidRPr="003F7F6C">
              <w:rPr>
                <w:rFonts w:cs="Calibri"/>
                <w:sz w:val="16"/>
                <w:szCs w:val="16"/>
              </w:rPr>
              <w:t>X</w:t>
            </w:r>
          </w:p>
        </w:tc>
        <w:tc>
          <w:tcPr>
            <w:tcW w:w="428" w:type="dxa"/>
            <w:gridSpan w:val="2"/>
          </w:tcPr>
          <w:p w14:paraId="2B6143FE" w14:textId="77777777" w:rsidR="002B04EB" w:rsidRPr="003F7F6C" w:rsidRDefault="002B04EB" w:rsidP="00B851B7">
            <w:r w:rsidRPr="003F7F6C">
              <w:rPr>
                <w:rFonts w:cs="Calibri"/>
                <w:sz w:val="16"/>
                <w:szCs w:val="16"/>
              </w:rPr>
              <w:t>X</w:t>
            </w:r>
          </w:p>
        </w:tc>
        <w:tc>
          <w:tcPr>
            <w:tcW w:w="428" w:type="dxa"/>
          </w:tcPr>
          <w:p w14:paraId="4D7A2D8E" w14:textId="77777777" w:rsidR="002B04EB" w:rsidRPr="003F7F6C" w:rsidRDefault="002B04EB" w:rsidP="00B851B7">
            <w:r w:rsidRPr="003F7F6C">
              <w:rPr>
                <w:rFonts w:cs="Calibri"/>
                <w:sz w:val="16"/>
                <w:szCs w:val="16"/>
              </w:rPr>
              <w:t>X</w:t>
            </w:r>
          </w:p>
        </w:tc>
        <w:tc>
          <w:tcPr>
            <w:tcW w:w="428" w:type="dxa"/>
          </w:tcPr>
          <w:p w14:paraId="633288F6" w14:textId="77777777" w:rsidR="002B04EB" w:rsidRPr="003F7F6C" w:rsidRDefault="002B04EB" w:rsidP="00B851B7">
            <w:r w:rsidRPr="003F7F6C">
              <w:rPr>
                <w:rFonts w:cs="Calibri"/>
                <w:sz w:val="16"/>
                <w:szCs w:val="16"/>
              </w:rPr>
              <w:t>X</w:t>
            </w:r>
          </w:p>
        </w:tc>
        <w:tc>
          <w:tcPr>
            <w:tcW w:w="428" w:type="dxa"/>
          </w:tcPr>
          <w:p w14:paraId="24BD202F" w14:textId="77777777" w:rsidR="002B04EB" w:rsidRPr="003F7F6C" w:rsidRDefault="002B04EB" w:rsidP="00B851B7">
            <w:r w:rsidRPr="003F7F6C">
              <w:rPr>
                <w:rFonts w:cs="Calibri"/>
                <w:sz w:val="16"/>
                <w:szCs w:val="16"/>
              </w:rPr>
              <w:t>X</w:t>
            </w:r>
          </w:p>
        </w:tc>
        <w:tc>
          <w:tcPr>
            <w:tcW w:w="428" w:type="dxa"/>
            <w:gridSpan w:val="2"/>
          </w:tcPr>
          <w:p w14:paraId="06886440" w14:textId="77777777" w:rsidR="002B04EB" w:rsidRPr="003F7F6C" w:rsidRDefault="002B04EB" w:rsidP="00B851B7">
            <w:r w:rsidRPr="003F7F6C">
              <w:rPr>
                <w:rFonts w:cs="Calibri"/>
                <w:sz w:val="16"/>
                <w:szCs w:val="16"/>
              </w:rPr>
              <w:t>X</w:t>
            </w:r>
          </w:p>
        </w:tc>
        <w:tc>
          <w:tcPr>
            <w:tcW w:w="428" w:type="dxa"/>
          </w:tcPr>
          <w:p w14:paraId="397A8F11" w14:textId="77777777" w:rsidR="002B04EB" w:rsidRPr="003F7F6C" w:rsidRDefault="002B04EB" w:rsidP="00B851B7">
            <w:r w:rsidRPr="003F7F6C">
              <w:rPr>
                <w:rFonts w:cs="Calibri"/>
                <w:sz w:val="16"/>
                <w:szCs w:val="16"/>
              </w:rPr>
              <w:t>X</w:t>
            </w:r>
          </w:p>
        </w:tc>
        <w:tc>
          <w:tcPr>
            <w:tcW w:w="428" w:type="dxa"/>
          </w:tcPr>
          <w:p w14:paraId="2DCF5246" w14:textId="77777777" w:rsidR="002B04EB" w:rsidRPr="003F7F6C" w:rsidRDefault="002B04EB" w:rsidP="00B851B7">
            <w:r w:rsidRPr="003F7F6C">
              <w:rPr>
                <w:rFonts w:cs="Calibri"/>
                <w:sz w:val="16"/>
                <w:szCs w:val="16"/>
              </w:rPr>
              <w:t>X</w:t>
            </w:r>
          </w:p>
        </w:tc>
        <w:tc>
          <w:tcPr>
            <w:tcW w:w="428" w:type="dxa"/>
          </w:tcPr>
          <w:p w14:paraId="05940BC5" w14:textId="77777777" w:rsidR="002B04EB" w:rsidRPr="003F7F6C" w:rsidRDefault="002B04EB" w:rsidP="00B851B7">
            <w:r w:rsidRPr="003F7F6C">
              <w:rPr>
                <w:rFonts w:cs="Calibri"/>
                <w:sz w:val="16"/>
                <w:szCs w:val="16"/>
              </w:rPr>
              <w:t>X</w:t>
            </w:r>
          </w:p>
        </w:tc>
        <w:tc>
          <w:tcPr>
            <w:tcW w:w="428" w:type="dxa"/>
          </w:tcPr>
          <w:p w14:paraId="1B942ADB" w14:textId="77777777" w:rsidR="002B04EB" w:rsidRPr="003F7F6C" w:rsidRDefault="002B04EB" w:rsidP="00B851B7">
            <w:r w:rsidRPr="003F7F6C">
              <w:rPr>
                <w:rFonts w:cs="Calibri"/>
                <w:sz w:val="16"/>
                <w:szCs w:val="16"/>
              </w:rPr>
              <w:t>X</w:t>
            </w:r>
          </w:p>
        </w:tc>
      </w:tr>
      <w:tr w:rsidR="002B04EB" w:rsidRPr="003F7F6C" w14:paraId="6DCA5780" w14:textId="77777777" w:rsidTr="00B851B7">
        <w:tc>
          <w:tcPr>
            <w:tcW w:w="1668" w:type="dxa"/>
          </w:tcPr>
          <w:p w14:paraId="2160DFC2" w14:textId="77777777" w:rsidR="002B04EB" w:rsidRPr="003F7F6C" w:rsidRDefault="002B04EB" w:rsidP="00E91275">
            <w:pPr>
              <w:pStyle w:val="ListParagraph"/>
              <w:numPr>
                <w:ilvl w:val="0"/>
                <w:numId w:val="29"/>
              </w:numPr>
              <w:spacing w:after="0"/>
              <w:ind w:left="174" w:hanging="174"/>
              <w:contextualSpacing w:val="0"/>
              <w:rPr>
                <w:rFonts w:cs="Calibri"/>
                <w:sz w:val="16"/>
                <w:szCs w:val="16"/>
              </w:rPr>
            </w:pPr>
            <w:r w:rsidRPr="003F7F6C">
              <w:rPr>
                <w:rFonts w:cs="Calibri"/>
                <w:sz w:val="16"/>
                <w:szCs w:val="16"/>
              </w:rPr>
              <w:t>Develop a capacity strengthening plan for the network of protected natural spaces</w:t>
            </w:r>
          </w:p>
        </w:tc>
        <w:tc>
          <w:tcPr>
            <w:tcW w:w="1057" w:type="dxa"/>
          </w:tcPr>
          <w:p w14:paraId="1C74C821" w14:textId="77777777" w:rsidR="002B04EB" w:rsidRPr="003F7F6C" w:rsidRDefault="002B04EB" w:rsidP="00B851B7">
            <w:pPr>
              <w:rPr>
                <w:rFonts w:cs="Calibri"/>
                <w:sz w:val="16"/>
                <w:szCs w:val="16"/>
              </w:rPr>
            </w:pPr>
            <w:r w:rsidRPr="003F7F6C">
              <w:rPr>
                <w:rFonts w:cs="Calibri"/>
                <w:sz w:val="16"/>
                <w:szCs w:val="16"/>
              </w:rPr>
              <w:t>SAOT</w:t>
            </w:r>
          </w:p>
        </w:tc>
        <w:tc>
          <w:tcPr>
            <w:tcW w:w="428" w:type="dxa"/>
          </w:tcPr>
          <w:p w14:paraId="472E6BBC" w14:textId="77777777" w:rsidR="002B04EB" w:rsidRPr="003F7F6C" w:rsidRDefault="002B04EB" w:rsidP="00B851B7">
            <w:pPr>
              <w:rPr>
                <w:rFonts w:cs="Calibri"/>
                <w:sz w:val="16"/>
                <w:szCs w:val="16"/>
              </w:rPr>
            </w:pPr>
          </w:p>
        </w:tc>
        <w:tc>
          <w:tcPr>
            <w:tcW w:w="444" w:type="dxa"/>
          </w:tcPr>
          <w:p w14:paraId="5AE7EBA7" w14:textId="77777777" w:rsidR="002B04EB" w:rsidRPr="003F7F6C" w:rsidRDefault="002B04EB" w:rsidP="00B851B7">
            <w:pPr>
              <w:rPr>
                <w:rFonts w:cs="Calibri"/>
                <w:sz w:val="16"/>
                <w:szCs w:val="16"/>
              </w:rPr>
            </w:pPr>
          </w:p>
        </w:tc>
        <w:tc>
          <w:tcPr>
            <w:tcW w:w="428" w:type="dxa"/>
          </w:tcPr>
          <w:p w14:paraId="0E485624" w14:textId="77777777" w:rsidR="002B04EB" w:rsidRPr="003F7F6C" w:rsidRDefault="002B04EB" w:rsidP="00B851B7">
            <w:pPr>
              <w:rPr>
                <w:rFonts w:cs="Calibri"/>
                <w:sz w:val="16"/>
                <w:szCs w:val="16"/>
              </w:rPr>
            </w:pPr>
          </w:p>
        </w:tc>
        <w:tc>
          <w:tcPr>
            <w:tcW w:w="428" w:type="dxa"/>
            <w:gridSpan w:val="2"/>
          </w:tcPr>
          <w:p w14:paraId="081D48D9" w14:textId="77777777" w:rsidR="002B04EB" w:rsidRPr="003F7F6C" w:rsidRDefault="002B04EB" w:rsidP="00B851B7">
            <w:pPr>
              <w:rPr>
                <w:rFonts w:cs="Calibri"/>
                <w:sz w:val="16"/>
                <w:szCs w:val="16"/>
              </w:rPr>
            </w:pPr>
          </w:p>
        </w:tc>
        <w:tc>
          <w:tcPr>
            <w:tcW w:w="428" w:type="dxa"/>
          </w:tcPr>
          <w:p w14:paraId="66804EEC" w14:textId="77777777" w:rsidR="002B04EB" w:rsidRPr="003F7F6C" w:rsidRDefault="002B04EB" w:rsidP="00B851B7">
            <w:r w:rsidRPr="003F7F6C">
              <w:rPr>
                <w:rFonts w:cs="Calibri"/>
                <w:sz w:val="16"/>
                <w:szCs w:val="16"/>
              </w:rPr>
              <w:t>X</w:t>
            </w:r>
          </w:p>
        </w:tc>
        <w:tc>
          <w:tcPr>
            <w:tcW w:w="427" w:type="dxa"/>
          </w:tcPr>
          <w:p w14:paraId="6360A65F" w14:textId="77777777" w:rsidR="002B04EB" w:rsidRPr="003F7F6C" w:rsidRDefault="002B04EB" w:rsidP="00B851B7">
            <w:r w:rsidRPr="003F7F6C">
              <w:rPr>
                <w:rFonts w:cs="Calibri"/>
                <w:sz w:val="16"/>
                <w:szCs w:val="16"/>
              </w:rPr>
              <w:t>X</w:t>
            </w:r>
          </w:p>
        </w:tc>
        <w:tc>
          <w:tcPr>
            <w:tcW w:w="427" w:type="dxa"/>
          </w:tcPr>
          <w:p w14:paraId="0DDB8745" w14:textId="77777777" w:rsidR="002B04EB" w:rsidRPr="003F7F6C" w:rsidRDefault="002B04EB" w:rsidP="00B851B7">
            <w:r w:rsidRPr="003F7F6C">
              <w:rPr>
                <w:rFonts w:cs="Calibri"/>
                <w:sz w:val="16"/>
                <w:szCs w:val="16"/>
              </w:rPr>
              <w:t>X</w:t>
            </w:r>
          </w:p>
        </w:tc>
        <w:tc>
          <w:tcPr>
            <w:tcW w:w="427" w:type="dxa"/>
            <w:gridSpan w:val="2"/>
          </w:tcPr>
          <w:p w14:paraId="39E1261A" w14:textId="77777777" w:rsidR="002B04EB" w:rsidRPr="003F7F6C" w:rsidRDefault="002B04EB" w:rsidP="00B851B7">
            <w:r w:rsidRPr="003F7F6C">
              <w:rPr>
                <w:rFonts w:cs="Calibri"/>
                <w:sz w:val="16"/>
                <w:szCs w:val="16"/>
              </w:rPr>
              <w:t>X</w:t>
            </w:r>
          </w:p>
        </w:tc>
        <w:tc>
          <w:tcPr>
            <w:tcW w:w="428" w:type="dxa"/>
          </w:tcPr>
          <w:p w14:paraId="0D7F8A97" w14:textId="77777777" w:rsidR="002B04EB" w:rsidRPr="003F7F6C" w:rsidRDefault="002B04EB" w:rsidP="00B851B7">
            <w:r w:rsidRPr="003F7F6C">
              <w:rPr>
                <w:rFonts w:cs="Calibri"/>
                <w:sz w:val="16"/>
                <w:szCs w:val="16"/>
              </w:rPr>
              <w:t>X</w:t>
            </w:r>
          </w:p>
        </w:tc>
        <w:tc>
          <w:tcPr>
            <w:tcW w:w="428" w:type="dxa"/>
          </w:tcPr>
          <w:p w14:paraId="70F47FD8" w14:textId="77777777" w:rsidR="002B04EB" w:rsidRPr="003F7F6C" w:rsidRDefault="002B04EB" w:rsidP="00B851B7">
            <w:r w:rsidRPr="003F7F6C">
              <w:rPr>
                <w:rFonts w:cs="Calibri"/>
                <w:sz w:val="16"/>
                <w:szCs w:val="16"/>
              </w:rPr>
              <w:t>X</w:t>
            </w:r>
          </w:p>
        </w:tc>
        <w:tc>
          <w:tcPr>
            <w:tcW w:w="428" w:type="dxa"/>
          </w:tcPr>
          <w:p w14:paraId="6ED97C20" w14:textId="77777777" w:rsidR="002B04EB" w:rsidRPr="003F7F6C" w:rsidRDefault="002B04EB" w:rsidP="00B851B7">
            <w:r w:rsidRPr="003F7F6C">
              <w:rPr>
                <w:rFonts w:cs="Calibri"/>
                <w:sz w:val="16"/>
                <w:szCs w:val="16"/>
              </w:rPr>
              <w:t>X</w:t>
            </w:r>
          </w:p>
        </w:tc>
        <w:tc>
          <w:tcPr>
            <w:tcW w:w="428" w:type="dxa"/>
            <w:gridSpan w:val="2"/>
          </w:tcPr>
          <w:p w14:paraId="287BBECE" w14:textId="77777777" w:rsidR="002B04EB" w:rsidRPr="003F7F6C" w:rsidRDefault="002B04EB" w:rsidP="00B851B7">
            <w:r w:rsidRPr="003F7F6C">
              <w:rPr>
                <w:rFonts w:cs="Calibri"/>
                <w:sz w:val="16"/>
                <w:szCs w:val="16"/>
              </w:rPr>
              <w:t>X</w:t>
            </w:r>
          </w:p>
        </w:tc>
        <w:tc>
          <w:tcPr>
            <w:tcW w:w="428" w:type="dxa"/>
          </w:tcPr>
          <w:p w14:paraId="2E539CF5" w14:textId="77777777" w:rsidR="002B04EB" w:rsidRPr="003F7F6C" w:rsidRDefault="002B04EB" w:rsidP="00B851B7">
            <w:r w:rsidRPr="003F7F6C">
              <w:rPr>
                <w:rFonts w:cs="Calibri"/>
                <w:sz w:val="16"/>
                <w:szCs w:val="16"/>
              </w:rPr>
              <w:t>X</w:t>
            </w:r>
          </w:p>
        </w:tc>
        <w:tc>
          <w:tcPr>
            <w:tcW w:w="428" w:type="dxa"/>
          </w:tcPr>
          <w:p w14:paraId="58B93EB7" w14:textId="77777777" w:rsidR="002B04EB" w:rsidRPr="003F7F6C" w:rsidRDefault="002B04EB" w:rsidP="00B851B7">
            <w:r w:rsidRPr="003F7F6C">
              <w:rPr>
                <w:rFonts w:cs="Calibri"/>
                <w:sz w:val="16"/>
                <w:szCs w:val="16"/>
              </w:rPr>
              <w:t>X</w:t>
            </w:r>
          </w:p>
        </w:tc>
        <w:tc>
          <w:tcPr>
            <w:tcW w:w="428" w:type="dxa"/>
          </w:tcPr>
          <w:p w14:paraId="55A7D8E8" w14:textId="77777777" w:rsidR="002B04EB" w:rsidRPr="003F7F6C" w:rsidRDefault="002B04EB" w:rsidP="00B851B7">
            <w:r w:rsidRPr="003F7F6C">
              <w:rPr>
                <w:rFonts w:cs="Calibri"/>
                <w:sz w:val="16"/>
                <w:szCs w:val="16"/>
              </w:rPr>
              <w:t>X</w:t>
            </w:r>
          </w:p>
        </w:tc>
        <w:tc>
          <w:tcPr>
            <w:tcW w:w="428" w:type="dxa"/>
            <w:gridSpan w:val="2"/>
          </w:tcPr>
          <w:p w14:paraId="233921BC" w14:textId="77777777" w:rsidR="002B04EB" w:rsidRPr="003F7F6C" w:rsidRDefault="002B04EB" w:rsidP="00B851B7">
            <w:r w:rsidRPr="003F7F6C">
              <w:rPr>
                <w:rFonts w:cs="Calibri"/>
                <w:sz w:val="16"/>
                <w:szCs w:val="16"/>
              </w:rPr>
              <w:t>X</w:t>
            </w:r>
          </w:p>
        </w:tc>
        <w:tc>
          <w:tcPr>
            <w:tcW w:w="428" w:type="dxa"/>
          </w:tcPr>
          <w:p w14:paraId="61D000E3" w14:textId="77777777" w:rsidR="002B04EB" w:rsidRPr="003F7F6C" w:rsidRDefault="002B04EB" w:rsidP="00B851B7">
            <w:r w:rsidRPr="003F7F6C">
              <w:rPr>
                <w:rFonts w:cs="Calibri"/>
                <w:sz w:val="16"/>
                <w:szCs w:val="16"/>
              </w:rPr>
              <w:t>X</w:t>
            </w:r>
          </w:p>
        </w:tc>
        <w:tc>
          <w:tcPr>
            <w:tcW w:w="428" w:type="dxa"/>
          </w:tcPr>
          <w:p w14:paraId="03BEEB45" w14:textId="77777777" w:rsidR="002B04EB" w:rsidRPr="003F7F6C" w:rsidRDefault="002B04EB" w:rsidP="00B851B7">
            <w:r w:rsidRPr="003F7F6C">
              <w:rPr>
                <w:rFonts w:cs="Calibri"/>
                <w:sz w:val="16"/>
                <w:szCs w:val="16"/>
              </w:rPr>
              <w:t>X</w:t>
            </w:r>
          </w:p>
        </w:tc>
        <w:tc>
          <w:tcPr>
            <w:tcW w:w="428" w:type="dxa"/>
          </w:tcPr>
          <w:p w14:paraId="4E5471A2" w14:textId="77777777" w:rsidR="002B04EB" w:rsidRPr="003F7F6C" w:rsidRDefault="002B04EB" w:rsidP="00B851B7">
            <w:r w:rsidRPr="003F7F6C">
              <w:rPr>
                <w:rFonts w:cs="Calibri"/>
                <w:sz w:val="16"/>
                <w:szCs w:val="16"/>
              </w:rPr>
              <w:t>X</w:t>
            </w:r>
          </w:p>
        </w:tc>
        <w:tc>
          <w:tcPr>
            <w:tcW w:w="428" w:type="dxa"/>
            <w:gridSpan w:val="2"/>
          </w:tcPr>
          <w:p w14:paraId="18983D34" w14:textId="77777777" w:rsidR="002B04EB" w:rsidRPr="003F7F6C" w:rsidRDefault="002B04EB" w:rsidP="00B851B7">
            <w:r w:rsidRPr="003F7F6C">
              <w:rPr>
                <w:rFonts w:cs="Calibri"/>
                <w:sz w:val="16"/>
                <w:szCs w:val="16"/>
              </w:rPr>
              <w:t>X</w:t>
            </w:r>
          </w:p>
        </w:tc>
        <w:tc>
          <w:tcPr>
            <w:tcW w:w="428" w:type="dxa"/>
          </w:tcPr>
          <w:p w14:paraId="2370B634" w14:textId="77777777" w:rsidR="002B04EB" w:rsidRPr="003F7F6C" w:rsidRDefault="002B04EB" w:rsidP="00B851B7">
            <w:r w:rsidRPr="003F7F6C">
              <w:rPr>
                <w:rFonts w:cs="Calibri"/>
                <w:sz w:val="16"/>
                <w:szCs w:val="16"/>
              </w:rPr>
              <w:t>X</w:t>
            </w:r>
          </w:p>
        </w:tc>
        <w:tc>
          <w:tcPr>
            <w:tcW w:w="428" w:type="dxa"/>
          </w:tcPr>
          <w:p w14:paraId="360AB937" w14:textId="77777777" w:rsidR="002B04EB" w:rsidRPr="003F7F6C" w:rsidRDefault="002B04EB" w:rsidP="00B851B7">
            <w:r w:rsidRPr="003F7F6C">
              <w:rPr>
                <w:rFonts w:cs="Calibri"/>
                <w:sz w:val="16"/>
                <w:szCs w:val="16"/>
              </w:rPr>
              <w:t>X</w:t>
            </w:r>
          </w:p>
        </w:tc>
        <w:tc>
          <w:tcPr>
            <w:tcW w:w="428" w:type="dxa"/>
          </w:tcPr>
          <w:p w14:paraId="54704207" w14:textId="77777777" w:rsidR="002B04EB" w:rsidRPr="003F7F6C" w:rsidRDefault="002B04EB" w:rsidP="00B851B7">
            <w:r w:rsidRPr="003F7F6C">
              <w:rPr>
                <w:rFonts w:cs="Calibri"/>
                <w:sz w:val="16"/>
                <w:szCs w:val="16"/>
              </w:rPr>
              <w:t>X</w:t>
            </w:r>
          </w:p>
        </w:tc>
        <w:tc>
          <w:tcPr>
            <w:tcW w:w="428" w:type="dxa"/>
          </w:tcPr>
          <w:p w14:paraId="71A1F895" w14:textId="77777777" w:rsidR="002B04EB" w:rsidRPr="003F7F6C" w:rsidRDefault="002B04EB" w:rsidP="00B851B7">
            <w:r w:rsidRPr="003F7F6C">
              <w:rPr>
                <w:rFonts w:cs="Calibri"/>
                <w:sz w:val="16"/>
                <w:szCs w:val="16"/>
              </w:rPr>
              <w:t>X</w:t>
            </w:r>
          </w:p>
        </w:tc>
      </w:tr>
      <w:tr w:rsidR="002B04EB" w:rsidRPr="003F7F6C" w14:paraId="1F985C46" w14:textId="77777777" w:rsidTr="00B851B7">
        <w:tc>
          <w:tcPr>
            <w:tcW w:w="1668" w:type="dxa"/>
          </w:tcPr>
          <w:p w14:paraId="068BAE95" w14:textId="77777777" w:rsidR="002B04EB" w:rsidRPr="003F7F6C" w:rsidRDefault="002B04EB" w:rsidP="00B851B7">
            <w:pPr>
              <w:rPr>
                <w:rFonts w:cs="Calibri"/>
                <w:sz w:val="16"/>
                <w:szCs w:val="16"/>
              </w:rPr>
            </w:pPr>
            <w:r w:rsidRPr="003F7F6C">
              <w:rPr>
                <w:rFonts w:cs="Calibri"/>
                <w:sz w:val="16"/>
                <w:szCs w:val="16"/>
              </w:rPr>
              <w:t xml:space="preserve">2.1.4 Develop instruments for Green Belt target landscape </w:t>
            </w:r>
          </w:p>
        </w:tc>
        <w:tc>
          <w:tcPr>
            <w:tcW w:w="1057" w:type="dxa"/>
          </w:tcPr>
          <w:p w14:paraId="37B53EF4" w14:textId="77777777" w:rsidR="002B04EB" w:rsidRPr="003F7F6C" w:rsidRDefault="002B04EB" w:rsidP="00B851B7">
            <w:pPr>
              <w:rPr>
                <w:rFonts w:cs="Calibri"/>
                <w:sz w:val="16"/>
                <w:szCs w:val="16"/>
              </w:rPr>
            </w:pPr>
            <w:r w:rsidRPr="003F7F6C">
              <w:rPr>
                <w:rFonts w:cs="Calibri"/>
                <w:sz w:val="16"/>
                <w:szCs w:val="16"/>
              </w:rPr>
              <w:t>SAOT</w:t>
            </w:r>
          </w:p>
        </w:tc>
        <w:tc>
          <w:tcPr>
            <w:tcW w:w="428" w:type="dxa"/>
          </w:tcPr>
          <w:p w14:paraId="3F3CF2A7" w14:textId="77777777" w:rsidR="002B04EB" w:rsidRPr="003F7F6C" w:rsidRDefault="002B04EB" w:rsidP="00B851B7"/>
        </w:tc>
        <w:tc>
          <w:tcPr>
            <w:tcW w:w="444" w:type="dxa"/>
          </w:tcPr>
          <w:p w14:paraId="2035CC9B" w14:textId="77777777" w:rsidR="002B04EB" w:rsidRPr="003F7F6C" w:rsidRDefault="002B04EB" w:rsidP="00B851B7">
            <w:r w:rsidRPr="003F7F6C">
              <w:rPr>
                <w:rFonts w:cs="Calibri"/>
                <w:sz w:val="16"/>
                <w:szCs w:val="16"/>
              </w:rPr>
              <w:t>X</w:t>
            </w:r>
          </w:p>
        </w:tc>
        <w:tc>
          <w:tcPr>
            <w:tcW w:w="428" w:type="dxa"/>
          </w:tcPr>
          <w:p w14:paraId="4AF72B47" w14:textId="77777777" w:rsidR="002B04EB" w:rsidRPr="003F7F6C" w:rsidRDefault="002B04EB" w:rsidP="00B851B7">
            <w:r w:rsidRPr="003F7F6C">
              <w:rPr>
                <w:rFonts w:cs="Calibri"/>
                <w:sz w:val="16"/>
                <w:szCs w:val="16"/>
              </w:rPr>
              <w:t>X</w:t>
            </w:r>
          </w:p>
        </w:tc>
        <w:tc>
          <w:tcPr>
            <w:tcW w:w="428" w:type="dxa"/>
            <w:gridSpan w:val="2"/>
          </w:tcPr>
          <w:p w14:paraId="07441BE3" w14:textId="77777777" w:rsidR="002B04EB" w:rsidRPr="003F7F6C" w:rsidRDefault="002B04EB" w:rsidP="00B851B7">
            <w:r w:rsidRPr="003F7F6C">
              <w:rPr>
                <w:rFonts w:cs="Calibri"/>
                <w:sz w:val="16"/>
                <w:szCs w:val="16"/>
              </w:rPr>
              <w:t>X</w:t>
            </w:r>
          </w:p>
        </w:tc>
        <w:tc>
          <w:tcPr>
            <w:tcW w:w="428" w:type="dxa"/>
          </w:tcPr>
          <w:p w14:paraId="5AEE85D1" w14:textId="77777777" w:rsidR="002B04EB" w:rsidRPr="003F7F6C" w:rsidRDefault="002B04EB" w:rsidP="00B851B7">
            <w:r w:rsidRPr="003F7F6C">
              <w:rPr>
                <w:rFonts w:cs="Calibri"/>
                <w:sz w:val="16"/>
                <w:szCs w:val="16"/>
              </w:rPr>
              <w:t>X</w:t>
            </w:r>
          </w:p>
        </w:tc>
        <w:tc>
          <w:tcPr>
            <w:tcW w:w="427" w:type="dxa"/>
          </w:tcPr>
          <w:p w14:paraId="0B907F2B" w14:textId="77777777" w:rsidR="002B04EB" w:rsidRPr="003F7F6C" w:rsidRDefault="002B04EB" w:rsidP="00B851B7">
            <w:r w:rsidRPr="003F7F6C">
              <w:rPr>
                <w:rFonts w:cs="Calibri"/>
                <w:sz w:val="16"/>
                <w:szCs w:val="16"/>
              </w:rPr>
              <w:t>X</w:t>
            </w:r>
          </w:p>
        </w:tc>
        <w:tc>
          <w:tcPr>
            <w:tcW w:w="427" w:type="dxa"/>
          </w:tcPr>
          <w:p w14:paraId="416B38BD" w14:textId="77777777" w:rsidR="002B04EB" w:rsidRPr="003F7F6C" w:rsidRDefault="002B04EB" w:rsidP="00B851B7">
            <w:r w:rsidRPr="003F7F6C">
              <w:rPr>
                <w:rFonts w:cs="Calibri"/>
                <w:sz w:val="16"/>
                <w:szCs w:val="16"/>
              </w:rPr>
              <w:t>X</w:t>
            </w:r>
          </w:p>
        </w:tc>
        <w:tc>
          <w:tcPr>
            <w:tcW w:w="427" w:type="dxa"/>
            <w:gridSpan w:val="2"/>
          </w:tcPr>
          <w:p w14:paraId="496C7344" w14:textId="77777777" w:rsidR="002B04EB" w:rsidRPr="003F7F6C" w:rsidRDefault="002B04EB" w:rsidP="00B851B7">
            <w:r w:rsidRPr="003F7F6C">
              <w:rPr>
                <w:rFonts w:cs="Calibri"/>
                <w:sz w:val="16"/>
                <w:szCs w:val="16"/>
              </w:rPr>
              <w:t>X</w:t>
            </w:r>
          </w:p>
        </w:tc>
        <w:tc>
          <w:tcPr>
            <w:tcW w:w="428" w:type="dxa"/>
          </w:tcPr>
          <w:p w14:paraId="608ED1EA" w14:textId="77777777" w:rsidR="002B04EB" w:rsidRPr="003F7F6C" w:rsidRDefault="002B04EB" w:rsidP="00B851B7">
            <w:r w:rsidRPr="003F7F6C">
              <w:rPr>
                <w:rFonts w:cs="Calibri"/>
                <w:sz w:val="16"/>
                <w:szCs w:val="16"/>
              </w:rPr>
              <w:t>X</w:t>
            </w:r>
          </w:p>
        </w:tc>
        <w:tc>
          <w:tcPr>
            <w:tcW w:w="428" w:type="dxa"/>
          </w:tcPr>
          <w:p w14:paraId="6217F285" w14:textId="77777777" w:rsidR="002B04EB" w:rsidRPr="003F7F6C" w:rsidRDefault="002B04EB" w:rsidP="00B851B7">
            <w:r w:rsidRPr="003F7F6C">
              <w:rPr>
                <w:rFonts w:cs="Calibri"/>
                <w:sz w:val="16"/>
                <w:szCs w:val="16"/>
              </w:rPr>
              <w:t>X</w:t>
            </w:r>
          </w:p>
        </w:tc>
        <w:tc>
          <w:tcPr>
            <w:tcW w:w="428" w:type="dxa"/>
          </w:tcPr>
          <w:p w14:paraId="4BBFC377" w14:textId="77777777" w:rsidR="002B04EB" w:rsidRPr="003F7F6C" w:rsidRDefault="002B04EB" w:rsidP="00B851B7">
            <w:r w:rsidRPr="003F7F6C">
              <w:rPr>
                <w:rFonts w:cs="Calibri"/>
                <w:sz w:val="16"/>
                <w:szCs w:val="16"/>
              </w:rPr>
              <w:t>X</w:t>
            </w:r>
          </w:p>
        </w:tc>
        <w:tc>
          <w:tcPr>
            <w:tcW w:w="428" w:type="dxa"/>
            <w:gridSpan w:val="2"/>
          </w:tcPr>
          <w:p w14:paraId="16BA7C55" w14:textId="77777777" w:rsidR="002B04EB" w:rsidRPr="003F7F6C" w:rsidRDefault="002B04EB" w:rsidP="00B851B7">
            <w:r w:rsidRPr="003F7F6C">
              <w:rPr>
                <w:rFonts w:cs="Calibri"/>
                <w:sz w:val="16"/>
                <w:szCs w:val="16"/>
              </w:rPr>
              <w:t>X</w:t>
            </w:r>
          </w:p>
        </w:tc>
        <w:tc>
          <w:tcPr>
            <w:tcW w:w="428" w:type="dxa"/>
          </w:tcPr>
          <w:p w14:paraId="0B408307" w14:textId="77777777" w:rsidR="002B04EB" w:rsidRPr="003F7F6C" w:rsidRDefault="002B04EB" w:rsidP="00B851B7">
            <w:r w:rsidRPr="003F7F6C">
              <w:rPr>
                <w:rFonts w:cs="Calibri"/>
                <w:sz w:val="16"/>
                <w:szCs w:val="16"/>
              </w:rPr>
              <w:t>X</w:t>
            </w:r>
          </w:p>
        </w:tc>
        <w:tc>
          <w:tcPr>
            <w:tcW w:w="428" w:type="dxa"/>
          </w:tcPr>
          <w:p w14:paraId="44EF5538" w14:textId="77777777" w:rsidR="002B04EB" w:rsidRPr="003F7F6C" w:rsidRDefault="002B04EB" w:rsidP="00B851B7">
            <w:r w:rsidRPr="003F7F6C">
              <w:rPr>
                <w:rFonts w:cs="Calibri"/>
                <w:sz w:val="16"/>
                <w:szCs w:val="16"/>
              </w:rPr>
              <w:t>X</w:t>
            </w:r>
          </w:p>
        </w:tc>
        <w:tc>
          <w:tcPr>
            <w:tcW w:w="428" w:type="dxa"/>
          </w:tcPr>
          <w:p w14:paraId="2CA52F98" w14:textId="77777777" w:rsidR="002B04EB" w:rsidRPr="003F7F6C" w:rsidRDefault="002B04EB" w:rsidP="00B851B7">
            <w:r w:rsidRPr="003F7F6C">
              <w:rPr>
                <w:rFonts w:cs="Calibri"/>
                <w:sz w:val="16"/>
                <w:szCs w:val="16"/>
              </w:rPr>
              <w:t>X</w:t>
            </w:r>
          </w:p>
        </w:tc>
        <w:tc>
          <w:tcPr>
            <w:tcW w:w="428" w:type="dxa"/>
            <w:gridSpan w:val="2"/>
          </w:tcPr>
          <w:p w14:paraId="581FA36C" w14:textId="77777777" w:rsidR="002B04EB" w:rsidRPr="003F7F6C" w:rsidRDefault="002B04EB" w:rsidP="00B851B7">
            <w:r w:rsidRPr="003F7F6C">
              <w:rPr>
                <w:rFonts w:cs="Calibri"/>
                <w:sz w:val="16"/>
                <w:szCs w:val="16"/>
              </w:rPr>
              <w:t>X</w:t>
            </w:r>
          </w:p>
        </w:tc>
        <w:tc>
          <w:tcPr>
            <w:tcW w:w="428" w:type="dxa"/>
          </w:tcPr>
          <w:p w14:paraId="50CD51D5" w14:textId="77777777" w:rsidR="002B04EB" w:rsidRPr="003F7F6C" w:rsidRDefault="002B04EB" w:rsidP="00B851B7">
            <w:r w:rsidRPr="003F7F6C">
              <w:rPr>
                <w:rFonts w:cs="Calibri"/>
                <w:sz w:val="16"/>
                <w:szCs w:val="16"/>
              </w:rPr>
              <w:t>X</w:t>
            </w:r>
          </w:p>
        </w:tc>
        <w:tc>
          <w:tcPr>
            <w:tcW w:w="428" w:type="dxa"/>
          </w:tcPr>
          <w:p w14:paraId="6FC92BEC" w14:textId="77777777" w:rsidR="002B04EB" w:rsidRPr="003F7F6C" w:rsidRDefault="002B04EB" w:rsidP="00B851B7">
            <w:r w:rsidRPr="003F7F6C">
              <w:rPr>
                <w:rFonts w:cs="Calibri"/>
                <w:sz w:val="16"/>
                <w:szCs w:val="16"/>
              </w:rPr>
              <w:t>X</w:t>
            </w:r>
          </w:p>
        </w:tc>
        <w:tc>
          <w:tcPr>
            <w:tcW w:w="428" w:type="dxa"/>
          </w:tcPr>
          <w:p w14:paraId="13A6EAE2" w14:textId="77777777" w:rsidR="002B04EB" w:rsidRPr="003F7F6C" w:rsidRDefault="002B04EB" w:rsidP="00B851B7">
            <w:r w:rsidRPr="003F7F6C">
              <w:rPr>
                <w:rFonts w:cs="Calibri"/>
                <w:sz w:val="16"/>
                <w:szCs w:val="16"/>
              </w:rPr>
              <w:t>X</w:t>
            </w:r>
          </w:p>
        </w:tc>
        <w:tc>
          <w:tcPr>
            <w:tcW w:w="428" w:type="dxa"/>
            <w:gridSpan w:val="2"/>
          </w:tcPr>
          <w:p w14:paraId="058D942E" w14:textId="77777777" w:rsidR="002B04EB" w:rsidRPr="003F7F6C" w:rsidRDefault="002B04EB" w:rsidP="00B851B7">
            <w:r w:rsidRPr="003F7F6C">
              <w:rPr>
                <w:rFonts w:cs="Calibri"/>
                <w:sz w:val="16"/>
                <w:szCs w:val="16"/>
              </w:rPr>
              <w:t>X</w:t>
            </w:r>
          </w:p>
        </w:tc>
        <w:tc>
          <w:tcPr>
            <w:tcW w:w="428" w:type="dxa"/>
          </w:tcPr>
          <w:p w14:paraId="237A6568" w14:textId="77777777" w:rsidR="002B04EB" w:rsidRPr="003F7F6C" w:rsidRDefault="002B04EB" w:rsidP="00B851B7">
            <w:r w:rsidRPr="003F7F6C">
              <w:rPr>
                <w:rFonts w:cs="Calibri"/>
                <w:sz w:val="16"/>
                <w:szCs w:val="16"/>
              </w:rPr>
              <w:t>X</w:t>
            </w:r>
          </w:p>
        </w:tc>
        <w:tc>
          <w:tcPr>
            <w:tcW w:w="428" w:type="dxa"/>
          </w:tcPr>
          <w:p w14:paraId="2990FF34" w14:textId="77777777" w:rsidR="002B04EB" w:rsidRPr="003F7F6C" w:rsidRDefault="002B04EB" w:rsidP="00B851B7">
            <w:r w:rsidRPr="003F7F6C">
              <w:rPr>
                <w:rFonts w:cs="Calibri"/>
                <w:sz w:val="16"/>
                <w:szCs w:val="16"/>
              </w:rPr>
              <w:t>X</w:t>
            </w:r>
          </w:p>
        </w:tc>
        <w:tc>
          <w:tcPr>
            <w:tcW w:w="428" w:type="dxa"/>
          </w:tcPr>
          <w:p w14:paraId="3A9B3F1D" w14:textId="77777777" w:rsidR="002B04EB" w:rsidRPr="003F7F6C" w:rsidRDefault="002B04EB" w:rsidP="00B851B7">
            <w:r w:rsidRPr="003F7F6C">
              <w:rPr>
                <w:rFonts w:cs="Calibri"/>
                <w:sz w:val="16"/>
                <w:szCs w:val="16"/>
              </w:rPr>
              <w:t>X</w:t>
            </w:r>
          </w:p>
        </w:tc>
        <w:tc>
          <w:tcPr>
            <w:tcW w:w="428" w:type="dxa"/>
          </w:tcPr>
          <w:p w14:paraId="70D1117A" w14:textId="77777777" w:rsidR="002B04EB" w:rsidRPr="003F7F6C" w:rsidRDefault="002B04EB" w:rsidP="00B851B7">
            <w:r w:rsidRPr="003F7F6C">
              <w:rPr>
                <w:rFonts w:cs="Calibri"/>
                <w:sz w:val="16"/>
                <w:szCs w:val="16"/>
              </w:rPr>
              <w:t>X</w:t>
            </w:r>
          </w:p>
        </w:tc>
      </w:tr>
      <w:tr w:rsidR="002B04EB" w:rsidRPr="003F7F6C" w14:paraId="498A8300" w14:textId="77777777" w:rsidTr="00B851B7">
        <w:tc>
          <w:tcPr>
            <w:tcW w:w="1668" w:type="dxa"/>
          </w:tcPr>
          <w:p w14:paraId="3318B316" w14:textId="77777777" w:rsidR="002B04EB" w:rsidRPr="003F7F6C" w:rsidRDefault="002B04EB" w:rsidP="00E91275">
            <w:pPr>
              <w:pStyle w:val="ListParagraph"/>
              <w:numPr>
                <w:ilvl w:val="0"/>
                <w:numId w:val="29"/>
              </w:numPr>
              <w:spacing w:after="0"/>
              <w:ind w:left="174" w:hanging="174"/>
              <w:contextualSpacing w:val="0"/>
              <w:rPr>
                <w:rFonts w:cs="Calibri"/>
                <w:sz w:val="16"/>
                <w:szCs w:val="16"/>
              </w:rPr>
            </w:pPr>
            <w:r w:rsidRPr="003F7F6C">
              <w:rPr>
                <w:rFonts w:cs="Calibri"/>
                <w:sz w:val="16"/>
                <w:szCs w:val="16"/>
              </w:rPr>
              <w:t>Develop regulations for SLM, BD and ES</w:t>
            </w:r>
          </w:p>
        </w:tc>
        <w:tc>
          <w:tcPr>
            <w:tcW w:w="1057" w:type="dxa"/>
          </w:tcPr>
          <w:p w14:paraId="559B1BAC" w14:textId="77777777" w:rsidR="002B04EB" w:rsidRPr="003F7F6C" w:rsidRDefault="002B04EB" w:rsidP="00B851B7">
            <w:pPr>
              <w:rPr>
                <w:rFonts w:cs="Calibri"/>
                <w:sz w:val="16"/>
                <w:szCs w:val="16"/>
              </w:rPr>
            </w:pPr>
            <w:r w:rsidRPr="003F7F6C">
              <w:rPr>
                <w:rFonts w:cs="Calibri"/>
                <w:sz w:val="16"/>
                <w:szCs w:val="16"/>
              </w:rPr>
              <w:t>SAOT</w:t>
            </w:r>
          </w:p>
        </w:tc>
        <w:tc>
          <w:tcPr>
            <w:tcW w:w="428" w:type="dxa"/>
          </w:tcPr>
          <w:p w14:paraId="3A8176AB" w14:textId="77777777" w:rsidR="002B04EB" w:rsidRPr="003F7F6C" w:rsidRDefault="002B04EB" w:rsidP="00B851B7"/>
        </w:tc>
        <w:tc>
          <w:tcPr>
            <w:tcW w:w="444" w:type="dxa"/>
          </w:tcPr>
          <w:p w14:paraId="13B24827" w14:textId="77777777" w:rsidR="002B04EB" w:rsidRPr="003F7F6C" w:rsidRDefault="002B04EB" w:rsidP="00B851B7">
            <w:r w:rsidRPr="003F7F6C">
              <w:rPr>
                <w:rFonts w:cs="Calibri"/>
                <w:sz w:val="16"/>
                <w:szCs w:val="16"/>
              </w:rPr>
              <w:t>X</w:t>
            </w:r>
          </w:p>
        </w:tc>
        <w:tc>
          <w:tcPr>
            <w:tcW w:w="428" w:type="dxa"/>
          </w:tcPr>
          <w:p w14:paraId="3986C554" w14:textId="77777777" w:rsidR="002B04EB" w:rsidRPr="003F7F6C" w:rsidRDefault="002B04EB" w:rsidP="00B851B7">
            <w:r w:rsidRPr="003F7F6C">
              <w:rPr>
                <w:rFonts w:cs="Calibri"/>
                <w:sz w:val="16"/>
                <w:szCs w:val="16"/>
              </w:rPr>
              <w:t>X</w:t>
            </w:r>
          </w:p>
        </w:tc>
        <w:tc>
          <w:tcPr>
            <w:tcW w:w="428" w:type="dxa"/>
            <w:gridSpan w:val="2"/>
          </w:tcPr>
          <w:p w14:paraId="024CF419" w14:textId="77777777" w:rsidR="002B04EB" w:rsidRPr="003F7F6C" w:rsidRDefault="002B04EB" w:rsidP="00B851B7">
            <w:r w:rsidRPr="003F7F6C">
              <w:rPr>
                <w:rFonts w:cs="Calibri"/>
                <w:sz w:val="16"/>
                <w:szCs w:val="16"/>
              </w:rPr>
              <w:t>X</w:t>
            </w:r>
          </w:p>
        </w:tc>
        <w:tc>
          <w:tcPr>
            <w:tcW w:w="428" w:type="dxa"/>
          </w:tcPr>
          <w:p w14:paraId="5D3D089F" w14:textId="77777777" w:rsidR="002B04EB" w:rsidRPr="003F7F6C" w:rsidRDefault="002B04EB" w:rsidP="00B851B7">
            <w:r w:rsidRPr="003F7F6C">
              <w:rPr>
                <w:rFonts w:cs="Calibri"/>
                <w:sz w:val="16"/>
                <w:szCs w:val="16"/>
              </w:rPr>
              <w:t>X</w:t>
            </w:r>
          </w:p>
        </w:tc>
        <w:tc>
          <w:tcPr>
            <w:tcW w:w="427" w:type="dxa"/>
          </w:tcPr>
          <w:p w14:paraId="098095AF" w14:textId="77777777" w:rsidR="002B04EB" w:rsidRPr="003F7F6C" w:rsidRDefault="002B04EB" w:rsidP="00B851B7">
            <w:r w:rsidRPr="003F7F6C">
              <w:rPr>
                <w:rFonts w:cs="Calibri"/>
                <w:sz w:val="16"/>
                <w:szCs w:val="16"/>
              </w:rPr>
              <w:t>X</w:t>
            </w:r>
          </w:p>
        </w:tc>
        <w:tc>
          <w:tcPr>
            <w:tcW w:w="427" w:type="dxa"/>
          </w:tcPr>
          <w:p w14:paraId="24FAFD7E" w14:textId="77777777" w:rsidR="002B04EB" w:rsidRPr="003F7F6C" w:rsidRDefault="002B04EB" w:rsidP="00B851B7">
            <w:r w:rsidRPr="003F7F6C">
              <w:rPr>
                <w:rFonts w:cs="Calibri"/>
                <w:sz w:val="16"/>
                <w:szCs w:val="16"/>
              </w:rPr>
              <w:t>X</w:t>
            </w:r>
          </w:p>
        </w:tc>
        <w:tc>
          <w:tcPr>
            <w:tcW w:w="427" w:type="dxa"/>
            <w:gridSpan w:val="2"/>
          </w:tcPr>
          <w:p w14:paraId="4BDB96FA" w14:textId="77777777" w:rsidR="002B04EB" w:rsidRPr="003F7F6C" w:rsidRDefault="002B04EB" w:rsidP="00B851B7">
            <w:r w:rsidRPr="003F7F6C">
              <w:rPr>
                <w:rFonts w:cs="Calibri"/>
                <w:sz w:val="16"/>
                <w:szCs w:val="16"/>
              </w:rPr>
              <w:t>X</w:t>
            </w:r>
          </w:p>
        </w:tc>
        <w:tc>
          <w:tcPr>
            <w:tcW w:w="428" w:type="dxa"/>
          </w:tcPr>
          <w:p w14:paraId="423BC43F" w14:textId="77777777" w:rsidR="002B04EB" w:rsidRPr="003F7F6C" w:rsidRDefault="002B04EB" w:rsidP="00B851B7">
            <w:r w:rsidRPr="003F7F6C">
              <w:rPr>
                <w:rFonts w:cs="Calibri"/>
                <w:sz w:val="16"/>
                <w:szCs w:val="16"/>
              </w:rPr>
              <w:t>X</w:t>
            </w:r>
          </w:p>
        </w:tc>
        <w:tc>
          <w:tcPr>
            <w:tcW w:w="428" w:type="dxa"/>
          </w:tcPr>
          <w:p w14:paraId="09E46D0C" w14:textId="77777777" w:rsidR="002B04EB" w:rsidRPr="003F7F6C" w:rsidRDefault="002B04EB" w:rsidP="00B851B7">
            <w:r w:rsidRPr="003F7F6C">
              <w:rPr>
                <w:rFonts w:cs="Calibri"/>
                <w:sz w:val="16"/>
                <w:szCs w:val="16"/>
              </w:rPr>
              <w:t>X</w:t>
            </w:r>
          </w:p>
        </w:tc>
        <w:tc>
          <w:tcPr>
            <w:tcW w:w="428" w:type="dxa"/>
          </w:tcPr>
          <w:p w14:paraId="1B3815C4" w14:textId="77777777" w:rsidR="002B04EB" w:rsidRPr="003F7F6C" w:rsidRDefault="002B04EB" w:rsidP="00B851B7">
            <w:r w:rsidRPr="003F7F6C">
              <w:rPr>
                <w:rFonts w:cs="Calibri"/>
                <w:sz w:val="16"/>
                <w:szCs w:val="16"/>
              </w:rPr>
              <w:t>X</w:t>
            </w:r>
          </w:p>
        </w:tc>
        <w:tc>
          <w:tcPr>
            <w:tcW w:w="428" w:type="dxa"/>
            <w:gridSpan w:val="2"/>
          </w:tcPr>
          <w:p w14:paraId="51A7C0B7" w14:textId="77777777" w:rsidR="002B04EB" w:rsidRPr="003F7F6C" w:rsidRDefault="002B04EB" w:rsidP="00B851B7">
            <w:r w:rsidRPr="003F7F6C">
              <w:rPr>
                <w:rFonts w:cs="Calibri"/>
                <w:sz w:val="16"/>
                <w:szCs w:val="16"/>
              </w:rPr>
              <w:t>X</w:t>
            </w:r>
          </w:p>
        </w:tc>
        <w:tc>
          <w:tcPr>
            <w:tcW w:w="428" w:type="dxa"/>
          </w:tcPr>
          <w:p w14:paraId="2B991562" w14:textId="77777777" w:rsidR="002B04EB" w:rsidRPr="003F7F6C" w:rsidRDefault="002B04EB" w:rsidP="00B851B7">
            <w:r w:rsidRPr="003F7F6C">
              <w:rPr>
                <w:rFonts w:cs="Calibri"/>
                <w:sz w:val="16"/>
                <w:szCs w:val="16"/>
              </w:rPr>
              <w:t>X</w:t>
            </w:r>
          </w:p>
        </w:tc>
        <w:tc>
          <w:tcPr>
            <w:tcW w:w="428" w:type="dxa"/>
          </w:tcPr>
          <w:p w14:paraId="2AD60F78" w14:textId="77777777" w:rsidR="002B04EB" w:rsidRPr="003F7F6C" w:rsidRDefault="002B04EB" w:rsidP="00B851B7">
            <w:r w:rsidRPr="003F7F6C">
              <w:rPr>
                <w:rFonts w:cs="Calibri"/>
                <w:sz w:val="16"/>
                <w:szCs w:val="16"/>
              </w:rPr>
              <w:t>X</w:t>
            </w:r>
          </w:p>
        </w:tc>
        <w:tc>
          <w:tcPr>
            <w:tcW w:w="428" w:type="dxa"/>
          </w:tcPr>
          <w:p w14:paraId="711C3147" w14:textId="77777777" w:rsidR="002B04EB" w:rsidRPr="003F7F6C" w:rsidRDefault="002B04EB" w:rsidP="00B851B7">
            <w:r w:rsidRPr="003F7F6C">
              <w:rPr>
                <w:rFonts w:cs="Calibri"/>
                <w:sz w:val="16"/>
                <w:szCs w:val="16"/>
              </w:rPr>
              <w:t>X</w:t>
            </w:r>
          </w:p>
        </w:tc>
        <w:tc>
          <w:tcPr>
            <w:tcW w:w="428" w:type="dxa"/>
            <w:gridSpan w:val="2"/>
          </w:tcPr>
          <w:p w14:paraId="619B63F5" w14:textId="77777777" w:rsidR="002B04EB" w:rsidRPr="003F7F6C" w:rsidRDefault="002B04EB" w:rsidP="00B851B7">
            <w:r w:rsidRPr="003F7F6C">
              <w:rPr>
                <w:rFonts w:cs="Calibri"/>
                <w:sz w:val="16"/>
                <w:szCs w:val="16"/>
              </w:rPr>
              <w:t>X</w:t>
            </w:r>
          </w:p>
        </w:tc>
        <w:tc>
          <w:tcPr>
            <w:tcW w:w="428" w:type="dxa"/>
          </w:tcPr>
          <w:p w14:paraId="21568EE3" w14:textId="77777777" w:rsidR="002B04EB" w:rsidRPr="003F7F6C" w:rsidRDefault="002B04EB" w:rsidP="00B851B7">
            <w:r w:rsidRPr="003F7F6C">
              <w:rPr>
                <w:rFonts w:cs="Calibri"/>
                <w:sz w:val="16"/>
                <w:szCs w:val="16"/>
              </w:rPr>
              <w:t>X</w:t>
            </w:r>
          </w:p>
        </w:tc>
        <w:tc>
          <w:tcPr>
            <w:tcW w:w="428" w:type="dxa"/>
          </w:tcPr>
          <w:p w14:paraId="10B46EFD" w14:textId="77777777" w:rsidR="002B04EB" w:rsidRPr="003F7F6C" w:rsidRDefault="002B04EB" w:rsidP="00B851B7">
            <w:r w:rsidRPr="003F7F6C">
              <w:rPr>
                <w:rFonts w:cs="Calibri"/>
                <w:sz w:val="16"/>
                <w:szCs w:val="16"/>
              </w:rPr>
              <w:t>X</w:t>
            </w:r>
          </w:p>
        </w:tc>
        <w:tc>
          <w:tcPr>
            <w:tcW w:w="428" w:type="dxa"/>
          </w:tcPr>
          <w:p w14:paraId="75128F30" w14:textId="77777777" w:rsidR="002B04EB" w:rsidRPr="003F7F6C" w:rsidRDefault="002B04EB" w:rsidP="00B851B7">
            <w:r w:rsidRPr="003F7F6C">
              <w:rPr>
                <w:rFonts w:cs="Calibri"/>
                <w:sz w:val="16"/>
                <w:szCs w:val="16"/>
              </w:rPr>
              <w:t>X</w:t>
            </w:r>
          </w:p>
        </w:tc>
        <w:tc>
          <w:tcPr>
            <w:tcW w:w="428" w:type="dxa"/>
            <w:gridSpan w:val="2"/>
          </w:tcPr>
          <w:p w14:paraId="640C15E1" w14:textId="77777777" w:rsidR="002B04EB" w:rsidRPr="003F7F6C" w:rsidRDefault="002B04EB" w:rsidP="00B851B7">
            <w:r w:rsidRPr="003F7F6C">
              <w:rPr>
                <w:rFonts w:cs="Calibri"/>
                <w:sz w:val="16"/>
                <w:szCs w:val="16"/>
              </w:rPr>
              <w:t>X</w:t>
            </w:r>
          </w:p>
        </w:tc>
        <w:tc>
          <w:tcPr>
            <w:tcW w:w="428" w:type="dxa"/>
          </w:tcPr>
          <w:p w14:paraId="3EB032E1" w14:textId="77777777" w:rsidR="002B04EB" w:rsidRPr="003F7F6C" w:rsidRDefault="002B04EB" w:rsidP="00B851B7">
            <w:r w:rsidRPr="003F7F6C">
              <w:rPr>
                <w:rFonts w:cs="Calibri"/>
                <w:sz w:val="16"/>
                <w:szCs w:val="16"/>
              </w:rPr>
              <w:t>X</w:t>
            </w:r>
          </w:p>
        </w:tc>
        <w:tc>
          <w:tcPr>
            <w:tcW w:w="428" w:type="dxa"/>
          </w:tcPr>
          <w:p w14:paraId="089CA8ED" w14:textId="77777777" w:rsidR="002B04EB" w:rsidRPr="003F7F6C" w:rsidRDefault="002B04EB" w:rsidP="00B851B7">
            <w:r w:rsidRPr="003F7F6C">
              <w:rPr>
                <w:rFonts w:cs="Calibri"/>
                <w:sz w:val="16"/>
                <w:szCs w:val="16"/>
              </w:rPr>
              <w:t>X</w:t>
            </w:r>
          </w:p>
        </w:tc>
        <w:tc>
          <w:tcPr>
            <w:tcW w:w="428" w:type="dxa"/>
          </w:tcPr>
          <w:p w14:paraId="7D092EA3" w14:textId="77777777" w:rsidR="002B04EB" w:rsidRPr="003F7F6C" w:rsidRDefault="002B04EB" w:rsidP="00B851B7">
            <w:r w:rsidRPr="003F7F6C">
              <w:rPr>
                <w:rFonts w:cs="Calibri"/>
                <w:sz w:val="16"/>
                <w:szCs w:val="16"/>
              </w:rPr>
              <w:t>X</w:t>
            </w:r>
          </w:p>
        </w:tc>
        <w:tc>
          <w:tcPr>
            <w:tcW w:w="428" w:type="dxa"/>
          </w:tcPr>
          <w:p w14:paraId="644F194D" w14:textId="77777777" w:rsidR="002B04EB" w:rsidRPr="003F7F6C" w:rsidRDefault="002B04EB" w:rsidP="00B851B7">
            <w:r w:rsidRPr="003F7F6C">
              <w:rPr>
                <w:rFonts w:cs="Calibri"/>
                <w:sz w:val="16"/>
                <w:szCs w:val="16"/>
              </w:rPr>
              <w:t>X</w:t>
            </w:r>
          </w:p>
        </w:tc>
      </w:tr>
      <w:tr w:rsidR="002B04EB" w:rsidRPr="003F7F6C" w14:paraId="0AC5A90D" w14:textId="77777777" w:rsidTr="00B851B7">
        <w:tc>
          <w:tcPr>
            <w:tcW w:w="1668" w:type="dxa"/>
          </w:tcPr>
          <w:p w14:paraId="61D083A5" w14:textId="77777777" w:rsidR="002B04EB" w:rsidRPr="003F7F6C" w:rsidRDefault="002B04EB" w:rsidP="00E91275">
            <w:pPr>
              <w:pStyle w:val="ListParagraph"/>
              <w:numPr>
                <w:ilvl w:val="0"/>
                <w:numId w:val="29"/>
              </w:numPr>
              <w:spacing w:after="0"/>
              <w:ind w:left="174" w:hanging="174"/>
              <w:contextualSpacing w:val="0"/>
              <w:rPr>
                <w:rFonts w:cs="Calibri"/>
                <w:sz w:val="16"/>
                <w:szCs w:val="16"/>
              </w:rPr>
            </w:pPr>
            <w:r w:rsidRPr="003F7F6C">
              <w:rPr>
                <w:rFonts w:cs="Calibri"/>
                <w:sz w:val="16"/>
                <w:szCs w:val="16"/>
              </w:rPr>
              <w:t>Generate baseline information for zoning of rural and rural-urban areas for municipal ELUP plans</w:t>
            </w:r>
          </w:p>
        </w:tc>
        <w:tc>
          <w:tcPr>
            <w:tcW w:w="1057" w:type="dxa"/>
          </w:tcPr>
          <w:p w14:paraId="17573952" w14:textId="77777777" w:rsidR="002B04EB" w:rsidRPr="003F7F6C" w:rsidRDefault="002B04EB" w:rsidP="00B851B7">
            <w:pPr>
              <w:rPr>
                <w:rFonts w:cs="Calibri"/>
                <w:sz w:val="16"/>
                <w:szCs w:val="16"/>
              </w:rPr>
            </w:pPr>
            <w:r w:rsidRPr="003F7F6C">
              <w:rPr>
                <w:rFonts w:cs="Calibri"/>
                <w:sz w:val="16"/>
                <w:szCs w:val="16"/>
              </w:rPr>
              <w:t>SAOT</w:t>
            </w:r>
          </w:p>
        </w:tc>
        <w:tc>
          <w:tcPr>
            <w:tcW w:w="428" w:type="dxa"/>
          </w:tcPr>
          <w:p w14:paraId="083EB33E" w14:textId="77777777" w:rsidR="002B04EB" w:rsidRPr="003F7F6C" w:rsidRDefault="002B04EB" w:rsidP="00B851B7"/>
        </w:tc>
        <w:tc>
          <w:tcPr>
            <w:tcW w:w="444" w:type="dxa"/>
          </w:tcPr>
          <w:p w14:paraId="686F0AB1" w14:textId="77777777" w:rsidR="002B04EB" w:rsidRPr="003F7F6C" w:rsidRDefault="002B04EB" w:rsidP="00B851B7">
            <w:r w:rsidRPr="003F7F6C">
              <w:rPr>
                <w:rFonts w:cs="Calibri"/>
                <w:sz w:val="16"/>
                <w:szCs w:val="16"/>
              </w:rPr>
              <w:t>X</w:t>
            </w:r>
          </w:p>
        </w:tc>
        <w:tc>
          <w:tcPr>
            <w:tcW w:w="428" w:type="dxa"/>
          </w:tcPr>
          <w:p w14:paraId="06FA18D9" w14:textId="77777777" w:rsidR="002B04EB" w:rsidRPr="003F7F6C" w:rsidRDefault="002B04EB" w:rsidP="00B851B7">
            <w:r w:rsidRPr="003F7F6C">
              <w:rPr>
                <w:rFonts w:cs="Calibri"/>
                <w:sz w:val="16"/>
                <w:szCs w:val="16"/>
              </w:rPr>
              <w:t>X</w:t>
            </w:r>
          </w:p>
        </w:tc>
        <w:tc>
          <w:tcPr>
            <w:tcW w:w="428" w:type="dxa"/>
            <w:gridSpan w:val="2"/>
          </w:tcPr>
          <w:p w14:paraId="4397E990" w14:textId="77777777" w:rsidR="002B04EB" w:rsidRPr="003F7F6C" w:rsidRDefault="002B04EB" w:rsidP="00B851B7">
            <w:r w:rsidRPr="003F7F6C">
              <w:rPr>
                <w:rFonts w:cs="Calibri"/>
                <w:sz w:val="16"/>
                <w:szCs w:val="16"/>
              </w:rPr>
              <w:t>X</w:t>
            </w:r>
          </w:p>
        </w:tc>
        <w:tc>
          <w:tcPr>
            <w:tcW w:w="428" w:type="dxa"/>
          </w:tcPr>
          <w:p w14:paraId="35E82403" w14:textId="77777777" w:rsidR="002B04EB" w:rsidRPr="003F7F6C" w:rsidRDefault="002B04EB" w:rsidP="00B851B7">
            <w:r w:rsidRPr="003F7F6C">
              <w:rPr>
                <w:rFonts w:cs="Calibri"/>
                <w:sz w:val="16"/>
                <w:szCs w:val="16"/>
              </w:rPr>
              <w:t>X</w:t>
            </w:r>
          </w:p>
        </w:tc>
        <w:tc>
          <w:tcPr>
            <w:tcW w:w="427" w:type="dxa"/>
          </w:tcPr>
          <w:p w14:paraId="25BA53BE" w14:textId="77777777" w:rsidR="002B04EB" w:rsidRPr="003F7F6C" w:rsidRDefault="002B04EB" w:rsidP="00B851B7">
            <w:r w:rsidRPr="003F7F6C">
              <w:rPr>
                <w:rFonts w:cs="Calibri"/>
                <w:sz w:val="16"/>
                <w:szCs w:val="16"/>
              </w:rPr>
              <w:t>X</w:t>
            </w:r>
          </w:p>
        </w:tc>
        <w:tc>
          <w:tcPr>
            <w:tcW w:w="427" w:type="dxa"/>
          </w:tcPr>
          <w:p w14:paraId="782B72E4" w14:textId="77777777" w:rsidR="002B04EB" w:rsidRPr="003F7F6C" w:rsidRDefault="002B04EB" w:rsidP="00B851B7">
            <w:r w:rsidRPr="003F7F6C">
              <w:rPr>
                <w:rFonts w:cs="Calibri"/>
                <w:sz w:val="16"/>
                <w:szCs w:val="16"/>
              </w:rPr>
              <w:t>X</w:t>
            </w:r>
          </w:p>
        </w:tc>
        <w:tc>
          <w:tcPr>
            <w:tcW w:w="427" w:type="dxa"/>
            <w:gridSpan w:val="2"/>
          </w:tcPr>
          <w:p w14:paraId="35E390FC" w14:textId="77777777" w:rsidR="002B04EB" w:rsidRPr="003F7F6C" w:rsidRDefault="002B04EB" w:rsidP="00B851B7">
            <w:r w:rsidRPr="003F7F6C">
              <w:rPr>
                <w:rFonts w:cs="Calibri"/>
                <w:sz w:val="16"/>
                <w:szCs w:val="16"/>
              </w:rPr>
              <w:t>X</w:t>
            </w:r>
          </w:p>
        </w:tc>
        <w:tc>
          <w:tcPr>
            <w:tcW w:w="428" w:type="dxa"/>
          </w:tcPr>
          <w:p w14:paraId="763DECA2" w14:textId="77777777" w:rsidR="002B04EB" w:rsidRPr="003F7F6C" w:rsidRDefault="002B04EB" w:rsidP="00B851B7">
            <w:r w:rsidRPr="003F7F6C">
              <w:rPr>
                <w:rFonts w:cs="Calibri"/>
                <w:sz w:val="16"/>
                <w:szCs w:val="16"/>
              </w:rPr>
              <w:t>X</w:t>
            </w:r>
          </w:p>
        </w:tc>
        <w:tc>
          <w:tcPr>
            <w:tcW w:w="428" w:type="dxa"/>
          </w:tcPr>
          <w:p w14:paraId="40AC01EE" w14:textId="77777777" w:rsidR="002B04EB" w:rsidRPr="003F7F6C" w:rsidRDefault="002B04EB" w:rsidP="00B851B7">
            <w:pPr>
              <w:rPr>
                <w:rFonts w:cs="Calibri"/>
                <w:sz w:val="16"/>
                <w:szCs w:val="16"/>
              </w:rPr>
            </w:pPr>
          </w:p>
        </w:tc>
        <w:tc>
          <w:tcPr>
            <w:tcW w:w="428" w:type="dxa"/>
          </w:tcPr>
          <w:p w14:paraId="21D2E3B3" w14:textId="77777777" w:rsidR="002B04EB" w:rsidRPr="003F7F6C" w:rsidRDefault="002B04EB" w:rsidP="00B851B7">
            <w:pPr>
              <w:rPr>
                <w:rFonts w:cs="Calibri"/>
                <w:sz w:val="16"/>
                <w:szCs w:val="16"/>
              </w:rPr>
            </w:pPr>
          </w:p>
        </w:tc>
        <w:tc>
          <w:tcPr>
            <w:tcW w:w="428" w:type="dxa"/>
            <w:gridSpan w:val="2"/>
          </w:tcPr>
          <w:p w14:paraId="32761482" w14:textId="77777777" w:rsidR="002B04EB" w:rsidRPr="003F7F6C" w:rsidRDefault="002B04EB" w:rsidP="00B851B7">
            <w:pPr>
              <w:rPr>
                <w:rFonts w:cs="Calibri"/>
                <w:sz w:val="16"/>
                <w:szCs w:val="16"/>
              </w:rPr>
            </w:pPr>
          </w:p>
        </w:tc>
        <w:tc>
          <w:tcPr>
            <w:tcW w:w="428" w:type="dxa"/>
          </w:tcPr>
          <w:p w14:paraId="76FD87D4" w14:textId="77777777" w:rsidR="002B04EB" w:rsidRPr="003F7F6C" w:rsidRDefault="002B04EB" w:rsidP="00B851B7">
            <w:pPr>
              <w:rPr>
                <w:rFonts w:cs="Calibri"/>
                <w:sz w:val="16"/>
                <w:szCs w:val="16"/>
              </w:rPr>
            </w:pPr>
          </w:p>
        </w:tc>
        <w:tc>
          <w:tcPr>
            <w:tcW w:w="428" w:type="dxa"/>
          </w:tcPr>
          <w:p w14:paraId="7750D097" w14:textId="77777777" w:rsidR="002B04EB" w:rsidRPr="003F7F6C" w:rsidRDefault="002B04EB" w:rsidP="00B851B7">
            <w:pPr>
              <w:rPr>
                <w:rFonts w:cs="Calibri"/>
                <w:sz w:val="16"/>
                <w:szCs w:val="16"/>
              </w:rPr>
            </w:pPr>
          </w:p>
        </w:tc>
        <w:tc>
          <w:tcPr>
            <w:tcW w:w="428" w:type="dxa"/>
          </w:tcPr>
          <w:p w14:paraId="725F255E" w14:textId="77777777" w:rsidR="002B04EB" w:rsidRPr="003F7F6C" w:rsidRDefault="002B04EB" w:rsidP="00B851B7">
            <w:pPr>
              <w:rPr>
                <w:rFonts w:cs="Calibri"/>
                <w:sz w:val="16"/>
                <w:szCs w:val="16"/>
              </w:rPr>
            </w:pPr>
          </w:p>
        </w:tc>
        <w:tc>
          <w:tcPr>
            <w:tcW w:w="428" w:type="dxa"/>
            <w:gridSpan w:val="2"/>
          </w:tcPr>
          <w:p w14:paraId="4729725F" w14:textId="77777777" w:rsidR="002B04EB" w:rsidRPr="003F7F6C" w:rsidRDefault="002B04EB" w:rsidP="00B851B7">
            <w:pPr>
              <w:rPr>
                <w:rFonts w:cs="Calibri"/>
                <w:sz w:val="16"/>
                <w:szCs w:val="16"/>
              </w:rPr>
            </w:pPr>
          </w:p>
        </w:tc>
        <w:tc>
          <w:tcPr>
            <w:tcW w:w="428" w:type="dxa"/>
          </w:tcPr>
          <w:p w14:paraId="1C157DA8" w14:textId="77777777" w:rsidR="002B04EB" w:rsidRPr="003F7F6C" w:rsidRDefault="002B04EB" w:rsidP="00B851B7">
            <w:pPr>
              <w:rPr>
                <w:rFonts w:cs="Calibri"/>
                <w:sz w:val="16"/>
                <w:szCs w:val="16"/>
              </w:rPr>
            </w:pPr>
          </w:p>
        </w:tc>
        <w:tc>
          <w:tcPr>
            <w:tcW w:w="428" w:type="dxa"/>
          </w:tcPr>
          <w:p w14:paraId="7F825305" w14:textId="77777777" w:rsidR="002B04EB" w:rsidRPr="003F7F6C" w:rsidRDefault="002B04EB" w:rsidP="00B851B7">
            <w:pPr>
              <w:rPr>
                <w:rFonts w:cs="Calibri"/>
                <w:sz w:val="16"/>
                <w:szCs w:val="16"/>
              </w:rPr>
            </w:pPr>
          </w:p>
        </w:tc>
        <w:tc>
          <w:tcPr>
            <w:tcW w:w="428" w:type="dxa"/>
          </w:tcPr>
          <w:p w14:paraId="45B7E179" w14:textId="77777777" w:rsidR="002B04EB" w:rsidRPr="003F7F6C" w:rsidRDefault="002B04EB" w:rsidP="00B851B7">
            <w:pPr>
              <w:rPr>
                <w:rFonts w:cs="Calibri"/>
                <w:sz w:val="16"/>
                <w:szCs w:val="16"/>
              </w:rPr>
            </w:pPr>
          </w:p>
        </w:tc>
        <w:tc>
          <w:tcPr>
            <w:tcW w:w="428" w:type="dxa"/>
            <w:gridSpan w:val="2"/>
          </w:tcPr>
          <w:p w14:paraId="3A51C622" w14:textId="77777777" w:rsidR="002B04EB" w:rsidRPr="003F7F6C" w:rsidRDefault="002B04EB" w:rsidP="00B851B7">
            <w:pPr>
              <w:rPr>
                <w:rFonts w:cs="Calibri"/>
                <w:sz w:val="16"/>
                <w:szCs w:val="16"/>
              </w:rPr>
            </w:pPr>
          </w:p>
        </w:tc>
        <w:tc>
          <w:tcPr>
            <w:tcW w:w="428" w:type="dxa"/>
          </w:tcPr>
          <w:p w14:paraId="6E2AE4C2" w14:textId="77777777" w:rsidR="002B04EB" w:rsidRPr="003F7F6C" w:rsidRDefault="002B04EB" w:rsidP="00B851B7">
            <w:pPr>
              <w:rPr>
                <w:rFonts w:cs="Calibri"/>
                <w:sz w:val="16"/>
                <w:szCs w:val="16"/>
              </w:rPr>
            </w:pPr>
          </w:p>
        </w:tc>
        <w:tc>
          <w:tcPr>
            <w:tcW w:w="428" w:type="dxa"/>
          </w:tcPr>
          <w:p w14:paraId="7E96E195" w14:textId="77777777" w:rsidR="002B04EB" w:rsidRPr="003F7F6C" w:rsidRDefault="002B04EB" w:rsidP="00B851B7">
            <w:pPr>
              <w:rPr>
                <w:rFonts w:cs="Calibri"/>
                <w:sz w:val="16"/>
                <w:szCs w:val="16"/>
              </w:rPr>
            </w:pPr>
          </w:p>
        </w:tc>
        <w:tc>
          <w:tcPr>
            <w:tcW w:w="428" w:type="dxa"/>
          </w:tcPr>
          <w:p w14:paraId="7D58FBC0" w14:textId="77777777" w:rsidR="002B04EB" w:rsidRPr="003F7F6C" w:rsidRDefault="002B04EB" w:rsidP="00B851B7">
            <w:pPr>
              <w:rPr>
                <w:rFonts w:cs="Calibri"/>
                <w:sz w:val="16"/>
                <w:szCs w:val="16"/>
              </w:rPr>
            </w:pPr>
          </w:p>
        </w:tc>
        <w:tc>
          <w:tcPr>
            <w:tcW w:w="428" w:type="dxa"/>
          </w:tcPr>
          <w:p w14:paraId="59BEE0DF" w14:textId="77777777" w:rsidR="002B04EB" w:rsidRPr="003F7F6C" w:rsidRDefault="002B04EB" w:rsidP="00B851B7">
            <w:pPr>
              <w:rPr>
                <w:rFonts w:cs="Calibri"/>
                <w:sz w:val="16"/>
                <w:szCs w:val="16"/>
              </w:rPr>
            </w:pPr>
          </w:p>
        </w:tc>
      </w:tr>
      <w:tr w:rsidR="002B04EB" w:rsidRPr="003F7F6C" w14:paraId="15C517EB" w14:textId="77777777" w:rsidTr="002B04EB">
        <w:tc>
          <w:tcPr>
            <w:tcW w:w="13010" w:type="dxa"/>
            <w:gridSpan w:val="31"/>
            <w:shd w:val="clear" w:color="auto" w:fill="F4B083"/>
          </w:tcPr>
          <w:p w14:paraId="5BF309A0" w14:textId="77777777" w:rsidR="002B04EB" w:rsidRPr="003F7F6C" w:rsidRDefault="002B04EB" w:rsidP="00B851B7">
            <w:pPr>
              <w:pStyle w:val="ListParagraph"/>
              <w:tabs>
                <w:tab w:val="left" w:pos="426"/>
              </w:tabs>
              <w:spacing w:after="0"/>
              <w:ind w:left="0"/>
              <w:contextualSpacing w:val="0"/>
              <w:rPr>
                <w:rFonts w:eastAsia="Times New Roman" w:cs="Calibri"/>
                <w:bCs/>
                <w:i/>
                <w:sz w:val="16"/>
                <w:szCs w:val="16"/>
                <w:lang w:eastAsia="es-ES_tradnl"/>
              </w:rPr>
            </w:pPr>
            <w:r w:rsidRPr="003F7F6C">
              <w:rPr>
                <w:rFonts w:eastAsia="Times New Roman" w:cs="Calibri"/>
                <w:bCs/>
                <w:i/>
                <w:sz w:val="16"/>
                <w:szCs w:val="16"/>
                <w:lang w:eastAsia="es-ES_tradnl"/>
              </w:rPr>
              <w:t xml:space="preserve">Output 2.2 Provincial Governance Framework for participatory ELUP &amp; sector consensus building </w:t>
            </w:r>
          </w:p>
        </w:tc>
      </w:tr>
      <w:tr w:rsidR="002B04EB" w:rsidRPr="003F7F6C" w14:paraId="5C72B756" w14:textId="77777777" w:rsidTr="002B04EB">
        <w:tc>
          <w:tcPr>
            <w:tcW w:w="13010" w:type="dxa"/>
            <w:gridSpan w:val="31"/>
            <w:shd w:val="clear" w:color="auto" w:fill="F7CAAC"/>
          </w:tcPr>
          <w:p w14:paraId="45334F36" w14:textId="77777777" w:rsidR="002B04EB" w:rsidRPr="003F7F6C" w:rsidRDefault="002B04EB" w:rsidP="00B851B7">
            <w:pPr>
              <w:rPr>
                <w:rFonts w:cs="Calibri"/>
                <w:sz w:val="16"/>
                <w:szCs w:val="16"/>
              </w:rPr>
            </w:pPr>
            <w:r w:rsidRPr="003F7F6C">
              <w:rPr>
                <w:rFonts w:cs="Calibri"/>
                <w:sz w:val="16"/>
                <w:szCs w:val="16"/>
              </w:rPr>
              <w:t>Buenos Aires, Jujuy, Mendoza</w:t>
            </w:r>
          </w:p>
        </w:tc>
      </w:tr>
      <w:tr w:rsidR="002B04EB" w:rsidRPr="003F7F6C" w14:paraId="6624A9BF" w14:textId="77777777" w:rsidTr="00B851B7">
        <w:tc>
          <w:tcPr>
            <w:tcW w:w="1668" w:type="dxa"/>
          </w:tcPr>
          <w:p w14:paraId="37F04D96" w14:textId="77777777" w:rsidR="002B04EB" w:rsidRPr="003F7F6C" w:rsidRDefault="002B04EB" w:rsidP="00B851B7">
            <w:pPr>
              <w:rPr>
                <w:rFonts w:cs="Calibri"/>
                <w:sz w:val="16"/>
                <w:szCs w:val="16"/>
              </w:rPr>
            </w:pPr>
            <w:r w:rsidRPr="003F7F6C">
              <w:rPr>
                <w:rFonts w:cs="Calibri"/>
                <w:sz w:val="16"/>
                <w:szCs w:val="16"/>
              </w:rPr>
              <w:t>2.2.1 Inter-institutional and inter-sectoral dialogue spaces</w:t>
            </w:r>
          </w:p>
        </w:tc>
        <w:tc>
          <w:tcPr>
            <w:tcW w:w="1057" w:type="dxa"/>
          </w:tcPr>
          <w:p w14:paraId="18DD4A30" w14:textId="77777777" w:rsidR="002B04EB" w:rsidRPr="003F7F6C" w:rsidRDefault="002B04EB" w:rsidP="00B851B7">
            <w:pPr>
              <w:rPr>
                <w:rFonts w:cs="Calibri"/>
                <w:sz w:val="16"/>
                <w:szCs w:val="16"/>
              </w:rPr>
            </w:pPr>
            <w:r w:rsidRPr="003F7F6C">
              <w:rPr>
                <w:rFonts w:cs="Calibri"/>
                <w:sz w:val="16"/>
                <w:szCs w:val="16"/>
              </w:rPr>
              <w:t>OPDS</w:t>
            </w:r>
          </w:p>
          <w:p w14:paraId="7C73CCFB" w14:textId="77777777" w:rsidR="002B04EB" w:rsidRPr="003F7F6C" w:rsidRDefault="002B04EB" w:rsidP="00B851B7">
            <w:pPr>
              <w:rPr>
                <w:rFonts w:cs="Calibri"/>
                <w:sz w:val="16"/>
                <w:szCs w:val="16"/>
              </w:rPr>
            </w:pPr>
            <w:r w:rsidRPr="003F7F6C">
              <w:rPr>
                <w:rFonts w:cs="Calibri"/>
                <w:sz w:val="16"/>
                <w:szCs w:val="16"/>
              </w:rPr>
              <w:t>Ministry Environment</w:t>
            </w:r>
          </w:p>
          <w:p w14:paraId="018BA635" w14:textId="77777777" w:rsidR="002B04EB" w:rsidRPr="003F7F6C" w:rsidRDefault="002B04EB" w:rsidP="00B851B7">
            <w:pPr>
              <w:rPr>
                <w:rFonts w:cs="Calibri"/>
                <w:sz w:val="16"/>
                <w:szCs w:val="16"/>
              </w:rPr>
            </w:pPr>
            <w:r w:rsidRPr="003F7F6C">
              <w:rPr>
                <w:rFonts w:cs="Calibri"/>
                <w:sz w:val="16"/>
                <w:szCs w:val="16"/>
              </w:rPr>
              <w:t>SAOT</w:t>
            </w:r>
          </w:p>
        </w:tc>
        <w:tc>
          <w:tcPr>
            <w:tcW w:w="428" w:type="dxa"/>
          </w:tcPr>
          <w:p w14:paraId="6573FDD1" w14:textId="77777777" w:rsidR="002B04EB" w:rsidRPr="003F7F6C" w:rsidRDefault="002B04EB" w:rsidP="00B851B7">
            <w:pPr>
              <w:rPr>
                <w:rFonts w:cs="Calibri"/>
                <w:sz w:val="16"/>
                <w:szCs w:val="16"/>
              </w:rPr>
            </w:pPr>
          </w:p>
        </w:tc>
        <w:tc>
          <w:tcPr>
            <w:tcW w:w="444" w:type="dxa"/>
          </w:tcPr>
          <w:p w14:paraId="2DDD2E78" w14:textId="77777777" w:rsidR="002B04EB" w:rsidRPr="003F7F6C" w:rsidRDefault="002B04EB" w:rsidP="00B851B7">
            <w:pPr>
              <w:rPr>
                <w:sz w:val="16"/>
                <w:szCs w:val="16"/>
              </w:rPr>
            </w:pPr>
            <w:r w:rsidRPr="003F7F6C">
              <w:rPr>
                <w:rFonts w:cs="Calibri"/>
                <w:sz w:val="16"/>
                <w:szCs w:val="16"/>
              </w:rPr>
              <w:t>X</w:t>
            </w:r>
          </w:p>
        </w:tc>
        <w:tc>
          <w:tcPr>
            <w:tcW w:w="428" w:type="dxa"/>
          </w:tcPr>
          <w:p w14:paraId="194C73FC"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250A3B7A" w14:textId="77777777" w:rsidR="002B04EB" w:rsidRPr="003F7F6C" w:rsidRDefault="002B04EB" w:rsidP="00B851B7">
            <w:pPr>
              <w:rPr>
                <w:sz w:val="16"/>
                <w:szCs w:val="16"/>
              </w:rPr>
            </w:pPr>
            <w:r w:rsidRPr="003F7F6C">
              <w:rPr>
                <w:rFonts w:cs="Calibri"/>
                <w:sz w:val="16"/>
                <w:szCs w:val="16"/>
              </w:rPr>
              <w:t>X</w:t>
            </w:r>
          </w:p>
        </w:tc>
        <w:tc>
          <w:tcPr>
            <w:tcW w:w="428" w:type="dxa"/>
          </w:tcPr>
          <w:p w14:paraId="14988240" w14:textId="77777777" w:rsidR="002B04EB" w:rsidRPr="003F7F6C" w:rsidRDefault="002B04EB" w:rsidP="00B851B7">
            <w:pPr>
              <w:rPr>
                <w:sz w:val="16"/>
                <w:szCs w:val="16"/>
              </w:rPr>
            </w:pPr>
            <w:r w:rsidRPr="003F7F6C">
              <w:rPr>
                <w:rFonts w:cs="Calibri"/>
                <w:sz w:val="16"/>
                <w:szCs w:val="16"/>
              </w:rPr>
              <w:t>X</w:t>
            </w:r>
          </w:p>
        </w:tc>
        <w:tc>
          <w:tcPr>
            <w:tcW w:w="427" w:type="dxa"/>
          </w:tcPr>
          <w:p w14:paraId="39C99D4E" w14:textId="77777777" w:rsidR="002B04EB" w:rsidRPr="003F7F6C" w:rsidRDefault="002B04EB" w:rsidP="00B851B7">
            <w:pPr>
              <w:rPr>
                <w:sz w:val="16"/>
                <w:szCs w:val="16"/>
              </w:rPr>
            </w:pPr>
            <w:r w:rsidRPr="003F7F6C">
              <w:rPr>
                <w:rFonts w:cs="Calibri"/>
                <w:sz w:val="16"/>
                <w:szCs w:val="16"/>
              </w:rPr>
              <w:t>X</w:t>
            </w:r>
          </w:p>
        </w:tc>
        <w:tc>
          <w:tcPr>
            <w:tcW w:w="427" w:type="dxa"/>
          </w:tcPr>
          <w:p w14:paraId="06A47AD4" w14:textId="77777777" w:rsidR="002B04EB" w:rsidRPr="003F7F6C" w:rsidRDefault="002B04EB" w:rsidP="00B851B7">
            <w:pPr>
              <w:rPr>
                <w:sz w:val="16"/>
                <w:szCs w:val="16"/>
              </w:rPr>
            </w:pPr>
            <w:r w:rsidRPr="003F7F6C">
              <w:rPr>
                <w:rFonts w:cs="Calibri"/>
                <w:sz w:val="16"/>
                <w:szCs w:val="16"/>
              </w:rPr>
              <w:t>X</w:t>
            </w:r>
          </w:p>
        </w:tc>
        <w:tc>
          <w:tcPr>
            <w:tcW w:w="427" w:type="dxa"/>
            <w:gridSpan w:val="2"/>
          </w:tcPr>
          <w:p w14:paraId="6F08C10C" w14:textId="77777777" w:rsidR="002B04EB" w:rsidRPr="003F7F6C" w:rsidRDefault="002B04EB" w:rsidP="00B851B7">
            <w:pPr>
              <w:rPr>
                <w:sz w:val="16"/>
                <w:szCs w:val="16"/>
              </w:rPr>
            </w:pPr>
            <w:r w:rsidRPr="003F7F6C">
              <w:rPr>
                <w:rFonts w:cs="Calibri"/>
                <w:sz w:val="16"/>
                <w:szCs w:val="16"/>
              </w:rPr>
              <w:t>X</w:t>
            </w:r>
          </w:p>
        </w:tc>
        <w:tc>
          <w:tcPr>
            <w:tcW w:w="428" w:type="dxa"/>
          </w:tcPr>
          <w:p w14:paraId="3DE2E5BE" w14:textId="77777777" w:rsidR="002B04EB" w:rsidRPr="003F7F6C" w:rsidRDefault="002B04EB" w:rsidP="00B851B7">
            <w:pPr>
              <w:rPr>
                <w:sz w:val="16"/>
                <w:szCs w:val="16"/>
              </w:rPr>
            </w:pPr>
            <w:r w:rsidRPr="003F7F6C">
              <w:rPr>
                <w:rFonts w:cs="Calibri"/>
                <w:sz w:val="16"/>
                <w:szCs w:val="16"/>
              </w:rPr>
              <w:t>X</w:t>
            </w:r>
          </w:p>
        </w:tc>
        <w:tc>
          <w:tcPr>
            <w:tcW w:w="428" w:type="dxa"/>
          </w:tcPr>
          <w:p w14:paraId="44947194" w14:textId="77777777" w:rsidR="002B04EB" w:rsidRPr="003F7F6C" w:rsidRDefault="002B04EB" w:rsidP="00B851B7">
            <w:pPr>
              <w:rPr>
                <w:sz w:val="16"/>
                <w:szCs w:val="16"/>
              </w:rPr>
            </w:pPr>
            <w:r w:rsidRPr="003F7F6C">
              <w:rPr>
                <w:rFonts w:cs="Calibri"/>
                <w:sz w:val="16"/>
                <w:szCs w:val="16"/>
              </w:rPr>
              <w:t>X</w:t>
            </w:r>
          </w:p>
        </w:tc>
        <w:tc>
          <w:tcPr>
            <w:tcW w:w="428" w:type="dxa"/>
          </w:tcPr>
          <w:p w14:paraId="0DD62684"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6B905112" w14:textId="77777777" w:rsidR="002B04EB" w:rsidRPr="003F7F6C" w:rsidRDefault="002B04EB" w:rsidP="00B851B7">
            <w:pPr>
              <w:rPr>
                <w:sz w:val="16"/>
                <w:szCs w:val="16"/>
              </w:rPr>
            </w:pPr>
            <w:r w:rsidRPr="003F7F6C">
              <w:rPr>
                <w:rFonts w:cs="Calibri"/>
                <w:sz w:val="16"/>
                <w:szCs w:val="16"/>
              </w:rPr>
              <w:t>X</w:t>
            </w:r>
          </w:p>
        </w:tc>
        <w:tc>
          <w:tcPr>
            <w:tcW w:w="428" w:type="dxa"/>
          </w:tcPr>
          <w:p w14:paraId="1A830572" w14:textId="77777777" w:rsidR="002B04EB" w:rsidRPr="003F7F6C" w:rsidRDefault="002B04EB" w:rsidP="00B851B7">
            <w:pPr>
              <w:rPr>
                <w:sz w:val="16"/>
                <w:szCs w:val="16"/>
              </w:rPr>
            </w:pPr>
            <w:r w:rsidRPr="003F7F6C">
              <w:rPr>
                <w:rFonts w:cs="Calibri"/>
                <w:sz w:val="16"/>
                <w:szCs w:val="16"/>
              </w:rPr>
              <w:t>X</w:t>
            </w:r>
          </w:p>
        </w:tc>
        <w:tc>
          <w:tcPr>
            <w:tcW w:w="428" w:type="dxa"/>
          </w:tcPr>
          <w:p w14:paraId="2F749B17" w14:textId="77777777" w:rsidR="002B04EB" w:rsidRPr="003F7F6C" w:rsidRDefault="002B04EB" w:rsidP="00B851B7">
            <w:pPr>
              <w:rPr>
                <w:sz w:val="16"/>
                <w:szCs w:val="16"/>
              </w:rPr>
            </w:pPr>
            <w:r w:rsidRPr="003F7F6C">
              <w:rPr>
                <w:rFonts w:cs="Calibri"/>
                <w:sz w:val="16"/>
                <w:szCs w:val="16"/>
              </w:rPr>
              <w:t>X</w:t>
            </w:r>
          </w:p>
        </w:tc>
        <w:tc>
          <w:tcPr>
            <w:tcW w:w="428" w:type="dxa"/>
          </w:tcPr>
          <w:p w14:paraId="276E8F6F"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57815324" w14:textId="77777777" w:rsidR="002B04EB" w:rsidRPr="003F7F6C" w:rsidRDefault="002B04EB" w:rsidP="00B851B7">
            <w:pPr>
              <w:rPr>
                <w:sz w:val="16"/>
                <w:szCs w:val="16"/>
              </w:rPr>
            </w:pPr>
            <w:r w:rsidRPr="003F7F6C">
              <w:rPr>
                <w:rFonts w:cs="Calibri"/>
                <w:sz w:val="16"/>
                <w:szCs w:val="16"/>
              </w:rPr>
              <w:t>X</w:t>
            </w:r>
          </w:p>
        </w:tc>
        <w:tc>
          <w:tcPr>
            <w:tcW w:w="428" w:type="dxa"/>
          </w:tcPr>
          <w:p w14:paraId="175F604D" w14:textId="77777777" w:rsidR="002B04EB" w:rsidRPr="003F7F6C" w:rsidRDefault="002B04EB" w:rsidP="00B851B7">
            <w:pPr>
              <w:rPr>
                <w:sz w:val="16"/>
                <w:szCs w:val="16"/>
              </w:rPr>
            </w:pPr>
            <w:r w:rsidRPr="003F7F6C">
              <w:rPr>
                <w:rFonts w:cs="Calibri"/>
                <w:sz w:val="16"/>
                <w:szCs w:val="16"/>
              </w:rPr>
              <w:t>X</w:t>
            </w:r>
          </w:p>
        </w:tc>
        <w:tc>
          <w:tcPr>
            <w:tcW w:w="428" w:type="dxa"/>
          </w:tcPr>
          <w:p w14:paraId="40FE23BE" w14:textId="77777777" w:rsidR="002B04EB" w:rsidRPr="003F7F6C" w:rsidRDefault="002B04EB" w:rsidP="00B851B7">
            <w:pPr>
              <w:rPr>
                <w:sz w:val="16"/>
                <w:szCs w:val="16"/>
              </w:rPr>
            </w:pPr>
            <w:r w:rsidRPr="003F7F6C">
              <w:rPr>
                <w:rFonts w:cs="Calibri"/>
                <w:sz w:val="16"/>
                <w:szCs w:val="16"/>
              </w:rPr>
              <w:t>X</w:t>
            </w:r>
          </w:p>
        </w:tc>
        <w:tc>
          <w:tcPr>
            <w:tcW w:w="428" w:type="dxa"/>
          </w:tcPr>
          <w:p w14:paraId="70AE0B95"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5FFF51FB" w14:textId="77777777" w:rsidR="002B04EB" w:rsidRPr="003F7F6C" w:rsidRDefault="002B04EB" w:rsidP="00B851B7">
            <w:pPr>
              <w:rPr>
                <w:sz w:val="16"/>
                <w:szCs w:val="16"/>
              </w:rPr>
            </w:pPr>
            <w:r w:rsidRPr="003F7F6C">
              <w:rPr>
                <w:rFonts w:cs="Calibri"/>
                <w:sz w:val="16"/>
                <w:szCs w:val="16"/>
              </w:rPr>
              <w:t>X</w:t>
            </w:r>
          </w:p>
        </w:tc>
        <w:tc>
          <w:tcPr>
            <w:tcW w:w="428" w:type="dxa"/>
          </w:tcPr>
          <w:p w14:paraId="60F8F7F4" w14:textId="77777777" w:rsidR="002B04EB" w:rsidRPr="003F7F6C" w:rsidRDefault="002B04EB" w:rsidP="00B851B7">
            <w:pPr>
              <w:rPr>
                <w:sz w:val="16"/>
                <w:szCs w:val="16"/>
              </w:rPr>
            </w:pPr>
            <w:r w:rsidRPr="003F7F6C">
              <w:rPr>
                <w:rFonts w:cs="Calibri"/>
                <w:sz w:val="16"/>
                <w:szCs w:val="16"/>
              </w:rPr>
              <w:t>X</w:t>
            </w:r>
          </w:p>
        </w:tc>
        <w:tc>
          <w:tcPr>
            <w:tcW w:w="428" w:type="dxa"/>
          </w:tcPr>
          <w:p w14:paraId="4A4D2973" w14:textId="77777777" w:rsidR="002B04EB" w:rsidRPr="003F7F6C" w:rsidRDefault="002B04EB" w:rsidP="00B851B7">
            <w:pPr>
              <w:rPr>
                <w:sz w:val="16"/>
                <w:szCs w:val="16"/>
              </w:rPr>
            </w:pPr>
            <w:r w:rsidRPr="003F7F6C">
              <w:rPr>
                <w:rFonts w:cs="Calibri"/>
                <w:sz w:val="16"/>
                <w:szCs w:val="16"/>
              </w:rPr>
              <w:t>X</w:t>
            </w:r>
          </w:p>
        </w:tc>
        <w:tc>
          <w:tcPr>
            <w:tcW w:w="428" w:type="dxa"/>
          </w:tcPr>
          <w:p w14:paraId="0D3C0A81" w14:textId="77777777" w:rsidR="002B04EB" w:rsidRPr="003F7F6C" w:rsidRDefault="002B04EB" w:rsidP="00B851B7">
            <w:pPr>
              <w:rPr>
                <w:sz w:val="16"/>
                <w:szCs w:val="16"/>
              </w:rPr>
            </w:pPr>
            <w:r w:rsidRPr="003F7F6C">
              <w:rPr>
                <w:rFonts w:cs="Calibri"/>
                <w:sz w:val="16"/>
                <w:szCs w:val="16"/>
              </w:rPr>
              <w:t>X</w:t>
            </w:r>
          </w:p>
        </w:tc>
        <w:tc>
          <w:tcPr>
            <w:tcW w:w="428" w:type="dxa"/>
          </w:tcPr>
          <w:p w14:paraId="536BB5A7" w14:textId="77777777" w:rsidR="002B04EB" w:rsidRPr="003F7F6C" w:rsidRDefault="002B04EB" w:rsidP="00B851B7">
            <w:pPr>
              <w:rPr>
                <w:sz w:val="16"/>
                <w:szCs w:val="16"/>
              </w:rPr>
            </w:pPr>
            <w:r w:rsidRPr="003F7F6C">
              <w:rPr>
                <w:rFonts w:cs="Calibri"/>
                <w:sz w:val="16"/>
                <w:szCs w:val="16"/>
              </w:rPr>
              <w:t>X</w:t>
            </w:r>
          </w:p>
        </w:tc>
      </w:tr>
      <w:tr w:rsidR="002B04EB" w:rsidRPr="003F7F6C" w14:paraId="6FE46EF3" w14:textId="77777777" w:rsidTr="00B851B7">
        <w:tc>
          <w:tcPr>
            <w:tcW w:w="1668" w:type="dxa"/>
          </w:tcPr>
          <w:p w14:paraId="2790FBAD" w14:textId="77777777" w:rsidR="002B04EB" w:rsidRPr="003F7F6C" w:rsidRDefault="002B04EB" w:rsidP="00E91275">
            <w:pPr>
              <w:pStyle w:val="ListParagraph"/>
              <w:numPr>
                <w:ilvl w:val="0"/>
                <w:numId w:val="29"/>
              </w:numPr>
              <w:spacing w:after="0"/>
              <w:ind w:left="174" w:hanging="174"/>
              <w:contextualSpacing w:val="0"/>
              <w:rPr>
                <w:rFonts w:cs="Calibri"/>
                <w:sz w:val="16"/>
                <w:szCs w:val="16"/>
              </w:rPr>
            </w:pPr>
            <w:r w:rsidRPr="003F7F6C">
              <w:rPr>
                <w:rFonts w:cs="Calibri"/>
                <w:sz w:val="16"/>
                <w:szCs w:val="16"/>
              </w:rPr>
              <w:t>Update stakeholder mapping</w:t>
            </w:r>
          </w:p>
        </w:tc>
        <w:tc>
          <w:tcPr>
            <w:tcW w:w="1057" w:type="dxa"/>
          </w:tcPr>
          <w:p w14:paraId="0013D5EC" w14:textId="77777777" w:rsidR="002B04EB" w:rsidRPr="003F7F6C" w:rsidRDefault="002B04EB" w:rsidP="00B851B7">
            <w:pPr>
              <w:rPr>
                <w:rFonts w:cs="Calibri"/>
                <w:sz w:val="16"/>
                <w:szCs w:val="16"/>
              </w:rPr>
            </w:pPr>
            <w:r w:rsidRPr="003F7F6C">
              <w:rPr>
                <w:rFonts w:cs="Calibri"/>
                <w:sz w:val="16"/>
                <w:szCs w:val="16"/>
              </w:rPr>
              <w:t>OPDS</w:t>
            </w:r>
          </w:p>
          <w:p w14:paraId="14026972" w14:textId="77777777" w:rsidR="002B04EB" w:rsidRPr="003F7F6C" w:rsidRDefault="002B04EB" w:rsidP="00B851B7">
            <w:pPr>
              <w:rPr>
                <w:rFonts w:cs="Calibri"/>
                <w:sz w:val="16"/>
                <w:szCs w:val="16"/>
              </w:rPr>
            </w:pPr>
            <w:r w:rsidRPr="003F7F6C">
              <w:rPr>
                <w:rFonts w:cs="Calibri"/>
                <w:sz w:val="16"/>
                <w:szCs w:val="16"/>
              </w:rPr>
              <w:t>Ministry Environment</w:t>
            </w:r>
          </w:p>
          <w:p w14:paraId="3B94026C" w14:textId="77777777" w:rsidR="002B04EB" w:rsidRPr="003F7F6C" w:rsidRDefault="002B04EB" w:rsidP="00B851B7">
            <w:pPr>
              <w:rPr>
                <w:rFonts w:cs="Calibri"/>
                <w:sz w:val="16"/>
                <w:szCs w:val="16"/>
              </w:rPr>
            </w:pPr>
            <w:r w:rsidRPr="003F7F6C">
              <w:rPr>
                <w:rFonts w:cs="Calibri"/>
                <w:sz w:val="16"/>
                <w:szCs w:val="16"/>
              </w:rPr>
              <w:t>SAOT</w:t>
            </w:r>
          </w:p>
        </w:tc>
        <w:tc>
          <w:tcPr>
            <w:tcW w:w="428" w:type="dxa"/>
          </w:tcPr>
          <w:p w14:paraId="382DBFB9" w14:textId="77777777" w:rsidR="002B04EB" w:rsidRPr="003F7F6C" w:rsidRDefault="002B04EB" w:rsidP="00B851B7">
            <w:pPr>
              <w:rPr>
                <w:rFonts w:cs="Calibri"/>
                <w:sz w:val="16"/>
                <w:szCs w:val="16"/>
              </w:rPr>
            </w:pPr>
          </w:p>
        </w:tc>
        <w:tc>
          <w:tcPr>
            <w:tcW w:w="444" w:type="dxa"/>
          </w:tcPr>
          <w:p w14:paraId="4E20DF58" w14:textId="77777777" w:rsidR="002B04EB" w:rsidRPr="003F7F6C" w:rsidRDefault="002B04EB" w:rsidP="00B851B7">
            <w:pPr>
              <w:rPr>
                <w:sz w:val="16"/>
                <w:szCs w:val="16"/>
              </w:rPr>
            </w:pPr>
            <w:r w:rsidRPr="003F7F6C">
              <w:rPr>
                <w:rFonts w:cs="Calibri"/>
                <w:sz w:val="16"/>
                <w:szCs w:val="16"/>
              </w:rPr>
              <w:t>X</w:t>
            </w:r>
          </w:p>
        </w:tc>
        <w:tc>
          <w:tcPr>
            <w:tcW w:w="428" w:type="dxa"/>
          </w:tcPr>
          <w:p w14:paraId="5E250337"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4CF9436D" w14:textId="77777777" w:rsidR="002B04EB" w:rsidRPr="003F7F6C" w:rsidRDefault="002B04EB" w:rsidP="00B851B7">
            <w:pPr>
              <w:rPr>
                <w:sz w:val="16"/>
                <w:szCs w:val="16"/>
              </w:rPr>
            </w:pPr>
            <w:r w:rsidRPr="003F7F6C">
              <w:rPr>
                <w:rFonts w:cs="Calibri"/>
                <w:sz w:val="16"/>
                <w:szCs w:val="16"/>
              </w:rPr>
              <w:t>X</w:t>
            </w:r>
          </w:p>
        </w:tc>
        <w:tc>
          <w:tcPr>
            <w:tcW w:w="428" w:type="dxa"/>
          </w:tcPr>
          <w:p w14:paraId="119C7C66" w14:textId="77777777" w:rsidR="002B04EB" w:rsidRPr="003F7F6C" w:rsidRDefault="002B04EB" w:rsidP="00B851B7">
            <w:pPr>
              <w:rPr>
                <w:rFonts w:cs="Calibri"/>
                <w:sz w:val="16"/>
                <w:szCs w:val="16"/>
              </w:rPr>
            </w:pPr>
          </w:p>
        </w:tc>
        <w:tc>
          <w:tcPr>
            <w:tcW w:w="427" w:type="dxa"/>
          </w:tcPr>
          <w:p w14:paraId="3B5D19B1" w14:textId="77777777" w:rsidR="002B04EB" w:rsidRPr="003F7F6C" w:rsidRDefault="002B04EB" w:rsidP="00B851B7">
            <w:pPr>
              <w:rPr>
                <w:rFonts w:cs="Calibri"/>
                <w:sz w:val="16"/>
                <w:szCs w:val="16"/>
              </w:rPr>
            </w:pPr>
          </w:p>
        </w:tc>
        <w:tc>
          <w:tcPr>
            <w:tcW w:w="427" w:type="dxa"/>
          </w:tcPr>
          <w:p w14:paraId="7DAF5D76" w14:textId="77777777" w:rsidR="002B04EB" w:rsidRPr="003F7F6C" w:rsidRDefault="002B04EB" w:rsidP="00B851B7">
            <w:pPr>
              <w:rPr>
                <w:rFonts w:cs="Calibri"/>
                <w:sz w:val="16"/>
                <w:szCs w:val="16"/>
              </w:rPr>
            </w:pPr>
          </w:p>
        </w:tc>
        <w:tc>
          <w:tcPr>
            <w:tcW w:w="427" w:type="dxa"/>
            <w:gridSpan w:val="2"/>
          </w:tcPr>
          <w:p w14:paraId="4BA1609E" w14:textId="77777777" w:rsidR="002B04EB" w:rsidRPr="003F7F6C" w:rsidRDefault="002B04EB" w:rsidP="00B851B7">
            <w:pPr>
              <w:rPr>
                <w:rFonts w:cs="Calibri"/>
                <w:sz w:val="16"/>
                <w:szCs w:val="16"/>
              </w:rPr>
            </w:pPr>
          </w:p>
        </w:tc>
        <w:tc>
          <w:tcPr>
            <w:tcW w:w="428" w:type="dxa"/>
          </w:tcPr>
          <w:p w14:paraId="090464D8" w14:textId="77777777" w:rsidR="002B04EB" w:rsidRPr="003F7F6C" w:rsidRDefault="002B04EB" w:rsidP="00B851B7">
            <w:pPr>
              <w:rPr>
                <w:rFonts w:cs="Calibri"/>
                <w:sz w:val="16"/>
                <w:szCs w:val="16"/>
              </w:rPr>
            </w:pPr>
          </w:p>
        </w:tc>
        <w:tc>
          <w:tcPr>
            <w:tcW w:w="428" w:type="dxa"/>
          </w:tcPr>
          <w:p w14:paraId="089D64F9" w14:textId="77777777" w:rsidR="002B04EB" w:rsidRPr="003F7F6C" w:rsidRDefault="002B04EB" w:rsidP="00B851B7">
            <w:pPr>
              <w:rPr>
                <w:rFonts w:cs="Calibri"/>
                <w:sz w:val="16"/>
                <w:szCs w:val="16"/>
              </w:rPr>
            </w:pPr>
          </w:p>
        </w:tc>
        <w:tc>
          <w:tcPr>
            <w:tcW w:w="428" w:type="dxa"/>
          </w:tcPr>
          <w:p w14:paraId="19376845" w14:textId="77777777" w:rsidR="002B04EB" w:rsidRPr="003F7F6C" w:rsidRDefault="002B04EB" w:rsidP="00B851B7">
            <w:pPr>
              <w:rPr>
                <w:rFonts w:cs="Calibri"/>
                <w:sz w:val="16"/>
                <w:szCs w:val="16"/>
              </w:rPr>
            </w:pPr>
          </w:p>
        </w:tc>
        <w:tc>
          <w:tcPr>
            <w:tcW w:w="428" w:type="dxa"/>
            <w:gridSpan w:val="2"/>
          </w:tcPr>
          <w:p w14:paraId="7DA7E14D" w14:textId="77777777" w:rsidR="002B04EB" w:rsidRPr="003F7F6C" w:rsidRDefault="002B04EB" w:rsidP="00B851B7">
            <w:pPr>
              <w:rPr>
                <w:rFonts w:cs="Calibri"/>
                <w:sz w:val="16"/>
                <w:szCs w:val="16"/>
              </w:rPr>
            </w:pPr>
          </w:p>
        </w:tc>
        <w:tc>
          <w:tcPr>
            <w:tcW w:w="428" w:type="dxa"/>
          </w:tcPr>
          <w:p w14:paraId="2C7B36B1" w14:textId="77777777" w:rsidR="002B04EB" w:rsidRPr="003F7F6C" w:rsidRDefault="002B04EB" w:rsidP="00B851B7">
            <w:pPr>
              <w:rPr>
                <w:rFonts w:cs="Calibri"/>
                <w:sz w:val="16"/>
                <w:szCs w:val="16"/>
              </w:rPr>
            </w:pPr>
          </w:p>
        </w:tc>
        <w:tc>
          <w:tcPr>
            <w:tcW w:w="428" w:type="dxa"/>
          </w:tcPr>
          <w:p w14:paraId="0DEDF78D" w14:textId="77777777" w:rsidR="002B04EB" w:rsidRPr="003F7F6C" w:rsidRDefault="002B04EB" w:rsidP="00B851B7">
            <w:pPr>
              <w:rPr>
                <w:rFonts w:cs="Calibri"/>
                <w:sz w:val="16"/>
                <w:szCs w:val="16"/>
              </w:rPr>
            </w:pPr>
          </w:p>
        </w:tc>
        <w:tc>
          <w:tcPr>
            <w:tcW w:w="428" w:type="dxa"/>
          </w:tcPr>
          <w:p w14:paraId="7D3E8821" w14:textId="77777777" w:rsidR="002B04EB" w:rsidRPr="003F7F6C" w:rsidRDefault="002B04EB" w:rsidP="00B851B7">
            <w:pPr>
              <w:rPr>
                <w:rFonts w:cs="Calibri"/>
                <w:sz w:val="16"/>
                <w:szCs w:val="16"/>
              </w:rPr>
            </w:pPr>
          </w:p>
        </w:tc>
        <w:tc>
          <w:tcPr>
            <w:tcW w:w="428" w:type="dxa"/>
            <w:gridSpan w:val="2"/>
          </w:tcPr>
          <w:p w14:paraId="62F944C2" w14:textId="77777777" w:rsidR="002B04EB" w:rsidRPr="003F7F6C" w:rsidRDefault="002B04EB" w:rsidP="00B851B7">
            <w:pPr>
              <w:rPr>
                <w:rFonts w:cs="Calibri"/>
                <w:sz w:val="16"/>
                <w:szCs w:val="16"/>
              </w:rPr>
            </w:pPr>
          </w:p>
        </w:tc>
        <w:tc>
          <w:tcPr>
            <w:tcW w:w="428" w:type="dxa"/>
          </w:tcPr>
          <w:p w14:paraId="0FCFC08A" w14:textId="77777777" w:rsidR="002B04EB" w:rsidRPr="003F7F6C" w:rsidRDefault="002B04EB" w:rsidP="00B851B7">
            <w:pPr>
              <w:rPr>
                <w:rFonts w:cs="Calibri"/>
                <w:sz w:val="16"/>
                <w:szCs w:val="16"/>
              </w:rPr>
            </w:pPr>
          </w:p>
        </w:tc>
        <w:tc>
          <w:tcPr>
            <w:tcW w:w="428" w:type="dxa"/>
          </w:tcPr>
          <w:p w14:paraId="301A1D7D" w14:textId="77777777" w:rsidR="002B04EB" w:rsidRPr="003F7F6C" w:rsidRDefault="002B04EB" w:rsidP="00B851B7">
            <w:pPr>
              <w:rPr>
                <w:rFonts w:cs="Calibri"/>
                <w:sz w:val="16"/>
                <w:szCs w:val="16"/>
              </w:rPr>
            </w:pPr>
          </w:p>
        </w:tc>
        <w:tc>
          <w:tcPr>
            <w:tcW w:w="428" w:type="dxa"/>
          </w:tcPr>
          <w:p w14:paraId="74EA1674" w14:textId="77777777" w:rsidR="002B04EB" w:rsidRPr="003F7F6C" w:rsidRDefault="002B04EB" w:rsidP="00B851B7">
            <w:pPr>
              <w:rPr>
                <w:rFonts w:cs="Calibri"/>
                <w:sz w:val="16"/>
                <w:szCs w:val="16"/>
              </w:rPr>
            </w:pPr>
          </w:p>
        </w:tc>
        <w:tc>
          <w:tcPr>
            <w:tcW w:w="428" w:type="dxa"/>
            <w:gridSpan w:val="2"/>
          </w:tcPr>
          <w:p w14:paraId="536C5C5F" w14:textId="77777777" w:rsidR="002B04EB" w:rsidRPr="003F7F6C" w:rsidRDefault="002B04EB" w:rsidP="00B851B7">
            <w:pPr>
              <w:rPr>
                <w:rFonts w:cs="Calibri"/>
                <w:sz w:val="16"/>
                <w:szCs w:val="16"/>
              </w:rPr>
            </w:pPr>
          </w:p>
        </w:tc>
        <w:tc>
          <w:tcPr>
            <w:tcW w:w="428" w:type="dxa"/>
          </w:tcPr>
          <w:p w14:paraId="7F2088A4" w14:textId="77777777" w:rsidR="002B04EB" w:rsidRPr="003F7F6C" w:rsidRDefault="002B04EB" w:rsidP="00B851B7">
            <w:pPr>
              <w:rPr>
                <w:rFonts w:cs="Calibri"/>
                <w:sz w:val="16"/>
                <w:szCs w:val="16"/>
              </w:rPr>
            </w:pPr>
          </w:p>
        </w:tc>
        <w:tc>
          <w:tcPr>
            <w:tcW w:w="428" w:type="dxa"/>
          </w:tcPr>
          <w:p w14:paraId="1E26FD82" w14:textId="77777777" w:rsidR="002B04EB" w:rsidRPr="003F7F6C" w:rsidRDefault="002B04EB" w:rsidP="00B851B7">
            <w:pPr>
              <w:rPr>
                <w:rFonts w:cs="Calibri"/>
                <w:sz w:val="16"/>
                <w:szCs w:val="16"/>
              </w:rPr>
            </w:pPr>
          </w:p>
        </w:tc>
        <w:tc>
          <w:tcPr>
            <w:tcW w:w="428" w:type="dxa"/>
          </w:tcPr>
          <w:p w14:paraId="58D81681" w14:textId="77777777" w:rsidR="002B04EB" w:rsidRPr="003F7F6C" w:rsidRDefault="002B04EB" w:rsidP="00B851B7">
            <w:pPr>
              <w:rPr>
                <w:rFonts w:cs="Calibri"/>
                <w:sz w:val="16"/>
                <w:szCs w:val="16"/>
              </w:rPr>
            </w:pPr>
          </w:p>
        </w:tc>
        <w:tc>
          <w:tcPr>
            <w:tcW w:w="428" w:type="dxa"/>
          </w:tcPr>
          <w:p w14:paraId="74E42821" w14:textId="77777777" w:rsidR="002B04EB" w:rsidRPr="003F7F6C" w:rsidRDefault="002B04EB" w:rsidP="00B851B7">
            <w:pPr>
              <w:rPr>
                <w:rFonts w:cs="Calibri"/>
                <w:sz w:val="16"/>
                <w:szCs w:val="16"/>
              </w:rPr>
            </w:pPr>
          </w:p>
        </w:tc>
      </w:tr>
      <w:tr w:rsidR="002B04EB" w:rsidRPr="003F7F6C" w14:paraId="369200E0" w14:textId="77777777" w:rsidTr="00B851B7">
        <w:tc>
          <w:tcPr>
            <w:tcW w:w="1668" w:type="dxa"/>
          </w:tcPr>
          <w:p w14:paraId="29814EF3" w14:textId="77777777" w:rsidR="002B04EB" w:rsidRPr="003F7F6C" w:rsidRDefault="002B04EB" w:rsidP="00E91275">
            <w:pPr>
              <w:pStyle w:val="ListParagraph"/>
              <w:numPr>
                <w:ilvl w:val="0"/>
                <w:numId w:val="29"/>
              </w:numPr>
              <w:spacing w:after="0"/>
              <w:ind w:left="166" w:hanging="166"/>
              <w:contextualSpacing w:val="0"/>
              <w:rPr>
                <w:rFonts w:cs="Calibri"/>
                <w:sz w:val="16"/>
                <w:szCs w:val="16"/>
              </w:rPr>
            </w:pPr>
            <w:r w:rsidRPr="003F7F6C">
              <w:rPr>
                <w:rFonts w:cs="Calibri"/>
                <w:sz w:val="16"/>
                <w:szCs w:val="16"/>
              </w:rPr>
              <w:t>Establish inter-institutional working agreements for multi-stakeholder dialogue</w:t>
            </w:r>
          </w:p>
        </w:tc>
        <w:tc>
          <w:tcPr>
            <w:tcW w:w="1057" w:type="dxa"/>
          </w:tcPr>
          <w:p w14:paraId="60BE7EB1" w14:textId="77777777" w:rsidR="002B04EB" w:rsidRPr="003F7F6C" w:rsidRDefault="002B04EB" w:rsidP="00B851B7">
            <w:pPr>
              <w:rPr>
                <w:rFonts w:cs="Calibri"/>
                <w:sz w:val="16"/>
                <w:szCs w:val="16"/>
              </w:rPr>
            </w:pPr>
            <w:r w:rsidRPr="003F7F6C">
              <w:rPr>
                <w:rFonts w:cs="Calibri"/>
                <w:sz w:val="16"/>
                <w:szCs w:val="16"/>
              </w:rPr>
              <w:t>OPDS</w:t>
            </w:r>
          </w:p>
          <w:p w14:paraId="070F31E8" w14:textId="77777777" w:rsidR="002B04EB" w:rsidRPr="003F7F6C" w:rsidRDefault="002B04EB" w:rsidP="00B851B7">
            <w:pPr>
              <w:rPr>
                <w:rFonts w:cs="Calibri"/>
                <w:sz w:val="16"/>
                <w:szCs w:val="16"/>
              </w:rPr>
            </w:pPr>
            <w:r w:rsidRPr="003F7F6C">
              <w:rPr>
                <w:rFonts w:cs="Calibri"/>
                <w:sz w:val="16"/>
                <w:szCs w:val="16"/>
              </w:rPr>
              <w:t>Ministry Environment</w:t>
            </w:r>
          </w:p>
          <w:p w14:paraId="6CFA5072" w14:textId="77777777" w:rsidR="002B04EB" w:rsidRPr="003F7F6C" w:rsidRDefault="002B04EB" w:rsidP="00B851B7">
            <w:pPr>
              <w:rPr>
                <w:rFonts w:cs="Calibri"/>
                <w:sz w:val="16"/>
                <w:szCs w:val="16"/>
              </w:rPr>
            </w:pPr>
            <w:r w:rsidRPr="003F7F6C">
              <w:rPr>
                <w:rFonts w:cs="Calibri"/>
                <w:sz w:val="16"/>
                <w:szCs w:val="16"/>
              </w:rPr>
              <w:t>SAOT</w:t>
            </w:r>
          </w:p>
        </w:tc>
        <w:tc>
          <w:tcPr>
            <w:tcW w:w="428" w:type="dxa"/>
          </w:tcPr>
          <w:p w14:paraId="59ED03F9" w14:textId="77777777" w:rsidR="002B04EB" w:rsidRPr="003F7F6C" w:rsidRDefault="002B04EB" w:rsidP="00B851B7">
            <w:pPr>
              <w:rPr>
                <w:rFonts w:cs="Calibri"/>
                <w:sz w:val="16"/>
                <w:szCs w:val="16"/>
              </w:rPr>
            </w:pPr>
          </w:p>
        </w:tc>
        <w:tc>
          <w:tcPr>
            <w:tcW w:w="444" w:type="dxa"/>
          </w:tcPr>
          <w:p w14:paraId="74BE4A49" w14:textId="77777777" w:rsidR="002B04EB" w:rsidRPr="003F7F6C" w:rsidRDefault="002B04EB" w:rsidP="00B851B7">
            <w:pPr>
              <w:rPr>
                <w:sz w:val="16"/>
                <w:szCs w:val="16"/>
              </w:rPr>
            </w:pPr>
            <w:r w:rsidRPr="003F7F6C">
              <w:rPr>
                <w:rFonts w:cs="Calibri"/>
                <w:sz w:val="16"/>
                <w:szCs w:val="16"/>
              </w:rPr>
              <w:t>X</w:t>
            </w:r>
          </w:p>
        </w:tc>
        <w:tc>
          <w:tcPr>
            <w:tcW w:w="428" w:type="dxa"/>
          </w:tcPr>
          <w:p w14:paraId="4334C2C3"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5A209093" w14:textId="77777777" w:rsidR="002B04EB" w:rsidRPr="003F7F6C" w:rsidRDefault="002B04EB" w:rsidP="00B851B7">
            <w:pPr>
              <w:rPr>
                <w:sz w:val="16"/>
                <w:szCs w:val="16"/>
              </w:rPr>
            </w:pPr>
            <w:r w:rsidRPr="003F7F6C">
              <w:rPr>
                <w:rFonts w:cs="Calibri"/>
                <w:sz w:val="16"/>
                <w:szCs w:val="16"/>
              </w:rPr>
              <w:t>X</w:t>
            </w:r>
          </w:p>
        </w:tc>
        <w:tc>
          <w:tcPr>
            <w:tcW w:w="428" w:type="dxa"/>
          </w:tcPr>
          <w:p w14:paraId="2E573A29" w14:textId="77777777" w:rsidR="002B04EB" w:rsidRPr="003F7F6C" w:rsidRDefault="002B04EB" w:rsidP="00B851B7">
            <w:pPr>
              <w:rPr>
                <w:rFonts w:cs="Calibri"/>
                <w:sz w:val="16"/>
                <w:szCs w:val="16"/>
              </w:rPr>
            </w:pPr>
          </w:p>
        </w:tc>
        <w:tc>
          <w:tcPr>
            <w:tcW w:w="427" w:type="dxa"/>
          </w:tcPr>
          <w:p w14:paraId="635EF9CE" w14:textId="77777777" w:rsidR="002B04EB" w:rsidRPr="003F7F6C" w:rsidRDefault="002B04EB" w:rsidP="00B851B7">
            <w:pPr>
              <w:rPr>
                <w:rFonts w:cs="Calibri"/>
                <w:sz w:val="16"/>
                <w:szCs w:val="16"/>
              </w:rPr>
            </w:pPr>
          </w:p>
        </w:tc>
        <w:tc>
          <w:tcPr>
            <w:tcW w:w="427" w:type="dxa"/>
          </w:tcPr>
          <w:p w14:paraId="4DA2358B" w14:textId="77777777" w:rsidR="002B04EB" w:rsidRPr="003F7F6C" w:rsidRDefault="002B04EB" w:rsidP="00B851B7">
            <w:pPr>
              <w:rPr>
                <w:rFonts w:cs="Calibri"/>
                <w:sz w:val="16"/>
                <w:szCs w:val="16"/>
              </w:rPr>
            </w:pPr>
          </w:p>
        </w:tc>
        <w:tc>
          <w:tcPr>
            <w:tcW w:w="427" w:type="dxa"/>
            <w:gridSpan w:val="2"/>
          </w:tcPr>
          <w:p w14:paraId="62ECE9F0" w14:textId="77777777" w:rsidR="002B04EB" w:rsidRPr="003F7F6C" w:rsidRDefault="002B04EB" w:rsidP="00B851B7">
            <w:pPr>
              <w:rPr>
                <w:rFonts w:cs="Calibri"/>
                <w:sz w:val="16"/>
                <w:szCs w:val="16"/>
              </w:rPr>
            </w:pPr>
          </w:p>
        </w:tc>
        <w:tc>
          <w:tcPr>
            <w:tcW w:w="428" w:type="dxa"/>
          </w:tcPr>
          <w:p w14:paraId="35D7913A" w14:textId="77777777" w:rsidR="002B04EB" w:rsidRPr="003F7F6C" w:rsidRDefault="002B04EB" w:rsidP="00B851B7">
            <w:pPr>
              <w:rPr>
                <w:rFonts w:cs="Calibri"/>
                <w:sz w:val="16"/>
                <w:szCs w:val="16"/>
              </w:rPr>
            </w:pPr>
          </w:p>
        </w:tc>
        <w:tc>
          <w:tcPr>
            <w:tcW w:w="428" w:type="dxa"/>
          </w:tcPr>
          <w:p w14:paraId="29EB2D45" w14:textId="77777777" w:rsidR="002B04EB" w:rsidRPr="003F7F6C" w:rsidRDefault="002B04EB" w:rsidP="00B851B7">
            <w:pPr>
              <w:rPr>
                <w:rFonts w:cs="Calibri"/>
                <w:sz w:val="16"/>
                <w:szCs w:val="16"/>
              </w:rPr>
            </w:pPr>
          </w:p>
        </w:tc>
        <w:tc>
          <w:tcPr>
            <w:tcW w:w="428" w:type="dxa"/>
          </w:tcPr>
          <w:p w14:paraId="3E3489AE" w14:textId="77777777" w:rsidR="002B04EB" w:rsidRPr="003F7F6C" w:rsidRDefault="002B04EB" w:rsidP="00B851B7">
            <w:pPr>
              <w:rPr>
                <w:rFonts w:cs="Calibri"/>
                <w:sz w:val="16"/>
                <w:szCs w:val="16"/>
              </w:rPr>
            </w:pPr>
          </w:p>
        </w:tc>
        <w:tc>
          <w:tcPr>
            <w:tcW w:w="428" w:type="dxa"/>
            <w:gridSpan w:val="2"/>
          </w:tcPr>
          <w:p w14:paraId="0092BB58" w14:textId="77777777" w:rsidR="002B04EB" w:rsidRPr="003F7F6C" w:rsidRDefault="002B04EB" w:rsidP="00B851B7">
            <w:pPr>
              <w:rPr>
                <w:rFonts w:cs="Calibri"/>
                <w:sz w:val="16"/>
                <w:szCs w:val="16"/>
              </w:rPr>
            </w:pPr>
          </w:p>
        </w:tc>
        <w:tc>
          <w:tcPr>
            <w:tcW w:w="428" w:type="dxa"/>
          </w:tcPr>
          <w:p w14:paraId="1829DE5C" w14:textId="77777777" w:rsidR="002B04EB" w:rsidRPr="003F7F6C" w:rsidRDefault="002B04EB" w:rsidP="00B851B7">
            <w:pPr>
              <w:rPr>
                <w:rFonts w:cs="Calibri"/>
                <w:sz w:val="16"/>
                <w:szCs w:val="16"/>
              </w:rPr>
            </w:pPr>
          </w:p>
        </w:tc>
        <w:tc>
          <w:tcPr>
            <w:tcW w:w="428" w:type="dxa"/>
          </w:tcPr>
          <w:p w14:paraId="19443C87" w14:textId="77777777" w:rsidR="002B04EB" w:rsidRPr="003F7F6C" w:rsidRDefault="002B04EB" w:rsidP="00B851B7">
            <w:pPr>
              <w:rPr>
                <w:rFonts w:cs="Calibri"/>
                <w:sz w:val="16"/>
                <w:szCs w:val="16"/>
              </w:rPr>
            </w:pPr>
          </w:p>
        </w:tc>
        <w:tc>
          <w:tcPr>
            <w:tcW w:w="428" w:type="dxa"/>
          </w:tcPr>
          <w:p w14:paraId="69D2C27F" w14:textId="77777777" w:rsidR="002B04EB" w:rsidRPr="003F7F6C" w:rsidRDefault="002B04EB" w:rsidP="00B851B7">
            <w:pPr>
              <w:rPr>
                <w:rFonts w:cs="Calibri"/>
                <w:sz w:val="16"/>
                <w:szCs w:val="16"/>
              </w:rPr>
            </w:pPr>
          </w:p>
        </w:tc>
        <w:tc>
          <w:tcPr>
            <w:tcW w:w="428" w:type="dxa"/>
            <w:gridSpan w:val="2"/>
          </w:tcPr>
          <w:p w14:paraId="557C7437" w14:textId="77777777" w:rsidR="002B04EB" w:rsidRPr="003F7F6C" w:rsidRDefault="002B04EB" w:rsidP="00B851B7">
            <w:pPr>
              <w:rPr>
                <w:rFonts w:cs="Calibri"/>
                <w:sz w:val="16"/>
                <w:szCs w:val="16"/>
              </w:rPr>
            </w:pPr>
          </w:p>
        </w:tc>
        <w:tc>
          <w:tcPr>
            <w:tcW w:w="428" w:type="dxa"/>
          </w:tcPr>
          <w:p w14:paraId="22833DB2" w14:textId="77777777" w:rsidR="002B04EB" w:rsidRPr="003F7F6C" w:rsidRDefault="002B04EB" w:rsidP="00B851B7">
            <w:pPr>
              <w:rPr>
                <w:rFonts w:cs="Calibri"/>
                <w:sz w:val="16"/>
                <w:szCs w:val="16"/>
              </w:rPr>
            </w:pPr>
          </w:p>
        </w:tc>
        <w:tc>
          <w:tcPr>
            <w:tcW w:w="428" w:type="dxa"/>
          </w:tcPr>
          <w:p w14:paraId="1FE295BB" w14:textId="77777777" w:rsidR="002B04EB" w:rsidRPr="003F7F6C" w:rsidRDefault="002B04EB" w:rsidP="00B851B7">
            <w:pPr>
              <w:rPr>
                <w:rFonts w:cs="Calibri"/>
                <w:sz w:val="16"/>
                <w:szCs w:val="16"/>
              </w:rPr>
            </w:pPr>
          </w:p>
        </w:tc>
        <w:tc>
          <w:tcPr>
            <w:tcW w:w="428" w:type="dxa"/>
          </w:tcPr>
          <w:p w14:paraId="5296E606" w14:textId="77777777" w:rsidR="002B04EB" w:rsidRPr="003F7F6C" w:rsidRDefault="002B04EB" w:rsidP="00B851B7">
            <w:pPr>
              <w:rPr>
                <w:rFonts w:cs="Calibri"/>
                <w:sz w:val="16"/>
                <w:szCs w:val="16"/>
              </w:rPr>
            </w:pPr>
          </w:p>
        </w:tc>
        <w:tc>
          <w:tcPr>
            <w:tcW w:w="428" w:type="dxa"/>
            <w:gridSpan w:val="2"/>
          </w:tcPr>
          <w:p w14:paraId="02034BC6" w14:textId="77777777" w:rsidR="002B04EB" w:rsidRPr="003F7F6C" w:rsidRDefault="002B04EB" w:rsidP="00B851B7">
            <w:pPr>
              <w:rPr>
                <w:rFonts w:cs="Calibri"/>
                <w:sz w:val="16"/>
                <w:szCs w:val="16"/>
              </w:rPr>
            </w:pPr>
          </w:p>
        </w:tc>
        <w:tc>
          <w:tcPr>
            <w:tcW w:w="428" w:type="dxa"/>
          </w:tcPr>
          <w:p w14:paraId="537EAB5E" w14:textId="77777777" w:rsidR="002B04EB" w:rsidRPr="003F7F6C" w:rsidRDefault="002B04EB" w:rsidP="00B851B7">
            <w:pPr>
              <w:rPr>
                <w:rFonts w:cs="Calibri"/>
                <w:sz w:val="16"/>
                <w:szCs w:val="16"/>
              </w:rPr>
            </w:pPr>
          </w:p>
        </w:tc>
        <w:tc>
          <w:tcPr>
            <w:tcW w:w="428" w:type="dxa"/>
          </w:tcPr>
          <w:p w14:paraId="3D811715" w14:textId="77777777" w:rsidR="002B04EB" w:rsidRPr="003F7F6C" w:rsidRDefault="002B04EB" w:rsidP="00B851B7">
            <w:pPr>
              <w:rPr>
                <w:rFonts w:cs="Calibri"/>
                <w:sz w:val="16"/>
                <w:szCs w:val="16"/>
              </w:rPr>
            </w:pPr>
          </w:p>
        </w:tc>
        <w:tc>
          <w:tcPr>
            <w:tcW w:w="428" w:type="dxa"/>
          </w:tcPr>
          <w:p w14:paraId="1C5F5A9F" w14:textId="77777777" w:rsidR="002B04EB" w:rsidRPr="003F7F6C" w:rsidRDefault="002B04EB" w:rsidP="00B851B7">
            <w:pPr>
              <w:rPr>
                <w:rFonts w:cs="Calibri"/>
                <w:sz w:val="16"/>
                <w:szCs w:val="16"/>
              </w:rPr>
            </w:pPr>
          </w:p>
        </w:tc>
        <w:tc>
          <w:tcPr>
            <w:tcW w:w="428" w:type="dxa"/>
          </w:tcPr>
          <w:p w14:paraId="11243F03" w14:textId="77777777" w:rsidR="002B04EB" w:rsidRPr="003F7F6C" w:rsidRDefault="002B04EB" w:rsidP="00B851B7">
            <w:pPr>
              <w:rPr>
                <w:rFonts w:cs="Calibri"/>
                <w:sz w:val="16"/>
                <w:szCs w:val="16"/>
              </w:rPr>
            </w:pPr>
          </w:p>
        </w:tc>
      </w:tr>
      <w:tr w:rsidR="002B04EB" w:rsidRPr="003F7F6C" w14:paraId="16842B71" w14:textId="77777777" w:rsidTr="00B851B7">
        <w:tc>
          <w:tcPr>
            <w:tcW w:w="1668" w:type="dxa"/>
          </w:tcPr>
          <w:p w14:paraId="1A38605A" w14:textId="77777777" w:rsidR="002B04EB" w:rsidRPr="003F7F6C" w:rsidRDefault="002B04EB" w:rsidP="00E91275">
            <w:pPr>
              <w:pStyle w:val="ListParagraph"/>
              <w:numPr>
                <w:ilvl w:val="0"/>
                <w:numId w:val="29"/>
              </w:numPr>
              <w:spacing w:after="0"/>
              <w:ind w:left="166" w:hanging="166"/>
              <w:contextualSpacing w:val="0"/>
              <w:rPr>
                <w:rFonts w:cs="Calibri"/>
                <w:sz w:val="16"/>
                <w:szCs w:val="16"/>
              </w:rPr>
            </w:pPr>
            <w:r w:rsidRPr="003F7F6C">
              <w:rPr>
                <w:rFonts w:cs="Calibri"/>
                <w:sz w:val="16"/>
                <w:szCs w:val="16"/>
              </w:rPr>
              <w:t>Establish multi-stakeholder dialogue spaces</w:t>
            </w:r>
          </w:p>
        </w:tc>
        <w:tc>
          <w:tcPr>
            <w:tcW w:w="1057" w:type="dxa"/>
          </w:tcPr>
          <w:p w14:paraId="7FD52167" w14:textId="77777777" w:rsidR="002B04EB" w:rsidRPr="003F7F6C" w:rsidRDefault="002B04EB" w:rsidP="00B851B7">
            <w:pPr>
              <w:rPr>
                <w:rFonts w:cs="Calibri"/>
                <w:sz w:val="16"/>
                <w:szCs w:val="16"/>
              </w:rPr>
            </w:pPr>
            <w:r w:rsidRPr="003F7F6C">
              <w:rPr>
                <w:rFonts w:cs="Calibri"/>
                <w:sz w:val="16"/>
                <w:szCs w:val="16"/>
              </w:rPr>
              <w:t>OPDS</w:t>
            </w:r>
          </w:p>
          <w:p w14:paraId="2E6F5BEA" w14:textId="77777777" w:rsidR="002B04EB" w:rsidRPr="003F7F6C" w:rsidRDefault="002B04EB" w:rsidP="00B851B7">
            <w:pPr>
              <w:rPr>
                <w:rFonts w:cs="Calibri"/>
                <w:sz w:val="16"/>
                <w:szCs w:val="16"/>
              </w:rPr>
            </w:pPr>
            <w:r w:rsidRPr="003F7F6C">
              <w:rPr>
                <w:rFonts w:cs="Calibri"/>
                <w:sz w:val="16"/>
                <w:szCs w:val="16"/>
              </w:rPr>
              <w:t>Ministry Environment</w:t>
            </w:r>
          </w:p>
          <w:p w14:paraId="0125DE47" w14:textId="77777777" w:rsidR="002B04EB" w:rsidRPr="003F7F6C" w:rsidRDefault="002B04EB" w:rsidP="00B851B7">
            <w:pPr>
              <w:rPr>
                <w:rFonts w:cs="Calibri"/>
                <w:sz w:val="16"/>
                <w:szCs w:val="16"/>
              </w:rPr>
            </w:pPr>
            <w:r w:rsidRPr="003F7F6C">
              <w:rPr>
                <w:rFonts w:cs="Calibri"/>
                <w:sz w:val="16"/>
                <w:szCs w:val="16"/>
              </w:rPr>
              <w:t>SAOT</w:t>
            </w:r>
          </w:p>
        </w:tc>
        <w:tc>
          <w:tcPr>
            <w:tcW w:w="428" w:type="dxa"/>
          </w:tcPr>
          <w:p w14:paraId="24CCFB19" w14:textId="77777777" w:rsidR="002B04EB" w:rsidRPr="003F7F6C" w:rsidRDefault="002B04EB" w:rsidP="00B851B7">
            <w:pPr>
              <w:rPr>
                <w:rFonts w:cs="Calibri"/>
                <w:sz w:val="16"/>
                <w:szCs w:val="16"/>
              </w:rPr>
            </w:pPr>
          </w:p>
        </w:tc>
        <w:tc>
          <w:tcPr>
            <w:tcW w:w="444" w:type="dxa"/>
          </w:tcPr>
          <w:p w14:paraId="66C9B57D" w14:textId="77777777" w:rsidR="002B04EB" w:rsidRPr="003F7F6C" w:rsidRDefault="002B04EB" w:rsidP="00B851B7">
            <w:pPr>
              <w:rPr>
                <w:sz w:val="16"/>
                <w:szCs w:val="16"/>
              </w:rPr>
            </w:pPr>
            <w:r w:rsidRPr="003F7F6C">
              <w:rPr>
                <w:rFonts w:cs="Calibri"/>
                <w:sz w:val="16"/>
                <w:szCs w:val="16"/>
              </w:rPr>
              <w:t>X</w:t>
            </w:r>
          </w:p>
        </w:tc>
        <w:tc>
          <w:tcPr>
            <w:tcW w:w="428" w:type="dxa"/>
          </w:tcPr>
          <w:p w14:paraId="634465B8"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51FF3C2E" w14:textId="77777777" w:rsidR="002B04EB" w:rsidRPr="003F7F6C" w:rsidRDefault="002B04EB" w:rsidP="00B851B7">
            <w:pPr>
              <w:rPr>
                <w:sz w:val="16"/>
                <w:szCs w:val="16"/>
              </w:rPr>
            </w:pPr>
            <w:r w:rsidRPr="003F7F6C">
              <w:rPr>
                <w:rFonts w:cs="Calibri"/>
                <w:sz w:val="16"/>
                <w:szCs w:val="16"/>
              </w:rPr>
              <w:t>X</w:t>
            </w:r>
          </w:p>
        </w:tc>
        <w:tc>
          <w:tcPr>
            <w:tcW w:w="428" w:type="dxa"/>
          </w:tcPr>
          <w:p w14:paraId="47B47F9C" w14:textId="77777777" w:rsidR="002B04EB" w:rsidRPr="003F7F6C" w:rsidRDefault="002B04EB" w:rsidP="00B851B7">
            <w:pPr>
              <w:rPr>
                <w:sz w:val="16"/>
                <w:szCs w:val="16"/>
              </w:rPr>
            </w:pPr>
            <w:r w:rsidRPr="003F7F6C">
              <w:rPr>
                <w:rFonts w:cs="Calibri"/>
                <w:sz w:val="16"/>
                <w:szCs w:val="16"/>
              </w:rPr>
              <w:t>X</w:t>
            </w:r>
          </w:p>
        </w:tc>
        <w:tc>
          <w:tcPr>
            <w:tcW w:w="427" w:type="dxa"/>
          </w:tcPr>
          <w:p w14:paraId="729067C6" w14:textId="77777777" w:rsidR="002B04EB" w:rsidRPr="003F7F6C" w:rsidRDefault="002B04EB" w:rsidP="00B851B7">
            <w:pPr>
              <w:rPr>
                <w:sz w:val="16"/>
                <w:szCs w:val="16"/>
              </w:rPr>
            </w:pPr>
            <w:r w:rsidRPr="003F7F6C">
              <w:rPr>
                <w:rFonts w:cs="Calibri"/>
                <w:sz w:val="16"/>
                <w:szCs w:val="16"/>
              </w:rPr>
              <w:t>X</w:t>
            </w:r>
          </w:p>
        </w:tc>
        <w:tc>
          <w:tcPr>
            <w:tcW w:w="427" w:type="dxa"/>
          </w:tcPr>
          <w:p w14:paraId="28EA0A8C" w14:textId="77777777" w:rsidR="002B04EB" w:rsidRPr="003F7F6C" w:rsidRDefault="002B04EB" w:rsidP="00B851B7">
            <w:pPr>
              <w:rPr>
                <w:sz w:val="16"/>
                <w:szCs w:val="16"/>
              </w:rPr>
            </w:pPr>
            <w:r w:rsidRPr="003F7F6C">
              <w:rPr>
                <w:rFonts w:cs="Calibri"/>
                <w:sz w:val="16"/>
                <w:szCs w:val="16"/>
              </w:rPr>
              <w:t>X</w:t>
            </w:r>
          </w:p>
        </w:tc>
        <w:tc>
          <w:tcPr>
            <w:tcW w:w="427" w:type="dxa"/>
            <w:gridSpan w:val="2"/>
          </w:tcPr>
          <w:p w14:paraId="35A35AD3" w14:textId="77777777" w:rsidR="002B04EB" w:rsidRPr="003F7F6C" w:rsidRDefault="002B04EB" w:rsidP="00B851B7">
            <w:pPr>
              <w:rPr>
                <w:sz w:val="16"/>
                <w:szCs w:val="16"/>
              </w:rPr>
            </w:pPr>
            <w:r w:rsidRPr="003F7F6C">
              <w:rPr>
                <w:rFonts w:cs="Calibri"/>
                <w:sz w:val="16"/>
                <w:szCs w:val="16"/>
              </w:rPr>
              <w:t>X</w:t>
            </w:r>
          </w:p>
        </w:tc>
        <w:tc>
          <w:tcPr>
            <w:tcW w:w="428" w:type="dxa"/>
          </w:tcPr>
          <w:p w14:paraId="56E032CF" w14:textId="77777777" w:rsidR="002B04EB" w:rsidRPr="003F7F6C" w:rsidRDefault="002B04EB" w:rsidP="00B851B7">
            <w:pPr>
              <w:rPr>
                <w:sz w:val="16"/>
                <w:szCs w:val="16"/>
              </w:rPr>
            </w:pPr>
            <w:r w:rsidRPr="003F7F6C">
              <w:rPr>
                <w:rFonts w:cs="Calibri"/>
                <w:sz w:val="16"/>
                <w:szCs w:val="16"/>
              </w:rPr>
              <w:t>X</w:t>
            </w:r>
          </w:p>
        </w:tc>
        <w:tc>
          <w:tcPr>
            <w:tcW w:w="428" w:type="dxa"/>
          </w:tcPr>
          <w:p w14:paraId="720A0716" w14:textId="77777777" w:rsidR="002B04EB" w:rsidRPr="003F7F6C" w:rsidRDefault="002B04EB" w:rsidP="00B851B7">
            <w:pPr>
              <w:rPr>
                <w:sz w:val="16"/>
                <w:szCs w:val="16"/>
              </w:rPr>
            </w:pPr>
            <w:r w:rsidRPr="003F7F6C">
              <w:rPr>
                <w:rFonts w:cs="Calibri"/>
                <w:sz w:val="16"/>
                <w:szCs w:val="16"/>
              </w:rPr>
              <w:t>X</w:t>
            </w:r>
          </w:p>
        </w:tc>
        <w:tc>
          <w:tcPr>
            <w:tcW w:w="428" w:type="dxa"/>
          </w:tcPr>
          <w:p w14:paraId="05BED9AC"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05B14692" w14:textId="77777777" w:rsidR="002B04EB" w:rsidRPr="003F7F6C" w:rsidRDefault="002B04EB" w:rsidP="00B851B7">
            <w:pPr>
              <w:rPr>
                <w:sz w:val="16"/>
                <w:szCs w:val="16"/>
              </w:rPr>
            </w:pPr>
            <w:r w:rsidRPr="003F7F6C">
              <w:rPr>
                <w:rFonts w:cs="Calibri"/>
                <w:sz w:val="16"/>
                <w:szCs w:val="16"/>
              </w:rPr>
              <w:t>X</w:t>
            </w:r>
          </w:p>
        </w:tc>
        <w:tc>
          <w:tcPr>
            <w:tcW w:w="428" w:type="dxa"/>
          </w:tcPr>
          <w:p w14:paraId="7CED1385" w14:textId="77777777" w:rsidR="002B04EB" w:rsidRPr="003F7F6C" w:rsidRDefault="002B04EB" w:rsidP="00B851B7">
            <w:pPr>
              <w:rPr>
                <w:sz w:val="16"/>
                <w:szCs w:val="16"/>
              </w:rPr>
            </w:pPr>
            <w:r w:rsidRPr="003F7F6C">
              <w:rPr>
                <w:rFonts w:cs="Calibri"/>
                <w:sz w:val="16"/>
                <w:szCs w:val="16"/>
              </w:rPr>
              <w:t>X</w:t>
            </w:r>
          </w:p>
        </w:tc>
        <w:tc>
          <w:tcPr>
            <w:tcW w:w="428" w:type="dxa"/>
          </w:tcPr>
          <w:p w14:paraId="2E12D645" w14:textId="77777777" w:rsidR="002B04EB" w:rsidRPr="003F7F6C" w:rsidRDefault="002B04EB" w:rsidP="00B851B7">
            <w:pPr>
              <w:rPr>
                <w:sz w:val="16"/>
                <w:szCs w:val="16"/>
              </w:rPr>
            </w:pPr>
            <w:r w:rsidRPr="003F7F6C">
              <w:rPr>
                <w:rFonts w:cs="Calibri"/>
                <w:sz w:val="16"/>
                <w:szCs w:val="16"/>
              </w:rPr>
              <w:t>X</w:t>
            </w:r>
          </w:p>
        </w:tc>
        <w:tc>
          <w:tcPr>
            <w:tcW w:w="428" w:type="dxa"/>
          </w:tcPr>
          <w:p w14:paraId="23B2DFC6"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203F6614" w14:textId="77777777" w:rsidR="002B04EB" w:rsidRPr="003F7F6C" w:rsidRDefault="002B04EB" w:rsidP="00B851B7">
            <w:pPr>
              <w:rPr>
                <w:sz w:val="16"/>
                <w:szCs w:val="16"/>
              </w:rPr>
            </w:pPr>
            <w:r w:rsidRPr="003F7F6C">
              <w:rPr>
                <w:rFonts w:cs="Calibri"/>
                <w:sz w:val="16"/>
                <w:szCs w:val="16"/>
              </w:rPr>
              <w:t>X</w:t>
            </w:r>
          </w:p>
        </w:tc>
        <w:tc>
          <w:tcPr>
            <w:tcW w:w="428" w:type="dxa"/>
          </w:tcPr>
          <w:p w14:paraId="3B3BDB1E" w14:textId="77777777" w:rsidR="002B04EB" w:rsidRPr="003F7F6C" w:rsidRDefault="002B04EB" w:rsidP="00B851B7">
            <w:pPr>
              <w:rPr>
                <w:rFonts w:cs="Calibri"/>
                <w:sz w:val="16"/>
                <w:szCs w:val="16"/>
              </w:rPr>
            </w:pPr>
          </w:p>
        </w:tc>
        <w:tc>
          <w:tcPr>
            <w:tcW w:w="428" w:type="dxa"/>
          </w:tcPr>
          <w:p w14:paraId="0251DD2D" w14:textId="77777777" w:rsidR="002B04EB" w:rsidRPr="003F7F6C" w:rsidRDefault="002B04EB" w:rsidP="00B851B7">
            <w:pPr>
              <w:rPr>
                <w:rFonts w:cs="Calibri"/>
                <w:sz w:val="16"/>
                <w:szCs w:val="16"/>
              </w:rPr>
            </w:pPr>
          </w:p>
        </w:tc>
        <w:tc>
          <w:tcPr>
            <w:tcW w:w="428" w:type="dxa"/>
          </w:tcPr>
          <w:p w14:paraId="199EC192" w14:textId="77777777" w:rsidR="002B04EB" w:rsidRPr="003F7F6C" w:rsidRDefault="002B04EB" w:rsidP="00B851B7">
            <w:pPr>
              <w:rPr>
                <w:rFonts w:cs="Calibri"/>
                <w:sz w:val="16"/>
                <w:szCs w:val="16"/>
              </w:rPr>
            </w:pPr>
          </w:p>
        </w:tc>
        <w:tc>
          <w:tcPr>
            <w:tcW w:w="428" w:type="dxa"/>
            <w:gridSpan w:val="2"/>
          </w:tcPr>
          <w:p w14:paraId="7A74B6AF" w14:textId="77777777" w:rsidR="002B04EB" w:rsidRPr="003F7F6C" w:rsidRDefault="002B04EB" w:rsidP="00B851B7">
            <w:pPr>
              <w:rPr>
                <w:rFonts w:cs="Calibri"/>
                <w:sz w:val="16"/>
                <w:szCs w:val="16"/>
              </w:rPr>
            </w:pPr>
          </w:p>
        </w:tc>
        <w:tc>
          <w:tcPr>
            <w:tcW w:w="428" w:type="dxa"/>
          </w:tcPr>
          <w:p w14:paraId="6A9154B4" w14:textId="77777777" w:rsidR="002B04EB" w:rsidRPr="003F7F6C" w:rsidRDefault="002B04EB" w:rsidP="00B851B7">
            <w:pPr>
              <w:rPr>
                <w:rFonts w:cs="Calibri"/>
                <w:sz w:val="16"/>
                <w:szCs w:val="16"/>
              </w:rPr>
            </w:pPr>
          </w:p>
        </w:tc>
        <w:tc>
          <w:tcPr>
            <w:tcW w:w="428" w:type="dxa"/>
          </w:tcPr>
          <w:p w14:paraId="646B646A" w14:textId="77777777" w:rsidR="002B04EB" w:rsidRPr="003F7F6C" w:rsidRDefault="002B04EB" w:rsidP="00B851B7">
            <w:pPr>
              <w:rPr>
                <w:rFonts w:cs="Calibri"/>
                <w:sz w:val="16"/>
                <w:szCs w:val="16"/>
              </w:rPr>
            </w:pPr>
          </w:p>
        </w:tc>
        <w:tc>
          <w:tcPr>
            <w:tcW w:w="428" w:type="dxa"/>
          </w:tcPr>
          <w:p w14:paraId="06F82D59" w14:textId="77777777" w:rsidR="002B04EB" w:rsidRPr="003F7F6C" w:rsidRDefault="002B04EB" w:rsidP="00B851B7">
            <w:pPr>
              <w:rPr>
                <w:rFonts w:cs="Calibri"/>
                <w:sz w:val="16"/>
                <w:szCs w:val="16"/>
              </w:rPr>
            </w:pPr>
          </w:p>
        </w:tc>
        <w:tc>
          <w:tcPr>
            <w:tcW w:w="428" w:type="dxa"/>
          </w:tcPr>
          <w:p w14:paraId="79F065F4" w14:textId="77777777" w:rsidR="002B04EB" w:rsidRPr="003F7F6C" w:rsidRDefault="002B04EB" w:rsidP="00B851B7">
            <w:pPr>
              <w:rPr>
                <w:rFonts w:cs="Calibri"/>
                <w:sz w:val="16"/>
                <w:szCs w:val="16"/>
              </w:rPr>
            </w:pPr>
          </w:p>
        </w:tc>
      </w:tr>
      <w:tr w:rsidR="002B04EB" w:rsidRPr="003F7F6C" w14:paraId="17FEF17B" w14:textId="77777777" w:rsidTr="00B851B7">
        <w:tc>
          <w:tcPr>
            <w:tcW w:w="1668" w:type="dxa"/>
          </w:tcPr>
          <w:p w14:paraId="678353CF" w14:textId="77777777" w:rsidR="002B04EB" w:rsidRPr="003F7F6C" w:rsidRDefault="002B04EB" w:rsidP="00E91275">
            <w:pPr>
              <w:pStyle w:val="ListParagraph"/>
              <w:numPr>
                <w:ilvl w:val="0"/>
                <w:numId w:val="29"/>
              </w:numPr>
              <w:spacing w:after="0"/>
              <w:ind w:left="166" w:hanging="166"/>
              <w:contextualSpacing w:val="0"/>
              <w:rPr>
                <w:rFonts w:cs="Calibri"/>
                <w:sz w:val="16"/>
                <w:szCs w:val="16"/>
              </w:rPr>
            </w:pPr>
            <w:r w:rsidRPr="003F7F6C">
              <w:rPr>
                <w:rFonts w:cs="Calibri"/>
                <w:sz w:val="16"/>
                <w:szCs w:val="16"/>
              </w:rPr>
              <w:t>Functioning of platform with work plans and budget</w:t>
            </w:r>
          </w:p>
        </w:tc>
        <w:tc>
          <w:tcPr>
            <w:tcW w:w="1057" w:type="dxa"/>
          </w:tcPr>
          <w:p w14:paraId="34330A29" w14:textId="77777777" w:rsidR="002B04EB" w:rsidRPr="003F7F6C" w:rsidRDefault="002B04EB" w:rsidP="00B851B7">
            <w:pPr>
              <w:rPr>
                <w:rFonts w:cs="Calibri"/>
                <w:sz w:val="16"/>
                <w:szCs w:val="16"/>
              </w:rPr>
            </w:pPr>
            <w:r w:rsidRPr="003F7F6C">
              <w:rPr>
                <w:rFonts w:cs="Calibri"/>
                <w:sz w:val="16"/>
                <w:szCs w:val="16"/>
              </w:rPr>
              <w:t>OPDS</w:t>
            </w:r>
          </w:p>
          <w:p w14:paraId="25199832" w14:textId="77777777" w:rsidR="002B04EB" w:rsidRPr="003F7F6C" w:rsidRDefault="002B04EB" w:rsidP="00B851B7">
            <w:pPr>
              <w:rPr>
                <w:rFonts w:cs="Calibri"/>
                <w:sz w:val="16"/>
                <w:szCs w:val="16"/>
              </w:rPr>
            </w:pPr>
            <w:r w:rsidRPr="003F7F6C">
              <w:rPr>
                <w:rFonts w:cs="Calibri"/>
                <w:sz w:val="16"/>
                <w:szCs w:val="16"/>
              </w:rPr>
              <w:t>Ministry Environment</w:t>
            </w:r>
          </w:p>
          <w:p w14:paraId="61F06CB6" w14:textId="77777777" w:rsidR="002B04EB" w:rsidRPr="003F7F6C" w:rsidRDefault="002B04EB" w:rsidP="00B851B7">
            <w:pPr>
              <w:rPr>
                <w:rFonts w:cs="Calibri"/>
                <w:sz w:val="16"/>
                <w:szCs w:val="16"/>
              </w:rPr>
            </w:pPr>
            <w:r w:rsidRPr="003F7F6C">
              <w:rPr>
                <w:rFonts w:cs="Calibri"/>
                <w:sz w:val="16"/>
                <w:szCs w:val="16"/>
              </w:rPr>
              <w:t>SAOT</w:t>
            </w:r>
          </w:p>
        </w:tc>
        <w:tc>
          <w:tcPr>
            <w:tcW w:w="428" w:type="dxa"/>
          </w:tcPr>
          <w:p w14:paraId="5F8764F2" w14:textId="77777777" w:rsidR="002B04EB" w:rsidRPr="003F7F6C" w:rsidRDefault="002B04EB" w:rsidP="00B851B7">
            <w:pPr>
              <w:rPr>
                <w:rFonts w:cs="Calibri"/>
                <w:sz w:val="16"/>
                <w:szCs w:val="16"/>
              </w:rPr>
            </w:pPr>
          </w:p>
        </w:tc>
        <w:tc>
          <w:tcPr>
            <w:tcW w:w="444" w:type="dxa"/>
          </w:tcPr>
          <w:p w14:paraId="68388828" w14:textId="77777777" w:rsidR="002B04EB" w:rsidRPr="003F7F6C" w:rsidRDefault="002B04EB" w:rsidP="00B851B7">
            <w:pPr>
              <w:rPr>
                <w:rFonts w:cs="Calibri"/>
                <w:sz w:val="16"/>
                <w:szCs w:val="16"/>
              </w:rPr>
            </w:pPr>
          </w:p>
        </w:tc>
        <w:tc>
          <w:tcPr>
            <w:tcW w:w="428" w:type="dxa"/>
          </w:tcPr>
          <w:p w14:paraId="5BCC441E" w14:textId="77777777" w:rsidR="002B04EB" w:rsidRPr="003F7F6C" w:rsidRDefault="002B04EB" w:rsidP="00B851B7">
            <w:pPr>
              <w:rPr>
                <w:rFonts w:cs="Calibri"/>
                <w:sz w:val="16"/>
                <w:szCs w:val="16"/>
              </w:rPr>
            </w:pPr>
          </w:p>
        </w:tc>
        <w:tc>
          <w:tcPr>
            <w:tcW w:w="428" w:type="dxa"/>
            <w:gridSpan w:val="2"/>
          </w:tcPr>
          <w:p w14:paraId="465E07B8" w14:textId="77777777" w:rsidR="002B04EB" w:rsidRPr="003F7F6C" w:rsidRDefault="002B04EB" w:rsidP="00B851B7">
            <w:pPr>
              <w:rPr>
                <w:rFonts w:cs="Calibri"/>
                <w:sz w:val="16"/>
                <w:szCs w:val="16"/>
              </w:rPr>
            </w:pPr>
          </w:p>
        </w:tc>
        <w:tc>
          <w:tcPr>
            <w:tcW w:w="428" w:type="dxa"/>
          </w:tcPr>
          <w:p w14:paraId="205AE900" w14:textId="77777777" w:rsidR="002B04EB" w:rsidRPr="003F7F6C" w:rsidRDefault="002B04EB" w:rsidP="00B851B7">
            <w:pPr>
              <w:rPr>
                <w:rFonts w:cs="Calibri"/>
                <w:sz w:val="16"/>
                <w:szCs w:val="16"/>
              </w:rPr>
            </w:pPr>
          </w:p>
        </w:tc>
        <w:tc>
          <w:tcPr>
            <w:tcW w:w="427" w:type="dxa"/>
          </w:tcPr>
          <w:p w14:paraId="5AA95F98" w14:textId="77777777" w:rsidR="002B04EB" w:rsidRPr="003F7F6C" w:rsidRDefault="002B04EB" w:rsidP="00B851B7">
            <w:pPr>
              <w:rPr>
                <w:rFonts w:cs="Calibri"/>
                <w:sz w:val="16"/>
                <w:szCs w:val="16"/>
              </w:rPr>
            </w:pPr>
          </w:p>
        </w:tc>
        <w:tc>
          <w:tcPr>
            <w:tcW w:w="427" w:type="dxa"/>
          </w:tcPr>
          <w:p w14:paraId="2EC525B5" w14:textId="77777777" w:rsidR="002B04EB" w:rsidRPr="003F7F6C" w:rsidRDefault="002B04EB" w:rsidP="00B851B7">
            <w:pPr>
              <w:rPr>
                <w:rFonts w:cs="Calibri"/>
                <w:sz w:val="16"/>
                <w:szCs w:val="16"/>
              </w:rPr>
            </w:pPr>
          </w:p>
        </w:tc>
        <w:tc>
          <w:tcPr>
            <w:tcW w:w="427" w:type="dxa"/>
            <w:gridSpan w:val="2"/>
          </w:tcPr>
          <w:p w14:paraId="5C446246" w14:textId="77777777" w:rsidR="002B04EB" w:rsidRPr="003F7F6C" w:rsidRDefault="002B04EB" w:rsidP="00B851B7">
            <w:pPr>
              <w:rPr>
                <w:rFonts w:cs="Calibri"/>
                <w:sz w:val="16"/>
                <w:szCs w:val="16"/>
              </w:rPr>
            </w:pPr>
          </w:p>
        </w:tc>
        <w:tc>
          <w:tcPr>
            <w:tcW w:w="428" w:type="dxa"/>
          </w:tcPr>
          <w:p w14:paraId="467B093F" w14:textId="77777777" w:rsidR="002B04EB" w:rsidRPr="003F7F6C" w:rsidRDefault="002B04EB" w:rsidP="00B851B7">
            <w:pPr>
              <w:rPr>
                <w:rFonts w:cs="Calibri"/>
                <w:sz w:val="16"/>
                <w:szCs w:val="16"/>
              </w:rPr>
            </w:pPr>
          </w:p>
        </w:tc>
        <w:tc>
          <w:tcPr>
            <w:tcW w:w="428" w:type="dxa"/>
          </w:tcPr>
          <w:p w14:paraId="791E8C5A" w14:textId="77777777" w:rsidR="002B04EB" w:rsidRPr="003F7F6C" w:rsidRDefault="002B04EB" w:rsidP="00B851B7">
            <w:pPr>
              <w:rPr>
                <w:rFonts w:cs="Calibri"/>
                <w:sz w:val="16"/>
                <w:szCs w:val="16"/>
              </w:rPr>
            </w:pPr>
          </w:p>
        </w:tc>
        <w:tc>
          <w:tcPr>
            <w:tcW w:w="428" w:type="dxa"/>
          </w:tcPr>
          <w:p w14:paraId="23FB4A10" w14:textId="77777777" w:rsidR="002B04EB" w:rsidRPr="003F7F6C" w:rsidRDefault="002B04EB" w:rsidP="00B851B7">
            <w:pPr>
              <w:rPr>
                <w:rFonts w:cs="Calibri"/>
                <w:sz w:val="16"/>
                <w:szCs w:val="16"/>
              </w:rPr>
            </w:pPr>
          </w:p>
        </w:tc>
        <w:tc>
          <w:tcPr>
            <w:tcW w:w="428" w:type="dxa"/>
            <w:gridSpan w:val="2"/>
          </w:tcPr>
          <w:p w14:paraId="7A551AE8" w14:textId="77777777" w:rsidR="002B04EB" w:rsidRPr="003F7F6C" w:rsidRDefault="002B04EB" w:rsidP="00B851B7">
            <w:pPr>
              <w:rPr>
                <w:rFonts w:cs="Calibri"/>
                <w:sz w:val="16"/>
                <w:szCs w:val="16"/>
              </w:rPr>
            </w:pPr>
          </w:p>
        </w:tc>
        <w:tc>
          <w:tcPr>
            <w:tcW w:w="428" w:type="dxa"/>
          </w:tcPr>
          <w:p w14:paraId="2DF620FB" w14:textId="77777777" w:rsidR="002B04EB" w:rsidRPr="003F7F6C" w:rsidRDefault="002B04EB" w:rsidP="00B851B7">
            <w:pPr>
              <w:rPr>
                <w:rFonts w:cs="Calibri"/>
                <w:sz w:val="16"/>
                <w:szCs w:val="16"/>
              </w:rPr>
            </w:pPr>
          </w:p>
        </w:tc>
        <w:tc>
          <w:tcPr>
            <w:tcW w:w="428" w:type="dxa"/>
          </w:tcPr>
          <w:p w14:paraId="565C09D6" w14:textId="77777777" w:rsidR="002B04EB" w:rsidRPr="003F7F6C" w:rsidRDefault="002B04EB" w:rsidP="00B851B7">
            <w:pPr>
              <w:rPr>
                <w:rFonts w:cs="Calibri"/>
                <w:sz w:val="16"/>
                <w:szCs w:val="16"/>
              </w:rPr>
            </w:pPr>
          </w:p>
        </w:tc>
        <w:tc>
          <w:tcPr>
            <w:tcW w:w="428" w:type="dxa"/>
          </w:tcPr>
          <w:p w14:paraId="23F2299D" w14:textId="77777777" w:rsidR="002B04EB" w:rsidRPr="003F7F6C" w:rsidRDefault="002B04EB" w:rsidP="00B851B7">
            <w:pPr>
              <w:rPr>
                <w:rFonts w:cs="Calibri"/>
                <w:sz w:val="16"/>
                <w:szCs w:val="16"/>
              </w:rPr>
            </w:pPr>
          </w:p>
        </w:tc>
        <w:tc>
          <w:tcPr>
            <w:tcW w:w="428" w:type="dxa"/>
            <w:gridSpan w:val="2"/>
          </w:tcPr>
          <w:p w14:paraId="1C3341D5" w14:textId="77777777" w:rsidR="002B04EB" w:rsidRPr="003F7F6C" w:rsidRDefault="002B04EB" w:rsidP="00B851B7">
            <w:pPr>
              <w:rPr>
                <w:rFonts w:cs="Calibri"/>
                <w:sz w:val="16"/>
                <w:szCs w:val="16"/>
              </w:rPr>
            </w:pPr>
          </w:p>
        </w:tc>
        <w:tc>
          <w:tcPr>
            <w:tcW w:w="428" w:type="dxa"/>
          </w:tcPr>
          <w:p w14:paraId="75713B07" w14:textId="77777777" w:rsidR="002B04EB" w:rsidRPr="003F7F6C" w:rsidRDefault="002B04EB" w:rsidP="00B851B7">
            <w:pPr>
              <w:rPr>
                <w:sz w:val="16"/>
                <w:szCs w:val="16"/>
              </w:rPr>
            </w:pPr>
            <w:r w:rsidRPr="003F7F6C">
              <w:rPr>
                <w:rFonts w:cs="Calibri"/>
                <w:sz w:val="16"/>
                <w:szCs w:val="16"/>
              </w:rPr>
              <w:t>X</w:t>
            </w:r>
          </w:p>
        </w:tc>
        <w:tc>
          <w:tcPr>
            <w:tcW w:w="428" w:type="dxa"/>
          </w:tcPr>
          <w:p w14:paraId="13F273A8" w14:textId="77777777" w:rsidR="002B04EB" w:rsidRPr="003F7F6C" w:rsidRDefault="002B04EB" w:rsidP="00B851B7">
            <w:pPr>
              <w:rPr>
                <w:sz w:val="16"/>
                <w:szCs w:val="16"/>
              </w:rPr>
            </w:pPr>
            <w:r w:rsidRPr="003F7F6C">
              <w:rPr>
                <w:rFonts w:cs="Calibri"/>
                <w:sz w:val="16"/>
                <w:szCs w:val="16"/>
              </w:rPr>
              <w:t>X</w:t>
            </w:r>
          </w:p>
        </w:tc>
        <w:tc>
          <w:tcPr>
            <w:tcW w:w="428" w:type="dxa"/>
          </w:tcPr>
          <w:p w14:paraId="574BAE19"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0D62EC85" w14:textId="77777777" w:rsidR="002B04EB" w:rsidRPr="003F7F6C" w:rsidRDefault="002B04EB" w:rsidP="00B851B7">
            <w:pPr>
              <w:rPr>
                <w:sz w:val="16"/>
                <w:szCs w:val="16"/>
              </w:rPr>
            </w:pPr>
            <w:r w:rsidRPr="003F7F6C">
              <w:rPr>
                <w:rFonts w:cs="Calibri"/>
                <w:sz w:val="16"/>
                <w:szCs w:val="16"/>
              </w:rPr>
              <w:t>X</w:t>
            </w:r>
          </w:p>
        </w:tc>
        <w:tc>
          <w:tcPr>
            <w:tcW w:w="428" w:type="dxa"/>
          </w:tcPr>
          <w:p w14:paraId="27187253" w14:textId="77777777" w:rsidR="002B04EB" w:rsidRPr="003F7F6C" w:rsidRDefault="002B04EB" w:rsidP="00B851B7">
            <w:pPr>
              <w:rPr>
                <w:sz w:val="16"/>
                <w:szCs w:val="16"/>
              </w:rPr>
            </w:pPr>
            <w:r w:rsidRPr="003F7F6C">
              <w:rPr>
                <w:rFonts w:cs="Calibri"/>
                <w:sz w:val="16"/>
                <w:szCs w:val="16"/>
              </w:rPr>
              <w:t>X</w:t>
            </w:r>
          </w:p>
        </w:tc>
        <w:tc>
          <w:tcPr>
            <w:tcW w:w="428" w:type="dxa"/>
          </w:tcPr>
          <w:p w14:paraId="6FE6A2FB" w14:textId="77777777" w:rsidR="002B04EB" w:rsidRPr="003F7F6C" w:rsidRDefault="002B04EB" w:rsidP="00B851B7">
            <w:pPr>
              <w:rPr>
                <w:sz w:val="16"/>
                <w:szCs w:val="16"/>
              </w:rPr>
            </w:pPr>
            <w:r w:rsidRPr="003F7F6C">
              <w:rPr>
                <w:rFonts w:cs="Calibri"/>
                <w:sz w:val="16"/>
                <w:szCs w:val="16"/>
              </w:rPr>
              <w:t>X</w:t>
            </w:r>
          </w:p>
        </w:tc>
        <w:tc>
          <w:tcPr>
            <w:tcW w:w="428" w:type="dxa"/>
          </w:tcPr>
          <w:p w14:paraId="7E07664C" w14:textId="77777777" w:rsidR="002B04EB" w:rsidRPr="003F7F6C" w:rsidRDefault="002B04EB" w:rsidP="00B851B7">
            <w:pPr>
              <w:rPr>
                <w:sz w:val="16"/>
                <w:szCs w:val="16"/>
              </w:rPr>
            </w:pPr>
            <w:r w:rsidRPr="003F7F6C">
              <w:rPr>
                <w:rFonts w:cs="Calibri"/>
                <w:sz w:val="16"/>
                <w:szCs w:val="16"/>
              </w:rPr>
              <w:t>X</w:t>
            </w:r>
          </w:p>
        </w:tc>
        <w:tc>
          <w:tcPr>
            <w:tcW w:w="428" w:type="dxa"/>
          </w:tcPr>
          <w:p w14:paraId="7CEC8032" w14:textId="77777777" w:rsidR="002B04EB" w:rsidRPr="003F7F6C" w:rsidRDefault="002B04EB" w:rsidP="00B851B7">
            <w:pPr>
              <w:rPr>
                <w:sz w:val="16"/>
                <w:szCs w:val="16"/>
              </w:rPr>
            </w:pPr>
            <w:r w:rsidRPr="003F7F6C">
              <w:rPr>
                <w:rFonts w:cs="Calibri"/>
                <w:sz w:val="16"/>
                <w:szCs w:val="16"/>
              </w:rPr>
              <w:t>X</w:t>
            </w:r>
          </w:p>
        </w:tc>
      </w:tr>
      <w:tr w:rsidR="002B04EB" w:rsidRPr="003F7F6C" w14:paraId="425B44D3" w14:textId="77777777" w:rsidTr="00B851B7">
        <w:tc>
          <w:tcPr>
            <w:tcW w:w="1668" w:type="dxa"/>
          </w:tcPr>
          <w:p w14:paraId="2A82C424" w14:textId="77777777" w:rsidR="002B04EB" w:rsidRPr="003F7F6C" w:rsidRDefault="002B04EB" w:rsidP="00E91275">
            <w:pPr>
              <w:pStyle w:val="ListParagraph"/>
              <w:numPr>
                <w:ilvl w:val="0"/>
                <w:numId w:val="29"/>
              </w:numPr>
              <w:spacing w:after="0"/>
              <w:ind w:left="166" w:hanging="166"/>
              <w:contextualSpacing w:val="0"/>
              <w:rPr>
                <w:rFonts w:cs="Calibri"/>
                <w:sz w:val="16"/>
                <w:szCs w:val="16"/>
              </w:rPr>
            </w:pPr>
            <w:r w:rsidRPr="003F7F6C">
              <w:rPr>
                <w:rFonts w:cs="Calibri"/>
                <w:sz w:val="16"/>
                <w:szCs w:val="16"/>
              </w:rPr>
              <w:t>Design and implement a communication program for ELUP</w:t>
            </w:r>
          </w:p>
        </w:tc>
        <w:tc>
          <w:tcPr>
            <w:tcW w:w="1057" w:type="dxa"/>
          </w:tcPr>
          <w:p w14:paraId="75AB655A" w14:textId="77777777" w:rsidR="002B04EB" w:rsidRPr="003F7F6C" w:rsidRDefault="002B04EB" w:rsidP="00B851B7">
            <w:pPr>
              <w:rPr>
                <w:rFonts w:cs="Calibri"/>
                <w:sz w:val="16"/>
                <w:szCs w:val="16"/>
              </w:rPr>
            </w:pPr>
            <w:r w:rsidRPr="003F7F6C">
              <w:rPr>
                <w:rFonts w:cs="Calibri"/>
                <w:sz w:val="16"/>
                <w:szCs w:val="16"/>
              </w:rPr>
              <w:t>OPDS</w:t>
            </w:r>
          </w:p>
          <w:p w14:paraId="4B5C2A73" w14:textId="77777777" w:rsidR="002B04EB" w:rsidRPr="003F7F6C" w:rsidRDefault="002B04EB" w:rsidP="00B851B7">
            <w:pPr>
              <w:rPr>
                <w:rFonts w:cs="Calibri"/>
                <w:sz w:val="16"/>
                <w:szCs w:val="16"/>
              </w:rPr>
            </w:pPr>
            <w:r w:rsidRPr="003F7F6C">
              <w:rPr>
                <w:rFonts w:cs="Calibri"/>
                <w:sz w:val="16"/>
                <w:szCs w:val="16"/>
              </w:rPr>
              <w:t>Ministry Environment</w:t>
            </w:r>
          </w:p>
          <w:p w14:paraId="29D56841" w14:textId="77777777" w:rsidR="002B04EB" w:rsidRPr="003F7F6C" w:rsidRDefault="002B04EB" w:rsidP="00B851B7">
            <w:pPr>
              <w:rPr>
                <w:rFonts w:cs="Calibri"/>
                <w:sz w:val="16"/>
                <w:szCs w:val="16"/>
              </w:rPr>
            </w:pPr>
            <w:r w:rsidRPr="003F7F6C">
              <w:rPr>
                <w:rFonts w:cs="Calibri"/>
                <w:sz w:val="16"/>
                <w:szCs w:val="16"/>
              </w:rPr>
              <w:t>SAOT</w:t>
            </w:r>
          </w:p>
        </w:tc>
        <w:tc>
          <w:tcPr>
            <w:tcW w:w="428" w:type="dxa"/>
          </w:tcPr>
          <w:p w14:paraId="7B0D3D5B" w14:textId="77777777" w:rsidR="002B04EB" w:rsidRPr="003F7F6C" w:rsidRDefault="002B04EB" w:rsidP="00B851B7">
            <w:pPr>
              <w:rPr>
                <w:rFonts w:cs="Calibri"/>
                <w:sz w:val="16"/>
                <w:szCs w:val="16"/>
              </w:rPr>
            </w:pPr>
          </w:p>
        </w:tc>
        <w:tc>
          <w:tcPr>
            <w:tcW w:w="444" w:type="dxa"/>
          </w:tcPr>
          <w:p w14:paraId="45F7D1A8" w14:textId="77777777" w:rsidR="002B04EB" w:rsidRPr="003F7F6C" w:rsidRDefault="002B04EB" w:rsidP="00B851B7">
            <w:pPr>
              <w:rPr>
                <w:sz w:val="16"/>
                <w:szCs w:val="16"/>
              </w:rPr>
            </w:pPr>
            <w:r w:rsidRPr="003F7F6C">
              <w:rPr>
                <w:rFonts w:cs="Calibri"/>
                <w:sz w:val="16"/>
                <w:szCs w:val="16"/>
              </w:rPr>
              <w:t>X</w:t>
            </w:r>
          </w:p>
        </w:tc>
        <w:tc>
          <w:tcPr>
            <w:tcW w:w="428" w:type="dxa"/>
          </w:tcPr>
          <w:p w14:paraId="4F32EEC6"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6FFF0C7A" w14:textId="77777777" w:rsidR="002B04EB" w:rsidRPr="003F7F6C" w:rsidRDefault="002B04EB" w:rsidP="00B851B7">
            <w:pPr>
              <w:rPr>
                <w:sz w:val="16"/>
                <w:szCs w:val="16"/>
              </w:rPr>
            </w:pPr>
            <w:r w:rsidRPr="003F7F6C">
              <w:rPr>
                <w:rFonts w:cs="Calibri"/>
                <w:sz w:val="16"/>
                <w:szCs w:val="16"/>
              </w:rPr>
              <w:t>X</w:t>
            </w:r>
          </w:p>
        </w:tc>
        <w:tc>
          <w:tcPr>
            <w:tcW w:w="428" w:type="dxa"/>
          </w:tcPr>
          <w:p w14:paraId="268E8967" w14:textId="77777777" w:rsidR="002B04EB" w:rsidRPr="003F7F6C" w:rsidRDefault="002B04EB" w:rsidP="00B851B7">
            <w:pPr>
              <w:rPr>
                <w:sz w:val="16"/>
                <w:szCs w:val="16"/>
              </w:rPr>
            </w:pPr>
            <w:r w:rsidRPr="003F7F6C">
              <w:rPr>
                <w:rFonts w:cs="Calibri"/>
                <w:sz w:val="16"/>
                <w:szCs w:val="16"/>
              </w:rPr>
              <w:t>X</w:t>
            </w:r>
          </w:p>
        </w:tc>
        <w:tc>
          <w:tcPr>
            <w:tcW w:w="427" w:type="dxa"/>
          </w:tcPr>
          <w:p w14:paraId="4539E93E" w14:textId="77777777" w:rsidR="002B04EB" w:rsidRPr="003F7F6C" w:rsidRDefault="002B04EB" w:rsidP="00B851B7">
            <w:pPr>
              <w:rPr>
                <w:sz w:val="16"/>
                <w:szCs w:val="16"/>
              </w:rPr>
            </w:pPr>
            <w:r w:rsidRPr="003F7F6C">
              <w:rPr>
                <w:rFonts w:cs="Calibri"/>
                <w:sz w:val="16"/>
                <w:szCs w:val="16"/>
              </w:rPr>
              <w:t>X</w:t>
            </w:r>
          </w:p>
        </w:tc>
        <w:tc>
          <w:tcPr>
            <w:tcW w:w="427" w:type="dxa"/>
          </w:tcPr>
          <w:p w14:paraId="59B5CB89" w14:textId="77777777" w:rsidR="002B04EB" w:rsidRPr="003F7F6C" w:rsidRDefault="002B04EB" w:rsidP="00B851B7">
            <w:pPr>
              <w:rPr>
                <w:sz w:val="16"/>
                <w:szCs w:val="16"/>
              </w:rPr>
            </w:pPr>
            <w:r w:rsidRPr="003F7F6C">
              <w:rPr>
                <w:rFonts w:cs="Calibri"/>
                <w:sz w:val="16"/>
                <w:szCs w:val="16"/>
              </w:rPr>
              <w:t>X</w:t>
            </w:r>
          </w:p>
        </w:tc>
        <w:tc>
          <w:tcPr>
            <w:tcW w:w="427" w:type="dxa"/>
            <w:gridSpan w:val="2"/>
          </w:tcPr>
          <w:p w14:paraId="2E4E22B5" w14:textId="77777777" w:rsidR="002B04EB" w:rsidRPr="003F7F6C" w:rsidRDefault="002B04EB" w:rsidP="00B851B7">
            <w:pPr>
              <w:rPr>
                <w:sz w:val="16"/>
                <w:szCs w:val="16"/>
              </w:rPr>
            </w:pPr>
            <w:r w:rsidRPr="003F7F6C">
              <w:rPr>
                <w:rFonts w:cs="Calibri"/>
                <w:sz w:val="16"/>
                <w:szCs w:val="16"/>
              </w:rPr>
              <w:t>X</w:t>
            </w:r>
          </w:p>
        </w:tc>
        <w:tc>
          <w:tcPr>
            <w:tcW w:w="428" w:type="dxa"/>
          </w:tcPr>
          <w:p w14:paraId="06964EBA" w14:textId="77777777" w:rsidR="002B04EB" w:rsidRPr="003F7F6C" w:rsidRDefault="002B04EB" w:rsidP="00B851B7">
            <w:pPr>
              <w:rPr>
                <w:sz w:val="16"/>
                <w:szCs w:val="16"/>
              </w:rPr>
            </w:pPr>
            <w:r w:rsidRPr="003F7F6C">
              <w:rPr>
                <w:rFonts w:cs="Calibri"/>
                <w:sz w:val="16"/>
                <w:szCs w:val="16"/>
              </w:rPr>
              <w:t>X</w:t>
            </w:r>
          </w:p>
        </w:tc>
        <w:tc>
          <w:tcPr>
            <w:tcW w:w="428" w:type="dxa"/>
          </w:tcPr>
          <w:p w14:paraId="4F56E84C" w14:textId="77777777" w:rsidR="002B04EB" w:rsidRPr="003F7F6C" w:rsidRDefault="002B04EB" w:rsidP="00B851B7">
            <w:pPr>
              <w:rPr>
                <w:sz w:val="16"/>
                <w:szCs w:val="16"/>
              </w:rPr>
            </w:pPr>
            <w:r w:rsidRPr="003F7F6C">
              <w:rPr>
                <w:rFonts w:cs="Calibri"/>
                <w:sz w:val="16"/>
                <w:szCs w:val="16"/>
              </w:rPr>
              <w:t>X</w:t>
            </w:r>
          </w:p>
        </w:tc>
        <w:tc>
          <w:tcPr>
            <w:tcW w:w="428" w:type="dxa"/>
          </w:tcPr>
          <w:p w14:paraId="541A8453"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18534064" w14:textId="77777777" w:rsidR="002B04EB" w:rsidRPr="003F7F6C" w:rsidRDefault="002B04EB" w:rsidP="00B851B7">
            <w:pPr>
              <w:rPr>
                <w:sz w:val="16"/>
                <w:szCs w:val="16"/>
              </w:rPr>
            </w:pPr>
            <w:r w:rsidRPr="003F7F6C">
              <w:rPr>
                <w:rFonts w:cs="Calibri"/>
                <w:sz w:val="16"/>
                <w:szCs w:val="16"/>
              </w:rPr>
              <w:t>X</w:t>
            </w:r>
          </w:p>
        </w:tc>
        <w:tc>
          <w:tcPr>
            <w:tcW w:w="428" w:type="dxa"/>
          </w:tcPr>
          <w:p w14:paraId="4CDA06CE" w14:textId="77777777" w:rsidR="002B04EB" w:rsidRPr="003F7F6C" w:rsidRDefault="002B04EB" w:rsidP="00B851B7">
            <w:pPr>
              <w:rPr>
                <w:sz w:val="16"/>
                <w:szCs w:val="16"/>
              </w:rPr>
            </w:pPr>
            <w:r w:rsidRPr="003F7F6C">
              <w:rPr>
                <w:rFonts w:cs="Calibri"/>
                <w:sz w:val="16"/>
                <w:szCs w:val="16"/>
              </w:rPr>
              <w:t>X</w:t>
            </w:r>
          </w:p>
        </w:tc>
        <w:tc>
          <w:tcPr>
            <w:tcW w:w="428" w:type="dxa"/>
          </w:tcPr>
          <w:p w14:paraId="6343FBCE" w14:textId="77777777" w:rsidR="002B04EB" w:rsidRPr="003F7F6C" w:rsidRDefault="002B04EB" w:rsidP="00B851B7">
            <w:pPr>
              <w:rPr>
                <w:sz w:val="16"/>
                <w:szCs w:val="16"/>
              </w:rPr>
            </w:pPr>
            <w:r w:rsidRPr="003F7F6C">
              <w:rPr>
                <w:rFonts w:cs="Calibri"/>
                <w:sz w:val="16"/>
                <w:szCs w:val="16"/>
              </w:rPr>
              <w:t>X</w:t>
            </w:r>
          </w:p>
        </w:tc>
        <w:tc>
          <w:tcPr>
            <w:tcW w:w="428" w:type="dxa"/>
          </w:tcPr>
          <w:p w14:paraId="421FE80D"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5D1608DF" w14:textId="77777777" w:rsidR="002B04EB" w:rsidRPr="003F7F6C" w:rsidRDefault="002B04EB" w:rsidP="00B851B7">
            <w:pPr>
              <w:rPr>
                <w:sz w:val="16"/>
                <w:szCs w:val="16"/>
              </w:rPr>
            </w:pPr>
            <w:r w:rsidRPr="003F7F6C">
              <w:rPr>
                <w:rFonts w:cs="Calibri"/>
                <w:sz w:val="16"/>
                <w:szCs w:val="16"/>
              </w:rPr>
              <w:t>X</w:t>
            </w:r>
          </w:p>
        </w:tc>
        <w:tc>
          <w:tcPr>
            <w:tcW w:w="428" w:type="dxa"/>
          </w:tcPr>
          <w:p w14:paraId="315F3E29" w14:textId="77777777" w:rsidR="002B04EB" w:rsidRPr="003F7F6C" w:rsidRDefault="002B04EB" w:rsidP="00B851B7">
            <w:pPr>
              <w:rPr>
                <w:sz w:val="16"/>
                <w:szCs w:val="16"/>
              </w:rPr>
            </w:pPr>
            <w:r w:rsidRPr="003F7F6C">
              <w:rPr>
                <w:rFonts w:cs="Calibri"/>
                <w:sz w:val="16"/>
                <w:szCs w:val="16"/>
              </w:rPr>
              <w:t>X</w:t>
            </w:r>
          </w:p>
        </w:tc>
        <w:tc>
          <w:tcPr>
            <w:tcW w:w="428" w:type="dxa"/>
          </w:tcPr>
          <w:p w14:paraId="2DE07AFF" w14:textId="77777777" w:rsidR="002B04EB" w:rsidRPr="003F7F6C" w:rsidRDefault="002B04EB" w:rsidP="00B851B7">
            <w:pPr>
              <w:rPr>
                <w:sz w:val="16"/>
                <w:szCs w:val="16"/>
              </w:rPr>
            </w:pPr>
            <w:r w:rsidRPr="003F7F6C">
              <w:rPr>
                <w:rFonts w:cs="Calibri"/>
                <w:sz w:val="16"/>
                <w:szCs w:val="16"/>
              </w:rPr>
              <w:t>X</w:t>
            </w:r>
          </w:p>
        </w:tc>
        <w:tc>
          <w:tcPr>
            <w:tcW w:w="428" w:type="dxa"/>
          </w:tcPr>
          <w:p w14:paraId="17DB42C9"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519DCAB2" w14:textId="77777777" w:rsidR="002B04EB" w:rsidRPr="003F7F6C" w:rsidRDefault="002B04EB" w:rsidP="00B851B7">
            <w:pPr>
              <w:rPr>
                <w:sz w:val="16"/>
                <w:szCs w:val="16"/>
              </w:rPr>
            </w:pPr>
            <w:r w:rsidRPr="003F7F6C">
              <w:rPr>
                <w:rFonts w:cs="Calibri"/>
                <w:sz w:val="16"/>
                <w:szCs w:val="16"/>
              </w:rPr>
              <w:t>X</w:t>
            </w:r>
          </w:p>
        </w:tc>
        <w:tc>
          <w:tcPr>
            <w:tcW w:w="428" w:type="dxa"/>
          </w:tcPr>
          <w:p w14:paraId="2D75F8EA" w14:textId="77777777" w:rsidR="002B04EB" w:rsidRPr="003F7F6C" w:rsidRDefault="002B04EB" w:rsidP="00B851B7">
            <w:pPr>
              <w:rPr>
                <w:sz w:val="16"/>
                <w:szCs w:val="16"/>
              </w:rPr>
            </w:pPr>
            <w:r w:rsidRPr="003F7F6C">
              <w:rPr>
                <w:rFonts w:cs="Calibri"/>
                <w:sz w:val="16"/>
                <w:szCs w:val="16"/>
              </w:rPr>
              <w:t>X</w:t>
            </w:r>
          </w:p>
        </w:tc>
        <w:tc>
          <w:tcPr>
            <w:tcW w:w="428" w:type="dxa"/>
          </w:tcPr>
          <w:p w14:paraId="21DAF237" w14:textId="77777777" w:rsidR="002B04EB" w:rsidRPr="003F7F6C" w:rsidRDefault="002B04EB" w:rsidP="00B851B7">
            <w:pPr>
              <w:rPr>
                <w:sz w:val="16"/>
                <w:szCs w:val="16"/>
              </w:rPr>
            </w:pPr>
            <w:r w:rsidRPr="003F7F6C">
              <w:rPr>
                <w:rFonts w:cs="Calibri"/>
                <w:sz w:val="16"/>
                <w:szCs w:val="16"/>
              </w:rPr>
              <w:t>X</w:t>
            </w:r>
          </w:p>
        </w:tc>
        <w:tc>
          <w:tcPr>
            <w:tcW w:w="428" w:type="dxa"/>
          </w:tcPr>
          <w:p w14:paraId="678AED36" w14:textId="77777777" w:rsidR="002B04EB" w:rsidRPr="003F7F6C" w:rsidRDefault="002B04EB" w:rsidP="00B851B7">
            <w:pPr>
              <w:rPr>
                <w:sz w:val="16"/>
                <w:szCs w:val="16"/>
              </w:rPr>
            </w:pPr>
            <w:r w:rsidRPr="003F7F6C">
              <w:rPr>
                <w:rFonts w:cs="Calibri"/>
                <w:sz w:val="16"/>
                <w:szCs w:val="16"/>
              </w:rPr>
              <w:t>X</w:t>
            </w:r>
          </w:p>
        </w:tc>
        <w:tc>
          <w:tcPr>
            <w:tcW w:w="428" w:type="dxa"/>
          </w:tcPr>
          <w:p w14:paraId="57BB2A86" w14:textId="77777777" w:rsidR="002B04EB" w:rsidRPr="003F7F6C" w:rsidRDefault="002B04EB" w:rsidP="00B851B7">
            <w:pPr>
              <w:rPr>
                <w:sz w:val="16"/>
                <w:szCs w:val="16"/>
              </w:rPr>
            </w:pPr>
            <w:r w:rsidRPr="003F7F6C">
              <w:rPr>
                <w:rFonts w:cs="Calibri"/>
                <w:sz w:val="16"/>
                <w:szCs w:val="16"/>
              </w:rPr>
              <w:t>X</w:t>
            </w:r>
          </w:p>
        </w:tc>
      </w:tr>
      <w:tr w:rsidR="002B04EB" w:rsidRPr="003F7F6C" w14:paraId="7660F105" w14:textId="77777777" w:rsidTr="00B851B7">
        <w:tc>
          <w:tcPr>
            <w:tcW w:w="1668" w:type="dxa"/>
          </w:tcPr>
          <w:p w14:paraId="426C2CF1" w14:textId="77777777" w:rsidR="002B04EB" w:rsidRPr="003F7F6C" w:rsidRDefault="002B04EB" w:rsidP="00E91275">
            <w:pPr>
              <w:pStyle w:val="ListParagraph"/>
              <w:numPr>
                <w:ilvl w:val="0"/>
                <w:numId w:val="29"/>
              </w:numPr>
              <w:spacing w:after="0"/>
              <w:ind w:left="166" w:hanging="166"/>
              <w:contextualSpacing w:val="0"/>
              <w:rPr>
                <w:rFonts w:cs="Calibri"/>
                <w:sz w:val="16"/>
                <w:szCs w:val="16"/>
              </w:rPr>
            </w:pPr>
            <w:r w:rsidRPr="003F7F6C">
              <w:rPr>
                <w:rFonts w:cs="Calibri"/>
                <w:sz w:val="16"/>
                <w:szCs w:val="16"/>
              </w:rPr>
              <w:t>Design and implement a capacity development program for ELUP and participation</w:t>
            </w:r>
          </w:p>
        </w:tc>
        <w:tc>
          <w:tcPr>
            <w:tcW w:w="1057" w:type="dxa"/>
          </w:tcPr>
          <w:p w14:paraId="4B04EEAB" w14:textId="77777777" w:rsidR="002B04EB" w:rsidRPr="003F7F6C" w:rsidRDefault="002B04EB" w:rsidP="00B851B7">
            <w:pPr>
              <w:rPr>
                <w:rFonts w:cs="Calibri"/>
                <w:sz w:val="16"/>
                <w:szCs w:val="16"/>
              </w:rPr>
            </w:pPr>
            <w:r w:rsidRPr="003F7F6C">
              <w:rPr>
                <w:rFonts w:cs="Calibri"/>
                <w:sz w:val="16"/>
                <w:szCs w:val="16"/>
              </w:rPr>
              <w:t>OPDS</w:t>
            </w:r>
          </w:p>
          <w:p w14:paraId="1744FD26" w14:textId="77777777" w:rsidR="002B04EB" w:rsidRPr="003F7F6C" w:rsidRDefault="002B04EB" w:rsidP="00B851B7">
            <w:pPr>
              <w:rPr>
                <w:rFonts w:cs="Calibri"/>
                <w:sz w:val="16"/>
                <w:szCs w:val="16"/>
              </w:rPr>
            </w:pPr>
            <w:r w:rsidRPr="003F7F6C">
              <w:rPr>
                <w:rFonts w:cs="Calibri"/>
                <w:sz w:val="16"/>
                <w:szCs w:val="16"/>
              </w:rPr>
              <w:t>Ministry Environment</w:t>
            </w:r>
          </w:p>
          <w:p w14:paraId="4CB06B47" w14:textId="77777777" w:rsidR="002B04EB" w:rsidRPr="003F7F6C" w:rsidRDefault="002B04EB" w:rsidP="00B851B7">
            <w:pPr>
              <w:rPr>
                <w:rFonts w:cs="Calibri"/>
                <w:sz w:val="16"/>
                <w:szCs w:val="16"/>
              </w:rPr>
            </w:pPr>
            <w:r w:rsidRPr="003F7F6C">
              <w:rPr>
                <w:rFonts w:cs="Calibri"/>
                <w:sz w:val="16"/>
                <w:szCs w:val="16"/>
              </w:rPr>
              <w:t>SAOT</w:t>
            </w:r>
          </w:p>
        </w:tc>
        <w:tc>
          <w:tcPr>
            <w:tcW w:w="428" w:type="dxa"/>
          </w:tcPr>
          <w:p w14:paraId="27105FC8" w14:textId="77777777" w:rsidR="002B04EB" w:rsidRPr="003F7F6C" w:rsidRDefault="002B04EB" w:rsidP="00B851B7">
            <w:pPr>
              <w:rPr>
                <w:rFonts w:cs="Calibri"/>
                <w:sz w:val="16"/>
                <w:szCs w:val="16"/>
              </w:rPr>
            </w:pPr>
          </w:p>
        </w:tc>
        <w:tc>
          <w:tcPr>
            <w:tcW w:w="444" w:type="dxa"/>
          </w:tcPr>
          <w:p w14:paraId="3A373F18" w14:textId="77777777" w:rsidR="002B04EB" w:rsidRPr="003F7F6C" w:rsidRDefault="002B04EB" w:rsidP="00B851B7">
            <w:pPr>
              <w:rPr>
                <w:sz w:val="16"/>
                <w:szCs w:val="16"/>
              </w:rPr>
            </w:pPr>
            <w:r w:rsidRPr="003F7F6C">
              <w:rPr>
                <w:rFonts w:cs="Calibri"/>
                <w:sz w:val="16"/>
                <w:szCs w:val="16"/>
              </w:rPr>
              <w:t>X</w:t>
            </w:r>
          </w:p>
        </w:tc>
        <w:tc>
          <w:tcPr>
            <w:tcW w:w="428" w:type="dxa"/>
          </w:tcPr>
          <w:p w14:paraId="747C4179"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5DE8C347" w14:textId="77777777" w:rsidR="002B04EB" w:rsidRPr="003F7F6C" w:rsidRDefault="002B04EB" w:rsidP="00B851B7">
            <w:pPr>
              <w:rPr>
                <w:sz w:val="16"/>
                <w:szCs w:val="16"/>
              </w:rPr>
            </w:pPr>
            <w:r w:rsidRPr="003F7F6C">
              <w:rPr>
                <w:rFonts w:cs="Calibri"/>
                <w:sz w:val="16"/>
                <w:szCs w:val="16"/>
              </w:rPr>
              <w:t>X</w:t>
            </w:r>
          </w:p>
        </w:tc>
        <w:tc>
          <w:tcPr>
            <w:tcW w:w="428" w:type="dxa"/>
          </w:tcPr>
          <w:p w14:paraId="4598729A" w14:textId="77777777" w:rsidR="002B04EB" w:rsidRPr="003F7F6C" w:rsidRDefault="002B04EB" w:rsidP="00B851B7">
            <w:pPr>
              <w:rPr>
                <w:sz w:val="16"/>
                <w:szCs w:val="16"/>
              </w:rPr>
            </w:pPr>
            <w:r w:rsidRPr="003F7F6C">
              <w:rPr>
                <w:rFonts w:cs="Calibri"/>
                <w:sz w:val="16"/>
                <w:szCs w:val="16"/>
              </w:rPr>
              <w:t>X</w:t>
            </w:r>
          </w:p>
        </w:tc>
        <w:tc>
          <w:tcPr>
            <w:tcW w:w="427" w:type="dxa"/>
          </w:tcPr>
          <w:p w14:paraId="047168CC" w14:textId="77777777" w:rsidR="002B04EB" w:rsidRPr="003F7F6C" w:rsidRDefault="002B04EB" w:rsidP="00B851B7">
            <w:pPr>
              <w:rPr>
                <w:sz w:val="16"/>
                <w:szCs w:val="16"/>
              </w:rPr>
            </w:pPr>
            <w:r w:rsidRPr="003F7F6C">
              <w:rPr>
                <w:rFonts w:cs="Calibri"/>
                <w:sz w:val="16"/>
                <w:szCs w:val="16"/>
              </w:rPr>
              <w:t>X</w:t>
            </w:r>
          </w:p>
        </w:tc>
        <w:tc>
          <w:tcPr>
            <w:tcW w:w="427" w:type="dxa"/>
          </w:tcPr>
          <w:p w14:paraId="0DCE0E56" w14:textId="77777777" w:rsidR="002B04EB" w:rsidRPr="003F7F6C" w:rsidRDefault="002B04EB" w:rsidP="00B851B7">
            <w:pPr>
              <w:rPr>
                <w:sz w:val="16"/>
                <w:szCs w:val="16"/>
              </w:rPr>
            </w:pPr>
            <w:r w:rsidRPr="003F7F6C">
              <w:rPr>
                <w:rFonts w:cs="Calibri"/>
                <w:sz w:val="16"/>
                <w:szCs w:val="16"/>
              </w:rPr>
              <w:t>X</w:t>
            </w:r>
          </w:p>
        </w:tc>
        <w:tc>
          <w:tcPr>
            <w:tcW w:w="427" w:type="dxa"/>
            <w:gridSpan w:val="2"/>
          </w:tcPr>
          <w:p w14:paraId="3508C3DF" w14:textId="77777777" w:rsidR="002B04EB" w:rsidRPr="003F7F6C" w:rsidRDefault="002B04EB" w:rsidP="00B851B7">
            <w:pPr>
              <w:rPr>
                <w:sz w:val="16"/>
                <w:szCs w:val="16"/>
              </w:rPr>
            </w:pPr>
            <w:r w:rsidRPr="003F7F6C">
              <w:rPr>
                <w:rFonts w:cs="Calibri"/>
                <w:sz w:val="16"/>
                <w:szCs w:val="16"/>
              </w:rPr>
              <w:t>X</w:t>
            </w:r>
          </w:p>
        </w:tc>
        <w:tc>
          <w:tcPr>
            <w:tcW w:w="428" w:type="dxa"/>
          </w:tcPr>
          <w:p w14:paraId="2C4F188E" w14:textId="77777777" w:rsidR="002B04EB" w:rsidRPr="003F7F6C" w:rsidRDefault="002B04EB" w:rsidP="00B851B7">
            <w:pPr>
              <w:rPr>
                <w:sz w:val="16"/>
                <w:szCs w:val="16"/>
              </w:rPr>
            </w:pPr>
            <w:r w:rsidRPr="003F7F6C">
              <w:rPr>
                <w:rFonts w:cs="Calibri"/>
                <w:sz w:val="16"/>
                <w:szCs w:val="16"/>
              </w:rPr>
              <w:t>X</w:t>
            </w:r>
          </w:p>
        </w:tc>
        <w:tc>
          <w:tcPr>
            <w:tcW w:w="428" w:type="dxa"/>
          </w:tcPr>
          <w:p w14:paraId="716DD18E" w14:textId="77777777" w:rsidR="002B04EB" w:rsidRPr="003F7F6C" w:rsidRDefault="002B04EB" w:rsidP="00B851B7">
            <w:pPr>
              <w:rPr>
                <w:sz w:val="16"/>
                <w:szCs w:val="16"/>
              </w:rPr>
            </w:pPr>
            <w:r w:rsidRPr="003F7F6C">
              <w:rPr>
                <w:rFonts w:cs="Calibri"/>
                <w:sz w:val="16"/>
                <w:szCs w:val="16"/>
              </w:rPr>
              <w:t>X</w:t>
            </w:r>
          </w:p>
        </w:tc>
        <w:tc>
          <w:tcPr>
            <w:tcW w:w="428" w:type="dxa"/>
          </w:tcPr>
          <w:p w14:paraId="1D0D29DA"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1D0B4E03" w14:textId="77777777" w:rsidR="002B04EB" w:rsidRPr="003F7F6C" w:rsidRDefault="002B04EB" w:rsidP="00B851B7">
            <w:pPr>
              <w:rPr>
                <w:sz w:val="16"/>
                <w:szCs w:val="16"/>
              </w:rPr>
            </w:pPr>
            <w:r w:rsidRPr="003F7F6C">
              <w:rPr>
                <w:rFonts w:cs="Calibri"/>
                <w:sz w:val="16"/>
                <w:szCs w:val="16"/>
              </w:rPr>
              <w:t>X</w:t>
            </w:r>
          </w:p>
        </w:tc>
        <w:tc>
          <w:tcPr>
            <w:tcW w:w="428" w:type="dxa"/>
          </w:tcPr>
          <w:p w14:paraId="55BC9D4F" w14:textId="77777777" w:rsidR="002B04EB" w:rsidRPr="003F7F6C" w:rsidRDefault="002B04EB" w:rsidP="00B851B7">
            <w:pPr>
              <w:rPr>
                <w:sz w:val="16"/>
                <w:szCs w:val="16"/>
              </w:rPr>
            </w:pPr>
            <w:r w:rsidRPr="003F7F6C">
              <w:rPr>
                <w:rFonts w:cs="Calibri"/>
                <w:sz w:val="16"/>
                <w:szCs w:val="16"/>
              </w:rPr>
              <w:t>X</w:t>
            </w:r>
          </w:p>
        </w:tc>
        <w:tc>
          <w:tcPr>
            <w:tcW w:w="428" w:type="dxa"/>
          </w:tcPr>
          <w:p w14:paraId="3FEBBFD5" w14:textId="77777777" w:rsidR="002B04EB" w:rsidRPr="003F7F6C" w:rsidRDefault="002B04EB" w:rsidP="00B851B7">
            <w:pPr>
              <w:rPr>
                <w:sz w:val="16"/>
                <w:szCs w:val="16"/>
              </w:rPr>
            </w:pPr>
            <w:r w:rsidRPr="003F7F6C">
              <w:rPr>
                <w:rFonts w:cs="Calibri"/>
                <w:sz w:val="16"/>
                <w:szCs w:val="16"/>
              </w:rPr>
              <w:t>X</w:t>
            </w:r>
          </w:p>
        </w:tc>
        <w:tc>
          <w:tcPr>
            <w:tcW w:w="428" w:type="dxa"/>
          </w:tcPr>
          <w:p w14:paraId="522B29F1"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5CF4DB0A" w14:textId="77777777" w:rsidR="002B04EB" w:rsidRPr="003F7F6C" w:rsidRDefault="002B04EB" w:rsidP="00B851B7">
            <w:pPr>
              <w:rPr>
                <w:sz w:val="16"/>
                <w:szCs w:val="16"/>
              </w:rPr>
            </w:pPr>
            <w:r w:rsidRPr="003F7F6C">
              <w:rPr>
                <w:rFonts w:cs="Calibri"/>
                <w:sz w:val="16"/>
                <w:szCs w:val="16"/>
              </w:rPr>
              <w:t>X</w:t>
            </w:r>
          </w:p>
        </w:tc>
        <w:tc>
          <w:tcPr>
            <w:tcW w:w="428" w:type="dxa"/>
          </w:tcPr>
          <w:p w14:paraId="3883FC54" w14:textId="77777777" w:rsidR="002B04EB" w:rsidRPr="003F7F6C" w:rsidRDefault="002B04EB" w:rsidP="00B851B7">
            <w:pPr>
              <w:rPr>
                <w:sz w:val="16"/>
                <w:szCs w:val="16"/>
              </w:rPr>
            </w:pPr>
            <w:r w:rsidRPr="003F7F6C">
              <w:rPr>
                <w:rFonts w:cs="Calibri"/>
                <w:sz w:val="16"/>
                <w:szCs w:val="16"/>
              </w:rPr>
              <w:t>X</w:t>
            </w:r>
          </w:p>
        </w:tc>
        <w:tc>
          <w:tcPr>
            <w:tcW w:w="428" w:type="dxa"/>
          </w:tcPr>
          <w:p w14:paraId="3A73F95C" w14:textId="77777777" w:rsidR="002B04EB" w:rsidRPr="003F7F6C" w:rsidRDefault="002B04EB" w:rsidP="00B851B7">
            <w:pPr>
              <w:rPr>
                <w:sz w:val="16"/>
                <w:szCs w:val="16"/>
              </w:rPr>
            </w:pPr>
            <w:r w:rsidRPr="003F7F6C">
              <w:rPr>
                <w:rFonts w:cs="Calibri"/>
                <w:sz w:val="16"/>
                <w:szCs w:val="16"/>
              </w:rPr>
              <w:t>X</w:t>
            </w:r>
          </w:p>
        </w:tc>
        <w:tc>
          <w:tcPr>
            <w:tcW w:w="428" w:type="dxa"/>
          </w:tcPr>
          <w:p w14:paraId="0E3205E8"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301953B3" w14:textId="77777777" w:rsidR="002B04EB" w:rsidRPr="003F7F6C" w:rsidRDefault="002B04EB" w:rsidP="00B851B7">
            <w:pPr>
              <w:rPr>
                <w:sz w:val="16"/>
                <w:szCs w:val="16"/>
              </w:rPr>
            </w:pPr>
            <w:r w:rsidRPr="003F7F6C">
              <w:rPr>
                <w:rFonts w:cs="Calibri"/>
                <w:sz w:val="16"/>
                <w:szCs w:val="16"/>
              </w:rPr>
              <w:t>X</w:t>
            </w:r>
          </w:p>
        </w:tc>
        <w:tc>
          <w:tcPr>
            <w:tcW w:w="428" w:type="dxa"/>
          </w:tcPr>
          <w:p w14:paraId="56ACB944" w14:textId="77777777" w:rsidR="002B04EB" w:rsidRPr="003F7F6C" w:rsidRDefault="002B04EB" w:rsidP="00B851B7">
            <w:pPr>
              <w:rPr>
                <w:sz w:val="16"/>
                <w:szCs w:val="16"/>
              </w:rPr>
            </w:pPr>
            <w:r w:rsidRPr="003F7F6C">
              <w:rPr>
                <w:rFonts w:cs="Calibri"/>
                <w:sz w:val="16"/>
                <w:szCs w:val="16"/>
              </w:rPr>
              <w:t>X</w:t>
            </w:r>
          </w:p>
        </w:tc>
        <w:tc>
          <w:tcPr>
            <w:tcW w:w="428" w:type="dxa"/>
          </w:tcPr>
          <w:p w14:paraId="3B4C4B3B" w14:textId="77777777" w:rsidR="002B04EB" w:rsidRPr="003F7F6C" w:rsidRDefault="002B04EB" w:rsidP="00B851B7">
            <w:pPr>
              <w:rPr>
                <w:sz w:val="16"/>
                <w:szCs w:val="16"/>
              </w:rPr>
            </w:pPr>
            <w:r w:rsidRPr="003F7F6C">
              <w:rPr>
                <w:rFonts w:cs="Calibri"/>
                <w:sz w:val="16"/>
                <w:szCs w:val="16"/>
              </w:rPr>
              <w:t>X</w:t>
            </w:r>
          </w:p>
        </w:tc>
        <w:tc>
          <w:tcPr>
            <w:tcW w:w="428" w:type="dxa"/>
          </w:tcPr>
          <w:p w14:paraId="78EEF4FD" w14:textId="77777777" w:rsidR="002B04EB" w:rsidRPr="003F7F6C" w:rsidRDefault="002B04EB" w:rsidP="00B851B7">
            <w:pPr>
              <w:rPr>
                <w:sz w:val="16"/>
                <w:szCs w:val="16"/>
              </w:rPr>
            </w:pPr>
            <w:r w:rsidRPr="003F7F6C">
              <w:rPr>
                <w:rFonts w:cs="Calibri"/>
                <w:sz w:val="16"/>
                <w:szCs w:val="16"/>
              </w:rPr>
              <w:t>X</w:t>
            </w:r>
          </w:p>
        </w:tc>
        <w:tc>
          <w:tcPr>
            <w:tcW w:w="428" w:type="dxa"/>
          </w:tcPr>
          <w:p w14:paraId="023996F5" w14:textId="77777777" w:rsidR="002B04EB" w:rsidRPr="003F7F6C" w:rsidRDefault="002B04EB" w:rsidP="00B851B7">
            <w:pPr>
              <w:rPr>
                <w:sz w:val="16"/>
                <w:szCs w:val="16"/>
              </w:rPr>
            </w:pPr>
            <w:r w:rsidRPr="003F7F6C">
              <w:rPr>
                <w:rFonts w:cs="Calibri"/>
                <w:sz w:val="16"/>
                <w:szCs w:val="16"/>
              </w:rPr>
              <w:t>X</w:t>
            </w:r>
          </w:p>
        </w:tc>
      </w:tr>
      <w:tr w:rsidR="002B04EB" w:rsidRPr="003F7F6C" w14:paraId="49AE2310" w14:textId="77777777" w:rsidTr="002B04EB">
        <w:tc>
          <w:tcPr>
            <w:tcW w:w="13010" w:type="dxa"/>
            <w:gridSpan w:val="31"/>
            <w:shd w:val="clear" w:color="auto" w:fill="F7CAAC"/>
          </w:tcPr>
          <w:p w14:paraId="000B399E" w14:textId="77777777" w:rsidR="002B04EB" w:rsidRPr="003F7F6C" w:rsidRDefault="002B04EB" w:rsidP="00B851B7">
            <w:pPr>
              <w:rPr>
                <w:rFonts w:cs="Calibri"/>
                <w:sz w:val="16"/>
                <w:szCs w:val="16"/>
              </w:rPr>
            </w:pPr>
            <w:r w:rsidRPr="003F7F6C">
              <w:rPr>
                <w:rFonts w:cs="Calibri"/>
                <w:sz w:val="16"/>
                <w:szCs w:val="16"/>
              </w:rPr>
              <w:t>Buenos Aires</w:t>
            </w:r>
          </w:p>
        </w:tc>
      </w:tr>
      <w:tr w:rsidR="002B04EB" w:rsidRPr="003F7F6C" w14:paraId="021E5D95" w14:textId="77777777" w:rsidTr="00B851B7">
        <w:tc>
          <w:tcPr>
            <w:tcW w:w="1668" w:type="dxa"/>
          </w:tcPr>
          <w:p w14:paraId="3883ED4A" w14:textId="77777777" w:rsidR="002B04EB" w:rsidRPr="003F7F6C" w:rsidRDefault="002B04EB" w:rsidP="00B851B7">
            <w:pPr>
              <w:rPr>
                <w:rFonts w:cs="Calibri"/>
                <w:sz w:val="16"/>
                <w:szCs w:val="16"/>
              </w:rPr>
            </w:pPr>
            <w:r w:rsidRPr="003F7F6C">
              <w:rPr>
                <w:rFonts w:cs="Calibri"/>
                <w:sz w:val="16"/>
                <w:szCs w:val="16"/>
              </w:rPr>
              <w:t>2.2.2 Establish a Sustainable Commodities Platform (beef)</w:t>
            </w:r>
          </w:p>
        </w:tc>
        <w:tc>
          <w:tcPr>
            <w:tcW w:w="1057" w:type="dxa"/>
          </w:tcPr>
          <w:p w14:paraId="3832F425" w14:textId="77777777" w:rsidR="002B04EB" w:rsidRPr="003F7F6C" w:rsidRDefault="002B04EB" w:rsidP="00B851B7">
            <w:pPr>
              <w:rPr>
                <w:sz w:val="16"/>
                <w:szCs w:val="16"/>
              </w:rPr>
            </w:pPr>
            <w:r w:rsidRPr="003F7F6C">
              <w:rPr>
                <w:rFonts w:cs="Calibri"/>
                <w:sz w:val="16"/>
                <w:szCs w:val="16"/>
              </w:rPr>
              <w:t>OPDS</w:t>
            </w:r>
          </w:p>
        </w:tc>
        <w:tc>
          <w:tcPr>
            <w:tcW w:w="428" w:type="dxa"/>
          </w:tcPr>
          <w:p w14:paraId="15CCF521" w14:textId="77777777" w:rsidR="002B04EB" w:rsidRPr="003F7F6C" w:rsidRDefault="002B04EB" w:rsidP="00B851B7">
            <w:pPr>
              <w:rPr>
                <w:rFonts w:cs="Calibri"/>
                <w:sz w:val="16"/>
                <w:szCs w:val="16"/>
              </w:rPr>
            </w:pPr>
          </w:p>
        </w:tc>
        <w:tc>
          <w:tcPr>
            <w:tcW w:w="444" w:type="dxa"/>
          </w:tcPr>
          <w:p w14:paraId="72E4A39D" w14:textId="77777777" w:rsidR="002B04EB" w:rsidRPr="003F7F6C" w:rsidRDefault="002B04EB" w:rsidP="00B851B7">
            <w:pPr>
              <w:rPr>
                <w:sz w:val="16"/>
                <w:szCs w:val="16"/>
              </w:rPr>
            </w:pPr>
            <w:r w:rsidRPr="003F7F6C">
              <w:rPr>
                <w:rFonts w:cs="Calibri"/>
                <w:sz w:val="16"/>
                <w:szCs w:val="16"/>
              </w:rPr>
              <w:t>X</w:t>
            </w:r>
          </w:p>
        </w:tc>
        <w:tc>
          <w:tcPr>
            <w:tcW w:w="428" w:type="dxa"/>
          </w:tcPr>
          <w:p w14:paraId="4865B9D1"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01966377" w14:textId="77777777" w:rsidR="002B04EB" w:rsidRPr="003F7F6C" w:rsidRDefault="002B04EB" w:rsidP="00B851B7">
            <w:pPr>
              <w:rPr>
                <w:sz w:val="16"/>
                <w:szCs w:val="16"/>
              </w:rPr>
            </w:pPr>
            <w:r w:rsidRPr="003F7F6C">
              <w:rPr>
                <w:rFonts w:cs="Calibri"/>
                <w:sz w:val="16"/>
                <w:szCs w:val="16"/>
              </w:rPr>
              <w:t>X</w:t>
            </w:r>
          </w:p>
        </w:tc>
        <w:tc>
          <w:tcPr>
            <w:tcW w:w="428" w:type="dxa"/>
          </w:tcPr>
          <w:p w14:paraId="01728C39" w14:textId="77777777" w:rsidR="002B04EB" w:rsidRPr="003F7F6C" w:rsidRDefault="002B04EB" w:rsidP="00B851B7">
            <w:pPr>
              <w:rPr>
                <w:rFonts w:cs="Calibri"/>
                <w:sz w:val="16"/>
                <w:szCs w:val="16"/>
              </w:rPr>
            </w:pPr>
            <w:r w:rsidRPr="003F7F6C">
              <w:rPr>
                <w:rFonts w:cs="Calibri"/>
                <w:sz w:val="16"/>
                <w:szCs w:val="16"/>
              </w:rPr>
              <w:t>X</w:t>
            </w:r>
          </w:p>
        </w:tc>
        <w:tc>
          <w:tcPr>
            <w:tcW w:w="427" w:type="dxa"/>
          </w:tcPr>
          <w:p w14:paraId="227A1ED5" w14:textId="77777777" w:rsidR="002B04EB" w:rsidRPr="003F7F6C" w:rsidRDefault="002B04EB" w:rsidP="00B851B7">
            <w:pPr>
              <w:rPr>
                <w:sz w:val="16"/>
                <w:szCs w:val="16"/>
              </w:rPr>
            </w:pPr>
            <w:r w:rsidRPr="003F7F6C">
              <w:rPr>
                <w:rFonts w:cs="Calibri"/>
                <w:sz w:val="16"/>
                <w:szCs w:val="16"/>
              </w:rPr>
              <w:t>X</w:t>
            </w:r>
          </w:p>
        </w:tc>
        <w:tc>
          <w:tcPr>
            <w:tcW w:w="427" w:type="dxa"/>
          </w:tcPr>
          <w:p w14:paraId="41FD923A" w14:textId="77777777" w:rsidR="002B04EB" w:rsidRPr="003F7F6C" w:rsidRDefault="002B04EB" w:rsidP="00B851B7">
            <w:pPr>
              <w:rPr>
                <w:sz w:val="16"/>
                <w:szCs w:val="16"/>
              </w:rPr>
            </w:pPr>
            <w:r w:rsidRPr="003F7F6C">
              <w:rPr>
                <w:rFonts w:cs="Calibri"/>
                <w:sz w:val="16"/>
                <w:szCs w:val="16"/>
              </w:rPr>
              <w:t>X</w:t>
            </w:r>
          </w:p>
        </w:tc>
        <w:tc>
          <w:tcPr>
            <w:tcW w:w="427" w:type="dxa"/>
            <w:gridSpan w:val="2"/>
          </w:tcPr>
          <w:p w14:paraId="37DF9925" w14:textId="77777777" w:rsidR="002B04EB" w:rsidRPr="003F7F6C" w:rsidRDefault="002B04EB" w:rsidP="00B851B7">
            <w:pPr>
              <w:rPr>
                <w:sz w:val="16"/>
                <w:szCs w:val="16"/>
              </w:rPr>
            </w:pPr>
            <w:r w:rsidRPr="003F7F6C">
              <w:rPr>
                <w:rFonts w:cs="Calibri"/>
                <w:sz w:val="16"/>
                <w:szCs w:val="16"/>
              </w:rPr>
              <w:t>X</w:t>
            </w:r>
          </w:p>
        </w:tc>
        <w:tc>
          <w:tcPr>
            <w:tcW w:w="428" w:type="dxa"/>
          </w:tcPr>
          <w:p w14:paraId="1802E8FA" w14:textId="77777777" w:rsidR="002B04EB" w:rsidRPr="003F7F6C" w:rsidRDefault="002B04EB" w:rsidP="00B851B7">
            <w:pPr>
              <w:rPr>
                <w:rFonts w:cs="Calibri"/>
                <w:sz w:val="16"/>
                <w:szCs w:val="16"/>
              </w:rPr>
            </w:pPr>
            <w:r w:rsidRPr="003F7F6C">
              <w:rPr>
                <w:rFonts w:cs="Calibri"/>
                <w:sz w:val="16"/>
                <w:szCs w:val="16"/>
              </w:rPr>
              <w:t>X</w:t>
            </w:r>
          </w:p>
        </w:tc>
        <w:tc>
          <w:tcPr>
            <w:tcW w:w="428" w:type="dxa"/>
          </w:tcPr>
          <w:p w14:paraId="42B06BB4" w14:textId="77777777" w:rsidR="002B04EB" w:rsidRPr="003F7F6C" w:rsidRDefault="002B04EB" w:rsidP="00B851B7">
            <w:pPr>
              <w:rPr>
                <w:sz w:val="16"/>
                <w:szCs w:val="16"/>
              </w:rPr>
            </w:pPr>
            <w:r w:rsidRPr="003F7F6C">
              <w:rPr>
                <w:rFonts w:cs="Calibri"/>
                <w:sz w:val="16"/>
                <w:szCs w:val="16"/>
              </w:rPr>
              <w:t>X</w:t>
            </w:r>
          </w:p>
        </w:tc>
        <w:tc>
          <w:tcPr>
            <w:tcW w:w="428" w:type="dxa"/>
          </w:tcPr>
          <w:p w14:paraId="0520AAAA"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5140002B" w14:textId="77777777" w:rsidR="002B04EB" w:rsidRPr="003F7F6C" w:rsidRDefault="002B04EB" w:rsidP="00B851B7">
            <w:pPr>
              <w:rPr>
                <w:sz w:val="16"/>
                <w:szCs w:val="16"/>
              </w:rPr>
            </w:pPr>
            <w:r w:rsidRPr="003F7F6C">
              <w:rPr>
                <w:rFonts w:cs="Calibri"/>
                <w:sz w:val="16"/>
                <w:szCs w:val="16"/>
              </w:rPr>
              <w:t>X</w:t>
            </w:r>
          </w:p>
        </w:tc>
        <w:tc>
          <w:tcPr>
            <w:tcW w:w="428" w:type="dxa"/>
          </w:tcPr>
          <w:p w14:paraId="1F53453E" w14:textId="77777777" w:rsidR="002B04EB" w:rsidRPr="003F7F6C" w:rsidRDefault="002B04EB" w:rsidP="00B851B7">
            <w:pPr>
              <w:rPr>
                <w:rFonts w:cs="Calibri"/>
                <w:sz w:val="16"/>
                <w:szCs w:val="16"/>
              </w:rPr>
            </w:pPr>
            <w:r w:rsidRPr="003F7F6C">
              <w:rPr>
                <w:rFonts w:cs="Calibri"/>
                <w:sz w:val="16"/>
                <w:szCs w:val="16"/>
              </w:rPr>
              <w:t>X</w:t>
            </w:r>
          </w:p>
        </w:tc>
        <w:tc>
          <w:tcPr>
            <w:tcW w:w="428" w:type="dxa"/>
          </w:tcPr>
          <w:p w14:paraId="58942A46" w14:textId="77777777" w:rsidR="002B04EB" w:rsidRPr="003F7F6C" w:rsidRDefault="002B04EB" w:rsidP="00B851B7">
            <w:pPr>
              <w:rPr>
                <w:sz w:val="16"/>
                <w:szCs w:val="16"/>
              </w:rPr>
            </w:pPr>
            <w:r w:rsidRPr="003F7F6C">
              <w:rPr>
                <w:rFonts w:cs="Calibri"/>
                <w:sz w:val="16"/>
                <w:szCs w:val="16"/>
              </w:rPr>
              <w:t>X</w:t>
            </w:r>
          </w:p>
        </w:tc>
        <w:tc>
          <w:tcPr>
            <w:tcW w:w="428" w:type="dxa"/>
          </w:tcPr>
          <w:p w14:paraId="47269599"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2E45E414" w14:textId="77777777" w:rsidR="002B04EB" w:rsidRPr="003F7F6C" w:rsidRDefault="002B04EB" w:rsidP="00B851B7">
            <w:pPr>
              <w:rPr>
                <w:sz w:val="16"/>
                <w:szCs w:val="16"/>
              </w:rPr>
            </w:pPr>
            <w:r w:rsidRPr="003F7F6C">
              <w:rPr>
                <w:rFonts w:cs="Calibri"/>
                <w:sz w:val="16"/>
                <w:szCs w:val="16"/>
              </w:rPr>
              <w:t>X</w:t>
            </w:r>
          </w:p>
        </w:tc>
        <w:tc>
          <w:tcPr>
            <w:tcW w:w="428" w:type="dxa"/>
          </w:tcPr>
          <w:p w14:paraId="4A4B9068" w14:textId="77777777" w:rsidR="002B04EB" w:rsidRPr="003F7F6C" w:rsidRDefault="002B04EB" w:rsidP="00B851B7">
            <w:pPr>
              <w:rPr>
                <w:rFonts w:cs="Calibri"/>
                <w:sz w:val="16"/>
                <w:szCs w:val="16"/>
              </w:rPr>
            </w:pPr>
            <w:r w:rsidRPr="003F7F6C">
              <w:rPr>
                <w:rFonts w:cs="Calibri"/>
                <w:sz w:val="16"/>
                <w:szCs w:val="16"/>
              </w:rPr>
              <w:t>X</w:t>
            </w:r>
          </w:p>
        </w:tc>
        <w:tc>
          <w:tcPr>
            <w:tcW w:w="428" w:type="dxa"/>
          </w:tcPr>
          <w:p w14:paraId="4FEFC803" w14:textId="77777777" w:rsidR="002B04EB" w:rsidRPr="003F7F6C" w:rsidRDefault="002B04EB" w:rsidP="00B851B7">
            <w:pPr>
              <w:rPr>
                <w:sz w:val="16"/>
                <w:szCs w:val="16"/>
              </w:rPr>
            </w:pPr>
            <w:r w:rsidRPr="003F7F6C">
              <w:rPr>
                <w:rFonts w:cs="Calibri"/>
                <w:sz w:val="16"/>
                <w:szCs w:val="16"/>
              </w:rPr>
              <w:t>X</w:t>
            </w:r>
          </w:p>
        </w:tc>
        <w:tc>
          <w:tcPr>
            <w:tcW w:w="428" w:type="dxa"/>
          </w:tcPr>
          <w:p w14:paraId="3CD8F9F3"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6AF9B777" w14:textId="77777777" w:rsidR="002B04EB" w:rsidRPr="003F7F6C" w:rsidRDefault="002B04EB" w:rsidP="00B851B7">
            <w:pPr>
              <w:rPr>
                <w:sz w:val="16"/>
                <w:szCs w:val="16"/>
              </w:rPr>
            </w:pPr>
            <w:r w:rsidRPr="003F7F6C">
              <w:rPr>
                <w:rFonts w:cs="Calibri"/>
                <w:sz w:val="16"/>
                <w:szCs w:val="16"/>
              </w:rPr>
              <w:t>X</w:t>
            </w:r>
          </w:p>
        </w:tc>
        <w:tc>
          <w:tcPr>
            <w:tcW w:w="428" w:type="dxa"/>
          </w:tcPr>
          <w:p w14:paraId="0900486B" w14:textId="77777777" w:rsidR="002B04EB" w:rsidRPr="003F7F6C" w:rsidRDefault="002B04EB" w:rsidP="00B851B7">
            <w:pPr>
              <w:rPr>
                <w:rFonts w:cs="Calibri"/>
                <w:sz w:val="16"/>
                <w:szCs w:val="16"/>
              </w:rPr>
            </w:pPr>
            <w:r w:rsidRPr="003F7F6C">
              <w:rPr>
                <w:rFonts w:cs="Calibri"/>
                <w:sz w:val="16"/>
                <w:szCs w:val="16"/>
              </w:rPr>
              <w:t>X</w:t>
            </w:r>
          </w:p>
        </w:tc>
        <w:tc>
          <w:tcPr>
            <w:tcW w:w="428" w:type="dxa"/>
          </w:tcPr>
          <w:p w14:paraId="6AE6F1D5" w14:textId="77777777" w:rsidR="002B04EB" w:rsidRPr="003F7F6C" w:rsidRDefault="002B04EB" w:rsidP="00B851B7">
            <w:pPr>
              <w:rPr>
                <w:sz w:val="16"/>
                <w:szCs w:val="16"/>
              </w:rPr>
            </w:pPr>
            <w:r w:rsidRPr="003F7F6C">
              <w:rPr>
                <w:rFonts w:cs="Calibri"/>
                <w:sz w:val="16"/>
                <w:szCs w:val="16"/>
              </w:rPr>
              <w:t>X</w:t>
            </w:r>
          </w:p>
        </w:tc>
        <w:tc>
          <w:tcPr>
            <w:tcW w:w="428" w:type="dxa"/>
          </w:tcPr>
          <w:p w14:paraId="38D864BA" w14:textId="77777777" w:rsidR="002B04EB" w:rsidRPr="003F7F6C" w:rsidRDefault="002B04EB" w:rsidP="00B851B7">
            <w:pPr>
              <w:rPr>
                <w:sz w:val="16"/>
                <w:szCs w:val="16"/>
              </w:rPr>
            </w:pPr>
            <w:r w:rsidRPr="003F7F6C">
              <w:rPr>
                <w:rFonts w:cs="Calibri"/>
                <w:sz w:val="16"/>
                <w:szCs w:val="16"/>
              </w:rPr>
              <w:t>X</w:t>
            </w:r>
          </w:p>
        </w:tc>
        <w:tc>
          <w:tcPr>
            <w:tcW w:w="428" w:type="dxa"/>
          </w:tcPr>
          <w:p w14:paraId="609D0038" w14:textId="77777777" w:rsidR="002B04EB" w:rsidRPr="003F7F6C" w:rsidRDefault="002B04EB" w:rsidP="00B851B7">
            <w:pPr>
              <w:rPr>
                <w:sz w:val="16"/>
                <w:szCs w:val="16"/>
              </w:rPr>
            </w:pPr>
            <w:r w:rsidRPr="003F7F6C">
              <w:rPr>
                <w:rFonts w:cs="Calibri"/>
                <w:sz w:val="16"/>
                <w:szCs w:val="16"/>
              </w:rPr>
              <w:t>X</w:t>
            </w:r>
          </w:p>
        </w:tc>
      </w:tr>
      <w:tr w:rsidR="002B04EB" w:rsidRPr="003F7F6C" w14:paraId="73B9F77D" w14:textId="77777777" w:rsidTr="00B851B7">
        <w:tc>
          <w:tcPr>
            <w:tcW w:w="1668" w:type="dxa"/>
          </w:tcPr>
          <w:p w14:paraId="61F8CC8F" w14:textId="77777777" w:rsidR="002B04EB" w:rsidRPr="003F7F6C" w:rsidRDefault="002B04EB" w:rsidP="00E91275">
            <w:pPr>
              <w:pStyle w:val="ListParagraph"/>
              <w:numPr>
                <w:ilvl w:val="0"/>
                <w:numId w:val="29"/>
              </w:numPr>
              <w:spacing w:after="0"/>
              <w:ind w:left="174" w:hanging="174"/>
              <w:contextualSpacing w:val="0"/>
              <w:rPr>
                <w:rFonts w:cs="Calibri"/>
                <w:sz w:val="16"/>
                <w:szCs w:val="16"/>
              </w:rPr>
            </w:pPr>
            <w:r w:rsidRPr="003F7F6C">
              <w:rPr>
                <w:rFonts w:cs="Calibri"/>
                <w:sz w:val="16"/>
                <w:szCs w:val="16"/>
              </w:rPr>
              <w:t>Update stakeholder mapping</w:t>
            </w:r>
          </w:p>
        </w:tc>
        <w:tc>
          <w:tcPr>
            <w:tcW w:w="1057" w:type="dxa"/>
          </w:tcPr>
          <w:p w14:paraId="20CC62F8" w14:textId="77777777" w:rsidR="002B04EB" w:rsidRPr="003F7F6C" w:rsidRDefault="002B04EB" w:rsidP="00B851B7">
            <w:pPr>
              <w:rPr>
                <w:sz w:val="16"/>
                <w:szCs w:val="16"/>
              </w:rPr>
            </w:pPr>
            <w:r w:rsidRPr="003F7F6C">
              <w:rPr>
                <w:rFonts w:cs="Calibri"/>
                <w:sz w:val="16"/>
                <w:szCs w:val="16"/>
              </w:rPr>
              <w:t>OPDS</w:t>
            </w:r>
          </w:p>
        </w:tc>
        <w:tc>
          <w:tcPr>
            <w:tcW w:w="428" w:type="dxa"/>
          </w:tcPr>
          <w:p w14:paraId="5BFD867B" w14:textId="77777777" w:rsidR="002B04EB" w:rsidRPr="003F7F6C" w:rsidRDefault="002B04EB" w:rsidP="00B851B7">
            <w:pPr>
              <w:rPr>
                <w:rFonts w:cs="Calibri"/>
                <w:sz w:val="16"/>
                <w:szCs w:val="16"/>
              </w:rPr>
            </w:pPr>
          </w:p>
        </w:tc>
        <w:tc>
          <w:tcPr>
            <w:tcW w:w="444" w:type="dxa"/>
          </w:tcPr>
          <w:p w14:paraId="281CF3FA" w14:textId="77777777" w:rsidR="002B04EB" w:rsidRPr="003F7F6C" w:rsidRDefault="002B04EB" w:rsidP="00B851B7">
            <w:pPr>
              <w:rPr>
                <w:sz w:val="16"/>
                <w:szCs w:val="16"/>
              </w:rPr>
            </w:pPr>
            <w:r w:rsidRPr="003F7F6C">
              <w:rPr>
                <w:rFonts w:cs="Calibri"/>
                <w:sz w:val="16"/>
                <w:szCs w:val="16"/>
              </w:rPr>
              <w:t>X</w:t>
            </w:r>
          </w:p>
        </w:tc>
        <w:tc>
          <w:tcPr>
            <w:tcW w:w="428" w:type="dxa"/>
          </w:tcPr>
          <w:p w14:paraId="79C888BF"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1D32F9CE" w14:textId="77777777" w:rsidR="002B04EB" w:rsidRPr="003F7F6C" w:rsidRDefault="002B04EB" w:rsidP="00B851B7">
            <w:pPr>
              <w:rPr>
                <w:sz w:val="16"/>
                <w:szCs w:val="16"/>
              </w:rPr>
            </w:pPr>
            <w:r w:rsidRPr="003F7F6C">
              <w:rPr>
                <w:rFonts w:cs="Calibri"/>
                <w:sz w:val="16"/>
                <w:szCs w:val="16"/>
              </w:rPr>
              <w:t>X</w:t>
            </w:r>
          </w:p>
        </w:tc>
        <w:tc>
          <w:tcPr>
            <w:tcW w:w="428" w:type="dxa"/>
          </w:tcPr>
          <w:p w14:paraId="47A61566" w14:textId="77777777" w:rsidR="002B04EB" w:rsidRPr="003F7F6C" w:rsidRDefault="002B04EB" w:rsidP="00B851B7">
            <w:pPr>
              <w:rPr>
                <w:rFonts w:cs="Calibri"/>
                <w:sz w:val="16"/>
                <w:szCs w:val="16"/>
              </w:rPr>
            </w:pPr>
          </w:p>
        </w:tc>
        <w:tc>
          <w:tcPr>
            <w:tcW w:w="427" w:type="dxa"/>
          </w:tcPr>
          <w:p w14:paraId="498FC16C" w14:textId="77777777" w:rsidR="002B04EB" w:rsidRPr="003F7F6C" w:rsidRDefault="002B04EB" w:rsidP="00B851B7">
            <w:pPr>
              <w:rPr>
                <w:rFonts w:cs="Calibri"/>
                <w:sz w:val="16"/>
                <w:szCs w:val="16"/>
              </w:rPr>
            </w:pPr>
          </w:p>
        </w:tc>
        <w:tc>
          <w:tcPr>
            <w:tcW w:w="427" w:type="dxa"/>
          </w:tcPr>
          <w:p w14:paraId="2AFC1E22" w14:textId="77777777" w:rsidR="002B04EB" w:rsidRPr="003F7F6C" w:rsidRDefault="002B04EB" w:rsidP="00B851B7">
            <w:pPr>
              <w:rPr>
                <w:rFonts w:cs="Calibri"/>
                <w:sz w:val="16"/>
                <w:szCs w:val="16"/>
              </w:rPr>
            </w:pPr>
          </w:p>
        </w:tc>
        <w:tc>
          <w:tcPr>
            <w:tcW w:w="427" w:type="dxa"/>
            <w:gridSpan w:val="2"/>
          </w:tcPr>
          <w:p w14:paraId="251CC649" w14:textId="77777777" w:rsidR="002B04EB" w:rsidRPr="003F7F6C" w:rsidRDefault="002B04EB" w:rsidP="00B851B7">
            <w:pPr>
              <w:rPr>
                <w:rFonts w:cs="Calibri"/>
                <w:sz w:val="16"/>
                <w:szCs w:val="16"/>
              </w:rPr>
            </w:pPr>
          </w:p>
        </w:tc>
        <w:tc>
          <w:tcPr>
            <w:tcW w:w="428" w:type="dxa"/>
          </w:tcPr>
          <w:p w14:paraId="5BEFA061" w14:textId="77777777" w:rsidR="002B04EB" w:rsidRPr="003F7F6C" w:rsidRDefault="002B04EB" w:rsidP="00B851B7">
            <w:pPr>
              <w:rPr>
                <w:rFonts w:cs="Calibri"/>
                <w:sz w:val="16"/>
                <w:szCs w:val="16"/>
              </w:rPr>
            </w:pPr>
          </w:p>
        </w:tc>
        <w:tc>
          <w:tcPr>
            <w:tcW w:w="428" w:type="dxa"/>
          </w:tcPr>
          <w:p w14:paraId="12E89C7B" w14:textId="77777777" w:rsidR="002B04EB" w:rsidRPr="003F7F6C" w:rsidRDefault="002B04EB" w:rsidP="00B851B7">
            <w:pPr>
              <w:rPr>
                <w:rFonts w:cs="Calibri"/>
                <w:sz w:val="16"/>
                <w:szCs w:val="16"/>
              </w:rPr>
            </w:pPr>
          </w:p>
        </w:tc>
        <w:tc>
          <w:tcPr>
            <w:tcW w:w="428" w:type="dxa"/>
          </w:tcPr>
          <w:p w14:paraId="00C7DC1A" w14:textId="77777777" w:rsidR="002B04EB" w:rsidRPr="003F7F6C" w:rsidRDefault="002B04EB" w:rsidP="00B851B7">
            <w:pPr>
              <w:rPr>
                <w:rFonts w:cs="Calibri"/>
                <w:sz w:val="16"/>
                <w:szCs w:val="16"/>
              </w:rPr>
            </w:pPr>
          </w:p>
        </w:tc>
        <w:tc>
          <w:tcPr>
            <w:tcW w:w="428" w:type="dxa"/>
            <w:gridSpan w:val="2"/>
          </w:tcPr>
          <w:p w14:paraId="0E537484" w14:textId="77777777" w:rsidR="002B04EB" w:rsidRPr="003F7F6C" w:rsidRDefault="002B04EB" w:rsidP="00B851B7">
            <w:pPr>
              <w:rPr>
                <w:rFonts w:cs="Calibri"/>
                <w:sz w:val="16"/>
                <w:szCs w:val="16"/>
              </w:rPr>
            </w:pPr>
          </w:p>
        </w:tc>
        <w:tc>
          <w:tcPr>
            <w:tcW w:w="428" w:type="dxa"/>
          </w:tcPr>
          <w:p w14:paraId="32A99FBB" w14:textId="77777777" w:rsidR="002B04EB" w:rsidRPr="003F7F6C" w:rsidRDefault="002B04EB" w:rsidP="00B851B7">
            <w:pPr>
              <w:rPr>
                <w:rFonts w:cs="Calibri"/>
                <w:sz w:val="16"/>
                <w:szCs w:val="16"/>
              </w:rPr>
            </w:pPr>
          </w:p>
        </w:tc>
        <w:tc>
          <w:tcPr>
            <w:tcW w:w="428" w:type="dxa"/>
          </w:tcPr>
          <w:p w14:paraId="30619B9E" w14:textId="77777777" w:rsidR="002B04EB" w:rsidRPr="003F7F6C" w:rsidRDefault="002B04EB" w:rsidP="00B851B7">
            <w:pPr>
              <w:rPr>
                <w:rFonts w:cs="Calibri"/>
                <w:sz w:val="16"/>
                <w:szCs w:val="16"/>
              </w:rPr>
            </w:pPr>
          </w:p>
        </w:tc>
        <w:tc>
          <w:tcPr>
            <w:tcW w:w="428" w:type="dxa"/>
          </w:tcPr>
          <w:p w14:paraId="2B9BD3F4" w14:textId="77777777" w:rsidR="002B04EB" w:rsidRPr="003F7F6C" w:rsidRDefault="002B04EB" w:rsidP="00B851B7">
            <w:pPr>
              <w:rPr>
                <w:rFonts w:cs="Calibri"/>
                <w:sz w:val="16"/>
                <w:szCs w:val="16"/>
              </w:rPr>
            </w:pPr>
          </w:p>
        </w:tc>
        <w:tc>
          <w:tcPr>
            <w:tcW w:w="428" w:type="dxa"/>
            <w:gridSpan w:val="2"/>
          </w:tcPr>
          <w:p w14:paraId="141F07C8" w14:textId="77777777" w:rsidR="002B04EB" w:rsidRPr="003F7F6C" w:rsidRDefault="002B04EB" w:rsidP="00B851B7">
            <w:pPr>
              <w:rPr>
                <w:rFonts w:cs="Calibri"/>
                <w:sz w:val="16"/>
                <w:szCs w:val="16"/>
              </w:rPr>
            </w:pPr>
          </w:p>
        </w:tc>
        <w:tc>
          <w:tcPr>
            <w:tcW w:w="428" w:type="dxa"/>
          </w:tcPr>
          <w:p w14:paraId="057A2E1B" w14:textId="77777777" w:rsidR="002B04EB" w:rsidRPr="003F7F6C" w:rsidRDefault="002B04EB" w:rsidP="00B851B7">
            <w:pPr>
              <w:rPr>
                <w:rFonts w:cs="Calibri"/>
                <w:sz w:val="16"/>
                <w:szCs w:val="16"/>
              </w:rPr>
            </w:pPr>
          </w:p>
        </w:tc>
        <w:tc>
          <w:tcPr>
            <w:tcW w:w="428" w:type="dxa"/>
          </w:tcPr>
          <w:p w14:paraId="3B47849C" w14:textId="77777777" w:rsidR="002B04EB" w:rsidRPr="003F7F6C" w:rsidRDefault="002B04EB" w:rsidP="00B851B7">
            <w:pPr>
              <w:rPr>
                <w:rFonts w:cs="Calibri"/>
                <w:sz w:val="16"/>
                <w:szCs w:val="16"/>
              </w:rPr>
            </w:pPr>
          </w:p>
        </w:tc>
        <w:tc>
          <w:tcPr>
            <w:tcW w:w="428" w:type="dxa"/>
          </w:tcPr>
          <w:p w14:paraId="41B718BF" w14:textId="77777777" w:rsidR="002B04EB" w:rsidRPr="003F7F6C" w:rsidRDefault="002B04EB" w:rsidP="00B851B7">
            <w:pPr>
              <w:rPr>
                <w:rFonts w:cs="Calibri"/>
                <w:sz w:val="16"/>
                <w:szCs w:val="16"/>
              </w:rPr>
            </w:pPr>
          </w:p>
        </w:tc>
        <w:tc>
          <w:tcPr>
            <w:tcW w:w="428" w:type="dxa"/>
            <w:gridSpan w:val="2"/>
          </w:tcPr>
          <w:p w14:paraId="283D1EDF" w14:textId="77777777" w:rsidR="002B04EB" w:rsidRPr="003F7F6C" w:rsidRDefault="002B04EB" w:rsidP="00B851B7">
            <w:pPr>
              <w:rPr>
                <w:rFonts w:cs="Calibri"/>
                <w:sz w:val="16"/>
                <w:szCs w:val="16"/>
              </w:rPr>
            </w:pPr>
          </w:p>
        </w:tc>
        <w:tc>
          <w:tcPr>
            <w:tcW w:w="428" w:type="dxa"/>
          </w:tcPr>
          <w:p w14:paraId="4BD60F6D" w14:textId="77777777" w:rsidR="002B04EB" w:rsidRPr="003F7F6C" w:rsidRDefault="002B04EB" w:rsidP="00B851B7">
            <w:pPr>
              <w:rPr>
                <w:rFonts w:cs="Calibri"/>
                <w:sz w:val="16"/>
                <w:szCs w:val="16"/>
              </w:rPr>
            </w:pPr>
          </w:p>
        </w:tc>
        <w:tc>
          <w:tcPr>
            <w:tcW w:w="428" w:type="dxa"/>
          </w:tcPr>
          <w:p w14:paraId="6E1AAE33" w14:textId="77777777" w:rsidR="002B04EB" w:rsidRPr="003F7F6C" w:rsidRDefault="002B04EB" w:rsidP="00B851B7">
            <w:pPr>
              <w:rPr>
                <w:rFonts w:cs="Calibri"/>
                <w:sz w:val="16"/>
                <w:szCs w:val="16"/>
              </w:rPr>
            </w:pPr>
          </w:p>
        </w:tc>
        <w:tc>
          <w:tcPr>
            <w:tcW w:w="428" w:type="dxa"/>
          </w:tcPr>
          <w:p w14:paraId="1099C00F" w14:textId="77777777" w:rsidR="002B04EB" w:rsidRPr="003F7F6C" w:rsidRDefault="002B04EB" w:rsidP="00B851B7">
            <w:pPr>
              <w:rPr>
                <w:rFonts w:cs="Calibri"/>
                <w:sz w:val="16"/>
                <w:szCs w:val="16"/>
              </w:rPr>
            </w:pPr>
          </w:p>
        </w:tc>
        <w:tc>
          <w:tcPr>
            <w:tcW w:w="428" w:type="dxa"/>
          </w:tcPr>
          <w:p w14:paraId="7569B7B8" w14:textId="77777777" w:rsidR="002B04EB" w:rsidRPr="003F7F6C" w:rsidRDefault="002B04EB" w:rsidP="00B851B7">
            <w:pPr>
              <w:rPr>
                <w:rFonts w:cs="Calibri"/>
                <w:sz w:val="16"/>
                <w:szCs w:val="16"/>
              </w:rPr>
            </w:pPr>
          </w:p>
        </w:tc>
      </w:tr>
      <w:tr w:rsidR="002B04EB" w:rsidRPr="003F7F6C" w14:paraId="510A45D4" w14:textId="77777777" w:rsidTr="00B851B7">
        <w:tc>
          <w:tcPr>
            <w:tcW w:w="1668" w:type="dxa"/>
          </w:tcPr>
          <w:p w14:paraId="40587B1C" w14:textId="77777777" w:rsidR="002B04EB" w:rsidRPr="003F7F6C" w:rsidRDefault="002B04EB" w:rsidP="00E91275">
            <w:pPr>
              <w:pStyle w:val="ListParagraph"/>
              <w:numPr>
                <w:ilvl w:val="0"/>
                <w:numId w:val="29"/>
              </w:numPr>
              <w:spacing w:after="0"/>
              <w:ind w:left="174" w:hanging="174"/>
              <w:contextualSpacing w:val="0"/>
              <w:jc w:val="left"/>
              <w:rPr>
                <w:rFonts w:cs="Calibri"/>
                <w:sz w:val="16"/>
                <w:szCs w:val="16"/>
              </w:rPr>
            </w:pPr>
            <w:r w:rsidRPr="003F7F6C">
              <w:rPr>
                <w:rFonts w:cs="Calibri"/>
                <w:sz w:val="16"/>
                <w:szCs w:val="16"/>
              </w:rPr>
              <w:t>Convene meetings and facilitate dialogue</w:t>
            </w:r>
          </w:p>
        </w:tc>
        <w:tc>
          <w:tcPr>
            <w:tcW w:w="1057" w:type="dxa"/>
          </w:tcPr>
          <w:p w14:paraId="1D77AF06" w14:textId="77777777" w:rsidR="002B04EB" w:rsidRPr="003F7F6C" w:rsidRDefault="002B04EB" w:rsidP="00B851B7">
            <w:pPr>
              <w:rPr>
                <w:sz w:val="16"/>
                <w:szCs w:val="16"/>
              </w:rPr>
            </w:pPr>
            <w:r w:rsidRPr="003F7F6C">
              <w:rPr>
                <w:rFonts w:cs="Calibri"/>
                <w:sz w:val="16"/>
                <w:szCs w:val="16"/>
              </w:rPr>
              <w:t>OPDS</w:t>
            </w:r>
          </w:p>
        </w:tc>
        <w:tc>
          <w:tcPr>
            <w:tcW w:w="428" w:type="dxa"/>
          </w:tcPr>
          <w:p w14:paraId="13824875" w14:textId="77777777" w:rsidR="002B04EB" w:rsidRPr="003F7F6C" w:rsidRDefault="002B04EB" w:rsidP="00B851B7">
            <w:pPr>
              <w:rPr>
                <w:rFonts w:cs="Calibri"/>
                <w:sz w:val="16"/>
                <w:szCs w:val="16"/>
              </w:rPr>
            </w:pPr>
          </w:p>
        </w:tc>
        <w:tc>
          <w:tcPr>
            <w:tcW w:w="444" w:type="dxa"/>
          </w:tcPr>
          <w:p w14:paraId="08226ABA" w14:textId="77777777" w:rsidR="002B04EB" w:rsidRPr="003F7F6C" w:rsidRDefault="002B04EB" w:rsidP="00B851B7">
            <w:pPr>
              <w:rPr>
                <w:rFonts w:cs="Calibri"/>
                <w:sz w:val="16"/>
                <w:szCs w:val="16"/>
              </w:rPr>
            </w:pPr>
          </w:p>
        </w:tc>
        <w:tc>
          <w:tcPr>
            <w:tcW w:w="428" w:type="dxa"/>
          </w:tcPr>
          <w:p w14:paraId="2B651A38" w14:textId="77777777" w:rsidR="002B04EB" w:rsidRPr="003F7F6C" w:rsidRDefault="002B04EB" w:rsidP="00B851B7">
            <w:pPr>
              <w:rPr>
                <w:rFonts w:cs="Calibri"/>
                <w:sz w:val="16"/>
                <w:szCs w:val="16"/>
              </w:rPr>
            </w:pPr>
          </w:p>
        </w:tc>
        <w:tc>
          <w:tcPr>
            <w:tcW w:w="428" w:type="dxa"/>
            <w:gridSpan w:val="2"/>
          </w:tcPr>
          <w:p w14:paraId="60AB961B" w14:textId="77777777" w:rsidR="002B04EB" w:rsidRPr="003F7F6C" w:rsidRDefault="002B04EB" w:rsidP="00B851B7">
            <w:pPr>
              <w:rPr>
                <w:rFonts w:cs="Calibri"/>
                <w:sz w:val="16"/>
                <w:szCs w:val="16"/>
              </w:rPr>
            </w:pPr>
          </w:p>
        </w:tc>
        <w:tc>
          <w:tcPr>
            <w:tcW w:w="428" w:type="dxa"/>
          </w:tcPr>
          <w:p w14:paraId="31AA79C1" w14:textId="77777777" w:rsidR="002B04EB" w:rsidRPr="003F7F6C" w:rsidRDefault="002B04EB" w:rsidP="00B851B7">
            <w:pPr>
              <w:rPr>
                <w:rFonts w:cs="Calibri"/>
                <w:sz w:val="16"/>
                <w:szCs w:val="16"/>
              </w:rPr>
            </w:pPr>
            <w:r w:rsidRPr="003F7F6C">
              <w:rPr>
                <w:rFonts w:cs="Calibri"/>
                <w:sz w:val="16"/>
                <w:szCs w:val="16"/>
              </w:rPr>
              <w:t>X</w:t>
            </w:r>
          </w:p>
        </w:tc>
        <w:tc>
          <w:tcPr>
            <w:tcW w:w="427" w:type="dxa"/>
          </w:tcPr>
          <w:p w14:paraId="740DA2D3" w14:textId="77777777" w:rsidR="002B04EB" w:rsidRPr="003F7F6C" w:rsidRDefault="002B04EB" w:rsidP="00B851B7">
            <w:pPr>
              <w:rPr>
                <w:sz w:val="16"/>
                <w:szCs w:val="16"/>
              </w:rPr>
            </w:pPr>
            <w:r w:rsidRPr="003F7F6C">
              <w:rPr>
                <w:rFonts w:cs="Calibri"/>
                <w:sz w:val="16"/>
                <w:szCs w:val="16"/>
              </w:rPr>
              <w:t>X</w:t>
            </w:r>
          </w:p>
        </w:tc>
        <w:tc>
          <w:tcPr>
            <w:tcW w:w="427" w:type="dxa"/>
          </w:tcPr>
          <w:p w14:paraId="4A2C5DF5" w14:textId="77777777" w:rsidR="002B04EB" w:rsidRPr="003F7F6C" w:rsidRDefault="002B04EB" w:rsidP="00B851B7">
            <w:pPr>
              <w:rPr>
                <w:sz w:val="16"/>
                <w:szCs w:val="16"/>
              </w:rPr>
            </w:pPr>
            <w:r w:rsidRPr="003F7F6C">
              <w:rPr>
                <w:rFonts w:cs="Calibri"/>
                <w:sz w:val="16"/>
                <w:szCs w:val="16"/>
              </w:rPr>
              <w:t>X</w:t>
            </w:r>
          </w:p>
        </w:tc>
        <w:tc>
          <w:tcPr>
            <w:tcW w:w="427" w:type="dxa"/>
            <w:gridSpan w:val="2"/>
          </w:tcPr>
          <w:p w14:paraId="231D49A9" w14:textId="77777777" w:rsidR="002B04EB" w:rsidRPr="003F7F6C" w:rsidRDefault="002B04EB" w:rsidP="00B851B7">
            <w:pPr>
              <w:rPr>
                <w:sz w:val="16"/>
                <w:szCs w:val="16"/>
              </w:rPr>
            </w:pPr>
            <w:r w:rsidRPr="003F7F6C">
              <w:rPr>
                <w:rFonts w:cs="Calibri"/>
                <w:sz w:val="16"/>
                <w:szCs w:val="16"/>
              </w:rPr>
              <w:t>X</w:t>
            </w:r>
          </w:p>
        </w:tc>
        <w:tc>
          <w:tcPr>
            <w:tcW w:w="428" w:type="dxa"/>
          </w:tcPr>
          <w:p w14:paraId="359FA113" w14:textId="77777777" w:rsidR="002B04EB" w:rsidRPr="003F7F6C" w:rsidRDefault="002B04EB" w:rsidP="00B851B7">
            <w:pPr>
              <w:rPr>
                <w:rFonts w:cs="Calibri"/>
                <w:sz w:val="16"/>
                <w:szCs w:val="16"/>
              </w:rPr>
            </w:pPr>
            <w:r w:rsidRPr="003F7F6C">
              <w:rPr>
                <w:rFonts w:cs="Calibri"/>
                <w:sz w:val="16"/>
                <w:szCs w:val="16"/>
              </w:rPr>
              <w:t>X</w:t>
            </w:r>
          </w:p>
        </w:tc>
        <w:tc>
          <w:tcPr>
            <w:tcW w:w="428" w:type="dxa"/>
          </w:tcPr>
          <w:p w14:paraId="47F33716" w14:textId="77777777" w:rsidR="002B04EB" w:rsidRPr="003F7F6C" w:rsidRDefault="002B04EB" w:rsidP="00B851B7">
            <w:pPr>
              <w:rPr>
                <w:sz w:val="16"/>
                <w:szCs w:val="16"/>
              </w:rPr>
            </w:pPr>
            <w:r w:rsidRPr="003F7F6C">
              <w:rPr>
                <w:rFonts w:cs="Calibri"/>
                <w:sz w:val="16"/>
                <w:szCs w:val="16"/>
              </w:rPr>
              <w:t>X</w:t>
            </w:r>
          </w:p>
        </w:tc>
        <w:tc>
          <w:tcPr>
            <w:tcW w:w="428" w:type="dxa"/>
          </w:tcPr>
          <w:p w14:paraId="58951105"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69BAD856" w14:textId="77777777" w:rsidR="002B04EB" w:rsidRPr="003F7F6C" w:rsidRDefault="002B04EB" w:rsidP="00B851B7">
            <w:pPr>
              <w:rPr>
                <w:sz w:val="16"/>
                <w:szCs w:val="16"/>
              </w:rPr>
            </w:pPr>
            <w:r w:rsidRPr="003F7F6C">
              <w:rPr>
                <w:rFonts w:cs="Calibri"/>
                <w:sz w:val="16"/>
                <w:szCs w:val="16"/>
              </w:rPr>
              <w:t>X</w:t>
            </w:r>
          </w:p>
        </w:tc>
        <w:tc>
          <w:tcPr>
            <w:tcW w:w="428" w:type="dxa"/>
          </w:tcPr>
          <w:p w14:paraId="400A4E2F" w14:textId="77777777" w:rsidR="002B04EB" w:rsidRPr="003F7F6C" w:rsidRDefault="002B04EB" w:rsidP="00B851B7">
            <w:pPr>
              <w:rPr>
                <w:rFonts w:cs="Calibri"/>
                <w:sz w:val="16"/>
                <w:szCs w:val="16"/>
              </w:rPr>
            </w:pPr>
            <w:r w:rsidRPr="003F7F6C">
              <w:rPr>
                <w:rFonts w:cs="Calibri"/>
                <w:sz w:val="16"/>
                <w:szCs w:val="16"/>
              </w:rPr>
              <w:t>X</w:t>
            </w:r>
          </w:p>
        </w:tc>
        <w:tc>
          <w:tcPr>
            <w:tcW w:w="428" w:type="dxa"/>
          </w:tcPr>
          <w:p w14:paraId="66662CF9" w14:textId="77777777" w:rsidR="002B04EB" w:rsidRPr="003F7F6C" w:rsidRDefault="002B04EB" w:rsidP="00B851B7">
            <w:pPr>
              <w:rPr>
                <w:sz w:val="16"/>
                <w:szCs w:val="16"/>
              </w:rPr>
            </w:pPr>
            <w:r w:rsidRPr="003F7F6C">
              <w:rPr>
                <w:rFonts w:cs="Calibri"/>
                <w:sz w:val="16"/>
                <w:szCs w:val="16"/>
              </w:rPr>
              <w:t>X</w:t>
            </w:r>
          </w:p>
        </w:tc>
        <w:tc>
          <w:tcPr>
            <w:tcW w:w="428" w:type="dxa"/>
          </w:tcPr>
          <w:p w14:paraId="78D84CBB"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1D04A0F1" w14:textId="77777777" w:rsidR="002B04EB" w:rsidRPr="003F7F6C" w:rsidRDefault="002B04EB" w:rsidP="00B851B7">
            <w:pPr>
              <w:rPr>
                <w:sz w:val="16"/>
                <w:szCs w:val="16"/>
              </w:rPr>
            </w:pPr>
            <w:r w:rsidRPr="003F7F6C">
              <w:rPr>
                <w:rFonts w:cs="Calibri"/>
                <w:sz w:val="16"/>
                <w:szCs w:val="16"/>
              </w:rPr>
              <w:t>X</w:t>
            </w:r>
          </w:p>
        </w:tc>
        <w:tc>
          <w:tcPr>
            <w:tcW w:w="428" w:type="dxa"/>
          </w:tcPr>
          <w:p w14:paraId="559EEC88" w14:textId="77777777" w:rsidR="002B04EB" w:rsidRPr="003F7F6C" w:rsidRDefault="002B04EB" w:rsidP="00B851B7">
            <w:pPr>
              <w:rPr>
                <w:rFonts w:cs="Calibri"/>
                <w:sz w:val="16"/>
                <w:szCs w:val="16"/>
              </w:rPr>
            </w:pPr>
            <w:r w:rsidRPr="003F7F6C">
              <w:rPr>
                <w:rFonts w:cs="Calibri"/>
                <w:sz w:val="16"/>
                <w:szCs w:val="16"/>
              </w:rPr>
              <w:t>X</w:t>
            </w:r>
          </w:p>
        </w:tc>
        <w:tc>
          <w:tcPr>
            <w:tcW w:w="428" w:type="dxa"/>
          </w:tcPr>
          <w:p w14:paraId="4CE4F2F9" w14:textId="77777777" w:rsidR="002B04EB" w:rsidRPr="003F7F6C" w:rsidRDefault="002B04EB" w:rsidP="00B851B7">
            <w:pPr>
              <w:rPr>
                <w:sz w:val="16"/>
                <w:szCs w:val="16"/>
              </w:rPr>
            </w:pPr>
            <w:r w:rsidRPr="003F7F6C">
              <w:rPr>
                <w:rFonts w:cs="Calibri"/>
                <w:sz w:val="16"/>
                <w:szCs w:val="16"/>
              </w:rPr>
              <w:t>X</w:t>
            </w:r>
          </w:p>
        </w:tc>
        <w:tc>
          <w:tcPr>
            <w:tcW w:w="428" w:type="dxa"/>
          </w:tcPr>
          <w:p w14:paraId="064A24EF"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65779C92" w14:textId="77777777" w:rsidR="002B04EB" w:rsidRPr="003F7F6C" w:rsidRDefault="002B04EB" w:rsidP="00B851B7">
            <w:pPr>
              <w:rPr>
                <w:sz w:val="16"/>
                <w:szCs w:val="16"/>
              </w:rPr>
            </w:pPr>
            <w:r w:rsidRPr="003F7F6C">
              <w:rPr>
                <w:rFonts w:cs="Calibri"/>
                <w:sz w:val="16"/>
                <w:szCs w:val="16"/>
              </w:rPr>
              <w:t>X</w:t>
            </w:r>
          </w:p>
        </w:tc>
        <w:tc>
          <w:tcPr>
            <w:tcW w:w="428" w:type="dxa"/>
          </w:tcPr>
          <w:p w14:paraId="38BE6C46" w14:textId="77777777" w:rsidR="002B04EB" w:rsidRPr="003F7F6C" w:rsidRDefault="002B04EB" w:rsidP="00B851B7">
            <w:pPr>
              <w:rPr>
                <w:rFonts w:cs="Calibri"/>
                <w:sz w:val="16"/>
                <w:szCs w:val="16"/>
              </w:rPr>
            </w:pPr>
            <w:r w:rsidRPr="003F7F6C">
              <w:rPr>
                <w:rFonts w:cs="Calibri"/>
                <w:sz w:val="16"/>
                <w:szCs w:val="16"/>
              </w:rPr>
              <w:t>X</w:t>
            </w:r>
          </w:p>
        </w:tc>
        <w:tc>
          <w:tcPr>
            <w:tcW w:w="428" w:type="dxa"/>
          </w:tcPr>
          <w:p w14:paraId="7C4C8E18" w14:textId="77777777" w:rsidR="002B04EB" w:rsidRPr="003F7F6C" w:rsidRDefault="002B04EB" w:rsidP="00B851B7">
            <w:pPr>
              <w:rPr>
                <w:sz w:val="16"/>
                <w:szCs w:val="16"/>
              </w:rPr>
            </w:pPr>
            <w:r w:rsidRPr="003F7F6C">
              <w:rPr>
                <w:rFonts w:cs="Calibri"/>
                <w:sz w:val="16"/>
                <w:szCs w:val="16"/>
              </w:rPr>
              <w:t>X</w:t>
            </w:r>
          </w:p>
        </w:tc>
        <w:tc>
          <w:tcPr>
            <w:tcW w:w="428" w:type="dxa"/>
          </w:tcPr>
          <w:p w14:paraId="1FF438AA" w14:textId="77777777" w:rsidR="002B04EB" w:rsidRPr="003F7F6C" w:rsidRDefault="002B04EB" w:rsidP="00B851B7">
            <w:pPr>
              <w:rPr>
                <w:sz w:val="16"/>
                <w:szCs w:val="16"/>
              </w:rPr>
            </w:pPr>
            <w:r w:rsidRPr="003F7F6C">
              <w:rPr>
                <w:rFonts w:cs="Calibri"/>
                <w:sz w:val="16"/>
                <w:szCs w:val="16"/>
              </w:rPr>
              <w:t>X</w:t>
            </w:r>
          </w:p>
        </w:tc>
        <w:tc>
          <w:tcPr>
            <w:tcW w:w="428" w:type="dxa"/>
          </w:tcPr>
          <w:p w14:paraId="772E94AA" w14:textId="77777777" w:rsidR="002B04EB" w:rsidRPr="003F7F6C" w:rsidRDefault="002B04EB" w:rsidP="00B851B7">
            <w:pPr>
              <w:rPr>
                <w:sz w:val="16"/>
                <w:szCs w:val="16"/>
              </w:rPr>
            </w:pPr>
            <w:r w:rsidRPr="003F7F6C">
              <w:rPr>
                <w:rFonts w:cs="Calibri"/>
                <w:sz w:val="16"/>
                <w:szCs w:val="16"/>
              </w:rPr>
              <w:t>X</w:t>
            </w:r>
          </w:p>
        </w:tc>
      </w:tr>
      <w:tr w:rsidR="002B04EB" w:rsidRPr="003F7F6C" w14:paraId="6A2733B7" w14:textId="77777777" w:rsidTr="00B851B7">
        <w:tc>
          <w:tcPr>
            <w:tcW w:w="1668" w:type="dxa"/>
          </w:tcPr>
          <w:p w14:paraId="1225AA77" w14:textId="77777777" w:rsidR="002B04EB" w:rsidRPr="003F7F6C" w:rsidRDefault="002B04EB" w:rsidP="00E91275">
            <w:pPr>
              <w:pStyle w:val="ListParagraph"/>
              <w:numPr>
                <w:ilvl w:val="0"/>
                <w:numId w:val="29"/>
              </w:numPr>
              <w:spacing w:after="0"/>
              <w:ind w:left="174" w:hanging="174"/>
              <w:contextualSpacing w:val="0"/>
              <w:jc w:val="left"/>
              <w:rPr>
                <w:rFonts w:cs="Calibri"/>
                <w:sz w:val="16"/>
                <w:szCs w:val="16"/>
              </w:rPr>
            </w:pPr>
            <w:r w:rsidRPr="003F7F6C">
              <w:rPr>
                <w:rFonts w:cs="Calibri"/>
                <w:sz w:val="16"/>
                <w:szCs w:val="16"/>
              </w:rPr>
              <w:t>Assess root causes</w:t>
            </w:r>
          </w:p>
        </w:tc>
        <w:tc>
          <w:tcPr>
            <w:tcW w:w="1057" w:type="dxa"/>
          </w:tcPr>
          <w:p w14:paraId="4A093F8B" w14:textId="77777777" w:rsidR="002B04EB" w:rsidRPr="003F7F6C" w:rsidRDefault="002B04EB" w:rsidP="00B851B7">
            <w:pPr>
              <w:rPr>
                <w:sz w:val="16"/>
                <w:szCs w:val="16"/>
              </w:rPr>
            </w:pPr>
            <w:r w:rsidRPr="003F7F6C">
              <w:rPr>
                <w:rFonts w:cs="Calibri"/>
                <w:sz w:val="16"/>
                <w:szCs w:val="16"/>
              </w:rPr>
              <w:t>OPDS</w:t>
            </w:r>
          </w:p>
        </w:tc>
        <w:tc>
          <w:tcPr>
            <w:tcW w:w="428" w:type="dxa"/>
          </w:tcPr>
          <w:p w14:paraId="5FD786B2" w14:textId="77777777" w:rsidR="002B04EB" w:rsidRPr="003F7F6C" w:rsidRDefault="002B04EB" w:rsidP="00B851B7">
            <w:pPr>
              <w:rPr>
                <w:rFonts w:cs="Calibri"/>
                <w:sz w:val="16"/>
                <w:szCs w:val="16"/>
              </w:rPr>
            </w:pPr>
          </w:p>
        </w:tc>
        <w:tc>
          <w:tcPr>
            <w:tcW w:w="444" w:type="dxa"/>
          </w:tcPr>
          <w:p w14:paraId="6A573447" w14:textId="77777777" w:rsidR="002B04EB" w:rsidRPr="003F7F6C" w:rsidRDefault="002B04EB" w:rsidP="00B851B7">
            <w:pPr>
              <w:rPr>
                <w:rFonts w:cs="Calibri"/>
                <w:sz w:val="16"/>
                <w:szCs w:val="16"/>
              </w:rPr>
            </w:pPr>
          </w:p>
        </w:tc>
        <w:tc>
          <w:tcPr>
            <w:tcW w:w="428" w:type="dxa"/>
          </w:tcPr>
          <w:p w14:paraId="2E7D6AED" w14:textId="77777777" w:rsidR="002B04EB" w:rsidRPr="003F7F6C" w:rsidRDefault="002B04EB" w:rsidP="00B851B7">
            <w:pPr>
              <w:rPr>
                <w:rFonts w:cs="Calibri"/>
                <w:sz w:val="16"/>
                <w:szCs w:val="16"/>
              </w:rPr>
            </w:pPr>
          </w:p>
        </w:tc>
        <w:tc>
          <w:tcPr>
            <w:tcW w:w="428" w:type="dxa"/>
            <w:gridSpan w:val="2"/>
          </w:tcPr>
          <w:p w14:paraId="1C7BC57D" w14:textId="77777777" w:rsidR="002B04EB" w:rsidRPr="003F7F6C" w:rsidRDefault="002B04EB" w:rsidP="00B851B7">
            <w:pPr>
              <w:rPr>
                <w:rFonts w:cs="Calibri"/>
                <w:sz w:val="16"/>
                <w:szCs w:val="16"/>
              </w:rPr>
            </w:pPr>
          </w:p>
        </w:tc>
        <w:tc>
          <w:tcPr>
            <w:tcW w:w="428" w:type="dxa"/>
          </w:tcPr>
          <w:p w14:paraId="53541983" w14:textId="77777777" w:rsidR="002B04EB" w:rsidRPr="003F7F6C" w:rsidRDefault="002B04EB" w:rsidP="00B851B7">
            <w:pPr>
              <w:rPr>
                <w:rFonts w:cs="Calibri"/>
                <w:sz w:val="16"/>
                <w:szCs w:val="16"/>
              </w:rPr>
            </w:pPr>
          </w:p>
        </w:tc>
        <w:tc>
          <w:tcPr>
            <w:tcW w:w="427" w:type="dxa"/>
          </w:tcPr>
          <w:p w14:paraId="5C638CE8" w14:textId="77777777" w:rsidR="002B04EB" w:rsidRPr="003F7F6C" w:rsidRDefault="002B04EB" w:rsidP="00B851B7">
            <w:pPr>
              <w:rPr>
                <w:rFonts w:cs="Calibri"/>
                <w:sz w:val="16"/>
                <w:szCs w:val="16"/>
              </w:rPr>
            </w:pPr>
          </w:p>
        </w:tc>
        <w:tc>
          <w:tcPr>
            <w:tcW w:w="427" w:type="dxa"/>
          </w:tcPr>
          <w:p w14:paraId="722183B5" w14:textId="77777777" w:rsidR="002B04EB" w:rsidRPr="003F7F6C" w:rsidRDefault="002B04EB" w:rsidP="00B851B7">
            <w:pPr>
              <w:rPr>
                <w:rFonts w:cs="Calibri"/>
                <w:sz w:val="16"/>
                <w:szCs w:val="16"/>
              </w:rPr>
            </w:pPr>
          </w:p>
        </w:tc>
        <w:tc>
          <w:tcPr>
            <w:tcW w:w="427" w:type="dxa"/>
            <w:gridSpan w:val="2"/>
          </w:tcPr>
          <w:p w14:paraId="0AC6B862" w14:textId="77777777" w:rsidR="002B04EB" w:rsidRPr="003F7F6C" w:rsidRDefault="002B04EB" w:rsidP="00B851B7">
            <w:pPr>
              <w:rPr>
                <w:rFonts w:cs="Calibri"/>
                <w:sz w:val="16"/>
                <w:szCs w:val="16"/>
              </w:rPr>
            </w:pPr>
          </w:p>
        </w:tc>
        <w:tc>
          <w:tcPr>
            <w:tcW w:w="428" w:type="dxa"/>
          </w:tcPr>
          <w:p w14:paraId="049C445F" w14:textId="77777777" w:rsidR="002B04EB" w:rsidRPr="003F7F6C" w:rsidRDefault="002B04EB" w:rsidP="00B851B7">
            <w:pPr>
              <w:rPr>
                <w:rFonts w:cs="Calibri"/>
                <w:sz w:val="16"/>
                <w:szCs w:val="16"/>
              </w:rPr>
            </w:pPr>
            <w:r w:rsidRPr="003F7F6C">
              <w:rPr>
                <w:rFonts w:cs="Calibri"/>
                <w:sz w:val="16"/>
                <w:szCs w:val="16"/>
              </w:rPr>
              <w:t>X</w:t>
            </w:r>
          </w:p>
        </w:tc>
        <w:tc>
          <w:tcPr>
            <w:tcW w:w="428" w:type="dxa"/>
          </w:tcPr>
          <w:p w14:paraId="79F7AFE6" w14:textId="77777777" w:rsidR="002B04EB" w:rsidRPr="003F7F6C" w:rsidRDefault="002B04EB" w:rsidP="00B851B7">
            <w:pPr>
              <w:rPr>
                <w:sz w:val="16"/>
                <w:szCs w:val="16"/>
              </w:rPr>
            </w:pPr>
            <w:r w:rsidRPr="003F7F6C">
              <w:rPr>
                <w:rFonts w:cs="Calibri"/>
                <w:sz w:val="16"/>
                <w:szCs w:val="16"/>
              </w:rPr>
              <w:t>X</w:t>
            </w:r>
          </w:p>
        </w:tc>
        <w:tc>
          <w:tcPr>
            <w:tcW w:w="428" w:type="dxa"/>
          </w:tcPr>
          <w:p w14:paraId="2E23FE05"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35D4DC36" w14:textId="77777777" w:rsidR="002B04EB" w:rsidRPr="003F7F6C" w:rsidRDefault="002B04EB" w:rsidP="00B851B7">
            <w:pPr>
              <w:rPr>
                <w:sz w:val="16"/>
                <w:szCs w:val="16"/>
              </w:rPr>
            </w:pPr>
            <w:r w:rsidRPr="003F7F6C">
              <w:rPr>
                <w:rFonts w:cs="Calibri"/>
                <w:sz w:val="16"/>
                <w:szCs w:val="16"/>
              </w:rPr>
              <w:t>X</w:t>
            </w:r>
          </w:p>
        </w:tc>
        <w:tc>
          <w:tcPr>
            <w:tcW w:w="428" w:type="dxa"/>
          </w:tcPr>
          <w:p w14:paraId="4210C7A7" w14:textId="77777777" w:rsidR="002B04EB" w:rsidRPr="003F7F6C" w:rsidRDefault="002B04EB" w:rsidP="00B851B7">
            <w:pPr>
              <w:rPr>
                <w:rFonts w:cs="Calibri"/>
                <w:sz w:val="16"/>
                <w:szCs w:val="16"/>
              </w:rPr>
            </w:pPr>
          </w:p>
        </w:tc>
        <w:tc>
          <w:tcPr>
            <w:tcW w:w="428" w:type="dxa"/>
          </w:tcPr>
          <w:p w14:paraId="18C828D0" w14:textId="77777777" w:rsidR="002B04EB" w:rsidRPr="003F7F6C" w:rsidRDefault="002B04EB" w:rsidP="00B851B7">
            <w:pPr>
              <w:rPr>
                <w:rFonts w:cs="Calibri"/>
                <w:sz w:val="16"/>
                <w:szCs w:val="16"/>
              </w:rPr>
            </w:pPr>
          </w:p>
        </w:tc>
        <w:tc>
          <w:tcPr>
            <w:tcW w:w="428" w:type="dxa"/>
          </w:tcPr>
          <w:p w14:paraId="51D2708E" w14:textId="77777777" w:rsidR="002B04EB" w:rsidRPr="003F7F6C" w:rsidRDefault="002B04EB" w:rsidP="00B851B7">
            <w:pPr>
              <w:rPr>
                <w:rFonts w:cs="Calibri"/>
                <w:sz w:val="16"/>
                <w:szCs w:val="16"/>
              </w:rPr>
            </w:pPr>
          </w:p>
        </w:tc>
        <w:tc>
          <w:tcPr>
            <w:tcW w:w="428" w:type="dxa"/>
            <w:gridSpan w:val="2"/>
          </w:tcPr>
          <w:p w14:paraId="1134CBE2" w14:textId="77777777" w:rsidR="002B04EB" w:rsidRPr="003F7F6C" w:rsidRDefault="002B04EB" w:rsidP="00B851B7">
            <w:pPr>
              <w:rPr>
                <w:rFonts w:cs="Calibri"/>
                <w:sz w:val="16"/>
                <w:szCs w:val="16"/>
              </w:rPr>
            </w:pPr>
          </w:p>
        </w:tc>
        <w:tc>
          <w:tcPr>
            <w:tcW w:w="428" w:type="dxa"/>
          </w:tcPr>
          <w:p w14:paraId="317E5DD7" w14:textId="77777777" w:rsidR="002B04EB" w:rsidRPr="003F7F6C" w:rsidRDefault="002B04EB" w:rsidP="00B851B7">
            <w:pPr>
              <w:rPr>
                <w:rFonts w:cs="Calibri"/>
                <w:sz w:val="16"/>
                <w:szCs w:val="16"/>
              </w:rPr>
            </w:pPr>
          </w:p>
        </w:tc>
        <w:tc>
          <w:tcPr>
            <w:tcW w:w="428" w:type="dxa"/>
          </w:tcPr>
          <w:p w14:paraId="57E2D88C" w14:textId="77777777" w:rsidR="002B04EB" w:rsidRPr="003F7F6C" w:rsidRDefault="002B04EB" w:rsidP="00B851B7">
            <w:pPr>
              <w:rPr>
                <w:rFonts w:cs="Calibri"/>
                <w:sz w:val="16"/>
                <w:szCs w:val="16"/>
              </w:rPr>
            </w:pPr>
          </w:p>
        </w:tc>
        <w:tc>
          <w:tcPr>
            <w:tcW w:w="428" w:type="dxa"/>
          </w:tcPr>
          <w:p w14:paraId="349A4BBA" w14:textId="77777777" w:rsidR="002B04EB" w:rsidRPr="003F7F6C" w:rsidRDefault="002B04EB" w:rsidP="00B851B7">
            <w:pPr>
              <w:rPr>
                <w:rFonts w:cs="Calibri"/>
                <w:sz w:val="16"/>
                <w:szCs w:val="16"/>
              </w:rPr>
            </w:pPr>
          </w:p>
        </w:tc>
        <w:tc>
          <w:tcPr>
            <w:tcW w:w="428" w:type="dxa"/>
            <w:gridSpan w:val="2"/>
          </w:tcPr>
          <w:p w14:paraId="1E57E262" w14:textId="77777777" w:rsidR="002B04EB" w:rsidRPr="003F7F6C" w:rsidRDefault="002B04EB" w:rsidP="00B851B7">
            <w:pPr>
              <w:rPr>
                <w:rFonts w:cs="Calibri"/>
                <w:sz w:val="16"/>
                <w:szCs w:val="16"/>
              </w:rPr>
            </w:pPr>
          </w:p>
        </w:tc>
        <w:tc>
          <w:tcPr>
            <w:tcW w:w="428" w:type="dxa"/>
          </w:tcPr>
          <w:p w14:paraId="2C948BD7" w14:textId="77777777" w:rsidR="002B04EB" w:rsidRPr="003F7F6C" w:rsidRDefault="002B04EB" w:rsidP="00B851B7">
            <w:pPr>
              <w:rPr>
                <w:rFonts w:cs="Calibri"/>
                <w:sz w:val="16"/>
                <w:szCs w:val="16"/>
              </w:rPr>
            </w:pPr>
          </w:p>
        </w:tc>
        <w:tc>
          <w:tcPr>
            <w:tcW w:w="428" w:type="dxa"/>
          </w:tcPr>
          <w:p w14:paraId="59C58076" w14:textId="77777777" w:rsidR="002B04EB" w:rsidRPr="003F7F6C" w:rsidRDefault="002B04EB" w:rsidP="00B851B7">
            <w:pPr>
              <w:rPr>
                <w:rFonts w:cs="Calibri"/>
                <w:sz w:val="16"/>
                <w:szCs w:val="16"/>
              </w:rPr>
            </w:pPr>
          </w:p>
        </w:tc>
        <w:tc>
          <w:tcPr>
            <w:tcW w:w="428" w:type="dxa"/>
          </w:tcPr>
          <w:p w14:paraId="08DE020B" w14:textId="77777777" w:rsidR="002B04EB" w:rsidRPr="003F7F6C" w:rsidRDefault="002B04EB" w:rsidP="00B851B7">
            <w:pPr>
              <w:rPr>
                <w:rFonts w:cs="Calibri"/>
                <w:sz w:val="16"/>
                <w:szCs w:val="16"/>
              </w:rPr>
            </w:pPr>
          </w:p>
        </w:tc>
        <w:tc>
          <w:tcPr>
            <w:tcW w:w="428" w:type="dxa"/>
          </w:tcPr>
          <w:p w14:paraId="480104F0" w14:textId="77777777" w:rsidR="002B04EB" w:rsidRPr="003F7F6C" w:rsidRDefault="002B04EB" w:rsidP="00B851B7">
            <w:pPr>
              <w:rPr>
                <w:rFonts w:cs="Calibri"/>
                <w:sz w:val="16"/>
                <w:szCs w:val="16"/>
              </w:rPr>
            </w:pPr>
          </w:p>
        </w:tc>
      </w:tr>
      <w:tr w:rsidR="002B04EB" w:rsidRPr="003F7F6C" w14:paraId="2A4984A5" w14:textId="77777777" w:rsidTr="00B851B7">
        <w:tc>
          <w:tcPr>
            <w:tcW w:w="1668" w:type="dxa"/>
          </w:tcPr>
          <w:p w14:paraId="7CF7ED16" w14:textId="77777777" w:rsidR="002B04EB" w:rsidRPr="003F7F6C" w:rsidRDefault="002B04EB" w:rsidP="00E91275">
            <w:pPr>
              <w:pStyle w:val="ListParagraph"/>
              <w:numPr>
                <w:ilvl w:val="0"/>
                <w:numId w:val="29"/>
              </w:numPr>
              <w:spacing w:after="0"/>
              <w:ind w:left="174" w:hanging="142"/>
              <w:contextualSpacing w:val="0"/>
              <w:rPr>
                <w:rFonts w:cs="Calibri"/>
                <w:sz w:val="16"/>
                <w:szCs w:val="16"/>
              </w:rPr>
            </w:pPr>
            <w:r w:rsidRPr="003F7F6C">
              <w:rPr>
                <w:rFonts w:cs="Calibri"/>
                <w:sz w:val="16"/>
                <w:szCs w:val="16"/>
              </w:rPr>
              <w:t>Develop action plan</w:t>
            </w:r>
          </w:p>
        </w:tc>
        <w:tc>
          <w:tcPr>
            <w:tcW w:w="1057" w:type="dxa"/>
          </w:tcPr>
          <w:p w14:paraId="4E4F5DA0" w14:textId="77777777" w:rsidR="002B04EB" w:rsidRPr="003F7F6C" w:rsidRDefault="002B04EB" w:rsidP="00B851B7">
            <w:pPr>
              <w:rPr>
                <w:sz w:val="16"/>
                <w:szCs w:val="16"/>
              </w:rPr>
            </w:pPr>
            <w:r w:rsidRPr="003F7F6C">
              <w:rPr>
                <w:rFonts w:cs="Calibri"/>
                <w:sz w:val="16"/>
                <w:szCs w:val="16"/>
              </w:rPr>
              <w:t>OPDS</w:t>
            </w:r>
          </w:p>
        </w:tc>
        <w:tc>
          <w:tcPr>
            <w:tcW w:w="428" w:type="dxa"/>
          </w:tcPr>
          <w:p w14:paraId="55C7AE0C" w14:textId="77777777" w:rsidR="002B04EB" w:rsidRPr="003F7F6C" w:rsidRDefault="002B04EB" w:rsidP="00B851B7">
            <w:pPr>
              <w:rPr>
                <w:rFonts w:cs="Calibri"/>
                <w:sz w:val="16"/>
                <w:szCs w:val="16"/>
              </w:rPr>
            </w:pPr>
          </w:p>
        </w:tc>
        <w:tc>
          <w:tcPr>
            <w:tcW w:w="444" w:type="dxa"/>
          </w:tcPr>
          <w:p w14:paraId="686CE3EA" w14:textId="77777777" w:rsidR="002B04EB" w:rsidRPr="003F7F6C" w:rsidRDefault="002B04EB" w:rsidP="00B851B7">
            <w:pPr>
              <w:rPr>
                <w:rFonts w:cs="Calibri"/>
                <w:sz w:val="16"/>
                <w:szCs w:val="16"/>
              </w:rPr>
            </w:pPr>
          </w:p>
        </w:tc>
        <w:tc>
          <w:tcPr>
            <w:tcW w:w="428" w:type="dxa"/>
          </w:tcPr>
          <w:p w14:paraId="347074E1" w14:textId="77777777" w:rsidR="002B04EB" w:rsidRPr="003F7F6C" w:rsidRDefault="002B04EB" w:rsidP="00B851B7">
            <w:pPr>
              <w:rPr>
                <w:rFonts w:cs="Calibri"/>
                <w:sz w:val="16"/>
                <w:szCs w:val="16"/>
              </w:rPr>
            </w:pPr>
          </w:p>
        </w:tc>
        <w:tc>
          <w:tcPr>
            <w:tcW w:w="428" w:type="dxa"/>
            <w:gridSpan w:val="2"/>
          </w:tcPr>
          <w:p w14:paraId="5940B2A7" w14:textId="77777777" w:rsidR="002B04EB" w:rsidRPr="003F7F6C" w:rsidRDefault="002B04EB" w:rsidP="00B851B7">
            <w:pPr>
              <w:rPr>
                <w:rFonts w:cs="Calibri"/>
                <w:sz w:val="16"/>
                <w:szCs w:val="16"/>
              </w:rPr>
            </w:pPr>
          </w:p>
        </w:tc>
        <w:tc>
          <w:tcPr>
            <w:tcW w:w="428" w:type="dxa"/>
          </w:tcPr>
          <w:p w14:paraId="2212A57C" w14:textId="77777777" w:rsidR="002B04EB" w:rsidRPr="003F7F6C" w:rsidRDefault="002B04EB" w:rsidP="00B851B7">
            <w:pPr>
              <w:rPr>
                <w:rFonts w:cs="Calibri"/>
                <w:sz w:val="16"/>
                <w:szCs w:val="16"/>
              </w:rPr>
            </w:pPr>
          </w:p>
        </w:tc>
        <w:tc>
          <w:tcPr>
            <w:tcW w:w="427" w:type="dxa"/>
          </w:tcPr>
          <w:p w14:paraId="40634057" w14:textId="77777777" w:rsidR="002B04EB" w:rsidRPr="003F7F6C" w:rsidRDefault="002B04EB" w:rsidP="00B851B7">
            <w:pPr>
              <w:rPr>
                <w:rFonts w:cs="Calibri"/>
                <w:sz w:val="16"/>
                <w:szCs w:val="16"/>
              </w:rPr>
            </w:pPr>
          </w:p>
        </w:tc>
        <w:tc>
          <w:tcPr>
            <w:tcW w:w="427" w:type="dxa"/>
          </w:tcPr>
          <w:p w14:paraId="3AA82F95" w14:textId="77777777" w:rsidR="002B04EB" w:rsidRPr="003F7F6C" w:rsidRDefault="002B04EB" w:rsidP="00B851B7">
            <w:pPr>
              <w:rPr>
                <w:rFonts w:cs="Calibri"/>
                <w:sz w:val="16"/>
                <w:szCs w:val="16"/>
              </w:rPr>
            </w:pPr>
          </w:p>
        </w:tc>
        <w:tc>
          <w:tcPr>
            <w:tcW w:w="427" w:type="dxa"/>
            <w:gridSpan w:val="2"/>
          </w:tcPr>
          <w:p w14:paraId="61364922" w14:textId="77777777" w:rsidR="002B04EB" w:rsidRPr="003F7F6C" w:rsidRDefault="002B04EB" w:rsidP="00B851B7">
            <w:pPr>
              <w:rPr>
                <w:rFonts w:cs="Calibri"/>
                <w:sz w:val="16"/>
                <w:szCs w:val="16"/>
              </w:rPr>
            </w:pPr>
          </w:p>
        </w:tc>
        <w:tc>
          <w:tcPr>
            <w:tcW w:w="428" w:type="dxa"/>
          </w:tcPr>
          <w:p w14:paraId="7AA08DAA" w14:textId="77777777" w:rsidR="002B04EB" w:rsidRPr="003F7F6C" w:rsidRDefault="002B04EB" w:rsidP="00B851B7">
            <w:pPr>
              <w:rPr>
                <w:rFonts w:cs="Calibri"/>
                <w:sz w:val="16"/>
                <w:szCs w:val="16"/>
              </w:rPr>
            </w:pPr>
          </w:p>
        </w:tc>
        <w:tc>
          <w:tcPr>
            <w:tcW w:w="428" w:type="dxa"/>
          </w:tcPr>
          <w:p w14:paraId="7C67BDAC" w14:textId="77777777" w:rsidR="002B04EB" w:rsidRPr="003F7F6C" w:rsidRDefault="002B04EB" w:rsidP="00B851B7">
            <w:pPr>
              <w:rPr>
                <w:rFonts w:cs="Calibri"/>
                <w:sz w:val="16"/>
                <w:szCs w:val="16"/>
              </w:rPr>
            </w:pPr>
          </w:p>
        </w:tc>
        <w:tc>
          <w:tcPr>
            <w:tcW w:w="428" w:type="dxa"/>
          </w:tcPr>
          <w:p w14:paraId="32E466B2" w14:textId="77777777" w:rsidR="002B04EB" w:rsidRPr="003F7F6C" w:rsidRDefault="002B04EB" w:rsidP="00B851B7">
            <w:pPr>
              <w:rPr>
                <w:rFonts w:cs="Calibri"/>
                <w:sz w:val="16"/>
                <w:szCs w:val="16"/>
              </w:rPr>
            </w:pPr>
          </w:p>
        </w:tc>
        <w:tc>
          <w:tcPr>
            <w:tcW w:w="428" w:type="dxa"/>
            <w:gridSpan w:val="2"/>
          </w:tcPr>
          <w:p w14:paraId="7F449433" w14:textId="77777777" w:rsidR="002B04EB" w:rsidRPr="003F7F6C" w:rsidRDefault="002B04EB" w:rsidP="00B851B7">
            <w:pPr>
              <w:rPr>
                <w:rFonts w:cs="Calibri"/>
                <w:sz w:val="16"/>
                <w:szCs w:val="16"/>
              </w:rPr>
            </w:pPr>
          </w:p>
        </w:tc>
        <w:tc>
          <w:tcPr>
            <w:tcW w:w="428" w:type="dxa"/>
          </w:tcPr>
          <w:p w14:paraId="04F66B0E" w14:textId="77777777" w:rsidR="002B04EB" w:rsidRPr="003F7F6C" w:rsidRDefault="002B04EB" w:rsidP="00B851B7">
            <w:pPr>
              <w:rPr>
                <w:rFonts w:cs="Calibri"/>
                <w:sz w:val="16"/>
                <w:szCs w:val="16"/>
              </w:rPr>
            </w:pPr>
            <w:r w:rsidRPr="003F7F6C">
              <w:rPr>
                <w:rFonts w:cs="Calibri"/>
                <w:sz w:val="16"/>
                <w:szCs w:val="16"/>
              </w:rPr>
              <w:t>X</w:t>
            </w:r>
          </w:p>
        </w:tc>
        <w:tc>
          <w:tcPr>
            <w:tcW w:w="428" w:type="dxa"/>
          </w:tcPr>
          <w:p w14:paraId="7C75BBBE" w14:textId="77777777" w:rsidR="002B04EB" w:rsidRPr="003F7F6C" w:rsidRDefault="002B04EB" w:rsidP="00B851B7">
            <w:pPr>
              <w:rPr>
                <w:sz w:val="16"/>
                <w:szCs w:val="16"/>
              </w:rPr>
            </w:pPr>
            <w:r w:rsidRPr="003F7F6C">
              <w:rPr>
                <w:rFonts w:cs="Calibri"/>
                <w:sz w:val="16"/>
                <w:szCs w:val="16"/>
              </w:rPr>
              <w:t>X</w:t>
            </w:r>
          </w:p>
        </w:tc>
        <w:tc>
          <w:tcPr>
            <w:tcW w:w="428" w:type="dxa"/>
          </w:tcPr>
          <w:p w14:paraId="4BB0690D"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49BAE978" w14:textId="77777777" w:rsidR="002B04EB" w:rsidRPr="003F7F6C" w:rsidRDefault="002B04EB" w:rsidP="00B851B7">
            <w:pPr>
              <w:rPr>
                <w:sz w:val="16"/>
                <w:szCs w:val="16"/>
              </w:rPr>
            </w:pPr>
            <w:r w:rsidRPr="003F7F6C">
              <w:rPr>
                <w:rFonts w:cs="Calibri"/>
                <w:sz w:val="16"/>
                <w:szCs w:val="16"/>
              </w:rPr>
              <w:t>X</w:t>
            </w:r>
          </w:p>
        </w:tc>
        <w:tc>
          <w:tcPr>
            <w:tcW w:w="428" w:type="dxa"/>
          </w:tcPr>
          <w:p w14:paraId="229B80F4" w14:textId="77777777" w:rsidR="002B04EB" w:rsidRPr="003F7F6C" w:rsidRDefault="002B04EB" w:rsidP="00B851B7">
            <w:pPr>
              <w:rPr>
                <w:rFonts w:cs="Calibri"/>
                <w:sz w:val="16"/>
                <w:szCs w:val="16"/>
              </w:rPr>
            </w:pPr>
          </w:p>
        </w:tc>
        <w:tc>
          <w:tcPr>
            <w:tcW w:w="428" w:type="dxa"/>
          </w:tcPr>
          <w:p w14:paraId="42AEDABF" w14:textId="77777777" w:rsidR="002B04EB" w:rsidRPr="003F7F6C" w:rsidRDefault="002B04EB" w:rsidP="00B851B7">
            <w:pPr>
              <w:rPr>
                <w:rFonts w:cs="Calibri"/>
                <w:sz w:val="16"/>
                <w:szCs w:val="16"/>
              </w:rPr>
            </w:pPr>
          </w:p>
        </w:tc>
        <w:tc>
          <w:tcPr>
            <w:tcW w:w="428" w:type="dxa"/>
          </w:tcPr>
          <w:p w14:paraId="490A9D83" w14:textId="77777777" w:rsidR="002B04EB" w:rsidRPr="003F7F6C" w:rsidRDefault="002B04EB" w:rsidP="00B851B7">
            <w:pPr>
              <w:rPr>
                <w:rFonts w:cs="Calibri"/>
                <w:sz w:val="16"/>
                <w:szCs w:val="16"/>
              </w:rPr>
            </w:pPr>
          </w:p>
        </w:tc>
        <w:tc>
          <w:tcPr>
            <w:tcW w:w="428" w:type="dxa"/>
            <w:gridSpan w:val="2"/>
          </w:tcPr>
          <w:p w14:paraId="37499969" w14:textId="77777777" w:rsidR="002B04EB" w:rsidRPr="003F7F6C" w:rsidRDefault="002B04EB" w:rsidP="00B851B7">
            <w:pPr>
              <w:rPr>
                <w:rFonts w:cs="Calibri"/>
                <w:sz w:val="16"/>
                <w:szCs w:val="16"/>
              </w:rPr>
            </w:pPr>
          </w:p>
        </w:tc>
        <w:tc>
          <w:tcPr>
            <w:tcW w:w="428" w:type="dxa"/>
          </w:tcPr>
          <w:p w14:paraId="1D8F1D6D" w14:textId="77777777" w:rsidR="002B04EB" w:rsidRPr="003F7F6C" w:rsidRDefault="002B04EB" w:rsidP="00B851B7">
            <w:pPr>
              <w:rPr>
                <w:rFonts w:cs="Calibri"/>
                <w:sz w:val="16"/>
                <w:szCs w:val="16"/>
              </w:rPr>
            </w:pPr>
          </w:p>
        </w:tc>
        <w:tc>
          <w:tcPr>
            <w:tcW w:w="428" w:type="dxa"/>
          </w:tcPr>
          <w:p w14:paraId="16688EA1" w14:textId="77777777" w:rsidR="002B04EB" w:rsidRPr="003F7F6C" w:rsidRDefault="002B04EB" w:rsidP="00B851B7">
            <w:pPr>
              <w:rPr>
                <w:rFonts w:cs="Calibri"/>
                <w:sz w:val="16"/>
                <w:szCs w:val="16"/>
              </w:rPr>
            </w:pPr>
          </w:p>
        </w:tc>
        <w:tc>
          <w:tcPr>
            <w:tcW w:w="428" w:type="dxa"/>
          </w:tcPr>
          <w:p w14:paraId="44347A86" w14:textId="77777777" w:rsidR="002B04EB" w:rsidRPr="003F7F6C" w:rsidRDefault="002B04EB" w:rsidP="00B851B7">
            <w:pPr>
              <w:rPr>
                <w:rFonts w:cs="Calibri"/>
                <w:sz w:val="16"/>
                <w:szCs w:val="16"/>
              </w:rPr>
            </w:pPr>
          </w:p>
        </w:tc>
        <w:tc>
          <w:tcPr>
            <w:tcW w:w="428" w:type="dxa"/>
          </w:tcPr>
          <w:p w14:paraId="2C4D3DD3" w14:textId="77777777" w:rsidR="002B04EB" w:rsidRPr="003F7F6C" w:rsidRDefault="002B04EB" w:rsidP="00B851B7">
            <w:pPr>
              <w:rPr>
                <w:rFonts w:cs="Calibri"/>
                <w:sz w:val="16"/>
                <w:szCs w:val="16"/>
              </w:rPr>
            </w:pPr>
          </w:p>
        </w:tc>
      </w:tr>
      <w:tr w:rsidR="002B04EB" w:rsidRPr="003F7F6C" w14:paraId="6EE29B5A" w14:textId="77777777" w:rsidTr="00B851B7">
        <w:tc>
          <w:tcPr>
            <w:tcW w:w="1668" w:type="dxa"/>
          </w:tcPr>
          <w:p w14:paraId="6172823C" w14:textId="77777777" w:rsidR="002B04EB" w:rsidRPr="003F7F6C" w:rsidRDefault="002B04EB" w:rsidP="00E91275">
            <w:pPr>
              <w:pStyle w:val="ListParagraph"/>
              <w:numPr>
                <w:ilvl w:val="0"/>
                <w:numId w:val="29"/>
              </w:numPr>
              <w:spacing w:after="0"/>
              <w:ind w:left="174" w:hanging="174"/>
              <w:contextualSpacing w:val="0"/>
              <w:rPr>
                <w:rFonts w:cs="Calibri"/>
                <w:sz w:val="16"/>
                <w:szCs w:val="16"/>
              </w:rPr>
            </w:pPr>
            <w:r w:rsidRPr="003F7F6C">
              <w:rPr>
                <w:rFonts w:cs="Calibri"/>
                <w:sz w:val="16"/>
                <w:szCs w:val="16"/>
              </w:rPr>
              <w:t>Partnerships to promote sustainable beef</w:t>
            </w:r>
          </w:p>
        </w:tc>
        <w:tc>
          <w:tcPr>
            <w:tcW w:w="1057" w:type="dxa"/>
          </w:tcPr>
          <w:p w14:paraId="00FB1EE7" w14:textId="77777777" w:rsidR="002B04EB" w:rsidRPr="003F7F6C" w:rsidRDefault="002B04EB" w:rsidP="00B851B7">
            <w:pPr>
              <w:rPr>
                <w:rFonts w:cs="Calibri"/>
                <w:sz w:val="16"/>
                <w:szCs w:val="16"/>
              </w:rPr>
            </w:pPr>
          </w:p>
        </w:tc>
        <w:tc>
          <w:tcPr>
            <w:tcW w:w="428" w:type="dxa"/>
          </w:tcPr>
          <w:p w14:paraId="3CDD34FF" w14:textId="77777777" w:rsidR="002B04EB" w:rsidRPr="003F7F6C" w:rsidRDefault="002B04EB" w:rsidP="00B851B7">
            <w:pPr>
              <w:rPr>
                <w:rFonts w:cs="Calibri"/>
                <w:sz w:val="16"/>
                <w:szCs w:val="16"/>
              </w:rPr>
            </w:pPr>
          </w:p>
        </w:tc>
        <w:tc>
          <w:tcPr>
            <w:tcW w:w="444" w:type="dxa"/>
          </w:tcPr>
          <w:p w14:paraId="0D46F382" w14:textId="77777777" w:rsidR="002B04EB" w:rsidRPr="003F7F6C" w:rsidRDefault="002B04EB" w:rsidP="00B851B7">
            <w:pPr>
              <w:rPr>
                <w:rFonts w:cs="Calibri"/>
                <w:sz w:val="16"/>
                <w:szCs w:val="16"/>
              </w:rPr>
            </w:pPr>
          </w:p>
        </w:tc>
        <w:tc>
          <w:tcPr>
            <w:tcW w:w="428" w:type="dxa"/>
          </w:tcPr>
          <w:p w14:paraId="75F86B22" w14:textId="77777777" w:rsidR="002B04EB" w:rsidRPr="003F7F6C" w:rsidRDefault="002B04EB" w:rsidP="00B851B7">
            <w:pPr>
              <w:rPr>
                <w:rFonts w:cs="Calibri"/>
                <w:sz w:val="16"/>
                <w:szCs w:val="16"/>
              </w:rPr>
            </w:pPr>
          </w:p>
        </w:tc>
        <w:tc>
          <w:tcPr>
            <w:tcW w:w="428" w:type="dxa"/>
            <w:gridSpan w:val="2"/>
          </w:tcPr>
          <w:p w14:paraId="5632FE4C" w14:textId="77777777" w:rsidR="002B04EB" w:rsidRPr="003F7F6C" w:rsidRDefault="002B04EB" w:rsidP="00B851B7">
            <w:pPr>
              <w:rPr>
                <w:rFonts w:cs="Calibri"/>
                <w:sz w:val="16"/>
                <w:szCs w:val="16"/>
              </w:rPr>
            </w:pPr>
          </w:p>
        </w:tc>
        <w:tc>
          <w:tcPr>
            <w:tcW w:w="428" w:type="dxa"/>
          </w:tcPr>
          <w:p w14:paraId="7D5288B1" w14:textId="77777777" w:rsidR="002B04EB" w:rsidRPr="003F7F6C" w:rsidRDefault="002B04EB" w:rsidP="00B851B7">
            <w:pPr>
              <w:rPr>
                <w:rFonts w:cs="Calibri"/>
                <w:sz w:val="16"/>
                <w:szCs w:val="16"/>
              </w:rPr>
            </w:pPr>
          </w:p>
        </w:tc>
        <w:tc>
          <w:tcPr>
            <w:tcW w:w="427" w:type="dxa"/>
          </w:tcPr>
          <w:p w14:paraId="6252DB65" w14:textId="77777777" w:rsidR="002B04EB" w:rsidRPr="003F7F6C" w:rsidRDefault="002B04EB" w:rsidP="00B851B7">
            <w:pPr>
              <w:rPr>
                <w:rFonts w:cs="Calibri"/>
                <w:sz w:val="16"/>
                <w:szCs w:val="16"/>
              </w:rPr>
            </w:pPr>
          </w:p>
        </w:tc>
        <w:tc>
          <w:tcPr>
            <w:tcW w:w="427" w:type="dxa"/>
          </w:tcPr>
          <w:p w14:paraId="1FB79D84" w14:textId="77777777" w:rsidR="002B04EB" w:rsidRPr="003F7F6C" w:rsidRDefault="002B04EB" w:rsidP="00B851B7">
            <w:pPr>
              <w:rPr>
                <w:rFonts w:cs="Calibri"/>
                <w:sz w:val="16"/>
                <w:szCs w:val="16"/>
              </w:rPr>
            </w:pPr>
          </w:p>
        </w:tc>
        <w:tc>
          <w:tcPr>
            <w:tcW w:w="427" w:type="dxa"/>
            <w:gridSpan w:val="2"/>
          </w:tcPr>
          <w:p w14:paraId="6222930A" w14:textId="77777777" w:rsidR="002B04EB" w:rsidRPr="003F7F6C" w:rsidRDefault="002B04EB" w:rsidP="00B851B7">
            <w:pPr>
              <w:rPr>
                <w:rFonts w:cs="Calibri"/>
                <w:sz w:val="16"/>
                <w:szCs w:val="16"/>
              </w:rPr>
            </w:pPr>
          </w:p>
        </w:tc>
        <w:tc>
          <w:tcPr>
            <w:tcW w:w="428" w:type="dxa"/>
          </w:tcPr>
          <w:p w14:paraId="636FC86A" w14:textId="77777777" w:rsidR="002B04EB" w:rsidRPr="003F7F6C" w:rsidRDefault="002B04EB" w:rsidP="00B851B7">
            <w:pPr>
              <w:rPr>
                <w:rFonts w:cs="Calibri"/>
                <w:sz w:val="16"/>
                <w:szCs w:val="16"/>
              </w:rPr>
            </w:pPr>
            <w:r w:rsidRPr="003F7F6C">
              <w:rPr>
                <w:rFonts w:cs="Calibri"/>
                <w:sz w:val="16"/>
                <w:szCs w:val="16"/>
              </w:rPr>
              <w:t>X</w:t>
            </w:r>
          </w:p>
        </w:tc>
        <w:tc>
          <w:tcPr>
            <w:tcW w:w="428" w:type="dxa"/>
          </w:tcPr>
          <w:p w14:paraId="526865EB" w14:textId="77777777" w:rsidR="002B04EB" w:rsidRPr="003F7F6C" w:rsidRDefault="002B04EB" w:rsidP="00B851B7">
            <w:pPr>
              <w:rPr>
                <w:sz w:val="16"/>
                <w:szCs w:val="16"/>
              </w:rPr>
            </w:pPr>
            <w:r w:rsidRPr="003F7F6C">
              <w:rPr>
                <w:rFonts w:cs="Calibri"/>
                <w:sz w:val="16"/>
                <w:szCs w:val="16"/>
              </w:rPr>
              <w:t>X</w:t>
            </w:r>
          </w:p>
        </w:tc>
        <w:tc>
          <w:tcPr>
            <w:tcW w:w="428" w:type="dxa"/>
          </w:tcPr>
          <w:p w14:paraId="0A1AD94B"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430EBB75" w14:textId="77777777" w:rsidR="002B04EB" w:rsidRPr="003F7F6C" w:rsidRDefault="002B04EB" w:rsidP="00B851B7">
            <w:pPr>
              <w:rPr>
                <w:sz w:val="16"/>
                <w:szCs w:val="16"/>
              </w:rPr>
            </w:pPr>
            <w:r w:rsidRPr="003F7F6C">
              <w:rPr>
                <w:rFonts w:cs="Calibri"/>
                <w:sz w:val="16"/>
                <w:szCs w:val="16"/>
              </w:rPr>
              <w:t>X</w:t>
            </w:r>
          </w:p>
        </w:tc>
        <w:tc>
          <w:tcPr>
            <w:tcW w:w="428" w:type="dxa"/>
          </w:tcPr>
          <w:p w14:paraId="273A4D99" w14:textId="77777777" w:rsidR="002B04EB" w:rsidRPr="003F7F6C" w:rsidRDefault="002B04EB" w:rsidP="00B851B7">
            <w:pPr>
              <w:rPr>
                <w:rFonts w:cs="Calibri"/>
                <w:sz w:val="16"/>
                <w:szCs w:val="16"/>
              </w:rPr>
            </w:pPr>
            <w:r w:rsidRPr="003F7F6C">
              <w:rPr>
                <w:rFonts w:cs="Calibri"/>
                <w:sz w:val="16"/>
                <w:szCs w:val="16"/>
              </w:rPr>
              <w:t>X</w:t>
            </w:r>
          </w:p>
        </w:tc>
        <w:tc>
          <w:tcPr>
            <w:tcW w:w="428" w:type="dxa"/>
          </w:tcPr>
          <w:p w14:paraId="02BFB51C" w14:textId="77777777" w:rsidR="002B04EB" w:rsidRPr="003F7F6C" w:rsidRDefault="002B04EB" w:rsidP="00B851B7">
            <w:pPr>
              <w:rPr>
                <w:sz w:val="16"/>
                <w:szCs w:val="16"/>
              </w:rPr>
            </w:pPr>
            <w:r w:rsidRPr="003F7F6C">
              <w:rPr>
                <w:rFonts w:cs="Calibri"/>
                <w:sz w:val="16"/>
                <w:szCs w:val="16"/>
              </w:rPr>
              <w:t>X</w:t>
            </w:r>
          </w:p>
        </w:tc>
        <w:tc>
          <w:tcPr>
            <w:tcW w:w="428" w:type="dxa"/>
          </w:tcPr>
          <w:p w14:paraId="0F93B470"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307DE82F" w14:textId="77777777" w:rsidR="002B04EB" w:rsidRPr="003F7F6C" w:rsidRDefault="002B04EB" w:rsidP="00B851B7">
            <w:pPr>
              <w:rPr>
                <w:sz w:val="16"/>
                <w:szCs w:val="16"/>
              </w:rPr>
            </w:pPr>
            <w:r w:rsidRPr="003F7F6C">
              <w:rPr>
                <w:rFonts w:cs="Calibri"/>
                <w:sz w:val="16"/>
                <w:szCs w:val="16"/>
              </w:rPr>
              <w:t>X</w:t>
            </w:r>
          </w:p>
        </w:tc>
        <w:tc>
          <w:tcPr>
            <w:tcW w:w="428" w:type="dxa"/>
          </w:tcPr>
          <w:p w14:paraId="69412618" w14:textId="77777777" w:rsidR="002B04EB" w:rsidRPr="003F7F6C" w:rsidRDefault="002B04EB" w:rsidP="00B851B7">
            <w:pPr>
              <w:rPr>
                <w:rFonts w:cs="Calibri"/>
                <w:sz w:val="16"/>
                <w:szCs w:val="16"/>
              </w:rPr>
            </w:pPr>
            <w:r w:rsidRPr="003F7F6C">
              <w:rPr>
                <w:rFonts w:cs="Calibri"/>
                <w:sz w:val="16"/>
                <w:szCs w:val="16"/>
              </w:rPr>
              <w:t>X</w:t>
            </w:r>
          </w:p>
        </w:tc>
        <w:tc>
          <w:tcPr>
            <w:tcW w:w="428" w:type="dxa"/>
          </w:tcPr>
          <w:p w14:paraId="035F4A74" w14:textId="77777777" w:rsidR="002B04EB" w:rsidRPr="003F7F6C" w:rsidRDefault="002B04EB" w:rsidP="00B851B7">
            <w:pPr>
              <w:rPr>
                <w:sz w:val="16"/>
                <w:szCs w:val="16"/>
              </w:rPr>
            </w:pPr>
            <w:r w:rsidRPr="003F7F6C">
              <w:rPr>
                <w:rFonts w:cs="Calibri"/>
                <w:sz w:val="16"/>
                <w:szCs w:val="16"/>
              </w:rPr>
              <w:t>X</w:t>
            </w:r>
          </w:p>
        </w:tc>
        <w:tc>
          <w:tcPr>
            <w:tcW w:w="428" w:type="dxa"/>
          </w:tcPr>
          <w:p w14:paraId="79B7EE8C"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204769B9" w14:textId="77777777" w:rsidR="002B04EB" w:rsidRPr="003F7F6C" w:rsidRDefault="002B04EB" w:rsidP="00B851B7">
            <w:pPr>
              <w:rPr>
                <w:sz w:val="16"/>
                <w:szCs w:val="16"/>
              </w:rPr>
            </w:pPr>
            <w:r w:rsidRPr="003F7F6C">
              <w:rPr>
                <w:rFonts w:cs="Calibri"/>
                <w:sz w:val="16"/>
                <w:szCs w:val="16"/>
              </w:rPr>
              <w:t>X</w:t>
            </w:r>
          </w:p>
        </w:tc>
        <w:tc>
          <w:tcPr>
            <w:tcW w:w="428" w:type="dxa"/>
          </w:tcPr>
          <w:p w14:paraId="6EAF913B" w14:textId="77777777" w:rsidR="002B04EB" w:rsidRPr="003F7F6C" w:rsidRDefault="002B04EB" w:rsidP="00B851B7">
            <w:pPr>
              <w:rPr>
                <w:rFonts w:cs="Calibri"/>
                <w:sz w:val="16"/>
                <w:szCs w:val="16"/>
              </w:rPr>
            </w:pPr>
            <w:r w:rsidRPr="003F7F6C">
              <w:rPr>
                <w:rFonts w:cs="Calibri"/>
                <w:sz w:val="16"/>
                <w:szCs w:val="16"/>
              </w:rPr>
              <w:t>X</w:t>
            </w:r>
          </w:p>
        </w:tc>
        <w:tc>
          <w:tcPr>
            <w:tcW w:w="428" w:type="dxa"/>
          </w:tcPr>
          <w:p w14:paraId="60637905" w14:textId="77777777" w:rsidR="002B04EB" w:rsidRPr="003F7F6C" w:rsidRDefault="002B04EB" w:rsidP="00B851B7">
            <w:pPr>
              <w:rPr>
                <w:sz w:val="16"/>
                <w:szCs w:val="16"/>
              </w:rPr>
            </w:pPr>
            <w:r w:rsidRPr="003F7F6C">
              <w:rPr>
                <w:rFonts w:cs="Calibri"/>
                <w:sz w:val="16"/>
                <w:szCs w:val="16"/>
              </w:rPr>
              <w:t>X</w:t>
            </w:r>
          </w:p>
        </w:tc>
        <w:tc>
          <w:tcPr>
            <w:tcW w:w="428" w:type="dxa"/>
          </w:tcPr>
          <w:p w14:paraId="6326A6EE" w14:textId="77777777" w:rsidR="002B04EB" w:rsidRPr="003F7F6C" w:rsidRDefault="002B04EB" w:rsidP="00B851B7">
            <w:pPr>
              <w:rPr>
                <w:sz w:val="16"/>
                <w:szCs w:val="16"/>
              </w:rPr>
            </w:pPr>
            <w:r w:rsidRPr="003F7F6C">
              <w:rPr>
                <w:rFonts w:cs="Calibri"/>
                <w:sz w:val="16"/>
                <w:szCs w:val="16"/>
              </w:rPr>
              <w:t>X</w:t>
            </w:r>
          </w:p>
        </w:tc>
        <w:tc>
          <w:tcPr>
            <w:tcW w:w="428" w:type="dxa"/>
          </w:tcPr>
          <w:p w14:paraId="5CDEEACD" w14:textId="77777777" w:rsidR="002B04EB" w:rsidRPr="003F7F6C" w:rsidRDefault="002B04EB" w:rsidP="00B851B7">
            <w:pPr>
              <w:rPr>
                <w:sz w:val="16"/>
                <w:szCs w:val="16"/>
              </w:rPr>
            </w:pPr>
            <w:r w:rsidRPr="003F7F6C">
              <w:rPr>
                <w:rFonts w:cs="Calibri"/>
                <w:sz w:val="16"/>
                <w:szCs w:val="16"/>
              </w:rPr>
              <w:t>X</w:t>
            </w:r>
          </w:p>
        </w:tc>
      </w:tr>
      <w:tr w:rsidR="002B04EB" w:rsidRPr="003F7F6C" w14:paraId="62C4F168" w14:textId="77777777" w:rsidTr="002B04EB">
        <w:tc>
          <w:tcPr>
            <w:tcW w:w="13010" w:type="dxa"/>
            <w:gridSpan w:val="31"/>
            <w:shd w:val="clear" w:color="auto" w:fill="F4B083"/>
          </w:tcPr>
          <w:p w14:paraId="066EC695" w14:textId="77777777" w:rsidR="002B04EB" w:rsidRPr="003F7F6C" w:rsidRDefault="002B04EB" w:rsidP="00B851B7">
            <w:pPr>
              <w:pStyle w:val="ListParagraph"/>
              <w:tabs>
                <w:tab w:val="left" w:pos="426"/>
              </w:tabs>
              <w:spacing w:after="0"/>
              <w:ind w:left="0"/>
              <w:contextualSpacing w:val="0"/>
              <w:rPr>
                <w:rFonts w:cs="Calibri"/>
                <w:bCs/>
                <w:sz w:val="16"/>
                <w:szCs w:val="16"/>
              </w:rPr>
            </w:pPr>
            <w:r w:rsidRPr="003F7F6C">
              <w:rPr>
                <w:rFonts w:eastAsia="Times New Roman" w:cs="Calibri"/>
                <w:bCs/>
                <w:i/>
                <w:sz w:val="16"/>
                <w:szCs w:val="16"/>
                <w:lang w:eastAsia="es-ES_tradnl"/>
              </w:rPr>
              <w:t xml:space="preserve">Output 2.3. Set of instruments validated in pilot landscapes for defining and implementing ELUP </w:t>
            </w:r>
          </w:p>
        </w:tc>
      </w:tr>
      <w:tr w:rsidR="002B04EB" w:rsidRPr="003F7F6C" w14:paraId="720AA8B1" w14:textId="77777777" w:rsidTr="002B04EB">
        <w:tc>
          <w:tcPr>
            <w:tcW w:w="13010" w:type="dxa"/>
            <w:gridSpan w:val="31"/>
            <w:shd w:val="clear" w:color="auto" w:fill="F7CAAC"/>
          </w:tcPr>
          <w:p w14:paraId="386E1439" w14:textId="77777777" w:rsidR="002B04EB" w:rsidRPr="003F7F6C" w:rsidRDefault="002B04EB" w:rsidP="00B851B7">
            <w:pPr>
              <w:rPr>
                <w:rFonts w:cs="Calibri"/>
                <w:sz w:val="16"/>
                <w:szCs w:val="16"/>
              </w:rPr>
            </w:pPr>
            <w:r w:rsidRPr="003F7F6C">
              <w:rPr>
                <w:rFonts w:cs="Calibri"/>
                <w:sz w:val="16"/>
                <w:szCs w:val="16"/>
              </w:rPr>
              <w:t>Buenos Aires</w:t>
            </w:r>
          </w:p>
        </w:tc>
      </w:tr>
      <w:tr w:rsidR="002B04EB" w:rsidRPr="003F7F6C" w14:paraId="5779038A" w14:textId="77777777" w:rsidTr="00B851B7">
        <w:tc>
          <w:tcPr>
            <w:tcW w:w="1668" w:type="dxa"/>
          </w:tcPr>
          <w:p w14:paraId="1DF69446" w14:textId="77777777" w:rsidR="002B04EB" w:rsidRPr="003F7F6C" w:rsidRDefault="002B04EB" w:rsidP="00B851B7">
            <w:pPr>
              <w:rPr>
                <w:rFonts w:cs="Calibri"/>
                <w:sz w:val="16"/>
                <w:szCs w:val="16"/>
              </w:rPr>
            </w:pPr>
            <w:r w:rsidRPr="003F7F6C">
              <w:rPr>
                <w:rFonts w:cs="Calibri"/>
                <w:sz w:val="16"/>
                <w:szCs w:val="16"/>
              </w:rPr>
              <w:t xml:space="preserve">2.3.1 Valuation of ES </w:t>
            </w:r>
          </w:p>
        </w:tc>
        <w:tc>
          <w:tcPr>
            <w:tcW w:w="1057" w:type="dxa"/>
          </w:tcPr>
          <w:p w14:paraId="17A31294" w14:textId="77777777" w:rsidR="002B04EB" w:rsidRPr="003F7F6C" w:rsidRDefault="002B04EB" w:rsidP="00B851B7">
            <w:pPr>
              <w:rPr>
                <w:rFonts w:cs="Calibri"/>
                <w:sz w:val="16"/>
                <w:szCs w:val="16"/>
              </w:rPr>
            </w:pPr>
            <w:r w:rsidRPr="003F7F6C">
              <w:rPr>
                <w:rFonts w:cs="Calibri"/>
                <w:sz w:val="16"/>
                <w:szCs w:val="16"/>
              </w:rPr>
              <w:t>OPDS</w:t>
            </w:r>
          </w:p>
        </w:tc>
        <w:tc>
          <w:tcPr>
            <w:tcW w:w="428" w:type="dxa"/>
          </w:tcPr>
          <w:p w14:paraId="660C86BD" w14:textId="77777777" w:rsidR="002B04EB" w:rsidRPr="003F7F6C" w:rsidRDefault="002B04EB" w:rsidP="00B851B7">
            <w:r w:rsidRPr="003F7F6C">
              <w:rPr>
                <w:rFonts w:cs="Calibri"/>
                <w:sz w:val="16"/>
                <w:szCs w:val="16"/>
              </w:rPr>
              <w:t>X</w:t>
            </w:r>
          </w:p>
        </w:tc>
        <w:tc>
          <w:tcPr>
            <w:tcW w:w="444" w:type="dxa"/>
          </w:tcPr>
          <w:p w14:paraId="0999EBBD" w14:textId="77777777" w:rsidR="002B04EB" w:rsidRPr="003F7F6C" w:rsidRDefault="002B04EB" w:rsidP="00B851B7">
            <w:r w:rsidRPr="003F7F6C">
              <w:rPr>
                <w:rFonts w:cs="Calibri"/>
                <w:sz w:val="16"/>
                <w:szCs w:val="16"/>
              </w:rPr>
              <w:t>X</w:t>
            </w:r>
          </w:p>
        </w:tc>
        <w:tc>
          <w:tcPr>
            <w:tcW w:w="428" w:type="dxa"/>
          </w:tcPr>
          <w:p w14:paraId="70F5546D" w14:textId="77777777" w:rsidR="002B04EB" w:rsidRPr="003F7F6C" w:rsidRDefault="002B04EB" w:rsidP="00B851B7">
            <w:r w:rsidRPr="003F7F6C">
              <w:rPr>
                <w:rFonts w:cs="Calibri"/>
                <w:sz w:val="16"/>
                <w:szCs w:val="16"/>
              </w:rPr>
              <w:t>X</w:t>
            </w:r>
          </w:p>
        </w:tc>
        <w:tc>
          <w:tcPr>
            <w:tcW w:w="428" w:type="dxa"/>
            <w:gridSpan w:val="2"/>
          </w:tcPr>
          <w:p w14:paraId="0EB4BE3B" w14:textId="77777777" w:rsidR="002B04EB" w:rsidRPr="003F7F6C" w:rsidRDefault="002B04EB" w:rsidP="00B851B7">
            <w:r w:rsidRPr="003F7F6C">
              <w:rPr>
                <w:rFonts w:cs="Calibri"/>
                <w:sz w:val="16"/>
                <w:szCs w:val="16"/>
              </w:rPr>
              <w:t>X</w:t>
            </w:r>
          </w:p>
        </w:tc>
        <w:tc>
          <w:tcPr>
            <w:tcW w:w="428" w:type="dxa"/>
          </w:tcPr>
          <w:p w14:paraId="46F28ED0" w14:textId="77777777" w:rsidR="002B04EB" w:rsidRPr="003F7F6C" w:rsidRDefault="002B04EB" w:rsidP="00B851B7">
            <w:r w:rsidRPr="003F7F6C">
              <w:rPr>
                <w:rFonts w:cs="Calibri"/>
                <w:sz w:val="16"/>
                <w:szCs w:val="16"/>
              </w:rPr>
              <w:t>X</w:t>
            </w:r>
          </w:p>
        </w:tc>
        <w:tc>
          <w:tcPr>
            <w:tcW w:w="427" w:type="dxa"/>
          </w:tcPr>
          <w:p w14:paraId="625D8FF0" w14:textId="77777777" w:rsidR="002B04EB" w:rsidRPr="003F7F6C" w:rsidRDefault="002B04EB" w:rsidP="00B851B7">
            <w:r w:rsidRPr="003F7F6C">
              <w:rPr>
                <w:rFonts w:cs="Calibri"/>
                <w:sz w:val="16"/>
                <w:szCs w:val="16"/>
              </w:rPr>
              <w:t>X</w:t>
            </w:r>
          </w:p>
        </w:tc>
        <w:tc>
          <w:tcPr>
            <w:tcW w:w="427" w:type="dxa"/>
          </w:tcPr>
          <w:p w14:paraId="3A67C3E1" w14:textId="77777777" w:rsidR="002B04EB" w:rsidRPr="003F7F6C" w:rsidRDefault="002B04EB" w:rsidP="00B851B7">
            <w:r w:rsidRPr="003F7F6C">
              <w:rPr>
                <w:rFonts w:cs="Calibri"/>
                <w:sz w:val="16"/>
                <w:szCs w:val="16"/>
              </w:rPr>
              <w:t>X</w:t>
            </w:r>
          </w:p>
        </w:tc>
        <w:tc>
          <w:tcPr>
            <w:tcW w:w="427" w:type="dxa"/>
            <w:gridSpan w:val="2"/>
          </w:tcPr>
          <w:p w14:paraId="39D25279" w14:textId="77777777" w:rsidR="002B04EB" w:rsidRPr="003F7F6C" w:rsidRDefault="002B04EB" w:rsidP="00B851B7">
            <w:r w:rsidRPr="003F7F6C">
              <w:rPr>
                <w:rFonts w:cs="Calibri"/>
                <w:sz w:val="16"/>
                <w:szCs w:val="16"/>
              </w:rPr>
              <w:t>X</w:t>
            </w:r>
          </w:p>
        </w:tc>
        <w:tc>
          <w:tcPr>
            <w:tcW w:w="428" w:type="dxa"/>
          </w:tcPr>
          <w:p w14:paraId="54B2CD96" w14:textId="77777777" w:rsidR="002B04EB" w:rsidRPr="003F7F6C" w:rsidRDefault="002B04EB" w:rsidP="00B851B7">
            <w:r w:rsidRPr="003F7F6C">
              <w:rPr>
                <w:rFonts w:cs="Calibri"/>
                <w:sz w:val="16"/>
                <w:szCs w:val="16"/>
              </w:rPr>
              <w:t>X</w:t>
            </w:r>
          </w:p>
        </w:tc>
        <w:tc>
          <w:tcPr>
            <w:tcW w:w="428" w:type="dxa"/>
          </w:tcPr>
          <w:p w14:paraId="6A85E754" w14:textId="77777777" w:rsidR="002B04EB" w:rsidRPr="003F7F6C" w:rsidRDefault="002B04EB" w:rsidP="00B851B7">
            <w:r w:rsidRPr="003F7F6C">
              <w:rPr>
                <w:rFonts w:cs="Calibri"/>
                <w:sz w:val="16"/>
                <w:szCs w:val="16"/>
              </w:rPr>
              <w:t>X</w:t>
            </w:r>
          </w:p>
        </w:tc>
        <w:tc>
          <w:tcPr>
            <w:tcW w:w="428" w:type="dxa"/>
          </w:tcPr>
          <w:p w14:paraId="2E087AAD" w14:textId="77777777" w:rsidR="002B04EB" w:rsidRPr="003F7F6C" w:rsidRDefault="002B04EB" w:rsidP="00B851B7">
            <w:r w:rsidRPr="003F7F6C">
              <w:rPr>
                <w:rFonts w:cs="Calibri"/>
                <w:sz w:val="16"/>
                <w:szCs w:val="16"/>
              </w:rPr>
              <w:t>X</w:t>
            </w:r>
          </w:p>
        </w:tc>
        <w:tc>
          <w:tcPr>
            <w:tcW w:w="428" w:type="dxa"/>
            <w:gridSpan w:val="2"/>
          </w:tcPr>
          <w:p w14:paraId="16570DAD" w14:textId="77777777" w:rsidR="002B04EB" w:rsidRPr="003F7F6C" w:rsidRDefault="002B04EB" w:rsidP="00B851B7">
            <w:r w:rsidRPr="003F7F6C">
              <w:rPr>
                <w:rFonts w:cs="Calibri"/>
                <w:sz w:val="16"/>
                <w:szCs w:val="16"/>
              </w:rPr>
              <w:t>X</w:t>
            </w:r>
          </w:p>
        </w:tc>
        <w:tc>
          <w:tcPr>
            <w:tcW w:w="428" w:type="dxa"/>
          </w:tcPr>
          <w:p w14:paraId="24B45C9F" w14:textId="77777777" w:rsidR="002B04EB" w:rsidRPr="003F7F6C" w:rsidRDefault="002B04EB" w:rsidP="00B851B7">
            <w:r w:rsidRPr="003F7F6C">
              <w:rPr>
                <w:rFonts w:cs="Calibri"/>
                <w:sz w:val="16"/>
                <w:szCs w:val="16"/>
              </w:rPr>
              <w:t>X</w:t>
            </w:r>
          </w:p>
        </w:tc>
        <w:tc>
          <w:tcPr>
            <w:tcW w:w="428" w:type="dxa"/>
          </w:tcPr>
          <w:p w14:paraId="36521122" w14:textId="77777777" w:rsidR="002B04EB" w:rsidRPr="003F7F6C" w:rsidRDefault="002B04EB" w:rsidP="00B851B7">
            <w:r w:rsidRPr="003F7F6C">
              <w:rPr>
                <w:rFonts w:cs="Calibri"/>
                <w:sz w:val="16"/>
                <w:szCs w:val="16"/>
              </w:rPr>
              <w:t>X</w:t>
            </w:r>
          </w:p>
        </w:tc>
        <w:tc>
          <w:tcPr>
            <w:tcW w:w="428" w:type="dxa"/>
          </w:tcPr>
          <w:p w14:paraId="0568293C" w14:textId="77777777" w:rsidR="002B04EB" w:rsidRPr="003F7F6C" w:rsidRDefault="002B04EB" w:rsidP="00B851B7">
            <w:r w:rsidRPr="003F7F6C">
              <w:rPr>
                <w:rFonts w:cs="Calibri"/>
                <w:sz w:val="16"/>
                <w:szCs w:val="16"/>
              </w:rPr>
              <w:t>X</w:t>
            </w:r>
          </w:p>
        </w:tc>
        <w:tc>
          <w:tcPr>
            <w:tcW w:w="428" w:type="dxa"/>
            <w:gridSpan w:val="2"/>
          </w:tcPr>
          <w:p w14:paraId="08029B26" w14:textId="77777777" w:rsidR="002B04EB" w:rsidRPr="003F7F6C" w:rsidRDefault="002B04EB" w:rsidP="00B851B7">
            <w:r w:rsidRPr="003F7F6C">
              <w:rPr>
                <w:rFonts w:cs="Calibri"/>
                <w:sz w:val="16"/>
                <w:szCs w:val="16"/>
              </w:rPr>
              <w:t>X</w:t>
            </w:r>
          </w:p>
        </w:tc>
        <w:tc>
          <w:tcPr>
            <w:tcW w:w="428" w:type="dxa"/>
          </w:tcPr>
          <w:p w14:paraId="6706A4B1" w14:textId="77777777" w:rsidR="002B04EB" w:rsidRPr="003F7F6C" w:rsidRDefault="002B04EB" w:rsidP="00B851B7">
            <w:r w:rsidRPr="003F7F6C">
              <w:rPr>
                <w:rFonts w:cs="Calibri"/>
                <w:sz w:val="16"/>
                <w:szCs w:val="16"/>
              </w:rPr>
              <w:t>X</w:t>
            </w:r>
          </w:p>
        </w:tc>
        <w:tc>
          <w:tcPr>
            <w:tcW w:w="428" w:type="dxa"/>
          </w:tcPr>
          <w:p w14:paraId="04E91ABB" w14:textId="77777777" w:rsidR="002B04EB" w:rsidRPr="003F7F6C" w:rsidRDefault="002B04EB" w:rsidP="00B851B7">
            <w:r w:rsidRPr="003F7F6C">
              <w:rPr>
                <w:rFonts w:cs="Calibri"/>
                <w:sz w:val="16"/>
                <w:szCs w:val="16"/>
              </w:rPr>
              <w:t>X</w:t>
            </w:r>
          </w:p>
        </w:tc>
        <w:tc>
          <w:tcPr>
            <w:tcW w:w="428" w:type="dxa"/>
          </w:tcPr>
          <w:p w14:paraId="7DB33825" w14:textId="77777777" w:rsidR="002B04EB" w:rsidRPr="003F7F6C" w:rsidRDefault="002B04EB" w:rsidP="00B851B7">
            <w:r w:rsidRPr="003F7F6C">
              <w:rPr>
                <w:rFonts w:cs="Calibri"/>
                <w:sz w:val="16"/>
                <w:szCs w:val="16"/>
              </w:rPr>
              <w:t>X</w:t>
            </w:r>
          </w:p>
        </w:tc>
        <w:tc>
          <w:tcPr>
            <w:tcW w:w="428" w:type="dxa"/>
            <w:gridSpan w:val="2"/>
          </w:tcPr>
          <w:p w14:paraId="5F7DD6D4" w14:textId="77777777" w:rsidR="002B04EB" w:rsidRPr="003F7F6C" w:rsidRDefault="002B04EB" w:rsidP="00B851B7">
            <w:r w:rsidRPr="003F7F6C">
              <w:rPr>
                <w:rFonts w:cs="Calibri"/>
                <w:sz w:val="16"/>
                <w:szCs w:val="16"/>
              </w:rPr>
              <w:t>X</w:t>
            </w:r>
          </w:p>
        </w:tc>
        <w:tc>
          <w:tcPr>
            <w:tcW w:w="428" w:type="dxa"/>
          </w:tcPr>
          <w:p w14:paraId="79A778BA" w14:textId="77777777" w:rsidR="002B04EB" w:rsidRPr="003F7F6C" w:rsidRDefault="002B04EB" w:rsidP="00B851B7">
            <w:r w:rsidRPr="003F7F6C">
              <w:rPr>
                <w:rFonts w:cs="Calibri"/>
                <w:sz w:val="16"/>
                <w:szCs w:val="16"/>
              </w:rPr>
              <w:t>X</w:t>
            </w:r>
          </w:p>
        </w:tc>
        <w:tc>
          <w:tcPr>
            <w:tcW w:w="428" w:type="dxa"/>
          </w:tcPr>
          <w:p w14:paraId="28CF5F1F" w14:textId="77777777" w:rsidR="002B04EB" w:rsidRPr="003F7F6C" w:rsidRDefault="002B04EB" w:rsidP="00B851B7">
            <w:r w:rsidRPr="003F7F6C">
              <w:rPr>
                <w:rFonts w:cs="Calibri"/>
                <w:sz w:val="16"/>
                <w:szCs w:val="16"/>
              </w:rPr>
              <w:t>X</w:t>
            </w:r>
          </w:p>
        </w:tc>
        <w:tc>
          <w:tcPr>
            <w:tcW w:w="428" w:type="dxa"/>
          </w:tcPr>
          <w:p w14:paraId="3681034D" w14:textId="77777777" w:rsidR="002B04EB" w:rsidRPr="003F7F6C" w:rsidRDefault="002B04EB" w:rsidP="00B851B7">
            <w:r w:rsidRPr="003F7F6C">
              <w:rPr>
                <w:rFonts w:cs="Calibri"/>
                <w:sz w:val="16"/>
                <w:szCs w:val="16"/>
              </w:rPr>
              <w:t>X</w:t>
            </w:r>
          </w:p>
        </w:tc>
        <w:tc>
          <w:tcPr>
            <w:tcW w:w="428" w:type="dxa"/>
          </w:tcPr>
          <w:p w14:paraId="0E686F0D" w14:textId="77777777" w:rsidR="002B04EB" w:rsidRPr="003F7F6C" w:rsidRDefault="002B04EB" w:rsidP="00B851B7">
            <w:r w:rsidRPr="003F7F6C">
              <w:rPr>
                <w:rFonts w:cs="Calibri"/>
                <w:sz w:val="16"/>
                <w:szCs w:val="16"/>
              </w:rPr>
              <w:t>X</w:t>
            </w:r>
          </w:p>
        </w:tc>
      </w:tr>
      <w:tr w:rsidR="002B04EB" w:rsidRPr="003F7F6C" w14:paraId="6216A6E3" w14:textId="77777777" w:rsidTr="00B851B7">
        <w:tc>
          <w:tcPr>
            <w:tcW w:w="1668" w:type="dxa"/>
          </w:tcPr>
          <w:p w14:paraId="5889995A" w14:textId="77777777" w:rsidR="002B04EB" w:rsidRPr="003F7F6C" w:rsidRDefault="002B04EB" w:rsidP="00E91275">
            <w:pPr>
              <w:pStyle w:val="ListParagraph"/>
              <w:numPr>
                <w:ilvl w:val="0"/>
                <w:numId w:val="29"/>
              </w:numPr>
              <w:ind w:left="174" w:hanging="174"/>
              <w:rPr>
                <w:rFonts w:cs="Calibri"/>
                <w:sz w:val="16"/>
                <w:szCs w:val="16"/>
              </w:rPr>
            </w:pPr>
            <w:r w:rsidRPr="003F7F6C">
              <w:rPr>
                <w:rFonts w:cs="Calibri"/>
                <w:sz w:val="16"/>
                <w:szCs w:val="16"/>
              </w:rPr>
              <w:t>Assess ECOSER and multi-criteria analysis and select methodology</w:t>
            </w:r>
          </w:p>
        </w:tc>
        <w:tc>
          <w:tcPr>
            <w:tcW w:w="1057" w:type="dxa"/>
          </w:tcPr>
          <w:p w14:paraId="31CCF1D4" w14:textId="77777777" w:rsidR="002B04EB" w:rsidRPr="003F7F6C" w:rsidRDefault="002B04EB" w:rsidP="00B851B7">
            <w:pPr>
              <w:rPr>
                <w:rFonts w:cs="Calibri"/>
                <w:sz w:val="16"/>
                <w:szCs w:val="16"/>
              </w:rPr>
            </w:pPr>
            <w:r w:rsidRPr="003F7F6C">
              <w:rPr>
                <w:rFonts w:cs="Calibri"/>
                <w:sz w:val="16"/>
                <w:szCs w:val="16"/>
              </w:rPr>
              <w:t>OPDS</w:t>
            </w:r>
          </w:p>
        </w:tc>
        <w:tc>
          <w:tcPr>
            <w:tcW w:w="428" w:type="dxa"/>
          </w:tcPr>
          <w:p w14:paraId="1E662D95" w14:textId="77777777" w:rsidR="002B04EB" w:rsidRPr="003F7F6C" w:rsidRDefault="002B04EB" w:rsidP="00B851B7">
            <w:pPr>
              <w:rPr>
                <w:rFonts w:cs="Calibri"/>
                <w:sz w:val="16"/>
                <w:szCs w:val="16"/>
              </w:rPr>
            </w:pPr>
          </w:p>
        </w:tc>
        <w:tc>
          <w:tcPr>
            <w:tcW w:w="444" w:type="dxa"/>
          </w:tcPr>
          <w:p w14:paraId="50EF5F41" w14:textId="77777777" w:rsidR="002B04EB" w:rsidRPr="003F7F6C" w:rsidRDefault="002B04EB" w:rsidP="00B851B7">
            <w:pPr>
              <w:rPr>
                <w:sz w:val="16"/>
                <w:szCs w:val="16"/>
              </w:rPr>
            </w:pPr>
            <w:r w:rsidRPr="003F7F6C">
              <w:rPr>
                <w:rFonts w:cs="Calibri"/>
                <w:sz w:val="16"/>
                <w:szCs w:val="16"/>
              </w:rPr>
              <w:t>X</w:t>
            </w:r>
          </w:p>
        </w:tc>
        <w:tc>
          <w:tcPr>
            <w:tcW w:w="428" w:type="dxa"/>
          </w:tcPr>
          <w:p w14:paraId="0A262E50"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75CB638A" w14:textId="77777777" w:rsidR="002B04EB" w:rsidRPr="003F7F6C" w:rsidRDefault="002B04EB" w:rsidP="00B851B7">
            <w:pPr>
              <w:rPr>
                <w:sz w:val="16"/>
                <w:szCs w:val="16"/>
              </w:rPr>
            </w:pPr>
            <w:r w:rsidRPr="003F7F6C">
              <w:rPr>
                <w:rFonts w:cs="Calibri"/>
                <w:sz w:val="16"/>
                <w:szCs w:val="16"/>
              </w:rPr>
              <w:t>X</w:t>
            </w:r>
          </w:p>
        </w:tc>
        <w:tc>
          <w:tcPr>
            <w:tcW w:w="428" w:type="dxa"/>
          </w:tcPr>
          <w:p w14:paraId="16B692FB" w14:textId="77777777" w:rsidR="002B04EB" w:rsidRPr="003F7F6C" w:rsidRDefault="002B04EB" w:rsidP="00B851B7">
            <w:r w:rsidRPr="003F7F6C">
              <w:rPr>
                <w:rFonts w:cs="Calibri"/>
                <w:sz w:val="16"/>
                <w:szCs w:val="16"/>
              </w:rPr>
              <w:t>X</w:t>
            </w:r>
          </w:p>
        </w:tc>
        <w:tc>
          <w:tcPr>
            <w:tcW w:w="427" w:type="dxa"/>
          </w:tcPr>
          <w:p w14:paraId="753165BF" w14:textId="77777777" w:rsidR="002B04EB" w:rsidRPr="003F7F6C" w:rsidRDefault="002B04EB" w:rsidP="00B851B7">
            <w:r w:rsidRPr="003F7F6C">
              <w:rPr>
                <w:rFonts w:cs="Calibri"/>
                <w:sz w:val="16"/>
                <w:szCs w:val="16"/>
              </w:rPr>
              <w:t>X</w:t>
            </w:r>
          </w:p>
        </w:tc>
        <w:tc>
          <w:tcPr>
            <w:tcW w:w="427" w:type="dxa"/>
          </w:tcPr>
          <w:p w14:paraId="031943EE" w14:textId="77777777" w:rsidR="002B04EB" w:rsidRPr="003F7F6C" w:rsidRDefault="002B04EB" w:rsidP="00B851B7">
            <w:pPr>
              <w:rPr>
                <w:rFonts w:cs="Calibri"/>
                <w:sz w:val="16"/>
                <w:szCs w:val="16"/>
              </w:rPr>
            </w:pPr>
          </w:p>
        </w:tc>
        <w:tc>
          <w:tcPr>
            <w:tcW w:w="427" w:type="dxa"/>
            <w:gridSpan w:val="2"/>
          </w:tcPr>
          <w:p w14:paraId="7B4FB888" w14:textId="77777777" w:rsidR="002B04EB" w:rsidRPr="003F7F6C" w:rsidRDefault="002B04EB" w:rsidP="00B851B7">
            <w:pPr>
              <w:rPr>
                <w:rFonts w:cs="Calibri"/>
                <w:sz w:val="16"/>
                <w:szCs w:val="16"/>
              </w:rPr>
            </w:pPr>
          </w:p>
        </w:tc>
        <w:tc>
          <w:tcPr>
            <w:tcW w:w="428" w:type="dxa"/>
          </w:tcPr>
          <w:p w14:paraId="3C6726A8" w14:textId="77777777" w:rsidR="002B04EB" w:rsidRPr="003F7F6C" w:rsidRDefault="002B04EB" w:rsidP="00B851B7">
            <w:pPr>
              <w:rPr>
                <w:rFonts w:cs="Calibri"/>
                <w:sz w:val="16"/>
                <w:szCs w:val="16"/>
              </w:rPr>
            </w:pPr>
          </w:p>
        </w:tc>
        <w:tc>
          <w:tcPr>
            <w:tcW w:w="428" w:type="dxa"/>
          </w:tcPr>
          <w:p w14:paraId="5C42BF24" w14:textId="77777777" w:rsidR="002B04EB" w:rsidRPr="003F7F6C" w:rsidRDefault="002B04EB" w:rsidP="00B851B7">
            <w:pPr>
              <w:rPr>
                <w:rFonts w:cs="Calibri"/>
                <w:sz w:val="16"/>
                <w:szCs w:val="16"/>
              </w:rPr>
            </w:pPr>
          </w:p>
        </w:tc>
        <w:tc>
          <w:tcPr>
            <w:tcW w:w="428" w:type="dxa"/>
          </w:tcPr>
          <w:p w14:paraId="07ABA631" w14:textId="77777777" w:rsidR="002B04EB" w:rsidRPr="003F7F6C" w:rsidRDefault="002B04EB" w:rsidP="00B851B7">
            <w:pPr>
              <w:rPr>
                <w:rFonts w:cs="Calibri"/>
                <w:sz w:val="16"/>
                <w:szCs w:val="16"/>
              </w:rPr>
            </w:pPr>
          </w:p>
        </w:tc>
        <w:tc>
          <w:tcPr>
            <w:tcW w:w="428" w:type="dxa"/>
            <w:gridSpan w:val="2"/>
          </w:tcPr>
          <w:p w14:paraId="5F135EAB" w14:textId="77777777" w:rsidR="002B04EB" w:rsidRPr="003F7F6C" w:rsidRDefault="002B04EB" w:rsidP="00B851B7">
            <w:pPr>
              <w:rPr>
                <w:rFonts w:cs="Calibri"/>
                <w:sz w:val="16"/>
                <w:szCs w:val="16"/>
              </w:rPr>
            </w:pPr>
          </w:p>
        </w:tc>
        <w:tc>
          <w:tcPr>
            <w:tcW w:w="428" w:type="dxa"/>
          </w:tcPr>
          <w:p w14:paraId="0523C128" w14:textId="77777777" w:rsidR="002B04EB" w:rsidRPr="003F7F6C" w:rsidRDefault="002B04EB" w:rsidP="00B851B7">
            <w:pPr>
              <w:rPr>
                <w:rFonts w:cs="Calibri"/>
                <w:sz w:val="16"/>
                <w:szCs w:val="16"/>
              </w:rPr>
            </w:pPr>
          </w:p>
        </w:tc>
        <w:tc>
          <w:tcPr>
            <w:tcW w:w="428" w:type="dxa"/>
          </w:tcPr>
          <w:p w14:paraId="47B5D8BF" w14:textId="77777777" w:rsidR="002B04EB" w:rsidRPr="003F7F6C" w:rsidRDefault="002B04EB" w:rsidP="00B851B7">
            <w:pPr>
              <w:rPr>
                <w:rFonts w:cs="Calibri"/>
                <w:sz w:val="16"/>
                <w:szCs w:val="16"/>
              </w:rPr>
            </w:pPr>
          </w:p>
        </w:tc>
        <w:tc>
          <w:tcPr>
            <w:tcW w:w="428" w:type="dxa"/>
          </w:tcPr>
          <w:p w14:paraId="26490097" w14:textId="77777777" w:rsidR="002B04EB" w:rsidRPr="003F7F6C" w:rsidRDefault="002B04EB" w:rsidP="00B851B7">
            <w:pPr>
              <w:rPr>
                <w:rFonts w:cs="Calibri"/>
                <w:sz w:val="16"/>
                <w:szCs w:val="16"/>
              </w:rPr>
            </w:pPr>
          </w:p>
        </w:tc>
        <w:tc>
          <w:tcPr>
            <w:tcW w:w="428" w:type="dxa"/>
            <w:gridSpan w:val="2"/>
          </w:tcPr>
          <w:p w14:paraId="59A8553B" w14:textId="77777777" w:rsidR="002B04EB" w:rsidRPr="003F7F6C" w:rsidRDefault="002B04EB" w:rsidP="00B851B7">
            <w:pPr>
              <w:rPr>
                <w:rFonts w:cs="Calibri"/>
                <w:sz w:val="16"/>
                <w:szCs w:val="16"/>
              </w:rPr>
            </w:pPr>
          </w:p>
        </w:tc>
        <w:tc>
          <w:tcPr>
            <w:tcW w:w="428" w:type="dxa"/>
          </w:tcPr>
          <w:p w14:paraId="29DA9100" w14:textId="77777777" w:rsidR="002B04EB" w:rsidRPr="003F7F6C" w:rsidRDefault="002B04EB" w:rsidP="00B851B7">
            <w:pPr>
              <w:rPr>
                <w:rFonts w:cs="Calibri"/>
                <w:sz w:val="16"/>
                <w:szCs w:val="16"/>
              </w:rPr>
            </w:pPr>
          </w:p>
        </w:tc>
        <w:tc>
          <w:tcPr>
            <w:tcW w:w="428" w:type="dxa"/>
          </w:tcPr>
          <w:p w14:paraId="40F97B4D" w14:textId="77777777" w:rsidR="002B04EB" w:rsidRPr="003F7F6C" w:rsidRDefault="002B04EB" w:rsidP="00B851B7">
            <w:pPr>
              <w:rPr>
                <w:rFonts w:cs="Calibri"/>
                <w:sz w:val="16"/>
                <w:szCs w:val="16"/>
              </w:rPr>
            </w:pPr>
          </w:p>
        </w:tc>
        <w:tc>
          <w:tcPr>
            <w:tcW w:w="428" w:type="dxa"/>
          </w:tcPr>
          <w:p w14:paraId="3DFC0BB2" w14:textId="77777777" w:rsidR="002B04EB" w:rsidRPr="003F7F6C" w:rsidRDefault="002B04EB" w:rsidP="00B851B7">
            <w:pPr>
              <w:rPr>
                <w:rFonts w:cs="Calibri"/>
                <w:sz w:val="16"/>
                <w:szCs w:val="16"/>
              </w:rPr>
            </w:pPr>
          </w:p>
        </w:tc>
        <w:tc>
          <w:tcPr>
            <w:tcW w:w="428" w:type="dxa"/>
            <w:gridSpan w:val="2"/>
          </w:tcPr>
          <w:p w14:paraId="09597386" w14:textId="77777777" w:rsidR="002B04EB" w:rsidRPr="003F7F6C" w:rsidRDefault="002B04EB" w:rsidP="00B851B7">
            <w:pPr>
              <w:rPr>
                <w:rFonts w:cs="Calibri"/>
                <w:sz w:val="16"/>
                <w:szCs w:val="16"/>
              </w:rPr>
            </w:pPr>
          </w:p>
        </w:tc>
        <w:tc>
          <w:tcPr>
            <w:tcW w:w="428" w:type="dxa"/>
          </w:tcPr>
          <w:p w14:paraId="47B19693" w14:textId="77777777" w:rsidR="002B04EB" w:rsidRPr="003F7F6C" w:rsidRDefault="002B04EB" w:rsidP="00B851B7">
            <w:pPr>
              <w:rPr>
                <w:rFonts w:cs="Calibri"/>
                <w:sz w:val="16"/>
                <w:szCs w:val="16"/>
              </w:rPr>
            </w:pPr>
          </w:p>
        </w:tc>
        <w:tc>
          <w:tcPr>
            <w:tcW w:w="428" w:type="dxa"/>
          </w:tcPr>
          <w:p w14:paraId="02EA5667" w14:textId="77777777" w:rsidR="002B04EB" w:rsidRPr="003F7F6C" w:rsidRDefault="002B04EB" w:rsidP="00B851B7">
            <w:pPr>
              <w:rPr>
                <w:rFonts w:cs="Calibri"/>
                <w:sz w:val="16"/>
                <w:szCs w:val="16"/>
              </w:rPr>
            </w:pPr>
          </w:p>
        </w:tc>
        <w:tc>
          <w:tcPr>
            <w:tcW w:w="428" w:type="dxa"/>
          </w:tcPr>
          <w:p w14:paraId="73016E74" w14:textId="77777777" w:rsidR="002B04EB" w:rsidRPr="003F7F6C" w:rsidRDefault="002B04EB" w:rsidP="00B851B7">
            <w:pPr>
              <w:rPr>
                <w:rFonts w:cs="Calibri"/>
                <w:sz w:val="16"/>
                <w:szCs w:val="16"/>
              </w:rPr>
            </w:pPr>
          </w:p>
        </w:tc>
        <w:tc>
          <w:tcPr>
            <w:tcW w:w="428" w:type="dxa"/>
          </w:tcPr>
          <w:p w14:paraId="18F74B76" w14:textId="77777777" w:rsidR="002B04EB" w:rsidRPr="003F7F6C" w:rsidRDefault="002B04EB" w:rsidP="00B851B7">
            <w:pPr>
              <w:rPr>
                <w:rFonts w:cs="Calibri"/>
                <w:sz w:val="16"/>
                <w:szCs w:val="16"/>
              </w:rPr>
            </w:pPr>
          </w:p>
        </w:tc>
      </w:tr>
      <w:tr w:rsidR="002B04EB" w:rsidRPr="003F7F6C" w14:paraId="19F4A58B" w14:textId="77777777" w:rsidTr="00B851B7">
        <w:tc>
          <w:tcPr>
            <w:tcW w:w="1668" w:type="dxa"/>
          </w:tcPr>
          <w:p w14:paraId="1A0D3513" w14:textId="77777777" w:rsidR="002B04EB" w:rsidRPr="003F7F6C" w:rsidRDefault="002B04EB" w:rsidP="00E91275">
            <w:pPr>
              <w:pStyle w:val="ListParagraph"/>
              <w:numPr>
                <w:ilvl w:val="0"/>
                <w:numId w:val="29"/>
              </w:numPr>
              <w:ind w:left="174" w:hanging="174"/>
              <w:rPr>
                <w:rFonts w:cs="Calibri"/>
                <w:sz w:val="16"/>
                <w:szCs w:val="16"/>
              </w:rPr>
            </w:pPr>
            <w:r w:rsidRPr="003F7F6C">
              <w:rPr>
                <w:rFonts w:cs="Calibri"/>
                <w:sz w:val="16"/>
                <w:szCs w:val="16"/>
              </w:rPr>
              <w:t>Generate baseline information for ES valuation methodology</w:t>
            </w:r>
          </w:p>
        </w:tc>
        <w:tc>
          <w:tcPr>
            <w:tcW w:w="1057" w:type="dxa"/>
          </w:tcPr>
          <w:p w14:paraId="07B9CEE1" w14:textId="77777777" w:rsidR="002B04EB" w:rsidRPr="003F7F6C" w:rsidRDefault="002B04EB" w:rsidP="00B851B7">
            <w:pPr>
              <w:rPr>
                <w:rFonts w:cs="Calibri"/>
                <w:sz w:val="16"/>
                <w:szCs w:val="16"/>
              </w:rPr>
            </w:pPr>
            <w:r w:rsidRPr="003F7F6C">
              <w:rPr>
                <w:rFonts w:cs="Calibri"/>
                <w:sz w:val="16"/>
                <w:szCs w:val="16"/>
              </w:rPr>
              <w:t>OPDS</w:t>
            </w:r>
          </w:p>
        </w:tc>
        <w:tc>
          <w:tcPr>
            <w:tcW w:w="428" w:type="dxa"/>
          </w:tcPr>
          <w:p w14:paraId="7E425152" w14:textId="77777777" w:rsidR="002B04EB" w:rsidRPr="003F7F6C" w:rsidRDefault="002B04EB" w:rsidP="00B851B7">
            <w:pPr>
              <w:rPr>
                <w:rFonts w:cs="Calibri"/>
                <w:sz w:val="16"/>
                <w:szCs w:val="16"/>
              </w:rPr>
            </w:pPr>
          </w:p>
        </w:tc>
        <w:tc>
          <w:tcPr>
            <w:tcW w:w="444" w:type="dxa"/>
          </w:tcPr>
          <w:p w14:paraId="5136B0D9" w14:textId="77777777" w:rsidR="002B04EB" w:rsidRPr="003F7F6C" w:rsidRDefault="002B04EB" w:rsidP="00B851B7">
            <w:pPr>
              <w:rPr>
                <w:sz w:val="16"/>
                <w:szCs w:val="16"/>
              </w:rPr>
            </w:pPr>
            <w:r w:rsidRPr="003F7F6C">
              <w:rPr>
                <w:rFonts w:cs="Calibri"/>
                <w:sz w:val="16"/>
                <w:szCs w:val="16"/>
              </w:rPr>
              <w:t>X</w:t>
            </w:r>
          </w:p>
        </w:tc>
        <w:tc>
          <w:tcPr>
            <w:tcW w:w="428" w:type="dxa"/>
          </w:tcPr>
          <w:p w14:paraId="3A2B4AA0"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29DAB524" w14:textId="77777777" w:rsidR="002B04EB" w:rsidRPr="003F7F6C" w:rsidRDefault="002B04EB" w:rsidP="00B851B7">
            <w:pPr>
              <w:rPr>
                <w:sz w:val="16"/>
                <w:szCs w:val="16"/>
              </w:rPr>
            </w:pPr>
            <w:r w:rsidRPr="003F7F6C">
              <w:rPr>
                <w:rFonts w:cs="Calibri"/>
                <w:sz w:val="16"/>
                <w:szCs w:val="16"/>
              </w:rPr>
              <w:t>X</w:t>
            </w:r>
          </w:p>
        </w:tc>
        <w:tc>
          <w:tcPr>
            <w:tcW w:w="428" w:type="dxa"/>
          </w:tcPr>
          <w:p w14:paraId="4663F7D3" w14:textId="77777777" w:rsidR="002B04EB" w:rsidRPr="003F7F6C" w:rsidRDefault="002B04EB" w:rsidP="00B851B7">
            <w:pPr>
              <w:rPr>
                <w:rFonts w:cs="Calibri"/>
                <w:sz w:val="16"/>
                <w:szCs w:val="16"/>
              </w:rPr>
            </w:pPr>
            <w:r w:rsidRPr="003F7F6C">
              <w:rPr>
                <w:rFonts w:cs="Calibri"/>
                <w:sz w:val="16"/>
                <w:szCs w:val="16"/>
              </w:rPr>
              <w:t>X</w:t>
            </w:r>
          </w:p>
        </w:tc>
        <w:tc>
          <w:tcPr>
            <w:tcW w:w="427" w:type="dxa"/>
          </w:tcPr>
          <w:p w14:paraId="04273A04" w14:textId="77777777" w:rsidR="002B04EB" w:rsidRPr="003F7F6C" w:rsidRDefault="002B04EB" w:rsidP="00B851B7">
            <w:pPr>
              <w:rPr>
                <w:sz w:val="16"/>
                <w:szCs w:val="16"/>
              </w:rPr>
            </w:pPr>
            <w:r w:rsidRPr="003F7F6C">
              <w:rPr>
                <w:rFonts w:cs="Calibri"/>
                <w:sz w:val="16"/>
                <w:szCs w:val="16"/>
              </w:rPr>
              <w:t>X</w:t>
            </w:r>
          </w:p>
        </w:tc>
        <w:tc>
          <w:tcPr>
            <w:tcW w:w="427" w:type="dxa"/>
          </w:tcPr>
          <w:p w14:paraId="6FE94F31" w14:textId="77777777" w:rsidR="002B04EB" w:rsidRPr="003F7F6C" w:rsidRDefault="002B04EB" w:rsidP="00B851B7">
            <w:pPr>
              <w:rPr>
                <w:sz w:val="16"/>
                <w:szCs w:val="16"/>
              </w:rPr>
            </w:pPr>
            <w:r w:rsidRPr="003F7F6C">
              <w:rPr>
                <w:rFonts w:cs="Calibri"/>
                <w:sz w:val="16"/>
                <w:szCs w:val="16"/>
              </w:rPr>
              <w:t>X</w:t>
            </w:r>
          </w:p>
        </w:tc>
        <w:tc>
          <w:tcPr>
            <w:tcW w:w="427" w:type="dxa"/>
            <w:gridSpan w:val="2"/>
          </w:tcPr>
          <w:p w14:paraId="648FFD4A" w14:textId="77777777" w:rsidR="002B04EB" w:rsidRPr="003F7F6C" w:rsidRDefault="002B04EB" w:rsidP="00B851B7">
            <w:pPr>
              <w:rPr>
                <w:sz w:val="16"/>
                <w:szCs w:val="16"/>
              </w:rPr>
            </w:pPr>
            <w:r w:rsidRPr="003F7F6C">
              <w:rPr>
                <w:rFonts w:cs="Calibri"/>
                <w:sz w:val="16"/>
                <w:szCs w:val="16"/>
              </w:rPr>
              <w:t>X</w:t>
            </w:r>
          </w:p>
        </w:tc>
        <w:tc>
          <w:tcPr>
            <w:tcW w:w="428" w:type="dxa"/>
          </w:tcPr>
          <w:p w14:paraId="02F4EEB5" w14:textId="77777777" w:rsidR="002B04EB" w:rsidRPr="003F7F6C" w:rsidRDefault="002B04EB" w:rsidP="00B851B7">
            <w:pPr>
              <w:rPr>
                <w:rFonts w:cs="Calibri"/>
                <w:sz w:val="16"/>
                <w:szCs w:val="16"/>
              </w:rPr>
            </w:pPr>
            <w:r w:rsidRPr="003F7F6C">
              <w:rPr>
                <w:rFonts w:cs="Calibri"/>
                <w:sz w:val="16"/>
                <w:szCs w:val="16"/>
              </w:rPr>
              <w:t>X</w:t>
            </w:r>
          </w:p>
        </w:tc>
        <w:tc>
          <w:tcPr>
            <w:tcW w:w="428" w:type="dxa"/>
          </w:tcPr>
          <w:p w14:paraId="09763BAC" w14:textId="77777777" w:rsidR="002B04EB" w:rsidRPr="003F7F6C" w:rsidRDefault="002B04EB" w:rsidP="00B851B7">
            <w:pPr>
              <w:rPr>
                <w:sz w:val="16"/>
                <w:szCs w:val="16"/>
              </w:rPr>
            </w:pPr>
            <w:r w:rsidRPr="003F7F6C">
              <w:rPr>
                <w:rFonts w:cs="Calibri"/>
                <w:sz w:val="16"/>
                <w:szCs w:val="16"/>
              </w:rPr>
              <w:t>X</w:t>
            </w:r>
          </w:p>
        </w:tc>
        <w:tc>
          <w:tcPr>
            <w:tcW w:w="428" w:type="dxa"/>
          </w:tcPr>
          <w:p w14:paraId="17DBE585"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6A00D3FB" w14:textId="77777777" w:rsidR="002B04EB" w:rsidRPr="003F7F6C" w:rsidRDefault="002B04EB" w:rsidP="00B851B7">
            <w:pPr>
              <w:rPr>
                <w:sz w:val="16"/>
                <w:szCs w:val="16"/>
              </w:rPr>
            </w:pPr>
            <w:r w:rsidRPr="003F7F6C">
              <w:rPr>
                <w:rFonts w:cs="Calibri"/>
                <w:sz w:val="16"/>
                <w:szCs w:val="16"/>
              </w:rPr>
              <w:t>X</w:t>
            </w:r>
          </w:p>
        </w:tc>
        <w:tc>
          <w:tcPr>
            <w:tcW w:w="428" w:type="dxa"/>
          </w:tcPr>
          <w:p w14:paraId="3CD12960" w14:textId="77777777" w:rsidR="002B04EB" w:rsidRPr="003F7F6C" w:rsidRDefault="002B04EB" w:rsidP="00B851B7">
            <w:pPr>
              <w:rPr>
                <w:rFonts w:cs="Calibri"/>
                <w:sz w:val="16"/>
                <w:szCs w:val="16"/>
              </w:rPr>
            </w:pPr>
          </w:p>
        </w:tc>
        <w:tc>
          <w:tcPr>
            <w:tcW w:w="428" w:type="dxa"/>
          </w:tcPr>
          <w:p w14:paraId="3F2D1A4C" w14:textId="77777777" w:rsidR="002B04EB" w:rsidRPr="003F7F6C" w:rsidRDefault="002B04EB" w:rsidP="00B851B7">
            <w:pPr>
              <w:rPr>
                <w:rFonts w:cs="Calibri"/>
                <w:sz w:val="16"/>
                <w:szCs w:val="16"/>
              </w:rPr>
            </w:pPr>
          </w:p>
        </w:tc>
        <w:tc>
          <w:tcPr>
            <w:tcW w:w="428" w:type="dxa"/>
          </w:tcPr>
          <w:p w14:paraId="4056A7F5" w14:textId="77777777" w:rsidR="002B04EB" w:rsidRPr="003F7F6C" w:rsidRDefault="002B04EB" w:rsidP="00B851B7">
            <w:pPr>
              <w:rPr>
                <w:rFonts w:cs="Calibri"/>
                <w:sz w:val="16"/>
                <w:szCs w:val="16"/>
              </w:rPr>
            </w:pPr>
          </w:p>
        </w:tc>
        <w:tc>
          <w:tcPr>
            <w:tcW w:w="428" w:type="dxa"/>
            <w:gridSpan w:val="2"/>
          </w:tcPr>
          <w:p w14:paraId="57762D61" w14:textId="77777777" w:rsidR="002B04EB" w:rsidRPr="003F7F6C" w:rsidRDefault="002B04EB" w:rsidP="00B851B7">
            <w:pPr>
              <w:rPr>
                <w:rFonts w:cs="Calibri"/>
                <w:sz w:val="16"/>
                <w:szCs w:val="16"/>
              </w:rPr>
            </w:pPr>
          </w:p>
        </w:tc>
        <w:tc>
          <w:tcPr>
            <w:tcW w:w="428" w:type="dxa"/>
          </w:tcPr>
          <w:p w14:paraId="6BB7D819" w14:textId="77777777" w:rsidR="002B04EB" w:rsidRPr="003F7F6C" w:rsidRDefault="002B04EB" w:rsidP="00B851B7">
            <w:pPr>
              <w:rPr>
                <w:rFonts w:cs="Calibri"/>
                <w:sz w:val="16"/>
                <w:szCs w:val="16"/>
              </w:rPr>
            </w:pPr>
          </w:p>
        </w:tc>
        <w:tc>
          <w:tcPr>
            <w:tcW w:w="428" w:type="dxa"/>
          </w:tcPr>
          <w:p w14:paraId="06EA2C93" w14:textId="77777777" w:rsidR="002B04EB" w:rsidRPr="003F7F6C" w:rsidRDefault="002B04EB" w:rsidP="00B851B7">
            <w:pPr>
              <w:rPr>
                <w:rFonts w:cs="Calibri"/>
                <w:sz w:val="16"/>
                <w:szCs w:val="16"/>
              </w:rPr>
            </w:pPr>
          </w:p>
        </w:tc>
        <w:tc>
          <w:tcPr>
            <w:tcW w:w="428" w:type="dxa"/>
          </w:tcPr>
          <w:p w14:paraId="60BCAFAF" w14:textId="77777777" w:rsidR="002B04EB" w:rsidRPr="003F7F6C" w:rsidRDefault="002B04EB" w:rsidP="00B851B7">
            <w:pPr>
              <w:rPr>
                <w:rFonts w:cs="Calibri"/>
                <w:sz w:val="16"/>
                <w:szCs w:val="16"/>
              </w:rPr>
            </w:pPr>
          </w:p>
        </w:tc>
        <w:tc>
          <w:tcPr>
            <w:tcW w:w="428" w:type="dxa"/>
            <w:gridSpan w:val="2"/>
          </w:tcPr>
          <w:p w14:paraId="41ACB3D3" w14:textId="77777777" w:rsidR="002B04EB" w:rsidRPr="003F7F6C" w:rsidRDefault="002B04EB" w:rsidP="00B851B7">
            <w:pPr>
              <w:rPr>
                <w:rFonts w:cs="Calibri"/>
                <w:sz w:val="16"/>
                <w:szCs w:val="16"/>
              </w:rPr>
            </w:pPr>
          </w:p>
        </w:tc>
        <w:tc>
          <w:tcPr>
            <w:tcW w:w="428" w:type="dxa"/>
          </w:tcPr>
          <w:p w14:paraId="197B8B08" w14:textId="77777777" w:rsidR="002B04EB" w:rsidRPr="003F7F6C" w:rsidRDefault="002B04EB" w:rsidP="00B851B7">
            <w:pPr>
              <w:rPr>
                <w:rFonts w:cs="Calibri"/>
                <w:sz w:val="16"/>
                <w:szCs w:val="16"/>
              </w:rPr>
            </w:pPr>
          </w:p>
        </w:tc>
        <w:tc>
          <w:tcPr>
            <w:tcW w:w="428" w:type="dxa"/>
          </w:tcPr>
          <w:p w14:paraId="33918288" w14:textId="77777777" w:rsidR="002B04EB" w:rsidRPr="003F7F6C" w:rsidRDefault="002B04EB" w:rsidP="00B851B7">
            <w:pPr>
              <w:rPr>
                <w:rFonts w:cs="Calibri"/>
                <w:sz w:val="16"/>
                <w:szCs w:val="16"/>
              </w:rPr>
            </w:pPr>
          </w:p>
        </w:tc>
        <w:tc>
          <w:tcPr>
            <w:tcW w:w="428" w:type="dxa"/>
          </w:tcPr>
          <w:p w14:paraId="70495FF7" w14:textId="77777777" w:rsidR="002B04EB" w:rsidRPr="003F7F6C" w:rsidRDefault="002B04EB" w:rsidP="00B851B7">
            <w:pPr>
              <w:rPr>
                <w:rFonts w:cs="Calibri"/>
                <w:sz w:val="16"/>
                <w:szCs w:val="16"/>
              </w:rPr>
            </w:pPr>
          </w:p>
        </w:tc>
        <w:tc>
          <w:tcPr>
            <w:tcW w:w="428" w:type="dxa"/>
          </w:tcPr>
          <w:p w14:paraId="49F36849" w14:textId="77777777" w:rsidR="002B04EB" w:rsidRPr="003F7F6C" w:rsidRDefault="002B04EB" w:rsidP="00B851B7">
            <w:pPr>
              <w:rPr>
                <w:rFonts w:cs="Calibri"/>
                <w:sz w:val="16"/>
                <w:szCs w:val="16"/>
              </w:rPr>
            </w:pPr>
          </w:p>
        </w:tc>
      </w:tr>
      <w:tr w:rsidR="002B04EB" w:rsidRPr="003F7F6C" w14:paraId="377D5590" w14:textId="77777777" w:rsidTr="00B851B7">
        <w:tc>
          <w:tcPr>
            <w:tcW w:w="1668" w:type="dxa"/>
          </w:tcPr>
          <w:p w14:paraId="597F83FC" w14:textId="77777777" w:rsidR="002B04EB" w:rsidRPr="003F7F6C" w:rsidRDefault="002B04EB" w:rsidP="00E91275">
            <w:pPr>
              <w:pStyle w:val="ListParagraph"/>
              <w:numPr>
                <w:ilvl w:val="0"/>
                <w:numId w:val="29"/>
              </w:numPr>
              <w:ind w:left="174" w:hanging="174"/>
              <w:rPr>
                <w:rFonts w:cs="Calibri"/>
                <w:sz w:val="16"/>
                <w:szCs w:val="16"/>
              </w:rPr>
            </w:pPr>
            <w:r w:rsidRPr="003F7F6C">
              <w:rPr>
                <w:rFonts w:cs="Calibri"/>
                <w:sz w:val="16"/>
                <w:szCs w:val="16"/>
              </w:rPr>
              <w:t>ES quantification and valuation</w:t>
            </w:r>
          </w:p>
        </w:tc>
        <w:tc>
          <w:tcPr>
            <w:tcW w:w="1057" w:type="dxa"/>
          </w:tcPr>
          <w:p w14:paraId="0BF7471F" w14:textId="77777777" w:rsidR="002B04EB" w:rsidRPr="003F7F6C" w:rsidRDefault="002B04EB" w:rsidP="00B851B7">
            <w:pPr>
              <w:rPr>
                <w:rFonts w:cs="Calibri"/>
                <w:sz w:val="16"/>
                <w:szCs w:val="16"/>
              </w:rPr>
            </w:pPr>
            <w:r w:rsidRPr="003F7F6C">
              <w:rPr>
                <w:rFonts w:cs="Calibri"/>
                <w:sz w:val="16"/>
                <w:szCs w:val="16"/>
              </w:rPr>
              <w:t>OPDS</w:t>
            </w:r>
          </w:p>
        </w:tc>
        <w:tc>
          <w:tcPr>
            <w:tcW w:w="428" w:type="dxa"/>
          </w:tcPr>
          <w:p w14:paraId="28702B4F" w14:textId="77777777" w:rsidR="002B04EB" w:rsidRPr="003F7F6C" w:rsidRDefault="002B04EB" w:rsidP="00B851B7">
            <w:pPr>
              <w:rPr>
                <w:rFonts w:cs="Calibri"/>
                <w:sz w:val="16"/>
                <w:szCs w:val="16"/>
              </w:rPr>
            </w:pPr>
          </w:p>
        </w:tc>
        <w:tc>
          <w:tcPr>
            <w:tcW w:w="444" w:type="dxa"/>
          </w:tcPr>
          <w:p w14:paraId="723A2E44" w14:textId="77777777" w:rsidR="002B04EB" w:rsidRPr="003F7F6C" w:rsidRDefault="002B04EB" w:rsidP="00B851B7">
            <w:pPr>
              <w:rPr>
                <w:rFonts w:cs="Calibri"/>
                <w:sz w:val="16"/>
                <w:szCs w:val="16"/>
              </w:rPr>
            </w:pPr>
          </w:p>
        </w:tc>
        <w:tc>
          <w:tcPr>
            <w:tcW w:w="428" w:type="dxa"/>
          </w:tcPr>
          <w:p w14:paraId="3D0DEC3A" w14:textId="77777777" w:rsidR="002B04EB" w:rsidRPr="003F7F6C" w:rsidRDefault="002B04EB" w:rsidP="00B851B7">
            <w:pPr>
              <w:rPr>
                <w:rFonts w:cs="Calibri"/>
                <w:sz w:val="16"/>
                <w:szCs w:val="16"/>
              </w:rPr>
            </w:pPr>
          </w:p>
        </w:tc>
        <w:tc>
          <w:tcPr>
            <w:tcW w:w="428" w:type="dxa"/>
            <w:gridSpan w:val="2"/>
          </w:tcPr>
          <w:p w14:paraId="5A2C3AEB" w14:textId="77777777" w:rsidR="002B04EB" w:rsidRPr="003F7F6C" w:rsidRDefault="002B04EB" w:rsidP="00B851B7">
            <w:pPr>
              <w:rPr>
                <w:rFonts w:cs="Calibri"/>
                <w:sz w:val="16"/>
                <w:szCs w:val="16"/>
              </w:rPr>
            </w:pPr>
          </w:p>
        </w:tc>
        <w:tc>
          <w:tcPr>
            <w:tcW w:w="428" w:type="dxa"/>
          </w:tcPr>
          <w:p w14:paraId="6DDD3F02" w14:textId="77777777" w:rsidR="002B04EB" w:rsidRPr="003F7F6C" w:rsidRDefault="002B04EB" w:rsidP="00B851B7">
            <w:pPr>
              <w:rPr>
                <w:rFonts w:cs="Calibri"/>
                <w:sz w:val="16"/>
                <w:szCs w:val="16"/>
              </w:rPr>
            </w:pPr>
          </w:p>
        </w:tc>
        <w:tc>
          <w:tcPr>
            <w:tcW w:w="427" w:type="dxa"/>
          </w:tcPr>
          <w:p w14:paraId="5BC7104F" w14:textId="77777777" w:rsidR="002B04EB" w:rsidRPr="003F7F6C" w:rsidRDefault="002B04EB" w:rsidP="00B851B7">
            <w:pPr>
              <w:rPr>
                <w:rFonts w:cs="Calibri"/>
                <w:sz w:val="16"/>
                <w:szCs w:val="16"/>
              </w:rPr>
            </w:pPr>
          </w:p>
        </w:tc>
        <w:tc>
          <w:tcPr>
            <w:tcW w:w="427" w:type="dxa"/>
          </w:tcPr>
          <w:p w14:paraId="7EC985C8" w14:textId="77777777" w:rsidR="002B04EB" w:rsidRPr="003F7F6C" w:rsidRDefault="002B04EB" w:rsidP="00B851B7">
            <w:pPr>
              <w:rPr>
                <w:rFonts w:cs="Calibri"/>
                <w:sz w:val="16"/>
                <w:szCs w:val="16"/>
              </w:rPr>
            </w:pPr>
          </w:p>
        </w:tc>
        <w:tc>
          <w:tcPr>
            <w:tcW w:w="427" w:type="dxa"/>
            <w:gridSpan w:val="2"/>
          </w:tcPr>
          <w:p w14:paraId="141E36C1" w14:textId="77777777" w:rsidR="002B04EB" w:rsidRPr="003F7F6C" w:rsidRDefault="002B04EB" w:rsidP="00B851B7">
            <w:pPr>
              <w:rPr>
                <w:rFonts w:cs="Calibri"/>
                <w:sz w:val="16"/>
                <w:szCs w:val="16"/>
              </w:rPr>
            </w:pPr>
          </w:p>
        </w:tc>
        <w:tc>
          <w:tcPr>
            <w:tcW w:w="428" w:type="dxa"/>
          </w:tcPr>
          <w:p w14:paraId="66274F92" w14:textId="77777777" w:rsidR="002B04EB" w:rsidRPr="003F7F6C" w:rsidRDefault="002B04EB" w:rsidP="00B851B7">
            <w:pPr>
              <w:rPr>
                <w:rFonts w:cs="Calibri"/>
                <w:sz w:val="16"/>
                <w:szCs w:val="16"/>
              </w:rPr>
            </w:pPr>
            <w:r w:rsidRPr="003F7F6C">
              <w:rPr>
                <w:rFonts w:cs="Calibri"/>
                <w:sz w:val="16"/>
                <w:szCs w:val="16"/>
              </w:rPr>
              <w:t>X</w:t>
            </w:r>
          </w:p>
        </w:tc>
        <w:tc>
          <w:tcPr>
            <w:tcW w:w="428" w:type="dxa"/>
          </w:tcPr>
          <w:p w14:paraId="0D247C7E" w14:textId="77777777" w:rsidR="002B04EB" w:rsidRPr="003F7F6C" w:rsidRDefault="002B04EB" w:rsidP="00B851B7">
            <w:pPr>
              <w:rPr>
                <w:sz w:val="16"/>
                <w:szCs w:val="16"/>
              </w:rPr>
            </w:pPr>
            <w:r w:rsidRPr="003F7F6C">
              <w:rPr>
                <w:rFonts w:cs="Calibri"/>
                <w:sz w:val="16"/>
                <w:szCs w:val="16"/>
              </w:rPr>
              <w:t>X</w:t>
            </w:r>
          </w:p>
        </w:tc>
        <w:tc>
          <w:tcPr>
            <w:tcW w:w="428" w:type="dxa"/>
          </w:tcPr>
          <w:p w14:paraId="4BC8A931"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6C0F9836" w14:textId="77777777" w:rsidR="002B04EB" w:rsidRPr="003F7F6C" w:rsidRDefault="002B04EB" w:rsidP="00B851B7">
            <w:pPr>
              <w:rPr>
                <w:sz w:val="16"/>
                <w:szCs w:val="16"/>
              </w:rPr>
            </w:pPr>
            <w:r w:rsidRPr="003F7F6C">
              <w:rPr>
                <w:rFonts w:cs="Calibri"/>
                <w:sz w:val="16"/>
                <w:szCs w:val="16"/>
              </w:rPr>
              <w:t>X</w:t>
            </w:r>
          </w:p>
        </w:tc>
        <w:tc>
          <w:tcPr>
            <w:tcW w:w="428" w:type="dxa"/>
          </w:tcPr>
          <w:p w14:paraId="2D4F4089" w14:textId="77777777" w:rsidR="002B04EB" w:rsidRPr="003F7F6C" w:rsidRDefault="002B04EB" w:rsidP="00B851B7">
            <w:pPr>
              <w:rPr>
                <w:rFonts w:cs="Calibri"/>
                <w:sz w:val="16"/>
                <w:szCs w:val="16"/>
              </w:rPr>
            </w:pPr>
            <w:r w:rsidRPr="003F7F6C">
              <w:rPr>
                <w:rFonts w:cs="Calibri"/>
                <w:sz w:val="16"/>
                <w:szCs w:val="16"/>
              </w:rPr>
              <w:t>X</w:t>
            </w:r>
          </w:p>
        </w:tc>
        <w:tc>
          <w:tcPr>
            <w:tcW w:w="428" w:type="dxa"/>
          </w:tcPr>
          <w:p w14:paraId="546B976B" w14:textId="77777777" w:rsidR="002B04EB" w:rsidRPr="003F7F6C" w:rsidRDefault="002B04EB" w:rsidP="00B851B7">
            <w:pPr>
              <w:rPr>
                <w:sz w:val="16"/>
                <w:szCs w:val="16"/>
              </w:rPr>
            </w:pPr>
            <w:r w:rsidRPr="003F7F6C">
              <w:rPr>
                <w:rFonts w:cs="Calibri"/>
                <w:sz w:val="16"/>
                <w:szCs w:val="16"/>
              </w:rPr>
              <w:t>X</w:t>
            </w:r>
          </w:p>
        </w:tc>
        <w:tc>
          <w:tcPr>
            <w:tcW w:w="428" w:type="dxa"/>
          </w:tcPr>
          <w:p w14:paraId="3E9CC0EF"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1EA25B3B" w14:textId="77777777" w:rsidR="002B04EB" w:rsidRPr="003F7F6C" w:rsidRDefault="002B04EB" w:rsidP="00B851B7">
            <w:pPr>
              <w:rPr>
                <w:sz w:val="16"/>
                <w:szCs w:val="16"/>
              </w:rPr>
            </w:pPr>
            <w:r w:rsidRPr="003F7F6C">
              <w:rPr>
                <w:rFonts w:cs="Calibri"/>
                <w:sz w:val="16"/>
                <w:szCs w:val="16"/>
              </w:rPr>
              <w:t>X</w:t>
            </w:r>
          </w:p>
        </w:tc>
        <w:tc>
          <w:tcPr>
            <w:tcW w:w="428" w:type="dxa"/>
          </w:tcPr>
          <w:p w14:paraId="5592A812" w14:textId="77777777" w:rsidR="002B04EB" w:rsidRPr="003F7F6C" w:rsidRDefault="002B04EB" w:rsidP="00B851B7">
            <w:pPr>
              <w:rPr>
                <w:rFonts w:cs="Calibri"/>
                <w:sz w:val="16"/>
                <w:szCs w:val="16"/>
              </w:rPr>
            </w:pPr>
            <w:r w:rsidRPr="003F7F6C">
              <w:rPr>
                <w:rFonts w:cs="Calibri"/>
                <w:sz w:val="16"/>
                <w:szCs w:val="16"/>
              </w:rPr>
              <w:t>X</w:t>
            </w:r>
          </w:p>
        </w:tc>
        <w:tc>
          <w:tcPr>
            <w:tcW w:w="428" w:type="dxa"/>
          </w:tcPr>
          <w:p w14:paraId="764698DF" w14:textId="77777777" w:rsidR="002B04EB" w:rsidRPr="003F7F6C" w:rsidRDefault="002B04EB" w:rsidP="00B851B7">
            <w:pPr>
              <w:rPr>
                <w:sz w:val="16"/>
                <w:szCs w:val="16"/>
              </w:rPr>
            </w:pPr>
            <w:r w:rsidRPr="003F7F6C">
              <w:rPr>
                <w:rFonts w:cs="Calibri"/>
                <w:sz w:val="16"/>
                <w:szCs w:val="16"/>
              </w:rPr>
              <w:t>X</w:t>
            </w:r>
          </w:p>
        </w:tc>
        <w:tc>
          <w:tcPr>
            <w:tcW w:w="428" w:type="dxa"/>
          </w:tcPr>
          <w:p w14:paraId="0D639727"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40AA7BA0" w14:textId="77777777" w:rsidR="002B04EB" w:rsidRPr="003F7F6C" w:rsidRDefault="002B04EB" w:rsidP="00B851B7">
            <w:pPr>
              <w:rPr>
                <w:sz w:val="16"/>
                <w:szCs w:val="16"/>
              </w:rPr>
            </w:pPr>
            <w:r w:rsidRPr="003F7F6C">
              <w:rPr>
                <w:rFonts w:cs="Calibri"/>
                <w:sz w:val="16"/>
                <w:szCs w:val="16"/>
              </w:rPr>
              <w:t>X</w:t>
            </w:r>
          </w:p>
        </w:tc>
        <w:tc>
          <w:tcPr>
            <w:tcW w:w="428" w:type="dxa"/>
          </w:tcPr>
          <w:p w14:paraId="67557566" w14:textId="77777777" w:rsidR="002B04EB" w:rsidRPr="003F7F6C" w:rsidRDefault="002B04EB" w:rsidP="00B851B7">
            <w:pPr>
              <w:rPr>
                <w:rFonts w:cs="Calibri"/>
                <w:sz w:val="16"/>
                <w:szCs w:val="16"/>
              </w:rPr>
            </w:pPr>
            <w:r w:rsidRPr="003F7F6C">
              <w:rPr>
                <w:rFonts w:cs="Calibri"/>
                <w:sz w:val="16"/>
                <w:szCs w:val="16"/>
              </w:rPr>
              <w:t>X</w:t>
            </w:r>
          </w:p>
        </w:tc>
        <w:tc>
          <w:tcPr>
            <w:tcW w:w="428" w:type="dxa"/>
          </w:tcPr>
          <w:p w14:paraId="5485C6CF" w14:textId="77777777" w:rsidR="002B04EB" w:rsidRPr="003F7F6C" w:rsidRDefault="002B04EB" w:rsidP="00B851B7">
            <w:pPr>
              <w:rPr>
                <w:sz w:val="16"/>
                <w:szCs w:val="16"/>
              </w:rPr>
            </w:pPr>
            <w:r w:rsidRPr="003F7F6C">
              <w:rPr>
                <w:rFonts w:cs="Calibri"/>
                <w:sz w:val="16"/>
                <w:szCs w:val="16"/>
              </w:rPr>
              <w:t>X</w:t>
            </w:r>
          </w:p>
        </w:tc>
        <w:tc>
          <w:tcPr>
            <w:tcW w:w="428" w:type="dxa"/>
          </w:tcPr>
          <w:p w14:paraId="2B28DD99" w14:textId="77777777" w:rsidR="002B04EB" w:rsidRPr="003F7F6C" w:rsidRDefault="002B04EB" w:rsidP="00B851B7">
            <w:pPr>
              <w:rPr>
                <w:sz w:val="16"/>
                <w:szCs w:val="16"/>
              </w:rPr>
            </w:pPr>
            <w:r w:rsidRPr="003F7F6C">
              <w:rPr>
                <w:rFonts w:cs="Calibri"/>
                <w:sz w:val="16"/>
                <w:szCs w:val="16"/>
              </w:rPr>
              <w:t>X</w:t>
            </w:r>
          </w:p>
        </w:tc>
        <w:tc>
          <w:tcPr>
            <w:tcW w:w="428" w:type="dxa"/>
          </w:tcPr>
          <w:p w14:paraId="59CA0DB9" w14:textId="77777777" w:rsidR="002B04EB" w:rsidRPr="003F7F6C" w:rsidRDefault="002B04EB" w:rsidP="00B851B7">
            <w:pPr>
              <w:rPr>
                <w:sz w:val="16"/>
                <w:szCs w:val="16"/>
              </w:rPr>
            </w:pPr>
            <w:r w:rsidRPr="003F7F6C">
              <w:rPr>
                <w:rFonts w:cs="Calibri"/>
                <w:sz w:val="16"/>
                <w:szCs w:val="16"/>
              </w:rPr>
              <w:t>X</w:t>
            </w:r>
          </w:p>
        </w:tc>
      </w:tr>
      <w:tr w:rsidR="002B04EB" w:rsidRPr="003F7F6C" w14:paraId="2F56A2A7" w14:textId="77777777" w:rsidTr="00B851B7">
        <w:tc>
          <w:tcPr>
            <w:tcW w:w="1668" w:type="dxa"/>
          </w:tcPr>
          <w:p w14:paraId="5E48499B" w14:textId="77777777" w:rsidR="002B04EB" w:rsidRPr="003F7F6C" w:rsidRDefault="002B04EB" w:rsidP="00B851B7">
            <w:pPr>
              <w:rPr>
                <w:rFonts w:cs="Calibri"/>
                <w:sz w:val="16"/>
                <w:szCs w:val="16"/>
              </w:rPr>
            </w:pPr>
            <w:r w:rsidRPr="003F7F6C">
              <w:rPr>
                <w:rFonts w:cs="Calibri"/>
                <w:sz w:val="16"/>
                <w:szCs w:val="16"/>
              </w:rPr>
              <w:t>2.3.2 Promote economic, financial and fiscal incentives</w:t>
            </w:r>
          </w:p>
        </w:tc>
        <w:tc>
          <w:tcPr>
            <w:tcW w:w="1057" w:type="dxa"/>
          </w:tcPr>
          <w:p w14:paraId="163CA66A" w14:textId="77777777" w:rsidR="002B04EB" w:rsidRPr="003F7F6C" w:rsidRDefault="002B04EB" w:rsidP="00B851B7">
            <w:r w:rsidRPr="003F7F6C">
              <w:rPr>
                <w:rFonts w:cs="Calibri"/>
                <w:sz w:val="16"/>
                <w:szCs w:val="16"/>
              </w:rPr>
              <w:t>OPDS</w:t>
            </w:r>
          </w:p>
        </w:tc>
        <w:tc>
          <w:tcPr>
            <w:tcW w:w="428" w:type="dxa"/>
          </w:tcPr>
          <w:p w14:paraId="2FC8E196" w14:textId="77777777" w:rsidR="002B04EB" w:rsidRPr="003F7F6C" w:rsidRDefault="002B04EB" w:rsidP="00B851B7">
            <w:pPr>
              <w:rPr>
                <w:rFonts w:cs="Calibri"/>
                <w:sz w:val="16"/>
                <w:szCs w:val="16"/>
              </w:rPr>
            </w:pPr>
          </w:p>
        </w:tc>
        <w:tc>
          <w:tcPr>
            <w:tcW w:w="444" w:type="dxa"/>
          </w:tcPr>
          <w:p w14:paraId="4883105B" w14:textId="77777777" w:rsidR="002B04EB" w:rsidRPr="003F7F6C" w:rsidRDefault="002B04EB" w:rsidP="00B851B7">
            <w:pPr>
              <w:rPr>
                <w:rFonts w:cs="Calibri"/>
                <w:sz w:val="16"/>
                <w:szCs w:val="16"/>
              </w:rPr>
            </w:pPr>
          </w:p>
        </w:tc>
        <w:tc>
          <w:tcPr>
            <w:tcW w:w="428" w:type="dxa"/>
          </w:tcPr>
          <w:p w14:paraId="67175D3B" w14:textId="77777777" w:rsidR="002B04EB" w:rsidRPr="003F7F6C" w:rsidRDefault="002B04EB" w:rsidP="00B851B7">
            <w:pPr>
              <w:rPr>
                <w:rFonts w:cs="Calibri"/>
                <w:sz w:val="16"/>
                <w:szCs w:val="16"/>
              </w:rPr>
            </w:pPr>
          </w:p>
        </w:tc>
        <w:tc>
          <w:tcPr>
            <w:tcW w:w="428" w:type="dxa"/>
            <w:gridSpan w:val="2"/>
          </w:tcPr>
          <w:p w14:paraId="0660890A" w14:textId="77777777" w:rsidR="002B04EB" w:rsidRPr="003F7F6C" w:rsidRDefault="002B04EB" w:rsidP="00B851B7">
            <w:pPr>
              <w:rPr>
                <w:rFonts w:cs="Calibri"/>
                <w:sz w:val="16"/>
                <w:szCs w:val="16"/>
              </w:rPr>
            </w:pPr>
          </w:p>
        </w:tc>
        <w:tc>
          <w:tcPr>
            <w:tcW w:w="428" w:type="dxa"/>
          </w:tcPr>
          <w:p w14:paraId="4075E7A0" w14:textId="77777777" w:rsidR="002B04EB" w:rsidRPr="003F7F6C" w:rsidRDefault="002B04EB" w:rsidP="00B851B7">
            <w:r w:rsidRPr="003F7F6C">
              <w:rPr>
                <w:rFonts w:cs="Calibri"/>
                <w:sz w:val="16"/>
                <w:szCs w:val="16"/>
              </w:rPr>
              <w:t>X</w:t>
            </w:r>
          </w:p>
        </w:tc>
        <w:tc>
          <w:tcPr>
            <w:tcW w:w="427" w:type="dxa"/>
          </w:tcPr>
          <w:p w14:paraId="0643B84D" w14:textId="77777777" w:rsidR="002B04EB" w:rsidRPr="003F7F6C" w:rsidRDefault="002B04EB" w:rsidP="00B851B7">
            <w:r w:rsidRPr="003F7F6C">
              <w:rPr>
                <w:rFonts w:cs="Calibri"/>
                <w:sz w:val="16"/>
                <w:szCs w:val="16"/>
              </w:rPr>
              <w:t>X</w:t>
            </w:r>
          </w:p>
        </w:tc>
        <w:tc>
          <w:tcPr>
            <w:tcW w:w="427" w:type="dxa"/>
          </w:tcPr>
          <w:p w14:paraId="6F0206E9" w14:textId="77777777" w:rsidR="002B04EB" w:rsidRPr="003F7F6C" w:rsidRDefault="002B04EB" w:rsidP="00B851B7">
            <w:r w:rsidRPr="003F7F6C">
              <w:rPr>
                <w:rFonts w:cs="Calibri"/>
                <w:sz w:val="16"/>
                <w:szCs w:val="16"/>
              </w:rPr>
              <w:t>X</w:t>
            </w:r>
          </w:p>
        </w:tc>
        <w:tc>
          <w:tcPr>
            <w:tcW w:w="427" w:type="dxa"/>
            <w:gridSpan w:val="2"/>
          </w:tcPr>
          <w:p w14:paraId="3BD0078A" w14:textId="77777777" w:rsidR="002B04EB" w:rsidRPr="003F7F6C" w:rsidRDefault="002B04EB" w:rsidP="00B851B7">
            <w:r w:rsidRPr="003F7F6C">
              <w:rPr>
                <w:rFonts w:cs="Calibri"/>
                <w:sz w:val="16"/>
                <w:szCs w:val="16"/>
              </w:rPr>
              <w:t>X</w:t>
            </w:r>
          </w:p>
        </w:tc>
        <w:tc>
          <w:tcPr>
            <w:tcW w:w="428" w:type="dxa"/>
          </w:tcPr>
          <w:p w14:paraId="36BE0C61" w14:textId="77777777" w:rsidR="002B04EB" w:rsidRPr="003F7F6C" w:rsidRDefault="002B04EB" w:rsidP="00B851B7">
            <w:r w:rsidRPr="003F7F6C">
              <w:rPr>
                <w:rFonts w:cs="Calibri"/>
                <w:sz w:val="16"/>
                <w:szCs w:val="16"/>
              </w:rPr>
              <w:t>X</w:t>
            </w:r>
          </w:p>
        </w:tc>
        <w:tc>
          <w:tcPr>
            <w:tcW w:w="428" w:type="dxa"/>
          </w:tcPr>
          <w:p w14:paraId="33EDB783" w14:textId="77777777" w:rsidR="002B04EB" w:rsidRPr="003F7F6C" w:rsidRDefault="002B04EB" w:rsidP="00B851B7">
            <w:r w:rsidRPr="003F7F6C">
              <w:rPr>
                <w:rFonts w:cs="Calibri"/>
                <w:sz w:val="16"/>
                <w:szCs w:val="16"/>
              </w:rPr>
              <w:t>X</w:t>
            </w:r>
          </w:p>
        </w:tc>
        <w:tc>
          <w:tcPr>
            <w:tcW w:w="428" w:type="dxa"/>
          </w:tcPr>
          <w:p w14:paraId="41A5E100" w14:textId="77777777" w:rsidR="002B04EB" w:rsidRPr="003F7F6C" w:rsidRDefault="002B04EB" w:rsidP="00B851B7">
            <w:r w:rsidRPr="003F7F6C">
              <w:rPr>
                <w:rFonts w:cs="Calibri"/>
                <w:sz w:val="16"/>
                <w:szCs w:val="16"/>
              </w:rPr>
              <w:t>X</w:t>
            </w:r>
          </w:p>
        </w:tc>
        <w:tc>
          <w:tcPr>
            <w:tcW w:w="428" w:type="dxa"/>
            <w:gridSpan w:val="2"/>
          </w:tcPr>
          <w:p w14:paraId="13B5909F" w14:textId="77777777" w:rsidR="002B04EB" w:rsidRPr="003F7F6C" w:rsidRDefault="002B04EB" w:rsidP="00B851B7">
            <w:r w:rsidRPr="003F7F6C">
              <w:rPr>
                <w:rFonts w:cs="Calibri"/>
                <w:sz w:val="16"/>
                <w:szCs w:val="16"/>
              </w:rPr>
              <w:t>X</w:t>
            </w:r>
          </w:p>
        </w:tc>
        <w:tc>
          <w:tcPr>
            <w:tcW w:w="428" w:type="dxa"/>
          </w:tcPr>
          <w:p w14:paraId="3779F283" w14:textId="77777777" w:rsidR="002B04EB" w:rsidRPr="003F7F6C" w:rsidRDefault="002B04EB" w:rsidP="00B851B7">
            <w:r w:rsidRPr="003F7F6C">
              <w:rPr>
                <w:rFonts w:cs="Calibri"/>
                <w:sz w:val="16"/>
                <w:szCs w:val="16"/>
              </w:rPr>
              <w:t>X</w:t>
            </w:r>
          </w:p>
        </w:tc>
        <w:tc>
          <w:tcPr>
            <w:tcW w:w="428" w:type="dxa"/>
          </w:tcPr>
          <w:p w14:paraId="5C5961C2" w14:textId="77777777" w:rsidR="002B04EB" w:rsidRPr="003F7F6C" w:rsidRDefault="002B04EB" w:rsidP="00B851B7">
            <w:r w:rsidRPr="003F7F6C">
              <w:rPr>
                <w:rFonts w:cs="Calibri"/>
                <w:sz w:val="16"/>
                <w:szCs w:val="16"/>
              </w:rPr>
              <w:t>X</w:t>
            </w:r>
          </w:p>
        </w:tc>
        <w:tc>
          <w:tcPr>
            <w:tcW w:w="428" w:type="dxa"/>
          </w:tcPr>
          <w:p w14:paraId="6C0824F8" w14:textId="77777777" w:rsidR="002B04EB" w:rsidRPr="003F7F6C" w:rsidRDefault="002B04EB" w:rsidP="00B851B7">
            <w:r w:rsidRPr="003F7F6C">
              <w:rPr>
                <w:rFonts w:cs="Calibri"/>
                <w:sz w:val="16"/>
                <w:szCs w:val="16"/>
              </w:rPr>
              <w:t>X</w:t>
            </w:r>
          </w:p>
        </w:tc>
        <w:tc>
          <w:tcPr>
            <w:tcW w:w="428" w:type="dxa"/>
            <w:gridSpan w:val="2"/>
          </w:tcPr>
          <w:p w14:paraId="0F7F219A" w14:textId="77777777" w:rsidR="002B04EB" w:rsidRPr="003F7F6C" w:rsidRDefault="002B04EB" w:rsidP="00B851B7">
            <w:r w:rsidRPr="003F7F6C">
              <w:rPr>
                <w:rFonts w:cs="Calibri"/>
                <w:sz w:val="16"/>
                <w:szCs w:val="16"/>
              </w:rPr>
              <w:t>X</w:t>
            </w:r>
          </w:p>
        </w:tc>
        <w:tc>
          <w:tcPr>
            <w:tcW w:w="428" w:type="dxa"/>
          </w:tcPr>
          <w:p w14:paraId="1B38CCD1" w14:textId="77777777" w:rsidR="002B04EB" w:rsidRPr="003F7F6C" w:rsidRDefault="002B04EB" w:rsidP="00B851B7">
            <w:r w:rsidRPr="003F7F6C">
              <w:rPr>
                <w:rFonts w:cs="Calibri"/>
                <w:sz w:val="16"/>
                <w:szCs w:val="16"/>
              </w:rPr>
              <w:t>X</w:t>
            </w:r>
          </w:p>
        </w:tc>
        <w:tc>
          <w:tcPr>
            <w:tcW w:w="428" w:type="dxa"/>
          </w:tcPr>
          <w:p w14:paraId="6D16266B" w14:textId="77777777" w:rsidR="002B04EB" w:rsidRPr="003F7F6C" w:rsidRDefault="002B04EB" w:rsidP="00B851B7">
            <w:r w:rsidRPr="003F7F6C">
              <w:rPr>
                <w:rFonts w:cs="Calibri"/>
                <w:sz w:val="16"/>
                <w:szCs w:val="16"/>
              </w:rPr>
              <w:t>X</w:t>
            </w:r>
          </w:p>
        </w:tc>
        <w:tc>
          <w:tcPr>
            <w:tcW w:w="428" w:type="dxa"/>
          </w:tcPr>
          <w:p w14:paraId="05CCD56E" w14:textId="77777777" w:rsidR="002B04EB" w:rsidRPr="003F7F6C" w:rsidRDefault="002B04EB" w:rsidP="00B851B7">
            <w:r w:rsidRPr="003F7F6C">
              <w:rPr>
                <w:rFonts w:cs="Calibri"/>
                <w:sz w:val="16"/>
                <w:szCs w:val="16"/>
              </w:rPr>
              <w:t>X</w:t>
            </w:r>
          </w:p>
        </w:tc>
        <w:tc>
          <w:tcPr>
            <w:tcW w:w="428" w:type="dxa"/>
            <w:gridSpan w:val="2"/>
          </w:tcPr>
          <w:p w14:paraId="1E24887F" w14:textId="77777777" w:rsidR="002B04EB" w:rsidRPr="003F7F6C" w:rsidRDefault="002B04EB" w:rsidP="00B851B7">
            <w:r w:rsidRPr="003F7F6C">
              <w:rPr>
                <w:rFonts w:cs="Calibri"/>
                <w:sz w:val="16"/>
                <w:szCs w:val="16"/>
              </w:rPr>
              <w:t>X</w:t>
            </w:r>
          </w:p>
        </w:tc>
        <w:tc>
          <w:tcPr>
            <w:tcW w:w="428" w:type="dxa"/>
          </w:tcPr>
          <w:p w14:paraId="7A953811" w14:textId="77777777" w:rsidR="002B04EB" w:rsidRPr="003F7F6C" w:rsidRDefault="002B04EB" w:rsidP="00B851B7">
            <w:r w:rsidRPr="003F7F6C">
              <w:rPr>
                <w:rFonts w:cs="Calibri"/>
                <w:sz w:val="16"/>
                <w:szCs w:val="16"/>
              </w:rPr>
              <w:t>X</w:t>
            </w:r>
          </w:p>
        </w:tc>
        <w:tc>
          <w:tcPr>
            <w:tcW w:w="428" w:type="dxa"/>
          </w:tcPr>
          <w:p w14:paraId="4994CC67" w14:textId="77777777" w:rsidR="002B04EB" w:rsidRPr="003F7F6C" w:rsidRDefault="002B04EB" w:rsidP="00B851B7">
            <w:r w:rsidRPr="003F7F6C">
              <w:rPr>
                <w:rFonts w:cs="Calibri"/>
                <w:sz w:val="16"/>
                <w:szCs w:val="16"/>
              </w:rPr>
              <w:t>X</w:t>
            </w:r>
          </w:p>
        </w:tc>
        <w:tc>
          <w:tcPr>
            <w:tcW w:w="428" w:type="dxa"/>
          </w:tcPr>
          <w:p w14:paraId="6C72585E" w14:textId="77777777" w:rsidR="002B04EB" w:rsidRPr="003F7F6C" w:rsidRDefault="002B04EB" w:rsidP="00B851B7">
            <w:r w:rsidRPr="003F7F6C">
              <w:rPr>
                <w:rFonts w:cs="Calibri"/>
                <w:sz w:val="16"/>
                <w:szCs w:val="16"/>
              </w:rPr>
              <w:t>X</w:t>
            </w:r>
          </w:p>
        </w:tc>
        <w:tc>
          <w:tcPr>
            <w:tcW w:w="428" w:type="dxa"/>
          </w:tcPr>
          <w:p w14:paraId="79B4FCE4" w14:textId="77777777" w:rsidR="002B04EB" w:rsidRPr="003F7F6C" w:rsidRDefault="002B04EB" w:rsidP="00B851B7">
            <w:r w:rsidRPr="003F7F6C">
              <w:rPr>
                <w:rFonts w:cs="Calibri"/>
                <w:sz w:val="16"/>
                <w:szCs w:val="16"/>
              </w:rPr>
              <w:t>X</w:t>
            </w:r>
          </w:p>
        </w:tc>
      </w:tr>
      <w:tr w:rsidR="002B04EB" w:rsidRPr="003F7F6C" w14:paraId="1370B0F6" w14:textId="77777777" w:rsidTr="00B851B7">
        <w:tc>
          <w:tcPr>
            <w:tcW w:w="1668" w:type="dxa"/>
          </w:tcPr>
          <w:p w14:paraId="29AAA2D5" w14:textId="77777777" w:rsidR="002B04EB" w:rsidRPr="003F7F6C" w:rsidRDefault="002B04EB" w:rsidP="00E91275">
            <w:pPr>
              <w:pStyle w:val="ListParagraph"/>
              <w:numPr>
                <w:ilvl w:val="0"/>
                <w:numId w:val="29"/>
              </w:numPr>
              <w:ind w:left="174" w:hanging="174"/>
              <w:rPr>
                <w:rFonts w:cs="Calibri"/>
                <w:sz w:val="16"/>
                <w:szCs w:val="16"/>
              </w:rPr>
            </w:pPr>
            <w:r w:rsidRPr="003F7F6C">
              <w:rPr>
                <w:rFonts w:cs="Calibri"/>
                <w:sz w:val="16"/>
                <w:szCs w:val="16"/>
              </w:rPr>
              <w:t>Promote access of landowners to Native Forest Laws compensations</w:t>
            </w:r>
          </w:p>
        </w:tc>
        <w:tc>
          <w:tcPr>
            <w:tcW w:w="1057" w:type="dxa"/>
          </w:tcPr>
          <w:p w14:paraId="123587C5" w14:textId="77777777" w:rsidR="002B04EB" w:rsidRPr="003F7F6C" w:rsidRDefault="002B04EB" w:rsidP="00B851B7">
            <w:r w:rsidRPr="003F7F6C">
              <w:rPr>
                <w:rFonts w:cs="Calibri"/>
                <w:sz w:val="16"/>
                <w:szCs w:val="16"/>
              </w:rPr>
              <w:t>OPDS</w:t>
            </w:r>
          </w:p>
        </w:tc>
        <w:tc>
          <w:tcPr>
            <w:tcW w:w="428" w:type="dxa"/>
          </w:tcPr>
          <w:p w14:paraId="2AA6417F" w14:textId="77777777" w:rsidR="002B04EB" w:rsidRPr="003F7F6C" w:rsidRDefault="002B04EB" w:rsidP="00B851B7">
            <w:pPr>
              <w:rPr>
                <w:rFonts w:cs="Calibri"/>
                <w:sz w:val="16"/>
                <w:szCs w:val="16"/>
              </w:rPr>
            </w:pPr>
          </w:p>
        </w:tc>
        <w:tc>
          <w:tcPr>
            <w:tcW w:w="444" w:type="dxa"/>
          </w:tcPr>
          <w:p w14:paraId="472B7011" w14:textId="77777777" w:rsidR="002B04EB" w:rsidRPr="003F7F6C" w:rsidRDefault="002B04EB" w:rsidP="00B851B7">
            <w:pPr>
              <w:rPr>
                <w:rFonts w:cs="Calibri"/>
                <w:sz w:val="16"/>
                <w:szCs w:val="16"/>
              </w:rPr>
            </w:pPr>
          </w:p>
        </w:tc>
        <w:tc>
          <w:tcPr>
            <w:tcW w:w="428" w:type="dxa"/>
          </w:tcPr>
          <w:p w14:paraId="6877083A" w14:textId="77777777" w:rsidR="002B04EB" w:rsidRPr="003F7F6C" w:rsidRDefault="002B04EB" w:rsidP="00B851B7">
            <w:pPr>
              <w:rPr>
                <w:rFonts w:cs="Calibri"/>
                <w:sz w:val="16"/>
                <w:szCs w:val="16"/>
              </w:rPr>
            </w:pPr>
          </w:p>
        </w:tc>
        <w:tc>
          <w:tcPr>
            <w:tcW w:w="428" w:type="dxa"/>
            <w:gridSpan w:val="2"/>
          </w:tcPr>
          <w:p w14:paraId="398380EC" w14:textId="77777777" w:rsidR="002B04EB" w:rsidRPr="003F7F6C" w:rsidRDefault="002B04EB" w:rsidP="00B851B7">
            <w:pPr>
              <w:rPr>
                <w:rFonts w:cs="Calibri"/>
                <w:sz w:val="16"/>
                <w:szCs w:val="16"/>
              </w:rPr>
            </w:pPr>
          </w:p>
        </w:tc>
        <w:tc>
          <w:tcPr>
            <w:tcW w:w="428" w:type="dxa"/>
          </w:tcPr>
          <w:p w14:paraId="04F5AE23" w14:textId="77777777" w:rsidR="002B04EB" w:rsidRPr="003F7F6C" w:rsidRDefault="002B04EB" w:rsidP="00B851B7">
            <w:r w:rsidRPr="003F7F6C">
              <w:rPr>
                <w:rFonts w:cs="Calibri"/>
                <w:sz w:val="16"/>
                <w:szCs w:val="16"/>
              </w:rPr>
              <w:t>X</w:t>
            </w:r>
          </w:p>
        </w:tc>
        <w:tc>
          <w:tcPr>
            <w:tcW w:w="427" w:type="dxa"/>
          </w:tcPr>
          <w:p w14:paraId="6026245E" w14:textId="77777777" w:rsidR="002B04EB" w:rsidRPr="003F7F6C" w:rsidRDefault="002B04EB" w:rsidP="00B851B7">
            <w:r w:rsidRPr="003F7F6C">
              <w:rPr>
                <w:rFonts w:cs="Calibri"/>
                <w:sz w:val="16"/>
                <w:szCs w:val="16"/>
              </w:rPr>
              <w:t>X</w:t>
            </w:r>
          </w:p>
        </w:tc>
        <w:tc>
          <w:tcPr>
            <w:tcW w:w="427" w:type="dxa"/>
          </w:tcPr>
          <w:p w14:paraId="324E1812" w14:textId="77777777" w:rsidR="002B04EB" w:rsidRPr="003F7F6C" w:rsidRDefault="002B04EB" w:rsidP="00B851B7">
            <w:r w:rsidRPr="003F7F6C">
              <w:rPr>
                <w:rFonts w:cs="Calibri"/>
                <w:sz w:val="16"/>
                <w:szCs w:val="16"/>
              </w:rPr>
              <w:t>X</w:t>
            </w:r>
          </w:p>
        </w:tc>
        <w:tc>
          <w:tcPr>
            <w:tcW w:w="427" w:type="dxa"/>
            <w:gridSpan w:val="2"/>
          </w:tcPr>
          <w:p w14:paraId="78FE2FEB" w14:textId="77777777" w:rsidR="002B04EB" w:rsidRPr="003F7F6C" w:rsidRDefault="002B04EB" w:rsidP="00B851B7">
            <w:r w:rsidRPr="003F7F6C">
              <w:rPr>
                <w:rFonts w:cs="Calibri"/>
                <w:sz w:val="16"/>
                <w:szCs w:val="16"/>
              </w:rPr>
              <w:t>X</w:t>
            </w:r>
          </w:p>
        </w:tc>
        <w:tc>
          <w:tcPr>
            <w:tcW w:w="428" w:type="dxa"/>
          </w:tcPr>
          <w:p w14:paraId="4A815237" w14:textId="77777777" w:rsidR="002B04EB" w:rsidRPr="003F7F6C" w:rsidRDefault="002B04EB" w:rsidP="00B851B7">
            <w:r w:rsidRPr="003F7F6C">
              <w:rPr>
                <w:rFonts w:cs="Calibri"/>
                <w:sz w:val="16"/>
                <w:szCs w:val="16"/>
              </w:rPr>
              <w:t>X</w:t>
            </w:r>
          </w:p>
        </w:tc>
        <w:tc>
          <w:tcPr>
            <w:tcW w:w="428" w:type="dxa"/>
          </w:tcPr>
          <w:p w14:paraId="5E3BEDF5" w14:textId="77777777" w:rsidR="002B04EB" w:rsidRPr="003F7F6C" w:rsidRDefault="002B04EB" w:rsidP="00B851B7">
            <w:r w:rsidRPr="003F7F6C">
              <w:rPr>
                <w:rFonts w:cs="Calibri"/>
                <w:sz w:val="16"/>
                <w:szCs w:val="16"/>
              </w:rPr>
              <w:t>X</w:t>
            </w:r>
          </w:p>
        </w:tc>
        <w:tc>
          <w:tcPr>
            <w:tcW w:w="428" w:type="dxa"/>
          </w:tcPr>
          <w:p w14:paraId="3C24B203" w14:textId="77777777" w:rsidR="002B04EB" w:rsidRPr="003F7F6C" w:rsidRDefault="002B04EB" w:rsidP="00B851B7">
            <w:r w:rsidRPr="003F7F6C">
              <w:rPr>
                <w:rFonts w:cs="Calibri"/>
                <w:sz w:val="16"/>
                <w:szCs w:val="16"/>
              </w:rPr>
              <w:t>X</w:t>
            </w:r>
          </w:p>
        </w:tc>
        <w:tc>
          <w:tcPr>
            <w:tcW w:w="428" w:type="dxa"/>
            <w:gridSpan w:val="2"/>
          </w:tcPr>
          <w:p w14:paraId="66CDE70B" w14:textId="77777777" w:rsidR="002B04EB" w:rsidRPr="003F7F6C" w:rsidRDefault="002B04EB" w:rsidP="00B851B7">
            <w:r w:rsidRPr="003F7F6C">
              <w:rPr>
                <w:rFonts w:cs="Calibri"/>
                <w:sz w:val="16"/>
                <w:szCs w:val="16"/>
              </w:rPr>
              <w:t>X</w:t>
            </w:r>
          </w:p>
        </w:tc>
        <w:tc>
          <w:tcPr>
            <w:tcW w:w="428" w:type="dxa"/>
          </w:tcPr>
          <w:p w14:paraId="0425758E" w14:textId="77777777" w:rsidR="002B04EB" w:rsidRPr="003F7F6C" w:rsidRDefault="002B04EB" w:rsidP="00B851B7">
            <w:r w:rsidRPr="003F7F6C">
              <w:rPr>
                <w:rFonts w:cs="Calibri"/>
                <w:sz w:val="16"/>
                <w:szCs w:val="16"/>
              </w:rPr>
              <w:t>X</w:t>
            </w:r>
          </w:p>
        </w:tc>
        <w:tc>
          <w:tcPr>
            <w:tcW w:w="428" w:type="dxa"/>
          </w:tcPr>
          <w:p w14:paraId="2C1B72EC" w14:textId="77777777" w:rsidR="002B04EB" w:rsidRPr="003F7F6C" w:rsidRDefault="002B04EB" w:rsidP="00B851B7">
            <w:r w:rsidRPr="003F7F6C">
              <w:rPr>
                <w:rFonts w:cs="Calibri"/>
                <w:sz w:val="16"/>
                <w:szCs w:val="16"/>
              </w:rPr>
              <w:t>X</w:t>
            </w:r>
          </w:p>
        </w:tc>
        <w:tc>
          <w:tcPr>
            <w:tcW w:w="428" w:type="dxa"/>
          </w:tcPr>
          <w:p w14:paraId="34149343" w14:textId="77777777" w:rsidR="002B04EB" w:rsidRPr="003F7F6C" w:rsidRDefault="002B04EB" w:rsidP="00B851B7">
            <w:r w:rsidRPr="003F7F6C">
              <w:rPr>
                <w:rFonts w:cs="Calibri"/>
                <w:sz w:val="16"/>
                <w:szCs w:val="16"/>
              </w:rPr>
              <w:t>X</w:t>
            </w:r>
          </w:p>
        </w:tc>
        <w:tc>
          <w:tcPr>
            <w:tcW w:w="428" w:type="dxa"/>
            <w:gridSpan w:val="2"/>
          </w:tcPr>
          <w:p w14:paraId="14624EC7" w14:textId="77777777" w:rsidR="002B04EB" w:rsidRPr="003F7F6C" w:rsidRDefault="002B04EB" w:rsidP="00B851B7">
            <w:r w:rsidRPr="003F7F6C">
              <w:rPr>
                <w:rFonts w:cs="Calibri"/>
                <w:sz w:val="16"/>
                <w:szCs w:val="16"/>
              </w:rPr>
              <w:t>X</w:t>
            </w:r>
          </w:p>
        </w:tc>
        <w:tc>
          <w:tcPr>
            <w:tcW w:w="428" w:type="dxa"/>
          </w:tcPr>
          <w:p w14:paraId="1A74EF2E" w14:textId="77777777" w:rsidR="002B04EB" w:rsidRPr="003F7F6C" w:rsidRDefault="002B04EB" w:rsidP="00B851B7">
            <w:r w:rsidRPr="003F7F6C">
              <w:rPr>
                <w:rFonts w:cs="Calibri"/>
                <w:sz w:val="16"/>
                <w:szCs w:val="16"/>
              </w:rPr>
              <w:t>X</w:t>
            </w:r>
          </w:p>
        </w:tc>
        <w:tc>
          <w:tcPr>
            <w:tcW w:w="428" w:type="dxa"/>
          </w:tcPr>
          <w:p w14:paraId="130864BF" w14:textId="77777777" w:rsidR="002B04EB" w:rsidRPr="003F7F6C" w:rsidRDefault="002B04EB" w:rsidP="00B851B7">
            <w:r w:rsidRPr="003F7F6C">
              <w:rPr>
                <w:rFonts w:cs="Calibri"/>
                <w:sz w:val="16"/>
                <w:szCs w:val="16"/>
              </w:rPr>
              <w:t>X</w:t>
            </w:r>
          </w:p>
        </w:tc>
        <w:tc>
          <w:tcPr>
            <w:tcW w:w="428" w:type="dxa"/>
          </w:tcPr>
          <w:p w14:paraId="440DAD3B" w14:textId="77777777" w:rsidR="002B04EB" w:rsidRPr="003F7F6C" w:rsidRDefault="002B04EB" w:rsidP="00B851B7">
            <w:r w:rsidRPr="003F7F6C">
              <w:rPr>
                <w:rFonts w:cs="Calibri"/>
                <w:sz w:val="16"/>
                <w:szCs w:val="16"/>
              </w:rPr>
              <w:t>X</w:t>
            </w:r>
          </w:p>
        </w:tc>
        <w:tc>
          <w:tcPr>
            <w:tcW w:w="428" w:type="dxa"/>
            <w:gridSpan w:val="2"/>
          </w:tcPr>
          <w:p w14:paraId="5BBB92F7" w14:textId="77777777" w:rsidR="002B04EB" w:rsidRPr="003F7F6C" w:rsidRDefault="002B04EB" w:rsidP="00B851B7">
            <w:r w:rsidRPr="003F7F6C">
              <w:rPr>
                <w:rFonts w:cs="Calibri"/>
                <w:sz w:val="16"/>
                <w:szCs w:val="16"/>
              </w:rPr>
              <w:t>X</w:t>
            </w:r>
          </w:p>
        </w:tc>
        <w:tc>
          <w:tcPr>
            <w:tcW w:w="428" w:type="dxa"/>
          </w:tcPr>
          <w:p w14:paraId="4601E21A" w14:textId="77777777" w:rsidR="002B04EB" w:rsidRPr="003F7F6C" w:rsidRDefault="002B04EB" w:rsidP="00B851B7">
            <w:r w:rsidRPr="003F7F6C">
              <w:rPr>
                <w:rFonts w:cs="Calibri"/>
                <w:sz w:val="16"/>
                <w:szCs w:val="16"/>
              </w:rPr>
              <w:t>X</w:t>
            </w:r>
          </w:p>
        </w:tc>
        <w:tc>
          <w:tcPr>
            <w:tcW w:w="428" w:type="dxa"/>
          </w:tcPr>
          <w:p w14:paraId="514BC727" w14:textId="77777777" w:rsidR="002B04EB" w:rsidRPr="003F7F6C" w:rsidRDefault="002B04EB" w:rsidP="00B851B7">
            <w:r w:rsidRPr="003F7F6C">
              <w:rPr>
                <w:rFonts w:cs="Calibri"/>
                <w:sz w:val="16"/>
                <w:szCs w:val="16"/>
              </w:rPr>
              <w:t>X</w:t>
            </w:r>
          </w:p>
        </w:tc>
        <w:tc>
          <w:tcPr>
            <w:tcW w:w="428" w:type="dxa"/>
          </w:tcPr>
          <w:p w14:paraId="6323F67D" w14:textId="77777777" w:rsidR="002B04EB" w:rsidRPr="003F7F6C" w:rsidRDefault="002B04EB" w:rsidP="00B851B7">
            <w:r w:rsidRPr="003F7F6C">
              <w:rPr>
                <w:rFonts w:cs="Calibri"/>
                <w:sz w:val="16"/>
                <w:szCs w:val="16"/>
              </w:rPr>
              <w:t>X</w:t>
            </w:r>
          </w:p>
        </w:tc>
        <w:tc>
          <w:tcPr>
            <w:tcW w:w="428" w:type="dxa"/>
          </w:tcPr>
          <w:p w14:paraId="75B3F2A6" w14:textId="77777777" w:rsidR="002B04EB" w:rsidRPr="003F7F6C" w:rsidRDefault="002B04EB" w:rsidP="00B851B7">
            <w:r w:rsidRPr="003F7F6C">
              <w:rPr>
                <w:rFonts w:cs="Calibri"/>
                <w:sz w:val="16"/>
                <w:szCs w:val="16"/>
              </w:rPr>
              <w:t>X</w:t>
            </w:r>
          </w:p>
        </w:tc>
      </w:tr>
      <w:tr w:rsidR="002B04EB" w:rsidRPr="003F7F6C" w14:paraId="517FBB12" w14:textId="77777777" w:rsidTr="00B851B7">
        <w:tc>
          <w:tcPr>
            <w:tcW w:w="1668" w:type="dxa"/>
          </w:tcPr>
          <w:p w14:paraId="65417B25" w14:textId="77777777" w:rsidR="002B04EB" w:rsidRPr="003F7F6C" w:rsidRDefault="002B04EB" w:rsidP="00E91275">
            <w:pPr>
              <w:pStyle w:val="ListParagraph"/>
              <w:numPr>
                <w:ilvl w:val="0"/>
                <w:numId w:val="29"/>
              </w:numPr>
              <w:ind w:left="174" w:hanging="174"/>
              <w:rPr>
                <w:rFonts w:cs="Calibri"/>
                <w:sz w:val="16"/>
                <w:szCs w:val="16"/>
              </w:rPr>
            </w:pPr>
            <w:r w:rsidRPr="003F7F6C">
              <w:rPr>
                <w:rFonts w:cs="Calibri"/>
                <w:sz w:val="16"/>
                <w:szCs w:val="16"/>
              </w:rPr>
              <w:t xml:space="preserve">Assess national funding programs for promoting BD and SLM practices and test/validate in target landscapes </w:t>
            </w:r>
          </w:p>
        </w:tc>
        <w:tc>
          <w:tcPr>
            <w:tcW w:w="1057" w:type="dxa"/>
          </w:tcPr>
          <w:p w14:paraId="1C1E39F9" w14:textId="77777777" w:rsidR="002B04EB" w:rsidRPr="003F7F6C" w:rsidRDefault="002B04EB" w:rsidP="00B851B7">
            <w:r w:rsidRPr="003F7F6C">
              <w:rPr>
                <w:rFonts w:cs="Calibri"/>
                <w:sz w:val="16"/>
                <w:szCs w:val="16"/>
              </w:rPr>
              <w:t>OPDS</w:t>
            </w:r>
          </w:p>
        </w:tc>
        <w:tc>
          <w:tcPr>
            <w:tcW w:w="428" w:type="dxa"/>
          </w:tcPr>
          <w:p w14:paraId="4EA2BEC7" w14:textId="77777777" w:rsidR="002B04EB" w:rsidRPr="003F7F6C" w:rsidRDefault="002B04EB" w:rsidP="00B851B7">
            <w:pPr>
              <w:rPr>
                <w:rFonts w:cs="Calibri"/>
                <w:sz w:val="16"/>
                <w:szCs w:val="16"/>
              </w:rPr>
            </w:pPr>
          </w:p>
        </w:tc>
        <w:tc>
          <w:tcPr>
            <w:tcW w:w="444" w:type="dxa"/>
          </w:tcPr>
          <w:p w14:paraId="547DB068" w14:textId="77777777" w:rsidR="002B04EB" w:rsidRPr="003F7F6C" w:rsidRDefault="002B04EB" w:rsidP="00B851B7">
            <w:pPr>
              <w:rPr>
                <w:rFonts w:cs="Calibri"/>
                <w:sz w:val="16"/>
                <w:szCs w:val="16"/>
              </w:rPr>
            </w:pPr>
          </w:p>
        </w:tc>
        <w:tc>
          <w:tcPr>
            <w:tcW w:w="428" w:type="dxa"/>
          </w:tcPr>
          <w:p w14:paraId="74E576FF" w14:textId="77777777" w:rsidR="002B04EB" w:rsidRPr="003F7F6C" w:rsidRDefault="002B04EB" w:rsidP="00B851B7">
            <w:pPr>
              <w:rPr>
                <w:rFonts w:cs="Calibri"/>
                <w:sz w:val="16"/>
                <w:szCs w:val="16"/>
              </w:rPr>
            </w:pPr>
          </w:p>
        </w:tc>
        <w:tc>
          <w:tcPr>
            <w:tcW w:w="428" w:type="dxa"/>
            <w:gridSpan w:val="2"/>
          </w:tcPr>
          <w:p w14:paraId="22130016" w14:textId="77777777" w:rsidR="002B04EB" w:rsidRPr="003F7F6C" w:rsidRDefault="002B04EB" w:rsidP="00B851B7">
            <w:pPr>
              <w:rPr>
                <w:rFonts w:cs="Calibri"/>
                <w:sz w:val="16"/>
                <w:szCs w:val="16"/>
              </w:rPr>
            </w:pPr>
          </w:p>
        </w:tc>
        <w:tc>
          <w:tcPr>
            <w:tcW w:w="428" w:type="dxa"/>
          </w:tcPr>
          <w:p w14:paraId="4DF711C0" w14:textId="77777777" w:rsidR="002B04EB" w:rsidRPr="003F7F6C" w:rsidRDefault="002B04EB" w:rsidP="00B851B7">
            <w:r w:rsidRPr="003F7F6C">
              <w:rPr>
                <w:rFonts w:cs="Calibri"/>
                <w:sz w:val="16"/>
                <w:szCs w:val="16"/>
              </w:rPr>
              <w:t>X</w:t>
            </w:r>
          </w:p>
        </w:tc>
        <w:tc>
          <w:tcPr>
            <w:tcW w:w="427" w:type="dxa"/>
          </w:tcPr>
          <w:p w14:paraId="1A70D0B6" w14:textId="77777777" w:rsidR="002B04EB" w:rsidRPr="003F7F6C" w:rsidRDefault="002B04EB" w:rsidP="00B851B7">
            <w:r w:rsidRPr="003F7F6C">
              <w:rPr>
                <w:rFonts w:cs="Calibri"/>
                <w:sz w:val="16"/>
                <w:szCs w:val="16"/>
              </w:rPr>
              <w:t>X</w:t>
            </w:r>
          </w:p>
        </w:tc>
        <w:tc>
          <w:tcPr>
            <w:tcW w:w="427" w:type="dxa"/>
          </w:tcPr>
          <w:p w14:paraId="7503A769" w14:textId="77777777" w:rsidR="002B04EB" w:rsidRPr="003F7F6C" w:rsidRDefault="002B04EB" w:rsidP="00B851B7">
            <w:r w:rsidRPr="003F7F6C">
              <w:rPr>
                <w:rFonts w:cs="Calibri"/>
                <w:sz w:val="16"/>
                <w:szCs w:val="16"/>
              </w:rPr>
              <w:t>X</w:t>
            </w:r>
          </w:p>
        </w:tc>
        <w:tc>
          <w:tcPr>
            <w:tcW w:w="427" w:type="dxa"/>
            <w:gridSpan w:val="2"/>
          </w:tcPr>
          <w:p w14:paraId="283A6A6C" w14:textId="77777777" w:rsidR="002B04EB" w:rsidRPr="003F7F6C" w:rsidRDefault="002B04EB" w:rsidP="00B851B7">
            <w:r w:rsidRPr="003F7F6C">
              <w:rPr>
                <w:rFonts w:cs="Calibri"/>
                <w:sz w:val="16"/>
                <w:szCs w:val="16"/>
              </w:rPr>
              <w:t>X</w:t>
            </w:r>
          </w:p>
        </w:tc>
        <w:tc>
          <w:tcPr>
            <w:tcW w:w="428" w:type="dxa"/>
          </w:tcPr>
          <w:p w14:paraId="64116DB3" w14:textId="77777777" w:rsidR="002B04EB" w:rsidRPr="003F7F6C" w:rsidRDefault="002B04EB" w:rsidP="00B851B7">
            <w:r w:rsidRPr="003F7F6C">
              <w:rPr>
                <w:rFonts w:cs="Calibri"/>
                <w:sz w:val="16"/>
                <w:szCs w:val="16"/>
              </w:rPr>
              <w:t>X</w:t>
            </w:r>
          </w:p>
        </w:tc>
        <w:tc>
          <w:tcPr>
            <w:tcW w:w="428" w:type="dxa"/>
          </w:tcPr>
          <w:p w14:paraId="0BAA5C46" w14:textId="77777777" w:rsidR="002B04EB" w:rsidRPr="003F7F6C" w:rsidRDefault="002B04EB" w:rsidP="00B851B7">
            <w:r w:rsidRPr="003F7F6C">
              <w:rPr>
                <w:rFonts w:cs="Calibri"/>
                <w:sz w:val="16"/>
                <w:szCs w:val="16"/>
              </w:rPr>
              <w:t>X</w:t>
            </w:r>
          </w:p>
        </w:tc>
        <w:tc>
          <w:tcPr>
            <w:tcW w:w="428" w:type="dxa"/>
          </w:tcPr>
          <w:p w14:paraId="21A2A0A7" w14:textId="77777777" w:rsidR="002B04EB" w:rsidRPr="003F7F6C" w:rsidRDefault="002B04EB" w:rsidP="00B851B7">
            <w:r w:rsidRPr="003F7F6C">
              <w:rPr>
                <w:rFonts w:cs="Calibri"/>
                <w:sz w:val="16"/>
                <w:szCs w:val="16"/>
              </w:rPr>
              <w:t>X</w:t>
            </w:r>
          </w:p>
        </w:tc>
        <w:tc>
          <w:tcPr>
            <w:tcW w:w="428" w:type="dxa"/>
            <w:gridSpan w:val="2"/>
          </w:tcPr>
          <w:p w14:paraId="76F9FB7C" w14:textId="77777777" w:rsidR="002B04EB" w:rsidRPr="003F7F6C" w:rsidRDefault="002B04EB" w:rsidP="00B851B7">
            <w:r w:rsidRPr="003F7F6C">
              <w:rPr>
                <w:rFonts w:cs="Calibri"/>
                <w:sz w:val="16"/>
                <w:szCs w:val="16"/>
              </w:rPr>
              <w:t>X</w:t>
            </w:r>
          </w:p>
        </w:tc>
        <w:tc>
          <w:tcPr>
            <w:tcW w:w="428" w:type="dxa"/>
          </w:tcPr>
          <w:p w14:paraId="6F31B590" w14:textId="77777777" w:rsidR="002B04EB" w:rsidRPr="003F7F6C" w:rsidRDefault="002B04EB" w:rsidP="00B851B7">
            <w:r w:rsidRPr="003F7F6C">
              <w:rPr>
                <w:rFonts w:cs="Calibri"/>
                <w:sz w:val="16"/>
                <w:szCs w:val="16"/>
              </w:rPr>
              <w:t>X</w:t>
            </w:r>
          </w:p>
        </w:tc>
        <w:tc>
          <w:tcPr>
            <w:tcW w:w="428" w:type="dxa"/>
          </w:tcPr>
          <w:p w14:paraId="610F3658" w14:textId="77777777" w:rsidR="002B04EB" w:rsidRPr="003F7F6C" w:rsidRDefault="002B04EB" w:rsidP="00B851B7">
            <w:r w:rsidRPr="003F7F6C">
              <w:rPr>
                <w:rFonts w:cs="Calibri"/>
                <w:sz w:val="16"/>
                <w:szCs w:val="16"/>
              </w:rPr>
              <w:t>X</w:t>
            </w:r>
          </w:p>
        </w:tc>
        <w:tc>
          <w:tcPr>
            <w:tcW w:w="428" w:type="dxa"/>
          </w:tcPr>
          <w:p w14:paraId="1FA4B080" w14:textId="77777777" w:rsidR="002B04EB" w:rsidRPr="003F7F6C" w:rsidRDefault="002B04EB" w:rsidP="00B851B7">
            <w:r w:rsidRPr="003F7F6C">
              <w:rPr>
                <w:rFonts w:cs="Calibri"/>
                <w:sz w:val="16"/>
                <w:szCs w:val="16"/>
              </w:rPr>
              <w:t>X</w:t>
            </w:r>
          </w:p>
        </w:tc>
        <w:tc>
          <w:tcPr>
            <w:tcW w:w="428" w:type="dxa"/>
            <w:gridSpan w:val="2"/>
          </w:tcPr>
          <w:p w14:paraId="0C13F2DF" w14:textId="77777777" w:rsidR="002B04EB" w:rsidRPr="003F7F6C" w:rsidRDefault="002B04EB" w:rsidP="00B851B7">
            <w:r w:rsidRPr="003F7F6C">
              <w:rPr>
                <w:rFonts w:cs="Calibri"/>
                <w:sz w:val="16"/>
                <w:szCs w:val="16"/>
              </w:rPr>
              <w:t>X</w:t>
            </w:r>
          </w:p>
        </w:tc>
        <w:tc>
          <w:tcPr>
            <w:tcW w:w="428" w:type="dxa"/>
          </w:tcPr>
          <w:p w14:paraId="74591CB7" w14:textId="77777777" w:rsidR="002B04EB" w:rsidRPr="003F7F6C" w:rsidRDefault="002B04EB" w:rsidP="00B851B7">
            <w:r w:rsidRPr="003F7F6C">
              <w:rPr>
                <w:rFonts w:cs="Calibri"/>
                <w:sz w:val="16"/>
                <w:szCs w:val="16"/>
              </w:rPr>
              <w:t>X</w:t>
            </w:r>
          </w:p>
        </w:tc>
        <w:tc>
          <w:tcPr>
            <w:tcW w:w="428" w:type="dxa"/>
          </w:tcPr>
          <w:p w14:paraId="19AF922B" w14:textId="77777777" w:rsidR="002B04EB" w:rsidRPr="003F7F6C" w:rsidRDefault="002B04EB" w:rsidP="00B851B7">
            <w:r w:rsidRPr="003F7F6C">
              <w:rPr>
                <w:rFonts w:cs="Calibri"/>
                <w:sz w:val="16"/>
                <w:szCs w:val="16"/>
              </w:rPr>
              <w:t>X</w:t>
            </w:r>
          </w:p>
        </w:tc>
        <w:tc>
          <w:tcPr>
            <w:tcW w:w="428" w:type="dxa"/>
          </w:tcPr>
          <w:p w14:paraId="7F872E7E" w14:textId="77777777" w:rsidR="002B04EB" w:rsidRPr="003F7F6C" w:rsidRDefault="002B04EB" w:rsidP="00B851B7">
            <w:r w:rsidRPr="003F7F6C">
              <w:rPr>
                <w:rFonts w:cs="Calibri"/>
                <w:sz w:val="16"/>
                <w:szCs w:val="16"/>
              </w:rPr>
              <w:t>X</w:t>
            </w:r>
          </w:p>
        </w:tc>
        <w:tc>
          <w:tcPr>
            <w:tcW w:w="428" w:type="dxa"/>
            <w:gridSpan w:val="2"/>
          </w:tcPr>
          <w:p w14:paraId="000FA4CB" w14:textId="77777777" w:rsidR="002B04EB" w:rsidRPr="003F7F6C" w:rsidRDefault="002B04EB" w:rsidP="00B851B7">
            <w:r w:rsidRPr="003F7F6C">
              <w:rPr>
                <w:rFonts w:cs="Calibri"/>
                <w:sz w:val="16"/>
                <w:szCs w:val="16"/>
              </w:rPr>
              <w:t>X</w:t>
            </w:r>
          </w:p>
        </w:tc>
        <w:tc>
          <w:tcPr>
            <w:tcW w:w="428" w:type="dxa"/>
          </w:tcPr>
          <w:p w14:paraId="7331AD86" w14:textId="77777777" w:rsidR="002B04EB" w:rsidRPr="003F7F6C" w:rsidRDefault="002B04EB" w:rsidP="00B851B7">
            <w:r w:rsidRPr="003F7F6C">
              <w:rPr>
                <w:rFonts w:cs="Calibri"/>
                <w:sz w:val="16"/>
                <w:szCs w:val="16"/>
              </w:rPr>
              <w:t>X</w:t>
            </w:r>
          </w:p>
        </w:tc>
        <w:tc>
          <w:tcPr>
            <w:tcW w:w="428" w:type="dxa"/>
          </w:tcPr>
          <w:p w14:paraId="53DAED35" w14:textId="77777777" w:rsidR="002B04EB" w:rsidRPr="003F7F6C" w:rsidRDefault="002B04EB" w:rsidP="00B851B7">
            <w:r w:rsidRPr="003F7F6C">
              <w:rPr>
                <w:rFonts w:cs="Calibri"/>
                <w:sz w:val="16"/>
                <w:szCs w:val="16"/>
              </w:rPr>
              <w:t>X</w:t>
            </w:r>
          </w:p>
        </w:tc>
        <w:tc>
          <w:tcPr>
            <w:tcW w:w="428" w:type="dxa"/>
          </w:tcPr>
          <w:p w14:paraId="10CAF7BA" w14:textId="77777777" w:rsidR="002B04EB" w:rsidRPr="003F7F6C" w:rsidRDefault="002B04EB" w:rsidP="00B851B7">
            <w:r w:rsidRPr="003F7F6C">
              <w:rPr>
                <w:rFonts w:cs="Calibri"/>
                <w:sz w:val="16"/>
                <w:szCs w:val="16"/>
              </w:rPr>
              <w:t>X</w:t>
            </w:r>
          </w:p>
        </w:tc>
        <w:tc>
          <w:tcPr>
            <w:tcW w:w="428" w:type="dxa"/>
          </w:tcPr>
          <w:p w14:paraId="558E5C82" w14:textId="77777777" w:rsidR="002B04EB" w:rsidRPr="003F7F6C" w:rsidRDefault="002B04EB" w:rsidP="00B851B7">
            <w:r w:rsidRPr="003F7F6C">
              <w:rPr>
                <w:rFonts w:cs="Calibri"/>
                <w:sz w:val="16"/>
                <w:szCs w:val="16"/>
              </w:rPr>
              <w:t>X</w:t>
            </w:r>
          </w:p>
        </w:tc>
      </w:tr>
      <w:tr w:rsidR="002B04EB" w:rsidRPr="003F7F6C" w14:paraId="4CF49C23" w14:textId="77777777" w:rsidTr="00B851B7">
        <w:tc>
          <w:tcPr>
            <w:tcW w:w="1668" w:type="dxa"/>
          </w:tcPr>
          <w:p w14:paraId="2C388532" w14:textId="77777777" w:rsidR="002B04EB" w:rsidRPr="003F7F6C" w:rsidRDefault="002B04EB" w:rsidP="00E91275">
            <w:pPr>
              <w:pStyle w:val="ListParagraph"/>
              <w:numPr>
                <w:ilvl w:val="0"/>
                <w:numId w:val="29"/>
              </w:numPr>
              <w:ind w:left="174" w:hanging="174"/>
              <w:rPr>
                <w:rFonts w:cs="Calibri"/>
                <w:sz w:val="16"/>
                <w:szCs w:val="16"/>
              </w:rPr>
            </w:pPr>
            <w:r w:rsidRPr="003F7F6C">
              <w:rPr>
                <w:rFonts w:cs="Calibri"/>
                <w:sz w:val="16"/>
                <w:szCs w:val="16"/>
              </w:rPr>
              <w:t>Develop and test compensation schemes</w:t>
            </w:r>
          </w:p>
        </w:tc>
        <w:tc>
          <w:tcPr>
            <w:tcW w:w="1057" w:type="dxa"/>
          </w:tcPr>
          <w:p w14:paraId="0F5A98F9" w14:textId="77777777" w:rsidR="002B04EB" w:rsidRPr="003F7F6C" w:rsidRDefault="00A76779" w:rsidP="00B851B7">
            <w:pPr>
              <w:rPr>
                <w:rFonts w:cs="Calibri"/>
                <w:sz w:val="16"/>
                <w:szCs w:val="16"/>
              </w:rPr>
            </w:pPr>
            <w:r w:rsidRPr="003F7F6C">
              <w:rPr>
                <w:rFonts w:cs="Calibri"/>
                <w:sz w:val="16"/>
                <w:szCs w:val="16"/>
              </w:rPr>
              <w:t>OPDS</w:t>
            </w:r>
          </w:p>
        </w:tc>
        <w:tc>
          <w:tcPr>
            <w:tcW w:w="428" w:type="dxa"/>
          </w:tcPr>
          <w:p w14:paraId="21AB38B7" w14:textId="77777777" w:rsidR="002B04EB" w:rsidRPr="003F7F6C" w:rsidRDefault="002B04EB" w:rsidP="00B851B7">
            <w:pPr>
              <w:rPr>
                <w:rFonts w:cs="Calibri"/>
                <w:sz w:val="16"/>
                <w:szCs w:val="16"/>
              </w:rPr>
            </w:pPr>
          </w:p>
        </w:tc>
        <w:tc>
          <w:tcPr>
            <w:tcW w:w="444" w:type="dxa"/>
          </w:tcPr>
          <w:p w14:paraId="40AB770F" w14:textId="77777777" w:rsidR="002B04EB" w:rsidRPr="003F7F6C" w:rsidRDefault="002B04EB" w:rsidP="00B851B7">
            <w:pPr>
              <w:rPr>
                <w:rFonts w:cs="Calibri"/>
                <w:sz w:val="16"/>
                <w:szCs w:val="16"/>
              </w:rPr>
            </w:pPr>
          </w:p>
        </w:tc>
        <w:tc>
          <w:tcPr>
            <w:tcW w:w="428" w:type="dxa"/>
          </w:tcPr>
          <w:p w14:paraId="0D03453B" w14:textId="77777777" w:rsidR="002B04EB" w:rsidRPr="003F7F6C" w:rsidRDefault="002B04EB" w:rsidP="00B851B7">
            <w:pPr>
              <w:rPr>
                <w:rFonts w:cs="Calibri"/>
                <w:sz w:val="16"/>
                <w:szCs w:val="16"/>
              </w:rPr>
            </w:pPr>
          </w:p>
        </w:tc>
        <w:tc>
          <w:tcPr>
            <w:tcW w:w="428" w:type="dxa"/>
            <w:gridSpan w:val="2"/>
          </w:tcPr>
          <w:p w14:paraId="5183A68C" w14:textId="77777777" w:rsidR="002B04EB" w:rsidRPr="003F7F6C" w:rsidRDefault="002B04EB" w:rsidP="00B851B7">
            <w:pPr>
              <w:rPr>
                <w:rFonts w:cs="Calibri"/>
                <w:sz w:val="16"/>
                <w:szCs w:val="16"/>
              </w:rPr>
            </w:pPr>
          </w:p>
        </w:tc>
        <w:tc>
          <w:tcPr>
            <w:tcW w:w="428" w:type="dxa"/>
          </w:tcPr>
          <w:p w14:paraId="429938F4" w14:textId="77777777" w:rsidR="002B04EB" w:rsidRPr="003F7F6C" w:rsidRDefault="002B04EB" w:rsidP="00B851B7">
            <w:pPr>
              <w:rPr>
                <w:rFonts w:cs="Calibri"/>
                <w:sz w:val="16"/>
                <w:szCs w:val="16"/>
              </w:rPr>
            </w:pPr>
          </w:p>
        </w:tc>
        <w:tc>
          <w:tcPr>
            <w:tcW w:w="427" w:type="dxa"/>
          </w:tcPr>
          <w:p w14:paraId="0B2AB84B" w14:textId="77777777" w:rsidR="002B04EB" w:rsidRPr="003F7F6C" w:rsidRDefault="002B04EB" w:rsidP="00B851B7">
            <w:pPr>
              <w:rPr>
                <w:rFonts w:cs="Calibri"/>
                <w:sz w:val="16"/>
                <w:szCs w:val="16"/>
              </w:rPr>
            </w:pPr>
          </w:p>
        </w:tc>
        <w:tc>
          <w:tcPr>
            <w:tcW w:w="427" w:type="dxa"/>
          </w:tcPr>
          <w:p w14:paraId="00ECCBF3" w14:textId="77777777" w:rsidR="002B04EB" w:rsidRPr="003F7F6C" w:rsidRDefault="002B04EB" w:rsidP="00B851B7">
            <w:pPr>
              <w:rPr>
                <w:rFonts w:cs="Calibri"/>
                <w:sz w:val="16"/>
                <w:szCs w:val="16"/>
              </w:rPr>
            </w:pPr>
          </w:p>
        </w:tc>
        <w:tc>
          <w:tcPr>
            <w:tcW w:w="427" w:type="dxa"/>
            <w:gridSpan w:val="2"/>
          </w:tcPr>
          <w:p w14:paraId="1758CD52" w14:textId="77777777" w:rsidR="002B04EB" w:rsidRPr="003F7F6C" w:rsidRDefault="002B04EB" w:rsidP="00B851B7">
            <w:pPr>
              <w:rPr>
                <w:rFonts w:cs="Calibri"/>
                <w:sz w:val="16"/>
                <w:szCs w:val="16"/>
              </w:rPr>
            </w:pPr>
          </w:p>
        </w:tc>
        <w:tc>
          <w:tcPr>
            <w:tcW w:w="428" w:type="dxa"/>
          </w:tcPr>
          <w:p w14:paraId="44C9846D" w14:textId="77777777" w:rsidR="002B04EB" w:rsidRPr="003F7F6C" w:rsidRDefault="002B04EB" w:rsidP="00B851B7">
            <w:pPr>
              <w:rPr>
                <w:rFonts w:cs="Calibri"/>
                <w:sz w:val="16"/>
                <w:szCs w:val="16"/>
              </w:rPr>
            </w:pPr>
          </w:p>
        </w:tc>
        <w:tc>
          <w:tcPr>
            <w:tcW w:w="428" w:type="dxa"/>
          </w:tcPr>
          <w:p w14:paraId="01EA3370" w14:textId="77777777" w:rsidR="002B04EB" w:rsidRPr="003F7F6C" w:rsidRDefault="002B04EB" w:rsidP="00B851B7">
            <w:pPr>
              <w:rPr>
                <w:rFonts w:cs="Calibri"/>
                <w:sz w:val="16"/>
                <w:szCs w:val="16"/>
              </w:rPr>
            </w:pPr>
          </w:p>
        </w:tc>
        <w:tc>
          <w:tcPr>
            <w:tcW w:w="428" w:type="dxa"/>
          </w:tcPr>
          <w:p w14:paraId="10C405CA" w14:textId="77777777" w:rsidR="002B04EB" w:rsidRPr="003F7F6C" w:rsidRDefault="002B04EB" w:rsidP="00B851B7">
            <w:pPr>
              <w:rPr>
                <w:rFonts w:cs="Calibri"/>
                <w:sz w:val="16"/>
                <w:szCs w:val="16"/>
              </w:rPr>
            </w:pPr>
          </w:p>
        </w:tc>
        <w:tc>
          <w:tcPr>
            <w:tcW w:w="428" w:type="dxa"/>
            <w:gridSpan w:val="2"/>
          </w:tcPr>
          <w:p w14:paraId="4B1ECF68" w14:textId="77777777" w:rsidR="002B04EB" w:rsidRPr="003F7F6C" w:rsidRDefault="002B04EB" w:rsidP="00B851B7">
            <w:pPr>
              <w:rPr>
                <w:rFonts w:cs="Calibri"/>
                <w:sz w:val="16"/>
                <w:szCs w:val="16"/>
              </w:rPr>
            </w:pPr>
          </w:p>
        </w:tc>
        <w:tc>
          <w:tcPr>
            <w:tcW w:w="428" w:type="dxa"/>
          </w:tcPr>
          <w:p w14:paraId="78079C06" w14:textId="77777777" w:rsidR="002B04EB" w:rsidRPr="003F7F6C" w:rsidRDefault="002B04EB" w:rsidP="00B851B7">
            <w:pPr>
              <w:rPr>
                <w:rFonts w:cs="Calibri"/>
                <w:sz w:val="16"/>
                <w:szCs w:val="16"/>
              </w:rPr>
            </w:pPr>
            <w:r w:rsidRPr="003F7F6C">
              <w:rPr>
                <w:rFonts w:cs="Calibri"/>
                <w:sz w:val="16"/>
                <w:szCs w:val="16"/>
              </w:rPr>
              <w:t>X</w:t>
            </w:r>
          </w:p>
        </w:tc>
        <w:tc>
          <w:tcPr>
            <w:tcW w:w="428" w:type="dxa"/>
          </w:tcPr>
          <w:p w14:paraId="56F98AD0" w14:textId="77777777" w:rsidR="002B04EB" w:rsidRPr="003F7F6C" w:rsidRDefault="002B04EB" w:rsidP="00B851B7">
            <w:pPr>
              <w:rPr>
                <w:rFonts w:cs="Calibri"/>
                <w:sz w:val="16"/>
                <w:szCs w:val="16"/>
              </w:rPr>
            </w:pPr>
            <w:r w:rsidRPr="003F7F6C">
              <w:rPr>
                <w:rFonts w:cs="Calibri"/>
                <w:sz w:val="16"/>
                <w:szCs w:val="16"/>
              </w:rPr>
              <w:t>X</w:t>
            </w:r>
          </w:p>
        </w:tc>
        <w:tc>
          <w:tcPr>
            <w:tcW w:w="428" w:type="dxa"/>
          </w:tcPr>
          <w:p w14:paraId="3E4F387C"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0036CE9C" w14:textId="77777777" w:rsidR="002B04EB" w:rsidRPr="003F7F6C" w:rsidRDefault="002B04EB" w:rsidP="00B851B7">
            <w:pPr>
              <w:rPr>
                <w:sz w:val="16"/>
                <w:szCs w:val="16"/>
              </w:rPr>
            </w:pPr>
            <w:r w:rsidRPr="003F7F6C">
              <w:rPr>
                <w:rFonts w:cs="Calibri"/>
                <w:sz w:val="16"/>
                <w:szCs w:val="16"/>
              </w:rPr>
              <w:t>X</w:t>
            </w:r>
          </w:p>
        </w:tc>
        <w:tc>
          <w:tcPr>
            <w:tcW w:w="428" w:type="dxa"/>
          </w:tcPr>
          <w:p w14:paraId="51A0D6D1" w14:textId="77777777" w:rsidR="002B04EB" w:rsidRPr="003F7F6C" w:rsidRDefault="002B04EB" w:rsidP="00B851B7">
            <w:pPr>
              <w:rPr>
                <w:sz w:val="16"/>
                <w:szCs w:val="16"/>
              </w:rPr>
            </w:pPr>
            <w:r w:rsidRPr="003F7F6C">
              <w:rPr>
                <w:rFonts w:cs="Calibri"/>
                <w:sz w:val="16"/>
                <w:szCs w:val="16"/>
              </w:rPr>
              <w:t>X</w:t>
            </w:r>
          </w:p>
        </w:tc>
        <w:tc>
          <w:tcPr>
            <w:tcW w:w="428" w:type="dxa"/>
          </w:tcPr>
          <w:p w14:paraId="225DE6D9" w14:textId="77777777" w:rsidR="002B04EB" w:rsidRPr="003F7F6C" w:rsidRDefault="002B04EB" w:rsidP="00B851B7">
            <w:pPr>
              <w:rPr>
                <w:rFonts w:cs="Calibri"/>
                <w:sz w:val="16"/>
                <w:szCs w:val="16"/>
              </w:rPr>
            </w:pPr>
            <w:r w:rsidRPr="003F7F6C">
              <w:rPr>
                <w:rFonts w:cs="Calibri"/>
                <w:sz w:val="16"/>
                <w:szCs w:val="16"/>
              </w:rPr>
              <w:t>X</w:t>
            </w:r>
          </w:p>
        </w:tc>
        <w:tc>
          <w:tcPr>
            <w:tcW w:w="428" w:type="dxa"/>
          </w:tcPr>
          <w:p w14:paraId="076DC94F"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19D09133" w14:textId="77777777" w:rsidR="002B04EB" w:rsidRPr="003F7F6C" w:rsidRDefault="002B04EB" w:rsidP="00B851B7">
            <w:pPr>
              <w:rPr>
                <w:sz w:val="16"/>
                <w:szCs w:val="16"/>
              </w:rPr>
            </w:pPr>
            <w:r w:rsidRPr="003F7F6C">
              <w:rPr>
                <w:rFonts w:cs="Calibri"/>
                <w:sz w:val="16"/>
                <w:szCs w:val="16"/>
              </w:rPr>
              <w:t>X</w:t>
            </w:r>
          </w:p>
        </w:tc>
        <w:tc>
          <w:tcPr>
            <w:tcW w:w="428" w:type="dxa"/>
          </w:tcPr>
          <w:p w14:paraId="715F1F86" w14:textId="77777777" w:rsidR="002B04EB" w:rsidRPr="003F7F6C" w:rsidRDefault="002B04EB" w:rsidP="00B851B7">
            <w:pPr>
              <w:rPr>
                <w:sz w:val="16"/>
                <w:szCs w:val="16"/>
              </w:rPr>
            </w:pPr>
            <w:r w:rsidRPr="003F7F6C">
              <w:rPr>
                <w:rFonts w:cs="Calibri"/>
                <w:sz w:val="16"/>
                <w:szCs w:val="16"/>
              </w:rPr>
              <w:t>X</w:t>
            </w:r>
          </w:p>
        </w:tc>
        <w:tc>
          <w:tcPr>
            <w:tcW w:w="428" w:type="dxa"/>
          </w:tcPr>
          <w:p w14:paraId="69495B40" w14:textId="77777777" w:rsidR="002B04EB" w:rsidRPr="003F7F6C" w:rsidRDefault="002B04EB" w:rsidP="00B851B7">
            <w:pPr>
              <w:rPr>
                <w:rFonts w:cs="Calibri"/>
                <w:sz w:val="16"/>
                <w:szCs w:val="16"/>
              </w:rPr>
            </w:pPr>
            <w:r w:rsidRPr="003F7F6C">
              <w:rPr>
                <w:rFonts w:cs="Calibri"/>
                <w:sz w:val="16"/>
                <w:szCs w:val="16"/>
              </w:rPr>
              <w:t>X</w:t>
            </w:r>
          </w:p>
        </w:tc>
        <w:tc>
          <w:tcPr>
            <w:tcW w:w="428" w:type="dxa"/>
          </w:tcPr>
          <w:p w14:paraId="3E3EA4F4" w14:textId="77777777" w:rsidR="002B04EB" w:rsidRPr="003F7F6C" w:rsidRDefault="002B04EB" w:rsidP="00B851B7">
            <w:pPr>
              <w:rPr>
                <w:sz w:val="16"/>
                <w:szCs w:val="16"/>
              </w:rPr>
            </w:pPr>
            <w:r w:rsidRPr="003F7F6C">
              <w:rPr>
                <w:rFonts w:cs="Calibri"/>
                <w:sz w:val="16"/>
                <w:szCs w:val="16"/>
              </w:rPr>
              <w:t>X</w:t>
            </w:r>
          </w:p>
        </w:tc>
        <w:tc>
          <w:tcPr>
            <w:tcW w:w="428" w:type="dxa"/>
          </w:tcPr>
          <w:p w14:paraId="044B0467" w14:textId="77777777" w:rsidR="002B04EB" w:rsidRPr="003F7F6C" w:rsidRDefault="002B04EB" w:rsidP="00B851B7">
            <w:pPr>
              <w:rPr>
                <w:sz w:val="16"/>
                <w:szCs w:val="16"/>
              </w:rPr>
            </w:pPr>
            <w:r w:rsidRPr="003F7F6C">
              <w:rPr>
                <w:rFonts w:cs="Calibri"/>
                <w:sz w:val="16"/>
                <w:szCs w:val="16"/>
              </w:rPr>
              <w:t>X</w:t>
            </w:r>
          </w:p>
        </w:tc>
      </w:tr>
      <w:tr w:rsidR="002B04EB" w:rsidRPr="003F7F6C" w14:paraId="19B9D34C" w14:textId="77777777" w:rsidTr="00B851B7">
        <w:tc>
          <w:tcPr>
            <w:tcW w:w="1668" w:type="dxa"/>
          </w:tcPr>
          <w:p w14:paraId="5F16D7CF" w14:textId="77777777" w:rsidR="002B04EB" w:rsidRPr="003F7F6C" w:rsidRDefault="002B04EB" w:rsidP="00B851B7">
            <w:pPr>
              <w:rPr>
                <w:rFonts w:cs="Calibri"/>
                <w:sz w:val="16"/>
                <w:szCs w:val="16"/>
              </w:rPr>
            </w:pPr>
            <w:r w:rsidRPr="003F7F6C">
              <w:rPr>
                <w:rFonts w:cs="Calibri"/>
                <w:sz w:val="16"/>
                <w:szCs w:val="16"/>
              </w:rPr>
              <w:t>2.3.3 Develop and implement ELUP protocols</w:t>
            </w:r>
          </w:p>
        </w:tc>
        <w:tc>
          <w:tcPr>
            <w:tcW w:w="1057" w:type="dxa"/>
          </w:tcPr>
          <w:p w14:paraId="0A620C06" w14:textId="77777777" w:rsidR="002B04EB" w:rsidRPr="003F7F6C" w:rsidRDefault="00A76779" w:rsidP="00B851B7">
            <w:pPr>
              <w:rPr>
                <w:rFonts w:cs="Calibri"/>
                <w:sz w:val="16"/>
                <w:szCs w:val="16"/>
              </w:rPr>
            </w:pPr>
            <w:r w:rsidRPr="003F7F6C">
              <w:rPr>
                <w:rFonts w:cs="Calibri"/>
                <w:sz w:val="16"/>
                <w:szCs w:val="16"/>
              </w:rPr>
              <w:t>OPDS</w:t>
            </w:r>
          </w:p>
        </w:tc>
        <w:tc>
          <w:tcPr>
            <w:tcW w:w="428" w:type="dxa"/>
          </w:tcPr>
          <w:p w14:paraId="6E740444" w14:textId="77777777" w:rsidR="002B04EB" w:rsidRPr="003F7F6C" w:rsidRDefault="002B04EB" w:rsidP="00B851B7">
            <w:pPr>
              <w:rPr>
                <w:rFonts w:cs="Calibri"/>
                <w:sz w:val="16"/>
                <w:szCs w:val="16"/>
              </w:rPr>
            </w:pPr>
          </w:p>
        </w:tc>
        <w:tc>
          <w:tcPr>
            <w:tcW w:w="444" w:type="dxa"/>
          </w:tcPr>
          <w:p w14:paraId="73D4867B" w14:textId="77777777" w:rsidR="002B04EB" w:rsidRPr="003F7F6C" w:rsidRDefault="002B04EB" w:rsidP="00B851B7">
            <w:pPr>
              <w:rPr>
                <w:rFonts w:cs="Calibri"/>
                <w:sz w:val="16"/>
                <w:szCs w:val="16"/>
              </w:rPr>
            </w:pPr>
          </w:p>
        </w:tc>
        <w:tc>
          <w:tcPr>
            <w:tcW w:w="428" w:type="dxa"/>
          </w:tcPr>
          <w:p w14:paraId="3B381E89" w14:textId="77777777" w:rsidR="002B04EB" w:rsidRPr="003F7F6C" w:rsidRDefault="002B04EB" w:rsidP="00B851B7">
            <w:pPr>
              <w:rPr>
                <w:rFonts w:cs="Calibri"/>
                <w:sz w:val="16"/>
                <w:szCs w:val="16"/>
              </w:rPr>
            </w:pPr>
          </w:p>
        </w:tc>
        <w:tc>
          <w:tcPr>
            <w:tcW w:w="428" w:type="dxa"/>
            <w:gridSpan w:val="2"/>
          </w:tcPr>
          <w:p w14:paraId="72F83F5D" w14:textId="77777777" w:rsidR="002B04EB" w:rsidRPr="003F7F6C" w:rsidRDefault="002B04EB" w:rsidP="00B851B7">
            <w:pPr>
              <w:rPr>
                <w:rFonts w:cs="Calibri"/>
                <w:sz w:val="16"/>
                <w:szCs w:val="16"/>
              </w:rPr>
            </w:pPr>
          </w:p>
        </w:tc>
        <w:tc>
          <w:tcPr>
            <w:tcW w:w="428" w:type="dxa"/>
          </w:tcPr>
          <w:p w14:paraId="38A3CB92" w14:textId="77777777" w:rsidR="002B04EB" w:rsidRPr="003F7F6C" w:rsidRDefault="002B04EB" w:rsidP="00B851B7">
            <w:pPr>
              <w:rPr>
                <w:rFonts w:cs="Calibri"/>
                <w:sz w:val="16"/>
                <w:szCs w:val="16"/>
              </w:rPr>
            </w:pPr>
          </w:p>
        </w:tc>
        <w:tc>
          <w:tcPr>
            <w:tcW w:w="427" w:type="dxa"/>
          </w:tcPr>
          <w:p w14:paraId="7EC57262" w14:textId="77777777" w:rsidR="002B04EB" w:rsidRPr="003F7F6C" w:rsidRDefault="002B04EB" w:rsidP="00B851B7">
            <w:pPr>
              <w:rPr>
                <w:rFonts w:cs="Calibri"/>
                <w:sz w:val="16"/>
                <w:szCs w:val="16"/>
              </w:rPr>
            </w:pPr>
          </w:p>
        </w:tc>
        <w:tc>
          <w:tcPr>
            <w:tcW w:w="427" w:type="dxa"/>
          </w:tcPr>
          <w:p w14:paraId="77C20B57" w14:textId="77777777" w:rsidR="002B04EB" w:rsidRPr="003F7F6C" w:rsidRDefault="002B04EB" w:rsidP="00B851B7">
            <w:pPr>
              <w:rPr>
                <w:rFonts w:cs="Calibri"/>
                <w:sz w:val="16"/>
                <w:szCs w:val="16"/>
              </w:rPr>
            </w:pPr>
          </w:p>
        </w:tc>
        <w:tc>
          <w:tcPr>
            <w:tcW w:w="427" w:type="dxa"/>
            <w:gridSpan w:val="2"/>
          </w:tcPr>
          <w:p w14:paraId="6A39FE9E" w14:textId="77777777" w:rsidR="002B04EB" w:rsidRPr="003F7F6C" w:rsidRDefault="002B04EB" w:rsidP="00B851B7">
            <w:pPr>
              <w:rPr>
                <w:rFonts w:cs="Calibri"/>
                <w:sz w:val="16"/>
                <w:szCs w:val="16"/>
              </w:rPr>
            </w:pPr>
          </w:p>
        </w:tc>
        <w:tc>
          <w:tcPr>
            <w:tcW w:w="428" w:type="dxa"/>
          </w:tcPr>
          <w:p w14:paraId="4DE9D089" w14:textId="77777777" w:rsidR="002B04EB" w:rsidRPr="003F7F6C" w:rsidRDefault="002B04EB" w:rsidP="00B851B7">
            <w:pPr>
              <w:rPr>
                <w:rFonts w:cs="Calibri"/>
                <w:sz w:val="16"/>
                <w:szCs w:val="16"/>
              </w:rPr>
            </w:pPr>
          </w:p>
        </w:tc>
        <w:tc>
          <w:tcPr>
            <w:tcW w:w="428" w:type="dxa"/>
          </w:tcPr>
          <w:p w14:paraId="1DF1E925" w14:textId="77777777" w:rsidR="002B04EB" w:rsidRPr="003F7F6C" w:rsidRDefault="002B04EB" w:rsidP="00B851B7">
            <w:pPr>
              <w:rPr>
                <w:rFonts w:cs="Calibri"/>
                <w:sz w:val="16"/>
                <w:szCs w:val="16"/>
              </w:rPr>
            </w:pPr>
          </w:p>
        </w:tc>
        <w:tc>
          <w:tcPr>
            <w:tcW w:w="428" w:type="dxa"/>
          </w:tcPr>
          <w:p w14:paraId="6489EDF5" w14:textId="77777777" w:rsidR="002B04EB" w:rsidRPr="003F7F6C" w:rsidRDefault="002B04EB" w:rsidP="00B851B7">
            <w:pPr>
              <w:rPr>
                <w:rFonts w:cs="Calibri"/>
                <w:sz w:val="16"/>
                <w:szCs w:val="16"/>
              </w:rPr>
            </w:pPr>
          </w:p>
        </w:tc>
        <w:tc>
          <w:tcPr>
            <w:tcW w:w="428" w:type="dxa"/>
            <w:gridSpan w:val="2"/>
          </w:tcPr>
          <w:p w14:paraId="1A7AAEB7" w14:textId="77777777" w:rsidR="002B04EB" w:rsidRPr="003F7F6C" w:rsidRDefault="002B04EB" w:rsidP="00B851B7">
            <w:pPr>
              <w:rPr>
                <w:rFonts w:cs="Calibri"/>
                <w:sz w:val="16"/>
                <w:szCs w:val="16"/>
              </w:rPr>
            </w:pPr>
          </w:p>
        </w:tc>
        <w:tc>
          <w:tcPr>
            <w:tcW w:w="428" w:type="dxa"/>
          </w:tcPr>
          <w:p w14:paraId="6F8D6CBB" w14:textId="77777777" w:rsidR="002B04EB" w:rsidRPr="003F7F6C" w:rsidRDefault="002B04EB" w:rsidP="00B851B7">
            <w:pPr>
              <w:rPr>
                <w:rFonts w:cs="Calibri"/>
                <w:sz w:val="16"/>
                <w:szCs w:val="16"/>
              </w:rPr>
            </w:pPr>
            <w:r w:rsidRPr="003F7F6C">
              <w:rPr>
                <w:rFonts w:cs="Calibri"/>
                <w:sz w:val="16"/>
                <w:szCs w:val="16"/>
              </w:rPr>
              <w:t>X</w:t>
            </w:r>
          </w:p>
        </w:tc>
        <w:tc>
          <w:tcPr>
            <w:tcW w:w="428" w:type="dxa"/>
          </w:tcPr>
          <w:p w14:paraId="1F91425D" w14:textId="77777777" w:rsidR="002B04EB" w:rsidRPr="003F7F6C" w:rsidRDefault="002B04EB" w:rsidP="00B851B7">
            <w:pPr>
              <w:rPr>
                <w:sz w:val="16"/>
                <w:szCs w:val="16"/>
              </w:rPr>
            </w:pPr>
            <w:r w:rsidRPr="003F7F6C">
              <w:rPr>
                <w:rFonts w:cs="Calibri"/>
                <w:sz w:val="16"/>
                <w:szCs w:val="16"/>
              </w:rPr>
              <w:t>X</w:t>
            </w:r>
          </w:p>
        </w:tc>
        <w:tc>
          <w:tcPr>
            <w:tcW w:w="428" w:type="dxa"/>
          </w:tcPr>
          <w:p w14:paraId="22ABAA27"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2EAB4EC5" w14:textId="77777777" w:rsidR="002B04EB" w:rsidRPr="003F7F6C" w:rsidRDefault="002B04EB" w:rsidP="00B851B7">
            <w:pPr>
              <w:rPr>
                <w:sz w:val="16"/>
                <w:szCs w:val="16"/>
              </w:rPr>
            </w:pPr>
            <w:r w:rsidRPr="003F7F6C">
              <w:rPr>
                <w:rFonts w:cs="Calibri"/>
                <w:sz w:val="16"/>
                <w:szCs w:val="16"/>
              </w:rPr>
              <w:t>X</w:t>
            </w:r>
          </w:p>
        </w:tc>
        <w:tc>
          <w:tcPr>
            <w:tcW w:w="428" w:type="dxa"/>
          </w:tcPr>
          <w:p w14:paraId="7CF9A2AC" w14:textId="77777777" w:rsidR="002B04EB" w:rsidRPr="003F7F6C" w:rsidRDefault="002B04EB" w:rsidP="00B851B7">
            <w:pPr>
              <w:rPr>
                <w:rFonts w:cs="Calibri"/>
                <w:sz w:val="16"/>
                <w:szCs w:val="16"/>
              </w:rPr>
            </w:pPr>
            <w:r w:rsidRPr="003F7F6C">
              <w:rPr>
                <w:rFonts w:cs="Calibri"/>
                <w:sz w:val="16"/>
                <w:szCs w:val="16"/>
              </w:rPr>
              <w:t>X</w:t>
            </w:r>
          </w:p>
        </w:tc>
        <w:tc>
          <w:tcPr>
            <w:tcW w:w="428" w:type="dxa"/>
          </w:tcPr>
          <w:p w14:paraId="0FE288CA" w14:textId="77777777" w:rsidR="002B04EB" w:rsidRPr="003F7F6C" w:rsidRDefault="002B04EB" w:rsidP="00B851B7">
            <w:pPr>
              <w:rPr>
                <w:sz w:val="16"/>
                <w:szCs w:val="16"/>
              </w:rPr>
            </w:pPr>
            <w:r w:rsidRPr="003F7F6C">
              <w:rPr>
                <w:rFonts w:cs="Calibri"/>
                <w:sz w:val="16"/>
                <w:szCs w:val="16"/>
              </w:rPr>
              <w:t>X</w:t>
            </w:r>
          </w:p>
        </w:tc>
        <w:tc>
          <w:tcPr>
            <w:tcW w:w="428" w:type="dxa"/>
          </w:tcPr>
          <w:p w14:paraId="00A65ADE"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08F8B3F2" w14:textId="77777777" w:rsidR="002B04EB" w:rsidRPr="003F7F6C" w:rsidRDefault="002B04EB" w:rsidP="00B851B7">
            <w:pPr>
              <w:rPr>
                <w:sz w:val="16"/>
                <w:szCs w:val="16"/>
              </w:rPr>
            </w:pPr>
            <w:r w:rsidRPr="003F7F6C">
              <w:rPr>
                <w:rFonts w:cs="Calibri"/>
                <w:sz w:val="16"/>
                <w:szCs w:val="16"/>
              </w:rPr>
              <w:t>X</w:t>
            </w:r>
          </w:p>
        </w:tc>
        <w:tc>
          <w:tcPr>
            <w:tcW w:w="428" w:type="dxa"/>
          </w:tcPr>
          <w:p w14:paraId="481BEE5B" w14:textId="77777777" w:rsidR="002B04EB" w:rsidRPr="003F7F6C" w:rsidRDefault="002B04EB" w:rsidP="00B851B7">
            <w:pPr>
              <w:rPr>
                <w:rFonts w:cs="Calibri"/>
                <w:sz w:val="16"/>
                <w:szCs w:val="16"/>
              </w:rPr>
            </w:pPr>
            <w:r w:rsidRPr="003F7F6C">
              <w:rPr>
                <w:rFonts w:cs="Calibri"/>
                <w:sz w:val="16"/>
                <w:szCs w:val="16"/>
              </w:rPr>
              <w:t>X</w:t>
            </w:r>
          </w:p>
        </w:tc>
        <w:tc>
          <w:tcPr>
            <w:tcW w:w="428" w:type="dxa"/>
          </w:tcPr>
          <w:p w14:paraId="7293FB2D" w14:textId="77777777" w:rsidR="002B04EB" w:rsidRPr="003F7F6C" w:rsidRDefault="002B04EB" w:rsidP="00B851B7">
            <w:pPr>
              <w:rPr>
                <w:sz w:val="16"/>
                <w:szCs w:val="16"/>
              </w:rPr>
            </w:pPr>
            <w:r w:rsidRPr="003F7F6C">
              <w:rPr>
                <w:rFonts w:cs="Calibri"/>
                <w:sz w:val="16"/>
                <w:szCs w:val="16"/>
              </w:rPr>
              <w:t>X</w:t>
            </w:r>
          </w:p>
        </w:tc>
        <w:tc>
          <w:tcPr>
            <w:tcW w:w="428" w:type="dxa"/>
          </w:tcPr>
          <w:p w14:paraId="3217D4E6" w14:textId="77777777" w:rsidR="002B04EB" w:rsidRPr="003F7F6C" w:rsidRDefault="002B04EB" w:rsidP="00B851B7">
            <w:pPr>
              <w:rPr>
                <w:sz w:val="16"/>
                <w:szCs w:val="16"/>
              </w:rPr>
            </w:pPr>
            <w:r w:rsidRPr="003F7F6C">
              <w:rPr>
                <w:rFonts w:cs="Calibri"/>
                <w:sz w:val="16"/>
                <w:szCs w:val="16"/>
              </w:rPr>
              <w:t>X</w:t>
            </w:r>
          </w:p>
        </w:tc>
        <w:tc>
          <w:tcPr>
            <w:tcW w:w="428" w:type="dxa"/>
          </w:tcPr>
          <w:p w14:paraId="574F5697" w14:textId="77777777" w:rsidR="002B04EB" w:rsidRPr="003F7F6C" w:rsidRDefault="002B04EB" w:rsidP="00B851B7">
            <w:pPr>
              <w:rPr>
                <w:rFonts w:cs="Calibri"/>
                <w:sz w:val="16"/>
                <w:szCs w:val="16"/>
              </w:rPr>
            </w:pPr>
            <w:r w:rsidRPr="003F7F6C">
              <w:rPr>
                <w:rFonts w:cs="Calibri"/>
                <w:sz w:val="16"/>
                <w:szCs w:val="16"/>
              </w:rPr>
              <w:t>X</w:t>
            </w:r>
          </w:p>
        </w:tc>
      </w:tr>
      <w:tr w:rsidR="002B04EB" w:rsidRPr="003F7F6C" w14:paraId="5874D1D1" w14:textId="77777777" w:rsidTr="002B04EB">
        <w:tc>
          <w:tcPr>
            <w:tcW w:w="13010" w:type="dxa"/>
            <w:gridSpan w:val="31"/>
            <w:shd w:val="clear" w:color="auto" w:fill="F7CAAC"/>
          </w:tcPr>
          <w:p w14:paraId="08EBC86E" w14:textId="77777777" w:rsidR="002B04EB" w:rsidRPr="003F7F6C" w:rsidRDefault="002B04EB" w:rsidP="00B851B7">
            <w:pPr>
              <w:rPr>
                <w:rFonts w:cs="Calibri"/>
                <w:sz w:val="16"/>
                <w:szCs w:val="16"/>
              </w:rPr>
            </w:pPr>
            <w:r w:rsidRPr="003F7F6C">
              <w:rPr>
                <w:rFonts w:cs="Calibri"/>
                <w:sz w:val="16"/>
                <w:szCs w:val="16"/>
              </w:rPr>
              <w:t>Jujuy</w:t>
            </w:r>
          </w:p>
        </w:tc>
      </w:tr>
      <w:tr w:rsidR="002B04EB" w:rsidRPr="003F7F6C" w14:paraId="54269741" w14:textId="77777777" w:rsidTr="00B851B7">
        <w:tc>
          <w:tcPr>
            <w:tcW w:w="1668" w:type="dxa"/>
          </w:tcPr>
          <w:p w14:paraId="14A21F10" w14:textId="77777777" w:rsidR="002B04EB" w:rsidRPr="003F7F6C" w:rsidRDefault="002B04EB" w:rsidP="00B851B7">
            <w:pPr>
              <w:rPr>
                <w:rFonts w:cs="Calibri"/>
                <w:sz w:val="16"/>
                <w:szCs w:val="16"/>
              </w:rPr>
            </w:pPr>
            <w:r w:rsidRPr="003F7F6C">
              <w:rPr>
                <w:rFonts w:cs="Calibri"/>
                <w:sz w:val="16"/>
                <w:szCs w:val="16"/>
              </w:rPr>
              <w:t>2.3.1 Develop ELUP protocols</w:t>
            </w:r>
          </w:p>
        </w:tc>
        <w:tc>
          <w:tcPr>
            <w:tcW w:w="1057" w:type="dxa"/>
          </w:tcPr>
          <w:p w14:paraId="2A8E5E03" w14:textId="77777777" w:rsidR="002B04EB" w:rsidRPr="003F7F6C" w:rsidRDefault="002B04EB" w:rsidP="00B851B7">
            <w:r w:rsidRPr="003F7F6C">
              <w:rPr>
                <w:rFonts w:cs="Calibri"/>
                <w:sz w:val="16"/>
                <w:szCs w:val="16"/>
              </w:rPr>
              <w:t>Ministry of Environment</w:t>
            </w:r>
          </w:p>
        </w:tc>
        <w:tc>
          <w:tcPr>
            <w:tcW w:w="428" w:type="dxa"/>
          </w:tcPr>
          <w:p w14:paraId="32B97195" w14:textId="77777777" w:rsidR="002B04EB" w:rsidRPr="003F7F6C" w:rsidRDefault="002B04EB" w:rsidP="00B851B7"/>
        </w:tc>
        <w:tc>
          <w:tcPr>
            <w:tcW w:w="444" w:type="dxa"/>
          </w:tcPr>
          <w:p w14:paraId="0F472877" w14:textId="77777777" w:rsidR="002B04EB" w:rsidRPr="003F7F6C" w:rsidRDefault="002B04EB" w:rsidP="00B851B7">
            <w:r w:rsidRPr="003F7F6C">
              <w:rPr>
                <w:rFonts w:cs="Calibri"/>
                <w:sz w:val="16"/>
                <w:szCs w:val="16"/>
              </w:rPr>
              <w:t>X</w:t>
            </w:r>
          </w:p>
        </w:tc>
        <w:tc>
          <w:tcPr>
            <w:tcW w:w="428" w:type="dxa"/>
          </w:tcPr>
          <w:p w14:paraId="37E80DB6" w14:textId="77777777" w:rsidR="002B04EB" w:rsidRPr="003F7F6C" w:rsidRDefault="002B04EB" w:rsidP="00B851B7">
            <w:r w:rsidRPr="003F7F6C">
              <w:rPr>
                <w:rFonts w:cs="Calibri"/>
                <w:sz w:val="16"/>
                <w:szCs w:val="16"/>
              </w:rPr>
              <w:t>X</w:t>
            </w:r>
          </w:p>
        </w:tc>
        <w:tc>
          <w:tcPr>
            <w:tcW w:w="428" w:type="dxa"/>
            <w:gridSpan w:val="2"/>
          </w:tcPr>
          <w:p w14:paraId="5C62C699" w14:textId="77777777" w:rsidR="002B04EB" w:rsidRPr="003F7F6C" w:rsidRDefault="002B04EB" w:rsidP="00B851B7">
            <w:r w:rsidRPr="003F7F6C">
              <w:rPr>
                <w:rFonts w:cs="Calibri"/>
                <w:sz w:val="16"/>
                <w:szCs w:val="16"/>
              </w:rPr>
              <w:t>X</w:t>
            </w:r>
          </w:p>
        </w:tc>
        <w:tc>
          <w:tcPr>
            <w:tcW w:w="428" w:type="dxa"/>
          </w:tcPr>
          <w:p w14:paraId="5469C05C" w14:textId="77777777" w:rsidR="002B04EB" w:rsidRPr="003F7F6C" w:rsidRDefault="002B04EB" w:rsidP="00B851B7">
            <w:r w:rsidRPr="003F7F6C">
              <w:rPr>
                <w:rFonts w:cs="Calibri"/>
                <w:sz w:val="16"/>
                <w:szCs w:val="16"/>
              </w:rPr>
              <w:t>X</w:t>
            </w:r>
          </w:p>
        </w:tc>
        <w:tc>
          <w:tcPr>
            <w:tcW w:w="427" w:type="dxa"/>
          </w:tcPr>
          <w:p w14:paraId="78056F06" w14:textId="77777777" w:rsidR="002B04EB" w:rsidRPr="003F7F6C" w:rsidRDefault="002B04EB" w:rsidP="00B851B7">
            <w:r w:rsidRPr="003F7F6C">
              <w:rPr>
                <w:rFonts w:cs="Calibri"/>
                <w:sz w:val="16"/>
                <w:szCs w:val="16"/>
              </w:rPr>
              <w:t>X</w:t>
            </w:r>
          </w:p>
        </w:tc>
        <w:tc>
          <w:tcPr>
            <w:tcW w:w="427" w:type="dxa"/>
          </w:tcPr>
          <w:p w14:paraId="03811EB6" w14:textId="77777777" w:rsidR="002B04EB" w:rsidRPr="003F7F6C" w:rsidRDefault="002B04EB" w:rsidP="00B851B7">
            <w:r w:rsidRPr="003F7F6C">
              <w:rPr>
                <w:rFonts w:cs="Calibri"/>
                <w:sz w:val="16"/>
                <w:szCs w:val="16"/>
              </w:rPr>
              <w:t>X</w:t>
            </w:r>
          </w:p>
        </w:tc>
        <w:tc>
          <w:tcPr>
            <w:tcW w:w="427" w:type="dxa"/>
            <w:gridSpan w:val="2"/>
          </w:tcPr>
          <w:p w14:paraId="0B83E464" w14:textId="77777777" w:rsidR="002B04EB" w:rsidRPr="003F7F6C" w:rsidRDefault="002B04EB" w:rsidP="00B851B7">
            <w:r w:rsidRPr="003F7F6C">
              <w:rPr>
                <w:rFonts w:cs="Calibri"/>
                <w:sz w:val="16"/>
                <w:szCs w:val="16"/>
              </w:rPr>
              <w:t>X</w:t>
            </w:r>
          </w:p>
        </w:tc>
        <w:tc>
          <w:tcPr>
            <w:tcW w:w="428" w:type="dxa"/>
          </w:tcPr>
          <w:p w14:paraId="5DDD939D" w14:textId="77777777" w:rsidR="002B04EB" w:rsidRPr="003F7F6C" w:rsidRDefault="002B04EB" w:rsidP="00B851B7">
            <w:r w:rsidRPr="003F7F6C">
              <w:rPr>
                <w:rFonts w:cs="Calibri"/>
                <w:sz w:val="16"/>
                <w:szCs w:val="16"/>
              </w:rPr>
              <w:t>X</w:t>
            </w:r>
          </w:p>
        </w:tc>
        <w:tc>
          <w:tcPr>
            <w:tcW w:w="428" w:type="dxa"/>
          </w:tcPr>
          <w:p w14:paraId="1874CC39" w14:textId="77777777" w:rsidR="002B04EB" w:rsidRPr="003F7F6C" w:rsidRDefault="002B04EB" w:rsidP="00B851B7">
            <w:r w:rsidRPr="003F7F6C">
              <w:rPr>
                <w:rFonts w:cs="Calibri"/>
                <w:sz w:val="16"/>
                <w:szCs w:val="16"/>
              </w:rPr>
              <w:t>X</w:t>
            </w:r>
          </w:p>
        </w:tc>
        <w:tc>
          <w:tcPr>
            <w:tcW w:w="428" w:type="dxa"/>
          </w:tcPr>
          <w:p w14:paraId="53CB668C" w14:textId="77777777" w:rsidR="002B04EB" w:rsidRPr="003F7F6C" w:rsidRDefault="002B04EB" w:rsidP="00B851B7">
            <w:r w:rsidRPr="003F7F6C">
              <w:rPr>
                <w:rFonts w:cs="Calibri"/>
                <w:sz w:val="16"/>
                <w:szCs w:val="16"/>
              </w:rPr>
              <w:t>X</w:t>
            </w:r>
          </w:p>
        </w:tc>
        <w:tc>
          <w:tcPr>
            <w:tcW w:w="428" w:type="dxa"/>
            <w:gridSpan w:val="2"/>
          </w:tcPr>
          <w:p w14:paraId="3D29D968" w14:textId="77777777" w:rsidR="002B04EB" w:rsidRPr="003F7F6C" w:rsidRDefault="002B04EB" w:rsidP="00B851B7">
            <w:r w:rsidRPr="003F7F6C">
              <w:rPr>
                <w:rFonts w:cs="Calibri"/>
                <w:sz w:val="16"/>
                <w:szCs w:val="16"/>
              </w:rPr>
              <w:t>X</w:t>
            </w:r>
          </w:p>
        </w:tc>
        <w:tc>
          <w:tcPr>
            <w:tcW w:w="428" w:type="dxa"/>
          </w:tcPr>
          <w:p w14:paraId="09864EBD" w14:textId="77777777" w:rsidR="002B04EB" w:rsidRPr="003F7F6C" w:rsidRDefault="002B04EB" w:rsidP="00B851B7">
            <w:pPr>
              <w:rPr>
                <w:rFonts w:cs="Calibri"/>
                <w:sz w:val="16"/>
                <w:szCs w:val="16"/>
              </w:rPr>
            </w:pPr>
          </w:p>
        </w:tc>
        <w:tc>
          <w:tcPr>
            <w:tcW w:w="428" w:type="dxa"/>
          </w:tcPr>
          <w:p w14:paraId="008767FB" w14:textId="77777777" w:rsidR="002B04EB" w:rsidRPr="003F7F6C" w:rsidRDefault="002B04EB" w:rsidP="00B851B7">
            <w:pPr>
              <w:rPr>
                <w:rFonts w:cs="Calibri"/>
                <w:sz w:val="16"/>
                <w:szCs w:val="16"/>
              </w:rPr>
            </w:pPr>
          </w:p>
        </w:tc>
        <w:tc>
          <w:tcPr>
            <w:tcW w:w="428" w:type="dxa"/>
          </w:tcPr>
          <w:p w14:paraId="65ACA7F4" w14:textId="77777777" w:rsidR="002B04EB" w:rsidRPr="003F7F6C" w:rsidRDefault="002B04EB" w:rsidP="00B851B7">
            <w:pPr>
              <w:rPr>
                <w:rFonts w:cs="Calibri"/>
                <w:sz w:val="16"/>
                <w:szCs w:val="16"/>
              </w:rPr>
            </w:pPr>
          </w:p>
        </w:tc>
        <w:tc>
          <w:tcPr>
            <w:tcW w:w="428" w:type="dxa"/>
            <w:gridSpan w:val="2"/>
          </w:tcPr>
          <w:p w14:paraId="2BB41615" w14:textId="77777777" w:rsidR="002B04EB" w:rsidRPr="003F7F6C" w:rsidRDefault="002B04EB" w:rsidP="00B851B7">
            <w:pPr>
              <w:rPr>
                <w:rFonts w:cs="Calibri"/>
                <w:sz w:val="16"/>
                <w:szCs w:val="16"/>
              </w:rPr>
            </w:pPr>
          </w:p>
        </w:tc>
        <w:tc>
          <w:tcPr>
            <w:tcW w:w="428" w:type="dxa"/>
          </w:tcPr>
          <w:p w14:paraId="36BFEBC9" w14:textId="77777777" w:rsidR="002B04EB" w:rsidRPr="003F7F6C" w:rsidRDefault="002B04EB" w:rsidP="00B851B7">
            <w:pPr>
              <w:rPr>
                <w:rFonts w:cs="Calibri"/>
                <w:sz w:val="16"/>
                <w:szCs w:val="16"/>
              </w:rPr>
            </w:pPr>
          </w:p>
        </w:tc>
        <w:tc>
          <w:tcPr>
            <w:tcW w:w="428" w:type="dxa"/>
          </w:tcPr>
          <w:p w14:paraId="7BC554C8" w14:textId="77777777" w:rsidR="002B04EB" w:rsidRPr="003F7F6C" w:rsidRDefault="002B04EB" w:rsidP="00B851B7">
            <w:pPr>
              <w:rPr>
                <w:rFonts w:cs="Calibri"/>
                <w:sz w:val="16"/>
                <w:szCs w:val="16"/>
              </w:rPr>
            </w:pPr>
          </w:p>
        </w:tc>
        <w:tc>
          <w:tcPr>
            <w:tcW w:w="428" w:type="dxa"/>
          </w:tcPr>
          <w:p w14:paraId="5C5289E5" w14:textId="77777777" w:rsidR="002B04EB" w:rsidRPr="003F7F6C" w:rsidRDefault="002B04EB" w:rsidP="00B851B7">
            <w:pPr>
              <w:rPr>
                <w:rFonts w:cs="Calibri"/>
                <w:sz w:val="16"/>
                <w:szCs w:val="16"/>
              </w:rPr>
            </w:pPr>
          </w:p>
        </w:tc>
        <w:tc>
          <w:tcPr>
            <w:tcW w:w="428" w:type="dxa"/>
            <w:gridSpan w:val="2"/>
          </w:tcPr>
          <w:p w14:paraId="6580FF2A" w14:textId="77777777" w:rsidR="002B04EB" w:rsidRPr="003F7F6C" w:rsidRDefault="002B04EB" w:rsidP="00B851B7">
            <w:pPr>
              <w:rPr>
                <w:rFonts w:cs="Calibri"/>
                <w:sz w:val="16"/>
                <w:szCs w:val="16"/>
              </w:rPr>
            </w:pPr>
          </w:p>
        </w:tc>
        <w:tc>
          <w:tcPr>
            <w:tcW w:w="428" w:type="dxa"/>
          </w:tcPr>
          <w:p w14:paraId="20C9DA75" w14:textId="77777777" w:rsidR="002B04EB" w:rsidRPr="003F7F6C" w:rsidRDefault="002B04EB" w:rsidP="00B851B7">
            <w:pPr>
              <w:rPr>
                <w:rFonts w:cs="Calibri"/>
                <w:sz w:val="16"/>
                <w:szCs w:val="16"/>
              </w:rPr>
            </w:pPr>
          </w:p>
        </w:tc>
        <w:tc>
          <w:tcPr>
            <w:tcW w:w="428" w:type="dxa"/>
          </w:tcPr>
          <w:p w14:paraId="7ACE7911" w14:textId="77777777" w:rsidR="002B04EB" w:rsidRPr="003F7F6C" w:rsidRDefault="002B04EB" w:rsidP="00B851B7">
            <w:pPr>
              <w:rPr>
                <w:rFonts w:cs="Calibri"/>
                <w:sz w:val="16"/>
                <w:szCs w:val="16"/>
              </w:rPr>
            </w:pPr>
          </w:p>
        </w:tc>
        <w:tc>
          <w:tcPr>
            <w:tcW w:w="428" w:type="dxa"/>
          </w:tcPr>
          <w:p w14:paraId="5E0774B7" w14:textId="77777777" w:rsidR="002B04EB" w:rsidRPr="003F7F6C" w:rsidRDefault="002B04EB" w:rsidP="00B851B7">
            <w:pPr>
              <w:rPr>
                <w:rFonts w:cs="Calibri"/>
                <w:sz w:val="16"/>
                <w:szCs w:val="16"/>
              </w:rPr>
            </w:pPr>
          </w:p>
        </w:tc>
        <w:tc>
          <w:tcPr>
            <w:tcW w:w="428" w:type="dxa"/>
          </w:tcPr>
          <w:p w14:paraId="5F156DEA" w14:textId="77777777" w:rsidR="002B04EB" w:rsidRPr="003F7F6C" w:rsidRDefault="002B04EB" w:rsidP="00B851B7">
            <w:pPr>
              <w:rPr>
                <w:rFonts w:cs="Calibri"/>
                <w:sz w:val="16"/>
                <w:szCs w:val="16"/>
              </w:rPr>
            </w:pPr>
          </w:p>
        </w:tc>
      </w:tr>
      <w:tr w:rsidR="002B04EB" w:rsidRPr="003F7F6C" w14:paraId="20A6671B" w14:textId="77777777" w:rsidTr="00B851B7">
        <w:tc>
          <w:tcPr>
            <w:tcW w:w="1668" w:type="dxa"/>
          </w:tcPr>
          <w:p w14:paraId="67856C02" w14:textId="77777777" w:rsidR="002B04EB" w:rsidRPr="003F7F6C" w:rsidRDefault="002B04EB" w:rsidP="00E91275">
            <w:pPr>
              <w:pStyle w:val="ListParagraph"/>
              <w:numPr>
                <w:ilvl w:val="0"/>
                <w:numId w:val="29"/>
              </w:numPr>
              <w:ind w:left="174" w:hanging="174"/>
              <w:rPr>
                <w:rFonts w:cs="Calibri"/>
                <w:sz w:val="16"/>
                <w:szCs w:val="16"/>
              </w:rPr>
            </w:pPr>
            <w:r w:rsidRPr="003F7F6C">
              <w:rPr>
                <w:rFonts w:cs="Calibri"/>
                <w:sz w:val="16"/>
                <w:szCs w:val="16"/>
              </w:rPr>
              <w:t>Risk studies in Valle Grande</w:t>
            </w:r>
          </w:p>
        </w:tc>
        <w:tc>
          <w:tcPr>
            <w:tcW w:w="1057" w:type="dxa"/>
          </w:tcPr>
          <w:p w14:paraId="048D68F0" w14:textId="77777777" w:rsidR="002B04EB" w:rsidRPr="003F7F6C" w:rsidRDefault="002B04EB" w:rsidP="00B851B7">
            <w:r w:rsidRPr="003F7F6C">
              <w:rPr>
                <w:rFonts w:cs="Calibri"/>
                <w:sz w:val="16"/>
                <w:szCs w:val="16"/>
              </w:rPr>
              <w:t>Ministry of Environment</w:t>
            </w:r>
          </w:p>
        </w:tc>
        <w:tc>
          <w:tcPr>
            <w:tcW w:w="428" w:type="dxa"/>
          </w:tcPr>
          <w:p w14:paraId="3FFF7B5B" w14:textId="77777777" w:rsidR="002B04EB" w:rsidRPr="003F7F6C" w:rsidRDefault="002B04EB" w:rsidP="00B851B7"/>
        </w:tc>
        <w:tc>
          <w:tcPr>
            <w:tcW w:w="444" w:type="dxa"/>
          </w:tcPr>
          <w:p w14:paraId="472C266E" w14:textId="77777777" w:rsidR="002B04EB" w:rsidRPr="003F7F6C" w:rsidRDefault="002B04EB" w:rsidP="00B851B7">
            <w:r w:rsidRPr="003F7F6C">
              <w:rPr>
                <w:rFonts w:cs="Calibri"/>
                <w:sz w:val="16"/>
                <w:szCs w:val="16"/>
              </w:rPr>
              <w:t>X</w:t>
            </w:r>
          </w:p>
        </w:tc>
        <w:tc>
          <w:tcPr>
            <w:tcW w:w="428" w:type="dxa"/>
          </w:tcPr>
          <w:p w14:paraId="03CB11AC" w14:textId="77777777" w:rsidR="002B04EB" w:rsidRPr="003F7F6C" w:rsidRDefault="002B04EB" w:rsidP="00B851B7">
            <w:r w:rsidRPr="003F7F6C">
              <w:rPr>
                <w:rFonts w:cs="Calibri"/>
                <w:sz w:val="16"/>
                <w:szCs w:val="16"/>
              </w:rPr>
              <w:t>X</w:t>
            </w:r>
          </w:p>
        </w:tc>
        <w:tc>
          <w:tcPr>
            <w:tcW w:w="428" w:type="dxa"/>
            <w:gridSpan w:val="2"/>
          </w:tcPr>
          <w:p w14:paraId="2071A072" w14:textId="77777777" w:rsidR="002B04EB" w:rsidRPr="003F7F6C" w:rsidRDefault="002B04EB" w:rsidP="00B851B7">
            <w:r w:rsidRPr="003F7F6C">
              <w:rPr>
                <w:rFonts w:cs="Calibri"/>
                <w:sz w:val="16"/>
                <w:szCs w:val="16"/>
              </w:rPr>
              <w:t>X</w:t>
            </w:r>
          </w:p>
        </w:tc>
        <w:tc>
          <w:tcPr>
            <w:tcW w:w="428" w:type="dxa"/>
          </w:tcPr>
          <w:p w14:paraId="4224E84A" w14:textId="77777777" w:rsidR="002B04EB" w:rsidRPr="003F7F6C" w:rsidRDefault="002B04EB" w:rsidP="00B851B7">
            <w:r w:rsidRPr="003F7F6C">
              <w:rPr>
                <w:rFonts w:cs="Calibri"/>
                <w:sz w:val="16"/>
                <w:szCs w:val="16"/>
              </w:rPr>
              <w:t>X</w:t>
            </w:r>
          </w:p>
        </w:tc>
        <w:tc>
          <w:tcPr>
            <w:tcW w:w="427" w:type="dxa"/>
          </w:tcPr>
          <w:p w14:paraId="1CF04589" w14:textId="77777777" w:rsidR="002B04EB" w:rsidRPr="003F7F6C" w:rsidRDefault="002B04EB" w:rsidP="00B851B7">
            <w:r w:rsidRPr="003F7F6C">
              <w:rPr>
                <w:rFonts w:cs="Calibri"/>
                <w:sz w:val="16"/>
                <w:szCs w:val="16"/>
              </w:rPr>
              <w:t>X</w:t>
            </w:r>
          </w:p>
        </w:tc>
        <w:tc>
          <w:tcPr>
            <w:tcW w:w="427" w:type="dxa"/>
          </w:tcPr>
          <w:p w14:paraId="48A86CC4" w14:textId="77777777" w:rsidR="002B04EB" w:rsidRPr="003F7F6C" w:rsidRDefault="002B04EB" w:rsidP="00B851B7">
            <w:r w:rsidRPr="003F7F6C">
              <w:rPr>
                <w:rFonts w:cs="Calibri"/>
                <w:sz w:val="16"/>
                <w:szCs w:val="16"/>
              </w:rPr>
              <w:t>X</w:t>
            </w:r>
          </w:p>
        </w:tc>
        <w:tc>
          <w:tcPr>
            <w:tcW w:w="427" w:type="dxa"/>
            <w:gridSpan w:val="2"/>
          </w:tcPr>
          <w:p w14:paraId="0061666F" w14:textId="77777777" w:rsidR="002B04EB" w:rsidRPr="003F7F6C" w:rsidRDefault="002B04EB" w:rsidP="00B851B7">
            <w:r w:rsidRPr="003F7F6C">
              <w:rPr>
                <w:rFonts w:cs="Calibri"/>
                <w:sz w:val="16"/>
                <w:szCs w:val="16"/>
              </w:rPr>
              <w:t>X</w:t>
            </w:r>
          </w:p>
        </w:tc>
        <w:tc>
          <w:tcPr>
            <w:tcW w:w="428" w:type="dxa"/>
          </w:tcPr>
          <w:p w14:paraId="33A371E3" w14:textId="77777777" w:rsidR="002B04EB" w:rsidRPr="003F7F6C" w:rsidRDefault="002B04EB" w:rsidP="00B851B7">
            <w:r w:rsidRPr="003F7F6C">
              <w:rPr>
                <w:rFonts w:cs="Calibri"/>
                <w:sz w:val="16"/>
                <w:szCs w:val="16"/>
              </w:rPr>
              <w:t>X</w:t>
            </w:r>
          </w:p>
        </w:tc>
        <w:tc>
          <w:tcPr>
            <w:tcW w:w="428" w:type="dxa"/>
          </w:tcPr>
          <w:p w14:paraId="2054E8D6" w14:textId="77777777" w:rsidR="002B04EB" w:rsidRPr="003F7F6C" w:rsidRDefault="002B04EB" w:rsidP="00B851B7">
            <w:r w:rsidRPr="003F7F6C">
              <w:rPr>
                <w:rFonts w:cs="Calibri"/>
                <w:sz w:val="16"/>
                <w:szCs w:val="16"/>
              </w:rPr>
              <w:t>X</w:t>
            </w:r>
          </w:p>
        </w:tc>
        <w:tc>
          <w:tcPr>
            <w:tcW w:w="428" w:type="dxa"/>
          </w:tcPr>
          <w:p w14:paraId="747513A9" w14:textId="77777777" w:rsidR="002B04EB" w:rsidRPr="003F7F6C" w:rsidRDefault="002B04EB" w:rsidP="00B851B7">
            <w:r w:rsidRPr="003F7F6C">
              <w:rPr>
                <w:rFonts w:cs="Calibri"/>
                <w:sz w:val="16"/>
                <w:szCs w:val="16"/>
              </w:rPr>
              <w:t>X</w:t>
            </w:r>
          </w:p>
        </w:tc>
        <w:tc>
          <w:tcPr>
            <w:tcW w:w="428" w:type="dxa"/>
            <w:gridSpan w:val="2"/>
          </w:tcPr>
          <w:p w14:paraId="4A8023E5" w14:textId="77777777" w:rsidR="002B04EB" w:rsidRPr="003F7F6C" w:rsidRDefault="002B04EB" w:rsidP="00B851B7">
            <w:r w:rsidRPr="003F7F6C">
              <w:rPr>
                <w:rFonts w:cs="Calibri"/>
                <w:sz w:val="16"/>
                <w:szCs w:val="16"/>
              </w:rPr>
              <w:t>X</w:t>
            </w:r>
          </w:p>
        </w:tc>
        <w:tc>
          <w:tcPr>
            <w:tcW w:w="428" w:type="dxa"/>
          </w:tcPr>
          <w:p w14:paraId="30EDD871" w14:textId="77777777" w:rsidR="002B04EB" w:rsidRPr="003F7F6C" w:rsidRDefault="002B04EB" w:rsidP="00B851B7">
            <w:pPr>
              <w:rPr>
                <w:rFonts w:cs="Calibri"/>
                <w:sz w:val="16"/>
                <w:szCs w:val="16"/>
              </w:rPr>
            </w:pPr>
          </w:p>
        </w:tc>
        <w:tc>
          <w:tcPr>
            <w:tcW w:w="428" w:type="dxa"/>
          </w:tcPr>
          <w:p w14:paraId="2F952F22" w14:textId="77777777" w:rsidR="002B04EB" w:rsidRPr="003F7F6C" w:rsidRDefault="002B04EB" w:rsidP="00B851B7">
            <w:pPr>
              <w:rPr>
                <w:rFonts w:cs="Calibri"/>
                <w:sz w:val="16"/>
                <w:szCs w:val="16"/>
              </w:rPr>
            </w:pPr>
          </w:p>
        </w:tc>
        <w:tc>
          <w:tcPr>
            <w:tcW w:w="428" w:type="dxa"/>
          </w:tcPr>
          <w:p w14:paraId="093DFB27" w14:textId="77777777" w:rsidR="002B04EB" w:rsidRPr="003F7F6C" w:rsidRDefault="002B04EB" w:rsidP="00B851B7">
            <w:pPr>
              <w:rPr>
                <w:rFonts w:cs="Calibri"/>
                <w:sz w:val="16"/>
                <w:szCs w:val="16"/>
              </w:rPr>
            </w:pPr>
          </w:p>
        </w:tc>
        <w:tc>
          <w:tcPr>
            <w:tcW w:w="428" w:type="dxa"/>
            <w:gridSpan w:val="2"/>
          </w:tcPr>
          <w:p w14:paraId="29D8CBCE" w14:textId="77777777" w:rsidR="002B04EB" w:rsidRPr="003F7F6C" w:rsidRDefault="002B04EB" w:rsidP="00B851B7">
            <w:pPr>
              <w:rPr>
                <w:rFonts w:cs="Calibri"/>
                <w:sz w:val="16"/>
                <w:szCs w:val="16"/>
              </w:rPr>
            </w:pPr>
          </w:p>
        </w:tc>
        <w:tc>
          <w:tcPr>
            <w:tcW w:w="428" w:type="dxa"/>
          </w:tcPr>
          <w:p w14:paraId="7D0F5FFF" w14:textId="77777777" w:rsidR="002B04EB" w:rsidRPr="003F7F6C" w:rsidRDefault="002B04EB" w:rsidP="00B851B7">
            <w:pPr>
              <w:rPr>
                <w:rFonts w:cs="Calibri"/>
                <w:sz w:val="16"/>
                <w:szCs w:val="16"/>
              </w:rPr>
            </w:pPr>
          </w:p>
        </w:tc>
        <w:tc>
          <w:tcPr>
            <w:tcW w:w="428" w:type="dxa"/>
          </w:tcPr>
          <w:p w14:paraId="51E2A263" w14:textId="77777777" w:rsidR="002B04EB" w:rsidRPr="003F7F6C" w:rsidRDefault="002B04EB" w:rsidP="00B851B7">
            <w:pPr>
              <w:rPr>
                <w:rFonts w:cs="Calibri"/>
                <w:sz w:val="16"/>
                <w:szCs w:val="16"/>
              </w:rPr>
            </w:pPr>
          </w:p>
        </w:tc>
        <w:tc>
          <w:tcPr>
            <w:tcW w:w="428" w:type="dxa"/>
          </w:tcPr>
          <w:p w14:paraId="7E7C8767" w14:textId="77777777" w:rsidR="002B04EB" w:rsidRPr="003F7F6C" w:rsidRDefault="002B04EB" w:rsidP="00B851B7">
            <w:pPr>
              <w:rPr>
                <w:rFonts w:cs="Calibri"/>
                <w:sz w:val="16"/>
                <w:szCs w:val="16"/>
              </w:rPr>
            </w:pPr>
          </w:p>
        </w:tc>
        <w:tc>
          <w:tcPr>
            <w:tcW w:w="428" w:type="dxa"/>
            <w:gridSpan w:val="2"/>
          </w:tcPr>
          <w:p w14:paraId="0A6379A6" w14:textId="77777777" w:rsidR="002B04EB" w:rsidRPr="003F7F6C" w:rsidRDefault="002B04EB" w:rsidP="00B851B7">
            <w:pPr>
              <w:rPr>
                <w:rFonts w:cs="Calibri"/>
                <w:sz w:val="16"/>
                <w:szCs w:val="16"/>
              </w:rPr>
            </w:pPr>
          </w:p>
        </w:tc>
        <w:tc>
          <w:tcPr>
            <w:tcW w:w="428" w:type="dxa"/>
          </w:tcPr>
          <w:p w14:paraId="253E9944" w14:textId="77777777" w:rsidR="002B04EB" w:rsidRPr="003F7F6C" w:rsidRDefault="002B04EB" w:rsidP="00B851B7">
            <w:pPr>
              <w:rPr>
                <w:rFonts w:cs="Calibri"/>
                <w:sz w:val="16"/>
                <w:szCs w:val="16"/>
              </w:rPr>
            </w:pPr>
          </w:p>
        </w:tc>
        <w:tc>
          <w:tcPr>
            <w:tcW w:w="428" w:type="dxa"/>
          </w:tcPr>
          <w:p w14:paraId="6D8A95E0" w14:textId="77777777" w:rsidR="002B04EB" w:rsidRPr="003F7F6C" w:rsidRDefault="002B04EB" w:rsidP="00B851B7">
            <w:pPr>
              <w:rPr>
                <w:rFonts w:cs="Calibri"/>
                <w:sz w:val="16"/>
                <w:szCs w:val="16"/>
              </w:rPr>
            </w:pPr>
          </w:p>
        </w:tc>
        <w:tc>
          <w:tcPr>
            <w:tcW w:w="428" w:type="dxa"/>
          </w:tcPr>
          <w:p w14:paraId="78A499D9" w14:textId="77777777" w:rsidR="002B04EB" w:rsidRPr="003F7F6C" w:rsidRDefault="002B04EB" w:rsidP="00B851B7">
            <w:pPr>
              <w:rPr>
                <w:rFonts w:cs="Calibri"/>
                <w:sz w:val="16"/>
                <w:szCs w:val="16"/>
              </w:rPr>
            </w:pPr>
          </w:p>
        </w:tc>
        <w:tc>
          <w:tcPr>
            <w:tcW w:w="428" w:type="dxa"/>
          </w:tcPr>
          <w:p w14:paraId="5DAF1430" w14:textId="77777777" w:rsidR="002B04EB" w:rsidRPr="003F7F6C" w:rsidRDefault="002B04EB" w:rsidP="00B851B7">
            <w:pPr>
              <w:rPr>
                <w:rFonts w:cs="Calibri"/>
                <w:sz w:val="16"/>
                <w:szCs w:val="16"/>
              </w:rPr>
            </w:pPr>
          </w:p>
        </w:tc>
      </w:tr>
      <w:tr w:rsidR="002B04EB" w:rsidRPr="003F7F6C" w14:paraId="74DCC055" w14:textId="77777777" w:rsidTr="00B851B7">
        <w:tc>
          <w:tcPr>
            <w:tcW w:w="1668" w:type="dxa"/>
          </w:tcPr>
          <w:p w14:paraId="2ACE3F57" w14:textId="77777777" w:rsidR="002B04EB" w:rsidRPr="003F7F6C" w:rsidRDefault="002B04EB" w:rsidP="00E91275">
            <w:pPr>
              <w:pStyle w:val="ListParagraph"/>
              <w:numPr>
                <w:ilvl w:val="0"/>
                <w:numId w:val="29"/>
              </w:numPr>
              <w:ind w:left="174" w:hanging="174"/>
              <w:rPr>
                <w:rFonts w:cs="Calibri"/>
                <w:sz w:val="16"/>
                <w:szCs w:val="16"/>
              </w:rPr>
            </w:pPr>
            <w:r w:rsidRPr="003F7F6C">
              <w:rPr>
                <w:rFonts w:cs="Calibri"/>
                <w:sz w:val="16"/>
                <w:szCs w:val="16"/>
              </w:rPr>
              <w:t>Generate inputs for ELUP protocols</w:t>
            </w:r>
          </w:p>
        </w:tc>
        <w:tc>
          <w:tcPr>
            <w:tcW w:w="1057" w:type="dxa"/>
          </w:tcPr>
          <w:p w14:paraId="4560BFDA" w14:textId="77777777" w:rsidR="002B04EB" w:rsidRPr="003F7F6C" w:rsidRDefault="002B04EB" w:rsidP="00B851B7">
            <w:r w:rsidRPr="003F7F6C">
              <w:rPr>
                <w:rFonts w:cs="Calibri"/>
                <w:sz w:val="16"/>
                <w:szCs w:val="16"/>
              </w:rPr>
              <w:t>Ministry of Environment</w:t>
            </w:r>
          </w:p>
        </w:tc>
        <w:tc>
          <w:tcPr>
            <w:tcW w:w="428" w:type="dxa"/>
          </w:tcPr>
          <w:p w14:paraId="2BACE078" w14:textId="77777777" w:rsidR="002B04EB" w:rsidRPr="003F7F6C" w:rsidRDefault="002B04EB" w:rsidP="00B851B7"/>
        </w:tc>
        <w:tc>
          <w:tcPr>
            <w:tcW w:w="444" w:type="dxa"/>
          </w:tcPr>
          <w:p w14:paraId="222C2001" w14:textId="77777777" w:rsidR="002B04EB" w:rsidRPr="003F7F6C" w:rsidRDefault="002B04EB" w:rsidP="00B851B7">
            <w:r w:rsidRPr="003F7F6C">
              <w:rPr>
                <w:rFonts w:cs="Calibri"/>
                <w:sz w:val="16"/>
                <w:szCs w:val="16"/>
              </w:rPr>
              <w:t>X</w:t>
            </w:r>
          </w:p>
        </w:tc>
        <w:tc>
          <w:tcPr>
            <w:tcW w:w="428" w:type="dxa"/>
          </w:tcPr>
          <w:p w14:paraId="11D499FD" w14:textId="77777777" w:rsidR="002B04EB" w:rsidRPr="003F7F6C" w:rsidRDefault="002B04EB" w:rsidP="00B851B7">
            <w:r w:rsidRPr="003F7F6C">
              <w:rPr>
                <w:rFonts w:cs="Calibri"/>
                <w:sz w:val="16"/>
                <w:szCs w:val="16"/>
              </w:rPr>
              <w:t>X</w:t>
            </w:r>
          </w:p>
        </w:tc>
        <w:tc>
          <w:tcPr>
            <w:tcW w:w="428" w:type="dxa"/>
            <w:gridSpan w:val="2"/>
          </w:tcPr>
          <w:p w14:paraId="2424274C" w14:textId="77777777" w:rsidR="002B04EB" w:rsidRPr="003F7F6C" w:rsidRDefault="002B04EB" w:rsidP="00B851B7">
            <w:r w:rsidRPr="003F7F6C">
              <w:rPr>
                <w:rFonts w:cs="Calibri"/>
                <w:sz w:val="16"/>
                <w:szCs w:val="16"/>
              </w:rPr>
              <w:t>X</w:t>
            </w:r>
          </w:p>
        </w:tc>
        <w:tc>
          <w:tcPr>
            <w:tcW w:w="428" w:type="dxa"/>
          </w:tcPr>
          <w:p w14:paraId="1A0464C8" w14:textId="77777777" w:rsidR="002B04EB" w:rsidRPr="003F7F6C" w:rsidRDefault="002B04EB" w:rsidP="00B851B7">
            <w:r w:rsidRPr="003F7F6C">
              <w:rPr>
                <w:rFonts w:cs="Calibri"/>
                <w:sz w:val="16"/>
                <w:szCs w:val="16"/>
              </w:rPr>
              <w:t>X</w:t>
            </w:r>
          </w:p>
        </w:tc>
        <w:tc>
          <w:tcPr>
            <w:tcW w:w="427" w:type="dxa"/>
          </w:tcPr>
          <w:p w14:paraId="359AFBCA" w14:textId="77777777" w:rsidR="002B04EB" w:rsidRPr="003F7F6C" w:rsidRDefault="002B04EB" w:rsidP="00B851B7">
            <w:r w:rsidRPr="003F7F6C">
              <w:rPr>
                <w:rFonts w:cs="Calibri"/>
                <w:sz w:val="16"/>
                <w:szCs w:val="16"/>
              </w:rPr>
              <w:t>X</w:t>
            </w:r>
          </w:p>
        </w:tc>
        <w:tc>
          <w:tcPr>
            <w:tcW w:w="427" w:type="dxa"/>
          </w:tcPr>
          <w:p w14:paraId="15BA3187" w14:textId="77777777" w:rsidR="002B04EB" w:rsidRPr="003F7F6C" w:rsidRDefault="002B04EB" w:rsidP="00B851B7">
            <w:r w:rsidRPr="003F7F6C">
              <w:rPr>
                <w:rFonts w:cs="Calibri"/>
                <w:sz w:val="16"/>
                <w:szCs w:val="16"/>
              </w:rPr>
              <w:t>X</w:t>
            </w:r>
          </w:p>
        </w:tc>
        <w:tc>
          <w:tcPr>
            <w:tcW w:w="427" w:type="dxa"/>
            <w:gridSpan w:val="2"/>
          </w:tcPr>
          <w:p w14:paraId="230AC3EA" w14:textId="77777777" w:rsidR="002B04EB" w:rsidRPr="003F7F6C" w:rsidRDefault="002B04EB" w:rsidP="00B851B7">
            <w:r w:rsidRPr="003F7F6C">
              <w:rPr>
                <w:rFonts w:cs="Calibri"/>
                <w:sz w:val="16"/>
                <w:szCs w:val="16"/>
              </w:rPr>
              <w:t>X</w:t>
            </w:r>
          </w:p>
        </w:tc>
        <w:tc>
          <w:tcPr>
            <w:tcW w:w="428" w:type="dxa"/>
          </w:tcPr>
          <w:p w14:paraId="6F0AA080" w14:textId="77777777" w:rsidR="002B04EB" w:rsidRPr="003F7F6C" w:rsidRDefault="002B04EB" w:rsidP="00B851B7">
            <w:r w:rsidRPr="003F7F6C">
              <w:rPr>
                <w:rFonts w:cs="Calibri"/>
                <w:sz w:val="16"/>
                <w:szCs w:val="16"/>
              </w:rPr>
              <w:t>X</w:t>
            </w:r>
          </w:p>
        </w:tc>
        <w:tc>
          <w:tcPr>
            <w:tcW w:w="428" w:type="dxa"/>
          </w:tcPr>
          <w:p w14:paraId="05BC4D0F" w14:textId="77777777" w:rsidR="002B04EB" w:rsidRPr="003F7F6C" w:rsidRDefault="002B04EB" w:rsidP="00B851B7">
            <w:r w:rsidRPr="003F7F6C">
              <w:rPr>
                <w:rFonts w:cs="Calibri"/>
                <w:sz w:val="16"/>
                <w:szCs w:val="16"/>
              </w:rPr>
              <w:t>X</w:t>
            </w:r>
          </w:p>
        </w:tc>
        <w:tc>
          <w:tcPr>
            <w:tcW w:w="428" w:type="dxa"/>
          </w:tcPr>
          <w:p w14:paraId="23E4E3FC" w14:textId="77777777" w:rsidR="002B04EB" w:rsidRPr="003F7F6C" w:rsidRDefault="002B04EB" w:rsidP="00B851B7">
            <w:r w:rsidRPr="003F7F6C">
              <w:rPr>
                <w:rFonts w:cs="Calibri"/>
                <w:sz w:val="16"/>
                <w:szCs w:val="16"/>
              </w:rPr>
              <w:t>X</w:t>
            </w:r>
          </w:p>
        </w:tc>
        <w:tc>
          <w:tcPr>
            <w:tcW w:w="428" w:type="dxa"/>
            <w:gridSpan w:val="2"/>
          </w:tcPr>
          <w:p w14:paraId="1F0B027B" w14:textId="77777777" w:rsidR="002B04EB" w:rsidRPr="003F7F6C" w:rsidRDefault="002B04EB" w:rsidP="00B851B7">
            <w:r w:rsidRPr="003F7F6C">
              <w:rPr>
                <w:rFonts w:cs="Calibri"/>
                <w:sz w:val="16"/>
                <w:szCs w:val="16"/>
              </w:rPr>
              <w:t>X</w:t>
            </w:r>
          </w:p>
        </w:tc>
        <w:tc>
          <w:tcPr>
            <w:tcW w:w="428" w:type="dxa"/>
          </w:tcPr>
          <w:p w14:paraId="046AEA8D" w14:textId="77777777" w:rsidR="002B04EB" w:rsidRPr="003F7F6C" w:rsidRDefault="002B04EB" w:rsidP="00B851B7">
            <w:pPr>
              <w:rPr>
                <w:rFonts w:cs="Calibri"/>
                <w:sz w:val="16"/>
                <w:szCs w:val="16"/>
              </w:rPr>
            </w:pPr>
          </w:p>
        </w:tc>
        <w:tc>
          <w:tcPr>
            <w:tcW w:w="428" w:type="dxa"/>
          </w:tcPr>
          <w:p w14:paraId="14B4C9BD" w14:textId="77777777" w:rsidR="002B04EB" w:rsidRPr="003F7F6C" w:rsidRDefault="002B04EB" w:rsidP="00B851B7">
            <w:pPr>
              <w:rPr>
                <w:rFonts w:cs="Calibri"/>
                <w:sz w:val="16"/>
                <w:szCs w:val="16"/>
              </w:rPr>
            </w:pPr>
          </w:p>
        </w:tc>
        <w:tc>
          <w:tcPr>
            <w:tcW w:w="428" w:type="dxa"/>
          </w:tcPr>
          <w:p w14:paraId="76AC1912" w14:textId="77777777" w:rsidR="002B04EB" w:rsidRPr="003F7F6C" w:rsidRDefault="002B04EB" w:rsidP="00B851B7">
            <w:pPr>
              <w:rPr>
                <w:rFonts w:cs="Calibri"/>
                <w:sz w:val="16"/>
                <w:szCs w:val="16"/>
              </w:rPr>
            </w:pPr>
          </w:p>
        </w:tc>
        <w:tc>
          <w:tcPr>
            <w:tcW w:w="428" w:type="dxa"/>
            <w:gridSpan w:val="2"/>
          </w:tcPr>
          <w:p w14:paraId="434AB755" w14:textId="77777777" w:rsidR="002B04EB" w:rsidRPr="003F7F6C" w:rsidRDefault="002B04EB" w:rsidP="00B851B7">
            <w:pPr>
              <w:rPr>
                <w:rFonts w:cs="Calibri"/>
                <w:sz w:val="16"/>
                <w:szCs w:val="16"/>
              </w:rPr>
            </w:pPr>
          </w:p>
        </w:tc>
        <w:tc>
          <w:tcPr>
            <w:tcW w:w="428" w:type="dxa"/>
          </w:tcPr>
          <w:p w14:paraId="24681205" w14:textId="77777777" w:rsidR="002B04EB" w:rsidRPr="003F7F6C" w:rsidRDefault="002B04EB" w:rsidP="00B851B7">
            <w:pPr>
              <w:rPr>
                <w:rFonts w:cs="Calibri"/>
                <w:sz w:val="16"/>
                <w:szCs w:val="16"/>
              </w:rPr>
            </w:pPr>
          </w:p>
        </w:tc>
        <w:tc>
          <w:tcPr>
            <w:tcW w:w="428" w:type="dxa"/>
          </w:tcPr>
          <w:p w14:paraId="47881100" w14:textId="77777777" w:rsidR="002B04EB" w:rsidRPr="003F7F6C" w:rsidRDefault="002B04EB" w:rsidP="00B851B7">
            <w:pPr>
              <w:rPr>
                <w:rFonts w:cs="Calibri"/>
                <w:sz w:val="16"/>
                <w:szCs w:val="16"/>
              </w:rPr>
            </w:pPr>
          </w:p>
        </w:tc>
        <w:tc>
          <w:tcPr>
            <w:tcW w:w="428" w:type="dxa"/>
          </w:tcPr>
          <w:p w14:paraId="4A00F5E8" w14:textId="77777777" w:rsidR="002B04EB" w:rsidRPr="003F7F6C" w:rsidRDefault="002B04EB" w:rsidP="00B851B7">
            <w:pPr>
              <w:rPr>
                <w:rFonts w:cs="Calibri"/>
                <w:sz w:val="16"/>
                <w:szCs w:val="16"/>
              </w:rPr>
            </w:pPr>
          </w:p>
        </w:tc>
        <w:tc>
          <w:tcPr>
            <w:tcW w:w="428" w:type="dxa"/>
            <w:gridSpan w:val="2"/>
          </w:tcPr>
          <w:p w14:paraId="21E69502" w14:textId="77777777" w:rsidR="002B04EB" w:rsidRPr="003F7F6C" w:rsidRDefault="002B04EB" w:rsidP="00B851B7">
            <w:pPr>
              <w:rPr>
                <w:rFonts w:cs="Calibri"/>
                <w:sz w:val="16"/>
                <w:szCs w:val="16"/>
              </w:rPr>
            </w:pPr>
          </w:p>
        </w:tc>
        <w:tc>
          <w:tcPr>
            <w:tcW w:w="428" w:type="dxa"/>
          </w:tcPr>
          <w:p w14:paraId="25EF2B65" w14:textId="77777777" w:rsidR="002B04EB" w:rsidRPr="003F7F6C" w:rsidRDefault="002B04EB" w:rsidP="00B851B7">
            <w:pPr>
              <w:rPr>
                <w:rFonts w:cs="Calibri"/>
                <w:sz w:val="16"/>
                <w:szCs w:val="16"/>
              </w:rPr>
            </w:pPr>
          </w:p>
        </w:tc>
        <w:tc>
          <w:tcPr>
            <w:tcW w:w="428" w:type="dxa"/>
          </w:tcPr>
          <w:p w14:paraId="636087F9" w14:textId="77777777" w:rsidR="002B04EB" w:rsidRPr="003F7F6C" w:rsidRDefault="002B04EB" w:rsidP="00B851B7">
            <w:pPr>
              <w:rPr>
                <w:rFonts w:cs="Calibri"/>
                <w:sz w:val="16"/>
                <w:szCs w:val="16"/>
              </w:rPr>
            </w:pPr>
          </w:p>
        </w:tc>
        <w:tc>
          <w:tcPr>
            <w:tcW w:w="428" w:type="dxa"/>
          </w:tcPr>
          <w:p w14:paraId="094D43D6" w14:textId="77777777" w:rsidR="002B04EB" w:rsidRPr="003F7F6C" w:rsidRDefault="002B04EB" w:rsidP="00B851B7">
            <w:pPr>
              <w:rPr>
                <w:rFonts w:cs="Calibri"/>
                <w:sz w:val="16"/>
                <w:szCs w:val="16"/>
              </w:rPr>
            </w:pPr>
          </w:p>
        </w:tc>
        <w:tc>
          <w:tcPr>
            <w:tcW w:w="428" w:type="dxa"/>
          </w:tcPr>
          <w:p w14:paraId="74301D30" w14:textId="77777777" w:rsidR="002B04EB" w:rsidRPr="003F7F6C" w:rsidRDefault="002B04EB" w:rsidP="00B851B7">
            <w:pPr>
              <w:rPr>
                <w:rFonts w:cs="Calibri"/>
                <w:sz w:val="16"/>
                <w:szCs w:val="16"/>
              </w:rPr>
            </w:pPr>
          </w:p>
        </w:tc>
      </w:tr>
      <w:tr w:rsidR="002B04EB" w:rsidRPr="003F7F6C" w14:paraId="4B1AE085" w14:textId="77777777" w:rsidTr="00B851B7">
        <w:tc>
          <w:tcPr>
            <w:tcW w:w="1668" w:type="dxa"/>
          </w:tcPr>
          <w:p w14:paraId="53CB6D7F" w14:textId="77777777" w:rsidR="002B04EB" w:rsidRPr="003F7F6C" w:rsidRDefault="002B04EB" w:rsidP="00E91275">
            <w:pPr>
              <w:pStyle w:val="ListParagraph"/>
              <w:numPr>
                <w:ilvl w:val="0"/>
                <w:numId w:val="29"/>
              </w:numPr>
              <w:ind w:left="174" w:hanging="174"/>
              <w:jc w:val="left"/>
              <w:rPr>
                <w:rFonts w:cs="Calibri"/>
                <w:sz w:val="16"/>
                <w:szCs w:val="16"/>
              </w:rPr>
            </w:pPr>
            <w:r w:rsidRPr="003F7F6C">
              <w:rPr>
                <w:rFonts w:cs="Calibri"/>
                <w:sz w:val="16"/>
                <w:szCs w:val="16"/>
              </w:rPr>
              <w:t>Design and adapt economic, fiscal and financial instruments</w:t>
            </w:r>
          </w:p>
        </w:tc>
        <w:tc>
          <w:tcPr>
            <w:tcW w:w="1057" w:type="dxa"/>
          </w:tcPr>
          <w:p w14:paraId="3E347B47" w14:textId="77777777" w:rsidR="002B04EB" w:rsidRPr="003F7F6C" w:rsidRDefault="002B04EB" w:rsidP="00B851B7">
            <w:r w:rsidRPr="003F7F6C">
              <w:rPr>
                <w:rFonts w:cs="Calibri"/>
                <w:sz w:val="16"/>
                <w:szCs w:val="16"/>
              </w:rPr>
              <w:t>Ministry of Environment</w:t>
            </w:r>
          </w:p>
        </w:tc>
        <w:tc>
          <w:tcPr>
            <w:tcW w:w="428" w:type="dxa"/>
          </w:tcPr>
          <w:p w14:paraId="7E6A19F9" w14:textId="77777777" w:rsidR="002B04EB" w:rsidRPr="003F7F6C" w:rsidRDefault="002B04EB" w:rsidP="00B851B7">
            <w:pPr>
              <w:rPr>
                <w:rFonts w:cs="Calibri"/>
                <w:sz w:val="16"/>
                <w:szCs w:val="16"/>
              </w:rPr>
            </w:pPr>
          </w:p>
        </w:tc>
        <w:tc>
          <w:tcPr>
            <w:tcW w:w="444" w:type="dxa"/>
          </w:tcPr>
          <w:p w14:paraId="477354BA" w14:textId="77777777" w:rsidR="002B04EB" w:rsidRPr="003F7F6C" w:rsidRDefault="002B04EB" w:rsidP="00B851B7">
            <w:pPr>
              <w:rPr>
                <w:rFonts w:cs="Calibri"/>
                <w:sz w:val="16"/>
                <w:szCs w:val="16"/>
              </w:rPr>
            </w:pPr>
          </w:p>
        </w:tc>
        <w:tc>
          <w:tcPr>
            <w:tcW w:w="428" w:type="dxa"/>
          </w:tcPr>
          <w:p w14:paraId="2E86335F" w14:textId="77777777" w:rsidR="002B04EB" w:rsidRPr="003F7F6C" w:rsidRDefault="002B04EB" w:rsidP="00B851B7">
            <w:pPr>
              <w:rPr>
                <w:rFonts w:cs="Calibri"/>
                <w:sz w:val="16"/>
                <w:szCs w:val="16"/>
              </w:rPr>
            </w:pPr>
          </w:p>
        </w:tc>
        <w:tc>
          <w:tcPr>
            <w:tcW w:w="428" w:type="dxa"/>
            <w:gridSpan w:val="2"/>
          </w:tcPr>
          <w:p w14:paraId="6D6D8825" w14:textId="77777777" w:rsidR="002B04EB" w:rsidRPr="003F7F6C" w:rsidRDefault="002B04EB" w:rsidP="00B851B7">
            <w:pPr>
              <w:rPr>
                <w:rFonts w:cs="Calibri"/>
                <w:sz w:val="16"/>
                <w:szCs w:val="16"/>
              </w:rPr>
            </w:pPr>
          </w:p>
        </w:tc>
        <w:tc>
          <w:tcPr>
            <w:tcW w:w="428" w:type="dxa"/>
          </w:tcPr>
          <w:p w14:paraId="1E0CDBF8" w14:textId="77777777" w:rsidR="002B04EB" w:rsidRPr="003F7F6C" w:rsidRDefault="002B04EB" w:rsidP="00B851B7">
            <w:r w:rsidRPr="003F7F6C">
              <w:rPr>
                <w:rFonts w:cs="Calibri"/>
                <w:sz w:val="16"/>
                <w:szCs w:val="16"/>
              </w:rPr>
              <w:t>X</w:t>
            </w:r>
          </w:p>
        </w:tc>
        <w:tc>
          <w:tcPr>
            <w:tcW w:w="427" w:type="dxa"/>
          </w:tcPr>
          <w:p w14:paraId="6E5F7B8D" w14:textId="77777777" w:rsidR="002B04EB" w:rsidRPr="003F7F6C" w:rsidRDefault="002B04EB" w:rsidP="00B851B7">
            <w:r w:rsidRPr="003F7F6C">
              <w:rPr>
                <w:rFonts w:cs="Calibri"/>
                <w:sz w:val="16"/>
                <w:szCs w:val="16"/>
              </w:rPr>
              <w:t>X</w:t>
            </w:r>
          </w:p>
        </w:tc>
        <w:tc>
          <w:tcPr>
            <w:tcW w:w="427" w:type="dxa"/>
          </w:tcPr>
          <w:p w14:paraId="6013D4D8" w14:textId="77777777" w:rsidR="002B04EB" w:rsidRPr="003F7F6C" w:rsidRDefault="002B04EB" w:rsidP="00B851B7">
            <w:r w:rsidRPr="003F7F6C">
              <w:rPr>
                <w:rFonts w:cs="Calibri"/>
                <w:sz w:val="16"/>
                <w:szCs w:val="16"/>
              </w:rPr>
              <w:t>X</w:t>
            </w:r>
          </w:p>
        </w:tc>
        <w:tc>
          <w:tcPr>
            <w:tcW w:w="427" w:type="dxa"/>
            <w:gridSpan w:val="2"/>
          </w:tcPr>
          <w:p w14:paraId="73D94FC9" w14:textId="77777777" w:rsidR="002B04EB" w:rsidRPr="003F7F6C" w:rsidRDefault="002B04EB" w:rsidP="00B851B7">
            <w:r w:rsidRPr="003F7F6C">
              <w:rPr>
                <w:rFonts w:cs="Calibri"/>
                <w:sz w:val="16"/>
                <w:szCs w:val="16"/>
              </w:rPr>
              <w:t>X</w:t>
            </w:r>
          </w:p>
        </w:tc>
        <w:tc>
          <w:tcPr>
            <w:tcW w:w="428" w:type="dxa"/>
          </w:tcPr>
          <w:p w14:paraId="72D6D2BE" w14:textId="77777777" w:rsidR="002B04EB" w:rsidRPr="003F7F6C" w:rsidRDefault="002B04EB" w:rsidP="00B851B7">
            <w:r w:rsidRPr="003F7F6C">
              <w:rPr>
                <w:rFonts w:cs="Calibri"/>
                <w:sz w:val="16"/>
                <w:szCs w:val="16"/>
              </w:rPr>
              <w:t>X</w:t>
            </w:r>
          </w:p>
        </w:tc>
        <w:tc>
          <w:tcPr>
            <w:tcW w:w="428" w:type="dxa"/>
          </w:tcPr>
          <w:p w14:paraId="365FC5A0" w14:textId="77777777" w:rsidR="002B04EB" w:rsidRPr="003F7F6C" w:rsidRDefault="002B04EB" w:rsidP="00B851B7">
            <w:r w:rsidRPr="003F7F6C">
              <w:rPr>
                <w:rFonts w:cs="Calibri"/>
                <w:sz w:val="16"/>
                <w:szCs w:val="16"/>
              </w:rPr>
              <w:t>X</w:t>
            </w:r>
          </w:p>
        </w:tc>
        <w:tc>
          <w:tcPr>
            <w:tcW w:w="428" w:type="dxa"/>
          </w:tcPr>
          <w:p w14:paraId="132D55AF" w14:textId="77777777" w:rsidR="002B04EB" w:rsidRPr="003F7F6C" w:rsidRDefault="002B04EB" w:rsidP="00B851B7">
            <w:r w:rsidRPr="003F7F6C">
              <w:rPr>
                <w:rFonts w:cs="Calibri"/>
                <w:sz w:val="16"/>
                <w:szCs w:val="16"/>
              </w:rPr>
              <w:t>X</w:t>
            </w:r>
          </w:p>
        </w:tc>
        <w:tc>
          <w:tcPr>
            <w:tcW w:w="428" w:type="dxa"/>
            <w:gridSpan w:val="2"/>
          </w:tcPr>
          <w:p w14:paraId="4D3CC3C9" w14:textId="77777777" w:rsidR="002B04EB" w:rsidRPr="003F7F6C" w:rsidRDefault="002B04EB" w:rsidP="00B851B7">
            <w:r w:rsidRPr="003F7F6C">
              <w:rPr>
                <w:rFonts w:cs="Calibri"/>
                <w:sz w:val="16"/>
                <w:szCs w:val="16"/>
              </w:rPr>
              <w:t>X</w:t>
            </w:r>
          </w:p>
        </w:tc>
        <w:tc>
          <w:tcPr>
            <w:tcW w:w="428" w:type="dxa"/>
          </w:tcPr>
          <w:p w14:paraId="2F2FCC1D" w14:textId="77777777" w:rsidR="002B04EB" w:rsidRPr="003F7F6C" w:rsidRDefault="002B04EB" w:rsidP="00B851B7">
            <w:r w:rsidRPr="003F7F6C">
              <w:rPr>
                <w:rFonts w:cs="Calibri"/>
                <w:sz w:val="16"/>
                <w:szCs w:val="16"/>
              </w:rPr>
              <w:t>X</w:t>
            </w:r>
          </w:p>
        </w:tc>
        <w:tc>
          <w:tcPr>
            <w:tcW w:w="428" w:type="dxa"/>
          </w:tcPr>
          <w:p w14:paraId="57B6430F" w14:textId="77777777" w:rsidR="002B04EB" w:rsidRPr="003F7F6C" w:rsidRDefault="002B04EB" w:rsidP="00B851B7">
            <w:r w:rsidRPr="003F7F6C">
              <w:rPr>
                <w:rFonts w:cs="Calibri"/>
                <w:sz w:val="16"/>
                <w:szCs w:val="16"/>
              </w:rPr>
              <w:t>X</w:t>
            </w:r>
          </w:p>
        </w:tc>
        <w:tc>
          <w:tcPr>
            <w:tcW w:w="428" w:type="dxa"/>
          </w:tcPr>
          <w:p w14:paraId="06377E14" w14:textId="77777777" w:rsidR="002B04EB" w:rsidRPr="003F7F6C" w:rsidRDefault="002B04EB" w:rsidP="00B851B7">
            <w:r w:rsidRPr="003F7F6C">
              <w:rPr>
                <w:rFonts w:cs="Calibri"/>
                <w:sz w:val="16"/>
                <w:szCs w:val="16"/>
              </w:rPr>
              <w:t>X</w:t>
            </w:r>
          </w:p>
        </w:tc>
        <w:tc>
          <w:tcPr>
            <w:tcW w:w="428" w:type="dxa"/>
            <w:gridSpan w:val="2"/>
          </w:tcPr>
          <w:p w14:paraId="19EC80C3" w14:textId="77777777" w:rsidR="002B04EB" w:rsidRPr="003F7F6C" w:rsidRDefault="002B04EB" w:rsidP="00B851B7">
            <w:r w:rsidRPr="003F7F6C">
              <w:rPr>
                <w:rFonts w:cs="Calibri"/>
                <w:sz w:val="16"/>
                <w:szCs w:val="16"/>
              </w:rPr>
              <w:t>X</w:t>
            </w:r>
          </w:p>
        </w:tc>
        <w:tc>
          <w:tcPr>
            <w:tcW w:w="428" w:type="dxa"/>
          </w:tcPr>
          <w:p w14:paraId="211474DC" w14:textId="77777777" w:rsidR="002B04EB" w:rsidRPr="003F7F6C" w:rsidRDefault="002B04EB" w:rsidP="00B851B7">
            <w:r w:rsidRPr="003F7F6C">
              <w:rPr>
                <w:rFonts w:cs="Calibri"/>
                <w:sz w:val="16"/>
                <w:szCs w:val="16"/>
              </w:rPr>
              <w:t>X</w:t>
            </w:r>
          </w:p>
        </w:tc>
        <w:tc>
          <w:tcPr>
            <w:tcW w:w="428" w:type="dxa"/>
          </w:tcPr>
          <w:p w14:paraId="28D3E25B" w14:textId="77777777" w:rsidR="002B04EB" w:rsidRPr="003F7F6C" w:rsidRDefault="002B04EB" w:rsidP="00B851B7">
            <w:r w:rsidRPr="003F7F6C">
              <w:rPr>
                <w:rFonts w:cs="Calibri"/>
                <w:sz w:val="16"/>
                <w:szCs w:val="16"/>
              </w:rPr>
              <w:t>X</w:t>
            </w:r>
          </w:p>
        </w:tc>
        <w:tc>
          <w:tcPr>
            <w:tcW w:w="428" w:type="dxa"/>
          </w:tcPr>
          <w:p w14:paraId="639F8D01" w14:textId="77777777" w:rsidR="002B04EB" w:rsidRPr="003F7F6C" w:rsidRDefault="002B04EB" w:rsidP="00B851B7">
            <w:r w:rsidRPr="003F7F6C">
              <w:rPr>
                <w:rFonts w:cs="Calibri"/>
                <w:sz w:val="16"/>
                <w:szCs w:val="16"/>
              </w:rPr>
              <w:t>X</w:t>
            </w:r>
          </w:p>
        </w:tc>
        <w:tc>
          <w:tcPr>
            <w:tcW w:w="428" w:type="dxa"/>
            <w:gridSpan w:val="2"/>
          </w:tcPr>
          <w:p w14:paraId="7AF1584B" w14:textId="77777777" w:rsidR="002B04EB" w:rsidRPr="003F7F6C" w:rsidRDefault="002B04EB" w:rsidP="00B851B7">
            <w:r w:rsidRPr="003F7F6C">
              <w:rPr>
                <w:rFonts w:cs="Calibri"/>
                <w:sz w:val="16"/>
                <w:szCs w:val="16"/>
              </w:rPr>
              <w:t>X</w:t>
            </w:r>
          </w:p>
        </w:tc>
        <w:tc>
          <w:tcPr>
            <w:tcW w:w="428" w:type="dxa"/>
          </w:tcPr>
          <w:p w14:paraId="17D53BE5" w14:textId="77777777" w:rsidR="002B04EB" w:rsidRPr="003F7F6C" w:rsidRDefault="002B04EB" w:rsidP="00B851B7">
            <w:pPr>
              <w:rPr>
                <w:rFonts w:cs="Calibri"/>
                <w:sz w:val="16"/>
                <w:szCs w:val="16"/>
              </w:rPr>
            </w:pPr>
          </w:p>
        </w:tc>
        <w:tc>
          <w:tcPr>
            <w:tcW w:w="428" w:type="dxa"/>
          </w:tcPr>
          <w:p w14:paraId="6A678366" w14:textId="77777777" w:rsidR="002B04EB" w:rsidRPr="003F7F6C" w:rsidRDefault="002B04EB" w:rsidP="00B851B7">
            <w:pPr>
              <w:rPr>
                <w:rFonts w:cs="Calibri"/>
                <w:sz w:val="16"/>
                <w:szCs w:val="16"/>
              </w:rPr>
            </w:pPr>
          </w:p>
        </w:tc>
        <w:tc>
          <w:tcPr>
            <w:tcW w:w="428" w:type="dxa"/>
          </w:tcPr>
          <w:p w14:paraId="2028DDA3" w14:textId="77777777" w:rsidR="002B04EB" w:rsidRPr="003F7F6C" w:rsidRDefault="002B04EB" w:rsidP="00B851B7">
            <w:pPr>
              <w:rPr>
                <w:rFonts w:cs="Calibri"/>
                <w:sz w:val="16"/>
                <w:szCs w:val="16"/>
              </w:rPr>
            </w:pPr>
          </w:p>
        </w:tc>
        <w:tc>
          <w:tcPr>
            <w:tcW w:w="428" w:type="dxa"/>
          </w:tcPr>
          <w:p w14:paraId="5ACB7A2C" w14:textId="77777777" w:rsidR="002B04EB" w:rsidRPr="003F7F6C" w:rsidRDefault="002B04EB" w:rsidP="00B851B7">
            <w:pPr>
              <w:rPr>
                <w:rFonts w:cs="Calibri"/>
                <w:sz w:val="16"/>
                <w:szCs w:val="16"/>
              </w:rPr>
            </w:pPr>
          </w:p>
        </w:tc>
      </w:tr>
      <w:tr w:rsidR="002B04EB" w:rsidRPr="003F7F6C" w14:paraId="15BC9B36" w14:textId="77777777" w:rsidTr="00B851B7">
        <w:tc>
          <w:tcPr>
            <w:tcW w:w="1668" w:type="dxa"/>
          </w:tcPr>
          <w:p w14:paraId="612435CA" w14:textId="77777777" w:rsidR="002B04EB" w:rsidRPr="003F7F6C" w:rsidRDefault="002B04EB" w:rsidP="00E91275">
            <w:pPr>
              <w:pStyle w:val="ListParagraph"/>
              <w:numPr>
                <w:ilvl w:val="0"/>
                <w:numId w:val="29"/>
              </w:numPr>
              <w:ind w:left="174" w:hanging="142"/>
              <w:rPr>
                <w:rFonts w:cs="Calibri"/>
                <w:sz w:val="16"/>
                <w:szCs w:val="16"/>
              </w:rPr>
            </w:pPr>
            <w:r w:rsidRPr="003F7F6C">
              <w:rPr>
                <w:rFonts w:cs="Calibri"/>
                <w:sz w:val="16"/>
                <w:szCs w:val="16"/>
              </w:rPr>
              <w:t>Implement instruments, monitor and adjust</w:t>
            </w:r>
          </w:p>
        </w:tc>
        <w:tc>
          <w:tcPr>
            <w:tcW w:w="1057" w:type="dxa"/>
          </w:tcPr>
          <w:p w14:paraId="453080AA" w14:textId="77777777" w:rsidR="002B04EB" w:rsidRPr="003F7F6C" w:rsidRDefault="002B04EB" w:rsidP="00B851B7">
            <w:pPr>
              <w:rPr>
                <w:sz w:val="16"/>
                <w:szCs w:val="16"/>
              </w:rPr>
            </w:pPr>
            <w:r w:rsidRPr="003F7F6C">
              <w:rPr>
                <w:rFonts w:cs="Calibri"/>
                <w:sz w:val="16"/>
                <w:szCs w:val="16"/>
              </w:rPr>
              <w:t>Ministry of Environment</w:t>
            </w:r>
          </w:p>
          <w:p w14:paraId="70C4E461" w14:textId="77777777" w:rsidR="002B04EB" w:rsidRPr="003F7F6C" w:rsidRDefault="002B04EB" w:rsidP="00B851B7">
            <w:pPr>
              <w:rPr>
                <w:sz w:val="16"/>
                <w:szCs w:val="16"/>
              </w:rPr>
            </w:pPr>
            <w:r w:rsidRPr="003F7F6C">
              <w:rPr>
                <w:sz w:val="16"/>
                <w:szCs w:val="16"/>
              </w:rPr>
              <w:t>INTA</w:t>
            </w:r>
          </w:p>
        </w:tc>
        <w:tc>
          <w:tcPr>
            <w:tcW w:w="428" w:type="dxa"/>
          </w:tcPr>
          <w:p w14:paraId="4C7A4949" w14:textId="77777777" w:rsidR="002B04EB" w:rsidRPr="003F7F6C" w:rsidRDefault="002B04EB" w:rsidP="00B851B7">
            <w:pPr>
              <w:rPr>
                <w:rFonts w:cs="Calibri"/>
                <w:sz w:val="16"/>
                <w:szCs w:val="16"/>
              </w:rPr>
            </w:pPr>
          </w:p>
        </w:tc>
        <w:tc>
          <w:tcPr>
            <w:tcW w:w="444" w:type="dxa"/>
          </w:tcPr>
          <w:p w14:paraId="0A5A4CAA" w14:textId="77777777" w:rsidR="002B04EB" w:rsidRPr="003F7F6C" w:rsidRDefault="002B04EB" w:rsidP="00B851B7">
            <w:pPr>
              <w:rPr>
                <w:rFonts w:cs="Calibri"/>
                <w:sz w:val="16"/>
                <w:szCs w:val="16"/>
              </w:rPr>
            </w:pPr>
          </w:p>
        </w:tc>
        <w:tc>
          <w:tcPr>
            <w:tcW w:w="428" w:type="dxa"/>
          </w:tcPr>
          <w:p w14:paraId="453BD2C0" w14:textId="77777777" w:rsidR="002B04EB" w:rsidRPr="003F7F6C" w:rsidRDefault="002B04EB" w:rsidP="00B851B7">
            <w:pPr>
              <w:rPr>
                <w:rFonts w:cs="Calibri"/>
                <w:sz w:val="16"/>
                <w:szCs w:val="16"/>
              </w:rPr>
            </w:pPr>
          </w:p>
        </w:tc>
        <w:tc>
          <w:tcPr>
            <w:tcW w:w="428" w:type="dxa"/>
            <w:gridSpan w:val="2"/>
          </w:tcPr>
          <w:p w14:paraId="2310E40C" w14:textId="77777777" w:rsidR="002B04EB" w:rsidRPr="003F7F6C" w:rsidRDefault="002B04EB" w:rsidP="00B851B7">
            <w:pPr>
              <w:rPr>
                <w:rFonts w:cs="Calibri"/>
                <w:sz w:val="16"/>
                <w:szCs w:val="16"/>
              </w:rPr>
            </w:pPr>
          </w:p>
        </w:tc>
        <w:tc>
          <w:tcPr>
            <w:tcW w:w="428" w:type="dxa"/>
          </w:tcPr>
          <w:p w14:paraId="5A096119" w14:textId="77777777" w:rsidR="002B04EB" w:rsidRPr="003F7F6C" w:rsidRDefault="002B04EB" w:rsidP="00B851B7">
            <w:r w:rsidRPr="003F7F6C">
              <w:rPr>
                <w:rFonts w:cs="Calibri"/>
                <w:sz w:val="16"/>
                <w:szCs w:val="16"/>
              </w:rPr>
              <w:t>X</w:t>
            </w:r>
          </w:p>
        </w:tc>
        <w:tc>
          <w:tcPr>
            <w:tcW w:w="427" w:type="dxa"/>
          </w:tcPr>
          <w:p w14:paraId="34DED386" w14:textId="77777777" w:rsidR="002B04EB" w:rsidRPr="003F7F6C" w:rsidRDefault="002B04EB" w:rsidP="00B851B7">
            <w:r w:rsidRPr="003F7F6C">
              <w:rPr>
                <w:rFonts w:cs="Calibri"/>
                <w:sz w:val="16"/>
                <w:szCs w:val="16"/>
              </w:rPr>
              <w:t>X</w:t>
            </w:r>
          </w:p>
        </w:tc>
        <w:tc>
          <w:tcPr>
            <w:tcW w:w="427" w:type="dxa"/>
          </w:tcPr>
          <w:p w14:paraId="6365948B" w14:textId="77777777" w:rsidR="002B04EB" w:rsidRPr="003F7F6C" w:rsidRDefault="002B04EB" w:rsidP="00B851B7">
            <w:r w:rsidRPr="003F7F6C">
              <w:rPr>
                <w:rFonts w:cs="Calibri"/>
                <w:sz w:val="16"/>
                <w:szCs w:val="16"/>
              </w:rPr>
              <w:t>X</w:t>
            </w:r>
          </w:p>
        </w:tc>
        <w:tc>
          <w:tcPr>
            <w:tcW w:w="427" w:type="dxa"/>
            <w:gridSpan w:val="2"/>
          </w:tcPr>
          <w:p w14:paraId="4B0082AB" w14:textId="77777777" w:rsidR="002B04EB" w:rsidRPr="003F7F6C" w:rsidRDefault="002B04EB" w:rsidP="00B851B7">
            <w:r w:rsidRPr="003F7F6C">
              <w:rPr>
                <w:rFonts w:cs="Calibri"/>
                <w:sz w:val="16"/>
                <w:szCs w:val="16"/>
              </w:rPr>
              <w:t>X</w:t>
            </w:r>
          </w:p>
        </w:tc>
        <w:tc>
          <w:tcPr>
            <w:tcW w:w="428" w:type="dxa"/>
          </w:tcPr>
          <w:p w14:paraId="6DA1C2B8" w14:textId="77777777" w:rsidR="002B04EB" w:rsidRPr="003F7F6C" w:rsidRDefault="002B04EB" w:rsidP="00B851B7">
            <w:r w:rsidRPr="003F7F6C">
              <w:rPr>
                <w:rFonts w:cs="Calibri"/>
                <w:sz w:val="16"/>
                <w:szCs w:val="16"/>
              </w:rPr>
              <w:t>X</w:t>
            </w:r>
          </w:p>
        </w:tc>
        <w:tc>
          <w:tcPr>
            <w:tcW w:w="428" w:type="dxa"/>
          </w:tcPr>
          <w:p w14:paraId="71B7FC8F" w14:textId="77777777" w:rsidR="002B04EB" w:rsidRPr="003F7F6C" w:rsidRDefault="002B04EB" w:rsidP="00B851B7">
            <w:r w:rsidRPr="003F7F6C">
              <w:rPr>
                <w:rFonts w:cs="Calibri"/>
                <w:sz w:val="16"/>
                <w:szCs w:val="16"/>
              </w:rPr>
              <w:t>X</w:t>
            </w:r>
          </w:p>
        </w:tc>
        <w:tc>
          <w:tcPr>
            <w:tcW w:w="428" w:type="dxa"/>
          </w:tcPr>
          <w:p w14:paraId="3A60F38F" w14:textId="77777777" w:rsidR="002B04EB" w:rsidRPr="003F7F6C" w:rsidRDefault="002B04EB" w:rsidP="00B851B7">
            <w:r w:rsidRPr="003F7F6C">
              <w:rPr>
                <w:rFonts w:cs="Calibri"/>
                <w:sz w:val="16"/>
                <w:szCs w:val="16"/>
              </w:rPr>
              <w:t>X</w:t>
            </w:r>
          </w:p>
        </w:tc>
        <w:tc>
          <w:tcPr>
            <w:tcW w:w="428" w:type="dxa"/>
            <w:gridSpan w:val="2"/>
          </w:tcPr>
          <w:p w14:paraId="346C874C" w14:textId="77777777" w:rsidR="002B04EB" w:rsidRPr="003F7F6C" w:rsidRDefault="002B04EB" w:rsidP="00B851B7">
            <w:r w:rsidRPr="003F7F6C">
              <w:rPr>
                <w:rFonts w:cs="Calibri"/>
                <w:sz w:val="16"/>
                <w:szCs w:val="16"/>
              </w:rPr>
              <w:t>X</w:t>
            </w:r>
          </w:p>
        </w:tc>
        <w:tc>
          <w:tcPr>
            <w:tcW w:w="428" w:type="dxa"/>
          </w:tcPr>
          <w:p w14:paraId="428F39FD" w14:textId="77777777" w:rsidR="002B04EB" w:rsidRPr="003F7F6C" w:rsidRDefault="002B04EB" w:rsidP="00B851B7">
            <w:r w:rsidRPr="003F7F6C">
              <w:rPr>
                <w:rFonts w:cs="Calibri"/>
                <w:sz w:val="16"/>
                <w:szCs w:val="16"/>
              </w:rPr>
              <w:t>X</w:t>
            </w:r>
          </w:p>
        </w:tc>
        <w:tc>
          <w:tcPr>
            <w:tcW w:w="428" w:type="dxa"/>
          </w:tcPr>
          <w:p w14:paraId="0BB06E6A" w14:textId="77777777" w:rsidR="002B04EB" w:rsidRPr="003F7F6C" w:rsidRDefault="002B04EB" w:rsidP="00B851B7">
            <w:r w:rsidRPr="003F7F6C">
              <w:rPr>
                <w:rFonts w:cs="Calibri"/>
                <w:sz w:val="16"/>
                <w:szCs w:val="16"/>
              </w:rPr>
              <w:t>X</w:t>
            </w:r>
          </w:p>
        </w:tc>
        <w:tc>
          <w:tcPr>
            <w:tcW w:w="428" w:type="dxa"/>
          </w:tcPr>
          <w:p w14:paraId="0A888146" w14:textId="77777777" w:rsidR="002B04EB" w:rsidRPr="003F7F6C" w:rsidRDefault="002B04EB" w:rsidP="00B851B7">
            <w:r w:rsidRPr="003F7F6C">
              <w:rPr>
                <w:rFonts w:cs="Calibri"/>
                <w:sz w:val="16"/>
                <w:szCs w:val="16"/>
              </w:rPr>
              <w:t>X</w:t>
            </w:r>
          </w:p>
        </w:tc>
        <w:tc>
          <w:tcPr>
            <w:tcW w:w="428" w:type="dxa"/>
            <w:gridSpan w:val="2"/>
          </w:tcPr>
          <w:p w14:paraId="31D406B7" w14:textId="77777777" w:rsidR="002B04EB" w:rsidRPr="003F7F6C" w:rsidRDefault="002B04EB" w:rsidP="00B851B7">
            <w:r w:rsidRPr="003F7F6C">
              <w:rPr>
                <w:rFonts w:cs="Calibri"/>
                <w:sz w:val="16"/>
                <w:szCs w:val="16"/>
              </w:rPr>
              <w:t>X</w:t>
            </w:r>
          </w:p>
        </w:tc>
        <w:tc>
          <w:tcPr>
            <w:tcW w:w="428" w:type="dxa"/>
          </w:tcPr>
          <w:p w14:paraId="2E125B5F" w14:textId="77777777" w:rsidR="002B04EB" w:rsidRPr="003F7F6C" w:rsidRDefault="002B04EB" w:rsidP="00B851B7">
            <w:r w:rsidRPr="003F7F6C">
              <w:rPr>
                <w:rFonts w:cs="Calibri"/>
                <w:sz w:val="16"/>
                <w:szCs w:val="16"/>
              </w:rPr>
              <w:t>X</w:t>
            </w:r>
          </w:p>
        </w:tc>
        <w:tc>
          <w:tcPr>
            <w:tcW w:w="428" w:type="dxa"/>
          </w:tcPr>
          <w:p w14:paraId="11480A88" w14:textId="77777777" w:rsidR="002B04EB" w:rsidRPr="003F7F6C" w:rsidRDefault="002B04EB" w:rsidP="00B851B7">
            <w:r w:rsidRPr="003F7F6C">
              <w:rPr>
                <w:rFonts w:cs="Calibri"/>
                <w:sz w:val="16"/>
                <w:szCs w:val="16"/>
              </w:rPr>
              <w:t>X</w:t>
            </w:r>
          </w:p>
        </w:tc>
        <w:tc>
          <w:tcPr>
            <w:tcW w:w="428" w:type="dxa"/>
          </w:tcPr>
          <w:p w14:paraId="13C8ADAB" w14:textId="77777777" w:rsidR="002B04EB" w:rsidRPr="003F7F6C" w:rsidRDefault="002B04EB" w:rsidP="00B851B7">
            <w:r w:rsidRPr="003F7F6C">
              <w:rPr>
                <w:rFonts w:cs="Calibri"/>
                <w:sz w:val="16"/>
                <w:szCs w:val="16"/>
              </w:rPr>
              <w:t>X</w:t>
            </w:r>
          </w:p>
        </w:tc>
        <w:tc>
          <w:tcPr>
            <w:tcW w:w="428" w:type="dxa"/>
            <w:gridSpan w:val="2"/>
          </w:tcPr>
          <w:p w14:paraId="14BB3DAF" w14:textId="77777777" w:rsidR="002B04EB" w:rsidRPr="003F7F6C" w:rsidRDefault="002B04EB" w:rsidP="00B851B7">
            <w:r w:rsidRPr="003F7F6C">
              <w:rPr>
                <w:rFonts w:cs="Calibri"/>
                <w:sz w:val="16"/>
                <w:szCs w:val="16"/>
              </w:rPr>
              <w:t>X</w:t>
            </w:r>
          </w:p>
        </w:tc>
        <w:tc>
          <w:tcPr>
            <w:tcW w:w="428" w:type="dxa"/>
          </w:tcPr>
          <w:p w14:paraId="6E3A1DC4" w14:textId="77777777" w:rsidR="002B04EB" w:rsidRPr="003F7F6C" w:rsidRDefault="002B04EB" w:rsidP="00B851B7">
            <w:r w:rsidRPr="003F7F6C">
              <w:rPr>
                <w:rFonts w:cs="Calibri"/>
                <w:sz w:val="16"/>
                <w:szCs w:val="16"/>
              </w:rPr>
              <w:t>X</w:t>
            </w:r>
          </w:p>
        </w:tc>
        <w:tc>
          <w:tcPr>
            <w:tcW w:w="428" w:type="dxa"/>
          </w:tcPr>
          <w:p w14:paraId="4694D513" w14:textId="77777777" w:rsidR="002B04EB" w:rsidRPr="003F7F6C" w:rsidRDefault="002B04EB" w:rsidP="00B851B7">
            <w:r w:rsidRPr="003F7F6C">
              <w:rPr>
                <w:rFonts w:cs="Calibri"/>
                <w:sz w:val="16"/>
                <w:szCs w:val="16"/>
              </w:rPr>
              <w:t>X</w:t>
            </w:r>
          </w:p>
        </w:tc>
        <w:tc>
          <w:tcPr>
            <w:tcW w:w="428" w:type="dxa"/>
          </w:tcPr>
          <w:p w14:paraId="56BF10E5" w14:textId="77777777" w:rsidR="002B04EB" w:rsidRPr="003F7F6C" w:rsidRDefault="002B04EB" w:rsidP="00B851B7">
            <w:r w:rsidRPr="003F7F6C">
              <w:rPr>
                <w:rFonts w:cs="Calibri"/>
                <w:sz w:val="16"/>
                <w:szCs w:val="16"/>
              </w:rPr>
              <w:t>X</w:t>
            </w:r>
          </w:p>
        </w:tc>
        <w:tc>
          <w:tcPr>
            <w:tcW w:w="428" w:type="dxa"/>
          </w:tcPr>
          <w:p w14:paraId="7AF7F69B" w14:textId="77777777" w:rsidR="002B04EB" w:rsidRPr="003F7F6C" w:rsidRDefault="002B04EB" w:rsidP="00B851B7">
            <w:r w:rsidRPr="003F7F6C">
              <w:rPr>
                <w:rFonts w:cs="Calibri"/>
                <w:sz w:val="16"/>
                <w:szCs w:val="16"/>
              </w:rPr>
              <w:t>X</w:t>
            </w:r>
          </w:p>
        </w:tc>
      </w:tr>
      <w:tr w:rsidR="002B04EB" w:rsidRPr="003F7F6C" w14:paraId="5F153FB7" w14:textId="77777777" w:rsidTr="00B851B7">
        <w:tc>
          <w:tcPr>
            <w:tcW w:w="1668" w:type="dxa"/>
          </w:tcPr>
          <w:p w14:paraId="7F9B26AD" w14:textId="77777777" w:rsidR="002B04EB" w:rsidRPr="003F7F6C" w:rsidRDefault="002B04EB" w:rsidP="00B851B7">
            <w:pPr>
              <w:rPr>
                <w:rFonts w:cs="Calibri"/>
                <w:sz w:val="16"/>
                <w:szCs w:val="16"/>
              </w:rPr>
            </w:pPr>
            <w:r w:rsidRPr="003F7F6C">
              <w:rPr>
                <w:rFonts w:cs="Calibri"/>
                <w:sz w:val="16"/>
                <w:szCs w:val="16"/>
              </w:rPr>
              <w:t>2.3.2 ES valuation in target landscapes</w:t>
            </w:r>
          </w:p>
        </w:tc>
        <w:tc>
          <w:tcPr>
            <w:tcW w:w="1057" w:type="dxa"/>
          </w:tcPr>
          <w:p w14:paraId="7E27C6A9" w14:textId="77777777" w:rsidR="002B04EB" w:rsidRPr="003F7F6C" w:rsidRDefault="002B04EB" w:rsidP="00B851B7">
            <w:pPr>
              <w:rPr>
                <w:sz w:val="16"/>
                <w:szCs w:val="16"/>
              </w:rPr>
            </w:pPr>
            <w:r w:rsidRPr="003F7F6C">
              <w:rPr>
                <w:rFonts w:cs="Calibri"/>
                <w:sz w:val="16"/>
                <w:szCs w:val="16"/>
              </w:rPr>
              <w:t>Ministry of Environment</w:t>
            </w:r>
            <w:r w:rsidRPr="003F7F6C">
              <w:rPr>
                <w:sz w:val="16"/>
                <w:szCs w:val="16"/>
              </w:rPr>
              <w:t xml:space="preserve"> INTA</w:t>
            </w:r>
          </w:p>
        </w:tc>
        <w:tc>
          <w:tcPr>
            <w:tcW w:w="428" w:type="dxa"/>
          </w:tcPr>
          <w:p w14:paraId="56FD3F7F" w14:textId="77777777" w:rsidR="002B04EB" w:rsidRPr="003F7F6C" w:rsidRDefault="002B04EB" w:rsidP="00B851B7"/>
        </w:tc>
        <w:tc>
          <w:tcPr>
            <w:tcW w:w="444" w:type="dxa"/>
          </w:tcPr>
          <w:p w14:paraId="4C79DFF3" w14:textId="77777777" w:rsidR="002B04EB" w:rsidRPr="003F7F6C" w:rsidRDefault="002B04EB" w:rsidP="00B851B7">
            <w:r w:rsidRPr="003F7F6C">
              <w:rPr>
                <w:rFonts w:cs="Calibri"/>
                <w:sz w:val="16"/>
                <w:szCs w:val="16"/>
              </w:rPr>
              <w:t>X</w:t>
            </w:r>
          </w:p>
        </w:tc>
        <w:tc>
          <w:tcPr>
            <w:tcW w:w="428" w:type="dxa"/>
          </w:tcPr>
          <w:p w14:paraId="7A914DEE" w14:textId="77777777" w:rsidR="002B04EB" w:rsidRPr="003F7F6C" w:rsidRDefault="002B04EB" w:rsidP="00B851B7">
            <w:r w:rsidRPr="003F7F6C">
              <w:rPr>
                <w:rFonts w:cs="Calibri"/>
                <w:sz w:val="16"/>
                <w:szCs w:val="16"/>
              </w:rPr>
              <w:t>X</w:t>
            </w:r>
          </w:p>
        </w:tc>
        <w:tc>
          <w:tcPr>
            <w:tcW w:w="428" w:type="dxa"/>
            <w:gridSpan w:val="2"/>
          </w:tcPr>
          <w:p w14:paraId="3367AFCD" w14:textId="77777777" w:rsidR="002B04EB" w:rsidRPr="003F7F6C" w:rsidRDefault="002B04EB" w:rsidP="00B851B7">
            <w:r w:rsidRPr="003F7F6C">
              <w:rPr>
                <w:rFonts w:cs="Calibri"/>
                <w:sz w:val="16"/>
                <w:szCs w:val="16"/>
              </w:rPr>
              <w:t>X</w:t>
            </w:r>
          </w:p>
        </w:tc>
        <w:tc>
          <w:tcPr>
            <w:tcW w:w="428" w:type="dxa"/>
          </w:tcPr>
          <w:p w14:paraId="2BD02D8E" w14:textId="77777777" w:rsidR="002B04EB" w:rsidRPr="003F7F6C" w:rsidRDefault="002B04EB" w:rsidP="00B851B7">
            <w:r w:rsidRPr="003F7F6C">
              <w:rPr>
                <w:rFonts w:cs="Calibri"/>
                <w:sz w:val="16"/>
                <w:szCs w:val="16"/>
              </w:rPr>
              <w:t>X</w:t>
            </w:r>
          </w:p>
        </w:tc>
        <w:tc>
          <w:tcPr>
            <w:tcW w:w="427" w:type="dxa"/>
          </w:tcPr>
          <w:p w14:paraId="6C707182" w14:textId="77777777" w:rsidR="002B04EB" w:rsidRPr="003F7F6C" w:rsidRDefault="002B04EB" w:rsidP="00B851B7">
            <w:r w:rsidRPr="003F7F6C">
              <w:rPr>
                <w:rFonts w:cs="Calibri"/>
                <w:sz w:val="16"/>
                <w:szCs w:val="16"/>
              </w:rPr>
              <w:t>X</w:t>
            </w:r>
          </w:p>
        </w:tc>
        <w:tc>
          <w:tcPr>
            <w:tcW w:w="427" w:type="dxa"/>
          </w:tcPr>
          <w:p w14:paraId="30BF68A9" w14:textId="77777777" w:rsidR="002B04EB" w:rsidRPr="003F7F6C" w:rsidRDefault="002B04EB" w:rsidP="00B851B7">
            <w:r w:rsidRPr="003F7F6C">
              <w:rPr>
                <w:rFonts w:cs="Calibri"/>
                <w:sz w:val="16"/>
                <w:szCs w:val="16"/>
              </w:rPr>
              <w:t>X</w:t>
            </w:r>
          </w:p>
        </w:tc>
        <w:tc>
          <w:tcPr>
            <w:tcW w:w="427" w:type="dxa"/>
            <w:gridSpan w:val="2"/>
          </w:tcPr>
          <w:p w14:paraId="3A1EEC8B" w14:textId="77777777" w:rsidR="002B04EB" w:rsidRPr="003F7F6C" w:rsidRDefault="002B04EB" w:rsidP="00B851B7">
            <w:r w:rsidRPr="003F7F6C">
              <w:rPr>
                <w:rFonts w:cs="Calibri"/>
                <w:sz w:val="16"/>
                <w:szCs w:val="16"/>
              </w:rPr>
              <w:t>X</w:t>
            </w:r>
          </w:p>
        </w:tc>
        <w:tc>
          <w:tcPr>
            <w:tcW w:w="428" w:type="dxa"/>
          </w:tcPr>
          <w:p w14:paraId="4F655F78" w14:textId="77777777" w:rsidR="002B04EB" w:rsidRPr="003F7F6C" w:rsidRDefault="002B04EB" w:rsidP="00B851B7">
            <w:r w:rsidRPr="003F7F6C">
              <w:rPr>
                <w:rFonts w:cs="Calibri"/>
                <w:sz w:val="16"/>
                <w:szCs w:val="16"/>
              </w:rPr>
              <w:t>X</w:t>
            </w:r>
          </w:p>
        </w:tc>
        <w:tc>
          <w:tcPr>
            <w:tcW w:w="428" w:type="dxa"/>
          </w:tcPr>
          <w:p w14:paraId="7F0C69AA" w14:textId="77777777" w:rsidR="002B04EB" w:rsidRPr="003F7F6C" w:rsidRDefault="002B04EB" w:rsidP="00B851B7">
            <w:r w:rsidRPr="003F7F6C">
              <w:rPr>
                <w:rFonts w:cs="Calibri"/>
                <w:sz w:val="16"/>
                <w:szCs w:val="16"/>
              </w:rPr>
              <w:t>X</w:t>
            </w:r>
          </w:p>
        </w:tc>
        <w:tc>
          <w:tcPr>
            <w:tcW w:w="428" w:type="dxa"/>
          </w:tcPr>
          <w:p w14:paraId="1A3E8E41" w14:textId="77777777" w:rsidR="002B04EB" w:rsidRPr="003F7F6C" w:rsidRDefault="002B04EB" w:rsidP="00B851B7">
            <w:r w:rsidRPr="003F7F6C">
              <w:rPr>
                <w:rFonts w:cs="Calibri"/>
                <w:sz w:val="16"/>
                <w:szCs w:val="16"/>
              </w:rPr>
              <w:t>X</w:t>
            </w:r>
          </w:p>
        </w:tc>
        <w:tc>
          <w:tcPr>
            <w:tcW w:w="428" w:type="dxa"/>
            <w:gridSpan w:val="2"/>
          </w:tcPr>
          <w:p w14:paraId="6CE411E0" w14:textId="77777777" w:rsidR="002B04EB" w:rsidRPr="003F7F6C" w:rsidRDefault="002B04EB" w:rsidP="00B851B7">
            <w:r w:rsidRPr="003F7F6C">
              <w:rPr>
                <w:rFonts w:cs="Calibri"/>
                <w:sz w:val="16"/>
                <w:szCs w:val="16"/>
              </w:rPr>
              <w:t>X</w:t>
            </w:r>
          </w:p>
        </w:tc>
        <w:tc>
          <w:tcPr>
            <w:tcW w:w="428" w:type="dxa"/>
          </w:tcPr>
          <w:p w14:paraId="048EBC69" w14:textId="77777777" w:rsidR="002B04EB" w:rsidRPr="003F7F6C" w:rsidRDefault="002B04EB" w:rsidP="00B851B7">
            <w:pPr>
              <w:rPr>
                <w:rFonts w:cs="Calibri"/>
                <w:sz w:val="16"/>
                <w:szCs w:val="16"/>
              </w:rPr>
            </w:pPr>
          </w:p>
        </w:tc>
        <w:tc>
          <w:tcPr>
            <w:tcW w:w="428" w:type="dxa"/>
          </w:tcPr>
          <w:p w14:paraId="72DEA956" w14:textId="77777777" w:rsidR="002B04EB" w:rsidRPr="003F7F6C" w:rsidRDefault="002B04EB" w:rsidP="00B851B7">
            <w:pPr>
              <w:rPr>
                <w:rFonts w:cs="Calibri"/>
                <w:sz w:val="16"/>
                <w:szCs w:val="16"/>
              </w:rPr>
            </w:pPr>
          </w:p>
        </w:tc>
        <w:tc>
          <w:tcPr>
            <w:tcW w:w="428" w:type="dxa"/>
          </w:tcPr>
          <w:p w14:paraId="631333FD" w14:textId="77777777" w:rsidR="002B04EB" w:rsidRPr="003F7F6C" w:rsidRDefault="002B04EB" w:rsidP="00B851B7">
            <w:pPr>
              <w:rPr>
                <w:rFonts w:cs="Calibri"/>
                <w:sz w:val="16"/>
                <w:szCs w:val="16"/>
              </w:rPr>
            </w:pPr>
          </w:p>
        </w:tc>
        <w:tc>
          <w:tcPr>
            <w:tcW w:w="428" w:type="dxa"/>
            <w:gridSpan w:val="2"/>
          </w:tcPr>
          <w:p w14:paraId="72BE528A" w14:textId="77777777" w:rsidR="002B04EB" w:rsidRPr="003F7F6C" w:rsidRDefault="002B04EB" w:rsidP="00B851B7">
            <w:pPr>
              <w:rPr>
                <w:rFonts w:cs="Calibri"/>
                <w:sz w:val="16"/>
                <w:szCs w:val="16"/>
              </w:rPr>
            </w:pPr>
          </w:p>
        </w:tc>
        <w:tc>
          <w:tcPr>
            <w:tcW w:w="428" w:type="dxa"/>
          </w:tcPr>
          <w:p w14:paraId="0A716BFA" w14:textId="77777777" w:rsidR="002B04EB" w:rsidRPr="003F7F6C" w:rsidRDefault="002B04EB" w:rsidP="00B851B7">
            <w:pPr>
              <w:rPr>
                <w:rFonts w:cs="Calibri"/>
                <w:sz w:val="16"/>
                <w:szCs w:val="16"/>
              </w:rPr>
            </w:pPr>
          </w:p>
        </w:tc>
        <w:tc>
          <w:tcPr>
            <w:tcW w:w="428" w:type="dxa"/>
          </w:tcPr>
          <w:p w14:paraId="3C480267" w14:textId="77777777" w:rsidR="002B04EB" w:rsidRPr="003F7F6C" w:rsidRDefault="002B04EB" w:rsidP="00B851B7">
            <w:pPr>
              <w:rPr>
                <w:rFonts w:cs="Calibri"/>
                <w:sz w:val="16"/>
                <w:szCs w:val="16"/>
              </w:rPr>
            </w:pPr>
          </w:p>
        </w:tc>
        <w:tc>
          <w:tcPr>
            <w:tcW w:w="428" w:type="dxa"/>
          </w:tcPr>
          <w:p w14:paraId="3191062E" w14:textId="77777777" w:rsidR="002B04EB" w:rsidRPr="003F7F6C" w:rsidRDefault="002B04EB" w:rsidP="00B851B7">
            <w:pPr>
              <w:rPr>
                <w:rFonts w:cs="Calibri"/>
                <w:sz w:val="16"/>
                <w:szCs w:val="16"/>
              </w:rPr>
            </w:pPr>
          </w:p>
        </w:tc>
        <w:tc>
          <w:tcPr>
            <w:tcW w:w="428" w:type="dxa"/>
            <w:gridSpan w:val="2"/>
          </w:tcPr>
          <w:p w14:paraId="23A6E79B" w14:textId="77777777" w:rsidR="002B04EB" w:rsidRPr="003F7F6C" w:rsidRDefault="002B04EB" w:rsidP="00B851B7">
            <w:pPr>
              <w:rPr>
                <w:rFonts w:cs="Calibri"/>
                <w:sz w:val="16"/>
                <w:szCs w:val="16"/>
              </w:rPr>
            </w:pPr>
          </w:p>
        </w:tc>
        <w:tc>
          <w:tcPr>
            <w:tcW w:w="428" w:type="dxa"/>
          </w:tcPr>
          <w:p w14:paraId="550FF76E" w14:textId="77777777" w:rsidR="002B04EB" w:rsidRPr="003F7F6C" w:rsidRDefault="002B04EB" w:rsidP="00B851B7">
            <w:pPr>
              <w:rPr>
                <w:rFonts w:cs="Calibri"/>
                <w:sz w:val="16"/>
                <w:szCs w:val="16"/>
              </w:rPr>
            </w:pPr>
          </w:p>
        </w:tc>
        <w:tc>
          <w:tcPr>
            <w:tcW w:w="428" w:type="dxa"/>
          </w:tcPr>
          <w:p w14:paraId="609413CC" w14:textId="77777777" w:rsidR="002B04EB" w:rsidRPr="003F7F6C" w:rsidRDefault="002B04EB" w:rsidP="00B851B7">
            <w:pPr>
              <w:rPr>
                <w:rFonts w:cs="Calibri"/>
                <w:sz w:val="16"/>
                <w:szCs w:val="16"/>
              </w:rPr>
            </w:pPr>
          </w:p>
        </w:tc>
        <w:tc>
          <w:tcPr>
            <w:tcW w:w="428" w:type="dxa"/>
          </w:tcPr>
          <w:p w14:paraId="2BC854F9" w14:textId="77777777" w:rsidR="002B04EB" w:rsidRPr="003F7F6C" w:rsidRDefault="002B04EB" w:rsidP="00B851B7">
            <w:pPr>
              <w:rPr>
                <w:rFonts w:cs="Calibri"/>
                <w:sz w:val="16"/>
                <w:szCs w:val="16"/>
              </w:rPr>
            </w:pPr>
          </w:p>
        </w:tc>
        <w:tc>
          <w:tcPr>
            <w:tcW w:w="428" w:type="dxa"/>
          </w:tcPr>
          <w:p w14:paraId="3F70A275" w14:textId="77777777" w:rsidR="002B04EB" w:rsidRPr="003F7F6C" w:rsidRDefault="002B04EB" w:rsidP="00B851B7">
            <w:pPr>
              <w:rPr>
                <w:rFonts w:cs="Calibri"/>
                <w:sz w:val="16"/>
                <w:szCs w:val="16"/>
              </w:rPr>
            </w:pPr>
          </w:p>
        </w:tc>
      </w:tr>
      <w:tr w:rsidR="002B04EB" w:rsidRPr="003F7F6C" w14:paraId="2D0B9F40" w14:textId="77777777" w:rsidTr="00B851B7">
        <w:tc>
          <w:tcPr>
            <w:tcW w:w="1668" w:type="dxa"/>
          </w:tcPr>
          <w:p w14:paraId="4D3A27D2" w14:textId="77777777" w:rsidR="002B04EB" w:rsidRPr="003F7F6C" w:rsidRDefault="002B04EB" w:rsidP="00B851B7">
            <w:pPr>
              <w:rPr>
                <w:rFonts w:cs="Calibri"/>
                <w:sz w:val="16"/>
                <w:szCs w:val="16"/>
              </w:rPr>
            </w:pPr>
            <w:r w:rsidRPr="003F7F6C">
              <w:rPr>
                <w:rFonts w:cs="Calibri"/>
                <w:sz w:val="16"/>
                <w:szCs w:val="16"/>
              </w:rPr>
              <w:t>2.3.3 Develop compensation schemes (TSA, government funding)</w:t>
            </w:r>
          </w:p>
        </w:tc>
        <w:tc>
          <w:tcPr>
            <w:tcW w:w="1057" w:type="dxa"/>
          </w:tcPr>
          <w:p w14:paraId="4B16830C" w14:textId="77777777" w:rsidR="002B04EB" w:rsidRPr="003F7F6C" w:rsidRDefault="002B04EB" w:rsidP="00B851B7">
            <w:pPr>
              <w:rPr>
                <w:sz w:val="16"/>
                <w:szCs w:val="16"/>
              </w:rPr>
            </w:pPr>
            <w:r w:rsidRPr="003F7F6C">
              <w:rPr>
                <w:rFonts w:cs="Calibri"/>
                <w:sz w:val="16"/>
                <w:szCs w:val="16"/>
              </w:rPr>
              <w:t>Ministry of Environment</w:t>
            </w:r>
          </w:p>
        </w:tc>
        <w:tc>
          <w:tcPr>
            <w:tcW w:w="428" w:type="dxa"/>
          </w:tcPr>
          <w:p w14:paraId="39AE4272" w14:textId="77777777" w:rsidR="002B04EB" w:rsidRPr="003F7F6C" w:rsidRDefault="002B04EB" w:rsidP="00B851B7">
            <w:pPr>
              <w:rPr>
                <w:rFonts w:cs="Calibri"/>
                <w:sz w:val="16"/>
                <w:szCs w:val="16"/>
              </w:rPr>
            </w:pPr>
          </w:p>
        </w:tc>
        <w:tc>
          <w:tcPr>
            <w:tcW w:w="444" w:type="dxa"/>
          </w:tcPr>
          <w:p w14:paraId="6D37D625" w14:textId="77777777" w:rsidR="002B04EB" w:rsidRPr="003F7F6C" w:rsidRDefault="002B04EB" w:rsidP="00B851B7">
            <w:pPr>
              <w:rPr>
                <w:rFonts w:cs="Calibri"/>
                <w:sz w:val="16"/>
                <w:szCs w:val="16"/>
              </w:rPr>
            </w:pPr>
          </w:p>
        </w:tc>
        <w:tc>
          <w:tcPr>
            <w:tcW w:w="428" w:type="dxa"/>
          </w:tcPr>
          <w:p w14:paraId="121F3544" w14:textId="77777777" w:rsidR="002B04EB" w:rsidRPr="003F7F6C" w:rsidRDefault="002B04EB" w:rsidP="00B851B7">
            <w:pPr>
              <w:rPr>
                <w:rFonts w:cs="Calibri"/>
                <w:sz w:val="16"/>
                <w:szCs w:val="16"/>
              </w:rPr>
            </w:pPr>
          </w:p>
        </w:tc>
        <w:tc>
          <w:tcPr>
            <w:tcW w:w="428" w:type="dxa"/>
            <w:gridSpan w:val="2"/>
          </w:tcPr>
          <w:p w14:paraId="524B33DD" w14:textId="77777777" w:rsidR="002B04EB" w:rsidRPr="003F7F6C" w:rsidRDefault="002B04EB" w:rsidP="00B851B7">
            <w:pPr>
              <w:rPr>
                <w:rFonts w:cs="Calibri"/>
                <w:sz w:val="16"/>
                <w:szCs w:val="16"/>
              </w:rPr>
            </w:pPr>
          </w:p>
        </w:tc>
        <w:tc>
          <w:tcPr>
            <w:tcW w:w="428" w:type="dxa"/>
          </w:tcPr>
          <w:p w14:paraId="2A118E09" w14:textId="77777777" w:rsidR="002B04EB" w:rsidRPr="003F7F6C" w:rsidRDefault="002B04EB" w:rsidP="00B851B7">
            <w:pPr>
              <w:rPr>
                <w:rFonts w:cs="Calibri"/>
                <w:sz w:val="16"/>
                <w:szCs w:val="16"/>
              </w:rPr>
            </w:pPr>
          </w:p>
        </w:tc>
        <w:tc>
          <w:tcPr>
            <w:tcW w:w="427" w:type="dxa"/>
          </w:tcPr>
          <w:p w14:paraId="7E82C68F" w14:textId="77777777" w:rsidR="002B04EB" w:rsidRPr="003F7F6C" w:rsidRDefault="002B04EB" w:rsidP="00B851B7">
            <w:pPr>
              <w:rPr>
                <w:rFonts w:cs="Calibri"/>
                <w:sz w:val="16"/>
                <w:szCs w:val="16"/>
              </w:rPr>
            </w:pPr>
          </w:p>
        </w:tc>
        <w:tc>
          <w:tcPr>
            <w:tcW w:w="427" w:type="dxa"/>
          </w:tcPr>
          <w:p w14:paraId="7A084D3D" w14:textId="77777777" w:rsidR="002B04EB" w:rsidRPr="003F7F6C" w:rsidRDefault="002B04EB" w:rsidP="00B851B7">
            <w:pPr>
              <w:rPr>
                <w:rFonts w:cs="Calibri"/>
                <w:sz w:val="16"/>
                <w:szCs w:val="16"/>
              </w:rPr>
            </w:pPr>
          </w:p>
        </w:tc>
        <w:tc>
          <w:tcPr>
            <w:tcW w:w="427" w:type="dxa"/>
            <w:gridSpan w:val="2"/>
          </w:tcPr>
          <w:p w14:paraId="2B880F94" w14:textId="77777777" w:rsidR="002B04EB" w:rsidRPr="003F7F6C" w:rsidRDefault="002B04EB" w:rsidP="00B851B7">
            <w:pPr>
              <w:rPr>
                <w:rFonts w:cs="Calibri"/>
                <w:sz w:val="16"/>
                <w:szCs w:val="16"/>
              </w:rPr>
            </w:pPr>
          </w:p>
        </w:tc>
        <w:tc>
          <w:tcPr>
            <w:tcW w:w="428" w:type="dxa"/>
          </w:tcPr>
          <w:p w14:paraId="1DCA6255" w14:textId="77777777" w:rsidR="002B04EB" w:rsidRPr="003F7F6C" w:rsidRDefault="002B04EB" w:rsidP="00B851B7">
            <w:r w:rsidRPr="003F7F6C">
              <w:rPr>
                <w:rFonts w:cs="Calibri"/>
                <w:sz w:val="16"/>
                <w:szCs w:val="16"/>
              </w:rPr>
              <w:t>X</w:t>
            </w:r>
          </w:p>
        </w:tc>
        <w:tc>
          <w:tcPr>
            <w:tcW w:w="428" w:type="dxa"/>
          </w:tcPr>
          <w:p w14:paraId="782B07E1" w14:textId="77777777" w:rsidR="002B04EB" w:rsidRPr="003F7F6C" w:rsidRDefault="002B04EB" w:rsidP="00B851B7">
            <w:r w:rsidRPr="003F7F6C">
              <w:rPr>
                <w:rFonts w:cs="Calibri"/>
                <w:sz w:val="16"/>
                <w:szCs w:val="16"/>
              </w:rPr>
              <w:t>X</w:t>
            </w:r>
          </w:p>
        </w:tc>
        <w:tc>
          <w:tcPr>
            <w:tcW w:w="428" w:type="dxa"/>
          </w:tcPr>
          <w:p w14:paraId="25DA3B00" w14:textId="77777777" w:rsidR="002B04EB" w:rsidRPr="003F7F6C" w:rsidRDefault="002B04EB" w:rsidP="00B851B7">
            <w:r w:rsidRPr="003F7F6C">
              <w:rPr>
                <w:rFonts w:cs="Calibri"/>
                <w:sz w:val="16"/>
                <w:szCs w:val="16"/>
              </w:rPr>
              <w:t>X</w:t>
            </w:r>
          </w:p>
        </w:tc>
        <w:tc>
          <w:tcPr>
            <w:tcW w:w="428" w:type="dxa"/>
            <w:gridSpan w:val="2"/>
          </w:tcPr>
          <w:p w14:paraId="40163702" w14:textId="77777777" w:rsidR="002B04EB" w:rsidRPr="003F7F6C" w:rsidRDefault="002B04EB" w:rsidP="00B851B7">
            <w:r w:rsidRPr="003F7F6C">
              <w:rPr>
                <w:rFonts w:cs="Calibri"/>
                <w:sz w:val="16"/>
                <w:szCs w:val="16"/>
              </w:rPr>
              <w:t>X</w:t>
            </w:r>
          </w:p>
        </w:tc>
        <w:tc>
          <w:tcPr>
            <w:tcW w:w="428" w:type="dxa"/>
          </w:tcPr>
          <w:p w14:paraId="2F49108F" w14:textId="77777777" w:rsidR="002B04EB" w:rsidRPr="003F7F6C" w:rsidRDefault="002B04EB" w:rsidP="00B851B7">
            <w:r w:rsidRPr="003F7F6C">
              <w:rPr>
                <w:rFonts w:cs="Calibri"/>
                <w:sz w:val="16"/>
                <w:szCs w:val="16"/>
              </w:rPr>
              <w:t>X</w:t>
            </w:r>
          </w:p>
        </w:tc>
        <w:tc>
          <w:tcPr>
            <w:tcW w:w="428" w:type="dxa"/>
          </w:tcPr>
          <w:p w14:paraId="210D06B5" w14:textId="77777777" w:rsidR="002B04EB" w:rsidRPr="003F7F6C" w:rsidRDefault="002B04EB" w:rsidP="00B851B7">
            <w:r w:rsidRPr="003F7F6C">
              <w:rPr>
                <w:rFonts w:cs="Calibri"/>
                <w:sz w:val="16"/>
                <w:szCs w:val="16"/>
              </w:rPr>
              <w:t>X</w:t>
            </w:r>
          </w:p>
        </w:tc>
        <w:tc>
          <w:tcPr>
            <w:tcW w:w="428" w:type="dxa"/>
          </w:tcPr>
          <w:p w14:paraId="0BC70F8B" w14:textId="77777777" w:rsidR="002B04EB" w:rsidRPr="003F7F6C" w:rsidRDefault="002B04EB" w:rsidP="00B851B7">
            <w:r w:rsidRPr="003F7F6C">
              <w:rPr>
                <w:rFonts w:cs="Calibri"/>
                <w:sz w:val="16"/>
                <w:szCs w:val="16"/>
              </w:rPr>
              <w:t>X</w:t>
            </w:r>
          </w:p>
        </w:tc>
        <w:tc>
          <w:tcPr>
            <w:tcW w:w="428" w:type="dxa"/>
            <w:gridSpan w:val="2"/>
          </w:tcPr>
          <w:p w14:paraId="6EAC0D67" w14:textId="77777777" w:rsidR="002B04EB" w:rsidRPr="003F7F6C" w:rsidRDefault="002B04EB" w:rsidP="00B851B7">
            <w:r w:rsidRPr="003F7F6C">
              <w:rPr>
                <w:rFonts w:cs="Calibri"/>
                <w:sz w:val="16"/>
                <w:szCs w:val="16"/>
              </w:rPr>
              <w:t>X</w:t>
            </w:r>
          </w:p>
        </w:tc>
        <w:tc>
          <w:tcPr>
            <w:tcW w:w="428" w:type="dxa"/>
          </w:tcPr>
          <w:p w14:paraId="598B1450" w14:textId="77777777" w:rsidR="002B04EB" w:rsidRPr="003F7F6C" w:rsidRDefault="002B04EB" w:rsidP="00B851B7">
            <w:r w:rsidRPr="003F7F6C">
              <w:rPr>
                <w:rFonts w:cs="Calibri"/>
                <w:sz w:val="16"/>
                <w:szCs w:val="16"/>
              </w:rPr>
              <w:t>X</w:t>
            </w:r>
          </w:p>
        </w:tc>
        <w:tc>
          <w:tcPr>
            <w:tcW w:w="428" w:type="dxa"/>
          </w:tcPr>
          <w:p w14:paraId="4797307B" w14:textId="77777777" w:rsidR="002B04EB" w:rsidRPr="003F7F6C" w:rsidRDefault="002B04EB" w:rsidP="00B851B7">
            <w:r w:rsidRPr="003F7F6C">
              <w:rPr>
                <w:rFonts w:cs="Calibri"/>
                <w:sz w:val="16"/>
                <w:szCs w:val="16"/>
              </w:rPr>
              <w:t>X</w:t>
            </w:r>
          </w:p>
        </w:tc>
        <w:tc>
          <w:tcPr>
            <w:tcW w:w="428" w:type="dxa"/>
          </w:tcPr>
          <w:p w14:paraId="0E2BBC59" w14:textId="77777777" w:rsidR="002B04EB" w:rsidRPr="003F7F6C" w:rsidRDefault="002B04EB" w:rsidP="00B851B7">
            <w:r w:rsidRPr="003F7F6C">
              <w:rPr>
                <w:rFonts w:cs="Calibri"/>
                <w:sz w:val="16"/>
                <w:szCs w:val="16"/>
              </w:rPr>
              <w:t>X</w:t>
            </w:r>
          </w:p>
        </w:tc>
        <w:tc>
          <w:tcPr>
            <w:tcW w:w="428" w:type="dxa"/>
            <w:gridSpan w:val="2"/>
          </w:tcPr>
          <w:p w14:paraId="3EE557C2" w14:textId="77777777" w:rsidR="002B04EB" w:rsidRPr="003F7F6C" w:rsidRDefault="002B04EB" w:rsidP="00B851B7">
            <w:r w:rsidRPr="003F7F6C">
              <w:rPr>
                <w:rFonts w:cs="Calibri"/>
                <w:sz w:val="16"/>
                <w:szCs w:val="16"/>
              </w:rPr>
              <w:t>X</w:t>
            </w:r>
          </w:p>
        </w:tc>
        <w:tc>
          <w:tcPr>
            <w:tcW w:w="428" w:type="dxa"/>
          </w:tcPr>
          <w:p w14:paraId="7F647481" w14:textId="77777777" w:rsidR="002B04EB" w:rsidRPr="003F7F6C" w:rsidRDefault="002B04EB" w:rsidP="00B851B7">
            <w:r w:rsidRPr="003F7F6C">
              <w:rPr>
                <w:rFonts w:cs="Calibri"/>
                <w:sz w:val="16"/>
                <w:szCs w:val="16"/>
              </w:rPr>
              <w:t>X</w:t>
            </w:r>
          </w:p>
        </w:tc>
        <w:tc>
          <w:tcPr>
            <w:tcW w:w="428" w:type="dxa"/>
          </w:tcPr>
          <w:p w14:paraId="4BD6808F" w14:textId="77777777" w:rsidR="002B04EB" w:rsidRPr="003F7F6C" w:rsidRDefault="002B04EB" w:rsidP="00B851B7">
            <w:r w:rsidRPr="003F7F6C">
              <w:rPr>
                <w:rFonts w:cs="Calibri"/>
                <w:sz w:val="16"/>
                <w:szCs w:val="16"/>
              </w:rPr>
              <w:t>X</w:t>
            </w:r>
          </w:p>
        </w:tc>
        <w:tc>
          <w:tcPr>
            <w:tcW w:w="428" w:type="dxa"/>
          </w:tcPr>
          <w:p w14:paraId="7F0EC5FD" w14:textId="77777777" w:rsidR="002B04EB" w:rsidRPr="003F7F6C" w:rsidRDefault="002B04EB" w:rsidP="00B851B7">
            <w:r w:rsidRPr="003F7F6C">
              <w:rPr>
                <w:rFonts w:cs="Calibri"/>
                <w:sz w:val="16"/>
                <w:szCs w:val="16"/>
              </w:rPr>
              <w:t>X</w:t>
            </w:r>
          </w:p>
        </w:tc>
        <w:tc>
          <w:tcPr>
            <w:tcW w:w="428" w:type="dxa"/>
          </w:tcPr>
          <w:p w14:paraId="74CE6528" w14:textId="77777777" w:rsidR="002B04EB" w:rsidRPr="003F7F6C" w:rsidRDefault="002B04EB" w:rsidP="00B851B7">
            <w:r w:rsidRPr="003F7F6C">
              <w:rPr>
                <w:rFonts w:cs="Calibri"/>
                <w:sz w:val="16"/>
                <w:szCs w:val="16"/>
              </w:rPr>
              <w:t>X</w:t>
            </w:r>
          </w:p>
        </w:tc>
      </w:tr>
      <w:tr w:rsidR="002B04EB" w:rsidRPr="003F7F6C" w14:paraId="56AA29E7" w14:textId="77777777" w:rsidTr="00B851B7">
        <w:tc>
          <w:tcPr>
            <w:tcW w:w="1668" w:type="dxa"/>
          </w:tcPr>
          <w:p w14:paraId="31E92D7F" w14:textId="77777777" w:rsidR="002B04EB" w:rsidRPr="003F7F6C" w:rsidRDefault="002B04EB" w:rsidP="00E91275">
            <w:pPr>
              <w:pStyle w:val="ListParagraph"/>
              <w:numPr>
                <w:ilvl w:val="0"/>
                <w:numId w:val="29"/>
              </w:numPr>
              <w:ind w:left="174" w:hanging="174"/>
              <w:rPr>
                <w:rFonts w:cs="Calibri"/>
                <w:sz w:val="16"/>
                <w:szCs w:val="16"/>
              </w:rPr>
            </w:pPr>
            <w:r w:rsidRPr="003F7F6C">
              <w:rPr>
                <w:rFonts w:cs="Calibri"/>
                <w:sz w:val="16"/>
                <w:szCs w:val="16"/>
              </w:rPr>
              <w:t>Assess methodologies, funding options</w:t>
            </w:r>
          </w:p>
        </w:tc>
        <w:tc>
          <w:tcPr>
            <w:tcW w:w="1057" w:type="dxa"/>
          </w:tcPr>
          <w:p w14:paraId="59833368" w14:textId="77777777" w:rsidR="002B04EB" w:rsidRPr="003F7F6C" w:rsidRDefault="002B04EB" w:rsidP="00B851B7">
            <w:r w:rsidRPr="003F7F6C">
              <w:rPr>
                <w:rFonts w:cs="Calibri"/>
                <w:sz w:val="16"/>
                <w:szCs w:val="16"/>
              </w:rPr>
              <w:t>Ministry of Environment</w:t>
            </w:r>
            <w:r w:rsidRPr="003F7F6C">
              <w:rPr>
                <w:sz w:val="16"/>
                <w:szCs w:val="16"/>
              </w:rPr>
              <w:t xml:space="preserve"> INTA</w:t>
            </w:r>
          </w:p>
        </w:tc>
        <w:tc>
          <w:tcPr>
            <w:tcW w:w="428" w:type="dxa"/>
          </w:tcPr>
          <w:p w14:paraId="1958078F" w14:textId="77777777" w:rsidR="002B04EB" w:rsidRPr="003F7F6C" w:rsidRDefault="002B04EB" w:rsidP="00B851B7"/>
        </w:tc>
        <w:tc>
          <w:tcPr>
            <w:tcW w:w="444" w:type="dxa"/>
          </w:tcPr>
          <w:p w14:paraId="6126A634" w14:textId="77777777" w:rsidR="002B04EB" w:rsidRPr="003F7F6C" w:rsidRDefault="002B04EB" w:rsidP="00B851B7">
            <w:r w:rsidRPr="003F7F6C">
              <w:rPr>
                <w:rFonts w:cs="Calibri"/>
                <w:sz w:val="16"/>
                <w:szCs w:val="16"/>
              </w:rPr>
              <w:t>X</w:t>
            </w:r>
          </w:p>
        </w:tc>
        <w:tc>
          <w:tcPr>
            <w:tcW w:w="428" w:type="dxa"/>
          </w:tcPr>
          <w:p w14:paraId="22C30E01" w14:textId="77777777" w:rsidR="002B04EB" w:rsidRPr="003F7F6C" w:rsidRDefault="002B04EB" w:rsidP="00B851B7">
            <w:r w:rsidRPr="003F7F6C">
              <w:rPr>
                <w:rFonts w:cs="Calibri"/>
                <w:sz w:val="16"/>
                <w:szCs w:val="16"/>
              </w:rPr>
              <w:t>X</w:t>
            </w:r>
          </w:p>
        </w:tc>
        <w:tc>
          <w:tcPr>
            <w:tcW w:w="428" w:type="dxa"/>
            <w:gridSpan w:val="2"/>
          </w:tcPr>
          <w:p w14:paraId="2FFD1288" w14:textId="77777777" w:rsidR="002B04EB" w:rsidRPr="003F7F6C" w:rsidRDefault="002B04EB" w:rsidP="00B851B7">
            <w:r w:rsidRPr="003F7F6C">
              <w:rPr>
                <w:rFonts w:cs="Calibri"/>
                <w:sz w:val="16"/>
                <w:szCs w:val="16"/>
              </w:rPr>
              <w:t>X</w:t>
            </w:r>
          </w:p>
        </w:tc>
        <w:tc>
          <w:tcPr>
            <w:tcW w:w="428" w:type="dxa"/>
          </w:tcPr>
          <w:p w14:paraId="1ABCC0E7" w14:textId="77777777" w:rsidR="002B04EB" w:rsidRPr="003F7F6C" w:rsidRDefault="002B04EB" w:rsidP="00B851B7">
            <w:r w:rsidRPr="003F7F6C">
              <w:rPr>
                <w:rFonts w:cs="Calibri"/>
                <w:sz w:val="16"/>
                <w:szCs w:val="16"/>
              </w:rPr>
              <w:t>X</w:t>
            </w:r>
          </w:p>
        </w:tc>
        <w:tc>
          <w:tcPr>
            <w:tcW w:w="427" w:type="dxa"/>
          </w:tcPr>
          <w:p w14:paraId="56411B0F" w14:textId="77777777" w:rsidR="002B04EB" w:rsidRPr="003F7F6C" w:rsidRDefault="002B04EB" w:rsidP="00B851B7">
            <w:r w:rsidRPr="003F7F6C">
              <w:rPr>
                <w:rFonts w:cs="Calibri"/>
                <w:sz w:val="16"/>
                <w:szCs w:val="16"/>
              </w:rPr>
              <w:t>X</w:t>
            </w:r>
          </w:p>
        </w:tc>
        <w:tc>
          <w:tcPr>
            <w:tcW w:w="427" w:type="dxa"/>
          </w:tcPr>
          <w:p w14:paraId="1AB7F0AF" w14:textId="77777777" w:rsidR="002B04EB" w:rsidRPr="003F7F6C" w:rsidRDefault="002B04EB" w:rsidP="00B851B7">
            <w:r w:rsidRPr="003F7F6C">
              <w:rPr>
                <w:rFonts w:cs="Calibri"/>
                <w:sz w:val="16"/>
                <w:szCs w:val="16"/>
              </w:rPr>
              <w:t>X</w:t>
            </w:r>
          </w:p>
        </w:tc>
        <w:tc>
          <w:tcPr>
            <w:tcW w:w="427" w:type="dxa"/>
            <w:gridSpan w:val="2"/>
          </w:tcPr>
          <w:p w14:paraId="1D992213" w14:textId="77777777" w:rsidR="002B04EB" w:rsidRPr="003F7F6C" w:rsidRDefault="002B04EB" w:rsidP="00B851B7">
            <w:r w:rsidRPr="003F7F6C">
              <w:rPr>
                <w:rFonts w:cs="Calibri"/>
                <w:sz w:val="16"/>
                <w:szCs w:val="16"/>
              </w:rPr>
              <w:t>X</w:t>
            </w:r>
          </w:p>
        </w:tc>
        <w:tc>
          <w:tcPr>
            <w:tcW w:w="428" w:type="dxa"/>
          </w:tcPr>
          <w:p w14:paraId="16BCE4BC" w14:textId="77777777" w:rsidR="002B04EB" w:rsidRPr="003F7F6C" w:rsidRDefault="002B04EB" w:rsidP="00B851B7">
            <w:r w:rsidRPr="003F7F6C">
              <w:rPr>
                <w:rFonts w:cs="Calibri"/>
                <w:sz w:val="16"/>
                <w:szCs w:val="16"/>
              </w:rPr>
              <w:t>X</w:t>
            </w:r>
          </w:p>
        </w:tc>
        <w:tc>
          <w:tcPr>
            <w:tcW w:w="428" w:type="dxa"/>
          </w:tcPr>
          <w:p w14:paraId="679FABC1" w14:textId="77777777" w:rsidR="002B04EB" w:rsidRPr="003F7F6C" w:rsidRDefault="002B04EB" w:rsidP="00B851B7">
            <w:r w:rsidRPr="003F7F6C">
              <w:rPr>
                <w:rFonts w:cs="Calibri"/>
                <w:sz w:val="16"/>
                <w:szCs w:val="16"/>
              </w:rPr>
              <w:t>X</w:t>
            </w:r>
          </w:p>
        </w:tc>
        <w:tc>
          <w:tcPr>
            <w:tcW w:w="428" w:type="dxa"/>
          </w:tcPr>
          <w:p w14:paraId="738CF270" w14:textId="77777777" w:rsidR="002B04EB" w:rsidRPr="003F7F6C" w:rsidRDefault="002B04EB" w:rsidP="00B851B7">
            <w:r w:rsidRPr="003F7F6C">
              <w:rPr>
                <w:rFonts w:cs="Calibri"/>
                <w:sz w:val="16"/>
                <w:szCs w:val="16"/>
              </w:rPr>
              <w:t>X</w:t>
            </w:r>
          </w:p>
        </w:tc>
        <w:tc>
          <w:tcPr>
            <w:tcW w:w="428" w:type="dxa"/>
            <w:gridSpan w:val="2"/>
          </w:tcPr>
          <w:p w14:paraId="013D9F0A" w14:textId="77777777" w:rsidR="002B04EB" w:rsidRPr="003F7F6C" w:rsidRDefault="002B04EB" w:rsidP="00B851B7">
            <w:r w:rsidRPr="003F7F6C">
              <w:rPr>
                <w:rFonts w:cs="Calibri"/>
                <w:sz w:val="16"/>
                <w:szCs w:val="16"/>
              </w:rPr>
              <w:t>X</w:t>
            </w:r>
          </w:p>
        </w:tc>
        <w:tc>
          <w:tcPr>
            <w:tcW w:w="428" w:type="dxa"/>
          </w:tcPr>
          <w:p w14:paraId="340AE8EC" w14:textId="77777777" w:rsidR="002B04EB" w:rsidRPr="003F7F6C" w:rsidRDefault="002B04EB" w:rsidP="00B851B7">
            <w:pPr>
              <w:rPr>
                <w:rFonts w:cs="Calibri"/>
                <w:sz w:val="16"/>
                <w:szCs w:val="16"/>
              </w:rPr>
            </w:pPr>
          </w:p>
        </w:tc>
        <w:tc>
          <w:tcPr>
            <w:tcW w:w="428" w:type="dxa"/>
          </w:tcPr>
          <w:p w14:paraId="2196789C" w14:textId="77777777" w:rsidR="002B04EB" w:rsidRPr="003F7F6C" w:rsidRDefault="002B04EB" w:rsidP="00B851B7">
            <w:pPr>
              <w:rPr>
                <w:rFonts w:cs="Calibri"/>
                <w:sz w:val="16"/>
                <w:szCs w:val="16"/>
              </w:rPr>
            </w:pPr>
          </w:p>
        </w:tc>
        <w:tc>
          <w:tcPr>
            <w:tcW w:w="428" w:type="dxa"/>
          </w:tcPr>
          <w:p w14:paraId="249DB39B" w14:textId="77777777" w:rsidR="002B04EB" w:rsidRPr="003F7F6C" w:rsidRDefault="002B04EB" w:rsidP="00B851B7">
            <w:pPr>
              <w:rPr>
                <w:rFonts w:cs="Calibri"/>
                <w:sz w:val="16"/>
                <w:szCs w:val="16"/>
              </w:rPr>
            </w:pPr>
          </w:p>
        </w:tc>
        <w:tc>
          <w:tcPr>
            <w:tcW w:w="428" w:type="dxa"/>
            <w:gridSpan w:val="2"/>
          </w:tcPr>
          <w:p w14:paraId="5100029C" w14:textId="77777777" w:rsidR="002B04EB" w:rsidRPr="003F7F6C" w:rsidRDefault="002B04EB" w:rsidP="00B851B7">
            <w:pPr>
              <w:rPr>
                <w:rFonts w:cs="Calibri"/>
                <w:sz w:val="16"/>
                <w:szCs w:val="16"/>
              </w:rPr>
            </w:pPr>
          </w:p>
        </w:tc>
        <w:tc>
          <w:tcPr>
            <w:tcW w:w="428" w:type="dxa"/>
          </w:tcPr>
          <w:p w14:paraId="0870ECD6" w14:textId="77777777" w:rsidR="002B04EB" w:rsidRPr="003F7F6C" w:rsidRDefault="002B04EB" w:rsidP="00B851B7">
            <w:pPr>
              <w:rPr>
                <w:rFonts w:cs="Calibri"/>
                <w:sz w:val="16"/>
                <w:szCs w:val="16"/>
              </w:rPr>
            </w:pPr>
          </w:p>
        </w:tc>
        <w:tc>
          <w:tcPr>
            <w:tcW w:w="428" w:type="dxa"/>
          </w:tcPr>
          <w:p w14:paraId="6F3A748D" w14:textId="77777777" w:rsidR="002B04EB" w:rsidRPr="003F7F6C" w:rsidRDefault="002B04EB" w:rsidP="00B851B7">
            <w:pPr>
              <w:rPr>
                <w:rFonts w:cs="Calibri"/>
                <w:sz w:val="16"/>
                <w:szCs w:val="16"/>
              </w:rPr>
            </w:pPr>
          </w:p>
        </w:tc>
        <w:tc>
          <w:tcPr>
            <w:tcW w:w="428" w:type="dxa"/>
          </w:tcPr>
          <w:p w14:paraId="309648DF" w14:textId="77777777" w:rsidR="002B04EB" w:rsidRPr="003F7F6C" w:rsidRDefault="002B04EB" w:rsidP="00B851B7">
            <w:pPr>
              <w:rPr>
                <w:rFonts w:cs="Calibri"/>
                <w:sz w:val="16"/>
                <w:szCs w:val="16"/>
              </w:rPr>
            </w:pPr>
          </w:p>
        </w:tc>
        <w:tc>
          <w:tcPr>
            <w:tcW w:w="428" w:type="dxa"/>
            <w:gridSpan w:val="2"/>
          </w:tcPr>
          <w:p w14:paraId="10767266" w14:textId="77777777" w:rsidR="002B04EB" w:rsidRPr="003F7F6C" w:rsidRDefault="002B04EB" w:rsidP="00B851B7">
            <w:pPr>
              <w:rPr>
                <w:rFonts w:cs="Calibri"/>
                <w:sz w:val="16"/>
                <w:szCs w:val="16"/>
              </w:rPr>
            </w:pPr>
          </w:p>
        </w:tc>
        <w:tc>
          <w:tcPr>
            <w:tcW w:w="428" w:type="dxa"/>
          </w:tcPr>
          <w:p w14:paraId="2B0F6F4C" w14:textId="77777777" w:rsidR="002B04EB" w:rsidRPr="003F7F6C" w:rsidRDefault="002B04EB" w:rsidP="00B851B7">
            <w:pPr>
              <w:rPr>
                <w:rFonts w:cs="Calibri"/>
                <w:sz w:val="16"/>
                <w:szCs w:val="16"/>
              </w:rPr>
            </w:pPr>
          </w:p>
        </w:tc>
        <w:tc>
          <w:tcPr>
            <w:tcW w:w="428" w:type="dxa"/>
          </w:tcPr>
          <w:p w14:paraId="0A2D91F3" w14:textId="77777777" w:rsidR="002B04EB" w:rsidRPr="003F7F6C" w:rsidRDefault="002B04EB" w:rsidP="00B851B7">
            <w:pPr>
              <w:rPr>
                <w:rFonts w:cs="Calibri"/>
                <w:sz w:val="16"/>
                <w:szCs w:val="16"/>
              </w:rPr>
            </w:pPr>
          </w:p>
        </w:tc>
        <w:tc>
          <w:tcPr>
            <w:tcW w:w="428" w:type="dxa"/>
          </w:tcPr>
          <w:p w14:paraId="1144DADE" w14:textId="77777777" w:rsidR="002B04EB" w:rsidRPr="003F7F6C" w:rsidRDefault="002B04EB" w:rsidP="00B851B7">
            <w:pPr>
              <w:rPr>
                <w:rFonts w:cs="Calibri"/>
                <w:sz w:val="16"/>
                <w:szCs w:val="16"/>
              </w:rPr>
            </w:pPr>
          </w:p>
        </w:tc>
        <w:tc>
          <w:tcPr>
            <w:tcW w:w="428" w:type="dxa"/>
          </w:tcPr>
          <w:p w14:paraId="198D23FC" w14:textId="77777777" w:rsidR="002B04EB" w:rsidRPr="003F7F6C" w:rsidRDefault="002B04EB" w:rsidP="00B851B7">
            <w:pPr>
              <w:rPr>
                <w:rFonts w:cs="Calibri"/>
                <w:sz w:val="16"/>
                <w:szCs w:val="16"/>
              </w:rPr>
            </w:pPr>
          </w:p>
        </w:tc>
      </w:tr>
      <w:tr w:rsidR="002B04EB" w:rsidRPr="003F7F6C" w14:paraId="7124386C" w14:textId="77777777" w:rsidTr="00B851B7">
        <w:tc>
          <w:tcPr>
            <w:tcW w:w="1668" w:type="dxa"/>
          </w:tcPr>
          <w:p w14:paraId="591654F7" w14:textId="77777777" w:rsidR="002B04EB" w:rsidRPr="003F7F6C" w:rsidRDefault="002B04EB" w:rsidP="00E91275">
            <w:pPr>
              <w:pStyle w:val="ListParagraph"/>
              <w:numPr>
                <w:ilvl w:val="0"/>
                <w:numId w:val="29"/>
              </w:numPr>
              <w:ind w:left="174" w:hanging="174"/>
              <w:rPr>
                <w:rFonts w:cs="Calibri"/>
                <w:sz w:val="16"/>
                <w:szCs w:val="16"/>
              </w:rPr>
            </w:pPr>
            <w:r w:rsidRPr="003F7F6C">
              <w:rPr>
                <w:rFonts w:cs="Calibri"/>
                <w:sz w:val="16"/>
                <w:szCs w:val="16"/>
              </w:rPr>
              <w:t>Adapt instruments to local realities and needs</w:t>
            </w:r>
          </w:p>
        </w:tc>
        <w:tc>
          <w:tcPr>
            <w:tcW w:w="1057" w:type="dxa"/>
          </w:tcPr>
          <w:p w14:paraId="48C65D99" w14:textId="77777777" w:rsidR="002B04EB" w:rsidRPr="003F7F6C" w:rsidRDefault="002B04EB" w:rsidP="00B851B7">
            <w:r w:rsidRPr="003F7F6C">
              <w:rPr>
                <w:rFonts w:cs="Calibri"/>
                <w:sz w:val="16"/>
                <w:szCs w:val="16"/>
              </w:rPr>
              <w:t>Ministry of Environment</w:t>
            </w:r>
            <w:r w:rsidRPr="003F7F6C">
              <w:rPr>
                <w:sz w:val="16"/>
                <w:szCs w:val="16"/>
              </w:rPr>
              <w:t xml:space="preserve"> INTA</w:t>
            </w:r>
          </w:p>
        </w:tc>
        <w:tc>
          <w:tcPr>
            <w:tcW w:w="428" w:type="dxa"/>
          </w:tcPr>
          <w:p w14:paraId="7D019690" w14:textId="77777777" w:rsidR="002B04EB" w:rsidRPr="003F7F6C" w:rsidRDefault="002B04EB" w:rsidP="00B851B7">
            <w:pPr>
              <w:rPr>
                <w:rFonts w:cs="Calibri"/>
                <w:sz w:val="16"/>
                <w:szCs w:val="16"/>
              </w:rPr>
            </w:pPr>
          </w:p>
        </w:tc>
        <w:tc>
          <w:tcPr>
            <w:tcW w:w="444" w:type="dxa"/>
          </w:tcPr>
          <w:p w14:paraId="40FA064D" w14:textId="77777777" w:rsidR="002B04EB" w:rsidRPr="003F7F6C" w:rsidRDefault="002B04EB" w:rsidP="00B851B7">
            <w:pPr>
              <w:rPr>
                <w:rFonts w:cs="Calibri"/>
                <w:sz w:val="16"/>
                <w:szCs w:val="16"/>
              </w:rPr>
            </w:pPr>
          </w:p>
        </w:tc>
        <w:tc>
          <w:tcPr>
            <w:tcW w:w="428" w:type="dxa"/>
          </w:tcPr>
          <w:p w14:paraId="52D098B4" w14:textId="77777777" w:rsidR="002B04EB" w:rsidRPr="003F7F6C" w:rsidRDefault="002B04EB" w:rsidP="00B851B7">
            <w:pPr>
              <w:rPr>
                <w:rFonts w:cs="Calibri"/>
                <w:sz w:val="16"/>
                <w:szCs w:val="16"/>
              </w:rPr>
            </w:pPr>
          </w:p>
        </w:tc>
        <w:tc>
          <w:tcPr>
            <w:tcW w:w="428" w:type="dxa"/>
            <w:gridSpan w:val="2"/>
          </w:tcPr>
          <w:p w14:paraId="277F1E57" w14:textId="77777777" w:rsidR="002B04EB" w:rsidRPr="003F7F6C" w:rsidRDefault="002B04EB" w:rsidP="00B851B7">
            <w:pPr>
              <w:rPr>
                <w:rFonts w:cs="Calibri"/>
                <w:sz w:val="16"/>
                <w:szCs w:val="16"/>
              </w:rPr>
            </w:pPr>
          </w:p>
        </w:tc>
        <w:tc>
          <w:tcPr>
            <w:tcW w:w="428" w:type="dxa"/>
          </w:tcPr>
          <w:p w14:paraId="52BBA720" w14:textId="77777777" w:rsidR="002B04EB" w:rsidRPr="003F7F6C" w:rsidRDefault="002B04EB" w:rsidP="00B851B7">
            <w:pPr>
              <w:rPr>
                <w:rFonts w:cs="Calibri"/>
                <w:sz w:val="16"/>
                <w:szCs w:val="16"/>
              </w:rPr>
            </w:pPr>
          </w:p>
        </w:tc>
        <w:tc>
          <w:tcPr>
            <w:tcW w:w="427" w:type="dxa"/>
          </w:tcPr>
          <w:p w14:paraId="04076752" w14:textId="77777777" w:rsidR="002B04EB" w:rsidRPr="003F7F6C" w:rsidRDefault="002B04EB" w:rsidP="00B851B7">
            <w:pPr>
              <w:rPr>
                <w:rFonts w:cs="Calibri"/>
                <w:sz w:val="16"/>
                <w:szCs w:val="16"/>
              </w:rPr>
            </w:pPr>
          </w:p>
        </w:tc>
        <w:tc>
          <w:tcPr>
            <w:tcW w:w="427" w:type="dxa"/>
          </w:tcPr>
          <w:p w14:paraId="2B136F76" w14:textId="77777777" w:rsidR="002B04EB" w:rsidRPr="003F7F6C" w:rsidRDefault="002B04EB" w:rsidP="00B851B7">
            <w:r w:rsidRPr="003F7F6C">
              <w:rPr>
                <w:rFonts w:cs="Calibri"/>
                <w:sz w:val="16"/>
                <w:szCs w:val="16"/>
              </w:rPr>
              <w:t>X</w:t>
            </w:r>
          </w:p>
        </w:tc>
        <w:tc>
          <w:tcPr>
            <w:tcW w:w="427" w:type="dxa"/>
            <w:gridSpan w:val="2"/>
          </w:tcPr>
          <w:p w14:paraId="23A7BDF6" w14:textId="77777777" w:rsidR="002B04EB" w:rsidRPr="003F7F6C" w:rsidRDefault="002B04EB" w:rsidP="00B851B7">
            <w:r w:rsidRPr="003F7F6C">
              <w:rPr>
                <w:rFonts w:cs="Calibri"/>
                <w:sz w:val="16"/>
                <w:szCs w:val="16"/>
              </w:rPr>
              <w:t>X</w:t>
            </w:r>
          </w:p>
        </w:tc>
        <w:tc>
          <w:tcPr>
            <w:tcW w:w="428" w:type="dxa"/>
          </w:tcPr>
          <w:p w14:paraId="752F53C4" w14:textId="77777777" w:rsidR="002B04EB" w:rsidRPr="003F7F6C" w:rsidRDefault="002B04EB" w:rsidP="00B851B7">
            <w:r w:rsidRPr="003F7F6C">
              <w:rPr>
                <w:rFonts w:cs="Calibri"/>
                <w:sz w:val="16"/>
                <w:szCs w:val="16"/>
              </w:rPr>
              <w:t>X</w:t>
            </w:r>
          </w:p>
        </w:tc>
        <w:tc>
          <w:tcPr>
            <w:tcW w:w="428" w:type="dxa"/>
          </w:tcPr>
          <w:p w14:paraId="33AD7865" w14:textId="77777777" w:rsidR="002B04EB" w:rsidRPr="003F7F6C" w:rsidRDefault="002B04EB" w:rsidP="00B851B7">
            <w:r w:rsidRPr="003F7F6C">
              <w:rPr>
                <w:rFonts w:cs="Calibri"/>
                <w:sz w:val="16"/>
                <w:szCs w:val="16"/>
              </w:rPr>
              <w:t>X</w:t>
            </w:r>
          </w:p>
        </w:tc>
        <w:tc>
          <w:tcPr>
            <w:tcW w:w="428" w:type="dxa"/>
          </w:tcPr>
          <w:p w14:paraId="20F08DA4" w14:textId="77777777" w:rsidR="002B04EB" w:rsidRPr="003F7F6C" w:rsidRDefault="002B04EB" w:rsidP="00B851B7">
            <w:r w:rsidRPr="003F7F6C">
              <w:rPr>
                <w:rFonts w:cs="Calibri"/>
                <w:sz w:val="16"/>
                <w:szCs w:val="16"/>
              </w:rPr>
              <w:t>X</w:t>
            </w:r>
          </w:p>
        </w:tc>
        <w:tc>
          <w:tcPr>
            <w:tcW w:w="428" w:type="dxa"/>
            <w:gridSpan w:val="2"/>
          </w:tcPr>
          <w:p w14:paraId="477682FA" w14:textId="77777777" w:rsidR="002B04EB" w:rsidRPr="003F7F6C" w:rsidRDefault="002B04EB" w:rsidP="00B851B7">
            <w:r w:rsidRPr="003F7F6C">
              <w:rPr>
                <w:rFonts w:cs="Calibri"/>
                <w:sz w:val="16"/>
                <w:szCs w:val="16"/>
              </w:rPr>
              <w:t>X</w:t>
            </w:r>
          </w:p>
        </w:tc>
        <w:tc>
          <w:tcPr>
            <w:tcW w:w="428" w:type="dxa"/>
          </w:tcPr>
          <w:p w14:paraId="288B85B7" w14:textId="77777777" w:rsidR="002B04EB" w:rsidRPr="003F7F6C" w:rsidRDefault="002B04EB" w:rsidP="00B851B7">
            <w:r w:rsidRPr="003F7F6C">
              <w:rPr>
                <w:rFonts w:cs="Calibri"/>
                <w:sz w:val="16"/>
                <w:szCs w:val="16"/>
              </w:rPr>
              <w:t>X</w:t>
            </w:r>
          </w:p>
        </w:tc>
        <w:tc>
          <w:tcPr>
            <w:tcW w:w="428" w:type="dxa"/>
          </w:tcPr>
          <w:p w14:paraId="0B958F9B" w14:textId="77777777" w:rsidR="002B04EB" w:rsidRPr="003F7F6C" w:rsidRDefault="002B04EB" w:rsidP="00B851B7">
            <w:r w:rsidRPr="003F7F6C">
              <w:rPr>
                <w:rFonts w:cs="Calibri"/>
                <w:sz w:val="16"/>
                <w:szCs w:val="16"/>
              </w:rPr>
              <w:t>X</w:t>
            </w:r>
          </w:p>
        </w:tc>
        <w:tc>
          <w:tcPr>
            <w:tcW w:w="428" w:type="dxa"/>
          </w:tcPr>
          <w:p w14:paraId="03B2E3C9" w14:textId="77777777" w:rsidR="002B04EB" w:rsidRPr="003F7F6C" w:rsidRDefault="002B04EB" w:rsidP="00B851B7">
            <w:r w:rsidRPr="003F7F6C">
              <w:rPr>
                <w:rFonts w:cs="Calibri"/>
                <w:sz w:val="16"/>
                <w:szCs w:val="16"/>
              </w:rPr>
              <w:t>X</w:t>
            </w:r>
          </w:p>
        </w:tc>
        <w:tc>
          <w:tcPr>
            <w:tcW w:w="428" w:type="dxa"/>
            <w:gridSpan w:val="2"/>
          </w:tcPr>
          <w:p w14:paraId="00D94B86" w14:textId="77777777" w:rsidR="002B04EB" w:rsidRPr="003F7F6C" w:rsidRDefault="002B04EB" w:rsidP="00B851B7">
            <w:r w:rsidRPr="003F7F6C">
              <w:rPr>
                <w:rFonts w:cs="Calibri"/>
                <w:sz w:val="16"/>
                <w:szCs w:val="16"/>
              </w:rPr>
              <w:t>X</w:t>
            </w:r>
          </w:p>
        </w:tc>
        <w:tc>
          <w:tcPr>
            <w:tcW w:w="428" w:type="dxa"/>
          </w:tcPr>
          <w:p w14:paraId="2B32FB51" w14:textId="77777777" w:rsidR="002B04EB" w:rsidRPr="003F7F6C" w:rsidRDefault="002B04EB" w:rsidP="00B851B7">
            <w:r w:rsidRPr="003F7F6C">
              <w:rPr>
                <w:rFonts w:cs="Calibri"/>
                <w:sz w:val="16"/>
                <w:szCs w:val="16"/>
              </w:rPr>
              <w:t>X</w:t>
            </w:r>
          </w:p>
        </w:tc>
        <w:tc>
          <w:tcPr>
            <w:tcW w:w="428" w:type="dxa"/>
          </w:tcPr>
          <w:p w14:paraId="5DE02FA3" w14:textId="77777777" w:rsidR="002B04EB" w:rsidRPr="003F7F6C" w:rsidRDefault="002B04EB" w:rsidP="00B851B7">
            <w:r w:rsidRPr="003F7F6C">
              <w:rPr>
                <w:rFonts w:cs="Calibri"/>
                <w:sz w:val="16"/>
                <w:szCs w:val="16"/>
              </w:rPr>
              <w:t>X</w:t>
            </w:r>
          </w:p>
        </w:tc>
        <w:tc>
          <w:tcPr>
            <w:tcW w:w="428" w:type="dxa"/>
          </w:tcPr>
          <w:p w14:paraId="7C90640E" w14:textId="77777777" w:rsidR="002B04EB" w:rsidRPr="003F7F6C" w:rsidRDefault="002B04EB" w:rsidP="00B851B7">
            <w:r w:rsidRPr="003F7F6C">
              <w:rPr>
                <w:rFonts w:cs="Calibri"/>
                <w:sz w:val="16"/>
                <w:szCs w:val="16"/>
              </w:rPr>
              <w:t>X</w:t>
            </w:r>
          </w:p>
        </w:tc>
        <w:tc>
          <w:tcPr>
            <w:tcW w:w="428" w:type="dxa"/>
            <w:gridSpan w:val="2"/>
          </w:tcPr>
          <w:p w14:paraId="4A5B5B88" w14:textId="77777777" w:rsidR="002B04EB" w:rsidRPr="003F7F6C" w:rsidRDefault="002B04EB" w:rsidP="00B851B7">
            <w:r w:rsidRPr="003F7F6C">
              <w:rPr>
                <w:rFonts w:cs="Calibri"/>
                <w:sz w:val="16"/>
                <w:szCs w:val="16"/>
              </w:rPr>
              <w:t>X</w:t>
            </w:r>
          </w:p>
        </w:tc>
        <w:tc>
          <w:tcPr>
            <w:tcW w:w="428" w:type="dxa"/>
          </w:tcPr>
          <w:p w14:paraId="2DD3405B" w14:textId="77777777" w:rsidR="002B04EB" w:rsidRPr="003F7F6C" w:rsidRDefault="002B04EB" w:rsidP="00B851B7">
            <w:r w:rsidRPr="003F7F6C">
              <w:rPr>
                <w:rFonts w:cs="Calibri"/>
                <w:sz w:val="16"/>
                <w:szCs w:val="16"/>
              </w:rPr>
              <w:t>X</w:t>
            </w:r>
          </w:p>
        </w:tc>
        <w:tc>
          <w:tcPr>
            <w:tcW w:w="428" w:type="dxa"/>
          </w:tcPr>
          <w:p w14:paraId="1C58B5A2" w14:textId="77777777" w:rsidR="002B04EB" w:rsidRPr="003F7F6C" w:rsidRDefault="002B04EB" w:rsidP="00B851B7">
            <w:r w:rsidRPr="003F7F6C">
              <w:rPr>
                <w:rFonts w:cs="Calibri"/>
                <w:sz w:val="16"/>
                <w:szCs w:val="16"/>
              </w:rPr>
              <w:t>X</w:t>
            </w:r>
          </w:p>
        </w:tc>
        <w:tc>
          <w:tcPr>
            <w:tcW w:w="428" w:type="dxa"/>
          </w:tcPr>
          <w:p w14:paraId="123CC1C6" w14:textId="77777777" w:rsidR="002B04EB" w:rsidRPr="003F7F6C" w:rsidRDefault="002B04EB" w:rsidP="00B851B7">
            <w:r w:rsidRPr="003F7F6C">
              <w:rPr>
                <w:rFonts w:cs="Calibri"/>
                <w:sz w:val="16"/>
                <w:szCs w:val="16"/>
              </w:rPr>
              <w:t>X</w:t>
            </w:r>
          </w:p>
        </w:tc>
        <w:tc>
          <w:tcPr>
            <w:tcW w:w="428" w:type="dxa"/>
          </w:tcPr>
          <w:p w14:paraId="3FE28C11" w14:textId="77777777" w:rsidR="002B04EB" w:rsidRPr="003F7F6C" w:rsidRDefault="002B04EB" w:rsidP="00B851B7">
            <w:r w:rsidRPr="003F7F6C">
              <w:rPr>
                <w:rFonts w:cs="Calibri"/>
                <w:sz w:val="16"/>
                <w:szCs w:val="16"/>
              </w:rPr>
              <w:t>X</w:t>
            </w:r>
          </w:p>
        </w:tc>
      </w:tr>
      <w:tr w:rsidR="002B04EB" w:rsidRPr="003F7F6C" w14:paraId="5E87AB2B" w14:textId="77777777" w:rsidTr="00B851B7">
        <w:tc>
          <w:tcPr>
            <w:tcW w:w="1668" w:type="dxa"/>
          </w:tcPr>
          <w:p w14:paraId="159575AE" w14:textId="77777777" w:rsidR="002B04EB" w:rsidRPr="003F7F6C" w:rsidRDefault="002B04EB" w:rsidP="00E91275">
            <w:pPr>
              <w:pStyle w:val="ListParagraph"/>
              <w:numPr>
                <w:ilvl w:val="0"/>
                <w:numId w:val="29"/>
              </w:numPr>
              <w:ind w:left="174" w:hanging="174"/>
              <w:rPr>
                <w:rFonts w:cs="Calibri"/>
                <w:sz w:val="16"/>
                <w:szCs w:val="16"/>
              </w:rPr>
            </w:pPr>
            <w:r w:rsidRPr="003F7F6C">
              <w:rPr>
                <w:rFonts w:cs="Calibri"/>
                <w:sz w:val="16"/>
                <w:szCs w:val="16"/>
              </w:rPr>
              <w:t>Implement schemes</w:t>
            </w:r>
          </w:p>
        </w:tc>
        <w:tc>
          <w:tcPr>
            <w:tcW w:w="1057" w:type="dxa"/>
          </w:tcPr>
          <w:p w14:paraId="21D06429" w14:textId="77777777" w:rsidR="002B04EB" w:rsidRPr="003F7F6C" w:rsidRDefault="002B04EB" w:rsidP="00B851B7">
            <w:r w:rsidRPr="003F7F6C">
              <w:rPr>
                <w:rFonts w:cs="Calibri"/>
                <w:sz w:val="16"/>
                <w:szCs w:val="16"/>
              </w:rPr>
              <w:t>Ministry of Environment</w:t>
            </w:r>
            <w:r w:rsidRPr="003F7F6C">
              <w:rPr>
                <w:sz w:val="16"/>
                <w:szCs w:val="16"/>
              </w:rPr>
              <w:t xml:space="preserve"> INTA</w:t>
            </w:r>
          </w:p>
        </w:tc>
        <w:tc>
          <w:tcPr>
            <w:tcW w:w="428" w:type="dxa"/>
          </w:tcPr>
          <w:p w14:paraId="529F4B77" w14:textId="77777777" w:rsidR="002B04EB" w:rsidRPr="003F7F6C" w:rsidRDefault="002B04EB" w:rsidP="00B851B7">
            <w:pPr>
              <w:rPr>
                <w:rFonts w:cs="Calibri"/>
                <w:sz w:val="16"/>
                <w:szCs w:val="16"/>
              </w:rPr>
            </w:pPr>
          </w:p>
        </w:tc>
        <w:tc>
          <w:tcPr>
            <w:tcW w:w="444" w:type="dxa"/>
          </w:tcPr>
          <w:p w14:paraId="441EF483" w14:textId="77777777" w:rsidR="002B04EB" w:rsidRPr="003F7F6C" w:rsidRDefault="002B04EB" w:rsidP="00B851B7">
            <w:pPr>
              <w:rPr>
                <w:rFonts w:cs="Calibri"/>
                <w:sz w:val="16"/>
                <w:szCs w:val="16"/>
              </w:rPr>
            </w:pPr>
          </w:p>
        </w:tc>
        <w:tc>
          <w:tcPr>
            <w:tcW w:w="428" w:type="dxa"/>
          </w:tcPr>
          <w:p w14:paraId="72972F16" w14:textId="77777777" w:rsidR="002B04EB" w:rsidRPr="003F7F6C" w:rsidRDefault="002B04EB" w:rsidP="00B851B7">
            <w:pPr>
              <w:rPr>
                <w:rFonts w:cs="Calibri"/>
                <w:sz w:val="16"/>
                <w:szCs w:val="16"/>
              </w:rPr>
            </w:pPr>
          </w:p>
        </w:tc>
        <w:tc>
          <w:tcPr>
            <w:tcW w:w="428" w:type="dxa"/>
            <w:gridSpan w:val="2"/>
          </w:tcPr>
          <w:p w14:paraId="2CF6559B" w14:textId="77777777" w:rsidR="002B04EB" w:rsidRPr="003F7F6C" w:rsidRDefault="002B04EB" w:rsidP="00B851B7">
            <w:pPr>
              <w:rPr>
                <w:rFonts w:cs="Calibri"/>
                <w:sz w:val="16"/>
                <w:szCs w:val="16"/>
              </w:rPr>
            </w:pPr>
          </w:p>
        </w:tc>
        <w:tc>
          <w:tcPr>
            <w:tcW w:w="428" w:type="dxa"/>
          </w:tcPr>
          <w:p w14:paraId="013EE378" w14:textId="77777777" w:rsidR="002B04EB" w:rsidRPr="003F7F6C" w:rsidRDefault="002B04EB" w:rsidP="00B851B7">
            <w:pPr>
              <w:rPr>
                <w:rFonts w:cs="Calibri"/>
                <w:sz w:val="16"/>
                <w:szCs w:val="16"/>
              </w:rPr>
            </w:pPr>
          </w:p>
        </w:tc>
        <w:tc>
          <w:tcPr>
            <w:tcW w:w="427" w:type="dxa"/>
          </w:tcPr>
          <w:p w14:paraId="64A922FF" w14:textId="77777777" w:rsidR="002B04EB" w:rsidRPr="003F7F6C" w:rsidRDefault="002B04EB" w:rsidP="00B851B7">
            <w:pPr>
              <w:rPr>
                <w:rFonts w:cs="Calibri"/>
                <w:sz w:val="16"/>
                <w:szCs w:val="16"/>
              </w:rPr>
            </w:pPr>
          </w:p>
        </w:tc>
        <w:tc>
          <w:tcPr>
            <w:tcW w:w="427" w:type="dxa"/>
          </w:tcPr>
          <w:p w14:paraId="47B07784" w14:textId="77777777" w:rsidR="002B04EB" w:rsidRPr="003F7F6C" w:rsidRDefault="002B04EB" w:rsidP="00B851B7">
            <w:r w:rsidRPr="003F7F6C">
              <w:rPr>
                <w:rFonts w:cs="Calibri"/>
                <w:sz w:val="16"/>
                <w:szCs w:val="16"/>
              </w:rPr>
              <w:t>X</w:t>
            </w:r>
          </w:p>
        </w:tc>
        <w:tc>
          <w:tcPr>
            <w:tcW w:w="427" w:type="dxa"/>
            <w:gridSpan w:val="2"/>
          </w:tcPr>
          <w:p w14:paraId="57E5D0F4" w14:textId="77777777" w:rsidR="002B04EB" w:rsidRPr="003F7F6C" w:rsidRDefault="002B04EB" w:rsidP="00B851B7">
            <w:r w:rsidRPr="003F7F6C">
              <w:rPr>
                <w:rFonts w:cs="Calibri"/>
                <w:sz w:val="16"/>
                <w:szCs w:val="16"/>
              </w:rPr>
              <w:t>X</w:t>
            </w:r>
          </w:p>
        </w:tc>
        <w:tc>
          <w:tcPr>
            <w:tcW w:w="428" w:type="dxa"/>
          </w:tcPr>
          <w:p w14:paraId="268DFDDA" w14:textId="77777777" w:rsidR="002B04EB" w:rsidRPr="003F7F6C" w:rsidRDefault="002B04EB" w:rsidP="00B851B7">
            <w:r w:rsidRPr="003F7F6C">
              <w:rPr>
                <w:rFonts w:cs="Calibri"/>
                <w:sz w:val="16"/>
                <w:szCs w:val="16"/>
              </w:rPr>
              <w:t>X</w:t>
            </w:r>
          </w:p>
        </w:tc>
        <w:tc>
          <w:tcPr>
            <w:tcW w:w="428" w:type="dxa"/>
          </w:tcPr>
          <w:p w14:paraId="30506C89" w14:textId="77777777" w:rsidR="002B04EB" w:rsidRPr="003F7F6C" w:rsidRDefault="002B04EB" w:rsidP="00B851B7">
            <w:r w:rsidRPr="003F7F6C">
              <w:rPr>
                <w:rFonts w:cs="Calibri"/>
                <w:sz w:val="16"/>
                <w:szCs w:val="16"/>
              </w:rPr>
              <w:t>X</w:t>
            </w:r>
          </w:p>
        </w:tc>
        <w:tc>
          <w:tcPr>
            <w:tcW w:w="428" w:type="dxa"/>
          </w:tcPr>
          <w:p w14:paraId="1860A388" w14:textId="77777777" w:rsidR="002B04EB" w:rsidRPr="003F7F6C" w:rsidRDefault="002B04EB" w:rsidP="00B851B7">
            <w:r w:rsidRPr="003F7F6C">
              <w:rPr>
                <w:rFonts w:cs="Calibri"/>
                <w:sz w:val="16"/>
                <w:szCs w:val="16"/>
              </w:rPr>
              <w:t>X</w:t>
            </w:r>
          </w:p>
        </w:tc>
        <w:tc>
          <w:tcPr>
            <w:tcW w:w="428" w:type="dxa"/>
            <w:gridSpan w:val="2"/>
          </w:tcPr>
          <w:p w14:paraId="4E6E5120" w14:textId="77777777" w:rsidR="002B04EB" w:rsidRPr="003F7F6C" w:rsidRDefault="002B04EB" w:rsidP="00B851B7">
            <w:r w:rsidRPr="003F7F6C">
              <w:rPr>
                <w:rFonts w:cs="Calibri"/>
                <w:sz w:val="16"/>
                <w:szCs w:val="16"/>
              </w:rPr>
              <w:t>X</w:t>
            </w:r>
          </w:p>
        </w:tc>
        <w:tc>
          <w:tcPr>
            <w:tcW w:w="428" w:type="dxa"/>
          </w:tcPr>
          <w:p w14:paraId="792B25B8" w14:textId="77777777" w:rsidR="002B04EB" w:rsidRPr="003F7F6C" w:rsidRDefault="002B04EB" w:rsidP="00B851B7">
            <w:r w:rsidRPr="003F7F6C">
              <w:rPr>
                <w:rFonts w:cs="Calibri"/>
                <w:sz w:val="16"/>
                <w:szCs w:val="16"/>
              </w:rPr>
              <w:t>X</w:t>
            </w:r>
          </w:p>
        </w:tc>
        <w:tc>
          <w:tcPr>
            <w:tcW w:w="428" w:type="dxa"/>
          </w:tcPr>
          <w:p w14:paraId="0752EFAB" w14:textId="77777777" w:rsidR="002B04EB" w:rsidRPr="003F7F6C" w:rsidRDefault="002B04EB" w:rsidP="00B851B7">
            <w:r w:rsidRPr="003F7F6C">
              <w:rPr>
                <w:rFonts w:cs="Calibri"/>
                <w:sz w:val="16"/>
                <w:szCs w:val="16"/>
              </w:rPr>
              <w:t>X</w:t>
            </w:r>
          </w:p>
        </w:tc>
        <w:tc>
          <w:tcPr>
            <w:tcW w:w="428" w:type="dxa"/>
          </w:tcPr>
          <w:p w14:paraId="13C13549" w14:textId="77777777" w:rsidR="002B04EB" w:rsidRPr="003F7F6C" w:rsidRDefault="002B04EB" w:rsidP="00B851B7">
            <w:r w:rsidRPr="003F7F6C">
              <w:rPr>
                <w:rFonts w:cs="Calibri"/>
                <w:sz w:val="16"/>
                <w:szCs w:val="16"/>
              </w:rPr>
              <w:t>X</w:t>
            </w:r>
          </w:p>
        </w:tc>
        <w:tc>
          <w:tcPr>
            <w:tcW w:w="428" w:type="dxa"/>
            <w:gridSpan w:val="2"/>
          </w:tcPr>
          <w:p w14:paraId="7625F3E7" w14:textId="77777777" w:rsidR="002B04EB" w:rsidRPr="003F7F6C" w:rsidRDefault="002B04EB" w:rsidP="00B851B7">
            <w:r w:rsidRPr="003F7F6C">
              <w:rPr>
                <w:rFonts w:cs="Calibri"/>
                <w:sz w:val="16"/>
                <w:szCs w:val="16"/>
              </w:rPr>
              <w:t>X</w:t>
            </w:r>
          </w:p>
        </w:tc>
        <w:tc>
          <w:tcPr>
            <w:tcW w:w="428" w:type="dxa"/>
          </w:tcPr>
          <w:p w14:paraId="290AE293" w14:textId="77777777" w:rsidR="002B04EB" w:rsidRPr="003F7F6C" w:rsidRDefault="002B04EB" w:rsidP="00B851B7">
            <w:r w:rsidRPr="003F7F6C">
              <w:rPr>
                <w:rFonts w:cs="Calibri"/>
                <w:sz w:val="16"/>
                <w:szCs w:val="16"/>
              </w:rPr>
              <w:t>X</w:t>
            </w:r>
          </w:p>
        </w:tc>
        <w:tc>
          <w:tcPr>
            <w:tcW w:w="428" w:type="dxa"/>
          </w:tcPr>
          <w:p w14:paraId="21A2EC68" w14:textId="77777777" w:rsidR="002B04EB" w:rsidRPr="003F7F6C" w:rsidRDefault="002B04EB" w:rsidP="00B851B7">
            <w:r w:rsidRPr="003F7F6C">
              <w:rPr>
                <w:rFonts w:cs="Calibri"/>
                <w:sz w:val="16"/>
                <w:szCs w:val="16"/>
              </w:rPr>
              <w:t>X</w:t>
            </w:r>
          </w:p>
        </w:tc>
        <w:tc>
          <w:tcPr>
            <w:tcW w:w="428" w:type="dxa"/>
          </w:tcPr>
          <w:p w14:paraId="025424CE" w14:textId="77777777" w:rsidR="002B04EB" w:rsidRPr="003F7F6C" w:rsidRDefault="002B04EB" w:rsidP="00B851B7">
            <w:r w:rsidRPr="003F7F6C">
              <w:rPr>
                <w:rFonts w:cs="Calibri"/>
                <w:sz w:val="16"/>
                <w:szCs w:val="16"/>
              </w:rPr>
              <w:t>X</w:t>
            </w:r>
          </w:p>
        </w:tc>
        <w:tc>
          <w:tcPr>
            <w:tcW w:w="428" w:type="dxa"/>
            <w:gridSpan w:val="2"/>
          </w:tcPr>
          <w:p w14:paraId="7114B033" w14:textId="77777777" w:rsidR="002B04EB" w:rsidRPr="003F7F6C" w:rsidRDefault="002B04EB" w:rsidP="00B851B7">
            <w:r w:rsidRPr="003F7F6C">
              <w:rPr>
                <w:rFonts w:cs="Calibri"/>
                <w:sz w:val="16"/>
                <w:szCs w:val="16"/>
              </w:rPr>
              <w:t>X</w:t>
            </w:r>
          </w:p>
        </w:tc>
        <w:tc>
          <w:tcPr>
            <w:tcW w:w="428" w:type="dxa"/>
          </w:tcPr>
          <w:p w14:paraId="41B88BAA" w14:textId="77777777" w:rsidR="002B04EB" w:rsidRPr="003F7F6C" w:rsidRDefault="002B04EB" w:rsidP="00B851B7">
            <w:r w:rsidRPr="003F7F6C">
              <w:rPr>
                <w:rFonts w:cs="Calibri"/>
                <w:sz w:val="16"/>
                <w:szCs w:val="16"/>
              </w:rPr>
              <w:t>X</w:t>
            </w:r>
          </w:p>
        </w:tc>
        <w:tc>
          <w:tcPr>
            <w:tcW w:w="428" w:type="dxa"/>
          </w:tcPr>
          <w:p w14:paraId="5FD2E255" w14:textId="77777777" w:rsidR="002B04EB" w:rsidRPr="003F7F6C" w:rsidRDefault="002B04EB" w:rsidP="00B851B7">
            <w:r w:rsidRPr="003F7F6C">
              <w:rPr>
                <w:rFonts w:cs="Calibri"/>
                <w:sz w:val="16"/>
                <w:szCs w:val="16"/>
              </w:rPr>
              <w:t>X</w:t>
            </w:r>
          </w:p>
        </w:tc>
        <w:tc>
          <w:tcPr>
            <w:tcW w:w="428" w:type="dxa"/>
          </w:tcPr>
          <w:p w14:paraId="3841AE19" w14:textId="77777777" w:rsidR="002B04EB" w:rsidRPr="003F7F6C" w:rsidRDefault="002B04EB" w:rsidP="00B851B7">
            <w:r w:rsidRPr="003F7F6C">
              <w:rPr>
                <w:rFonts w:cs="Calibri"/>
                <w:sz w:val="16"/>
                <w:szCs w:val="16"/>
              </w:rPr>
              <w:t>X</w:t>
            </w:r>
          </w:p>
        </w:tc>
        <w:tc>
          <w:tcPr>
            <w:tcW w:w="428" w:type="dxa"/>
          </w:tcPr>
          <w:p w14:paraId="4AC0B90B" w14:textId="77777777" w:rsidR="002B04EB" w:rsidRPr="003F7F6C" w:rsidRDefault="002B04EB" w:rsidP="00B851B7">
            <w:r w:rsidRPr="003F7F6C">
              <w:rPr>
                <w:rFonts w:cs="Calibri"/>
                <w:sz w:val="16"/>
                <w:szCs w:val="16"/>
              </w:rPr>
              <w:t>X</w:t>
            </w:r>
          </w:p>
        </w:tc>
      </w:tr>
      <w:tr w:rsidR="002B04EB" w:rsidRPr="003F7F6C" w14:paraId="47122B00" w14:textId="77777777" w:rsidTr="002B04EB">
        <w:tc>
          <w:tcPr>
            <w:tcW w:w="13010" w:type="dxa"/>
            <w:gridSpan w:val="31"/>
            <w:shd w:val="clear" w:color="auto" w:fill="F7CAAC"/>
          </w:tcPr>
          <w:p w14:paraId="15BE781A" w14:textId="77777777" w:rsidR="002B04EB" w:rsidRPr="003F7F6C" w:rsidRDefault="002B04EB" w:rsidP="00B851B7">
            <w:pPr>
              <w:rPr>
                <w:rFonts w:cs="Calibri"/>
                <w:sz w:val="16"/>
                <w:szCs w:val="16"/>
              </w:rPr>
            </w:pPr>
            <w:r w:rsidRPr="003F7F6C">
              <w:rPr>
                <w:rFonts w:cs="Calibri"/>
                <w:sz w:val="16"/>
                <w:szCs w:val="16"/>
              </w:rPr>
              <w:t>Mendoza</w:t>
            </w:r>
          </w:p>
        </w:tc>
      </w:tr>
      <w:tr w:rsidR="002B04EB" w:rsidRPr="003F7F6C" w14:paraId="50D7E038" w14:textId="77777777" w:rsidTr="00B851B7">
        <w:tc>
          <w:tcPr>
            <w:tcW w:w="1668" w:type="dxa"/>
          </w:tcPr>
          <w:p w14:paraId="1F0889A0" w14:textId="77777777" w:rsidR="002B04EB" w:rsidRPr="003F7F6C" w:rsidRDefault="002B04EB" w:rsidP="00E91275">
            <w:pPr>
              <w:pStyle w:val="ListParagraph"/>
              <w:numPr>
                <w:ilvl w:val="2"/>
                <w:numId w:val="36"/>
              </w:numPr>
              <w:tabs>
                <w:tab w:val="left" w:pos="457"/>
              </w:tabs>
              <w:spacing w:after="0"/>
              <w:ind w:left="0" w:firstLine="0"/>
              <w:contextualSpacing w:val="0"/>
              <w:jc w:val="left"/>
              <w:rPr>
                <w:rFonts w:cs="Calibri"/>
                <w:sz w:val="16"/>
                <w:szCs w:val="16"/>
              </w:rPr>
            </w:pPr>
            <w:r w:rsidRPr="003F7F6C">
              <w:rPr>
                <w:rFonts w:cs="Calibri"/>
                <w:sz w:val="16"/>
                <w:szCs w:val="16"/>
              </w:rPr>
              <w:t>Valuate ecosystem goods and services</w:t>
            </w:r>
          </w:p>
        </w:tc>
        <w:tc>
          <w:tcPr>
            <w:tcW w:w="1057" w:type="dxa"/>
          </w:tcPr>
          <w:p w14:paraId="259484CF" w14:textId="77777777" w:rsidR="002B04EB" w:rsidRPr="003F7F6C" w:rsidRDefault="002B04EB" w:rsidP="00B851B7">
            <w:pPr>
              <w:rPr>
                <w:sz w:val="16"/>
                <w:szCs w:val="16"/>
              </w:rPr>
            </w:pPr>
            <w:r w:rsidRPr="003F7F6C">
              <w:rPr>
                <w:sz w:val="16"/>
                <w:szCs w:val="16"/>
              </w:rPr>
              <w:t>SAOT</w:t>
            </w:r>
          </w:p>
          <w:p w14:paraId="4DB7D031" w14:textId="77777777" w:rsidR="002B04EB" w:rsidRPr="003F7F6C" w:rsidRDefault="002B04EB" w:rsidP="00B851B7">
            <w:r w:rsidRPr="003F7F6C">
              <w:rPr>
                <w:sz w:val="16"/>
                <w:szCs w:val="16"/>
              </w:rPr>
              <w:t>INTA</w:t>
            </w:r>
          </w:p>
        </w:tc>
        <w:tc>
          <w:tcPr>
            <w:tcW w:w="428" w:type="dxa"/>
          </w:tcPr>
          <w:p w14:paraId="1FBABD39" w14:textId="77777777" w:rsidR="002B04EB" w:rsidRPr="003F7F6C" w:rsidRDefault="002B04EB" w:rsidP="00B851B7"/>
        </w:tc>
        <w:tc>
          <w:tcPr>
            <w:tcW w:w="444" w:type="dxa"/>
          </w:tcPr>
          <w:p w14:paraId="59F9E9E1" w14:textId="77777777" w:rsidR="002B04EB" w:rsidRPr="003F7F6C" w:rsidRDefault="002B04EB" w:rsidP="00B851B7">
            <w:r w:rsidRPr="003F7F6C">
              <w:rPr>
                <w:rFonts w:cs="Calibri"/>
                <w:sz w:val="16"/>
                <w:szCs w:val="16"/>
              </w:rPr>
              <w:t>X</w:t>
            </w:r>
          </w:p>
        </w:tc>
        <w:tc>
          <w:tcPr>
            <w:tcW w:w="428" w:type="dxa"/>
          </w:tcPr>
          <w:p w14:paraId="638E4317" w14:textId="77777777" w:rsidR="002B04EB" w:rsidRPr="003F7F6C" w:rsidRDefault="002B04EB" w:rsidP="00B851B7">
            <w:r w:rsidRPr="003F7F6C">
              <w:rPr>
                <w:rFonts w:cs="Calibri"/>
                <w:sz w:val="16"/>
                <w:szCs w:val="16"/>
              </w:rPr>
              <w:t>X</w:t>
            </w:r>
          </w:p>
        </w:tc>
        <w:tc>
          <w:tcPr>
            <w:tcW w:w="428" w:type="dxa"/>
            <w:gridSpan w:val="2"/>
          </w:tcPr>
          <w:p w14:paraId="63B0A7D7" w14:textId="77777777" w:rsidR="002B04EB" w:rsidRPr="003F7F6C" w:rsidRDefault="002B04EB" w:rsidP="00B851B7">
            <w:r w:rsidRPr="003F7F6C">
              <w:rPr>
                <w:rFonts w:cs="Calibri"/>
                <w:sz w:val="16"/>
                <w:szCs w:val="16"/>
              </w:rPr>
              <w:t>X</w:t>
            </w:r>
          </w:p>
        </w:tc>
        <w:tc>
          <w:tcPr>
            <w:tcW w:w="428" w:type="dxa"/>
          </w:tcPr>
          <w:p w14:paraId="0B23BED2" w14:textId="77777777" w:rsidR="002B04EB" w:rsidRPr="003F7F6C" w:rsidRDefault="002B04EB" w:rsidP="00B851B7">
            <w:r w:rsidRPr="003F7F6C">
              <w:rPr>
                <w:rFonts w:cs="Calibri"/>
                <w:sz w:val="16"/>
                <w:szCs w:val="16"/>
              </w:rPr>
              <w:t>X</w:t>
            </w:r>
          </w:p>
        </w:tc>
        <w:tc>
          <w:tcPr>
            <w:tcW w:w="427" w:type="dxa"/>
          </w:tcPr>
          <w:p w14:paraId="755C3E5A" w14:textId="77777777" w:rsidR="002B04EB" w:rsidRPr="003F7F6C" w:rsidRDefault="002B04EB" w:rsidP="00B851B7">
            <w:r w:rsidRPr="003F7F6C">
              <w:rPr>
                <w:rFonts w:cs="Calibri"/>
                <w:sz w:val="16"/>
                <w:szCs w:val="16"/>
              </w:rPr>
              <w:t>X</w:t>
            </w:r>
          </w:p>
        </w:tc>
        <w:tc>
          <w:tcPr>
            <w:tcW w:w="427" w:type="dxa"/>
          </w:tcPr>
          <w:p w14:paraId="6ED0E825" w14:textId="77777777" w:rsidR="002B04EB" w:rsidRPr="003F7F6C" w:rsidRDefault="002B04EB" w:rsidP="00B851B7">
            <w:r w:rsidRPr="003F7F6C">
              <w:rPr>
                <w:rFonts w:cs="Calibri"/>
                <w:sz w:val="16"/>
                <w:szCs w:val="16"/>
              </w:rPr>
              <w:t>X</w:t>
            </w:r>
          </w:p>
        </w:tc>
        <w:tc>
          <w:tcPr>
            <w:tcW w:w="427" w:type="dxa"/>
            <w:gridSpan w:val="2"/>
          </w:tcPr>
          <w:p w14:paraId="5F66D18B" w14:textId="77777777" w:rsidR="002B04EB" w:rsidRPr="003F7F6C" w:rsidRDefault="002B04EB" w:rsidP="00B851B7">
            <w:r w:rsidRPr="003F7F6C">
              <w:rPr>
                <w:rFonts w:cs="Calibri"/>
                <w:sz w:val="16"/>
                <w:szCs w:val="16"/>
              </w:rPr>
              <w:t>X</w:t>
            </w:r>
          </w:p>
        </w:tc>
        <w:tc>
          <w:tcPr>
            <w:tcW w:w="428" w:type="dxa"/>
          </w:tcPr>
          <w:p w14:paraId="0681B650" w14:textId="77777777" w:rsidR="002B04EB" w:rsidRPr="003F7F6C" w:rsidRDefault="002B04EB" w:rsidP="00B851B7">
            <w:r w:rsidRPr="003F7F6C">
              <w:rPr>
                <w:rFonts w:cs="Calibri"/>
                <w:sz w:val="16"/>
                <w:szCs w:val="16"/>
              </w:rPr>
              <w:t>X</w:t>
            </w:r>
          </w:p>
        </w:tc>
        <w:tc>
          <w:tcPr>
            <w:tcW w:w="428" w:type="dxa"/>
          </w:tcPr>
          <w:p w14:paraId="393BD55C" w14:textId="77777777" w:rsidR="002B04EB" w:rsidRPr="003F7F6C" w:rsidRDefault="002B04EB" w:rsidP="00B851B7">
            <w:r w:rsidRPr="003F7F6C">
              <w:rPr>
                <w:rFonts w:cs="Calibri"/>
                <w:sz w:val="16"/>
                <w:szCs w:val="16"/>
              </w:rPr>
              <w:t>X</w:t>
            </w:r>
          </w:p>
        </w:tc>
        <w:tc>
          <w:tcPr>
            <w:tcW w:w="428" w:type="dxa"/>
          </w:tcPr>
          <w:p w14:paraId="4774EA09" w14:textId="77777777" w:rsidR="002B04EB" w:rsidRPr="003F7F6C" w:rsidRDefault="002B04EB" w:rsidP="00B851B7">
            <w:r w:rsidRPr="003F7F6C">
              <w:rPr>
                <w:rFonts w:cs="Calibri"/>
                <w:sz w:val="16"/>
                <w:szCs w:val="16"/>
              </w:rPr>
              <w:t>X</w:t>
            </w:r>
          </w:p>
        </w:tc>
        <w:tc>
          <w:tcPr>
            <w:tcW w:w="428" w:type="dxa"/>
            <w:gridSpan w:val="2"/>
          </w:tcPr>
          <w:p w14:paraId="6B433D46" w14:textId="77777777" w:rsidR="002B04EB" w:rsidRPr="003F7F6C" w:rsidRDefault="002B04EB" w:rsidP="00B851B7">
            <w:r w:rsidRPr="003F7F6C">
              <w:rPr>
                <w:rFonts w:cs="Calibri"/>
                <w:sz w:val="16"/>
                <w:szCs w:val="16"/>
              </w:rPr>
              <w:t>X</w:t>
            </w:r>
          </w:p>
        </w:tc>
        <w:tc>
          <w:tcPr>
            <w:tcW w:w="428" w:type="dxa"/>
          </w:tcPr>
          <w:p w14:paraId="0D9296C0" w14:textId="77777777" w:rsidR="002B04EB" w:rsidRPr="003F7F6C" w:rsidRDefault="002B04EB" w:rsidP="00B851B7"/>
        </w:tc>
        <w:tc>
          <w:tcPr>
            <w:tcW w:w="428" w:type="dxa"/>
          </w:tcPr>
          <w:p w14:paraId="4BAE0204" w14:textId="77777777" w:rsidR="002B04EB" w:rsidRPr="003F7F6C" w:rsidRDefault="002B04EB" w:rsidP="00B851B7"/>
        </w:tc>
        <w:tc>
          <w:tcPr>
            <w:tcW w:w="428" w:type="dxa"/>
          </w:tcPr>
          <w:p w14:paraId="6D902B1E" w14:textId="77777777" w:rsidR="002B04EB" w:rsidRPr="003F7F6C" w:rsidRDefault="002B04EB" w:rsidP="00B851B7"/>
        </w:tc>
        <w:tc>
          <w:tcPr>
            <w:tcW w:w="428" w:type="dxa"/>
            <w:gridSpan w:val="2"/>
          </w:tcPr>
          <w:p w14:paraId="4ED30BAB" w14:textId="77777777" w:rsidR="002B04EB" w:rsidRPr="003F7F6C" w:rsidRDefault="002B04EB" w:rsidP="00B851B7"/>
        </w:tc>
        <w:tc>
          <w:tcPr>
            <w:tcW w:w="428" w:type="dxa"/>
          </w:tcPr>
          <w:p w14:paraId="11737D02" w14:textId="77777777" w:rsidR="002B04EB" w:rsidRPr="003F7F6C" w:rsidRDefault="002B04EB" w:rsidP="00B851B7">
            <w:pPr>
              <w:rPr>
                <w:rFonts w:cs="Calibri"/>
                <w:sz w:val="16"/>
                <w:szCs w:val="16"/>
              </w:rPr>
            </w:pPr>
          </w:p>
        </w:tc>
        <w:tc>
          <w:tcPr>
            <w:tcW w:w="428" w:type="dxa"/>
          </w:tcPr>
          <w:p w14:paraId="168F800F" w14:textId="77777777" w:rsidR="002B04EB" w:rsidRPr="003F7F6C" w:rsidRDefault="002B04EB" w:rsidP="00B851B7">
            <w:pPr>
              <w:rPr>
                <w:rFonts w:cs="Calibri"/>
                <w:sz w:val="16"/>
                <w:szCs w:val="16"/>
              </w:rPr>
            </w:pPr>
          </w:p>
        </w:tc>
        <w:tc>
          <w:tcPr>
            <w:tcW w:w="428" w:type="dxa"/>
          </w:tcPr>
          <w:p w14:paraId="1A307A1F" w14:textId="77777777" w:rsidR="002B04EB" w:rsidRPr="003F7F6C" w:rsidRDefault="002B04EB" w:rsidP="00B851B7">
            <w:pPr>
              <w:rPr>
                <w:rFonts w:cs="Calibri"/>
                <w:sz w:val="16"/>
                <w:szCs w:val="16"/>
              </w:rPr>
            </w:pPr>
          </w:p>
        </w:tc>
        <w:tc>
          <w:tcPr>
            <w:tcW w:w="428" w:type="dxa"/>
            <w:gridSpan w:val="2"/>
          </w:tcPr>
          <w:p w14:paraId="50C9B35A" w14:textId="77777777" w:rsidR="002B04EB" w:rsidRPr="003F7F6C" w:rsidRDefault="002B04EB" w:rsidP="00B851B7">
            <w:pPr>
              <w:rPr>
                <w:rFonts w:cs="Calibri"/>
                <w:sz w:val="16"/>
                <w:szCs w:val="16"/>
              </w:rPr>
            </w:pPr>
          </w:p>
        </w:tc>
        <w:tc>
          <w:tcPr>
            <w:tcW w:w="428" w:type="dxa"/>
          </w:tcPr>
          <w:p w14:paraId="64F27775" w14:textId="77777777" w:rsidR="002B04EB" w:rsidRPr="003F7F6C" w:rsidRDefault="002B04EB" w:rsidP="00B851B7">
            <w:pPr>
              <w:rPr>
                <w:rFonts w:cs="Calibri"/>
                <w:sz w:val="16"/>
                <w:szCs w:val="16"/>
              </w:rPr>
            </w:pPr>
          </w:p>
        </w:tc>
        <w:tc>
          <w:tcPr>
            <w:tcW w:w="428" w:type="dxa"/>
          </w:tcPr>
          <w:p w14:paraId="44DDB5B2" w14:textId="77777777" w:rsidR="002B04EB" w:rsidRPr="003F7F6C" w:rsidRDefault="002B04EB" w:rsidP="00B851B7">
            <w:pPr>
              <w:rPr>
                <w:rFonts w:cs="Calibri"/>
                <w:sz w:val="16"/>
                <w:szCs w:val="16"/>
              </w:rPr>
            </w:pPr>
          </w:p>
        </w:tc>
        <w:tc>
          <w:tcPr>
            <w:tcW w:w="428" w:type="dxa"/>
          </w:tcPr>
          <w:p w14:paraId="0890409D" w14:textId="77777777" w:rsidR="002B04EB" w:rsidRPr="003F7F6C" w:rsidRDefault="002B04EB" w:rsidP="00B851B7">
            <w:pPr>
              <w:rPr>
                <w:rFonts w:cs="Calibri"/>
                <w:sz w:val="16"/>
                <w:szCs w:val="16"/>
              </w:rPr>
            </w:pPr>
          </w:p>
        </w:tc>
        <w:tc>
          <w:tcPr>
            <w:tcW w:w="428" w:type="dxa"/>
          </w:tcPr>
          <w:p w14:paraId="210B7D6F" w14:textId="77777777" w:rsidR="002B04EB" w:rsidRPr="003F7F6C" w:rsidRDefault="002B04EB" w:rsidP="00B851B7">
            <w:pPr>
              <w:rPr>
                <w:rFonts w:cs="Calibri"/>
                <w:sz w:val="16"/>
                <w:szCs w:val="16"/>
              </w:rPr>
            </w:pPr>
          </w:p>
        </w:tc>
      </w:tr>
      <w:tr w:rsidR="002B04EB" w:rsidRPr="003F7F6C" w14:paraId="20C5A769" w14:textId="77777777" w:rsidTr="00B851B7">
        <w:tc>
          <w:tcPr>
            <w:tcW w:w="1668" w:type="dxa"/>
          </w:tcPr>
          <w:p w14:paraId="04C19678" w14:textId="77777777" w:rsidR="002B04EB" w:rsidRPr="003F7F6C" w:rsidRDefault="002B04EB" w:rsidP="00E91275">
            <w:pPr>
              <w:pStyle w:val="ListParagraph"/>
              <w:numPr>
                <w:ilvl w:val="0"/>
                <w:numId w:val="29"/>
              </w:numPr>
              <w:ind w:left="174" w:hanging="142"/>
              <w:rPr>
                <w:rFonts w:cs="Calibri"/>
                <w:sz w:val="16"/>
                <w:szCs w:val="16"/>
              </w:rPr>
            </w:pPr>
            <w:r w:rsidRPr="003F7F6C">
              <w:rPr>
                <w:rFonts w:cs="Calibri"/>
                <w:sz w:val="16"/>
                <w:szCs w:val="16"/>
              </w:rPr>
              <w:t>Implement the ECOSER methodology in Green Belt target landscape</w:t>
            </w:r>
          </w:p>
        </w:tc>
        <w:tc>
          <w:tcPr>
            <w:tcW w:w="1057" w:type="dxa"/>
          </w:tcPr>
          <w:p w14:paraId="11B63012" w14:textId="77777777" w:rsidR="002B04EB" w:rsidRPr="003F7F6C" w:rsidRDefault="002B04EB" w:rsidP="00B851B7">
            <w:pPr>
              <w:rPr>
                <w:sz w:val="16"/>
                <w:szCs w:val="16"/>
              </w:rPr>
            </w:pPr>
            <w:r w:rsidRPr="003F7F6C">
              <w:rPr>
                <w:sz w:val="16"/>
                <w:szCs w:val="16"/>
              </w:rPr>
              <w:t>SAOT</w:t>
            </w:r>
          </w:p>
          <w:p w14:paraId="155ED80A" w14:textId="77777777" w:rsidR="002B04EB" w:rsidRPr="003F7F6C" w:rsidRDefault="002B04EB" w:rsidP="00B851B7">
            <w:pPr>
              <w:rPr>
                <w:sz w:val="16"/>
                <w:szCs w:val="16"/>
              </w:rPr>
            </w:pPr>
            <w:r w:rsidRPr="003F7F6C">
              <w:rPr>
                <w:sz w:val="16"/>
                <w:szCs w:val="16"/>
              </w:rPr>
              <w:t>INTA</w:t>
            </w:r>
          </w:p>
        </w:tc>
        <w:tc>
          <w:tcPr>
            <w:tcW w:w="428" w:type="dxa"/>
          </w:tcPr>
          <w:p w14:paraId="7292C5A1" w14:textId="77777777" w:rsidR="002B04EB" w:rsidRPr="003F7F6C" w:rsidRDefault="002B04EB" w:rsidP="00B851B7"/>
        </w:tc>
        <w:tc>
          <w:tcPr>
            <w:tcW w:w="444" w:type="dxa"/>
          </w:tcPr>
          <w:p w14:paraId="03B4B511" w14:textId="77777777" w:rsidR="002B04EB" w:rsidRPr="003F7F6C" w:rsidRDefault="002B04EB" w:rsidP="00B851B7">
            <w:r w:rsidRPr="003F7F6C">
              <w:rPr>
                <w:rFonts w:cs="Calibri"/>
                <w:sz w:val="16"/>
                <w:szCs w:val="16"/>
              </w:rPr>
              <w:t>X</w:t>
            </w:r>
          </w:p>
        </w:tc>
        <w:tc>
          <w:tcPr>
            <w:tcW w:w="428" w:type="dxa"/>
          </w:tcPr>
          <w:p w14:paraId="4692FF27" w14:textId="77777777" w:rsidR="002B04EB" w:rsidRPr="003F7F6C" w:rsidRDefault="002B04EB" w:rsidP="00B851B7">
            <w:r w:rsidRPr="003F7F6C">
              <w:rPr>
                <w:rFonts w:cs="Calibri"/>
                <w:sz w:val="16"/>
                <w:szCs w:val="16"/>
              </w:rPr>
              <w:t>X</w:t>
            </w:r>
          </w:p>
        </w:tc>
        <w:tc>
          <w:tcPr>
            <w:tcW w:w="428" w:type="dxa"/>
            <w:gridSpan w:val="2"/>
          </w:tcPr>
          <w:p w14:paraId="10535AEE" w14:textId="77777777" w:rsidR="002B04EB" w:rsidRPr="003F7F6C" w:rsidRDefault="002B04EB" w:rsidP="00B851B7">
            <w:r w:rsidRPr="003F7F6C">
              <w:rPr>
                <w:rFonts w:cs="Calibri"/>
                <w:sz w:val="16"/>
                <w:szCs w:val="16"/>
              </w:rPr>
              <w:t>X</w:t>
            </w:r>
          </w:p>
        </w:tc>
        <w:tc>
          <w:tcPr>
            <w:tcW w:w="428" w:type="dxa"/>
          </w:tcPr>
          <w:p w14:paraId="68D4152E" w14:textId="77777777" w:rsidR="002B04EB" w:rsidRPr="003F7F6C" w:rsidRDefault="002B04EB" w:rsidP="00B851B7">
            <w:r w:rsidRPr="003F7F6C">
              <w:rPr>
                <w:rFonts w:cs="Calibri"/>
                <w:sz w:val="16"/>
                <w:szCs w:val="16"/>
              </w:rPr>
              <w:t>X</w:t>
            </w:r>
          </w:p>
        </w:tc>
        <w:tc>
          <w:tcPr>
            <w:tcW w:w="427" w:type="dxa"/>
          </w:tcPr>
          <w:p w14:paraId="2B3D72CF" w14:textId="77777777" w:rsidR="002B04EB" w:rsidRPr="003F7F6C" w:rsidRDefault="002B04EB" w:rsidP="00B851B7">
            <w:r w:rsidRPr="003F7F6C">
              <w:rPr>
                <w:rFonts w:cs="Calibri"/>
                <w:sz w:val="16"/>
                <w:szCs w:val="16"/>
              </w:rPr>
              <w:t>X</w:t>
            </w:r>
          </w:p>
        </w:tc>
        <w:tc>
          <w:tcPr>
            <w:tcW w:w="427" w:type="dxa"/>
          </w:tcPr>
          <w:p w14:paraId="6F6A34A8" w14:textId="77777777" w:rsidR="002B04EB" w:rsidRPr="003F7F6C" w:rsidRDefault="002B04EB" w:rsidP="00B851B7">
            <w:r w:rsidRPr="003F7F6C">
              <w:rPr>
                <w:rFonts w:cs="Calibri"/>
                <w:sz w:val="16"/>
                <w:szCs w:val="16"/>
              </w:rPr>
              <w:t>X</w:t>
            </w:r>
          </w:p>
        </w:tc>
        <w:tc>
          <w:tcPr>
            <w:tcW w:w="427" w:type="dxa"/>
            <w:gridSpan w:val="2"/>
          </w:tcPr>
          <w:p w14:paraId="5872F97B" w14:textId="77777777" w:rsidR="002B04EB" w:rsidRPr="003F7F6C" w:rsidRDefault="002B04EB" w:rsidP="00B851B7">
            <w:r w:rsidRPr="003F7F6C">
              <w:rPr>
                <w:rFonts w:cs="Calibri"/>
                <w:sz w:val="16"/>
                <w:szCs w:val="16"/>
              </w:rPr>
              <w:t>X</w:t>
            </w:r>
          </w:p>
        </w:tc>
        <w:tc>
          <w:tcPr>
            <w:tcW w:w="428" w:type="dxa"/>
          </w:tcPr>
          <w:p w14:paraId="4DD9C59D" w14:textId="77777777" w:rsidR="002B04EB" w:rsidRPr="003F7F6C" w:rsidRDefault="002B04EB" w:rsidP="00B851B7">
            <w:r w:rsidRPr="003F7F6C">
              <w:rPr>
                <w:rFonts w:cs="Calibri"/>
                <w:sz w:val="16"/>
                <w:szCs w:val="16"/>
              </w:rPr>
              <w:t>X</w:t>
            </w:r>
          </w:p>
        </w:tc>
        <w:tc>
          <w:tcPr>
            <w:tcW w:w="428" w:type="dxa"/>
          </w:tcPr>
          <w:p w14:paraId="367F0163" w14:textId="77777777" w:rsidR="002B04EB" w:rsidRPr="003F7F6C" w:rsidRDefault="002B04EB" w:rsidP="00B851B7">
            <w:r w:rsidRPr="003F7F6C">
              <w:rPr>
                <w:rFonts w:cs="Calibri"/>
                <w:sz w:val="16"/>
                <w:szCs w:val="16"/>
              </w:rPr>
              <w:t>X</w:t>
            </w:r>
          </w:p>
        </w:tc>
        <w:tc>
          <w:tcPr>
            <w:tcW w:w="428" w:type="dxa"/>
          </w:tcPr>
          <w:p w14:paraId="4164F547" w14:textId="77777777" w:rsidR="002B04EB" w:rsidRPr="003F7F6C" w:rsidRDefault="002B04EB" w:rsidP="00B851B7">
            <w:r w:rsidRPr="003F7F6C">
              <w:rPr>
                <w:rFonts w:cs="Calibri"/>
                <w:sz w:val="16"/>
                <w:szCs w:val="16"/>
              </w:rPr>
              <w:t>X</w:t>
            </w:r>
          </w:p>
        </w:tc>
        <w:tc>
          <w:tcPr>
            <w:tcW w:w="428" w:type="dxa"/>
            <w:gridSpan w:val="2"/>
          </w:tcPr>
          <w:p w14:paraId="5922751D" w14:textId="77777777" w:rsidR="002B04EB" w:rsidRPr="003F7F6C" w:rsidRDefault="002B04EB" w:rsidP="00B851B7">
            <w:r w:rsidRPr="003F7F6C">
              <w:rPr>
                <w:rFonts w:cs="Calibri"/>
                <w:sz w:val="16"/>
                <w:szCs w:val="16"/>
              </w:rPr>
              <w:t>X</w:t>
            </w:r>
          </w:p>
        </w:tc>
        <w:tc>
          <w:tcPr>
            <w:tcW w:w="428" w:type="dxa"/>
          </w:tcPr>
          <w:p w14:paraId="19F3CEF3" w14:textId="77777777" w:rsidR="002B04EB" w:rsidRPr="003F7F6C" w:rsidRDefault="002B04EB" w:rsidP="00B851B7">
            <w:pPr>
              <w:rPr>
                <w:rFonts w:cs="Calibri"/>
                <w:sz w:val="16"/>
                <w:szCs w:val="16"/>
              </w:rPr>
            </w:pPr>
          </w:p>
        </w:tc>
        <w:tc>
          <w:tcPr>
            <w:tcW w:w="428" w:type="dxa"/>
          </w:tcPr>
          <w:p w14:paraId="39570BF5" w14:textId="77777777" w:rsidR="002B04EB" w:rsidRPr="003F7F6C" w:rsidRDefault="002B04EB" w:rsidP="00B851B7">
            <w:pPr>
              <w:rPr>
                <w:rFonts w:cs="Calibri"/>
                <w:sz w:val="16"/>
                <w:szCs w:val="16"/>
              </w:rPr>
            </w:pPr>
          </w:p>
        </w:tc>
        <w:tc>
          <w:tcPr>
            <w:tcW w:w="428" w:type="dxa"/>
          </w:tcPr>
          <w:p w14:paraId="5B727B03" w14:textId="77777777" w:rsidR="002B04EB" w:rsidRPr="003F7F6C" w:rsidRDefault="002B04EB" w:rsidP="00B851B7">
            <w:pPr>
              <w:rPr>
                <w:rFonts w:cs="Calibri"/>
                <w:sz w:val="16"/>
                <w:szCs w:val="16"/>
              </w:rPr>
            </w:pPr>
          </w:p>
        </w:tc>
        <w:tc>
          <w:tcPr>
            <w:tcW w:w="428" w:type="dxa"/>
            <w:gridSpan w:val="2"/>
          </w:tcPr>
          <w:p w14:paraId="51E60718" w14:textId="77777777" w:rsidR="002B04EB" w:rsidRPr="003F7F6C" w:rsidRDefault="002B04EB" w:rsidP="00B851B7">
            <w:pPr>
              <w:rPr>
                <w:rFonts w:cs="Calibri"/>
                <w:sz w:val="16"/>
                <w:szCs w:val="16"/>
              </w:rPr>
            </w:pPr>
          </w:p>
        </w:tc>
        <w:tc>
          <w:tcPr>
            <w:tcW w:w="428" w:type="dxa"/>
          </w:tcPr>
          <w:p w14:paraId="00AAF7DE" w14:textId="77777777" w:rsidR="002B04EB" w:rsidRPr="003F7F6C" w:rsidRDefault="002B04EB" w:rsidP="00B851B7">
            <w:pPr>
              <w:rPr>
                <w:rFonts w:cs="Calibri"/>
                <w:sz w:val="16"/>
                <w:szCs w:val="16"/>
              </w:rPr>
            </w:pPr>
          </w:p>
        </w:tc>
        <w:tc>
          <w:tcPr>
            <w:tcW w:w="428" w:type="dxa"/>
          </w:tcPr>
          <w:p w14:paraId="39F3B273" w14:textId="77777777" w:rsidR="002B04EB" w:rsidRPr="003F7F6C" w:rsidRDefault="002B04EB" w:rsidP="00B851B7">
            <w:pPr>
              <w:rPr>
                <w:rFonts w:cs="Calibri"/>
                <w:sz w:val="16"/>
                <w:szCs w:val="16"/>
              </w:rPr>
            </w:pPr>
          </w:p>
        </w:tc>
        <w:tc>
          <w:tcPr>
            <w:tcW w:w="428" w:type="dxa"/>
          </w:tcPr>
          <w:p w14:paraId="5511C576" w14:textId="77777777" w:rsidR="002B04EB" w:rsidRPr="003F7F6C" w:rsidRDefault="002B04EB" w:rsidP="00B851B7">
            <w:pPr>
              <w:rPr>
                <w:rFonts w:cs="Calibri"/>
                <w:sz w:val="16"/>
                <w:szCs w:val="16"/>
              </w:rPr>
            </w:pPr>
          </w:p>
        </w:tc>
        <w:tc>
          <w:tcPr>
            <w:tcW w:w="428" w:type="dxa"/>
            <w:gridSpan w:val="2"/>
          </w:tcPr>
          <w:p w14:paraId="25D12373" w14:textId="77777777" w:rsidR="002B04EB" w:rsidRPr="003F7F6C" w:rsidRDefault="002B04EB" w:rsidP="00B851B7">
            <w:pPr>
              <w:rPr>
                <w:rFonts w:cs="Calibri"/>
                <w:sz w:val="16"/>
                <w:szCs w:val="16"/>
              </w:rPr>
            </w:pPr>
          </w:p>
        </w:tc>
        <w:tc>
          <w:tcPr>
            <w:tcW w:w="428" w:type="dxa"/>
          </w:tcPr>
          <w:p w14:paraId="6349B59D" w14:textId="77777777" w:rsidR="002B04EB" w:rsidRPr="003F7F6C" w:rsidRDefault="002B04EB" w:rsidP="00B851B7">
            <w:pPr>
              <w:rPr>
                <w:rFonts w:cs="Calibri"/>
                <w:sz w:val="16"/>
                <w:szCs w:val="16"/>
              </w:rPr>
            </w:pPr>
          </w:p>
        </w:tc>
        <w:tc>
          <w:tcPr>
            <w:tcW w:w="428" w:type="dxa"/>
          </w:tcPr>
          <w:p w14:paraId="1DC922C7" w14:textId="77777777" w:rsidR="002B04EB" w:rsidRPr="003F7F6C" w:rsidRDefault="002B04EB" w:rsidP="00B851B7">
            <w:pPr>
              <w:rPr>
                <w:rFonts w:cs="Calibri"/>
                <w:sz w:val="16"/>
                <w:szCs w:val="16"/>
              </w:rPr>
            </w:pPr>
          </w:p>
        </w:tc>
        <w:tc>
          <w:tcPr>
            <w:tcW w:w="428" w:type="dxa"/>
          </w:tcPr>
          <w:p w14:paraId="4847DE7F" w14:textId="77777777" w:rsidR="002B04EB" w:rsidRPr="003F7F6C" w:rsidRDefault="002B04EB" w:rsidP="00B851B7">
            <w:pPr>
              <w:rPr>
                <w:rFonts w:cs="Calibri"/>
                <w:sz w:val="16"/>
                <w:szCs w:val="16"/>
              </w:rPr>
            </w:pPr>
          </w:p>
        </w:tc>
        <w:tc>
          <w:tcPr>
            <w:tcW w:w="428" w:type="dxa"/>
          </w:tcPr>
          <w:p w14:paraId="082F7C71" w14:textId="77777777" w:rsidR="002B04EB" w:rsidRPr="003F7F6C" w:rsidRDefault="002B04EB" w:rsidP="00B851B7">
            <w:pPr>
              <w:rPr>
                <w:rFonts w:cs="Calibri"/>
                <w:sz w:val="16"/>
                <w:szCs w:val="16"/>
              </w:rPr>
            </w:pPr>
          </w:p>
        </w:tc>
      </w:tr>
      <w:tr w:rsidR="002B04EB" w:rsidRPr="003F7F6C" w14:paraId="5D6BC492" w14:textId="77777777" w:rsidTr="00B851B7">
        <w:tc>
          <w:tcPr>
            <w:tcW w:w="1668" w:type="dxa"/>
          </w:tcPr>
          <w:p w14:paraId="59B42F00" w14:textId="77777777" w:rsidR="002B04EB" w:rsidRPr="003F7F6C" w:rsidRDefault="002B04EB" w:rsidP="00E91275">
            <w:pPr>
              <w:pStyle w:val="ListParagraph"/>
              <w:numPr>
                <w:ilvl w:val="0"/>
                <w:numId w:val="29"/>
              </w:numPr>
              <w:ind w:left="174" w:hanging="142"/>
              <w:jc w:val="left"/>
              <w:rPr>
                <w:rFonts w:cs="Calibri"/>
                <w:sz w:val="16"/>
                <w:szCs w:val="16"/>
              </w:rPr>
            </w:pPr>
            <w:r w:rsidRPr="003F7F6C">
              <w:rPr>
                <w:rFonts w:cs="Calibri"/>
                <w:sz w:val="16"/>
                <w:szCs w:val="16"/>
              </w:rPr>
              <w:t>Assess ES valuation and land use criteria in Uco Valley</w:t>
            </w:r>
          </w:p>
        </w:tc>
        <w:tc>
          <w:tcPr>
            <w:tcW w:w="1057" w:type="dxa"/>
          </w:tcPr>
          <w:p w14:paraId="707BF441" w14:textId="77777777" w:rsidR="002B04EB" w:rsidRPr="003F7F6C" w:rsidRDefault="002B04EB" w:rsidP="00B851B7">
            <w:pPr>
              <w:rPr>
                <w:sz w:val="16"/>
                <w:szCs w:val="16"/>
              </w:rPr>
            </w:pPr>
            <w:r w:rsidRPr="003F7F6C">
              <w:rPr>
                <w:sz w:val="16"/>
                <w:szCs w:val="16"/>
              </w:rPr>
              <w:t>SAOT</w:t>
            </w:r>
          </w:p>
          <w:p w14:paraId="5E5658F9" w14:textId="77777777" w:rsidR="002B04EB" w:rsidRPr="003F7F6C" w:rsidRDefault="002B04EB" w:rsidP="00B851B7">
            <w:r w:rsidRPr="003F7F6C">
              <w:rPr>
                <w:sz w:val="16"/>
                <w:szCs w:val="16"/>
              </w:rPr>
              <w:t>INTA</w:t>
            </w:r>
          </w:p>
        </w:tc>
        <w:tc>
          <w:tcPr>
            <w:tcW w:w="428" w:type="dxa"/>
          </w:tcPr>
          <w:p w14:paraId="31A02FEF" w14:textId="77777777" w:rsidR="002B04EB" w:rsidRPr="003F7F6C" w:rsidRDefault="002B04EB" w:rsidP="00B851B7"/>
        </w:tc>
        <w:tc>
          <w:tcPr>
            <w:tcW w:w="444" w:type="dxa"/>
          </w:tcPr>
          <w:p w14:paraId="695BB7BE" w14:textId="77777777" w:rsidR="002B04EB" w:rsidRPr="003F7F6C" w:rsidRDefault="002B04EB" w:rsidP="00B851B7">
            <w:r w:rsidRPr="003F7F6C">
              <w:rPr>
                <w:rFonts w:cs="Calibri"/>
                <w:sz w:val="16"/>
                <w:szCs w:val="16"/>
              </w:rPr>
              <w:t>X</w:t>
            </w:r>
          </w:p>
        </w:tc>
        <w:tc>
          <w:tcPr>
            <w:tcW w:w="428" w:type="dxa"/>
          </w:tcPr>
          <w:p w14:paraId="7EA4DEA5" w14:textId="77777777" w:rsidR="002B04EB" w:rsidRPr="003F7F6C" w:rsidRDefault="002B04EB" w:rsidP="00B851B7">
            <w:r w:rsidRPr="003F7F6C">
              <w:rPr>
                <w:rFonts w:cs="Calibri"/>
                <w:sz w:val="16"/>
                <w:szCs w:val="16"/>
              </w:rPr>
              <w:t>X</w:t>
            </w:r>
          </w:p>
        </w:tc>
        <w:tc>
          <w:tcPr>
            <w:tcW w:w="428" w:type="dxa"/>
            <w:gridSpan w:val="2"/>
          </w:tcPr>
          <w:p w14:paraId="15FE4BFE" w14:textId="77777777" w:rsidR="002B04EB" w:rsidRPr="003F7F6C" w:rsidRDefault="002B04EB" w:rsidP="00B851B7">
            <w:r w:rsidRPr="003F7F6C">
              <w:rPr>
                <w:rFonts w:cs="Calibri"/>
                <w:sz w:val="16"/>
                <w:szCs w:val="16"/>
              </w:rPr>
              <w:t>X</w:t>
            </w:r>
          </w:p>
        </w:tc>
        <w:tc>
          <w:tcPr>
            <w:tcW w:w="428" w:type="dxa"/>
          </w:tcPr>
          <w:p w14:paraId="57B6000D" w14:textId="77777777" w:rsidR="002B04EB" w:rsidRPr="003F7F6C" w:rsidRDefault="002B04EB" w:rsidP="00B851B7">
            <w:r w:rsidRPr="003F7F6C">
              <w:rPr>
                <w:rFonts w:cs="Calibri"/>
                <w:sz w:val="16"/>
                <w:szCs w:val="16"/>
              </w:rPr>
              <w:t>X</w:t>
            </w:r>
          </w:p>
        </w:tc>
        <w:tc>
          <w:tcPr>
            <w:tcW w:w="427" w:type="dxa"/>
          </w:tcPr>
          <w:p w14:paraId="7C2CD613" w14:textId="77777777" w:rsidR="002B04EB" w:rsidRPr="003F7F6C" w:rsidRDefault="002B04EB" w:rsidP="00B851B7">
            <w:r w:rsidRPr="003F7F6C">
              <w:rPr>
                <w:rFonts w:cs="Calibri"/>
                <w:sz w:val="16"/>
                <w:szCs w:val="16"/>
              </w:rPr>
              <w:t>X</w:t>
            </w:r>
          </w:p>
        </w:tc>
        <w:tc>
          <w:tcPr>
            <w:tcW w:w="427" w:type="dxa"/>
          </w:tcPr>
          <w:p w14:paraId="5F1D918F" w14:textId="77777777" w:rsidR="002B04EB" w:rsidRPr="003F7F6C" w:rsidRDefault="002B04EB" w:rsidP="00B851B7">
            <w:r w:rsidRPr="003F7F6C">
              <w:rPr>
                <w:rFonts w:cs="Calibri"/>
                <w:sz w:val="16"/>
                <w:szCs w:val="16"/>
              </w:rPr>
              <w:t>X</w:t>
            </w:r>
          </w:p>
        </w:tc>
        <w:tc>
          <w:tcPr>
            <w:tcW w:w="427" w:type="dxa"/>
            <w:gridSpan w:val="2"/>
          </w:tcPr>
          <w:p w14:paraId="0C660221" w14:textId="77777777" w:rsidR="002B04EB" w:rsidRPr="003F7F6C" w:rsidRDefault="002B04EB" w:rsidP="00B851B7">
            <w:r w:rsidRPr="003F7F6C">
              <w:rPr>
                <w:rFonts w:cs="Calibri"/>
                <w:sz w:val="16"/>
                <w:szCs w:val="16"/>
              </w:rPr>
              <w:t>X</w:t>
            </w:r>
          </w:p>
        </w:tc>
        <w:tc>
          <w:tcPr>
            <w:tcW w:w="428" w:type="dxa"/>
          </w:tcPr>
          <w:p w14:paraId="406C6409" w14:textId="77777777" w:rsidR="002B04EB" w:rsidRPr="003F7F6C" w:rsidRDefault="002B04EB" w:rsidP="00B851B7">
            <w:r w:rsidRPr="003F7F6C">
              <w:rPr>
                <w:rFonts w:cs="Calibri"/>
                <w:sz w:val="16"/>
                <w:szCs w:val="16"/>
              </w:rPr>
              <w:t>X</w:t>
            </w:r>
          </w:p>
        </w:tc>
        <w:tc>
          <w:tcPr>
            <w:tcW w:w="428" w:type="dxa"/>
          </w:tcPr>
          <w:p w14:paraId="19468204" w14:textId="77777777" w:rsidR="002B04EB" w:rsidRPr="003F7F6C" w:rsidRDefault="002B04EB" w:rsidP="00B851B7">
            <w:r w:rsidRPr="003F7F6C">
              <w:rPr>
                <w:rFonts w:cs="Calibri"/>
                <w:sz w:val="16"/>
                <w:szCs w:val="16"/>
              </w:rPr>
              <w:t>X</w:t>
            </w:r>
          </w:p>
        </w:tc>
        <w:tc>
          <w:tcPr>
            <w:tcW w:w="428" w:type="dxa"/>
          </w:tcPr>
          <w:p w14:paraId="40F697A3" w14:textId="77777777" w:rsidR="002B04EB" w:rsidRPr="003F7F6C" w:rsidRDefault="002B04EB" w:rsidP="00B851B7">
            <w:r w:rsidRPr="003F7F6C">
              <w:rPr>
                <w:rFonts w:cs="Calibri"/>
                <w:sz w:val="16"/>
                <w:szCs w:val="16"/>
              </w:rPr>
              <w:t>X</w:t>
            </w:r>
          </w:p>
        </w:tc>
        <w:tc>
          <w:tcPr>
            <w:tcW w:w="428" w:type="dxa"/>
            <w:gridSpan w:val="2"/>
          </w:tcPr>
          <w:p w14:paraId="4F242D4B" w14:textId="77777777" w:rsidR="002B04EB" w:rsidRPr="003F7F6C" w:rsidRDefault="002B04EB" w:rsidP="00B851B7">
            <w:r w:rsidRPr="003F7F6C">
              <w:rPr>
                <w:rFonts w:cs="Calibri"/>
                <w:sz w:val="16"/>
                <w:szCs w:val="16"/>
              </w:rPr>
              <w:t>X</w:t>
            </w:r>
          </w:p>
        </w:tc>
        <w:tc>
          <w:tcPr>
            <w:tcW w:w="428" w:type="dxa"/>
          </w:tcPr>
          <w:p w14:paraId="39EA715C" w14:textId="77777777" w:rsidR="002B04EB" w:rsidRPr="003F7F6C" w:rsidRDefault="002B04EB" w:rsidP="00B851B7">
            <w:pPr>
              <w:rPr>
                <w:rFonts w:cs="Calibri"/>
                <w:sz w:val="16"/>
                <w:szCs w:val="16"/>
              </w:rPr>
            </w:pPr>
          </w:p>
        </w:tc>
        <w:tc>
          <w:tcPr>
            <w:tcW w:w="428" w:type="dxa"/>
          </w:tcPr>
          <w:p w14:paraId="720BAB76" w14:textId="77777777" w:rsidR="002B04EB" w:rsidRPr="003F7F6C" w:rsidRDefault="002B04EB" w:rsidP="00B851B7">
            <w:pPr>
              <w:rPr>
                <w:rFonts w:cs="Calibri"/>
                <w:sz w:val="16"/>
                <w:szCs w:val="16"/>
              </w:rPr>
            </w:pPr>
          </w:p>
        </w:tc>
        <w:tc>
          <w:tcPr>
            <w:tcW w:w="428" w:type="dxa"/>
          </w:tcPr>
          <w:p w14:paraId="44BDD44A" w14:textId="77777777" w:rsidR="002B04EB" w:rsidRPr="003F7F6C" w:rsidRDefault="002B04EB" w:rsidP="00B851B7">
            <w:pPr>
              <w:rPr>
                <w:rFonts w:cs="Calibri"/>
                <w:sz w:val="16"/>
                <w:szCs w:val="16"/>
              </w:rPr>
            </w:pPr>
          </w:p>
        </w:tc>
        <w:tc>
          <w:tcPr>
            <w:tcW w:w="428" w:type="dxa"/>
            <w:gridSpan w:val="2"/>
          </w:tcPr>
          <w:p w14:paraId="4185EFA0" w14:textId="77777777" w:rsidR="002B04EB" w:rsidRPr="003F7F6C" w:rsidRDefault="002B04EB" w:rsidP="00B851B7">
            <w:pPr>
              <w:rPr>
                <w:rFonts w:cs="Calibri"/>
                <w:sz w:val="16"/>
                <w:szCs w:val="16"/>
              </w:rPr>
            </w:pPr>
          </w:p>
        </w:tc>
        <w:tc>
          <w:tcPr>
            <w:tcW w:w="428" w:type="dxa"/>
          </w:tcPr>
          <w:p w14:paraId="4A46B7AC" w14:textId="77777777" w:rsidR="002B04EB" w:rsidRPr="003F7F6C" w:rsidRDefault="002B04EB" w:rsidP="00B851B7">
            <w:pPr>
              <w:rPr>
                <w:rFonts w:cs="Calibri"/>
                <w:sz w:val="16"/>
                <w:szCs w:val="16"/>
              </w:rPr>
            </w:pPr>
          </w:p>
        </w:tc>
        <w:tc>
          <w:tcPr>
            <w:tcW w:w="428" w:type="dxa"/>
          </w:tcPr>
          <w:p w14:paraId="16012691" w14:textId="77777777" w:rsidR="002B04EB" w:rsidRPr="003F7F6C" w:rsidRDefault="002B04EB" w:rsidP="00B851B7">
            <w:pPr>
              <w:rPr>
                <w:rFonts w:cs="Calibri"/>
                <w:sz w:val="16"/>
                <w:szCs w:val="16"/>
              </w:rPr>
            </w:pPr>
          </w:p>
        </w:tc>
        <w:tc>
          <w:tcPr>
            <w:tcW w:w="428" w:type="dxa"/>
          </w:tcPr>
          <w:p w14:paraId="45313D6D" w14:textId="77777777" w:rsidR="002B04EB" w:rsidRPr="003F7F6C" w:rsidRDefault="002B04EB" w:rsidP="00B851B7">
            <w:pPr>
              <w:rPr>
                <w:rFonts w:cs="Calibri"/>
                <w:sz w:val="16"/>
                <w:szCs w:val="16"/>
              </w:rPr>
            </w:pPr>
          </w:p>
        </w:tc>
        <w:tc>
          <w:tcPr>
            <w:tcW w:w="428" w:type="dxa"/>
            <w:gridSpan w:val="2"/>
          </w:tcPr>
          <w:p w14:paraId="0D0E53A5" w14:textId="77777777" w:rsidR="002B04EB" w:rsidRPr="003F7F6C" w:rsidRDefault="002B04EB" w:rsidP="00B851B7">
            <w:pPr>
              <w:rPr>
                <w:rFonts w:cs="Calibri"/>
                <w:sz w:val="16"/>
                <w:szCs w:val="16"/>
              </w:rPr>
            </w:pPr>
          </w:p>
        </w:tc>
        <w:tc>
          <w:tcPr>
            <w:tcW w:w="428" w:type="dxa"/>
          </w:tcPr>
          <w:p w14:paraId="79AB9AA2" w14:textId="77777777" w:rsidR="002B04EB" w:rsidRPr="003F7F6C" w:rsidRDefault="002B04EB" w:rsidP="00B851B7">
            <w:pPr>
              <w:rPr>
                <w:rFonts w:cs="Calibri"/>
                <w:sz w:val="16"/>
                <w:szCs w:val="16"/>
              </w:rPr>
            </w:pPr>
          </w:p>
        </w:tc>
        <w:tc>
          <w:tcPr>
            <w:tcW w:w="428" w:type="dxa"/>
          </w:tcPr>
          <w:p w14:paraId="475833CF" w14:textId="77777777" w:rsidR="002B04EB" w:rsidRPr="003F7F6C" w:rsidRDefault="002B04EB" w:rsidP="00B851B7">
            <w:pPr>
              <w:rPr>
                <w:rFonts w:cs="Calibri"/>
                <w:sz w:val="16"/>
                <w:szCs w:val="16"/>
              </w:rPr>
            </w:pPr>
          </w:p>
        </w:tc>
        <w:tc>
          <w:tcPr>
            <w:tcW w:w="428" w:type="dxa"/>
          </w:tcPr>
          <w:p w14:paraId="1DC868E3" w14:textId="77777777" w:rsidR="002B04EB" w:rsidRPr="003F7F6C" w:rsidRDefault="002B04EB" w:rsidP="00B851B7">
            <w:pPr>
              <w:rPr>
                <w:rFonts w:cs="Calibri"/>
                <w:sz w:val="16"/>
                <w:szCs w:val="16"/>
              </w:rPr>
            </w:pPr>
          </w:p>
        </w:tc>
        <w:tc>
          <w:tcPr>
            <w:tcW w:w="428" w:type="dxa"/>
          </w:tcPr>
          <w:p w14:paraId="2C6C9A64" w14:textId="77777777" w:rsidR="002B04EB" w:rsidRPr="003F7F6C" w:rsidRDefault="002B04EB" w:rsidP="00B851B7">
            <w:pPr>
              <w:rPr>
                <w:rFonts w:cs="Calibri"/>
                <w:sz w:val="16"/>
                <w:szCs w:val="16"/>
              </w:rPr>
            </w:pPr>
          </w:p>
        </w:tc>
      </w:tr>
      <w:tr w:rsidR="002B04EB" w:rsidRPr="003F7F6C" w14:paraId="606CA18C" w14:textId="77777777" w:rsidTr="00B851B7">
        <w:tc>
          <w:tcPr>
            <w:tcW w:w="1668" w:type="dxa"/>
          </w:tcPr>
          <w:p w14:paraId="0A60F181" w14:textId="77777777" w:rsidR="002B04EB" w:rsidRPr="003F7F6C" w:rsidRDefault="002B04EB" w:rsidP="00E91275">
            <w:pPr>
              <w:pStyle w:val="ListParagraph"/>
              <w:numPr>
                <w:ilvl w:val="0"/>
                <w:numId w:val="29"/>
              </w:numPr>
              <w:ind w:left="174" w:hanging="142"/>
              <w:rPr>
                <w:rFonts w:cs="Calibri"/>
                <w:sz w:val="16"/>
                <w:szCs w:val="16"/>
              </w:rPr>
            </w:pPr>
            <w:r w:rsidRPr="003F7F6C">
              <w:rPr>
                <w:rFonts w:cs="Calibri"/>
                <w:sz w:val="16"/>
                <w:szCs w:val="16"/>
              </w:rPr>
              <w:t>Valuate ES in protected areas of Piedmont target landscape</w:t>
            </w:r>
          </w:p>
        </w:tc>
        <w:tc>
          <w:tcPr>
            <w:tcW w:w="1057" w:type="dxa"/>
          </w:tcPr>
          <w:p w14:paraId="441D9AE2" w14:textId="77777777" w:rsidR="002B04EB" w:rsidRPr="003F7F6C" w:rsidRDefault="002B04EB" w:rsidP="00B851B7">
            <w:pPr>
              <w:rPr>
                <w:sz w:val="16"/>
                <w:szCs w:val="16"/>
              </w:rPr>
            </w:pPr>
            <w:r w:rsidRPr="003F7F6C">
              <w:rPr>
                <w:sz w:val="16"/>
                <w:szCs w:val="16"/>
              </w:rPr>
              <w:t>SAOT</w:t>
            </w:r>
          </w:p>
          <w:p w14:paraId="3ECBB2B5" w14:textId="77777777" w:rsidR="002B04EB" w:rsidRPr="003F7F6C" w:rsidRDefault="002B04EB" w:rsidP="00B851B7">
            <w:pPr>
              <w:rPr>
                <w:sz w:val="16"/>
                <w:szCs w:val="16"/>
              </w:rPr>
            </w:pPr>
            <w:r w:rsidRPr="003F7F6C">
              <w:rPr>
                <w:sz w:val="16"/>
                <w:szCs w:val="16"/>
              </w:rPr>
              <w:t>INTA</w:t>
            </w:r>
          </w:p>
        </w:tc>
        <w:tc>
          <w:tcPr>
            <w:tcW w:w="428" w:type="dxa"/>
          </w:tcPr>
          <w:p w14:paraId="2793A518" w14:textId="77777777" w:rsidR="002B04EB" w:rsidRPr="003F7F6C" w:rsidRDefault="002B04EB" w:rsidP="00B851B7"/>
        </w:tc>
        <w:tc>
          <w:tcPr>
            <w:tcW w:w="444" w:type="dxa"/>
          </w:tcPr>
          <w:p w14:paraId="66314D4D" w14:textId="77777777" w:rsidR="002B04EB" w:rsidRPr="003F7F6C" w:rsidRDefault="002B04EB" w:rsidP="00B851B7">
            <w:r w:rsidRPr="003F7F6C">
              <w:rPr>
                <w:rFonts w:cs="Calibri"/>
                <w:sz w:val="16"/>
                <w:szCs w:val="16"/>
              </w:rPr>
              <w:t>X</w:t>
            </w:r>
          </w:p>
        </w:tc>
        <w:tc>
          <w:tcPr>
            <w:tcW w:w="428" w:type="dxa"/>
          </w:tcPr>
          <w:p w14:paraId="0C6F7D09" w14:textId="77777777" w:rsidR="002B04EB" w:rsidRPr="003F7F6C" w:rsidRDefault="002B04EB" w:rsidP="00B851B7">
            <w:r w:rsidRPr="003F7F6C">
              <w:rPr>
                <w:rFonts w:cs="Calibri"/>
                <w:sz w:val="16"/>
                <w:szCs w:val="16"/>
              </w:rPr>
              <w:t>X</w:t>
            </w:r>
          </w:p>
        </w:tc>
        <w:tc>
          <w:tcPr>
            <w:tcW w:w="428" w:type="dxa"/>
            <w:gridSpan w:val="2"/>
          </w:tcPr>
          <w:p w14:paraId="2C1C71A0" w14:textId="77777777" w:rsidR="002B04EB" w:rsidRPr="003F7F6C" w:rsidRDefault="002B04EB" w:rsidP="00B851B7">
            <w:r w:rsidRPr="003F7F6C">
              <w:rPr>
                <w:rFonts w:cs="Calibri"/>
                <w:sz w:val="16"/>
                <w:szCs w:val="16"/>
              </w:rPr>
              <w:t>X</w:t>
            </w:r>
          </w:p>
        </w:tc>
        <w:tc>
          <w:tcPr>
            <w:tcW w:w="428" w:type="dxa"/>
          </w:tcPr>
          <w:p w14:paraId="5A3FD92C" w14:textId="77777777" w:rsidR="002B04EB" w:rsidRPr="003F7F6C" w:rsidRDefault="002B04EB" w:rsidP="00B851B7">
            <w:r w:rsidRPr="003F7F6C">
              <w:rPr>
                <w:rFonts w:cs="Calibri"/>
                <w:sz w:val="16"/>
                <w:szCs w:val="16"/>
              </w:rPr>
              <w:t>X</w:t>
            </w:r>
          </w:p>
        </w:tc>
        <w:tc>
          <w:tcPr>
            <w:tcW w:w="427" w:type="dxa"/>
          </w:tcPr>
          <w:p w14:paraId="5E7B42DA" w14:textId="77777777" w:rsidR="002B04EB" w:rsidRPr="003F7F6C" w:rsidRDefault="002B04EB" w:rsidP="00B851B7">
            <w:r w:rsidRPr="003F7F6C">
              <w:rPr>
                <w:rFonts w:cs="Calibri"/>
                <w:sz w:val="16"/>
                <w:szCs w:val="16"/>
              </w:rPr>
              <w:t>X</w:t>
            </w:r>
          </w:p>
        </w:tc>
        <w:tc>
          <w:tcPr>
            <w:tcW w:w="427" w:type="dxa"/>
          </w:tcPr>
          <w:p w14:paraId="39C0852E" w14:textId="77777777" w:rsidR="002B04EB" w:rsidRPr="003F7F6C" w:rsidRDefault="002B04EB" w:rsidP="00B851B7">
            <w:r w:rsidRPr="003F7F6C">
              <w:rPr>
                <w:rFonts w:cs="Calibri"/>
                <w:sz w:val="16"/>
                <w:szCs w:val="16"/>
              </w:rPr>
              <w:t>X</w:t>
            </w:r>
          </w:p>
        </w:tc>
        <w:tc>
          <w:tcPr>
            <w:tcW w:w="427" w:type="dxa"/>
            <w:gridSpan w:val="2"/>
          </w:tcPr>
          <w:p w14:paraId="29C20357" w14:textId="77777777" w:rsidR="002B04EB" w:rsidRPr="003F7F6C" w:rsidRDefault="002B04EB" w:rsidP="00B851B7">
            <w:r w:rsidRPr="003F7F6C">
              <w:rPr>
                <w:rFonts w:cs="Calibri"/>
                <w:sz w:val="16"/>
                <w:szCs w:val="16"/>
              </w:rPr>
              <w:t>X</w:t>
            </w:r>
          </w:p>
        </w:tc>
        <w:tc>
          <w:tcPr>
            <w:tcW w:w="428" w:type="dxa"/>
          </w:tcPr>
          <w:p w14:paraId="1306DAFA" w14:textId="77777777" w:rsidR="002B04EB" w:rsidRPr="003F7F6C" w:rsidRDefault="002B04EB" w:rsidP="00B851B7">
            <w:r w:rsidRPr="003F7F6C">
              <w:rPr>
                <w:rFonts w:cs="Calibri"/>
                <w:sz w:val="16"/>
                <w:szCs w:val="16"/>
              </w:rPr>
              <w:t>X</w:t>
            </w:r>
          </w:p>
        </w:tc>
        <w:tc>
          <w:tcPr>
            <w:tcW w:w="428" w:type="dxa"/>
          </w:tcPr>
          <w:p w14:paraId="090B6F68" w14:textId="77777777" w:rsidR="002B04EB" w:rsidRPr="003F7F6C" w:rsidRDefault="002B04EB" w:rsidP="00B851B7">
            <w:r w:rsidRPr="003F7F6C">
              <w:rPr>
                <w:rFonts w:cs="Calibri"/>
                <w:sz w:val="16"/>
                <w:szCs w:val="16"/>
              </w:rPr>
              <w:t>X</w:t>
            </w:r>
          </w:p>
        </w:tc>
        <w:tc>
          <w:tcPr>
            <w:tcW w:w="428" w:type="dxa"/>
          </w:tcPr>
          <w:p w14:paraId="16BDA04E" w14:textId="77777777" w:rsidR="002B04EB" w:rsidRPr="003F7F6C" w:rsidRDefault="002B04EB" w:rsidP="00B851B7">
            <w:r w:rsidRPr="003F7F6C">
              <w:rPr>
                <w:rFonts w:cs="Calibri"/>
                <w:sz w:val="16"/>
                <w:szCs w:val="16"/>
              </w:rPr>
              <w:t>X</w:t>
            </w:r>
          </w:p>
        </w:tc>
        <w:tc>
          <w:tcPr>
            <w:tcW w:w="428" w:type="dxa"/>
            <w:gridSpan w:val="2"/>
          </w:tcPr>
          <w:p w14:paraId="03BB9AAB" w14:textId="77777777" w:rsidR="002B04EB" w:rsidRPr="003F7F6C" w:rsidRDefault="002B04EB" w:rsidP="00B851B7">
            <w:r w:rsidRPr="003F7F6C">
              <w:rPr>
                <w:rFonts w:cs="Calibri"/>
                <w:sz w:val="16"/>
                <w:szCs w:val="16"/>
              </w:rPr>
              <w:t>X</w:t>
            </w:r>
          </w:p>
        </w:tc>
        <w:tc>
          <w:tcPr>
            <w:tcW w:w="428" w:type="dxa"/>
          </w:tcPr>
          <w:p w14:paraId="4F294CCA" w14:textId="77777777" w:rsidR="002B04EB" w:rsidRPr="003F7F6C" w:rsidRDefault="002B04EB" w:rsidP="00B851B7">
            <w:pPr>
              <w:rPr>
                <w:rFonts w:cs="Calibri"/>
                <w:sz w:val="16"/>
                <w:szCs w:val="16"/>
              </w:rPr>
            </w:pPr>
          </w:p>
        </w:tc>
        <w:tc>
          <w:tcPr>
            <w:tcW w:w="428" w:type="dxa"/>
          </w:tcPr>
          <w:p w14:paraId="7E73C3D6" w14:textId="77777777" w:rsidR="002B04EB" w:rsidRPr="003F7F6C" w:rsidRDefault="002B04EB" w:rsidP="00B851B7">
            <w:pPr>
              <w:rPr>
                <w:rFonts w:cs="Calibri"/>
                <w:sz w:val="16"/>
                <w:szCs w:val="16"/>
              </w:rPr>
            </w:pPr>
          </w:p>
        </w:tc>
        <w:tc>
          <w:tcPr>
            <w:tcW w:w="428" w:type="dxa"/>
          </w:tcPr>
          <w:p w14:paraId="3A2CDC82" w14:textId="77777777" w:rsidR="002B04EB" w:rsidRPr="003F7F6C" w:rsidRDefault="002B04EB" w:rsidP="00B851B7">
            <w:pPr>
              <w:rPr>
                <w:rFonts w:cs="Calibri"/>
                <w:sz w:val="16"/>
                <w:szCs w:val="16"/>
              </w:rPr>
            </w:pPr>
          </w:p>
        </w:tc>
        <w:tc>
          <w:tcPr>
            <w:tcW w:w="428" w:type="dxa"/>
            <w:gridSpan w:val="2"/>
          </w:tcPr>
          <w:p w14:paraId="66143320" w14:textId="77777777" w:rsidR="002B04EB" w:rsidRPr="003F7F6C" w:rsidRDefault="002B04EB" w:rsidP="00B851B7">
            <w:pPr>
              <w:rPr>
                <w:rFonts w:cs="Calibri"/>
                <w:sz w:val="16"/>
                <w:szCs w:val="16"/>
              </w:rPr>
            </w:pPr>
          </w:p>
        </w:tc>
        <w:tc>
          <w:tcPr>
            <w:tcW w:w="428" w:type="dxa"/>
          </w:tcPr>
          <w:p w14:paraId="2FFA52E7" w14:textId="77777777" w:rsidR="002B04EB" w:rsidRPr="003F7F6C" w:rsidRDefault="002B04EB" w:rsidP="00B851B7">
            <w:pPr>
              <w:rPr>
                <w:rFonts w:cs="Calibri"/>
                <w:sz w:val="16"/>
                <w:szCs w:val="16"/>
              </w:rPr>
            </w:pPr>
          </w:p>
        </w:tc>
        <w:tc>
          <w:tcPr>
            <w:tcW w:w="428" w:type="dxa"/>
          </w:tcPr>
          <w:p w14:paraId="314B408F" w14:textId="77777777" w:rsidR="002B04EB" w:rsidRPr="003F7F6C" w:rsidRDefault="002B04EB" w:rsidP="00B851B7">
            <w:pPr>
              <w:rPr>
                <w:rFonts w:cs="Calibri"/>
                <w:sz w:val="16"/>
                <w:szCs w:val="16"/>
              </w:rPr>
            </w:pPr>
          </w:p>
        </w:tc>
        <w:tc>
          <w:tcPr>
            <w:tcW w:w="428" w:type="dxa"/>
          </w:tcPr>
          <w:p w14:paraId="2EF88338" w14:textId="77777777" w:rsidR="002B04EB" w:rsidRPr="003F7F6C" w:rsidRDefault="002B04EB" w:rsidP="00B851B7">
            <w:pPr>
              <w:rPr>
                <w:rFonts w:cs="Calibri"/>
                <w:sz w:val="16"/>
                <w:szCs w:val="16"/>
              </w:rPr>
            </w:pPr>
          </w:p>
        </w:tc>
        <w:tc>
          <w:tcPr>
            <w:tcW w:w="428" w:type="dxa"/>
            <w:gridSpan w:val="2"/>
          </w:tcPr>
          <w:p w14:paraId="0ECEC9F2" w14:textId="77777777" w:rsidR="002B04EB" w:rsidRPr="003F7F6C" w:rsidRDefault="002B04EB" w:rsidP="00B851B7">
            <w:pPr>
              <w:rPr>
                <w:rFonts w:cs="Calibri"/>
                <w:sz w:val="16"/>
                <w:szCs w:val="16"/>
              </w:rPr>
            </w:pPr>
          </w:p>
        </w:tc>
        <w:tc>
          <w:tcPr>
            <w:tcW w:w="428" w:type="dxa"/>
          </w:tcPr>
          <w:p w14:paraId="2E261125" w14:textId="77777777" w:rsidR="002B04EB" w:rsidRPr="003F7F6C" w:rsidRDefault="002B04EB" w:rsidP="00B851B7">
            <w:pPr>
              <w:rPr>
                <w:rFonts w:cs="Calibri"/>
                <w:sz w:val="16"/>
                <w:szCs w:val="16"/>
              </w:rPr>
            </w:pPr>
          </w:p>
        </w:tc>
        <w:tc>
          <w:tcPr>
            <w:tcW w:w="428" w:type="dxa"/>
          </w:tcPr>
          <w:p w14:paraId="056C962E" w14:textId="77777777" w:rsidR="002B04EB" w:rsidRPr="003F7F6C" w:rsidRDefault="002B04EB" w:rsidP="00B851B7">
            <w:pPr>
              <w:rPr>
                <w:rFonts w:cs="Calibri"/>
                <w:sz w:val="16"/>
                <w:szCs w:val="16"/>
              </w:rPr>
            </w:pPr>
          </w:p>
        </w:tc>
        <w:tc>
          <w:tcPr>
            <w:tcW w:w="428" w:type="dxa"/>
          </w:tcPr>
          <w:p w14:paraId="31CA1F1B" w14:textId="77777777" w:rsidR="002B04EB" w:rsidRPr="003F7F6C" w:rsidRDefault="002B04EB" w:rsidP="00B851B7">
            <w:pPr>
              <w:rPr>
                <w:rFonts w:cs="Calibri"/>
                <w:sz w:val="16"/>
                <w:szCs w:val="16"/>
              </w:rPr>
            </w:pPr>
          </w:p>
        </w:tc>
        <w:tc>
          <w:tcPr>
            <w:tcW w:w="428" w:type="dxa"/>
          </w:tcPr>
          <w:p w14:paraId="321811B9" w14:textId="77777777" w:rsidR="002B04EB" w:rsidRPr="003F7F6C" w:rsidRDefault="002B04EB" w:rsidP="00B851B7">
            <w:pPr>
              <w:rPr>
                <w:rFonts w:cs="Calibri"/>
                <w:sz w:val="16"/>
                <w:szCs w:val="16"/>
              </w:rPr>
            </w:pPr>
          </w:p>
        </w:tc>
      </w:tr>
      <w:tr w:rsidR="002B04EB" w:rsidRPr="003F7F6C" w14:paraId="6FB91760" w14:textId="77777777" w:rsidTr="00B851B7">
        <w:tc>
          <w:tcPr>
            <w:tcW w:w="1668" w:type="dxa"/>
          </w:tcPr>
          <w:p w14:paraId="427E72AB" w14:textId="77777777" w:rsidR="002B04EB" w:rsidRPr="003F7F6C" w:rsidRDefault="002B04EB" w:rsidP="00E91275">
            <w:pPr>
              <w:pStyle w:val="ListParagraph"/>
              <w:numPr>
                <w:ilvl w:val="0"/>
                <w:numId w:val="29"/>
              </w:numPr>
              <w:ind w:left="174" w:hanging="142"/>
              <w:jc w:val="left"/>
              <w:rPr>
                <w:rFonts w:cs="Calibri"/>
                <w:sz w:val="16"/>
                <w:szCs w:val="16"/>
              </w:rPr>
            </w:pPr>
            <w:r w:rsidRPr="003F7F6C">
              <w:rPr>
                <w:rFonts w:cs="Calibri"/>
                <w:sz w:val="16"/>
                <w:szCs w:val="16"/>
              </w:rPr>
              <w:t>Design and implement compensation schemes for PES</w:t>
            </w:r>
          </w:p>
        </w:tc>
        <w:tc>
          <w:tcPr>
            <w:tcW w:w="1057" w:type="dxa"/>
          </w:tcPr>
          <w:p w14:paraId="0801D8CD" w14:textId="77777777" w:rsidR="002B04EB" w:rsidRPr="003F7F6C" w:rsidRDefault="002B04EB" w:rsidP="00B851B7">
            <w:pPr>
              <w:rPr>
                <w:sz w:val="16"/>
                <w:szCs w:val="16"/>
              </w:rPr>
            </w:pPr>
            <w:r w:rsidRPr="003F7F6C">
              <w:rPr>
                <w:sz w:val="16"/>
                <w:szCs w:val="16"/>
              </w:rPr>
              <w:t>SAOT</w:t>
            </w:r>
          </w:p>
          <w:p w14:paraId="49E6D94F" w14:textId="77777777" w:rsidR="002B04EB" w:rsidRPr="003F7F6C" w:rsidRDefault="002B04EB" w:rsidP="00B851B7">
            <w:r w:rsidRPr="003F7F6C">
              <w:rPr>
                <w:sz w:val="16"/>
                <w:szCs w:val="16"/>
              </w:rPr>
              <w:t>INTA</w:t>
            </w:r>
          </w:p>
        </w:tc>
        <w:tc>
          <w:tcPr>
            <w:tcW w:w="428" w:type="dxa"/>
          </w:tcPr>
          <w:p w14:paraId="382B8550" w14:textId="77777777" w:rsidR="002B04EB" w:rsidRPr="003F7F6C" w:rsidRDefault="002B04EB" w:rsidP="00B851B7"/>
        </w:tc>
        <w:tc>
          <w:tcPr>
            <w:tcW w:w="444" w:type="dxa"/>
          </w:tcPr>
          <w:p w14:paraId="78A63131" w14:textId="77777777" w:rsidR="002B04EB" w:rsidRPr="003F7F6C" w:rsidRDefault="002B04EB" w:rsidP="00B851B7"/>
        </w:tc>
        <w:tc>
          <w:tcPr>
            <w:tcW w:w="428" w:type="dxa"/>
          </w:tcPr>
          <w:p w14:paraId="1ABA0A8E" w14:textId="77777777" w:rsidR="002B04EB" w:rsidRPr="003F7F6C" w:rsidRDefault="002B04EB" w:rsidP="00B851B7"/>
        </w:tc>
        <w:tc>
          <w:tcPr>
            <w:tcW w:w="428" w:type="dxa"/>
            <w:gridSpan w:val="2"/>
          </w:tcPr>
          <w:p w14:paraId="6E33B6D6" w14:textId="77777777" w:rsidR="002B04EB" w:rsidRPr="003F7F6C" w:rsidRDefault="002B04EB" w:rsidP="00B851B7"/>
        </w:tc>
        <w:tc>
          <w:tcPr>
            <w:tcW w:w="428" w:type="dxa"/>
          </w:tcPr>
          <w:p w14:paraId="50FA13FF" w14:textId="77777777" w:rsidR="002B04EB" w:rsidRPr="003F7F6C" w:rsidRDefault="002B04EB" w:rsidP="00B851B7"/>
        </w:tc>
        <w:tc>
          <w:tcPr>
            <w:tcW w:w="427" w:type="dxa"/>
          </w:tcPr>
          <w:p w14:paraId="24DDF8FA" w14:textId="77777777" w:rsidR="002B04EB" w:rsidRPr="003F7F6C" w:rsidRDefault="002B04EB" w:rsidP="00B851B7"/>
        </w:tc>
        <w:tc>
          <w:tcPr>
            <w:tcW w:w="427" w:type="dxa"/>
          </w:tcPr>
          <w:p w14:paraId="72A55267" w14:textId="77777777" w:rsidR="002B04EB" w:rsidRPr="003F7F6C" w:rsidRDefault="002B04EB" w:rsidP="00B851B7"/>
        </w:tc>
        <w:tc>
          <w:tcPr>
            <w:tcW w:w="427" w:type="dxa"/>
            <w:gridSpan w:val="2"/>
          </w:tcPr>
          <w:p w14:paraId="4B57337A" w14:textId="77777777" w:rsidR="002B04EB" w:rsidRPr="003F7F6C" w:rsidRDefault="002B04EB" w:rsidP="00B851B7"/>
        </w:tc>
        <w:tc>
          <w:tcPr>
            <w:tcW w:w="428" w:type="dxa"/>
          </w:tcPr>
          <w:p w14:paraId="6B5EA51C" w14:textId="77777777" w:rsidR="002B04EB" w:rsidRPr="003F7F6C" w:rsidRDefault="002B04EB" w:rsidP="00B851B7">
            <w:r w:rsidRPr="003F7F6C">
              <w:rPr>
                <w:rFonts w:cs="Calibri"/>
                <w:sz w:val="16"/>
                <w:szCs w:val="16"/>
              </w:rPr>
              <w:t>X</w:t>
            </w:r>
          </w:p>
        </w:tc>
        <w:tc>
          <w:tcPr>
            <w:tcW w:w="428" w:type="dxa"/>
          </w:tcPr>
          <w:p w14:paraId="28F1228D" w14:textId="77777777" w:rsidR="002B04EB" w:rsidRPr="003F7F6C" w:rsidRDefault="002B04EB" w:rsidP="00B851B7">
            <w:r w:rsidRPr="003F7F6C">
              <w:rPr>
                <w:rFonts w:cs="Calibri"/>
                <w:sz w:val="16"/>
                <w:szCs w:val="16"/>
              </w:rPr>
              <w:t>X</w:t>
            </w:r>
          </w:p>
        </w:tc>
        <w:tc>
          <w:tcPr>
            <w:tcW w:w="428" w:type="dxa"/>
          </w:tcPr>
          <w:p w14:paraId="45C74CF8" w14:textId="77777777" w:rsidR="002B04EB" w:rsidRPr="003F7F6C" w:rsidRDefault="002B04EB" w:rsidP="00B851B7">
            <w:r w:rsidRPr="003F7F6C">
              <w:rPr>
                <w:rFonts w:cs="Calibri"/>
                <w:sz w:val="16"/>
                <w:szCs w:val="16"/>
              </w:rPr>
              <w:t>X</w:t>
            </w:r>
          </w:p>
        </w:tc>
        <w:tc>
          <w:tcPr>
            <w:tcW w:w="428" w:type="dxa"/>
            <w:gridSpan w:val="2"/>
          </w:tcPr>
          <w:p w14:paraId="09E0A675" w14:textId="77777777" w:rsidR="002B04EB" w:rsidRPr="003F7F6C" w:rsidRDefault="002B04EB" w:rsidP="00B851B7">
            <w:r w:rsidRPr="003F7F6C">
              <w:rPr>
                <w:rFonts w:cs="Calibri"/>
                <w:sz w:val="16"/>
                <w:szCs w:val="16"/>
              </w:rPr>
              <w:t>X</w:t>
            </w:r>
          </w:p>
        </w:tc>
        <w:tc>
          <w:tcPr>
            <w:tcW w:w="428" w:type="dxa"/>
          </w:tcPr>
          <w:p w14:paraId="0A5E7A40" w14:textId="77777777" w:rsidR="002B04EB" w:rsidRPr="003F7F6C" w:rsidRDefault="002B04EB" w:rsidP="00B851B7">
            <w:r w:rsidRPr="003F7F6C">
              <w:rPr>
                <w:rFonts w:cs="Calibri"/>
                <w:sz w:val="16"/>
                <w:szCs w:val="16"/>
              </w:rPr>
              <w:t>X</w:t>
            </w:r>
          </w:p>
        </w:tc>
        <w:tc>
          <w:tcPr>
            <w:tcW w:w="428" w:type="dxa"/>
          </w:tcPr>
          <w:p w14:paraId="65848F03" w14:textId="77777777" w:rsidR="002B04EB" w:rsidRPr="003F7F6C" w:rsidRDefault="002B04EB" w:rsidP="00B851B7">
            <w:r w:rsidRPr="003F7F6C">
              <w:rPr>
                <w:rFonts w:cs="Calibri"/>
                <w:sz w:val="16"/>
                <w:szCs w:val="16"/>
              </w:rPr>
              <w:t>X</w:t>
            </w:r>
          </w:p>
        </w:tc>
        <w:tc>
          <w:tcPr>
            <w:tcW w:w="428" w:type="dxa"/>
          </w:tcPr>
          <w:p w14:paraId="296F54E9" w14:textId="77777777" w:rsidR="002B04EB" w:rsidRPr="003F7F6C" w:rsidRDefault="002B04EB" w:rsidP="00B851B7">
            <w:r w:rsidRPr="003F7F6C">
              <w:rPr>
                <w:rFonts w:cs="Calibri"/>
                <w:sz w:val="16"/>
                <w:szCs w:val="16"/>
              </w:rPr>
              <w:t>X</w:t>
            </w:r>
          </w:p>
        </w:tc>
        <w:tc>
          <w:tcPr>
            <w:tcW w:w="428" w:type="dxa"/>
            <w:gridSpan w:val="2"/>
          </w:tcPr>
          <w:p w14:paraId="2F193AEC" w14:textId="77777777" w:rsidR="002B04EB" w:rsidRPr="003F7F6C" w:rsidRDefault="002B04EB" w:rsidP="00B851B7">
            <w:r w:rsidRPr="003F7F6C">
              <w:rPr>
                <w:rFonts w:cs="Calibri"/>
                <w:sz w:val="16"/>
                <w:szCs w:val="16"/>
              </w:rPr>
              <w:t>X</w:t>
            </w:r>
          </w:p>
        </w:tc>
        <w:tc>
          <w:tcPr>
            <w:tcW w:w="428" w:type="dxa"/>
          </w:tcPr>
          <w:p w14:paraId="75F64620" w14:textId="77777777" w:rsidR="002B04EB" w:rsidRPr="003F7F6C" w:rsidRDefault="002B04EB" w:rsidP="00B851B7">
            <w:r w:rsidRPr="003F7F6C">
              <w:rPr>
                <w:rFonts w:cs="Calibri"/>
                <w:sz w:val="16"/>
                <w:szCs w:val="16"/>
              </w:rPr>
              <w:t>X</w:t>
            </w:r>
          </w:p>
        </w:tc>
        <w:tc>
          <w:tcPr>
            <w:tcW w:w="428" w:type="dxa"/>
          </w:tcPr>
          <w:p w14:paraId="03ED2407" w14:textId="77777777" w:rsidR="002B04EB" w:rsidRPr="003F7F6C" w:rsidRDefault="002B04EB" w:rsidP="00B851B7">
            <w:r w:rsidRPr="003F7F6C">
              <w:rPr>
                <w:rFonts w:cs="Calibri"/>
                <w:sz w:val="16"/>
                <w:szCs w:val="16"/>
              </w:rPr>
              <w:t>X</w:t>
            </w:r>
          </w:p>
        </w:tc>
        <w:tc>
          <w:tcPr>
            <w:tcW w:w="428" w:type="dxa"/>
          </w:tcPr>
          <w:p w14:paraId="3B8BD152" w14:textId="77777777" w:rsidR="002B04EB" w:rsidRPr="003F7F6C" w:rsidRDefault="002B04EB" w:rsidP="00B851B7">
            <w:r w:rsidRPr="003F7F6C">
              <w:rPr>
                <w:rFonts w:cs="Calibri"/>
                <w:sz w:val="16"/>
                <w:szCs w:val="16"/>
              </w:rPr>
              <w:t>X</w:t>
            </w:r>
          </w:p>
        </w:tc>
        <w:tc>
          <w:tcPr>
            <w:tcW w:w="428" w:type="dxa"/>
            <w:gridSpan w:val="2"/>
          </w:tcPr>
          <w:p w14:paraId="7DEA1A24" w14:textId="77777777" w:rsidR="002B04EB" w:rsidRPr="003F7F6C" w:rsidRDefault="002B04EB" w:rsidP="00B851B7">
            <w:r w:rsidRPr="003F7F6C">
              <w:rPr>
                <w:rFonts w:cs="Calibri"/>
                <w:sz w:val="16"/>
                <w:szCs w:val="16"/>
              </w:rPr>
              <w:t>X</w:t>
            </w:r>
          </w:p>
        </w:tc>
        <w:tc>
          <w:tcPr>
            <w:tcW w:w="428" w:type="dxa"/>
          </w:tcPr>
          <w:p w14:paraId="18F9D1BD" w14:textId="77777777" w:rsidR="002B04EB" w:rsidRPr="003F7F6C" w:rsidRDefault="002B04EB" w:rsidP="00B851B7">
            <w:r w:rsidRPr="003F7F6C">
              <w:rPr>
                <w:rFonts w:cs="Calibri"/>
                <w:sz w:val="16"/>
                <w:szCs w:val="16"/>
              </w:rPr>
              <w:t>X</w:t>
            </w:r>
          </w:p>
        </w:tc>
        <w:tc>
          <w:tcPr>
            <w:tcW w:w="428" w:type="dxa"/>
          </w:tcPr>
          <w:p w14:paraId="42F00079" w14:textId="77777777" w:rsidR="002B04EB" w:rsidRPr="003F7F6C" w:rsidRDefault="002B04EB" w:rsidP="00B851B7">
            <w:r w:rsidRPr="003F7F6C">
              <w:rPr>
                <w:rFonts w:cs="Calibri"/>
                <w:sz w:val="16"/>
                <w:szCs w:val="16"/>
              </w:rPr>
              <w:t>X</w:t>
            </w:r>
          </w:p>
        </w:tc>
        <w:tc>
          <w:tcPr>
            <w:tcW w:w="428" w:type="dxa"/>
          </w:tcPr>
          <w:p w14:paraId="0C4F005F" w14:textId="77777777" w:rsidR="002B04EB" w:rsidRPr="003F7F6C" w:rsidRDefault="002B04EB" w:rsidP="00B851B7">
            <w:r w:rsidRPr="003F7F6C">
              <w:rPr>
                <w:rFonts w:cs="Calibri"/>
                <w:sz w:val="16"/>
                <w:szCs w:val="16"/>
              </w:rPr>
              <w:t>X</w:t>
            </w:r>
          </w:p>
        </w:tc>
        <w:tc>
          <w:tcPr>
            <w:tcW w:w="428" w:type="dxa"/>
          </w:tcPr>
          <w:p w14:paraId="4DCDEAE4" w14:textId="77777777" w:rsidR="002B04EB" w:rsidRPr="003F7F6C" w:rsidRDefault="002B04EB" w:rsidP="00B851B7">
            <w:r w:rsidRPr="003F7F6C">
              <w:rPr>
                <w:rFonts w:cs="Calibri"/>
                <w:sz w:val="16"/>
                <w:szCs w:val="16"/>
              </w:rPr>
              <w:t>X</w:t>
            </w:r>
          </w:p>
        </w:tc>
      </w:tr>
      <w:tr w:rsidR="002B04EB" w:rsidRPr="003F7F6C" w14:paraId="4D70BB30" w14:textId="77777777" w:rsidTr="00B851B7">
        <w:tc>
          <w:tcPr>
            <w:tcW w:w="1668" w:type="dxa"/>
          </w:tcPr>
          <w:p w14:paraId="2AC2A2F4" w14:textId="77777777" w:rsidR="002B04EB" w:rsidRPr="003F7F6C" w:rsidRDefault="002B04EB" w:rsidP="00B851B7">
            <w:pPr>
              <w:rPr>
                <w:rFonts w:cs="Calibri"/>
                <w:sz w:val="16"/>
                <w:szCs w:val="16"/>
              </w:rPr>
            </w:pPr>
            <w:r w:rsidRPr="003F7F6C">
              <w:rPr>
                <w:rFonts w:cs="Calibri"/>
                <w:sz w:val="16"/>
                <w:szCs w:val="16"/>
              </w:rPr>
              <w:t>2.3.2 Promote economic, financial and fiscal incentives and regulations</w:t>
            </w:r>
          </w:p>
        </w:tc>
        <w:tc>
          <w:tcPr>
            <w:tcW w:w="1057" w:type="dxa"/>
          </w:tcPr>
          <w:p w14:paraId="07F245D5" w14:textId="77777777" w:rsidR="002B04EB" w:rsidRPr="003F7F6C" w:rsidRDefault="002B04EB" w:rsidP="00B851B7">
            <w:pPr>
              <w:rPr>
                <w:sz w:val="16"/>
                <w:szCs w:val="16"/>
              </w:rPr>
            </w:pPr>
            <w:r w:rsidRPr="003F7F6C">
              <w:rPr>
                <w:sz w:val="16"/>
                <w:szCs w:val="16"/>
              </w:rPr>
              <w:t>SAOT</w:t>
            </w:r>
          </w:p>
        </w:tc>
        <w:tc>
          <w:tcPr>
            <w:tcW w:w="428" w:type="dxa"/>
          </w:tcPr>
          <w:p w14:paraId="746DB206" w14:textId="77777777" w:rsidR="002B04EB" w:rsidRPr="003F7F6C" w:rsidRDefault="002B04EB" w:rsidP="00B851B7">
            <w:pPr>
              <w:rPr>
                <w:rFonts w:cs="Calibri"/>
                <w:sz w:val="16"/>
                <w:szCs w:val="16"/>
              </w:rPr>
            </w:pPr>
          </w:p>
        </w:tc>
        <w:tc>
          <w:tcPr>
            <w:tcW w:w="444" w:type="dxa"/>
          </w:tcPr>
          <w:p w14:paraId="2F53927B" w14:textId="77777777" w:rsidR="002B04EB" w:rsidRPr="003F7F6C" w:rsidRDefault="002B04EB" w:rsidP="00B851B7">
            <w:pPr>
              <w:rPr>
                <w:rFonts w:cs="Calibri"/>
                <w:sz w:val="16"/>
                <w:szCs w:val="16"/>
              </w:rPr>
            </w:pPr>
          </w:p>
        </w:tc>
        <w:tc>
          <w:tcPr>
            <w:tcW w:w="428" w:type="dxa"/>
          </w:tcPr>
          <w:p w14:paraId="34274DBA" w14:textId="77777777" w:rsidR="002B04EB" w:rsidRPr="003F7F6C" w:rsidRDefault="002B04EB" w:rsidP="00B851B7">
            <w:r w:rsidRPr="003F7F6C">
              <w:rPr>
                <w:rFonts w:cs="Calibri"/>
                <w:sz w:val="16"/>
                <w:szCs w:val="16"/>
              </w:rPr>
              <w:t>X</w:t>
            </w:r>
          </w:p>
        </w:tc>
        <w:tc>
          <w:tcPr>
            <w:tcW w:w="428" w:type="dxa"/>
            <w:gridSpan w:val="2"/>
          </w:tcPr>
          <w:p w14:paraId="62DDB8A0" w14:textId="77777777" w:rsidR="002B04EB" w:rsidRPr="003F7F6C" w:rsidRDefault="002B04EB" w:rsidP="00B851B7">
            <w:r w:rsidRPr="003F7F6C">
              <w:rPr>
                <w:rFonts w:cs="Calibri"/>
                <w:sz w:val="16"/>
                <w:szCs w:val="16"/>
              </w:rPr>
              <w:t>X</w:t>
            </w:r>
          </w:p>
        </w:tc>
        <w:tc>
          <w:tcPr>
            <w:tcW w:w="428" w:type="dxa"/>
          </w:tcPr>
          <w:p w14:paraId="6F00CD14" w14:textId="77777777" w:rsidR="002B04EB" w:rsidRPr="003F7F6C" w:rsidRDefault="002B04EB" w:rsidP="00B851B7">
            <w:r w:rsidRPr="003F7F6C">
              <w:rPr>
                <w:rFonts w:cs="Calibri"/>
                <w:sz w:val="16"/>
                <w:szCs w:val="16"/>
              </w:rPr>
              <w:t>X</w:t>
            </w:r>
          </w:p>
        </w:tc>
        <w:tc>
          <w:tcPr>
            <w:tcW w:w="427" w:type="dxa"/>
          </w:tcPr>
          <w:p w14:paraId="0CC87B3E" w14:textId="77777777" w:rsidR="002B04EB" w:rsidRPr="003F7F6C" w:rsidRDefault="002B04EB" w:rsidP="00B851B7">
            <w:r w:rsidRPr="003F7F6C">
              <w:rPr>
                <w:rFonts w:cs="Calibri"/>
                <w:sz w:val="16"/>
                <w:szCs w:val="16"/>
              </w:rPr>
              <w:t>X</w:t>
            </w:r>
          </w:p>
        </w:tc>
        <w:tc>
          <w:tcPr>
            <w:tcW w:w="427" w:type="dxa"/>
          </w:tcPr>
          <w:p w14:paraId="022CC07C" w14:textId="77777777" w:rsidR="002B04EB" w:rsidRPr="003F7F6C" w:rsidRDefault="002B04EB" w:rsidP="00B851B7">
            <w:r w:rsidRPr="003F7F6C">
              <w:rPr>
                <w:rFonts w:cs="Calibri"/>
                <w:sz w:val="16"/>
                <w:szCs w:val="16"/>
              </w:rPr>
              <w:t>X</w:t>
            </w:r>
          </w:p>
        </w:tc>
        <w:tc>
          <w:tcPr>
            <w:tcW w:w="427" w:type="dxa"/>
            <w:gridSpan w:val="2"/>
          </w:tcPr>
          <w:p w14:paraId="09E1090D" w14:textId="77777777" w:rsidR="002B04EB" w:rsidRPr="003F7F6C" w:rsidRDefault="002B04EB" w:rsidP="00B851B7">
            <w:r w:rsidRPr="003F7F6C">
              <w:rPr>
                <w:rFonts w:cs="Calibri"/>
                <w:sz w:val="16"/>
                <w:szCs w:val="16"/>
              </w:rPr>
              <w:t>X</w:t>
            </w:r>
          </w:p>
        </w:tc>
        <w:tc>
          <w:tcPr>
            <w:tcW w:w="428" w:type="dxa"/>
          </w:tcPr>
          <w:p w14:paraId="1924ED74" w14:textId="77777777" w:rsidR="002B04EB" w:rsidRPr="003F7F6C" w:rsidRDefault="002B04EB" w:rsidP="00B851B7">
            <w:r w:rsidRPr="003F7F6C">
              <w:rPr>
                <w:rFonts w:cs="Calibri"/>
                <w:sz w:val="16"/>
                <w:szCs w:val="16"/>
              </w:rPr>
              <w:t>X</w:t>
            </w:r>
          </w:p>
        </w:tc>
        <w:tc>
          <w:tcPr>
            <w:tcW w:w="428" w:type="dxa"/>
          </w:tcPr>
          <w:p w14:paraId="38B62850" w14:textId="77777777" w:rsidR="002B04EB" w:rsidRPr="003F7F6C" w:rsidRDefault="002B04EB" w:rsidP="00B851B7">
            <w:r w:rsidRPr="003F7F6C">
              <w:rPr>
                <w:rFonts w:cs="Calibri"/>
                <w:sz w:val="16"/>
                <w:szCs w:val="16"/>
              </w:rPr>
              <w:t>X</w:t>
            </w:r>
          </w:p>
        </w:tc>
        <w:tc>
          <w:tcPr>
            <w:tcW w:w="428" w:type="dxa"/>
          </w:tcPr>
          <w:p w14:paraId="3F3563F6" w14:textId="77777777" w:rsidR="002B04EB" w:rsidRPr="003F7F6C" w:rsidRDefault="002B04EB" w:rsidP="00B851B7">
            <w:r w:rsidRPr="003F7F6C">
              <w:rPr>
                <w:rFonts w:cs="Calibri"/>
                <w:sz w:val="16"/>
                <w:szCs w:val="16"/>
              </w:rPr>
              <w:t>X</w:t>
            </w:r>
          </w:p>
        </w:tc>
        <w:tc>
          <w:tcPr>
            <w:tcW w:w="428" w:type="dxa"/>
            <w:gridSpan w:val="2"/>
          </w:tcPr>
          <w:p w14:paraId="7E489CE5" w14:textId="77777777" w:rsidR="002B04EB" w:rsidRPr="003F7F6C" w:rsidRDefault="002B04EB" w:rsidP="00B851B7">
            <w:r w:rsidRPr="003F7F6C">
              <w:rPr>
                <w:rFonts w:cs="Calibri"/>
                <w:sz w:val="16"/>
                <w:szCs w:val="16"/>
              </w:rPr>
              <w:t>X</w:t>
            </w:r>
          </w:p>
        </w:tc>
        <w:tc>
          <w:tcPr>
            <w:tcW w:w="428" w:type="dxa"/>
          </w:tcPr>
          <w:p w14:paraId="42B7F6CD" w14:textId="77777777" w:rsidR="002B04EB" w:rsidRPr="003F7F6C" w:rsidRDefault="002B04EB" w:rsidP="00B851B7">
            <w:r w:rsidRPr="003F7F6C">
              <w:rPr>
                <w:rFonts w:cs="Calibri"/>
                <w:sz w:val="16"/>
                <w:szCs w:val="16"/>
              </w:rPr>
              <w:t>X</w:t>
            </w:r>
          </w:p>
        </w:tc>
        <w:tc>
          <w:tcPr>
            <w:tcW w:w="428" w:type="dxa"/>
          </w:tcPr>
          <w:p w14:paraId="2683E8D2" w14:textId="77777777" w:rsidR="002B04EB" w:rsidRPr="003F7F6C" w:rsidRDefault="002B04EB" w:rsidP="00B851B7">
            <w:r w:rsidRPr="003F7F6C">
              <w:rPr>
                <w:rFonts w:cs="Calibri"/>
                <w:sz w:val="16"/>
                <w:szCs w:val="16"/>
              </w:rPr>
              <w:t>X</w:t>
            </w:r>
          </w:p>
        </w:tc>
        <w:tc>
          <w:tcPr>
            <w:tcW w:w="428" w:type="dxa"/>
          </w:tcPr>
          <w:p w14:paraId="2D878BAB" w14:textId="77777777" w:rsidR="002B04EB" w:rsidRPr="003F7F6C" w:rsidRDefault="002B04EB" w:rsidP="00B851B7">
            <w:r w:rsidRPr="003F7F6C">
              <w:rPr>
                <w:rFonts w:cs="Calibri"/>
                <w:sz w:val="16"/>
                <w:szCs w:val="16"/>
              </w:rPr>
              <w:t>X</w:t>
            </w:r>
          </w:p>
        </w:tc>
        <w:tc>
          <w:tcPr>
            <w:tcW w:w="428" w:type="dxa"/>
            <w:gridSpan w:val="2"/>
          </w:tcPr>
          <w:p w14:paraId="4405EE9F" w14:textId="77777777" w:rsidR="002B04EB" w:rsidRPr="003F7F6C" w:rsidRDefault="002B04EB" w:rsidP="00B851B7">
            <w:r w:rsidRPr="003F7F6C">
              <w:rPr>
                <w:rFonts w:cs="Calibri"/>
                <w:sz w:val="16"/>
                <w:szCs w:val="16"/>
              </w:rPr>
              <w:t>X</w:t>
            </w:r>
          </w:p>
        </w:tc>
        <w:tc>
          <w:tcPr>
            <w:tcW w:w="428" w:type="dxa"/>
          </w:tcPr>
          <w:p w14:paraId="32A018E3" w14:textId="77777777" w:rsidR="002B04EB" w:rsidRPr="003F7F6C" w:rsidRDefault="002B04EB" w:rsidP="00B851B7">
            <w:r w:rsidRPr="003F7F6C">
              <w:rPr>
                <w:rFonts w:cs="Calibri"/>
                <w:sz w:val="16"/>
                <w:szCs w:val="16"/>
              </w:rPr>
              <w:t>X</w:t>
            </w:r>
          </w:p>
        </w:tc>
        <w:tc>
          <w:tcPr>
            <w:tcW w:w="428" w:type="dxa"/>
          </w:tcPr>
          <w:p w14:paraId="42E78F1C" w14:textId="77777777" w:rsidR="002B04EB" w:rsidRPr="003F7F6C" w:rsidRDefault="002B04EB" w:rsidP="00B851B7">
            <w:r w:rsidRPr="003F7F6C">
              <w:rPr>
                <w:rFonts w:cs="Calibri"/>
                <w:sz w:val="16"/>
                <w:szCs w:val="16"/>
              </w:rPr>
              <w:t>X</w:t>
            </w:r>
          </w:p>
        </w:tc>
        <w:tc>
          <w:tcPr>
            <w:tcW w:w="428" w:type="dxa"/>
          </w:tcPr>
          <w:p w14:paraId="486A0C6C" w14:textId="77777777" w:rsidR="002B04EB" w:rsidRPr="003F7F6C" w:rsidRDefault="002B04EB" w:rsidP="00B851B7">
            <w:r w:rsidRPr="003F7F6C">
              <w:rPr>
                <w:rFonts w:cs="Calibri"/>
                <w:sz w:val="16"/>
                <w:szCs w:val="16"/>
              </w:rPr>
              <w:t>X</w:t>
            </w:r>
          </w:p>
        </w:tc>
        <w:tc>
          <w:tcPr>
            <w:tcW w:w="428" w:type="dxa"/>
            <w:gridSpan w:val="2"/>
          </w:tcPr>
          <w:p w14:paraId="276B709D" w14:textId="77777777" w:rsidR="002B04EB" w:rsidRPr="003F7F6C" w:rsidRDefault="002B04EB" w:rsidP="00B851B7">
            <w:r w:rsidRPr="003F7F6C">
              <w:rPr>
                <w:rFonts w:cs="Calibri"/>
                <w:sz w:val="16"/>
                <w:szCs w:val="16"/>
              </w:rPr>
              <w:t>X</w:t>
            </w:r>
          </w:p>
        </w:tc>
        <w:tc>
          <w:tcPr>
            <w:tcW w:w="428" w:type="dxa"/>
          </w:tcPr>
          <w:p w14:paraId="5FCC07A8" w14:textId="77777777" w:rsidR="002B04EB" w:rsidRPr="003F7F6C" w:rsidRDefault="002B04EB" w:rsidP="00B851B7">
            <w:r w:rsidRPr="003F7F6C">
              <w:rPr>
                <w:rFonts w:cs="Calibri"/>
                <w:sz w:val="16"/>
                <w:szCs w:val="16"/>
              </w:rPr>
              <w:t>X</w:t>
            </w:r>
          </w:p>
        </w:tc>
        <w:tc>
          <w:tcPr>
            <w:tcW w:w="428" w:type="dxa"/>
          </w:tcPr>
          <w:p w14:paraId="314EA2F5" w14:textId="77777777" w:rsidR="002B04EB" w:rsidRPr="003F7F6C" w:rsidRDefault="002B04EB" w:rsidP="00B851B7">
            <w:r w:rsidRPr="003F7F6C">
              <w:rPr>
                <w:rFonts w:cs="Calibri"/>
                <w:sz w:val="16"/>
                <w:szCs w:val="16"/>
              </w:rPr>
              <w:t>X</w:t>
            </w:r>
          </w:p>
        </w:tc>
        <w:tc>
          <w:tcPr>
            <w:tcW w:w="428" w:type="dxa"/>
          </w:tcPr>
          <w:p w14:paraId="30CE4C33" w14:textId="77777777" w:rsidR="002B04EB" w:rsidRPr="003F7F6C" w:rsidRDefault="002B04EB" w:rsidP="00B851B7">
            <w:r w:rsidRPr="003F7F6C">
              <w:rPr>
                <w:rFonts w:cs="Calibri"/>
                <w:sz w:val="16"/>
                <w:szCs w:val="16"/>
              </w:rPr>
              <w:t>X</w:t>
            </w:r>
          </w:p>
        </w:tc>
        <w:tc>
          <w:tcPr>
            <w:tcW w:w="428" w:type="dxa"/>
          </w:tcPr>
          <w:p w14:paraId="754E0708" w14:textId="77777777" w:rsidR="002B04EB" w:rsidRPr="003F7F6C" w:rsidRDefault="002B04EB" w:rsidP="00B851B7">
            <w:r w:rsidRPr="003F7F6C">
              <w:rPr>
                <w:rFonts w:cs="Calibri"/>
                <w:sz w:val="16"/>
                <w:szCs w:val="16"/>
              </w:rPr>
              <w:t>X</w:t>
            </w:r>
          </w:p>
        </w:tc>
      </w:tr>
      <w:tr w:rsidR="002B04EB" w:rsidRPr="003F7F6C" w14:paraId="5C1645AF" w14:textId="77777777" w:rsidTr="00B851B7">
        <w:tc>
          <w:tcPr>
            <w:tcW w:w="1668" w:type="dxa"/>
          </w:tcPr>
          <w:p w14:paraId="78C9EEE2" w14:textId="77777777" w:rsidR="002B04EB" w:rsidRPr="003F7F6C" w:rsidRDefault="002B04EB" w:rsidP="00E91275">
            <w:pPr>
              <w:pStyle w:val="ListParagraph"/>
              <w:numPr>
                <w:ilvl w:val="0"/>
                <w:numId w:val="29"/>
              </w:numPr>
              <w:ind w:left="170" w:hanging="170"/>
              <w:rPr>
                <w:rFonts w:cs="Calibri"/>
                <w:sz w:val="16"/>
                <w:szCs w:val="16"/>
              </w:rPr>
            </w:pPr>
            <w:r w:rsidRPr="003F7F6C">
              <w:rPr>
                <w:rFonts w:cs="Calibri"/>
                <w:sz w:val="16"/>
                <w:szCs w:val="16"/>
              </w:rPr>
              <w:t>Assess funding options for tourism and PAs in Piedmont target landscape</w:t>
            </w:r>
          </w:p>
        </w:tc>
        <w:tc>
          <w:tcPr>
            <w:tcW w:w="1057" w:type="dxa"/>
          </w:tcPr>
          <w:p w14:paraId="75DE5B1F" w14:textId="77777777" w:rsidR="002B04EB" w:rsidRPr="003F7F6C" w:rsidRDefault="002B04EB" w:rsidP="00B851B7">
            <w:pPr>
              <w:rPr>
                <w:sz w:val="16"/>
                <w:szCs w:val="16"/>
              </w:rPr>
            </w:pPr>
            <w:r w:rsidRPr="003F7F6C">
              <w:rPr>
                <w:sz w:val="16"/>
                <w:szCs w:val="16"/>
              </w:rPr>
              <w:t>SAOT</w:t>
            </w:r>
          </w:p>
        </w:tc>
        <w:tc>
          <w:tcPr>
            <w:tcW w:w="428" w:type="dxa"/>
          </w:tcPr>
          <w:p w14:paraId="6E5A9A63" w14:textId="77777777" w:rsidR="002B04EB" w:rsidRPr="003F7F6C" w:rsidRDefault="002B04EB" w:rsidP="00B851B7">
            <w:pPr>
              <w:rPr>
                <w:rFonts w:cs="Calibri"/>
                <w:sz w:val="16"/>
                <w:szCs w:val="16"/>
              </w:rPr>
            </w:pPr>
          </w:p>
        </w:tc>
        <w:tc>
          <w:tcPr>
            <w:tcW w:w="444" w:type="dxa"/>
          </w:tcPr>
          <w:p w14:paraId="24E1B7FC" w14:textId="77777777" w:rsidR="002B04EB" w:rsidRPr="003F7F6C" w:rsidRDefault="002B04EB" w:rsidP="00B851B7">
            <w:pPr>
              <w:rPr>
                <w:rFonts w:cs="Calibri"/>
                <w:sz w:val="16"/>
                <w:szCs w:val="16"/>
              </w:rPr>
            </w:pPr>
          </w:p>
        </w:tc>
        <w:tc>
          <w:tcPr>
            <w:tcW w:w="428" w:type="dxa"/>
          </w:tcPr>
          <w:p w14:paraId="025C074E" w14:textId="77777777" w:rsidR="002B04EB" w:rsidRPr="003F7F6C" w:rsidRDefault="002B04EB" w:rsidP="00B851B7">
            <w:r w:rsidRPr="003F7F6C">
              <w:rPr>
                <w:rFonts w:cs="Calibri"/>
                <w:sz w:val="16"/>
                <w:szCs w:val="16"/>
              </w:rPr>
              <w:t>X</w:t>
            </w:r>
          </w:p>
        </w:tc>
        <w:tc>
          <w:tcPr>
            <w:tcW w:w="428" w:type="dxa"/>
            <w:gridSpan w:val="2"/>
          </w:tcPr>
          <w:p w14:paraId="1F90FD20" w14:textId="77777777" w:rsidR="002B04EB" w:rsidRPr="003F7F6C" w:rsidRDefault="002B04EB" w:rsidP="00B851B7">
            <w:r w:rsidRPr="003F7F6C">
              <w:rPr>
                <w:rFonts w:cs="Calibri"/>
                <w:sz w:val="16"/>
                <w:szCs w:val="16"/>
              </w:rPr>
              <w:t>X</w:t>
            </w:r>
          </w:p>
        </w:tc>
        <w:tc>
          <w:tcPr>
            <w:tcW w:w="428" w:type="dxa"/>
          </w:tcPr>
          <w:p w14:paraId="184B7A8A" w14:textId="77777777" w:rsidR="002B04EB" w:rsidRPr="003F7F6C" w:rsidRDefault="002B04EB" w:rsidP="00B851B7">
            <w:r w:rsidRPr="003F7F6C">
              <w:rPr>
                <w:rFonts w:cs="Calibri"/>
                <w:sz w:val="16"/>
                <w:szCs w:val="16"/>
              </w:rPr>
              <w:t>X</w:t>
            </w:r>
          </w:p>
        </w:tc>
        <w:tc>
          <w:tcPr>
            <w:tcW w:w="427" w:type="dxa"/>
          </w:tcPr>
          <w:p w14:paraId="22A8B64F" w14:textId="77777777" w:rsidR="002B04EB" w:rsidRPr="003F7F6C" w:rsidRDefault="002B04EB" w:rsidP="00B851B7">
            <w:r w:rsidRPr="003F7F6C">
              <w:rPr>
                <w:rFonts w:cs="Calibri"/>
                <w:sz w:val="16"/>
                <w:szCs w:val="16"/>
              </w:rPr>
              <w:t>X</w:t>
            </w:r>
          </w:p>
        </w:tc>
        <w:tc>
          <w:tcPr>
            <w:tcW w:w="427" w:type="dxa"/>
          </w:tcPr>
          <w:p w14:paraId="3D66B4B0" w14:textId="77777777" w:rsidR="002B04EB" w:rsidRPr="003F7F6C" w:rsidRDefault="002B04EB" w:rsidP="00B851B7">
            <w:r w:rsidRPr="003F7F6C">
              <w:rPr>
                <w:rFonts w:cs="Calibri"/>
                <w:sz w:val="16"/>
                <w:szCs w:val="16"/>
              </w:rPr>
              <w:t>X</w:t>
            </w:r>
          </w:p>
        </w:tc>
        <w:tc>
          <w:tcPr>
            <w:tcW w:w="427" w:type="dxa"/>
            <w:gridSpan w:val="2"/>
          </w:tcPr>
          <w:p w14:paraId="282EA26D" w14:textId="77777777" w:rsidR="002B04EB" w:rsidRPr="003F7F6C" w:rsidRDefault="002B04EB" w:rsidP="00B851B7">
            <w:r w:rsidRPr="003F7F6C">
              <w:rPr>
                <w:rFonts w:cs="Calibri"/>
                <w:sz w:val="16"/>
                <w:szCs w:val="16"/>
              </w:rPr>
              <w:t>X</w:t>
            </w:r>
          </w:p>
        </w:tc>
        <w:tc>
          <w:tcPr>
            <w:tcW w:w="428" w:type="dxa"/>
          </w:tcPr>
          <w:p w14:paraId="2019E4F3" w14:textId="77777777" w:rsidR="002B04EB" w:rsidRPr="003F7F6C" w:rsidRDefault="002B04EB" w:rsidP="00B851B7"/>
        </w:tc>
        <w:tc>
          <w:tcPr>
            <w:tcW w:w="428" w:type="dxa"/>
          </w:tcPr>
          <w:p w14:paraId="1C70FE58" w14:textId="77777777" w:rsidR="002B04EB" w:rsidRPr="003F7F6C" w:rsidRDefault="002B04EB" w:rsidP="00B851B7">
            <w:pPr>
              <w:rPr>
                <w:rFonts w:cs="Calibri"/>
                <w:sz w:val="16"/>
                <w:szCs w:val="16"/>
              </w:rPr>
            </w:pPr>
          </w:p>
        </w:tc>
        <w:tc>
          <w:tcPr>
            <w:tcW w:w="428" w:type="dxa"/>
          </w:tcPr>
          <w:p w14:paraId="35DA350F" w14:textId="77777777" w:rsidR="002B04EB" w:rsidRPr="003F7F6C" w:rsidRDefault="002B04EB" w:rsidP="00B851B7">
            <w:pPr>
              <w:rPr>
                <w:rFonts w:cs="Calibri"/>
                <w:sz w:val="16"/>
                <w:szCs w:val="16"/>
              </w:rPr>
            </w:pPr>
          </w:p>
        </w:tc>
        <w:tc>
          <w:tcPr>
            <w:tcW w:w="428" w:type="dxa"/>
            <w:gridSpan w:val="2"/>
          </w:tcPr>
          <w:p w14:paraId="0F32580B" w14:textId="77777777" w:rsidR="002B04EB" w:rsidRPr="003F7F6C" w:rsidRDefault="002B04EB" w:rsidP="00B851B7">
            <w:pPr>
              <w:rPr>
                <w:rFonts w:cs="Calibri"/>
                <w:sz w:val="16"/>
                <w:szCs w:val="16"/>
              </w:rPr>
            </w:pPr>
          </w:p>
        </w:tc>
        <w:tc>
          <w:tcPr>
            <w:tcW w:w="428" w:type="dxa"/>
          </w:tcPr>
          <w:p w14:paraId="19685E70" w14:textId="77777777" w:rsidR="002B04EB" w:rsidRPr="003F7F6C" w:rsidRDefault="002B04EB" w:rsidP="00B851B7"/>
        </w:tc>
        <w:tc>
          <w:tcPr>
            <w:tcW w:w="428" w:type="dxa"/>
          </w:tcPr>
          <w:p w14:paraId="53FBAA41" w14:textId="77777777" w:rsidR="002B04EB" w:rsidRPr="003F7F6C" w:rsidRDefault="002B04EB" w:rsidP="00B851B7">
            <w:pPr>
              <w:rPr>
                <w:rFonts w:cs="Calibri"/>
                <w:sz w:val="16"/>
                <w:szCs w:val="16"/>
              </w:rPr>
            </w:pPr>
          </w:p>
        </w:tc>
        <w:tc>
          <w:tcPr>
            <w:tcW w:w="428" w:type="dxa"/>
          </w:tcPr>
          <w:p w14:paraId="78BF68F6" w14:textId="77777777" w:rsidR="002B04EB" w:rsidRPr="003F7F6C" w:rsidRDefault="002B04EB" w:rsidP="00B851B7">
            <w:pPr>
              <w:rPr>
                <w:rFonts w:cs="Calibri"/>
                <w:sz w:val="16"/>
                <w:szCs w:val="16"/>
              </w:rPr>
            </w:pPr>
          </w:p>
        </w:tc>
        <w:tc>
          <w:tcPr>
            <w:tcW w:w="428" w:type="dxa"/>
            <w:gridSpan w:val="2"/>
          </w:tcPr>
          <w:p w14:paraId="622A8E0A" w14:textId="77777777" w:rsidR="002B04EB" w:rsidRPr="003F7F6C" w:rsidRDefault="002B04EB" w:rsidP="00B851B7">
            <w:pPr>
              <w:rPr>
                <w:rFonts w:cs="Calibri"/>
                <w:sz w:val="16"/>
                <w:szCs w:val="16"/>
              </w:rPr>
            </w:pPr>
          </w:p>
        </w:tc>
        <w:tc>
          <w:tcPr>
            <w:tcW w:w="428" w:type="dxa"/>
          </w:tcPr>
          <w:p w14:paraId="15980C66" w14:textId="77777777" w:rsidR="002B04EB" w:rsidRPr="003F7F6C" w:rsidRDefault="002B04EB" w:rsidP="00B851B7">
            <w:pPr>
              <w:rPr>
                <w:rFonts w:cs="Calibri"/>
                <w:sz w:val="16"/>
                <w:szCs w:val="16"/>
              </w:rPr>
            </w:pPr>
          </w:p>
        </w:tc>
        <w:tc>
          <w:tcPr>
            <w:tcW w:w="428" w:type="dxa"/>
          </w:tcPr>
          <w:p w14:paraId="052054B7" w14:textId="77777777" w:rsidR="002B04EB" w:rsidRPr="003F7F6C" w:rsidRDefault="002B04EB" w:rsidP="00B851B7">
            <w:pPr>
              <w:rPr>
                <w:rFonts w:cs="Calibri"/>
                <w:sz w:val="16"/>
                <w:szCs w:val="16"/>
              </w:rPr>
            </w:pPr>
          </w:p>
        </w:tc>
        <w:tc>
          <w:tcPr>
            <w:tcW w:w="428" w:type="dxa"/>
          </w:tcPr>
          <w:p w14:paraId="445E91AC" w14:textId="77777777" w:rsidR="002B04EB" w:rsidRPr="003F7F6C" w:rsidRDefault="002B04EB" w:rsidP="00B851B7">
            <w:pPr>
              <w:rPr>
                <w:rFonts w:cs="Calibri"/>
                <w:sz w:val="16"/>
                <w:szCs w:val="16"/>
              </w:rPr>
            </w:pPr>
          </w:p>
        </w:tc>
        <w:tc>
          <w:tcPr>
            <w:tcW w:w="428" w:type="dxa"/>
            <w:gridSpan w:val="2"/>
          </w:tcPr>
          <w:p w14:paraId="7B075F3A" w14:textId="77777777" w:rsidR="002B04EB" w:rsidRPr="003F7F6C" w:rsidRDefault="002B04EB" w:rsidP="00B851B7">
            <w:pPr>
              <w:rPr>
                <w:rFonts w:cs="Calibri"/>
                <w:sz w:val="16"/>
                <w:szCs w:val="16"/>
              </w:rPr>
            </w:pPr>
          </w:p>
        </w:tc>
        <w:tc>
          <w:tcPr>
            <w:tcW w:w="428" w:type="dxa"/>
          </w:tcPr>
          <w:p w14:paraId="64DD3BEA" w14:textId="77777777" w:rsidR="002B04EB" w:rsidRPr="003F7F6C" w:rsidRDefault="002B04EB" w:rsidP="00B851B7">
            <w:pPr>
              <w:rPr>
                <w:rFonts w:cs="Calibri"/>
                <w:sz w:val="16"/>
                <w:szCs w:val="16"/>
              </w:rPr>
            </w:pPr>
          </w:p>
        </w:tc>
        <w:tc>
          <w:tcPr>
            <w:tcW w:w="428" w:type="dxa"/>
          </w:tcPr>
          <w:p w14:paraId="165065FD" w14:textId="77777777" w:rsidR="002B04EB" w:rsidRPr="003F7F6C" w:rsidRDefault="002B04EB" w:rsidP="00B851B7">
            <w:pPr>
              <w:rPr>
                <w:rFonts w:cs="Calibri"/>
                <w:sz w:val="16"/>
                <w:szCs w:val="16"/>
              </w:rPr>
            </w:pPr>
          </w:p>
        </w:tc>
        <w:tc>
          <w:tcPr>
            <w:tcW w:w="428" w:type="dxa"/>
          </w:tcPr>
          <w:p w14:paraId="2565568E" w14:textId="77777777" w:rsidR="002B04EB" w:rsidRPr="003F7F6C" w:rsidRDefault="002B04EB" w:rsidP="00B851B7">
            <w:pPr>
              <w:rPr>
                <w:rFonts w:cs="Calibri"/>
                <w:sz w:val="16"/>
                <w:szCs w:val="16"/>
              </w:rPr>
            </w:pPr>
          </w:p>
        </w:tc>
        <w:tc>
          <w:tcPr>
            <w:tcW w:w="428" w:type="dxa"/>
          </w:tcPr>
          <w:p w14:paraId="3BB64F8A" w14:textId="77777777" w:rsidR="002B04EB" w:rsidRPr="003F7F6C" w:rsidRDefault="002B04EB" w:rsidP="00B851B7">
            <w:pPr>
              <w:rPr>
                <w:rFonts w:cs="Calibri"/>
                <w:sz w:val="16"/>
                <w:szCs w:val="16"/>
              </w:rPr>
            </w:pPr>
          </w:p>
        </w:tc>
      </w:tr>
      <w:tr w:rsidR="002B04EB" w:rsidRPr="003F7F6C" w14:paraId="56CF4AA6" w14:textId="77777777" w:rsidTr="00B851B7">
        <w:tc>
          <w:tcPr>
            <w:tcW w:w="1668" w:type="dxa"/>
          </w:tcPr>
          <w:p w14:paraId="5D7C41A2" w14:textId="77777777" w:rsidR="002B04EB" w:rsidRPr="003F7F6C" w:rsidRDefault="002B04EB" w:rsidP="00E91275">
            <w:pPr>
              <w:pStyle w:val="ListParagraph"/>
              <w:numPr>
                <w:ilvl w:val="0"/>
                <w:numId w:val="29"/>
              </w:numPr>
              <w:ind w:left="170" w:hanging="170"/>
              <w:rPr>
                <w:rFonts w:cs="Calibri"/>
                <w:sz w:val="16"/>
                <w:szCs w:val="16"/>
              </w:rPr>
            </w:pPr>
            <w:r w:rsidRPr="003F7F6C">
              <w:rPr>
                <w:rFonts w:cs="Calibri"/>
                <w:sz w:val="16"/>
                <w:szCs w:val="16"/>
              </w:rPr>
              <w:t>EIA procedures for agriculture in Uco Valley</w:t>
            </w:r>
          </w:p>
        </w:tc>
        <w:tc>
          <w:tcPr>
            <w:tcW w:w="1057" w:type="dxa"/>
          </w:tcPr>
          <w:p w14:paraId="02EED5BF" w14:textId="77777777" w:rsidR="002B04EB" w:rsidRPr="003F7F6C" w:rsidRDefault="002B04EB" w:rsidP="00B851B7">
            <w:pPr>
              <w:rPr>
                <w:sz w:val="16"/>
                <w:szCs w:val="16"/>
              </w:rPr>
            </w:pPr>
            <w:r w:rsidRPr="003F7F6C">
              <w:rPr>
                <w:sz w:val="16"/>
                <w:szCs w:val="16"/>
              </w:rPr>
              <w:t>SAOT</w:t>
            </w:r>
          </w:p>
          <w:p w14:paraId="1F8AB776" w14:textId="77777777" w:rsidR="002B04EB" w:rsidRPr="003F7F6C" w:rsidRDefault="002B04EB" w:rsidP="00B851B7">
            <w:pPr>
              <w:rPr>
                <w:sz w:val="16"/>
                <w:szCs w:val="16"/>
              </w:rPr>
            </w:pPr>
            <w:r w:rsidRPr="003F7F6C">
              <w:rPr>
                <w:sz w:val="16"/>
                <w:szCs w:val="16"/>
              </w:rPr>
              <w:t>INTA</w:t>
            </w:r>
          </w:p>
        </w:tc>
        <w:tc>
          <w:tcPr>
            <w:tcW w:w="428" w:type="dxa"/>
          </w:tcPr>
          <w:p w14:paraId="27ACF0C1" w14:textId="77777777" w:rsidR="002B04EB" w:rsidRPr="003F7F6C" w:rsidRDefault="002B04EB" w:rsidP="00B851B7">
            <w:pPr>
              <w:rPr>
                <w:rFonts w:cs="Calibri"/>
                <w:sz w:val="16"/>
                <w:szCs w:val="16"/>
              </w:rPr>
            </w:pPr>
          </w:p>
        </w:tc>
        <w:tc>
          <w:tcPr>
            <w:tcW w:w="444" w:type="dxa"/>
          </w:tcPr>
          <w:p w14:paraId="309CE026" w14:textId="77777777" w:rsidR="002B04EB" w:rsidRPr="003F7F6C" w:rsidRDefault="002B04EB" w:rsidP="00B851B7">
            <w:pPr>
              <w:rPr>
                <w:rFonts w:cs="Calibri"/>
                <w:sz w:val="16"/>
                <w:szCs w:val="16"/>
              </w:rPr>
            </w:pPr>
          </w:p>
        </w:tc>
        <w:tc>
          <w:tcPr>
            <w:tcW w:w="428" w:type="dxa"/>
          </w:tcPr>
          <w:p w14:paraId="0D4FE8F3" w14:textId="77777777" w:rsidR="002B04EB" w:rsidRPr="003F7F6C" w:rsidRDefault="002B04EB" w:rsidP="00B851B7">
            <w:r w:rsidRPr="003F7F6C">
              <w:rPr>
                <w:rFonts w:cs="Calibri"/>
                <w:sz w:val="16"/>
                <w:szCs w:val="16"/>
              </w:rPr>
              <w:t>X</w:t>
            </w:r>
          </w:p>
        </w:tc>
        <w:tc>
          <w:tcPr>
            <w:tcW w:w="428" w:type="dxa"/>
            <w:gridSpan w:val="2"/>
          </w:tcPr>
          <w:p w14:paraId="4DA86F45" w14:textId="77777777" w:rsidR="002B04EB" w:rsidRPr="003F7F6C" w:rsidRDefault="002B04EB" w:rsidP="00B851B7">
            <w:r w:rsidRPr="003F7F6C">
              <w:rPr>
                <w:rFonts w:cs="Calibri"/>
                <w:sz w:val="16"/>
                <w:szCs w:val="16"/>
              </w:rPr>
              <w:t>X</w:t>
            </w:r>
          </w:p>
        </w:tc>
        <w:tc>
          <w:tcPr>
            <w:tcW w:w="428" w:type="dxa"/>
          </w:tcPr>
          <w:p w14:paraId="51C17E5C" w14:textId="77777777" w:rsidR="002B04EB" w:rsidRPr="003F7F6C" w:rsidRDefault="002B04EB" w:rsidP="00B851B7">
            <w:r w:rsidRPr="003F7F6C">
              <w:rPr>
                <w:rFonts w:cs="Calibri"/>
                <w:sz w:val="16"/>
                <w:szCs w:val="16"/>
              </w:rPr>
              <w:t>X</w:t>
            </w:r>
          </w:p>
        </w:tc>
        <w:tc>
          <w:tcPr>
            <w:tcW w:w="427" w:type="dxa"/>
          </w:tcPr>
          <w:p w14:paraId="07197687" w14:textId="77777777" w:rsidR="002B04EB" w:rsidRPr="003F7F6C" w:rsidRDefault="002B04EB" w:rsidP="00B851B7">
            <w:r w:rsidRPr="003F7F6C">
              <w:rPr>
                <w:rFonts w:cs="Calibri"/>
                <w:sz w:val="16"/>
                <w:szCs w:val="16"/>
              </w:rPr>
              <w:t>X</w:t>
            </w:r>
          </w:p>
        </w:tc>
        <w:tc>
          <w:tcPr>
            <w:tcW w:w="427" w:type="dxa"/>
          </w:tcPr>
          <w:p w14:paraId="76E4CA1E" w14:textId="77777777" w:rsidR="002B04EB" w:rsidRPr="003F7F6C" w:rsidRDefault="002B04EB" w:rsidP="00B851B7">
            <w:r w:rsidRPr="003F7F6C">
              <w:rPr>
                <w:rFonts w:cs="Calibri"/>
                <w:sz w:val="16"/>
                <w:szCs w:val="16"/>
              </w:rPr>
              <w:t>X</w:t>
            </w:r>
          </w:p>
        </w:tc>
        <w:tc>
          <w:tcPr>
            <w:tcW w:w="427" w:type="dxa"/>
            <w:gridSpan w:val="2"/>
          </w:tcPr>
          <w:p w14:paraId="422AE020" w14:textId="77777777" w:rsidR="002B04EB" w:rsidRPr="003F7F6C" w:rsidRDefault="002B04EB" w:rsidP="00B851B7">
            <w:r w:rsidRPr="003F7F6C">
              <w:rPr>
                <w:rFonts w:cs="Calibri"/>
                <w:sz w:val="16"/>
                <w:szCs w:val="16"/>
              </w:rPr>
              <w:t>X</w:t>
            </w:r>
          </w:p>
        </w:tc>
        <w:tc>
          <w:tcPr>
            <w:tcW w:w="428" w:type="dxa"/>
          </w:tcPr>
          <w:p w14:paraId="01E515F4" w14:textId="77777777" w:rsidR="002B04EB" w:rsidRPr="003F7F6C" w:rsidRDefault="002B04EB" w:rsidP="00B851B7"/>
        </w:tc>
        <w:tc>
          <w:tcPr>
            <w:tcW w:w="428" w:type="dxa"/>
          </w:tcPr>
          <w:p w14:paraId="4C87DB73" w14:textId="77777777" w:rsidR="002B04EB" w:rsidRPr="003F7F6C" w:rsidRDefault="002B04EB" w:rsidP="00B851B7">
            <w:pPr>
              <w:rPr>
                <w:rFonts w:cs="Calibri"/>
                <w:sz w:val="16"/>
                <w:szCs w:val="16"/>
              </w:rPr>
            </w:pPr>
          </w:p>
        </w:tc>
        <w:tc>
          <w:tcPr>
            <w:tcW w:w="428" w:type="dxa"/>
          </w:tcPr>
          <w:p w14:paraId="12FAB242" w14:textId="77777777" w:rsidR="002B04EB" w:rsidRPr="003F7F6C" w:rsidRDefault="002B04EB" w:rsidP="00B851B7">
            <w:pPr>
              <w:rPr>
                <w:rFonts w:cs="Calibri"/>
                <w:sz w:val="16"/>
                <w:szCs w:val="16"/>
              </w:rPr>
            </w:pPr>
          </w:p>
        </w:tc>
        <w:tc>
          <w:tcPr>
            <w:tcW w:w="428" w:type="dxa"/>
            <w:gridSpan w:val="2"/>
          </w:tcPr>
          <w:p w14:paraId="36955289" w14:textId="77777777" w:rsidR="002B04EB" w:rsidRPr="003F7F6C" w:rsidRDefault="002B04EB" w:rsidP="00B851B7">
            <w:pPr>
              <w:rPr>
                <w:rFonts w:cs="Calibri"/>
                <w:sz w:val="16"/>
                <w:szCs w:val="16"/>
              </w:rPr>
            </w:pPr>
          </w:p>
        </w:tc>
        <w:tc>
          <w:tcPr>
            <w:tcW w:w="428" w:type="dxa"/>
          </w:tcPr>
          <w:p w14:paraId="198C3354" w14:textId="77777777" w:rsidR="002B04EB" w:rsidRPr="003F7F6C" w:rsidRDefault="002B04EB" w:rsidP="00B851B7"/>
        </w:tc>
        <w:tc>
          <w:tcPr>
            <w:tcW w:w="428" w:type="dxa"/>
          </w:tcPr>
          <w:p w14:paraId="3299E406" w14:textId="77777777" w:rsidR="002B04EB" w:rsidRPr="003F7F6C" w:rsidRDefault="002B04EB" w:rsidP="00B851B7">
            <w:pPr>
              <w:rPr>
                <w:rFonts w:cs="Calibri"/>
                <w:sz w:val="16"/>
                <w:szCs w:val="16"/>
              </w:rPr>
            </w:pPr>
          </w:p>
        </w:tc>
        <w:tc>
          <w:tcPr>
            <w:tcW w:w="428" w:type="dxa"/>
          </w:tcPr>
          <w:p w14:paraId="54CD9118" w14:textId="77777777" w:rsidR="002B04EB" w:rsidRPr="003F7F6C" w:rsidRDefault="002B04EB" w:rsidP="00B851B7">
            <w:pPr>
              <w:rPr>
                <w:rFonts w:cs="Calibri"/>
                <w:sz w:val="16"/>
                <w:szCs w:val="16"/>
              </w:rPr>
            </w:pPr>
          </w:p>
        </w:tc>
        <w:tc>
          <w:tcPr>
            <w:tcW w:w="428" w:type="dxa"/>
            <w:gridSpan w:val="2"/>
          </w:tcPr>
          <w:p w14:paraId="6D443A88" w14:textId="77777777" w:rsidR="002B04EB" w:rsidRPr="003F7F6C" w:rsidRDefault="002B04EB" w:rsidP="00B851B7">
            <w:pPr>
              <w:rPr>
                <w:rFonts w:cs="Calibri"/>
                <w:sz w:val="16"/>
                <w:szCs w:val="16"/>
              </w:rPr>
            </w:pPr>
          </w:p>
        </w:tc>
        <w:tc>
          <w:tcPr>
            <w:tcW w:w="428" w:type="dxa"/>
          </w:tcPr>
          <w:p w14:paraId="6D865410" w14:textId="77777777" w:rsidR="002B04EB" w:rsidRPr="003F7F6C" w:rsidRDefault="002B04EB" w:rsidP="00B851B7">
            <w:pPr>
              <w:rPr>
                <w:rFonts w:cs="Calibri"/>
                <w:sz w:val="16"/>
                <w:szCs w:val="16"/>
              </w:rPr>
            </w:pPr>
          </w:p>
        </w:tc>
        <w:tc>
          <w:tcPr>
            <w:tcW w:w="428" w:type="dxa"/>
          </w:tcPr>
          <w:p w14:paraId="5553CFF0" w14:textId="77777777" w:rsidR="002B04EB" w:rsidRPr="003F7F6C" w:rsidRDefault="002B04EB" w:rsidP="00B851B7">
            <w:pPr>
              <w:rPr>
                <w:rFonts w:cs="Calibri"/>
                <w:sz w:val="16"/>
                <w:szCs w:val="16"/>
              </w:rPr>
            </w:pPr>
          </w:p>
        </w:tc>
        <w:tc>
          <w:tcPr>
            <w:tcW w:w="428" w:type="dxa"/>
          </w:tcPr>
          <w:p w14:paraId="0B5D1A35" w14:textId="77777777" w:rsidR="002B04EB" w:rsidRPr="003F7F6C" w:rsidRDefault="002B04EB" w:rsidP="00B851B7">
            <w:pPr>
              <w:rPr>
                <w:rFonts w:cs="Calibri"/>
                <w:sz w:val="16"/>
                <w:szCs w:val="16"/>
              </w:rPr>
            </w:pPr>
          </w:p>
        </w:tc>
        <w:tc>
          <w:tcPr>
            <w:tcW w:w="428" w:type="dxa"/>
            <w:gridSpan w:val="2"/>
          </w:tcPr>
          <w:p w14:paraId="0DC32BF0" w14:textId="77777777" w:rsidR="002B04EB" w:rsidRPr="003F7F6C" w:rsidRDefault="002B04EB" w:rsidP="00B851B7">
            <w:pPr>
              <w:rPr>
                <w:rFonts w:cs="Calibri"/>
                <w:sz w:val="16"/>
                <w:szCs w:val="16"/>
              </w:rPr>
            </w:pPr>
          </w:p>
        </w:tc>
        <w:tc>
          <w:tcPr>
            <w:tcW w:w="428" w:type="dxa"/>
          </w:tcPr>
          <w:p w14:paraId="13795102" w14:textId="77777777" w:rsidR="002B04EB" w:rsidRPr="003F7F6C" w:rsidRDefault="002B04EB" w:rsidP="00B851B7">
            <w:pPr>
              <w:rPr>
                <w:rFonts w:cs="Calibri"/>
                <w:sz w:val="16"/>
                <w:szCs w:val="16"/>
              </w:rPr>
            </w:pPr>
          </w:p>
        </w:tc>
        <w:tc>
          <w:tcPr>
            <w:tcW w:w="428" w:type="dxa"/>
          </w:tcPr>
          <w:p w14:paraId="302583C2" w14:textId="77777777" w:rsidR="002B04EB" w:rsidRPr="003F7F6C" w:rsidRDefault="002B04EB" w:rsidP="00B851B7">
            <w:pPr>
              <w:rPr>
                <w:rFonts w:cs="Calibri"/>
                <w:sz w:val="16"/>
                <w:szCs w:val="16"/>
              </w:rPr>
            </w:pPr>
          </w:p>
        </w:tc>
        <w:tc>
          <w:tcPr>
            <w:tcW w:w="428" w:type="dxa"/>
          </w:tcPr>
          <w:p w14:paraId="2A3C6EA3" w14:textId="77777777" w:rsidR="002B04EB" w:rsidRPr="003F7F6C" w:rsidRDefault="002B04EB" w:rsidP="00B851B7">
            <w:pPr>
              <w:rPr>
                <w:rFonts w:cs="Calibri"/>
                <w:sz w:val="16"/>
                <w:szCs w:val="16"/>
              </w:rPr>
            </w:pPr>
          </w:p>
        </w:tc>
        <w:tc>
          <w:tcPr>
            <w:tcW w:w="428" w:type="dxa"/>
          </w:tcPr>
          <w:p w14:paraId="6B6D2FCA" w14:textId="77777777" w:rsidR="002B04EB" w:rsidRPr="003F7F6C" w:rsidRDefault="002B04EB" w:rsidP="00B851B7">
            <w:pPr>
              <w:rPr>
                <w:rFonts w:cs="Calibri"/>
                <w:sz w:val="16"/>
                <w:szCs w:val="16"/>
              </w:rPr>
            </w:pPr>
          </w:p>
        </w:tc>
      </w:tr>
      <w:tr w:rsidR="002B04EB" w:rsidRPr="003F7F6C" w14:paraId="2FE94A8A" w14:textId="77777777" w:rsidTr="00B851B7">
        <w:tc>
          <w:tcPr>
            <w:tcW w:w="1668" w:type="dxa"/>
          </w:tcPr>
          <w:p w14:paraId="696F9C4B" w14:textId="77777777" w:rsidR="002B04EB" w:rsidRPr="003F7F6C" w:rsidRDefault="002B04EB" w:rsidP="00E91275">
            <w:pPr>
              <w:pStyle w:val="ListParagraph"/>
              <w:numPr>
                <w:ilvl w:val="0"/>
                <w:numId w:val="29"/>
              </w:numPr>
              <w:ind w:left="170" w:hanging="170"/>
              <w:rPr>
                <w:rFonts w:cs="Calibri"/>
                <w:sz w:val="16"/>
                <w:szCs w:val="16"/>
              </w:rPr>
            </w:pPr>
            <w:r w:rsidRPr="003F7F6C">
              <w:rPr>
                <w:rFonts w:cs="Calibri"/>
                <w:sz w:val="16"/>
                <w:szCs w:val="16"/>
              </w:rPr>
              <w:t>Develop regulations for ELUP restrictions in Green Belt</w:t>
            </w:r>
          </w:p>
        </w:tc>
        <w:tc>
          <w:tcPr>
            <w:tcW w:w="1057" w:type="dxa"/>
          </w:tcPr>
          <w:p w14:paraId="79CBC8DA" w14:textId="77777777" w:rsidR="002B04EB" w:rsidRPr="003F7F6C" w:rsidRDefault="002B04EB" w:rsidP="00B851B7">
            <w:pPr>
              <w:rPr>
                <w:sz w:val="16"/>
                <w:szCs w:val="16"/>
              </w:rPr>
            </w:pPr>
            <w:r w:rsidRPr="003F7F6C">
              <w:rPr>
                <w:sz w:val="16"/>
                <w:szCs w:val="16"/>
              </w:rPr>
              <w:t>SAOT</w:t>
            </w:r>
          </w:p>
          <w:p w14:paraId="19E54AB5" w14:textId="77777777" w:rsidR="002B04EB" w:rsidRPr="003F7F6C" w:rsidRDefault="002B04EB" w:rsidP="00B851B7">
            <w:pPr>
              <w:rPr>
                <w:sz w:val="16"/>
                <w:szCs w:val="16"/>
              </w:rPr>
            </w:pPr>
            <w:r w:rsidRPr="003F7F6C">
              <w:rPr>
                <w:sz w:val="16"/>
                <w:szCs w:val="16"/>
              </w:rPr>
              <w:t>INTA</w:t>
            </w:r>
          </w:p>
        </w:tc>
        <w:tc>
          <w:tcPr>
            <w:tcW w:w="428" w:type="dxa"/>
          </w:tcPr>
          <w:p w14:paraId="0C6FD0CF" w14:textId="77777777" w:rsidR="002B04EB" w:rsidRPr="003F7F6C" w:rsidRDefault="002B04EB" w:rsidP="00B851B7">
            <w:pPr>
              <w:rPr>
                <w:rFonts w:cs="Calibri"/>
                <w:sz w:val="16"/>
                <w:szCs w:val="16"/>
              </w:rPr>
            </w:pPr>
          </w:p>
        </w:tc>
        <w:tc>
          <w:tcPr>
            <w:tcW w:w="444" w:type="dxa"/>
          </w:tcPr>
          <w:p w14:paraId="38AA3A84" w14:textId="77777777" w:rsidR="002B04EB" w:rsidRPr="003F7F6C" w:rsidRDefault="002B04EB" w:rsidP="00B851B7">
            <w:pPr>
              <w:rPr>
                <w:rFonts w:cs="Calibri"/>
                <w:sz w:val="16"/>
                <w:szCs w:val="16"/>
              </w:rPr>
            </w:pPr>
          </w:p>
        </w:tc>
        <w:tc>
          <w:tcPr>
            <w:tcW w:w="428" w:type="dxa"/>
          </w:tcPr>
          <w:p w14:paraId="75939EF6" w14:textId="77777777" w:rsidR="002B04EB" w:rsidRPr="003F7F6C" w:rsidRDefault="002B04EB" w:rsidP="00B851B7">
            <w:r w:rsidRPr="003F7F6C">
              <w:rPr>
                <w:rFonts w:cs="Calibri"/>
                <w:sz w:val="16"/>
                <w:szCs w:val="16"/>
              </w:rPr>
              <w:t>X</w:t>
            </w:r>
          </w:p>
        </w:tc>
        <w:tc>
          <w:tcPr>
            <w:tcW w:w="428" w:type="dxa"/>
            <w:gridSpan w:val="2"/>
          </w:tcPr>
          <w:p w14:paraId="3B46285F" w14:textId="77777777" w:rsidR="002B04EB" w:rsidRPr="003F7F6C" w:rsidRDefault="002B04EB" w:rsidP="00B851B7">
            <w:r w:rsidRPr="003F7F6C">
              <w:rPr>
                <w:rFonts w:cs="Calibri"/>
                <w:sz w:val="16"/>
                <w:szCs w:val="16"/>
              </w:rPr>
              <w:t>X</w:t>
            </w:r>
          </w:p>
        </w:tc>
        <w:tc>
          <w:tcPr>
            <w:tcW w:w="428" w:type="dxa"/>
          </w:tcPr>
          <w:p w14:paraId="0D8798A9" w14:textId="77777777" w:rsidR="002B04EB" w:rsidRPr="003F7F6C" w:rsidRDefault="002B04EB" w:rsidP="00B851B7">
            <w:r w:rsidRPr="003F7F6C">
              <w:rPr>
                <w:rFonts w:cs="Calibri"/>
                <w:sz w:val="16"/>
                <w:szCs w:val="16"/>
              </w:rPr>
              <w:t>X</w:t>
            </w:r>
          </w:p>
        </w:tc>
        <w:tc>
          <w:tcPr>
            <w:tcW w:w="427" w:type="dxa"/>
          </w:tcPr>
          <w:p w14:paraId="25F83E33" w14:textId="77777777" w:rsidR="002B04EB" w:rsidRPr="003F7F6C" w:rsidRDefault="002B04EB" w:rsidP="00B851B7">
            <w:r w:rsidRPr="003F7F6C">
              <w:rPr>
                <w:rFonts w:cs="Calibri"/>
                <w:sz w:val="16"/>
                <w:szCs w:val="16"/>
              </w:rPr>
              <w:t>X</w:t>
            </w:r>
          </w:p>
        </w:tc>
        <w:tc>
          <w:tcPr>
            <w:tcW w:w="427" w:type="dxa"/>
          </w:tcPr>
          <w:p w14:paraId="3F76E3D9" w14:textId="77777777" w:rsidR="002B04EB" w:rsidRPr="003F7F6C" w:rsidRDefault="002B04EB" w:rsidP="00B851B7">
            <w:r w:rsidRPr="003F7F6C">
              <w:rPr>
                <w:rFonts w:cs="Calibri"/>
                <w:sz w:val="16"/>
                <w:szCs w:val="16"/>
              </w:rPr>
              <w:t>X</w:t>
            </w:r>
          </w:p>
        </w:tc>
        <w:tc>
          <w:tcPr>
            <w:tcW w:w="427" w:type="dxa"/>
            <w:gridSpan w:val="2"/>
          </w:tcPr>
          <w:p w14:paraId="4F0FD3F2" w14:textId="77777777" w:rsidR="002B04EB" w:rsidRPr="003F7F6C" w:rsidRDefault="002B04EB" w:rsidP="00B851B7">
            <w:r w:rsidRPr="003F7F6C">
              <w:rPr>
                <w:rFonts w:cs="Calibri"/>
                <w:sz w:val="16"/>
                <w:szCs w:val="16"/>
              </w:rPr>
              <w:t>X</w:t>
            </w:r>
          </w:p>
        </w:tc>
        <w:tc>
          <w:tcPr>
            <w:tcW w:w="428" w:type="dxa"/>
          </w:tcPr>
          <w:p w14:paraId="2D42DC22" w14:textId="77777777" w:rsidR="002B04EB" w:rsidRPr="003F7F6C" w:rsidRDefault="002B04EB" w:rsidP="00B851B7">
            <w:pPr>
              <w:rPr>
                <w:rFonts w:cs="Calibri"/>
                <w:sz w:val="16"/>
                <w:szCs w:val="16"/>
              </w:rPr>
            </w:pPr>
          </w:p>
        </w:tc>
        <w:tc>
          <w:tcPr>
            <w:tcW w:w="428" w:type="dxa"/>
          </w:tcPr>
          <w:p w14:paraId="7903C96F" w14:textId="77777777" w:rsidR="002B04EB" w:rsidRPr="003F7F6C" w:rsidRDefault="002B04EB" w:rsidP="00B851B7">
            <w:pPr>
              <w:rPr>
                <w:rFonts w:cs="Calibri"/>
                <w:sz w:val="16"/>
                <w:szCs w:val="16"/>
              </w:rPr>
            </w:pPr>
          </w:p>
        </w:tc>
        <w:tc>
          <w:tcPr>
            <w:tcW w:w="428" w:type="dxa"/>
          </w:tcPr>
          <w:p w14:paraId="2153934C" w14:textId="77777777" w:rsidR="002B04EB" w:rsidRPr="003F7F6C" w:rsidRDefault="002B04EB" w:rsidP="00B851B7">
            <w:pPr>
              <w:rPr>
                <w:rFonts w:cs="Calibri"/>
                <w:sz w:val="16"/>
                <w:szCs w:val="16"/>
              </w:rPr>
            </w:pPr>
          </w:p>
        </w:tc>
        <w:tc>
          <w:tcPr>
            <w:tcW w:w="428" w:type="dxa"/>
            <w:gridSpan w:val="2"/>
          </w:tcPr>
          <w:p w14:paraId="1E469AB6" w14:textId="77777777" w:rsidR="002B04EB" w:rsidRPr="003F7F6C" w:rsidRDefault="002B04EB" w:rsidP="00B851B7">
            <w:pPr>
              <w:rPr>
                <w:rFonts w:cs="Calibri"/>
                <w:sz w:val="16"/>
                <w:szCs w:val="16"/>
              </w:rPr>
            </w:pPr>
          </w:p>
        </w:tc>
        <w:tc>
          <w:tcPr>
            <w:tcW w:w="428" w:type="dxa"/>
          </w:tcPr>
          <w:p w14:paraId="15A9F244" w14:textId="77777777" w:rsidR="002B04EB" w:rsidRPr="003F7F6C" w:rsidRDefault="002B04EB" w:rsidP="00B851B7"/>
        </w:tc>
        <w:tc>
          <w:tcPr>
            <w:tcW w:w="428" w:type="dxa"/>
          </w:tcPr>
          <w:p w14:paraId="33BFCC62" w14:textId="77777777" w:rsidR="002B04EB" w:rsidRPr="003F7F6C" w:rsidRDefault="002B04EB" w:rsidP="00B851B7">
            <w:pPr>
              <w:rPr>
                <w:rFonts w:cs="Calibri"/>
                <w:sz w:val="16"/>
                <w:szCs w:val="16"/>
              </w:rPr>
            </w:pPr>
          </w:p>
        </w:tc>
        <w:tc>
          <w:tcPr>
            <w:tcW w:w="428" w:type="dxa"/>
          </w:tcPr>
          <w:p w14:paraId="60108F7C" w14:textId="77777777" w:rsidR="002B04EB" w:rsidRPr="003F7F6C" w:rsidRDefault="002B04EB" w:rsidP="00B851B7">
            <w:pPr>
              <w:rPr>
                <w:rFonts w:cs="Calibri"/>
                <w:sz w:val="16"/>
                <w:szCs w:val="16"/>
              </w:rPr>
            </w:pPr>
          </w:p>
        </w:tc>
        <w:tc>
          <w:tcPr>
            <w:tcW w:w="428" w:type="dxa"/>
            <w:gridSpan w:val="2"/>
          </w:tcPr>
          <w:p w14:paraId="765D779D" w14:textId="77777777" w:rsidR="002B04EB" w:rsidRPr="003F7F6C" w:rsidRDefault="002B04EB" w:rsidP="00B851B7">
            <w:pPr>
              <w:rPr>
                <w:rFonts w:cs="Calibri"/>
                <w:sz w:val="16"/>
                <w:szCs w:val="16"/>
              </w:rPr>
            </w:pPr>
          </w:p>
        </w:tc>
        <w:tc>
          <w:tcPr>
            <w:tcW w:w="428" w:type="dxa"/>
          </w:tcPr>
          <w:p w14:paraId="7AC2ADA1" w14:textId="77777777" w:rsidR="002B04EB" w:rsidRPr="003F7F6C" w:rsidRDefault="002B04EB" w:rsidP="00B851B7">
            <w:pPr>
              <w:rPr>
                <w:rFonts w:cs="Calibri"/>
                <w:sz w:val="16"/>
                <w:szCs w:val="16"/>
              </w:rPr>
            </w:pPr>
          </w:p>
        </w:tc>
        <w:tc>
          <w:tcPr>
            <w:tcW w:w="428" w:type="dxa"/>
          </w:tcPr>
          <w:p w14:paraId="198BF366" w14:textId="77777777" w:rsidR="002B04EB" w:rsidRPr="003F7F6C" w:rsidRDefault="002B04EB" w:rsidP="00B851B7">
            <w:pPr>
              <w:rPr>
                <w:rFonts w:cs="Calibri"/>
                <w:sz w:val="16"/>
                <w:szCs w:val="16"/>
              </w:rPr>
            </w:pPr>
          </w:p>
        </w:tc>
        <w:tc>
          <w:tcPr>
            <w:tcW w:w="428" w:type="dxa"/>
          </w:tcPr>
          <w:p w14:paraId="290557EA" w14:textId="77777777" w:rsidR="002B04EB" w:rsidRPr="003F7F6C" w:rsidRDefault="002B04EB" w:rsidP="00B851B7">
            <w:pPr>
              <w:rPr>
                <w:rFonts w:cs="Calibri"/>
                <w:sz w:val="16"/>
                <w:szCs w:val="16"/>
              </w:rPr>
            </w:pPr>
          </w:p>
        </w:tc>
        <w:tc>
          <w:tcPr>
            <w:tcW w:w="428" w:type="dxa"/>
            <w:gridSpan w:val="2"/>
          </w:tcPr>
          <w:p w14:paraId="4D0A66E7" w14:textId="77777777" w:rsidR="002B04EB" w:rsidRPr="003F7F6C" w:rsidRDefault="002B04EB" w:rsidP="00B851B7">
            <w:pPr>
              <w:rPr>
                <w:rFonts w:cs="Calibri"/>
                <w:sz w:val="16"/>
                <w:szCs w:val="16"/>
              </w:rPr>
            </w:pPr>
          </w:p>
        </w:tc>
        <w:tc>
          <w:tcPr>
            <w:tcW w:w="428" w:type="dxa"/>
          </w:tcPr>
          <w:p w14:paraId="231A7CEB" w14:textId="77777777" w:rsidR="002B04EB" w:rsidRPr="003F7F6C" w:rsidRDefault="002B04EB" w:rsidP="00B851B7">
            <w:pPr>
              <w:rPr>
                <w:rFonts w:cs="Calibri"/>
                <w:sz w:val="16"/>
                <w:szCs w:val="16"/>
              </w:rPr>
            </w:pPr>
          </w:p>
        </w:tc>
        <w:tc>
          <w:tcPr>
            <w:tcW w:w="428" w:type="dxa"/>
          </w:tcPr>
          <w:p w14:paraId="4A370469" w14:textId="77777777" w:rsidR="002B04EB" w:rsidRPr="003F7F6C" w:rsidRDefault="002B04EB" w:rsidP="00B851B7">
            <w:pPr>
              <w:rPr>
                <w:rFonts w:cs="Calibri"/>
                <w:sz w:val="16"/>
                <w:szCs w:val="16"/>
              </w:rPr>
            </w:pPr>
          </w:p>
        </w:tc>
        <w:tc>
          <w:tcPr>
            <w:tcW w:w="428" w:type="dxa"/>
          </w:tcPr>
          <w:p w14:paraId="3BB0FD19" w14:textId="77777777" w:rsidR="002B04EB" w:rsidRPr="003F7F6C" w:rsidRDefault="002B04EB" w:rsidP="00B851B7">
            <w:pPr>
              <w:rPr>
                <w:rFonts w:cs="Calibri"/>
                <w:sz w:val="16"/>
                <w:szCs w:val="16"/>
              </w:rPr>
            </w:pPr>
          </w:p>
        </w:tc>
        <w:tc>
          <w:tcPr>
            <w:tcW w:w="428" w:type="dxa"/>
          </w:tcPr>
          <w:p w14:paraId="0FEA7077" w14:textId="77777777" w:rsidR="002B04EB" w:rsidRPr="003F7F6C" w:rsidRDefault="002B04EB" w:rsidP="00B851B7">
            <w:pPr>
              <w:rPr>
                <w:rFonts w:cs="Calibri"/>
                <w:sz w:val="16"/>
                <w:szCs w:val="16"/>
              </w:rPr>
            </w:pPr>
          </w:p>
        </w:tc>
      </w:tr>
      <w:tr w:rsidR="002B04EB" w:rsidRPr="003F7F6C" w14:paraId="7A7E5A39" w14:textId="77777777" w:rsidTr="00B851B7">
        <w:tc>
          <w:tcPr>
            <w:tcW w:w="1668" w:type="dxa"/>
          </w:tcPr>
          <w:p w14:paraId="23DD6AA6" w14:textId="77777777" w:rsidR="002B04EB" w:rsidRPr="003F7F6C" w:rsidRDefault="002B04EB" w:rsidP="00E91275">
            <w:pPr>
              <w:pStyle w:val="ListParagraph"/>
              <w:numPr>
                <w:ilvl w:val="0"/>
                <w:numId w:val="29"/>
              </w:numPr>
              <w:ind w:left="170" w:hanging="170"/>
              <w:rPr>
                <w:rFonts w:cs="Calibri"/>
                <w:sz w:val="16"/>
                <w:szCs w:val="16"/>
              </w:rPr>
            </w:pPr>
            <w:r w:rsidRPr="003F7F6C">
              <w:rPr>
                <w:rFonts w:cs="Calibri"/>
                <w:sz w:val="16"/>
                <w:szCs w:val="16"/>
              </w:rPr>
              <w:t>Assess national programs in Malargue</w:t>
            </w:r>
          </w:p>
        </w:tc>
        <w:tc>
          <w:tcPr>
            <w:tcW w:w="1057" w:type="dxa"/>
          </w:tcPr>
          <w:p w14:paraId="005125F8" w14:textId="77777777" w:rsidR="002B04EB" w:rsidRPr="003F7F6C" w:rsidRDefault="002B04EB" w:rsidP="00B851B7">
            <w:pPr>
              <w:rPr>
                <w:sz w:val="16"/>
                <w:szCs w:val="16"/>
              </w:rPr>
            </w:pPr>
            <w:r w:rsidRPr="003F7F6C">
              <w:rPr>
                <w:sz w:val="16"/>
                <w:szCs w:val="16"/>
              </w:rPr>
              <w:t>SAOT</w:t>
            </w:r>
          </w:p>
          <w:p w14:paraId="442A4F65" w14:textId="77777777" w:rsidR="002B04EB" w:rsidRPr="003F7F6C" w:rsidRDefault="002B04EB" w:rsidP="00B851B7">
            <w:pPr>
              <w:rPr>
                <w:sz w:val="16"/>
                <w:szCs w:val="16"/>
              </w:rPr>
            </w:pPr>
            <w:r w:rsidRPr="003F7F6C">
              <w:rPr>
                <w:sz w:val="16"/>
                <w:szCs w:val="16"/>
              </w:rPr>
              <w:t>INTA</w:t>
            </w:r>
          </w:p>
        </w:tc>
        <w:tc>
          <w:tcPr>
            <w:tcW w:w="428" w:type="dxa"/>
          </w:tcPr>
          <w:p w14:paraId="2634A74B" w14:textId="77777777" w:rsidR="002B04EB" w:rsidRPr="003F7F6C" w:rsidRDefault="002B04EB" w:rsidP="00B851B7">
            <w:pPr>
              <w:rPr>
                <w:rFonts w:cs="Calibri"/>
                <w:sz w:val="16"/>
                <w:szCs w:val="16"/>
              </w:rPr>
            </w:pPr>
          </w:p>
        </w:tc>
        <w:tc>
          <w:tcPr>
            <w:tcW w:w="444" w:type="dxa"/>
          </w:tcPr>
          <w:p w14:paraId="4D02A2B1" w14:textId="77777777" w:rsidR="002B04EB" w:rsidRPr="003F7F6C" w:rsidRDefault="002B04EB" w:rsidP="00B851B7">
            <w:pPr>
              <w:rPr>
                <w:rFonts w:cs="Calibri"/>
                <w:sz w:val="16"/>
                <w:szCs w:val="16"/>
              </w:rPr>
            </w:pPr>
          </w:p>
        </w:tc>
        <w:tc>
          <w:tcPr>
            <w:tcW w:w="428" w:type="dxa"/>
          </w:tcPr>
          <w:p w14:paraId="79282DD9" w14:textId="77777777" w:rsidR="002B04EB" w:rsidRPr="003F7F6C" w:rsidRDefault="002B04EB" w:rsidP="00B851B7">
            <w:r w:rsidRPr="003F7F6C">
              <w:rPr>
                <w:rFonts w:cs="Calibri"/>
                <w:sz w:val="16"/>
                <w:szCs w:val="16"/>
              </w:rPr>
              <w:t>X</w:t>
            </w:r>
          </w:p>
        </w:tc>
        <w:tc>
          <w:tcPr>
            <w:tcW w:w="428" w:type="dxa"/>
            <w:gridSpan w:val="2"/>
          </w:tcPr>
          <w:p w14:paraId="1573DDF6" w14:textId="77777777" w:rsidR="002B04EB" w:rsidRPr="003F7F6C" w:rsidRDefault="002B04EB" w:rsidP="00B851B7">
            <w:r w:rsidRPr="003F7F6C">
              <w:rPr>
                <w:rFonts w:cs="Calibri"/>
                <w:sz w:val="16"/>
                <w:szCs w:val="16"/>
              </w:rPr>
              <w:t>X</w:t>
            </w:r>
          </w:p>
        </w:tc>
        <w:tc>
          <w:tcPr>
            <w:tcW w:w="428" w:type="dxa"/>
          </w:tcPr>
          <w:p w14:paraId="1916F139" w14:textId="77777777" w:rsidR="002B04EB" w:rsidRPr="003F7F6C" w:rsidRDefault="002B04EB" w:rsidP="00B851B7">
            <w:r w:rsidRPr="003F7F6C">
              <w:rPr>
                <w:rFonts w:cs="Calibri"/>
                <w:sz w:val="16"/>
                <w:szCs w:val="16"/>
              </w:rPr>
              <w:t>X</w:t>
            </w:r>
          </w:p>
        </w:tc>
        <w:tc>
          <w:tcPr>
            <w:tcW w:w="427" w:type="dxa"/>
          </w:tcPr>
          <w:p w14:paraId="2030DCCB" w14:textId="77777777" w:rsidR="002B04EB" w:rsidRPr="003F7F6C" w:rsidRDefault="002B04EB" w:rsidP="00B851B7">
            <w:r w:rsidRPr="003F7F6C">
              <w:rPr>
                <w:rFonts w:cs="Calibri"/>
                <w:sz w:val="16"/>
                <w:szCs w:val="16"/>
              </w:rPr>
              <w:t>X</w:t>
            </w:r>
          </w:p>
        </w:tc>
        <w:tc>
          <w:tcPr>
            <w:tcW w:w="427" w:type="dxa"/>
          </w:tcPr>
          <w:p w14:paraId="0D931D5C" w14:textId="77777777" w:rsidR="002B04EB" w:rsidRPr="003F7F6C" w:rsidRDefault="002B04EB" w:rsidP="00B851B7">
            <w:r w:rsidRPr="003F7F6C">
              <w:rPr>
                <w:rFonts w:cs="Calibri"/>
                <w:sz w:val="16"/>
                <w:szCs w:val="16"/>
              </w:rPr>
              <w:t>X</w:t>
            </w:r>
          </w:p>
        </w:tc>
        <w:tc>
          <w:tcPr>
            <w:tcW w:w="427" w:type="dxa"/>
            <w:gridSpan w:val="2"/>
          </w:tcPr>
          <w:p w14:paraId="5FD9FC15" w14:textId="77777777" w:rsidR="002B04EB" w:rsidRPr="003F7F6C" w:rsidRDefault="002B04EB" w:rsidP="00B851B7">
            <w:r w:rsidRPr="003F7F6C">
              <w:rPr>
                <w:rFonts w:cs="Calibri"/>
                <w:sz w:val="16"/>
                <w:szCs w:val="16"/>
              </w:rPr>
              <w:t>X</w:t>
            </w:r>
          </w:p>
        </w:tc>
        <w:tc>
          <w:tcPr>
            <w:tcW w:w="428" w:type="dxa"/>
          </w:tcPr>
          <w:p w14:paraId="48A88B2B" w14:textId="77777777" w:rsidR="002B04EB" w:rsidRPr="003F7F6C" w:rsidRDefault="002B04EB" w:rsidP="00B851B7">
            <w:pPr>
              <w:rPr>
                <w:rFonts w:cs="Calibri"/>
                <w:sz w:val="16"/>
                <w:szCs w:val="16"/>
              </w:rPr>
            </w:pPr>
          </w:p>
        </w:tc>
        <w:tc>
          <w:tcPr>
            <w:tcW w:w="428" w:type="dxa"/>
          </w:tcPr>
          <w:p w14:paraId="04EFCCC9" w14:textId="77777777" w:rsidR="002B04EB" w:rsidRPr="003F7F6C" w:rsidRDefault="002B04EB" w:rsidP="00B851B7">
            <w:pPr>
              <w:rPr>
                <w:rFonts w:cs="Calibri"/>
                <w:sz w:val="16"/>
                <w:szCs w:val="16"/>
              </w:rPr>
            </w:pPr>
          </w:p>
        </w:tc>
        <w:tc>
          <w:tcPr>
            <w:tcW w:w="428" w:type="dxa"/>
          </w:tcPr>
          <w:p w14:paraId="7E8FFE87" w14:textId="77777777" w:rsidR="002B04EB" w:rsidRPr="003F7F6C" w:rsidRDefault="002B04EB" w:rsidP="00B851B7">
            <w:pPr>
              <w:rPr>
                <w:rFonts w:cs="Calibri"/>
                <w:sz w:val="16"/>
                <w:szCs w:val="16"/>
              </w:rPr>
            </w:pPr>
          </w:p>
        </w:tc>
        <w:tc>
          <w:tcPr>
            <w:tcW w:w="428" w:type="dxa"/>
            <w:gridSpan w:val="2"/>
          </w:tcPr>
          <w:p w14:paraId="75247421" w14:textId="77777777" w:rsidR="002B04EB" w:rsidRPr="003F7F6C" w:rsidRDefault="002B04EB" w:rsidP="00B851B7">
            <w:pPr>
              <w:rPr>
                <w:rFonts w:cs="Calibri"/>
                <w:sz w:val="16"/>
                <w:szCs w:val="16"/>
              </w:rPr>
            </w:pPr>
          </w:p>
        </w:tc>
        <w:tc>
          <w:tcPr>
            <w:tcW w:w="428" w:type="dxa"/>
          </w:tcPr>
          <w:p w14:paraId="12881632" w14:textId="77777777" w:rsidR="002B04EB" w:rsidRPr="003F7F6C" w:rsidRDefault="002B04EB" w:rsidP="00B851B7"/>
        </w:tc>
        <w:tc>
          <w:tcPr>
            <w:tcW w:w="428" w:type="dxa"/>
          </w:tcPr>
          <w:p w14:paraId="09C8278D" w14:textId="77777777" w:rsidR="002B04EB" w:rsidRPr="003F7F6C" w:rsidRDefault="002B04EB" w:rsidP="00B851B7">
            <w:pPr>
              <w:rPr>
                <w:rFonts w:cs="Calibri"/>
                <w:sz w:val="16"/>
                <w:szCs w:val="16"/>
              </w:rPr>
            </w:pPr>
          </w:p>
        </w:tc>
        <w:tc>
          <w:tcPr>
            <w:tcW w:w="428" w:type="dxa"/>
          </w:tcPr>
          <w:p w14:paraId="5EA20637" w14:textId="77777777" w:rsidR="002B04EB" w:rsidRPr="003F7F6C" w:rsidRDefault="002B04EB" w:rsidP="00B851B7">
            <w:pPr>
              <w:rPr>
                <w:rFonts w:cs="Calibri"/>
                <w:sz w:val="16"/>
                <w:szCs w:val="16"/>
              </w:rPr>
            </w:pPr>
          </w:p>
        </w:tc>
        <w:tc>
          <w:tcPr>
            <w:tcW w:w="428" w:type="dxa"/>
            <w:gridSpan w:val="2"/>
          </w:tcPr>
          <w:p w14:paraId="08D55C74" w14:textId="77777777" w:rsidR="002B04EB" w:rsidRPr="003F7F6C" w:rsidRDefault="002B04EB" w:rsidP="00B851B7">
            <w:pPr>
              <w:rPr>
                <w:rFonts w:cs="Calibri"/>
                <w:sz w:val="16"/>
                <w:szCs w:val="16"/>
              </w:rPr>
            </w:pPr>
          </w:p>
        </w:tc>
        <w:tc>
          <w:tcPr>
            <w:tcW w:w="428" w:type="dxa"/>
          </w:tcPr>
          <w:p w14:paraId="7C4873E7" w14:textId="77777777" w:rsidR="002B04EB" w:rsidRPr="003F7F6C" w:rsidRDefault="002B04EB" w:rsidP="00B851B7">
            <w:pPr>
              <w:rPr>
                <w:rFonts w:cs="Calibri"/>
                <w:sz w:val="16"/>
                <w:szCs w:val="16"/>
              </w:rPr>
            </w:pPr>
          </w:p>
        </w:tc>
        <w:tc>
          <w:tcPr>
            <w:tcW w:w="428" w:type="dxa"/>
          </w:tcPr>
          <w:p w14:paraId="029353BE" w14:textId="77777777" w:rsidR="002B04EB" w:rsidRPr="003F7F6C" w:rsidRDefault="002B04EB" w:rsidP="00B851B7">
            <w:pPr>
              <w:rPr>
                <w:rFonts w:cs="Calibri"/>
                <w:sz w:val="16"/>
                <w:szCs w:val="16"/>
              </w:rPr>
            </w:pPr>
          </w:p>
        </w:tc>
        <w:tc>
          <w:tcPr>
            <w:tcW w:w="428" w:type="dxa"/>
          </w:tcPr>
          <w:p w14:paraId="69004603" w14:textId="77777777" w:rsidR="002B04EB" w:rsidRPr="003F7F6C" w:rsidRDefault="002B04EB" w:rsidP="00B851B7">
            <w:pPr>
              <w:rPr>
                <w:rFonts w:cs="Calibri"/>
                <w:sz w:val="16"/>
                <w:szCs w:val="16"/>
              </w:rPr>
            </w:pPr>
          </w:p>
        </w:tc>
        <w:tc>
          <w:tcPr>
            <w:tcW w:w="428" w:type="dxa"/>
            <w:gridSpan w:val="2"/>
          </w:tcPr>
          <w:p w14:paraId="4A8ABE74" w14:textId="77777777" w:rsidR="002B04EB" w:rsidRPr="003F7F6C" w:rsidRDefault="002B04EB" w:rsidP="00B851B7">
            <w:pPr>
              <w:rPr>
                <w:rFonts w:cs="Calibri"/>
                <w:sz w:val="16"/>
                <w:szCs w:val="16"/>
              </w:rPr>
            </w:pPr>
          </w:p>
        </w:tc>
        <w:tc>
          <w:tcPr>
            <w:tcW w:w="428" w:type="dxa"/>
          </w:tcPr>
          <w:p w14:paraId="47B93F0F" w14:textId="77777777" w:rsidR="002B04EB" w:rsidRPr="003F7F6C" w:rsidRDefault="002B04EB" w:rsidP="00B851B7">
            <w:pPr>
              <w:rPr>
                <w:rFonts w:cs="Calibri"/>
                <w:sz w:val="16"/>
                <w:szCs w:val="16"/>
              </w:rPr>
            </w:pPr>
          </w:p>
        </w:tc>
        <w:tc>
          <w:tcPr>
            <w:tcW w:w="428" w:type="dxa"/>
          </w:tcPr>
          <w:p w14:paraId="28B4F0E7" w14:textId="77777777" w:rsidR="002B04EB" w:rsidRPr="003F7F6C" w:rsidRDefault="002B04EB" w:rsidP="00B851B7">
            <w:pPr>
              <w:rPr>
                <w:rFonts w:cs="Calibri"/>
                <w:sz w:val="16"/>
                <w:szCs w:val="16"/>
              </w:rPr>
            </w:pPr>
          </w:p>
        </w:tc>
        <w:tc>
          <w:tcPr>
            <w:tcW w:w="428" w:type="dxa"/>
          </w:tcPr>
          <w:p w14:paraId="408A8836" w14:textId="77777777" w:rsidR="002B04EB" w:rsidRPr="003F7F6C" w:rsidRDefault="002B04EB" w:rsidP="00B851B7">
            <w:pPr>
              <w:rPr>
                <w:rFonts w:cs="Calibri"/>
                <w:sz w:val="16"/>
                <w:szCs w:val="16"/>
              </w:rPr>
            </w:pPr>
          </w:p>
        </w:tc>
        <w:tc>
          <w:tcPr>
            <w:tcW w:w="428" w:type="dxa"/>
          </w:tcPr>
          <w:p w14:paraId="1D986599" w14:textId="77777777" w:rsidR="002B04EB" w:rsidRPr="003F7F6C" w:rsidRDefault="002B04EB" w:rsidP="00B851B7">
            <w:pPr>
              <w:rPr>
                <w:rFonts w:cs="Calibri"/>
                <w:sz w:val="16"/>
                <w:szCs w:val="16"/>
              </w:rPr>
            </w:pPr>
          </w:p>
        </w:tc>
      </w:tr>
      <w:tr w:rsidR="002B04EB" w:rsidRPr="003F7F6C" w14:paraId="76F066E2" w14:textId="77777777" w:rsidTr="00B851B7">
        <w:tc>
          <w:tcPr>
            <w:tcW w:w="1668" w:type="dxa"/>
          </w:tcPr>
          <w:p w14:paraId="5C582D06" w14:textId="77777777" w:rsidR="002B04EB" w:rsidRPr="003F7F6C" w:rsidRDefault="002B04EB" w:rsidP="00E91275">
            <w:pPr>
              <w:pStyle w:val="ListParagraph"/>
              <w:numPr>
                <w:ilvl w:val="0"/>
                <w:numId w:val="29"/>
              </w:numPr>
              <w:ind w:left="170" w:hanging="170"/>
              <w:rPr>
                <w:rFonts w:cs="Calibri"/>
                <w:sz w:val="16"/>
                <w:szCs w:val="16"/>
              </w:rPr>
            </w:pPr>
            <w:r w:rsidRPr="003F7F6C">
              <w:rPr>
                <w:rFonts w:cs="Calibri"/>
                <w:sz w:val="16"/>
                <w:szCs w:val="16"/>
              </w:rPr>
              <w:t>Implement ELUP regulations and economic instruments</w:t>
            </w:r>
          </w:p>
        </w:tc>
        <w:tc>
          <w:tcPr>
            <w:tcW w:w="1057" w:type="dxa"/>
          </w:tcPr>
          <w:p w14:paraId="3DC423CF" w14:textId="77777777" w:rsidR="002B04EB" w:rsidRPr="003F7F6C" w:rsidRDefault="002B04EB" w:rsidP="00B851B7">
            <w:pPr>
              <w:rPr>
                <w:sz w:val="16"/>
                <w:szCs w:val="16"/>
              </w:rPr>
            </w:pPr>
            <w:r w:rsidRPr="003F7F6C">
              <w:rPr>
                <w:sz w:val="16"/>
                <w:szCs w:val="16"/>
              </w:rPr>
              <w:t>SAOT</w:t>
            </w:r>
          </w:p>
          <w:p w14:paraId="289E93DE" w14:textId="77777777" w:rsidR="002B04EB" w:rsidRPr="003F7F6C" w:rsidRDefault="002B04EB" w:rsidP="00B851B7">
            <w:pPr>
              <w:rPr>
                <w:sz w:val="16"/>
                <w:szCs w:val="16"/>
              </w:rPr>
            </w:pPr>
          </w:p>
        </w:tc>
        <w:tc>
          <w:tcPr>
            <w:tcW w:w="428" w:type="dxa"/>
          </w:tcPr>
          <w:p w14:paraId="669B730E" w14:textId="77777777" w:rsidR="002B04EB" w:rsidRPr="003F7F6C" w:rsidRDefault="002B04EB" w:rsidP="00B851B7">
            <w:pPr>
              <w:rPr>
                <w:rFonts w:cs="Calibri"/>
                <w:sz w:val="16"/>
                <w:szCs w:val="16"/>
              </w:rPr>
            </w:pPr>
          </w:p>
        </w:tc>
        <w:tc>
          <w:tcPr>
            <w:tcW w:w="444" w:type="dxa"/>
          </w:tcPr>
          <w:p w14:paraId="7499BDE5" w14:textId="77777777" w:rsidR="002B04EB" w:rsidRPr="003F7F6C" w:rsidRDefault="002B04EB" w:rsidP="00B851B7">
            <w:pPr>
              <w:rPr>
                <w:rFonts w:cs="Calibri"/>
                <w:sz w:val="16"/>
                <w:szCs w:val="16"/>
              </w:rPr>
            </w:pPr>
          </w:p>
        </w:tc>
        <w:tc>
          <w:tcPr>
            <w:tcW w:w="428" w:type="dxa"/>
          </w:tcPr>
          <w:p w14:paraId="4916E3EA" w14:textId="77777777" w:rsidR="002B04EB" w:rsidRPr="003F7F6C" w:rsidRDefault="002B04EB" w:rsidP="00B851B7">
            <w:pPr>
              <w:rPr>
                <w:rFonts w:cs="Calibri"/>
                <w:sz w:val="16"/>
                <w:szCs w:val="16"/>
              </w:rPr>
            </w:pPr>
          </w:p>
        </w:tc>
        <w:tc>
          <w:tcPr>
            <w:tcW w:w="428" w:type="dxa"/>
            <w:gridSpan w:val="2"/>
          </w:tcPr>
          <w:p w14:paraId="0E326D3D" w14:textId="77777777" w:rsidR="002B04EB" w:rsidRPr="003F7F6C" w:rsidRDefault="002B04EB" w:rsidP="00B851B7">
            <w:pPr>
              <w:rPr>
                <w:rFonts w:cs="Calibri"/>
                <w:sz w:val="16"/>
                <w:szCs w:val="16"/>
              </w:rPr>
            </w:pPr>
          </w:p>
        </w:tc>
        <w:tc>
          <w:tcPr>
            <w:tcW w:w="428" w:type="dxa"/>
          </w:tcPr>
          <w:p w14:paraId="3F957FD9" w14:textId="77777777" w:rsidR="002B04EB" w:rsidRPr="003F7F6C" w:rsidRDefault="002B04EB" w:rsidP="00B851B7">
            <w:pPr>
              <w:rPr>
                <w:rFonts w:cs="Calibri"/>
                <w:sz w:val="16"/>
                <w:szCs w:val="16"/>
              </w:rPr>
            </w:pPr>
          </w:p>
        </w:tc>
        <w:tc>
          <w:tcPr>
            <w:tcW w:w="427" w:type="dxa"/>
          </w:tcPr>
          <w:p w14:paraId="655674A2" w14:textId="77777777" w:rsidR="002B04EB" w:rsidRPr="003F7F6C" w:rsidRDefault="002B04EB" w:rsidP="00B851B7">
            <w:pPr>
              <w:rPr>
                <w:rFonts w:cs="Calibri"/>
                <w:sz w:val="16"/>
                <w:szCs w:val="16"/>
              </w:rPr>
            </w:pPr>
          </w:p>
        </w:tc>
        <w:tc>
          <w:tcPr>
            <w:tcW w:w="427" w:type="dxa"/>
          </w:tcPr>
          <w:p w14:paraId="40C54BA9" w14:textId="77777777" w:rsidR="002B04EB" w:rsidRPr="003F7F6C" w:rsidRDefault="002B04EB" w:rsidP="00B851B7">
            <w:pPr>
              <w:rPr>
                <w:rFonts w:cs="Calibri"/>
                <w:sz w:val="16"/>
                <w:szCs w:val="16"/>
              </w:rPr>
            </w:pPr>
          </w:p>
        </w:tc>
        <w:tc>
          <w:tcPr>
            <w:tcW w:w="427" w:type="dxa"/>
            <w:gridSpan w:val="2"/>
          </w:tcPr>
          <w:p w14:paraId="6BF45FF1" w14:textId="77777777" w:rsidR="002B04EB" w:rsidRPr="003F7F6C" w:rsidRDefault="002B04EB" w:rsidP="00B851B7">
            <w:pPr>
              <w:rPr>
                <w:rFonts w:cs="Calibri"/>
                <w:sz w:val="16"/>
                <w:szCs w:val="16"/>
              </w:rPr>
            </w:pPr>
          </w:p>
        </w:tc>
        <w:tc>
          <w:tcPr>
            <w:tcW w:w="428" w:type="dxa"/>
          </w:tcPr>
          <w:p w14:paraId="1911A0AE" w14:textId="77777777" w:rsidR="002B04EB" w:rsidRPr="003F7F6C" w:rsidRDefault="002B04EB" w:rsidP="00B851B7">
            <w:r w:rsidRPr="003F7F6C">
              <w:rPr>
                <w:rFonts w:cs="Calibri"/>
                <w:sz w:val="16"/>
                <w:szCs w:val="16"/>
              </w:rPr>
              <w:t>X</w:t>
            </w:r>
          </w:p>
        </w:tc>
        <w:tc>
          <w:tcPr>
            <w:tcW w:w="428" w:type="dxa"/>
          </w:tcPr>
          <w:p w14:paraId="544DFE10" w14:textId="77777777" w:rsidR="002B04EB" w:rsidRPr="003F7F6C" w:rsidRDefault="002B04EB" w:rsidP="00B851B7">
            <w:r w:rsidRPr="003F7F6C">
              <w:rPr>
                <w:rFonts w:cs="Calibri"/>
                <w:sz w:val="16"/>
                <w:szCs w:val="16"/>
              </w:rPr>
              <w:t>X</w:t>
            </w:r>
          </w:p>
        </w:tc>
        <w:tc>
          <w:tcPr>
            <w:tcW w:w="428" w:type="dxa"/>
          </w:tcPr>
          <w:p w14:paraId="4F189742" w14:textId="77777777" w:rsidR="002B04EB" w:rsidRPr="003F7F6C" w:rsidRDefault="002B04EB" w:rsidP="00B851B7">
            <w:r w:rsidRPr="003F7F6C">
              <w:rPr>
                <w:rFonts w:cs="Calibri"/>
                <w:sz w:val="16"/>
                <w:szCs w:val="16"/>
              </w:rPr>
              <w:t>X</w:t>
            </w:r>
          </w:p>
        </w:tc>
        <w:tc>
          <w:tcPr>
            <w:tcW w:w="428" w:type="dxa"/>
            <w:gridSpan w:val="2"/>
          </w:tcPr>
          <w:p w14:paraId="7D6FAAF2" w14:textId="77777777" w:rsidR="002B04EB" w:rsidRPr="003F7F6C" w:rsidRDefault="002B04EB" w:rsidP="00B851B7">
            <w:r w:rsidRPr="003F7F6C">
              <w:rPr>
                <w:rFonts w:cs="Calibri"/>
                <w:sz w:val="16"/>
                <w:szCs w:val="16"/>
              </w:rPr>
              <w:t>X</w:t>
            </w:r>
          </w:p>
        </w:tc>
        <w:tc>
          <w:tcPr>
            <w:tcW w:w="428" w:type="dxa"/>
          </w:tcPr>
          <w:p w14:paraId="3FFDFC4D" w14:textId="77777777" w:rsidR="002B04EB" w:rsidRPr="003F7F6C" w:rsidRDefault="002B04EB" w:rsidP="00B851B7">
            <w:r w:rsidRPr="003F7F6C">
              <w:rPr>
                <w:rFonts w:cs="Calibri"/>
                <w:sz w:val="16"/>
                <w:szCs w:val="16"/>
              </w:rPr>
              <w:t>X</w:t>
            </w:r>
          </w:p>
        </w:tc>
        <w:tc>
          <w:tcPr>
            <w:tcW w:w="428" w:type="dxa"/>
          </w:tcPr>
          <w:p w14:paraId="0DC4EF84" w14:textId="77777777" w:rsidR="002B04EB" w:rsidRPr="003F7F6C" w:rsidRDefault="002B04EB" w:rsidP="00B851B7">
            <w:r w:rsidRPr="003F7F6C">
              <w:rPr>
                <w:rFonts w:cs="Calibri"/>
                <w:sz w:val="16"/>
                <w:szCs w:val="16"/>
              </w:rPr>
              <w:t>X</w:t>
            </w:r>
          </w:p>
        </w:tc>
        <w:tc>
          <w:tcPr>
            <w:tcW w:w="428" w:type="dxa"/>
          </w:tcPr>
          <w:p w14:paraId="572550C0" w14:textId="77777777" w:rsidR="002B04EB" w:rsidRPr="003F7F6C" w:rsidRDefault="002B04EB" w:rsidP="00B851B7">
            <w:r w:rsidRPr="003F7F6C">
              <w:rPr>
                <w:rFonts w:cs="Calibri"/>
                <w:sz w:val="16"/>
                <w:szCs w:val="16"/>
              </w:rPr>
              <w:t>X</w:t>
            </w:r>
          </w:p>
        </w:tc>
        <w:tc>
          <w:tcPr>
            <w:tcW w:w="428" w:type="dxa"/>
            <w:gridSpan w:val="2"/>
          </w:tcPr>
          <w:p w14:paraId="4D97BFA0" w14:textId="77777777" w:rsidR="002B04EB" w:rsidRPr="003F7F6C" w:rsidRDefault="002B04EB" w:rsidP="00B851B7">
            <w:r w:rsidRPr="003F7F6C">
              <w:rPr>
                <w:rFonts w:cs="Calibri"/>
                <w:sz w:val="16"/>
                <w:szCs w:val="16"/>
              </w:rPr>
              <w:t>X</w:t>
            </w:r>
          </w:p>
        </w:tc>
        <w:tc>
          <w:tcPr>
            <w:tcW w:w="428" w:type="dxa"/>
          </w:tcPr>
          <w:p w14:paraId="519F29DA" w14:textId="77777777" w:rsidR="002B04EB" w:rsidRPr="003F7F6C" w:rsidRDefault="002B04EB" w:rsidP="00B851B7">
            <w:r w:rsidRPr="003F7F6C">
              <w:rPr>
                <w:rFonts w:cs="Calibri"/>
                <w:sz w:val="16"/>
                <w:szCs w:val="16"/>
              </w:rPr>
              <w:t>X</w:t>
            </w:r>
          </w:p>
        </w:tc>
        <w:tc>
          <w:tcPr>
            <w:tcW w:w="428" w:type="dxa"/>
          </w:tcPr>
          <w:p w14:paraId="62156A08" w14:textId="77777777" w:rsidR="002B04EB" w:rsidRPr="003F7F6C" w:rsidRDefault="002B04EB" w:rsidP="00B851B7">
            <w:r w:rsidRPr="003F7F6C">
              <w:rPr>
                <w:rFonts w:cs="Calibri"/>
                <w:sz w:val="16"/>
                <w:szCs w:val="16"/>
              </w:rPr>
              <w:t>X</w:t>
            </w:r>
          </w:p>
        </w:tc>
        <w:tc>
          <w:tcPr>
            <w:tcW w:w="428" w:type="dxa"/>
          </w:tcPr>
          <w:p w14:paraId="6A91ACF0" w14:textId="77777777" w:rsidR="002B04EB" w:rsidRPr="003F7F6C" w:rsidRDefault="002B04EB" w:rsidP="00B851B7">
            <w:r w:rsidRPr="003F7F6C">
              <w:rPr>
                <w:rFonts w:cs="Calibri"/>
                <w:sz w:val="16"/>
                <w:szCs w:val="16"/>
              </w:rPr>
              <w:t>X</w:t>
            </w:r>
          </w:p>
        </w:tc>
        <w:tc>
          <w:tcPr>
            <w:tcW w:w="428" w:type="dxa"/>
            <w:gridSpan w:val="2"/>
          </w:tcPr>
          <w:p w14:paraId="71A472F0" w14:textId="77777777" w:rsidR="002B04EB" w:rsidRPr="003F7F6C" w:rsidRDefault="002B04EB" w:rsidP="00B851B7">
            <w:r w:rsidRPr="003F7F6C">
              <w:rPr>
                <w:rFonts w:cs="Calibri"/>
                <w:sz w:val="16"/>
                <w:szCs w:val="16"/>
              </w:rPr>
              <w:t>X</w:t>
            </w:r>
          </w:p>
        </w:tc>
        <w:tc>
          <w:tcPr>
            <w:tcW w:w="428" w:type="dxa"/>
          </w:tcPr>
          <w:p w14:paraId="4CDA55C7" w14:textId="77777777" w:rsidR="002B04EB" w:rsidRPr="003F7F6C" w:rsidRDefault="002B04EB" w:rsidP="00B851B7">
            <w:r w:rsidRPr="003F7F6C">
              <w:rPr>
                <w:rFonts w:cs="Calibri"/>
                <w:sz w:val="16"/>
                <w:szCs w:val="16"/>
              </w:rPr>
              <w:t>X</w:t>
            </w:r>
          </w:p>
        </w:tc>
        <w:tc>
          <w:tcPr>
            <w:tcW w:w="428" w:type="dxa"/>
          </w:tcPr>
          <w:p w14:paraId="6F197F0B" w14:textId="77777777" w:rsidR="002B04EB" w:rsidRPr="003F7F6C" w:rsidRDefault="002B04EB" w:rsidP="00B851B7">
            <w:r w:rsidRPr="003F7F6C">
              <w:rPr>
                <w:rFonts w:cs="Calibri"/>
                <w:sz w:val="16"/>
                <w:szCs w:val="16"/>
              </w:rPr>
              <w:t>X</w:t>
            </w:r>
          </w:p>
        </w:tc>
        <w:tc>
          <w:tcPr>
            <w:tcW w:w="428" w:type="dxa"/>
          </w:tcPr>
          <w:p w14:paraId="402BBB56" w14:textId="77777777" w:rsidR="002B04EB" w:rsidRPr="003F7F6C" w:rsidRDefault="002B04EB" w:rsidP="00B851B7">
            <w:r w:rsidRPr="003F7F6C">
              <w:rPr>
                <w:rFonts w:cs="Calibri"/>
                <w:sz w:val="16"/>
                <w:szCs w:val="16"/>
              </w:rPr>
              <w:t>X</w:t>
            </w:r>
          </w:p>
        </w:tc>
        <w:tc>
          <w:tcPr>
            <w:tcW w:w="428" w:type="dxa"/>
          </w:tcPr>
          <w:p w14:paraId="68BEB346" w14:textId="77777777" w:rsidR="002B04EB" w:rsidRPr="003F7F6C" w:rsidRDefault="002B04EB" w:rsidP="00B851B7">
            <w:r w:rsidRPr="003F7F6C">
              <w:rPr>
                <w:rFonts w:cs="Calibri"/>
                <w:sz w:val="16"/>
                <w:szCs w:val="16"/>
              </w:rPr>
              <w:t>X</w:t>
            </w:r>
          </w:p>
        </w:tc>
      </w:tr>
      <w:tr w:rsidR="002B04EB" w:rsidRPr="003F7F6C" w14:paraId="1E7EE0F7" w14:textId="77777777" w:rsidTr="00B851B7">
        <w:tc>
          <w:tcPr>
            <w:tcW w:w="1668" w:type="dxa"/>
          </w:tcPr>
          <w:p w14:paraId="7FA7DFDD" w14:textId="77777777" w:rsidR="002B04EB" w:rsidRPr="003F7F6C" w:rsidRDefault="002B04EB" w:rsidP="00B851B7">
            <w:pPr>
              <w:rPr>
                <w:rFonts w:cs="Calibri"/>
                <w:sz w:val="16"/>
                <w:szCs w:val="16"/>
              </w:rPr>
            </w:pPr>
            <w:r w:rsidRPr="003F7F6C">
              <w:rPr>
                <w:rFonts w:cs="Calibri"/>
                <w:sz w:val="16"/>
                <w:szCs w:val="16"/>
              </w:rPr>
              <w:t>2.3.3 Develop an integrated plan for conservation of BD and landscapes</w:t>
            </w:r>
          </w:p>
        </w:tc>
        <w:tc>
          <w:tcPr>
            <w:tcW w:w="1057" w:type="dxa"/>
          </w:tcPr>
          <w:p w14:paraId="6644138C" w14:textId="77777777" w:rsidR="002B04EB" w:rsidRPr="003F7F6C" w:rsidRDefault="002B04EB" w:rsidP="00B851B7">
            <w:r w:rsidRPr="003F7F6C">
              <w:rPr>
                <w:sz w:val="16"/>
                <w:szCs w:val="16"/>
              </w:rPr>
              <w:t>INTA</w:t>
            </w:r>
          </w:p>
        </w:tc>
        <w:tc>
          <w:tcPr>
            <w:tcW w:w="428" w:type="dxa"/>
          </w:tcPr>
          <w:p w14:paraId="5CAEE236" w14:textId="77777777" w:rsidR="002B04EB" w:rsidRPr="003F7F6C" w:rsidRDefault="002B04EB" w:rsidP="00B851B7">
            <w:pPr>
              <w:rPr>
                <w:rFonts w:cs="Calibri"/>
                <w:sz w:val="16"/>
                <w:szCs w:val="16"/>
              </w:rPr>
            </w:pPr>
          </w:p>
        </w:tc>
        <w:tc>
          <w:tcPr>
            <w:tcW w:w="444" w:type="dxa"/>
          </w:tcPr>
          <w:p w14:paraId="3C29113A" w14:textId="77777777" w:rsidR="002B04EB" w:rsidRPr="003F7F6C" w:rsidRDefault="002B04EB" w:rsidP="00B851B7">
            <w:pPr>
              <w:rPr>
                <w:rFonts w:cs="Calibri"/>
                <w:sz w:val="16"/>
                <w:szCs w:val="16"/>
              </w:rPr>
            </w:pPr>
          </w:p>
        </w:tc>
        <w:tc>
          <w:tcPr>
            <w:tcW w:w="428" w:type="dxa"/>
          </w:tcPr>
          <w:p w14:paraId="0E86AF39" w14:textId="77777777" w:rsidR="002B04EB" w:rsidRPr="003F7F6C" w:rsidRDefault="002B04EB" w:rsidP="00B851B7">
            <w:pPr>
              <w:rPr>
                <w:rFonts w:cs="Calibri"/>
                <w:sz w:val="16"/>
                <w:szCs w:val="16"/>
              </w:rPr>
            </w:pPr>
          </w:p>
        </w:tc>
        <w:tc>
          <w:tcPr>
            <w:tcW w:w="428" w:type="dxa"/>
            <w:gridSpan w:val="2"/>
          </w:tcPr>
          <w:p w14:paraId="5FFCC651" w14:textId="77777777" w:rsidR="002B04EB" w:rsidRPr="003F7F6C" w:rsidRDefault="002B04EB" w:rsidP="00B851B7">
            <w:pPr>
              <w:rPr>
                <w:rFonts w:cs="Calibri"/>
                <w:sz w:val="16"/>
                <w:szCs w:val="16"/>
              </w:rPr>
            </w:pPr>
          </w:p>
        </w:tc>
        <w:tc>
          <w:tcPr>
            <w:tcW w:w="428" w:type="dxa"/>
          </w:tcPr>
          <w:p w14:paraId="7F50FC7F" w14:textId="77777777" w:rsidR="002B04EB" w:rsidRPr="003F7F6C" w:rsidRDefault="002B04EB" w:rsidP="00B851B7">
            <w:pPr>
              <w:rPr>
                <w:rFonts w:cs="Calibri"/>
                <w:sz w:val="16"/>
                <w:szCs w:val="16"/>
              </w:rPr>
            </w:pPr>
          </w:p>
        </w:tc>
        <w:tc>
          <w:tcPr>
            <w:tcW w:w="427" w:type="dxa"/>
          </w:tcPr>
          <w:p w14:paraId="60F383A1" w14:textId="77777777" w:rsidR="002B04EB" w:rsidRPr="003F7F6C" w:rsidRDefault="002B04EB" w:rsidP="00B851B7">
            <w:pPr>
              <w:rPr>
                <w:rFonts w:cs="Calibri"/>
                <w:sz w:val="16"/>
                <w:szCs w:val="16"/>
              </w:rPr>
            </w:pPr>
          </w:p>
        </w:tc>
        <w:tc>
          <w:tcPr>
            <w:tcW w:w="427" w:type="dxa"/>
          </w:tcPr>
          <w:p w14:paraId="790D9C1D" w14:textId="77777777" w:rsidR="002B04EB" w:rsidRPr="003F7F6C" w:rsidRDefault="002B04EB" w:rsidP="00B851B7">
            <w:pPr>
              <w:rPr>
                <w:rFonts w:cs="Calibri"/>
                <w:sz w:val="16"/>
                <w:szCs w:val="16"/>
              </w:rPr>
            </w:pPr>
          </w:p>
        </w:tc>
        <w:tc>
          <w:tcPr>
            <w:tcW w:w="427" w:type="dxa"/>
            <w:gridSpan w:val="2"/>
          </w:tcPr>
          <w:p w14:paraId="1A2B0291" w14:textId="77777777" w:rsidR="002B04EB" w:rsidRPr="003F7F6C" w:rsidRDefault="002B04EB" w:rsidP="00B851B7">
            <w:pPr>
              <w:rPr>
                <w:rFonts w:cs="Calibri"/>
                <w:sz w:val="16"/>
                <w:szCs w:val="16"/>
              </w:rPr>
            </w:pPr>
          </w:p>
        </w:tc>
        <w:tc>
          <w:tcPr>
            <w:tcW w:w="428" w:type="dxa"/>
          </w:tcPr>
          <w:p w14:paraId="7F0E3C3B" w14:textId="77777777" w:rsidR="002B04EB" w:rsidRPr="003F7F6C" w:rsidRDefault="002B04EB" w:rsidP="00B851B7">
            <w:pPr>
              <w:rPr>
                <w:rFonts w:cs="Calibri"/>
                <w:sz w:val="16"/>
                <w:szCs w:val="16"/>
              </w:rPr>
            </w:pPr>
          </w:p>
        </w:tc>
        <w:tc>
          <w:tcPr>
            <w:tcW w:w="428" w:type="dxa"/>
          </w:tcPr>
          <w:p w14:paraId="60298F2E" w14:textId="77777777" w:rsidR="002B04EB" w:rsidRPr="003F7F6C" w:rsidRDefault="002B04EB" w:rsidP="00B851B7">
            <w:pPr>
              <w:rPr>
                <w:rFonts w:cs="Calibri"/>
                <w:sz w:val="16"/>
                <w:szCs w:val="16"/>
              </w:rPr>
            </w:pPr>
          </w:p>
        </w:tc>
        <w:tc>
          <w:tcPr>
            <w:tcW w:w="428" w:type="dxa"/>
          </w:tcPr>
          <w:p w14:paraId="3566B958" w14:textId="77777777" w:rsidR="002B04EB" w:rsidRPr="003F7F6C" w:rsidRDefault="002B04EB" w:rsidP="00B851B7">
            <w:pPr>
              <w:rPr>
                <w:rFonts w:cs="Calibri"/>
                <w:sz w:val="16"/>
                <w:szCs w:val="16"/>
              </w:rPr>
            </w:pPr>
          </w:p>
        </w:tc>
        <w:tc>
          <w:tcPr>
            <w:tcW w:w="428" w:type="dxa"/>
            <w:gridSpan w:val="2"/>
          </w:tcPr>
          <w:p w14:paraId="40E13272" w14:textId="77777777" w:rsidR="002B04EB" w:rsidRPr="003F7F6C" w:rsidRDefault="002B04EB" w:rsidP="00B851B7">
            <w:pPr>
              <w:rPr>
                <w:rFonts w:cs="Calibri"/>
                <w:sz w:val="16"/>
                <w:szCs w:val="16"/>
              </w:rPr>
            </w:pPr>
          </w:p>
        </w:tc>
        <w:tc>
          <w:tcPr>
            <w:tcW w:w="428" w:type="dxa"/>
          </w:tcPr>
          <w:p w14:paraId="1A591236" w14:textId="77777777" w:rsidR="002B04EB" w:rsidRPr="003F7F6C" w:rsidRDefault="002B04EB" w:rsidP="00B851B7">
            <w:r w:rsidRPr="003F7F6C">
              <w:rPr>
                <w:rFonts w:cs="Calibri"/>
                <w:sz w:val="16"/>
                <w:szCs w:val="16"/>
              </w:rPr>
              <w:t>X</w:t>
            </w:r>
          </w:p>
        </w:tc>
        <w:tc>
          <w:tcPr>
            <w:tcW w:w="428" w:type="dxa"/>
          </w:tcPr>
          <w:p w14:paraId="661C7071" w14:textId="77777777" w:rsidR="002B04EB" w:rsidRPr="003F7F6C" w:rsidRDefault="002B04EB" w:rsidP="00B851B7">
            <w:r w:rsidRPr="003F7F6C">
              <w:rPr>
                <w:rFonts w:cs="Calibri"/>
                <w:sz w:val="16"/>
                <w:szCs w:val="16"/>
              </w:rPr>
              <w:t>X</w:t>
            </w:r>
          </w:p>
        </w:tc>
        <w:tc>
          <w:tcPr>
            <w:tcW w:w="428" w:type="dxa"/>
          </w:tcPr>
          <w:p w14:paraId="6C127C2F" w14:textId="77777777" w:rsidR="002B04EB" w:rsidRPr="003F7F6C" w:rsidRDefault="002B04EB" w:rsidP="00B851B7">
            <w:r w:rsidRPr="003F7F6C">
              <w:rPr>
                <w:rFonts w:cs="Calibri"/>
                <w:sz w:val="16"/>
                <w:szCs w:val="16"/>
              </w:rPr>
              <w:t>X</w:t>
            </w:r>
          </w:p>
        </w:tc>
        <w:tc>
          <w:tcPr>
            <w:tcW w:w="428" w:type="dxa"/>
            <w:gridSpan w:val="2"/>
          </w:tcPr>
          <w:p w14:paraId="1C330ED0" w14:textId="77777777" w:rsidR="002B04EB" w:rsidRPr="003F7F6C" w:rsidRDefault="002B04EB" w:rsidP="00B851B7">
            <w:r w:rsidRPr="003F7F6C">
              <w:rPr>
                <w:rFonts w:cs="Calibri"/>
                <w:sz w:val="16"/>
                <w:szCs w:val="16"/>
              </w:rPr>
              <w:t>X</w:t>
            </w:r>
          </w:p>
        </w:tc>
        <w:tc>
          <w:tcPr>
            <w:tcW w:w="428" w:type="dxa"/>
          </w:tcPr>
          <w:p w14:paraId="6DCBFF3A" w14:textId="77777777" w:rsidR="002B04EB" w:rsidRPr="003F7F6C" w:rsidRDefault="002B04EB" w:rsidP="00B851B7">
            <w:r w:rsidRPr="003F7F6C">
              <w:rPr>
                <w:rFonts w:cs="Calibri"/>
                <w:sz w:val="16"/>
                <w:szCs w:val="16"/>
              </w:rPr>
              <w:t>X</w:t>
            </w:r>
          </w:p>
        </w:tc>
        <w:tc>
          <w:tcPr>
            <w:tcW w:w="428" w:type="dxa"/>
          </w:tcPr>
          <w:p w14:paraId="460B40B7" w14:textId="77777777" w:rsidR="002B04EB" w:rsidRPr="003F7F6C" w:rsidRDefault="002B04EB" w:rsidP="00B851B7">
            <w:r w:rsidRPr="003F7F6C">
              <w:rPr>
                <w:rFonts w:cs="Calibri"/>
                <w:sz w:val="16"/>
                <w:szCs w:val="16"/>
              </w:rPr>
              <w:t>X</w:t>
            </w:r>
          </w:p>
        </w:tc>
        <w:tc>
          <w:tcPr>
            <w:tcW w:w="428" w:type="dxa"/>
          </w:tcPr>
          <w:p w14:paraId="38BE9502" w14:textId="77777777" w:rsidR="002B04EB" w:rsidRPr="003F7F6C" w:rsidRDefault="002B04EB" w:rsidP="00B851B7">
            <w:r w:rsidRPr="003F7F6C">
              <w:rPr>
                <w:rFonts w:cs="Calibri"/>
                <w:sz w:val="16"/>
                <w:szCs w:val="16"/>
              </w:rPr>
              <w:t>X</w:t>
            </w:r>
          </w:p>
        </w:tc>
        <w:tc>
          <w:tcPr>
            <w:tcW w:w="428" w:type="dxa"/>
            <w:gridSpan w:val="2"/>
          </w:tcPr>
          <w:p w14:paraId="0267301E" w14:textId="77777777" w:rsidR="002B04EB" w:rsidRPr="003F7F6C" w:rsidRDefault="002B04EB" w:rsidP="00B851B7">
            <w:r w:rsidRPr="003F7F6C">
              <w:rPr>
                <w:rFonts w:cs="Calibri"/>
                <w:sz w:val="16"/>
                <w:szCs w:val="16"/>
              </w:rPr>
              <w:t>X</w:t>
            </w:r>
          </w:p>
        </w:tc>
        <w:tc>
          <w:tcPr>
            <w:tcW w:w="428" w:type="dxa"/>
          </w:tcPr>
          <w:p w14:paraId="4BAD9FD4" w14:textId="77777777" w:rsidR="002B04EB" w:rsidRPr="003F7F6C" w:rsidRDefault="002B04EB" w:rsidP="00B851B7">
            <w:r w:rsidRPr="003F7F6C">
              <w:rPr>
                <w:rFonts w:cs="Calibri"/>
                <w:sz w:val="16"/>
                <w:szCs w:val="16"/>
              </w:rPr>
              <w:t>X</w:t>
            </w:r>
          </w:p>
        </w:tc>
        <w:tc>
          <w:tcPr>
            <w:tcW w:w="428" w:type="dxa"/>
          </w:tcPr>
          <w:p w14:paraId="5ED952F2" w14:textId="77777777" w:rsidR="002B04EB" w:rsidRPr="003F7F6C" w:rsidRDefault="002B04EB" w:rsidP="00B851B7">
            <w:r w:rsidRPr="003F7F6C">
              <w:rPr>
                <w:rFonts w:cs="Calibri"/>
                <w:sz w:val="16"/>
                <w:szCs w:val="16"/>
              </w:rPr>
              <w:t>X</w:t>
            </w:r>
          </w:p>
        </w:tc>
        <w:tc>
          <w:tcPr>
            <w:tcW w:w="428" w:type="dxa"/>
          </w:tcPr>
          <w:p w14:paraId="524FF0F8" w14:textId="77777777" w:rsidR="002B04EB" w:rsidRPr="003F7F6C" w:rsidRDefault="002B04EB" w:rsidP="00B851B7">
            <w:r w:rsidRPr="003F7F6C">
              <w:rPr>
                <w:rFonts w:cs="Calibri"/>
                <w:sz w:val="16"/>
                <w:szCs w:val="16"/>
              </w:rPr>
              <w:t>X</w:t>
            </w:r>
          </w:p>
        </w:tc>
        <w:tc>
          <w:tcPr>
            <w:tcW w:w="428" w:type="dxa"/>
          </w:tcPr>
          <w:p w14:paraId="5FDC38E0" w14:textId="77777777" w:rsidR="002B04EB" w:rsidRPr="003F7F6C" w:rsidRDefault="002B04EB" w:rsidP="00B851B7">
            <w:r w:rsidRPr="003F7F6C">
              <w:rPr>
                <w:rFonts w:cs="Calibri"/>
                <w:sz w:val="16"/>
                <w:szCs w:val="16"/>
              </w:rPr>
              <w:t>X</w:t>
            </w:r>
          </w:p>
        </w:tc>
      </w:tr>
      <w:tr w:rsidR="002B04EB" w:rsidRPr="003F7F6C" w14:paraId="19B6A4A7" w14:textId="77777777" w:rsidTr="002B04EB">
        <w:tc>
          <w:tcPr>
            <w:tcW w:w="13010" w:type="dxa"/>
            <w:gridSpan w:val="31"/>
            <w:shd w:val="clear" w:color="auto" w:fill="F4B083"/>
          </w:tcPr>
          <w:p w14:paraId="04891350" w14:textId="77777777" w:rsidR="002B04EB" w:rsidRPr="003F7F6C" w:rsidRDefault="002B04EB" w:rsidP="00B851B7">
            <w:pPr>
              <w:pStyle w:val="ListParagraph"/>
              <w:tabs>
                <w:tab w:val="left" w:pos="426"/>
              </w:tabs>
              <w:spacing w:after="0"/>
              <w:ind w:left="0"/>
              <w:contextualSpacing w:val="0"/>
              <w:rPr>
                <w:rFonts w:cs="Calibri"/>
                <w:bCs/>
                <w:sz w:val="16"/>
                <w:szCs w:val="16"/>
              </w:rPr>
            </w:pPr>
            <w:r w:rsidRPr="003F7F6C">
              <w:rPr>
                <w:rFonts w:eastAsia="Times New Roman" w:cs="Calibri"/>
                <w:bCs/>
                <w:i/>
                <w:sz w:val="16"/>
                <w:szCs w:val="16"/>
                <w:lang w:eastAsia="es-ES_tradnl"/>
              </w:rPr>
              <w:t xml:space="preserve">Output 2.4 SLM and biodiversity-friendly production practices validated for different ELUP land use zones </w:t>
            </w:r>
          </w:p>
        </w:tc>
      </w:tr>
      <w:tr w:rsidR="002B04EB" w:rsidRPr="003F7F6C" w14:paraId="782ACD17" w14:textId="77777777" w:rsidTr="002B04EB">
        <w:tc>
          <w:tcPr>
            <w:tcW w:w="13010" w:type="dxa"/>
            <w:gridSpan w:val="31"/>
            <w:shd w:val="clear" w:color="auto" w:fill="F7CAAC"/>
          </w:tcPr>
          <w:p w14:paraId="0ED7642D" w14:textId="77777777" w:rsidR="002B04EB" w:rsidRPr="003F7F6C" w:rsidRDefault="002B04EB" w:rsidP="00B851B7">
            <w:pPr>
              <w:rPr>
                <w:rFonts w:cs="Calibri"/>
                <w:sz w:val="16"/>
                <w:szCs w:val="16"/>
              </w:rPr>
            </w:pPr>
            <w:r w:rsidRPr="003F7F6C">
              <w:rPr>
                <w:rFonts w:cs="Calibri"/>
                <w:sz w:val="16"/>
                <w:szCs w:val="16"/>
              </w:rPr>
              <w:t>Buenos Aires</w:t>
            </w:r>
          </w:p>
        </w:tc>
      </w:tr>
      <w:tr w:rsidR="002B04EB" w:rsidRPr="003F7F6C" w14:paraId="28F00121" w14:textId="77777777" w:rsidTr="00B851B7">
        <w:tc>
          <w:tcPr>
            <w:tcW w:w="1668" w:type="dxa"/>
          </w:tcPr>
          <w:p w14:paraId="1D0AD4C8" w14:textId="77777777" w:rsidR="002B04EB" w:rsidRPr="003F7F6C" w:rsidRDefault="002B04EB" w:rsidP="00B851B7">
            <w:pPr>
              <w:rPr>
                <w:rFonts w:cs="Calibri"/>
                <w:sz w:val="16"/>
                <w:szCs w:val="16"/>
              </w:rPr>
            </w:pPr>
            <w:r w:rsidRPr="003F7F6C">
              <w:rPr>
                <w:rFonts w:cs="Calibri"/>
                <w:sz w:val="16"/>
                <w:szCs w:val="16"/>
              </w:rPr>
              <w:t>2.4.1 Validate sustainable practices for agro-industrial crops, soy</w:t>
            </w:r>
          </w:p>
        </w:tc>
        <w:tc>
          <w:tcPr>
            <w:tcW w:w="1057" w:type="dxa"/>
          </w:tcPr>
          <w:p w14:paraId="4391C603" w14:textId="77777777" w:rsidR="002B04EB" w:rsidRPr="003F7F6C" w:rsidRDefault="002B04EB" w:rsidP="00B851B7">
            <w:pPr>
              <w:rPr>
                <w:rFonts w:cs="Calibri"/>
                <w:sz w:val="16"/>
                <w:szCs w:val="16"/>
              </w:rPr>
            </w:pPr>
            <w:r w:rsidRPr="003F7F6C">
              <w:rPr>
                <w:rFonts w:cs="Calibri"/>
                <w:sz w:val="16"/>
                <w:szCs w:val="16"/>
              </w:rPr>
              <w:t>INTA</w:t>
            </w:r>
          </w:p>
        </w:tc>
        <w:tc>
          <w:tcPr>
            <w:tcW w:w="428" w:type="dxa"/>
          </w:tcPr>
          <w:p w14:paraId="4A663443" w14:textId="77777777" w:rsidR="002B04EB" w:rsidRPr="003F7F6C" w:rsidRDefault="002B04EB" w:rsidP="00B851B7">
            <w:pPr>
              <w:rPr>
                <w:rFonts w:cs="Calibri"/>
                <w:sz w:val="16"/>
                <w:szCs w:val="16"/>
              </w:rPr>
            </w:pPr>
          </w:p>
        </w:tc>
        <w:tc>
          <w:tcPr>
            <w:tcW w:w="444" w:type="dxa"/>
          </w:tcPr>
          <w:p w14:paraId="4DEFB9A4" w14:textId="1B6BCCF4" w:rsidR="002B04EB" w:rsidRPr="003F7F6C" w:rsidRDefault="005A5153" w:rsidP="00B851B7">
            <w:pPr>
              <w:rPr>
                <w:rFonts w:cs="Calibri"/>
                <w:sz w:val="16"/>
                <w:szCs w:val="16"/>
              </w:rPr>
            </w:pPr>
            <w:r w:rsidRPr="003F7F6C">
              <w:rPr>
                <w:rFonts w:cs="Calibri"/>
                <w:sz w:val="16"/>
                <w:szCs w:val="16"/>
              </w:rPr>
              <w:t>X</w:t>
            </w:r>
          </w:p>
        </w:tc>
        <w:tc>
          <w:tcPr>
            <w:tcW w:w="428" w:type="dxa"/>
          </w:tcPr>
          <w:p w14:paraId="00B1B77A" w14:textId="70FDD542" w:rsidR="002B04EB" w:rsidRPr="003F7F6C" w:rsidRDefault="005A5153" w:rsidP="00B851B7">
            <w:pPr>
              <w:rPr>
                <w:rFonts w:cs="Calibri"/>
                <w:sz w:val="16"/>
                <w:szCs w:val="16"/>
              </w:rPr>
            </w:pPr>
            <w:r w:rsidRPr="003F7F6C">
              <w:rPr>
                <w:rFonts w:cs="Calibri"/>
                <w:sz w:val="16"/>
                <w:szCs w:val="16"/>
              </w:rPr>
              <w:t>X</w:t>
            </w:r>
          </w:p>
        </w:tc>
        <w:tc>
          <w:tcPr>
            <w:tcW w:w="428" w:type="dxa"/>
            <w:gridSpan w:val="2"/>
          </w:tcPr>
          <w:p w14:paraId="3CD87034" w14:textId="2EEF017D" w:rsidR="002B04EB" w:rsidRPr="003F7F6C" w:rsidRDefault="005A5153" w:rsidP="00B851B7">
            <w:pPr>
              <w:rPr>
                <w:rFonts w:cs="Calibri"/>
                <w:sz w:val="16"/>
                <w:szCs w:val="16"/>
              </w:rPr>
            </w:pPr>
            <w:r w:rsidRPr="003F7F6C">
              <w:rPr>
                <w:rFonts w:cs="Calibri"/>
                <w:sz w:val="16"/>
                <w:szCs w:val="16"/>
              </w:rPr>
              <w:t>X</w:t>
            </w:r>
          </w:p>
        </w:tc>
        <w:tc>
          <w:tcPr>
            <w:tcW w:w="428" w:type="dxa"/>
          </w:tcPr>
          <w:p w14:paraId="56554D29" w14:textId="77777777" w:rsidR="002B04EB" w:rsidRPr="003F7F6C" w:rsidRDefault="002B04EB" w:rsidP="00B851B7">
            <w:r w:rsidRPr="003F7F6C">
              <w:rPr>
                <w:rFonts w:cs="Calibri"/>
                <w:sz w:val="16"/>
                <w:szCs w:val="16"/>
              </w:rPr>
              <w:t>X</w:t>
            </w:r>
          </w:p>
        </w:tc>
        <w:tc>
          <w:tcPr>
            <w:tcW w:w="427" w:type="dxa"/>
          </w:tcPr>
          <w:p w14:paraId="217E1422" w14:textId="77777777" w:rsidR="002B04EB" w:rsidRPr="003F7F6C" w:rsidRDefault="002B04EB" w:rsidP="00B851B7">
            <w:r w:rsidRPr="003F7F6C">
              <w:rPr>
                <w:rFonts w:cs="Calibri"/>
                <w:sz w:val="16"/>
                <w:szCs w:val="16"/>
              </w:rPr>
              <w:t>X</w:t>
            </w:r>
          </w:p>
        </w:tc>
        <w:tc>
          <w:tcPr>
            <w:tcW w:w="427" w:type="dxa"/>
          </w:tcPr>
          <w:p w14:paraId="7CD727F3" w14:textId="77777777" w:rsidR="002B04EB" w:rsidRPr="003F7F6C" w:rsidRDefault="002B04EB" w:rsidP="00B851B7">
            <w:r w:rsidRPr="003F7F6C">
              <w:rPr>
                <w:rFonts w:cs="Calibri"/>
                <w:sz w:val="16"/>
                <w:szCs w:val="16"/>
              </w:rPr>
              <w:t>X</w:t>
            </w:r>
          </w:p>
        </w:tc>
        <w:tc>
          <w:tcPr>
            <w:tcW w:w="427" w:type="dxa"/>
            <w:gridSpan w:val="2"/>
          </w:tcPr>
          <w:p w14:paraId="6524A00B" w14:textId="77777777" w:rsidR="002B04EB" w:rsidRPr="003F7F6C" w:rsidRDefault="002B04EB" w:rsidP="00B851B7">
            <w:r w:rsidRPr="003F7F6C">
              <w:rPr>
                <w:rFonts w:cs="Calibri"/>
                <w:sz w:val="16"/>
                <w:szCs w:val="16"/>
              </w:rPr>
              <w:t>X</w:t>
            </w:r>
          </w:p>
        </w:tc>
        <w:tc>
          <w:tcPr>
            <w:tcW w:w="428" w:type="dxa"/>
          </w:tcPr>
          <w:p w14:paraId="491CAF1F" w14:textId="77777777" w:rsidR="002B04EB" w:rsidRPr="003F7F6C" w:rsidRDefault="002B04EB" w:rsidP="00B851B7">
            <w:r w:rsidRPr="003F7F6C">
              <w:rPr>
                <w:rFonts w:cs="Calibri"/>
                <w:sz w:val="16"/>
                <w:szCs w:val="16"/>
              </w:rPr>
              <w:t>X</w:t>
            </w:r>
          </w:p>
        </w:tc>
        <w:tc>
          <w:tcPr>
            <w:tcW w:w="428" w:type="dxa"/>
          </w:tcPr>
          <w:p w14:paraId="6C770C07" w14:textId="77777777" w:rsidR="002B04EB" w:rsidRPr="003F7F6C" w:rsidRDefault="002B04EB" w:rsidP="00B851B7">
            <w:r w:rsidRPr="003F7F6C">
              <w:rPr>
                <w:rFonts w:cs="Calibri"/>
                <w:sz w:val="16"/>
                <w:szCs w:val="16"/>
              </w:rPr>
              <w:t>X</w:t>
            </w:r>
          </w:p>
        </w:tc>
        <w:tc>
          <w:tcPr>
            <w:tcW w:w="428" w:type="dxa"/>
          </w:tcPr>
          <w:p w14:paraId="2E156B98" w14:textId="77777777" w:rsidR="002B04EB" w:rsidRPr="003F7F6C" w:rsidRDefault="002B04EB" w:rsidP="00B851B7">
            <w:r w:rsidRPr="003F7F6C">
              <w:rPr>
                <w:rFonts w:cs="Calibri"/>
                <w:sz w:val="16"/>
                <w:szCs w:val="16"/>
              </w:rPr>
              <w:t>X</w:t>
            </w:r>
          </w:p>
        </w:tc>
        <w:tc>
          <w:tcPr>
            <w:tcW w:w="428" w:type="dxa"/>
            <w:gridSpan w:val="2"/>
          </w:tcPr>
          <w:p w14:paraId="06CD7439" w14:textId="77777777" w:rsidR="002B04EB" w:rsidRPr="003F7F6C" w:rsidRDefault="002B04EB" w:rsidP="00B851B7">
            <w:r w:rsidRPr="003F7F6C">
              <w:rPr>
                <w:rFonts w:cs="Calibri"/>
                <w:sz w:val="16"/>
                <w:szCs w:val="16"/>
              </w:rPr>
              <w:t>X</w:t>
            </w:r>
          </w:p>
        </w:tc>
        <w:tc>
          <w:tcPr>
            <w:tcW w:w="428" w:type="dxa"/>
          </w:tcPr>
          <w:p w14:paraId="12F0658F" w14:textId="77777777" w:rsidR="002B04EB" w:rsidRPr="003F7F6C" w:rsidRDefault="002B04EB" w:rsidP="00B851B7">
            <w:r w:rsidRPr="003F7F6C">
              <w:rPr>
                <w:rFonts w:cs="Calibri"/>
                <w:sz w:val="16"/>
                <w:szCs w:val="16"/>
              </w:rPr>
              <w:t>X</w:t>
            </w:r>
          </w:p>
        </w:tc>
        <w:tc>
          <w:tcPr>
            <w:tcW w:w="428" w:type="dxa"/>
          </w:tcPr>
          <w:p w14:paraId="2B74D0EE" w14:textId="77777777" w:rsidR="002B04EB" w:rsidRPr="003F7F6C" w:rsidRDefault="002B04EB" w:rsidP="00B851B7">
            <w:r w:rsidRPr="003F7F6C">
              <w:rPr>
                <w:rFonts w:cs="Calibri"/>
                <w:sz w:val="16"/>
                <w:szCs w:val="16"/>
              </w:rPr>
              <w:t>X</w:t>
            </w:r>
          </w:p>
        </w:tc>
        <w:tc>
          <w:tcPr>
            <w:tcW w:w="428" w:type="dxa"/>
          </w:tcPr>
          <w:p w14:paraId="3B7FF3DB" w14:textId="77777777" w:rsidR="002B04EB" w:rsidRPr="003F7F6C" w:rsidRDefault="002B04EB" w:rsidP="00B851B7">
            <w:r w:rsidRPr="003F7F6C">
              <w:rPr>
                <w:rFonts w:cs="Calibri"/>
                <w:sz w:val="16"/>
                <w:szCs w:val="16"/>
              </w:rPr>
              <w:t>X</w:t>
            </w:r>
          </w:p>
        </w:tc>
        <w:tc>
          <w:tcPr>
            <w:tcW w:w="428" w:type="dxa"/>
            <w:gridSpan w:val="2"/>
          </w:tcPr>
          <w:p w14:paraId="36BAF7A5" w14:textId="77777777" w:rsidR="002B04EB" w:rsidRPr="003F7F6C" w:rsidRDefault="002B04EB" w:rsidP="00B851B7">
            <w:r w:rsidRPr="003F7F6C">
              <w:rPr>
                <w:rFonts w:cs="Calibri"/>
                <w:sz w:val="16"/>
                <w:szCs w:val="16"/>
              </w:rPr>
              <w:t>X</w:t>
            </w:r>
          </w:p>
        </w:tc>
        <w:tc>
          <w:tcPr>
            <w:tcW w:w="428" w:type="dxa"/>
          </w:tcPr>
          <w:p w14:paraId="3DBB3BAD" w14:textId="77777777" w:rsidR="002B04EB" w:rsidRPr="003F7F6C" w:rsidRDefault="002B04EB" w:rsidP="00B851B7">
            <w:r w:rsidRPr="003F7F6C">
              <w:rPr>
                <w:rFonts w:cs="Calibri"/>
                <w:sz w:val="16"/>
                <w:szCs w:val="16"/>
              </w:rPr>
              <w:t>X</w:t>
            </w:r>
          </w:p>
        </w:tc>
        <w:tc>
          <w:tcPr>
            <w:tcW w:w="428" w:type="dxa"/>
          </w:tcPr>
          <w:p w14:paraId="52ED214E" w14:textId="77777777" w:rsidR="002B04EB" w:rsidRPr="003F7F6C" w:rsidRDefault="002B04EB" w:rsidP="00B851B7">
            <w:r w:rsidRPr="003F7F6C">
              <w:rPr>
                <w:rFonts w:cs="Calibri"/>
                <w:sz w:val="16"/>
                <w:szCs w:val="16"/>
              </w:rPr>
              <w:t>X</w:t>
            </w:r>
          </w:p>
        </w:tc>
        <w:tc>
          <w:tcPr>
            <w:tcW w:w="428" w:type="dxa"/>
          </w:tcPr>
          <w:p w14:paraId="6E2395C9" w14:textId="77777777" w:rsidR="002B04EB" w:rsidRPr="003F7F6C" w:rsidRDefault="002B04EB" w:rsidP="00B851B7">
            <w:r w:rsidRPr="003F7F6C">
              <w:rPr>
                <w:rFonts w:cs="Calibri"/>
                <w:sz w:val="16"/>
                <w:szCs w:val="16"/>
              </w:rPr>
              <w:t>X</w:t>
            </w:r>
          </w:p>
        </w:tc>
        <w:tc>
          <w:tcPr>
            <w:tcW w:w="428" w:type="dxa"/>
            <w:gridSpan w:val="2"/>
          </w:tcPr>
          <w:p w14:paraId="663621CD" w14:textId="77777777" w:rsidR="002B04EB" w:rsidRPr="003F7F6C" w:rsidRDefault="002B04EB" w:rsidP="00B851B7">
            <w:r w:rsidRPr="003F7F6C">
              <w:rPr>
                <w:rFonts w:cs="Calibri"/>
                <w:sz w:val="16"/>
                <w:szCs w:val="16"/>
              </w:rPr>
              <w:t>X</w:t>
            </w:r>
          </w:p>
        </w:tc>
        <w:tc>
          <w:tcPr>
            <w:tcW w:w="428" w:type="dxa"/>
          </w:tcPr>
          <w:p w14:paraId="45BB90F6" w14:textId="77777777" w:rsidR="002B04EB" w:rsidRPr="003F7F6C" w:rsidRDefault="002B04EB" w:rsidP="00B851B7">
            <w:r w:rsidRPr="003F7F6C">
              <w:rPr>
                <w:rFonts w:cs="Calibri"/>
                <w:sz w:val="16"/>
                <w:szCs w:val="16"/>
              </w:rPr>
              <w:t>X</w:t>
            </w:r>
          </w:p>
        </w:tc>
        <w:tc>
          <w:tcPr>
            <w:tcW w:w="428" w:type="dxa"/>
          </w:tcPr>
          <w:p w14:paraId="47B4FEE4" w14:textId="77777777" w:rsidR="002B04EB" w:rsidRPr="003F7F6C" w:rsidRDefault="002B04EB" w:rsidP="00B851B7">
            <w:r w:rsidRPr="003F7F6C">
              <w:rPr>
                <w:rFonts w:cs="Calibri"/>
                <w:sz w:val="16"/>
                <w:szCs w:val="16"/>
              </w:rPr>
              <w:t>X</w:t>
            </w:r>
          </w:p>
        </w:tc>
        <w:tc>
          <w:tcPr>
            <w:tcW w:w="428" w:type="dxa"/>
          </w:tcPr>
          <w:p w14:paraId="05A33C49" w14:textId="77777777" w:rsidR="002B04EB" w:rsidRPr="003F7F6C" w:rsidRDefault="002B04EB" w:rsidP="00B851B7">
            <w:r w:rsidRPr="003F7F6C">
              <w:rPr>
                <w:rFonts w:cs="Calibri"/>
                <w:sz w:val="16"/>
                <w:szCs w:val="16"/>
              </w:rPr>
              <w:t>X</w:t>
            </w:r>
          </w:p>
        </w:tc>
        <w:tc>
          <w:tcPr>
            <w:tcW w:w="428" w:type="dxa"/>
          </w:tcPr>
          <w:p w14:paraId="624C6C9F" w14:textId="77777777" w:rsidR="002B04EB" w:rsidRPr="003F7F6C" w:rsidRDefault="002B04EB" w:rsidP="00B851B7">
            <w:r w:rsidRPr="003F7F6C">
              <w:rPr>
                <w:rFonts w:cs="Calibri"/>
                <w:sz w:val="16"/>
                <w:szCs w:val="16"/>
              </w:rPr>
              <w:t>X</w:t>
            </w:r>
          </w:p>
        </w:tc>
      </w:tr>
      <w:tr w:rsidR="002B04EB" w:rsidRPr="003F7F6C" w14:paraId="3DA5ADD5" w14:textId="77777777" w:rsidTr="00B851B7">
        <w:tc>
          <w:tcPr>
            <w:tcW w:w="1668" w:type="dxa"/>
          </w:tcPr>
          <w:p w14:paraId="1A682203" w14:textId="77777777" w:rsidR="002B04EB" w:rsidRPr="003F7F6C" w:rsidRDefault="002B04EB" w:rsidP="00E91275">
            <w:pPr>
              <w:pStyle w:val="ListParagraph"/>
              <w:numPr>
                <w:ilvl w:val="0"/>
                <w:numId w:val="29"/>
              </w:numPr>
              <w:ind w:left="174" w:hanging="174"/>
              <w:jc w:val="left"/>
              <w:rPr>
                <w:rFonts w:cs="Calibri"/>
                <w:sz w:val="16"/>
                <w:szCs w:val="16"/>
              </w:rPr>
            </w:pPr>
            <w:r w:rsidRPr="003F7F6C">
              <w:rPr>
                <w:rFonts w:cs="Calibri"/>
                <w:sz w:val="16"/>
                <w:szCs w:val="16"/>
              </w:rPr>
              <w:t>Analysis and studies in agro-ecological farms</w:t>
            </w:r>
          </w:p>
        </w:tc>
        <w:tc>
          <w:tcPr>
            <w:tcW w:w="1057" w:type="dxa"/>
          </w:tcPr>
          <w:p w14:paraId="27ED8A75" w14:textId="77777777" w:rsidR="002B04EB" w:rsidRPr="003F7F6C" w:rsidRDefault="002B04EB" w:rsidP="00B851B7">
            <w:pPr>
              <w:rPr>
                <w:rFonts w:cs="Calibri"/>
                <w:sz w:val="16"/>
                <w:szCs w:val="16"/>
              </w:rPr>
            </w:pPr>
            <w:r w:rsidRPr="003F7F6C">
              <w:rPr>
                <w:rFonts w:cs="Calibri"/>
                <w:sz w:val="16"/>
                <w:szCs w:val="16"/>
              </w:rPr>
              <w:t>INTA</w:t>
            </w:r>
          </w:p>
        </w:tc>
        <w:tc>
          <w:tcPr>
            <w:tcW w:w="428" w:type="dxa"/>
          </w:tcPr>
          <w:p w14:paraId="5EE57B46" w14:textId="77777777" w:rsidR="002B04EB" w:rsidRPr="003F7F6C" w:rsidRDefault="002B04EB" w:rsidP="00B851B7"/>
        </w:tc>
        <w:tc>
          <w:tcPr>
            <w:tcW w:w="444" w:type="dxa"/>
          </w:tcPr>
          <w:p w14:paraId="24B7254A" w14:textId="77777777" w:rsidR="002B04EB" w:rsidRPr="003F7F6C" w:rsidRDefault="002B04EB" w:rsidP="00B851B7">
            <w:r w:rsidRPr="003F7F6C">
              <w:rPr>
                <w:rFonts w:cs="Calibri"/>
                <w:sz w:val="16"/>
                <w:szCs w:val="16"/>
              </w:rPr>
              <w:t>X</w:t>
            </w:r>
          </w:p>
        </w:tc>
        <w:tc>
          <w:tcPr>
            <w:tcW w:w="428" w:type="dxa"/>
          </w:tcPr>
          <w:p w14:paraId="211E6133" w14:textId="77777777" w:rsidR="002B04EB" w:rsidRPr="003F7F6C" w:rsidRDefault="002B04EB" w:rsidP="00B851B7">
            <w:r w:rsidRPr="003F7F6C">
              <w:rPr>
                <w:rFonts w:cs="Calibri"/>
                <w:sz w:val="16"/>
                <w:szCs w:val="16"/>
              </w:rPr>
              <w:t>X</w:t>
            </w:r>
          </w:p>
        </w:tc>
        <w:tc>
          <w:tcPr>
            <w:tcW w:w="428" w:type="dxa"/>
            <w:gridSpan w:val="2"/>
          </w:tcPr>
          <w:p w14:paraId="2583A8C9" w14:textId="77777777" w:rsidR="002B04EB" w:rsidRPr="003F7F6C" w:rsidRDefault="002B04EB" w:rsidP="00B851B7">
            <w:r w:rsidRPr="003F7F6C">
              <w:rPr>
                <w:rFonts w:cs="Calibri"/>
                <w:sz w:val="16"/>
                <w:szCs w:val="16"/>
              </w:rPr>
              <w:t>X</w:t>
            </w:r>
          </w:p>
        </w:tc>
        <w:tc>
          <w:tcPr>
            <w:tcW w:w="428" w:type="dxa"/>
          </w:tcPr>
          <w:p w14:paraId="46EEF6E5" w14:textId="77777777" w:rsidR="002B04EB" w:rsidRPr="003F7F6C" w:rsidRDefault="002B04EB" w:rsidP="00B851B7">
            <w:r w:rsidRPr="003F7F6C">
              <w:rPr>
                <w:rFonts w:cs="Calibri"/>
                <w:sz w:val="16"/>
                <w:szCs w:val="16"/>
              </w:rPr>
              <w:t>X</w:t>
            </w:r>
          </w:p>
        </w:tc>
        <w:tc>
          <w:tcPr>
            <w:tcW w:w="427" w:type="dxa"/>
          </w:tcPr>
          <w:p w14:paraId="58827ACB" w14:textId="77777777" w:rsidR="002B04EB" w:rsidRPr="003F7F6C" w:rsidRDefault="002B04EB" w:rsidP="00B851B7">
            <w:r w:rsidRPr="003F7F6C">
              <w:rPr>
                <w:rFonts w:cs="Calibri"/>
                <w:sz w:val="16"/>
                <w:szCs w:val="16"/>
              </w:rPr>
              <w:t>X</w:t>
            </w:r>
          </w:p>
        </w:tc>
        <w:tc>
          <w:tcPr>
            <w:tcW w:w="427" w:type="dxa"/>
          </w:tcPr>
          <w:p w14:paraId="20ADA227" w14:textId="77777777" w:rsidR="002B04EB" w:rsidRPr="003F7F6C" w:rsidRDefault="002B04EB" w:rsidP="00B851B7">
            <w:r w:rsidRPr="003F7F6C">
              <w:rPr>
                <w:rFonts w:cs="Calibri"/>
                <w:sz w:val="16"/>
                <w:szCs w:val="16"/>
              </w:rPr>
              <w:t>X</w:t>
            </w:r>
          </w:p>
        </w:tc>
        <w:tc>
          <w:tcPr>
            <w:tcW w:w="427" w:type="dxa"/>
            <w:gridSpan w:val="2"/>
          </w:tcPr>
          <w:p w14:paraId="403274EE" w14:textId="77777777" w:rsidR="002B04EB" w:rsidRPr="003F7F6C" w:rsidRDefault="002B04EB" w:rsidP="00B851B7">
            <w:r w:rsidRPr="003F7F6C">
              <w:rPr>
                <w:rFonts w:cs="Calibri"/>
                <w:sz w:val="16"/>
                <w:szCs w:val="16"/>
              </w:rPr>
              <w:t>X</w:t>
            </w:r>
          </w:p>
        </w:tc>
        <w:tc>
          <w:tcPr>
            <w:tcW w:w="428" w:type="dxa"/>
          </w:tcPr>
          <w:p w14:paraId="6ABCA23A" w14:textId="77777777" w:rsidR="002B04EB" w:rsidRPr="003F7F6C" w:rsidRDefault="002B04EB" w:rsidP="00B851B7">
            <w:r w:rsidRPr="003F7F6C">
              <w:rPr>
                <w:rFonts w:cs="Calibri"/>
                <w:sz w:val="16"/>
                <w:szCs w:val="16"/>
              </w:rPr>
              <w:t>X</w:t>
            </w:r>
          </w:p>
        </w:tc>
        <w:tc>
          <w:tcPr>
            <w:tcW w:w="428" w:type="dxa"/>
          </w:tcPr>
          <w:p w14:paraId="61A88E1E" w14:textId="77777777" w:rsidR="002B04EB" w:rsidRPr="003F7F6C" w:rsidRDefault="002B04EB" w:rsidP="00B851B7">
            <w:r w:rsidRPr="003F7F6C">
              <w:rPr>
                <w:rFonts w:cs="Calibri"/>
                <w:sz w:val="16"/>
                <w:szCs w:val="16"/>
              </w:rPr>
              <w:t>X</w:t>
            </w:r>
          </w:p>
        </w:tc>
        <w:tc>
          <w:tcPr>
            <w:tcW w:w="428" w:type="dxa"/>
          </w:tcPr>
          <w:p w14:paraId="1A610931" w14:textId="77777777" w:rsidR="002B04EB" w:rsidRPr="003F7F6C" w:rsidRDefault="002B04EB" w:rsidP="00B851B7">
            <w:r w:rsidRPr="003F7F6C">
              <w:rPr>
                <w:rFonts w:cs="Calibri"/>
                <w:sz w:val="16"/>
                <w:szCs w:val="16"/>
              </w:rPr>
              <w:t>X</w:t>
            </w:r>
          </w:p>
        </w:tc>
        <w:tc>
          <w:tcPr>
            <w:tcW w:w="428" w:type="dxa"/>
            <w:gridSpan w:val="2"/>
          </w:tcPr>
          <w:p w14:paraId="17AA4CAF" w14:textId="77777777" w:rsidR="002B04EB" w:rsidRPr="003F7F6C" w:rsidRDefault="002B04EB" w:rsidP="00B851B7">
            <w:r w:rsidRPr="003F7F6C">
              <w:rPr>
                <w:rFonts w:cs="Calibri"/>
                <w:sz w:val="16"/>
                <w:szCs w:val="16"/>
              </w:rPr>
              <w:t>X</w:t>
            </w:r>
          </w:p>
        </w:tc>
        <w:tc>
          <w:tcPr>
            <w:tcW w:w="428" w:type="dxa"/>
          </w:tcPr>
          <w:p w14:paraId="7B4C8BAB" w14:textId="77777777" w:rsidR="002B04EB" w:rsidRPr="003F7F6C" w:rsidRDefault="002B04EB" w:rsidP="00B851B7">
            <w:r w:rsidRPr="003F7F6C">
              <w:rPr>
                <w:rFonts w:cs="Calibri"/>
                <w:sz w:val="16"/>
                <w:szCs w:val="16"/>
              </w:rPr>
              <w:t>X</w:t>
            </w:r>
          </w:p>
        </w:tc>
        <w:tc>
          <w:tcPr>
            <w:tcW w:w="428" w:type="dxa"/>
          </w:tcPr>
          <w:p w14:paraId="429724DE" w14:textId="77777777" w:rsidR="002B04EB" w:rsidRPr="003F7F6C" w:rsidRDefault="002B04EB" w:rsidP="00B851B7">
            <w:r w:rsidRPr="003F7F6C">
              <w:rPr>
                <w:rFonts w:cs="Calibri"/>
                <w:sz w:val="16"/>
                <w:szCs w:val="16"/>
              </w:rPr>
              <w:t>X</w:t>
            </w:r>
          </w:p>
        </w:tc>
        <w:tc>
          <w:tcPr>
            <w:tcW w:w="428" w:type="dxa"/>
          </w:tcPr>
          <w:p w14:paraId="3B6E3B54" w14:textId="77777777" w:rsidR="002B04EB" w:rsidRPr="003F7F6C" w:rsidRDefault="002B04EB" w:rsidP="00B851B7">
            <w:r w:rsidRPr="003F7F6C">
              <w:rPr>
                <w:rFonts w:cs="Calibri"/>
                <w:sz w:val="16"/>
                <w:szCs w:val="16"/>
              </w:rPr>
              <w:t>X</w:t>
            </w:r>
          </w:p>
        </w:tc>
        <w:tc>
          <w:tcPr>
            <w:tcW w:w="428" w:type="dxa"/>
            <w:gridSpan w:val="2"/>
          </w:tcPr>
          <w:p w14:paraId="0EE6E7D3" w14:textId="77777777" w:rsidR="002B04EB" w:rsidRPr="003F7F6C" w:rsidRDefault="002B04EB" w:rsidP="00B851B7">
            <w:r w:rsidRPr="003F7F6C">
              <w:rPr>
                <w:rFonts w:cs="Calibri"/>
                <w:sz w:val="16"/>
                <w:szCs w:val="16"/>
              </w:rPr>
              <w:t>X</w:t>
            </w:r>
          </w:p>
        </w:tc>
        <w:tc>
          <w:tcPr>
            <w:tcW w:w="428" w:type="dxa"/>
          </w:tcPr>
          <w:p w14:paraId="4B58491E" w14:textId="77777777" w:rsidR="002B04EB" w:rsidRPr="003F7F6C" w:rsidRDefault="002B04EB" w:rsidP="00B851B7">
            <w:r w:rsidRPr="003F7F6C">
              <w:rPr>
                <w:rFonts w:cs="Calibri"/>
                <w:sz w:val="16"/>
                <w:szCs w:val="16"/>
              </w:rPr>
              <w:t>X</w:t>
            </w:r>
          </w:p>
        </w:tc>
        <w:tc>
          <w:tcPr>
            <w:tcW w:w="428" w:type="dxa"/>
          </w:tcPr>
          <w:p w14:paraId="14F9D7F9" w14:textId="77777777" w:rsidR="002B04EB" w:rsidRPr="003F7F6C" w:rsidRDefault="002B04EB" w:rsidP="00B851B7">
            <w:r w:rsidRPr="003F7F6C">
              <w:rPr>
                <w:rFonts w:cs="Calibri"/>
                <w:sz w:val="16"/>
                <w:szCs w:val="16"/>
              </w:rPr>
              <w:t>X</w:t>
            </w:r>
          </w:p>
        </w:tc>
        <w:tc>
          <w:tcPr>
            <w:tcW w:w="428" w:type="dxa"/>
          </w:tcPr>
          <w:p w14:paraId="4FDF174A" w14:textId="77777777" w:rsidR="002B04EB" w:rsidRPr="003F7F6C" w:rsidRDefault="002B04EB" w:rsidP="00B851B7">
            <w:r w:rsidRPr="003F7F6C">
              <w:rPr>
                <w:rFonts w:cs="Calibri"/>
                <w:sz w:val="16"/>
                <w:szCs w:val="16"/>
              </w:rPr>
              <w:t>X</w:t>
            </w:r>
          </w:p>
        </w:tc>
        <w:tc>
          <w:tcPr>
            <w:tcW w:w="428" w:type="dxa"/>
            <w:gridSpan w:val="2"/>
          </w:tcPr>
          <w:p w14:paraId="3C8D55B0" w14:textId="77777777" w:rsidR="002B04EB" w:rsidRPr="003F7F6C" w:rsidRDefault="002B04EB" w:rsidP="00B851B7">
            <w:r w:rsidRPr="003F7F6C">
              <w:rPr>
                <w:rFonts w:cs="Calibri"/>
                <w:sz w:val="16"/>
                <w:szCs w:val="16"/>
              </w:rPr>
              <w:t>X</w:t>
            </w:r>
          </w:p>
        </w:tc>
        <w:tc>
          <w:tcPr>
            <w:tcW w:w="428" w:type="dxa"/>
          </w:tcPr>
          <w:p w14:paraId="151D18AE" w14:textId="77777777" w:rsidR="002B04EB" w:rsidRPr="003F7F6C" w:rsidRDefault="002B04EB" w:rsidP="00B851B7">
            <w:r w:rsidRPr="003F7F6C">
              <w:rPr>
                <w:rFonts w:cs="Calibri"/>
                <w:sz w:val="16"/>
                <w:szCs w:val="16"/>
              </w:rPr>
              <w:t>X</w:t>
            </w:r>
          </w:p>
        </w:tc>
        <w:tc>
          <w:tcPr>
            <w:tcW w:w="428" w:type="dxa"/>
          </w:tcPr>
          <w:p w14:paraId="18489997" w14:textId="77777777" w:rsidR="002B04EB" w:rsidRPr="003F7F6C" w:rsidRDefault="002B04EB" w:rsidP="00B851B7">
            <w:r w:rsidRPr="003F7F6C">
              <w:rPr>
                <w:rFonts w:cs="Calibri"/>
                <w:sz w:val="16"/>
                <w:szCs w:val="16"/>
              </w:rPr>
              <w:t>X</w:t>
            </w:r>
          </w:p>
        </w:tc>
        <w:tc>
          <w:tcPr>
            <w:tcW w:w="428" w:type="dxa"/>
          </w:tcPr>
          <w:p w14:paraId="3438E92F" w14:textId="77777777" w:rsidR="002B04EB" w:rsidRPr="003F7F6C" w:rsidRDefault="002B04EB" w:rsidP="00B851B7">
            <w:r w:rsidRPr="003F7F6C">
              <w:rPr>
                <w:rFonts w:cs="Calibri"/>
                <w:sz w:val="16"/>
                <w:szCs w:val="16"/>
              </w:rPr>
              <w:t>X</w:t>
            </w:r>
          </w:p>
        </w:tc>
        <w:tc>
          <w:tcPr>
            <w:tcW w:w="428" w:type="dxa"/>
          </w:tcPr>
          <w:p w14:paraId="065673D0" w14:textId="77777777" w:rsidR="002B04EB" w:rsidRPr="003F7F6C" w:rsidRDefault="002B04EB" w:rsidP="00B851B7">
            <w:r w:rsidRPr="003F7F6C">
              <w:rPr>
                <w:rFonts w:cs="Calibri"/>
                <w:sz w:val="16"/>
                <w:szCs w:val="16"/>
              </w:rPr>
              <w:t>X</w:t>
            </w:r>
          </w:p>
        </w:tc>
      </w:tr>
      <w:tr w:rsidR="002B04EB" w:rsidRPr="003F7F6C" w14:paraId="31750A4F" w14:textId="77777777" w:rsidTr="00B851B7">
        <w:tc>
          <w:tcPr>
            <w:tcW w:w="1668" w:type="dxa"/>
          </w:tcPr>
          <w:p w14:paraId="180A91DC" w14:textId="77777777" w:rsidR="002B04EB" w:rsidRPr="003F7F6C" w:rsidRDefault="002B04EB" w:rsidP="00B851B7">
            <w:pPr>
              <w:rPr>
                <w:rFonts w:cs="Calibri"/>
                <w:sz w:val="16"/>
                <w:szCs w:val="16"/>
              </w:rPr>
            </w:pPr>
            <w:r w:rsidRPr="003F7F6C">
              <w:rPr>
                <w:rFonts w:cs="Calibri"/>
                <w:sz w:val="16"/>
                <w:szCs w:val="16"/>
              </w:rPr>
              <w:t>2.4.2 Sustainable livestock practices in sensitive areas</w:t>
            </w:r>
          </w:p>
        </w:tc>
        <w:tc>
          <w:tcPr>
            <w:tcW w:w="1057" w:type="dxa"/>
          </w:tcPr>
          <w:p w14:paraId="688A515A" w14:textId="77777777" w:rsidR="002B04EB" w:rsidRPr="003F7F6C" w:rsidRDefault="002B04EB" w:rsidP="00B851B7">
            <w:r w:rsidRPr="003F7F6C">
              <w:rPr>
                <w:rFonts w:cs="Calibri"/>
                <w:sz w:val="16"/>
                <w:szCs w:val="16"/>
              </w:rPr>
              <w:t>INTA</w:t>
            </w:r>
          </w:p>
        </w:tc>
        <w:tc>
          <w:tcPr>
            <w:tcW w:w="428" w:type="dxa"/>
          </w:tcPr>
          <w:p w14:paraId="1D5FDEE3" w14:textId="77777777" w:rsidR="002B04EB" w:rsidRPr="003F7F6C" w:rsidRDefault="002B04EB" w:rsidP="00B851B7"/>
        </w:tc>
        <w:tc>
          <w:tcPr>
            <w:tcW w:w="444" w:type="dxa"/>
          </w:tcPr>
          <w:p w14:paraId="01F6613E" w14:textId="77777777" w:rsidR="002B04EB" w:rsidRPr="003F7F6C" w:rsidRDefault="002B04EB" w:rsidP="00B851B7">
            <w:r w:rsidRPr="003F7F6C">
              <w:rPr>
                <w:rFonts w:cs="Calibri"/>
                <w:sz w:val="16"/>
                <w:szCs w:val="16"/>
              </w:rPr>
              <w:t>X</w:t>
            </w:r>
          </w:p>
        </w:tc>
        <w:tc>
          <w:tcPr>
            <w:tcW w:w="428" w:type="dxa"/>
          </w:tcPr>
          <w:p w14:paraId="63FD3288" w14:textId="77777777" w:rsidR="002B04EB" w:rsidRPr="003F7F6C" w:rsidRDefault="002B04EB" w:rsidP="00B851B7">
            <w:r w:rsidRPr="003F7F6C">
              <w:rPr>
                <w:rFonts w:cs="Calibri"/>
                <w:sz w:val="16"/>
                <w:szCs w:val="16"/>
              </w:rPr>
              <w:t>X</w:t>
            </w:r>
          </w:p>
        </w:tc>
        <w:tc>
          <w:tcPr>
            <w:tcW w:w="428" w:type="dxa"/>
            <w:gridSpan w:val="2"/>
          </w:tcPr>
          <w:p w14:paraId="03886F4B" w14:textId="77777777" w:rsidR="002B04EB" w:rsidRPr="003F7F6C" w:rsidRDefault="002B04EB" w:rsidP="00B851B7">
            <w:r w:rsidRPr="003F7F6C">
              <w:rPr>
                <w:rFonts w:cs="Calibri"/>
                <w:sz w:val="16"/>
                <w:szCs w:val="16"/>
              </w:rPr>
              <w:t>X</w:t>
            </w:r>
          </w:p>
        </w:tc>
        <w:tc>
          <w:tcPr>
            <w:tcW w:w="428" w:type="dxa"/>
          </w:tcPr>
          <w:p w14:paraId="2422393C" w14:textId="77777777" w:rsidR="002B04EB" w:rsidRPr="003F7F6C" w:rsidRDefault="002B04EB" w:rsidP="00B851B7">
            <w:r w:rsidRPr="003F7F6C">
              <w:rPr>
                <w:rFonts w:cs="Calibri"/>
                <w:sz w:val="16"/>
                <w:szCs w:val="16"/>
              </w:rPr>
              <w:t>X</w:t>
            </w:r>
          </w:p>
        </w:tc>
        <w:tc>
          <w:tcPr>
            <w:tcW w:w="427" w:type="dxa"/>
          </w:tcPr>
          <w:p w14:paraId="4FFA73FC" w14:textId="77777777" w:rsidR="002B04EB" w:rsidRPr="003F7F6C" w:rsidRDefault="002B04EB" w:rsidP="00B851B7">
            <w:r w:rsidRPr="003F7F6C">
              <w:rPr>
                <w:rFonts w:cs="Calibri"/>
                <w:sz w:val="16"/>
                <w:szCs w:val="16"/>
              </w:rPr>
              <w:t>X</w:t>
            </w:r>
          </w:p>
        </w:tc>
        <w:tc>
          <w:tcPr>
            <w:tcW w:w="427" w:type="dxa"/>
          </w:tcPr>
          <w:p w14:paraId="5640656F" w14:textId="77777777" w:rsidR="002B04EB" w:rsidRPr="003F7F6C" w:rsidRDefault="002B04EB" w:rsidP="00B851B7">
            <w:r w:rsidRPr="003F7F6C">
              <w:rPr>
                <w:rFonts w:cs="Calibri"/>
                <w:sz w:val="16"/>
                <w:szCs w:val="16"/>
              </w:rPr>
              <w:t>X</w:t>
            </w:r>
          </w:p>
        </w:tc>
        <w:tc>
          <w:tcPr>
            <w:tcW w:w="427" w:type="dxa"/>
            <w:gridSpan w:val="2"/>
          </w:tcPr>
          <w:p w14:paraId="7F8039D3" w14:textId="77777777" w:rsidR="002B04EB" w:rsidRPr="003F7F6C" w:rsidRDefault="002B04EB" w:rsidP="00B851B7">
            <w:r w:rsidRPr="003F7F6C">
              <w:rPr>
                <w:rFonts w:cs="Calibri"/>
                <w:sz w:val="16"/>
                <w:szCs w:val="16"/>
              </w:rPr>
              <w:t>X</w:t>
            </w:r>
          </w:p>
        </w:tc>
        <w:tc>
          <w:tcPr>
            <w:tcW w:w="428" w:type="dxa"/>
          </w:tcPr>
          <w:p w14:paraId="75374012" w14:textId="77777777" w:rsidR="002B04EB" w:rsidRPr="003F7F6C" w:rsidRDefault="002B04EB" w:rsidP="00B851B7">
            <w:r w:rsidRPr="003F7F6C">
              <w:rPr>
                <w:rFonts w:cs="Calibri"/>
                <w:sz w:val="16"/>
                <w:szCs w:val="16"/>
              </w:rPr>
              <w:t>X</w:t>
            </w:r>
          </w:p>
        </w:tc>
        <w:tc>
          <w:tcPr>
            <w:tcW w:w="428" w:type="dxa"/>
          </w:tcPr>
          <w:p w14:paraId="63A1EC72" w14:textId="77777777" w:rsidR="002B04EB" w:rsidRPr="003F7F6C" w:rsidRDefault="002B04EB" w:rsidP="00B851B7">
            <w:r w:rsidRPr="003F7F6C">
              <w:rPr>
                <w:rFonts w:cs="Calibri"/>
                <w:sz w:val="16"/>
                <w:szCs w:val="16"/>
              </w:rPr>
              <w:t>X</w:t>
            </w:r>
          </w:p>
        </w:tc>
        <w:tc>
          <w:tcPr>
            <w:tcW w:w="428" w:type="dxa"/>
          </w:tcPr>
          <w:p w14:paraId="55F8BFA2" w14:textId="77777777" w:rsidR="002B04EB" w:rsidRPr="003F7F6C" w:rsidRDefault="002B04EB" w:rsidP="00B851B7">
            <w:r w:rsidRPr="003F7F6C">
              <w:rPr>
                <w:rFonts w:cs="Calibri"/>
                <w:sz w:val="16"/>
                <w:szCs w:val="16"/>
              </w:rPr>
              <w:t>X</w:t>
            </w:r>
          </w:p>
        </w:tc>
        <w:tc>
          <w:tcPr>
            <w:tcW w:w="428" w:type="dxa"/>
            <w:gridSpan w:val="2"/>
          </w:tcPr>
          <w:p w14:paraId="42DC8B1C" w14:textId="77777777" w:rsidR="002B04EB" w:rsidRPr="003F7F6C" w:rsidRDefault="002B04EB" w:rsidP="00B851B7">
            <w:r w:rsidRPr="003F7F6C">
              <w:rPr>
                <w:rFonts w:cs="Calibri"/>
                <w:sz w:val="16"/>
                <w:szCs w:val="16"/>
              </w:rPr>
              <w:t>X</w:t>
            </w:r>
          </w:p>
        </w:tc>
        <w:tc>
          <w:tcPr>
            <w:tcW w:w="428" w:type="dxa"/>
          </w:tcPr>
          <w:p w14:paraId="21D1822C" w14:textId="77777777" w:rsidR="002B04EB" w:rsidRPr="003F7F6C" w:rsidRDefault="002B04EB" w:rsidP="00B851B7">
            <w:r w:rsidRPr="003F7F6C">
              <w:rPr>
                <w:rFonts w:cs="Calibri"/>
                <w:sz w:val="16"/>
                <w:szCs w:val="16"/>
              </w:rPr>
              <w:t>X</w:t>
            </w:r>
          </w:p>
        </w:tc>
        <w:tc>
          <w:tcPr>
            <w:tcW w:w="428" w:type="dxa"/>
          </w:tcPr>
          <w:p w14:paraId="7D7B9305" w14:textId="77777777" w:rsidR="002B04EB" w:rsidRPr="003F7F6C" w:rsidRDefault="002B04EB" w:rsidP="00B851B7">
            <w:r w:rsidRPr="003F7F6C">
              <w:rPr>
                <w:rFonts w:cs="Calibri"/>
                <w:sz w:val="16"/>
                <w:szCs w:val="16"/>
              </w:rPr>
              <w:t>X</w:t>
            </w:r>
          </w:p>
        </w:tc>
        <w:tc>
          <w:tcPr>
            <w:tcW w:w="428" w:type="dxa"/>
          </w:tcPr>
          <w:p w14:paraId="08C41A22" w14:textId="77777777" w:rsidR="002B04EB" w:rsidRPr="003F7F6C" w:rsidRDefault="002B04EB" w:rsidP="00B851B7">
            <w:r w:rsidRPr="003F7F6C">
              <w:rPr>
                <w:rFonts w:cs="Calibri"/>
                <w:sz w:val="16"/>
                <w:szCs w:val="16"/>
              </w:rPr>
              <w:t>X</w:t>
            </w:r>
          </w:p>
        </w:tc>
        <w:tc>
          <w:tcPr>
            <w:tcW w:w="428" w:type="dxa"/>
            <w:gridSpan w:val="2"/>
          </w:tcPr>
          <w:p w14:paraId="662B52CE" w14:textId="77777777" w:rsidR="002B04EB" w:rsidRPr="003F7F6C" w:rsidRDefault="002B04EB" w:rsidP="00B851B7">
            <w:r w:rsidRPr="003F7F6C">
              <w:rPr>
                <w:rFonts w:cs="Calibri"/>
                <w:sz w:val="16"/>
                <w:szCs w:val="16"/>
              </w:rPr>
              <w:t>X</w:t>
            </w:r>
          </w:p>
        </w:tc>
        <w:tc>
          <w:tcPr>
            <w:tcW w:w="428" w:type="dxa"/>
          </w:tcPr>
          <w:p w14:paraId="27149B7A" w14:textId="77777777" w:rsidR="002B04EB" w:rsidRPr="003F7F6C" w:rsidRDefault="002B04EB" w:rsidP="00B851B7">
            <w:r w:rsidRPr="003F7F6C">
              <w:rPr>
                <w:rFonts w:cs="Calibri"/>
                <w:sz w:val="16"/>
                <w:szCs w:val="16"/>
              </w:rPr>
              <w:t>X</w:t>
            </w:r>
          </w:p>
        </w:tc>
        <w:tc>
          <w:tcPr>
            <w:tcW w:w="428" w:type="dxa"/>
          </w:tcPr>
          <w:p w14:paraId="5C9D6DB6" w14:textId="77777777" w:rsidR="002B04EB" w:rsidRPr="003F7F6C" w:rsidRDefault="002B04EB" w:rsidP="00B851B7">
            <w:r w:rsidRPr="003F7F6C">
              <w:rPr>
                <w:rFonts w:cs="Calibri"/>
                <w:sz w:val="16"/>
                <w:szCs w:val="16"/>
              </w:rPr>
              <w:t>X</w:t>
            </w:r>
          </w:p>
        </w:tc>
        <w:tc>
          <w:tcPr>
            <w:tcW w:w="428" w:type="dxa"/>
          </w:tcPr>
          <w:p w14:paraId="1E86C985" w14:textId="77777777" w:rsidR="002B04EB" w:rsidRPr="003F7F6C" w:rsidRDefault="002B04EB" w:rsidP="00B851B7">
            <w:r w:rsidRPr="003F7F6C">
              <w:rPr>
                <w:rFonts w:cs="Calibri"/>
                <w:sz w:val="16"/>
                <w:szCs w:val="16"/>
              </w:rPr>
              <w:t>X</w:t>
            </w:r>
          </w:p>
        </w:tc>
        <w:tc>
          <w:tcPr>
            <w:tcW w:w="428" w:type="dxa"/>
            <w:gridSpan w:val="2"/>
          </w:tcPr>
          <w:p w14:paraId="33EDA419" w14:textId="77777777" w:rsidR="002B04EB" w:rsidRPr="003F7F6C" w:rsidRDefault="002B04EB" w:rsidP="00B851B7">
            <w:r w:rsidRPr="003F7F6C">
              <w:rPr>
                <w:rFonts w:cs="Calibri"/>
                <w:sz w:val="16"/>
                <w:szCs w:val="16"/>
              </w:rPr>
              <w:t>X</w:t>
            </w:r>
          </w:p>
        </w:tc>
        <w:tc>
          <w:tcPr>
            <w:tcW w:w="428" w:type="dxa"/>
          </w:tcPr>
          <w:p w14:paraId="3EBD1013" w14:textId="77777777" w:rsidR="002B04EB" w:rsidRPr="003F7F6C" w:rsidRDefault="002B04EB" w:rsidP="00B851B7">
            <w:r w:rsidRPr="003F7F6C">
              <w:rPr>
                <w:rFonts w:cs="Calibri"/>
                <w:sz w:val="16"/>
                <w:szCs w:val="16"/>
              </w:rPr>
              <w:t>X</w:t>
            </w:r>
          </w:p>
        </w:tc>
        <w:tc>
          <w:tcPr>
            <w:tcW w:w="428" w:type="dxa"/>
          </w:tcPr>
          <w:p w14:paraId="761E7D32" w14:textId="77777777" w:rsidR="002B04EB" w:rsidRPr="003F7F6C" w:rsidRDefault="002B04EB" w:rsidP="00B851B7">
            <w:r w:rsidRPr="003F7F6C">
              <w:rPr>
                <w:rFonts w:cs="Calibri"/>
                <w:sz w:val="16"/>
                <w:szCs w:val="16"/>
              </w:rPr>
              <w:t>X</w:t>
            </w:r>
          </w:p>
        </w:tc>
        <w:tc>
          <w:tcPr>
            <w:tcW w:w="428" w:type="dxa"/>
          </w:tcPr>
          <w:p w14:paraId="0AB5CE45" w14:textId="77777777" w:rsidR="002B04EB" w:rsidRPr="003F7F6C" w:rsidRDefault="002B04EB" w:rsidP="00B851B7">
            <w:r w:rsidRPr="003F7F6C">
              <w:rPr>
                <w:rFonts w:cs="Calibri"/>
                <w:sz w:val="16"/>
                <w:szCs w:val="16"/>
              </w:rPr>
              <w:t>X</w:t>
            </w:r>
          </w:p>
        </w:tc>
        <w:tc>
          <w:tcPr>
            <w:tcW w:w="428" w:type="dxa"/>
          </w:tcPr>
          <w:p w14:paraId="7BB6DE24" w14:textId="77777777" w:rsidR="002B04EB" w:rsidRPr="003F7F6C" w:rsidRDefault="002B04EB" w:rsidP="00B851B7">
            <w:r w:rsidRPr="003F7F6C">
              <w:rPr>
                <w:rFonts w:cs="Calibri"/>
                <w:sz w:val="16"/>
                <w:szCs w:val="16"/>
              </w:rPr>
              <w:t>X</w:t>
            </w:r>
          </w:p>
        </w:tc>
      </w:tr>
      <w:tr w:rsidR="002B04EB" w:rsidRPr="003F7F6C" w14:paraId="08AD1D2D" w14:textId="77777777" w:rsidTr="00B851B7">
        <w:tc>
          <w:tcPr>
            <w:tcW w:w="1668" w:type="dxa"/>
          </w:tcPr>
          <w:p w14:paraId="72193CA8" w14:textId="77777777" w:rsidR="002B04EB" w:rsidRPr="003F7F6C" w:rsidRDefault="002B04EB" w:rsidP="00E91275">
            <w:pPr>
              <w:pStyle w:val="ListParagraph"/>
              <w:numPr>
                <w:ilvl w:val="0"/>
                <w:numId w:val="29"/>
              </w:numPr>
              <w:ind w:left="174" w:hanging="174"/>
              <w:rPr>
                <w:rFonts w:cs="Calibri"/>
                <w:sz w:val="16"/>
                <w:szCs w:val="16"/>
              </w:rPr>
            </w:pPr>
            <w:r w:rsidRPr="003F7F6C">
              <w:rPr>
                <w:rFonts w:cs="Calibri"/>
                <w:sz w:val="16"/>
                <w:szCs w:val="16"/>
              </w:rPr>
              <w:t>Develop silvo-pastoral systems in Delta</w:t>
            </w:r>
          </w:p>
        </w:tc>
        <w:tc>
          <w:tcPr>
            <w:tcW w:w="1057" w:type="dxa"/>
          </w:tcPr>
          <w:p w14:paraId="4D38EF91" w14:textId="77777777" w:rsidR="002B04EB" w:rsidRPr="003F7F6C" w:rsidRDefault="002B04EB" w:rsidP="00B851B7">
            <w:r w:rsidRPr="003F7F6C">
              <w:rPr>
                <w:rFonts w:cs="Calibri"/>
                <w:sz w:val="16"/>
                <w:szCs w:val="16"/>
              </w:rPr>
              <w:t>INTA</w:t>
            </w:r>
          </w:p>
        </w:tc>
        <w:tc>
          <w:tcPr>
            <w:tcW w:w="428" w:type="dxa"/>
          </w:tcPr>
          <w:p w14:paraId="1C4B754E" w14:textId="77777777" w:rsidR="002B04EB" w:rsidRPr="003F7F6C" w:rsidRDefault="002B04EB" w:rsidP="00B851B7"/>
        </w:tc>
        <w:tc>
          <w:tcPr>
            <w:tcW w:w="444" w:type="dxa"/>
          </w:tcPr>
          <w:p w14:paraId="15DFECD5" w14:textId="77777777" w:rsidR="002B04EB" w:rsidRPr="003F7F6C" w:rsidRDefault="002B04EB" w:rsidP="00B851B7">
            <w:r w:rsidRPr="003F7F6C">
              <w:rPr>
                <w:rFonts w:cs="Calibri"/>
                <w:sz w:val="16"/>
                <w:szCs w:val="16"/>
              </w:rPr>
              <w:t>X</w:t>
            </w:r>
          </w:p>
        </w:tc>
        <w:tc>
          <w:tcPr>
            <w:tcW w:w="428" w:type="dxa"/>
          </w:tcPr>
          <w:p w14:paraId="4A8D6365" w14:textId="77777777" w:rsidR="002B04EB" w:rsidRPr="003F7F6C" w:rsidRDefault="002B04EB" w:rsidP="00B851B7">
            <w:r w:rsidRPr="003F7F6C">
              <w:rPr>
                <w:rFonts w:cs="Calibri"/>
                <w:sz w:val="16"/>
                <w:szCs w:val="16"/>
              </w:rPr>
              <w:t>X</w:t>
            </w:r>
          </w:p>
        </w:tc>
        <w:tc>
          <w:tcPr>
            <w:tcW w:w="428" w:type="dxa"/>
            <w:gridSpan w:val="2"/>
          </w:tcPr>
          <w:p w14:paraId="2D2B067D" w14:textId="77777777" w:rsidR="002B04EB" w:rsidRPr="003F7F6C" w:rsidRDefault="002B04EB" w:rsidP="00B851B7">
            <w:r w:rsidRPr="003F7F6C">
              <w:rPr>
                <w:rFonts w:cs="Calibri"/>
                <w:sz w:val="16"/>
                <w:szCs w:val="16"/>
              </w:rPr>
              <w:t>X</w:t>
            </w:r>
          </w:p>
        </w:tc>
        <w:tc>
          <w:tcPr>
            <w:tcW w:w="428" w:type="dxa"/>
          </w:tcPr>
          <w:p w14:paraId="66A4B95B" w14:textId="77777777" w:rsidR="002B04EB" w:rsidRPr="003F7F6C" w:rsidRDefault="002B04EB" w:rsidP="00B851B7">
            <w:r w:rsidRPr="003F7F6C">
              <w:rPr>
                <w:rFonts w:cs="Calibri"/>
                <w:sz w:val="16"/>
                <w:szCs w:val="16"/>
              </w:rPr>
              <w:t>X</w:t>
            </w:r>
          </w:p>
        </w:tc>
        <w:tc>
          <w:tcPr>
            <w:tcW w:w="427" w:type="dxa"/>
          </w:tcPr>
          <w:p w14:paraId="5867D0FE" w14:textId="77777777" w:rsidR="002B04EB" w:rsidRPr="003F7F6C" w:rsidRDefault="002B04EB" w:rsidP="00B851B7">
            <w:r w:rsidRPr="003F7F6C">
              <w:rPr>
                <w:rFonts w:cs="Calibri"/>
                <w:sz w:val="16"/>
                <w:szCs w:val="16"/>
              </w:rPr>
              <w:t>X</w:t>
            </w:r>
          </w:p>
        </w:tc>
        <w:tc>
          <w:tcPr>
            <w:tcW w:w="427" w:type="dxa"/>
          </w:tcPr>
          <w:p w14:paraId="21C9808F" w14:textId="77777777" w:rsidR="002B04EB" w:rsidRPr="003F7F6C" w:rsidRDefault="002B04EB" w:rsidP="00B851B7">
            <w:r w:rsidRPr="003F7F6C">
              <w:rPr>
                <w:rFonts w:cs="Calibri"/>
                <w:sz w:val="16"/>
                <w:szCs w:val="16"/>
              </w:rPr>
              <w:t>X</w:t>
            </w:r>
          </w:p>
        </w:tc>
        <w:tc>
          <w:tcPr>
            <w:tcW w:w="427" w:type="dxa"/>
            <w:gridSpan w:val="2"/>
          </w:tcPr>
          <w:p w14:paraId="4A55B116" w14:textId="77777777" w:rsidR="002B04EB" w:rsidRPr="003F7F6C" w:rsidRDefault="002B04EB" w:rsidP="00B851B7">
            <w:r w:rsidRPr="003F7F6C">
              <w:rPr>
                <w:rFonts w:cs="Calibri"/>
                <w:sz w:val="16"/>
                <w:szCs w:val="16"/>
              </w:rPr>
              <w:t>X</w:t>
            </w:r>
          </w:p>
        </w:tc>
        <w:tc>
          <w:tcPr>
            <w:tcW w:w="428" w:type="dxa"/>
          </w:tcPr>
          <w:p w14:paraId="5477693D" w14:textId="77777777" w:rsidR="002B04EB" w:rsidRPr="003F7F6C" w:rsidRDefault="002B04EB" w:rsidP="00B851B7">
            <w:r w:rsidRPr="003F7F6C">
              <w:rPr>
                <w:rFonts w:cs="Calibri"/>
                <w:sz w:val="16"/>
                <w:szCs w:val="16"/>
              </w:rPr>
              <w:t>X</w:t>
            </w:r>
          </w:p>
        </w:tc>
        <w:tc>
          <w:tcPr>
            <w:tcW w:w="428" w:type="dxa"/>
          </w:tcPr>
          <w:p w14:paraId="040D379C" w14:textId="77777777" w:rsidR="002B04EB" w:rsidRPr="003F7F6C" w:rsidRDefault="002B04EB" w:rsidP="00B851B7">
            <w:r w:rsidRPr="003F7F6C">
              <w:rPr>
                <w:rFonts w:cs="Calibri"/>
                <w:sz w:val="16"/>
                <w:szCs w:val="16"/>
              </w:rPr>
              <w:t>X</w:t>
            </w:r>
          </w:p>
        </w:tc>
        <w:tc>
          <w:tcPr>
            <w:tcW w:w="428" w:type="dxa"/>
          </w:tcPr>
          <w:p w14:paraId="0A1B051C" w14:textId="77777777" w:rsidR="002B04EB" w:rsidRPr="003F7F6C" w:rsidRDefault="002B04EB" w:rsidP="00B851B7">
            <w:r w:rsidRPr="003F7F6C">
              <w:rPr>
                <w:rFonts w:cs="Calibri"/>
                <w:sz w:val="16"/>
                <w:szCs w:val="16"/>
              </w:rPr>
              <w:t>X</w:t>
            </w:r>
          </w:p>
        </w:tc>
        <w:tc>
          <w:tcPr>
            <w:tcW w:w="428" w:type="dxa"/>
            <w:gridSpan w:val="2"/>
          </w:tcPr>
          <w:p w14:paraId="499FC7CE" w14:textId="77777777" w:rsidR="002B04EB" w:rsidRPr="003F7F6C" w:rsidRDefault="002B04EB" w:rsidP="00B851B7">
            <w:r w:rsidRPr="003F7F6C">
              <w:rPr>
                <w:rFonts w:cs="Calibri"/>
                <w:sz w:val="16"/>
                <w:szCs w:val="16"/>
              </w:rPr>
              <w:t>X</w:t>
            </w:r>
          </w:p>
        </w:tc>
        <w:tc>
          <w:tcPr>
            <w:tcW w:w="428" w:type="dxa"/>
          </w:tcPr>
          <w:p w14:paraId="11C1125D" w14:textId="77777777" w:rsidR="002B04EB" w:rsidRPr="003F7F6C" w:rsidRDefault="002B04EB" w:rsidP="00B851B7">
            <w:r w:rsidRPr="003F7F6C">
              <w:rPr>
                <w:rFonts w:cs="Calibri"/>
                <w:sz w:val="16"/>
                <w:szCs w:val="16"/>
              </w:rPr>
              <w:t>X</w:t>
            </w:r>
          </w:p>
        </w:tc>
        <w:tc>
          <w:tcPr>
            <w:tcW w:w="428" w:type="dxa"/>
          </w:tcPr>
          <w:p w14:paraId="36EA3C2C" w14:textId="77777777" w:rsidR="002B04EB" w:rsidRPr="003F7F6C" w:rsidRDefault="002B04EB" w:rsidP="00B851B7">
            <w:r w:rsidRPr="003F7F6C">
              <w:rPr>
                <w:rFonts w:cs="Calibri"/>
                <w:sz w:val="16"/>
                <w:szCs w:val="16"/>
              </w:rPr>
              <w:t>X</w:t>
            </w:r>
          </w:p>
        </w:tc>
        <w:tc>
          <w:tcPr>
            <w:tcW w:w="428" w:type="dxa"/>
          </w:tcPr>
          <w:p w14:paraId="53133B46" w14:textId="77777777" w:rsidR="002B04EB" w:rsidRPr="003F7F6C" w:rsidRDefault="002B04EB" w:rsidP="00B851B7">
            <w:r w:rsidRPr="003F7F6C">
              <w:rPr>
                <w:rFonts w:cs="Calibri"/>
                <w:sz w:val="16"/>
                <w:szCs w:val="16"/>
              </w:rPr>
              <w:t>X</w:t>
            </w:r>
          </w:p>
        </w:tc>
        <w:tc>
          <w:tcPr>
            <w:tcW w:w="428" w:type="dxa"/>
            <w:gridSpan w:val="2"/>
          </w:tcPr>
          <w:p w14:paraId="23D5DDB9" w14:textId="77777777" w:rsidR="002B04EB" w:rsidRPr="003F7F6C" w:rsidRDefault="002B04EB" w:rsidP="00B851B7">
            <w:r w:rsidRPr="003F7F6C">
              <w:rPr>
                <w:rFonts w:cs="Calibri"/>
                <w:sz w:val="16"/>
                <w:szCs w:val="16"/>
              </w:rPr>
              <w:t>X</w:t>
            </w:r>
          </w:p>
        </w:tc>
        <w:tc>
          <w:tcPr>
            <w:tcW w:w="428" w:type="dxa"/>
          </w:tcPr>
          <w:p w14:paraId="5EA7CE42" w14:textId="77777777" w:rsidR="002B04EB" w:rsidRPr="003F7F6C" w:rsidRDefault="002B04EB" w:rsidP="00B851B7">
            <w:r w:rsidRPr="003F7F6C">
              <w:rPr>
                <w:rFonts w:cs="Calibri"/>
                <w:sz w:val="16"/>
                <w:szCs w:val="16"/>
              </w:rPr>
              <w:t>X</w:t>
            </w:r>
          </w:p>
        </w:tc>
        <w:tc>
          <w:tcPr>
            <w:tcW w:w="428" w:type="dxa"/>
          </w:tcPr>
          <w:p w14:paraId="66A0A1D3" w14:textId="77777777" w:rsidR="002B04EB" w:rsidRPr="003F7F6C" w:rsidRDefault="002B04EB" w:rsidP="00B851B7">
            <w:r w:rsidRPr="003F7F6C">
              <w:rPr>
                <w:rFonts w:cs="Calibri"/>
                <w:sz w:val="16"/>
                <w:szCs w:val="16"/>
              </w:rPr>
              <w:t>X</w:t>
            </w:r>
          </w:p>
        </w:tc>
        <w:tc>
          <w:tcPr>
            <w:tcW w:w="428" w:type="dxa"/>
          </w:tcPr>
          <w:p w14:paraId="3B6D126A" w14:textId="77777777" w:rsidR="002B04EB" w:rsidRPr="003F7F6C" w:rsidRDefault="002B04EB" w:rsidP="00B851B7">
            <w:r w:rsidRPr="003F7F6C">
              <w:rPr>
                <w:rFonts w:cs="Calibri"/>
                <w:sz w:val="16"/>
                <w:szCs w:val="16"/>
              </w:rPr>
              <w:t>X</w:t>
            </w:r>
          </w:p>
        </w:tc>
        <w:tc>
          <w:tcPr>
            <w:tcW w:w="428" w:type="dxa"/>
            <w:gridSpan w:val="2"/>
          </w:tcPr>
          <w:p w14:paraId="62684286" w14:textId="77777777" w:rsidR="002B04EB" w:rsidRPr="003F7F6C" w:rsidRDefault="002B04EB" w:rsidP="00B851B7">
            <w:r w:rsidRPr="003F7F6C">
              <w:rPr>
                <w:rFonts w:cs="Calibri"/>
                <w:sz w:val="16"/>
                <w:szCs w:val="16"/>
              </w:rPr>
              <w:t>X</w:t>
            </w:r>
          </w:p>
        </w:tc>
        <w:tc>
          <w:tcPr>
            <w:tcW w:w="428" w:type="dxa"/>
          </w:tcPr>
          <w:p w14:paraId="54CCFC99" w14:textId="77777777" w:rsidR="002B04EB" w:rsidRPr="003F7F6C" w:rsidRDefault="002B04EB" w:rsidP="00B851B7">
            <w:r w:rsidRPr="003F7F6C">
              <w:rPr>
                <w:rFonts w:cs="Calibri"/>
                <w:sz w:val="16"/>
                <w:szCs w:val="16"/>
              </w:rPr>
              <w:t>X</w:t>
            </w:r>
          </w:p>
        </w:tc>
        <w:tc>
          <w:tcPr>
            <w:tcW w:w="428" w:type="dxa"/>
          </w:tcPr>
          <w:p w14:paraId="57036554" w14:textId="77777777" w:rsidR="002B04EB" w:rsidRPr="003F7F6C" w:rsidRDefault="002B04EB" w:rsidP="00B851B7">
            <w:r w:rsidRPr="003F7F6C">
              <w:rPr>
                <w:rFonts w:cs="Calibri"/>
                <w:sz w:val="16"/>
                <w:szCs w:val="16"/>
              </w:rPr>
              <w:t>X</w:t>
            </w:r>
          </w:p>
        </w:tc>
        <w:tc>
          <w:tcPr>
            <w:tcW w:w="428" w:type="dxa"/>
          </w:tcPr>
          <w:p w14:paraId="38532900" w14:textId="77777777" w:rsidR="002B04EB" w:rsidRPr="003F7F6C" w:rsidRDefault="002B04EB" w:rsidP="00B851B7">
            <w:r w:rsidRPr="003F7F6C">
              <w:rPr>
                <w:rFonts w:cs="Calibri"/>
                <w:sz w:val="16"/>
                <w:szCs w:val="16"/>
              </w:rPr>
              <w:t>X</w:t>
            </w:r>
          </w:p>
        </w:tc>
        <w:tc>
          <w:tcPr>
            <w:tcW w:w="428" w:type="dxa"/>
          </w:tcPr>
          <w:p w14:paraId="6958A489" w14:textId="77777777" w:rsidR="002B04EB" w:rsidRPr="003F7F6C" w:rsidRDefault="002B04EB" w:rsidP="00B851B7">
            <w:r w:rsidRPr="003F7F6C">
              <w:rPr>
                <w:rFonts w:cs="Calibri"/>
                <w:sz w:val="16"/>
                <w:szCs w:val="16"/>
              </w:rPr>
              <w:t>X</w:t>
            </w:r>
          </w:p>
        </w:tc>
      </w:tr>
      <w:tr w:rsidR="002B04EB" w:rsidRPr="003F7F6C" w14:paraId="56C93DAA" w14:textId="77777777" w:rsidTr="00B851B7">
        <w:tc>
          <w:tcPr>
            <w:tcW w:w="1668" w:type="dxa"/>
          </w:tcPr>
          <w:p w14:paraId="7444EF0F" w14:textId="77777777" w:rsidR="002B04EB" w:rsidRPr="003F7F6C" w:rsidRDefault="002B04EB" w:rsidP="00B851B7">
            <w:pPr>
              <w:rPr>
                <w:rFonts w:cs="Calibri"/>
                <w:sz w:val="16"/>
                <w:szCs w:val="16"/>
              </w:rPr>
            </w:pPr>
            <w:r w:rsidRPr="003F7F6C">
              <w:rPr>
                <w:rFonts w:cs="Calibri"/>
                <w:sz w:val="16"/>
                <w:szCs w:val="16"/>
              </w:rPr>
              <w:t>2.4.3 Zoning of priority wetlands and coastal habitats</w:t>
            </w:r>
          </w:p>
        </w:tc>
        <w:tc>
          <w:tcPr>
            <w:tcW w:w="1057" w:type="dxa"/>
          </w:tcPr>
          <w:p w14:paraId="1393F6A2" w14:textId="77777777" w:rsidR="002B04EB" w:rsidRPr="003F7F6C" w:rsidRDefault="002B04EB" w:rsidP="00B851B7">
            <w:r w:rsidRPr="003F7F6C">
              <w:rPr>
                <w:rFonts w:cs="Calibri"/>
                <w:sz w:val="16"/>
                <w:szCs w:val="16"/>
              </w:rPr>
              <w:t>OPDS</w:t>
            </w:r>
          </w:p>
        </w:tc>
        <w:tc>
          <w:tcPr>
            <w:tcW w:w="428" w:type="dxa"/>
          </w:tcPr>
          <w:p w14:paraId="2E6952C9" w14:textId="77777777" w:rsidR="002B04EB" w:rsidRPr="003F7F6C" w:rsidRDefault="002B04EB" w:rsidP="00B851B7">
            <w:pPr>
              <w:rPr>
                <w:rFonts w:cs="Calibri"/>
                <w:sz w:val="16"/>
                <w:szCs w:val="16"/>
              </w:rPr>
            </w:pPr>
          </w:p>
        </w:tc>
        <w:tc>
          <w:tcPr>
            <w:tcW w:w="444" w:type="dxa"/>
          </w:tcPr>
          <w:p w14:paraId="1999A9C3" w14:textId="77777777" w:rsidR="002B04EB" w:rsidRPr="003F7F6C" w:rsidRDefault="002B04EB" w:rsidP="00B851B7">
            <w:pPr>
              <w:rPr>
                <w:rFonts w:cs="Calibri"/>
                <w:sz w:val="16"/>
                <w:szCs w:val="16"/>
              </w:rPr>
            </w:pPr>
          </w:p>
        </w:tc>
        <w:tc>
          <w:tcPr>
            <w:tcW w:w="428" w:type="dxa"/>
          </w:tcPr>
          <w:p w14:paraId="37124EEB" w14:textId="77777777" w:rsidR="002B04EB" w:rsidRPr="003F7F6C" w:rsidRDefault="002B04EB" w:rsidP="00B851B7">
            <w:pPr>
              <w:rPr>
                <w:rFonts w:cs="Calibri"/>
                <w:sz w:val="16"/>
                <w:szCs w:val="16"/>
              </w:rPr>
            </w:pPr>
          </w:p>
        </w:tc>
        <w:tc>
          <w:tcPr>
            <w:tcW w:w="428" w:type="dxa"/>
            <w:gridSpan w:val="2"/>
          </w:tcPr>
          <w:p w14:paraId="546A663C" w14:textId="77777777" w:rsidR="002B04EB" w:rsidRPr="003F7F6C" w:rsidRDefault="002B04EB" w:rsidP="00B851B7">
            <w:pPr>
              <w:rPr>
                <w:rFonts w:cs="Calibri"/>
                <w:sz w:val="16"/>
                <w:szCs w:val="16"/>
              </w:rPr>
            </w:pPr>
          </w:p>
        </w:tc>
        <w:tc>
          <w:tcPr>
            <w:tcW w:w="428" w:type="dxa"/>
          </w:tcPr>
          <w:p w14:paraId="10E0F5F9" w14:textId="77777777" w:rsidR="002B04EB" w:rsidRPr="003F7F6C" w:rsidRDefault="002B04EB" w:rsidP="00B851B7">
            <w:r w:rsidRPr="003F7F6C">
              <w:rPr>
                <w:rFonts w:cs="Calibri"/>
                <w:sz w:val="16"/>
                <w:szCs w:val="16"/>
              </w:rPr>
              <w:t>X</w:t>
            </w:r>
          </w:p>
        </w:tc>
        <w:tc>
          <w:tcPr>
            <w:tcW w:w="427" w:type="dxa"/>
          </w:tcPr>
          <w:p w14:paraId="214913B2" w14:textId="77777777" w:rsidR="002B04EB" w:rsidRPr="003F7F6C" w:rsidRDefault="002B04EB" w:rsidP="00B851B7">
            <w:r w:rsidRPr="003F7F6C">
              <w:rPr>
                <w:rFonts w:cs="Calibri"/>
                <w:sz w:val="16"/>
                <w:szCs w:val="16"/>
              </w:rPr>
              <w:t>X</w:t>
            </w:r>
          </w:p>
        </w:tc>
        <w:tc>
          <w:tcPr>
            <w:tcW w:w="427" w:type="dxa"/>
          </w:tcPr>
          <w:p w14:paraId="0B855D06" w14:textId="77777777" w:rsidR="002B04EB" w:rsidRPr="003F7F6C" w:rsidRDefault="002B04EB" w:rsidP="00B851B7">
            <w:r w:rsidRPr="003F7F6C">
              <w:rPr>
                <w:rFonts w:cs="Calibri"/>
                <w:sz w:val="16"/>
                <w:szCs w:val="16"/>
              </w:rPr>
              <w:t>X</w:t>
            </w:r>
          </w:p>
        </w:tc>
        <w:tc>
          <w:tcPr>
            <w:tcW w:w="427" w:type="dxa"/>
            <w:gridSpan w:val="2"/>
          </w:tcPr>
          <w:p w14:paraId="164E5BFD" w14:textId="77777777" w:rsidR="002B04EB" w:rsidRPr="003F7F6C" w:rsidRDefault="002B04EB" w:rsidP="00B851B7">
            <w:r w:rsidRPr="003F7F6C">
              <w:rPr>
                <w:rFonts w:cs="Calibri"/>
                <w:sz w:val="16"/>
                <w:szCs w:val="16"/>
              </w:rPr>
              <w:t>X</w:t>
            </w:r>
          </w:p>
        </w:tc>
        <w:tc>
          <w:tcPr>
            <w:tcW w:w="428" w:type="dxa"/>
          </w:tcPr>
          <w:p w14:paraId="572BC436" w14:textId="77777777" w:rsidR="002B04EB" w:rsidRPr="003F7F6C" w:rsidRDefault="002B04EB" w:rsidP="00B851B7">
            <w:r w:rsidRPr="003F7F6C">
              <w:rPr>
                <w:rFonts w:cs="Calibri"/>
                <w:sz w:val="16"/>
                <w:szCs w:val="16"/>
              </w:rPr>
              <w:t>X</w:t>
            </w:r>
          </w:p>
        </w:tc>
        <w:tc>
          <w:tcPr>
            <w:tcW w:w="428" w:type="dxa"/>
          </w:tcPr>
          <w:p w14:paraId="45133A83" w14:textId="77777777" w:rsidR="002B04EB" w:rsidRPr="003F7F6C" w:rsidRDefault="002B04EB" w:rsidP="00B851B7">
            <w:r w:rsidRPr="003F7F6C">
              <w:rPr>
                <w:rFonts w:cs="Calibri"/>
                <w:sz w:val="16"/>
                <w:szCs w:val="16"/>
              </w:rPr>
              <w:t>X</w:t>
            </w:r>
          </w:p>
        </w:tc>
        <w:tc>
          <w:tcPr>
            <w:tcW w:w="428" w:type="dxa"/>
          </w:tcPr>
          <w:p w14:paraId="0DB886D7" w14:textId="77777777" w:rsidR="002B04EB" w:rsidRPr="003F7F6C" w:rsidRDefault="002B04EB" w:rsidP="00B851B7">
            <w:r w:rsidRPr="003F7F6C">
              <w:rPr>
                <w:rFonts w:cs="Calibri"/>
                <w:sz w:val="16"/>
                <w:szCs w:val="16"/>
              </w:rPr>
              <w:t>X</w:t>
            </w:r>
          </w:p>
        </w:tc>
        <w:tc>
          <w:tcPr>
            <w:tcW w:w="428" w:type="dxa"/>
            <w:gridSpan w:val="2"/>
          </w:tcPr>
          <w:p w14:paraId="7B199203" w14:textId="77777777" w:rsidR="002B04EB" w:rsidRPr="003F7F6C" w:rsidRDefault="002B04EB" w:rsidP="00B851B7">
            <w:r w:rsidRPr="003F7F6C">
              <w:rPr>
                <w:rFonts w:cs="Calibri"/>
                <w:sz w:val="16"/>
                <w:szCs w:val="16"/>
              </w:rPr>
              <w:t>X</w:t>
            </w:r>
          </w:p>
        </w:tc>
        <w:tc>
          <w:tcPr>
            <w:tcW w:w="428" w:type="dxa"/>
          </w:tcPr>
          <w:p w14:paraId="1F0367DD" w14:textId="77777777" w:rsidR="002B04EB" w:rsidRPr="003F7F6C" w:rsidRDefault="002B04EB" w:rsidP="00B851B7">
            <w:r w:rsidRPr="003F7F6C">
              <w:rPr>
                <w:rFonts w:cs="Calibri"/>
                <w:sz w:val="16"/>
                <w:szCs w:val="16"/>
              </w:rPr>
              <w:t>X</w:t>
            </w:r>
          </w:p>
        </w:tc>
        <w:tc>
          <w:tcPr>
            <w:tcW w:w="428" w:type="dxa"/>
          </w:tcPr>
          <w:p w14:paraId="60B45CFA" w14:textId="77777777" w:rsidR="002B04EB" w:rsidRPr="003F7F6C" w:rsidRDefault="002B04EB" w:rsidP="00B851B7">
            <w:r w:rsidRPr="003F7F6C">
              <w:rPr>
                <w:rFonts w:cs="Calibri"/>
                <w:sz w:val="16"/>
                <w:szCs w:val="16"/>
              </w:rPr>
              <w:t>X</w:t>
            </w:r>
          </w:p>
        </w:tc>
        <w:tc>
          <w:tcPr>
            <w:tcW w:w="428" w:type="dxa"/>
          </w:tcPr>
          <w:p w14:paraId="025FDEE8" w14:textId="77777777" w:rsidR="002B04EB" w:rsidRPr="003F7F6C" w:rsidRDefault="002B04EB" w:rsidP="00B851B7">
            <w:r w:rsidRPr="003F7F6C">
              <w:rPr>
                <w:rFonts w:cs="Calibri"/>
                <w:sz w:val="16"/>
                <w:szCs w:val="16"/>
              </w:rPr>
              <w:t>X</w:t>
            </w:r>
          </w:p>
        </w:tc>
        <w:tc>
          <w:tcPr>
            <w:tcW w:w="428" w:type="dxa"/>
            <w:gridSpan w:val="2"/>
          </w:tcPr>
          <w:p w14:paraId="32F715F7" w14:textId="77777777" w:rsidR="002B04EB" w:rsidRPr="003F7F6C" w:rsidRDefault="002B04EB" w:rsidP="00B851B7">
            <w:r w:rsidRPr="003F7F6C">
              <w:rPr>
                <w:rFonts w:cs="Calibri"/>
                <w:sz w:val="16"/>
                <w:szCs w:val="16"/>
              </w:rPr>
              <w:t>X</w:t>
            </w:r>
          </w:p>
        </w:tc>
        <w:tc>
          <w:tcPr>
            <w:tcW w:w="428" w:type="dxa"/>
          </w:tcPr>
          <w:p w14:paraId="4C127A9A" w14:textId="77777777" w:rsidR="002B04EB" w:rsidRPr="003F7F6C" w:rsidRDefault="002B04EB" w:rsidP="00B851B7">
            <w:r w:rsidRPr="003F7F6C">
              <w:rPr>
                <w:rFonts w:cs="Calibri"/>
                <w:sz w:val="16"/>
                <w:szCs w:val="16"/>
              </w:rPr>
              <w:t>X</w:t>
            </w:r>
          </w:p>
        </w:tc>
        <w:tc>
          <w:tcPr>
            <w:tcW w:w="428" w:type="dxa"/>
          </w:tcPr>
          <w:p w14:paraId="7BF63691" w14:textId="77777777" w:rsidR="002B04EB" w:rsidRPr="003F7F6C" w:rsidRDefault="002B04EB" w:rsidP="00B851B7">
            <w:pPr>
              <w:rPr>
                <w:rFonts w:cs="Calibri"/>
                <w:sz w:val="16"/>
                <w:szCs w:val="16"/>
              </w:rPr>
            </w:pPr>
          </w:p>
        </w:tc>
        <w:tc>
          <w:tcPr>
            <w:tcW w:w="428" w:type="dxa"/>
          </w:tcPr>
          <w:p w14:paraId="2F98439A" w14:textId="77777777" w:rsidR="002B04EB" w:rsidRPr="003F7F6C" w:rsidRDefault="002B04EB" w:rsidP="00B851B7">
            <w:pPr>
              <w:rPr>
                <w:rFonts w:cs="Calibri"/>
                <w:sz w:val="16"/>
                <w:szCs w:val="16"/>
              </w:rPr>
            </w:pPr>
          </w:p>
        </w:tc>
        <w:tc>
          <w:tcPr>
            <w:tcW w:w="428" w:type="dxa"/>
            <w:gridSpan w:val="2"/>
          </w:tcPr>
          <w:p w14:paraId="7F662636" w14:textId="77777777" w:rsidR="002B04EB" w:rsidRPr="003F7F6C" w:rsidRDefault="002B04EB" w:rsidP="00B851B7">
            <w:pPr>
              <w:rPr>
                <w:rFonts w:cs="Calibri"/>
                <w:sz w:val="16"/>
                <w:szCs w:val="16"/>
              </w:rPr>
            </w:pPr>
          </w:p>
        </w:tc>
        <w:tc>
          <w:tcPr>
            <w:tcW w:w="428" w:type="dxa"/>
          </w:tcPr>
          <w:p w14:paraId="0CD4D976" w14:textId="77777777" w:rsidR="002B04EB" w:rsidRPr="003F7F6C" w:rsidRDefault="002B04EB" w:rsidP="00B851B7">
            <w:pPr>
              <w:rPr>
                <w:rFonts w:cs="Calibri"/>
                <w:sz w:val="16"/>
                <w:szCs w:val="16"/>
              </w:rPr>
            </w:pPr>
          </w:p>
        </w:tc>
        <w:tc>
          <w:tcPr>
            <w:tcW w:w="428" w:type="dxa"/>
          </w:tcPr>
          <w:p w14:paraId="5CA73073" w14:textId="77777777" w:rsidR="002B04EB" w:rsidRPr="003F7F6C" w:rsidRDefault="002B04EB" w:rsidP="00B851B7">
            <w:pPr>
              <w:rPr>
                <w:rFonts w:cs="Calibri"/>
                <w:sz w:val="16"/>
                <w:szCs w:val="16"/>
              </w:rPr>
            </w:pPr>
          </w:p>
        </w:tc>
        <w:tc>
          <w:tcPr>
            <w:tcW w:w="428" w:type="dxa"/>
          </w:tcPr>
          <w:p w14:paraId="14FA888B" w14:textId="77777777" w:rsidR="002B04EB" w:rsidRPr="003F7F6C" w:rsidRDefault="002B04EB" w:rsidP="00B851B7">
            <w:pPr>
              <w:rPr>
                <w:rFonts w:cs="Calibri"/>
                <w:sz w:val="16"/>
                <w:szCs w:val="16"/>
              </w:rPr>
            </w:pPr>
          </w:p>
        </w:tc>
        <w:tc>
          <w:tcPr>
            <w:tcW w:w="428" w:type="dxa"/>
          </w:tcPr>
          <w:p w14:paraId="6A54EB06" w14:textId="77777777" w:rsidR="002B04EB" w:rsidRPr="003F7F6C" w:rsidRDefault="002B04EB" w:rsidP="00B851B7">
            <w:pPr>
              <w:rPr>
                <w:rFonts w:cs="Calibri"/>
                <w:sz w:val="16"/>
                <w:szCs w:val="16"/>
              </w:rPr>
            </w:pPr>
          </w:p>
        </w:tc>
      </w:tr>
      <w:tr w:rsidR="002B04EB" w:rsidRPr="003F7F6C" w14:paraId="3EB1ACE0" w14:textId="77777777" w:rsidTr="00B851B7">
        <w:tc>
          <w:tcPr>
            <w:tcW w:w="1668" w:type="dxa"/>
          </w:tcPr>
          <w:p w14:paraId="014F7F99" w14:textId="77777777" w:rsidR="002B04EB" w:rsidRPr="003F7F6C" w:rsidRDefault="002B04EB" w:rsidP="00B851B7">
            <w:pPr>
              <w:rPr>
                <w:rFonts w:cs="Calibri"/>
                <w:sz w:val="16"/>
                <w:szCs w:val="16"/>
              </w:rPr>
            </w:pPr>
            <w:r w:rsidRPr="003F7F6C">
              <w:rPr>
                <w:rFonts w:cs="Calibri"/>
                <w:sz w:val="16"/>
                <w:szCs w:val="16"/>
              </w:rPr>
              <w:t>2.4.4 Sustainable agro-ecological practices in transition areas</w:t>
            </w:r>
          </w:p>
        </w:tc>
        <w:tc>
          <w:tcPr>
            <w:tcW w:w="1057" w:type="dxa"/>
          </w:tcPr>
          <w:p w14:paraId="61DEC614" w14:textId="77777777" w:rsidR="002B04EB" w:rsidRPr="003F7F6C" w:rsidRDefault="002B04EB" w:rsidP="00B851B7">
            <w:pPr>
              <w:rPr>
                <w:rFonts w:cs="Calibri"/>
                <w:sz w:val="16"/>
                <w:szCs w:val="16"/>
              </w:rPr>
            </w:pPr>
            <w:r w:rsidRPr="003F7F6C">
              <w:rPr>
                <w:rFonts w:cs="Calibri"/>
                <w:sz w:val="16"/>
                <w:szCs w:val="16"/>
              </w:rPr>
              <w:t>INTA</w:t>
            </w:r>
          </w:p>
        </w:tc>
        <w:tc>
          <w:tcPr>
            <w:tcW w:w="428" w:type="dxa"/>
          </w:tcPr>
          <w:p w14:paraId="3A61E1A2" w14:textId="77777777" w:rsidR="002B04EB" w:rsidRPr="003F7F6C" w:rsidRDefault="002B04EB" w:rsidP="00B851B7"/>
        </w:tc>
        <w:tc>
          <w:tcPr>
            <w:tcW w:w="444" w:type="dxa"/>
          </w:tcPr>
          <w:p w14:paraId="5819C629" w14:textId="77777777" w:rsidR="002B04EB" w:rsidRPr="003F7F6C" w:rsidRDefault="002B04EB" w:rsidP="00B851B7">
            <w:r w:rsidRPr="003F7F6C">
              <w:rPr>
                <w:rFonts w:cs="Calibri"/>
                <w:sz w:val="16"/>
                <w:szCs w:val="16"/>
              </w:rPr>
              <w:t>X</w:t>
            </w:r>
          </w:p>
        </w:tc>
        <w:tc>
          <w:tcPr>
            <w:tcW w:w="428" w:type="dxa"/>
          </w:tcPr>
          <w:p w14:paraId="6FD40994" w14:textId="77777777" w:rsidR="002B04EB" w:rsidRPr="003F7F6C" w:rsidRDefault="002B04EB" w:rsidP="00B851B7">
            <w:r w:rsidRPr="003F7F6C">
              <w:rPr>
                <w:rFonts w:cs="Calibri"/>
                <w:sz w:val="16"/>
                <w:szCs w:val="16"/>
              </w:rPr>
              <w:t>X</w:t>
            </w:r>
          </w:p>
        </w:tc>
        <w:tc>
          <w:tcPr>
            <w:tcW w:w="428" w:type="dxa"/>
            <w:gridSpan w:val="2"/>
          </w:tcPr>
          <w:p w14:paraId="3480682E" w14:textId="77777777" w:rsidR="002B04EB" w:rsidRPr="003F7F6C" w:rsidRDefault="002B04EB" w:rsidP="00B851B7">
            <w:r w:rsidRPr="003F7F6C">
              <w:rPr>
                <w:rFonts w:cs="Calibri"/>
                <w:sz w:val="16"/>
                <w:szCs w:val="16"/>
              </w:rPr>
              <w:t>X</w:t>
            </w:r>
          </w:p>
        </w:tc>
        <w:tc>
          <w:tcPr>
            <w:tcW w:w="428" w:type="dxa"/>
          </w:tcPr>
          <w:p w14:paraId="3D297877" w14:textId="77777777" w:rsidR="002B04EB" w:rsidRPr="003F7F6C" w:rsidRDefault="002B04EB" w:rsidP="00B851B7">
            <w:r w:rsidRPr="003F7F6C">
              <w:rPr>
                <w:rFonts w:cs="Calibri"/>
                <w:sz w:val="16"/>
                <w:szCs w:val="16"/>
              </w:rPr>
              <w:t>X</w:t>
            </w:r>
          </w:p>
        </w:tc>
        <w:tc>
          <w:tcPr>
            <w:tcW w:w="427" w:type="dxa"/>
          </w:tcPr>
          <w:p w14:paraId="7AFF3934" w14:textId="77777777" w:rsidR="002B04EB" w:rsidRPr="003F7F6C" w:rsidRDefault="002B04EB" w:rsidP="00B851B7">
            <w:r w:rsidRPr="003F7F6C">
              <w:rPr>
                <w:rFonts w:cs="Calibri"/>
                <w:sz w:val="16"/>
                <w:szCs w:val="16"/>
              </w:rPr>
              <w:t>X</w:t>
            </w:r>
          </w:p>
        </w:tc>
        <w:tc>
          <w:tcPr>
            <w:tcW w:w="427" w:type="dxa"/>
          </w:tcPr>
          <w:p w14:paraId="2C428723" w14:textId="77777777" w:rsidR="002B04EB" w:rsidRPr="003F7F6C" w:rsidRDefault="002B04EB" w:rsidP="00B851B7">
            <w:r w:rsidRPr="003F7F6C">
              <w:rPr>
                <w:rFonts w:cs="Calibri"/>
                <w:sz w:val="16"/>
                <w:szCs w:val="16"/>
              </w:rPr>
              <w:t>X</w:t>
            </w:r>
          </w:p>
        </w:tc>
        <w:tc>
          <w:tcPr>
            <w:tcW w:w="427" w:type="dxa"/>
            <w:gridSpan w:val="2"/>
          </w:tcPr>
          <w:p w14:paraId="0F471E50" w14:textId="77777777" w:rsidR="002B04EB" w:rsidRPr="003F7F6C" w:rsidRDefault="002B04EB" w:rsidP="00B851B7">
            <w:r w:rsidRPr="003F7F6C">
              <w:rPr>
                <w:rFonts w:cs="Calibri"/>
                <w:sz w:val="16"/>
                <w:szCs w:val="16"/>
              </w:rPr>
              <w:t>X</w:t>
            </w:r>
          </w:p>
        </w:tc>
        <w:tc>
          <w:tcPr>
            <w:tcW w:w="428" w:type="dxa"/>
          </w:tcPr>
          <w:p w14:paraId="36629950" w14:textId="77777777" w:rsidR="002B04EB" w:rsidRPr="003F7F6C" w:rsidRDefault="002B04EB" w:rsidP="00B851B7">
            <w:r w:rsidRPr="003F7F6C">
              <w:rPr>
                <w:rFonts w:cs="Calibri"/>
                <w:sz w:val="16"/>
                <w:szCs w:val="16"/>
              </w:rPr>
              <w:t>X</w:t>
            </w:r>
          </w:p>
        </w:tc>
        <w:tc>
          <w:tcPr>
            <w:tcW w:w="428" w:type="dxa"/>
          </w:tcPr>
          <w:p w14:paraId="7FA05904" w14:textId="77777777" w:rsidR="002B04EB" w:rsidRPr="003F7F6C" w:rsidRDefault="002B04EB" w:rsidP="00B851B7">
            <w:r w:rsidRPr="003F7F6C">
              <w:rPr>
                <w:rFonts w:cs="Calibri"/>
                <w:sz w:val="16"/>
                <w:szCs w:val="16"/>
              </w:rPr>
              <w:t>X</w:t>
            </w:r>
          </w:p>
        </w:tc>
        <w:tc>
          <w:tcPr>
            <w:tcW w:w="428" w:type="dxa"/>
          </w:tcPr>
          <w:p w14:paraId="4583EF2E" w14:textId="77777777" w:rsidR="002B04EB" w:rsidRPr="003F7F6C" w:rsidRDefault="002B04EB" w:rsidP="00B851B7">
            <w:r w:rsidRPr="003F7F6C">
              <w:rPr>
                <w:rFonts w:cs="Calibri"/>
                <w:sz w:val="16"/>
                <w:szCs w:val="16"/>
              </w:rPr>
              <w:t>X</w:t>
            </w:r>
          </w:p>
        </w:tc>
        <w:tc>
          <w:tcPr>
            <w:tcW w:w="428" w:type="dxa"/>
            <w:gridSpan w:val="2"/>
          </w:tcPr>
          <w:p w14:paraId="717B93F2" w14:textId="77777777" w:rsidR="002B04EB" w:rsidRPr="003F7F6C" w:rsidRDefault="002B04EB" w:rsidP="00B851B7">
            <w:r w:rsidRPr="003F7F6C">
              <w:rPr>
                <w:rFonts w:cs="Calibri"/>
                <w:sz w:val="16"/>
                <w:szCs w:val="16"/>
              </w:rPr>
              <w:t>X</w:t>
            </w:r>
          </w:p>
        </w:tc>
        <w:tc>
          <w:tcPr>
            <w:tcW w:w="428" w:type="dxa"/>
          </w:tcPr>
          <w:p w14:paraId="2CE79BC2" w14:textId="77777777" w:rsidR="002B04EB" w:rsidRPr="003F7F6C" w:rsidRDefault="002B04EB" w:rsidP="00B851B7">
            <w:r w:rsidRPr="003F7F6C">
              <w:rPr>
                <w:rFonts w:cs="Calibri"/>
                <w:sz w:val="16"/>
                <w:szCs w:val="16"/>
              </w:rPr>
              <w:t>X</w:t>
            </w:r>
          </w:p>
        </w:tc>
        <w:tc>
          <w:tcPr>
            <w:tcW w:w="428" w:type="dxa"/>
          </w:tcPr>
          <w:p w14:paraId="4C4F2A3B" w14:textId="77777777" w:rsidR="002B04EB" w:rsidRPr="003F7F6C" w:rsidRDefault="002B04EB" w:rsidP="00B851B7">
            <w:r w:rsidRPr="003F7F6C">
              <w:rPr>
                <w:rFonts w:cs="Calibri"/>
                <w:sz w:val="16"/>
                <w:szCs w:val="16"/>
              </w:rPr>
              <w:t>X</w:t>
            </w:r>
          </w:p>
        </w:tc>
        <w:tc>
          <w:tcPr>
            <w:tcW w:w="428" w:type="dxa"/>
          </w:tcPr>
          <w:p w14:paraId="14140196" w14:textId="77777777" w:rsidR="002B04EB" w:rsidRPr="003F7F6C" w:rsidRDefault="002B04EB" w:rsidP="00B851B7">
            <w:r w:rsidRPr="003F7F6C">
              <w:rPr>
                <w:rFonts w:cs="Calibri"/>
                <w:sz w:val="16"/>
                <w:szCs w:val="16"/>
              </w:rPr>
              <w:t>X</w:t>
            </w:r>
          </w:p>
        </w:tc>
        <w:tc>
          <w:tcPr>
            <w:tcW w:w="428" w:type="dxa"/>
            <w:gridSpan w:val="2"/>
          </w:tcPr>
          <w:p w14:paraId="5E8D9D66" w14:textId="77777777" w:rsidR="002B04EB" w:rsidRPr="003F7F6C" w:rsidRDefault="002B04EB" w:rsidP="00B851B7">
            <w:r w:rsidRPr="003F7F6C">
              <w:rPr>
                <w:rFonts w:cs="Calibri"/>
                <w:sz w:val="16"/>
                <w:szCs w:val="16"/>
              </w:rPr>
              <w:t>X</w:t>
            </w:r>
          </w:p>
        </w:tc>
        <w:tc>
          <w:tcPr>
            <w:tcW w:w="428" w:type="dxa"/>
          </w:tcPr>
          <w:p w14:paraId="79DC3DF3" w14:textId="77777777" w:rsidR="002B04EB" w:rsidRPr="003F7F6C" w:rsidRDefault="002B04EB" w:rsidP="00B851B7">
            <w:r w:rsidRPr="003F7F6C">
              <w:rPr>
                <w:rFonts w:cs="Calibri"/>
                <w:sz w:val="16"/>
                <w:szCs w:val="16"/>
              </w:rPr>
              <w:t>X</w:t>
            </w:r>
          </w:p>
        </w:tc>
        <w:tc>
          <w:tcPr>
            <w:tcW w:w="428" w:type="dxa"/>
          </w:tcPr>
          <w:p w14:paraId="114182B3" w14:textId="77777777" w:rsidR="002B04EB" w:rsidRPr="003F7F6C" w:rsidRDefault="002B04EB" w:rsidP="00B851B7">
            <w:r w:rsidRPr="003F7F6C">
              <w:rPr>
                <w:rFonts w:cs="Calibri"/>
                <w:sz w:val="16"/>
                <w:szCs w:val="16"/>
              </w:rPr>
              <w:t>X</w:t>
            </w:r>
          </w:p>
        </w:tc>
        <w:tc>
          <w:tcPr>
            <w:tcW w:w="428" w:type="dxa"/>
          </w:tcPr>
          <w:p w14:paraId="193FC467" w14:textId="77777777" w:rsidR="002B04EB" w:rsidRPr="003F7F6C" w:rsidRDefault="002B04EB" w:rsidP="00B851B7">
            <w:r w:rsidRPr="003F7F6C">
              <w:rPr>
                <w:rFonts w:cs="Calibri"/>
                <w:sz w:val="16"/>
                <w:szCs w:val="16"/>
              </w:rPr>
              <w:t>X</w:t>
            </w:r>
          </w:p>
        </w:tc>
        <w:tc>
          <w:tcPr>
            <w:tcW w:w="428" w:type="dxa"/>
            <w:gridSpan w:val="2"/>
          </w:tcPr>
          <w:p w14:paraId="3E5E5FD0" w14:textId="77777777" w:rsidR="002B04EB" w:rsidRPr="003F7F6C" w:rsidRDefault="002B04EB" w:rsidP="00B851B7">
            <w:r w:rsidRPr="003F7F6C">
              <w:rPr>
                <w:rFonts w:cs="Calibri"/>
                <w:sz w:val="16"/>
                <w:szCs w:val="16"/>
              </w:rPr>
              <w:t>X</w:t>
            </w:r>
          </w:p>
        </w:tc>
        <w:tc>
          <w:tcPr>
            <w:tcW w:w="428" w:type="dxa"/>
          </w:tcPr>
          <w:p w14:paraId="458E7179" w14:textId="77777777" w:rsidR="002B04EB" w:rsidRPr="003F7F6C" w:rsidRDefault="002B04EB" w:rsidP="00B851B7">
            <w:r w:rsidRPr="003F7F6C">
              <w:rPr>
                <w:rFonts w:cs="Calibri"/>
                <w:sz w:val="16"/>
                <w:szCs w:val="16"/>
              </w:rPr>
              <w:t>X</w:t>
            </w:r>
          </w:p>
        </w:tc>
        <w:tc>
          <w:tcPr>
            <w:tcW w:w="428" w:type="dxa"/>
          </w:tcPr>
          <w:p w14:paraId="04A410AB" w14:textId="77777777" w:rsidR="002B04EB" w:rsidRPr="003F7F6C" w:rsidRDefault="002B04EB" w:rsidP="00B851B7">
            <w:r w:rsidRPr="003F7F6C">
              <w:rPr>
                <w:rFonts w:cs="Calibri"/>
                <w:sz w:val="16"/>
                <w:szCs w:val="16"/>
              </w:rPr>
              <w:t>X</w:t>
            </w:r>
          </w:p>
        </w:tc>
        <w:tc>
          <w:tcPr>
            <w:tcW w:w="428" w:type="dxa"/>
          </w:tcPr>
          <w:p w14:paraId="25201E34" w14:textId="77777777" w:rsidR="002B04EB" w:rsidRPr="003F7F6C" w:rsidRDefault="002B04EB" w:rsidP="00B851B7">
            <w:r w:rsidRPr="003F7F6C">
              <w:rPr>
                <w:rFonts w:cs="Calibri"/>
                <w:sz w:val="16"/>
                <w:szCs w:val="16"/>
              </w:rPr>
              <w:t>X</w:t>
            </w:r>
          </w:p>
        </w:tc>
        <w:tc>
          <w:tcPr>
            <w:tcW w:w="428" w:type="dxa"/>
          </w:tcPr>
          <w:p w14:paraId="5C337F90" w14:textId="77777777" w:rsidR="002B04EB" w:rsidRPr="003F7F6C" w:rsidRDefault="002B04EB" w:rsidP="00B851B7">
            <w:r w:rsidRPr="003F7F6C">
              <w:rPr>
                <w:rFonts w:cs="Calibri"/>
                <w:sz w:val="16"/>
                <w:szCs w:val="16"/>
              </w:rPr>
              <w:t>X</w:t>
            </w:r>
          </w:p>
        </w:tc>
      </w:tr>
      <w:tr w:rsidR="002B04EB" w:rsidRPr="003F7F6C" w14:paraId="48E2C159" w14:textId="77777777" w:rsidTr="00B851B7">
        <w:tc>
          <w:tcPr>
            <w:tcW w:w="1668" w:type="dxa"/>
          </w:tcPr>
          <w:p w14:paraId="4141E6FD" w14:textId="77777777" w:rsidR="002B04EB" w:rsidRPr="003F7F6C" w:rsidRDefault="002B04EB" w:rsidP="00B851B7">
            <w:pPr>
              <w:rPr>
                <w:rFonts w:cs="Calibri"/>
                <w:sz w:val="16"/>
                <w:szCs w:val="16"/>
              </w:rPr>
            </w:pPr>
            <w:r w:rsidRPr="003F7F6C">
              <w:rPr>
                <w:rFonts w:cs="Calibri"/>
                <w:sz w:val="16"/>
                <w:szCs w:val="16"/>
              </w:rPr>
              <w:t>2.4.5 Sustainable livestock practices in Espinal</w:t>
            </w:r>
          </w:p>
        </w:tc>
        <w:tc>
          <w:tcPr>
            <w:tcW w:w="1057" w:type="dxa"/>
          </w:tcPr>
          <w:p w14:paraId="18475B0B" w14:textId="77777777" w:rsidR="002B04EB" w:rsidRPr="003F7F6C" w:rsidRDefault="002B04EB" w:rsidP="00B851B7">
            <w:pPr>
              <w:rPr>
                <w:rFonts w:cs="Calibri"/>
                <w:sz w:val="16"/>
                <w:szCs w:val="16"/>
              </w:rPr>
            </w:pPr>
            <w:r w:rsidRPr="003F7F6C">
              <w:rPr>
                <w:rFonts w:cs="Calibri"/>
                <w:sz w:val="16"/>
                <w:szCs w:val="16"/>
              </w:rPr>
              <w:t>INTA</w:t>
            </w:r>
          </w:p>
        </w:tc>
        <w:tc>
          <w:tcPr>
            <w:tcW w:w="428" w:type="dxa"/>
          </w:tcPr>
          <w:p w14:paraId="047C7464" w14:textId="77777777" w:rsidR="002B04EB" w:rsidRPr="003F7F6C" w:rsidRDefault="002B04EB" w:rsidP="00B851B7"/>
        </w:tc>
        <w:tc>
          <w:tcPr>
            <w:tcW w:w="444" w:type="dxa"/>
          </w:tcPr>
          <w:p w14:paraId="3589C711" w14:textId="77777777" w:rsidR="002B04EB" w:rsidRPr="003F7F6C" w:rsidRDefault="002B04EB" w:rsidP="00B851B7">
            <w:r w:rsidRPr="003F7F6C">
              <w:rPr>
                <w:rFonts w:cs="Calibri"/>
                <w:sz w:val="16"/>
                <w:szCs w:val="16"/>
              </w:rPr>
              <w:t>X</w:t>
            </w:r>
          </w:p>
        </w:tc>
        <w:tc>
          <w:tcPr>
            <w:tcW w:w="428" w:type="dxa"/>
          </w:tcPr>
          <w:p w14:paraId="01A6AD7F" w14:textId="77777777" w:rsidR="002B04EB" w:rsidRPr="003F7F6C" w:rsidRDefault="002B04EB" w:rsidP="00B851B7">
            <w:r w:rsidRPr="003F7F6C">
              <w:rPr>
                <w:rFonts w:cs="Calibri"/>
                <w:sz w:val="16"/>
                <w:szCs w:val="16"/>
              </w:rPr>
              <w:t>X</w:t>
            </w:r>
          </w:p>
        </w:tc>
        <w:tc>
          <w:tcPr>
            <w:tcW w:w="428" w:type="dxa"/>
            <w:gridSpan w:val="2"/>
          </w:tcPr>
          <w:p w14:paraId="725A9E33" w14:textId="77777777" w:rsidR="002B04EB" w:rsidRPr="003F7F6C" w:rsidRDefault="002B04EB" w:rsidP="00B851B7">
            <w:r w:rsidRPr="003F7F6C">
              <w:rPr>
                <w:rFonts w:cs="Calibri"/>
                <w:sz w:val="16"/>
                <w:szCs w:val="16"/>
              </w:rPr>
              <w:t>X</w:t>
            </w:r>
          </w:p>
        </w:tc>
        <w:tc>
          <w:tcPr>
            <w:tcW w:w="428" w:type="dxa"/>
          </w:tcPr>
          <w:p w14:paraId="19740C28" w14:textId="77777777" w:rsidR="002B04EB" w:rsidRPr="003F7F6C" w:rsidRDefault="002B04EB" w:rsidP="00B851B7">
            <w:r w:rsidRPr="003F7F6C">
              <w:rPr>
                <w:rFonts w:cs="Calibri"/>
                <w:sz w:val="16"/>
                <w:szCs w:val="16"/>
              </w:rPr>
              <w:t>X</w:t>
            </w:r>
          </w:p>
        </w:tc>
        <w:tc>
          <w:tcPr>
            <w:tcW w:w="427" w:type="dxa"/>
          </w:tcPr>
          <w:p w14:paraId="140322B1" w14:textId="77777777" w:rsidR="002B04EB" w:rsidRPr="003F7F6C" w:rsidRDefault="002B04EB" w:rsidP="00B851B7">
            <w:r w:rsidRPr="003F7F6C">
              <w:rPr>
                <w:rFonts w:cs="Calibri"/>
                <w:sz w:val="16"/>
                <w:szCs w:val="16"/>
              </w:rPr>
              <w:t>X</w:t>
            </w:r>
          </w:p>
        </w:tc>
        <w:tc>
          <w:tcPr>
            <w:tcW w:w="427" w:type="dxa"/>
          </w:tcPr>
          <w:p w14:paraId="575690B4" w14:textId="77777777" w:rsidR="002B04EB" w:rsidRPr="003F7F6C" w:rsidRDefault="002B04EB" w:rsidP="00B851B7">
            <w:r w:rsidRPr="003F7F6C">
              <w:rPr>
                <w:rFonts w:cs="Calibri"/>
                <w:sz w:val="16"/>
                <w:szCs w:val="16"/>
              </w:rPr>
              <w:t>X</w:t>
            </w:r>
          </w:p>
        </w:tc>
        <w:tc>
          <w:tcPr>
            <w:tcW w:w="427" w:type="dxa"/>
            <w:gridSpan w:val="2"/>
          </w:tcPr>
          <w:p w14:paraId="2EFA3045" w14:textId="77777777" w:rsidR="002B04EB" w:rsidRPr="003F7F6C" w:rsidRDefault="002B04EB" w:rsidP="00B851B7">
            <w:r w:rsidRPr="003F7F6C">
              <w:rPr>
                <w:rFonts w:cs="Calibri"/>
                <w:sz w:val="16"/>
                <w:szCs w:val="16"/>
              </w:rPr>
              <w:t>X</w:t>
            </w:r>
          </w:p>
        </w:tc>
        <w:tc>
          <w:tcPr>
            <w:tcW w:w="428" w:type="dxa"/>
          </w:tcPr>
          <w:p w14:paraId="4F1A899A" w14:textId="77777777" w:rsidR="002B04EB" w:rsidRPr="003F7F6C" w:rsidRDefault="002B04EB" w:rsidP="00B851B7">
            <w:r w:rsidRPr="003F7F6C">
              <w:rPr>
                <w:rFonts w:cs="Calibri"/>
                <w:sz w:val="16"/>
                <w:szCs w:val="16"/>
              </w:rPr>
              <w:t>X</w:t>
            </w:r>
          </w:p>
        </w:tc>
        <w:tc>
          <w:tcPr>
            <w:tcW w:w="428" w:type="dxa"/>
          </w:tcPr>
          <w:p w14:paraId="481DBE2C" w14:textId="77777777" w:rsidR="002B04EB" w:rsidRPr="003F7F6C" w:rsidRDefault="002B04EB" w:rsidP="00B851B7">
            <w:r w:rsidRPr="003F7F6C">
              <w:rPr>
                <w:rFonts w:cs="Calibri"/>
                <w:sz w:val="16"/>
                <w:szCs w:val="16"/>
              </w:rPr>
              <w:t>X</w:t>
            </w:r>
          </w:p>
        </w:tc>
        <w:tc>
          <w:tcPr>
            <w:tcW w:w="428" w:type="dxa"/>
          </w:tcPr>
          <w:p w14:paraId="38158709" w14:textId="77777777" w:rsidR="002B04EB" w:rsidRPr="003F7F6C" w:rsidRDefault="002B04EB" w:rsidP="00B851B7">
            <w:r w:rsidRPr="003F7F6C">
              <w:rPr>
                <w:rFonts w:cs="Calibri"/>
                <w:sz w:val="16"/>
                <w:szCs w:val="16"/>
              </w:rPr>
              <w:t>X</w:t>
            </w:r>
          </w:p>
        </w:tc>
        <w:tc>
          <w:tcPr>
            <w:tcW w:w="428" w:type="dxa"/>
            <w:gridSpan w:val="2"/>
          </w:tcPr>
          <w:p w14:paraId="2CEA3113" w14:textId="77777777" w:rsidR="002B04EB" w:rsidRPr="003F7F6C" w:rsidRDefault="002B04EB" w:rsidP="00B851B7">
            <w:r w:rsidRPr="003F7F6C">
              <w:rPr>
                <w:rFonts w:cs="Calibri"/>
                <w:sz w:val="16"/>
                <w:szCs w:val="16"/>
              </w:rPr>
              <w:t>X</w:t>
            </w:r>
          </w:p>
        </w:tc>
        <w:tc>
          <w:tcPr>
            <w:tcW w:w="428" w:type="dxa"/>
          </w:tcPr>
          <w:p w14:paraId="2F696059" w14:textId="77777777" w:rsidR="002B04EB" w:rsidRPr="003F7F6C" w:rsidRDefault="002B04EB" w:rsidP="00B851B7">
            <w:r w:rsidRPr="003F7F6C">
              <w:rPr>
                <w:rFonts w:cs="Calibri"/>
                <w:sz w:val="16"/>
                <w:szCs w:val="16"/>
              </w:rPr>
              <w:t>X</w:t>
            </w:r>
          </w:p>
        </w:tc>
        <w:tc>
          <w:tcPr>
            <w:tcW w:w="428" w:type="dxa"/>
          </w:tcPr>
          <w:p w14:paraId="78A203E1" w14:textId="77777777" w:rsidR="002B04EB" w:rsidRPr="003F7F6C" w:rsidRDefault="002B04EB" w:rsidP="00B851B7">
            <w:r w:rsidRPr="003F7F6C">
              <w:rPr>
                <w:rFonts w:cs="Calibri"/>
                <w:sz w:val="16"/>
                <w:szCs w:val="16"/>
              </w:rPr>
              <w:t>X</w:t>
            </w:r>
          </w:p>
        </w:tc>
        <w:tc>
          <w:tcPr>
            <w:tcW w:w="428" w:type="dxa"/>
          </w:tcPr>
          <w:p w14:paraId="7A7BCEDD" w14:textId="77777777" w:rsidR="002B04EB" w:rsidRPr="003F7F6C" w:rsidRDefault="002B04EB" w:rsidP="00B851B7">
            <w:r w:rsidRPr="003F7F6C">
              <w:rPr>
                <w:rFonts w:cs="Calibri"/>
                <w:sz w:val="16"/>
                <w:szCs w:val="16"/>
              </w:rPr>
              <w:t>X</w:t>
            </w:r>
          </w:p>
        </w:tc>
        <w:tc>
          <w:tcPr>
            <w:tcW w:w="428" w:type="dxa"/>
            <w:gridSpan w:val="2"/>
          </w:tcPr>
          <w:p w14:paraId="7ABBE580" w14:textId="77777777" w:rsidR="002B04EB" w:rsidRPr="003F7F6C" w:rsidRDefault="002B04EB" w:rsidP="00B851B7">
            <w:r w:rsidRPr="003F7F6C">
              <w:rPr>
                <w:rFonts w:cs="Calibri"/>
                <w:sz w:val="16"/>
                <w:szCs w:val="16"/>
              </w:rPr>
              <w:t>X</w:t>
            </w:r>
          </w:p>
        </w:tc>
        <w:tc>
          <w:tcPr>
            <w:tcW w:w="428" w:type="dxa"/>
          </w:tcPr>
          <w:p w14:paraId="15604B06" w14:textId="77777777" w:rsidR="002B04EB" w:rsidRPr="003F7F6C" w:rsidRDefault="002B04EB" w:rsidP="00B851B7">
            <w:r w:rsidRPr="003F7F6C">
              <w:rPr>
                <w:rFonts w:cs="Calibri"/>
                <w:sz w:val="16"/>
                <w:szCs w:val="16"/>
              </w:rPr>
              <w:t>X</w:t>
            </w:r>
          </w:p>
        </w:tc>
        <w:tc>
          <w:tcPr>
            <w:tcW w:w="428" w:type="dxa"/>
          </w:tcPr>
          <w:p w14:paraId="2A2AF1D5" w14:textId="77777777" w:rsidR="002B04EB" w:rsidRPr="003F7F6C" w:rsidRDefault="002B04EB" w:rsidP="00B851B7">
            <w:r w:rsidRPr="003F7F6C">
              <w:rPr>
                <w:rFonts w:cs="Calibri"/>
                <w:sz w:val="16"/>
                <w:szCs w:val="16"/>
              </w:rPr>
              <w:t>X</w:t>
            </w:r>
          </w:p>
        </w:tc>
        <w:tc>
          <w:tcPr>
            <w:tcW w:w="428" w:type="dxa"/>
          </w:tcPr>
          <w:p w14:paraId="4C8C4B40" w14:textId="77777777" w:rsidR="002B04EB" w:rsidRPr="003F7F6C" w:rsidRDefault="002B04EB" w:rsidP="00B851B7">
            <w:r w:rsidRPr="003F7F6C">
              <w:rPr>
                <w:rFonts w:cs="Calibri"/>
                <w:sz w:val="16"/>
                <w:szCs w:val="16"/>
              </w:rPr>
              <w:t>X</w:t>
            </w:r>
          </w:p>
        </w:tc>
        <w:tc>
          <w:tcPr>
            <w:tcW w:w="428" w:type="dxa"/>
            <w:gridSpan w:val="2"/>
          </w:tcPr>
          <w:p w14:paraId="3D2FAC0B" w14:textId="77777777" w:rsidR="002B04EB" w:rsidRPr="003F7F6C" w:rsidRDefault="002B04EB" w:rsidP="00B851B7">
            <w:r w:rsidRPr="003F7F6C">
              <w:rPr>
                <w:rFonts w:cs="Calibri"/>
                <w:sz w:val="16"/>
                <w:szCs w:val="16"/>
              </w:rPr>
              <w:t>X</w:t>
            </w:r>
          </w:p>
        </w:tc>
        <w:tc>
          <w:tcPr>
            <w:tcW w:w="428" w:type="dxa"/>
          </w:tcPr>
          <w:p w14:paraId="68E7FB02" w14:textId="77777777" w:rsidR="002B04EB" w:rsidRPr="003F7F6C" w:rsidRDefault="002B04EB" w:rsidP="00B851B7">
            <w:r w:rsidRPr="003F7F6C">
              <w:rPr>
                <w:rFonts w:cs="Calibri"/>
                <w:sz w:val="16"/>
                <w:szCs w:val="16"/>
              </w:rPr>
              <w:t>X</w:t>
            </w:r>
          </w:p>
        </w:tc>
        <w:tc>
          <w:tcPr>
            <w:tcW w:w="428" w:type="dxa"/>
          </w:tcPr>
          <w:p w14:paraId="269573D7" w14:textId="77777777" w:rsidR="002B04EB" w:rsidRPr="003F7F6C" w:rsidRDefault="002B04EB" w:rsidP="00B851B7">
            <w:r w:rsidRPr="003F7F6C">
              <w:rPr>
                <w:rFonts w:cs="Calibri"/>
                <w:sz w:val="16"/>
                <w:szCs w:val="16"/>
              </w:rPr>
              <w:t>X</w:t>
            </w:r>
          </w:p>
        </w:tc>
        <w:tc>
          <w:tcPr>
            <w:tcW w:w="428" w:type="dxa"/>
          </w:tcPr>
          <w:p w14:paraId="4E89B919" w14:textId="77777777" w:rsidR="002B04EB" w:rsidRPr="003F7F6C" w:rsidRDefault="002B04EB" w:rsidP="00B851B7">
            <w:r w:rsidRPr="003F7F6C">
              <w:rPr>
                <w:rFonts w:cs="Calibri"/>
                <w:sz w:val="16"/>
                <w:szCs w:val="16"/>
              </w:rPr>
              <w:t>X</w:t>
            </w:r>
          </w:p>
        </w:tc>
        <w:tc>
          <w:tcPr>
            <w:tcW w:w="428" w:type="dxa"/>
          </w:tcPr>
          <w:p w14:paraId="148EE48D" w14:textId="77777777" w:rsidR="002B04EB" w:rsidRPr="003F7F6C" w:rsidRDefault="002B04EB" w:rsidP="00B851B7">
            <w:r w:rsidRPr="003F7F6C">
              <w:rPr>
                <w:rFonts w:cs="Calibri"/>
                <w:sz w:val="16"/>
                <w:szCs w:val="16"/>
              </w:rPr>
              <w:t>X</w:t>
            </w:r>
          </w:p>
        </w:tc>
      </w:tr>
      <w:tr w:rsidR="002B04EB" w:rsidRPr="003F7F6C" w14:paraId="7890C895" w14:textId="77777777" w:rsidTr="00B851B7">
        <w:tc>
          <w:tcPr>
            <w:tcW w:w="1668" w:type="dxa"/>
          </w:tcPr>
          <w:p w14:paraId="3E206227" w14:textId="77777777" w:rsidR="002B04EB" w:rsidRPr="003F7F6C" w:rsidRDefault="002B04EB" w:rsidP="00B851B7">
            <w:pPr>
              <w:rPr>
                <w:rFonts w:cs="Calibri"/>
                <w:sz w:val="16"/>
                <w:szCs w:val="16"/>
              </w:rPr>
            </w:pPr>
            <w:r w:rsidRPr="003F7F6C">
              <w:rPr>
                <w:rFonts w:cs="Calibri"/>
                <w:sz w:val="16"/>
                <w:szCs w:val="16"/>
              </w:rPr>
              <w:t xml:space="preserve">2.4.5 Recovery of degraded agricultural soils </w:t>
            </w:r>
          </w:p>
        </w:tc>
        <w:tc>
          <w:tcPr>
            <w:tcW w:w="1057" w:type="dxa"/>
          </w:tcPr>
          <w:p w14:paraId="7B623E71" w14:textId="77777777" w:rsidR="002B04EB" w:rsidRPr="003F7F6C" w:rsidRDefault="002B04EB" w:rsidP="00B851B7">
            <w:pPr>
              <w:rPr>
                <w:rFonts w:cs="Calibri"/>
                <w:sz w:val="16"/>
                <w:szCs w:val="16"/>
              </w:rPr>
            </w:pPr>
            <w:r w:rsidRPr="003F7F6C">
              <w:rPr>
                <w:rFonts w:cs="Calibri"/>
                <w:sz w:val="16"/>
                <w:szCs w:val="16"/>
              </w:rPr>
              <w:t>INTA</w:t>
            </w:r>
          </w:p>
        </w:tc>
        <w:tc>
          <w:tcPr>
            <w:tcW w:w="428" w:type="dxa"/>
          </w:tcPr>
          <w:p w14:paraId="030271CF" w14:textId="77777777" w:rsidR="002B04EB" w:rsidRPr="003F7F6C" w:rsidRDefault="002B04EB" w:rsidP="00B851B7"/>
        </w:tc>
        <w:tc>
          <w:tcPr>
            <w:tcW w:w="444" w:type="dxa"/>
          </w:tcPr>
          <w:p w14:paraId="0FD4D650" w14:textId="77777777" w:rsidR="002B04EB" w:rsidRPr="003F7F6C" w:rsidRDefault="002B04EB" w:rsidP="00B851B7">
            <w:r w:rsidRPr="003F7F6C">
              <w:rPr>
                <w:rFonts w:cs="Calibri"/>
                <w:sz w:val="16"/>
                <w:szCs w:val="16"/>
              </w:rPr>
              <w:t>X</w:t>
            </w:r>
          </w:p>
        </w:tc>
        <w:tc>
          <w:tcPr>
            <w:tcW w:w="428" w:type="dxa"/>
          </w:tcPr>
          <w:p w14:paraId="732E72CF" w14:textId="77777777" w:rsidR="002B04EB" w:rsidRPr="003F7F6C" w:rsidRDefault="002B04EB" w:rsidP="00B851B7">
            <w:r w:rsidRPr="003F7F6C">
              <w:rPr>
                <w:rFonts w:cs="Calibri"/>
                <w:sz w:val="16"/>
                <w:szCs w:val="16"/>
              </w:rPr>
              <w:t>X</w:t>
            </w:r>
          </w:p>
        </w:tc>
        <w:tc>
          <w:tcPr>
            <w:tcW w:w="428" w:type="dxa"/>
            <w:gridSpan w:val="2"/>
          </w:tcPr>
          <w:p w14:paraId="57F7656F" w14:textId="77777777" w:rsidR="002B04EB" w:rsidRPr="003F7F6C" w:rsidRDefault="002B04EB" w:rsidP="00B851B7">
            <w:r w:rsidRPr="003F7F6C">
              <w:rPr>
                <w:rFonts w:cs="Calibri"/>
                <w:sz w:val="16"/>
                <w:szCs w:val="16"/>
              </w:rPr>
              <w:t>X</w:t>
            </w:r>
          </w:p>
        </w:tc>
        <w:tc>
          <w:tcPr>
            <w:tcW w:w="428" w:type="dxa"/>
          </w:tcPr>
          <w:p w14:paraId="48FB4571" w14:textId="77777777" w:rsidR="002B04EB" w:rsidRPr="003F7F6C" w:rsidRDefault="002B04EB" w:rsidP="00B851B7">
            <w:r w:rsidRPr="003F7F6C">
              <w:rPr>
                <w:rFonts w:cs="Calibri"/>
                <w:sz w:val="16"/>
                <w:szCs w:val="16"/>
              </w:rPr>
              <w:t>X</w:t>
            </w:r>
          </w:p>
        </w:tc>
        <w:tc>
          <w:tcPr>
            <w:tcW w:w="427" w:type="dxa"/>
          </w:tcPr>
          <w:p w14:paraId="6AA3CC07" w14:textId="77777777" w:rsidR="002B04EB" w:rsidRPr="003F7F6C" w:rsidRDefault="002B04EB" w:rsidP="00B851B7">
            <w:r w:rsidRPr="003F7F6C">
              <w:rPr>
                <w:rFonts w:cs="Calibri"/>
                <w:sz w:val="16"/>
                <w:szCs w:val="16"/>
              </w:rPr>
              <w:t>X</w:t>
            </w:r>
          </w:p>
        </w:tc>
        <w:tc>
          <w:tcPr>
            <w:tcW w:w="427" w:type="dxa"/>
          </w:tcPr>
          <w:p w14:paraId="28D7096D" w14:textId="77777777" w:rsidR="002B04EB" w:rsidRPr="003F7F6C" w:rsidRDefault="002B04EB" w:rsidP="00B851B7">
            <w:r w:rsidRPr="003F7F6C">
              <w:rPr>
                <w:rFonts w:cs="Calibri"/>
                <w:sz w:val="16"/>
                <w:szCs w:val="16"/>
              </w:rPr>
              <w:t>X</w:t>
            </w:r>
          </w:p>
        </w:tc>
        <w:tc>
          <w:tcPr>
            <w:tcW w:w="427" w:type="dxa"/>
            <w:gridSpan w:val="2"/>
          </w:tcPr>
          <w:p w14:paraId="5C916F1E" w14:textId="77777777" w:rsidR="002B04EB" w:rsidRPr="003F7F6C" w:rsidRDefault="002B04EB" w:rsidP="00B851B7">
            <w:r w:rsidRPr="003F7F6C">
              <w:rPr>
                <w:rFonts w:cs="Calibri"/>
                <w:sz w:val="16"/>
                <w:szCs w:val="16"/>
              </w:rPr>
              <w:t>X</w:t>
            </w:r>
          </w:p>
        </w:tc>
        <w:tc>
          <w:tcPr>
            <w:tcW w:w="428" w:type="dxa"/>
          </w:tcPr>
          <w:p w14:paraId="5260A78A" w14:textId="77777777" w:rsidR="002B04EB" w:rsidRPr="003F7F6C" w:rsidRDefault="002B04EB" w:rsidP="00B851B7">
            <w:r w:rsidRPr="003F7F6C">
              <w:rPr>
                <w:rFonts w:cs="Calibri"/>
                <w:sz w:val="16"/>
                <w:szCs w:val="16"/>
              </w:rPr>
              <w:t>X</w:t>
            </w:r>
          </w:p>
        </w:tc>
        <w:tc>
          <w:tcPr>
            <w:tcW w:w="428" w:type="dxa"/>
          </w:tcPr>
          <w:p w14:paraId="61084A93" w14:textId="77777777" w:rsidR="002B04EB" w:rsidRPr="003F7F6C" w:rsidRDefault="002B04EB" w:rsidP="00B851B7">
            <w:r w:rsidRPr="003F7F6C">
              <w:rPr>
                <w:rFonts w:cs="Calibri"/>
                <w:sz w:val="16"/>
                <w:szCs w:val="16"/>
              </w:rPr>
              <w:t>X</w:t>
            </w:r>
          </w:p>
        </w:tc>
        <w:tc>
          <w:tcPr>
            <w:tcW w:w="428" w:type="dxa"/>
          </w:tcPr>
          <w:p w14:paraId="1621C365" w14:textId="77777777" w:rsidR="002B04EB" w:rsidRPr="003F7F6C" w:rsidRDefault="002B04EB" w:rsidP="00B851B7">
            <w:r w:rsidRPr="003F7F6C">
              <w:rPr>
                <w:rFonts w:cs="Calibri"/>
                <w:sz w:val="16"/>
                <w:szCs w:val="16"/>
              </w:rPr>
              <w:t>X</w:t>
            </w:r>
          </w:p>
        </w:tc>
        <w:tc>
          <w:tcPr>
            <w:tcW w:w="428" w:type="dxa"/>
            <w:gridSpan w:val="2"/>
          </w:tcPr>
          <w:p w14:paraId="2851B2F0" w14:textId="77777777" w:rsidR="002B04EB" w:rsidRPr="003F7F6C" w:rsidRDefault="002B04EB" w:rsidP="00B851B7">
            <w:r w:rsidRPr="003F7F6C">
              <w:rPr>
                <w:rFonts w:cs="Calibri"/>
                <w:sz w:val="16"/>
                <w:szCs w:val="16"/>
              </w:rPr>
              <w:t>X</w:t>
            </w:r>
          </w:p>
        </w:tc>
        <w:tc>
          <w:tcPr>
            <w:tcW w:w="428" w:type="dxa"/>
          </w:tcPr>
          <w:p w14:paraId="614A7255" w14:textId="77777777" w:rsidR="002B04EB" w:rsidRPr="003F7F6C" w:rsidRDefault="002B04EB" w:rsidP="00B851B7">
            <w:r w:rsidRPr="003F7F6C">
              <w:rPr>
                <w:rFonts w:cs="Calibri"/>
                <w:sz w:val="16"/>
                <w:szCs w:val="16"/>
              </w:rPr>
              <w:t>X</w:t>
            </w:r>
          </w:p>
        </w:tc>
        <w:tc>
          <w:tcPr>
            <w:tcW w:w="428" w:type="dxa"/>
          </w:tcPr>
          <w:p w14:paraId="00111C39" w14:textId="77777777" w:rsidR="002B04EB" w:rsidRPr="003F7F6C" w:rsidRDefault="002B04EB" w:rsidP="00B851B7">
            <w:r w:rsidRPr="003F7F6C">
              <w:rPr>
                <w:rFonts w:cs="Calibri"/>
                <w:sz w:val="16"/>
                <w:szCs w:val="16"/>
              </w:rPr>
              <w:t>X</w:t>
            </w:r>
          </w:p>
        </w:tc>
        <w:tc>
          <w:tcPr>
            <w:tcW w:w="428" w:type="dxa"/>
          </w:tcPr>
          <w:p w14:paraId="2B74550E" w14:textId="77777777" w:rsidR="002B04EB" w:rsidRPr="003F7F6C" w:rsidRDefault="002B04EB" w:rsidP="00B851B7">
            <w:r w:rsidRPr="003F7F6C">
              <w:rPr>
                <w:rFonts w:cs="Calibri"/>
                <w:sz w:val="16"/>
                <w:szCs w:val="16"/>
              </w:rPr>
              <w:t>X</w:t>
            </w:r>
          </w:p>
        </w:tc>
        <w:tc>
          <w:tcPr>
            <w:tcW w:w="428" w:type="dxa"/>
            <w:gridSpan w:val="2"/>
          </w:tcPr>
          <w:p w14:paraId="28EFC338" w14:textId="77777777" w:rsidR="002B04EB" w:rsidRPr="003F7F6C" w:rsidRDefault="002B04EB" w:rsidP="00B851B7">
            <w:r w:rsidRPr="003F7F6C">
              <w:rPr>
                <w:rFonts w:cs="Calibri"/>
                <w:sz w:val="16"/>
                <w:szCs w:val="16"/>
              </w:rPr>
              <w:t>X</w:t>
            </w:r>
          </w:p>
        </w:tc>
        <w:tc>
          <w:tcPr>
            <w:tcW w:w="428" w:type="dxa"/>
          </w:tcPr>
          <w:p w14:paraId="11210740" w14:textId="77777777" w:rsidR="002B04EB" w:rsidRPr="003F7F6C" w:rsidRDefault="002B04EB" w:rsidP="00B851B7">
            <w:r w:rsidRPr="003F7F6C">
              <w:rPr>
                <w:rFonts w:cs="Calibri"/>
                <w:sz w:val="16"/>
                <w:szCs w:val="16"/>
              </w:rPr>
              <w:t>X</w:t>
            </w:r>
          </w:p>
        </w:tc>
        <w:tc>
          <w:tcPr>
            <w:tcW w:w="428" w:type="dxa"/>
          </w:tcPr>
          <w:p w14:paraId="3B1FD5CD" w14:textId="77777777" w:rsidR="002B04EB" w:rsidRPr="003F7F6C" w:rsidRDefault="002B04EB" w:rsidP="00B851B7">
            <w:r w:rsidRPr="003F7F6C">
              <w:rPr>
                <w:rFonts w:cs="Calibri"/>
                <w:sz w:val="16"/>
                <w:szCs w:val="16"/>
              </w:rPr>
              <w:t>X</w:t>
            </w:r>
          </w:p>
        </w:tc>
        <w:tc>
          <w:tcPr>
            <w:tcW w:w="428" w:type="dxa"/>
          </w:tcPr>
          <w:p w14:paraId="4F59F21D" w14:textId="77777777" w:rsidR="002B04EB" w:rsidRPr="003F7F6C" w:rsidRDefault="002B04EB" w:rsidP="00B851B7">
            <w:r w:rsidRPr="003F7F6C">
              <w:rPr>
                <w:rFonts w:cs="Calibri"/>
                <w:sz w:val="16"/>
                <w:szCs w:val="16"/>
              </w:rPr>
              <w:t>X</w:t>
            </w:r>
          </w:p>
        </w:tc>
        <w:tc>
          <w:tcPr>
            <w:tcW w:w="428" w:type="dxa"/>
            <w:gridSpan w:val="2"/>
          </w:tcPr>
          <w:p w14:paraId="48AA17CE" w14:textId="77777777" w:rsidR="002B04EB" w:rsidRPr="003F7F6C" w:rsidRDefault="002B04EB" w:rsidP="00B851B7">
            <w:r w:rsidRPr="003F7F6C">
              <w:rPr>
                <w:rFonts w:cs="Calibri"/>
                <w:sz w:val="16"/>
                <w:szCs w:val="16"/>
              </w:rPr>
              <w:t>X</w:t>
            </w:r>
          </w:p>
        </w:tc>
        <w:tc>
          <w:tcPr>
            <w:tcW w:w="428" w:type="dxa"/>
          </w:tcPr>
          <w:p w14:paraId="40600870" w14:textId="77777777" w:rsidR="002B04EB" w:rsidRPr="003F7F6C" w:rsidRDefault="002B04EB" w:rsidP="00B851B7">
            <w:r w:rsidRPr="003F7F6C">
              <w:rPr>
                <w:rFonts w:cs="Calibri"/>
                <w:sz w:val="16"/>
                <w:szCs w:val="16"/>
              </w:rPr>
              <w:t>X</w:t>
            </w:r>
          </w:p>
        </w:tc>
        <w:tc>
          <w:tcPr>
            <w:tcW w:w="428" w:type="dxa"/>
          </w:tcPr>
          <w:p w14:paraId="3F3078EB" w14:textId="77777777" w:rsidR="002B04EB" w:rsidRPr="003F7F6C" w:rsidRDefault="002B04EB" w:rsidP="00B851B7">
            <w:r w:rsidRPr="003F7F6C">
              <w:rPr>
                <w:rFonts w:cs="Calibri"/>
                <w:sz w:val="16"/>
                <w:szCs w:val="16"/>
              </w:rPr>
              <w:t>X</w:t>
            </w:r>
          </w:p>
        </w:tc>
        <w:tc>
          <w:tcPr>
            <w:tcW w:w="428" w:type="dxa"/>
          </w:tcPr>
          <w:p w14:paraId="419BAD1B" w14:textId="77777777" w:rsidR="002B04EB" w:rsidRPr="003F7F6C" w:rsidRDefault="002B04EB" w:rsidP="00B851B7">
            <w:r w:rsidRPr="003F7F6C">
              <w:rPr>
                <w:rFonts w:cs="Calibri"/>
                <w:sz w:val="16"/>
                <w:szCs w:val="16"/>
              </w:rPr>
              <w:t>X</w:t>
            </w:r>
          </w:p>
        </w:tc>
        <w:tc>
          <w:tcPr>
            <w:tcW w:w="428" w:type="dxa"/>
          </w:tcPr>
          <w:p w14:paraId="0C4CC791" w14:textId="77777777" w:rsidR="002B04EB" w:rsidRPr="003F7F6C" w:rsidRDefault="002B04EB" w:rsidP="00B851B7">
            <w:r w:rsidRPr="003F7F6C">
              <w:rPr>
                <w:rFonts w:cs="Calibri"/>
                <w:sz w:val="16"/>
                <w:szCs w:val="16"/>
              </w:rPr>
              <w:t>X</w:t>
            </w:r>
          </w:p>
        </w:tc>
      </w:tr>
      <w:tr w:rsidR="002B04EB" w:rsidRPr="003F7F6C" w14:paraId="3B63BC56" w14:textId="77777777" w:rsidTr="00B851B7">
        <w:tc>
          <w:tcPr>
            <w:tcW w:w="1668" w:type="dxa"/>
          </w:tcPr>
          <w:p w14:paraId="656C0432" w14:textId="77777777" w:rsidR="002B04EB" w:rsidRPr="003F7F6C" w:rsidRDefault="002B04EB" w:rsidP="00B851B7">
            <w:pPr>
              <w:rPr>
                <w:rFonts w:cs="Calibri"/>
                <w:sz w:val="16"/>
                <w:szCs w:val="16"/>
              </w:rPr>
            </w:pPr>
            <w:r w:rsidRPr="003F7F6C">
              <w:rPr>
                <w:rFonts w:cs="Calibri"/>
                <w:sz w:val="16"/>
                <w:szCs w:val="16"/>
              </w:rPr>
              <w:t>2.4.6 Recovery of native grasslands</w:t>
            </w:r>
          </w:p>
        </w:tc>
        <w:tc>
          <w:tcPr>
            <w:tcW w:w="1057" w:type="dxa"/>
          </w:tcPr>
          <w:p w14:paraId="7BE9ECF8" w14:textId="77777777" w:rsidR="002B04EB" w:rsidRPr="003F7F6C" w:rsidRDefault="002B04EB" w:rsidP="00B851B7">
            <w:pPr>
              <w:rPr>
                <w:rFonts w:cs="Calibri"/>
                <w:sz w:val="16"/>
                <w:szCs w:val="16"/>
              </w:rPr>
            </w:pPr>
            <w:r w:rsidRPr="003F7F6C">
              <w:rPr>
                <w:rFonts w:cs="Calibri"/>
                <w:sz w:val="16"/>
                <w:szCs w:val="16"/>
              </w:rPr>
              <w:t>INTA</w:t>
            </w:r>
          </w:p>
        </w:tc>
        <w:tc>
          <w:tcPr>
            <w:tcW w:w="428" w:type="dxa"/>
          </w:tcPr>
          <w:p w14:paraId="5834DB21" w14:textId="77777777" w:rsidR="002B04EB" w:rsidRPr="003F7F6C" w:rsidRDefault="002B04EB" w:rsidP="00B851B7"/>
        </w:tc>
        <w:tc>
          <w:tcPr>
            <w:tcW w:w="444" w:type="dxa"/>
          </w:tcPr>
          <w:p w14:paraId="7EC776B2" w14:textId="77777777" w:rsidR="002B04EB" w:rsidRPr="003F7F6C" w:rsidRDefault="002B04EB" w:rsidP="00B851B7">
            <w:r w:rsidRPr="003F7F6C">
              <w:rPr>
                <w:rFonts w:cs="Calibri"/>
                <w:sz w:val="16"/>
                <w:szCs w:val="16"/>
              </w:rPr>
              <w:t>X</w:t>
            </w:r>
          </w:p>
        </w:tc>
        <w:tc>
          <w:tcPr>
            <w:tcW w:w="428" w:type="dxa"/>
          </w:tcPr>
          <w:p w14:paraId="45219894" w14:textId="77777777" w:rsidR="002B04EB" w:rsidRPr="003F7F6C" w:rsidRDefault="002B04EB" w:rsidP="00B851B7">
            <w:r w:rsidRPr="003F7F6C">
              <w:rPr>
                <w:rFonts w:cs="Calibri"/>
                <w:sz w:val="16"/>
                <w:szCs w:val="16"/>
              </w:rPr>
              <w:t>X</w:t>
            </w:r>
          </w:p>
        </w:tc>
        <w:tc>
          <w:tcPr>
            <w:tcW w:w="428" w:type="dxa"/>
            <w:gridSpan w:val="2"/>
          </w:tcPr>
          <w:p w14:paraId="34E740CE" w14:textId="77777777" w:rsidR="002B04EB" w:rsidRPr="003F7F6C" w:rsidRDefault="002B04EB" w:rsidP="00B851B7">
            <w:r w:rsidRPr="003F7F6C">
              <w:rPr>
                <w:rFonts w:cs="Calibri"/>
                <w:sz w:val="16"/>
                <w:szCs w:val="16"/>
              </w:rPr>
              <w:t>X</w:t>
            </w:r>
          </w:p>
        </w:tc>
        <w:tc>
          <w:tcPr>
            <w:tcW w:w="428" w:type="dxa"/>
          </w:tcPr>
          <w:p w14:paraId="26ADECEA" w14:textId="77777777" w:rsidR="002B04EB" w:rsidRPr="003F7F6C" w:rsidRDefault="002B04EB" w:rsidP="00B851B7">
            <w:r w:rsidRPr="003F7F6C">
              <w:rPr>
                <w:rFonts w:cs="Calibri"/>
                <w:sz w:val="16"/>
                <w:szCs w:val="16"/>
              </w:rPr>
              <w:t>X</w:t>
            </w:r>
          </w:p>
        </w:tc>
        <w:tc>
          <w:tcPr>
            <w:tcW w:w="427" w:type="dxa"/>
          </w:tcPr>
          <w:p w14:paraId="79668AD2" w14:textId="77777777" w:rsidR="002B04EB" w:rsidRPr="003F7F6C" w:rsidRDefault="002B04EB" w:rsidP="00B851B7">
            <w:r w:rsidRPr="003F7F6C">
              <w:rPr>
                <w:rFonts w:cs="Calibri"/>
                <w:sz w:val="16"/>
                <w:szCs w:val="16"/>
              </w:rPr>
              <w:t>X</w:t>
            </w:r>
          </w:p>
        </w:tc>
        <w:tc>
          <w:tcPr>
            <w:tcW w:w="427" w:type="dxa"/>
          </w:tcPr>
          <w:p w14:paraId="6DE894DF" w14:textId="77777777" w:rsidR="002B04EB" w:rsidRPr="003F7F6C" w:rsidRDefault="002B04EB" w:rsidP="00B851B7">
            <w:r w:rsidRPr="003F7F6C">
              <w:rPr>
                <w:rFonts w:cs="Calibri"/>
                <w:sz w:val="16"/>
                <w:szCs w:val="16"/>
              </w:rPr>
              <w:t>X</w:t>
            </w:r>
          </w:p>
        </w:tc>
        <w:tc>
          <w:tcPr>
            <w:tcW w:w="427" w:type="dxa"/>
            <w:gridSpan w:val="2"/>
          </w:tcPr>
          <w:p w14:paraId="0EA40F26" w14:textId="77777777" w:rsidR="002B04EB" w:rsidRPr="003F7F6C" w:rsidRDefault="002B04EB" w:rsidP="00B851B7">
            <w:r w:rsidRPr="003F7F6C">
              <w:rPr>
                <w:rFonts w:cs="Calibri"/>
                <w:sz w:val="16"/>
                <w:szCs w:val="16"/>
              </w:rPr>
              <w:t>X</w:t>
            </w:r>
          </w:p>
        </w:tc>
        <w:tc>
          <w:tcPr>
            <w:tcW w:w="428" w:type="dxa"/>
          </w:tcPr>
          <w:p w14:paraId="46E5DA14" w14:textId="77777777" w:rsidR="002B04EB" w:rsidRPr="003F7F6C" w:rsidRDefault="002B04EB" w:rsidP="00B851B7">
            <w:r w:rsidRPr="003F7F6C">
              <w:rPr>
                <w:rFonts w:cs="Calibri"/>
                <w:sz w:val="16"/>
                <w:szCs w:val="16"/>
              </w:rPr>
              <w:t>X</w:t>
            </w:r>
          </w:p>
        </w:tc>
        <w:tc>
          <w:tcPr>
            <w:tcW w:w="428" w:type="dxa"/>
          </w:tcPr>
          <w:p w14:paraId="7AEC10B9" w14:textId="77777777" w:rsidR="002B04EB" w:rsidRPr="003F7F6C" w:rsidRDefault="002B04EB" w:rsidP="00B851B7">
            <w:r w:rsidRPr="003F7F6C">
              <w:rPr>
                <w:rFonts w:cs="Calibri"/>
                <w:sz w:val="16"/>
                <w:szCs w:val="16"/>
              </w:rPr>
              <w:t>X</w:t>
            </w:r>
          </w:p>
        </w:tc>
        <w:tc>
          <w:tcPr>
            <w:tcW w:w="428" w:type="dxa"/>
          </w:tcPr>
          <w:p w14:paraId="4D4A72C8" w14:textId="77777777" w:rsidR="002B04EB" w:rsidRPr="003F7F6C" w:rsidRDefault="002B04EB" w:rsidP="00B851B7">
            <w:r w:rsidRPr="003F7F6C">
              <w:rPr>
                <w:rFonts w:cs="Calibri"/>
                <w:sz w:val="16"/>
                <w:szCs w:val="16"/>
              </w:rPr>
              <w:t>X</w:t>
            </w:r>
          </w:p>
        </w:tc>
        <w:tc>
          <w:tcPr>
            <w:tcW w:w="428" w:type="dxa"/>
            <w:gridSpan w:val="2"/>
          </w:tcPr>
          <w:p w14:paraId="3C2239F3" w14:textId="77777777" w:rsidR="002B04EB" w:rsidRPr="003F7F6C" w:rsidRDefault="002B04EB" w:rsidP="00B851B7">
            <w:r w:rsidRPr="003F7F6C">
              <w:rPr>
                <w:rFonts w:cs="Calibri"/>
                <w:sz w:val="16"/>
                <w:szCs w:val="16"/>
              </w:rPr>
              <w:t>X</w:t>
            </w:r>
          </w:p>
        </w:tc>
        <w:tc>
          <w:tcPr>
            <w:tcW w:w="428" w:type="dxa"/>
          </w:tcPr>
          <w:p w14:paraId="0815EA36" w14:textId="77777777" w:rsidR="002B04EB" w:rsidRPr="003F7F6C" w:rsidRDefault="002B04EB" w:rsidP="00B851B7">
            <w:r w:rsidRPr="003F7F6C">
              <w:rPr>
                <w:rFonts w:cs="Calibri"/>
                <w:sz w:val="16"/>
                <w:szCs w:val="16"/>
              </w:rPr>
              <w:t>X</w:t>
            </w:r>
          </w:p>
        </w:tc>
        <w:tc>
          <w:tcPr>
            <w:tcW w:w="428" w:type="dxa"/>
          </w:tcPr>
          <w:p w14:paraId="4BC6BF4E" w14:textId="77777777" w:rsidR="002B04EB" w:rsidRPr="003F7F6C" w:rsidRDefault="002B04EB" w:rsidP="00B851B7">
            <w:r w:rsidRPr="003F7F6C">
              <w:rPr>
                <w:rFonts w:cs="Calibri"/>
                <w:sz w:val="16"/>
                <w:szCs w:val="16"/>
              </w:rPr>
              <w:t>X</w:t>
            </w:r>
          </w:p>
        </w:tc>
        <w:tc>
          <w:tcPr>
            <w:tcW w:w="428" w:type="dxa"/>
          </w:tcPr>
          <w:p w14:paraId="22A5FB30" w14:textId="77777777" w:rsidR="002B04EB" w:rsidRPr="003F7F6C" w:rsidRDefault="002B04EB" w:rsidP="00B851B7">
            <w:r w:rsidRPr="003F7F6C">
              <w:rPr>
                <w:rFonts w:cs="Calibri"/>
                <w:sz w:val="16"/>
                <w:szCs w:val="16"/>
              </w:rPr>
              <w:t>X</w:t>
            </w:r>
          </w:p>
        </w:tc>
        <w:tc>
          <w:tcPr>
            <w:tcW w:w="428" w:type="dxa"/>
            <w:gridSpan w:val="2"/>
          </w:tcPr>
          <w:p w14:paraId="54A230D6" w14:textId="77777777" w:rsidR="002B04EB" w:rsidRPr="003F7F6C" w:rsidRDefault="002B04EB" w:rsidP="00B851B7">
            <w:r w:rsidRPr="003F7F6C">
              <w:rPr>
                <w:rFonts w:cs="Calibri"/>
                <w:sz w:val="16"/>
                <w:szCs w:val="16"/>
              </w:rPr>
              <w:t>X</w:t>
            </w:r>
          </w:p>
        </w:tc>
        <w:tc>
          <w:tcPr>
            <w:tcW w:w="428" w:type="dxa"/>
          </w:tcPr>
          <w:p w14:paraId="6D3857C2" w14:textId="77777777" w:rsidR="002B04EB" w:rsidRPr="003F7F6C" w:rsidRDefault="002B04EB" w:rsidP="00B851B7">
            <w:r w:rsidRPr="003F7F6C">
              <w:rPr>
                <w:rFonts w:cs="Calibri"/>
                <w:sz w:val="16"/>
                <w:szCs w:val="16"/>
              </w:rPr>
              <w:t>X</w:t>
            </w:r>
          </w:p>
        </w:tc>
        <w:tc>
          <w:tcPr>
            <w:tcW w:w="428" w:type="dxa"/>
          </w:tcPr>
          <w:p w14:paraId="258B9B66" w14:textId="77777777" w:rsidR="002B04EB" w:rsidRPr="003F7F6C" w:rsidRDefault="002B04EB" w:rsidP="00B851B7">
            <w:r w:rsidRPr="003F7F6C">
              <w:rPr>
                <w:rFonts w:cs="Calibri"/>
                <w:sz w:val="16"/>
                <w:szCs w:val="16"/>
              </w:rPr>
              <w:t>X</w:t>
            </w:r>
          </w:p>
        </w:tc>
        <w:tc>
          <w:tcPr>
            <w:tcW w:w="428" w:type="dxa"/>
          </w:tcPr>
          <w:p w14:paraId="77D55D83" w14:textId="77777777" w:rsidR="002B04EB" w:rsidRPr="003F7F6C" w:rsidRDefault="002B04EB" w:rsidP="00B851B7">
            <w:r w:rsidRPr="003F7F6C">
              <w:rPr>
                <w:rFonts w:cs="Calibri"/>
                <w:sz w:val="16"/>
                <w:szCs w:val="16"/>
              </w:rPr>
              <w:t>X</w:t>
            </w:r>
          </w:p>
        </w:tc>
        <w:tc>
          <w:tcPr>
            <w:tcW w:w="428" w:type="dxa"/>
            <w:gridSpan w:val="2"/>
          </w:tcPr>
          <w:p w14:paraId="4F71530A" w14:textId="77777777" w:rsidR="002B04EB" w:rsidRPr="003F7F6C" w:rsidRDefault="002B04EB" w:rsidP="00B851B7">
            <w:r w:rsidRPr="003F7F6C">
              <w:rPr>
                <w:rFonts w:cs="Calibri"/>
                <w:sz w:val="16"/>
                <w:szCs w:val="16"/>
              </w:rPr>
              <w:t>X</w:t>
            </w:r>
          </w:p>
        </w:tc>
        <w:tc>
          <w:tcPr>
            <w:tcW w:w="428" w:type="dxa"/>
          </w:tcPr>
          <w:p w14:paraId="498B8890" w14:textId="77777777" w:rsidR="002B04EB" w:rsidRPr="003F7F6C" w:rsidRDefault="002B04EB" w:rsidP="00B851B7">
            <w:r w:rsidRPr="003F7F6C">
              <w:rPr>
                <w:rFonts w:cs="Calibri"/>
                <w:sz w:val="16"/>
                <w:szCs w:val="16"/>
              </w:rPr>
              <w:t>X</w:t>
            </w:r>
          </w:p>
        </w:tc>
        <w:tc>
          <w:tcPr>
            <w:tcW w:w="428" w:type="dxa"/>
          </w:tcPr>
          <w:p w14:paraId="0902E5AA" w14:textId="77777777" w:rsidR="002B04EB" w:rsidRPr="003F7F6C" w:rsidRDefault="002B04EB" w:rsidP="00B851B7">
            <w:r w:rsidRPr="003F7F6C">
              <w:rPr>
                <w:rFonts w:cs="Calibri"/>
                <w:sz w:val="16"/>
                <w:szCs w:val="16"/>
              </w:rPr>
              <w:t>X</w:t>
            </w:r>
          </w:p>
        </w:tc>
        <w:tc>
          <w:tcPr>
            <w:tcW w:w="428" w:type="dxa"/>
          </w:tcPr>
          <w:p w14:paraId="4F316D12" w14:textId="77777777" w:rsidR="002B04EB" w:rsidRPr="003F7F6C" w:rsidRDefault="002B04EB" w:rsidP="00B851B7">
            <w:r w:rsidRPr="003F7F6C">
              <w:rPr>
                <w:rFonts w:cs="Calibri"/>
                <w:sz w:val="16"/>
                <w:szCs w:val="16"/>
              </w:rPr>
              <w:t>X</w:t>
            </w:r>
          </w:p>
        </w:tc>
        <w:tc>
          <w:tcPr>
            <w:tcW w:w="428" w:type="dxa"/>
          </w:tcPr>
          <w:p w14:paraId="36321BDD" w14:textId="77777777" w:rsidR="002B04EB" w:rsidRPr="003F7F6C" w:rsidRDefault="002B04EB" w:rsidP="00B851B7">
            <w:r w:rsidRPr="003F7F6C">
              <w:rPr>
                <w:rFonts w:cs="Calibri"/>
                <w:sz w:val="16"/>
                <w:szCs w:val="16"/>
              </w:rPr>
              <w:t>X</w:t>
            </w:r>
          </w:p>
        </w:tc>
      </w:tr>
      <w:tr w:rsidR="002B04EB" w:rsidRPr="003F7F6C" w14:paraId="4A72F4BE" w14:textId="77777777" w:rsidTr="002B04EB">
        <w:tc>
          <w:tcPr>
            <w:tcW w:w="13010" w:type="dxa"/>
            <w:gridSpan w:val="31"/>
            <w:shd w:val="clear" w:color="auto" w:fill="F7CAAC"/>
          </w:tcPr>
          <w:p w14:paraId="7C3CFAEB" w14:textId="77777777" w:rsidR="002B04EB" w:rsidRPr="003F7F6C" w:rsidRDefault="002B04EB" w:rsidP="00B851B7">
            <w:pPr>
              <w:rPr>
                <w:rFonts w:cs="Calibri"/>
                <w:sz w:val="16"/>
                <w:szCs w:val="16"/>
              </w:rPr>
            </w:pPr>
            <w:r w:rsidRPr="003F7F6C">
              <w:rPr>
                <w:rFonts w:cs="Calibri"/>
                <w:sz w:val="16"/>
                <w:szCs w:val="16"/>
              </w:rPr>
              <w:t>Jujuy</w:t>
            </w:r>
          </w:p>
        </w:tc>
      </w:tr>
      <w:tr w:rsidR="002B04EB" w:rsidRPr="003F7F6C" w14:paraId="45CE3308" w14:textId="77777777" w:rsidTr="00B851B7">
        <w:tc>
          <w:tcPr>
            <w:tcW w:w="1668" w:type="dxa"/>
          </w:tcPr>
          <w:p w14:paraId="3724021A" w14:textId="77777777" w:rsidR="002B04EB" w:rsidRPr="003F7F6C" w:rsidRDefault="002B04EB" w:rsidP="00B851B7">
            <w:pPr>
              <w:rPr>
                <w:rFonts w:cs="Calibri"/>
                <w:sz w:val="16"/>
                <w:szCs w:val="16"/>
              </w:rPr>
            </w:pPr>
            <w:r w:rsidRPr="003F7F6C">
              <w:rPr>
                <w:rFonts w:cs="Calibri"/>
                <w:sz w:val="16"/>
                <w:szCs w:val="16"/>
              </w:rPr>
              <w:t>2.4.1 Establish a Tourism Information System for San Francisco-Hornocal</w:t>
            </w:r>
          </w:p>
        </w:tc>
        <w:tc>
          <w:tcPr>
            <w:tcW w:w="1057" w:type="dxa"/>
          </w:tcPr>
          <w:p w14:paraId="7B717A8E" w14:textId="77777777" w:rsidR="002B04EB" w:rsidRPr="003F7F6C" w:rsidRDefault="002B04EB" w:rsidP="00B851B7">
            <w:pPr>
              <w:rPr>
                <w:rFonts w:cs="Calibri"/>
                <w:sz w:val="16"/>
                <w:szCs w:val="16"/>
              </w:rPr>
            </w:pPr>
            <w:r w:rsidRPr="003F7F6C">
              <w:rPr>
                <w:rFonts w:cs="Calibri"/>
                <w:sz w:val="16"/>
                <w:szCs w:val="16"/>
              </w:rPr>
              <w:t>Ministry of Environment</w:t>
            </w:r>
          </w:p>
        </w:tc>
        <w:tc>
          <w:tcPr>
            <w:tcW w:w="428" w:type="dxa"/>
          </w:tcPr>
          <w:p w14:paraId="4B7794FE" w14:textId="77777777" w:rsidR="002B04EB" w:rsidRPr="003F7F6C" w:rsidRDefault="002B04EB" w:rsidP="00B851B7"/>
        </w:tc>
        <w:tc>
          <w:tcPr>
            <w:tcW w:w="444" w:type="dxa"/>
          </w:tcPr>
          <w:p w14:paraId="459BB468" w14:textId="77777777" w:rsidR="002B04EB" w:rsidRPr="003F7F6C" w:rsidRDefault="002B04EB" w:rsidP="00B851B7">
            <w:r w:rsidRPr="003F7F6C">
              <w:rPr>
                <w:rFonts w:cs="Calibri"/>
                <w:sz w:val="16"/>
                <w:szCs w:val="16"/>
              </w:rPr>
              <w:t>X</w:t>
            </w:r>
          </w:p>
        </w:tc>
        <w:tc>
          <w:tcPr>
            <w:tcW w:w="428" w:type="dxa"/>
          </w:tcPr>
          <w:p w14:paraId="0164D559" w14:textId="77777777" w:rsidR="002B04EB" w:rsidRPr="003F7F6C" w:rsidRDefault="002B04EB" w:rsidP="00B851B7">
            <w:r w:rsidRPr="003F7F6C">
              <w:rPr>
                <w:rFonts w:cs="Calibri"/>
                <w:sz w:val="16"/>
                <w:szCs w:val="16"/>
              </w:rPr>
              <w:t>X</w:t>
            </w:r>
          </w:p>
        </w:tc>
        <w:tc>
          <w:tcPr>
            <w:tcW w:w="428" w:type="dxa"/>
            <w:gridSpan w:val="2"/>
          </w:tcPr>
          <w:p w14:paraId="14596976" w14:textId="77777777" w:rsidR="002B04EB" w:rsidRPr="003F7F6C" w:rsidRDefault="002B04EB" w:rsidP="00B851B7">
            <w:r w:rsidRPr="003F7F6C">
              <w:rPr>
                <w:rFonts w:cs="Calibri"/>
                <w:sz w:val="16"/>
                <w:szCs w:val="16"/>
              </w:rPr>
              <w:t>X</w:t>
            </w:r>
          </w:p>
        </w:tc>
        <w:tc>
          <w:tcPr>
            <w:tcW w:w="428" w:type="dxa"/>
          </w:tcPr>
          <w:p w14:paraId="452F9B33" w14:textId="77777777" w:rsidR="002B04EB" w:rsidRPr="003F7F6C" w:rsidRDefault="002B04EB" w:rsidP="00B851B7">
            <w:r w:rsidRPr="003F7F6C">
              <w:rPr>
                <w:rFonts w:cs="Calibri"/>
                <w:sz w:val="16"/>
                <w:szCs w:val="16"/>
              </w:rPr>
              <w:t>X</w:t>
            </w:r>
          </w:p>
        </w:tc>
        <w:tc>
          <w:tcPr>
            <w:tcW w:w="427" w:type="dxa"/>
          </w:tcPr>
          <w:p w14:paraId="4E61D5DF" w14:textId="77777777" w:rsidR="002B04EB" w:rsidRPr="003F7F6C" w:rsidRDefault="002B04EB" w:rsidP="00B851B7">
            <w:r w:rsidRPr="003F7F6C">
              <w:rPr>
                <w:rFonts w:cs="Calibri"/>
                <w:sz w:val="16"/>
                <w:szCs w:val="16"/>
              </w:rPr>
              <w:t>X</w:t>
            </w:r>
          </w:p>
        </w:tc>
        <w:tc>
          <w:tcPr>
            <w:tcW w:w="427" w:type="dxa"/>
          </w:tcPr>
          <w:p w14:paraId="1A56A22F" w14:textId="77777777" w:rsidR="002B04EB" w:rsidRPr="003F7F6C" w:rsidRDefault="002B04EB" w:rsidP="00B851B7">
            <w:r w:rsidRPr="003F7F6C">
              <w:rPr>
                <w:rFonts w:cs="Calibri"/>
                <w:sz w:val="16"/>
                <w:szCs w:val="16"/>
              </w:rPr>
              <w:t>X</w:t>
            </w:r>
          </w:p>
        </w:tc>
        <w:tc>
          <w:tcPr>
            <w:tcW w:w="427" w:type="dxa"/>
            <w:gridSpan w:val="2"/>
          </w:tcPr>
          <w:p w14:paraId="08989435" w14:textId="77777777" w:rsidR="002B04EB" w:rsidRPr="003F7F6C" w:rsidRDefault="002B04EB" w:rsidP="00B851B7">
            <w:r w:rsidRPr="003F7F6C">
              <w:rPr>
                <w:rFonts w:cs="Calibri"/>
                <w:sz w:val="16"/>
                <w:szCs w:val="16"/>
              </w:rPr>
              <w:t>X</w:t>
            </w:r>
          </w:p>
        </w:tc>
        <w:tc>
          <w:tcPr>
            <w:tcW w:w="428" w:type="dxa"/>
          </w:tcPr>
          <w:p w14:paraId="607A7265" w14:textId="77777777" w:rsidR="002B04EB" w:rsidRPr="003F7F6C" w:rsidRDefault="002B04EB" w:rsidP="00B851B7">
            <w:r w:rsidRPr="003F7F6C">
              <w:rPr>
                <w:rFonts w:cs="Calibri"/>
                <w:sz w:val="16"/>
                <w:szCs w:val="16"/>
              </w:rPr>
              <w:t>X</w:t>
            </w:r>
          </w:p>
        </w:tc>
        <w:tc>
          <w:tcPr>
            <w:tcW w:w="428" w:type="dxa"/>
          </w:tcPr>
          <w:p w14:paraId="54836EEC" w14:textId="77777777" w:rsidR="002B04EB" w:rsidRPr="003F7F6C" w:rsidRDefault="002B04EB" w:rsidP="00B851B7">
            <w:r w:rsidRPr="003F7F6C">
              <w:rPr>
                <w:rFonts w:cs="Calibri"/>
                <w:sz w:val="16"/>
                <w:szCs w:val="16"/>
              </w:rPr>
              <w:t>X</w:t>
            </w:r>
          </w:p>
        </w:tc>
        <w:tc>
          <w:tcPr>
            <w:tcW w:w="428" w:type="dxa"/>
          </w:tcPr>
          <w:p w14:paraId="51433298" w14:textId="77777777" w:rsidR="002B04EB" w:rsidRPr="003F7F6C" w:rsidRDefault="002B04EB" w:rsidP="00B851B7">
            <w:r w:rsidRPr="003F7F6C">
              <w:rPr>
                <w:rFonts w:cs="Calibri"/>
                <w:sz w:val="16"/>
                <w:szCs w:val="16"/>
              </w:rPr>
              <w:t>X</w:t>
            </w:r>
          </w:p>
        </w:tc>
        <w:tc>
          <w:tcPr>
            <w:tcW w:w="428" w:type="dxa"/>
            <w:gridSpan w:val="2"/>
          </w:tcPr>
          <w:p w14:paraId="19F8C969" w14:textId="77777777" w:rsidR="002B04EB" w:rsidRPr="003F7F6C" w:rsidRDefault="002B04EB" w:rsidP="00B851B7">
            <w:r w:rsidRPr="003F7F6C">
              <w:rPr>
                <w:rFonts w:cs="Calibri"/>
                <w:sz w:val="16"/>
                <w:szCs w:val="16"/>
              </w:rPr>
              <w:t>X</w:t>
            </w:r>
          </w:p>
        </w:tc>
        <w:tc>
          <w:tcPr>
            <w:tcW w:w="428" w:type="dxa"/>
          </w:tcPr>
          <w:p w14:paraId="785392F7" w14:textId="77777777" w:rsidR="002B04EB" w:rsidRPr="003F7F6C" w:rsidRDefault="002B04EB" w:rsidP="00B851B7">
            <w:r w:rsidRPr="003F7F6C">
              <w:rPr>
                <w:rFonts w:cs="Calibri"/>
                <w:sz w:val="16"/>
                <w:szCs w:val="16"/>
              </w:rPr>
              <w:t>X</w:t>
            </w:r>
          </w:p>
        </w:tc>
        <w:tc>
          <w:tcPr>
            <w:tcW w:w="428" w:type="dxa"/>
          </w:tcPr>
          <w:p w14:paraId="3939F50F" w14:textId="77777777" w:rsidR="002B04EB" w:rsidRPr="003F7F6C" w:rsidRDefault="002B04EB" w:rsidP="00B851B7">
            <w:r w:rsidRPr="003F7F6C">
              <w:rPr>
                <w:rFonts w:cs="Calibri"/>
                <w:sz w:val="16"/>
                <w:szCs w:val="16"/>
              </w:rPr>
              <w:t>X</w:t>
            </w:r>
          </w:p>
        </w:tc>
        <w:tc>
          <w:tcPr>
            <w:tcW w:w="428" w:type="dxa"/>
          </w:tcPr>
          <w:p w14:paraId="7F7B0681" w14:textId="77777777" w:rsidR="002B04EB" w:rsidRPr="003F7F6C" w:rsidRDefault="002B04EB" w:rsidP="00B851B7">
            <w:r w:rsidRPr="003F7F6C">
              <w:rPr>
                <w:rFonts w:cs="Calibri"/>
                <w:sz w:val="16"/>
                <w:szCs w:val="16"/>
              </w:rPr>
              <w:t>X</w:t>
            </w:r>
          </w:p>
        </w:tc>
        <w:tc>
          <w:tcPr>
            <w:tcW w:w="428" w:type="dxa"/>
            <w:gridSpan w:val="2"/>
          </w:tcPr>
          <w:p w14:paraId="2DB57CB3" w14:textId="77777777" w:rsidR="002B04EB" w:rsidRPr="003F7F6C" w:rsidRDefault="002B04EB" w:rsidP="00B851B7">
            <w:r w:rsidRPr="003F7F6C">
              <w:rPr>
                <w:rFonts w:cs="Calibri"/>
                <w:sz w:val="16"/>
                <w:szCs w:val="16"/>
              </w:rPr>
              <w:t>X</w:t>
            </w:r>
          </w:p>
        </w:tc>
        <w:tc>
          <w:tcPr>
            <w:tcW w:w="428" w:type="dxa"/>
          </w:tcPr>
          <w:p w14:paraId="267D9FFE" w14:textId="77777777" w:rsidR="002B04EB" w:rsidRPr="003F7F6C" w:rsidRDefault="002B04EB" w:rsidP="00B851B7">
            <w:r w:rsidRPr="003F7F6C">
              <w:rPr>
                <w:rFonts w:cs="Calibri"/>
                <w:sz w:val="16"/>
                <w:szCs w:val="16"/>
              </w:rPr>
              <w:t>X</w:t>
            </w:r>
          </w:p>
        </w:tc>
        <w:tc>
          <w:tcPr>
            <w:tcW w:w="428" w:type="dxa"/>
          </w:tcPr>
          <w:p w14:paraId="3C6F9942" w14:textId="77777777" w:rsidR="002B04EB" w:rsidRPr="003F7F6C" w:rsidRDefault="002B04EB" w:rsidP="00B851B7">
            <w:r w:rsidRPr="003F7F6C">
              <w:rPr>
                <w:rFonts w:cs="Calibri"/>
                <w:sz w:val="16"/>
                <w:szCs w:val="16"/>
              </w:rPr>
              <w:t>X</w:t>
            </w:r>
          </w:p>
        </w:tc>
        <w:tc>
          <w:tcPr>
            <w:tcW w:w="428" w:type="dxa"/>
          </w:tcPr>
          <w:p w14:paraId="2057457B" w14:textId="77777777" w:rsidR="002B04EB" w:rsidRPr="003F7F6C" w:rsidRDefault="002B04EB" w:rsidP="00B851B7">
            <w:r w:rsidRPr="003F7F6C">
              <w:rPr>
                <w:rFonts w:cs="Calibri"/>
                <w:sz w:val="16"/>
                <w:szCs w:val="16"/>
              </w:rPr>
              <w:t>X</w:t>
            </w:r>
          </w:p>
        </w:tc>
        <w:tc>
          <w:tcPr>
            <w:tcW w:w="428" w:type="dxa"/>
            <w:gridSpan w:val="2"/>
          </w:tcPr>
          <w:p w14:paraId="4F11449E" w14:textId="77777777" w:rsidR="002B04EB" w:rsidRPr="003F7F6C" w:rsidRDefault="002B04EB" w:rsidP="00B851B7">
            <w:r w:rsidRPr="003F7F6C">
              <w:rPr>
                <w:rFonts w:cs="Calibri"/>
                <w:sz w:val="16"/>
                <w:szCs w:val="16"/>
              </w:rPr>
              <w:t>X</w:t>
            </w:r>
          </w:p>
        </w:tc>
        <w:tc>
          <w:tcPr>
            <w:tcW w:w="428" w:type="dxa"/>
          </w:tcPr>
          <w:p w14:paraId="64823F6E" w14:textId="77777777" w:rsidR="002B04EB" w:rsidRPr="003F7F6C" w:rsidRDefault="002B04EB" w:rsidP="00B851B7">
            <w:r w:rsidRPr="003F7F6C">
              <w:rPr>
                <w:rFonts w:cs="Calibri"/>
                <w:sz w:val="16"/>
                <w:szCs w:val="16"/>
              </w:rPr>
              <w:t>X</w:t>
            </w:r>
          </w:p>
        </w:tc>
        <w:tc>
          <w:tcPr>
            <w:tcW w:w="428" w:type="dxa"/>
          </w:tcPr>
          <w:p w14:paraId="73C85D96" w14:textId="77777777" w:rsidR="002B04EB" w:rsidRPr="003F7F6C" w:rsidRDefault="002B04EB" w:rsidP="00B851B7">
            <w:r w:rsidRPr="003F7F6C">
              <w:rPr>
                <w:rFonts w:cs="Calibri"/>
                <w:sz w:val="16"/>
                <w:szCs w:val="16"/>
              </w:rPr>
              <w:t>X</w:t>
            </w:r>
          </w:p>
        </w:tc>
        <w:tc>
          <w:tcPr>
            <w:tcW w:w="428" w:type="dxa"/>
          </w:tcPr>
          <w:p w14:paraId="68BB42A5" w14:textId="77777777" w:rsidR="002B04EB" w:rsidRPr="003F7F6C" w:rsidRDefault="002B04EB" w:rsidP="00B851B7">
            <w:r w:rsidRPr="003F7F6C">
              <w:rPr>
                <w:rFonts w:cs="Calibri"/>
                <w:sz w:val="16"/>
                <w:szCs w:val="16"/>
              </w:rPr>
              <w:t>X</w:t>
            </w:r>
          </w:p>
        </w:tc>
        <w:tc>
          <w:tcPr>
            <w:tcW w:w="428" w:type="dxa"/>
          </w:tcPr>
          <w:p w14:paraId="72F89738" w14:textId="77777777" w:rsidR="002B04EB" w:rsidRPr="003F7F6C" w:rsidRDefault="002B04EB" w:rsidP="00B851B7">
            <w:r w:rsidRPr="003F7F6C">
              <w:rPr>
                <w:rFonts w:cs="Calibri"/>
                <w:sz w:val="16"/>
                <w:szCs w:val="16"/>
              </w:rPr>
              <w:t>X</w:t>
            </w:r>
          </w:p>
        </w:tc>
      </w:tr>
      <w:tr w:rsidR="002B04EB" w:rsidRPr="003F7F6C" w14:paraId="18586318" w14:textId="77777777" w:rsidTr="00B851B7">
        <w:tc>
          <w:tcPr>
            <w:tcW w:w="1668" w:type="dxa"/>
          </w:tcPr>
          <w:p w14:paraId="1288A522" w14:textId="77777777" w:rsidR="002B04EB" w:rsidRPr="003F7F6C" w:rsidRDefault="002B04EB" w:rsidP="00E91275">
            <w:pPr>
              <w:pStyle w:val="ListParagraph"/>
              <w:numPr>
                <w:ilvl w:val="0"/>
                <w:numId w:val="29"/>
              </w:numPr>
              <w:ind w:left="174" w:hanging="174"/>
              <w:rPr>
                <w:rFonts w:cs="Calibri"/>
                <w:sz w:val="16"/>
                <w:szCs w:val="16"/>
              </w:rPr>
            </w:pPr>
            <w:r w:rsidRPr="003F7F6C">
              <w:rPr>
                <w:rFonts w:cs="Calibri"/>
                <w:sz w:val="16"/>
                <w:szCs w:val="16"/>
              </w:rPr>
              <w:t>Design, validate</w:t>
            </w:r>
          </w:p>
        </w:tc>
        <w:tc>
          <w:tcPr>
            <w:tcW w:w="1057" w:type="dxa"/>
          </w:tcPr>
          <w:p w14:paraId="1F33BA0F" w14:textId="77777777" w:rsidR="002B04EB" w:rsidRPr="003F7F6C" w:rsidRDefault="002B04EB" w:rsidP="00B851B7">
            <w:r w:rsidRPr="003F7F6C">
              <w:rPr>
                <w:rFonts w:cs="Calibri"/>
                <w:sz w:val="16"/>
                <w:szCs w:val="16"/>
              </w:rPr>
              <w:t>Ministry of Environment</w:t>
            </w:r>
          </w:p>
        </w:tc>
        <w:tc>
          <w:tcPr>
            <w:tcW w:w="428" w:type="dxa"/>
          </w:tcPr>
          <w:p w14:paraId="1E75877A" w14:textId="77777777" w:rsidR="002B04EB" w:rsidRPr="003F7F6C" w:rsidRDefault="002B04EB" w:rsidP="00B851B7"/>
        </w:tc>
        <w:tc>
          <w:tcPr>
            <w:tcW w:w="444" w:type="dxa"/>
          </w:tcPr>
          <w:p w14:paraId="1DDB0560" w14:textId="77777777" w:rsidR="002B04EB" w:rsidRPr="003F7F6C" w:rsidRDefault="002B04EB" w:rsidP="00B851B7">
            <w:r w:rsidRPr="003F7F6C">
              <w:rPr>
                <w:rFonts w:cs="Calibri"/>
                <w:sz w:val="16"/>
                <w:szCs w:val="16"/>
              </w:rPr>
              <w:t>X</w:t>
            </w:r>
          </w:p>
        </w:tc>
        <w:tc>
          <w:tcPr>
            <w:tcW w:w="428" w:type="dxa"/>
          </w:tcPr>
          <w:p w14:paraId="7669F43C" w14:textId="77777777" w:rsidR="002B04EB" w:rsidRPr="003F7F6C" w:rsidRDefault="002B04EB" w:rsidP="00B851B7">
            <w:r w:rsidRPr="003F7F6C">
              <w:rPr>
                <w:rFonts w:cs="Calibri"/>
                <w:sz w:val="16"/>
                <w:szCs w:val="16"/>
              </w:rPr>
              <w:t>X</w:t>
            </w:r>
          </w:p>
        </w:tc>
        <w:tc>
          <w:tcPr>
            <w:tcW w:w="428" w:type="dxa"/>
            <w:gridSpan w:val="2"/>
          </w:tcPr>
          <w:p w14:paraId="59CBA31F" w14:textId="77777777" w:rsidR="002B04EB" w:rsidRPr="003F7F6C" w:rsidRDefault="002B04EB" w:rsidP="00B851B7">
            <w:r w:rsidRPr="003F7F6C">
              <w:rPr>
                <w:rFonts w:cs="Calibri"/>
                <w:sz w:val="16"/>
                <w:szCs w:val="16"/>
              </w:rPr>
              <w:t>X</w:t>
            </w:r>
          </w:p>
        </w:tc>
        <w:tc>
          <w:tcPr>
            <w:tcW w:w="428" w:type="dxa"/>
          </w:tcPr>
          <w:p w14:paraId="743DC9E1" w14:textId="77777777" w:rsidR="002B04EB" w:rsidRPr="003F7F6C" w:rsidRDefault="002B04EB" w:rsidP="00B851B7">
            <w:r w:rsidRPr="003F7F6C">
              <w:rPr>
                <w:rFonts w:cs="Calibri"/>
                <w:sz w:val="16"/>
                <w:szCs w:val="16"/>
              </w:rPr>
              <w:t>X</w:t>
            </w:r>
          </w:p>
        </w:tc>
        <w:tc>
          <w:tcPr>
            <w:tcW w:w="427" w:type="dxa"/>
          </w:tcPr>
          <w:p w14:paraId="0176B2FB" w14:textId="77777777" w:rsidR="002B04EB" w:rsidRPr="003F7F6C" w:rsidRDefault="002B04EB" w:rsidP="00B851B7">
            <w:r w:rsidRPr="003F7F6C">
              <w:rPr>
                <w:rFonts w:cs="Calibri"/>
                <w:sz w:val="16"/>
                <w:szCs w:val="16"/>
              </w:rPr>
              <w:t>X</w:t>
            </w:r>
          </w:p>
        </w:tc>
        <w:tc>
          <w:tcPr>
            <w:tcW w:w="427" w:type="dxa"/>
          </w:tcPr>
          <w:p w14:paraId="41BCEC93" w14:textId="77777777" w:rsidR="002B04EB" w:rsidRPr="003F7F6C" w:rsidRDefault="002B04EB" w:rsidP="00B851B7">
            <w:r w:rsidRPr="003F7F6C">
              <w:rPr>
                <w:rFonts w:cs="Calibri"/>
                <w:sz w:val="16"/>
                <w:szCs w:val="16"/>
              </w:rPr>
              <w:t>X</w:t>
            </w:r>
          </w:p>
        </w:tc>
        <w:tc>
          <w:tcPr>
            <w:tcW w:w="427" w:type="dxa"/>
            <w:gridSpan w:val="2"/>
          </w:tcPr>
          <w:p w14:paraId="07CC8F62" w14:textId="77777777" w:rsidR="002B04EB" w:rsidRPr="003F7F6C" w:rsidRDefault="002B04EB" w:rsidP="00B851B7">
            <w:r w:rsidRPr="003F7F6C">
              <w:rPr>
                <w:rFonts w:cs="Calibri"/>
                <w:sz w:val="16"/>
                <w:szCs w:val="16"/>
              </w:rPr>
              <w:t>X</w:t>
            </w:r>
          </w:p>
        </w:tc>
        <w:tc>
          <w:tcPr>
            <w:tcW w:w="428" w:type="dxa"/>
          </w:tcPr>
          <w:p w14:paraId="4DA56896" w14:textId="77777777" w:rsidR="002B04EB" w:rsidRPr="003F7F6C" w:rsidRDefault="002B04EB" w:rsidP="00B851B7">
            <w:pPr>
              <w:rPr>
                <w:rFonts w:cs="Calibri"/>
                <w:sz w:val="16"/>
                <w:szCs w:val="16"/>
              </w:rPr>
            </w:pPr>
          </w:p>
        </w:tc>
        <w:tc>
          <w:tcPr>
            <w:tcW w:w="428" w:type="dxa"/>
          </w:tcPr>
          <w:p w14:paraId="5DAA0EFE" w14:textId="77777777" w:rsidR="002B04EB" w:rsidRPr="003F7F6C" w:rsidRDefault="002B04EB" w:rsidP="00B851B7">
            <w:pPr>
              <w:rPr>
                <w:rFonts w:cs="Calibri"/>
                <w:sz w:val="16"/>
                <w:szCs w:val="16"/>
              </w:rPr>
            </w:pPr>
          </w:p>
        </w:tc>
        <w:tc>
          <w:tcPr>
            <w:tcW w:w="428" w:type="dxa"/>
          </w:tcPr>
          <w:p w14:paraId="600E1192" w14:textId="77777777" w:rsidR="002B04EB" w:rsidRPr="003F7F6C" w:rsidRDefault="002B04EB" w:rsidP="00B851B7">
            <w:pPr>
              <w:rPr>
                <w:rFonts w:cs="Calibri"/>
                <w:sz w:val="16"/>
                <w:szCs w:val="16"/>
              </w:rPr>
            </w:pPr>
          </w:p>
        </w:tc>
        <w:tc>
          <w:tcPr>
            <w:tcW w:w="428" w:type="dxa"/>
            <w:gridSpan w:val="2"/>
          </w:tcPr>
          <w:p w14:paraId="16C4EC14" w14:textId="77777777" w:rsidR="002B04EB" w:rsidRPr="003F7F6C" w:rsidRDefault="002B04EB" w:rsidP="00B851B7">
            <w:pPr>
              <w:rPr>
                <w:rFonts w:cs="Calibri"/>
                <w:sz w:val="16"/>
                <w:szCs w:val="16"/>
              </w:rPr>
            </w:pPr>
          </w:p>
        </w:tc>
        <w:tc>
          <w:tcPr>
            <w:tcW w:w="428" w:type="dxa"/>
          </w:tcPr>
          <w:p w14:paraId="1BA16D2C" w14:textId="77777777" w:rsidR="002B04EB" w:rsidRPr="003F7F6C" w:rsidRDefault="002B04EB" w:rsidP="00B851B7">
            <w:pPr>
              <w:rPr>
                <w:rFonts w:cs="Calibri"/>
                <w:sz w:val="16"/>
                <w:szCs w:val="16"/>
              </w:rPr>
            </w:pPr>
          </w:p>
        </w:tc>
        <w:tc>
          <w:tcPr>
            <w:tcW w:w="428" w:type="dxa"/>
          </w:tcPr>
          <w:p w14:paraId="1AE5E36A" w14:textId="77777777" w:rsidR="002B04EB" w:rsidRPr="003F7F6C" w:rsidRDefault="002B04EB" w:rsidP="00B851B7">
            <w:pPr>
              <w:rPr>
                <w:rFonts w:cs="Calibri"/>
                <w:sz w:val="16"/>
                <w:szCs w:val="16"/>
              </w:rPr>
            </w:pPr>
          </w:p>
        </w:tc>
        <w:tc>
          <w:tcPr>
            <w:tcW w:w="428" w:type="dxa"/>
          </w:tcPr>
          <w:p w14:paraId="0052165B" w14:textId="77777777" w:rsidR="002B04EB" w:rsidRPr="003F7F6C" w:rsidRDefault="002B04EB" w:rsidP="00B851B7">
            <w:pPr>
              <w:rPr>
                <w:rFonts w:cs="Calibri"/>
                <w:sz w:val="16"/>
                <w:szCs w:val="16"/>
              </w:rPr>
            </w:pPr>
          </w:p>
        </w:tc>
        <w:tc>
          <w:tcPr>
            <w:tcW w:w="428" w:type="dxa"/>
            <w:gridSpan w:val="2"/>
          </w:tcPr>
          <w:p w14:paraId="6830410D" w14:textId="77777777" w:rsidR="002B04EB" w:rsidRPr="003F7F6C" w:rsidRDefault="002B04EB" w:rsidP="00B851B7">
            <w:pPr>
              <w:rPr>
                <w:rFonts w:cs="Calibri"/>
                <w:sz w:val="16"/>
                <w:szCs w:val="16"/>
              </w:rPr>
            </w:pPr>
          </w:p>
        </w:tc>
        <w:tc>
          <w:tcPr>
            <w:tcW w:w="428" w:type="dxa"/>
          </w:tcPr>
          <w:p w14:paraId="1E3C7F12" w14:textId="77777777" w:rsidR="002B04EB" w:rsidRPr="003F7F6C" w:rsidRDefault="002B04EB" w:rsidP="00B851B7">
            <w:pPr>
              <w:rPr>
                <w:rFonts w:cs="Calibri"/>
                <w:sz w:val="16"/>
                <w:szCs w:val="16"/>
              </w:rPr>
            </w:pPr>
          </w:p>
        </w:tc>
        <w:tc>
          <w:tcPr>
            <w:tcW w:w="428" w:type="dxa"/>
          </w:tcPr>
          <w:p w14:paraId="11E39442" w14:textId="77777777" w:rsidR="002B04EB" w:rsidRPr="003F7F6C" w:rsidRDefault="002B04EB" w:rsidP="00B851B7">
            <w:pPr>
              <w:rPr>
                <w:rFonts w:cs="Calibri"/>
                <w:sz w:val="16"/>
                <w:szCs w:val="16"/>
              </w:rPr>
            </w:pPr>
          </w:p>
        </w:tc>
        <w:tc>
          <w:tcPr>
            <w:tcW w:w="428" w:type="dxa"/>
          </w:tcPr>
          <w:p w14:paraId="62BB5CB9" w14:textId="77777777" w:rsidR="002B04EB" w:rsidRPr="003F7F6C" w:rsidRDefault="002B04EB" w:rsidP="00B851B7">
            <w:pPr>
              <w:rPr>
                <w:rFonts w:cs="Calibri"/>
                <w:sz w:val="16"/>
                <w:szCs w:val="16"/>
              </w:rPr>
            </w:pPr>
          </w:p>
        </w:tc>
        <w:tc>
          <w:tcPr>
            <w:tcW w:w="428" w:type="dxa"/>
            <w:gridSpan w:val="2"/>
          </w:tcPr>
          <w:p w14:paraId="48E1209D" w14:textId="77777777" w:rsidR="002B04EB" w:rsidRPr="003F7F6C" w:rsidRDefault="002B04EB" w:rsidP="00B851B7">
            <w:pPr>
              <w:rPr>
                <w:rFonts w:cs="Calibri"/>
                <w:sz w:val="16"/>
                <w:szCs w:val="16"/>
              </w:rPr>
            </w:pPr>
          </w:p>
        </w:tc>
        <w:tc>
          <w:tcPr>
            <w:tcW w:w="428" w:type="dxa"/>
          </w:tcPr>
          <w:p w14:paraId="7FAD0717" w14:textId="77777777" w:rsidR="002B04EB" w:rsidRPr="003F7F6C" w:rsidRDefault="002B04EB" w:rsidP="00B851B7">
            <w:pPr>
              <w:rPr>
                <w:rFonts w:cs="Calibri"/>
                <w:sz w:val="16"/>
                <w:szCs w:val="16"/>
              </w:rPr>
            </w:pPr>
          </w:p>
        </w:tc>
        <w:tc>
          <w:tcPr>
            <w:tcW w:w="428" w:type="dxa"/>
          </w:tcPr>
          <w:p w14:paraId="2BF5F850" w14:textId="77777777" w:rsidR="002B04EB" w:rsidRPr="003F7F6C" w:rsidRDefault="002B04EB" w:rsidP="00B851B7">
            <w:pPr>
              <w:rPr>
                <w:rFonts w:cs="Calibri"/>
                <w:sz w:val="16"/>
                <w:szCs w:val="16"/>
              </w:rPr>
            </w:pPr>
          </w:p>
        </w:tc>
        <w:tc>
          <w:tcPr>
            <w:tcW w:w="428" w:type="dxa"/>
          </w:tcPr>
          <w:p w14:paraId="1643F1C0" w14:textId="77777777" w:rsidR="002B04EB" w:rsidRPr="003F7F6C" w:rsidRDefault="002B04EB" w:rsidP="00B851B7">
            <w:pPr>
              <w:rPr>
                <w:rFonts w:cs="Calibri"/>
                <w:sz w:val="16"/>
                <w:szCs w:val="16"/>
              </w:rPr>
            </w:pPr>
          </w:p>
        </w:tc>
        <w:tc>
          <w:tcPr>
            <w:tcW w:w="428" w:type="dxa"/>
          </w:tcPr>
          <w:p w14:paraId="479E20AD" w14:textId="77777777" w:rsidR="002B04EB" w:rsidRPr="003F7F6C" w:rsidRDefault="002B04EB" w:rsidP="00B851B7">
            <w:pPr>
              <w:rPr>
                <w:rFonts w:cs="Calibri"/>
                <w:sz w:val="16"/>
                <w:szCs w:val="16"/>
              </w:rPr>
            </w:pPr>
          </w:p>
        </w:tc>
      </w:tr>
      <w:tr w:rsidR="002B04EB" w:rsidRPr="003F7F6C" w14:paraId="07D5689A" w14:textId="77777777" w:rsidTr="00B851B7">
        <w:tc>
          <w:tcPr>
            <w:tcW w:w="1668" w:type="dxa"/>
          </w:tcPr>
          <w:p w14:paraId="11DE45D2" w14:textId="77777777" w:rsidR="002B04EB" w:rsidRPr="003F7F6C" w:rsidRDefault="002B04EB" w:rsidP="00E91275">
            <w:pPr>
              <w:pStyle w:val="ListParagraph"/>
              <w:numPr>
                <w:ilvl w:val="0"/>
                <w:numId w:val="29"/>
              </w:numPr>
              <w:ind w:left="174" w:hanging="174"/>
              <w:rPr>
                <w:rFonts w:cs="Calibri"/>
                <w:sz w:val="16"/>
                <w:szCs w:val="16"/>
              </w:rPr>
            </w:pPr>
            <w:r w:rsidRPr="003F7F6C">
              <w:rPr>
                <w:rFonts w:cs="Calibri"/>
                <w:sz w:val="16"/>
                <w:szCs w:val="16"/>
              </w:rPr>
              <w:t>Implement System with ELUP module and user module</w:t>
            </w:r>
          </w:p>
        </w:tc>
        <w:tc>
          <w:tcPr>
            <w:tcW w:w="1057" w:type="dxa"/>
          </w:tcPr>
          <w:p w14:paraId="17294250" w14:textId="77777777" w:rsidR="002B04EB" w:rsidRPr="003F7F6C" w:rsidRDefault="002B04EB" w:rsidP="00B851B7">
            <w:r w:rsidRPr="003F7F6C">
              <w:rPr>
                <w:rFonts w:cs="Calibri"/>
                <w:sz w:val="16"/>
                <w:szCs w:val="16"/>
              </w:rPr>
              <w:t>Ministry of Environment</w:t>
            </w:r>
          </w:p>
        </w:tc>
        <w:tc>
          <w:tcPr>
            <w:tcW w:w="428" w:type="dxa"/>
          </w:tcPr>
          <w:p w14:paraId="24E1B34F" w14:textId="77777777" w:rsidR="002B04EB" w:rsidRPr="003F7F6C" w:rsidRDefault="002B04EB" w:rsidP="00B851B7">
            <w:pPr>
              <w:rPr>
                <w:rFonts w:cs="Calibri"/>
                <w:sz w:val="16"/>
                <w:szCs w:val="16"/>
              </w:rPr>
            </w:pPr>
          </w:p>
        </w:tc>
        <w:tc>
          <w:tcPr>
            <w:tcW w:w="444" w:type="dxa"/>
          </w:tcPr>
          <w:p w14:paraId="01A892AD" w14:textId="77777777" w:rsidR="002B04EB" w:rsidRPr="003F7F6C" w:rsidRDefault="002B04EB" w:rsidP="00B851B7">
            <w:pPr>
              <w:rPr>
                <w:rFonts w:cs="Calibri"/>
                <w:sz w:val="16"/>
                <w:szCs w:val="16"/>
              </w:rPr>
            </w:pPr>
          </w:p>
        </w:tc>
        <w:tc>
          <w:tcPr>
            <w:tcW w:w="428" w:type="dxa"/>
          </w:tcPr>
          <w:p w14:paraId="3B0FBA6F" w14:textId="77777777" w:rsidR="002B04EB" w:rsidRPr="003F7F6C" w:rsidRDefault="002B04EB" w:rsidP="00B851B7">
            <w:pPr>
              <w:rPr>
                <w:rFonts w:cs="Calibri"/>
                <w:sz w:val="16"/>
                <w:szCs w:val="16"/>
              </w:rPr>
            </w:pPr>
          </w:p>
        </w:tc>
        <w:tc>
          <w:tcPr>
            <w:tcW w:w="428" w:type="dxa"/>
            <w:gridSpan w:val="2"/>
          </w:tcPr>
          <w:p w14:paraId="65700805" w14:textId="77777777" w:rsidR="002B04EB" w:rsidRPr="003F7F6C" w:rsidRDefault="002B04EB" w:rsidP="00B851B7">
            <w:pPr>
              <w:rPr>
                <w:rFonts w:cs="Calibri"/>
                <w:sz w:val="16"/>
                <w:szCs w:val="16"/>
              </w:rPr>
            </w:pPr>
          </w:p>
        </w:tc>
        <w:tc>
          <w:tcPr>
            <w:tcW w:w="428" w:type="dxa"/>
          </w:tcPr>
          <w:p w14:paraId="15F08900" w14:textId="77777777" w:rsidR="002B04EB" w:rsidRPr="003F7F6C" w:rsidRDefault="002B04EB" w:rsidP="00B851B7">
            <w:pPr>
              <w:rPr>
                <w:rFonts w:cs="Calibri"/>
                <w:sz w:val="16"/>
                <w:szCs w:val="16"/>
              </w:rPr>
            </w:pPr>
          </w:p>
        </w:tc>
        <w:tc>
          <w:tcPr>
            <w:tcW w:w="427" w:type="dxa"/>
          </w:tcPr>
          <w:p w14:paraId="47C48F07" w14:textId="77777777" w:rsidR="002B04EB" w:rsidRPr="003F7F6C" w:rsidRDefault="002B04EB" w:rsidP="00B851B7">
            <w:pPr>
              <w:rPr>
                <w:rFonts w:cs="Calibri"/>
                <w:sz w:val="16"/>
                <w:szCs w:val="16"/>
              </w:rPr>
            </w:pPr>
          </w:p>
        </w:tc>
        <w:tc>
          <w:tcPr>
            <w:tcW w:w="427" w:type="dxa"/>
          </w:tcPr>
          <w:p w14:paraId="5AAFEB10" w14:textId="77777777" w:rsidR="002B04EB" w:rsidRPr="003F7F6C" w:rsidRDefault="002B04EB" w:rsidP="00B851B7">
            <w:pPr>
              <w:rPr>
                <w:rFonts w:cs="Calibri"/>
                <w:sz w:val="16"/>
                <w:szCs w:val="16"/>
              </w:rPr>
            </w:pPr>
          </w:p>
        </w:tc>
        <w:tc>
          <w:tcPr>
            <w:tcW w:w="427" w:type="dxa"/>
            <w:gridSpan w:val="2"/>
          </w:tcPr>
          <w:p w14:paraId="29D9B7C1" w14:textId="77777777" w:rsidR="002B04EB" w:rsidRPr="003F7F6C" w:rsidRDefault="002B04EB" w:rsidP="00B851B7">
            <w:pPr>
              <w:rPr>
                <w:rFonts w:cs="Calibri"/>
                <w:sz w:val="16"/>
                <w:szCs w:val="16"/>
              </w:rPr>
            </w:pPr>
          </w:p>
        </w:tc>
        <w:tc>
          <w:tcPr>
            <w:tcW w:w="428" w:type="dxa"/>
          </w:tcPr>
          <w:p w14:paraId="206B3305" w14:textId="77777777" w:rsidR="002B04EB" w:rsidRPr="003F7F6C" w:rsidRDefault="002B04EB" w:rsidP="00B851B7">
            <w:r w:rsidRPr="003F7F6C">
              <w:rPr>
                <w:rFonts w:cs="Calibri"/>
                <w:sz w:val="16"/>
                <w:szCs w:val="16"/>
              </w:rPr>
              <w:t>X</w:t>
            </w:r>
          </w:p>
        </w:tc>
        <w:tc>
          <w:tcPr>
            <w:tcW w:w="428" w:type="dxa"/>
          </w:tcPr>
          <w:p w14:paraId="4B90FA5E" w14:textId="77777777" w:rsidR="002B04EB" w:rsidRPr="003F7F6C" w:rsidRDefault="002B04EB" w:rsidP="00B851B7">
            <w:r w:rsidRPr="003F7F6C">
              <w:rPr>
                <w:rFonts w:cs="Calibri"/>
                <w:sz w:val="16"/>
                <w:szCs w:val="16"/>
              </w:rPr>
              <w:t>X</w:t>
            </w:r>
          </w:p>
        </w:tc>
        <w:tc>
          <w:tcPr>
            <w:tcW w:w="428" w:type="dxa"/>
          </w:tcPr>
          <w:p w14:paraId="13E1C0CB" w14:textId="77777777" w:rsidR="002B04EB" w:rsidRPr="003F7F6C" w:rsidRDefault="002B04EB" w:rsidP="00B851B7">
            <w:r w:rsidRPr="003F7F6C">
              <w:rPr>
                <w:rFonts w:cs="Calibri"/>
                <w:sz w:val="16"/>
                <w:szCs w:val="16"/>
              </w:rPr>
              <w:t>X</w:t>
            </w:r>
          </w:p>
        </w:tc>
        <w:tc>
          <w:tcPr>
            <w:tcW w:w="428" w:type="dxa"/>
            <w:gridSpan w:val="2"/>
          </w:tcPr>
          <w:p w14:paraId="56ADDAA6" w14:textId="77777777" w:rsidR="002B04EB" w:rsidRPr="003F7F6C" w:rsidRDefault="002B04EB" w:rsidP="00B851B7">
            <w:r w:rsidRPr="003F7F6C">
              <w:rPr>
                <w:rFonts w:cs="Calibri"/>
                <w:sz w:val="16"/>
                <w:szCs w:val="16"/>
              </w:rPr>
              <w:t>X</w:t>
            </w:r>
          </w:p>
        </w:tc>
        <w:tc>
          <w:tcPr>
            <w:tcW w:w="428" w:type="dxa"/>
          </w:tcPr>
          <w:p w14:paraId="66AA0744" w14:textId="77777777" w:rsidR="002B04EB" w:rsidRPr="003F7F6C" w:rsidRDefault="002B04EB" w:rsidP="00B851B7">
            <w:r w:rsidRPr="003F7F6C">
              <w:rPr>
                <w:rFonts w:cs="Calibri"/>
                <w:sz w:val="16"/>
                <w:szCs w:val="16"/>
              </w:rPr>
              <w:t>X</w:t>
            </w:r>
          </w:p>
        </w:tc>
        <w:tc>
          <w:tcPr>
            <w:tcW w:w="428" w:type="dxa"/>
          </w:tcPr>
          <w:p w14:paraId="23E5AA4D" w14:textId="77777777" w:rsidR="002B04EB" w:rsidRPr="003F7F6C" w:rsidRDefault="002B04EB" w:rsidP="00B851B7">
            <w:r w:rsidRPr="003F7F6C">
              <w:rPr>
                <w:rFonts w:cs="Calibri"/>
                <w:sz w:val="16"/>
                <w:szCs w:val="16"/>
              </w:rPr>
              <w:t>X</w:t>
            </w:r>
          </w:p>
        </w:tc>
        <w:tc>
          <w:tcPr>
            <w:tcW w:w="428" w:type="dxa"/>
          </w:tcPr>
          <w:p w14:paraId="3CC30358" w14:textId="77777777" w:rsidR="002B04EB" w:rsidRPr="003F7F6C" w:rsidRDefault="002B04EB" w:rsidP="00B851B7">
            <w:r w:rsidRPr="003F7F6C">
              <w:rPr>
                <w:rFonts w:cs="Calibri"/>
                <w:sz w:val="16"/>
                <w:szCs w:val="16"/>
              </w:rPr>
              <w:t>X</w:t>
            </w:r>
          </w:p>
        </w:tc>
        <w:tc>
          <w:tcPr>
            <w:tcW w:w="428" w:type="dxa"/>
            <w:gridSpan w:val="2"/>
          </w:tcPr>
          <w:p w14:paraId="206429BA" w14:textId="77777777" w:rsidR="002B04EB" w:rsidRPr="003F7F6C" w:rsidRDefault="002B04EB" w:rsidP="00B851B7">
            <w:r w:rsidRPr="003F7F6C">
              <w:rPr>
                <w:rFonts w:cs="Calibri"/>
                <w:sz w:val="16"/>
                <w:szCs w:val="16"/>
              </w:rPr>
              <w:t>X</w:t>
            </w:r>
          </w:p>
        </w:tc>
        <w:tc>
          <w:tcPr>
            <w:tcW w:w="428" w:type="dxa"/>
          </w:tcPr>
          <w:p w14:paraId="3DA1877B" w14:textId="77777777" w:rsidR="002B04EB" w:rsidRPr="003F7F6C" w:rsidRDefault="002B04EB" w:rsidP="00B851B7">
            <w:r w:rsidRPr="003F7F6C">
              <w:rPr>
                <w:rFonts w:cs="Calibri"/>
                <w:sz w:val="16"/>
                <w:szCs w:val="16"/>
              </w:rPr>
              <w:t>X</w:t>
            </w:r>
          </w:p>
        </w:tc>
        <w:tc>
          <w:tcPr>
            <w:tcW w:w="428" w:type="dxa"/>
          </w:tcPr>
          <w:p w14:paraId="78D75B63" w14:textId="77777777" w:rsidR="002B04EB" w:rsidRPr="003F7F6C" w:rsidRDefault="002B04EB" w:rsidP="00B851B7">
            <w:r w:rsidRPr="003F7F6C">
              <w:rPr>
                <w:rFonts w:cs="Calibri"/>
                <w:sz w:val="16"/>
                <w:szCs w:val="16"/>
              </w:rPr>
              <w:t>X</w:t>
            </w:r>
          </w:p>
        </w:tc>
        <w:tc>
          <w:tcPr>
            <w:tcW w:w="428" w:type="dxa"/>
          </w:tcPr>
          <w:p w14:paraId="78D9DFC5" w14:textId="77777777" w:rsidR="002B04EB" w:rsidRPr="003F7F6C" w:rsidRDefault="002B04EB" w:rsidP="00B851B7">
            <w:r w:rsidRPr="003F7F6C">
              <w:rPr>
                <w:rFonts w:cs="Calibri"/>
                <w:sz w:val="16"/>
                <w:szCs w:val="16"/>
              </w:rPr>
              <w:t>X</w:t>
            </w:r>
          </w:p>
        </w:tc>
        <w:tc>
          <w:tcPr>
            <w:tcW w:w="428" w:type="dxa"/>
            <w:gridSpan w:val="2"/>
          </w:tcPr>
          <w:p w14:paraId="596A7DAE" w14:textId="77777777" w:rsidR="002B04EB" w:rsidRPr="003F7F6C" w:rsidRDefault="002B04EB" w:rsidP="00B851B7">
            <w:r w:rsidRPr="003F7F6C">
              <w:rPr>
                <w:rFonts w:cs="Calibri"/>
                <w:sz w:val="16"/>
                <w:szCs w:val="16"/>
              </w:rPr>
              <w:t>X</w:t>
            </w:r>
          </w:p>
        </w:tc>
        <w:tc>
          <w:tcPr>
            <w:tcW w:w="428" w:type="dxa"/>
          </w:tcPr>
          <w:p w14:paraId="65645274" w14:textId="77777777" w:rsidR="002B04EB" w:rsidRPr="003F7F6C" w:rsidRDefault="002B04EB" w:rsidP="00B851B7">
            <w:r w:rsidRPr="003F7F6C">
              <w:rPr>
                <w:rFonts w:cs="Calibri"/>
                <w:sz w:val="16"/>
                <w:szCs w:val="16"/>
              </w:rPr>
              <w:t>X</w:t>
            </w:r>
          </w:p>
        </w:tc>
        <w:tc>
          <w:tcPr>
            <w:tcW w:w="428" w:type="dxa"/>
          </w:tcPr>
          <w:p w14:paraId="54BC089A" w14:textId="77777777" w:rsidR="002B04EB" w:rsidRPr="003F7F6C" w:rsidRDefault="002B04EB" w:rsidP="00B851B7">
            <w:r w:rsidRPr="003F7F6C">
              <w:rPr>
                <w:rFonts w:cs="Calibri"/>
                <w:sz w:val="16"/>
                <w:szCs w:val="16"/>
              </w:rPr>
              <w:t>X</w:t>
            </w:r>
          </w:p>
        </w:tc>
        <w:tc>
          <w:tcPr>
            <w:tcW w:w="428" w:type="dxa"/>
          </w:tcPr>
          <w:p w14:paraId="4CA2DB54" w14:textId="77777777" w:rsidR="002B04EB" w:rsidRPr="003F7F6C" w:rsidRDefault="002B04EB" w:rsidP="00B851B7">
            <w:r w:rsidRPr="003F7F6C">
              <w:rPr>
                <w:rFonts w:cs="Calibri"/>
                <w:sz w:val="16"/>
                <w:szCs w:val="16"/>
              </w:rPr>
              <w:t>X</w:t>
            </w:r>
          </w:p>
        </w:tc>
        <w:tc>
          <w:tcPr>
            <w:tcW w:w="428" w:type="dxa"/>
          </w:tcPr>
          <w:p w14:paraId="1EC50820" w14:textId="77777777" w:rsidR="002B04EB" w:rsidRPr="003F7F6C" w:rsidRDefault="002B04EB" w:rsidP="00B851B7">
            <w:r w:rsidRPr="003F7F6C">
              <w:rPr>
                <w:rFonts w:cs="Calibri"/>
                <w:sz w:val="16"/>
                <w:szCs w:val="16"/>
              </w:rPr>
              <w:t>X</w:t>
            </w:r>
          </w:p>
        </w:tc>
      </w:tr>
      <w:tr w:rsidR="002B04EB" w:rsidRPr="003F7F6C" w14:paraId="23A05435" w14:textId="77777777" w:rsidTr="00B851B7">
        <w:tc>
          <w:tcPr>
            <w:tcW w:w="1668" w:type="dxa"/>
          </w:tcPr>
          <w:p w14:paraId="211A9F88" w14:textId="77777777" w:rsidR="002B04EB" w:rsidRPr="003F7F6C" w:rsidRDefault="002B04EB" w:rsidP="00E91275">
            <w:pPr>
              <w:pStyle w:val="ListParagraph"/>
              <w:numPr>
                <w:ilvl w:val="0"/>
                <w:numId w:val="29"/>
              </w:numPr>
              <w:ind w:left="174" w:hanging="174"/>
              <w:rPr>
                <w:rFonts w:cs="Calibri"/>
                <w:sz w:val="16"/>
                <w:szCs w:val="16"/>
              </w:rPr>
            </w:pPr>
            <w:r w:rsidRPr="003F7F6C">
              <w:rPr>
                <w:rFonts w:cs="Calibri"/>
                <w:sz w:val="16"/>
                <w:szCs w:val="16"/>
              </w:rPr>
              <w:t>Replicate to Quebrada Puna</w:t>
            </w:r>
          </w:p>
        </w:tc>
        <w:tc>
          <w:tcPr>
            <w:tcW w:w="1057" w:type="dxa"/>
          </w:tcPr>
          <w:p w14:paraId="1566F81B" w14:textId="77777777" w:rsidR="002B04EB" w:rsidRPr="003F7F6C" w:rsidRDefault="002B04EB" w:rsidP="00B851B7">
            <w:r w:rsidRPr="003F7F6C">
              <w:rPr>
                <w:rFonts w:cs="Calibri"/>
                <w:sz w:val="16"/>
                <w:szCs w:val="16"/>
              </w:rPr>
              <w:t>Ministry of Environment</w:t>
            </w:r>
          </w:p>
        </w:tc>
        <w:tc>
          <w:tcPr>
            <w:tcW w:w="428" w:type="dxa"/>
          </w:tcPr>
          <w:p w14:paraId="2A48D32A" w14:textId="77777777" w:rsidR="002B04EB" w:rsidRPr="003F7F6C" w:rsidRDefault="002B04EB" w:rsidP="00B851B7">
            <w:pPr>
              <w:rPr>
                <w:rFonts w:cs="Calibri"/>
                <w:sz w:val="16"/>
                <w:szCs w:val="16"/>
              </w:rPr>
            </w:pPr>
          </w:p>
        </w:tc>
        <w:tc>
          <w:tcPr>
            <w:tcW w:w="444" w:type="dxa"/>
          </w:tcPr>
          <w:p w14:paraId="46D9C44E" w14:textId="77777777" w:rsidR="002B04EB" w:rsidRPr="003F7F6C" w:rsidRDefault="002B04EB" w:rsidP="00B851B7">
            <w:pPr>
              <w:rPr>
                <w:rFonts w:cs="Calibri"/>
                <w:sz w:val="16"/>
                <w:szCs w:val="16"/>
              </w:rPr>
            </w:pPr>
          </w:p>
        </w:tc>
        <w:tc>
          <w:tcPr>
            <w:tcW w:w="428" w:type="dxa"/>
          </w:tcPr>
          <w:p w14:paraId="2B4CBA35" w14:textId="77777777" w:rsidR="002B04EB" w:rsidRPr="003F7F6C" w:rsidRDefault="002B04EB" w:rsidP="00B851B7">
            <w:pPr>
              <w:rPr>
                <w:rFonts w:cs="Calibri"/>
                <w:sz w:val="16"/>
                <w:szCs w:val="16"/>
              </w:rPr>
            </w:pPr>
          </w:p>
        </w:tc>
        <w:tc>
          <w:tcPr>
            <w:tcW w:w="428" w:type="dxa"/>
            <w:gridSpan w:val="2"/>
          </w:tcPr>
          <w:p w14:paraId="39903CE0" w14:textId="77777777" w:rsidR="002B04EB" w:rsidRPr="003F7F6C" w:rsidRDefault="002B04EB" w:rsidP="00B851B7">
            <w:pPr>
              <w:rPr>
                <w:rFonts w:cs="Calibri"/>
                <w:sz w:val="16"/>
                <w:szCs w:val="16"/>
              </w:rPr>
            </w:pPr>
          </w:p>
        </w:tc>
        <w:tc>
          <w:tcPr>
            <w:tcW w:w="428" w:type="dxa"/>
          </w:tcPr>
          <w:p w14:paraId="6D7C2B00" w14:textId="77777777" w:rsidR="002B04EB" w:rsidRPr="003F7F6C" w:rsidRDefault="002B04EB" w:rsidP="00B851B7">
            <w:pPr>
              <w:rPr>
                <w:rFonts w:cs="Calibri"/>
                <w:sz w:val="16"/>
                <w:szCs w:val="16"/>
              </w:rPr>
            </w:pPr>
          </w:p>
        </w:tc>
        <w:tc>
          <w:tcPr>
            <w:tcW w:w="427" w:type="dxa"/>
          </w:tcPr>
          <w:p w14:paraId="4F8A7FBB" w14:textId="77777777" w:rsidR="002B04EB" w:rsidRPr="003F7F6C" w:rsidRDefault="002B04EB" w:rsidP="00B851B7">
            <w:pPr>
              <w:rPr>
                <w:rFonts w:cs="Calibri"/>
                <w:sz w:val="16"/>
                <w:szCs w:val="16"/>
              </w:rPr>
            </w:pPr>
          </w:p>
        </w:tc>
        <w:tc>
          <w:tcPr>
            <w:tcW w:w="427" w:type="dxa"/>
          </w:tcPr>
          <w:p w14:paraId="0F5315F5" w14:textId="77777777" w:rsidR="002B04EB" w:rsidRPr="003F7F6C" w:rsidRDefault="002B04EB" w:rsidP="00B851B7">
            <w:pPr>
              <w:rPr>
                <w:rFonts w:cs="Calibri"/>
                <w:sz w:val="16"/>
                <w:szCs w:val="16"/>
              </w:rPr>
            </w:pPr>
          </w:p>
        </w:tc>
        <w:tc>
          <w:tcPr>
            <w:tcW w:w="427" w:type="dxa"/>
            <w:gridSpan w:val="2"/>
          </w:tcPr>
          <w:p w14:paraId="017E1680" w14:textId="77777777" w:rsidR="002B04EB" w:rsidRPr="003F7F6C" w:rsidRDefault="002B04EB" w:rsidP="00B851B7">
            <w:pPr>
              <w:rPr>
                <w:rFonts w:cs="Calibri"/>
                <w:sz w:val="16"/>
                <w:szCs w:val="16"/>
              </w:rPr>
            </w:pPr>
          </w:p>
        </w:tc>
        <w:tc>
          <w:tcPr>
            <w:tcW w:w="428" w:type="dxa"/>
          </w:tcPr>
          <w:p w14:paraId="5D31CC58" w14:textId="77777777" w:rsidR="002B04EB" w:rsidRPr="003F7F6C" w:rsidRDefault="002B04EB" w:rsidP="00B851B7">
            <w:pPr>
              <w:rPr>
                <w:rFonts w:cs="Calibri"/>
                <w:sz w:val="16"/>
                <w:szCs w:val="16"/>
              </w:rPr>
            </w:pPr>
          </w:p>
        </w:tc>
        <w:tc>
          <w:tcPr>
            <w:tcW w:w="428" w:type="dxa"/>
          </w:tcPr>
          <w:p w14:paraId="5A792D60" w14:textId="77777777" w:rsidR="002B04EB" w:rsidRPr="003F7F6C" w:rsidRDefault="002B04EB" w:rsidP="00B851B7">
            <w:pPr>
              <w:rPr>
                <w:rFonts w:cs="Calibri"/>
                <w:sz w:val="16"/>
                <w:szCs w:val="16"/>
              </w:rPr>
            </w:pPr>
          </w:p>
        </w:tc>
        <w:tc>
          <w:tcPr>
            <w:tcW w:w="428" w:type="dxa"/>
          </w:tcPr>
          <w:p w14:paraId="75CEA645" w14:textId="77777777" w:rsidR="002B04EB" w:rsidRPr="003F7F6C" w:rsidRDefault="002B04EB" w:rsidP="00B851B7">
            <w:pPr>
              <w:rPr>
                <w:rFonts w:cs="Calibri"/>
                <w:sz w:val="16"/>
                <w:szCs w:val="16"/>
              </w:rPr>
            </w:pPr>
          </w:p>
        </w:tc>
        <w:tc>
          <w:tcPr>
            <w:tcW w:w="428" w:type="dxa"/>
            <w:gridSpan w:val="2"/>
          </w:tcPr>
          <w:p w14:paraId="13CDA293" w14:textId="77777777" w:rsidR="002B04EB" w:rsidRPr="003F7F6C" w:rsidRDefault="002B04EB" w:rsidP="00B851B7">
            <w:pPr>
              <w:rPr>
                <w:rFonts w:cs="Calibri"/>
                <w:sz w:val="16"/>
                <w:szCs w:val="16"/>
              </w:rPr>
            </w:pPr>
          </w:p>
        </w:tc>
        <w:tc>
          <w:tcPr>
            <w:tcW w:w="428" w:type="dxa"/>
          </w:tcPr>
          <w:p w14:paraId="52E29E78" w14:textId="77777777" w:rsidR="002B04EB" w:rsidRPr="003F7F6C" w:rsidRDefault="002B04EB" w:rsidP="00B851B7">
            <w:pPr>
              <w:rPr>
                <w:rFonts w:cs="Calibri"/>
                <w:sz w:val="16"/>
                <w:szCs w:val="16"/>
              </w:rPr>
            </w:pPr>
          </w:p>
        </w:tc>
        <w:tc>
          <w:tcPr>
            <w:tcW w:w="428" w:type="dxa"/>
          </w:tcPr>
          <w:p w14:paraId="5AE63CDB" w14:textId="77777777" w:rsidR="002B04EB" w:rsidRPr="003F7F6C" w:rsidRDefault="002B04EB" w:rsidP="00B851B7">
            <w:pPr>
              <w:rPr>
                <w:rFonts w:cs="Calibri"/>
                <w:sz w:val="16"/>
                <w:szCs w:val="16"/>
              </w:rPr>
            </w:pPr>
          </w:p>
        </w:tc>
        <w:tc>
          <w:tcPr>
            <w:tcW w:w="428" w:type="dxa"/>
          </w:tcPr>
          <w:p w14:paraId="4DB9808A" w14:textId="77777777" w:rsidR="002B04EB" w:rsidRPr="003F7F6C" w:rsidRDefault="002B04EB" w:rsidP="00B851B7">
            <w:pPr>
              <w:rPr>
                <w:rFonts w:cs="Calibri"/>
                <w:sz w:val="16"/>
                <w:szCs w:val="16"/>
              </w:rPr>
            </w:pPr>
          </w:p>
        </w:tc>
        <w:tc>
          <w:tcPr>
            <w:tcW w:w="428" w:type="dxa"/>
            <w:gridSpan w:val="2"/>
          </w:tcPr>
          <w:p w14:paraId="608505F2" w14:textId="77777777" w:rsidR="002B04EB" w:rsidRPr="003F7F6C" w:rsidRDefault="002B04EB" w:rsidP="00B851B7">
            <w:pPr>
              <w:rPr>
                <w:rFonts w:cs="Calibri"/>
                <w:sz w:val="16"/>
                <w:szCs w:val="16"/>
              </w:rPr>
            </w:pPr>
          </w:p>
        </w:tc>
        <w:tc>
          <w:tcPr>
            <w:tcW w:w="428" w:type="dxa"/>
          </w:tcPr>
          <w:p w14:paraId="6A42109E" w14:textId="77777777" w:rsidR="002B04EB" w:rsidRPr="003F7F6C" w:rsidRDefault="002B04EB" w:rsidP="00B851B7">
            <w:r w:rsidRPr="003F7F6C">
              <w:rPr>
                <w:rFonts w:cs="Calibri"/>
                <w:sz w:val="16"/>
                <w:szCs w:val="16"/>
              </w:rPr>
              <w:t>X</w:t>
            </w:r>
          </w:p>
        </w:tc>
        <w:tc>
          <w:tcPr>
            <w:tcW w:w="428" w:type="dxa"/>
          </w:tcPr>
          <w:p w14:paraId="03847955" w14:textId="77777777" w:rsidR="002B04EB" w:rsidRPr="003F7F6C" w:rsidRDefault="002B04EB" w:rsidP="00B851B7">
            <w:r w:rsidRPr="003F7F6C">
              <w:rPr>
                <w:rFonts w:cs="Calibri"/>
                <w:sz w:val="16"/>
                <w:szCs w:val="16"/>
              </w:rPr>
              <w:t>X</w:t>
            </w:r>
          </w:p>
        </w:tc>
        <w:tc>
          <w:tcPr>
            <w:tcW w:w="428" w:type="dxa"/>
          </w:tcPr>
          <w:p w14:paraId="0C2F75FE" w14:textId="77777777" w:rsidR="002B04EB" w:rsidRPr="003F7F6C" w:rsidRDefault="002B04EB" w:rsidP="00B851B7">
            <w:r w:rsidRPr="003F7F6C">
              <w:rPr>
                <w:rFonts w:cs="Calibri"/>
                <w:sz w:val="16"/>
                <w:szCs w:val="16"/>
              </w:rPr>
              <w:t>X</w:t>
            </w:r>
          </w:p>
        </w:tc>
        <w:tc>
          <w:tcPr>
            <w:tcW w:w="428" w:type="dxa"/>
            <w:gridSpan w:val="2"/>
          </w:tcPr>
          <w:p w14:paraId="13CE4906" w14:textId="77777777" w:rsidR="002B04EB" w:rsidRPr="003F7F6C" w:rsidRDefault="002B04EB" w:rsidP="00B851B7">
            <w:r w:rsidRPr="003F7F6C">
              <w:rPr>
                <w:rFonts w:cs="Calibri"/>
                <w:sz w:val="16"/>
                <w:szCs w:val="16"/>
              </w:rPr>
              <w:t>X</w:t>
            </w:r>
          </w:p>
        </w:tc>
        <w:tc>
          <w:tcPr>
            <w:tcW w:w="428" w:type="dxa"/>
          </w:tcPr>
          <w:p w14:paraId="6BD4240C" w14:textId="77777777" w:rsidR="002B04EB" w:rsidRPr="003F7F6C" w:rsidRDefault="002B04EB" w:rsidP="00B851B7">
            <w:r w:rsidRPr="003F7F6C">
              <w:rPr>
                <w:rFonts w:cs="Calibri"/>
                <w:sz w:val="16"/>
                <w:szCs w:val="16"/>
              </w:rPr>
              <w:t>X</w:t>
            </w:r>
          </w:p>
        </w:tc>
        <w:tc>
          <w:tcPr>
            <w:tcW w:w="428" w:type="dxa"/>
          </w:tcPr>
          <w:p w14:paraId="4477DB64" w14:textId="77777777" w:rsidR="002B04EB" w:rsidRPr="003F7F6C" w:rsidRDefault="002B04EB" w:rsidP="00B851B7">
            <w:r w:rsidRPr="003F7F6C">
              <w:rPr>
                <w:rFonts w:cs="Calibri"/>
                <w:sz w:val="16"/>
                <w:szCs w:val="16"/>
              </w:rPr>
              <w:t>X</w:t>
            </w:r>
          </w:p>
        </w:tc>
        <w:tc>
          <w:tcPr>
            <w:tcW w:w="428" w:type="dxa"/>
          </w:tcPr>
          <w:p w14:paraId="45286F0F" w14:textId="77777777" w:rsidR="002B04EB" w:rsidRPr="003F7F6C" w:rsidRDefault="002B04EB" w:rsidP="00B851B7">
            <w:r w:rsidRPr="003F7F6C">
              <w:rPr>
                <w:rFonts w:cs="Calibri"/>
                <w:sz w:val="16"/>
                <w:szCs w:val="16"/>
              </w:rPr>
              <w:t>X</w:t>
            </w:r>
          </w:p>
        </w:tc>
        <w:tc>
          <w:tcPr>
            <w:tcW w:w="428" w:type="dxa"/>
          </w:tcPr>
          <w:p w14:paraId="3B396339" w14:textId="77777777" w:rsidR="002B04EB" w:rsidRPr="003F7F6C" w:rsidRDefault="002B04EB" w:rsidP="00B851B7">
            <w:r w:rsidRPr="003F7F6C">
              <w:rPr>
                <w:rFonts w:cs="Calibri"/>
                <w:sz w:val="16"/>
                <w:szCs w:val="16"/>
              </w:rPr>
              <w:t>X</w:t>
            </w:r>
          </w:p>
        </w:tc>
      </w:tr>
      <w:tr w:rsidR="002B04EB" w:rsidRPr="003F7F6C" w14:paraId="637E64CC" w14:textId="77777777" w:rsidTr="00B851B7">
        <w:tc>
          <w:tcPr>
            <w:tcW w:w="1668" w:type="dxa"/>
          </w:tcPr>
          <w:p w14:paraId="58CB2834" w14:textId="77777777" w:rsidR="002B04EB" w:rsidRPr="003F7F6C" w:rsidRDefault="002B04EB" w:rsidP="00B851B7">
            <w:pPr>
              <w:rPr>
                <w:rFonts w:cs="Calibri"/>
                <w:sz w:val="16"/>
                <w:szCs w:val="16"/>
              </w:rPr>
            </w:pPr>
            <w:r w:rsidRPr="003F7F6C">
              <w:rPr>
                <w:rFonts w:cs="Calibri"/>
                <w:sz w:val="16"/>
                <w:szCs w:val="16"/>
              </w:rPr>
              <w:t>2.4.2 Strengthen Tourism Development Plan of Qhapac Ñam and Jordan River hot springs</w:t>
            </w:r>
          </w:p>
        </w:tc>
        <w:tc>
          <w:tcPr>
            <w:tcW w:w="1057" w:type="dxa"/>
          </w:tcPr>
          <w:p w14:paraId="04D24084" w14:textId="77777777" w:rsidR="002B04EB" w:rsidRPr="003F7F6C" w:rsidRDefault="002B04EB" w:rsidP="00B851B7">
            <w:r w:rsidRPr="003F7F6C">
              <w:rPr>
                <w:rFonts w:cs="Calibri"/>
                <w:sz w:val="16"/>
                <w:szCs w:val="16"/>
              </w:rPr>
              <w:t>Ministry of Environment</w:t>
            </w:r>
          </w:p>
        </w:tc>
        <w:tc>
          <w:tcPr>
            <w:tcW w:w="428" w:type="dxa"/>
          </w:tcPr>
          <w:p w14:paraId="1101B177" w14:textId="77777777" w:rsidR="002B04EB" w:rsidRPr="003F7F6C" w:rsidRDefault="002B04EB" w:rsidP="00B851B7"/>
        </w:tc>
        <w:tc>
          <w:tcPr>
            <w:tcW w:w="444" w:type="dxa"/>
          </w:tcPr>
          <w:p w14:paraId="0901EDD6" w14:textId="77777777" w:rsidR="002B04EB" w:rsidRPr="003F7F6C" w:rsidRDefault="002B04EB" w:rsidP="00B851B7">
            <w:r w:rsidRPr="003F7F6C">
              <w:rPr>
                <w:rFonts w:cs="Calibri"/>
                <w:sz w:val="16"/>
                <w:szCs w:val="16"/>
              </w:rPr>
              <w:t>X</w:t>
            </w:r>
          </w:p>
        </w:tc>
        <w:tc>
          <w:tcPr>
            <w:tcW w:w="428" w:type="dxa"/>
          </w:tcPr>
          <w:p w14:paraId="2A0DE8C9" w14:textId="77777777" w:rsidR="002B04EB" w:rsidRPr="003F7F6C" w:rsidRDefault="002B04EB" w:rsidP="00B851B7">
            <w:r w:rsidRPr="003F7F6C">
              <w:rPr>
                <w:rFonts w:cs="Calibri"/>
                <w:sz w:val="16"/>
                <w:szCs w:val="16"/>
              </w:rPr>
              <w:t>X</w:t>
            </w:r>
          </w:p>
        </w:tc>
        <w:tc>
          <w:tcPr>
            <w:tcW w:w="428" w:type="dxa"/>
            <w:gridSpan w:val="2"/>
          </w:tcPr>
          <w:p w14:paraId="72A829C7" w14:textId="77777777" w:rsidR="002B04EB" w:rsidRPr="003F7F6C" w:rsidRDefault="002B04EB" w:rsidP="00B851B7">
            <w:r w:rsidRPr="003F7F6C">
              <w:rPr>
                <w:rFonts w:cs="Calibri"/>
                <w:sz w:val="16"/>
                <w:szCs w:val="16"/>
              </w:rPr>
              <w:t>X</w:t>
            </w:r>
          </w:p>
        </w:tc>
        <w:tc>
          <w:tcPr>
            <w:tcW w:w="428" w:type="dxa"/>
          </w:tcPr>
          <w:p w14:paraId="3857B16D" w14:textId="77777777" w:rsidR="002B04EB" w:rsidRPr="003F7F6C" w:rsidRDefault="002B04EB" w:rsidP="00B851B7">
            <w:r w:rsidRPr="003F7F6C">
              <w:rPr>
                <w:rFonts w:cs="Calibri"/>
                <w:sz w:val="16"/>
                <w:szCs w:val="16"/>
              </w:rPr>
              <w:t>X</w:t>
            </w:r>
          </w:p>
        </w:tc>
        <w:tc>
          <w:tcPr>
            <w:tcW w:w="427" w:type="dxa"/>
          </w:tcPr>
          <w:p w14:paraId="173E7F70" w14:textId="77777777" w:rsidR="002B04EB" w:rsidRPr="003F7F6C" w:rsidRDefault="002B04EB" w:rsidP="00B851B7">
            <w:r w:rsidRPr="003F7F6C">
              <w:rPr>
                <w:rFonts w:cs="Calibri"/>
                <w:sz w:val="16"/>
                <w:szCs w:val="16"/>
              </w:rPr>
              <w:t>X</w:t>
            </w:r>
          </w:p>
        </w:tc>
        <w:tc>
          <w:tcPr>
            <w:tcW w:w="427" w:type="dxa"/>
          </w:tcPr>
          <w:p w14:paraId="53ABA12F" w14:textId="77777777" w:rsidR="002B04EB" w:rsidRPr="003F7F6C" w:rsidRDefault="002B04EB" w:rsidP="00B851B7">
            <w:r w:rsidRPr="003F7F6C">
              <w:rPr>
                <w:rFonts w:cs="Calibri"/>
                <w:sz w:val="16"/>
                <w:szCs w:val="16"/>
              </w:rPr>
              <w:t>X</w:t>
            </w:r>
          </w:p>
        </w:tc>
        <w:tc>
          <w:tcPr>
            <w:tcW w:w="427" w:type="dxa"/>
            <w:gridSpan w:val="2"/>
          </w:tcPr>
          <w:p w14:paraId="7A537C6F" w14:textId="77777777" w:rsidR="002B04EB" w:rsidRPr="003F7F6C" w:rsidRDefault="002B04EB" w:rsidP="00B851B7">
            <w:r w:rsidRPr="003F7F6C">
              <w:rPr>
                <w:rFonts w:cs="Calibri"/>
                <w:sz w:val="16"/>
                <w:szCs w:val="16"/>
              </w:rPr>
              <w:t>X</w:t>
            </w:r>
          </w:p>
        </w:tc>
        <w:tc>
          <w:tcPr>
            <w:tcW w:w="428" w:type="dxa"/>
          </w:tcPr>
          <w:p w14:paraId="6FD9B1E5" w14:textId="77777777" w:rsidR="002B04EB" w:rsidRPr="003F7F6C" w:rsidRDefault="002B04EB" w:rsidP="00B851B7">
            <w:r w:rsidRPr="003F7F6C">
              <w:rPr>
                <w:rFonts w:cs="Calibri"/>
                <w:sz w:val="16"/>
                <w:szCs w:val="16"/>
              </w:rPr>
              <w:t>X</w:t>
            </w:r>
          </w:p>
        </w:tc>
        <w:tc>
          <w:tcPr>
            <w:tcW w:w="428" w:type="dxa"/>
          </w:tcPr>
          <w:p w14:paraId="0D8A9CE6" w14:textId="77777777" w:rsidR="002B04EB" w:rsidRPr="003F7F6C" w:rsidRDefault="002B04EB" w:rsidP="00B851B7">
            <w:r w:rsidRPr="003F7F6C">
              <w:rPr>
                <w:rFonts w:cs="Calibri"/>
                <w:sz w:val="16"/>
                <w:szCs w:val="16"/>
              </w:rPr>
              <w:t>X</w:t>
            </w:r>
          </w:p>
        </w:tc>
        <w:tc>
          <w:tcPr>
            <w:tcW w:w="428" w:type="dxa"/>
          </w:tcPr>
          <w:p w14:paraId="19B1DD07" w14:textId="77777777" w:rsidR="002B04EB" w:rsidRPr="003F7F6C" w:rsidRDefault="002B04EB" w:rsidP="00B851B7">
            <w:r w:rsidRPr="003F7F6C">
              <w:rPr>
                <w:rFonts w:cs="Calibri"/>
                <w:sz w:val="16"/>
                <w:szCs w:val="16"/>
              </w:rPr>
              <w:t>X</w:t>
            </w:r>
          </w:p>
        </w:tc>
        <w:tc>
          <w:tcPr>
            <w:tcW w:w="428" w:type="dxa"/>
            <w:gridSpan w:val="2"/>
          </w:tcPr>
          <w:p w14:paraId="5779153B" w14:textId="77777777" w:rsidR="002B04EB" w:rsidRPr="003F7F6C" w:rsidRDefault="002B04EB" w:rsidP="00B851B7">
            <w:r w:rsidRPr="003F7F6C">
              <w:rPr>
                <w:rFonts w:cs="Calibri"/>
                <w:sz w:val="16"/>
                <w:szCs w:val="16"/>
              </w:rPr>
              <w:t>X</w:t>
            </w:r>
          </w:p>
        </w:tc>
        <w:tc>
          <w:tcPr>
            <w:tcW w:w="428" w:type="dxa"/>
          </w:tcPr>
          <w:p w14:paraId="5B306168" w14:textId="77777777" w:rsidR="002B04EB" w:rsidRPr="003F7F6C" w:rsidRDefault="002B04EB" w:rsidP="00B851B7">
            <w:r w:rsidRPr="003F7F6C">
              <w:rPr>
                <w:rFonts w:cs="Calibri"/>
                <w:sz w:val="16"/>
                <w:szCs w:val="16"/>
              </w:rPr>
              <w:t>X</w:t>
            </w:r>
          </w:p>
        </w:tc>
        <w:tc>
          <w:tcPr>
            <w:tcW w:w="428" w:type="dxa"/>
          </w:tcPr>
          <w:p w14:paraId="6A15BEFA" w14:textId="77777777" w:rsidR="002B04EB" w:rsidRPr="003F7F6C" w:rsidRDefault="002B04EB" w:rsidP="00B851B7">
            <w:r w:rsidRPr="003F7F6C">
              <w:rPr>
                <w:rFonts w:cs="Calibri"/>
                <w:sz w:val="16"/>
                <w:szCs w:val="16"/>
              </w:rPr>
              <w:t>X</w:t>
            </w:r>
          </w:p>
        </w:tc>
        <w:tc>
          <w:tcPr>
            <w:tcW w:w="428" w:type="dxa"/>
          </w:tcPr>
          <w:p w14:paraId="5F4C61BF" w14:textId="77777777" w:rsidR="002B04EB" w:rsidRPr="003F7F6C" w:rsidRDefault="002B04EB" w:rsidP="00B851B7">
            <w:r w:rsidRPr="003F7F6C">
              <w:rPr>
                <w:rFonts w:cs="Calibri"/>
                <w:sz w:val="16"/>
                <w:szCs w:val="16"/>
              </w:rPr>
              <w:t>X</w:t>
            </w:r>
          </w:p>
        </w:tc>
        <w:tc>
          <w:tcPr>
            <w:tcW w:w="428" w:type="dxa"/>
            <w:gridSpan w:val="2"/>
          </w:tcPr>
          <w:p w14:paraId="104ECFEE" w14:textId="77777777" w:rsidR="002B04EB" w:rsidRPr="003F7F6C" w:rsidRDefault="002B04EB" w:rsidP="00B851B7">
            <w:r w:rsidRPr="003F7F6C">
              <w:rPr>
                <w:rFonts w:cs="Calibri"/>
                <w:sz w:val="16"/>
                <w:szCs w:val="16"/>
              </w:rPr>
              <w:t>X</w:t>
            </w:r>
          </w:p>
        </w:tc>
        <w:tc>
          <w:tcPr>
            <w:tcW w:w="428" w:type="dxa"/>
          </w:tcPr>
          <w:p w14:paraId="3A8B9462" w14:textId="77777777" w:rsidR="002B04EB" w:rsidRPr="003F7F6C" w:rsidRDefault="002B04EB" w:rsidP="00B851B7">
            <w:r w:rsidRPr="003F7F6C">
              <w:rPr>
                <w:rFonts w:cs="Calibri"/>
                <w:sz w:val="16"/>
                <w:szCs w:val="16"/>
              </w:rPr>
              <w:t>X</w:t>
            </w:r>
          </w:p>
        </w:tc>
        <w:tc>
          <w:tcPr>
            <w:tcW w:w="428" w:type="dxa"/>
          </w:tcPr>
          <w:p w14:paraId="17C852EA" w14:textId="77777777" w:rsidR="002B04EB" w:rsidRPr="003F7F6C" w:rsidRDefault="002B04EB" w:rsidP="00B851B7">
            <w:r w:rsidRPr="003F7F6C">
              <w:rPr>
                <w:rFonts w:cs="Calibri"/>
                <w:sz w:val="16"/>
                <w:szCs w:val="16"/>
              </w:rPr>
              <w:t>X</w:t>
            </w:r>
          </w:p>
        </w:tc>
        <w:tc>
          <w:tcPr>
            <w:tcW w:w="428" w:type="dxa"/>
          </w:tcPr>
          <w:p w14:paraId="7B219047" w14:textId="77777777" w:rsidR="002B04EB" w:rsidRPr="003F7F6C" w:rsidRDefault="002B04EB" w:rsidP="00B851B7">
            <w:r w:rsidRPr="003F7F6C">
              <w:rPr>
                <w:rFonts w:cs="Calibri"/>
                <w:sz w:val="16"/>
                <w:szCs w:val="16"/>
              </w:rPr>
              <w:t>X</w:t>
            </w:r>
          </w:p>
        </w:tc>
        <w:tc>
          <w:tcPr>
            <w:tcW w:w="428" w:type="dxa"/>
            <w:gridSpan w:val="2"/>
          </w:tcPr>
          <w:p w14:paraId="51A8F99D" w14:textId="77777777" w:rsidR="002B04EB" w:rsidRPr="003F7F6C" w:rsidRDefault="002B04EB" w:rsidP="00B851B7">
            <w:r w:rsidRPr="003F7F6C">
              <w:rPr>
                <w:rFonts w:cs="Calibri"/>
                <w:sz w:val="16"/>
                <w:szCs w:val="16"/>
              </w:rPr>
              <w:t>X</w:t>
            </w:r>
          </w:p>
        </w:tc>
        <w:tc>
          <w:tcPr>
            <w:tcW w:w="428" w:type="dxa"/>
          </w:tcPr>
          <w:p w14:paraId="5A7CE5C2" w14:textId="77777777" w:rsidR="002B04EB" w:rsidRPr="003F7F6C" w:rsidRDefault="002B04EB" w:rsidP="00B851B7">
            <w:r w:rsidRPr="003F7F6C">
              <w:rPr>
                <w:rFonts w:cs="Calibri"/>
                <w:sz w:val="16"/>
                <w:szCs w:val="16"/>
              </w:rPr>
              <w:t>X</w:t>
            </w:r>
          </w:p>
        </w:tc>
        <w:tc>
          <w:tcPr>
            <w:tcW w:w="428" w:type="dxa"/>
          </w:tcPr>
          <w:p w14:paraId="048728A2" w14:textId="77777777" w:rsidR="002B04EB" w:rsidRPr="003F7F6C" w:rsidRDefault="002B04EB" w:rsidP="00B851B7">
            <w:r w:rsidRPr="003F7F6C">
              <w:rPr>
                <w:rFonts w:cs="Calibri"/>
                <w:sz w:val="16"/>
                <w:szCs w:val="16"/>
              </w:rPr>
              <w:t>X</w:t>
            </w:r>
          </w:p>
        </w:tc>
        <w:tc>
          <w:tcPr>
            <w:tcW w:w="428" w:type="dxa"/>
          </w:tcPr>
          <w:p w14:paraId="502E8A92" w14:textId="77777777" w:rsidR="002B04EB" w:rsidRPr="003F7F6C" w:rsidRDefault="002B04EB" w:rsidP="00B851B7">
            <w:r w:rsidRPr="003F7F6C">
              <w:rPr>
                <w:rFonts w:cs="Calibri"/>
                <w:sz w:val="16"/>
                <w:szCs w:val="16"/>
              </w:rPr>
              <w:t>X</w:t>
            </w:r>
          </w:p>
        </w:tc>
        <w:tc>
          <w:tcPr>
            <w:tcW w:w="428" w:type="dxa"/>
          </w:tcPr>
          <w:p w14:paraId="2486D3F7" w14:textId="77777777" w:rsidR="002B04EB" w:rsidRPr="003F7F6C" w:rsidRDefault="002B04EB" w:rsidP="00B851B7">
            <w:r w:rsidRPr="003F7F6C">
              <w:rPr>
                <w:rFonts w:cs="Calibri"/>
                <w:sz w:val="16"/>
                <w:szCs w:val="16"/>
              </w:rPr>
              <w:t>X</w:t>
            </w:r>
          </w:p>
        </w:tc>
      </w:tr>
      <w:tr w:rsidR="002B04EB" w:rsidRPr="003F7F6C" w14:paraId="0FB61ACF" w14:textId="77777777" w:rsidTr="00B851B7">
        <w:tc>
          <w:tcPr>
            <w:tcW w:w="1668" w:type="dxa"/>
          </w:tcPr>
          <w:p w14:paraId="02EDDD8D" w14:textId="77777777" w:rsidR="002B04EB" w:rsidRPr="003F7F6C" w:rsidRDefault="002B04EB" w:rsidP="00E91275">
            <w:pPr>
              <w:pStyle w:val="ListParagraph"/>
              <w:numPr>
                <w:ilvl w:val="0"/>
                <w:numId w:val="29"/>
              </w:numPr>
              <w:ind w:left="174" w:hanging="174"/>
              <w:jc w:val="left"/>
              <w:rPr>
                <w:rFonts w:cs="Calibri"/>
                <w:sz w:val="16"/>
                <w:szCs w:val="16"/>
              </w:rPr>
            </w:pPr>
            <w:r w:rsidRPr="003F7F6C">
              <w:rPr>
                <w:rFonts w:cs="Calibri"/>
                <w:sz w:val="16"/>
                <w:szCs w:val="16"/>
              </w:rPr>
              <w:t>Promote regional activities and products</w:t>
            </w:r>
          </w:p>
        </w:tc>
        <w:tc>
          <w:tcPr>
            <w:tcW w:w="1057" w:type="dxa"/>
          </w:tcPr>
          <w:p w14:paraId="7A590BDD" w14:textId="77777777" w:rsidR="002B04EB" w:rsidRPr="003F7F6C" w:rsidRDefault="002B04EB" w:rsidP="00B851B7">
            <w:r w:rsidRPr="003F7F6C">
              <w:rPr>
                <w:rFonts w:cs="Calibri"/>
                <w:sz w:val="16"/>
                <w:szCs w:val="16"/>
              </w:rPr>
              <w:t>Ministry of Environment</w:t>
            </w:r>
          </w:p>
        </w:tc>
        <w:tc>
          <w:tcPr>
            <w:tcW w:w="428" w:type="dxa"/>
          </w:tcPr>
          <w:p w14:paraId="45290C7B" w14:textId="77777777" w:rsidR="002B04EB" w:rsidRPr="003F7F6C" w:rsidRDefault="002B04EB" w:rsidP="00B851B7"/>
        </w:tc>
        <w:tc>
          <w:tcPr>
            <w:tcW w:w="444" w:type="dxa"/>
          </w:tcPr>
          <w:p w14:paraId="52D0AA84" w14:textId="77777777" w:rsidR="002B04EB" w:rsidRPr="003F7F6C" w:rsidRDefault="002B04EB" w:rsidP="00B851B7">
            <w:r w:rsidRPr="003F7F6C">
              <w:rPr>
                <w:rFonts w:cs="Calibri"/>
                <w:sz w:val="16"/>
                <w:szCs w:val="16"/>
              </w:rPr>
              <w:t>X</w:t>
            </w:r>
          </w:p>
        </w:tc>
        <w:tc>
          <w:tcPr>
            <w:tcW w:w="428" w:type="dxa"/>
          </w:tcPr>
          <w:p w14:paraId="2A2A7002" w14:textId="77777777" w:rsidR="002B04EB" w:rsidRPr="003F7F6C" w:rsidRDefault="002B04EB" w:rsidP="00B851B7">
            <w:r w:rsidRPr="003F7F6C">
              <w:rPr>
                <w:rFonts w:cs="Calibri"/>
                <w:sz w:val="16"/>
                <w:szCs w:val="16"/>
              </w:rPr>
              <w:t>X</w:t>
            </w:r>
          </w:p>
        </w:tc>
        <w:tc>
          <w:tcPr>
            <w:tcW w:w="428" w:type="dxa"/>
            <w:gridSpan w:val="2"/>
          </w:tcPr>
          <w:p w14:paraId="3917BF57" w14:textId="77777777" w:rsidR="002B04EB" w:rsidRPr="003F7F6C" w:rsidRDefault="002B04EB" w:rsidP="00B851B7">
            <w:r w:rsidRPr="003F7F6C">
              <w:rPr>
                <w:rFonts w:cs="Calibri"/>
                <w:sz w:val="16"/>
                <w:szCs w:val="16"/>
              </w:rPr>
              <w:t>X</w:t>
            </w:r>
          </w:p>
        </w:tc>
        <w:tc>
          <w:tcPr>
            <w:tcW w:w="428" w:type="dxa"/>
          </w:tcPr>
          <w:p w14:paraId="5F143270" w14:textId="77777777" w:rsidR="002B04EB" w:rsidRPr="003F7F6C" w:rsidRDefault="002B04EB" w:rsidP="00B851B7">
            <w:r w:rsidRPr="003F7F6C">
              <w:rPr>
                <w:rFonts w:cs="Calibri"/>
                <w:sz w:val="16"/>
                <w:szCs w:val="16"/>
              </w:rPr>
              <w:t>X</w:t>
            </w:r>
          </w:p>
        </w:tc>
        <w:tc>
          <w:tcPr>
            <w:tcW w:w="427" w:type="dxa"/>
          </w:tcPr>
          <w:p w14:paraId="24DFD79E" w14:textId="77777777" w:rsidR="002B04EB" w:rsidRPr="003F7F6C" w:rsidRDefault="002B04EB" w:rsidP="00B851B7">
            <w:r w:rsidRPr="003F7F6C">
              <w:rPr>
                <w:rFonts w:cs="Calibri"/>
                <w:sz w:val="16"/>
                <w:szCs w:val="16"/>
              </w:rPr>
              <w:t>X</w:t>
            </w:r>
          </w:p>
        </w:tc>
        <w:tc>
          <w:tcPr>
            <w:tcW w:w="427" w:type="dxa"/>
          </w:tcPr>
          <w:p w14:paraId="3A5F9593" w14:textId="77777777" w:rsidR="002B04EB" w:rsidRPr="003F7F6C" w:rsidRDefault="002B04EB" w:rsidP="00B851B7">
            <w:r w:rsidRPr="003F7F6C">
              <w:rPr>
                <w:rFonts w:cs="Calibri"/>
                <w:sz w:val="16"/>
                <w:szCs w:val="16"/>
              </w:rPr>
              <w:t>X</w:t>
            </w:r>
          </w:p>
        </w:tc>
        <w:tc>
          <w:tcPr>
            <w:tcW w:w="427" w:type="dxa"/>
            <w:gridSpan w:val="2"/>
          </w:tcPr>
          <w:p w14:paraId="7FFA05AF" w14:textId="77777777" w:rsidR="002B04EB" w:rsidRPr="003F7F6C" w:rsidRDefault="002B04EB" w:rsidP="00B851B7">
            <w:r w:rsidRPr="003F7F6C">
              <w:rPr>
                <w:rFonts w:cs="Calibri"/>
                <w:sz w:val="16"/>
                <w:szCs w:val="16"/>
              </w:rPr>
              <w:t>X</w:t>
            </w:r>
          </w:p>
        </w:tc>
        <w:tc>
          <w:tcPr>
            <w:tcW w:w="428" w:type="dxa"/>
          </w:tcPr>
          <w:p w14:paraId="35B9103F" w14:textId="77777777" w:rsidR="002B04EB" w:rsidRPr="003F7F6C" w:rsidRDefault="002B04EB" w:rsidP="00B851B7">
            <w:r w:rsidRPr="003F7F6C">
              <w:rPr>
                <w:rFonts w:cs="Calibri"/>
                <w:sz w:val="16"/>
                <w:szCs w:val="16"/>
              </w:rPr>
              <w:t>X</w:t>
            </w:r>
          </w:p>
        </w:tc>
        <w:tc>
          <w:tcPr>
            <w:tcW w:w="428" w:type="dxa"/>
          </w:tcPr>
          <w:p w14:paraId="17B11C87" w14:textId="77777777" w:rsidR="002B04EB" w:rsidRPr="003F7F6C" w:rsidRDefault="002B04EB" w:rsidP="00B851B7">
            <w:r w:rsidRPr="003F7F6C">
              <w:rPr>
                <w:rFonts w:cs="Calibri"/>
                <w:sz w:val="16"/>
                <w:szCs w:val="16"/>
              </w:rPr>
              <w:t>X</w:t>
            </w:r>
          </w:p>
        </w:tc>
        <w:tc>
          <w:tcPr>
            <w:tcW w:w="428" w:type="dxa"/>
          </w:tcPr>
          <w:p w14:paraId="00A02024" w14:textId="77777777" w:rsidR="002B04EB" w:rsidRPr="003F7F6C" w:rsidRDefault="002B04EB" w:rsidP="00B851B7">
            <w:r w:rsidRPr="003F7F6C">
              <w:rPr>
                <w:rFonts w:cs="Calibri"/>
                <w:sz w:val="16"/>
                <w:szCs w:val="16"/>
              </w:rPr>
              <w:t>X</w:t>
            </w:r>
          </w:p>
        </w:tc>
        <w:tc>
          <w:tcPr>
            <w:tcW w:w="428" w:type="dxa"/>
            <w:gridSpan w:val="2"/>
          </w:tcPr>
          <w:p w14:paraId="19FDC84B" w14:textId="77777777" w:rsidR="002B04EB" w:rsidRPr="003F7F6C" w:rsidRDefault="002B04EB" w:rsidP="00B851B7">
            <w:r w:rsidRPr="003F7F6C">
              <w:rPr>
                <w:rFonts w:cs="Calibri"/>
                <w:sz w:val="16"/>
                <w:szCs w:val="16"/>
              </w:rPr>
              <w:t>X</w:t>
            </w:r>
          </w:p>
        </w:tc>
        <w:tc>
          <w:tcPr>
            <w:tcW w:w="428" w:type="dxa"/>
          </w:tcPr>
          <w:p w14:paraId="37F9961A" w14:textId="77777777" w:rsidR="002B04EB" w:rsidRPr="003F7F6C" w:rsidRDefault="002B04EB" w:rsidP="00B851B7">
            <w:r w:rsidRPr="003F7F6C">
              <w:rPr>
                <w:rFonts w:cs="Calibri"/>
                <w:sz w:val="16"/>
                <w:szCs w:val="16"/>
              </w:rPr>
              <w:t>X</w:t>
            </w:r>
          </w:p>
        </w:tc>
        <w:tc>
          <w:tcPr>
            <w:tcW w:w="428" w:type="dxa"/>
          </w:tcPr>
          <w:p w14:paraId="7D0032E7" w14:textId="77777777" w:rsidR="002B04EB" w:rsidRPr="003F7F6C" w:rsidRDefault="002B04EB" w:rsidP="00B851B7">
            <w:r w:rsidRPr="003F7F6C">
              <w:rPr>
                <w:rFonts w:cs="Calibri"/>
                <w:sz w:val="16"/>
                <w:szCs w:val="16"/>
              </w:rPr>
              <w:t>X</w:t>
            </w:r>
          </w:p>
        </w:tc>
        <w:tc>
          <w:tcPr>
            <w:tcW w:w="428" w:type="dxa"/>
          </w:tcPr>
          <w:p w14:paraId="0BADCD25" w14:textId="77777777" w:rsidR="002B04EB" w:rsidRPr="003F7F6C" w:rsidRDefault="002B04EB" w:rsidP="00B851B7">
            <w:r w:rsidRPr="003F7F6C">
              <w:rPr>
                <w:rFonts w:cs="Calibri"/>
                <w:sz w:val="16"/>
                <w:szCs w:val="16"/>
              </w:rPr>
              <w:t>X</w:t>
            </w:r>
          </w:p>
        </w:tc>
        <w:tc>
          <w:tcPr>
            <w:tcW w:w="428" w:type="dxa"/>
            <w:gridSpan w:val="2"/>
          </w:tcPr>
          <w:p w14:paraId="25A3B66C" w14:textId="77777777" w:rsidR="002B04EB" w:rsidRPr="003F7F6C" w:rsidRDefault="002B04EB" w:rsidP="00B851B7">
            <w:r w:rsidRPr="003F7F6C">
              <w:rPr>
                <w:rFonts w:cs="Calibri"/>
                <w:sz w:val="16"/>
                <w:szCs w:val="16"/>
              </w:rPr>
              <w:t>X</w:t>
            </w:r>
          </w:p>
        </w:tc>
        <w:tc>
          <w:tcPr>
            <w:tcW w:w="428" w:type="dxa"/>
          </w:tcPr>
          <w:p w14:paraId="149A06A2" w14:textId="77777777" w:rsidR="002B04EB" w:rsidRPr="003F7F6C" w:rsidRDefault="002B04EB" w:rsidP="00B851B7">
            <w:r w:rsidRPr="003F7F6C">
              <w:rPr>
                <w:rFonts w:cs="Calibri"/>
                <w:sz w:val="16"/>
                <w:szCs w:val="16"/>
              </w:rPr>
              <w:t>X</w:t>
            </w:r>
          </w:p>
        </w:tc>
        <w:tc>
          <w:tcPr>
            <w:tcW w:w="428" w:type="dxa"/>
          </w:tcPr>
          <w:p w14:paraId="73FD2D92" w14:textId="77777777" w:rsidR="002B04EB" w:rsidRPr="003F7F6C" w:rsidRDefault="002B04EB" w:rsidP="00B851B7">
            <w:r w:rsidRPr="003F7F6C">
              <w:rPr>
                <w:rFonts w:cs="Calibri"/>
                <w:sz w:val="16"/>
                <w:szCs w:val="16"/>
              </w:rPr>
              <w:t>X</w:t>
            </w:r>
          </w:p>
        </w:tc>
        <w:tc>
          <w:tcPr>
            <w:tcW w:w="428" w:type="dxa"/>
          </w:tcPr>
          <w:p w14:paraId="52CA2722" w14:textId="77777777" w:rsidR="002B04EB" w:rsidRPr="003F7F6C" w:rsidRDefault="002B04EB" w:rsidP="00B851B7">
            <w:r w:rsidRPr="003F7F6C">
              <w:rPr>
                <w:rFonts w:cs="Calibri"/>
                <w:sz w:val="16"/>
                <w:szCs w:val="16"/>
              </w:rPr>
              <w:t>X</w:t>
            </w:r>
          </w:p>
        </w:tc>
        <w:tc>
          <w:tcPr>
            <w:tcW w:w="428" w:type="dxa"/>
            <w:gridSpan w:val="2"/>
          </w:tcPr>
          <w:p w14:paraId="304C2F2D" w14:textId="77777777" w:rsidR="002B04EB" w:rsidRPr="003F7F6C" w:rsidRDefault="002B04EB" w:rsidP="00B851B7">
            <w:r w:rsidRPr="003F7F6C">
              <w:rPr>
                <w:rFonts w:cs="Calibri"/>
                <w:sz w:val="16"/>
                <w:szCs w:val="16"/>
              </w:rPr>
              <w:t>X</w:t>
            </w:r>
          </w:p>
        </w:tc>
        <w:tc>
          <w:tcPr>
            <w:tcW w:w="428" w:type="dxa"/>
          </w:tcPr>
          <w:p w14:paraId="75BA936E" w14:textId="77777777" w:rsidR="002B04EB" w:rsidRPr="003F7F6C" w:rsidRDefault="002B04EB" w:rsidP="00B851B7">
            <w:r w:rsidRPr="003F7F6C">
              <w:rPr>
                <w:rFonts w:cs="Calibri"/>
                <w:sz w:val="16"/>
                <w:szCs w:val="16"/>
              </w:rPr>
              <w:t>X</w:t>
            </w:r>
          </w:p>
        </w:tc>
        <w:tc>
          <w:tcPr>
            <w:tcW w:w="428" w:type="dxa"/>
          </w:tcPr>
          <w:p w14:paraId="11B6EB1C" w14:textId="77777777" w:rsidR="002B04EB" w:rsidRPr="003F7F6C" w:rsidRDefault="002B04EB" w:rsidP="00B851B7">
            <w:r w:rsidRPr="003F7F6C">
              <w:rPr>
                <w:rFonts w:cs="Calibri"/>
                <w:sz w:val="16"/>
                <w:szCs w:val="16"/>
              </w:rPr>
              <w:t>X</w:t>
            </w:r>
          </w:p>
        </w:tc>
        <w:tc>
          <w:tcPr>
            <w:tcW w:w="428" w:type="dxa"/>
          </w:tcPr>
          <w:p w14:paraId="3166464C" w14:textId="77777777" w:rsidR="002B04EB" w:rsidRPr="003F7F6C" w:rsidRDefault="002B04EB" w:rsidP="00B851B7">
            <w:r w:rsidRPr="003F7F6C">
              <w:rPr>
                <w:rFonts w:cs="Calibri"/>
                <w:sz w:val="16"/>
                <w:szCs w:val="16"/>
              </w:rPr>
              <w:t>X</w:t>
            </w:r>
          </w:p>
        </w:tc>
        <w:tc>
          <w:tcPr>
            <w:tcW w:w="428" w:type="dxa"/>
          </w:tcPr>
          <w:p w14:paraId="3BA3A322" w14:textId="77777777" w:rsidR="002B04EB" w:rsidRPr="003F7F6C" w:rsidRDefault="002B04EB" w:rsidP="00B851B7">
            <w:r w:rsidRPr="003F7F6C">
              <w:rPr>
                <w:rFonts w:cs="Calibri"/>
                <w:sz w:val="16"/>
                <w:szCs w:val="16"/>
              </w:rPr>
              <w:t>X</w:t>
            </w:r>
          </w:p>
        </w:tc>
      </w:tr>
      <w:tr w:rsidR="002B04EB" w:rsidRPr="003F7F6C" w14:paraId="22337AD7" w14:textId="77777777" w:rsidTr="00B851B7">
        <w:tc>
          <w:tcPr>
            <w:tcW w:w="1668" w:type="dxa"/>
          </w:tcPr>
          <w:p w14:paraId="582F274D" w14:textId="77777777" w:rsidR="002B04EB" w:rsidRPr="003F7F6C" w:rsidRDefault="002B04EB" w:rsidP="00E91275">
            <w:pPr>
              <w:pStyle w:val="ListParagraph"/>
              <w:numPr>
                <w:ilvl w:val="0"/>
                <w:numId w:val="29"/>
              </w:numPr>
              <w:ind w:left="174" w:hanging="174"/>
              <w:rPr>
                <w:rFonts w:cs="Calibri"/>
                <w:sz w:val="16"/>
                <w:szCs w:val="16"/>
              </w:rPr>
            </w:pPr>
            <w:r w:rsidRPr="003F7F6C">
              <w:rPr>
                <w:rFonts w:cs="Calibri"/>
                <w:sz w:val="16"/>
                <w:szCs w:val="16"/>
              </w:rPr>
              <w:t>Disseminate sustainable tourism practices</w:t>
            </w:r>
          </w:p>
        </w:tc>
        <w:tc>
          <w:tcPr>
            <w:tcW w:w="1057" w:type="dxa"/>
          </w:tcPr>
          <w:p w14:paraId="2403A657" w14:textId="77777777" w:rsidR="002B04EB" w:rsidRPr="003F7F6C" w:rsidRDefault="002B04EB" w:rsidP="00B851B7">
            <w:r w:rsidRPr="003F7F6C">
              <w:rPr>
                <w:rFonts w:cs="Calibri"/>
                <w:sz w:val="16"/>
                <w:szCs w:val="16"/>
              </w:rPr>
              <w:t>Ministry of Environment</w:t>
            </w:r>
          </w:p>
        </w:tc>
        <w:tc>
          <w:tcPr>
            <w:tcW w:w="428" w:type="dxa"/>
          </w:tcPr>
          <w:p w14:paraId="3B112AA0" w14:textId="77777777" w:rsidR="002B04EB" w:rsidRPr="003F7F6C" w:rsidRDefault="002B04EB" w:rsidP="00B851B7"/>
        </w:tc>
        <w:tc>
          <w:tcPr>
            <w:tcW w:w="444" w:type="dxa"/>
          </w:tcPr>
          <w:p w14:paraId="1C9D1FDB" w14:textId="77777777" w:rsidR="002B04EB" w:rsidRPr="003F7F6C" w:rsidRDefault="002B04EB" w:rsidP="00B851B7">
            <w:r w:rsidRPr="003F7F6C">
              <w:rPr>
                <w:rFonts w:cs="Calibri"/>
                <w:sz w:val="16"/>
                <w:szCs w:val="16"/>
              </w:rPr>
              <w:t>X</w:t>
            </w:r>
          </w:p>
        </w:tc>
        <w:tc>
          <w:tcPr>
            <w:tcW w:w="428" w:type="dxa"/>
          </w:tcPr>
          <w:p w14:paraId="52DBE555" w14:textId="77777777" w:rsidR="002B04EB" w:rsidRPr="003F7F6C" w:rsidRDefault="002B04EB" w:rsidP="00B851B7">
            <w:r w:rsidRPr="003F7F6C">
              <w:rPr>
                <w:rFonts w:cs="Calibri"/>
                <w:sz w:val="16"/>
                <w:szCs w:val="16"/>
              </w:rPr>
              <w:t>X</w:t>
            </w:r>
          </w:p>
        </w:tc>
        <w:tc>
          <w:tcPr>
            <w:tcW w:w="428" w:type="dxa"/>
            <w:gridSpan w:val="2"/>
          </w:tcPr>
          <w:p w14:paraId="58F9C060" w14:textId="77777777" w:rsidR="002B04EB" w:rsidRPr="003F7F6C" w:rsidRDefault="002B04EB" w:rsidP="00B851B7">
            <w:r w:rsidRPr="003F7F6C">
              <w:rPr>
                <w:rFonts w:cs="Calibri"/>
                <w:sz w:val="16"/>
                <w:szCs w:val="16"/>
              </w:rPr>
              <w:t>X</w:t>
            </w:r>
          </w:p>
        </w:tc>
        <w:tc>
          <w:tcPr>
            <w:tcW w:w="428" w:type="dxa"/>
          </w:tcPr>
          <w:p w14:paraId="0055FC32" w14:textId="77777777" w:rsidR="002B04EB" w:rsidRPr="003F7F6C" w:rsidRDefault="002B04EB" w:rsidP="00B851B7">
            <w:r w:rsidRPr="003F7F6C">
              <w:rPr>
                <w:rFonts w:cs="Calibri"/>
                <w:sz w:val="16"/>
                <w:szCs w:val="16"/>
              </w:rPr>
              <w:t>X</w:t>
            </w:r>
          </w:p>
        </w:tc>
        <w:tc>
          <w:tcPr>
            <w:tcW w:w="427" w:type="dxa"/>
          </w:tcPr>
          <w:p w14:paraId="7DB8AB0E" w14:textId="77777777" w:rsidR="002B04EB" w:rsidRPr="003F7F6C" w:rsidRDefault="002B04EB" w:rsidP="00B851B7">
            <w:r w:rsidRPr="003F7F6C">
              <w:rPr>
                <w:rFonts w:cs="Calibri"/>
                <w:sz w:val="16"/>
                <w:szCs w:val="16"/>
              </w:rPr>
              <w:t>X</w:t>
            </w:r>
          </w:p>
        </w:tc>
        <w:tc>
          <w:tcPr>
            <w:tcW w:w="427" w:type="dxa"/>
          </w:tcPr>
          <w:p w14:paraId="30872E53" w14:textId="77777777" w:rsidR="002B04EB" w:rsidRPr="003F7F6C" w:rsidRDefault="002B04EB" w:rsidP="00B851B7">
            <w:r w:rsidRPr="003F7F6C">
              <w:rPr>
                <w:rFonts w:cs="Calibri"/>
                <w:sz w:val="16"/>
                <w:szCs w:val="16"/>
              </w:rPr>
              <w:t>X</w:t>
            </w:r>
          </w:p>
        </w:tc>
        <w:tc>
          <w:tcPr>
            <w:tcW w:w="427" w:type="dxa"/>
            <w:gridSpan w:val="2"/>
          </w:tcPr>
          <w:p w14:paraId="4D090024" w14:textId="77777777" w:rsidR="002B04EB" w:rsidRPr="003F7F6C" w:rsidRDefault="002B04EB" w:rsidP="00B851B7">
            <w:r w:rsidRPr="003F7F6C">
              <w:rPr>
                <w:rFonts w:cs="Calibri"/>
                <w:sz w:val="16"/>
                <w:szCs w:val="16"/>
              </w:rPr>
              <w:t>X</w:t>
            </w:r>
          </w:p>
        </w:tc>
        <w:tc>
          <w:tcPr>
            <w:tcW w:w="428" w:type="dxa"/>
          </w:tcPr>
          <w:p w14:paraId="6D5744AF" w14:textId="77777777" w:rsidR="002B04EB" w:rsidRPr="003F7F6C" w:rsidRDefault="002B04EB" w:rsidP="00B851B7">
            <w:r w:rsidRPr="003F7F6C">
              <w:rPr>
                <w:rFonts w:cs="Calibri"/>
                <w:sz w:val="16"/>
                <w:szCs w:val="16"/>
              </w:rPr>
              <w:t>X</w:t>
            </w:r>
          </w:p>
        </w:tc>
        <w:tc>
          <w:tcPr>
            <w:tcW w:w="428" w:type="dxa"/>
          </w:tcPr>
          <w:p w14:paraId="47F2E516" w14:textId="77777777" w:rsidR="002B04EB" w:rsidRPr="003F7F6C" w:rsidRDefault="002B04EB" w:rsidP="00B851B7">
            <w:r w:rsidRPr="003F7F6C">
              <w:rPr>
                <w:rFonts w:cs="Calibri"/>
                <w:sz w:val="16"/>
                <w:szCs w:val="16"/>
              </w:rPr>
              <w:t>X</w:t>
            </w:r>
          </w:p>
        </w:tc>
        <w:tc>
          <w:tcPr>
            <w:tcW w:w="428" w:type="dxa"/>
          </w:tcPr>
          <w:p w14:paraId="4C4B4C0B" w14:textId="77777777" w:rsidR="002B04EB" w:rsidRPr="003F7F6C" w:rsidRDefault="002B04EB" w:rsidP="00B851B7">
            <w:r w:rsidRPr="003F7F6C">
              <w:rPr>
                <w:rFonts w:cs="Calibri"/>
                <w:sz w:val="16"/>
                <w:szCs w:val="16"/>
              </w:rPr>
              <w:t>X</w:t>
            </w:r>
          </w:p>
        </w:tc>
        <w:tc>
          <w:tcPr>
            <w:tcW w:w="428" w:type="dxa"/>
            <w:gridSpan w:val="2"/>
          </w:tcPr>
          <w:p w14:paraId="7FB10DAC" w14:textId="77777777" w:rsidR="002B04EB" w:rsidRPr="003F7F6C" w:rsidRDefault="002B04EB" w:rsidP="00B851B7">
            <w:r w:rsidRPr="003F7F6C">
              <w:rPr>
                <w:rFonts w:cs="Calibri"/>
                <w:sz w:val="16"/>
                <w:szCs w:val="16"/>
              </w:rPr>
              <w:t>X</w:t>
            </w:r>
          </w:p>
        </w:tc>
        <w:tc>
          <w:tcPr>
            <w:tcW w:w="428" w:type="dxa"/>
          </w:tcPr>
          <w:p w14:paraId="46666ADB" w14:textId="77777777" w:rsidR="002B04EB" w:rsidRPr="003F7F6C" w:rsidRDefault="002B04EB" w:rsidP="00B851B7">
            <w:r w:rsidRPr="003F7F6C">
              <w:rPr>
                <w:rFonts w:cs="Calibri"/>
                <w:sz w:val="16"/>
                <w:szCs w:val="16"/>
              </w:rPr>
              <w:t>X</w:t>
            </w:r>
          </w:p>
        </w:tc>
        <w:tc>
          <w:tcPr>
            <w:tcW w:w="428" w:type="dxa"/>
          </w:tcPr>
          <w:p w14:paraId="621E38A3" w14:textId="77777777" w:rsidR="002B04EB" w:rsidRPr="003F7F6C" w:rsidRDefault="002B04EB" w:rsidP="00B851B7">
            <w:r w:rsidRPr="003F7F6C">
              <w:rPr>
                <w:rFonts w:cs="Calibri"/>
                <w:sz w:val="16"/>
                <w:szCs w:val="16"/>
              </w:rPr>
              <w:t>X</w:t>
            </w:r>
          </w:p>
        </w:tc>
        <w:tc>
          <w:tcPr>
            <w:tcW w:w="428" w:type="dxa"/>
          </w:tcPr>
          <w:p w14:paraId="3C6FA054" w14:textId="77777777" w:rsidR="002B04EB" w:rsidRPr="003F7F6C" w:rsidRDefault="002B04EB" w:rsidP="00B851B7">
            <w:r w:rsidRPr="003F7F6C">
              <w:rPr>
                <w:rFonts w:cs="Calibri"/>
                <w:sz w:val="16"/>
                <w:szCs w:val="16"/>
              </w:rPr>
              <w:t>X</w:t>
            </w:r>
          </w:p>
        </w:tc>
        <w:tc>
          <w:tcPr>
            <w:tcW w:w="428" w:type="dxa"/>
            <w:gridSpan w:val="2"/>
          </w:tcPr>
          <w:p w14:paraId="21668B90" w14:textId="77777777" w:rsidR="002B04EB" w:rsidRPr="003F7F6C" w:rsidRDefault="002B04EB" w:rsidP="00B851B7">
            <w:r w:rsidRPr="003F7F6C">
              <w:rPr>
                <w:rFonts w:cs="Calibri"/>
                <w:sz w:val="16"/>
                <w:szCs w:val="16"/>
              </w:rPr>
              <w:t>X</w:t>
            </w:r>
          </w:p>
        </w:tc>
        <w:tc>
          <w:tcPr>
            <w:tcW w:w="428" w:type="dxa"/>
          </w:tcPr>
          <w:p w14:paraId="7604CD01" w14:textId="77777777" w:rsidR="002B04EB" w:rsidRPr="003F7F6C" w:rsidRDefault="002B04EB" w:rsidP="00B851B7">
            <w:r w:rsidRPr="003F7F6C">
              <w:rPr>
                <w:rFonts w:cs="Calibri"/>
                <w:sz w:val="16"/>
                <w:szCs w:val="16"/>
              </w:rPr>
              <w:t>X</w:t>
            </w:r>
          </w:p>
        </w:tc>
        <w:tc>
          <w:tcPr>
            <w:tcW w:w="428" w:type="dxa"/>
          </w:tcPr>
          <w:p w14:paraId="31399A52" w14:textId="77777777" w:rsidR="002B04EB" w:rsidRPr="003F7F6C" w:rsidRDefault="002B04EB" w:rsidP="00B851B7">
            <w:r w:rsidRPr="003F7F6C">
              <w:rPr>
                <w:rFonts w:cs="Calibri"/>
                <w:sz w:val="16"/>
                <w:szCs w:val="16"/>
              </w:rPr>
              <w:t>X</w:t>
            </w:r>
          </w:p>
        </w:tc>
        <w:tc>
          <w:tcPr>
            <w:tcW w:w="428" w:type="dxa"/>
          </w:tcPr>
          <w:p w14:paraId="09E2187B" w14:textId="77777777" w:rsidR="002B04EB" w:rsidRPr="003F7F6C" w:rsidRDefault="002B04EB" w:rsidP="00B851B7">
            <w:r w:rsidRPr="003F7F6C">
              <w:rPr>
                <w:rFonts w:cs="Calibri"/>
                <w:sz w:val="16"/>
                <w:szCs w:val="16"/>
              </w:rPr>
              <w:t>X</w:t>
            </w:r>
          </w:p>
        </w:tc>
        <w:tc>
          <w:tcPr>
            <w:tcW w:w="428" w:type="dxa"/>
            <w:gridSpan w:val="2"/>
          </w:tcPr>
          <w:p w14:paraId="41D1CE3F" w14:textId="77777777" w:rsidR="002B04EB" w:rsidRPr="003F7F6C" w:rsidRDefault="002B04EB" w:rsidP="00B851B7">
            <w:r w:rsidRPr="003F7F6C">
              <w:rPr>
                <w:rFonts w:cs="Calibri"/>
                <w:sz w:val="16"/>
                <w:szCs w:val="16"/>
              </w:rPr>
              <w:t>X</w:t>
            </w:r>
          </w:p>
        </w:tc>
        <w:tc>
          <w:tcPr>
            <w:tcW w:w="428" w:type="dxa"/>
          </w:tcPr>
          <w:p w14:paraId="28E21D22" w14:textId="77777777" w:rsidR="002B04EB" w:rsidRPr="003F7F6C" w:rsidRDefault="002B04EB" w:rsidP="00B851B7">
            <w:r w:rsidRPr="003F7F6C">
              <w:rPr>
                <w:rFonts w:cs="Calibri"/>
                <w:sz w:val="16"/>
                <w:szCs w:val="16"/>
              </w:rPr>
              <w:t>X</w:t>
            </w:r>
          </w:p>
        </w:tc>
        <w:tc>
          <w:tcPr>
            <w:tcW w:w="428" w:type="dxa"/>
          </w:tcPr>
          <w:p w14:paraId="05845774" w14:textId="77777777" w:rsidR="002B04EB" w:rsidRPr="003F7F6C" w:rsidRDefault="002B04EB" w:rsidP="00B851B7">
            <w:r w:rsidRPr="003F7F6C">
              <w:rPr>
                <w:rFonts w:cs="Calibri"/>
                <w:sz w:val="16"/>
                <w:szCs w:val="16"/>
              </w:rPr>
              <w:t>X</w:t>
            </w:r>
          </w:p>
        </w:tc>
        <w:tc>
          <w:tcPr>
            <w:tcW w:w="428" w:type="dxa"/>
          </w:tcPr>
          <w:p w14:paraId="411BB629" w14:textId="77777777" w:rsidR="002B04EB" w:rsidRPr="003F7F6C" w:rsidRDefault="002B04EB" w:rsidP="00B851B7">
            <w:r w:rsidRPr="003F7F6C">
              <w:rPr>
                <w:rFonts w:cs="Calibri"/>
                <w:sz w:val="16"/>
                <w:szCs w:val="16"/>
              </w:rPr>
              <w:t>X</w:t>
            </w:r>
          </w:p>
        </w:tc>
        <w:tc>
          <w:tcPr>
            <w:tcW w:w="428" w:type="dxa"/>
          </w:tcPr>
          <w:p w14:paraId="5F282580" w14:textId="77777777" w:rsidR="002B04EB" w:rsidRPr="003F7F6C" w:rsidRDefault="002B04EB" w:rsidP="00B851B7">
            <w:r w:rsidRPr="003F7F6C">
              <w:rPr>
                <w:rFonts w:cs="Calibri"/>
                <w:sz w:val="16"/>
                <w:szCs w:val="16"/>
              </w:rPr>
              <w:t>X</w:t>
            </w:r>
          </w:p>
        </w:tc>
      </w:tr>
      <w:tr w:rsidR="002B04EB" w:rsidRPr="003F7F6C" w14:paraId="60097BDC" w14:textId="77777777" w:rsidTr="00B851B7">
        <w:tc>
          <w:tcPr>
            <w:tcW w:w="1668" w:type="dxa"/>
          </w:tcPr>
          <w:p w14:paraId="2BFC4DB1" w14:textId="77777777" w:rsidR="002B04EB" w:rsidRPr="003F7F6C" w:rsidRDefault="002B04EB" w:rsidP="00B851B7">
            <w:pPr>
              <w:rPr>
                <w:rFonts w:cs="Calibri"/>
                <w:sz w:val="16"/>
                <w:szCs w:val="16"/>
              </w:rPr>
            </w:pPr>
            <w:r w:rsidRPr="003F7F6C">
              <w:rPr>
                <w:rFonts w:cs="Calibri"/>
                <w:sz w:val="16"/>
                <w:szCs w:val="16"/>
              </w:rPr>
              <w:t>2.4.3 BD/forests</w:t>
            </w:r>
          </w:p>
        </w:tc>
        <w:tc>
          <w:tcPr>
            <w:tcW w:w="1057" w:type="dxa"/>
          </w:tcPr>
          <w:p w14:paraId="093D5300" w14:textId="77777777" w:rsidR="002B04EB" w:rsidRPr="003F7F6C" w:rsidRDefault="002B04EB" w:rsidP="00B851B7">
            <w:r w:rsidRPr="003F7F6C">
              <w:rPr>
                <w:rFonts w:cs="Calibri"/>
                <w:sz w:val="16"/>
                <w:szCs w:val="16"/>
              </w:rPr>
              <w:t>Ministry of Environment</w:t>
            </w:r>
          </w:p>
        </w:tc>
        <w:tc>
          <w:tcPr>
            <w:tcW w:w="428" w:type="dxa"/>
          </w:tcPr>
          <w:p w14:paraId="10A5D65C" w14:textId="77777777" w:rsidR="002B04EB" w:rsidRPr="003F7F6C" w:rsidRDefault="002B04EB" w:rsidP="00B851B7"/>
        </w:tc>
        <w:tc>
          <w:tcPr>
            <w:tcW w:w="444" w:type="dxa"/>
          </w:tcPr>
          <w:p w14:paraId="451D331B" w14:textId="77777777" w:rsidR="002B04EB" w:rsidRPr="003F7F6C" w:rsidRDefault="002B04EB" w:rsidP="00B851B7">
            <w:r w:rsidRPr="003F7F6C">
              <w:rPr>
                <w:rFonts w:cs="Calibri"/>
                <w:sz w:val="16"/>
                <w:szCs w:val="16"/>
              </w:rPr>
              <w:t>X</w:t>
            </w:r>
          </w:p>
        </w:tc>
        <w:tc>
          <w:tcPr>
            <w:tcW w:w="428" w:type="dxa"/>
          </w:tcPr>
          <w:p w14:paraId="0C3E68AE" w14:textId="77777777" w:rsidR="002B04EB" w:rsidRPr="003F7F6C" w:rsidRDefault="002B04EB" w:rsidP="00B851B7">
            <w:r w:rsidRPr="003F7F6C">
              <w:rPr>
                <w:rFonts w:cs="Calibri"/>
                <w:sz w:val="16"/>
                <w:szCs w:val="16"/>
              </w:rPr>
              <w:t>X</w:t>
            </w:r>
          </w:p>
        </w:tc>
        <w:tc>
          <w:tcPr>
            <w:tcW w:w="428" w:type="dxa"/>
            <w:gridSpan w:val="2"/>
          </w:tcPr>
          <w:p w14:paraId="514294D4" w14:textId="77777777" w:rsidR="002B04EB" w:rsidRPr="003F7F6C" w:rsidRDefault="002B04EB" w:rsidP="00B851B7">
            <w:r w:rsidRPr="003F7F6C">
              <w:rPr>
                <w:rFonts w:cs="Calibri"/>
                <w:sz w:val="16"/>
                <w:szCs w:val="16"/>
              </w:rPr>
              <w:t>X</w:t>
            </w:r>
          </w:p>
        </w:tc>
        <w:tc>
          <w:tcPr>
            <w:tcW w:w="428" w:type="dxa"/>
          </w:tcPr>
          <w:p w14:paraId="02547D02" w14:textId="77777777" w:rsidR="002B04EB" w:rsidRPr="003F7F6C" w:rsidRDefault="002B04EB" w:rsidP="00B851B7">
            <w:r w:rsidRPr="003F7F6C">
              <w:rPr>
                <w:rFonts w:cs="Calibri"/>
                <w:sz w:val="16"/>
                <w:szCs w:val="16"/>
              </w:rPr>
              <w:t>X</w:t>
            </w:r>
          </w:p>
        </w:tc>
        <w:tc>
          <w:tcPr>
            <w:tcW w:w="427" w:type="dxa"/>
          </w:tcPr>
          <w:p w14:paraId="7E4C7018" w14:textId="77777777" w:rsidR="002B04EB" w:rsidRPr="003F7F6C" w:rsidRDefault="002B04EB" w:rsidP="00B851B7">
            <w:r w:rsidRPr="003F7F6C">
              <w:rPr>
                <w:rFonts w:cs="Calibri"/>
                <w:sz w:val="16"/>
                <w:szCs w:val="16"/>
              </w:rPr>
              <w:t>X</w:t>
            </w:r>
          </w:p>
        </w:tc>
        <w:tc>
          <w:tcPr>
            <w:tcW w:w="427" w:type="dxa"/>
          </w:tcPr>
          <w:p w14:paraId="557535AA" w14:textId="77777777" w:rsidR="002B04EB" w:rsidRPr="003F7F6C" w:rsidRDefault="002B04EB" w:rsidP="00B851B7">
            <w:r w:rsidRPr="003F7F6C">
              <w:rPr>
                <w:rFonts w:cs="Calibri"/>
                <w:sz w:val="16"/>
                <w:szCs w:val="16"/>
              </w:rPr>
              <w:t>X</w:t>
            </w:r>
          </w:p>
        </w:tc>
        <w:tc>
          <w:tcPr>
            <w:tcW w:w="427" w:type="dxa"/>
            <w:gridSpan w:val="2"/>
          </w:tcPr>
          <w:p w14:paraId="0C98AFB9" w14:textId="77777777" w:rsidR="002B04EB" w:rsidRPr="003F7F6C" w:rsidRDefault="002B04EB" w:rsidP="00B851B7">
            <w:r w:rsidRPr="003F7F6C">
              <w:rPr>
                <w:rFonts w:cs="Calibri"/>
                <w:sz w:val="16"/>
                <w:szCs w:val="16"/>
              </w:rPr>
              <w:t>X</w:t>
            </w:r>
          </w:p>
        </w:tc>
        <w:tc>
          <w:tcPr>
            <w:tcW w:w="428" w:type="dxa"/>
          </w:tcPr>
          <w:p w14:paraId="589A1470" w14:textId="77777777" w:rsidR="002B04EB" w:rsidRPr="003F7F6C" w:rsidRDefault="002B04EB" w:rsidP="00B851B7">
            <w:r w:rsidRPr="003F7F6C">
              <w:rPr>
                <w:rFonts w:cs="Calibri"/>
                <w:sz w:val="16"/>
                <w:szCs w:val="16"/>
              </w:rPr>
              <w:t>X</w:t>
            </w:r>
          </w:p>
        </w:tc>
        <w:tc>
          <w:tcPr>
            <w:tcW w:w="428" w:type="dxa"/>
          </w:tcPr>
          <w:p w14:paraId="2A0EEA6D" w14:textId="77777777" w:rsidR="002B04EB" w:rsidRPr="003F7F6C" w:rsidRDefault="002B04EB" w:rsidP="00B851B7">
            <w:r w:rsidRPr="003F7F6C">
              <w:rPr>
                <w:rFonts w:cs="Calibri"/>
                <w:sz w:val="16"/>
                <w:szCs w:val="16"/>
              </w:rPr>
              <w:t>X</w:t>
            </w:r>
          </w:p>
        </w:tc>
        <w:tc>
          <w:tcPr>
            <w:tcW w:w="428" w:type="dxa"/>
          </w:tcPr>
          <w:p w14:paraId="194413FE" w14:textId="77777777" w:rsidR="002B04EB" w:rsidRPr="003F7F6C" w:rsidRDefault="002B04EB" w:rsidP="00B851B7">
            <w:r w:rsidRPr="003F7F6C">
              <w:rPr>
                <w:rFonts w:cs="Calibri"/>
                <w:sz w:val="16"/>
                <w:szCs w:val="16"/>
              </w:rPr>
              <w:t>X</w:t>
            </w:r>
          </w:p>
        </w:tc>
        <w:tc>
          <w:tcPr>
            <w:tcW w:w="428" w:type="dxa"/>
            <w:gridSpan w:val="2"/>
          </w:tcPr>
          <w:p w14:paraId="63BFBA2F" w14:textId="77777777" w:rsidR="002B04EB" w:rsidRPr="003F7F6C" w:rsidRDefault="002B04EB" w:rsidP="00B851B7">
            <w:r w:rsidRPr="003F7F6C">
              <w:rPr>
                <w:rFonts w:cs="Calibri"/>
                <w:sz w:val="16"/>
                <w:szCs w:val="16"/>
              </w:rPr>
              <w:t>X</w:t>
            </w:r>
          </w:p>
        </w:tc>
        <w:tc>
          <w:tcPr>
            <w:tcW w:w="428" w:type="dxa"/>
          </w:tcPr>
          <w:p w14:paraId="4D567EC8" w14:textId="77777777" w:rsidR="002B04EB" w:rsidRPr="003F7F6C" w:rsidRDefault="002B04EB" w:rsidP="00B851B7">
            <w:r w:rsidRPr="003F7F6C">
              <w:rPr>
                <w:rFonts w:cs="Calibri"/>
                <w:sz w:val="16"/>
                <w:szCs w:val="16"/>
              </w:rPr>
              <w:t>X</w:t>
            </w:r>
          </w:p>
        </w:tc>
        <w:tc>
          <w:tcPr>
            <w:tcW w:w="428" w:type="dxa"/>
          </w:tcPr>
          <w:p w14:paraId="0A4A931B" w14:textId="77777777" w:rsidR="002B04EB" w:rsidRPr="003F7F6C" w:rsidRDefault="002B04EB" w:rsidP="00B851B7">
            <w:r w:rsidRPr="003F7F6C">
              <w:rPr>
                <w:rFonts w:cs="Calibri"/>
                <w:sz w:val="16"/>
                <w:szCs w:val="16"/>
              </w:rPr>
              <w:t>X</w:t>
            </w:r>
          </w:p>
        </w:tc>
        <w:tc>
          <w:tcPr>
            <w:tcW w:w="428" w:type="dxa"/>
          </w:tcPr>
          <w:p w14:paraId="69FA1B1E" w14:textId="77777777" w:rsidR="002B04EB" w:rsidRPr="003F7F6C" w:rsidRDefault="002B04EB" w:rsidP="00B851B7">
            <w:r w:rsidRPr="003F7F6C">
              <w:rPr>
                <w:rFonts w:cs="Calibri"/>
                <w:sz w:val="16"/>
                <w:szCs w:val="16"/>
              </w:rPr>
              <w:t>X</w:t>
            </w:r>
          </w:p>
        </w:tc>
        <w:tc>
          <w:tcPr>
            <w:tcW w:w="428" w:type="dxa"/>
            <w:gridSpan w:val="2"/>
          </w:tcPr>
          <w:p w14:paraId="3AEF4376" w14:textId="77777777" w:rsidR="002B04EB" w:rsidRPr="003F7F6C" w:rsidRDefault="002B04EB" w:rsidP="00B851B7">
            <w:r w:rsidRPr="003F7F6C">
              <w:rPr>
                <w:rFonts w:cs="Calibri"/>
                <w:sz w:val="16"/>
                <w:szCs w:val="16"/>
              </w:rPr>
              <w:t>X</w:t>
            </w:r>
          </w:p>
        </w:tc>
        <w:tc>
          <w:tcPr>
            <w:tcW w:w="428" w:type="dxa"/>
          </w:tcPr>
          <w:p w14:paraId="07FBDF7C" w14:textId="77777777" w:rsidR="002B04EB" w:rsidRPr="003F7F6C" w:rsidRDefault="002B04EB" w:rsidP="00B851B7">
            <w:r w:rsidRPr="003F7F6C">
              <w:rPr>
                <w:rFonts w:cs="Calibri"/>
                <w:sz w:val="16"/>
                <w:szCs w:val="16"/>
              </w:rPr>
              <w:t>X</w:t>
            </w:r>
          </w:p>
        </w:tc>
        <w:tc>
          <w:tcPr>
            <w:tcW w:w="428" w:type="dxa"/>
          </w:tcPr>
          <w:p w14:paraId="64B954D0" w14:textId="77777777" w:rsidR="002B04EB" w:rsidRPr="003F7F6C" w:rsidRDefault="002B04EB" w:rsidP="00B851B7">
            <w:r w:rsidRPr="003F7F6C">
              <w:rPr>
                <w:rFonts w:cs="Calibri"/>
                <w:sz w:val="16"/>
                <w:szCs w:val="16"/>
              </w:rPr>
              <w:t>X</w:t>
            </w:r>
          </w:p>
        </w:tc>
        <w:tc>
          <w:tcPr>
            <w:tcW w:w="428" w:type="dxa"/>
          </w:tcPr>
          <w:p w14:paraId="34F79551" w14:textId="77777777" w:rsidR="002B04EB" w:rsidRPr="003F7F6C" w:rsidRDefault="002B04EB" w:rsidP="00B851B7">
            <w:r w:rsidRPr="003F7F6C">
              <w:rPr>
                <w:rFonts w:cs="Calibri"/>
                <w:sz w:val="16"/>
                <w:szCs w:val="16"/>
              </w:rPr>
              <w:t>X</w:t>
            </w:r>
          </w:p>
        </w:tc>
        <w:tc>
          <w:tcPr>
            <w:tcW w:w="428" w:type="dxa"/>
            <w:gridSpan w:val="2"/>
          </w:tcPr>
          <w:p w14:paraId="19281188" w14:textId="77777777" w:rsidR="002B04EB" w:rsidRPr="003F7F6C" w:rsidRDefault="002B04EB" w:rsidP="00B851B7">
            <w:r w:rsidRPr="003F7F6C">
              <w:rPr>
                <w:rFonts w:cs="Calibri"/>
                <w:sz w:val="16"/>
                <w:szCs w:val="16"/>
              </w:rPr>
              <w:t>X</w:t>
            </w:r>
          </w:p>
        </w:tc>
        <w:tc>
          <w:tcPr>
            <w:tcW w:w="428" w:type="dxa"/>
          </w:tcPr>
          <w:p w14:paraId="31353E5D" w14:textId="77777777" w:rsidR="002B04EB" w:rsidRPr="003F7F6C" w:rsidRDefault="002B04EB" w:rsidP="00B851B7">
            <w:r w:rsidRPr="003F7F6C">
              <w:rPr>
                <w:rFonts w:cs="Calibri"/>
                <w:sz w:val="16"/>
                <w:szCs w:val="16"/>
              </w:rPr>
              <w:t>X</w:t>
            </w:r>
          </w:p>
        </w:tc>
        <w:tc>
          <w:tcPr>
            <w:tcW w:w="428" w:type="dxa"/>
          </w:tcPr>
          <w:p w14:paraId="62A632DA" w14:textId="77777777" w:rsidR="002B04EB" w:rsidRPr="003F7F6C" w:rsidRDefault="002B04EB" w:rsidP="00B851B7">
            <w:r w:rsidRPr="003F7F6C">
              <w:rPr>
                <w:rFonts w:cs="Calibri"/>
                <w:sz w:val="16"/>
                <w:szCs w:val="16"/>
              </w:rPr>
              <w:t>X</w:t>
            </w:r>
          </w:p>
        </w:tc>
        <w:tc>
          <w:tcPr>
            <w:tcW w:w="428" w:type="dxa"/>
          </w:tcPr>
          <w:p w14:paraId="1CF9B076" w14:textId="77777777" w:rsidR="002B04EB" w:rsidRPr="003F7F6C" w:rsidRDefault="002B04EB" w:rsidP="00B851B7">
            <w:r w:rsidRPr="003F7F6C">
              <w:rPr>
                <w:rFonts w:cs="Calibri"/>
                <w:sz w:val="16"/>
                <w:szCs w:val="16"/>
              </w:rPr>
              <w:t>X</w:t>
            </w:r>
          </w:p>
        </w:tc>
        <w:tc>
          <w:tcPr>
            <w:tcW w:w="428" w:type="dxa"/>
          </w:tcPr>
          <w:p w14:paraId="31F35B7C" w14:textId="77777777" w:rsidR="002B04EB" w:rsidRPr="003F7F6C" w:rsidRDefault="002B04EB" w:rsidP="00B851B7">
            <w:r w:rsidRPr="003F7F6C">
              <w:rPr>
                <w:rFonts w:cs="Calibri"/>
                <w:sz w:val="16"/>
                <w:szCs w:val="16"/>
              </w:rPr>
              <w:t>X</w:t>
            </w:r>
          </w:p>
        </w:tc>
      </w:tr>
      <w:tr w:rsidR="002B04EB" w:rsidRPr="003F7F6C" w14:paraId="20F971D5" w14:textId="77777777" w:rsidTr="00B851B7">
        <w:tc>
          <w:tcPr>
            <w:tcW w:w="1668" w:type="dxa"/>
          </w:tcPr>
          <w:p w14:paraId="66E1A2A0" w14:textId="77777777" w:rsidR="002B04EB" w:rsidRPr="003F7F6C" w:rsidRDefault="002B04EB" w:rsidP="00E91275">
            <w:pPr>
              <w:pStyle w:val="ListParagraph"/>
              <w:numPr>
                <w:ilvl w:val="0"/>
                <w:numId w:val="29"/>
              </w:numPr>
              <w:ind w:left="174" w:hanging="174"/>
              <w:jc w:val="left"/>
              <w:rPr>
                <w:rFonts w:cs="Calibri"/>
                <w:sz w:val="16"/>
                <w:szCs w:val="16"/>
              </w:rPr>
            </w:pPr>
            <w:r w:rsidRPr="003F7F6C">
              <w:rPr>
                <w:rFonts w:cs="Calibri"/>
                <w:sz w:val="16"/>
                <w:szCs w:val="16"/>
              </w:rPr>
              <w:t>Develop management plan for Queñoa and Churca</w:t>
            </w:r>
          </w:p>
        </w:tc>
        <w:tc>
          <w:tcPr>
            <w:tcW w:w="1057" w:type="dxa"/>
          </w:tcPr>
          <w:p w14:paraId="7928D00E" w14:textId="77777777" w:rsidR="002B04EB" w:rsidRPr="003F7F6C" w:rsidRDefault="002B04EB" w:rsidP="00B851B7">
            <w:r w:rsidRPr="003F7F6C">
              <w:rPr>
                <w:rFonts w:cs="Calibri"/>
                <w:sz w:val="16"/>
                <w:szCs w:val="16"/>
              </w:rPr>
              <w:t>Ministry of Environment</w:t>
            </w:r>
          </w:p>
        </w:tc>
        <w:tc>
          <w:tcPr>
            <w:tcW w:w="428" w:type="dxa"/>
          </w:tcPr>
          <w:p w14:paraId="2DC2938F" w14:textId="77777777" w:rsidR="002B04EB" w:rsidRPr="003F7F6C" w:rsidRDefault="002B04EB" w:rsidP="00B851B7"/>
        </w:tc>
        <w:tc>
          <w:tcPr>
            <w:tcW w:w="444" w:type="dxa"/>
          </w:tcPr>
          <w:p w14:paraId="1CA3B323" w14:textId="77777777" w:rsidR="002B04EB" w:rsidRPr="003F7F6C" w:rsidRDefault="002B04EB" w:rsidP="00B851B7">
            <w:r w:rsidRPr="003F7F6C">
              <w:rPr>
                <w:rFonts w:cs="Calibri"/>
                <w:sz w:val="16"/>
                <w:szCs w:val="16"/>
              </w:rPr>
              <w:t>X</w:t>
            </w:r>
          </w:p>
        </w:tc>
        <w:tc>
          <w:tcPr>
            <w:tcW w:w="428" w:type="dxa"/>
          </w:tcPr>
          <w:p w14:paraId="4F1C058E" w14:textId="77777777" w:rsidR="002B04EB" w:rsidRPr="003F7F6C" w:rsidRDefault="002B04EB" w:rsidP="00B851B7">
            <w:r w:rsidRPr="003F7F6C">
              <w:rPr>
                <w:rFonts w:cs="Calibri"/>
                <w:sz w:val="16"/>
                <w:szCs w:val="16"/>
              </w:rPr>
              <w:t>X</w:t>
            </w:r>
          </w:p>
        </w:tc>
        <w:tc>
          <w:tcPr>
            <w:tcW w:w="428" w:type="dxa"/>
            <w:gridSpan w:val="2"/>
          </w:tcPr>
          <w:p w14:paraId="010DE923" w14:textId="77777777" w:rsidR="002B04EB" w:rsidRPr="003F7F6C" w:rsidRDefault="002B04EB" w:rsidP="00B851B7">
            <w:r w:rsidRPr="003F7F6C">
              <w:rPr>
                <w:rFonts w:cs="Calibri"/>
                <w:sz w:val="16"/>
                <w:szCs w:val="16"/>
              </w:rPr>
              <w:t>X</w:t>
            </w:r>
          </w:p>
        </w:tc>
        <w:tc>
          <w:tcPr>
            <w:tcW w:w="428" w:type="dxa"/>
          </w:tcPr>
          <w:p w14:paraId="0DB5A14F" w14:textId="77777777" w:rsidR="002B04EB" w:rsidRPr="003F7F6C" w:rsidRDefault="002B04EB" w:rsidP="00B851B7">
            <w:r w:rsidRPr="003F7F6C">
              <w:rPr>
                <w:rFonts w:cs="Calibri"/>
                <w:sz w:val="16"/>
                <w:szCs w:val="16"/>
              </w:rPr>
              <w:t>X</w:t>
            </w:r>
          </w:p>
        </w:tc>
        <w:tc>
          <w:tcPr>
            <w:tcW w:w="427" w:type="dxa"/>
          </w:tcPr>
          <w:p w14:paraId="0BFA1305" w14:textId="77777777" w:rsidR="002B04EB" w:rsidRPr="003F7F6C" w:rsidRDefault="002B04EB" w:rsidP="00B851B7">
            <w:r w:rsidRPr="003F7F6C">
              <w:rPr>
                <w:rFonts w:cs="Calibri"/>
                <w:sz w:val="16"/>
                <w:szCs w:val="16"/>
              </w:rPr>
              <w:t>X</w:t>
            </w:r>
          </w:p>
        </w:tc>
        <w:tc>
          <w:tcPr>
            <w:tcW w:w="427" w:type="dxa"/>
          </w:tcPr>
          <w:p w14:paraId="13B85217" w14:textId="77777777" w:rsidR="002B04EB" w:rsidRPr="003F7F6C" w:rsidRDefault="002B04EB" w:rsidP="00B851B7">
            <w:r w:rsidRPr="003F7F6C">
              <w:rPr>
                <w:rFonts w:cs="Calibri"/>
                <w:sz w:val="16"/>
                <w:szCs w:val="16"/>
              </w:rPr>
              <w:t>X</w:t>
            </w:r>
          </w:p>
        </w:tc>
        <w:tc>
          <w:tcPr>
            <w:tcW w:w="427" w:type="dxa"/>
            <w:gridSpan w:val="2"/>
          </w:tcPr>
          <w:p w14:paraId="2131FF15" w14:textId="77777777" w:rsidR="002B04EB" w:rsidRPr="003F7F6C" w:rsidRDefault="002B04EB" w:rsidP="00B851B7">
            <w:r w:rsidRPr="003F7F6C">
              <w:rPr>
                <w:rFonts w:cs="Calibri"/>
                <w:sz w:val="16"/>
                <w:szCs w:val="16"/>
              </w:rPr>
              <w:t>X</w:t>
            </w:r>
          </w:p>
        </w:tc>
        <w:tc>
          <w:tcPr>
            <w:tcW w:w="428" w:type="dxa"/>
          </w:tcPr>
          <w:p w14:paraId="161385BC" w14:textId="77777777" w:rsidR="002B04EB" w:rsidRPr="003F7F6C" w:rsidRDefault="002B04EB" w:rsidP="00B851B7">
            <w:r w:rsidRPr="003F7F6C">
              <w:rPr>
                <w:rFonts w:cs="Calibri"/>
                <w:sz w:val="16"/>
                <w:szCs w:val="16"/>
              </w:rPr>
              <w:t>X</w:t>
            </w:r>
          </w:p>
        </w:tc>
        <w:tc>
          <w:tcPr>
            <w:tcW w:w="428" w:type="dxa"/>
          </w:tcPr>
          <w:p w14:paraId="05FE48DE" w14:textId="77777777" w:rsidR="002B04EB" w:rsidRPr="003F7F6C" w:rsidRDefault="002B04EB" w:rsidP="00B851B7">
            <w:r w:rsidRPr="003F7F6C">
              <w:rPr>
                <w:rFonts w:cs="Calibri"/>
                <w:sz w:val="16"/>
                <w:szCs w:val="16"/>
              </w:rPr>
              <w:t>X</w:t>
            </w:r>
          </w:p>
        </w:tc>
        <w:tc>
          <w:tcPr>
            <w:tcW w:w="428" w:type="dxa"/>
          </w:tcPr>
          <w:p w14:paraId="073E1407" w14:textId="77777777" w:rsidR="002B04EB" w:rsidRPr="003F7F6C" w:rsidRDefault="002B04EB" w:rsidP="00B851B7">
            <w:pPr>
              <w:rPr>
                <w:rFonts w:cs="Calibri"/>
                <w:sz w:val="16"/>
                <w:szCs w:val="16"/>
              </w:rPr>
            </w:pPr>
          </w:p>
        </w:tc>
        <w:tc>
          <w:tcPr>
            <w:tcW w:w="428" w:type="dxa"/>
            <w:gridSpan w:val="2"/>
          </w:tcPr>
          <w:p w14:paraId="7393022E" w14:textId="77777777" w:rsidR="002B04EB" w:rsidRPr="003F7F6C" w:rsidRDefault="002B04EB" w:rsidP="00B851B7">
            <w:pPr>
              <w:rPr>
                <w:rFonts w:cs="Calibri"/>
                <w:sz w:val="16"/>
                <w:szCs w:val="16"/>
              </w:rPr>
            </w:pPr>
          </w:p>
        </w:tc>
        <w:tc>
          <w:tcPr>
            <w:tcW w:w="428" w:type="dxa"/>
          </w:tcPr>
          <w:p w14:paraId="69C798A8" w14:textId="77777777" w:rsidR="002B04EB" w:rsidRPr="003F7F6C" w:rsidRDefault="002B04EB" w:rsidP="00B851B7">
            <w:pPr>
              <w:rPr>
                <w:rFonts w:cs="Calibri"/>
                <w:sz w:val="16"/>
                <w:szCs w:val="16"/>
              </w:rPr>
            </w:pPr>
          </w:p>
        </w:tc>
        <w:tc>
          <w:tcPr>
            <w:tcW w:w="428" w:type="dxa"/>
          </w:tcPr>
          <w:p w14:paraId="29384384" w14:textId="77777777" w:rsidR="002B04EB" w:rsidRPr="003F7F6C" w:rsidRDefault="002B04EB" w:rsidP="00B851B7">
            <w:pPr>
              <w:rPr>
                <w:rFonts w:cs="Calibri"/>
                <w:sz w:val="16"/>
                <w:szCs w:val="16"/>
              </w:rPr>
            </w:pPr>
          </w:p>
        </w:tc>
        <w:tc>
          <w:tcPr>
            <w:tcW w:w="428" w:type="dxa"/>
          </w:tcPr>
          <w:p w14:paraId="6E82FAAA" w14:textId="77777777" w:rsidR="002B04EB" w:rsidRPr="003F7F6C" w:rsidRDefault="002B04EB" w:rsidP="00B851B7">
            <w:pPr>
              <w:rPr>
                <w:rFonts w:cs="Calibri"/>
                <w:sz w:val="16"/>
                <w:szCs w:val="16"/>
              </w:rPr>
            </w:pPr>
          </w:p>
        </w:tc>
        <w:tc>
          <w:tcPr>
            <w:tcW w:w="428" w:type="dxa"/>
            <w:gridSpan w:val="2"/>
          </w:tcPr>
          <w:p w14:paraId="31D73230" w14:textId="77777777" w:rsidR="002B04EB" w:rsidRPr="003F7F6C" w:rsidRDefault="002B04EB" w:rsidP="00B851B7">
            <w:pPr>
              <w:rPr>
                <w:rFonts w:cs="Calibri"/>
                <w:sz w:val="16"/>
                <w:szCs w:val="16"/>
              </w:rPr>
            </w:pPr>
          </w:p>
        </w:tc>
        <w:tc>
          <w:tcPr>
            <w:tcW w:w="428" w:type="dxa"/>
          </w:tcPr>
          <w:p w14:paraId="27AD1A9B" w14:textId="77777777" w:rsidR="002B04EB" w:rsidRPr="003F7F6C" w:rsidRDefault="002B04EB" w:rsidP="00B851B7">
            <w:pPr>
              <w:rPr>
                <w:rFonts w:cs="Calibri"/>
                <w:sz w:val="16"/>
                <w:szCs w:val="16"/>
              </w:rPr>
            </w:pPr>
          </w:p>
        </w:tc>
        <w:tc>
          <w:tcPr>
            <w:tcW w:w="428" w:type="dxa"/>
          </w:tcPr>
          <w:p w14:paraId="36E26481" w14:textId="77777777" w:rsidR="002B04EB" w:rsidRPr="003F7F6C" w:rsidRDefault="002B04EB" w:rsidP="00B851B7">
            <w:pPr>
              <w:rPr>
                <w:rFonts w:cs="Calibri"/>
                <w:sz w:val="16"/>
                <w:szCs w:val="16"/>
              </w:rPr>
            </w:pPr>
          </w:p>
        </w:tc>
        <w:tc>
          <w:tcPr>
            <w:tcW w:w="428" w:type="dxa"/>
          </w:tcPr>
          <w:p w14:paraId="26368B8C" w14:textId="77777777" w:rsidR="002B04EB" w:rsidRPr="003F7F6C" w:rsidRDefault="002B04EB" w:rsidP="00B851B7">
            <w:pPr>
              <w:rPr>
                <w:rFonts w:cs="Calibri"/>
                <w:sz w:val="16"/>
                <w:szCs w:val="16"/>
              </w:rPr>
            </w:pPr>
          </w:p>
        </w:tc>
        <w:tc>
          <w:tcPr>
            <w:tcW w:w="428" w:type="dxa"/>
            <w:gridSpan w:val="2"/>
          </w:tcPr>
          <w:p w14:paraId="159435CE" w14:textId="77777777" w:rsidR="002B04EB" w:rsidRPr="003F7F6C" w:rsidRDefault="002B04EB" w:rsidP="00B851B7">
            <w:pPr>
              <w:rPr>
                <w:rFonts w:cs="Calibri"/>
                <w:sz w:val="16"/>
                <w:szCs w:val="16"/>
              </w:rPr>
            </w:pPr>
          </w:p>
        </w:tc>
        <w:tc>
          <w:tcPr>
            <w:tcW w:w="428" w:type="dxa"/>
          </w:tcPr>
          <w:p w14:paraId="71E0DF4C" w14:textId="77777777" w:rsidR="002B04EB" w:rsidRPr="003F7F6C" w:rsidRDefault="002B04EB" w:rsidP="00B851B7">
            <w:pPr>
              <w:rPr>
                <w:rFonts w:cs="Calibri"/>
                <w:sz w:val="16"/>
                <w:szCs w:val="16"/>
              </w:rPr>
            </w:pPr>
          </w:p>
        </w:tc>
        <w:tc>
          <w:tcPr>
            <w:tcW w:w="428" w:type="dxa"/>
          </w:tcPr>
          <w:p w14:paraId="5AE3610A" w14:textId="77777777" w:rsidR="002B04EB" w:rsidRPr="003F7F6C" w:rsidRDefault="002B04EB" w:rsidP="00B851B7">
            <w:pPr>
              <w:rPr>
                <w:rFonts w:cs="Calibri"/>
                <w:sz w:val="16"/>
                <w:szCs w:val="16"/>
              </w:rPr>
            </w:pPr>
          </w:p>
        </w:tc>
        <w:tc>
          <w:tcPr>
            <w:tcW w:w="428" w:type="dxa"/>
          </w:tcPr>
          <w:p w14:paraId="600EB557" w14:textId="77777777" w:rsidR="002B04EB" w:rsidRPr="003F7F6C" w:rsidRDefault="002B04EB" w:rsidP="00B851B7">
            <w:pPr>
              <w:rPr>
                <w:rFonts w:cs="Calibri"/>
                <w:sz w:val="16"/>
                <w:szCs w:val="16"/>
              </w:rPr>
            </w:pPr>
          </w:p>
        </w:tc>
        <w:tc>
          <w:tcPr>
            <w:tcW w:w="428" w:type="dxa"/>
          </w:tcPr>
          <w:p w14:paraId="2F4FBC59" w14:textId="77777777" w:rsidR="002B04EB" w:rsidRPr="003F7F6C" w:rsidRDefault="002B04EB" w:rsidP="00B851B7">
            <w:pPr>
              <w:rPr>
                <w:rFonts w:cs="Calibri"/>
                <w:sz w:val="16"/>
                <w:szCs w:val="16"/>
              </w:rPr>
            </w:pPr>
          </w:p>
        </w:tc>
      </w:tr>
      <w:tr w:rsidR="002B04EB" w:rsidRPr="003F7F6C" w14:paraId="6AB47C9E" w14:textId="77777777" w:rsidTr="00B851B7">
        <w:tc>
          <w:tcPr>
            <w:tcW w:w="1668" w:type="dxa"/>
          </w:tcPr>
          <w:p w14:paraId="1C90C781" w14:textId="77777777" w:rsidR="002B04EB" w:rsidRPr="003F7F6C" w:rsidRDefault="002B04EB" w:rsidP="00E91275">
            <w:pPr>
              <w:pStyle w:val="ListParagraph"/>
              <w:numPr>
                <w:ilvl w:val="0"/>
                <w:numId w:val="29"/>
              </w:numPr>
              <w:ind w:left="174" w:hanging="174"/>
              <w:jc w:val="left"/>
              <w:rPr>
                <w:rFonts w:cs="Calibri"/>
                <w:sz w:val="16"/>
                <w:szCs w:val="16"/>
              </w:rPr>
            </w:pPr>
            <w:r w:rsidRPr="003F7F6C">
              <w:rPr>
                <w:rFonts w:cs="Calibri"/>
                <w:sz w:val="16"/>
                <w:szCs w:val="16"/>
              </w:rPr>
              <w:t>Develop management plan for fauna</w:t>
            </w:r>
          </w:p>
        </w:tc>
        <w:tc>
          <w:tcPr>
            <w:tcW w:w="1057" w:type="dxa"/>
          </w:tcPr>
          <w:p w14:paraId="79427282" w14:textId="77777777" w:rsidR="002B04EB" w:rsidRPr="003F7F6C" w:rsidRDefault="002B04EB" w:rsidP="00B851B7">
            <w:r w:rsidRPr="003F7F6C">
              <w:rPr>
                <w:rFonts w:cs="Calibri"/>
                <w:sz w:val="16"/>
                <w:szCs w:val="16"/>
              </w:rPr>
              <w:t>Ministry of Environment</w:t>
            </w:r>
          </w:p>
        </w:tc>
        <w:tc>
          <w:tcPr>
            <w:tcW w:w="428" w:type="dxa"/>
          </w:tcPr>
          <w:p w14:paraId="052FCC7B" w14:textId="77777777" w:rsidR="002B04EB" w:rsidRPr="003F7F6C" w:rsidRDefault="002B04EB" w:rsidP="00B851B7"/>
        </w:tc>
        <w:tc>
          <w:tcPr>
            <w:tcW w:w="444" w:type="dxa"/>
          </w:tcPr>
          <w:p w14:paraId="15C449DA" w14:textId="77777777" w:rsidR="002B04EB" w:rsidRPr="003F7F6C" w:rsidRDefault="002B04EB" w:rsidP="00B851B7">
            <w:r w:rsidRPr="003F7F6C">
              <w:rPr>
                <w:rFonts w:cs="Calibri"/>
                <w:sz w:val="16"/>
                <w:szCs w:val="16"/>
              </w:rPr>
              <w:t>X</w:t>
            </w:r>
          </w:p>
        </w:tc>
        <w:tc>
          <w:tcPr>
            <w:tcW w:w="428" w:type="dxa"/>
          </w:tcPr>
          <w:p w14:paraId="2651E865" w14:textId="77777777" w:rsidR="002B04EB" w:rsidRPr="003F7F6C" w:rsidRDefault="002B04EB" w:rsidP="00B851B7">
            <w:r w:rsidRPr="003F7F6C">
              <w:rPr>
                <w:rFonts w:cs="Calibri"/>
                <w:sz w:val="16"/>
                <w:szCs w:val="16"/>
              </w:rPr>
              <w:t>X</w:t>
            </w:r>
          </w:p>
        </w:tc>
        <w:tc>
          <w:tcPr>
            <w:tcW w:w="428" w:type="dxa"/>
            <w:gridSpan w:val="2"/>
          </w:tcPr>
          <w:p w14:paraId="2F4D2703" w14:textId="77777777" w:rsidR="002B04EB" w:rsidRPr="003F7F6C" w:rsidRDefault="002B04EB" w:rsidP="00B851B7">
            <w:r w:rsidRPr="003F7F6C">
              <w:rPr>
                <w:rFonts w:cs="Calibri"/>
                <w:sz w:val="16"/>
                <w:szCs w:val="16"/>
              </w:rPr>
              <w:t>X</w:t>
            </w:r>
          </w:p>
        </w:tc>
        <w:tc>
          <w:tcPr>
            <w:tcW w:w="428" w:type="dxa"/>
          </w:tcPr>
          <w:p w14:paraId="3DDE5A08" w14:textId="77777777" w:rsidR="002B04EB" w:rsidRPr="003F7F6C" w:rsidRDefault="002B04EB" w:rsidP="00B851B7">
            <w:r w:rsidRPr="003F7F6C">
              <w:rPr>
                <w:rFonts w:cs="Calibri"/>
                <w:sz w:val="16"/>
                <w:szCs w:val="16"/>
              </w:rPr>
              <w:t>X</w:t>
            </w:r>
          </w:p>
        </w:tc>
        <w:tc>
          <w:tcPr>
            <w:tcW w:w="427" w:type="dxa"/>
          </w:tcPr>
          <w:p w14:paraId="1630CABD" w14:textId="77777777" w:rsidR="002B04EB" w:rsidRPr="003F7F6C" w:rsidRDefault="002B04EB" w:rsidP="00B851B7">
            <w:r w:rsidRPr="003F7F6C">
              <w:rPr>
                <w:rFonts w:cs="Calibri"/>
                <w:sz w:val="16"/>
                <w:szCs w:val="16"/>
              </w:rPr>
              <w:t>X</w:t>
            </w:r>
          </w:p>
        </w:tc>
        <w:tc>
          <w:tcPr>
            <w:tcW w:w="427" w:type="dxa"/>
          </w:tcPr>
          <w:p w14:paraId="68DE625D" w14:textId="77777777" w:rsidR="002B04EB" w:rsidRPr="003F7F6C" w:rsidRDefault="002B04EB" w:rsidP="00B851B7">
            <w:r w:rsidRPr="003F7F6C">
              <w:rPr>
                <w:rFonts w:cs="Calibri"/>
                <w:sz w:val="16"/>
                <w:szCs w:val="16"/>
              </w:rPr>
              <w:t>X</w:t>
            </w:r>
          </w:p>
        </w:tc>
        <w:tc>
          <w:tcPr>
            <w:tcW w:w="427" w:type="dxa"/>
            <w:gridSpan w:val="2"/>
          </w:tcPr>
          <w:p w14:paraId="36708258" w14:textId="77777777" w:rsidR="002B04EB" w:rsidRPr="003F7F6C" w:rsidRDefault="002B04EB" w:rsidP="00B851B7">
            <w:r w:rsidRPr="003F7F6C">
              <w:rPr>
                <w:rFonts w:cs="Calibri"/>
                <w:sz w:val="16"/>
                <w:szCs w:val="16"/>
              </w:rPr>
              <w:t>X</w:t>
            </w:r>
          </w:p>
        </w:tc>
        <w:tc>
          <w:tcPr>
            <w:tcW w:w="428" w:type="dxa"/>
          </w:tcPr>
          <w:p w14:paraId="15454DC7" w14:textId="77777777" w:rsidR="002B04EB" w:rsidRPr="003F7F6C" w:rsidRDefault="002B04EB" w:rsidP="00B851B7">
            <w:r w:rsidRPr="003F7F6C">
              <w:rPr>
                <w:rFonts w:cs="Calibri"/>
                <w:sz w:val="16"/>
                <w:szCs w:val="16"/>
              </w:rPr>
              <w:t>X</w:t>
            </w:r>
          </w:p>
        </w:tc>
        <w:tc>
          <w:tcPr>
            <w:tcW w:w="428" w:type="dxa"/>
          </w:tcPr>
          <w:p w14:paraId="1EC57CAC" w14:textId="77777777" w:rsidR="002B04EB" w:rsidRPr="003F7F6C" w:rsidRDefault="002B04EB" w:rsidP="00B851B7">
            <w:r w:rsidRPr="003F7F6C">
              <w:rPr>
                <w:rFonts w:cs="Calibri"/>
                <w:sz w:val="16"/>
                <w:szCs w:val="16"/>
              </w:rPr>
              <w:t>X</w:t>
            </w:r>
          </w:p>
        </w:tc>
        <w:tc>
          <w:tcPr>
            <w:tcW w:w="428" w:type="dxa"/>
          </w:tcPr>
          <w:p w14:paraId="194CA0DD" w14:textId="77777777" w:rsidR="002B04EB" w:rsidRPr="003F7F6C" w:rsidRDefault="002B04EB" w:rsidP="00B851B7">
            <w:pPr>
              <w:rPr>
                <w:rFonts w:cs="Calibri"/>
                <w:sz w:val="16"/>
                <w:szCs w:val="16"/>
              </w:rPr>
            </w:pPr>
          </w:p>
        </w:tc>
        <w:tc>
          <w:tcPr>
            <w:tcW w:w="428" w:type="dxa"/>
            <w:gridSpan w:val="2"/>
          </w:tcPr>
          <w:p w14:paraId="2BC3F19D" w14:textId="77777777" w:rsidR="002B04EB" w:rsidRPr="003F7F6C" w:rsidRDefault="002B04EB" w:rsidP="00B851B7">
            <w:pPr>
              <w:rPr>
                <w:rFonts w:cs="Calibri"/>
                <w:sz w:val="16"/>
                <w:szCs w:val="16"/>
              </w:rPr>
            </w:pPr>
          </w:p>
        </w:tc>
        <w:tc>
          <w:tcPr>
            <w:tcW w:w="428" w:type="dxa"/>
          </w:tcPr>
          <w:p w14:paraId="1718D7C6" w14:textId="77777777" w:rsidR="002B04EB" w:rsidRPr="003F7F6C" w:rsidRDefault="002B04EB" w:rsidP="00B851B7">
            <w:pPr>
              <w:rPr>
                <w:rFonts w:cs="Calibri"/>
                <w:sz w:val="16"/>
                <w:szCs w:val="16"/>
              </w:rPr>
            </w:pPr>
          </w:p>
        </w:tc>
        <w:tc>
          <w:tcPr>
            <w:tcW w:w="428" w:type="dxa"/>
          </w:tcPr>
          <w:p w14:paraId="2F1A8233" w14:textId="77777777" w:rsidR="002B04EB" w:rsidRPr="003F7F6C" w:rsidRDefault="002B04EB" w:rsidP="00B851B7">
            <w:pPr>
              <w:rPr>
                <w:rFonts w:cs="Calibri"/>
                <w:sz w:val="16"/>
                <w:szCs w:val="16"/>
              </w:rPr>
            </w:pPr>
          </w:p>
        </w:tc>
        <w:tc>
          <w:tcPr>
            <w:tcW w:w="428" w:type="dxa"/>
          </w:tcPr>
          <w:p w14:paraId="2701AC01" w14:textId="77777777" w:rsidR="002B04EB" w:rsidRPr="003F7F6C" w:rsidRDefault="002B04EB" w:rsidP="00B851B7">
            <w:pPr>
              <w:rPr>
                <w:rFonts w:cs="Calibri"/>
                <w:sz w:val="16"/>
                <w:szCs w:val="16"/>
              </w:rPr>
            </w:pPr>
          </w:p>
        </w:tc>
        <w:tc>
          <w:tcPr>
            <w:tcW w:w="428" w:type="dxa"/>
            <w:gridSpan w:val="2"/>
          </w:tcPr>
          <w:p w14:paraId="0630752A" w14:textId="77777777" w:rsidR="002B04EB" w:rsidRPr="003F7F6C" w:rsidRDefault="002B04EB" w:rsidP="00B851B7">
            <w:pPr>
              <w:rPr>
                <w:rFonts w:cs="Calibri"/>
                <w:sz w:val="16"/>
                <w:szCs w:val="16"/>
              </w:rPr>
            </w:pPr>
          </w:p>
        </w:tc>
        <w:tc>
          <w:tcPr>
            <w:tcW w:w="428" w:type="dxa"/>
          </w:tcPr>
          <w:p w14:paraId="0C0B74B9" w14:textId="77777777" w:rsidR="002B04EB" w:rsidRPr="003F7F6C" w:rsidRDefault="002B04EB" w:rsidP="00B851B7">
            <w:pPr>
              <w:rPr>
                <w:rFonts w:cs="Calibri"/>
                <w:sz w:val="16"/>
                <w:szCs w:val="16"/>
              </w:rPr>
            </w:pPr>
          </w:p>
        </w:tc>
        <w:tc>
          <w:tcPr>
            <w:tcW w:w="428" w:type="dxa"/>
          </w:tcPr>
          <w:p w14:paraId="2E8993FB" w14:textId="77777777" w:rsidR="002B04EB" w:rsidRPr="003F7F6C" w:rsidRDefault="002B04EB" w:rsidP="00B851B7">
            <w:pPr>
              <w:rPr>
                <w:rFonts w:cs="Calibri"/>
                <w:sz w:val="16"/>
                <w:szCs w:val="16"/>
              </w:rPr>
            </w:pPr>
          </w:p>
        </w:tc>
        <w:tc>
          <w:tcPr>
            <w:tcW w:w="428" w:type="dxa"/>
          </w:tcPr>
          <w:p w14:paraId="6EFED58E" w14:textId="77777777" w:rsidR="002B04EB" w:rsidRPr="003F7F6C" w:rsidRDefault="002B04EB" w:rsidP="00B851B7">
            <w:pPr>
              <w:rPr>
                <w:rFonts w:cs="Calibri"/>
                <w:sz w:val="16"/>
                <w:szCs w:val="16"/>
              </w:rPr>
            </w:pPr>
          </w:p>
        </w:tc>
        <w:tc>
          <w:tcPr>
            <w:tcW w:w="428" w:type="dxa"/>
            <w:gridSpan w:val="2"/>
          </w:tcPr>
          <w:p w14:paraId="41538C77" w14:textId="77777777" w:rsidR="002B04EB" w:rsidRPr="003F7F6C" w:rsidRDefault="002B04EB" w:rsidP="00B851B7">
            <w:pPr>
              <w:rPr>
                <w:rFonts w:cs="Calibri"/>
                <w:sz w:val="16"/>
                <w:szCs w:val="16"/>
              </w:rPr>
            </w:pPr>
          </w:p>
        </w:tc>
        <w:tc>
          <w:tcPr>
            <w:tcW w:w="428" w:type="dxa"/>
          </w:tcPr>
          <w:p w14:paraId="3D409004" w14:textId="77777777" w:rsidR="002B04EB" w:rsidRPr="003F7F6C" w:rsidRDefault="002B04EB" w:rsidP="00B851B7">
            <w:pPr>
              <w:rPr>
                <w:rFonts w:cs="Calibri"/>
                <w:sz w:val="16"/>
                <w:szCs w:val="16"/>
              </w:rPr>
            </w:pPr>
          </w:p>
        </w:tc>
        <w:tc>
          <w:tcPr>
            <w:tcW w:w="428" w:type="dxa"/>
          </w:tcPr>
          <w:p w14:paraId="70E1BAAC" w14:textId="77777777" w:rsidR="002B04EB" w:rsidRPr="003F7F6C" w:rsidRDefault="002B04EB" w:rsidP="00B851B7">
            <w:pPr>
              <w:rPr>
                <w:rFonts w:cs="Calibri"/>
                <w:sz w:val="16"/>
                <w:szCs w:val="16"/>
              </w:rPr>
            </w:pPr>
          </w:p>
        </w:tc>
        <w:tc>
          <w:tcPr>
            <w:tcW w:w="428" w:type="dxa"/>
          </w:tcPr>
          <w:p w14:paraId="1EC354CB" w14:textId="77777777" w:rsidR="002B04EB" w:rsidRPr="003F7F6C" w:rsidRDefault="002B04EB" w:rsidP="00B851B7">
            <w:pPr>
              <w:rPr>
                <w:rFonts w:cs="Calibri"/>
                <w:sz w:val="16"/>
                <w:szCs w:val="16"/>
              </w:rPr>
            </w:pPr>
          </w:p>
        </w:tc>
        <w:tc>
          <w:tcPr>
            <w:tcW w:w="428" w:type="dxa"/>
          </w:tcPr>
          <w:p w14:paraId="4698B069" w14:textId="77777777" w:rsidR="002B04EB" w:rsidRPr="003F7F6C" w:rsidRDefault="002B04EB" w:rsidP="00B851B7">
            <w:pPr>
              <w:rPr>
                <w:rFonts w:cs="Calibri"/>
                <w:sz w:val="16"/>
                <w:szCs w:val="16"/>
              </w:rPr>
            </w:pPr>
          </w:p>
        </w:tc>
      </w:tr>
      <w:tr w:rsidR="002B04EB" w:rsidRPr="003F7F6C" w14:paraId="4FACC467" w14:textId="77777777" w:rsidTr="00B851B7">
        <w:tc>
          <w:tcPr>
            <w:tcW w:w="1668" w:type="dxa"/>
          </w:tcPr>
          <w:p w14:paraId="291D9663" w14:textId="77777777" w:rsidR="002B04EB" w:rsidRPr="003F7F6C" w:rsidRDefault="002B04EB" w:rsidP="00E91275">
            <w:pPr>
              <w:pStyle w:val="ListParagraph"/>
              <w:numPr>
                <w:ilvl w:val="0"/>
                <w:numId w:val="29"/>
              </w:numPr>
              <w:ind w:left="174" w:hanging="174"/>
              <w:jc w:val="left"/>
              <w:rPr>
                <w:rFonts w:cs="Calibri"/>
                <w:sz w:val="16"/>
                <w:szCs w:val="16"/>
              </w:rPr>
            </w:pPr>
            <w:r w:rsidRPr="003F7F6C">
              <w:rPr>
                <w:rFonts w:cs="Calibri"/>
                <w:sz w:val="16"/>
                <w:szCs w:val="16"/>
              </w:rPr>
              <w:t xml:space="preserve">Implement sustainable management practices </w:t>
            </w:r>
          </w:p>
        </w:tc>
        <w:tc>
          <w:tcPr>
            <w:tcW w:w="1057" w:type="dxa"/>
          </w:tcPr>
          <w:p w14:paraId="6F1F1766" w14:textId="77777777" w:rsidR="002B04EB" w:rsidRPr="003F7F6C" w:rsidRDefault="002B04EB" w:rsidP="00B851B7">
            <w:r w:rsidRPr="003F7F6C">
              <w:rPr>
                <w:rFonts w:cs="Calibri"/>
                <w:sz w:val="16"/>
                <w:szCs w:val="16"/>
              </w:rPr>
              <w:t>Ministry of Environment</w:t>
            </w:r>
          </w:p>
        </w:tc>
        <w:tc>
          <w:tcPr>
            <w:tcW w:w="428" w:type="dxa"/>
          </w:tcPr>
          <w:p w14:paraId="16D1902E" w14:textId="77777777" w:rsidR="002B04EB" w:rsidRPr="003F7F6C" w:rsidRDefault="002B04EB" w:rsidP="00B851B7">
            <w:pPr>
              <w:rPr>
                <w:rFonts w:cs="Calibri"/>
                <w:sz w:val="16"/>
                <w:szCs w:val="16"/>
              </w:rPr>
            </w:pPr>
          </w:p>
        </w:tc>
        <w:tc>
          <w:tcPr>
            <w:tcW w:w="444" w:type="dxa"/>
          </w:tcPr>
          <w:p w14:paraId="0094EC63" w14:textId="77777777" w:rsidR="002B04EB" w:rsidRPr="003F7F6C" w:rsidRDefault="002B04EB" w:rsidP="00B851B7">
            <w:pPr>
              <w:rPr>
                <w:rFonts w:cs="Calibri"/>
                <w:sz w:val="16"/>
                <w:szCs w:val="16"/>
              </w:rPr>
            </w:pPr>
          </w:p>
        </w:tc>
        <w:tc>
          <w:tcPr>
            <w:tcW w:w="428" w:type="dxa"/>
          </w:tcPr>
          <w:p w14:paraId="6C3D43DD" w14:textId="77777777" w:rsidR="002B04EB" w:rsidRPr="003F7F6C" w:rsidRDefault="002B04EB" w:rsidP="00B851B7">
            <w:pPr>
              <w:rPr>
                <w:rFonts w:cs="Calibri"/>
                <w:sz w:val="16"/>
                <w:szCs w:val="16"/>
              </w:rPr>
            </w:pPr>
          </w:p>
        </w:tc>
        <w:tc>
          <w:tcPr>
            <w:tcW w:w="428" w:type="dxa"/>
            <w:gridSpan w:val="2"/>
          </w:tcPr>
          <w:p w14:paraId="05617472" w14:textId="77777777" w:rsidR="002B04EB" w:rsidRPr="003F7F6C" w:rsidRDefault="002B04EB" w:rsidP="00B851B7">
            <w:pPr>
              <w:rPr>
                <w:rFonts w:cs="Calibri"/>
                <w:sz w:val="16"/>
                <w:szCs w:val="16"/>
              </w:rPr>
            </w:pPr>
          </w:p>
        </w:tc>
        <w:tc>
          <w:tcPr>
            <w:tcW w:w="428" w:type="dxa"/>
          </w:tcPr>
          <w:p w14:paraId="06BCDB83" w14:textId="77777777" w:rsidR="002B04EB" w:rsidRPr="003F7F6C" w:rsidRDefault="002B04EB" w:rsidP="00B851B7">
            <w:pPr>
              <w:rPr>
                <w:rFonts w:cs="Calibri"/>
                <w:sz w:val="16"/>
                <w:szCs w:val="16"/>
              </w:rPr>
            </w:pPr>
          </w:p>
        </w:tc>
        <w:tc>
          <w:tcPr>
            <w:tcW w:w="427" w:type="dxa"/>
          </w:tcPr>
          <w:p w14:paraId="163DD682" w14:textId="77777777" w:rsidR="002B04EB" w:rsidRPr="003F7F6C" w:rsidRDefault="002B04EB" w:rsidP="00B851B7">
            <w:pPr>
              <w:rPr>
                <w:rFonts w:cs="Calibri"/>
                <w:sz w:val="16"/>
                <w:szCs w:val="16"/>
              </w:rPr>
            </w:pPr>
          </w:p>
        </w:tc>
        <w:tc>
          <w:tcPr>
            <w:tcW w:w="427" w:type="dxa"/>
          </w:tcPr>
          <w:p w14:paraId="5D5AE941" w14:textId="77777777" w:rsidR="002B04EB" w:rsidRPr="003F7F6C" w:rsidRDefault="002B04EB" w:rsidP="00B851B7">
            <w:pPr>
              <w:rPr>
                <w:rFonts w:cs="Calibri"/>
                <w:sz w:val="16"/>
                <w:szCs w:val="16"/>
              </w:rPr>
            </w:pPr>
          </w:p>
        </w:tc>
        <w:tc>
          <w:tcPr>
            <w:tcW w:w="427" w:type="dxa"/>
            <w:gridSpan w:val="2"/>
          </w:tcPr>
          <w:p w14:paraId="03B34D04" w14:textId="77777777" w:rsidR="002B04EB" w:rsidRPr="003F7F6C" w:rsidRDefault="002B04EB" w:rsidP="00B851B7">
            <w:pPr>
              <w:rPr>
                <w:rFonts w:cs="Calibri"/>
                <w:sz w:val="16"/>
                <w:szCs w:val="16"/>
              </w:rPr>
            </w:pPr>
          </w:p>
        </w:tc>
        <w:tc>
          <w:tcPr>
            <w:tcW w:w="428" w:type="dxa"/>
          </w:tcPr>
          <w:p w14:paraId="109E433C" w14:textId="77777777" w:rsidR="002B04EB" w:rsidRPr="003F7F6C" w:rsidRDefault="002B04EB" w:rsidP="00B851B7">
            <w:pPr>
              <w:rPr>
                <w:rFonts w:cs="Calibri"/>
                <w:sz w:val="16"/>
                <w:szCs w:val="16"/>
              </w:rPr>
            </w:pPr>
          </w:p>
        </w:tc>
        <w:tc>
          <w:tcPr>
            <w:tcW w:w="428" w:type="dxa"/>
          </w:tcPr>
          <w:p w14:paraId="228611CA" w14:textId="77777777" w:rsidR="002B04EB" w:rsidRPr="003F7F6C" w:rsidRDefault="002B04EB" w:rsidP="00B851B7">
            <w:pPr>
              <w:rPr>
                <w:rFonts w:cs="Calibri"/>
                <w:sz w:val="16"/>
                <w:szCs w:val="16"/>
              </w:rPr>
            </w:pPr>
          </w:p>
        </w:tc>
        <w:tc>
          <w:tcPr>
            <w:tcW w:w="428" w:type="dxa"/>
          </w:tcPr>
          <w:p w14:paraId="0C6546AE" w14:textId="77777777" w:rsidR="002B04EB" w:rsidRPr="003F7F6C" w:rsidRDefault="002B04EB" w:rsidP="00B851B7">
            <w:r w:rsidRPr="003F7F6C">
              <w:rPr>
                <w:rFonts w:cs="Calibri"/>
                <w:sz w:val="16"/>
                <w:szCs w:val="16"/>
              </w:rPr>
              <w:t>X</w:t>
            </w:r>
          </w:p>
        </w:tc>
        <w:tc>
          <w:tcPr>
            <w:tcW w:w="428" w:type="dxa"/>
            <w:gridSpan w:val="2"/>
          </w:tcPr>
          <w:p w14:paraId="245541F3" w14:textId="77777777" w:rsidR="002B04EB" w:rsidRPr="003F7F6C" w:rsidRDefault="002B04EB" w:rsidP="00B851B7">
            <w:r w:rsidRPr="003F7F6C">
              <w:rPr>
                <w:rFonts w:cs="Calibri"/>
                <w:sz w:val="16"/>
                <w:szCs w:val="16"/>
              </w:rPr>
              <w:t>X</w:t>
            </w:r>
          </w:p>
        </w:tc>
        <w:tc>
          <w:tcPr>
            <w:tcW w:w="428" w:type="dxa"/>
          </w:tcPr>
          <w:p w14:paraId="75CFDEB7" w14:textId="77777777" w:rsidR="002B04EB" w:rsidRPr="003F7F6C" w:rsidRDefault="002B04EB" w:rsidP="00B851B7">
            <w:r w:rsidRPr="003F7F6C">
              <w:rPr>
                <w:rFonts w:cs="Calibri"/>
                <w:sz w:val="16"/>
                <w:szCs w:val="16"/>
              </w:rPr>
              <w:t>X</w:t>
            </w:r>
          </w:p>
        </w:tc>
        <w:tc>
          <w:tcPr>
            <w:tcW w:w="428" w:type="dxa"/>
          </w:tcPr>
          <w:p w14:paraId="42A011B5" w14:textId="77777777" w:rsidR="002B04EB" w:rsidRPr="003F7F6C" w:rsidRDefault="002B04EB" w:rsidP="00B851B7">
            <w:r w:rsidRPr="003F7F6C">
              <w:rPr>
                <w:rFonts w:cs="Calibri"/>
                <w:sz w:val="16"/>
                <w:szCs w:val="16"/>
              </w:rPr>
              <w:t>X</w:t>
            </w:r>
          </w:p>
        </w:tc>
        <w:tc>
          <w:tcPr>
            <w:tcW w:w="428" w:type="dxa"/>
          </w:tcPr>
          <w:p w14:paraId="11D43715" w14:textId="77777777" w:rsidR="002B04EB" w:rsidRPr="003F7F6C" w:rsidRDefault="002B04EB" w:rsidP="00B851B7">
            <w:r w:rsidRPr="003F7F6C">
              <w:rPr>
                <w:rFonts w:cs="Calibri"/>
                <w:sz w:val="16"/>
                <w:szCs w:val="16"/>
              </w:rPr>
              <w:t>X</w:t>
            </w:r>
          </w:p>
        </w:tc>
        <w:tc>
          <w:tcPr>
            <w:tcW w:w="428" w:type="dxa"/>
            <w:gridSpan w:val="2"/>
          </w:tcPr>
          <w:p w14:paraId="1551CA71" w14:textId="77777777" w:rsidR="002B04EB" w:rsidRPr="003F7F6C" w:rsidRDefault="002B04EB" w:rsidP="00B851B7">
            <w:r w:rsidRPr="003F7F6C">
              <w:rPr>
                <w:rFonts w:cs="Calibri"/>
                <w:sz w:val="16"/>
                <w:szCs w:val="16"/>
              </w:rPr>
              <w:t>X</w:t>
            </w:r>
          </w:p>
        </w:tc>
        <w:tc>
          <w:tcPr>
            <w:tcW w:w="428" w:type="dxa"/>
          </w:tcPr>
          <w:p w14:paraId="7DD01229" w14:textId="77777777" w:rsidR="002B04EB" w:rsidRPr="003F7F6C" w:rsidRDefault="002B04EB" w:rsidP="00B851B7">
            <w:r w:rsidRPr="003F7F6C">
              <w:rPr>
                <w:rFonts w:cs="Calibri"/>
                <w:sz w:val="16"/>
                <w:szCs w:val="16"/>
              </w:rPr>
              <w:t>X</w:t>
            </w:r>
          </w:p>
        </w:tc>
        <w:tc>
          <w:tcPr>
            <w:tcW w:w="428" w:type="dxa"/>
          </w:tcPr>
          <w:p w14:paraId="3255A92E" w14:textId="77777777" w:rsidR="002B04EB" w:rsidRPr="003F7F6C" w:rsidRDefault="002B04EB" w:rsidP="00B851B7">
            <w:r w:rsidRPr="003F7F6C">
              <w:rPr>
                <w:rFonts w:cs="Calibri"/>
                <w:sz w:val="16"/>
                <w:szCs w:val="16"/>
              </w:rPr>
              <w:t>X</w:t>
            </w:r>
          </w:p>
        </w:tc>
        <w:tc>
          <w:tcPr>
            <w:tcW w:w="428" w:type="dxa"/>
          </w:tcPr>
          <w:p w14:paraId="1B480DF9" w14:textId="77777777" w:rsidR="002B04EB" w:rsidRPr="003F7F6C" w:rsidRDefault="002B04EB" w:rsidP="00B851B7">
            <w:r w:rsidRPr="003F7F6C">
              <w:rPr>
                <w:rFonts w:cs="Calibri"/>
                <w:sz w:val="16"/>
                <w:szCs w:val="16"/>
              </w:rPr>
              <w:t>X</w:t>
            </w:r>
          </w:p>
        </w:tc>
        <w:tc>
          <w:tcPr>
            <w:tcW w:w="428" w:type="dxa"/>
            <w:gridSpan w:val="2"/>
          </w:tcPr>
          <w:p w14:paraId="364CCF24" w14:textId="77777777" w:rsidR="002B04EB" w:rsidRPr="003F7F6C" w:rsidRDefault="002B04EB" w:rsidP="00B851B7">
            <w:r w:rsidRPr="003F7F6C">
              <w:rPr>
                <w:rFonts w:cs="Calibri"/>
                <w:sz w:val="16"/>
                <w:szCs w:val="16"/>
              </w:rPr>
              <w:t>X</w:t>
            </w:r>
          </w:p>
        </w:tc>
        <w:tc>
          <w:tcPr>
            <w:tcW w:w="428" w:type="dxa"/>
          </w:tcPr>
          <w:p w14:paraId="3BB36F12" w14:textId="77777777" w:rsidR="002B04EB" w:rsidRPr="003F7F6C" w:rsidRDefault="002B04EB" w:rsidP="00B851B7">
            <w:r w:rsidRPr="003F7F6C">
              <w:rPr>
                <w:rFonts w:cs="Calibri"/>
                <w:sz w:val="16"/>
                <w:szCs w:val="16"/>
              </w:rPr>
              <w:t>X</w:t>
            </w:r>
          </w:p>
        </w:tc>
        <w:tc>
          <w:tcPr>
            <w:tcW w:w="428" w:type="dxa"/>
          </w:tcPr>
          <w:p w14:paraId="6DB8DAF4" w14:textId="77777777" w:rsidR="002B04EB" w:rsidRPr="003F7F6C" w:rsidRDefault="002B04EB" w:rsidP="00B851B7">
            <w:r w:rsidRPr="003F7F6C">
              <w:rPr>
                <w:rFonts w:cs="Calibri"/>
                <w:sz w:val="16"/>
                <w:szCs w:val="16"/>
              </w:rPr>
              <w:t>X</w:t>
            </w:r>
          </w:p>
        </w:tc>
        <w:tc>
          <w:tcPr>
            <w:tcW w:w="428" w:type="dxa"/>
          </w:tcPr>
          <w:p w14:paraId="67B4C58A" w14:textId="77777777" w:rsidR="002B04EB" w:rsidRPr="003F7F6C" w:rsidRDefault="002B04EB" w:rsidP="00B851B7">
            <w:r w:rsidRPr="003F7F6C">
              <w:rPr>
                <w:rFonts w:cs="Calibri"/>
                <w:sz w:val="16"/>
                <w:szCs w:val="16"/>
              </w:rPr>
              <w:t>X</w:t>
            </w:r>
          </w:p>
        </w:tc>
        <w:tc>
          <w:tcPr>
            <w:tcW w:w="428" w:type="dxa"/>
          </w:tcPr>
          <w:p w14:paraId="1D0B2590" w14:textId="77777777" w:rsidR="002B04EB" w:rsidRPr="003F7F6C" w:rsidRDefault="002B04EB" w:rsidP="00B851B7">
            <w:r w:rsidRPr="003F7F6C">
              <w:rPr>
                <w:rFonts w:cs="Calibri"/>
                <w:sz w:val="16"/>
                <w:szCs w:val="16"/>
              </w:rPr>
              <w:t>X</w:t>
            </w:r>
          </w:p>
        </w:tc>
      </w:tr>
      <w:tr w:rsidR="002B04EB" w:rsidRPr="003F7F6C" w14:paraId="31A215D4" w14:textId="77777777" w:rsidTr="00B851B7">
        <w:tc>
          <w:tcPr>
            <w:tcW w:w="1668" w:type="dxa"/>
          </w:tcPr>
          <w:p w14:paraId="31F77B03" w14:textId="77777777" w:rsidR="002B04EB" w:rsidRPr="003F7F6C" w:rsidRDefault="002B04EB" w:rsidP="00B851B7">
            <w:pPr>
              <w:rPr>
                <w:rFonts w:cs="Calibri"/>
                <w:sz w:val="16"/>
                <w:szCs w:val="16"/>
              </w:rPr>
            </w:pPr>
            <w:r w:rsidRPr="003F7F6C">
              <w:rPr>
                <w:rFonts w:cs="Calibri"/>
                <w:sz w:val="16"/>
                <w:szCs w:val="16"/>
              </w:rPr>
              <w:t>2.4.4 Sustainable production practices (cattle, sheep, camelids)</w:t>
            </w:r>
          </w:p>
        </w:tc>
        <w:tc>
          <w:tcPr>
            <w:tcW w:w="1057" w:type="dxa"/>
          </w:tcPr>
          <w:p w14:paraId="7E36E286" w14:textId="77777777" w:rsidR="002B04EB" w:rsidRPr="003F7F6C" w:rsidRDefault="002B04EB" w:rsidP="00B851B7">
            <w:r w:rsidRPr="003F7F6C">
              <w:rPr>
                <w:rFonts w:cs="Calibri"/>
                <w:sz w:val="16"/>
                <w:szCs w:val="16"/>
              </w:rPr>
              <w:t>Ministry of Environment</w:t>
            </w:r>
          </w:p>
        </w:tc>
        <w:tc>
          <w:tcPr>
            <w:tcW w:w="428" w:type="dxa"/>
          </w:tcPr>
          <w:p w14:paraId="1A9D36FA" w14:textId="77777777" w:rsidR="002B04EB" w:rsidRPr="003F7F6C" w:rsidRDefault="002B04EB" w:rsidP="00B851B7"/>
        </w:tc>
        <w:tc>
          <w:tcPr>
            <w:tcW w:w="444" w:type="dxa"/>
          </w:tcPr>
          <w:p w14:paraId="1C52D7E2" w14:textId="77777777" w:rsidR="002B04EB" w:rsidRPr="003F7F6C" w:rsidRDefault="002B04EB" w:rsidP="00B851B7">
            <w:r w:rsidRPr="003F7F6C">
              <w:rPr>
                <w:rFonts w:cs="Calibri"/>
                <w:sz w:val="16"/>
                <w:szCs w:val="16"/>
              </w:rPr>
              <w:t>X</w:t>
            </w:r>
          </w:p>
        </w:tc>
        <w:tc>
          <w:tcPr>
            <w:tcW w:w="428" w:type="dxa"/>
          </w:tcPr>
          <w:p w14:paraId="3130C262" w14:textId="77777777" w:rsidR="002B04EB" w:rsidRPr="003F7F6C" w:rsidRDefault="002B04EB" w:rsidP="00B851B7">
            <w:r w:rsidRPr="003F7F6C">
              <w:rPr>
                <w:rFonts w:cs="Calibri"/>
                <w:sz w:val="16"/>
                <w:szCs w:val="16"/>
              </w:rPr>
              <w:t>X</w:t>
            </w:r>
          </w:p>
        </w:tc>
        <w:tc>
          <w:tcPr>
            <w:tcW w:w="428" w:type="dxa"/>
            <w:gridSpan w:val="2"/>
          </w:tcPr>
          <w:p w14:paraId="369DF5CE" w14:textId="77777777" w:rsidR="002B04EB" w:rsidRPr="003F7F6C" w:rsidRDefault="002B04EB" w:rsidP="00B851B7">
            <w:r w:rsidRPr="003F7F6C">
              <w:rPr>
                <w:rFonts w:cs="Calibri"/>
                <w:sz w:val="16"/>
                <w:szCs w:val="16"/>
              </w:rPr>
              <w:t>X</w:t>
            </w:r>
          </w:p>
        </w:tc>
        <w:tc>
          <w:tcPr>
            <w:tcW w:w="428" w:type="dxa"/>
          </w:tcPr>
          <w:p w14:paraId="64EBAF42" w14:textId="77777777" w:rsidR="002B04EB" w:rsidRPr="003F7F6C" w:rsidRDefault="002B04EB" w:rsidP="00B851B7">
            <w:r w:rsidRPr="003F7F6C">
              <w:rPr>
                <w:rFonts w:cs="Calibri"/>
                <w:sz w:val="16"/>
                <w:szCs w:val="16"/>
              </w:rPr>
              <w:t>X</w:t>
            </w:r>
          </w:p>
        </w:tc>
        <w:tc>
          <w:tcPr>
            <w:tcW w:w="427" w:type="dxa"/>
          </w:tcPr>
          <w:p w14:paraId="40AF657F" w14:textId="77777777" w:rsidR="002B04EB" w:rsidRPr="003F7F6C" w:rsidRDefault="002B04EB" w:rsidP="00B851B7">
            <w:r w:rsidRPr="003F7F6C">
              <w:rPr>
                <w:rFonts w:cs="Calibri"/>
                <w:sz w:val="16"/>
                <w:szCs w:val="16"/>
              </w:rPr>
              <w:t>X</w:t>
            </w:r>
          </w:p>
        </w:tc>
        <w:tc>
          <w:tcPr>
            <w:tcW w:w="427" w:type="dxa"/>
          </w:tcPr>
          <w:p w14:paraId="23D58FE8" w14:textId="77777777" w:rsidR="002B04EB" w:rsidRPr="003F7F6C" w:rsidRDefault="002B04EB" w:rsidP="00B851B7">
            <w:r w:rsidRPr="003F7F6C">
              <w:rPr>
                <w:rFonts w:cs="Calibri"/>
                <w:sz w:val="16"/>
                <w:szCs w:val="16"/>
              </w:rPr>
              <w:t>X</w:t>
            </w:r>
          </w:p>
        </w:tc>
        <w:tc>
          <w:tcPr>
            <w:tcW w:w="427" w:type="dxa"/>
            <w:gridSpan w:val="2"/>
          </w:tcPr>
          <w:p w14:paraId="52FE77CB" w14:textId="77777777" w:rsidR="002B04EB" w:rsidRPr="003F7F6C" w:rsidRDefault="002B04EB" w:rsidP="00B851B7">
            <w:r w:rsidRPr="003F7F6C">
              <w:rPr>
                <w:rFonts w:cs="Calibri"/>
                <w:sz w:val="16"/>
                <w:szCs w:val="16"/>
              </w:rPr>
              <w:t>X</w:t>
            </w:r>
          </w:p>
        </w:tc>
        <w:tc>
          <w:tcPr>
            <w:tcW w:w="428" w:type="dxa"/>
          </w:tcPr>
          <w:p w14:paraId="07468FA6" w14:textId="77777777" w:rsidR="002B04EB" w:rsidRPr="003F7F6C" w:rsidRDefault="002B04EB" w:rsidP="00B851B7">
            <w:r w:rsidRPr="003F7F6C">
              <w:rPr>
                <w:rFonts w:cs="Calibri"/>
                <w:sz w:val="16"/>
                <w:szCs w:val="16"/>
              </w:rPr>
              <w:t>X</w:t>
            </w:r>
          </w:p>
        </w:tc>
        <w:tc>
          <w:tcPr>
            <w:tcW w:w="428" w:type="dxa"/>
          </w:tcPr>
          <w:p w14:paraId="3901922C" w14:textId="77777777" w:rsidR="002B04EB" w:rsidRPr="003F7F6C" w:rsidRDefault="002B04EB" w:rsidP="00B851B7">
            <w:r w:rsidRPr="003F7F6C">
              <w:rPr>
                <w:rFonts w:cs="Calibri"/>
                <w:sz w:val="16"/>
                <w:szCs w:val="16"/>
              </w:rPr>
              <w:t>X</w:t>
            </w:r>
          </w:p>
        </w:tc>
        <w:tc>
          <w:tcPr>
            <w:tcW w:w="428" w:type="dxa"/>
          </w:tcPr>
          <w:p w14:paraId="0C5164AD" w14:textId="77777777" w:rsidR="002B04EB" w:rsidRPr="003F7F6C" w:rsidRDefault="002B04EB" w:rsidP="00B851B7">
            <w:r w:rsidRPr="003F7F6C">
              <w:rPr>
                <w:rFonts w:cs="Calibri"/>
                <w:sz w:val="16"/>
                <w:szCs w:val="16"/>
              </w:rPr>
              <w:t>X</w:t>
            </w:r>
          </w:p>
        </w:tc>
        <w:tc>
          <w:tcPr>
            <w:tcW w:w="428" w:type="dxa"/>
            <w:gridSpan w:val="2"/>
          </w:tcPr>
          <w:p w14:paraId="298FE74A" w14:textId="77777777" w:rsidR="002B04EB" w:rsidRPr="003F7F6C" w:rsidRDefault="002B04EB" w:rsidP="00B851B7">
            <w:r w:rsidRPr="003F7F6C">
              <w:rPr>
                <w:rFonts w:cs="Calibri"/>
                <w:sz w:val="16"/>
                <w:szCs w:val="16"/>
              </w:rPr>
              <w:t>X</w:t>
            </w:r>
          </w:p>
        </w:tc>
        <w:tc>
          <w:tcPr>
            <w:tcW w:w="428" w:type="dxa"/>
          </w:tcPr>
          <w:p w14:paraId="10A8BC55" w14:textId="77777777" w:rsidR="002B04EB" w:rsidRPr="003F7F6C" w:rsidRDefault="002B04EB" w:rsidP="00B851B7">
            <w:r w:rsidRPr="003F7F6C">
              <w:rPr>
                <w:rFonts w:cs="Calibri"/>
                <w:sz w:val="16"/>
                <w:szCs w:val="16"/>
              </w:rPr>
              <w:t>X</w:t>
            </w:r>
          </w:p>
        </w:tc>
        <w:tc>
          <w:tcPr>
            <w:tcW w:w="428" w:type="dxa"/>
          </w:tcPr>
          <w:p w14:paraId="344DB011" w14:textId="77777777" w:rsidR="002B04EB" w:rsidRPr="003F7F6C" w:rsidRDefault="002B04EB" w:rsidP="00B851B7">
            <w:r w:rsidRPr="003F7F6C">
              <w:rPr>
                <w:rFonts w:cs="Calibri"/>
                <w:sz w:val="16"/>
                <w:szCs w:val="16"/>
              </w:rPr>
              <w:t>X</w:t>
            </w:r>
          </w:p>
        </w:tc>
        <w:tc>
          <w:tcPr>
            <w:tcW w:w="428" w:type="dxa"/>
          </w:tcPr>
          <w:p w14:paraId="236855F1" w14:textId="77777777" w:rsidR="002B04EB" w:rsidRPr="003F7F6C" w:rsidRDefault="002B04EB" w:rsidP="00B851B7">
            <w:r w:rsidRPr="003F7F6C">
              <w:rPr>
                <w:rFonts w:cs="Calibri"/>
                <w:sz w:val="16"/>
                <w:szCs w:val="16"/>
              </w:rPr>
              <w:t>X</w:t>
            </w:r>
          </w:p>
        </w:tc>
        <w:tc>
          <w:tcPr>
            <w:tcW w:w="428" w:type="dxa"/>
            <w:gridSpan w:val="2"/>
          </w:tcPr>
          <w:p w14:paraId="74B5C940" w14:textId="77777777" w:rsidR="002B04EB" w:rsidRPr="003F7F6C" w:rsidRDefault="002B04EB" w:rsidP="00B851B7">
            <w:r w:rsidRPr="003F7F6C">
              <w:rPr>
                <w:rFonts w:cs="Calibri"/>
                <w:sz w:val="16"/>
                <w:szCs w:val="16"/>
              </w:rPr>
              <w:t>X</w:t>
            </w:r>
          </w:p>
        </w:tc>
        <w:tc>
          <w:tcPr>
            <w:tcW w:w="428" w:type="dxa"/>
          </w:tcPr>
          <w:p w14:paraId="7CF6A01F" w14:textId="77777777" w:rsidR="002B04EB" w:rsidRPr="003F7F6C" w:rsidRDefault="002B04EB" w:rsidP="00B851B7">
            <w:r w:rsidRPr="003F7F6C">
              <w:rPr>
                <w:rFonts w:cs="Calibri"/>
                <w:sz w:val="16"/>
                <w:szCs w:val="16"/>
              </w:rPr>
              <w:t>X</w:t>
            </w:r>
          </w:p>
        </w:tc>
        <w:tc>
          <w:tcPr>
            <w:tcW w:w="428" w:type="dxa"/>
          </w:tcPr>
          <w:p w14:paraId="1C69B97A" w14:textId="77777777" w:rsidR="002B04EB" w:rsidRPr="003F7F6C" w:rsidRDefault="002B04EB" w:rsidP="00B851B7">
            <w:r w:rsidRPr="003F7F6C">
              <w:rPr>
                <w:rFonts w:cs="Calibri"/>
                <w:sz w:val="16"/>
                <w:szCs w:val="16"/>
              </w:rPr>
              <w:t>X</w:t>
            </w:r>
          </w:p>
        </w:tc>
        <w:tc>
          <w:tcPr>
            <w:tcW w:w="428" w:type="dxa"/>
          </w:tcPr>
          <w:p w14:paraId="1EFD4CAC" w14:textId="77777777" w:rsidR="002B04EB" w:rsidRPr="003F7F6C" w:rsidRDefault="002B04EB" w:rsidP="00B851B7">
            <w:r w:rsidRPr="003F7F6C">
              <w:rPr>
                <w:rFonts w:cs="Calibri"/>
                <w:sz w:val="16"/>
                <w:szCs w:val="16"/>
              </w:rPr>
              <w:t>X</w:t>
            </w:r>
          </w:p>
        </w:tc>
        <w:tc>
          <w:tcPr>
            <w:tcW w:w="428" w:type="dxa"/>
            <w:gridSpan w:val="2"/>
          </w:tcPr>
          <w:p w14:paraId="767323AB" w14:textId="77777777" w:rsidR="002B04EB" w:rsidRPr="003F7F6C" w:rsidRDefault="002B04EB" w:rsidP="00B851B7">
            <w:r w:rsidRPr="003F7F6C">
              <w:rPr>
                <w:rFonts w:cs="Calibri"/>
                <w:sz w:val="16"/>
                <w:szCs w:val="16"/>
              </w:rPr>
              <w:t>X</w:t>
            </w:r>
          </w:p>
        </w:tc>
        <w:tc>
          <w:tcPr>
            <w:tcW w:w="428" w:type="dxa"/>
          </w:tcPr>
          <w:p w14:paraId="3A2C5860" w14:textId="77777777" w:rsidR="002B04EB" w:rsidRPr="003F7F6C" w:rsidRDefault="002B04EB" w:rsidP="00B851B7">
            <w:r w:rsidRPr="003F7F6C">
              <w:rPr>
                <w:rFonts w:cs="Calibri"/>
                <w:sz w:val="16"/>
                <w:szCs w:val="16"/>
              </w:rPr>
              <w:t>X</w:t>
            </w:r>
          </w:p>
        </w:tc>
        <w:tc>
          <w:tcPr>
            <w:tcW w:w="428" w:type="dxa"/>
          </w:tcPr>
          <w:p w14:paraId="52471B16" w14:textId="77777777" w:rsidR="002B04EB" w:rsidRPr="003F7F6C" w:rsidRDefault="002B04EB" w:rsidP="00B851B7">
            <w:r w:rsidRPr="003F7F6C">
              <w:rPr>
                <w:rFonts w:cs="Calibri"/>
                <w:sz w:val="16"/>
                <w:szCs w:val="16"/>
              </w:rPr>
              <w:t>X</w:t>
            </w:r>
          </w:p>
        </w:tc>
        <w:tc>
          <w:tcPr>
            <w:tcW w:w="428" w:type="dxa"/>
          </w:tcPr>
          <w:p w14:paraId="0CE70E63" w14:textId="77777777" w:rsidR="002B04EB" w:rsidRPr="003F7F6C" w:rsidRDefault="002B04EB" w:rsidP="00B851B7">
            <w:r w:rsidRPr="003F7F6C">
              <w:rPr>
                <w:rFonts w:cs="Calibri"/>
                <w:sz w:val="16"/>
                <w:szCs w:val="16"/>
              </w:rPr>
              <w:t>X</w:t>
            </w:r>
          </w:p>
        </w:tc>
        <w:tc>
          <w:tcPr>
            <w:tcW w:w="428" w:type="dxa"/>
          </w:tcPr>
          <w:p w14:paraId="171F94F4" w14:textId="77777777" w:rsidR="002B04EB" w:rsidRPr="003F7F6C" w:rsidRDefault="002B04EB" w:rsidP="00B851B7">
            <w:r w:rsidRPr="003F7F6C">
              <w:rPr>
                <w:rFonts w:cs="Calibri"/>
                <w:sz w:val="16"/>
                <w:szCs w:val="16"/>
              </w:rPr>
              <w:t>X</w:t>
            </w:r>
          </w:p>
        </w:tc>
      </w:tr>
      <w:tr w:rsidR="002B04EB" w:rsidRPr="003F7F6C" w14:paraId="7FD23A9A" w14:textId="77777777" w:rsidTr="00B851B7">
        <w:tc>
          <w:tcPr>
            <w:tcW w:w="1668" w:type="dxa"/>
          </w:tcPr>
          <w:p w14:paraId="322C40E8" w14:textId="77777777" w:rsidR="002B04EB" w:rsidRPr="003F7F6C" w:rsidRDefault="002B04EB" w:rsidP="00E91275">
            <w:pPr>
              <w:pStyle w:val="ListParagraph"/>
              <w:numPr>
                <w:ilvl w:val="0"/>
                <w:numId w:val="29"/>
              </w:numPr>
              <w:ind w:left="174" w:hanging="174"/>
              <w:jc w:val="left"/>
              <w:rPr>
                <w:rFonts w:cs="Calibri"/>
                <w:sz w:val="16"/>
                <w:szCs w:val="16"/>
              </w:rPr>
            </w:pPr>
            <w:r w:rsidRPr="003F7F6C">
              <w:rPr>
                <w:rFonts w:cs="Calibri"/>
                <w:sz w:val="16"/>
                <w:szCs w:val="16"/>
              </w:rPr>
              <w:t>Assess practices and synergies with other projects</w:t>
            </w:r>
          </w:p>
        </w:tc>
        <w:tc>
          <w:tcPr>
            <w:tcW w:w="1057" w:type="dxa"/>
          </w:tcPr>
          <w:p w14:paraId="66C2C46B" w14:textId="77777777" w:rsidR="002B04EB" w:rsidRPr="003F7F6C" w:rsidRDefault="002B04EB" w:rsidP="00B851B7">
            <w:r w:rsidRPr="003F7F6C">
              <w:rPr>
                <w:rFonts w:cs="Calibri"/>
                <w:sz w:val="16"/>
                <w:szCs w:val="16"/>
              </w:rPr>
              <w:t>Ministry of Environment</w:t>
            </w:r>
          </w:p>
        </w:tc>
        <w:tc>
          <w:tcPr>
            <w:tcW w:w="428" w:type="dxa"/>
          </w:tcPr>
          <w:p w14:paraId="58F6294B" w14:textId="77777777" w:rsidR="002B04EB" w:rsidRPr="003F7F6C" w:rsidRDefault="002B04EB" w:rsidP="00B851B7"/>
        </w:tc>
        <w:tc>
          <w:tcPr>
            <w:tcW w:w="444" w:type="dxa"/>
          </w:tcPr>
          <w:p w14:paraId="769AF5B7" w14:textId="77777777" w:rsidR="002B04EB" w:rsidRPr="003F7F6C" w:rsidRDefault="002B04EB" w:rsidP="00B851B7">
            <w:r w:rsidRPr="003F7F6C">
              <w:rPr>
                <w:rFonts w:cs="Calibri"/>
                <w:sz w:val="16"/>
                <w:szCs w:val="16"/>
              </w:rPr>
              <w:t>X</w:t>
            </w:r>
          </w:p>
        </w:tc>
        <w:tc>
          <w:tcPr>
            <w:tcW w:w="428" w:type="dxa"/>
          </w:tcPr>
          <w:p w14:paraId="31D154A8" w14:textId="77777777" w:rsidR="002B04EB" w:rsidRPr="003F7F6C" w:rsidRDefault="002B04EB" w:rsidP="00B851B7">
            <w:r w:rsidRPr="003F7F6C">
              <w:rPr>
                <w:rFonts w:cs="Calibri"/>
                <w:sz w:val="16"/>
                <w:szCs w:val="16"/>
              </w:rPr>
              <w:t>X</w:t>
            </w:r>
          </w:p>
        </w:tc>
        <w:tc>
          <w:tcPr>
            <w:tcW w:w="428" w:type="dxa"/>
            <w:gridSpan w:val="2"/>
          </w:tcPr>
          <w:p w14:paraId="46A98F84" w14:textId="77777777" w:rsidR="002B04EB" w:rsidRPr="003F7F6C" w:rsidRDefault="002B04EB" w:rsidP="00B851B7">
            <w:r w:rsidRPr="003F7F6C">
              <w:rPr>
                <w:rFonts w:cs="Calibri"/>
                <w:sz w:val="16"/>
                <w:szCs w:val="16"/>
              </w:rPr>
              <w:t>X</w:t>
            </w:r>
          </w:p>
        </w:tc>
        <w:tc>
          <w:tcPr>
            <w:tcW w:w="428" w:type="dxa"/>
          </w:tcPr>
          <w:p w14:paraId="71F396AA" w14:textId="77777777" w:rsidR="002B04EB" w:rsidRPr="003F7F6C" w:rsidRDefault="002B04EB" w:rsidP="00B851B7">
            <w:r w:rsidRPr="003F7F6C">
              <w:rPr>
                <w:rFonts w:cs="Calibri"/>
                <w:sz w:val="16"/>
                <w:szCs w:val="16"/>
              </w:rPr>
              <w:t>X</w:t>
            </w:r>
          </w:p>
        </w:tc>
        <w:tc>
          <w:tcPr>
            <w:tcW w:w="427" w:type="dxa"/>
          </w:tcPr>
          <w:p w14:paraId="28E7DE30" w14:textId="77777777" w:rsidR="002B04EB" w:rsidRPr="003F7F6C" w:rsidRDefault="002B04EB" w:rsidP="00B851B7">
            <w:r w:rsidRPr="003F7F6C">
              <w:rPr>
                <w:rFonts w:cs="Calibri"/>
                <w:sz w:val="16"/>
                <w:szCs w:val="16"/>
              </w:rPr>
              <w:t>X</w:t>
            </w:r>
          </w:p>
        </w:tc>
        <w:tc>
          <w:tcPr>
            <w:tcW w:w="427" w:type="dxa"/>
          </w:tcPr>
          <w:p w14:paraId="6243969A" w14:textId="77777777" w:rsidR="002B04EB" w:rsidRPr="003F7F6C" w:rsidRDefault="002B04EB" w:rsidP="00B851B7">
            <w:r w:rsidRPr="003F7F6C">
              <w:rPr>
                <w:rFonts w:cs="Calibri"/>
                <w:sz w:val="16"/>
                <w:szCs w:val="16"/>
              </w:rPr>
              <w:t>X</w:t>
            </w:r>
          </w:p>
        </w:tc>
        <w:tc>
          <w:tcPr>
            <w:tcW w:w="427" w:type="dxa"/>
            <w:gridSpan w:val="2"/>
          </w:tcPr>
          <w:p w14:paraId="55F57081" w14:textId="77777777" w:rsidR="002B04EB" w:rsidRPr="003F7F6C" w:rsidRDefault="002B04EB" w:rsidP="00B851B7">
            <w:r w:rsidRPr="003F7F6C">
              <w:rPr>
                <w:rFonts w:cs="Calibri"/>
                <w:sz w:val="16"/>
                <w:szCs w:val="16"/>
              </w:rPr>
              <w:t>X</w:t>
            </w:r>
          </w:p>
        </w:tc>
        <w:tc>
          <w:tcPr>
            <w:tcW w:w="428" w:type="dxa"/>
          </w:tcPr>
          <w:p w14:paraId="43E9E78B" w14:textId="77777777" w:rsidR="002B04EB" w:rsidRPr="003F7F6C" w:rsidRDefault="002B04EB" w:rsidP="00B851B7">
            <w:r w:rsidRPr="003F7F6C">
              <w:rPr>
                <w:rFonts w:cs="Calibri"/>
                <w:sz w:val="16"/>
                <w:szCs w:val="16"/>
              </w:rPr>
              <w:t>X</w:t>
            </w:r>
          </w:p>
        </w:tc>
        <w:tc>
          <w:tcPr>
            <w:tcW w:w="428" w:type="dxa"/>
          </w:tcPr>
          <w:p w14:paraId="7F64A1CC" w14:textId="77777777" w:rsidR="002B04EB" w:rsidRPr="003F7F6C" w:rsidRDefault="002B04EB" w:rsidP="00B851B7">
            <w:r w:rsidRPr="003F7F6C">
              <w:rPr>
                <w:rFonts w:cs="Calibri"/>
                <w:sz w:val="16"/>
                <w:szCs w:val="16"/>
              </w:rPr>
              <w:t>X</w:t>
            </w:r>
          </w:p>
        </w:tc>
        <w:tc>
          <w:tcPr>
            <w:tcW w:w="428" w:type="dxa"/>
          </w:tcPr>
          <w:p w14:paraId="52A01B4D" w14:textId="77777777" w:rsidR="002B04EB" w:rsidRPr="003F7F6C" w:rsidRDefault="002B04EB" w:rsidP="00B851B7">
            <w:r w:rsidRPr="003F7F6C">
              <w:rPr>
                <w:rFonts w:cs="Calibri"/>
                <w:sz w:val="16"/>
                <w:szCs w:val="16"/>
              </w:rPr>
              <w:t>X</w:t>
            </w:r>
          </w:p>
        </w:tc>
        <w:tc>
          <w:tcPr>
            <w:tcW w:w="428" w:type="dxa"/>
            <w:gridSpan w:val="2"/>
          </w:tcPr>
          <w:p w14:paraId="63442D1E" w14:textId="77777777" w:rsidR="002B04EB" w:rsidRPr="003F7F6C" w:rsidRDefault="002B04EB" w:rsidP="00B851B7">
            <w:r w:rsidRPr="003F7F6C">
              <w:rPr>
                <w:rFonts w:cs="Calibri"/>
                <w:sz w:val="16"/>
                <w:szCs w:val="16"/>
              </w:rPr>
              <w:t>X</w:t>
            </w:r>
          </w:p>
        </w:tc>
        <w:tc>
          <w:tcPr>
            <w:tcW w:w="428" w:type="dxa"/>
          </w:tcPr>
          <w:p w14:paraId="4983B110" w14:textId="77777777" w:rsidR="002B04EB" w:rsidRPr="003F7F6C" w:rsidRDefault="002B04EB" w:rsidP="00B851B7">
            <w:pPr>
              <w:rPr>
                <w:rFonts w:cs="Calibri"/>
                <w:sz w:val="16"/>
                <w:szCs w:val="16"/>
              </w:rPr>
            </w:pPr>
          </w:p>
        </w:tc>
        <w:tc>
          <w:tcPr>
            <w:tcW w:w="428" w:type="dxa"/>
          </w:tcPr>
          <w:p w14:paraId="5C2C927F" w14:textId="77777777" w:rsidR="002B04EB" w:rsidRPr="003F7F6C" w:rsidRDefault="002B04EB" w:rsidP="00B851B7">
            <w:pPr>
              <w:rPr>
                <w:rFonts w:cs="Calibri"/>
                <w:sz w:val="16"/>
                <w:szCs w:val="16"/>
              </w:rPr>
            </w:pPr>
          </w:p>
        </w:tc>
        <w:tc>
          <w:tcPr>
            <w:tcW w:w="428" w:type="dxa"/>
          </w:tcPr>
          <w:p w14:paraId="34FCEA41" w14:textId="77777777" w:rsidR="002B04EB" w:rsidRPr="003F7F6C" w:rsidRDefault="002B04EB" w:rsidP="00B851B7">
            <w:pPr>
              <w:rPr>
                <w:rFonts w:cs="Calibri"/>
                <w:sz w:val="16"/>
                <w:szCs w:val="16"/>
              </w:rPr>
            </w:pPr>
          </w:p>
        </w:tc>
        <w:tc>
          <w:tcPr>
            <w:tcW w:w="428" w:type="dxa"/>
            <w:gridSpan w:val="2"/>
          </w:tcPr>
          <w:p w14:paraId="65B38A77" w14:textId="77777777" w:rsidR="002B04EB" w:rsidRPr="003F7F6C" w:rsidRDefault="002B04EB" w:rsidP="00B851B7">
            <w:pPr>
              <w:rPr>
                <w:rFonts w:cs="Calibri"/>
                <w:sz w:val="16"/>
                <w:szCs w:val="16"/>
              </w:rPr>
            </w:pPr>
          </w:p>
        </w:tc>
        <w:tc>
          <w:tcPr>
            <w:tcW w:w="428" w:type="dxa"/>
          </w:tcPr>
          <w:p w14:paraId="33D3E2AE" w14:textId="77777777" w:rsidR="002B04EB" w:rsidRPr="003F7F6C" w:rsidRDefault="002B04EB" w:rsidP="00B851B7">
            <w:pPr>
              <w:rPr>
                <w:rFonts w:cs="Calibri"/>
                <w:sz w:val="16"/>
                <w:szCs w:val="16"/>
              </w:rPr>
            </w:pPr>
          </w:p>
        </w:tc>
        <w:tc>
          <w:tcPr>
            <w:tcW w:w="428" w:type="dxa"/>
          </w:tcPr>
          <w:p w14:paraId="62ABF2D1" w14:textId="77777777" w:rsidR="002B04EB" w:rsidRPr="003F7F6C" w:rsidRDefault="002B04EB" w:rsidP="00B851B7">
            <w:pPr>
              <w:rPr>
                <w:rFonts w:cs="Calibri"/>
                <w:sz w:val="16"/>
                <w:szCs w:val="16"/>
              </w:rPr>
            </w:pPr>
          </w:p>
        </w:tc>
        <w:tc>
          <w:tcPr>
            <w:tcW w:w="428" w:type="dxa"/>
          </w:tcPr>
          <w:p w14:paraId="798F324F" w14:textId="77777777" w:rsidR="002B04EB" w:rsidRPr="003F7F6C" w:rsidRDefault="002B04EB" w:rsidP="00B851B7">
            <w:pPr>
              <w:rPr>
                <w:rFonts w:cs="Calibri"/>
                <w:sz w:val="16"/>
                <w:szCs w:val="16"/>
              </w:rPr>
            </w:pPr>
          </w:p>
        </w:tc>
        <w:tc>
          <w:tcPr>
            <w:tcW w:w="428" w:type="dxa"/>
            <w:gridSpan w:val="2"/>
          </w:tcPr>
          <w:p w14:paraId="058A009B" w14:textId="77777777" w:rsidR="002B04EB" w:rsidRPr="003F7F6C" w:rsidRDefault="002B04EB" w:rsidP="00B851B7">
            <w:pPr>
              <w:rPr>
                <w:rFonts w:cs="Calibri"/>
                <w:sz w:val="16"/>
                <w:szCs w:val="16"/>
              </w:rPr>
            </w:pPr>
          </w:p>
        </w:tc>
        <w:tc>
          <w:tcPr>
            <w:tcW w:w="428" w:type="dxa"/>
          </w:tcPr>
          <w:p w14:paraId="1A45F02F" w14:textId="77777777" w:rsidR="002B04EB" w:rsidRPr="003F7F6C" w:rsidRDefault="002B04EB" w:rsidP="00B851B7">
            <w:pPr>
              <w:rPr>
                <w:rFonts w:cs="Calibri"/>
                <w:sz w:val="16"/>
                <w:szCs w:val="16"/>
              </w:rPr>
            </w:pPr>
          </w:p>
        </w:tc>
        <w:tc>
          <w:tcPr>
            <w:tcW w:w="428" w:type="dxa"/>
          </w:tcPr>
          <w:p w14:paraId="081C058F" w14:textId="77777777" w:rsidR="002B04EB" w:rsidRPr="003F7F6C" w:rsidRDefault="002B04EB" w:rsidP="00B851B7">
            <w:pPr>
              <w:rPr>
                <w:rFonts w:cs="Calibri"/>
                <w:sz w:val="16"/>
                <w:szCs w:val="16"/>
              </w:rPr>
            </w:pPr>
          </w:p>
        </w:tc>
        <w:tc>
          <w:tcPr>
            <w:tcW w:w="428" w:type="dxa"/>
          </w:tcPr>
          <w:p w14:paraId="360DE131" w14:textId="77777777" w:rsidR="002B04EB" w:rsidRPr="003F7F6C" w:rsidRDefault="002B04EB" w:rsidP="00B851B7">
            <w:pPr>
              <w:rPr>
                <w:rFonts w:cs="Calibri"/>
                <w:sz w:val="16"/>
                <w:szCs w:val="16"/>
              </w:rPr>
            </w:pPr>
          </w:p>
        </w:tc>
        <w:tc>
          <w:tcPr>
            <w:tcW w:w="428" w:type="dxa"/>
          </w:tcPr>
          <w:p w14:paraId="4D84EF04" w14:textId="77777777" w:rsidR="002B04EB" w:rsidRPr="003F7F6C" w:rsidRDefault="002B04EB" w:rsidP="00B851B7">
            <w:pPr>
              <w:rPr>
                <w:rFonts w:cs="Calibri"/>
                <w:sz w:val="16"/>
                <w:szCs w:val="16"/>
              </w:rPr>
            </w:pPr>
          </w:p>
        </w:tc>
      </w:tr>
      <w:tr w:rsidR="002B04EB" w:rsidRPr="003F7F6C" w14:paraId="54AF7391" w14:textId="77777777" w:rsidTr="00B851B7">
        <w:tc>
          <w:tcPr>
            <w:tcW w:w="1668" w:type="dxa"/>
          </w:tcPr>
          <w:p w14:paraId="3F1F1118" w14:textId="77777777" w:rsidR="002B04EB" w:rsidRPr="003F7F6C" w:rsidRDefault="002B04EB" w:rsidP="00E91275">
            <w:pPr>
              <w:pStyle w:val="ListParagraph"/>
              <w:numPr>
                <w:ilvl w:val="0"/>
                <w:numId w:val="29"/>
              </w:numPr>
              <w:ind w:left="174" w:hanging="174"/>
              <w:jc w:val="left"/>
              <w:rPr>
                <w:rFonts w:cs="Calibri"/>
                <w:sz w:val="16"/>
                <w:szCs w:val="16"/>
              </w:rPr>
            </w:pPr>
            <w:r w:rsidRPr="003F7F6C">
              <w:rPr>
                <w:rFonts w:cs="Calibri"/>
                <w:sz w:val="16"/>
                <w:szCs w:val="16"/>
              </w:rPr>
              <w:t>Implement practices</w:t>
            </w:r>
          </w:p>
        </w:tc>
        <w:tc>
          <w:tcPr>
            <w:tcW w:w="1057" w:type="dxa"/>
          </w:tcPr>
          <w:p w14:paraId="25DF95F8" w14:textId="77777777" w:rsidR="002B04EB" w:rsidRPr="003F7F6C" w:rsidRDefault="002B04EB" w:rsidP="00B851B7">
            <w:r w:rsidRPr="003F7F6C">
              <w:rPr>
                <w:rFonts w:cs="Calibri"/>
                <w:sz w:val="16"/>
                <w:szCs w:val="16"/>
              </w:rPr>
              <w:t>Ministry of Environment</w:t>
            </w:r>
          </w:p>
        </w:tc>
        <w:tc>
          <w:tcPr>
            <w:tcW w:w="428" w:type="dxa"/>
          </w:tcPr>
          <w:p w14:paraId="0D89132E" w14:textId="77777777" w:rsidR="002B04EB" w:rsidRPr="003F7F6C" w:rsidRDefault="002B04EB" w:rsidP="00B851B7">
            <w:pPr>
              <w:rPr>
                <w:rFonts w:cs="Calibri"/>
                <w:sz w:val="16"/>
                <w:szCs w:val="16"/>
              </w:rPr>
            </w:pPr>
          </w:p>
        </w:tc>
        <w:tc>
          <w:tcPr>
            <w:tcW w:w="444" w:type="dxa"/>
          </w:tcPr>
          <w:p w14:paraId="5EB17525" w14:textId="77777777" w:rsidR="002B04EB" w:rsidRPr="003F7F6C" w:rsidRDefault="002B04EB" w:rsidP="00B851B7">
            <w:pPr>
              <w:rPr>
                <w:rFonts w:cs="Calibri"/>
                <w:sz w:val="16"/>
                <w:szCs w:val="16"/>
              </w:rPr>
            </w:pPr>
          </w:p>
        </w:tc>
        <w:tc>
          <w:tcPr>
            <w:tcW w:w="428" w:type="dxa"/>
          </w:tcPr>
          <w:p w14:paraId="58E7F770" w14:textId="77777777" w:rsidR="002B04EB" w:rsidRPr="003F7F6C" w:rsidRDefault="002B04EB" w:rsidP="00B851B7">
            <w:pPr>
              <w:rPr>
                <w:rFonts w:cs="Calibri"/>
                <w:sz w:val="16"/>
                <w:szCs w:val="16"/>
              </w:rPr>
            </w:pPr>
          </w:p>
        </w:tc>
        <w:tc>
          <w:tcPr>
            <w:tcW w:w="428" w:type="dxa"/>
            <w:gridSpan w:val="2"/>
          </w:tcPr>
          <w:p w14:paraId="560C6C36" w14:textId="77777777" w:rsidR="002B04EB" w:rsidRPr="003F7F6C" w:rsidRDefault="002B04EB" w:rsidP="00B851B7">
            <w:pPr>
              <w:rPr>
                <w:rFonts w:cs="Calibri"/>
                <w:sz w:val="16"/>
                <w:szCs w:val="16"/>
              </w:rPr>
            </w:pPr>
          </w:p>
        </w:tc>
        <w:tc>
          <w:tcPr>
            <w:tcW w:w="428" w:type="dxa"/>
          </w:tcPr>
          <w:p w14:paraId="35A03C5E" w14:textId="77777777" w:rsidR="002B04EB" w:rsidRPr="003F7F6C" w:rsidRDefault="002B04EB" w:rsidP="00B851B7">
            <w:pPr>
              <w:rPr>
                <w:rFonts w:cs="Calibri"/>
                <w:sz w:val="16"/>
                <w:szCs w:val="16"/>
              </w:rPr>
            </w:pPr>
          </w:p>
        </w:tc>
        <w:tc>
          <w:tcPr>
            <w:tcW w:w="427" w:type="dxa"/>
          </w:tcPr>
          <w:p w14:paraId="5F38B970" w14:textId="77777777" w:rsidR="002B04EB" w:rsidRPr="003F7F6C" w:rsidRDefault="002B04EB" w:rsidP="00B851B7">
            <w:pPr>
              <w:rPr>
                <w:rFonts w:cs="Calibri"/>
                <w:sz w:val="16"/>
                <w:szCs w:val="16"/>
              </w:rPr>
            </w:pPr>
          </w:p>
        </w:tc>
        <w:tc>
          <w:tcPr>
            <w:tcW w:w="427" w:type="dxa"/>
          </w:tcPr>
          <w:p w14:paraId="1E2EEEFB" w14:textId="77777777" w:rsidR="002B04EB" w:rsidRPr="003F7F6C" w:rsidRDefault="002B04EB" w:rsidP="00B851B7">
            <w:pPr>
              <w:rPr>
                <w:rFonts w:cs="Calibri"/>
                <w:sz w:val="16"/>
                <w:szCs w:val="16"/>
              </w:rPr>
            </w:pPr>
          </w:p>
        </w:tc>
        <w:tc>
          <w:tcPr>
            <w:tcW w:w="427" w:type="dxa"/>
            <w:gridSpan w:val="2"/>
          </w:tcPr>
          <w:p w14:paraId="0992DF3D" w14:textId="77777777" w:rsidR="002B04EB" w:rsidRPr="003F7F6C" w:rsidRDefault="002B04EB" w:rsidP="00B851B7">
            <w:pPr>
              <w:rPr>
                <w:rFonts w:cs="Calibri"/>
                <w:sz w:val="16"/>
                <w:szCs w:val="16"/>
              </w:rPr>
            </w:pPr>
          </w:p>
        </w:tc>
        <w:tc>
          <w:tcPr>
            <w:tcW w:w="428" w:type="dxa"/>
          </w:tcPr>
          <w:p w14:paraId="628AE8A5" w14:textId="77777777" w:rsidR="002B04EB" w:rsidRPr="003F7F6C" w:rsidRDefault="002B04EB" w:rsidP="00B851B7">
            <w:pPr>
              <w:rPr>
                <w:rFonts w:cs="Calibri"/>
                <w:sz w:val="16"/>
                <w:szCs w:val="16"/>
              </w:rPr>
            </w:pPr>
          </w:p>
        </w:tc>
        <w:tc>
          <w:tcPr>
            <w:tcW w:w="428" w:type="dxa"/>
          </w:tcPr>
          <w:p w14:paraId="060BF8B5" w14:textId="77777777" w:rsidR="002B04EB" w:rsidRPr="003F7F6C" w:rsidRDefault="002B04EB" w:rsidP="00B851B7">
            <w:pPr>
              <w:rPr>
                <w:rFonts w:cs="Calibri"/>
                <w:sz w:val="16"/>
                <w:szCs w:val="16"/>
              </w:rPr>
            </w:pPr>
          </w:p>
        </w:tc>
        <w:tc>
          <w:tcPr>
            <w:tcW w:w="428" w:type="dxa"/>
          </w:tcPr>
          <w:p w14:paraId="1450E769" w14:textId="77777777" w:rsidR="002B04EB" w:rsidRPr="003F7F6C" w:rsidRDefault="002B04EB" w:rsidP="00B851B7">
            <w:pPr>
              <w:rPr>
                <w:rFonts w:cs="Calibri"/>
                <w:sz w:val="16"/>
                <w:szCs w:val="16"/>
              </w:rPr>
            </w:pPr>
          </w:p>
        </w:tc>
        <w:tc>
          <w:tcPr>
            <w:tcW w:w="428" w:type="dxa"/>
            <w:gridSpan w:val="2"/>
          </w:tcPr>
          <w:p w14:paraId="7ECA6EB3" w14:textId="77777777" w:rsidR="002B04EB" w:rsidRPr="003F7F6C" w:rsidRDefault="002B04EB" w:rsidP="00B851B7">
            <w:pPr>
              <w:rPr>
                <w:rFonts w:cs="Calibri"/>
                <w:sz w:val="16"/>
                <w:szCs w:val="16"/>
              </w:rPr>
            </w:pPr>
          </w:p>
        </w:tc>
        <w:tc>
          <w:tcPr>
            <w:tcW w:w="428" w:type="dxa"/>
          </w:tcPr>
          <w:p w14:paraId="3705B4C6" w14:textId="77777777" w:rsidR="002B04EB" w:rsidRPr="003F7F6C" w:rsidRDefault="002B04EB" w:rsidP="00B851B7">
            <w:r w:rsidRPr="003F7F6C">
              <w:rPr>
                <w:rFonts w:cs="Calibri"/>
                <w:sz w:val="16"/>
                <w:szCs w:val="16"/>
              </w:rPr>
              <w:t>X</w:t>
            </w:r>
          </w:p>
        </w:tc>
        <w:tc>
          <w:tcPr>
            <w:tcW w:w="428" w:type="dxa"/>
          </w:tcPr>
          <w:p w14:paraId="70F4F18F" w14:textId="77777777" w:rsidR="002B04EB" w:rsidRPr="003F7F6C" w:rsidRDefault="002B04EB" w:rsidP="00B851B7">
            <w:r w:rsidRPr="003F7F6C">
              <w:rPr>
                <w:rFonts w:cs="Calibri"/>
                <w:sz w:val="16"/>
                <w:szCs w:val="16"/>
              </w:rPr>
              <w:t>X</w:t>
            </w:r>
          </w:p>
        </w:tc>
        <w:tc>
          <w:tcPr>
            <w:tcW w:w="428" w:type="dxa"/>
          </w:tcPr>
          <w:p w14:paraId="7FE3EEC9" w14:textId="77777777" w:rsidR="002B04EB" w:rsidRPr="003F7F6C" w:rsidRDefault="002B04EB" w:rsidP="00B851B7">
            <w:r w:rsidRPr="003F7F6C">
              <w:rPr>
                <w:rFonts w:cs="Calibri"/>
                <w:sz w:val="16"/>
                <w:szCs w:val="16"/>
              </w:rPr>
              <w:t>X</w:t>
            </w:r>
          </w:p>
        </w:tc>
        <w:tc>
          <w:tcPr>
            <w:tcW w:w="428" w:type="dxa"/>
            <w:gridSpan w:val="2"/>
          </w:tcPr>
          <w:p w14:paraId="664C8E54" w14:textId="77777777" w:rsidR="002B04EB" w:rsidRPr="003F7F6C" w:rsidRDefault="002B04EB" w:rsidP="00B851B7">
            <w:r w:rsidRPr="003F7F6C">
              <w:rPr>
                <w:rFonts w:cs="Calibri"/>
                <w:sz w:val="16"/>
                <w:szCs w:val="16"/>
              </w:rPr>
              <w:t>X</w:t>
            </w:r>
          </w:p>
        </w:tc>
        <w:tc>
          <w:tcPr>
            <w:tcW w:w="428" w:type="dxa"/>
          </w:tcPr>
          <w:p w14:paraId="21FD095B" w14:textId="77777777" w:rsidR="002B04EB" w:rsidRPr="003F7F6C" w:rsidRDefault="002B04EB" w:rsidP="00B851B7">
            <w:r w:rsidRPr="003F7F6C">
              <w:rPr>
                <w:rFonts w:cs="Calibri"/>
                <w:sz w:val="16"/>
                <w:szCs w:val="16"/>
              </w:rPr>
              <w:t>X</w:t>
            </w:r>
          </w:p>
        </w:tc>
        <w:tc>
          <w:tcPr>
            <w:tcW w:w="428" w:type="dxa"/>
          </w:tcPr>
          <w:p w14:paraId="035C9D90" w14:textId="77777777" w:rsidR="002B04EB" w:rsidRPr="003F7F6C" w:rsidRDefault="002B04EB" w:rsidP="00B851B7">
            <w:r w:rsidRPr="003F7F6C">
              <w:rPr>
                <w:rFonts w:cs="Calibri"/>
                <w:sz w:val="16"/>
                <w:szCs w:val="16"/>
              </w:rPr>
              <w:t>X</w:t>
            </w:r>
          </w:p>
        </w:tc>
        <w:tc>
          <w:tcPr>
            <w:tcW w:w="428" w:type="dxa"/>
          </w:tcPr>
          <w:p w14:paraId="131544F4" w14:textId="77777777" w:rsidR="002B04EB" w:rsidRPr="003F7F6C" w:rsidRDefault="002B04EB" w:rsidP="00B851B7">
            <w:r w:rsidRPr="003F7F6C">
              <w:rPr>
                <w:rFonts w:cs="Calibri"/>
                <w:sz w:val="16"/>
                <w:szCs w:val="16"/>
              </w:rPr>
              <w:t>X</w:t>
            </w:r>
          </w:p>
        </w:tc>
        <w:tc>
          <w:tcPr>
            <w:tcW w:w="428" w:type="dxa"/>
            <w:gridSpan w:val="2"/>
          </w:tcPr>
          <w:p w14:paraId="3202FB7D" w14:textId="77777777" w:rsidR="002B04EB" w:rsidRPr="003F7F6C" w:rsidRDefault="002B04EB" w:rsidP="00B851B7">
            <w:r w:rsidRPr="003F7F6C">
              <w:rPr>
                <w:rFonts w:cs="Calibri"/>
                <w:sz w:val="16"/>
                <w:szCs w:val="16"/>
              </w:rPr>
              <w:t>X</w:t>
            </w:r>
          </w:p>
        </w:tc>
        <w:tc>
          <w:tcPr>
            <w:tcW w:w="428" w:type="dxa"/>
          </w:tcPr>
          <w:p w14:paraId="3776C2C0" w14:textId="77777777" w:rsidR="002B04EB" w:rsidRPr="003F7F6C" w:rsidRDefault="002B04EB" w:rsidP="00B851B7">
            <w:r w:rsidRPr="003F7F6C">
              <w:rPr>
                <w:rFonts w:cs="Calibri"/>
                <w:sz w:val="16"/>
                <w:szCs w:val="16"/>
              </w:rPr>
              <w:t>X</w:t>
            </w:r>
          </w:p>
        </w:tc>
        <w:tc>
          <w:tcPr>
            <w:tcW w:w="428" w:type="dxa"/>
          </w:tcPr>
          <w:p w14:paraId="621A1F82" w14:textId="77777777" w:rsidR="002B04EB" w:rsidRPr="003F7F6C" w:rsidRDefault="002B04EB" w:rsidP="00B851B7">
            <w:r w:rsidRPr="003F7F6C">
              <w:rPr>
                <w:rFonts w:cs="Calibri"/>
                <w:sz w:val="16"/>
                <w:szCs w:val="16"/>
              </w:rPr>
              <w:t>X</w:t>
            </w:r>
          </w:p>
        </w:tc>
        <w:tc>
          <w:tcPr>
            <w:tcW w:w="428" w:type="dxa"/>
          </w:tcPr>
          <w:p w14:paraId="1F379D50" w14:textId="77777777" w:rsidR="002B04EB" w:rsidRPr="003F7F6C" w:rsidRDefault="002B04EB" w:rsidP="00B851B7">
            <w:r w:rsidRPr="003F7F6C">
              <w:rPr>
                <w:rFonts w:cs="Calibri"/>
                <w:sz w:val="16"/>
                <w:szCs w:val="16"/>
              </w:rPr>
              <w:t>X</w:t>
            </w:r>
          </w:p>
        </w:tc>
        <w:tc>
          <w:tcPr>
            <w:tcW w:w="428" w:type="dxa"/>
          </w:tcPr>
          <w:p w14:paraId="339ACCCC" w14:textId="77777777" w:rsidR="002B04EB" w:rsidRPr="003F7F6C" w:rsidRDefault="002B04EB" w:rsidP="00B851B7">
            <w:r w:rsidRPr="003F7F6C">
              <w:rPr>
                <w:rFonts w:cs="Calibri"/>
                <w:sz w:val="16"/>
                <w:szCs w:val="16"/>
              </w:rPr>
              <w:t>X</w:t>
            </w:r>
          </w:p>
        </w:tc>
      </w:tr>
      <w:tr w:rsidR="002B04EB" w:rsidRPr="003F7F6C" w14:paraId="3CC2F6AD" w14:textId="77777777" w:rsidTr="00B851B7">
        <w:tc>
          <w:tcPr>
            <w:tcW w:w="1668" w:type="dxa"/>
          </w:tcPr>
          <w:p w14:paraId="69F16A20" w14:textId="77777777" w:rsidR="002B04EB" w:rsidRPr="003F7F6C" w:rsidRDefault="002B04EB" w:rsidP="00B851B7">
            <w:pPr>
              <w:rPr>
                <w:rFonts w:cs="Calibri"/>
                <w:sz w:val="16"/>
                <w:szCs w:val="16"/>
              </w:rPr>
            </w:pPr>
            <w:r w:rsidRPr="003F7F6C">
              <w:rPr>
                <w:rFonts w:cs="Calibri"/>
                <w:sz w:val="16"/>
                <w:szCs w:val="16"/>
              </w:rPr>
              <w:t>2.4.5 Environment friendly agricultural practices with family agriculture</w:t>
            </w:r>
          </w:p>
        </w:tc>
        <w:tc>
          <w:tcPr>
            <w:tcW w:w="1057" w:type="dxa"/>
          </w:tcPr>
          <w:p w14:paraId="6D812F67" w14:textId="77777777" w:rsidR="002B04EB" w:rsidRPr="003F7F6C" w:rsidRDefault="002B04EB" w:rsidP="00B851B7">
            <w:r w:rsidRPr="003F7F6C">
              <w:rPr>
                <w:rFonts w:cs="Calibri"/>
                <w:sz w:val="16"/>
                <w:szCs w:val="16"/>
              </w:rPr>
              <w:t>Ministry of Environment</w:t>
            </w:r>
          </w:p>
        </w:tc>
        <w:tc>
          <w:tcPr>
            <w:tcW w:w="428" w:type="dxa"/>
          </w:tcPr>
          <w:p w14:paraId="10048432" w14:textId="77777777" w:rsidR="002B04EB" w:rsidRPr="003F7F6C" w:rsidRDefault="002B04EB" w:rsidP="00B851B7"/>
        </w:tc>
        <w:tc>
          <w:tcPr>
            <w:tcW w:w="444" w:type="dxa"/>
          </w:tcPr>
          <w:p w14:paraId="18503CB8" w14:textId="77777777" w:rsidR="002B04EB" w:rsidRPr="003F7F6C" w:rsidRDefault="002B04EB" w:rsidP="00B851B7">
            <w:r w:rsidRPr="003F7F6C">
              <w:rPr>
                <w:rFonts w:cs="Calibri"/>
                <w:sz w:val="16"/>
                <w:szCs w:val="16"/>
              </w:rPr>
              <w:t>X</w:t>
            </w:r>
          </w:p>
        </w:tc>
        <w:tc>
          <w:tcPr>
            <w:tcW w:w="428" w:type="dxa"/>
          </w:tcPr>
          <w:p w14:paraId="59362E6B" w14:textId="77777777" w:rsidR="002B04EB" w:rsidRPr="003F7F6C" w:rsidRDefault="002B04EB" w:rsidP="00B851B7">
            <w:r w:rsidRPr="003F7F6C">
              <w:rPr>
                <w:rFonts w:cs="Calibri"/>
                <w:sz w:val="16"/>
                <w:szCs w:val="16"/>
              </w:rPr>
              <w:t>X</w:t>
            </w:r>
          </w:p>
        </w:tc>
        <w:tc>
          <w:tcPr>
            <w:tcW w:w="428" w:type="dxa"/>
            <w:gridSpan w:val="2"/>
          </w:tcPr>
          <w:p w14:paraId="0E9F94F8" w14:textId="77777777" w:rsidR="002B04EB" w:rsidRPr="003F7F6C" w:rsidRDefault="002B04EB" w:rsidP="00B851B7">
            <w:r w:rsidRPr="003F7F6C">
              <w:rPr>
                <w:rFonts w:cs="Calibri"/>
                <w:sz w:val="16"/>
                <w:szCs w:val="16"/>
              </w:rPr>
              <w:t>X</w:t>
            </w:r>
          </w:p>
        </w:tc>
        <w:tc>
          <w:tcPr>
            <w:tcW w:w="428" w:type="dxa"/>
          </w:tcPr>
          <w:p w14:paraId="1B229642" w14:textId="77777777" w:rsidR="002B04EB" w:rsidRPr="003F7F6C" w:rsidRDefault="002B04EB" w:rsidP="00B851B7">
            <w:r w:rsidRPr="003F7F6C">
              <w:rPr>
                <w:rFonts w:cs="Calibri"/>
                <w:sz w:val="16"/>
                <w:szCs w:val="16"/>
              </w:rPr>
              <w:t>X</w:t>
            </w:r>
          </w:p>
        </w:tc>
        <w:tc>
          <w:tcPr>
            <w:tcW w:w="427" w:type="dxa"/>
          </w:tcPr>
          <w:p w14:paraId="18EB233E" w14:textId="77777777" w:rsidR="002B04EB" w:rsidRPr="003F7F6C" w:rsidRDefault="002B04EB" w:rsidP="00B851B7">
            <w:r w:rsidRPr="003F7F6C">
              <w:rPr>
                <w:rFonts w:cs="Calibri"/>
                <w:sz w:val="16"/>
                <w:szCs w:val="16"/>
              </w:rPr>
              <w:t>X</w:t>
            </w:r>
          </w:p>
        </w:tc>
        <w:tc>
          <w:tcPr>
            <w:tcW w:w="427" w:type="dxa"/>
          </w:tcPr>
          <w:p w14:paraId="0FB3BD05" w14:textId="77777777" w:rsidR="002B04EB" w:rsidRPr="003F7F6C" w:rsidRDefault="002B04EB" w:rsidP="00B851B7">
            <w:r w:rsidRPr="003F7F6C">
              <w:rPr>
                <w:rFonts w:cs="Calibri"/>
                <w:sz w:val="16"/>
                <w:szCs w:val="16"/>
              </w:rPr>
              <w:t>X</w:t>
            </w:r>
          </w:p>
        </w:tc>
        <w:tc>
          <w:tcPr>
            <w:tcW w:w="427" w:type="dxa"/>
            <w:gridSpan w:val="2"/>
          </w:tcPr>
          <w:p w14:paraId="7D6724D5" w14:textId="77777777" w:rsidR="002B04EB" w:rsidRPr="003F7F6C" w:rsidRDefault="002B04EB" w:rsidP="00B851B7">
            <w:r w:rsidRPr="003F7F6C">
              <w:rPr>
                <w:rFonts w:cs="Calibri"/>
                <w:sz w:val="16"/>
                <w:szCs w:val="16"/>
              </w:rPr>
              <w:t>X</w:t>
            </w:r>
          </w:p>
        </w:tc>
        <w:tc>
          <w:tcPr>
            <w:tcW w:w="428" w:type="dxa"/>
          </w:tcPr>
          <w:p w14:paraId="78FCEC2C" w14:textId="77777777" w:rsidR="002B04EB" w:rsidRPr="003F7F6C" w:rsidRDefault="002B04EB" w:rsidP="00B851B7">
            <w:r w:rsidRPr="003F7F6C">
              <w:rPr>
                <w:rFonts w:cs="Calibri"/>
                <w:sz w:val="16"/>
                <w:szCs w:val="16"/>
              </w:rPr>
              <w:t>X</w:t>
            </w:r>
          </w:p>
        </w:tc>
        <w:tc>
          <w:tcPr>
            <w:tcW w:w="428" w:type="dxa"/>
          </w:tcPr>
          <w:p w14:paraId="19FD4A4C" w14:textId="77777777" w:rsidR="002B04EB" w:rsidRPr="003F7F6C" w:rsidRDefault="002B04EB" w:rsidP="00B851B7">
            <w:r w:rsidRPr="003F7F6C">
              <w:rPr>
                <w:rFonts w:cs="Calibri"/>
                <w:sz w:val="16"/>
                <w:szCs w:val="16"/>
              </w:rPr>
              <w:t>X</w:t>
            </w:r>
          </w:p>
        </w:tc>
        <w:tc>
          <w:tcPr>
            <w:tcW w:w="428" w:type="dxa"/>
          </w:tcPr>
          <w:p w14:paraId="25181842" w14:textId="77777777" w:rsidR="002B04EB" w:rsidRPr="003F7F6C" w:rsidRDefault="002B04EB" w:rsidP="00B851B7">
            <w:r w:rsidRPr="003F7F6C">
              <w:rPr>
                <w:rFonts w:cs="Calibri"/>
                <w:sz w:val="16"/>
                <w:szCs w:val="16"/>
              </w:rPr>
              <w:t>X</w:t>
            </w:r>
          </w:p>
        </w:tc>
        <w:tc>
          <w:tcPr>
            <w:tcW w:w="428" w:type="dxa"/>
            <w:gridSpan w:val="2"/>
          </w:tcPr>
          <w:p w14:paraId="28675CDE" w14:textId="77777777" w:rsidR="002B04EB" w:rsidRPr="003F7F6C" w:rsidRDefault="002B04EB" w:rsidP="00B851B7">
            <w:r w:rsidRPr="003F7F6C">
              <w:rPr>
                <w:rFonts w:cs="Calibri"/>
                <w:sz w:val="16"/>
                <w:szCs w:val="16"/>
              </w:rPr>
              <w:t>X</w:t>
            </w:r>
          </w:p>
        </w:tc>
        <w:tc>
          <w:tcPr>
            <w:tcW w:w="428" w:type="dxa"/>
          </w:tcPr>
          <w:p w14:paraId="20626FAA" w14:textId="77777777" w:rsidR="002B04EB" w:rsidRPr="003F7F6C" w:rsidRDefault="002B04EB" w:rsidP="00B851B7">
            <w:r w:rsidRPr="003F7F6C">
              <w:rPr>
                <w:rFonts w:cs="Calibri"/>
                <w:sz w:val="16"/>
                <w:szCs w:val="16"/>
              </w:rPr>
              <w:t>X</w:t>
            </w:r>
          </w:p>
        </w:tc>
        <w:tc>
          <w:tcPr>
            <w:tcW w:w="428" w:type="dxa"/>
          </w:tcPr>
          <w:p w14:paraId="7B629D61" w14:textId="77777777" w:rsidR="002B04EB" w:rsidRPr="003F7F6C" w:rsidRDefault="002B04EB" w:rsidP="00B851B7">
            <w:r w:rsidRPr="003F7F6C">
              <w:rPr>
                <w:rFonts w:cs="Calibri"/>
                <w:sz w:val="16"/>
                <w:szCs w:val="16"/>
              </w:rPr>
              <w:t>X</w:t>
            </w:r>
          </w:p>
        </w:tc>
        <w:tc>
          <w:tcPr>
            <w:tcW w:w="428" w:type="dxa"/>
          </w:tcPr>
          <w:p w14:paraId="113C7D2A" w14:textId="77777777" w:rsidR="002B04EB" w:rsidRPr="003F7F6C" w:rsidRDefault="002B04EB" w:rsidP="00B851B7">
            <w:r w:rsidRPr="003F7F6C">
              <w:rPr>
                <w:rFonts w:cs="Calibri"/>
                <w:sz w:val="16"/>
                <w:szCs w:val="16"/>
              </w:rPr>
              <w:t>X</w:t>
            </w:r>
          </w:p>
        </w:tc>
        <w:tc>
          <w:tcPr>
            <w:tcW w:w="428" w:type="dxa"/>
            <w:gridSpan w:val="2"/>
          </w:tcPr>
          <w:p w14:paraId="589A6F86" w14:textId="77777777" w:rsidR="002B04EB" w:rsidRPr="003F7F6C" w:rsidRDefault="002B04EB" w:rsidP="00B851B7">
            <w:r w:rsidRPr="003F7F6C">
              <w:rPr>
                <w:rFonts w:cs="Calibri"/>
                <w:sz w:val="16"/>
                <w:szCs w:val="16"/>
              </w:rPr>
              <w:t>X</w:t>
            </w:r>
          </w:p>
        </w:tc>
        <w:tc>
          <w:tcPr>
            <w:tcW w:w="428" w:type="dxa"/>
          </w:tcPr>
          <w:p w14:paraId="37B55B85" w14:textId="77777777" w:rsidR="002B04EB" w:rsidRPr="003F7F6C" w:rsidRDefault="002B04EB" w:rsidP="00B851B7">
            <w:r w:rsidRPr="003F7F6C">
              <w:rPr>
                <w:rFonts w:cs="Calibri"/>
                <w:sz w:val="16"/>
                <w:szCs w:val="16"/>
              </w:rPr>
              <w:t>X</w:t>
            </w:r>
          </w:p>
        </w:tc>
        <w:tc>
          <w:tcPr>
            <w:tcW w:w="428" w:type="dxa"/>
          </w:tcPr>
          <w:p w14:paraId="4384D01D" w14:textId="77777777" w:rsidR="002B04EB" w:rsidRPr="003F7F6C" w:rsidRDefault="002B04EB" w:rsidP="00B851B7">
            <w:r w:rsidRPr="003F7F6C">
              <w:rPr>
                <w:rFonts w:cs="Calibri"/>
                <w:sz w:val="16"/>
                <w:szCs w:val="16"/>
              </w:rPr>
              <w:t>X</w:t>
            </w:r>
          </w:p>
        </w:tc>
        <w:tc>
          <w:tcPr>
            <w:tcW w:w="428" w:type="dxa"/>
          </w:tcPr>
          <w:p w14:paraId="5930B75C" w14:textId="77777777" w:rsidR="002B04EB" w:rsidRPr="003F7F6C" w:rsidRDefault="002B04EB" w:rsidP="00B851B7">
            <w:r w:rsidRPr="003F7F6C">
              <w:rPr>
                <w:rFonts w:cs="Calibri"/>
                <w:sz w:val="16"/>
                <w:szCs w:val="16"/>
              </w:rPr>
              <w:t>X</w:t>
            </w:r>
          </w:p>
        </w:tc>
        <w:tc>
          <w:tcPr>
            <w:tcW w:w="428" w:type="dxa"/>
            <w:gridSpan w:val="2"/>
          </w:tcPr>
          <w:p w14:paraId="3CF7218F" w14:textId="77777777" w:rsidR="002B04EB" w:rsidRPr="003F7F6C" w:rsidRDefault="002B04EB" w:rsidP="00B851B7">
            <w:r w:rsidRPr="003F7F6C">
              <w:rPr>
                <w:rFonts w:cs="Calibri"/>
                <w:sz w:val="16"/>
                <w:szCs w:val="16"/>
              </w:rPr>
              <w:t>X</w:t>
            </w:r>
          </w:p>
        </w:tc>
        <w:tc>
          <w:tcPr>
            <w:tcW w:w="428" w:type="dxa"/>
          </w:tcPr>
          <w:p w14:paraId="6FCF3C52" w14:textId="77777777" w:rsidR="002B04EB" w:rsidRPr="003F7F6C" w:rsidRDefault="002B04EB" w:rsidP="00B851B7">
            <w:r w:rsidRPr="003F7F6C">
              <w:rPr>
                <w:rFonts w:cs="Calibri"/>
                <w:sz w:val="16"/>
                <w:szCs w:val="16"/>
              </w:rPr>
              <w:t>X</w:t>
            </w:r>
          </w:p>
        </w:tc>
        <w:tc>
          <w:tcPr>
            <w:tcW w:w="428" w:type="dxa"/>
          </w:tcPr>
          <w:p w14:paraId="7C49F9AA" w14:textId="77777777" w:rsidR="002B04EB" w:rsidRPr="003F7F6C" w:rsidRDefault="002B04EB" w:rsidP="00B851B7">
            <w:r w:rsidRPr="003F7F6C">
              <w:rPr>
                <w:rFonts w:cs="Calibri"/>
                <w:sz w:val="16"/>
                <w:szCs w:val="16"/>
              </w:rPr>
              <w:t>X</w:t>
            </w:r>
          </w:p>
        </w:tc>
        <w:tc>
          <w:tcPr>
            <w:tcW w:w="428" w:type="dxa"/>
          </w:tcPr>
          <w:p w14:paraId="3CFBF3E8" w14:textId="77777777" w:rsidR="002B04EB" w:rsidRPr="003F7F6C" w:rsidRDefault="002B04EB" w:rsidP="00B851B7">
            <w:r w:rsidRPr="003F7F6C">
              <w:rPr>
                <w:rFonts w:cs="Calibri"/>
                <w:sz w:val="16"/>
                <w:szCs w:val="16"/>
              </w:rPr>
              <w:t>X</w:t>
            </w:r>
          </w:p>
        </w:tc>
        <w:tc>
          <w:tcPr>
            <w:tcW w:w="428" w:type="dxa"/>
          </w:tcPr>
          <w:p w14:paraId="28C8DC95" w14:textId="77777777" w:rsidR="002B04EB" w:rsidRPr="003F7F6C" w:rsidRDefault="002B04EB" w:rsidP="00B851B7">
            <w:r w:rsidRPr="003F7F6C">
              <w:rPr>
                <w:rFonts w:cs="Calibri"/>
                <w:sz w:val="16"/>
                <w:szCs w:val="16"/>
              </w:rPr>
              <w:t>X</w:t>
            </w:r>
          </w:p>
        </w:tc>
      </w:tr>
      <w:tr w:rsidR="002B04EB" w:rsidRPr="003F7F6C" w14:paraId="25E8BF6A" w14:textId="77777777" w:rsidTr="00B851B7">
        <w:tc>
          <w:tcPr>
            <w:tcW w:w="1668" w:type="dxa"/>
          </w:tcPr>
          <w:p w14:paraId="1E7E2DAE" w14:textId="77777777" w:rsidR="002B04EB" w:rsidRPr="003F7F6C" w:rsidRDefault="002B04EB" w:rsidP="00E91275">
            <w:pPr>
              <w:pStyle w:val="ListParagraph"/>
              <w:numPr>
                <w:ilvl w:val="0"/>
                <w:numId w:val="29"/>
              </w:numPr>
              <w:ind w:left="174" w:hanging="174"/>
              <w:jc w:val="left"/>
              <w:rPr>
                <w:rFonts w:cs="Calibri"/>
                <w:sz w:val="16"/>
                <w:szCs w:val="16"/>
              </w:rPr>
            </w:pPr>
            <w:r w:rsidRPr="003F7F6C">
              <w:rPr>
                <w:rFonts w:cs="Calibri"/>
                <w:sz w:val="16"/>
                <w:szCs w:val="16"/>
              </w:rPr>
              <w:t>Assess practices and synergies with other projects</w:t>
            </w:r>
          </w:p>
        </w:tc>
        <w:tc>
          <w:tcPr>
            <w:tcW w:w="1057" w:type="dxa"/>
          </w:tcPr>
          <w:p w14:paraId="69AB3617" w14:textId="77777777" w:rsidR="002B04EB" w:rsidRPr="003F7F6C" w:rsidRDefault="002B04EB" w:rsidP="00B851B7">
            <w:r w:rsidRPr="003F7F6C">
              <w:rPr>
                <w:rFonts w:cs="Calibri"/>
                <w:sz w:val="16"/>
                <w:szCs w:val="16"/>
              </w:rPr>
              <w:t>Ministry of Environment</w:t>
            </w:r>
          </w:p>
        </w:tc>
        <w:tc>
          <w:tcPr>
            <w:tcW w:w="428" w:type="dxa"/>
          </w:tcPr>
          <w:p w14:paraId="6846EDF0" w14:textId="77777777" w:rsidR="002B04EB" w:rsidRPr="003F7F6C" w:rsidRDefault="002B04EB" w:rsidP="00B851B7"/>
        </w:tc>
        <w:tc>
          <w:tcPr>
            <w:tcW w:w="444" w:type="dxa"/>
          </w:tcPr>
          <w:p w14:paraId="04230B60" w14:textId="77777777" w:rsidR="002B04EB" w:rsidRPr="003F7F6C" w:rsidRDefault="002B04EB" w:rsidP="00B851B7">
            <w:r w:rsidRPr="003F7F6C">
              <w:rPr>
                <w:rFonts w:cs="Calibri"/>
                <w:sz w:val="16"/>
                <w:szCs w:val="16"/>
              </w:rPr>
              <w:t>X</w:t>
            </w:r>
          </w:p>
        </w:tc>
        <w:tc>
          <w:tcPr>
            <w:tcW w:w="428" w:type="dxa"/>
          </w:tcPr>
          <w:p w14:paraId="4F7806AA" w14:textId="77777777" w:rsidR="002B04EB" w:rsidRPr="003F7F6C" w:rsidRDefault="002B04EB" w:rsidP="00B851B7">
            <w:r w:rsidRPr="003F7F6C">
              <w:rPr>
                <w:rFonts w:cs="Calibri"/>
                <w:sz w:val="16"/>
                <w:szCs w:val="16"/>
              </w:rPr>
              <w:t>X</w:t>
            </w:r>
          </w:p>
        </w:tc>
        <w:tc>
          <w:tcPr>
            <w:tcW w:w="428" w:type="dxa"/>
            <w:gridSpan w:val="2"/>
          </w:tcPr>
          <w:p w14:paraId="4AA488B7" w14:textId="77777777" w:rsidR="002B04EB" w:rsidRPr="003F7F6C" w:rsidRDefault="002B04EB" w:rsidP="00B851B7">
            <w:r w:rsidRPr="003F7F6C">
              <w:rPr>
                <w:rFonts w:cs="Calibri"/>
                <w:sz w:val="16"/>
                <w:szCs w:val="16"/>
              </w:rPr>
              <w:t>X</w:t>
            </w:r>
          </w:p>
        </w:tc>
        <w:tc>
          <w:tcPr>
            <w:tcW w:w="428" w:type="dxa"/>
          </w:tcPr>
          <w:p w14:paraId="251DAFF8" w14:textId="77777777" w:rsidR="002B04EB" w:rsidRPr="003F7F6C" w:rsidRDefault="002B04EB" w:rsidP="00B851B7">
            <w:r w:rsidRPr="003F7F6C">
              <w:rPr>
                <w:rFonts w:cs="Calibri"/>
                <w:sz w:val="16"/>
                <w:szCs w:val="16"/>
              </w:rPr>
              <w:t>X</w:t>
            </w:r>
          </w:p>
        </w:tc>
        <w:tc>
          <w:tcPr>
            <w:tcW w:w="427" w:type="dxa"/>
          </w:tcPr>
          <w:p w14:paraId="7EF48E9D" w14:textId="77777777" w:rsidR="002B04EB" w:rsidRPr="003F7F6C" w:rsidRDefault="002B04EB" w:rsidP="00B851B7">
            <w:r w:rsidRPr="003F7F6C">
              <w:rPr>
                <w:rFonts w:cs="Calibri"/>
                <w:sz w:val="16"/>
                <w:szCs w:val="16"/>
              </w:rPr>
              <w:t>X</w:t>
            </w:r>
          </w:p>
        </w:tc>
        <w:tc>
          <w:tcPr>
            <w:tcW w:w="427" w:type="dxa"/>
          </w:tcPr>
          <w:p w14:paraId="07100EDB" w14:textId="77777777" w:rsidR="002B04EB" w:rsidRPr="003F7F6C" w:rsidRDefault="002B04EB" w:rsidP="00B851B7">
            <w:r w:rsidRPr="003F7F6C">
              <w:rPr>
                <w:rFonts w:cs="Calibri"/>
                <w:sz w:val="16"/>
                <w:szCs w:val="16"/>
              </w:rPr>
              <w:t>X</w:t>
            </w:r>
          </w:p>
        </w:tc>
        <w:tc>
          <w:tcPr>
            <w:tcW w:w="427" w:type="dxa"/>
            <w:gridSpan w:val="2"/>
          </w:tcPr>
          <w:p w14:paraId="0E1697BE" w14:textId="77777777" w:rsidR="002B04EB" w:rsidRPr="003F7F6C" w:rsidRDefault="002B04EB" w:rsidP="00B851B7">
            <w:r w:rsidRPr="003F7F6C">
              <w:rPr>
                <w:rFonts w:cs="Calibri"/>
                <w:sz w:val="16"/>
                <w:szCs w:val="16"/>
              </w:rPr>
              <w:t>X</w:t>
            </w:r>
          </w:p>
        </w:tc>
        <w:tc>
          <w:tcPr>
            <w:tcW w:w="428" w:type="dxa"/>
          </w:tcPr>
          <w:p w14:paraId="13C7FFA2" w14:textId="77777777" w:rsidR="002B04EB" w:rsidRPr="003F7F6C" w:rsidRDefault="002B04EB" w:rsidP="00B851B7">
            <w:r w:rsidRPr="003F7F6C">
              <w:rPr>
                <w:rFonts w:cs="Calibri"/>
                <w:sz w:val="16"/>
                <w:szCs w:val="16"/>
              </w:rPr>
              <w:t>X</w:t>
            </w:r>
          </w:p>
        </w:tc>
        <w:tc>
          <w:tcPr>
            <w:tcW w:w="428" w:type="dxa"/>
          </w:tcPr>
          <w:p w14:paraId="7AA6B8BF" w14:textId="77777777" w:rsidR="002B04EB" w:rsidRPr="003F7F6C" w:rsidRDefault="002B04EB" w:rsidP="00B851B7">
            <w:r w:rsidRPr="003F7F6C">
              <w:rPr>
                <w:rFonts w:cs="Calibri"/>
                <w:sz w:val="16"/>
                <w:szCs w:val="16"/>
              </w:rPr>
              <w:t>X</w:t>
            </w:r>
          </w:p>
        </w:tc>
        <w:tc>
          <w:tcPr>
            <w:tcW w:w="428" w:type="dxa"/>
          </w:tcPr>
          <w:p w14:paraId="690A81DA" w14:textId="77777777" w:rsidR="002B04EB" w:rsidRPr="003F7F6C" w:rsidRDefault="002B04EB" w:rsidP="00B851B7">
            <w:r w:rsidRPr="003F7F6C">
              <w:rPr>
                <w:rFonts w:cs="Calibri"/>
                <w:sz w:val="16"/>
                <w:szCs w:val="16"/>
              </w:rPr>
              <w:t>X</w:t>
            </w:r>
          </w:p>
        </w:tc>
        <w:tc>
          <w:tcPr>
            <w:tcW w:w="428" w:type="dxa"/>
            <w:gridSpan w:val="2"/>
          </w:tcPr>
          <w:p w14:paraId="53247BCF" w14:textId="77777777" w:rsidR="002B04EB" w:rsidRPr="003F7F6C" w:rsidRDefault="002B04EB" w:rsidP="00B851B7">
            <w:r w:rsidRPr="003F7F6C">
              <w:rPr>
                <w:rFonts w:cs="Calibri"/>
                <w:sz w:val="16"/>
                <w:szCs w:val="16"/>
              </w:rPr>
              <w:t>X</w:t>
            </w:r>
          </w:p>
        </w:tc>
        <w:tc>
          <w:tcPr>
            <w:tcW w:w="428" w:type="dxa"/>
          </w:tcPr>
          <w:p w14:paraId="39AE9874" w14:textId="77777777" w:rsidR="002B04EB" w:rsidRPr="003F7F6C" w:rsidRDefault="002B04EB" w:rsidP="00B851B7">
            <w:pPr>
              <w:rPr>
                <w:rFonts w:cs="Calibri"/>
                <w:sz w:val="16"/>
                <w:szCs w:val="16"/>
              </w:rPr>
            </w:pPr>
          </w:p>
        </w:tc>
        <w:tc>
          <w:tcPr>
            <w:tcW w:w="428" w:type="dxa"/>
          </w:tcPr>
          <w:p w14:paraId="7A1B7553" w14:textId="77777777" w:rsidR="002B04EB" w:rsidRPr="003F7F6C" w:rsidRDefault="002B04EB" w:rsidP="00B851B7">
            <w:pPr>
              <w:rPr>
                <w:rFonts w:cs="Calibri"/>
                <w:sz w:val="16"/>
                <w:szCs w:val="16"/>
              </w:rPr>
            </w:pPr>
          </w:p>
        </w:tc>
        <w:tc>
          <w:tcPr>
            <w:tcW w:w="428" w:type="dxa"/>
          </w:tcPr>
          <w:p w14:paraId="0A70F388" w14:textId="77777777" w:rsidR="002B04EB" w:rsidRPr="003F7F6C" w:rsidRDefault="002B04EB" w:rsidP="00B851B7">
            <w:pPr>
              <w:rPr>
                <w:rFonts w:cs="Calibri"/>
                <w:sz w:val="16"/>
                <w:szCs w:val="16"/>
              </w:rPr>
            </w:pPr>
          </w:p>
        </w:tc>
        <w:tc>
          <w:tcPr>
            <w:tcW w:w="428" w:type="dxa"/>
            <w:gridSpan w:val="2"/>
          </w:tcPr>
          <w:p w14:paraId="2A3B5DFB" w14:textId="77777777" w:rsidR="002B04EB" w:rsidRPr="003F7F6C" w:rsidRDefault="002B04EB" w:rsidP="00B851B7">
            <w:pPr>
              <w:rPr>
                <w:rFonts w:cs="Calibri"/>
                <w:sz w:val="16"/>
                <w:szCs w:val="16"/>
              </w:rPr>
            </w:pPr>
          </w:p>
        </w:tc>
        <w:tc>
          <w:tcPr>
            <w:tcW w:w="428" w:type="dxa"/>
          </w:tcPr>
          <w:p w14:paraId="42913B27" w14:textId="77777777" w:rsidR="002B04EB" w:rsidRPr="003F7F6C" w:rsidRDefault="002B04EB" w:rsidP="00B851B7">
            <w:pPr>
              <w:rPr>
                <w:rFonts w:cs="Calibri"/>
                <w:sz w:val="16"/>
                <w:szCs w:val="16"/>
              </w:rPr>
            </w:pPr>
          </w:p>
        </w:tc>
        <w:tc>
          <w:tcPr>
            <w:tcW w:w="428" w:type="dxa"/>
          </w:tcPr>
          <w:p w14:paraId="58972042" w14:textId="77777777" w:rsidR="002B04EB" w:rsidRPr="003F7F6C" w:rsidRDefault="002B04EB" w:rsidP="00B851B7">
            <w:pPr>
              <w:rPr>
                <w:rFonts w:cs="Calibri"/>
                <w:sz w:val="16"/>
                <w:szCs w:val="16"/>
              </w:rPr>
            </w:pPr>
          </w:p>
        </w:tc>
        <w:tc>
          <w:tcPr>
            <w:tcW w:w="428" w:type="dxa"/>
          </w:tcPr>
          <w:p w14:paraId="38BD5CB1" w14:textId="77777777" w:rsidR="002B04EB" w:rsidRPr="003F7F6C" w:rsidRDefault="002B04EB" w:rsidP="00B851B7">
            <w:pPr>
              <w:rPr>
                <w:rFonts w:cs="Calibri"/>
                <w:sz w:val="16"/>
                <w:szCs w:val="16"/>
              </w:rPr>
            </w:pPr>
          </w:p>
        </w:tc>
        <w:tc>
          <w:tcPr>
            <w:tcW w:w="428" w:type="dxa"/>
            <w:gridSpan w:val="2"/>
          </w:tcPr>
          <w:p w14:paraId="5399CE89" w14:textId="77777777" w:rsidR="002B04EB" w:rsidRPr="003F7F6C" w:rsidRDefault="002B04EB" w:rsidP="00B851B7">
            <w:pPr>
              <w:rPr>
                <w:rFonts w:cs="Calibri"/>
                <w:sz w:val="16"/>
                <w:szCs w:val="16"/>
              </w:rPr>
            </w:pPr>
          </w:p>
        </w:tc>
        <w:tc>
          <w:tcPr>
            <w:tcW w:w="428" w:type="dxa"/>
          </w:tcPr>
          <w:p w14:paraId="4E954E9C" w14:textId="77777777" w:rsidR="002B04EB" w:rsidRPr="003F7F6C" w:rsidRDefault="002B04EB" w:rsidP="00B851B7">
            <w:pPr>
              <w:rPr>
                <w:rFonts w:cs="Calibri"/>
                <w:sz w:val="16"/>
                <w:szCs w:val="16"/>
              </w:rPr>
            </w:pPr>
          </w:p>
        </w:tc>
        <w:tc>
          <w:tcPr>
            <w:tcW w:w="428" w:type="dxa"/>
          </w:tcPr>
          <w:p w14:paraId="50F5A5A4" w14:textId="77777777" w:rsidR="002B04EB" w:rsidRPr="003F7F6C" w:rsidRDefault="002B04EB" w:rsidP="00B851B7">
            <w:pPr>
              <w:rPr>
                <w:rFonts w:cs="Calibri"/>
                <w:sz w:val="16"/>
                <w:szCs w:val="16"/>
              </w:rPr>
            </w:pPr>
          </w:p>
        </w:tc>
        <w:tc>
          <w:tcPr>
            <w:tcW w:w="428" w:type="dxa"/>
          </w:tcPr>
          <w:p w14:paraId="7AE05ECA" w14:textId="77777777" w:rsidR="002B04EB" w:rsidRPr="003F7F6C" w:rsidRDefault="002B04EB" w:rsidP="00B851B7">
            <w:pPr>
              <w:rPr>
                <w:rFonts w:cs="Calibri"/>
                <w:sz w:val="16"/>
                <w:szCs w:val="16"/>
              </w:rPr>
            </w:pPr>
          </w:p>
        </w:tc>
        <w:tc>
          <w:tcPr>
            <w:tcW w:w="428" w:type="dxa"/>
          </w:tcPr>
          <w:p w14:paraId="0CA15FE6" w14:textId="77777777" w:rsidR="002B04EB" w:rsidRPr="003F7F6C" w:rsidRDefault="002B04EB" w:rsidP="00B851B7">
            <w:pPr>
              <w:rPr>
                <w:rFonts w:cs="Calibri"/>
                <w:sz w:val="16"/>
                <w:szCs w:val="16"/>
              </w:rPr>
            </w:pPr>
          </w:p>
        </w:tc>
      </w:tr>
      <w:tr w:rsidR="002B04EB" w:rsidRPr="003F7F6C" w14:paraId="1AF0845C" w14:textId="77777777" w:rsidTr="00B851B7">
        <w:tc>
          <w:tcPr>
            <w:tcW w:w="1668" w:type="dxa"/>
          </w:tcPr>
          <w:p w14:paraId="6D041C92" w14:textId="77777777" w:rsidR="002B04EB" w:rsidRPr="003F7F6C" w:rsidRDefault="002B04EB" w:rsidP="00E91275">
            <w:pPr>
              <w:pStyle w:val="ListParagraph"/>
              <w:numPr>
                <w:ilvl w:val="0"/>
                <w:numId w:val="29"/>
              </w:numPr>
              <w:ind w:left="174" w:hanging="174"/>
              <w:jc w:val="left"/>
              <w:rPr>
                <w:rFonts w:cs="Calibri"/>
                <w:sz w:val="16"/>
                <w:szCs w:val="16"/>
              </w:rPr>
            </w:pPr>
            <w:r w:rsidRPr="003F7F6C">
              <w:rPr>
                <w:rFonts w:cs="Calibri"/>
                <w:sz w:val="16"/>
                <w:szCs w:val="16"/>
              </w:rPr>
              <w:t>Implement practices</w:t>
            </w:r>
          </w:p>
        </w:tc>
        <w:tc>
          <w:tcPr>
            <w:tcW w:w="1057" w:type="dxa"/>
          </w:tcPr>
          <w:p w14:paraId="51C90FCA" w14:textId="77777777" w:rsidR="002B04EB" w:rsidRPr="003F7F6C" w:rsidRDefault="002B04EB" w:rsidP="00B851B7">
            <w:r w:rsidRPr="003F7F6C">
              <w:rPr>
                <w:rFonts w:cs="Calibri"/>
                <w:sz w:val="16"/>
                <w:szCs w:val="16"/>
              </w:rPr>
              <w:t>Ministry of Environment</w:t>
            </w:r>
          </w:p>
        </w:tc>
        <w:tc>
          <w:tcPr>
            <w:tcW w:w="428" w:type="dxa"/>
          </w:tcPr>
          <w:p w14:paraId="296F90E0" w14:textId="77777777" w:rsidR="002B04EB" w:rsidRPr="003F7F6C" w:rsidRDefault="002B04EB" w:rsidP="00B851B7">
            <w:pPr>
              <w:rPr>
                <w:rFonts w:cs="Calibri"/>
                <w:sz w:val="16"/>
                <w:szCs w:val="16"/>
              </w:rPr>
            </w:pPr>
          </w:p>
        </w:tc>
        <w:tc>
          <w:tcPr>
            <w:tcW w:w="444" w:type="dxa"/>
          </w:tcPr>
          <w:p w14:paraId="3815A8B5" w14:textId="77777777" w:rsidR="002B04EB" w:rsidRPr="003F7F6C" w:rsidRDefault="002B04EB" w:rsidP="00B851B7">
            <w:pPr>
              <w:rPr>
                <w:rFonts w:cs="Calibri"/>
                <w:sz w:val="16"/>
                <w:szCs w:val="16"/>
              </w:rPr>
            </w:pPr>
          </w:p>
        </w:tc>
        <w:tc>
          <w:tcPr>
            <w:tcW w:w="428" w:type="dxa"/>
          </w:tcPr>
          <w:p w14:paraId="31F5FE99" w14:textId="77777777" w:rsidR="002B04EB" w:rsidRPr="003F7F6C" w:rsidRDefault="002B04EB" w:rsidP="00B851B7">
            <w:pPr>
              <w:rPr>
                <w:rFonts w:cs="Calibri"/>
                <w:sz w:val="16"/>
                <w:szCs w:val="16"/>
              </w:rPr>
            </w:pPr>
          </w:p>
        </w:tc>
        <w:tc>
          <w:tcPr>
            <w:tcW w:w="428" w:type="dxa"/>
            <w:gridSpan w:val="2"/>
          </w:tcPr>
          <w:p w14:paraId="4534FB10" w14:textId="77777777" w:rsidR="002B04EB" w:rsidRPr="003F7F6C" w:rsidRDefault="002B04EB" w:rsidP="00B851B7">
            <w:pPr>
              <w:rPr>
                <w:rFonts w:cs="Calibri"/>
                <w:sz w:val="16"/>
                <w:szCs w:val="16"/>
              </w:rPr>
            </w:pPr>
          </w:p>
        </w:tc>
        <w:tc>
          <w:tcPr>
            <w:tcW w:w="428" w:type="dxa"/>
          </w:tcPr>
          <w:p w14:paraId="1C907998" w14:textId="77777777" w:rsidR="002B04EB" w:rsidRPr="003F7F6C" w:rsidRDefault="002B04EB" w:rsidP="00B851B7">
            <w:pPr>
              <w:rPr>
                <w:rFonts w:cs="Calibri"/>
                <w:sz w:val="16"/>
                <w:szCs w:val="16"/>
              </w:rPr>
            </w:pPr>
          </w:p>
        </w:tc>
        <w:tc>
          <w:tcPr>
            <w:tcW w:w="427" w:type="dxa"/>
          </w:tcPr>
          <w:p w14:paraId="6D957B75" w14:textId="77777777" w:rsidR="002B04EB" w:rsidRPr="003F7F6C" w:rsidRDefault="002B04EB" w:rsidP="00B851B7">
            <w:pPr>
              <w:rPr>
                <w:rFonts w:cs="Calibri"/>
                <w:sz w:val="16"/>
                <w:szCs w:val="16"/>
              </w:rPr>
            </w:pPr>
          </w:p>
        </w:tc>
        <w:tc>
          <w:tcPr>
            <w:tcW w:w="427" w:type="dxa"/>
          </w:tcPr>
          <w:p w14:paraId="1AAE1D09" w14:textId="77777777" w:rsidR="002B04EB" w:rsidRPr="003F7F6C" w:rsidRDefault="002B04EB" w:rsidP="00B851B7">
            <w:pPr>
              <w:rPr>
                <w:rFonts w:cs="Calibri"/>
                <w:sz w:val="16"/>
                <w:szCs w:val="16"/>
              </w:rPr>
            </w:pPr>
          </w:p>
        </w:tc>
        <w:tc>
          <w:tcPr>
            <w:tcW w:w="427" w:type="dxa"/>
            <w:gridSpan w:val="2"/>
          </w:tcPr>
          <w:p w14:paraId="249C9A8B" w14:textId="77777777" w:rsidR="002B04EB" w:rsidRPr="003F7F6C" w:rsidRDefault="002B04EB" w:rsidP="00B851B7">
            <w:pPr>
              <w:rPr>
                <w:rFonts w:cs="Calibri"/>
                <w:sz w:val="16"/>
                <w:szCs w:val="16"/>
              </w:rPr>
            </w:pPr>
          </w:p>
        </w:tc>
        <w:tc>
          <w:tcPr>
            <w:tcW w:w="428" w:type="dxa"/>
          </w:tcPr>
          <w:p w14:paraId="26E189C9" w14:textId="77777777" w:rsidR="002B04EB" w:rsidRPr="003F7F6C" w:rsidRDefault="002B04EB" w:rsidP="00B851B7">
            <w:pPr>
              <w:rPr>
                <w:rFonts w:cs="Calibri"/>
                <w:sz w:val="16"/>
                <w:szCs w:val="16"/>
              </w:rPr>
            </w:pPr>
          </w:p>
        </w:tc>
        <w:tc>
          <w:tcPr>
            <w:tcW w:w="428" w:type="dxa"/>
          </w:tcPr>
          <w:p w14:paraId="356F9BD8" w14:textId="77777777" w:rsidR="002B04EB" w:rsidRPr="003F7F6C" w:rsidRDefault="002B04EB" w:rsidP="00B851B7">
            <w:pPr>
              <w:rPr>
                <w:rFonts w:cs="Calibri"/>
                <w:sz w:val="16"/>
                <w:szCs w:val="16"/>
              </w:rPr>
            </w:pPr>
          </w:p>
        </w:tc>
        <w:tc>
          <w:tcPr>
            <w:tcW w:w="428" w:type="dxa"/>
          </w:tcPr>
          <w:p w14:paraId="15BA6D50" w14:textId="77777777" w:rsidR="002B04EB" w:rsidRPr="003F7F6C" w:rsidRDefault="002B04EB" w:rsidP="00B851B7">
            <w:pPr>
              <w:rPr>
                <w:rFonts w:cs="Calibri"/>
                <w:sz w:val="16"/>
                <w:szCs w:val="16"/>
              </w:rPr>
            </w:pPr>
          </w:p>
        </w:tc>
        <w:tc>
          <w:tcPr>
            <w:tcW w:w="428" w:type="dxa"/>
            <w:gridSpan w:val="2"/>
          </w:tcPr>
          <w:p w14:paraId="2C004040" w14:textId="77777777" w:rsidR="002B04EB" w:rsidRPr="003F7F6C" w:rsidRDefault="002B04EB" w:rsidP="00B851B7">
            <w:pPr>
              <w:rPr>
                <w:rFonts w:cs="Calibri"/>
                <w:sz w:val="16"/>
                <w:szCs w:val="16"/>
              </w:rPr>
            </w:pPr>
          </w:p>
        </w:tc>
        <w:tc>
          <w:tcPr>
            <w:tcW w:w="428" w:type="dxa"/>
          </w:tcPr>
          <w:p w14:paraId="20AD94D8" w14:textId="77777777" w:rsidR="002B04EB" w:rsidRPr="003F7F6C" w:rsidRDefault="002B04EB" w:rsidP="00B851B7">
            <w:r w:rsidRPr="003F7F6C">
              <w:rPr>
                <w:rFonts w:cs="Calibri"/>
                <w:sz w:val="16"/>
                <w:szCs w:val="16"/>
              </w:rPr>
              <w:t>X</w:t>
            </w:r>
          </w:p>
        </w:tc>
        <w:tc>
          <w:tcPr>
            <w:tcW w:w="428" w:type="dxa"/>
          </w:tcPr>
          <w:p w14:paraId="3E33E1C9" w14:textId="77777777" w:rsidR="002B04EB" w:rsidRPr="003F7F6C" w:rsidRDefault="002B04EB" w:rsidP="00B851B7">
            <w:r w:rsidRPr="003F7F6C">
              <w:rPr>
                <w:rFonts w:cs="Calibri"/>
                <w:sz w:val="16"/>
                <w:szCs w:val="16"/>
              </w:rPr>
              <w:t>X</w:t>
            </w:r>
          </w:p>
        </w:tc>
        <w:tc>
          <w:tcPr>
            <w:tcW w:w="428" w:type="dxa"/>
          </w:tcPr>
          <w:p w14:paraId="6769A226" w14:textId="77777777" w:rsidR="002B04EB" w:rsidRPr="003F7F6C" w:rsidRDefault="002B04EB" w:rsidP="00B851B7">
            <w:r w:rsidRPr="003F7F6C">
              <w:rPr>
                <w:rFonts w:cs="Calibri"/>
                <w:sz w:val="16"/>
                <w:szCs w:val="16"/>
              </w:rPr>
              <w:t>X</w:t>
            </w:r>
          </w:p>
        </w:tc>
        <w:tc>
          <w:tcPr>
            <w:tcW w:w="428" w:type="dxa"/>
            <w:gridSpan w:val="2"/>
          </w:tcPr>
          <w:p w14:paraId="5A7E8C9B" w14:textId="77777777" w:rsidR="002B04EB" w:rsidRPr="003F7F6C" w:rsidRDefault="002B04EB" w:rsidP="00B851B7">
            <w:r w:rsidRPr="003F7F6C">
              <w:rPr>
                <w:rFonts w:cs="Calibri"/>
                <w:sz w:val="16"/>
                <w:szCs w:val="16"/>
              </w:rPr>
              <w:t>X</w:t>
            </w:r>
          </w:p>
        </w:tc>
        <w:tc>
          <w:tcPr>
            <w:tcW w:w="428" w:type="dxa"/>
          </w:tcPr>
          <w:p w14:paraId="43E4F95D" w14:textId="77777777" w:rsidR="002B04EB" w:rsidRPr="003F7F6C" w:rsidRDefault="002B04EB" w:rsidP="00B851B7">
            <w:r w:rsidRPr="003F7F6C">
              <w:rPr>
                <w:rFonts w:cs="Calibri"/>
                <w:sz w:val="16"/>
                <w:szCs w:val="16"/>
              </w:rPr>
              <w:t>X</w:t>
            </w:r>
          </w:p>
        </w:tc>
        <w:tc>
          <w:tcPr>
            <w:tcW w:w="428" w:type="dxa"/>
          </w:tcPr>
          <w:p w14:paraId="423F4392" w14:textId="77777777" w:rsidR="002B04EB" w:rsidRPr="003F7F6C" w:rsidRDefault="002B04EB" w:rsidP="00B851B7">
            <w:r w:rsidRPr="003F7F6C">
              <w:rPr>
                <w:rFonts w:cs="Calibri"/>
                <w:sz w:val="16"/>
                <w:szCs w:val="16"/>
              </w:rPr>
              <w:t>X</w:t>
            </w:r>
          </w:p>
        </w:tc>
        <w:tc>
          <w:tcPr>
            <w:tcW w:w="428" w:type="dxa"/>
          </w:tcPr>
          <w:p w14:paraId="10100944" w14:textId="77777777" w:rsidR="002B04EB" w:rsidRPr="003F7F6C" w:rsidRDefault="002B04EB" w:rsidP="00B851B7">
            <w:r w:rsidRPr="003F7F6C">
              <w:rPr>
                <w:rFonts w:cs="Calibri"/>
                <w:sz w:val="16"/>
                <w:szCs w:val="16"/>
              </w:rPr>
              <w:t>X</w:t>
            </w:r>
          </w:p>
        </w:tc>
        <w:tc>
          <w:tcPr>
            <w:tcW w:w="428" w:type="dxa"/>
            <w:gridSpan w:val="2"/>
          </w:tcPr>
          <w:p w14:paraId="52402548" w14:textId="77777777" w:rsidR="002B04EB" w:rsidRPr="003F7F6C" w:rsidRDefault="002B04EB" w:rsidP="00B851B7">
            <w:r w:rsidRPr="003F7F6C">
              <w:rPr>
                <w:rFonts w:cs="Calibri"/>
                <w:sz w:val="16"/>
                <w:szCs w:val="16"/>
              </w:rPr>
              <w:t>X</w:t>
            </w:r>
          </w:p>
        </w:tc>
        <w:tc>
          <w:tcPr>
            <w:tcW w:w="428" w:type="dxa"/>
          </w:tcPr>
          <w:p w14:paraId="01E3221D" w14:textId="77777777" w:rsidR="002B04EB" w:rsidRPr="003F7F6C" w:rsidRDefault="002B04EB" w:rsidP="00B851B7">
            <w:r w:rsidRPr="003F7F6C">
              <w:rPr>
                <w:rFonts w:cs="Calibri"/>
                <w:sz w:val="16"/>
                <w:szCs w:val="16"/>
              </w:rPr>
              <w:t>X</w:t>
            </w:r>
          </w:p>
        </w:tc>
        <w:tc>
          <w:tcPr>
            <w:tcW w:w="428" w:type="dxa"/>
          </w:tcPr>
          <w:p w14:paraId="01A055AE" w14:textId="77777777" w:rsidR="002B04EB" w:rsidRPr="003F7F6C" w:rsidRDefault="002B04EB" w:rsidP="00B851B7">
            <w:r w:rsidRPr="003F7F6C">
              <w:rPr>
                <w:rFonts w:cs="Calibri"/>
                <w:sz w:val="16"/>
                <w:szCs w:val="16"/>
              </w:rPr>
              <w:t>X</w:t>
            </w:r>
          </w:p>
        </w:tc>
        <w:tc>
          <w:tcPr>
            <w:tcW w:w="428" w:type="dxa"/>
          </w:tcPr>
          <w:p w14:paraId="7F03AEF4" w14:textId="77777777" w:rsidR="002B04EB" w:rsidRPr="003F7F6C" w:rsidRDefault="002B04EB" w:rsidP="00B851B7">
            <w:r w:rsidRPr="003F7F6C">
              <w:rPr>
                <w:rFonts w:cs="Calibri"/>
                <w:sz w:val="16"/>
                <w:szCs w:val="16"/>
              </w:rPr>
              <w:t>X</w:t>
            </w:r>
          </w:p>
        </w:tc>
        <w:tc>
          <w:tcPr>
            <w:tcW w:w="428" w:type="dxa"/>
          </w:tcPr>
          <w:p w14:paraId="4B5BC710" w14:textId="77777777" w:rsidR="002B04EB" w:rsidRPr="003F7F6C" w:rsidRDefault="002B04EB" w:rsidP="00B851B7">
            <w:r w:rsidRPr="003F7F6C">
              <w:rPr>
                <w:rFonts w:cs="Calibri"/>
                <w:sz w:val="16"/>
                <w:szCs w:val="16"/>
              </w:rPr>
              <w:t>X</w:t>
            </w:r>
          </w:p>
        </w:tc>
      </w:tr>
      <w:tr w:rsidR="002B04EB" w:rsidRPr="003F7F6C" w14:paraId="24AEC2F1" w14:textId="77777777" w:rsidTr="00B851B7">
        <w:tc>
          <w:tcPr>
            <w:tcW w:w="1668" w:type="dxa"/>
          </w:tcPr>
          <w:p w14:paraId="18128535" w14:textId="77777777" w:rsidR="002B04EB" w:rsidRPr="003F7F6C" w:rsidRDefault="002B04EB" w:rsidP="00B851B7">
            <w:pPr>
              <w:rPr>
                <w:rFonts w:cs="Calibri"/>
                <w:sz w:val="16"/>
                <w:szCs w:val="16"/>
              </w:rPr>
            </w:pPr>
            <w:r w:rsidRPr="003F7F6C">
              <w:rPr>
                <w:rFonts w:cs="Calibri"/>
                <w:sz w:val="16"/>
                <w:szCs w:val="16"/>
              </w:rPr>
              <w:t>2.4.6 Promote sustainable management of non-timber products</w:t>
            </w:r>
          </w:p>
        </w:tc>
        <w:tc>
          <w:tcPr>
            <w:tcW w:w="1057" w:type="dxa"/>
          </w:tcPr>
          <w:p w14:paraId="198CF62F" w14:textId="77777777" w:rsidR="002B04EB" w:rsidRPr="003F7F6C" w:rsidRDefault="002B04EB" w:rsidP="00B851B7">
            <w:r w:rsidRPr="003F7F6C">
              <w:rPr>
                <w:rFonts w:cs="Calibri"/>
                <w:sz w:val="16"/>
                <w:szCs w:val="16"/>
              </w:rPr>
              <w:t>Ministry of Environment</w:t>
            </w:r>
          </w:p>
        </w:tc>
        <w:tc>
          <w:tcPr>
            <w:tcW w:w="428" w:type="dxa"/>
          </w:tcPr>
          <w:p w14:paraId="4FCD17D4" w14:textId="77777777" w:rsidR="002B04EB" w:rsidRPr="003F7F6C" w:rsidRDefault="002B04EB" w:rsidP="00B851B7"/>
        </w:tc>
        <w:tc>
          <w:tcPr>
            <w:tcW w:w="444" w:type="dxa"/>
          </w:tcPr>
          <w:p w14:paraId="0A18070C" w14:textId="77777777" w:rsidR="002B04EB" w:rsidRPr="003F7F6C" w:rsidRDefault="002B04EB" w:rsidP="00B851B7">
            <w:r w:rsidRPr="003F7F6C">
              <w:rPr>
                <w:rFonts w:cs="Calibri"/>
                <w:sz w:val="16"/>
                <w:szCs w:val="16"/>
              </w:rPr>
              <w:t>X</w:t>
            </w:r>
          </w:p>
        </w:tc>
        <w:tc>
          <w:tcPr>
            <w:tcW w:w="428" w:type="dxa"/>
          </w:tcPr>
          <w:p w14:paraId="56D30178" w14:textId="77777777" w:rsidR="002B04EB" w:rsidRPr="003F7F6C" w:rsidRDefault="002B04EB" w:rsidP="00B851B7">
            <w:r w:rsidRPr="003F7F6C">
              <w:rPr>
                <w:rFonts w:cs="Calibri"/>
                <w:sz w:val="16"/>
                <w:szCs w:val="16"/>
              </w:rPr>
              <w:t>X</w:t>
            </w:r>
          </w:p>
        </w:tc>
        <w:tc>
          <w:tcPr>
            <w:tcW w:w="428" w:type="dxa"/>
            <w:gridSpan w:val="2"/>
          </w:tcPr>
          <w:p w14:paraId="77EC3594" w14:textId="77777777" w:rsidR="002B04EB" w:rsidRPr="003F7F6C" w:rsidRDefault="002B04EB" w:rsidP="00B851B7">
            <w:r w:rsidRPr="003F7F6C">
              <w:rPr>
                <w:rFonts w:cs="Calibri"/>
                <w:sz w:val="16"/>
                <w:szCs w:val="16"/>
              </w:rPr>
              <w:t>X</w:t>
            </w:r>
          </w:p>
        </w:tc>
        <w:tc>
          <w:tcPr>
            <w:tcW w:w="428" w:type="dxa"/>
          </w:tcPr>
          <w:p w14:paraId="3BD05891" w14:textId="77777777" w:rsidR="002B04EB" w:rsidRPr="003F7F6C" w:rsidRDefault="002B04EB" w:rsidP="00B851B7">
            <w:r w:rsidRPr="003F7F6C">
              <w:rPr>
                <w:rFonts w:cs="Calibri"/>
                <w:sz w:val="16"/>
                <w:szCs w:val="16"/>
              </w:rPr>
              <w:t>X</w:t>
            </w:r>
          </w:p>
        </w:tc>
        <w:tc>
          <w:tcPr>
            <w:tcW w:w="427" w:type="dxa"/>
          </w:tcPr>
          <w:p w14:paraId="42E2786F" w14:textId="77777777" w:rsidR="002B04EB" w:rsidRPr="003F7F6C" w:rsidRDefault="002B04EB" w:rsidP="00B851B7">
            <w:r w:rsidRPr="003F7F6C">
              <w:rPr>
                <w:rFonts w:cs="Calibri"/>
                <w:sz w:val="16"/>
                <w:szCs w:val="16"/>
              </w:rPr>
              <w:t>X</w:t>
            </w:r>
          </w:p>
        </w:tc>
        <w:tc>
          <w:tcPr>
            <w:tcW w:w="427" w:type="dxa"/>
          </w:tcPr>
          <w:p w14:paraId="0533184A" w14:textId="77777777" w:rsidR="002B04EB" w:rsidRPr="003F7F6C" w:rsidRDefault="002B04EB" w:rsidP="00B851B7">
            <w:r w:rsidRPr="003F7F6C">
              <w:rPr>
                <w:rFonts w:cs="Calibri"/>
                <w:sz w:val="16"/>
                <w:szCs w:val="16"/>
              </w:rPr>
              <w:t>X</w:t>
            </w:r>
          </w:p>
        </w:tc>
        <w:tc>
          <w:tcPr>
            <w:tcW w:w="427" w:type="dxa"/>
            <w:gridSpan w:val="2"/>
          </w:tcPr>
          <w:p w14:paraId="143779D2" w14:textId="77777777" w:rsidR="002B04EB" w:rsidRPr="003F7F6C" w:rsidRDefault="002B04EB" w:rsidP="00B851B7">
            <w:r w:rsidRPr="003F7F6C">
              <w:rPr>
                <w:rFonts w:cs="Calibri"/>
                <w:sz w:val="16"/>
                <w:szCs w:val="16"/>
              </w:rPr>
              <w:t>X</w:t>
            </w:r>
          </w:p>
        </w:tc>
        <w:tc>
          <w:tcPr>
            <w:tcW w:w="428" w:type="dxa"/>
          </w:tcPr>
          <w:p w14:paraId="2F4923D7" w14:textId="77777777" w:rsidR="002B04EB" w:rsidRPr="003F7F6C" w:rsidRDefault="002B04EB" w:rsidP="00B851B7">
            <w:r w:rsidRPr="003F7F6C">
              <w:rPr>
                <w:rFonts w:cs="Calibri"/>
                <w:sz w:val="16"/>
                <w:szCs w:val="16"/>
              </w:rPr>
              <w:t>X</w:t>
            </w:r>
          </w:p>
        </w:tc>
        <w:tc>
          <w:tcPr>
            <w:tcW w:w="428" w:type="dxa"/>
          </w:tcPr>
          <w:p w14:paraId="23F0AB93" w14:textId="77777777" w:rsidR="002B04EB" w:rsidRPr="003F7F6C" w:rsidRDefault="002B04EB" w:rsidP="00B851B7">
            <w:r w:rsidRPr="003F7F6C">
              <w:rPr>
                <w:rFonts w:cs="Calibri"/>
                <w:sz w:val="16"/>
                <w:szCs w:val="16"/>
              </w:rPr>
              <w:t>X</w:t>
            </w:r>
          </w:p>
        </w:tc>
        <w:tc>
          <w:tcPr>
            <w:tcW w:w="428" w:type="dxa"/>
          </w:tcPr>
          <w:p w14:paraId="62F2F048" w14:textId="77777777" w:rsidR="002B04EB" w:rsidRPr="003F7F6C" w:rsidRDefault="002B04EB" w:rsidP="00B851B7">
            <w:r w:rsidRPr="003F7F6C">
              <w:rPr>
                <w:rFonts w:cs="Calibri"/>
                <w:sz w:val="16"/>
                <w:szCs w:val="16"/>
              </w:rPr>
              <w:t>X</w:t>
            </w:r>
          </w:p>
        </w:tc>
        <w:tc>
          <w:tcPr>
            <w:tcW w:w="428" w:type="dxa"/>
            <w:gridSpan w:val="2"/>
          </w:tcPr>
          <w:p w14:paraId="1CF8D7BF" w14:textId="77777777" w:rsidR="002B04EB" w:rsidRPr="003F7F6C" w:rsidRDefault="002B04EB" w:rsidP="00B851B7">
            <w:r w:rsidRPr="003F7F6C">
              <w:rPr>
                <w:rFonts w:cs="Calibri"/>
                <w:sz w:val="16"/>
                <w:szCs w:val="16"/>
              </w:rPr>
              <w:t>X</w:t>
            </w:r>
          </w:p>
        </w:tc>
        <w:tc>
          <w:tcPr>
            <w:tcW w:w="428" w:type="dxa"/>
          </w:tcPr>
          <w:p w14:paraId="117968D8" w14:textId="77777777" w:rsidR="002B04EB" w:rsidRPr="003F7F6C" w:rsidRDefault="002B04EB" w:rsidP="00B851B7">
            <w:r w:rsidRPr="003F7F6C">
              <w:rPr>
                <w:rFonts w:cs="Calibri"/>
                <w:sz w:val="16"/>
                <w:szCs w:val="16"/>
              </w:rPr>
              <w:t>X</w:t>
            </w:r>
          </w:p>
        </w:tc>
        <w:tc>
          <w:tcPr>
            <w:tcW w:w="428" w:type="dxa"/>
          </w:tcPr>
          <w:p w14:paraId="79B7F19E" w14:textId="77777777" w:rsidR="002B04EB" w:rsidRPr="003F7F6C" w:rsidRDefault="002B04EB" w:rsidP="00B851B7">
            <w:r w:rsidRPr="003F7F6C">
              <w:rPr>
                <w:rFonts w:cs="Calibri"/>
                <w:sz w:val="16"/>
                <w:szCs w:val="16"/>
              </w:rPr>
              <w:t>X</w:t>
            </w:r>
          </w:p>
        </w:tc>
        <w:tc>
          <w:tcPr>
            <w:tcW w:w="428" w:type="dxa"/>
          </w:tcPr>
          <w:p w14:paraId="20BD41B9" w14:textId="77777777" w:rsidR="002B04EB" w:rsidRPr="003F7F6C" w:rsidRDefault="002B04EB" w:rsidP="00B851B7">
            <w:r w:rsidRPr="003F7F6C">
              <w:rPr>
                <w:rFonts w:cs="Calibri"/>
                <w:sz w:val="16"/>
                <w:szCs w:val="16"/>
              </w:rPr>
              <w:t>X</w:t>
            </w:r>
          </w:p>
        </w:tc>
        <w:tc>
          <w:tcPr>
            <w:tcW w:w="428" w:type="dxa"/>
            <w:gridSpan w:val="2"/>
          </w:tcPr>
          <w:p w14:paraId="178F0B7C" w14:textId="77777777" w:rsidR="002B04EB" w:rsidRPr="003F7F6C" w:rsidRDefault="002B04EB" w:rsidP="00B851B7">
            <w:r w:rsidRPr="003F7F6C">
              <w:rPr>
                <w:rFonts w:cs="Calibri"/>
                <w:sz w:val="16"/>
                <w:szCs w:val="16"/>
              </w:rPr>
              <w:t>X</w:t>
            </w:r>
          </w:p>
        </w:tc>
        <w:tc>
          <w:tcPr>
            <w:tcW w:w="428" w:type="dxa"/>
          </w:tcPr>
          <w:p w14:paraId="65B84D24" w14:textId="77777777" w:rsidR="002B04EB" w:rsidRPr="003F7F6C" w:rsidRDefault="002B04EB" w:rsidP="00B851B7">
            <w:r w:rsidRPr="003F7F6C">
              <w:rPr>
                <w:rFonts w:cs="Calibri"/>
                <w:sz w:val="16"/>
                <w:szCs w:val="16"/>
              </w:rPr>
              <w:t>X</w:t>
            </w:r>
          </w:p>
        </w:tc>
        <w:tc>
          <w:tcPr>
            <w:tcW w:w="428" w:type="dxa"/>
          </w:tcPr>
          <w:p w14:paraId="6A7447A6" w14:textId="77777777" w:rsidR="002B04EB" w:rsidRPr="003F7F6C" w:rsidRDefault="002B04EB" w:rsidP="00B851B7">
            <w:r w:rsidRPr="003F7F6C">
              <w:rPr>
                <w:rFonts w:cs="Calibri"/>
                <w:sz w:val="16"/>
                <w:szCs w:val="16"/>
              </w:rPr>
              <w:t>X</w:t>
            </w:r>
          </w:p>
        </w:tc>
        <w:tc>
          <w:tcPr>
            <w:tcW w:w="428" w:type="dxa"/>
          </w:tcPr>
          <w:p w14:paraId="09EDA8E3" w14:textId="77777777" w:rsidR="002B04EB" w:rsidRPr="003F7F6C" w:rsidRDefault="002B04EB" w:rsidP="00B851B7">
            <w:r w:rsidRPr="003F7F6C">
              <w:rPr>
                <w:rFonts w:cs="Calibri"/>
                <w:sz w:val="16"/>
                <w:szCs w:val="16"/>
              </w:rPr>
              <w:t>X</w:t>
            </w:r>
          </w:p>
        </w:tc>
        <w:tc>
          <w:tcPr>
            <w:tcW w:w="428" w:type="dxa"/>
            <w:gridSpan w:val="2"/>
          </w:tcPr>
          <w:p w14:paraId="7D74D06C" w14:textId="77777777" w:rsidR="002B04EB" w:rsidRPr="003F7F6C" w:rsidRDefault="002B04EB" w:rsidP="00B851B7">
            <w:r w:rsidRPr="003F7F6C">
              <w:rPr>
                <w:rFonts w:cs="Calibri"/>
                <w:sz w:val="16"/>
                <w:szCs w:val="16"/>
              </w:rPr>
              <w:t>X</w:t>
            </w:r>
          </w:p>
        </w:tc>
        <w:tc>
          <w:tcPr>
            <w:tcW w:w="428" w:type="dxa"/>
          </w:tcPr>
          <w:p w14:paraId="056CB5C6" w14:textId="77777777" w:rsidR="002B04EB" w:rsidRPr="003F7F6C" w:rsidRDefault="002B04EB" w:rsidP="00B851B7">
            <w:r w:rsidRPr="003F7F6C">
              <w:rPr>
                <w:rFonts w:cs="Calibri"/>
                <w:sz w:val="16"/>
                <w:szCs w:val="16"/>
              </w:rPr>
              <w:t>X</w:t>
            </w:r>
          </w:p>
        </w:tc>
        <w:tc>
          <w:tcPr>
            <w:tcW w:w="428" w:type="dxa"/>
          </w:tcPr>
          <w:p w14:paraId="36862E31" w14:textId="77777777" w:rsidR="002B04EB" w:rsidRPr="003F7F6C" w:rsidRDefault="002B04EB" w:rsidP="00B851B7">
            <w:r w:rsidRPr="003F7F6C">
              <w:rPr>
                <w:rFonts w:cs="Calibri"/>
                <w:sz w:val="16"/>
                <w:szCs w:val="16"/>
              </w:rPr>
              <w:t>X</w:t>
            </w:r>
          </w:p>
        </w:tc>
        <w:tc>
          <w:tcPr>
            <w:tcW w:w="428" w:type="dxa"/>
          </w:tcPr>
          <w:p w14:paraId="54A6EFA8" w14:textId="77777777" w:rsidR="002B04EB" w:rsidRPr="003F7F6C" w:rsidRDefault="002B04EB" w:rsidP="00B851B7">
            <w:r w:rsidRPr="003F7F6C">
              <w:rPr>
                <w:rFonts w:cs="Calibri"/>
                <w:sz w:val="16"/>
                <w:szCs w:val="16"/>
              </w:rPr>
              <w:t>X</w:t>
            </w:r>
          </w:p>
        </w:tc>
        <w:tc>
          <w:tcPr>
            <w:tcW w:w="428" w:type="dxa"/>
          </w:tcPr>
          <w:p w14:paraId="2344E26A" w14:textId="77777777" w:rsidR="002B04EB" w:rsidRPr="003F7F6C" w:rsidRDefault="002B04EB" w:rsidP="00B851B7">
            <w:r w:rsidRPr="003F7F6C">
              <w:rPr>
                <w:rFonts w:cs="Calibri"/>
                <w:sz w:val="16"/>
                <w:szCs w:val="16"/>
              </w:rPr>
              <w:t>X</w:t>
            </w:r>
          </w:p>
        </w:tc>
      </w:tr>
      <w:tr w:rsidR="002B04EB" w:rsidRPr="003F7F6C" w14:paraId="09A8A09A" w14:textId="77777777" w:rsidTr="00B851B7">
        <w:tc>
          <w:tcPr>
            <w:tcW w:w="1668" w:type="dxa"/>
          </w:tcPr>
          <w:p w14:paraId="5F79677F" w14:textId="77777777" w:rsidR="002B04EB" w:rsidRPr="003F7F6C" w:rsidRDefault="002B04EB" w:rsidP="00E91275">
            <w:pPr>
              <w:pStyle w:val="ListParagraph"/>
              <w:numPr>
                <w:ilvl w:val="0"/>
                <w:numId w:val="29"/>
              </w:numPr>
              <w:ind w:left="174" w:hanging="174"/>
              <w:jc w:val="left"/>
              <w:rPr>
                <w:rFonts w:cs="Calibri"/>
                <w:sz w:val="16"/>
                <w:szCs w:val="16"/>
              </w:rPr>
            </w:pPr>
            <w:r w:rsidRPr="003F7F6C">
              <w:rPr>
                <w:rFonts w:cs="Calibri"/>
                <w:sz w:val="16"/>
                <w:szCs w:val="16"/>
              </w:rPr>
              <w:t>Assess practices and synergies with other projects</w:t>
            </w:r>
          </w:p>
        </w:tc>
        <w:tc>
          <w:tcPr>
            <w:tcW w:w="1057" w:type="dxa"/>
          </w:tcPr>
          <w:p w14:paraId="4F846C12" w14:textId="77777777" w:rsidR="002B04EB" w:rsidRPr="003F7F6C" w:rsidRDefault="002B04EB" w:rsidP="00B851B7">
            <w:r w:rsidRPr="003F7F6C">
              <w:rPr>
                <w:rFonts w:cs="Calibri"/>
                <w:sz w:val="16"/>
                <w:szCs w:val="16"/>
              </w:rPr>
              <w:t>Ministry of Environment</w:t>
            </w:r>
          </w:p>
        </w:tc>
        <w:tc>
          <w:tcPr>
            <w:tcW w:w="428" w:type="dxa"/>
          </w:tcPr>
          <w:p w14:paraId="2632CED3" w14:textId="77777777" w:rsidR="002B04EB" w:rsidRPr="003F7F6C" w:rsidRDefault="002B04EB" w:rsidP="00B851B7"/>
        </w:tc>
        <w:tc>
          <w:tcPr>
            <w:tcW w:w="444" w:type="dxa"/>
          </w:tcPr>
          <w:p w14:paraId="063537CB" w14:textId="77777777" w:rsidR="002B04EB" w:rsidRPr="003F7F6C" w:rsidRDefault="002B04EB" w:rsidP="00B851B7">
            <w:r w:rsidRPr="003F7F6C">
              <w:rPr>
                <w:rFonts w:cs="Calibri"/>
                <w:sz w:val="16"/>
                <w:szCs w:val="16"/>
              </w:rPr>
              <w:t>X</w:t>
            </w:r>
          </w:p>
        </w:tc>
        <w:tc>
          <w:tcPr>
            <w:tcW w:w="428" w:type="dxa"/>
          </w:tcPr>
          <w:p w14:paraId="42AA10A2" w14:textId="77777777" w:rsidR="002B04EB" w:rsidRPr="003F7F6C" w:rsidRDefault="002B04EB" w:rsidP="00B851B7">
            <w:r w:rsidRPr="003F7F6C">
              <w:rPr>
                <w:rFonts w:cs="Calibri"/>
                <w:sz w:val="16"/>
                <w:szCs w:val="16"/>
              </w:rPr>
              <w:t>X</w:t>
            </w:r>
          </w:p>
        </w:tc>
        <w:tc>
          <w:tcPr>
            <w:tcW w:w="428" w:type="dxa"/>
            <w:gridSpan w:val="2"/>
          </w:tcPr>
          <w:p w14:paraId="114CDEF0" w14:textId="77777777" w:rsidR="002B04EB" w:rsidRPr="003F7F6C" w:rsidRDefault="002B04EB" w:rsidP="00B851B7">
            <w:r w:rsidRPr="003F7F6C">
              <w:rPr>
                <w:rFonts w:cs="Calibri"/>
                <w:sz w:val="16"/>
                <w:szCs w:val="16"/>
              </w:rPr>
              <w:t>X</w:t>
            </w:r>
          </w:p>
        </w:tc>
        <w:tc>
          <w:tcPr>
            <w:tcW w:w="428" w:type="dxa"/>
          </w:tcPr>
          <w:p w14:paraId="4D11469F" w14:textId="77777777" w:rsidR="002B04EB" w:rsidRPr="003F7F6C" w:rsidRDefault="002B04EB" w:rsidP="00B851B7">
            <w:r w:rsidRPr="003F7F6C">
              <w:rPr>
                <w:rFonts w:cs="Calibri"/>
                <w:sz w:val="16"/>
                <w:szCs w:val="16"/>
              </w:rPr>
              <w:t>X</w:t>
            </w:r>
          </w:p>
        </w:tc>
        <w:tc>
          <w:tcPr>
            <w:tcW w:w="427" w:type="dxa"/>
          </w:tcPr>
          <w:p w14:paraId="2ACF2CC3" w14:textId="77777777" w:rsidR="002B04EB" w:rsidRPr="003F7F6C" w:rsidRDefault="002B04EB" w:rsidP="00B851B7">
            <w:r w:rsidRPr="003F7F6C">
              <w:rPr>
                <w:rFonts w:cs="Calibri"/>
                <w:sz w:val="16"/>
                <w:szCs w:val="16"/>
              </w:rPr>
              <w:t>X</w:t>
            </w:r>
          </w:p>
        </w:tc>
        <w:tc>
          <w:tcPr>
            <w:tcW w:w="427" w:type="dxa"/>
          </w:tcPr>
          <w:p w14:paraId="68F4F700" w14:textId="77777777" w:rsidR="002B04EB" w:rsidRPr="003F7F6C" w:rsidRDefault="002B04EB" w:rsidP="00B851B7">
            <w:r w:rsidRPr="003F7F6C">
              <w:rPr>
                <w:rFonts w:cs="Calibri"/>
                <w:sz w:val="16"/>
                <w:szCs w:val="16"/>
              </w:rPr>
              <w:t>X</w:t>
            </w:r>
          </w:p>
        </w:tc>
        <w:tc>
          <w:tcPr>
            <w:tcW w:w="427" w:type="dxa"/>
            <w:gridSpan w:val="2"/>
          </w:tcPr>
          <w:p w14:paraId="18B4A3C1" w14:textId="77777777" w:rsidR="002B04EB" w:rsidRPr="003F7F6C" w:rsidRDefault="002B04EB" w:rsidP="00B851B7">
            <w:r w:rsidRPr="003F7F6C">
              <w:rPr>
                <w:rFonts w:cs="Calibri"/>
                <w:sz w:val="16"/>
                <w:szCs w:val="16"/>
              </w:rPr>
              <w:t>X</w:t>
            </w:r>
          </w:p>
        </w:tc>
        <w:tc>
          <w:tcPr>
            <w:tcW w:w="428" w:type="dxa"/>
          </w:tcPr>
          <w:p w14:paraId="64FAD40A" w14:textId="77777777" w:rsidR="002B04EB" w:rsidRPr="003F7F6C" w:rsidRDefault="002B04EB" w:rsidP="00B851B7">
            <w:r w:rsidRPr="003F7F6C">
              <w:rPr>
                <w:rFonts w:cs="Calibri"/>
                <w:sz w:val="16"/>
                <w:szCs w:val="16"/>
              </w:rPr>
              <w:t>X</w:t>
            </w:r>
          </w:p>
        </w:tc>
        <w:tc>
          <w:tcPr>
            <w:tcW w:w="428" w:type="dxa"/>
          </w:tcPr>
          <w:p w14:paraId="05A574EE" w14:textId="77777777" w:rsidR="002B04EB" w:rsidRPr="003F7F6C" w:rsidRDefault="002B04EB" w:rsidP="00B851B7">
            <w:r w:rsidRPr="003F7F6C">
              <w:rPr>
                <w:rFonts w:cs="Calibri"/>
                <w:sz w:val="16"/>
                <w:szCs w:val="16"/>
              </w:rPr>
              <w:t>X</w:t>
            </w:r>
          </w:p>
        </w:tc>
        <w:tc>
          <w:tcPr>
            <w:tcW w:w="428" w:type="dxa"/>
          </w:tcPr>
          <w:p w14:paraId="37837427" w14:textId="77777777" w:rsidR="002B04EB" w:rsidRPr="003F7F6C" w:rsidRDefault="002B04EB" w:rsidP="00B851B7">
            <w:r w:rsidRPr="003F7F6C">
              <w:rPr>
                <w:rFonts w:cs="Calibri"/>
                <w:sz w:val="16"/>
                <w:szCs w:val="16"/>
              </w:rPr>
              <w:t>X</w:t>
            </w:r>
          </w:p>
        </w:tc>
        <w:tc>
          <w:tcPr>
            <w:tcW w:w="428" w:type="dxa"/>
            <w:gridSpan w:val="2"/>
          </w:tcPr>
          <w:p w14:paraId="490BBDA8" w14:textId="77777777" w:rsidR="002B04EB" w:rsidRPr="003F7F6C" w:rsidRDefault="002B04EB" w:rsidP="00B851B7">
            <w:r w:rsidRPr="003F7F6C">
              <w:rPr>
                <w:rFonts w:cs="Calibri"/>
                <w:sz w:val="16"/>
                <w:szCs w:val="16"/>
              </w:rPr>
              <w:t>X</w:t>
            </w:r>
          </w:p>
        </w:tc>
        <w:tc>
          <w:tcPr>
            <w:tcW w:w="428" w:type="dxa"/>
          </w:tcPr>
          <w:p w14:paraId="6277A66D" w14:textId="77777777" w:rsidR="002B04EB" w:rsidRPr="003F7F6C" w:rsidRDefault="002B04EB" w:rsidP="00B851B7">
            <w:pPr>
              <w:rPr>
                <w:rFonts w:cs="Calibri"/>
                <w:sz w:val="16"/>
                <w:szCs w:val="16"/>
              </w:rPr>
            </w:pPr>
          </w:p>
        </w:tc>
        <w:tc>
          <w:tcPr>
            <w:tcW w:w="428" w:type="dxa"/>
          </w:tcPr>
          <w:p w14:paraId="23389FFB" w14:textId="77777777" w:rsidR="002B04EB" w:rsidRPr="003F7F6C" w:rsidRDefault="002B04EB" w:rsidP="00B851B7">
            <w:pPr>
              <w:rPr>
                <w:rFonts w:cs="Calibri"/>
                <w:sz w:val="16"/>
                <w:szCs w:val="16"/>
              </w:rPr>
            </w:pPr>
          </w:p>
        </w:tc>
        <w:tc>
          <w:tcPr>
            <w:tcW w:w="428" w:type="dxa"/>
          </w:tcPr>
          <w:p w14:paraId="4E5E27BD" w14:textId="77777777" w:rsidR="002B04EB" w:rsidRPr="003F7F6C" w:rsidRDefault="002B04EB" w:rsidP="00B851B7">
            <w:pPr>
              <w:rPr>
                <w:rFonts w:cs="Calibri"/>
                <w:sz w:val="16"/>
                <w:szCs w:val="16"/>
              </w:rPr>
            </w:pPr>
          </w:p>
        </w:tc>
        <w:tc>
          <w:tcPr>
            <w:tcW w:w="428" w:type="dxa"/>
            <w:gridSpan w:val="2"/>
          </w:tcPr>
          <w:p w14:paraId="0D276969" w14:textId="77777777" w:rsidR="002B04EB" w:rsidRPr="003F7F6C" w:rsidRDefault="002B04EB" w:rsidP="00B851B7">
            <w:pPr>
              <w:rPr>
                <w:rFonts w:cs="Calibri"/>
                <w:sz w:val="16"/>
                <w:szCs w:val="16"/>
              </w:rPr>
            </w:pPr>
          </w:p>
        </w:tc>
        <w:tc>
          <w:tcPr>
            <w:tcW w:w="428" w:type="dxa"/>
          </w:tcPr>
          <w:p w14:paraId="3C039C43" w14:textId="77777777" w:rsidR="002B04EB" w:rsidRPr="003F7F6C" w:rsidRDefault="002B04EB" w:rsidP="00B851B7">
            <w:pPr>
              <w:rPr>
                <w:rFonts w:cs="Calibri"/>
                <w:sz w:val="16"/>
                <w:szCs w:val="16"/>
              </w:rPr>
            </w:pPr>
          </w:p>
        </w:tc>
        <w:tc>
          <w:tcPr>
            <w:tcW w:w="428" w:type="dxa"/>
          </w:tcPr>
          <w:p w14:paraId="718E9C3D" w14:textId="77777777" w:rsidR="002B04EB" w:rsidRPr="003F7F6C" w:rsidRDefault="002B04EB" w:rsidP="00B851B7">
            <w:pPr>
              <w:rPr>
                <w:rFonts w:cs="Calibri"/>
                <w:sz w:val="16"/>
                <w:szCs w:val="16"/>
              </w:rPr>
            </w:pPr>
          </w:p>
        </w:tc>
        <w:tc>
          <w:tcPr>
            <w:tcW w:w="428" w:type="dxa"/>
          </w:tcPr>
          <w:p w14:paraId="070CD191" w14:textId="77777777" w:rsidR="002B04EB" w:rsidRPr="003F7F6C" w:rsidRDefault="002B04EB" w:rsidP="00B851B7">
            <w:pPr>
              <w:rPr>
                <w:rFonts w:cs="Calibri"/>
                <w:sz w:val="16"/>
                <w:szCs w:val="16"/>
              </w:rPr>
            </w:pPr>
          </w:p>
        </w:tc>
        <w:tc>
          <w:tcPr>
            <w:tcW w:w="428" w:type="dxa"/>
            <w:gridSpan w:val="2"/>
          </w:tcPr>
          <w:p w14:paraId="11D04F77" w14:textId="77777777" w:rsidR="002B04EB" w:rsidRPr="003F7F6C" w:rsidRDefault="002B04EB" w:rsidP="00B851B7">
            <w:pPr>
              <w:rPr>
                <w:rFonts w:cs="Calibri"/>
                <w:sz w:val="16"/>
                <w:szCs w:val="16"/>
              </w:rPr>
            </w:pPr>
          </w:p>
        </w:tc>
        <w:tc>
          <w:tcPr>
            <w:tcW w:w="428" w:type="dxa"/>
          </w:tcPr>
          <w:p w14:paraId="7F854D03" w14:textId="77777777" w:rsidR="002B04EB" w:rsidRPr="003F7F6C" w:rsidRDefault="002B04EB" w:rsidP="00B851B7">
            <w:pPr>
              <w:rPr>
                <w:rFonts w:cs="Calibri"/>
                <w:sz w:val="16"/>
                <w:szCs w:val="16"/>
              </w:rPr>
            </w:pPr>
          </w:p>
        </w:tc>
        <w:tc>
          <w:tcPr>
            <w:tcW w:w="428" w:type="dxa"/>
          </w:tcPr>
          <w:p w14:paraId="37E8628D" w14:textId="77777777" w:rsidR="002B04EB" w:rsidRPr="003F7F6C" w:rsidRDefault="002B04EB" w:rsidP="00B851B7">
            <w:pPr>
              <w:rPr>
                <w:rFonts w:cs="Calibri"/>
                <w:sz w:val="16"/>
                <w:szCs w:val="16"/>
              </w:rPr>
            </w:pPr>
          </w:p>
        </w:tc>
        <w:tc>
          <w:tcPr>
            <w:tcW w:w="428" w:type="dxa"/>
          </w:tcPr>
          <w:p w14:paraId="69199BCE" w14:textId="77777777" w:rsidR="002B04EB" w:rsidRPr="003F7F6C" w:rsidRDefault="002B04EB" w:rsidP="00B851B7">
            <w:pPr>
              <w:rPr>
                <w:rFonts w:cs="Calibri"/>
                <w:sz w:val="16"/>
                <w:szCs w:val="16"/>
              </w:rPr>
            </w:pPr>
          </w:p>
        </w:tc>
        <w:tc>
          <w:tcPr>
            <w:tcW w:w="428" w:type="dxa"/>
          </w:tcPr>
          <w:p w14:paraId="167B0CD9" w14:textId="77777777" w:rsidR="002B04EB" w:rsidRPr="003F7F6C" w:rsidRDefault="002B04EB" w:rsidP="00B851B7">
            <w:pPr>
              <w:rPr>
                <w:rFonts w:cs="Calibri"/>
                <w:sz w:val="16"/>
                <w:szCs w:val="16"/>
              </w:rPr>
            </w:pPr>
          </w:p>
        </w:tc>
      </w:tr>
      <w:tr w:rsidR="002B04EB" w:rsidRPr="003F7F6C" w14:paraId="472D3FEE" w14:textId="77777777" w:rsidTr="00B851B7">
        <w:tc>
          <w:tcPr>
            <w:tcW w:w="1668" w:type="dxa"/>
          </w:tcPr>
          <w:p w14:paraId="2525D72A" w14:textId="77777777" w:rsidR="002B04EB" w:rsidRPr="003F7F6C" w:rsidRDefault="002B04EB" w:rsidP="00E91275">
            <w:pPr>
              <w:pStyle w:val="ListParagraph"/>
              <w:numPr>
                <w:ilvl w:val="0"/>
                <w:numId w:val="29"/>
              </w:numPr>
              <w:ind w:left="174" w:hanging="174"/>
              <w:jc w:val="left"/>
              <w:rPr>
                <w:rFonts w:cs="Calibri"/>
                <w:sz w:val="16"/>
                <w:szCs w:val="16"/>
              </w:rPr>
            </w:pPr>
            <w:r w:rsidRPr="003F7F6C">
              <w:rPr>
                <w:rFonts w:cs="Calibri"/>
                <w:sz w:val="16"/>
                <w:szCs w:val="16"/>
              </w:rPr>
              <w:t>Implement practices</w:t>
            </w:r>
          </w:p>
        </w:tc>
        <w:tc>
          <w:tcPr>
            <w:tcW w:w="1057" w:type="dxa"/>
          </w:tcPr>
          <w:p w14:paraId="37BC27F9" w14:textId="77777777" w:rsidR="002B04EB" w:rsidRPr="003F7F6C" w:rsidRDefault="002B04EB" w:rsidP="00B851B7">
            <w:r w:rsidRPr="003F7F6C">
              <w:rPr>
                <w:rFonts w:cs="Calibri"/>
                <w:sz w:val="16"/>
                <w:szCs w:val="16"/>
              </w:rPr>
              <w:t>Ministry of Environment</w:t>
            </w:r>
          </w:p>
        </w:tc>
        <w:tc>
          <w:tcPr>
            <w:tcW w:w="428" w:type="dxa"/>
          </w:tcPr>
          <w:p w14:paraId="48563A66" w14:textId="77777777" w:rsidR="002B04EB" w:rsidRPr="003F7F6C" w:rsidRDefault="002B04EB" w:rsidP="00B851B7">
            <w:pPr>
              <w:rPr>
                <w:rFonts w:cs="Calibri"/>
                <w:sz w:val="16"/>
                <w:szCs w:val="16"/>
              </w:rPr>
            </w:pPr>
          </w:p>
        </w:tc>
        <w:tc>
          <w:tcPr>
            <w:tcW w:w="444" w:type="dxa"/>
          </w:tcPr>
          <w:p w14:paraId="2F0B24B6" w14:textId="77777777" w:rsidR="002B04EB" w:rsidRPr="003F7F6C" w:rsidRDefault="002B04EB" w:rsidP="00B851B7">
            <w:pPr>
              <w:rPr>
                <w:rFonts w:cs="Calibri"/>
                <w:sz w:val="16"/>
                <w:szCs w:val="16"/>
              </w:rPr>
            </w:pPr>
          </w:p>
        </w:tc>
        <w:tc>
          <w:tcPr>
            <w:tcW w:w="428" w:type="dxa"/>
          </w:tcPr>
          <w:p w14:paraId="598C22CC" w14:textId="77777777" w:rsidR="002B04EB" w:rsidRPr="003F7F6C" w:rsidRDefault="002B04EB" w:rsidP="00B851B7">
            <w:pPr>
              <w:rPr>
                <w:rFonts w:cs="Calibri"/>
                <w:sz w:val="16"/>
                <w:szCs w:val="16"/>
              </w:rPr>
            </w:pPr>
          </w:p>
        </w:tc>
        <w:tc>
          <w:tcPr>
            <w:tcW w:w="428" w:type="dxa"/>
            <w:gridSpan w:val="2"/>
          </w:tcPr>
          <w:p w14:paraId="701FCD4A" w14:textId="77777777" w:rsidR="002B04EB" w:rsidRPr="003F7F6C" w:rsidRDefault="002B04EB" w:rsidP="00B851B7">
            <w:pPr>
              <w:rPr>
                <w:rFonts w:cs="Calibri"/>
                <w:sz w:val="16"/>
                <w:szCs w:val="16"/>
              </w:rPr>
            </w:pPr>
          </w:p>
        </w:tc>
        <w:tc>
          <w:tcPr>
            <w:tcW w:w="428" w:type="dxa"/>
          </w:tcPr>
          <w:p w14:paraId="0F138047" w14:textId="77777777" w:rsidR="002B04EB" w:rsidRPr="003F7F6C" w:rsidRDefault="002B04EB" w:rsidP="00B851B7">
            <w:pPr>
              <w:rPr>
                <w:rFonts w:cs="Calibri"/>
                <w:sz w:val="16"/>
                <w:szCs w:val="16"/>
              </w:rPr>
            </w:pPr>
          </w:p>
        </w:tc>
        <w:tc>
          <w:tcPr>
            <w:tcW w:w="427" w:type="dxa"/>
          </w:tcPr>
          <w:p w14:paraId="7A2CE8F3" w14:textId="77777777" w:rsidR="002B04EB" w:rsidRPr="003F7F6C" w:rsidRDefault="002B04EB" w:rsidP="00B851B7">
            <w:pPr>
              <w:rPr>
                <w:rFonts w:cs="Calibri"/>
                <w:sz w:val="16"/>
                <w:szCs w:val="16"/>
              </w:rPr>
            </w:pPr>
          </w:p>
        </w:tc>
        <w:tc>
          <w:tcPr>
            <w:tcW w:w="427" w:type="dxa"/>
          </w:tcPr>
          <w:p w14:paraId="27F1A538" w14:textId="77777777" w:rsidR="002B04EB" w:rsidRPr="003F7F6C" w:rsidRDefault="002B04EB" w:rsidP="00B851B7">
            <w:pPr>
              <w:rPr>
                <w:rFonts w:cs="Calibri"/>
                <w:sz w:val="16"/>
                <w:szCs w:val="16"/>
              </w:rPr>
            </w:pPr>
          </w:p>
        </w:tc>
        <w:tc>
          <w:tcPr>
            <w:tcW w:w="427" w:type="dxa"/>
            <w:gridSpan w:val="2"/>
          </w:tcPr>
          <w:p w14:paraId="7C5C2165" w14:textId="77777777" w:rsidR="002B04EB" w:rsidRPr="003F7F6C" w:rsidRDefault="002B04EB" w:rsidP="00B851B7">
            <w:pPr>
              <w:rPr>
                <w:rFonts w:cs="Calibri"/>
                <w:sz w:val="16"/>
                <w:szCs w:val="16"/>
              </w:rPr>
            </w:pPr>
          </w:p>
        </w:tc>
        <w:tc>
          <w:tcPr>
            <w:tcW w:w="428" w:type="dxa"/>
          </w:tcPr>
          <w:p w14:paraId="757A078A" w14:textId="77777777" w:rsidR="002B04EB" w:rsidRPr="003F7F6C" w:rsidRDefault="002B04EB" w:rsidP="00B851B7">
            <w:pPr>
              <w:rPr>
                <w:rFonts w:cs="Calibri"/>
                <w:sz w:val="16"/>
                <w:szCs w:val="16"/>
              </w:rPr>
            </w:pPr>
          </w:p>
        </w:tc>
        <w:tc>
          <w:tcPr>
            <w:tcW w:w="428" w:type="dxa"/>
          </w:tcPr>
          <w:p w14:paraId="6580300B" w14:textId="77777777" w:rsidR="002B04EB" w:rsidRPr="003F7F6C" w:rsidRDefault="002B04EB" w:rsidP="00B851B7">
            <w:pPr>
              <w:rPr>
                <w:rFonts w:cs="Calibri"/>
                <w:sz w:val="16"/>
                <w:szCs w:val="16"/>
              </w:rPr>
            </w:pPr>
          </w:p>
        </w:tc>
        <w:tc>
          <w:tcPr>
            <w:tcW w:w="428" w:type="dxa"/>
          </w:tcPr>
          <w:p w14:paraId="01BFFA08" w14:textId="77777777" w:rsidR="002B04EB" w:rsidRPr="003F7F6C" w:rsidRDefault="002B04EB" w:rsidP="00B851B7">
            <w:pPr>
              <w:rPr>
                <w:rFonts w:cs="Calibri"/>
                <w:sz w:val="16"/>
                <w:szCs w:val="16"/>
              </w:rPr>
            </w:pPr>
          </w:p>
        </w:tc>
        <w:tc>
          <w:tcPr>
            <w:tcW w:w="428" w:type="dxa"/>
            <w:gridSpan w:val="2"/>
          </w:tcPr>
          <w:p w14:paraId="3CE7A4D4" w14:textId="77777777" w:rsidR="002B04EB" w:rsidRPr="003F7F6C" w:rsidRDefault="002B04EB" w:rsidP="00B851B7">
            <w:pPr>
              <w:rPr>
                <w:rFonts w:cs="Calibri"/>
                <w:sz w:val="16"/>
                <w:szCs w:val="16"/>
              </w:rPr>
            </w:pPr>
          </w:p>
        </w:tc>
        <w:tc>
          <w:tcPr>
            <w:tcW w:w="428" w:type="dxa"/>
          </w:tcPr>
          <w:p w14:paraId="1DAB1B08" w14:textId="77777777" w:rsidR="002B04EB" w:rsidRPr="003F7F6C" w:rsidRDefault="002B04EB" w:rsidP="00B851B7">
            <w:r w:rsidRPr="003F7F6C">
              <w:rPr>
                <w:rFonts w:cs="Calibri"/>
                <w:sz w:val="16"/>
                <w:szCs w:val="16"/>
              </w:rPr>
              <w:t>X</w:t>
            </w:r>
          </w:p>
        </w:tc>
        <w:tc>
          <w:tcPr>
            <w:tcW w:w="428" w:type="dxa"/>
          </w:tcPr>
          <w:p w14:paraId="4838CD5C" w14:textId="77777777" w:rsidR="002B04EB" w:rsidRPr="003F7F6C" w:rsidRDefault="002B04EB" w:rsidP="00B851B7">
            <w:r w:rsidRPr="003F7F6C">
              <w:rPr>
                <w:rFonts w:cs="Calibri"/>
                <w:sz w:val="16"/>
                <w:szCs w:val="16"/>
              </w:rPr>
              <w:t>X</w:t>
            </w:r>
          </w:p>
        </w:tc>
        <w:tc>
          <w:tcPr>
            <w:tcW w:w="428" w:type="dxa"/>
          </w:tcPr>
          <w:p w14:paraId="462B18E4" w14:textId="77777777" w:rsidR="002B04EB" w:rsidRPr="003F7F6C" w:rsidRDefault="002B04EB" w:rsidP="00B851B7">
            <w:r w:rsidRPr="003F7F6C">
              <w:rPr>
                <w:rFonts w:cs="Calibri"/>
                <w:sz w:val="16"/>
                <w:szCs w:val="16"/>
              </w:rPr>
              <w:t>X</w:t>
            </w:r>
          </w:p>
        </w:tc>
        <w:tc>
          <w:tcPr>
            <w:tcW w:w="428" w:type="dxa"/>
            <w:gridSpan w:val="2"/>
          </w:tcPr>
          <w:p w14:paraId="7E66ADD4" w14:textId="77777777" w:rsidR="002B04EB" w:rsidRPr="003F7F6C" w:rsidRDefault="002B04EB" w:rsidP="00B851B7">
            <w:r w:rsidRPr="003F7F6C">
              <w:rPr>
                <w:rFonts w:cs="Calibri"/>
                <w:sz w:val="16"/>
                <w:szCs w:val="16"/>
              </w:rPr>
              <w:t>X</w:t>
            </w:r>
          </w:p>
        </w:tc>
        <w:tc>
          <w:tcPr>
            <w:tcW w:w="428" w:type="dxa"/>
          </w:tcPr>
          <w:p w14:paraId="44279766" w14:textId="77777777" w:rsidR="002B04EB" w:rsidRPr="003F7F6C" w:rsidRDefault="002B04EB" w:rsidP="00B851B7">
            <w:r w:rsidRPr="003F7F6C">
              <w:rPr>
                <w:rFonts w:cs="Calibri"/>
                <w:sz w:val="16"/>
                <w:szCs w:val="16"/>
              </w:rPr>
              <w:t>X</w:t>
            </w:r>
          </w:p>
        </w:tc>
        <w:tc>
          <w:tcPr>
            <w:tcW w:w="428" w:type="dxa"/>
          </w:tcPr>
          <w:p w14:paraId="3DE807C9" w14:textId="77777777" w:rsidR="002B04EB" w:rsidRPr="003F7F6C" w:rsidRDefault="002B04EB" w:rsidP="00B851B7">
            <w:r w:rsidRPr="003F7F6C">
              <w:rPr>
                <w:rFonts w:cs="Calibri"/>
                <w:sz w:val="16"/>
                <w:szCs w:val="16"/>
              </w:rPr>
              <w:t>X</w:t>
            </w:r>
          </w:p>
        </w:tc>
        <w:tc>
          <w:tcPr>
            <w:tcW w:w="428" w:type="dxa"/>
          </w:tcPr>
          <w:p w14:paraId="097F7ACC" w14:textId="77777777" w:rsidR="002B04EB" w:rsidRPr="003F7F6C" w:rsidRDefault="002B04EB" w:rsidP="00B851B7">
            <w:r w:rsidRPr="003F7F6C">
              <w:rPr>
                <w:rFonts w:cs="Calibri"/>
                <w:sz w:val="16"/>
                <w:szCs w:val="16"/>
              </w:rPr>
              <w:t>X</w:t>
            </w:r>
          </w:p>
        </w:tc>
        <w:tc>
          <w:tcPr>
            <w:tcW w:w="428" w:type="dxa"/>
            <w:gridSpan w:val="2"/>
          </w:tcPr>
          <w:p w14:paraId="7A96903D" w14:textId="77777777" w:rsidR="002B04EB" w:rsidRPr="003F7F6C" w:rsidRDefault="002B04EB" w:rsidP="00B851B7">
            <w:r w:rsidRPr="003F7F6C">
              <w:rPr>
                <w:rFonts w:cs="Calibri"/>
                <w:sz w:val="16"/>
                <w:szCs w:val="16"/>
              </w:rPr>
              <w:t>X</w:t>
            </w:r>
          </w:p>
        </w:tc>
        <w:tc>
          <w:tcPr>
            <w:tcW w:w="428" w:type="dxa"/>
          </w:tcPr>
          <w:p w14:paraId="7D2873D6" w14:textId="77777777" w:rsidR="002B04EB" w:rsidRPr="003F7F6C" w:rsidRDefault="002B04EB" w:rsidP="00B851B7">
            <w:r w:rsidRPr="003F7F6C">
              <w:rPr>
                <w:rFonts w:cs="Calibri"/>
                <w:sz w:val="16"/>
                <w:szCs w:val="16"/>
              </w:rPr>
              <w:t>X</w:t>
            </w:r>
          </w:p>
        </w:tc>
        <w:tc>
          <w:tcPr>
            <w:tcW w:w="428" w:type="dxa"/>
          </w:tcPr>
          <w:p w14:paraId="13F0C65E" w14:textId="77777777" w:rsidR="002B04EB" w:rsidRPr="003F7F6C" w:rsidRDefault="002B04EB" w:rsidP="00B851B7">
            <w:r w:rsidRPr="003F7F6C">
              <w:rPr>
                <w:rFonts w:cs="Calibri"/>
                <w:sz w:val="16"/>
                <w:szCs w:val="16"/>
              </w:rPr>
              <w:t>X</w:t>
            </w:r>
          </w:p>
        </w:tc>
        <w:tc>
          <w:tcPr>
            <w:tcW w:w="428" w:type="dxa"/>
          </w:tcPr>
          <w:p w14:paraId="16F6ADBD" w14:textId="77777777" w:rsidR="002B04EB" w:rsidRPr="003F7F6C" w:rsidRDefault="002B04EB" w:rsidP="00B851B7">
            <w:r w:rsidRPr="003F7F6C">
              <w:rPr>
                <w:rFonts w:cs="Calibri"/>
                <w:sz w:val="16"/>
                <w:szCs w:val="16"/>
              </w:rPr>
              <w:t>X</w:t>
            </w:r>
          </w:p>
        </w:tc>
        <w:tc>
          <w:tcPr>
            <w:tcW w:w="428" w:type="dxa"/>
          </w:tcPr>
          <w:p w14:paraId="1073D7DF" w14:textId="77777777" w:rsidR="002B04EB" w:rsidRPr="003F7F6C" w:rsidRDefault="002B04EB" w:rsidP="00B851B7">
            <w:r w:rsidRPr="003F7F6C">
              <w:rPr>
                <w:rFonts w:cs="Calibri"/>
                <w:sz w:val="16"/>
                <w:szCs w:val="16"/>
              </w:rPr>
              <w:t>X</w:t>
            </w:r>
          </w:p>
        </w:tc>
      </w:tr>
      <w:tr w:rsidR="002B04EB" w:rsidRPr="003F7F6C" w14:paraId="6735F6FB" w14:textId="77777777" w:rsidTr="00B851B7">
        <w:tc>
          <w:tcPr>
            <w:tcW w:w="1668" w:type="dxa"/>
          </w:tcPr>
          <w:p w14:paraId="2DFA76F6" w14:textId="77777777" w:rsidR="002B04EB" w:rsidRPr="003F7F6C" w:rsidRDefault="002B04EB" w:rsidP="00B851B7">
            <w:pPr>
              <w:rPr>
                <w:rFonts w:cs="Calibri"/>
                <w:sz w:val="16"/>
                <w:szCs w:val="16"/>
              </w:rPr>
            </w:pPr>
            <w:r w:rsidRPr="003F7F6C">
              <w:rPr>
                <w:rFonts w:cs="Calibri"/>
                <w:sz w:val="16"/>
                <w:szCs w:val="16"/>
              </w:rPr>
              <w:t>2.4.7 Promote renewable energy in target landscape 2</w:t>
            </w:r>
          </w:p>
        </w:tc>
        <w:tc>
          <w:tcPr>
            <w:tcW w:w="1057" w:type="dxa"/>
          </w:tcPr>
          <w:p w14:paraId="7CB28B9D" w14:textId="77777777" w:rsidR="002B04EB" w:rsidRPr="003F7F6C" w:rsidRDefault="002B04EB" w:rsidP="00B851B7">
            <w:r w:rsidRPr="003F7F6C">
              <w:rPr>
                <w:rFonts w:cs="Calibri"/>
                <w:sz w:val="16"/>
                <w:szCs w:val="16"/>
              </w:rPr>
              <w:t>Ministry of Environment</w:t>
            </w:r>
          </w:p>
        </w:tc>
        <w:tc>
          <w:tcPr>
            <w:tcW w:w="428" w:type="dxa"/>
          </w:tcPr>
          <w:p w14:paraId="68A2F47A" w14:textId="77777777" w:rsidR="002B04EB" w:rsidRPr="003F7F6C" w:rsidRDefault="002B04EB" w:rsidP="00B851B7"/>
        </w:tc>
        <w:tc>
          <w:tcPr>
            <w:tcW w:w="444" w:type="dxa"/>
          </w:tcPr>
          <w:p w14:paraId="4E89E2A2" w14:textId="77777777" w:rsidR="002B04EB" w:rsidRPr="003F7F6C" w:rsidRDefault="002B04EB" w:rsidP="00B851B7">
            <w:r w:rsidRPr="003F7F6C">
              <w:rPr>
                <w:rFonts w:cs="Calibri"/>
                <w:sz w:val="16"/>
                <w:szCs w:val="16"/>
              </w:rPr>
              <w:t>X</w:t>
            </w:r>
          </w:p>
        </w:tc>
        <w:tc>
          <w:tcPr>
            <w:tcW w:w="428" w:type="dxa"/>
          </w:tcPr>
          <w:p w14:paraId="1AC8336D" w14:textId="77777777" w:rsidR="002B04EB" w:rsidRPr="003F7F6C" w:rsidRDefault="002B04EB" w:rsidP="00B851B7">
            <w:r w:rsidRPr="003F7F6C">
              <w:rPr>
                <w:rFonts w:cs="Calibri"/>
                <w:sz w:val="16"/>
                <w:szCs w:val="16"/>
              </w:rPr>
              <w:t>X</w:t>
            </w:r>
          </w:p>
        </w:tc>
        <w:tc>
          <w:tcPr>
            <w:tcW w:w="428" w:type="dxa"/>
            <w:gridSpan w:val="2"/>
          </w:tcPr>
          <w:p w14:paraId="0D699685" w14:textId="77777777" w:rsidR="002B04EB" w:rsidRPr="003F7F6C" w:rsidRDefault="002B04EB" w:rsidP="00B851B7">
            <w:r w:rsidRPr="003F7F6C">
              <w:rPr>
                <w:rFonts w:cs="Calibri"/>
                <w:sz w:val="16"/>
                <w:szCs w:val="16"/>
              </w:rPr>
              <w:t>X</w:t>
            </w:r>
          </w:p>
        </w:tc>
        <w:tc>
          <w:tcPr>
            <w:tcW w:w="428" w:type="dxa"/>
          </w:tcPr>
          <w:p w14:paraId="26C02F74" w14:textId="77777777" w:rsidR="002B04EB" w:rsidRPr="003F7F6C" w:rsidRDefault="002B04EB" w:rsidP="00B851B7">
            <w:r w:rsidRPr="003F7F6C">
              <w:rPr>
                <w:rFonts w:cs="Calibri"/>
                <w:sz w:val="16"/>
                <w:szCs w:val="16"/>
              </w:rPr>
              <w:t>X</w:t>
            </w:r>
          </w:p>
        </w:tc>
        <w:tc>
          <w:tcPr>
            <w:tcW w:w="427" w:type="dxa"/>
          </w:tcPr>
          <w:p w14:paraId="35E94564" w14:textId="77777777" w:rsidR="002B04EB" w:rsidRPr="003F7F6C" w:rsidRDefault="002B04EB" w:rsidP="00B851B7">
            <w:r w:rsidRPr="003F7F6C">
              <w:rPr>
                <w:rFonts w:cs="Calibri"/>
                <w:sz w:val="16"/>
                <w:szCs w:val="16"/>
              </w:rPr>
              <w:t>X</w:t>
            </w:r>
          </w:p>
        </w:tc>
        <w:tc>
          <w:tcPr>
            <w:tcW w:w="427" w:type="dxa"/>
          </w:tcPr>
          <w:p w14:paraId="5117D569" w14:textId="77777777" w:rsidR="002B04EB" w:rsidRPr="003F7F6C" w:rsidRDefault="002B04EB" w:rsidP="00B851B7">
            <w:r w:rsidRPr="003F7F6C">
              <w:rPr>
                <w:rFonts w:cs="Calibri"/>
                <w:sz w:val="16"/>
                <w:szCs w:val="16"/>
              </w:rPr>
              <w:t>X</w:t>
            </w:r>
          </w:p>
        </w:tc>
        <w:tc>
          <w:tcPr>
            <w:tcW w:w="427" w:type="dxa"/>
            <w:gridSpan w:val="2"/>
          </w:tcPr>
          <w:p w14:paraId="1A62ECF2" w14:textId="77777777" w:rsidR="002B04EB" w:rsidRPr="003F7F6C" w:rsidRDefault="002B04EB" w:rsidP="00B851B7">
            <w:r w:rsidRPr="003F7F6C">
              <w:rPr>
                <w:rFonts w:cs="Calibri"/>
                <w:sz w:val="16"/>
                <w:szCs w:val="16"/>
              </w:rPr>
              <w:t>X</w:t>
            </w:r>
          </w:p>
        </w:tc>
        <w:tc>
          <w:tcPr>
            <w:tcW w:w="428" w:type="dxa"/>
          </w:tcPr>
          <w:p w14:paraId="6028C48C" w14:textId="77777777" w:rsidR="002B04EB" w:rsidRPr="003F7F6C" w:rsidRDefault="002B04EB" w:rsidP="00B851B7">
            <w:r w:rsidRPr="003F7F6C">
              <w:rPr>
                <w:rFonts w:cs="Calibri"/>
                <w:sz w:val="16"/>
                <w:szCs w:val="16"/>
              </w:rPr>
              <w:t>X</w:t>
            </w:r>
          </w:p>
        </w:tc>
        <w:tc>
          <w:tcPr>
            <w:tcW w:w="428" w:type="dxa"/>
          </w:tcPr>
          <w:p w14:paraId="17091763" w14:textId="77777777" w:rsidR="002B04EB" w:rsidRPr="003F7F6C" w:rsidRDefault="002B04EB" w:rsidP="00B851B7">
            <w:r w:rsidRPr="003F7F6C">
              <w:rPr>
                <w:rFonts w:cs="Calibri"/>
                <w:sz w:val="16"/>
                <w:szCs w:val="16"/>
              </w:rPr>
              <w:t>X</w:t>
            </w:r>
          </w:p>
        </w:tc>
        <w:tc>
          <w:tcPr>
            <w:tcW w:w="428" w:type="dxa"/>
          </w:tcPr>
          <w:p w14:paraId="52D2F35A" w14:textId="77777777" w:rsidR="002B04EB" w:rsidRPr="003F7F6C" w:rsidRDefault="002B04EB" w:rsidP="00B851B7">
            <w:r w:rsidRPr="003F7F6C">
              <w:rPr>
                <w:rFonts w:cs="Calibri"/>
                <w:sz w:val="16"/>
                <w:szCs w:val="16"/>
              </w:rPr>
              <w:t>X</w:t>
            </w:r>
          </w:p>
        </w:tc>
        <w:tc>
          <w:tcPr>
            <w:tcW w:w="428" w:type="dxa"/>
            <w:gridSpan w:val="2"/>
          </w:tcPr>
          <w:p w14:paraId="01CE9AFE" w14:textId="77777777" w:rsidR="002B04EB" w:rsidRPr="003F7F6C" w:rsidRDefault="002B04EB" w:rsidP="00B851B7">
            <w:r w:rsidRPr="003F7F6C">
              <w:rPr>
                <w:rFonts w:cs="Calibri"/>
                <w:sz w:val="16"/>
                <w:szCs w:val="16"/>
              </w:rPr>
              <w:t>X</w:t>
            </w:r>
          </w:p>
        </w:tc>
        <w:tc>
          <w:tcPr>
            <w:tcW w:w="428" w:type="dxa"/>
          </w:tcPr>
          <w:p w14:paraId="6E1CA6D6" w14:textId="77777777" w:rsidR="002B04EB" w:rsidRPr="003F7F6C" w:rsidRDefault="002B04EB" w:rsidP="00B851B7">
            <w:pPr>
              <w:rPr>
                <w:rFonts w:cs="Calibri"/>
                <w:sz w:val="16"/>
                <w:szCs w:val="16"/>
              </w:rPr>
            </w:pPr>
          </w:p>
        </w:tc>
        <w:tc>
          <w:tcPr>
            <w:tcW w:w="428" w:type="dxa"/>
          </w:tcPr>
          <w:p w14:paraId="5C395229" w14:textId="77777777" w:rsidR="002B04EB" w:rsidRPr="003F7F6C" w:rsidRDefault="002B04EB" w:rsidP="00B851B7">
            <w:pPr>
              <w:rPr>
                <w:rFonts w:cs="Calibri"/>
                <w:sz w:val="16"/>
                <w:szCs w:val="16"/>
              </w:rPr>
            </w:pPr>
          </w:p>
        </w:tc>
        <w:tc>
          <w:tcPr>
            <w:tcW w:w="428" w:type="dxa"/>
          </w:tcPr>
          <w:p w14:paraId="1E11C763" w14:textId="77777777" w:rsidR="002B04EB" w:rsidRPr="003F7F6C" w:rsidRDefault="002B04EB" w:rsidP="00B851B7">
            <w:pPr>
              <w:rPr>
                <w:rFonts w:cs="Calibri"/>
                <w:sz w:val="16"/>
                <w:szCs w:val="16"/>
              </w:rPr>
            </w:pPr>
          </w:p>
        </w:tc>
        <w:tc>
          <w:tcPr>
            <w:tcW w:w="428" w:type="dxa"/>
            <w:gridSpan w:val="2"/>
          </w:tcPr>
          <w:p w14:paraId="2B1AE84C" w14:textId="77777777" w:rsidR="002B04EB" w:rsidRPr="003F7F6C" w:rsidRDefault="002B04EB" w:rsidP="00B851B7">
            <w:pPr>
              <w:rPr>
                <w:rFonts w:cs="Calibri"/>
                <w:sz w:val="16"/>
                <w:szCs w:val="16"/>
              </w:rPr>
            </w:pPr>
          </w:p>
        </w:tc>
        <w:tc>
          <w:tcPr>
            <w:tcW w:w="428" w:type="dxa"/>
          </w:tcPr>
          <w:p w14:paraId="424E8274" w14:textId="77777777" w:rsidR="002B04EB" w:rsidRPr="003F7F6C" w:rsidRDefault="002B04EB" w:rsidP="00B851B7">
            <w:pPr>
              <w:rPr>
                <w:rFonts w:cs="Calibri"/>
                <w:sz w:val="16"/>
                <w:szCs w:val="16"/>
              </w:rPr>
            </w:pPr>
          </w:p>
        </w:tc>
        <w:tc>
          <w:tcPr>
            <w:tcW w:w="428" w:type="dxa"/>
          </w:tcPr>
          <w:p w14:paraId="58EF639F" w14:textId="77777777" w:rsidR="002B04EB" w:rsidRPr="003F7F6C" w:rsidRDefault="002B04EB" w:rsidP="00B851B7">
            <w:pPr>
              <w:rPr>
                <w:rFonts w:cs="Calibri"/>
                <w:sz w:val="16"/>
                <w:szCs w:val="16"/>
              </w:rPr>
            </w:pPr>
          </w:p>
        </w:tc>
        <w:tc>
          <w:tcPr>
            <w:tcW w:w="428" w:type="dxa"/>
          </w:tcPr>
          <w:p w14:paraId="72CDAF8A" w14:textId="77777777" w:rsidR="002B04EB" w:rsidRPr="003F7F6C" w:rsidRDefault="002B04EB" w:rsidP="00B851B7">
            <w:pPr>
              <w:rPr>
                <w:rFonts w:cs="Calibri"/>
                <w:sz w:val="16"/>
                <w:szCs w:val="16"/>
              </w:rPr>
            </w:pPr>
          </w:p>
        </w:tc>
        <w:tc>
          <w:tcPr>
            <w:tcW w:w="428" w:type="dxa"/>
            <w:gridSpan w:val="2"/>
          </w:tcPr>
          <w:p w14:paraId="57D426BC" w14:textId="77777777" w:rsidR="002B04EB" w:rsidRPr="003F7F6C" w:rsidRDefault="002B04EB" w:rsidP="00B851B7">
            <w:pPr>
              <w:rPr>
                <w:rFonts w:cs="Calibri"/>
                <w:sz w:val="16"/>
                <w:szCs w:val="16"/>
              </w:rPr>
            </w:pPr>
          </w:p>
        </w:tc>
        <w:tc>
          <w:tcPr>
            <w:tcW w:w="428" w:type="dxa"/>
          </w:tcPr>
          <w:p w14:paraId="00DEDFD4" w14:textId="77777777" w:rsidR="002B04EB" w:rsidRPr="003F7F6C" w:rsidRDefault="002B04EB" w:rsidP="00B851B7">
            <w:pPr>
              <w:rPr>
                <w:rFonts w:cs="Calibri"/>
                <w:sz w:val="16"/>
                <w:szCs w:val="16"/>
              </w:rPr>
            </w:pPr>
          </w:p>
        </w:tc>
        <w:tc>
          <w:tcPr>
            <w:tcW w:w="428" w:type="dxa"/>
          </w:tcPr>
          <w:p w14:paraId="013D8037" w14:textId="77777777" w:rsidR="002B04EB" w:rsidRPr="003F7F6C" w:rsidRDefault="002B04EB" w:rsidP="00B851B7">
            <w:pPr>
              <w:rPr>
                <w:rFonts w:cs="Calibri"/>
                <w:sz w:val="16"/>
                <w:szCs w:val="16"/>
              </w:rPr>
            </w:pPr>
          </w:p>
        </w:tc>
        <w:tc>
          <w:tcPr>
            <w:tcW w:w="428" w:type="dxa"/>
          </w:tcPr>
          <w:p w14:paraId="2F6C7A4D" w14:textId="77777777" w:rsidR="002B04EB" w:rsidRPr="003F7F6C" w:rsidRDefault="002B04EB" w:rsidP="00B851B7">
            <w:pPr>
              <w:rPr>
                <w:rFonts w:cs="Calibri"/>
                <w:sz w:val="16"/>
                <w:szCs w:val="16"/>
              </w:rPr>
            </w:pPr>
          </w:p>
        </w:tc>
        <w:tc>
          <w:tcPr>
            <w:tcW w:w="428" w:type="dxa"/>
          </w:tcPr>
          <w:p w14:paraId="6F9CA369" w14:textId="77777777" w:rsidR="002B04EB" w:rsidRPr="003F7F6C" w:rsidRDefault="002B04EB" w:rsidP="00B851B7">
            <w:pPr>
              <w:rPr>
                <w:rFonts w:cs="Calibri"/>
                <w:sz w:val="16"/>
                <w:szCs w:val="16"/>
              </w:rPr>
            </w:pPr>
          </w:p>
        </w:tc>
      </w:tr>
      <w:tr w:rsidR="002B04EB" w:rsidRPr="003F7F6C" w14:paraId="6498D262" w14:textId="77777777" w:rsidTr="002B04EB">
        <w:tc>
          <w:tcPr>
            <w:tcW w:w="13010" w:type="dxa"/>
            <w:gridSpan w:val="31"/>
            <w:shd w:val="clear" w:color="auto" w:fill="F7CAAC"/>
          </w:tcPr>
          <w:p w14:paraId="1C50D8C6" w14:textId="77777777" w:rsidR="002B04EB" w:rsidRPr="003F7F6C" w:rsidRDefault="002B04EB" w:rsidP="00B851B7">
            <w:pPr>
              <w:rPr>
                <w:rFonts w:cs="Calibri"/>
                <w:sz w:val="16"/>
                <w:szCs w:val="16"/>
              </w:rPr>
            </w:pPr>
            <w:r w:rsidRPr="003F7F6C">
              <w:rPr>
                <w:rFonts w:cs="Calibri"/>
                <w:sz w:val="16"/>
                <w:szCs w:val="16"/>
              </w:rPr>
              <w:t>Mendoza</w:t>
            </w:r>
          </w:p>
        </w:tc>
      </w:tr>
      <w:tr w:rsidR="002B04EB" w:rsidRPr="003F7F6C" w14:paraId="3C8B9664" w14:textId="77777777" w:rsidTr="00B851B7">
        <w:tc>
          <w:tcPr>
            <w:tcW w:w="1668" w:type="dxa"/>
          </w:tcPr>
          <w:p w14:paraId="55CBEB1E" w14:textId="77777777" w:rsidR="002B04EB" w:rsidRPr="003F7F6C" w:rsidRDefault="002B04EB" w:rsidP="00B851B7">
            <w:pPr>
              <w:rPr>
                <w:rFonts w:cs="Calibri"/>
                <w:sz w:val="16"/>
                <w:szCs w:val="16"/>
              </w:rPr>
            </w:pPr>
            <w:r w:rsidRPr="003F7F6C">
              <w:rPr>
                <w:rFonts w:cs="Calibri"/>
                <w:sz w:val="16"/>
                <w:szCs w:val="16"/>
              </w:rPr>
              <w:t>2.4.1 Develop sustainable production practices in non-irrigated areas</w:t>
            </w:r>
          </w:p>
        </w:tc>
        <w:tc>
          <w:tcPr>
            <w:tcW w:w="1057" w:type="dxa"/>
          </w:tcPr>
          <w:p w14:paraId="0B07BEDC" w14:textId="77777777" w:rsidR="002B04EB" w:rsidRPr="003F7F6C" w:rsidRDefault="002B04EB" w:rsidP="00B851B7">
            <w:pPr>
              <w:rPr>
                <w:rFonts w:cs="Calibri"/>
                <w:sz w:val="16"/>
                <w:szCs w:val="16"/>
              </w:rPr>
            </w:pPr>
            <w:r w:rsidRPr="003F7F6C">
              <w:rPr>
                <w:rFonts w:cs="Calibri"/>
                <w:sz w:val="16"/>
                <w:szCs w:val="16"/>
              </w:rPr>
              <w:t>SAOT</w:t>
            </w:r>
          </w:p>
          <w:p w14:paraId="4331B30C" w14:textId="77777777" w:rsidR="002B04EB" w:rsidRPr="003F7F6C" w:rsidRDefault="002B04EB" w:rsidP="00B851B7">
            <w:pPr>
              <w:rPr>
                <w:rFonts w:cs="Calibri"/>
                <w:sz w:val="16"/>
                <w:szCs w:val="16"/>
              </w:rPr>
            </w:pPr>
            <w:r w:rsidRPr="003F7F6C">
              <w:rPr>
                <w:rFonts w:cs="Calibri"/>
                <w:sz w:val="16"/>
                <w:szCs w:val="16"/>
              </w:rPr>
              <w:t>INTA</w:t>
            </w:r>
          </w:p>
        </w:tc>
        <w:tc>
          <w:tcPr>
            <w:tcW w:w="428" w:type="dxa"/>
          </w:tcPr>
          <w:p w14:paraId="64AEA4E1" w14:textId="77777777" w:rsidR="002B04EB" w:rsidRPr="003F7F6C" w:rsidRDefault="002B04EB" w:rsidP="00B851B7"/>
        </w:tc>
        <w:tc>
          <w:tcPr>
            <w:tcW w:w="444" w:type="dxa"/>
          </w:tcPr>
          <w:p w14:paraId="1AF83D8F" w14:textId="77777777" w:rsidR="002B04EB" w:rsidRPr="003F7F6C" w:rsidRDefault="002B04EB" w:rsidP="00B851B7">
            <w:r w:rsidRPr="003F7F6C">
              <w:rPr>
                <w:rFonts w:cs="Calibri"/>
                <w:sz w:val="16"/>
                <w:szCs w:val="16"/>
              </w:rPr>
              <w:t>X</w:t>
            </w:r>
          </w:p>
        </w:tc>
        <w:tc>
          <w:tcPr>
            <w:tcW w:w="428" w:type="dxa"/>
          </w:tcPr>
          <w:p w14:paraId="405E470E" w14:textId="77777777" w:rsidR="002B04EB" w:rsidRPr="003F7F6C" w:rsidRDefault="002B04EB" w:rsidP="00B851B7">
            <w:r w:rsidRPr="003F7F6C">
              <w:rPr>
                <w:rFonts w:cs="Calibri"/>
                <w:sz w:val="16"/>
                <w:szCs w:val="16"/>
              </w:rPr>
              <w:t>X</w:t>
            </w:r>
          </w:p>
        </w:tc>
        <w:tc>
          <w:tcPr>
            <w:tcW w:w="428" w:type="dxa"/>
            <w:gridSpan w:val="2"/>
          </w:tcPr>
          <w:p w14:paraId="7BD8AF16" w14:textId="77777777" w:rsidR="002B04EB" w:rsidRPr="003F7F6C" w:rsidRDefault="002B04EB" w:rsidP="00B851B7">
            <w:r w:rsidRPr="003F7F6C">
              <w:rPr>
                <w:rFonts w:cs="Calibri"/>
                <w:sz w:val="16"/>
                <w:szCs w:val="16"/>
              </w:rPr>
              <w:t>X</w:t>
            </w:r>
          </w:p>
        </w:tc>
        <w:tc>
          <w:tcPr>
            <w:tcW w:w="428" w:type="dxa"/>
          </w:tcPr>
          <w:p w14:paraId="42C1D860" w14:textId="77777777" w:rsidR="002B04EB" w:rsidRPr="003F7F6C" w:rsidRDefault="002B04EB" w:rsidP="00B851B7">
            <w:r w:rsidRPr="003F7F6C">
              <w:rPr>
                <w:rFonts w:cs="Calibri"/>
                <w:sz w:val="16"/>
                <w:szCs w:val="16"/>
              </w:rPr>
              <w:t>X</w:t>
            </w:r>
          </w:p>
        </w:tc>
        <w:tc>
          <w:tcPr>
            <w:tcW w:w="427" w:type="dxa"/>
          </w:tcPr>
          <w:p w14:paraId="2196BE9B" w14:textId="77777777" w:rsidR="002B04EB" w:rsidRPr="003F7F6C" w:rsidRDefault="002B04EB" w:rsidP="00B851B7">
            <w:r w:rsidRPr="003F7F6C">
              <w:rPr>
                <w:rFonts w:cs="Calibri"/>
                <w:sz w:val="16"/>
                <w:szCs w:val="16"/>
              </w:rPr>
              <w:t>X</w:t>
            </w:r>
          </w:p>
        </w:tc>
        <w:tc>
          <w:tcPr>
            <w:tcW w:w="427" w:type="dxa"/>
          </w:tcPr>
          <w:p w14:paraId="2F1B1115" w14:textId="77777777" w:rsidR="002B04EB" w:rsidRPr="003F7F6C" w:rsidRDefault="002B04EB" w:rsidP="00B851B7">
            <w:r w:rsidRPr="003F7F6C">
              <w:rPr>
                <w:rFonts w:cs="Calibri"/>
                <w:sz w:val="16"/>
                <w:szCs w:val="16"/>
              </w:rPr>
              <w:t>X</w:t>
            </w:r>
          </w:p>
        </w:tc>
        <w:tc>
          <w:tcPr>
            <w:tcW w:w="427" w:type="dxa"/>
            <w:gridSpan w:val="2"/>
          </w:tcPr>
          <w:p w14:paraId="3C6B2520" w14:textId="77777777" w:rsidR="002B04EB" w:rsidRPr="003F7F6C" w:rsidRDefault="002B04EB" w:rsidP="00B851B7">
            <w:r w:rsidRPr="003F7F6C">
              <w:rPr>
                <w:rFonts w:cs="Calibri"/>
                <w:sz w:val="16"/>
                <w:szCs w:val="16"/>
              </w:rPr>
              <w:t>X</w:t>
            </w:r>
          </w:p>
        </w:tc>
        <w:tc>
          <w:tcPr>
            <w:tcW w:w="428" w:type="dxa"/>
          </w:tcPr>
          <w:p w14:paraId="757C15F0" w14:textId="77777777" w:rsidR="002B04EB" w:rsidRPr="003F7F6C" w:rsidRDefault="002B04EB" w:rsidP="00B851B7">
            <w:r w:rsidRPr="003F7F6C">
              <w:rPr>
                <w:rFonts w:cs="Calibri"/>
                <w:sz w:val="16"/>
                <w:szCs w:val="16"/>
              </w:rPr>
              <w:t>X</w:t>
            </w:r>
          </w:p>
        </w:tc>
        <w:tc>
          <w:tcPr>
            <w:tcW w:w="428" w:type="dxa"/>
          </w:tcPr>
          <w:p w14:paraId="346285CF" w14:textId="77777777" w:rsidR="002B04EB" w:rsidRPr="003F7F6C" w:rsidRDefault="002B04EB" w:rsidP="00B851B7">
            <w:r w:rsidRPr="003F7F6C">
              <w:rPr>
                <w:rFonts w:cs="Calibri"/>
                <w:sz w:val="16"/>
                <w:szCs w:val="16"/>
              </w:rPr>
              <w:t>X</w:t>
            </w:r>
          </w:p>
        </w:tc>
        <w:tc>
          <w:tcPr>
            <w:tcW w:w="428" w:type="dxa"/>
          </w:tcPr>
          <w:p w14:paraId="42B42626" w14:textId="77777777" w:rsidR="002B04EB" w:rsidRPr="003F7F6C" w:rsidRDefault="002B04EB" w:rsidP="00B851B7">
            <w:r w:rsidRPr="003F7F6C">
              <w:rPr>
                <w:rFonts w:cs="Calibri"/>
                <w:sz w:val="16"/>
                <w:szCs w:val="16"/>
              </w:rPr>
              <w:t>X</w:t>
            </w:r>
          </w:p>
        </w:tc>
        <w:tc>
          <w:tcPr>
            <w:tcW w:w="428" w:type="dxa"/>
            <w:gridSpan w:val="2"/>
          </w:tcPr>
          <w:p w14:paraId="14285261" w14:textId="77777777" w:rsidR="002B04EB" w:rsidRPr="003F7F6C" w:rsidRDefault="002B04EB" w:rsidP="00B851B7">
            <w:r w:rsidRPr="003F7F6C">
              <w:rPr>
                <w:rFonts w:cs="Calibri"/>
                <w:sz w:val="16"/>
                <w:szCs w:val="16"/>
              </w:rPr>
              <w:t>X</w:t>
            </w:r>
          </w:p>
        </w:tc>
        <w:tc>
          <w:tcPr>
            <w:tcW w:w="428" w:type="dxa"/>
          </w:tcPr>
          <w:p w14:paraId="69ED0D28" w14:textId="77777777" w:rsidR="002B04EB" w:rsidRPr="003F7F6C" w:rsidRDefault="002B04EB" w:rsidP="00B851B7">
            <w:r w:rsidRPr="003F7F6C">
              <w:rPr>
                <w:rFonts w:cs="Calibri"/>
                <w:sz w:val="16"/>
                <w:szCs w:val="16"/>
              </w:rPr>
              <w:t>X</w:t>
            </w:r>
          </w:p>
        </w:tc>
        <w:tc>
          <w:tcPr>
            <w:tcW w:w="428" w:type="dxa"/>
          </w:tcPr>
          <w:p w14:paraId="461EA108" w14:textId="77777777" w:rsidR="002B04EB" w:rsidRPr="003F7F6C" w:rsidRDefault="002B04EB" w:rsidP="00B851B7">
            <w:r w:rsidRPr="003F7F6C">
              <w:rPr>
                <w:rFonts w:cs="Calibri"/>
                <w:sz w:val="16"/>
                <w:szCs w:val="16"/>
              </w:rPr>
              <w:t>X</w:t>
            </w:r>
          </w:p>
        </w:tc>
        <w:tc>
          <w:tcPr>
            <w:tcW w:w="428" w:type="dxa"/>
          </w:tcPr>
          <w:p w14:paraId="20148028" w14:textId="77777777" w:rsidR="002B04EB" w:rsidRPr="003F7F6C" w:rsidRDefault="002B04EB" w:rsidP="00B851B7">
            <w:r w:rsidRPr="003F7F6C">
              <w:rPr>
                <w:rFonts w:cs="Calibri"/>
                <w:sz w:val="16"/>
                <w:szCs w:val="16"/>
              </w:rPr>
              <w:t>X</w:t>
            </w:r>
          </w:p>
        </w:tc>
        <w:tc>
          <w:tcPr>
            <w:tcW w:w="428" w:type="dxa"/>
            <w:gridSpan w:val="2"/>
          </w:tcPr>
          <w:p w14:paraId="4D85469D" w14:textId="77777777" w:rsidR="002B04EB" w:rsidRPr="003F7F6C" w:rsidRDefault="002B04EB" w:rsidP="00B851B7">
            <w:r w:rsidRPr="003F7F6C">
              <w:rPr>
                <w:rFonts w:cs="Calibri"/>
                <w:sz w:val="16"/>
                <w:szCs w:val="16"/>
              </w:rPr>
              <w:t>X</w:t>
            </w:r>
          </w:p>
        </w:tc>
        <w:tc>
          <w:tcPr>
            <w:tcW w:w="428" w:type="dxa"/>
          </w:tcPr>
          <w:p w14:paraId="0CF2C4D6" w14:textId="77777777" w:rsidR="002B04EB" w:rsidRPr="003F7F6C" w:rsidRDefault="002B04EB" w:rsidP="00B851B7">
            <w:r w:rsidRPr="003F7F6C">
              <w:rPr>
                <w:rFonts w:cs="Calibri"/>
                <w:sz w:val="16"/>
                <w:szCs w:val="16"/>
              </w:rPr>
              <w:t>X</w:t>
            </w:r>
          </w:p>
        </w:tc>
        <w:tc>
          <w:tcPr>
            <w:tcW w:w="428" w:type="dxa"/>
          </w:tcPr>
          <w:p w14:paraId="58760A60" w14:textId="77777777" w:rsidR="002B04EB" w:rsidRPr="003F7F6C" w:rsidRDefault="002B04EB" w:rsidP="00B851B7">
            <w:r w:rsidRPr="003F7F6C">
              <w:rPr>
                <w:rFonts w:cs="Calibri"/>
                <w:sz w:val="16"/>
                <w:szCs w:val="16"/>
              </w:rPr>
              <w:t>X</w:t>
            </w:r>
          </w:p>
        </w:tc>
        <w:tc>
          <w:tcPr>
            <w:tcW w:w="428" w:type="dxa"/>
          </w:tcPr>
          <w:p w14:paraId="4378ED66" w14:textId="77777777" w:rsidR="002B04EB" w:rsidRPr="003F7F6C" w:rsidRDefault="002B04EB" w:rsidP="00B851B7">
            <w:r w:rsidRPr="003F7F6C">
              <w:rPr>
                <w:rFonts w:cs="Calibri"/>
                <w:sz w:val="16"/>
                <w:szCs w:val="16"/>
              </w:rPr>
              <w:t>X</w:t>
            </w:r>
          </w:p>
        </w:tc>
        <w:tc>
          <w:tcPr>
            <w:tcW w:w="428" w:type="dxa"/>
            <w:gridSpan w:val="2"/>
          </w:tcPr>
          <w:p w14:paraId="11384ACF" w14:textId="77777777" w:rsidR="002B04EB" w:rsidRPr="003F7F6C" w:rsidRDefault="002B04EB" w:rsidP="00B851B7">
            <w:r w:rsidRPr="003F7F6C">
              <w:rPr>
                <w:rFonts w:cs="Calibri"/>
                <w:sz w:val="16"/>
                <w:szCs w:val="16"/>
              </w:rPr>
              <w:t>X</w:t>
            </w:r>
          </w:p>
        </w:tc>
        <w:tc>
          <w:tcPr>
            <w:tcW w:w="428" w:type="dxa"/>
          </w:tcPr>
          <w:p w14:paraId="379A9821" w14:textId="77777777" w:rsidR="002B04EB" w:rsidRPr="003F7F6C" w:rsidRDefault="002B04EB" w:rsidP="00B851B7">
            <w:r w:rsidRPr="003F7F6C">
              <w:rPr>
                <w:rFonts w:cs="Calibri"/>
                <w:sz w:val="16"/>
                <w:szCs w:val="16"/>
              </w:rPr>
              <w:t>X</w:t>
            </w:r>
          </w:p>
        </w:tc>
        <w:tc>
          <w:tcPr>
            <w:tcW w:w="428" w:type="dxa"/>
          </w:tcPr>
          <w:p w14:paraId="40CAF4EB" w14:textId="77777777" w:rsidR="002B04EB" w:rsidRPr="003F7F6C" w:rsidRDefault="002B04EB" w:rsidP="00B851B7">
            <w:r w:rsidRPr="003F7F6C">
              <w:rPr>
                <w:rFonts w:cs="Calibri"/>
                <w:sz w:val="16"/>
                <w:szCs w:val="16"/>
              </w:rPr>
              <w:t>X</w:t>
            </w:r>
          </w:p>
        </w:tc>
        <w:tc>
          <w:tcPr>
            <w:tcW w:w="428" w:type="dxa"/>
          </w:tcPr>
          <w:p w14:paraId="4522A76C" w14:textId="77777777" w:rsidR="002B04EB" w:rsidRPr="003F7F6C" w:rsidRDefault="002B04EB" w:rsidP="00B851B7">
            <w:r w:rsidRPr="003F7F6C">
              <w:rPr>
                <w:rFonts w:cs="Calibri"/>
                <w:sz w:val="16"/>
                <w:szCs w:val="16"/>
              </w:rPr>
              <w:t>X</w:t>
            </w:r>
          </w:p>
        </w:tc>
        <w:tc>
          <w:tcPr>
            <w:tcW w:w="428" w:type="dxa"/>
          </w:tcPr>
          <w:p w14:paraId="5D7DC215" w14:textId="77777777" w:rsidR="002B04EB" w:rsidRPr="003F7F6C" w:rsidRDefault="002B04EB" w:rsidP="00B851B7">
            <w:r w:rsidRPr="003F7F6C">
              <w:rPr>
                <w:rFonts w:cs="Calibri"/>
                <w:sz w:val="16"/>
                <w:szCs w:val="16"/>
              </w:rPr>
              <w:t>X</w:t>
            </w:r>
          </w:p>
        </w:tc>
      </w:tr>
      <w:tr w:rsidR="002B04EB" w:rsidRPr="003F7F6C" w14:paraId="74A7B38C" w14:textId="77777777" w:rsidTr="00B851B7">
        <w:tc>
          <w:tcPr>
            <w:tcW w:w="1668" w:type="dxa"/>
          </w:tcPr>
          <w:p w14:paraId="52155058" w14:textId="77777777" w:rsidR="002B04EB" w:rsidRPr="003F7F6C" w:rsidRDefault="002B04EB" w:rsidP="00B851B7">
            <w:pPr>
              <w:rPr>
                <w:rFonts w:cs="Calibri"/>
                <w:sz w:val="16"/>
                <w:szCs w:val="16"/>
              </w:rPr>
            </w:pPr>
            <w:r w:rsidRPr="003F7F6C">
              <w:rPr>
                <w:rFonts w:cs="Calibri"/>
                <w:sz w:val="16"/>
                <w:szCs w:val="16"/>
              </w:rPr>
              <w:t>2.4.2 Strengthen forest management plans</w:t>
            </w:r>
          </w:p>
        </w:tc>
        <w:tc>
          <w:tcPr>
            <w:tcW w:w="1057" w:type="dxa"/>
          </w:tcPr>
          <w:p w14:paraId="16B82DE4" w14:textId="77777777" w:rsidR="002B04EB" w:rsidRPr="003F7F6C" w:rsidRDefault="002B04EB" w:rsidP="00B851B7">
            <w:pPr>
              <w:rPr>
                <w:rFonts w:cs="Calibri"/>
                <w:sz w:val="16"/>
                <w:szCs w:val="16"/>
              </w:rPr>
            </w:pPr>
            <w:r w:rsidRPr="003F7F6C">
              <w:rPr>
                <w:rFonts w:cs="Calibri"/>
                <w:sz w:val="16"/>
                <w:szCs w:val="16"/>
              </w:rPr>
              <w:t>SAOT</w:t>
            </w:r>
          </w:p>
          <w:p w14:paraId="32C54936" w14:textId="77777777" w:rsidR="002B04EB" w:rsidRPr="003F7F6C" w:rsidRDefault="002B04EB" w:rsidP="00B851B7">
            <w:pPr>
              <w:rPr>
                <w:rFonts w:cs="Calibri"/>
                <w:sz w:val="16"/>
                <w:szCs w:val="16"/>
              </w:rPr>
            </w:pPr>
            <w:r w:rsidRPr="003F7F6C">
              <w:rPr>
                <w:rFonts w:cs="Calibri"/>
                <w:sz w:val="16"/>
                <w:szCs w:val="16"/>
              </w:rPr>
              <w:t>INTA</w:t>
            </w:r>
          </w:p>
        </w:tc>
        <w:tc>
          <w:tcPr>
            <w:tcW w:w="428" w:type="dxa"/>
          </w:tcPr>
          <w:p w14:paraId="55967E19" w14:textId="77777777" w:rsidR="002B04EB" w:rsidRPr="003F7F6C" w:rsidRDefault="002B04EB" w:rsidP="00B851B7"/>
        </w:tc>
        <w:tc>
          <w:tcPr>
            <w:tcW w:w="444" w:type="dxa"/>
          </w:tcPr>
          <w:p w14:paraId="09706AFD" w14:textId="77777777" w:rsidR="002B04EB" w:rsidRPr="003F7F6C" w:rsidRDefault="002B04EB" w:rsidP="00B851B7">
            <w:r w:rsidRPr="003F7F6C">
              <w:rPr>
                <w:rFonts w:cs="Calibri"/>
                <w:sz w:val="16"/>
                <w:szCs w:val="16"/>
              </w:rPr>
              <w:t>X</w:t>
            </w:r>
          </w:p>
        </w:tc>
        <w:tc>
          <w:tcPr>
            <w:tcW w:w="428" w:type="dxa"/>
          </w:tcPr>
          <w:p w14:paraId="38C52096" w14:textId="77777777" w:rsidR="002B04EB" w:rsidRPr="003F7F6C" w:rsidRDefault="002B04EB" w:rsidP="00B851B7">
            <w:r w:rsidRPr="003F7F6C">
              <w:rPr>
                <w:rFonts w:cs="Calibri"/>
                <w:sz w:val="16"/>
                <w:szCs w:val="16"/>
              </w:rPr>
              <w:t>X</w:t>
            </w:r>
          </w:p>
        </w:tc>
        <w:tc>
          <w:tcPr>
            <w:tcW w:w="428" w:type="dxa"/>
            <w:gridSpan w:val="2"/>
          </w:tcPr>
          <w:p w14:paraId="7D7FE890" w14:textId="77777777" w:rsidR="002B04EB" w:rsidRPr="003F7F6C" w:rsidRDefault="002B04EB" w:rsidP="00B851B7">
            <w:r w:rsidRPr="003F7F6C">
              <w:rPr>
                <w:rFonts w:cs="Calibri"/>
                <w:sz w:val="16"/>
                <w:szCs w:val="16"/>
              </w:rPr>
              <w:t>X</w:t>
            </w:r>
          </w:p>
        </w:tc>
        <w:tc>
          <w:tcPr>
            <w:tcW w:w="428" w:type="dxa"/>
          </w:tcPr>
          <w:p w14:paraId="2F09E6DB" w14:textId="77777777" w:rsidR="002B04EB" w:rsidRPr="003F7F6C" w:rsidRDefault="002B04EB" w:rsidP="00B851B7">
            <w:r w:rsidRPr="003F7F6C">
              <w:rPr>
                <w:rFonts w:cs="Calibri"/>
                <w:sz w:val="16"/>
                <w:szCs w:val="16"/>
              </w:rPr>
              <w:t>X</w:t>
            </w:r>
          </w:p>
        </w:tc>
        <w:tc>
          <w:tcPr>
            <w:tcW w:w="427" w:type="dxa"/>
          </w:tcPr>
          <w:p w14:paraId="29EA33DB" w14:textId="77777777" w:rsidR="002B04EB" w:rsidRPr="003F7F6C" w:rsidRDefault="002B04EB" w:rsidP="00B851B7">
            <w:r w:rsidRPr="003F7F6C">
              <w:rPr>
                <w:rFonts w:cs="Calibri"/>
                <w:sz w:val="16"/>
                <w:szCs w:val="16"/>
              </w:rPr>
              <w:t>X</w:t>
            </w:r>
          </w:p>
        </w:tc>
        <w:tc>
          <w:tcPr>
            <w:tcW w:w="427" w:type="dxa"/>
          </w:tcPr>
          <w:p w14:paraId="18D4194D" w14:textId="77777777" w:rsidR="002B04EB" w:rsidRPr="003F7F6C" w:rsidRDefault="002B04EB" w:rsidP="00B851B7">
            <w:r w:rsidRPr="003F7F6C">
              <w:rPr>
                <w:rFonts w:cs="Calibri"/>
                <w:sz w:val="16"/>
                <w:szCs w:val="16"/>
              </w:rPr>
              <w:t>X</w:t>
            </w:r>
          </w:p>
        </w:tc>
        <w:tc>
          <w:tcPr>
            <w:tcW w:w="427" w:type="dxa"/>
            <w:gridSpan w:val="2"/>
          </w:tcPr>
          <w:p w14:paraId="1BDB500E" w14:textId="77777777" w:rsidR="002B04EB" w:rsidRPr="003F7F6C" w:rsidRDefault="002B04EB" w:rsidP="00B851B7">
            <w:r w:rsidRPr="003F7F6C">
              <w:rPr>
                <w:rFonts w:cs="Calibri"/>
                <w:sz w:val="16"/>
                <w:szCs w:val="16"/>
              </w:rPr>
              <w:t>X</w:t>
            </w:r>
          </w:p>
        </w:tc>
        <w:tc>
          <w:tcPr>
            <w:tcW w:w="428" w:type="dxa"/>
          </w:tcPr>
          <w:p w14:paraId="479ADB96" w14:textId="77777777" w:rsidR="002B04EB" w:rsidRPr="003F7F6C" w:rsidRDefault="002B04EB" w:rsidP="00B851B7">
            <w:r w:rsidRPr="003F7F6C">
              <w:rPr>
                <w:rFonts w:cs="Calibri"/>
                <w:sz w:val="16"/>
                <w:szCs w:val="16"/>
              </w:rPr>
              <w:t>X</w:t>
            </w:r>
          </w:p>
        </w:tc>
        <w:tc>
          <w:tcPr>
            <w:tcW w:w="428" w:type="dxa"/>
          </w:tcPr>
          <w:p w14:paraId="1AE6F3AB" w14:textId="77777777" w:rsidR="002B04EB" w:rsidRPr="003F7F6C" w:rsidRDefault="002B04EB" w:rsidP="00B851B7">
            <w:r w:rsidRPr="003F7F6C">
              <w:rPr>
                <w:rFonts w:cs="Calibri"/>
                <w:sz w:val="16"/>
                <w:szCs w:val="16"/>
              </w:rPr>
              <w:t>X</w:t>
            </w:r>
          </w:p>
        </w:tc>
        <w:tc>
          <w:tcPr>
            <w:tcW w:w="428" w:type="dxa"/>
          </w:tcPr>
          <w:p w14:paraId="291EA95C" w14:textId="77777777" w:rsidR="002B04EB" w:rsidRPr="003F7F6C" w:rsidRDefault="002B04EB" w:rsidP="00B851B7">
            <w:r w:rsidRPr="003F7F6C">
              <w:rPr>
                <w:rFonts w:cs="Calibri"/>
                <w:sz w:val="16"/>
                <w:szCs w:val="16"/>
              </w:rPr>
              <w:t>X</w:t>
            </w:r>
          </w:p>
        </w:tc>
        <w:tc>
          <w:tcPr>
            <w:tcW w:w="428" w:type="dxa"/>
            <w:gridSpan w:val="2"/>
          </w:tcPr>
          <w:p w14:paraId="1853F7C8" w14:textId="77777777" w:rsidR="002B04EB" w:rsidRPr="003F7F6C" w:rsidRDefault="002B04EB" w:rsidP="00B851B7">
            <w:r w:rsidRPr="003F7F6C">
              <w:rPr>
                <w:rFonts w:cs="Calibri"/>
                <w:sz w:val="16"/>
                <w:szCs w:val="16"/>
              </w:rPr>
              <w:t>X</w:t>
            </w:r>
          </w:p>
        </w:tc>
        <w:tc>
          <w:tcPr>
            <w:tcW w:w="428" w:type="dxa"/>
          </w:tcPr>
          <w:p w14:paraId="68556076" w14:textId="77777777" w:rsidR="002B04EB" w:rsidRPr="003F7F6C" w:rsidRDefault="002B04EB" w:rsidP="00B851B7">
            <w:r w:rsidRPr="003F7F6C">
              <w:rPr>
                <w:rFonts w:cs="Calibri"/>
                <w:sz w:val="16"/>
                <w:szCs w:val="16"/>
              </w:rPr>
              <w:t>X</w:t>
            </w:r>
          </w:p>
        </w:tc>
        <w:tc>
          <w:tcPr>
            <w:tcW w:w="428" w:type="dxa"/>
          </w:tcPr>
          <w:p w14:paraId="2E628089" w14:textId="77777777" w:rsidR="002B04EB" w:rsidRPr="003F7F6C" w:rsidRDefault="002B04EB" w:rsidP="00B851B7">
            <w:r w:rsidRPr="003F7F6C">
              <w:rPr>
                <w:rFonts w:cs="Calibri"/>
                <w:sz w:val="16"/>
                <w:szCs w:val="16"/>
              </w:rPr>
              <w:t>X</w:t>
            </w:r>
          </w:p>
        </w:tc>
        <w:tc>
          <w:tcPr>
            <w:tcW w:w="428" w:type="dxa"/>
          </w:tcPr>
          <w:p w14:paraId="13E9D04E" w14:textId="77777777" w:rsidR="002B04EB" w:rsidRPr="003F7F6C" w:rsidRDefault="002B04EB" w:rsidP="00B851B7">
            <w:r w:rsidRPr="003F7F6C">
              <w:rPr>
                <w:rFonts w:cs="Calibri"/>
                <w:sz w:val="16"/>
                <w:szCs w:val="16"/>
              </w:rPr>
              <w:t>X</w:t>
            </w:r>
          </w:p>
        </w:tc>
        <w:tc>
          <w:tcPr>
            <w:tcW w:w="428" w:type="dxa"/>
            <w:gridSpan w:val="2"/>
          </w:tcPr>
          <w:p w14:paraId="0BE8ED39" w14:textId="77777777" w:rsidR="002B04EB" w:rsidRPr="003F7F6C" w:rsidRDefault="002B04EB" w:rsidP="00B851B7">
            <w:r w:rsidRPr="003F7F6C">
              <w:rPr>
                <w:rFonts w:cs="Calibri"/>
                <w:sz w:val="16"/>
                <w:szCs w:val="16"/>
              </w:rPr>
              <w:t>X</w:t>
            </w:r>
          </w:p>
        </w:tc>
        <w:tc>
          <w:tcPr>
            <w:tcW w:w="428" w:type="dxa"/>
          </w:tcPr>
          <w:p w14:paraId="01E14F9E" w14:textId="77777777" w:rsidR="002B04EB" w:rsidRPr="003F7F6C" w:rsidRDefault="002B04EB" w:rsidP="00B851B7">
            <w:r w:rsidRPr="003F7F6C">
              <w:rPr>
                <w:rFonts w:cs="Calibri"/>
                <w:sz w:val="16"/>
                <w:szCs w:val="16"/>
              </w:rPr>
              <w:t>X</w:t>
            </w:r>
          </w:p>
        </w:tc>
        <w:tc>
          <w:tcPr>
            <w:tcW w:w="428" w:type="dxa"/>
          </w:tcPr>
          <w:p w14:paraId="3BB824CF" w14:textId="77777777" w:rsidR="002B04EB" w:rsidRPr="003F7F6C" w:rsidRDefault="002B04EB" w:rsidP="00B851B7">
            <w:r w:rsidRPr="003F7F6C">
              <w:rPr>
                <w:rFonts w:cs="Calibri"/>
                <w:sz w:val="16"/>
                <w:szCs w:val="16"/>
              </w:rPr>
              <w:t>X</w:t>
            </w:r>
          </w:p>
        </w:tc>
        <w:tc>
          <w:tcPr>
            <w:tcW w:w="428" w:type="dxa"/>
          </w:tcPr>
          <w:p w14:paraId="2268ECD3" w14:textId="77777777" w:rsidR="002B04EB" w:rsidRPr="003F7F6C" w:rsidRDefault="002B04EB" w:rsidP="00B851B7">
            <w:r w:rsidRPr="003F7F6C">
              <w:rPr>
                <w:rFonts w:cs="Calibri"/>
                <w:sz w:val="16"/>
                <w:szCs w:val="16"/>
              </w:rPr>
              <w:t>X</w:t>
            </w:r>
          </w:p>
        </w:tc>
        <w:tc>
          <w:tcPr>
            <w:tcW w:w="428" w:type="dxa"/>
            <w:gridSpan w:val="2"/>
          </w:tcPr>
          <w:p w14:paraId="2E521A0B" w14:textId="77777777" w:rsidR="002B04EB" w:rsidRPr="003F7F6C" w:rsidRDefault="002B04EB" w:rsidP="00B851B7">
            <w:r w:rsidRPr="003F7F6C">
              <w:rPr>
                <w:rFonts w:cs="Calibri"/>
                <w:sz w:val="16"/>
                <w:szCs w:val="16"/>
              </w:rPr>
              <w:t>X</w:t>
            </w:r>
          </w:p>
        </w:tc>
        <w:tc>
          <w:tcPr>
            <w:tcW w:w="428" w:type="dxa"/>
          </w:tcPr>
          <w:p w14:paraId="1EBDE51A" w14:textId="77777777" w:rsidR="002B04EB" w:rsidRPr="003F7F6C" w:rsidRDefault="002B04EB" w:rsidP="00B851B7">
            <w:r w:rsidRPr="003F7F6C">
              <w:rPr>
                <w:rFonts w:cs="Calibri"/>
                <w:sz w:val="16"/>
                <w:szCs w:val="16"/>
              </w:rPr>
              <w:t>X</w:t>
            </w:r>
          </w:p>
        </w:tc>
        <w:tc>
          <w:tcPr>
            <w:tcW w:w="428" w:type="dxa"/>
          </w:tcPr>
          <w:p w14:paraId="760AC665" w14:textId="77777777" w:rsidR="002B04EB" w:rsidRPr="003F7F6C" w:rsidRDefault="002B04EB" w:rsidP="00B851B7">
            <w:r w:rsidRPr="003F7F6C">
              <w:rPr>
                <w:rFonts w:cs="Calibri"/>
                <w:sz w:val="16"/>
                <w:szCs w:val="16"/>
              </w:rPr>
              <w:t>X</w:t>
            </w:r>
          </w:p>
        </w:tc>
        <w:tc>
          <w:tcPr>
            <w:tcW w:w="428" w:type="dxa"/>
          </w:tcPr>
          <w:p w14:paraId="166A1A7D" w14:textId="77777777" w:rsidR="002B04EB" w:rsidRPr="003F7F6C" w:rsidRDefault="002B04EB" w:rsidP="00B851B7">
            <w:r w:rsidRPr="003F7F6C">
              <w:rPr>
                <w:rFonts w:cs="Calibri"/>
                <w:sz w:val="16"/>
                <w:szCs w:val="16"/>
              </w:rPr>
              <w:t>X</w:t>
            </w:r>
          </w:p>
        </w:tc>
        <w:tc>
          <w:tcPr>
            <w:tcW w:w="428" w:type="dxa"/>
          </w:tcPr>
          <w:p w14:paraId="7F86E262" w14:textId="77777777" w:rsidR="002B04EB" w:rsidRPr="003F7F6C" w:rsidRDefault="002B04EB" w:rsidP="00B851B7">
            <w:r w:rsidRPr="003F7F6C">
              <w:rPr>
                <w:rFonts w:cs="Calibri"/>
                <w:sz w:val="16"/>
                <w:szCs w:val="16"/>
              </w:rPr>
              <w:t>X</w:t>
            </w:r>
          </w:p>
        </w:tc>
      </w:tr>
      <w:tr w:rsidR="002B04EB" w:rsidRPr="003F7F6C" w14:paraId="24AD56CE" w14:textId="77777777" w:rsidTr="00B851B7">
        <w:tc>
          <w:tcPr>
            <w:tcW w:w="1668" w:type="dxa"/>
          </w:tcPr>
          <w:p w14:paraId="609FFC11" w14:textId="77777777" w:rsidR="002B04EB" w:rsidRPr="003F7F6C" w:rsidRDefault="002B04EB" w:rsidP="00B851B7">
            <w:pPr>
              <w:rPr>
                <w:rFonts w:cs="Calibri"/>
                <w:sz w:val="16"/>
                <w:szCs w:val="16"/>
              </w:rPr>
            </w:pPr>
            <w:r w:rsidRPr="003F7F6C">
              <w:rPr>
                <w:rFonts w:cs="Calibri"/>
                <w:sz w:val="16"/>
                <w:szCs w:val="16"/>
              </w:rPr>
              <w:t>2.4.3 Develop sustainable best practice criteria and guidelines</w:t>
            </w:r>
          </w:p>
        </w:tc>
        <w:tc>
          <w:tcPr>
            <w:tcW w:w="1057" w:type="dxa"/>
          </w:tcPr>
          <w:p w14:paraId="7495FBE7" w14:textId="77777777" w:rsidR="002B04EB" w:rsidRPr="003F7F6C" w:rsidRDefault="002B04EB" w:rsidP="00B851B7">
            <w:pPr>
              <w:rPr>
                <w:rFonts w:cs="Calibri"/>
                <w:sz w:val="16"/>
                <w:szCs w:val="16"/>
              </w:rPr>
            </w:pPr>
            <w:r w:rsidRPr="003F7F6C">
              <w:rPr>
                <w:rFonts w:cs="Calibri"/>
                <w:sz w:val="16"/>
                <w:szCs w:val="16"/>
              </w:rPr>
              <w:t>SAOT</w:t>
            </w:r>
          </w:p>
          <w:p w14:paraId="38EDC40E" w14:textId="77777777" w:rsidR="002B04EB" w:rsidRPr="003F7F6C" w:rsidRDefault="002B04EB" w:rsidP="00B851B7">
            <w:pPr>
              <w:rPr>
                <w:rFonts w:cs="Calibri"/>
                <w:sz w:val="16"/>
                <w:szCs w:val="16"/>
              </w:rPr>
            </w:pPr>
            <w:r w:rsidRPr="003F7F6C">
              <w:rPr>
                <w:rFonts w:cs="Calibri"/>
                <w:sz w:val="16"/>
                <w:szCs w:val="16"/>
              </w:rPr>
              <w:t>INTA</w:t>
            </w:r>
          </w:p>
        </w:tc>
        <w:tc>
          <w:tcPr>
            <w:tcW w:w="428" w:type="dxa"/>
          </w:tcPr>
          <w:p w14:paraId="14871FBC" w14:textId="77777777" w:rsidR="002B04EB" w:rsidRPr="003F7F6C" w:rsidRDefault="002B04EB" w:rsidP="00B851B7"/>
        </w:tc>
        <w:tc>
          <w:tcPr>
            <w:tcW w:w="444" w:type="dxa"/>
          </w:tcPr>
          <w:p w14:paraId="1ED93030" w14:textId="77777777" w:rsidR="002B04EB" w:rsidRPr="003F7F6C" w:rsidRDefault="002B04EB" w:rsidP="00B851B7">
            <w:r w:rsidRPr="003F7F6C">
              <w:rPr>
                <w:rFonts w:cs="Calibri"/>
                <w:sz w:val="16"/>
                <w:szCs w:val="16"/>
              </w:rPr>
              <w:t>X</w:t>
            </w:r>
          </w:p>
        </w:tc>
        <w:tc>
          <w:tcPr>
            <w:tcW w:w="428" w:type="dxa"/>
          </w:tcPr>
          <w:p w14:paraId="0D1A6075" w14:textId="77777777" w:rsidR="002B04EB" w:rsidRPr="003F7F6C" w:rsidRDefault="002B04EB" w:rsidP="00B851B7">
            <w:r w:rsidRPr="003F7F6C">
              <w:rPr>
                <w:rFonts w:cs="Calibri"/>
                <w:sz w:val="16"/>
                <w:szCs w:val="16"/>
              </w:rPr>
              <w:t>X</w:t>
            </w:r>
          </w:p>
        </w:tc>
        <w:tc>
          <w:tcPr>
            <w:tcW w:w="428" w:type="dxa"/>
            <w:gridSpan w:val="2"/>
          </w:tcPr>
          <w:p w14:paraId="47F312C3" w14:textId="77777777" w:rsidR="002B04EB" w:rsidRPr="003F7F6C" w:rsidRDefault="002B04EB" w:rsidP="00B851B7">
            <w:r w:rsidRPr="003F7F6C">
              <w:rPr>
                <w:rFonts w:cs="Calibri"/>
                <w:sz w:val="16"/>
                <w:szCs w:val="16"/>
              </w:rPr>
              <w:t>X</w:t>
            </w:r>
          </w:p>
        </w:tc>
        <w:tc>
          <w:tcPr>
            <w:tcW w:w="428" w:type="dxa"/>
          </w:tcPr>
          <w:p w14:paraId="5323ADC3" w14:textId="77777777" w:rsidR="002B04EB" w:rsidRPr="003F7F6C" w:rsidRDefault="002B04EB" w:rsidP="00B851B7">
            <w:r w:rsidRPr="003F7F6C">
              <w:rPr>
                <w:rFonts w:cs="Calibri"/>
                <w:sz w:val="16"/>
                <w:szCs w:val="16"/>
              </w:rPr>
              <w:t>X</w:t>
            </w:r>
          </w:p>
        </w:tc>
        <w:tc>
          <w:tcPr>
            <w:tcW w:w="427" w:type="dxa"/>
          </w:tcPr>
          <w:p w14:paraId="1ACDF366" w14:textId="77777777" w:rsidR="002B04EB" w:rsidRPr="003F7F6C" w:rsidRDefault="002B04EB" w:rsidP="00B851B7">
            <w:r w:rsidRPr="003F7F6C">
              <w:rPr>
                <w:rFonts w:cs="Calibri"/>
                <w:sz w:val="16"/>
                <w:szCs w:val="16"/>
              </w:rPr>
              <w:t>X</w:t>
            </w:r>
          </w:p>
        </w:tc>
        <w:tc>
          <w:tcPr>
            <w:tcW w:w="427" w:type="dxa"/>
          </w:tcPr>
          <w:p w14:paraId="69FF568F" w14:textId="77777777" w:rsidR="002B04EB" w:rsidRPr="003F7F6C" w:rsidRDefault="002B04EB" w:rsidP="00B851B7">
            <w:r w:rsidRPr="003F7F6C">
              <w:rPr>
                <w:rFonts w:cs="Calibri"/>
                <w:sz w:val="16"/>
                <w:szCs w:val="16"/>
              </w:rPr>
              <w:t>X</w:t>
            </w:r>
          </w:p>
        </w:tc>
        <w:tc>
          <w:tcPr>
            <w:tcW w:w="427" w:type="dxa"/>
            <w:gridSpan w:val="2"/>
          </w:tcPr>
          <w:p w14:paraId="03A8A93C" w14:textId="77777777" w:rsidR="002B04EB" w:rsidRPr="003F7F6C" w:rsidRDefault="002B04EB" w:rsidP="00B851B7">
            <w:r w:rsidRPr="003F7F6C">
              <w:rPr>
                <w:rFonts w:cs="Calibri"/>
                <w:sz w:val="16"/>
                <w:szCs w:val="16"/>
              </w:rPr>
              <w:t>X</w:t>
            </w:r>
          </w:p>
        </w:tc>
        <w:tc>
          <w:tcPr>
            <w:tcW w:w="428" w:type="dxa"/>
          </w:tcPr>
          <w:p w14:paraId="78710AE1" w14:textId="77777777" w:rsidR="002B04EB" w:rsidRPr="003F7F6C" w:rsidRDefault="002B04EB" w:rsidP="00B851B7">
            <w:r w:rsidRPr="003F7F6C">
              <w:rPr>
                <w:rFonts w:cs="Calibri"/>
                <w:sz w:val="16"/>
                <w:szCs w:val="16"/>
              </w:rPr>
              <w:t>X</w:t>
            </w:r>
          </w:p>
        </w:tc>
        <w:tc>
          <w:tcPr>
            <w:tcW w:w="428" w:type="dxa"/>
          </w:tcPr>
          <w:p w14:paraId="23BB60C3" w14:textId="77777777" w:rsidR="002B04EB" w:rsidRPr="003F7F6C" w:rsidRDefault="002B04EB" w:rsidP="00B851B7">
            <w:r w:rsidRPr="003F7F6C">
              <w:rPr>
                <w:rFonts w:cs="Calibri"/>
                <w:sz w:val="16"/>
                <w:szCs w:val="16"/>
              </w:rPr>
              <w:t>X</w:t>
            </w:r>
          </w:p>
        </w:tc>
        <w:tc>
          <w:tcPr>
            <w:tcW w:w="428" w:type="dxa"/>
          </w:tcPr>
          <w:p w14:paraId="667BD89A" w14:textId="77777777" w:rsidR="002B04EB" w:rsidRPr="003F7F6C" w:rsidRDefault="002B04EB" w:rsidP="00B851B7">
            <w:r w:rsidRPr="003F7F6C">
              <w:rPr>
                <w:rFonts w:cs="Calibri"/>
                <w:sz w:val="16"/>
                <w:szCs w:val="16"/>
              </w:rPr>
              <w:t>X</w:t>
            </w:r>
          </w:p>
        </w:tc>
        <w:tc>
          <w:tcPr>
            <w:tcW w:w="428" w:type="dxa"/>
            <w:gridSpan w:val="2"/>
          </w:tcPr>
          <w:p w14:paraId="38317BE4" w14:textId="77777777" w:rsidR="002B04EB" w:rsidRPr="003F7F6C" w:rsidRDefault="002B04EB" w:rsidP="00B851B7">
            <w:r w:rsidRPr="003F7F6C">
              <w:rPr>
                <w:rFonts w:cs="Calibri"/>
                <w:sz w:val="16"/>
                <w:szCs w:val="16"/>
              </w:rPr>
              <w:t>X</w:t>
            </w:r>
          </w:p>
        </w:tc>
        <w:tc>
          <w:tcPr>
            <w:tcW w:w="428" w:type="dxa"/>
          </w:tcPr>
          <w:p w14:paraId="5D6A9B8A" w14:textId="77777777" w:rsidR="002B04EB" w:rsidRPr="003F7F6C" w:rsidRDefault="002B04EB" w:rsidP="00B851B7">
            <w:r w:rsidRPr="003F7F6C">
              <w:rPr>
                <w:rFonts w:cs="Calibri"/>
                <w:sz w:val="16"/>
                <w:szCs w:val="16"/>
              </w:rPr>
              <w:t>X</w:t>
            </w:r>
          </w:p>
        </w:tc>
        <w:tc>
          <w:tcPr>
            <w:tcW w:w="428" w:type="dxa"/>
          </w:tcPr>
          <w:p w14:paraId="5DDDE26F" w14:textId="77777777" w:rsidR="002B04EB" w:rsidRPr="003F7F6C" w:rsidRDefault="002B04EB" w:rsidP="00B851B7">
            <w:r w:rsidRPr="003F7F6C">
              <w:rPr>
                <w:rFonts w:cs="Calibri"/>
                <w:sz w:val="16"/>
                <w:szCs w:val="16"/>
              </w:rPr>
              <w:t>X</w:t>
            </w:r>
          </w:p>
        </w:tc>
        <w:tc>
          <w:tcPr>
            <w:tcW w:w="428" w:type="dxa"/>
          </w:tcPr>
          <w:p w14:paraId="2444AC58" w14:textId="77777777" w:rsidR="002B04EB" w:rsidRPr="003F7F6C" w:rsidRDefault="002B04EB" w:rsidP="00B851B7">
            <w:r w:rsidRPr="003F7F6C">
              <w:rPr>
                <w:rFonts w:cs="Calibri"/>
                <w:sz w:val="16"/>
                <w:szCs w:val="16"/>
              </w:rPr>
              <w:t>X</w:t>
            </w:r>
          </w:p>
        </w:tc>
        <w:tc>
          <w:tcPr>
            <w:tcW w:w="428" w:type="dxa"/>
            <w:gridSpan w:val="2"/>
          </w:tcPr>
          <w:p w14:paraId="799474A5" w14:textId="77777777" w:rsidR="002B04EB" w:rsidRPr="003F7F6C" w:rsidRDefault="002B04EB" w:rsidP="00B851B7">
            <w:r w:rsidRPr="003F7F6C">
              <w:rPr>
                <w:rFonts w:cs="Calibri"/>
                <w:sz w:val="16"/>
                <w:szCs w:val="16"/>
              </w:rPr>
              <w:t>X</w:t>
            </w:r>
          </w:p>
        </w:tc>
        <w:tc>
          <w:tcPr>
            <w:tcW w:w="428" w:type="dxa"/>
          </w:tcPr>
          <w:p w14:paraId="4F4BE57C" w14:textId="77777777" w:rsidR="002B04EB" w:rsidRPr="003F7F6C" w:rsidRDefault="002B04EB" w:rsidP="00B851B7">
            <w:r w:rsidRPr="003F7F6C">
              <w:rPr>
                <w:rFonts w:cs="Calibri"/>
                <w:sz w:val="16"/>
                <w:szCs w:val="16"/>
              </w:rPr>
              <w:t>X</w:t>
            </w:r>
          </w:p>
        </w:tc>
        <w:tc>
          <w:tcPr>
            <w:tcW w:w="428" w:type="dxa"/>
          </w:tcPr>
          <w:p w14:paraId="2DAFB684" w14:textId="77777777" w:rsidR="002B04EB" w:rsidRPr="003F7F6C" w:rsidRDefault="002B04EB" w:rsidP="00B851B7">
            <w:r w:rsidRPr="003F7F6C">
              <w:rPr>
                <w:rFonts w:cs="Calibri"/>
                <w:sz w:val="16"/>
                <w:szCs w:val="16"/>
              </w:rPr>
              <w:t>X</w:t>
            </w:r>
          </w:p>
        </w:tc>
        <w:tc>
          <w:tcPr>
            <w:tcW w:w="428" w:type="dxa"/>
          </w:tcPr>
          <w:p w14:paraId="48F9B214" w14:textId="77777777" w:rsidR="002B04EB" w:rsidRPr="003F7F6C" w:rsidRDefault="002B04EB" w:rsidP="00B851B7">
            <w:r w:rsidRPr="003F7F6C">
              <w:rPr>
                <w:rFonts w:cs="Calibri"/>
                <w:sz w:val="16"/>
                <w:szCs w:val="16"/>
              </w:rPr>
              <w:t>X</w:t>
            </w:r>
          </w:p>
        </w:tc>
        <w:tc>
          <w:tcPr>
            <w:tcW w:w="428" w:type="dxa"/>
            <w:gridSpan w:val="2"/>
          </w:tcPr>
          <w:p w14:paraId="2E319816" w14:textId="77777777" w:rsidR="002B04EB" w:rsidRPr="003F7F6C" w:rsidRDefault="002B04EB" w:rsidP="00B851B7">
            <w:r w:rsidRPr="003F7F6C">
              <w:rPr>
                <w:rFonts w:cs="Calibri"/>
                <w:sz w:val="16"/>
                <w:szCs w:val="16"/>
              </w:rPr>
              <w:t>X</w:t>
            </w:r>
          </w:p>
        </w:tc>
        <w:tc>
          <w:tcPr>
            <w:tcW w:w="428" w:type="dxa"/>
          </w:tcPr>
          <w:p w14:paraId="3FA45045" w14:textId="77777777" w:rsidR="002B04EB" w:rsidRPr="003F7F6C" w:rsidRDefault="002B04EB" w:rsidP="00B851B7">
            <w:r w:rsidRPr="003F7F6C">
              <w:rPr>
                <w:rFonts w:cs="Calibri"/>
                <w:sz w:val="16"/>
                <w:szCs w:val="16"/>
              </w:rPr>
              <w:t>X</w:t>
            </w:r>
          </w:p>
        </w:tc>
        <w:tc>
          <w:tcPr>
            <w:tcW w:w="428" w:type="dxa"/>
          </w:tcPr>
          <w:p w14:paraId="1DA83D76" w14:textId="77777777" w:rsidR="002B04EB" w:rsidRPr="003F7F6C" w:rsidRDefault="002B04EB" w:rsidP="00B851B7">
            <w:r w:rsidRPr="003F7F6C">
              <w:rPr>
                <w:rFonts w:cs="Calibri"/>
                <w:sz w:val="16"/>
                <w:szCs w:val="16"/>
              </w:rPr>
              <w:t>X</w:t>
            </w:r>
          </w:p>
        </w:tc>
        <w:tc>
          <w:tcPr>
            <w:tcW w:w="428" w:type="dxa"/>
          </w:tcPr>
          <w:p w14:paraId="5A4A9BE7" w14:textId="77777777" w:rsidR="002B04EB" w:rsidRPr="003F7F6C" w:rsidRDefault="002B04EB" w:rsidP="00B851B7">
            <w:r w:rsidRPr="003F7F6C">
              <w:rPr>
                <w:rFonts w:cs="Calibri"/>
                <w:sz w:val="16"/>
                <w:szCs w:val="16"/>
              </w:rPr>
              <w:t>X</w:t>
            </w:r>
          </w:p>
        </w:tc>
        <w:tc>
          <w:tcPr>
            <w:tcW w:w="428" w:type="dxa"/>
          </w:tcPr>
          <w:p w14:paraId="7B4BC40E" w14:textId="77777777" w:rsidR="002B04EB" w:rsidRPr="003F7F6C" w:rsidRDefault="002B04EB" w:rsidP="00B851B7">
            <w:r w:rsidRPr="003F7F6C">
              <w:rPr>
                <w:rFonts w:cs="Calibri"/>
                <w:sz w:val="16"/>
                <w:szCs w:val="16"/>
              </w:rPr>
              <w:t>X</w:t>
            </w:r>
          </w:p>
        </w:tc>
      </w:tr>
      <w:tr w:rsidR="002B04EB" w:rsidRPr="003F7F6C" w14:paraId="5EA9E7EA" w14:textId="77777777" w:rsidTr="00B851B7">
        <w:tc>
          <w:tcPr>
            <w:tcW w:w="1668" w:type="dxa"/>
          </w:tcPr>
          <w:p w14:paraId="28E7F148" w14:textId="77777777" w:rsidR="002B04EB" w:rsidRPr="003F7F6C" w:rsidRDefault="002B04EB" w:rsidP="00E91275">
            <w:pPr>
              <w:pStyle w:val="ListParagraph"/>
              <w:numPr>
                <w:ilvl w:val="0"/>
                <w:numId w:val="29"/>
              </w:numPr>
              <w:ind w:left="174" w:hanging="174"/>
              <w:rPr>
                <w:rFonts w:cs="Calibri"/>
                <w:sz w:val="16"/>
                <w:szCs w:val="16"/>
              </w:rPr>
            </w:pPr>
            <w:r w:rsidRPr="003F7F6C">
              <w:rPr>
                <w:rFonts w:cs="Calibri"/>
                <w:sz w:val="16"/>
                <w:szCs w:val="16"/>
              </w:rPr>
              <w:t>Design and redesign of agroecosystems</w:t>
            </w:r>
          </w:p>
        </w:tc>
        <w:tc>
          <w:tcPr>
            <w:tcW w:w="1057" w:type="dxa"/>
          </w:tcPr>
          <w:p w14:paraId="652025D4" w14:textId="77777777" w:rsidR="002B04EB" w:rsidRPr="003F7F6C" w:rsidRDefault="002B04EB" w:rsidP="00B851B7">
            <w:pPr>
              <w:rPr>
                <w:rFonts w:cs="Calibri"/>
                <w:sz w:val="16"/>
                <w:szCs w:val="16"/>
              </w:rPr>
            </w:pPr>
            <w:r w:rsidRPr="003F7F6C">
              <w:rPr>
                <w:rFonts w:cs="Calibri"/>
                <w:sz w:val="16"/>
                <w:szCs w:val="16"/>
              </w:rPr>
              <w:t>SAOT</w:t>
            </w:r>
          </w:p>
          <w:p w14:paraId="1D582B95" w14:textId="77777777" w:rsidR="002B04EB" w:rsidRPr="003F7F6C" w:rsidRDefault="002B04EB" w:rsidP="00B851B7">
            <w:pPr>
              <w:rPr>
                <w:rFonts w:cs="Calibri"/>
                <w:sz w:val="16"/>
                <w:szCs w:val="16"/>
              </w:rPr>
            </w:pPr>
            <w:r w:rsidRPr="003F7F6C">
              <w:rPr>
                <w:rFonts w:cs="Calibri"/>
                <w:sz w:val="16"/>
                <w:szCs w:val="16"/>
              </w:rPr>
              <w:t>INTA</w:t>
            </w:r>
          </w:p>
        </w:tc>
        <w:tc>
          <w:tcPr>
            <w:tcW w:w="428" w:type="dxa"/>
          </w:tcPr>
          <w:p w14:paraId="5A8CA661" w14:textId="77777777" w:rsidR="002B04EB" w:rsidRPr="003F7F6C" w:rsidRDefault="002B04EB" w:rsidP="00B851B7"/>
        </w:tc>
        <w:tc>
          <w:tcPr>
            <w:tcW w:w="444" w:type="dxa"/>
          </w:tcPr>
          <w:p w14:paraId="60D7BA5E" w14:textId="77777777" w:rsidR="002B04EB" w:rsidRPr="003F7F6C" w:rsidRDefault="002B04EB" w:rsidP="00B851B7">
            <w:r w:rsidRPr="003F7F6C">
              <w:rPr>
                <w:rFonts w:cs="Calibri"/>
                <w:sz w:val="16"/>
                <w:szCs w:val="16"/>
              </w:rPr>
              <w:t>X</w:t>
            </w:r>
          </w:p>
        </w:tc>
        <w:tc>
          <w:tcPr>
            <w:tcW w:w="428" w:type="dxa"/>
          </w:tcPr>
          <w:p w14:paraId="4F158DE7" w14:textId="77777777" w:rsidR="002B04EB" w:rsidRPr="003F7F6C" w:rsidRDefault="002B04EB" w:rsidP="00B851B7">
            <w:r w:rsidRPr="003F7F6C">
              <w:rPr>
                <w:rFonts w:cs="Calibri"/>
                <w:sz w:val="16"/>
                <w:szCs w:val="16"/>
              </w:rPr>
              <w:t>X</w:t>
            </w:r>
          </w:p>
        </w:tc>
        <w:tc>
          <w:tcPr>
            <w:tcW w:w="428" w:type="dxa"/>
            <w:gridSpan w:val="2"/>
          </w:tcPr>
          <w:p w14:paraId="08F1A406" w14:textId="77777777" w:rsidR="002B04EB" w:rsidRPr="003F7F6C" w:rsidRDefault="002B04EB" w:rsidP="00B851B7">
            <w:r w:rsidRPr="003F7F6C">
              <w:rPr>
                <w:rFonts w:cs="Calibri"/>
                <w:sz w:val="16"/>
                <w:szCs w:val="16"/>
              </w:rPr>
              <w:t>X</w:t>
            </w:r>
          </w:p>
        </w:tc>
        <w:tc>
          <w:tcPr>
            <w:tcW w:w="428" w:type="dxa"/>
          </w:tcPr>
          <w:p w14:paraId="392E2A22" w14:textId="77777777" w:rsidR="002B04EB" w:rsidRPr="003F7F6C" w:rsidRDefault="002B04EB" w:rsidP="00B851B7">
            <w:r w:rsidRPr="003F7F6C">
              <w:rPr>
                <w:rFonts w:cs="Calibri"/>
                <w:sz w:val="16"/>
                <w:szCs w:val="16"/>
              </w:rPr>
              <w:t>X</w:t>
            </w:r>
          </w:p>
        </w:tc>
        <w:tc>
          <w:tcPr>
            <w:tcW w:w="427" w:type="dxa"/>
          </w:tcPr>
          <w:p w14:paraId="3B133DC8" w14:textId="77777777" w:rsidR="002B04EB" w:rsidRPr="003F7F6C" w:rsidRDefault="002B04EB" w:rsidP="00B851B7">
            <w:r w:rsidRPr="003F7F6C">
              <w:rPr>
                <w:rFonts w:cs="Calibri"/>
                <w:sz w:val="16"/>
                <w:szCs w:val="16"/>
              </w:rPr>
              <w:t>X</w:t>
            </w:r>
          </w:p>
        </w:tc>
        <w:tc>
          <w:tcPr>
            <w:tcW w:w="427" w:type="dxa"/>
          </w:tcPr>
          <w:p w14:paraId="6C35FCEB" w14:textId="77777777" w:rsidR="002B04EB" w:rsidRPr="003F7F6C" w:rsidRDefault="002B04EB" w:rsidP="00B851B7">
            <w:r w:rsidRPr="003F7F6C">
              <w:rPr>
                <w:rFonts w:cs="Calibri"/>
                <w:sz w:val="16"/>
                <w:szCs w:val="16"/>
              </w:rPr>
              <w:t>X</w:t>
            </w:r>
          </w:p>
        </w:tc>
        <w:tc>
          <w:tcPr>
            <w:tcW w:w="427" w:type="dxa"/>
            <w:gridSpan w:val="2"/>
          </w:tcPr>
          <w:p w14:paraId="6E34A659" w14:textId="77777777" w:rsidR="002B04EB" w:rsidRPr="003F7F6C" w:rsidRDefault="002B04EB" w:rsidP="00B851B7">
            <w:r w:rsidRPr="003F7F6C">
              <w:rPr>
                <w:rFonts w:cs="Calibri"/>
                <w:sz w:val="16"/>
                <w:szCs w:val="16"/>
              </w:rPr>
              <w:t>X</w:t>
            </w:r>
          </w:p>
        </w:tc>
        <w:tc>
          <w:tcPr>
            <w:tcW w:w="428" w:type="dxa"/>
          </w:tcPr>
          <w:p w14:paraId="74DEA295" w14:textId="77777777" w:rsidR="002B04EB" w:rsidRPr="003F7F6C" w:rsidRDefault="002B04EB" w:rsidP="00B851B7">
            <w:r w:rsidRPr="003F7F6C">
              <w:rPr>
                <w:rFonts w:cs="Calibri"/>
                <w:sz w:val="16"/>
                <w:szCs w:val="16"/>
              </w:rPr>
              <w:t>X</w:t>
            </w:r>
          </w:p>
        </w:tc>
        <w:tc>
          <w:tcPr>
            <w:tcW w:w="428" w:type="dxa"/>
          </w:tcPr>
          <w:p w14:paraId="1C1030E2" w14:textId="77777777" w:rsidR="002B04EB" w:rsidRPr="003F7F6C" w:rsidRDefault="002B04EB" w:rsidP="00B851B7">
            <w:r w:rsidRPr="003F7F6C">
              <w:rPr>
                <w:rFonts w:cs="Calibri"/>
                <w:sz w:val="16"/>
                <w:szCs w:val="16"/>
              </w:rPr>
              <w:t>X</w:t>
            </w:r>
          </w:p>
        </w:tc>
        <w:tc>
          <w:tcPr>
            <w:tcW w:w="428" w:type="dxa"/>
          </w:tcPr>
          <w:p w14:paraId="3430003B" w14:textId="77777777" w:rsidR="002B04EB" w:rsidRPr="003F7F6C" w:rsidRDefault="002B04EB" w:rsidP="00B851B7">
            <w:r w:rsidRPr="003F7F6C">
              <w:rPr>
                <w:rFonts w:cs="Calibri"/>
                <w:sz w:val="16"/>
                <w:szCs w:val="16"/>
              </w:rPr>
              <w:t>X</w:t>
            </w:r>
          </w:p>
        </w:tc>
        <w:tc>
          <w:tcPr>
            <w:tcW w:w="428" w:type="dxa"/>
            <w:gridSpan w:val="2"/>
          </w:tcPr>
          <w:p w14:paraId="30859EC4" w14:textId="77777777" w:rsidR="002B04EB" w:rsidRPr="003F7F6C" w:rsidRDefault="002B04EB" w:rsidP="00B851B7">
            <w:r w:rsidRPr="003F7F6C">
              <w:rPr>
                <w:rFonts w:cs="Calibri"/>
                <w:sz w:val="16"/>
                <w:szCs w:val="16"/>
              </w:rPr>
              <w:t>X</w:t>
            </w:r>
          </w:p>
        </w:tc>
        <w:tc>
          <w:tcPr>
            <w:tcW w:w="428" w:type="dxa"/>
          </w:tcPr>
          <w:p w14:paraId="11289C0C" w14:textId="77777777" w:rsidR="002B04EB" w:rsidRPr="003F7F6C" w:rsidRDefault="002B04EB" w:rsidP="00B851B7">
            <w:r w:rsidRPr="003F7F6C">
              <w:rPr>
                <w:rFonts w:cs="Calibri"/>
                <w:sz w:val="16"/>
                <w:szCs w:val="16"/>
              </w:rPr>
              <w:t>X</w:t>
            </w:r>
          </w:p>
        </w:tc>
        <w:tc>
          <w:tcPr>
            <w:tcW w:w="428" w:type="dxa"/>
          </w:tcPr>
          <w:p w14:paraId="5DF73FD7" w14:textId="77777777" w:rsidR="002B04EB" w:rsidRPr="003F7F6C" w:rsidRDefault="002B04EB" w:rsidP="00B851B7">
            <w:r w:rsidRPr="003F7F6C">
              <w:rPr>
                <w:rFonts w:cs="Calibri"/>
                <w:sz w:val="16"/>
                <w:szCs w:val="16"/>
              </w:rPr>
              <w:t>X</w:t>
            </w:r>
          </w:p>
        </w:tc>
        <w:tc>
          <w:tcPr>
            <w:tcW w:w="428" w:type="dxa"/>
          </w:tcPr>
          <w:p w14:paraId="7158FFE2" w14:textId="77777777" w:rsidR="002B04EB" w:rsidRPr="003F7F6C" w:rsidRDefault="002B04EB" w:rsidP="00B851B7">
            <w:r w:rsidRPr="003F7F6C">
              <w:rPr>
                <w:rFonts w:cs="Calibri"/>
                <w:sz w:val="16"/>
                <w:szCs w:val="16"/>
              </w:rPr>
              <w:t>X</w:t>
            </w:r>
          </w:p>
        </w:tc>
        <w:tc>
          <w:tcPr>
            <w:tcW w:w="428" w:type="dxa"/>
            <w:gridSpan w:val="2"/>
          </w:tcPr>
          <w:p w14:paraId="7E5D66B3" w14:textId="77777777" w:rsidR="002B04EB" w:rsidRPr="003F7F6C" w:rsidRDefault="002B04EB" w:rsidP="00B851B7">
            <w:r w:rsidRPr="003F7F6C">
              <w:rPr>
                <w:rFonts w:cs="Calibri"/>
                <w:sz w:val="16"/>
                <w:szCs w:val="16"/>
              </w:rPr>
              <w:t>X</w:t>
            </w:r>
          </w:p>
        </w:tc>
        <w:tc>
          <w:tcPr>
            <w:tcW w:w="428" w:type="dxa"/>
          </w:tcPr>
          <w:p w14:paraId="6039ECEB" w14:textId="77777777" w:rsidR="002B04EB" w:rsidRPr="003F7F6C" w:rsidRDefault="002B04EB" w:rsidP="00B851B7">
            <w:r w:rsidRPr="003F7F6C">
              <w:rPr>
                <w:rFonts w:cs="Calibri"/>
                <w:sz w:val="16"/>
                <w:szCs w:val="16"/>
              </w:rPr>
              <w:t>X</w:t>
            </w:r>
          </w:p>
        </w:tc>
        <w:tc>
          <w:tcPr>
            <w:tcW w:w="428" w:type="dxa"/>
          </w:tcPr>
          <w:p w14:paraId="2942D202" w14:textId="77777777" w:rsidR="002B04EB" w:rsidRPr="003F7F6C" w:rsidRDefault="002B04EB" w:rsidP="00B851B7">
            <w:r w:rsidRPr="003F7F6C">
              <w:rPr>
                <w:rFonts w:cs="Calibri"/>
                <w:sz w:val="16"/>
                <w:szCs w:val="16"/>
              </w:rPr>
              <w:t>X</w:t>
            </w:r>
          </w:p>
        </w:tc>
        <w:tc>
          <w:tcPr>
            <w:tcW w:w="428" w:type="dxa"/>
          </w:tcPr>
          <w:p w14:paraId="037F5A04" w14:textId="77777777" w:rsidR="002B04EB" w:rsidRPr="003F7F6C" w:rsidRDefault="002B04EB" w:rsidP="00B851B7">
            <w:r w:rsidRPr="003F7F6C">
              <w:rPr>
                <w:rFonts w:cs="Calibri"/>
                <w:sz w:val="16"/>
                <w:szCs w:val="16"/>
              </w:rPr>
              <w:t>X</w:t>
            </w:r>
          </w:p>
        </w:tc>
        <w:tc>
          <w:tcPr>
            <w:tcW w:w="428" w:type="dxa"/>
            <w:gridSpan w:val="2"/>
          </w:tcPr>
          <w:p w14:paraId="47AD0346" w14:textId="77777777" w:rsidR="002B04EB" w:rsidRPr="003F7F6C" w:rsidRDefault="002B04EB" w:rsidP="00B851B7">
            <w:r w:rsidRPr="003F7F6C">
              <w:rPr>
                <w:rFonts w:cs="Calibri"/>
                <w:sz w:val="16"/>
                <w:szCs w:val="16"/>
              </w:rPr>
              <w:t>X</w:t>
            </w:r>
          </w:p>
        </w:tc>
        <w:tc>
          <w:tcPr>
            <w:tcW w:w="428" w:type="dxa"/>
          </w:tcPr>
          <w:p w14:paraId="53637AA2" w14:textId="77777777" w:rsidR="002B04EB" w:rsidRPr="003F7F6C" w:rsidRDefault="002B04EB" w:rsidP="00B851B7">
            <w:r w:rsidRPr="003F7F6C">
              <w:rPr>
                <w:rFonts w:cs="Calibri"/>
                <w:sz w:val="16"/>
                <w:szCs w:val="16"/>
              </w:rPr>
              <w:t>X</w:t>
            </w:r>
          </w:p>
        </w:tc>
        <w:tc>
          <w:tcPr>
            <w:tcW w:w="428" w:type="dxa"/>
          </w:tcPr>
          <w:p w14:paraId="2A646967" w14:textId="77777777" w:rsidR="002B04EB" w:rsidRPr="003F7F6C" w:rsidRDefault="002B04EB" w:rsidP="00B851B7">
            <w:r w:rsidRPr="003F7F6C">
              <w:rPr>
                <w:rFonts w:cs="Calibri"/>
                <w:sz w:val="16"/>
                <w:szCs w:val="16"/>
              </w:rPr>
              <w:t>X</w:t>
            </w:r>
          </w:p>
        </w:tc>
        <w:tc>
          <w:tcPr>
            <w:tcW w:w="428" w:type="dxa"/>
          </w:tcPr>
          <w:p w14:paraId="692C5202" w14:textId="77777777" w:rsidR="002B04EB" w:rsidRPr="003F7F6C" w:rsidRDefault="002B04EB" w:rsidP="00B851B7">
            <w:r w:rsidRPr="003F7F6C">
              <w:rPr>
                <w:rFonts w:cs="Calibri"/>
                <w:sz w:val="16"/>
                <w:szCs w:val="16"/>
              </w:rPr>
              <w:t>X</w:t>
            </w:r>
          </w:p>
        </w:tc>
        <w:tc>
          <w:tcPr>
            <w:tcW w:w="428" w:type="dxa"/>
          </w:tcPr>
          <w:p w14:paraId="6452FC67" w14:textId="77777777" w:rsidR="002B04EB" w:rsidRPr="003F7F6C" w:rsidRDefault="002B04EB" w:rsidP="00B851B7">
            <w:r w:rsidRPr="003F7F6C">
              <w:rPr>
                <w:rFonts w:cs="Calibri"/>
                <w:sz w:val="16"/>
                <w:szCs w:val="16"/>
              </w:rPr>
              <w:t>X</w:t>
            </w:r>
          </w:p>
        </w:tc>
      </w:tr>
      <w:tr w:rsidR="002B04EB" w:rsidRPr="003F7F6C" w14:paraId="1C1FDABF" w14:textId="77777777" w:rsidTr="00B851B7">
        <w:tc>
          <w:tcPr>
            <w:tcW w:w="1668" w:type="dxa"/>
          </w:tcPr>
          <w:p w14:paraId="3732D672" w14:textId="77777777" w:rsidR="002B04EB" w:rsidRPr="003F7F6C" w:rsidRDefault="002B04EB" w:rsidP="00E91275">
            <w:pPr>
              <w:pStyle w:val="ListParagraph"/>
              <w:numPr>
                <w:ilvl w:val="0"/>
                <w:numId w:val="29"/>
              </w:numPr>
              <w:ind w:left="174" w:hanging="174"/>
              <w:rPr>
                <w:rFonts w:cs="Calibri"/>
                <w:sz w:val="16"/>
                <w:szCs w:val="16"/>
              </w:rPr>
            </w:pPr>
            <w:r w:rsidRPr="003F7F6C">
              <w:rPr>
                <w:rFonts w:cs="Calibri"/>
                <w:sz w:val="16"/>
                <w:szCs w:val="16"/>
              </w:rPr>
              <w:t>Soil conservation management in oasis-piedmont interface</w:t>
            </w:r>
          </w:p>
        </w:tc>
        <w:tc>
          <w:tcPr>
            <w:tcW w:w="1057" w:type="dxa"/>
          </w:tcPr>
          <w:p w14:paraId="3459B678" w14:textId="77777777" w:rsidR="002B04EB" w:rsidRPr="003F7F6C" w:rsidRDefault="002B04EB" w:rsidP="00B851B7">
            <w:pPr>
              <w:rPr>
                <w:rFonts w:cs="Calibri"/>
                <w:sz w:val="16"/>
                <w:szCs w:val="16"/>
              </w:rPr>
            </w:pPr>
            <w:r w:rsidRPr="003F7F6C">
              <w:rPr>
                <w:rFonts w:cs="Calibri"/>
                <w:sz w:val="16"/>
                <w:szCs w:val="16"/>
              </w:rPr>
              <w:t>SAOT</w:t>
            </w:r>
          </w:p>
          <w:p w14:paraId="70B9F860" w14:textId="77777777" w:rsidR="002B04EB" w:rsidRPr="003F7F6C" w:rsidRDefault="002B04EB" w:rsidP="00B851B7">
            <w:pPr>
              <w:rPr>
                <w:rFonts w:cs="Calibri"/>
                <w:sz w:val="16"/>
                <w:szCs w:val="16"/>
              </w:rPr>
            </w:pPr>
            <w:r w:rsidRPr="003F7F6C">
              <w:rPr>
                <w:rFonts w:cs="Calibri"/>
                <w:sz w:val="16"/>
                <w:szCs w:val="16"/>
              </w:rPr>
              <w:t>INTA</w:t>
            </w:r>
          </w:p>
        </w:tc>
        <w:tc>
          <w:tcPr>
            <w:tcW w:w="428" w:type="dxa"/>
          </w:tcPr>
          <w:p w14:paraId="297A7276" w14:textId="77777777" w:rsidR="002B04EB" w:rsidRPr="003F7F6C" w:rsidRDefault="002B04EB" w:rsidP="00B851B7"/>
        </w:tc>
        <w:tc>
          <w:tcPr>
            <w:tcW w:w="444" w:type="dxa"/>
          </w:tcPr>
          <w:p w14:paraId="5985EECF" w14:textId="77777777" w:rsidR="002B04EB" w:rsidRPr="003F7F6C" w:rsidRDefault="002B04EB" w:rsidP="00B851B7">
            <w:r w:rsidRPr="003F7F6C">
              <w:rPr>
                <w:rFonts w:cs="Calibri"/>
                <w:sz w:val="16"/>
                <w:szCs w:val="16"/>
              </w:rPr>
              <w:t>X</w:t>
            </w:r>
          </w:p>
        </w:tc>
        <w:tc>
          <w:tcPr>
            <w:tcW w:w="428" w:type="dxa"/>
          </w:tcPr>
          <w:p w14:paraId="02276228" w14:textId="77777777" w:rsidR="002B04EB" w:rsidRPr="003F7F6C" w:rsidRDefault="002B04EB" w:rsidP="00B851B7">
            <w:r w:rsidRPr="003F7F6C">
              <w:rPr>
                <w:rFonts w:cs="Calibri"/>
                <w:sz w:val="16"/>
                <w:szCs w:val="16"/>
              </w:rPr>
              <w:t>X</w:t>
            </w:r>
          </w:p>
        </w:tc>
        <w:tc>
          <w:tcPr>
            <w:tcW w:w="428" w:type="dxa"/>
            <w:gridSpan w:val="2"/>
          </w:tcPr>
          <w:p w14:paraId="3BED3BAC" w14:textId="77777777" w:rsidR="002B04EB" w:rsidRPr="003F7F6C" w:rsidRDefault="002B04EB" w:rsidP="00B851B7">
            <w:r w:rsidRPr="003F7F6C">
              <w:rPr>
                <w:rFonts w:cs="Calibri"/>
                <w:sz w:val="16"/>
                <w:szCs w:val="16"/>
              </w:rPr>
              <w:t>X</w:t>
            </w:r>
          </w:p>
        </w:tc>
        <w:tc>
          <w:tcPr>
            <w:tcW w:w="428" w:type="dxa"/>
          </w:tcPr>
          <w:p w14:paraId="17171699" w14:textId="77777777" w:rsidR="002B04EB" w:rsidRPr="003F7F6C" w:rsidRDefault="002B04EB" w:rsidP="00B851B7">
            <w:r w:rsidRPr="003F7F6C">
              <w:rPr>
                <w:rFonts w:cs="Calibri"/>
                <w:sz w:val="16"/>
                <w:szCs w:val="16"/>
              </w:rPr>
              <w:t>X</w:t>
            </w:r>
          </w:p>
        </w:tc>
        <w:tc>
          <w:tcPr>
            <w:tcW w:w="427" w:type="dxa"/>
          </w:tcPr>
          <w:p w14:paraId="6BCA9F48" w14:textId="77777777" w:rsidR="002B04EB" w:rsidRPr="003F7F6C" w:rsidRDefault="002B04EB" w:rsidP="00B851B7">
            <w:r w:rsidRPr="003F7F6C">
              <w:rPr>
                <w:rFonts w:cs="Calibri"/>
                <w:sz w:val="16"/>
                <w:szCs w:val="16"/>
              </w:rPr>
              <w:t>X</w:t>
            </w:r>
          </w:p>
        </w:tc>
        <w:tc>
          <w:tcPr>
            <w:tcW w:w="427" w:type="dxa"/>
          </w:tcPr>
          <w:p w14:paraId="574D73BB" w14:textId="77777777" w:rsidR="002B04EB" w:rsidRPr="003F7F6C" w:rsidRDefault="002B04EB" w:rsidP="00B851B7">
            <w:r w:rsidRPr="003F7F6C">
              <w:rPr>
                <w:rFonts w:cs="Calibri"/>
                <w:sz w:val="16"/>
                <w:szCs w:val="16"/>
              </w:rPr>
              <w:t>X</w:t>
            </w:r>
          </w:p>
        </w:tc>
        <w:tc>
          <w:tcPr>
            <w:tcW w:w="427" w:type="dxa"/>
            <w:gridSpan w:val="2"/>
          </w:tcPr>
          <w:p w14:paraId="515DC066" w14:textId="77777777" w:rsidR="002B04EB" w:rsidRPr="003F7F6C" w:rsidRDefault="002B04EB" w:rsidP="00B851B7">
            <w:r w:rsidRPr="003F7F6C">
              <w:rPr>
                <w:rFonts w:cs="Calibri"/>
                <w:sz w:val="16"/>
                <w:szCs w:val="16"/>
              </w:rPr>
              <w:t>X</w:t>
            </w:r>
          </w:p>
        </w:tc>
        <w:tc>
          <w:tcPr>
            <w:tcW w:w="428" w:type="dxa"/>
          </w:tcPr>
          <w:p w14:paraId="14AADF60" w14:textId="77777777" w:rsidR="002B04EB" w:rsidRPr="003F7F6C" w:rsidRDefault="002B04EB" w:rsidP="00B851B7">
            <w:r w:rsidRPr="003F7F6C">
              <w:rPr>
                <w:rFonts w:cs="Calibri"/>
                <w:sz w:val="16"/>
                <w:szCs w:val="16"/>
              </w:rPr>
              <w:t>X</w:t>
            </w:r>
          </w:p>
        </w:tc>
        <w:tc>
          <w:tcPr>
            <w:tcW w:w="428" w:type="dxa"/>
          </w:tcPr>
          <w:p w14:paraId="7A4822F0" w14:textId="77777777" w:rsidR="002B04EB" w:rsidRPr="003F7F6C" w:rsidRDefault="002B04EB" w:rsidP="00B851B7">
            <w:r w:rsidRPr="003F7F6C">
              <w:rPr>
                <w:rFonts w:cs="Calibri"/>
                <w:sz w:val="16"/>
                <w:szCs w:val="16"/>
              </w:rPr>
              <w:t>X</w:t>
            </w:r>
          </w:p>
        </w:tc>
        <w:tc>
          <w:tcPr>
            <w:tcW w:w="428" w:type="dxa"/>
          </w:tcPr>
          <w:p w14:paraId="3C7152D0" w14:textId="77777777" w:rsidR="002B04EB" w:rsidRPr="003F7F6C" w:rsidRDefault="002B04EB" w:rsidP="00B851B7">
            <w:r w:rsidRPr="003F7F6C">
              <w:rPr>
                <w:rFonts w:cs="Calibri"/>
                <w:sz w:val="16"/>
                <w:szCs w:val="16"/>
              </w:rPr>
              <w:t>X</w:t>
            </w:r>
          </w:p>
        </w:tc>
        <w:tc>
          <w:tcPr>
            <w:tcW w:w="428" w:type="dxa"/>
            <w:gridSpan w:val="2"/>
          </w:tcPr>
          <w:p w14:paraId="6282D8B1" w14:textId="77777777" w:rsidR="002B04EB" w:rsidRPr="003F7F6C" w:rsidRDefault="002B04EB" w:rsidP="00B851B7">
            <w:r w:rsidRPr="003F7F6C">
              <w:rPr>
                <w:rFonts w:cs="Calibri"/>
                <w:sz w:val="16"/>
                <w:szCs w:val="16"/>
              </w:rPr>
              <w:t>X</w:t>
            </w:r>
          </w:p>
        </w:tc>
        <w:tc>
          <w:tcPr>
            <w:tcW w:w="428" w:type="dxa"/>
          </w:tcPr>
          <w:p w14:paraId="50BFE40D" w14:textId="77777777" w:rsidR="002B04EB" w:rsidRPr="003F7F6C" w:rsidRDefault="002B04EB" w:rsidP="00B851B7">
            <w:r w:rsidRPr="003F7F6C">
              <w:rPr>
                <w:rFonts w:cs="Calibri"/>
                <w:sz w:val="16"/>
                <w:szCs w:val="16"/>
              </w:rPr>
              <w:t>X</w:t>
            </w:r>
          </w:p>
        </w:tc>
        <w:tc>
          <w:tcPr>
            <w:tcW w:w="428" w:type="dxa"/>
          </w:tcPr>
          <w:p w14:paraId="6C9CBA2F" w14:textId="77777777" w:rsidR="002B04EB" w:rsidRPr="003F7F6C" w:rsidRDefault="002B04EB" w:rsidP="00B851B7">
            <w:r w:rsidRPr="003F7F6C">
              <w:rPr>
                <w:rFonts w:cs="Calibri"/>
                <w:sz w:val="16"/>
                <w:szCs w:val="16"/>
              </w:rPr>
              <w:t>X</w:t>
            </w:r>
          </w:p>
        </w:tc>
        <w:tc>
          <w:tcPr>
            <w:tcW w:w="428" w:type="dxa"/>
          </w:tcPr>
          <w:p w14:paraId="539F99C1" w14:textId="77777777" w:rsidR="002B04EB" w:rsidRPr="003F7F6C" w:rsidRDefault="002B04EB" w:rsidP="00B851B7">
            <w:r w:rsidRPr="003F7F6C">
              <w:rPr>
                <w:rFonts w:cs="Calibri"/>
                <w:sz w:val="16"/>
                <w:szCs w:val="16"/>
              </w:rPr>
              <w:t>X</w:t>
            </w:r>
          </w:p>
        </w:tc>
        <w:tc>
          <w:tcPr>
            <w:tcW w:w="428" w:type="dxa"/>
            <w:gridSpan w:val="2"/>
          </w:tcPr>
          <w:p w14:paraId="2CDA648B" w14:textId="77777777" w:rsidR="002B04EB" w:rsidRPr="003F7F6C" w:rsidRDefault="002B04EB" w:rsidP="00B851B7">
            <w:r w:rsidRPr="003F7F6C">
              <w:rPr>
                <w:rFonts w:cs="Calibri"/>
                <w:sz w:val="16"/>
                <w:szCs w:val="16"/>
              </w:rPr>
              <w:t>X</w:t>
            </w:r>
          </w:p>
        </w:tc>
        <w:tc>
          <w:tcPr>
            <w:tcW w:w="428" w:type="dxa"/>
          </w:tcPr>
          <w:p w14:paraId="515003C2" w14:textId="77777777" w:rsidR="002B04EB" w:rsidRPr="003F7F6C" w:rsidRDefault="002B04EB" w:rsidP="00B851B7">
            <w:r w:rsidRPr="003F7F6C">
              <w:rPr>
                <w:rFonts w:cs="Calibri"/>
                <w:sz w:val="16"/>
                <w:szCs w:val="16"/>
              </w:rPr>
              <w:t>X</w:t>
            </w:r>
          </w:p>
        </w:tc>
        <w:tc>
          <w:tcPr>
            <w:tcW w:w="428" w:type="dxa"/>
          </w:tcPr>
          <w:p w14:paraId="05AD0C76" w14:textId="77777777" w:rsidR="002B04EB" w:rsidRPr="003F7F6C" w:rsidRDefault="002B04EB" w:rsidP="00B851B7">
            <w:r w:rsidRPr="003F7F6C">
              <w:rPr>
                <w:rFonts w:cs="Calibri"/>
                <w:sz w:val="16"/>
                <w:szCs w:val="16"/>
              </w:rPr>
              <w:t>X</w:t>
            </w:r>
          </w:p>
        </w:tc>
        <w:tc>
          <w:tcPr>
            <w:tcW w:w="428" w:type="dxa"/>
          </w:tcPr>
          <w:p w14:paraId="5AC3BC52" w14:textId="77777777" w:rsidR="002B04EB" w:rsidRPr="003F7F6C" w:rsidRDefault="002B04EB" w:rsidP="00B851B7">
            <w:r w:rsidRPr="003F7F6C">
              <w:rPr>
                <w:rFonts w:cs="Calibri"/>
                <w:sz w:val="16"/>
                <w:szCs w:val="16"/>
              </w:rPr>
              <w:t>X</w:t>
            </w:r>
          </w:p>
        </w:tc>
        <w:tc>
          <w:tcPr>
            <w:tcW w:w="428" w:type="dxa"/>
            <w:gridSpan w:val="2"/>
          </w:tcPr>
          <w:p w14:paraId="221C6B22" w14:textId="77777777" w:rsidR="002B04EB" w:rsidRPr="003F7F6C" w:rsidRDefault="002B04EB" w:rsidP="00B851B7">
            <w:r w:rsidRPr="003F7F6C">
              <w:rPr>
                <w:rFonts w:cs="Calibri"/>
                <w:sz w:val="16"/>
                <w:szCs w:val="16"/>
              </w:rPr>
              <w:t>X</w:t>
            </w:r>
          </w:p>
        </w:tc>
        <w:tc>
          <w:tcPr>
            <w:tcW w:w="428" w:type="dxa"/>
          </w:tcPr>
          <w:p w14:paraId="3746CCEC" w14:textId="77777777" w:rsidR="002B04EB" w:rsidRPr="003F7F6C" w:rsidRDefault="002B04EB" w:rsidP="00B851B7">
            <w:pPr>
              <w:rPr>
                <w:rFonts w:cs="Calibri"/>
                <w:sz w:val="16"/>
                <w:szCs w:val="16"/>
              </w:rPr>
            </w:pPr>
          </w:p>
        </w:tc>
        <w:tc>
          <w:tcPr>
            <w:tcW w:w="428" w:type="dxa"/>
          </w:tcPr>
          <w:p w14:paraId="32303DD8" w14:textId="77777777" w:rsidR="002B04EB" w:rsidRPr="003F7F6C" w:rsidRDefault="002B04EB" w:rsidP="00B851B7">
            <w:pPr>
              <w:rPr>
                <w:rFonts w:cs="Calibri"/>
                <w:sz w:val="16"/>
                <w:szCs w:val="16"/>
              </w:rPr>
            </w:pPr>
          </w:p>
        </w:tc>
        <w:tc>
          <w:tcPr>
            <w:tcW w:w="428" w:type="dxa"/>
          </w:tcPr>
          <w:p w14:paraId="7FC16593" w14:textId="77777777" w:rsidR="002B04EB" w:rsidRPr="003F7F6C" w:rsidRDefault="002B04EB" w:rsidP="00B851B7">
            <w:pPr>
              <w:rPr>
                <w:rFonts w:cs="Calibri"/>
                <w:sz w:val="16"/>
                <w:szCs w:val="16"/>
              </w:rPr>
            </w:pPr>
          </w:p>
        </w:tc>
        <w:tc>
          <w:tcPr>
            <w:tcW w:w="428" w:type="dxa"/>
          </w:tcPr>
          <w:p w14:paraId="3962BE00" w14:textId="77777777" w:rsidR="002B04EB" w:rsidRPr="003F7F6C" w:rsidRDefault="002B04EB" w:rsidP="00B851B7">
            <w:pPr>
              <w:rPr>
                <w:rFonts w:cs="Calibri"/>
                <w:sz w:val="16"/>
                <w:szCs w:val="16"/>
              </w:rPr>
            </w:pPr>
          </w:p>
        </w:tc>
      </w:tr>
      <w:tr w:rsidR="002B04EB" w:rsidRPr="003F7F6C" w14:paraId="396B8269" w14:textId="77777777" w:rsidTr="00B851B7">
        <w:tc>
          <w:tcPr>
            <w:tcW w:w="1668" w:type="dxa"/>
          </w:tcPr>
          <w:p w14:paraId="0D179593" w14:textId="77777777" w:rsidR="002B04EB" w:rsidRPr="003F7F6C" w:rsidRDefault="002B04EB" w:rsidP="00E91275">
            <w:pPr>
              <w:pStyle w:val="ListParagraph"/>
              <w:numPr>
                <w:ilvl w:val="0"/>
                <w:numId w:val="29"/>
              </w:numPr>
              <w:ind w:left="174" w:hanging="174"/>
              <w:rPr>
                <w:rFonts w:cs="Calibri"/>
                <w:sz w:val="16"/>
                <w:szCs w:val="16"/>
              </w:rPr>
            </w:pPr>
            <w:r w:rsidRPr="003F7F6C">
              <w:rPr>
                <w:rFonts w:cs="Calibri"/>
                <w:sz w:val="16"/>
                <w:szCs w:val="16"/>
              </w:rPr>
              <w:t>BD connectivity in agroecosystems</w:t>
            </w:r>
          </w:p>
        </w:tc>
        <w:tc>
          <w:tcPr>
            <w:tcW w:w="1057" w:type="dxa"/>
          </w:tcPr>
          <w:p w14:paraId="5CD1E71E" w14:textId="77777777" w:rsidR="002B04EB" w:rsidRPr="003F7F6C" w:rsidRDefault="002B04EB" w:rsidP="00B851B7">
            <w:pPr>
              <w:rPr>
                <w:rFonts w:cs="Calibri"/>
                <w:sz w:val="16"/>
                <w:szCs w:val="16"/>
              </w:rPr>
            </w:pPr>
            <w:r w:rsidRPr="003F7F6C">
              <w:rPr>
                <w:rFonts w:cs="Calibri"/>
                <w:sz w:val="16"/>
                <w:szCs w:val="16"/>
              </w:rPr>
              <w:t>SAOT</w:t>
            </w:r>
          </w:p>
          <w:p w14:paraId="7B9C4502" w14:textId="77777777" w:rsidR="002B04EB" w:rsidRPr="003F7F6C" w:rsidRDefault="002B04EB" w:rsidP="00B851B7">
            <w:pPr>
              <w:rPr>
                <w:rFonts w:cs="Calibri"/>
                <w:sz w:val="16"/>
                <w:szCs w:val="16"/>
              </w:rPr>
            </w:pPr>
            <w:r w:rsidRPr="003F7F6C">
              <w:rPr>
                <w:rFonts w:cs="Calibri"/>
                <w:sz w:val="16"/>
                <w:szCs w:val="16"/>
              </w:rPr>
              <w:t>INTA</w:t>
            </w:r>
          </w:p>
        </w:tc>
        <w:tc>
          <w:tcPr>
            <w:tcW w:w="428" w:type="dxa"/>
          </w:tcPr>
          <w:p w14:paraId="35105922" w14:textId="77777777" w:rsidR="002B04EB" w:rsidRPr="003F7F6C" w:rsidRDefault="002B04EB" w:rsidP="00B851B7"/>
        </w:tc>
        <w:tc>
          <w:tcPr>
            <w:tcW w:w="444" w:type="dxa"/>
          </w:tcPr>
          <w:p w14:paraId="4F384D7C" w14:textId="77777777" w:rsidR="002B04EB" w:rsidRPr="003F7F6C" w:rsidRDefault="002B04EB" w:rsidP="00B851B7">
            <w:r w:rsidRPr="003F7F6C">
              <w:rPr>
                <w:rFonts w:cs="Calibri"/>
                <w:sz w:val="16"/>
                <w:szCs w:val="16"/>
              </w:rPr>
              <w:t>X</w:t>
            </w:r>
          </w:p>
        </w:tc>
        <w:tc>
          <w:tcPr>
            <w:tcW w:w="428" w:type="dxa"/>
          </w:tcPr>
          <w:p w14:paraId="3E01699C" w14:textId="77777777" w:rsidR="002B04EB" w:rsidRPr="003F7F6C" w:rsidRDefault="002B04EB" w:rsidP="00B851B7">
            <w:r w:rsidRPr="003F7F6C">
              <w:rPr>
                <w:rFonts w:cs="Calibri"/>
                <w:sz w:val="16"/>
                <w:szCs w:val="16"/>
              </w:rPr>
              <w:t>X</w:t>
            </w:r>
          </w:p>
        </w:tc>
        <w:tc>
          <w:tcPr>
            <w:tcW w:w="428" w:type="dxa"/>
            <w:gridSpan w:val="2"/>
          </w:tcPr>
          <w:p w14:paraId="573D5E29" w14:textId="77777777" w:rsidR="002B04EB" w:rsidRPr="003F7F6C" w:rsidRDefault="002B04EB" w:rsidP="00B851B7">
            <w:r w:rsidRPr="003F7F6C">
              <w:rPr>
                <w:rFonts w:cs="Calibri"/>
                <w:sz w:val="16"/>
                <w:szCs w:val="16"/>
              </w:rPr>
              <w:t>X</w:t>
            </w:r>
          </w:p>
        </w:tc>
        <w:tc>
          <w:tcPr>
            <w:tcW w:w="428" w:type="dxa"/>
          </w:tcPr>
          <w:p w14:paraId="68523896" w14:textId="77777777" w:rsidR="002B04EB" w:rsidRPr="003F7F6C" w:rsidRDefault="002B04EB" w:rsidP="00B851B7">
            <w:r w:rsidRPr="003F7F6C">
              <w:rPr>
                <w:rFonts w:cs="Calibri"/>
                <w:sz w:val="16"/>
                <w:szCs w:val="16"/>
              </w:rPr>
              <w:t>X</w:t>
            </w:r>
          </w:p>
        </w:tc>
        <w:tc>
          <w:tcPr>
            <w:tcW w:w="427" w:type="dxa"/>
          </w:tcPr>
          <w:p w14:paraId="3551CFB3" w14:textId="77777777" w:rsidR="002B04EB" w:rsidRPr="003F7F6C" w:rsidRDefault="002B04EB" w:rsidP="00B851B7">
            <w:r w:rsidRPr="003F7F6C">
              <w:rPr>
                <w:rFonts w:cs="Calibri"/>
                <w:sz w:val="16"/>
                <w:szCs w:val="16"/>
              </w:rPr>
              <w:t>X</w:t>
            </w:r>
          </w:p>
        </w:tc>
        <w:tc>
          <w:tcPr>
            <w:tcW w:w="427" w:type="dxa"/>
          </w:tcPr>
          <w:p w14:paraId="1E99CD83" w14:textId="77777777" w:rsidR="002B04EB" w:rsidRPr="003F7F6C" w:rsidRDefault="002B04EB" w:rsidP="00B851B7">
            <w:r w:rsidRPr="003F7F6C">
              <w:rPr>
                <w:rFonts w:cs="Calibri"/>
                <w:sz w:val="16"/>
                <w:szCs w:val="16"/>
              </w:rPr>
              <w:t>X</w:t>
            </w:r>
          </w:p>
        </w:tc>
        <w:tc>
          <w:tcPr>
            <w:tcW w:w="427" w:type="dxa"/>
            <w:gridSpan w:val="2"/>
          </w:tcPr>
          <w:p w14:paraId="0D6DD902" w14:textId="77777777" w:rsidR="002B04EB" w:rsidRPr="003F7F6C" w:rsidRDefault="002B04EB" w:rsidP="00B851B7">
            <w:r w:rsidRPr="003F7F6C">
              <w:rPr>
                <w:rFonts w:cs="Calibri"/>
                <w:sz w:val="16"/>
                <w:szCs w:val="16"/>
              </w:rPr>
              <w:t>X</w:t>
            </w:r>
          </w:p>
        </w:tc>
        <w:tc>
          <w:tcPr>
            <w:tcW w:w="428" w:type="dxa"/>
          </w:tcPr>
          <w:p w14:paraId="4A2AE0F7" w14:textId="77777777" w:rsidR="002B04EB" w:rsidRPr="003F7F6C" w:rsidRDefault="002B04EB" w:rsidP="00B851B7">
            <w:r w:rsidRPr="003F7F6C">
              <w:rPr>
                <w:rFonts w:cs="Calibri"/>
                <w:sz w:val="16"/>
                <w:szCs w:val="16"/>
              </w:rPr>
              <w:t>X</w:t>
            </w:r>
          </w:p>
        </w:tc>
        <w:tc>
          <w:tcPr>
            <w:tcW w:w="428" w:type="dxa"/>
          </w:tcPr>
          <w:p w14:paraId="6A054942" w14:textId="77777777" w:rsidR="002B04EB" w:rsidRPr="003F7F6C" w:rsidRDefault="002B04EB" w:rsidP="00B851B7">
            <w:r w:rsidRPr="003F7F6C">
              <w:rPr>
                <w:rFonts w:cs="Calibri"/>
                <w:sz w:val="16"/>
                <w:szCs w:val="16"/>
              </w:rPr>
              <w:t>X</w:t>
            </w:r>
          </w:p>
        </w:tc>
        <w:tc>
          <w:tcPr>
            <w:tcW w:w="428" w:type="dxa"/>
          </w:tcPr>
          <w:p w14:paraId="67D84789" w14:textId="77777777" w:rsidR="002B04EB" w:rsidRPr="003F7F6C" w:rsidRDefault="002B04EB" w:rsidP="00B851B7">
            <w:r w:rsidRPr="003F7F6C">
              <w:rPr>
                <w:rFonts w:cs="Calibri"/>
                <w:sz w:val="16"/>
                <w:szCs w:val="16"/>
              </w:rPr>
              <w:t>X</w:t>
            </w:r>
          </w:p>
        </w:tc>
        <w:tc>
          <w:tcPr>
            <w:tcW w:w="428" w:type="dxa"/>
            <w:gridSpan w:val="2"/>
          </w:tcPr>
          <w:p w14:paraId="6F3D3573" w14:textId="77777777" w:rsidR="002B04EB" w:rsidRPr="003F7F6C" w:rsidRDefault="002B04EB" w:rsidP="00B851B7">
            <w:r w:rsidRPr="003F7F6C">
              <w:rPr>
                <w:rFonts w:cs="Calibri"/>
                <w:sz w:val="16"/>
                <w:szCs w:val="16"/>
              </w:rPr>
              <w:t>X</w:t>
            </w:r>
          </w:p>
        </w:tc>
        <w:tc>
          <w:tcPr>
            <w:tcW w:w="428" w:type="dxa"/>
          </w:tcPr>
          <w:p w14:paraId="1A385F16" w14:textId="77777777" w:rsidR="002B04EB" w:rsidRPr="003F7F6C" w:rsidRDefault="002B04EB" w:rsidP="00B851B7">
            <w:pPr>
              <w:rPr>
                <w:rFonts w:cs="Calibri"/>
                <w:sz w:val="16"/>
                <w:szCs w:val="16"/>
              </w:rPr>
            </w:pPr>
          </w:p>
        </w:tc>
        <w:tc>
          <w:tcPr>
            <w:tcW w:w="428" w:type="dxa"/>
          </w:tcPr>
          <w:p w14:paraId="7FA48E74" w14:textId="77777777" w:rsidR="002B04EB" w:rsidRPr="003F7F6C" w:rsidRDefault="002B04EB" w:rsidP="00B851B7">
            <w:pPr>
              <w:rPr>
                <w:rFonts w:cs="Calibri"/>
                <w:sz w:val="16"/>
                <w:szCs w:val="16"/>
              </w:rPr>
            </w:pPr>
          </w:p>
        </w:tc>
        <w:tc>
          <w:tcPr>
            <w:tcW w:w="428" w:type="dxa"/>
          </w:tcPr>
          <w:p w14:paraId="66F9F292" w14:textId="77777777" w:rsidR="002B04EB" w:rsidRPr="003F7F6C" w:rsidRDefault="002B04EB" w:rsidP="00B851B7">
            <w:pPr>
              <w:rPr>
                <w:rFonts w:cs="Calibri"/>
                <w:sz w:val="16"/>
                <w:szCs w:val="16"/>
              </w:rPr>
            </w:pPr>
          </w:p>
        </w:tc>
        <w:tc>
          <w:tcPr>
            <w:tcW w:w="428" w:type="dxa"/>
            <w:gridSpan w:val="2"/>
          </w:tcPr>
          <w:p w14:paraId="1DDBC3C0" w14:textId="77777777" w:rsidR="002B04EB" w:rsidRPr="003F7F6C" w:rsidRDefault="002B04EB" w:rsidP="00B851B7">
            <w:pPr>
              <w:rPr>
                <w:rFonts w:cs="Calibri"/>
                <w:sz w:val="16"/>
                <w:szCs w:val="16"/>
              </w:rPr>
            </w:pPr>
          </w:p>
        </w:tc>
        <w:tc>
          <w:tcPr>
            <w:tcW w:w="428" w:type="dxa"/>
          </w:tcPr>
          <w:p w14:paraId="12F16822" w14:textId="77777777" w:rsidR="002B04EB" w:rsidRPr="003F7F6C" w:rsidRDefault="002B04EB" w:rsidP="00B851B7">
            <w:pPr>
              <w:rPr>
                <w:rFonts w:cs="Calibri"/>
                <w:sz w:val="16"/>
                <w:szCs w:val="16"/>
              </w:rPr>
            </w:pPr>
          </w:p>
        </w:tc>
        <w:tc>
          <w:tcPr>
            <w:tcW w:w="428" w:type="dxa"/>
          </w:tcPr>
          <w:p w14:paraId="5234897D" w14:textId="77777777" w:rsidR="002B04EB" w:rsidRPr="003F7F6C" w:rsidRDefault="002B04EB" w:rsidP="00B851B7">
            <w:pPr>
              <w:rPr>
                <w:rFonts w:cs="Calibri"/>
                <w:sz w:val="16"/>
                <w:szCs w:val="16"/>
              </w:rPr>
            </w:pPr>
          </w:p>
        </w:tc>
        <w:tc>
          <w:tcPr>
            <w:tcW w:w="428" w:type="dxa"/>
          </w:tcPr>
          <w:p w14:paraId="448B4F89" w14:textId="77777777" w:rsidR="002B04EB" w:rsidRPr="003F7F6C" w:rsidRDefault="002B04EB" w:rsidP="00B851B7">
            <w:pPr>
              <w:rPr>
                <w:rFonts w:cs="Calibri"/>
                <w:sz w:val="16"/>
                <w:szCs w:val="16"/>
              </w:rPr>
            </w:pPr>
          </w:p>
        </w:tc>
        <w:tc>
          <w:tcPr>
            <w:tcW w:w="428" w:type="dxa"/>
            <w:gridSpan w:val="2"/>
          </w:tcPr>
          <w:p w14:paraId="2F770D6B" w14:textId="77777777" w:rsidR="002B04EB" w:rsidRPr="003F7F6C" w:rsidRDefault="002B04EB" w:rsidP="00B851B7">
            <w:r w:rsidRPr="003F7F6C">
              <w:rPr>
                <w:rFonts w:cs="Calibri"/>
                <w:sz w:val="16"/>
                <w:szCs w:val="16"/>
              </w:rPr>
              <w:t>X</w:t>
            </w:r>
          </w:p>
        </w:tc>
        <w:tc>
          <w:tcPr>
            <w:tcW w:w="428" w:type="dxa"/>
          </w:tcPr>
          <w:p w14:paraId="054A82C3" w14:textId="77777777" w:rsidR="002B04EB" w:rsidRPr="003F7F6C" w:rsidRDefault="002B04EB" w:rsidP="00B851B7">
            <w:r w:rsidRPr="003F7F6C">
              <w:rPr>
                <w:rFonts w:cs="Calibri"/>
                <w:sz w:val="16"/>
                <w:szCs w:val="16"/>
              </w:rPr>
              <w:t>X</w:t>
            </w:r>
          </w:p>
        </w:tc>
        <w:tc>
          <w:tcPr>
            <w:tcW w:w="428" w:type="dxa"/>
          </w:tcPr>
          <w:p w14:paraId="168731DB" w14:textId="77777777" w:rsidR="002B04EB" w:rsidRPr="003F7F6C" w:rsidRDefault="002B04EB" w:rsidP="00B851B7">
            <w:pPr>
              <w:rPr>
                <w:rFonts w:cs="Calibri"/>
                <w:sz w:val="16"/>
                <w:szCs w:val="16"/>
              </w:rPr>
            </w:pPr>
          </w:p>
        </w:tc>
        <w:tc>
          <w:tcPr>
            <w:tcW w:w="428" w:type="dxa"/>
          </w:tcPr>
          <w:p w14:paraId="5B906F2E" w14:textId="77777777" w:rsidR="002B04EB" w:rsidRPr="003F7F6C" w:rsidRDefault="002B04EB" w:rsidP="00B851B7">
            <w:pPr>
              <w:rPr>
                <w:rFonts w:cs="Calibri"/>
                <w:sz w:val="16"/>
                <w:szCs w:val="16"/>
              </w:rPr>
            </w:pPr>
          </w:p>
        </w:tc>
        <w:tc>
          <w:tcPr>
            <w:tcW w:w="428" w:type="dxa"/>
          </w:tcPr>
          <w:p w14:paraId="4F0622A2" w14:textId="77777777" w:rsidR="002B04EB" w:rsidRPr="003F7F6C" w:rsidRDefault="002B04EB" w:rsidP="00B851B7">
            <w:pPr>
              <w:rPr>
                <w:rFonts w:cs="Calibri"/>
                <w:sz w:val="16"/>
                <w:szCs w:val="16"/>
              </w:rPr>
            </w:pPr>
          </w:p>
        </w:tc>
      </w:tr>
      <w:tr w:rsidR="002B04EB" w:rsidRPr="003F7F6C" w14:paraId="0778F943" w14:textId="77777777" w:rsidTr="00B851B7">
        <w:tc>
          <w:tcPr>
            <w:tcW w:w="1668" w:type="dxa"/>
          </w:tcPr>
          <w:p w14:paraId="6C76BCA6" w14:textId="77777777" w:rsidR="002B04EB" w:rsidRPr="003F7F6C" w:rsidRDefault="002B04EB" w:rsidP="00E91275">
            <w:pPr>
              <w:pStyle w:val="ListParagraph"/>
              <w:numPr>
                <w:ilvl w:val="0"/>
                <w:numId w:val="29"/>
              </w:numPr>
              <w:ind w:left="174" w:hanging="174"/>
              <w:rPr>
                <w:rFonts w:cs="Calibri"/>
                <w:sz w:val="16"/>
                <w:szCs w:val="16"/>
              </w:rPr>
            </w:pPr>
            <w:r w:rsidRPr="003F7F6C">
              <w:rPr>
                <w:rFonts w:cs="Calibri"/>
                <w:sz w:val="16"/>
                <w:szCs w:val="16"/>
              </w:rPr>
              <w:t>Promotion of functional BD in agroecosystems</w:t>
            </w:r>
          </w:p>
        </w:tc>
        <w:tc>
          <w:tcPr>
            <w:tcW w:w="1057" w:type="dxa"/>
          </w:tcPr>
          <w:p w14:paraId="22302996" w14:textId="77777777" w:rsidR="002B04EB" w:rsidRPr="003F7F6C" w:rsidRDefault="002B04EB" w:rsidP="00B851B7">
            <w:pPr>
              <w:rPr>
                <w:rFonts w:cs="Calibri"/>
                <w:sz w:val="16"/>
                <w:szCs w:val="16"/>
              </w:rPr>
            </w:pPr>
            <w:r w:rsidRPr="003F7F6C">
              <w:rPr>
                <w:rFonts w:cs="Calibri"/>
                <w:sz w:val="16"/>
                <w:szCs w:val="16"/>
              </w:rPr>
              <w:t>SAOT</w:t>
            </w:r>
          </w:p>
          <w:p w14:paraId="2CB82DF2" w14:textId="77777777" w:rsidR="002B04EB" w:rsidRPr="003F7F6C" w:rsidRDefault="002B04EB" w:rsidP="00B851B7">
            <w:pPr>
              <w:rPr>
                <w:rFonts w:cs="Calibri"/>
                <w:sz w:val="16"/>
                <w:szCs w:val="16"/>
              </w:rPr>
            </w:pPr>
            <w:r w:rsidRPr="003F7F6C">
              <w:rPr>
                <w:rFonts w:cs="Calibri"/>
                <w:sz w:val="16"/>
                <w:szCs w:val="16"/>
              </w:rPr>
              <w:t>INTA</w:t>
            </w:r>
          </w:p>
        </w:tc>
        <w:tc>
          <w:tcPr>
            <w:tcW w:w="428" w:type="dxa"/>
          </w:tcPr>
          <w:p w14:paraId="30C75736" w14:textId="77777777" w:rsidR="002B04EB" w:rsidRPr="003F7F6C" w:rsidRDefault="002B04EB" w:rsidP="00B851B7">
            <w:pPr>
              <w:rPr>
                <w:rFonts w:cs="Calibri"/>
                <w:sz w:val="16"/>
                <w:szCs w:val="16"/>
              </w:rPr>
            </w:pPr>
          </w:p>
        </w:tc>
        <w:tc>
          <w:tcPr>
            <w:tcW w:w="444" w:type="dxa"/>
          </w:tcPr>
          <w:p w14:paraId="6A69723B" w14:textId="77777777" w:rsidR="002B04EB" w:rsidRPr="003F7F6C" w:rsidRDefault="002B04EB" w:rsidP="00B851B7">
            <w:pPr>
              <w:rPr>
                <w:rFonts w:cs="Calibri"/>
                <w:sz w:val="16"/>
                <w:szCs w:val="16"/>
              </w:rPr>
            </w:pPr>
          </w:p>
        </w:tc>
        <w:tc>
          <w:tcPr>
            <w:tcW w:w="428" w:type="dxa"/>
          </w:tcPr>
          <w:p w14:paraId="6A502370" w14:textId="77777777" w:rsidR="002B04EB" w:rsidRPr="003F7F6C" w:rsidRDefault="002B04EB" w:rsidP="00B851B7">
            <w:pPr>
              <w:rPr>
                <w:rFonts w:cs="Calibri"/>
                <w:sz w:val="16"/>
                <w:szCs w:val="16"/>
              </w:rPr>
            </w:pPr>
          </w:p>
        </w:tc>
        <w:tc>
          <w:tcPr>
            <w:tcW w:w="428" w:type="dxa"/>
            <w:gridSpan w:val="2"/>
          </w:tcPr>
          <w:p w14:paraId="1F6C7002" w14:textId="77777777" w:rsidR="002B04EB" w:rsidRPr="003F7F6C" w:rsidRDefault="002B04EB" w:rsidP="00B851B7">
            <w:pPr>
              <w:rPr>
                <w:rFonts w:cs="Calibri"/>
                <w:sz w:val="16"/>
                <w:szCs w:val="16"/>
              </w:rPr>
            </w:pPr>
          </w:p>
        </w:tc>
        <w:tc>
          <w:tcPr>
            <w:tcW w:w="428" w:type="dxa"/>
          </w:tcPr>
          <w:p w14:paraId="1E11BAEB" w14:textId="77777777" w:rsidR="002B04EB" w:rsidRPr="003F7F6C" w:rsidRDefault="002B04EB" w:rsidP="00B851B7">
            <w:pPr>
              <w:rPr>
                <w:rFonts w:cs="Calibri"/>
                <w:sz w:val="16"/>
                <w:szCs w:val="16"/>
              </w:rPr>
            </w:pPr>
          </w:p>
        </w:tc>
        <w:tc>
          <w:tcPr>
            <w:tcW w:w="427" w:type="dxa"/>
          </w:tcPr>
          <w:p w14:paraId="293C9A12" w14:textId="77777777" w:rsidR="002B04EB" w:rsidRPr="003F7F6C" w:rsidRDefault="002B04EB" w:rsidP="00B851B7">
            <w:pPr>
              <w:rPr>
                <w:rFonts w:cs="Calibri"/>
                <w:sz w:val="16"/>
                <w:szCs w:val="16"/>
              </w:rPr>
            </w:pPr>
          </w:p>
        </w:tc>
        <w:tc>
          <w:tcPr>
            <w:tcW w:w="427" w:type="dxa"/>
          </w:tcPr>
          <w:p w14:paraId="14EF7012" w14:textId="77777777" w:rsidR="002B04EB" w:rsidRPr="003F7F6C" w:rsidRDefault="002B04EB" w:rsidP="00B851B7">
            <w:pPr>
              <w:rPr>
                <w:rFonts w:cs="Calibri"/>
                <w:sz w:val="16"/>
                <w:szCs w:val="16"/>
              </w:rPr>
            </w:pPr>
          </w:p>
        </w:tc>
        <w:tc>
          <w:tcPr>
            <w:tcW w:w="427" w:type="dxa"/>
            <w:gridSpan w:val="2"/>
          </w:tcPr>
          <w:p w14:paraId="40AB199D" w14:textId="77777777" w:rsidR="002B04EB" w:rsidRPr="003F7F6C" w:rsidRDefault="002B04EB" w:rsidP="00B851B7">
            <w:pPr>
              <w:rPr>
                <w:rFonts w:cs="Calibri"/>
                <w:sz w:val="16"/>
                <w:szCs w:val="16"/>
              </w:rPr>
            </w:pPr>
          </w:p>
        </w:tc>
        <w:tc>
          <w:tcPr>
            <w:tcW w:w="428" w:type="dxa"/>
          </w:tcPr>
          <w:p w14:paraId="7F0262EA" w14:textId="77777777" w:rsidR="002B04EB" w:rsidRPr="003F7F6C" w:rsidRDefault="002B04EB" w:rsidP="00B851B7">
            <w:pPr>
              <w:rPr>
                <w:rFonts w:cs="Calibri"/>
                <w:sz w:val="16"/>
                <w:szCs w:val="16"/>
              </w:rPr>
            </w:pPr>
          </w:p>
        </w:tc>
        <w:tc>
          <w:tcPr>
            <w:tcW w:w="428" w:type="dxa"/>
          </w:tcPr>
          <w:p w14:paraId="1999A4C5" w14:textId="77777777" w:rsidR="002B04EB" w:rsidRPr="003F7F6C" w:rsidRDefault="002B04EB" w:rsidP="00B851B7">
            <w:pPr>
              <w:rPr>
                <w:rFonts w:cs="Calibri"/>
                <w:sz w:val="16"/>
                <w:szCs w:val="16"/>
              </w:rPr>
            </w:pPr>
          </w:p>
        </w:tc>
        <w:tc>
          <w:tcPr>
            <w:tcW w:w="428" w:type="dxa"/>
          </w:tcPr>
          <w:p w14:paraId="3652D37D" w14:textId="77777777" w:rsidR="002B04EB" w:rsidRPr="003F7F6C" w:rsidRDefault="002B04EB" w:rsidP="00B851B7">
            <w:pPr>
              <w:rPr>
                <w:rFonts w:cs="Calibri"/>
                <w:sz w:val="16"/>
                <w:szCs w:val="16"/>
              </w:rPr>
            </w:pPr>
          </w:p>
        </w:tc>
        <w:tc>
          <w:tcPr>
            <w:tcW w:w="428" w:type="dxa"/>
            <w:gridSpan w:val="2"/>
          </w:tcPr>
          <w:p w14:paraId="2288258C" w14:textId="77777777" w:rsidR="002B04EB" w:rsidRPr="003F7F6C" w:rsidRDefault="002B04EB" w:rsidP="00B851B7">
            <w:r w:rsidRPr="003F7F6C">
              <w:rPr>
                <w:rFonts w:cs="Calibri"/>
                <w:sz w:val="16"/>
                <w:szCs w:val="16"/>
              </w:rPr>
              <w:t>X</w:t>
            </w:r>
          </w:p>
        </w:tc>
        <w:tc>
          <w:tcPr>
            <w:tcW w:w="428" w:type="dxa"/>
          </w:tcPr>
          <w:p w14:paraId="5C153C1B" w14:textId="77777777" w:rsidR="002B04EB" w:rsidRPr="003F7F6C" w:rsidRDefault="002B04EB" w:rsidP="00B851B7">
            <w:r w:rsidRPr="003F7F6C">
              <w:rPr>
                <w:rFonts w:cs="Calibri"/>
                <w:sz w:val="16"/>
                <w:szCs w:val="16"/>
              </w:rPr>
              <w:t>X</w:t>
            </w:r>
          </w:p>
        </w:tc>
        <w:tc>
          <w:tcPr>
            <w:tcW w:w="428" w:type="dxa"/>
          </w:tcPr>
          <w:p w14:paraId="35AFC641" w14:textId="77777777" w:rsidR="002B04EB" w:rsidRPr="003F7F6C" w:rsidRDefault="002B04EB" w:rsidP="00B851B7">
            <w:r w:rsidRPr="003F7F6C">
              <w:rPr>
                <w:rFonts w:cs="Calibri"/>
                <w:sz w:val="16"/>
                <w:szCs w:val="16"/>
              </w:rPr>
              <w:t>X</w:t>
            </w:r>
          </w:p>
        </w:tc>
        <w:tc>
          <w:tcPr>
            <w:tcW w:w="428" w:type="dxa"/>
          </w:tcPr>
          <w:p w14:paraId="33557B6A" w14:textId="77777777" w:rsidR="002B04EB" w:rsidRPr="003F7F6C" w:rsidRDefault="002B04EB" w:rsidP="00B851B7">
            <w:r w:rsidRPr="003F7F6C">
              <w:rPr>
                <w:rFonts w:cs="Calibri"/>
                <w:sz w:val="16"/>
                <w:szCs w:val="16"/>
              </w:rPr>
              <w:t>X</w:t>
            </w:r>
          </w:p>
        </w:tc>
        <w:tc>
          <w:tcPr>
            <w:tcW w:w="428" w:type="dxa"/>
            <w:gridSpan w:val="2"/>
          </w:tcPr>
          <w:p w14:paraId="716C5624" w14:textId="77777777" w:rsidR="002B04EB" w:rsidRPr="003F7F6C" w:rsidRDefault="002B04EB" w:rsidP="00B851B7">
            <w:r w:rsidRPr="003F7F6C">
              <w:rPr>
                <w:rFonts w:cs="Calibri"/>
                <w:sz w:val="16"/>
                <w:szCs w:val="16"/>
              </w:rPr>
              <w:t>X</w:t>
            </w:r>
          </w:p>
        </w:tc>
        <w:tc>
          <w:tcPr>
            <w:tcW w:w="428" w:type="dxa"/>
          </w:tcPr>
          <w:p w14:paraId="64318B9A" w14:textId="77777777" w:rsidR="002B04EB" w:rsidRPr="003F7F6C" w:rsidRDefault="002B04EB" w:rsidP="00B851B7">
            <w:r w:rsidRPr="003F7F6C">
              <w:rPr>
                <w:rFonts w:cs="Calibri"/>
                <w:sz w:val="16"/>
                <w:szCs w:val="16"/>
              </w:rPr>
              <w:t>X</w:t>
            </w:r>
          </w:p>
        </w:tc>
        <w:tc>
          <w:tcPr>
            <w:tcW w:w="428" w:type="dxa"/>
          </w:tcPr>
          <w:p w14:paraId="5BC57BC5" w14:textId="77777777" w:rsidR="002B04EB" w:rsidRPr="003F7F6C" w:rsidRDefault="002B04EB" w:rsidP="00B851B7">
            <w:r w:rsidRPr="003F7F6C">
              <w:rPr>
                <w:rFonts w:cs="Calibri"/>
                <w:sz w:val="16"/>
                <w:szCs w:val="16"/>
              </w:rPr>
              <w:t>X</w:t>
            </w:r>
          </w:p>
        </w:tc>
        <w:tc>
          <w:tcPr>
            <w:tcW w:w="428" w:type="dxa"/>
          </w:tcPr>
          <w:p w14:paraId="422A12D4" w14:textId="77777777" w:rsidR="002B04EB" w:rsidRPr="003F7F6C" w:rsidRDefault="002B04EB" w:rsidP="00B851B7">
            <w:r w:rsidRPr="003F7F6C">
              <w:rPr>
                <w:rFonts w:cs="Calibri"/>
                <w:sz w:val="16"/>
                <w:szCs w:val="16"/>
              </w:rPr>
              <w:t>X</w:t>
            </w:r>
          </w:p>
        </w:tc>
        <w:tc>
          <w:tcPr>
            <w:tcW w:w="428" w:type="dxa"/>
            <w:gridSpan w:val="2"/>
          </w:tcPr>
          <w:p w14:paraId="632115D2" w14:textId="77777777" w:rsidR="002B04EB" w:rsidRPr="003F7F6C" w:rsidRDefault="002B04EB" w:rsidP="00B851B7">
            <w:r w:rsidRPr="003F7F6C">
              <w:rPr>
                <w:rFonts w:cs="Calibri"/>
                <w:sz w:val="16"/>
                <w:szCs w:val="16"/>
              </w:rPr>
              <w:t>X</w:t>
            </w:r>
          </w:p>
        </w:tc>
        <w:tc>
          <w:tcPr>
            <w:tcW w:w="428" w:type="dxa"/>
          </w:tcPr>
          <w:p w14:paraId="074F0C15" w14:textId="77777777" w:rsidR="002B04EB" w:rsidRPr="003F7F6C" w:rsidRDefault="002B04EB" w:rsidP="00B851B7">
            <w:r w:rsidRPr="003F7F6C">
              <w:rPr>
                <w:rFonts w:cs="Calibri"/>
                <w:sz w:val="16"/>
                <w:szCs w:val="16"/>
              </w:rPr>
              <w:t>X</w:t>
            </w:r>
          </w:p>
        </w:tc>
        <w:tc>
          <w:tcPr>
            <w:tcW w:w="428" w:type="dxa"/>
          </w:tcPr>
          <w:p w14:paraId="7E8F3F97" w14:textId="77777777" w:rsidR="002B04EB" w:rsidRPr="003F7F6C" w:rsidRDefault="002B04EB" w:rsidP="00B851B7">
            <w:r w:rsidRPr="003F7F6C">
              <w:rPr>
                <w:rFonts w:cs="Calibri"/>
                <w:sz w:val="16"/>
                <w:szCs w:val="16"/>
              </w:rPr>
              <w:t>X</w:t>
            </w:r>
          </w:p>
        </w:tc>
        <w:tc>
          <w:tcPr>
            <w:tcW w:w="428" w:type="dxa"/>
          </w:tcPr>
          <w:p w14:paraId="58878C60" w14:textId="77777777" w:rsidR="002B04EB" w:rsidRPr="003F7F6C" w:rsidRDefault="002B04EB" w:rsidP="00B851B7">
            <w:r w:rsidRPr="003F7F6C">
              <w:rPr>
                <w:rFonts w:cs="Calibri"/>
                <w:sz w:val="16"/>
                <w:szCs w:val="16"/>
              </w:rPr>
              <w:t>X</w:t>
            </w:r>
          </w:p>
        </w:tc>
        <w:tc>
          <w:tcPr>
            <w:tcW w:w="428" w:type="dxa"/>
          </w:tcPr>
          <w:p w14:paraId="632116EA" w14:textId="77777777" w:rsidR="002B04EB" w:rsidRPr="003F7F6C" w:rsidRDefault="002B04EB" w:rsidP="00B851B7">
            <w:r w:rsidRPr="003F7F6C">
              <w:rPr>
                <w:rFonts w:cs="Calibri"/>
                <w:sz w:val="16"/>
                <w:szCs w:val="16"/>
              </w:rPr>
              <w:t>X</w:t>
            </w:r>
          </w:p>
        </w:tc>
      </w:tr>
      <w:tr w:rsidR="002B04EB" w:rsidRPr="003F7F6C" w14:paraId="592F0C38" w14:textId="77777777" w:rsidTr="00B851B7">
        <w:tc>
          <w:tcPr>
            <w:tcW w:w="1668" w:type="dxa"/>
          </w:tcPr>
          <w:p w14:paraId="46FF222E" w14:textId="77777777" w:rsidR="002B04EB" w:rsidRPr="003F7F6C" w:rsidRDefault="002B04EB" w:rsidP="00B851B7">
            <w:pPr>
              <w:rPr>
                <w:rFonts w:cs="Calibri"/>
                <w:sz w:val="16"/>
                <w:szCs w:val="16"/>
              </w:rPr>
            </w:pPr>
            <w:r w:rsidRPr="003F7F6C">
              <w:rPr>
                <w:rFonts w:cs="Calibri"/>
                <w:sz w:val="16"/>
                <w:szCs w:val="16"/>
              </w:rPr>
              <w:t>2.4.4 Sustainable production of goats</w:t>
            </w:r>
          </w:p>
        </w:tc>
        <w:tc>
          <w:tcPr>
            <w:tcW w:w="1057" w:type="dxa"/>
          </w:tcPr>
          <w:p w14:paraId="44CF2A4F" w14:textId="77777777" w:rsidR="002B04EB" w:rsidRPr="003F7F6C" w:rsidRDefault="002B04EB" w:rsidP="00B851B7">
            <w:pPr>
              <w:rPr>
                <w:rFonts w:cs="Calibri"/>
                <w:sz w:val="16"/>
                <w:szCs w:val="16"/>
              </w:rPr>
            </w:pPr>
            <w:r w:rsidRPr="003F7F6C">
              <w:rPr>
                <w:rFonts w:cs="Calibri"/>
                <w:sz w:val="16"/>
                <w:szCs w:val="16"/>
              </w:rPr>
              <w:t>SAOT</w:t>
            </w:r>
          </w:p>
          <w:p w14:paraId="5A96EC3E" w14:textId="77777777" w:rsidR="002B04EB" w:rsidRPr="003F7F6C" w:rsidRDefault="002B04EB" w:rsidP="00B851B7">
            <w:pPr>
              <w:rPr>
                <w:rFonts w:cs="Calibri"/>
                <w:sz w:val="16"/>
                <w:szCs w:val="16"/>
              </w:rPr>
            </w:pPr>
            <w:r w:rsidRPr="003F7F6C">
              <w:rPr>
                <w:rFonts w:cs="Calibri"/>
                <w:sz w:val="16"/>
                <w:szCs w:val="16"/>
              </w:rPr>
              <w:t>INTA</w:t>
            </w:r>
          </w:p>
        </w:tc>
        <w:tc>
          <w:tcPr>
            <w:tcW w:w="428" w:type="dxa"/>
          </w:tcPr>
          <w:p w14:paraId="6AF1F4AA" w14:textId="77777777" w:rsidR="002B04EB" w:rsidRPr="003F7F6C" w:rsidRDefault="002B04EB" w:rsidP="00B851B7">
            <w:pPr>
              <w:rPr>
                <w:rFonts w:cs="Calibri"/>
                <w:sz w:val="16"/>
                <w:szCs w:val="16"/>
              </w:rPr>
            </w:pPr>
          </w:p>
        </w:tc>
        <w:tc>
          <w:tcPr>
            <w:tcW w:w="444" w:type="dxa"/>
          </w:tcPr>
          <w:p w14:paraId="5F441E68" w14:textId="77777777" w:rsidR="002B04EB" w:rsidRPr="003F7F6C" w:rsidRDefault="002B04EB" w:rsidP="00B851B7">
            <w:pPr>
              <w:rPr>
                <w:rFonts w:cs="Calibri"/>
                <w:sz w:val="16"/>
                <w:szCs w:val="16"/>
              </w:rPr>
            </w:pPr>
          </w:p>
        </w:tc>
        <w:tc>
          <w:tcPr>
            <w:tcW w:w="428" w:type="dxa"/>
          </w:tcPr>
          <w:p w14:paraId="534F7756" w14:textId="77777777" w:rsidR="002B04EB" w:rsidRPr="003F7F6C" w:rsidRDefault="002B04EB" w:rsidP="00B851B7">
            <w:pPr>
              <w:rPr>
                <w:rFonts w:cs="Calibri"/>
                <w:sz w:val="16"/>
                <w:szCs w:val="16"/>
              </w:rPr>
            </w:pPr>
          </w:p>
        </w:tc>
        <w:tc>
          <w:tcPr>
            <w:tcW w:w="428" w:type="dxa"/>
            <w:gridSpan w:val="2"/>
          </w:tcPr>
          <w:p w14:paraId="2AA20C3D" w14:textId="77777777" w:rsidR="002B04EB" w:rsidRPr="003F7F6C" w:rsidRDefault="002B04EB" w:rsidP="00B851B7">
            <w:pPr>
              <w:rPr>
                <w:rFonts w:cs="Calibri"/>
                <w:sz w:val="16"/>
                <w:szCs w:val="16"/>
              </w:rPr>
            </w:pPr>
          </w:p>
        </w:tc>
        <w:tc>
          <w:tcPr>
            <w:tcW w:w="428" w:type="dxa"/>
          </w:tcPr>
          <w:p w14:paraId="25BC4C84" w14:textId="77777777" w:rsidR="002B04EB" w:rsidRPr="003F7F6C" w:rsidRDefault="002B04EB" w:rsidP="00B851B7">
            <w:r w:rsidRPr="003F7F6C">
              <w:rPr>
                <w:rFonts w:cs="Calibri"/>
                <w:sz w:val="16"/>
                <w:szCs w:val="16"/>
              </w:rPr>
              <w:t>X</w:t>
            </w:r>
          </w:p>
        </w:tc>
        <w:tc>
          <w:tcPr>
            <w:tcW w:w="427" w:type="dxa"/>
          </w:tcPr>
          <w:p w14:paraId="43D01AF3" w14:textId="77777777" w:rsidR="002B04EB" w:rsidRPr="003F7F6C" w:rsidRDefault="002B04EB" w:rsidP="00B851B7">
            <w:r w:rsidRPr="003F7F6C">
              <w:rPr>
                <w:rFonts w:cs="Calibri"/>
                <w:sz w:val="16"/>
                <w:szCs w:val="16"/>
              </w:rPr>
              <w:t>X</w:t>
            </w:r>
          </w:p>
        </w:tc>
        <w:tc>
          <w:tcPr>
            <w:tcW w:w="427" w:type="dxa"/>
          </w:tcPr>
          <w:p w14:paraId="21A6C28E" w14:textId="77777777" w:rsidR="002B04EB" w:rsidRPr="003F7F6C" w:rsidRDefault="002B04EB" w:rsidP="00B851B7">
            <w:r w:rsidRPr="003F7F6C">
              <w:rPr>
                <w:rFonts w:cs="Calibri"/>
                <w:sz w:val="16"/>
                <w:szCs w:val="16"/>
              </w:rPr>
              <w:t>X</w:t>
            </w:r>
          </w:p>
        </w:tc>
        <w:tc>
          <w:tcPr>
            <w:tcW w:w="427" w:type="dxa"/>
            <w:gridSpan w:val="2"/>
          </w:tcPr>
          <w:p w14:paraId="1582991B" w14:textId="77777777" w:rsidR="002B04EB" w:rsidRPr="003F7F6C" w:rsidRDefault="002B04EB" w:rsidP="00B851B7">
            <w:r w:rsidRPr="003F7F6C">
              <w:rPr>
                <w:rFonts w:cs="Calibri"/>
                <w:sz w:val="16"/>
                <w:szCs w:val="16"/>
              </w:rPr>
              <w:t>X</w:t>
            </w:r>
          </w:p>
        </w:tc>
        <w:tc>
          <w:tcPr>
            <w:tcW w:w="428" w:type="dxa"/>
          </w:tcPr>
          <w:p w14:paraId="4E385A47" w14:textId="77777777" w:rsidR="002B04EB" w:rsidRPr="003F7F6C" w:rsidRDefault="002B04EB" w:rsidP="00B851B7">
            <w:r w:rsidRPr="003F7F6C">
              <w:rPr>
                <w:rFonts w:cs="Calibri"/>
                <w:sz w:val="16"/>
                <w:szCs w:val="16"/>
              </w:rPr>
              <w:t>X</w:t>
            </w:r>
          </w:p>
        </w:tc>
        <w:tc>
          <w:tcPr>
            <w:tcW w:w="428" w:type="dxa"/>
          </w:tcPr>
          <w:p w14:paraId="62EC3BD8" w14:textId="77777777" w:rsidR="002B04EB" w:rsidRPr="003F7F6C" w:rsidRDefault="002B04EB" w:rsidP="00B851B7">
            <w:r w:rsidRPr="003F7F6C">
              <w:rPr>
                <w:rFonts w:cs="Calibri"/>
                <w:sz w:val="16"/>
                <w:szCs w:val="16"/>
              </w:rPr>
              <w:t>X</w:t>
            </w:r>
          </w:p>
        </w:tc>
        <w:tc>
          <w:tcPr>
            <w:tcW w:w="428" w:type="dxa"/>
          </w:tcPr>
          <w:p w14:paraId="1BC0B672" w14:textId="77777777" w:rsidR="002B04EB" w:rsidRPr="003F7F6C" w:rsidRDefault="002B04EB" w:rsidP="00B851B7">
            <w:r w:rsidRPr="003F7F6C">
              <w:rPr>
                <w:rFonts w:cs="Calibri"/>
                <w:sz w:val="16"/>
                <w:szCs w:val="16"/>
              </w:rPr>
              <w:t>X</w:t>
            </w:r>
          </w:p>
        </w:tc>
        <w:tc>
          <w:tcPr>
            <w:tcW w:w="428" w:type="dxa"/>
            <w:gridSpan w:val="2"/>
          </w:tcPr>
          <w:p w14:paraId="4B23F93F" w14:textId="77777777" w:rsidR="002B04EB" w:rsidRPr="003F7F6C" w:rsidRDefault="002B04EB" w:rsidP="00B851B7">
            <w:r w:rsidRPr="003F7F6C">
              <w:rPr>
                <w:rFonts w:cs="Calibri"/>
                <w:sz w:val="16"/>
                <w:szCs w:val="16"/>
              </w:rPr>
              <w:t>X</w:t>
            </w:r>
          </w:p>
        </w:tc>
        <w:tc>
          <w:tcPr>
            <w:tcW w:w="428" w:type="dxa"/>
          </w:tcPr>
          <w:p w14:paraId="3E1DCAD1" w14:textId="77777777" w:rsidR="002B04EB" w:rsidRPr="003F7F6C" w:rsidRDefault="002B04EB" w:rsidP="00B851B7">
            <w:r w:rsidRPr="003F7F6C">
              <w:rPr>
                <w:rFonts w:cs="Calibri"/>
                <w:sz w:val="16"/>
                <w:szCs w:val="16"/>
              </w:rPr>
              <w:t>X</w:t>
            </w:r>
          </w:p>
        </w:tc>
        <w:tc>
          <w:tcPr>
            <w:tcW w:w="428" w:type="dxa"/>
          </w:tcPr>
          <w:p w14:paraId="17FA811B" w14:textId="77777777" w:rsidR="002B04EB" w:rsidRPr="003F7F6C" w:rsidRDefault="002B04EB" w:rsidP="00B851B7">
            <w:r w:rsidRPr="003F7F6C">
              <w:rPr>
                <w:rFonts w:cs="Calibri"/>
                <w:sz w:val="16"/>
                <w:szCs w:val="16"/>
              </w:rPr>
              <w:t>X</w:t>
            </w:r>
          </w:p>
        </w:tc>
        <w:tc>
          <w:tcPr>
            <w:tcW w:w="428" w:type="dxa"/>
          </w:tcPr>
          <w:p w14:paraId="00379FBC" w14:textId="77777777" w:rsidR="002B04EB" w:rsidRPr="003F7F6C" w:rsidRDefault="002B04EB" w:rsidP="00B851B7">
            <w:r w:rsidRPr="003F7F6C">
              <w:rPr>
                <w:rFonts w:cs="Calibri"/>
                <w:sz w:val="16"/>
                <w:szCs w:val="16"/>
              </w:rPr>
              <w:t>X</w:t>
            </w:r>
          </w:p>
        </w:tc>
        <w:tc>
          <w:tcPr>
            <w:tcW w:w="428" w:type="dxa"/>
            <w:gridSpan w:val="2"/>
          </w:tcPr>
          <w:p w14:paraId="70F7A83D" w14:textId="77777777" w:rsidR="002B04EB" w:rsidRPr="003F7F6C" w:rsidRDefault="002B04EB" w:rsidP="00B851B7">
            <w:r w:rsidRPr="003F7F6C">
              <w:rPr>
                <w:rFonts w:cs="Calibri"/>
                <w:sz w:val="16"/>
                <w:szCs w:val="16"/>
              </w:rPr>
              <w:t>X</w:t>
            </w:r>
          </w:p>
        </w:tc>
        <w:tc>
          <w:tcPr>
            <w:tcW w:w="428" w:type="dxa"/>
          </w:tcPr>
          <w:p w14:paraId="67FE2E29" w14:textId="77777777" w:rsidR="002B04EB" w:rsidRPr="003F7F6C" w:rsidRDefault="002B04EB" w:rsidP="00B851B7">
            <w:r w:rsidRPr="003F7F6C">
              <w:rPr>
                <w:rFonts w:cs="Calibri"/>
                <w:sz w:val="16"/>
                <w:szCs w:val="16"/>
              </w:rPr>
              <w:t>X</w:t>
            </w:r>
          </w:p>
        </w:tc>
        <w:tc>
          <w:tcPr>
            <w:tcW w:w="428" w:type="dxa"/>
          </w:tcPr>
          <w:p w14:paraId="1D3DC8D1" w14:textId="77777777" w:rsidR="002B04EB" w:rsidRPr="003F7F6C" w:rsidRDefault="002B04EB" w:rsidP="00B851B7">
            <w:r w:rsidRPr="003F7F6C">
              <w:rPr>
                <w:rFonts w:cs="Calibri"/>
                <w:sz w:val="16"/>
                <w:szCs w:val="16"/>
              </w:rPr>
              <w:t>X</w:t>
            </w:r>
          </w:p>
        </w:tc>
        <w:tc>
          <w:tcPr>
            <w:tcW w:w="428" w:type="dxa"/>
          </w:tcPr>
          <w:p w14:paraId="664DBF4F" w14:textId="77777777" w:rsidR="002B04EB" w:rsidRPr="003F7F6C" w:rsidRDefault="002B04EB" w:rsidP="00B851B7">
            <w:r w:rsidRPr="003F7F6C">
              <w:rPr>
                <w:rFonts w:cs="Calibri"/>
                <w:sz w:val="16"/>
                <w:szCs w:val="16"/>
              </w:rPr>
              <w:t>X</w:t>
            </w:r>
          </w:p>
        </w:tc>
        <w:tc>
          <w:tcPr>
            <w:tcW w:w="428" w:type="dxa"/>
            <w:gridSpan w:val="2"/>
          </w:tcPr>
          <w:p w14:paraId="4FB11B2E" w14:textId="77777777" w:rsidR="002B04EB" w:rsidRPr="003F7F6C" w:rsidRDefault="002B04EB" w:rsidP="00B851B7">
            <w:r w:rsidRPr="003F7F6C">
              <w:rPr>
                <w:rFonts w:cs="Calibri"/>
                <w:sz w:val="16"/>
                <w:szCs w:val="16"/>
              </w:rPr>
              <w:t>X</w:t>
            </w:r>
          </w:p>
        </w:tc>
        <w:tc>
          <w:tcPr>
            <w:tcW w:w="428" w:type="dxa"/>
          </w:tcPr>
          <w:p w14:paraId="586C999D" w14:textId="77777777" w:rsidR="002B04EB" w:rsidRPr="003F7F6C" w:rsidRDefault="002B04EB" w:rsidP="00B851B7">
            <w:r w:rsidRPr="003F7F6C">
              <w:rPr>
                <w:rFonts w:cs="Calibri"/>
                <w:sz w:val="16"/>
                <w:szCs w:val="16"/>
              </w:rPr>
              <w:t>X</w:t>
            </w:r>
          </w:p>
        </w:tc>
        <w:tc>
          <w:tcPr>
            <w:tcW w:w="428" w:type="dxa"/>
          </w:tcPr>
          <w:p w14:paraId="594DF712" w14:textId="77777777" w:rsidR="002B04EB" w:rsidRPr="003F7F6C" w:rsidRDefault="002B04EB" w:rsidP="00B851B7">
            <w:r w:rsidRPr="003F7F6C">
              <w:rPr>
                <w:rFonts w:cs="Calibri"/>
                <w:sz w:val="16"/>
                <w:szCs w:val="16"/>
              </w:rPr>
              <w:t>X</w:t>
            </w:r>
          </w:p>
        </w:tc>
        <w:tc>
          <w:tcPr>
            <w:tcW w:w="428" w:type="dxa"/>
          </w:tcPr>
          <w:p w14:paraId="1F0C61FB" w14:textId="77777777" w:rsidR="002B04EB" w:rsidRPr="003F7F6C" w:rsidRDefault="002B04EB" w:rsidP="00B851B7">
            <w:r w:rsidRPr="003F7F6C">
              <w:rPr>
                <w:rFonts w:cs="Calibri"/>
                <w:sz w:val="16"/>
                <w:szCs w:val="16"/>
              </w:rPr>
              <w:t>X</w:t>
            </w:r>
          </w:p>
        </w:tc>
        <w:tc>
          <w:tcPr>
            <w:tcW w:w="428" w:type="dxa"/>
          </w:tcPr>
          <w:p w14:paraId="39179800" w14:textId="77777777" w:rsidR="002B04EB" w:rsidRPr="003F7F6C" w:rsidRDefault="002B04EB" w:rsidP="00B851B7">
            <w:r w:rsidRPr="003F7F6C">
              <w:rPr>
                <w:rFonts w:cs="Calibri"/>
                <w:sz w:val="16"/>
                <w:szCs w:val="16"/>
              </w:rPr>
              <w:t>X</w:t>
            </w:r>
          </w:p>
        </w:tc>
      </w:tr>
      <w:tr w:rsidR="002B04EB" w:rsidRPr="003F7F6C" w14:paraId="4FBD43E2" w14:textId="77777777" w:rsidTr="002B04EB">
        <w:tc>
          <w:tcPr>
            <w:tcW w:w="13010" w:type="dxa"/>
            <w:gridSpan w:val="31"/>
            <w:shd w:val="clear" w:color="auto" w:fill="B4C6E7"/>
          </w:tcPr>
          <w:p w14:paraId="7CF4A079" w14:textId="260B399B" w:rsidR="002B04EB" w:rsidRPr="003F7F6C" w:rsidRDefault="002B04EB" w:rsidP="00B851B7">
            <w:pPr>
              <w:pStyle w:val="ListParagraph"/>
              <w:tabs>
                <w:tab w:val="left" w:pos="426"/>
              </w:tabs>
              <w:spacing w:after="0"/>
              <w:ind w:left="0"/>
              <w:contextualSpacing w:val="0"/>
              <w:rPr>
                <w:rFonts w:eastAsia="Times New Roman" w:cs="Calibri"/>
                <w:i/>
                <w:sz w:val="16"/>
                <w:szCs w:val="16"/>
                <w:lang w:eastAsia="es-ES_tradnl"/>
              </w:rPr>
            </w:pPr>
            <w:r w:rsidRPr="003F7F6C">
              <w:rPr>
                <w:rFonts w:eastAsia="Times New Roman" w:cs="Calibri"/>
                <w:i/>
                <w:sz w:val="16"/>
                <w:szCs w:val="16"/>
                <w:lang w:eastAsia="es-ES_tradnl"/>
              </w:rPr>
              <w:t xml:space="preserve">Output 3.1 </w:t>
            </w:r>
            <w:r w:rsidRPr="003F7F6C">
              <w:rPr>
                <w:rFonts w:eastAsia="Times New Roman" w:cs="Calibri"/>
                <w:bCs/>
                <w:i/>
                <w:sz w:val="16"/>
                <w:szCs w:val="16"/>
                <w:lang w:eastAsia="es-ES_tradnl"/>
              </w:rPr>
              <w:t xml:space="preserve">Nationwide ELUP experiences and related instruments evaluated </w:t>
            </w:r>
            <w:r w:rsidRPr="003F7F6C">
              <w:rPr>
                <w:rFonts w:eastAsia="Times New Roman" w:cs="Calibri"/>
                <w:i/>
                <w:sz w:val="16"/>
                <w:szCs w:val="16"/>
                <w:lang w:eastAsia="es-ES_tradnl"/>
              </w:rPr>
              <w:t xml:space="preserve">as an input to determine the best mix of instruments for different </w:t>
            </w:r>
            <w:r w:rsidR="009C53FC" w:rsidRPr="003F7F6C">
              <w:rPr>
                <w:rFonts w:eastAsia="Times New Roman" w:cs="Calibri"/>
                <w:i/>
                <w:sz w:val="16"/>
                <w:szCs w:val="16"/>
                <w:lang w:eastAsia="es-ES_tradnl"/>
              </w:rPr>
              <w:t>productive sectors</w:t>
            </w:r>
            <w:r w:rsidRPr="003F7F6C">
              <w:rPr>
                <w:rFonts w:eastAsia="Times New Roman" w:cs="Calibri"/>
                <w:i/>
                <w:sz w:val="16"/>
                <w:szCs w:val="16"/>
                <w:lang w:eastAsia="es-ES_tradnl"/>
              </w:rPr>
              <w:t xml:space="preserve"> and ecoregion</w:t>
            </w:r>
            <w:r w:rsidR="009C53FC" w:rsidRPr="003F7F6C">
              <w:rPr>
                <w:rFonts w:eastAsia="Times New Roman" w:cs="Calibri"/>
                <w:i/>
                <w:sz w:val="16"/>
                <w:szCs w:val="16"/>
                <w:lang w:eastAsia="es-ES_tradnl"/>
              </w:rPr>
              <w:t>s</w:t>
            </w:r>
          </w:p>
        </w:tc>
      </w:tr>
      <w:tr w:rsidR="002B04EB" w:rsidRPr="003F7F6C" w14:paraId="0D2F1591" w14:textId="77777777" w:rsidTr="00B851B7">
        <w:tc>
          <w:tcPr>
            <w:tcW w:w="1668" w:type="dxa"/>
          </w:tcPr>
          <w:p w14:paraId="2AE20DBE" w14:textId="77777777" w:rsidR="002B04EB" w:rsidRPr="003F7F6C" w:rsidRDefault="002B04EB" w:rsidP="00B851B7">
            <w:pPr>
              <w:rPr>
                <w:rFonts w:cs="Calibri"/>
                <w:sz w:val="16"/>
                <w:szCs w:val="16"/>
              </w:rPr>
            </w:pPr>
            <w:r w:rsidRPr="003F7F6C">
              <w:rPr>
                <w:rFonts w:cs="Calibri"/>
                <w:sz w:val="16"/>
                <w:szCs w:val="16"/>
              </w:rPr>
              <w:t>3.1.1 Assessment of instruments, plans, programs and projects for BD, LD, SLM, ELUP in non-pilot provinces</w:t>
            </w:r>
          </w:p>
        </w:tc>
        <w:tc>
          <w:tcPr>
            <w:tcW w:w="1057" w:type="dxa"/>
          </w:tcPr>
          <w:p w14:paraId="3D36074B" w14:textId="77777777" w:rsidR="002B04EB" w:rsidRPr="003F7F6C" w:rsidRDefault="002B04EB" w:rsidP="00B851B7">
            <w:pPr>
              <w:rPr>
                <w:rFonts w:cs="Calibri"/>
                <w:sz w:val="16"/>
                <w:szCs w:val="16"/>
              </w:rPr>
            </w:pPr>
            <w:r w:rsidRPr="003F7F6C">
              <w:rPr>
                <w:rFonts w:cs="Calibri"/>
                <w:sz w:val="16"/>
                <w:szCs w:val="16"/>
              </w:rPr>
              <w:t>SGAyDS</w:t>
            </w:r>
          </w:p>
        </w:tc>
        <w:tc>
          <w:tcPr>
            <w:tcW w:w="428" w:type="dxa"/>
          </w:tcPr>
          <w:p w14:paraId="5CC296D8" w14:textId="77777777" w:rsidR="002B04EB" w:rsidRPr="003F7F6C" w:rsidRDefault="002B04EB" w:rsidP="00B851B7">
            <w:pPr>
              <w:rPr>
                <w:rFonts w:cs="Calibri"/>
                <w:sz w:val="16"/>
                <w:szCs w:val="16"/>
              </w:rPr>
            </w:pPr>
          </w:p>
        </w:tc>
        <w:tc>
          <w:tcPr>
            <w:tcW w:w="444" w:type="dxa"/>
          </w:tcPr>
          <w:p w14:paraId="3021CB10" w14:textId="77777777" w:rsidR="002B04EB" w:rsidRPr="003F7F6C" w:rsidRDefault="002B04EB" w:rsidP="00B851B7">
            <w:pPr>
              <w:rPr>
                <w:rFonts w:cs="Calibri"/>
                <w:sz w:val="16"/>
                <w:szCs w:val="16"/>
              </w:rPr>
            </w:pPr>
          </w:p>
        </w:tc>
        <w:tc>
          <w:tcPr>
            <w:tcW w:w="428" w:type="dxa"/>
          </w:tcPr>
          <w:p w14:paraId="1B78028D" w14:textId="77777777" w:rsidR="002B04EB" w:rsidRPr="003F7F6C" w:rsidRDefault="002B04EB" w:rsidP="00B851B7">
            <w:pPr>
              <w:rPr>
                <w:rFonts w:cs="Calibri"/>
                <w:sz w:val="16"/>
                <w:szCs w:val="16"/>
              </w:rPr>
            </w:pPr>
          </w:p>
        </w:tc>
        <w:tc>
          <w:tcPr>
            <w:tcW w:w="428" w:type="dxa"/>
            <w:gridSpan w:val="2"/>
          </w:tcPr>
          <w:p w14:paraId="6606979D" w14:textId="77777777" w:rsidR="002B04EB" w:rsidRPr="003F7F6C" w:rsidRDefault="002B04EB" w:rsidP="00B851B7">
            <w:pPr>
              <w:rPr>
                <w:rFonts w:cs="Calibri"/>
                <w:sz w:val="16"/>
                <w:szCs w:val="16"/>
              </w:rPr>
            </w:pPr>
          </w:p>
        </w:tc>
        <w:tc>
          <w:tcPr>
            <w:tcW w:w="428" w:type="dxa"/>
          </w:tcPr>
          <w:p w14:paraId="25F34B50" w14:textId="77777777" w:rsidR="002B04EB" w:rsidRPr="003F7F6C" w:rsidRDefault="002B04EB" w:rsidP="00B851B7">
            <w:pPr>
              <w:rPr>
                <w:rFonts w:cs="Calibri"/>
                <w:sz w:val="16"/>
                <w:szCs w:val="16"/>
              </w:rPr>
            </w:pPr>
          </w:p>
        </w:tc>
        <w:tc>
          <w:tcPr>
            <w:tcW w:w="427" w:type="dxa"/>
          </w:tcPr>
          <w:p w14:paraId="019CF769" w14:textId="77777777" w:rsidR="002B04EB" w:rsidRPr="003F7F6C" w:rsidRDefault="002B04EB" w:rsidP="00B851B7">
            <w:pPr>
              <w:rPr>
                <w:rFonts w:cs="Calibri"/>
                <w:sz w:val="16"/>
                <w:szCs w:val="16"/>
              </w:rPr>
            </w:pPr>
          </w:p>
        </w:tc>
        <w:tc>
          <w:tcPr>
            <w:tcW w:w="427" w:type="dxa"/>
          </w:tcPr>
          <w:p w14:paraId="7DCC2539" w14:textId="77777777" w:rsidR="002B04EB" w:rsidRPr="003F7F6C" w:rsidRDefault="002B04EB" w:rsidP="00B851B7">
            <w:pPr>
              <w:rPr>
                <w:rFonts w:cs="Calibri"/>
                <w:sz w:val="16"/>
                <w:szCs w:val="16"/>
              </w:rPr>
            </w:pPr>
          </w:p>
        </w:tc>
        <w:tc>
          <w:tcPr>
            <w:tcW w:w="427" w:type="dxa"/>
            <w:gridSpan w:val="2"/>
          </w:tcPr>
          <w:p w14:paraId="1BBCF0C0" w14:textId="77777777" w:rsidR="002B04EB" w:rsidRPr="003F7F6C" w:rsidRDefault="002B04EB" w:rsidP="00B851B7">
            <w:pPr>
              <w:rPr>
                <w:rFonts w:cs="Calibri"/>
                <w:sz w:val="16"/>
                <w:szCs w:val="16"/>
              </w:rPr>
            </w:pPr>
          </w:p>
        </w:tc>
        <w:tc>
          <w:tcPr>
            <w:tcW w:w="428" w:type="dxa"/>
          </w:tcPr>
          <w:p w14:paraId="3A6CAA20" w14:textId="77777777" w:rsidR="002B04EB" w:rsidRPr="003F7F6C" w:rsidRDefault="002B04EB" w:rsidP="00B851B7">
            <w:pPr>
              <w:rPr>
                <w:rFonts w:cs="Calibri"/>
                <w:sz w:val="16"/>
                <w:szCs w:val="16"/>
              </w:rPr>
            </w:pPr>
          </w:p>
        </w:tc>
        <w:tc>
          <w:tcPr>
            <w:tcW w:w="428" w:type="dxa"/>
          </w:tcPr>
          <w:p w14:paraId="75C76630" w14:textId="77777777" w:rsidR="002B04EB" w:rsidRPr="003F7F6C" w:rsidRDefault="002B04EB" w:rsidP="00B851B7">
            <w:pPr>
              <w:rPr>
                <w:rFonts w:cs="Calibri"/>
                <w:sz w:val="16"/>
                <w:szCs w:val="16"/>
              </w:rPr>
            </w:pPr>
          </w:p>
        </w:tc>
        <w:tc>
          <w:tcPr>
            <w:tcW w:w="428" w:type="dxa"/>
          </w:tcPr>
          <w:p w14:paraId="7DA83419" w14:textId="77777777" w:rsidR="002B04EB" w:rsidRPr="003F7F6C" w:rsidRDefault="002B04EB" w:rsidP="00B851B7">
            <w:pPr>
              <w:rPr>
                <w:rFonts w:cs="Calibri"/>
                <w:sz w:val="16"/>
                <w:szCs w:val="16"/>
              </w:rPr>
            </w:pPr>
          </w:p>
        </w:tc>
        <w:tc>
          <w:tcPr>
            <w:tcW w:w="428" w:type="dxa"/>
            <w:gridSpan w:val="2"/>
          </w:tcPr>
          <w:p w14:paraId="38E39C3E" w14:textId="77777777" w:rsidR="002B04EB" w:rsidRPr="003F7F6C" w:rsidRDefault="002B04EB" w:rsidP="00B851B7">
            <w:pPr>
              <w:rPr>
                <w:rFonts w:cs="Calibri"/>
                <w:sz w:val="16"/>
                <w:szCs w:val="16"/>
              </w:rPr>
            </w:pPr>
          </w:p>
        </w:tc>
        <w:tc>
          <w:tcPr>
            <w:tcW w:w="428" w:type="dxa"/>
          </w:tcPr>
          <w:p w14:paraId="0EEDC56D" w14:textId="77777777" w:rsidR="002B04EB" w:rsidRPr="003F7F6C" w:rsidRDefault="002B04EB" w:rsidP="00B851B7">
            <w:pPr>
              <w:rPr>
                <w:sz w:val="16"/>
                <w:szCs w:val="16"/>
              </w:rPr>
            </w:pPr>
            <w:r w:rsidRPr="003F7F6C">
              <w:rPr>
                <w:rFonts w:cs="Calibri"/>
                <w:sz w:val="16"/>
                <w:szCs w:val="16"/>
              </w:rPr>
              <w:t>X</w:t>
            </w:r>
          </w:p>
        </w:tc>
        <w:tc>
          <w:tcPr>
            <w:tcW w:w="428" w:type="dxa"/>
          </w:tcPr>
          <w:p w14:paraId="52BBA456" w14:textId="77777777" w:rsidR="002B04EB" w:rsidRPr="003F7F6C" w:rsidRDefault="002B04EB" w:rsidP="00B851B7">
            <w:pPr>
              <w:rPr>
                <w:sz w:val="16"/>
                <w:szCs w:val="16"/>
              </w:rPr>
            </w:pPr>
            <w:r w:rsidRPr="003F7F6C">
              <w:rPr>
                <w:rFonts w:cs="Calibri"/>
                <w:sz w:val="16"/>
                <w:szCs w:val="16"/>
              </w:rPr>
              <w:t>X</w:t>
            </w:r>
          </w:p>
        </w:tc>
        <w:tc>
          <w:tcPr>
            <w:tcW w:w="428" w:type="dxa"/>
          </w:tcPr>
          <w:p w14:paraId="039C6ADC"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22BC37D1" w14:textId="77777777" w:rsidR="002B04EB" w:rsidRPr="003F7F6C" w:rsidRDefault="002B04EB" w:rsidP="00B851B7">
            <w:pPr>
              <w:rPr>
                <w:sz w:val="16"/>
                <w:szCs w:val="16"/>
              </w:rPr>
            </w:pPr>
            <w:r w:rsidRPr="003F7F6C">
              <w:rPr>
                <w:rFonts w:cs="Calibri"/>
                <w:sz w:val="16"/>
                <w:szCs w:val="16"/>
              </w:rPr>
              <w:t>X</w:t>
            </w:r>
          </w:p>
        </w:tc>
        <w:tc>
          <w:tcPr>
            <w:tcW w:w="428" w:type="dxa"/>
          </w:tcPr>
          <w:p w14:paraId="29B601C0" w14:textId="77777777" w:rsidR="002B04EB" w:rsidRPr="003F7F6C" w:rsidRDefault="002B04EB" w:rsidP="00B851B7">
            <w:pPr>
              <w:rPr>
                <w:sz w:val="16"/>
                <w:szCs w:val="16"/>
              </w:rPr>
            </w:pPr>
            <w:r w:rsidRPr="003F7F6C">
              <w:rPr>
                <w:rFonts w:cs="Calibri"/>
                <w:sz w:val="16"/>
                <w:szCs w:val="16"/>
              </w:rPr>
              <w:t>X</w:t>
            </w:r>
          </w:p>
        </w:tc>
        <w:tc>
          <w:tcPr>
            <w:tcW w:w="428" w:type="dxa"/>
          </w:tcPr>
          <w:p w14:paraId="466DFEC3" w14:textId="77777777" w:rsidR="002B04EB" w:rsidRPr="003F7F6C" w:rsidRDefault="002B04EB" w:rsidP="00B851B7">
            <w:pPr>
              <w:rPr>
                <w:sz w:val="16"/>
                <w:szCs w:val="16"/>
              </w:rPr>
            </w:pPr>
            <w:r w:rsidRPr="003F7F6C">
              <w:rPr>
                <w:rFonts w:cs="Calibri"/>
                <w:sz w:val="16"/>
                <w:szCs w:val="16"/>
              </w:rPr>
              <w:t>X</w:t>
            </w:r>
          </w:p>
        </w:tc>
        <w:tc>
          <w:tcPr>
            <w:tcW w:w="428" w:type="dxa"/>
          </w:tcPr>
          <w:p w14:paraId="04D35AC8"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3B4E5943" w14:textId="77777777" w:rsidR="002B04EB" w:rsidRPr="003F7F6C" w:rsidRDefault="002B04EB" w:rsidP="00B851B7">
            <w:pPr>
              <w:rPr>
                <w:sz w:val="16"/>
                <w:szCs w:val="16"/>
              </w:rPr>
            </w:pPr>
            <w:r w:rsidRPr="003F7F6C">
              <w:rPr>
                <w:rFonts w:cs="Calibri"/>
                <w:sz w:val="16"/>
                <w:szCs w:val="16"/>
              </w:rPr>
              <w:t>X</w:t>
            </w:r>
          </w:p>
        </w:tc>
        <w:tc>
          <w:tcPr>
            <w:tcW w:w="428" w:type="dxa"/>
          </w:tcPr>
          <w:p w14:paraId="47C3386E" w14:textId="77777777" w:rsidR="002B04EB" w:rsidRPr="003F7F6C" w:rsidRDefault="002B04EB" w:rsidP="00B851B7">
            <w:pPr>
              <w:rPr>
                <w:sz w:val="16"/>
                <w:szCs w:val="16"/>
              </w:rPr>
            </w:pPr>
            <w:r w:rsidRPr="003F7F6C">
              <w:rPr>
                <w:rFonts w:cs="Calibri"/>
                <w:sz w:val="16"/>
                <w:szCs w:val="16"/>
              </w:rPr>
              <w:t>X</w:t>
            </w:r>
          </w:p>
        </w:tc>
        <w:tc>
          <w:tcPr>
            <w:tcW w:w="428" w:type="dxa"/>
          </w:tcPr>
          <w:p w14:paraId="2758ACAE" w14:textId="77777777" w:rsidR="002B04EB" w:rsidRPr="003F7F6C" w:rsidRDefault="002B04EB" w:rsidP="00B851B7">
            <w:pPr>
              <w:rPr>
                <w:sz w:val="16"/>
                <w:szCs w:val="16"/>
              </w:rPr>
            </w:pPr>
            <w:r w:rsidRPr="003F7F6C">
              <w:rPr>
                <w:rFonts w:cs="Calibri"/>
                <w:sz w:val="16"/>
                <w:szCs w:val="16"/>
              </w:rPr>
              <w:t>X</w:t>
            </w:r>
          </w:p>
        </w:tc>
        <w:tc>
          <w:tcPr>
            <w:tcW w:w="428" w:type="dxa"/>
          </w:tcPr>
          <w:p w14:paraId="0FE54516" w14:textId="77777777" w:rsidR="002B04EB" w:rsidRPr="003F7F6C" w:rsidRDefault="002B04EB" w:rsidP="00B851B7">
            <w:pPr>
              <w:rPr>
                <w:sz w:val="16"/>
                <w:szCs w:val="16"/>
              </w:rPr>
            </w:pPr>
            <w:r w:rsidRPr="003F7F6C">
              <w:rPr>
                <w:rFonts w:cs="Calibri"/>
                <w:sz w:val="16"/>
                <w:szCs w:val="16"/>
              </w:rPr>
              <w:t>X</w:t>
            </w:r>
          </w:p>
        </w:tc>
        <w:tc>
          <w:tcPr>
            <w:tcW w:w="428" w:type="dxa"/>
          </w:tcPr>
          <w:p w14:paraId="69982778" w14:textId="77777777" w:rsidR="002B04EB" w:rsidRPr="003F7F6C" w:rsidRDefault="002B04EB" w:rsidP="00B851B7">
            <w:pPr>
              <w:rPr>
                <w:sz w:val="16"/>
                <w:szCs w:val="16"/>
              </w:rPr>
            </w:pPr>
            <w:r w:rsidRPr="003F7F6C">
              <w:rPr>
                <w:rFonts w:cs="Calibri"/>
                <w:sz w:val="16"/>
                <w:szCs w:val="16"/>
              </w:rPr>
              <w:t>X</w:t>
            </w:r>
          </w:p>
        </w:tc>
      </w:tr>
      <w:tr w:rsidR="002B04EB" w:rsidRPr="003F7F6C" w14:paraId="3A5145FB" w14:textId="77777777" w:rsidTr="00B851B7">
        <w:tc>
          <w:tcPr>
            <w:tcW w:w="1668" w:type="dxa"/>
          </w:tcPr>
          <w:p w14:paraId="625B0F86" w14:textId="77777777" w:rsidR="002B04EB" w:rsidRPr="003F7F6C" w:rsidRDefault="002B04EB" w:rsidP="00B851B7">
            <w:pPr>
              <w:rPr>
                <w:rFonts w:cs="Calibri"/>
                <w:sz w:val="16"/>
                <w:szCs w:val="16"/>
              </w:rPr>
            </w:pPr>
            <w:r w:rsidRPr="003F7F6C">
              <w:rPr>
                <w:rFonts w:cs="Calibri"/>
                <w:sz w:val="16"/>
                <w:szCs w:val="16"/>
              </w:rPr>
              <w:t>3.1.2 Consultation and validation of assessments with non-pilot provinces</w:t>
            </w:r>
          </w:p>
        </w:tc>
        <w:tc>
          <w:tcPr>
            <w:tcW w:w="1057" w:type="dxa"/>
          </w:tcPr>
          <w:p w14:paraId="5A6F7C31" w14:textId="77777777" w:rsidR="002B04EB" w:rsidRPr="003F7F6C" w:rsidRDefault="002B04EB" w:rsidP="00B851B7">
            <w:pPr>
              <w:rPr>
                <w:rFonts w:cs="Calibri"/>
                <w:sz w:val="16"/>
                <w:szCs w:val="16"/>
              </w:rPr>
            </w:pPr>
            <w:r w:rsidRPr="003F7F6C">
              <w:rPr>
                <w:rFonts w:cs="Calibri"/>
                <w:sz w:val="16"/>
                <w:szCs w:val="16"/>
              </w:rPr>
              <w:t>SGAyDS</w:t>
            </w:r>
          </w:p>
        </w:tc>
        <w:tc>
          <w:tcPr>
            <w:tcW w:w="428" w:type="dxa"/>
          </w:tcPr>
          <w:p w14:paraId="01FC4EF4" w14:textId="77777777" w:rsidR="002B04EB" w:rsidRPr="003F7F6C" w:rsidRDefault="002B04EB" w:rsidP="00B851B7">
            <w:pPr>
              <w:rPr>
                <w:rFonts w:cs="Calibri"/>
                <w:sz w:val="16"/>
                <w:szCs w:val="16"/>
              </w:rPr>
            </w:pPr>
          </w:p>
        </w:tc>
        <w:tc>
          <w:tcPr>
            <w:tcW w:w="444" w:type="dxa"/>
          </w:tcPr>
          <w:p w14:paraId="476D9060" w14:textId="77777777" w:rsidR="002B04EB" w:rsidRPr="003F7F6C" w:rsidRDefault="002B04EB" w:rsidP="00B851B7">
            <w:pPr>
              <w:rPr>
                <w:rFonts w:cs="Calibri"/>
                <w:sz w:val="16"/>
                <w:szCs w:val="16"/>
              </w:rPr>
            </w:pPr>
          </w:p>
        </w:tc>
        <w:tc>
          <w:tcPr>
            <w:tcW w:w="428" w:type="dxa"/>
          </w:tcPr>
          <w:p w14:paraId="51489362" w14:textId="77777777" w:rsidR="002B04EB" w:rsidRPr="003F7F6C" w:rsidRDefault="002B04EB" w:rsidP="00B851B7">
            <w:pPr>
              <w:rPr>
                <w:rFonts w:cs="Calibri"/>
                <w:sz w:val="16"/>
                <w:szCs w:val="16"/>
              </w:rPr>
            </w:pPr>
          </w:p>
        </w:tc>
        <w:tc>
          <w:tcPr>
            <w:tcW w:w="428" w:type="dxa"/>
            <w:gridSpan w:val="2"/>
          </w:tcPr>
          <w:p w14:paraId="684B05A5" w14:textId="77777777" w:rsidR="002B04EB" w:rsidRPr="003F7F6C" w:rsidRDefault="002B04EB" w:rsidP="00B851B7">
            <w:pPr>
              <w:rPr>
                <w:rFonts w:cs="Calibri"/>
                <w:sz w:val="16"/>
                <w:szCs w:val="16"/>
              </w:rPr>
            </w:pPr>
          </w:p>
        </w:tc>
        <w:tc>
          <w:tcPr>
            <w:tcW w:w="428" w:type="dxa"/>
          </w:tcPr>
          <w:p w14:paraId="21246C20" w14:textId="77777777" w:rsidR="002B04EB" w:rsidRPr="003F7F6C" w:rsidRDefault="002B04EB" w:rsidP="00B851B7">
            <w:pPr>
              <w:rPr>
                <w:rFonts w:cs="Calibri"/>
                <w:sz w:val="16"/>
                <w:szCs w:val="16"/>
              </w:rPr>
            </w:pPr>
          </w:p>
        </w:tc>
        <w:tc>
          <w:tcPr>
            <w:tcW w:w="427" w:type="dxa"/>
          </w:tcPr>
          <w:p w14:paraId="0D54D1A8" w14:textId="77777777" w:rsidR="002B04EB" w:rsidRPr="003F7F6C" w:rsidRDefault="002B04EB" w:rsidP="00B851B7">
            <w:pPr>
              <w:rPr>
                <w:rFonts w:cs="Calibri"/>
                <w:sz w:val="16"/>
                <w:szCs w:val="16"/>
              </w:rPr>
            </w:pPr>
          </w:p>
        </w:tc>
        <w:tc>
          <w:tcPr>
            <w:tcW w:w="427" w:type="dxa"/>
          </w:tcPr>
          <w:p w14:paraId="09FBDF32" w14:textId="77777777" w:rsidR="002B04EB" w:rsidRPr="003F7F6C" w:rsidRDefault="002B04EB" w:rsidP="00B851B7">
            <w:pPr>
              <w:rPr>
                <w:rFonts w:cs="Calibri"/>
                <w:sz w:val="16"/>
                <w:szCs w:val="16"/>
              </w:rPr>
            </w:pPr>
          </w:p>
        </w:tc>
        <w:tc>
          <w:tcPr>
            <w:tcW w:w="427" w:type="dxa"/>
            <w:gridSpan w:val="2"/>
          </w:tcPr>
          <w:p w14:paraId="1EAE2761" w14:textId="77777777" w:rsidR="002B04EB" w:rsidRPr="003F7F6C" w:rsidRDefault="002B04EB" w:rsidP="00B851B7">
            <w:pPr>
              <w:rPr>
                <w:rFonts w:cs="Calibri"/>
                <w:sz w:val="16"/>
                <w:szCs w:val="16"/>
              </w:rPr>
            </w:pPr>
          </w:p>
        </w:tc>
        <w:tc>
          <w:tcPr>
            <w:tcW w:w="428" w:type="dxa"/>
          </w:tcPr>
          <w:p w14:paraId="1A298025" w14:textId="77777777" w:rsidR="002B04EB" w:rsidRPr="003F7F6C" w:rsidRDefault="002B04EB" w:rsidP="00B851B7">
            <w:pPr>
              <w:rPr>
                <w:rFonts w:cs="Calibri"/>
                <w:sz w:val="16"/>
                <w:szCs w:val="16"/>
              </w:rPr>
            </w:pPr>
          </w:p>
        </w:tc>
        <w:tc>
          <w:tcPr>
            <w:tcW w:w="428" w:type="dxa"/>
          </w:tcPr>
          <w:p w14:paraId="4525BEFE" w14:textId="77777777" w:rsidR="002B04EB" w:rsidRPr="003F7F6C" w:rsidRDefault="002B04EB" w:rsidP="00B851B7">
            <w:pPr>
              <w:rPr>
                <w:rFonts w:cs="Calibri"/>
                <w:sz w:val="16"/>
                <w:szCs w:val="16"/>
              </w:rPr>
            </w:pPr>
          </w:p>
        </w:tc>
        <w:tc>
          <w:tcPr>
            <w:tcW w:w="428" w:type="dxa"/>
          </w:tcPr>
          <w:p w14:paraId="541CEEEA" w14:textId="77777777" w:rsidR="002B04EB" w:rsidRPr="003F7F6C" w:rsidRDefault="002B04EB" w:rsidP="00B851B7">
            <w:pPr>
              <w:rPr>
                <w:rFonts w:cs="Calibri"/>
                <w:sz w:val="16"/>
                <w:szCs w:val="16"/>
              </w:rPr>
            </w:pPr>
          </w:p>
        </w:tc>
        <w:tc>
          <w:tcPr>
            <w:tcW w:w="428" w:type="dxa"/>
            <w:gridSpan w:val="2"/>
          </w:tcPr>
          <w:p w14:paraId="75065C46" w14:textId="77777777" w:rsidR="002B04EB" w:rsidRPr="003F7F6C" w:rsidRDefault="002B04EB" w:rsidP="00B851B7">
            <w:pPr>
              <w:rPr>
                <w:rFonts w:cs="Calibri"/>
                <w:sz w:val="16"/>
                <w:szCs w:val="16"/>
              </w:rPr>
            </w:pPr>
          </w:p>
        </w:tc>
        <w:tc>
          <w:tcPr>
            <w:tcW w:w="428" w:type="dxa"/>
          </w:tcPr>
          <w:p w14:paraId="100EDE65" w14:textId="77777777" w:rsidR="002B04EB" w:rsidRPr="003F7F6C" w:rsidRDefault="002B04EB" w:rsidP="00B851B7">
            <w:pPr>
              <w:rPr>
                <w:sz w:val="16"/>
                <w:szCs w:val="16"/>
              </w:rPr>
            </w:pPr>
            <w:r w:rsidRPr="003F7F6C">
              <w:rPr>
                <w:rFonts w:cs="Calibri"/>
                <w:sz w:val="16"/>
                <w:szCs w:val="16"/>
              </w:rPr>
              <w:t>X</w:t>
            </w:r>
          </w:p>
        </w:tc>
        <w:tc>
          <w:tcPr>
            <w:tcW w:w="428" w:type="dxa"/>
          </w:tcPr>
          <w:p w14:paraId="25769100" w14:textId="77777777" w:rsidR="002B04EB" w:rsidRPr="003F7F6C" w:rsidRDefault="002B04EB" w:rsidP="00B851B7">
            <w:pPr>
              <w:rPr>
                <w:sz w:val="16"/>
                <w:szCs w:val="16"/>
              </w:rPr>
            </w:pPr>
            <w:r w:rsidRPr="003F7F6C">
              <w:rPr>
                <w:rFonts w:cs="Calibri"/>
                <w:sz w:val="16"/>
                <w:szCs w:val="16"/>
              </w:rPr>
              <w:t>X</w:t>
            </w:r>
          </w:p>
        </w:tc>
        <w:tc>
          <w:tcPr>
            <w:tcW w:w="428" w:type="dxa"/>
          </w:tcPr>
          <w:p w14:paraId="50A56B57"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7513C73D" w14:textId="77777777" w:rsidR="002B04EB" w:rsidRPr="003F7F6C" w:rsidRDefault="002B04EB" w:rsidP="00B851B7">
            <w:pPr>
              <w:rPr>
                <w:sz w:val="16"/>
                <w:szCs w:val="16"/>
              </w:rPr>
            </w:pPr>
            <w:r w:rsidRPr="003F7F6C">
              <w:rPr>
                <w:rFonts w:cs="Calibri"/>
                <w:sz w:val="16"/>
                <w:szCs w:val="16"/>
              </w:rPr>
              <w:t>X</w:t>
            </w:r>
          </w:p>
        </w:tc>
        <w:tc>
          <w:tcPr>
            <w:tcW w:w="428" w:type="dxa"/>
          </w:tcPr>
          <w:p w14:paraId="12CF58D0" w14:textId="77777777" w:rsidR="002B04EB" w:rsidRPr="003F7F6C" w:rsidRDefault="002B04EB" w:rsidP="00B851B7">
            <w:pPr>
              <w:rPr>
                <w:sz w:val="16"/>
                <w:szCs w:val="16"/>
              </w:rPr>
            </w:pPr>
            <w:r w:rsidRPr="003F7F6C">
              <w:rPr>
                <w:rFonts w:cs="Calibri"/>
                <w:sz w:val="16"/>
                <w:szCs w:val="16"/>
              </w:rPr>
              <w:t>X</w:t>
            </w:r>
          </w:p>
        </w:tc>
        <w:tc>
          <w:tcPr>
            <w:tcW w:w="428" w:type="dxa"/>
          </w:tcPr>
          <w:p w14:paraId="378EDB89" w14:textId="77777777" w:rsidR="002B04EB" w:rsidRPr="003F7F6C" w:rsidRDefault="002B04EB" w:rsidP="00B851B7">
            <w:pPr>
              <w:rPr>
                <w:sz w:val="16"/>
                <w:szCs w:val="16"/>
              </w:rPr>
            </w:pPr>
            <w:r w:rsidRPr="003F7F6C">
              <w:rPr>
                <w:rFonts w:cs="Calibri"/>
                <w:sz w:val="16"/>
                <w:szCs w:val="16"/>
              </w:rPr>
              <w:t>X</w:t>
            </w:r>
          </w:p>
        </w:tc>
        <w:tc>
          <w:tcPr>
            <w:tcW w:w="428" w:type="dxa"/>
          </w:tcPr>
          <w:p w14:paraId="7E88E48B"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64B4972A" w14:textId="77777777" w:rsidR="002B04EB" w:rsidRPr="003F7F6C" w:rsidRDefault="002B04EB" w:rsidP="00B851B7">
            <w:pPr>
              <w:rPr>
                <w:sz w:val="16"/>
                <w:szCs w:val="16"/>
              </w:rPr>
            </w:pPr>
            <w:r w:rsidRPr="003F7F6C">
              <w:rPr>
                <w:rFonts w:cs="Calibri"/>
                <w:sz w:val="16"/>
                <w:szCs w:val="16"/>
              </w:rPr>
              <w:t>X</w:t>
            </w:r>
          </w:p>
        </w:tc>
        <w:tc>
          <w:tcPr>
            <w:tcW w:w="428" w:type="dxa"/>
          </w:tcPr>
          <w:p w14:paraId="7F180B08" w14:textId="77777777" w:rsidR="002B04EB" w:rsidRPr="003F7F6C" w:rsidRDefault="002B04EB" w:rsidP="00B851B7">
            <w:pPr>
              <w:rPr>
                <w:sz w:val="16"/>
                <w:szCs w:val="16"/>
              </w:rPr>
            </w:pPr>
            <w:r w:rsidRPr="003F7F6C">
              <w:rPr>
                <w:rFonts w:cs="Calibri"/>
                <w:sz w:val="16"/>
                <w:szCs w:val="16"/>
              </w:rPr>
              <w:t>X</w:t>
            </w:r>
          </w:p>
        </w:tc>
        <w:tc>
          <w:tcPr>
            <w:tcW w:w="428" w:type="dxa"/>
          </w:tcPr>
          <w:p w14:paraId="586C3DDF" w14:textId="77777777" w:rsidR="002B04EB" w:rsidRPr="003F7F6C" w:rsidRDefault="002B04EB" w:rsidP="00B851B7">
            <w:pPr>
              <w:rPr>
                <w:sz w:val="16"/>
                <w:szCs w:val="16"/>
              </w:rPr>
            </w:pPr>
            <w:r w:rsidRPr="003F7F6C">
              <w:rPr>
                <w:rFonts w:cs="Calibri"/>
                <w:sz w:val="16"/>
                <w:szCs w:val="16"/>
              </w:rPr>
              <w:t>X</w:t>
            </w:r>
          </w:p>
        </w:tc>
        <w:tc>
          <w:tcPr>
            <w:tcW w:w="428" w:type="dxa"/>
          </w:tcPr>
          <w:p w14:paraId="4B8E798A" w14:textId="77777777" w:rsidR="002B04EB" w:rsidRPr="003F7F6C" w:rsidRDefault="002B04EB" w:rsidP="00B851B7">
            <w:pPr>
              <w:rPr>
                <w:sz w:val="16"/>
                <w:szCs w:val="16"/>
              </w:rPr>
            </w:pPr>
            <w:r w:rsidRPr="003F7F6C">
              <w:rPr>
                <w:rFonts w:cs="Calibri"/>
                <w:sz w:val="16"/>
                <w:szCs w:val="16"/>
              </w:rPr>
              <w:t>X</w:t>
            </w:r>
          </w:p>
        </w:tc>
        <w:tc>
          <w:tcPr>
            <w:tcW w:w="428" w:type="dxa"/>
          </w:tcPr>
          <w:p w14:paraId="33D981B2" w14:textId="77777777" w:rsidR="002B04EB" w:rsidRPr="003F7F6C" w:rsidRDefault="002B04EB" w:rsidP="00B851B7">
            <w:pPr>
              <w:rPr>
                <w:sz w:val="16"/>
                <w:szCs w:val="16"/>
              </w:rPr>
            </w:pPr>
            <w:r w:rsidRPr="003F7F6C">
              <w:rPr>
                <w:rFonts w:cs="Calibri"/>
                <w:sz w:val="16"/>
                <w:szCs w:val="16"/>
              </w:rPr>
              <w:t>X</w:t>
            </w:r>
          </w:p>
        </w:tc>
      </w:tr>
      <w:tr w:rsidR="002B04EB" w:rsidRPr="003F7F6C" w14:paraId="32030404" w14:textId="77777777" w:rsidTr="00B851B7">
        <w:tc>
          <w:tcPr>
            <w:tcW w:w="1668" w:type="dxa"/>
          </w:tcPr>
          <w:p w14:paraId="5AF6907D" w14:textId="77777777" w:rsidR="002B04EB" w:rsidRPr="003F7F6C" w:rsidRDefault="002B04EB" w:rsidP="00B851B7">
            <w:pPr>
              <w:rPr>
                <w:rFonts w:cs="Calibri"/>
                <w:sz w:val="16"/>
                <w:szCs w:val="16"/>
              </w:rPr>
            </w:pPr>
            <w:r w:rsidRPr="003F7F6C">
              <w:rPr>
                <w:rFonts w:cs="Calibri"/>
                <w:sz w:val="16"/>
                <w:szCs w:val="16"/>
              </w:rPr>
              <w:t>3.1.3 Systematization of information and results</w:t>
            </w:r>
          </w:p>
        </w:tc>
        <w:tc>
          <w:tcPr>
            <w:tcW w:w="1057" w:type="dxa"/>
          </w:tcPr>
          <w:p w14:paraId="4011F13D" w14:textId="77777777" w:rsidR="002B04EB" w:rsidRPr="003F7F6C" w:rsidRDefault="002B04EB" w:rsidP="00B851B7">
            <w:pPr>
              <w:rPr>
                <w:rFonts w:cs="Calibri"/>
                <w:sz w:val="16"/>
                <w:szCs w:val="16"/>
              </w:rPr>
            </w:pPr>
            <w:r w:rsidRPr="003F7F6C">
              <w:rPr>
                <w:rFonts w:cs="Calibri"/>
                <w:sz w:val="16"/>
                <w:szCs w:val="16"/>
              </w:rPr>
              <w:t>SGAyDS</w:t>
            </w:r>
          </w:p>
        </w:tc>
        <w:tc>
          <w:tcPr>
            <w:tcW w:w="428" w:type="dxa"/>
          </w:tcPr>
          <w:p w14:paraId="0B60853C" w14:textId="77777777" w:rsidR="002B04EB" w:rsidRPr="003F7F6C" w:rsidRDefault="002B04EB" w:rsidP="00B851B7">
            <w:pPr>
              <w:rPr>
                <w:rFonts w:cs="Calibri"/>
                <w:sz w:val="16"/>
                <w:szCs w:val="16"/>
              </w:rPr>
            </w:pPr>
          </w:p>
        </w:tc>
        <w:tc>
          <w:tcPr>
            <w:tcW w:w="444" w:type="dxa"/>
          </w:tcPr>
          <w:p w14:paraId="10E3FAA2" w14:textId="77777777" w:rsidR="002B04EB" w:rsidRPr="003F7F6C" w:rsidRDefault="002B04EB" w:rsidP="00B851B7">
            <w:pPr>
              <w:rPr>
                <w:rFonts w:cs="Calibri"/>
                <w:sz w:val="16"/>
                <w:szCs w:val="16"/>
              </w:rPr>
            </w:pPr>
          </w:p>
        </w:tc>
        <w:tc>
          <w:tcPr>
            <w:tcW w:w="428" w:type="dxa"/>
          </w:tcPr>
          <w:p w14:paraId="1512D64C" w14:textId="77777777" w:rsidR="002B04EB" w:rsidRPr="003F7F6C" w:rsidRDefault="002B04EB" w:rsidP="00B851B7">
            <w:pPr>
              <w:rPr>
                <w:rFonts w:cs="Calibri"/>
                <w:sz w:val="16"/>
                <w:szCs w:val="16"/>
              </w:rPr>
            </w:pPr>
          </w:p>
        </w:tc>
        <w:tc>
          <w:tcPr>
            <w:tcW w:w="428" w:type="dxa"/>
            <w:gridSpan w:val="2"/>
          </w:tcPr>
          <w:p w14:paraId="0EB3D2FE" w14:textId="77777777" w:rsidR="002B04EB" w:rsidRPr="003F7F6C" w:rsidRDefault="002B04EB" w:rsidP="00B851B7">
            <w:pPr>
              <w:rPr>
                <w:rFonts w:cs="Calibri"/>
                <w:sz w:val="16"/>
                <w:szCs w:val="16"/>
              </w:rPr>
            </w:pPr>
          </w:p>
        </w:tc>
        <w:tc>
          <w:tcPr>
            <w:tcW w:w="428" w:type="dxa"/>
          </w:tcPr>
          <w:p w14:paraId="23B2024A" w14:textId="77777777" w:rsidR="002B04EB" w:rsidRPr="003F7F6C" w:rsidRDefault="002B04EB" w:rsidP="00B851B7">
            <w:pPr>
              <w:rPr>
                <w:rFonts w:cs="Calibri"/>
                <w:sz w:val="16"/>
                <w:szCs w:val="16"/>
              </w:rPr>
            </w:pPr>
          </w:p>
        </w:tc>
        <w:tc>
          <w:tcPr>
            <w:tcW w:w="427" w:type="dxa"/>
          </w:tcPr>
          <w:p w14:paraId="7F0E8435" w14:textId="77777777" w:rsidR="002B04EB" w:rsidRPr="003F7F6C" w:rsidRDefault="002B04EB" w:rsidP="00B851B7">
            <w:pPr>
              <w:rPr>
                <w:rFonts w:cs="Calibri"/>
                <w:sz w:val="16"/>
                <w:szCs w:val="16"/>
              </w:rPr>
            </w:pPr>
          </w:p>
        </w:tc>
        <w:tc>
          <w:tcPr>
            <w:tcW w:w="427" w:type="dxa"/>
          </w:tcPr>
          <w:p w14:paraId="6AF2CF5A" w14:textId="77777777" w:rsidR="002B04EB" w:rsidRPr="003F7F6C" w:rsidRDefault="002B04EB" w:rsidP="00B851B7">
            <w:pPr>
              <w:rPr>
                <w:rFonts w:cs="Calibri"/>
                <w:sz w:val="16"/>
                <w:szCs w:val="16"/>
              </w:rPr>
            </w:pPr>
          </w:p>
        </w:tc>
        <w:tc>
          <w:tcPr>
            <w:tcW w:w="427" w:type="dxa"/>
            <w:gridSpan w:val="2"/>
          </w:tcPr>
          <w:p w14:paraId="00099155" w14:textId="77777777" w:rsidR="002B04EB" w:rsidRPr="003F7F6C" w:rsidRDefault="002B04EB" w:rsidP="00B851B7">
            <w:pPr>
              <w:rPr>
                <w:rFonts w:cs="Calibri"/>
                <w:sz w:val="16"/>
                <w:szCs w:val="16"/>
              </w:rPr>
            </w:pPr>
          </w:p>
        </w:tc>
        <w:tc>
          <w:tcPr>
            <w:tcW w:w="428" w:type="dxa"/>
          </w:tcPr>
          <w:p w14:paraId="0A191112" w14:textId="77777777" w:rsidR="002B04EB" w:rsidRPr="003F7F6C" w:rsidRDefault="002B04EB" w:rsidP="00B851B7">
            <w:pPr>
              <w:rPr>
                <w:rFonts w:cs="Calibri"/>
                <w:sz w:val="16"/>
                <w:szCs w:val="16"/>
              </w:rPr>
            </w:pPr>
          </w:p>
        </w:tc>
        <w:tc>
          <w:tcPr>
            <w:tcW w:w="428" w:type="dxa"/>
          </w:tcPr>
          <w:p w14:paraId="7EB092F0" w14:textId="77777777" w:rsidR="002B04EB" w:rsidRPr="003F7F6C" w:rsidRDefault="002B04EB" w:rsidP="00B851B7">
            <w:pPr>
              <w:rPr>
                <w:rFonts w:cs="Calibri"/>
                <w:sz w:val="16"/>
                <w:szCs w:val="16"/>
              </w:rPr>
            </w:pPr>
          </w:p>
        </w:tc>
        <w:tc>
          <w:tcPr>
            <w:tcW w:w="428" w:type="dxa"/>
          </w:tcPr>
          <w:p w14:paraId="5701FFE9" w14:textId="77777777" w:rsidR="002B04EB" w:rsidRPr="003F7F6C" w:rsidRDefault="002B04EB" w:rsidP="00B851B7">
            <w:pPr>
              <w:rPr>
                <w:rFonts w:cs="Calibri"/>
                <w:sz w:val="16"/>
                <w:szCs w:val="16"/>
              </w:rPr>
            </w:pPr>
          </w:p>
        </w:tc>
        <w:tc>
          <w:tcPr>
            <w:tcW w:w="428" w:type="dxa"/>
            <w:gridSpan w:val="2"/>
          </w:tcPr>
          <w:p w14:paraId="02C365B0" w14:textId="77777777" w:rsidR="002B04EB" w:rsidRPr="003F7F6C" w:rsidRDefault="002B04EB" w:rsidP="00B851B7">
            <w:pPr>
              <w:rPr>
                <w:rFonts w:cs="Calibri"/>
                <w:sz w:val="16"/>
                <w:szCs w:val="16"/>
              </w:rPr>
            </w:pPr>
          </w:p>
        </w:tc>
        <w:tc>
          <w:tcPr>
            <w:tcW w:w="428" w:type="dxa"/>
          </w:tcPr>
          <w:p w14:paraId="1D20D4D3" w14:textId="77777777" w:rsidR="002B04EB" w:rsidRPr="003F7F6C" w:rsidRDefault="002B04EB" w:rsidP="00B851B7">
            <w:pPr>
              <w:rPr>
                <w:sz w:val="16"/>
                <w:szCs w:val="16"/>
              </w:rPr>
            </w:pPr>
            <w:r w:rsidRPr="003F7F6C">
              <w:rPr>
                <w:rFonts w:cs="Calibri"/>
                <w:sz w:val="16"/>
                <w:szCs w:val="16"/>
              </w:rPr>
              <w:t>X</w:t>
            </w:r>
          </w:p>
        </w:tc>
        <w:tc>
          <w:tcPr>
            <w:tcW w:w="428" w:type="dxa"/>
          </w:tcPr>
          <w:p w14:paraId="0F916BDD" w14:textId="77777777" w:rsidR="002B04EB" w:rsidRPr="003F7F6C" w:rsidRDefault="002B04EB" w:rsidP="00B851B7">
            <w:pPr>
              <w:rPr>
                <w:sz w:val="16"/>
                <w:szCs w:val="16"/>
              </w:rPr>
            </w:pPr>
            <w:r w:rsidRPr="003F7F6C">
              <w:rPr>
                <w:rFonts w:cs="Calibri"/>
                <w:sz w:val="16"/>
                <w:szCs w:val="16"/>
              </w:rPr>
              <w:t>X</w:t>
            </w:r>
          </w:p>
        </w:tc>
        <w:tc>
          <w:tcPr>
            <w:tcW w:w="428" w:type="dxa"/>
          </w:tcPr>
          <w:p w14:paraId="58E3B328"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325CF660" w14:textId="77777777" w:rsidR="002B04EB" w:rsidRPr="003F7F6C" w:rsidRDefault="002B04EB" w:rsidP="00B851B7">
            <w:pPr>
              <w:rPr>
                <w:sz w:val="16"/>
                <w:szCs w:val="16"/>
              </w:rPr>
            </w:pPr>
            <w:r w:rsidRPr="003F7F6C">
              <w:rPr>
                <w:rFonts w:cs="Calibri"/>
                <w:sz w:val="16"/>
                <w:szCs w:val="16"/>
              </w:rPr>
              <w:t>X</w:t>
            </w:r>
          </w:p>
        </w:tc>
        <w:tc>
          <w:tcPr>
            <w:tcW w:w="428" w:type="dxa"/>
          </w:tcPr>
          <w:p w14:paraId="3364897B" w14:textId="77777777" w:rsidR="002B04EB" w:rsidRPr="003F7F6C" w:rsidRDefault="002B04EB" w:rsidP="00B851B7">
            <w:pPr>
              <w:rPr>
                <w:sz w:val="16"/>
                <w:szCs w:val="16"/>
              </w:rPr>
            </w:pPr>
            <w:r w:rsidRPr="003F7F6C">
              <w:rPr>
                <w:rFonts w:cs="Calibri"/>
                <w:sz w:val="16"/>
                <w:szCs w:val="16"/>
              </w:rPr>
              <w:t>X</w:t>
            </w:r>
          </w:p>
        </w:tc>
        <w:tc>
          <w:tcPr>
            <w:tcW w:w="428" w:type="dxa"/>
          </w:tcPr>
          <w:p w14:paraId="32FB0DE6" w14:textId="77777777" w:rsidR="002B04EB" w:rsidRPr="003F7F6C" w:rsidRDefault="002B04EB" w:rsidP="00B851B7">
            <w:pPr>
              <w:rPr>
                <w:sz w:val="16"/>
                <w:szCs w:val="16"/>
              </w:rPr>
            </w:pPr>
            <w:r w:rsidRPr="003F7F6C">
              <w:rPr>
                <w:rFonts w:cs="Calibri"/>
                <w:sz w:val="16"/>
                <w:szCs w:val="16"/>
              </w:rPr>
              <w:t>X</w:t>
            </w:r>
          </w:p>
        </w:tc>
        <w:tc>
          <w:tcPr>
            <w:tcW w:w="428" w:type="dxa"/>
          </w:tcPr>
          <w:p w14:paraId="6450FEB4"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12482A8B" w14:textId="77777777" w:rsidR="002B04EB" w:rsidRPr="003F7F6C" w:rsidRDefault="002B04EB" w:rsidP="00B851B7">
            <w:pPr>
              <w:rPr>
                <w:sz w:val="16"/>
                <w:szCs w:val="16"/>
              </w:rPr>
            </w:pPr>
            <w:r w:rsidRPr="003F7F6C">
              <w:rPr>
                <w:rFonts w:cs="Calibri"/>
                <w:sz w:val="16"/>
                <w:szCs w:val="16"/>
              </w:rPr>
              <w:t>X</w:t>
            </w:r>
          </w:p>
        </w:tc>
        <w:tc>
          <w:tcPr>
            <w:tcW w:w="428" w:type="dxa"/>
          </w:tcPr>
          <w:p w14:paraId="7594C03A" w14:textId="77777777" w:rsidR="002B04EB" w:rsidRPr="003F7F6C" w:rsidRDefault="002B04EB" w:rsidP="00B851B7">
            <w:pPr>
              <w:rPr>
                <w:sz w:val="16"/>
                <w:szCs w:val="16"/>
              </w:rPr>
            </w:pPr>
            <w:r w:rsidRPr="003F7F6C">
              <w:rPr>
                <w:rFonts w:cs="Calibri"/>
                <w:sz w:val="16"/>
                <w:szCs w:val="16"/>
              </w:rPr>
              <w:t>X</w:t>
            </w:r>
          </w:p>
        </w:tc>
        <w:tc>
          <w:tcPr>
            <w:tcW w:w="428" w:type="dxa"/>
          </w:tcPr>
          <w:p w14:paraId="669F77F0" w14:textId="77777777" w:rsidR="002B04EB" w:rsidRPr="003F7F6C" w:rsidRDefault="002B04EB" w:rsidP="00B851B7">
            <w:pPr>
              <w:rPr>
                <w:sz w:val="16"/>
                <w:szCs w:val="16"/>
              </w:rPr>
            </w:pPr>
            <w:r w:rsidRPr="003F7F6C">
              <w:rPr>
                <w:rFonts w:cs="Calibri"/>
                <w:sz w:val="16"/>
                <w:szCs w:val="16"/>
              </w:rPr>
              <w:t>X</w:t>
            </w:r>
          </w:p>
        </w:tc>
        <w:tc>
          <w:tcPr>
            <w:tcW w:w="428" w:type="dxa"/>
          </w:tcPr>
          <w:p w14:paraId="0EC93098" w14:textId="77777777" w:rsidR="002B04EB" w:rsidRPr="003F7F6C" w:rsidRDefault="002B04EB" w:rsidP="00B851B7">
            <w:pPr>
              <w:rPr>
                <w:sz w:val="16"/>
                <w:szCs w:val="16"/>
              </w:rPr>
            </w:pPr>
            <w:r w:rsidRPr="003F7F6C">
              <w:rPr>
                <w:rFonts w:cs="Calibri"/>
                <w:sz w:val="16"/>
                <w:szCs w:val="16"/>
              </w:rPr>
              <w:t>X</w:t>
            </w:r>
          </w:p>
        </w:tc>
        <w:tc>
          <w:tcPr>
            <w:tcW w:w="428" w:type="dxa"/>
          </w:tcPr>
          <w:p w14:paraId="5759FB1A" w14:textId="77777777" w:rsidR="002B04EB" w:rsidRPr="003F7F6C" w:rsidRDefault="002B04EB" w:rsidP="00B851B7">
            <w:pPr>
              <w:rPr>
                <w:sz w:val="16"/>
                <w:szCs w:val="16"/>
              </w:rPr>
            </w:pPr>
            <w:r w:rsidRPr="003F7F6C">
              <w:rPr>
                <w:rFonts w:cs="Calibri"/>
                <w:sz w:val="16"/>
                <w:szCs w:val="16"/>
              </w:rPr>
              <w:t>X</w:t>
            </w:r>
          </w:p>
        </w:tc>
      </w:tr>
      <w:tr w:rsidR="002B04EB" w:rsidRPr="003F7F6C" w14:paraId="65487D7B" w14:textId="77777777" w:rsidTr="002B04EB">
        <w:tc>
          <w:tcPr>
            <w:tcW w:w="13010" w:type="dxa"/>
            <w:gridSpan w:val="31"/>
            <w:shd w:val="clear" w:color="auto" w:fill="B4C6E7"/>
          </w:tcPr>
          <w:p w14:paraId="38BDD2B0" w14:textId="77777777" w:rsidR="002B04EB" w:rsidRPr="003F7F6C" w:rsidRDefault="002B04EB" w:rsidP="00B851B7">
            <w:pPr>
              <w:rPr>
                <w:rFonts w:cs="Calibri"/>
                <w:sz w:val="16"/>
                <w:szCs w:val="16"/>
              </w:rPr>
            </w:pPr>
            <w:r w:rsidRPr="003F7F6C">
              <w:rPr>
                <w:rFonts w:eastAsia="Times New Roman" w:cs="Calibri"/>
                <w:i/>
                <w:sz w:val="16"/>
                <w:szCs w:val="16"/>
                <w:lang w:eastAsia="es-ES_tradnl"/>
              </w:rPr>
              <w:t xml:space="preserve">Output 3.2. </w:t>
            </w:r>
            <w:r w:rsidRPr="003F7F6C">
              <w:rPr>
                <w:rFonts w:eastAsia="Times New Roman" w:cs="Calibri"/>
                <w:bCs/>
                <w:i/>
                <w:sz w:val="16"/>
                <w:szCs w:val="16"/>
                <w:lang w:eastAsia="es-ES_tradnl"/>
              </w:rPr>
              <w:t>Nationwide ELUP Capacity Strengthening Programme for Provincial Authorities</w:t>
            </w:r>
          </w:p>
        </w:tc>
      </w:tr>
      <w:tr w:rsidR="002B04EB" w:rsidRPr="003F7F6C" w14:paraId="586D44B1" w14:textId="77777777" w:rsidTr="00B851B7">
        <w:tc>
          <w:tcPr>
            <w:tcW w:w="1668" w:type="dxa"/>
          </w:tcPr>
          <w:p w14:paraId="2902C5D4" w14:textId="77777777" w:rsidR="002B04EB" w:rsidRPr="003F7F6C" w:rsidRDefault="002B04EB" w:rsidP="00B851B7">
            <w:pPr>
              <w:rPr>
                <w:rFonts w:cs="Calibri"/>
                <w:sz w:val="16"/>
                <w:szCs w:val="16"/>
              </w:rPr>
            </w:pPr>
            <w:r w:rsidRPr="003F7F6C">
              <w:rPr>
                <w:rFonts w:cs="Calibri"/>
                <w:sz w:val="16"/>
                <w:szCs w:val="16"/>
              </w:rPr>
              <w:t>3.2.1 Develop a capacity strengthening program</w:t>
            </w:r>
          </w:p>
        </w:tc>
        <w:tc>
          <w:tcPr>
            <w:tcW w:w="1057" w:type="dxa"/>
          </w:tcPr>
          <w:p w14:paraId="6A6C304D" w14:textId="77777777" w:rsidR="002B04EB" w:rsidRPr="003F7F6C" w:rsidRDefault="00A76779" w:rsidP="00B851B7">
            <w:pPr>
              <w:rPr>
                <w:rFonts w:cs="Calibri"/>
                <w:sz w:val="16"/>
                <w:szCs w:val="16"/>
              </w:rPr>
            </w:pPr>
            <w:r w:rsidRPr="003F7F6C">
              <w:rPr>
                <w:rFonts w:cs="Calibri"/>
                <w:sz w:val="16"/>
                <w:szCs w:val="16"/>
              </w:rPr>
              <w:t>SGAyDS</w:t>
            </w:r>
          </w:p>
        </w:tc>
        <w:tc>
          <w:tcPr>
            <w:tcW w:w="428" w:type="dxa"/>
          </w:tcPr>
          <w:p w14:paraId="5385F574" w14:textId="77777777" w:rsidR="002B04EB" w:rsidRPr="003F7F6C" w:rsidRDefault="002B04EB" w:rsidP="00B851B7">
            <w:pPr>
              <w:rPr>
                <w:rFonts w:cs="Calibri"/>
                <w:sz w:val="16"/>
                <w:szCs w:val="16"/>
              </w:rPr>
            </w:pPr>
          </w:p>
        </w:tc>
        <w:tc>
          <w:tcPr>
            <w:tcW w:w="444" w:type="dxa"/>
          </w:tcPr>
          <w:p w14:paraId="55264A2B" w14:textId="77777777" w:rsidR="002B04EB" w:rsidRPr="003F7F6C" w:rsidRDefault="002B04EB" w:rsidP="00B851B7">
            <w:pPr>
              <w:rPr>
                <w:rFonts w:cs="Calibri"/>
                <w:sz w:val="16"/>
                <w:szCs w:val="16"/>
              </w:rPr>
            </w:pPr>
          </w:p>
        </w:tc>
        <w:tc>
          <w:tcPr>
            <w:tcW w:w="428" w:type="dxa"/>
          </w:tcPr>
          <w:p w14:paraId="38F82418" w14:textId="77777777" w:rsidR="002B04EB" w:rsidRPr="003F7F6C" w:rsidRDefault="002B04EB" w:rsidP="00B851B7">
            <w:pPr>
              <w:rPr>
                <w:rFonts w:cs="Calibri"/>
                <w:sz w:val="16"/>
                <w:szCs w:val="16"/>
              </w:rPr>
            </w:pPr>
          </w:p>
        </w:tc>
        <w:tc>
          <w:tcPr>
            <w:tcW w:w="428" w:type="dxa"/>
            <w:gridSpan w:val="2"/>
          </w:tcPr>
          <w:p w14:paraId="228D89B5" w14:textId="77777777" w:rsidR="002B04EB" w:rsidRPr="003F7F6C" w:rsidRDefault="002B04EB" w:rsidP="00B851B7">
            <w:pPr>
              <w:rPr>
                <w:rFonts w:cs="Calibri"/>
                <w:sz w:val="16"/>
                <w:szCs w:val="16"/>
              </w:rPr>
            </w:pPr>
          </w:p>
        </w:tc>
        <w:tc>
          <w:tcPr>
            <w:tcW w:w="428" w:type="dxa"/>
          </w:tcPr>
          <w:p w14:paraId="2AE8A831" w14:textId="77777777" w:rsidR="002B04EB" w:rsidRPr="003F7F6C" w:rsidRDefault="002B04EB" w:rsidP="00B851B7">
            <w:pPr>
              <w:rPr>
                <w:rFonts w:cs="Calibri"/>
                <w:sz w:val="16"/>
                <w:szCs w:val="16"/>
              </w:rPr>
            </w:pPr>
          </w:p>
        </w:tc>
        <w:tc>
          <w:tcPr>
            <w:tcW w:w="427" w:type="dxa"/>
          </w:tcPr>
          <w:p w14:paraId="3A89258F" w14:textId="77777777" w:rsidR="002B04EB" w:rsidRPr="003F7F6C" w:rsidRDefault="002B04EB" w:rsidP="00B851B7">
            <w:pPr>
              <w:rPr>
                <w:rFonts w:cs="Calibri"/>
                <w:sz w:val="16"/>
                <w:szCs w:val="16"/>
              </w:rPr>
            </w:pPr>
          </w:p>
        </w:tc>
        <w:tc>
          <w:tcPr>
            <w:tcW w:w="427" w:type="dxa"/>
          </w:tcPr>
          <w:p w14:paraId="3A72BCE9" w14:textId="77777777" w:rsidR="002B04EB" w:rsidRPr="003F7F6C" w:rsidRDefault="002B04EB" w:rsidP="00B851B7">
            <w:pPr>
              <w:rPr>
                <w:rFonts w:cs="Calibri"/>
                <w:sz w:val="16"/>
                <w:szCs w:val="16"/>
              </w:rPr>
            </w:pPr>
          </w:p>
        </w:tc>
        <w:tc>
          <w:tcPr>
            <w:tcW w:w="427" w:type="dxa"/>
            <w:gridSpan w:val="2"/>
          </w:tcPr>
          <w:p w14:paraId="5EC607F1" w14:textId="77777777" w:rsidR="002B04EB" w:rsidRPr="003F7F6C" w:rsidRDefault="002B04EB" w:rsidP="00B851B7">
            <w:pPr>
              <w:rPr>
                <w:rFonts w:cs="Calibri"/>
                <w:sz w:val="16"/>
                <w:szCs w:val="16"/>
              </w:rPr>
            </w:pPr>
          </w:p>
        </w:tc>
        <w:tc>
          <w:tcPr>
            <w:tcW w:w="428" w:type="dxa"/>
          </w:tcPr>
          <w:p w14:paraId="6E2B8576" w14:textId="77777777" w:rsidR="002B04EB" w:rsidRPr="003F7F6C" w:rsidRDefault="002B04EB" w:rsidP="00B851B7">
            <w:pPr>
              <w:rPr>
                <w:rFonts w:cs="Calibri"/>
                <w:sz w:val="16"/>
                <w:szCs w:val="16"/>
              </w:rPr>
            </w:pPr>
          </w:p>
        </w:tc>
        <w:tc>
          <w:tcPr>
            <w:tcW w:w="428" w:type="dxa"/>
          </w:tcPr>
          <w:p w14:paraId="16ABE2B3" w14:textId="77777777" w:rsidR="002B04EB" w:rsidRPr="003F7F6C" w:rsidRDefault="002B04EB" w:rsidP="00B851B7">
            <w:pPr>
              <w:rPr>
                <w:rFonts w:cs="Calibri"/>
                <w:sz w:val="16"/>
                <w:szCs w:val="16"/>
              </w:rPr>
            </w:pPr>
          </w:p>
        </w:tc>
        <w:tc>
          <w:tcPr>
            <w:tcW w:w="428" w:type="dxa"/>
          </w:tcPr>
          <w:p w14:paraId="5B24B6FB" w14:textId="77777777" w:rsidR="002B04EB" w:rsidRPr="003F7F6C" w:rsidRDefault="002B04EB" w:rsidP="00B851B7">
            <w:pPr>
              <w:rPr>
                <w:rFonts w:cs="Calibri"/>
                <w:sz w:val="16"/>
                <w:szCs w:val="16"/>
              </w:rPr>
            </w:pPr>
          </w:p>
        </w:tc>
        <w:tc>
          <w:tcPr>
            <w:tcW w:w="428" w:type="dxa"/>
            <w:gridSpan w:val="2"/>
          </w:tcPr>
          <w:p w14:paraId="2A8C9FBD" w14:textId="77777777" w:rsidR="002B04EB" w:rsidRPr="003F7F6C" w:rsidRDefault="002B04EB" w:rsidP="00B851B7">
            <w:pPr>
              <w:rPr>
                <w:rFonts w:cs="Calibri"/>
                <w:sz w:val="16"/>
                <w:szCs w:val="16"/>
              </w:rPr>
            </w:pPr>
          </w:p>
        </w:tc>
        <w:tc>
          <w:tcPr>
            <w:tcW w:w="428" w:type="dxa"/>
          </w:tcPr>
          <w:p w14:paraId="6FD8E65B" w14:textId="77777777" w:rsidR="002B04EB" w:rsidRPr="003F7F6C" w:rsidRDefault="002B04EB" w:rsidP="00B851B7">
            <w:pPr>
              <w:rPr>
                <w:sz w:val="16"/>
                <w:szCs w:val="16"/>
              </w:rPr>
            </w:pPr>
            <w:r w:rsidRPr="003F7F6C">
              <w:rPr>
                <w:rFonts w:cs="Calibri"/>
                <w:sz w:val="16"/>
                <w:szCs w:val="16"/>
              </w:rPr>
              <w:t>X</w:t>
            </w:r>
          </w:p>
        </w:tc>
        <w:tc>
          <w:tcPr>
            <w:tcW w:w="428" w:type="dxa"/>
          </w:tcPr>
          <w:p w14:paraId="6F0A22F2" w14:textId="77777777" w:rsidR="002B04EB" w:rsidRPr="003F7F6C" w:rsidRDefault="002B04EB" w:rsidP="00B851B7">
            <w:pPr>
              <w:rPr>
                <w:sz w:val="16"/>
                <w:szCs w:val="16"/>
              </w:rPr>
            </w:pPr>
            <w:r w:rsidRPr="003F7F6C">
              <w:rPr>
                <w:rFonts w:cs="Calibri"/>
                <w:sz w:val="16"/>
                <w:szCs w:val="16"/>
              </w:rPr>
              <w:t>X</w:t>
            </w:r>
          </w:p>
        </w:tc>
        <w:tc>
          <w:tcPr>
            <w:tcW w:w="428" w:type="dxa"/>
          </w:tcPr>
          <w:p w14:paraId="72EBA1B6"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54A7B070" w14:textId="77777777" w:rsidR="002B04EB" w:rsidRPr="003F7F6C" w:rsidRDefault="002B04EB" w:rsidP="00B851B7">
            <w:pPr>
              <w:rPr>
                <w:sz w:val="16"/>
                <w:szCs w:val="16"/>
              </w:rPr>
            </w:pPr>
            <w:r w:rsidRPr="003F7F6C">
              <w:rPr>
                <w:rFonts w:cs="Calibri"/>
                <w:sz w:val="16"/>
                <w:szCs w:val="16"/>
              </w:rPr>
              <w:t>X</w:t>
            </w:r>
          </w:p>
        </w:tc>
        <w:tc>
          <w:tcPr>
            <w:tcW w:w="428" w:type="dxa"/>
          </w:tcPr>
          <w:p w14:paraId="40289320" w14:textId="77777777" w:rsidR="002B04EB" w:rsidRPr="003F7F6C" w:rsidRDefault="002B04EB" w:rsidP="00B851B7">
            <w:pPr>
              <w:rPr>
                <w:sz w:val="16"/>
                <w:szCs w:val="16"/>
              </w:rPr>
            </w:pPr>
            <w:r w:rsidRPr="003F7F6C">
              <w:rPr>
                <w:rFonts w:cs="Calibri"/>
                <w:sz w:val="16"/>
                <w:szCs w:val="16"/>
              </w:rPr>
              <w:t>X</w:t>
            </w:r>
          </w:p>
        </w:tc>
        <w:tc>
          <w:tcPr>
            <w:tcW w:w="428" w:type="dxa"/>
          </w:tcPr>
          <w:p w14:paraId="6FA115AD" w14:textId="77777777" w:rsidR="002B04EB" w:rsidRPr="003F7F6C" w:rsidRDefault="002B04EB" w:rsidP="00B851B7">
            <w:pPr>
              <w:rPr>
                <w:sz w:val="16"/>
                <w:szCs w:val="16"/>
              </w:rPr>
            </w:pPr>
            <w:r w:rsidRPr="003F7F6C">
              <w:rPr>
                <w:rFonts w:cs="Calibri"/>
                <w:sz w:val="16"/>
                <w:szCs w:val="16"/>
              </w:rPr>
              <w:t>X</w:t>
            </w:r>
          </w:p>
        </w:tc>
        <w:tc>
          <w:tcPr>
            <w:tcW w:w="428" w:type="dxa"/>
          </w:tcPr>
          <w:p w14:paraId="11C99300"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7D1911EE" w14:textId="77777777" w:rsidR="002B04EB" w:rsidRPr="003F7F6C" w:rsidRDefault="002B04EB" w:rsidP="00B851B7">
            <w:pPr>
              <w:rPr>
                <w:sz w:val="16"/>
                <w:szCs w:val="16"/>
              </w:rPr>
            </w:pPr>
            <w:r w:rsidRPr="003F7F6C">
              <w:rPr>
                <w:rFonts w:cs="Calibri"/>
                <w:sz w:val="16"/>
                <w:szCs w:val="16"/>
              </w:rPr>
              <w:t>X</w:t>
            </w:r>
          </w:p>
        </w:tc>
        <w:tc>
          <w:tcPr>
            <w:tcW w:w="428" w:type="dxa"/>
          </w:tcPr>
          <w:p w14:paraId="45D1DABC" w14:textId="77777777" w:rsidR="002B04EB" w:rsidRPr="003F7F6C" w:rsidRDefault="002B04EB" w:rsidP="00B851B7">
            <w:pPr>
              <w:rPr>
                <w:sz w:val="16"/>
                <w:szCs w:val="16"/>
              </w:rPr>
            </w:pPr>
            <w:r w:rsidRPr="003F7F6C">
              <w:rPr>
                <w:rFonts w:cs="Calibri"/>
                <w:sz w:val="16"/>
                <w:szCs w:val="16"/>
              </w:rPr>
              <w:t>X</w:t>
            </w:r>
          </w:p>
        </w:tc>
        <w:tc>
          <w:tcPr>
            <w:tcW w:w="428" w:type="dxa"/>
          </w:tcPr>
          <w:p w14:paraId="1EC14121" w14:textId="77777777" w:rsidR="002B04EB" w:rsidRPr="003F7F6C" w:rsidRDefault="002B04EB" w:rsidP="00B851B7">
            <w:pPr>
              <w:rPr>
                <w:sz w:val="16"/>
                <w:szCs w:val="16"/>
              </w:rPr>
            </w:pPr>
            <w:r w:rsidRPr="003F7F6C">
              <w:rPr>
                <w:rFonts w:cs="Calibri"/>
                <w:sz w:val="16"/>
                <w:szCs w:val="16"/>
              </w:rPr>
              <w:t>X</w:t>
            </w:r>
          </w:p>
        </w:tc>
        <w:tc>
          <w:tcPr>
            <w:tcW w:w="428" w:type="dxa"/>
          </w:tcPr>
          <w:p w14:paraId="76EC58DD" w14:textId="77777777" w:rsidR="002B04EB" w:rsidRPr="003F7F6C" w:rsidRDefault="002B04EB" w:rsidP="00B851B7">
            <w:pPr>
              <w:rPr>
                <w:sz w:val="16"/>
                <w:szCs w:val="16"/>
              </w:rPr>
            </w:pPr>
            <w:r w:rsidRPr="003F7F6C">
              <w:rPr>
                <w:rFonts w:cs="Calibri"/>
                <w:sz w:val="16"/>
                <w:szCs w:val="16"/>
              </w:rPr>
              <w:t>X</w:t>
            </w:r>
          </w:p>
        </w:tc>
        <w:tc>
          <w:tcPr>
            <w:tcW w:w="428" w:type="dxa"/>
          </w:tcPr>
          <w:p w14:paraId="641A1A3B" w14:textId="77777777" w:rsidR="002B04EB" w:rsidRPr="003F7F6C" w:rsidRDefault="002B04EB" w:rsidP="00B851B7">
            <w:pPr>
              <w:rPr>
                <w:sz w:val="16"/>
                <w:szCs w:val="16"/>
              </w:rPr>
            </w:pPr>
            <w:r w:rsidRPr="003F7F6C">
              <w:rPr>
                <w:rFonts w:cs="Calibri"/>
                <w:sz w:val="16"/>
                <w:szCs w:val="16"/>
              </w:rPr>
              <w:t>X</w:t>
            </w:r>
          </w:p>
        </w:tc>
      </w:tr>
      <w:tr w:rsidR="002B04EB" w:rsidRPr="003F7F6C" w14:paraId="301D1FB3" w14:textId="77777777" w:rsidTr="00B851B7">
        <w:tc>
          <w:tcPr>
            <w:tcW w:w="1668" w:type="dxa"/>
          </w:tcPr>
          <w:p w14:paraId="72F10C6B" w14:textId="77777777" w:rsidR="002B04EB" w:rsidRPr="003F7F6C" w:rsidRDefault="002B04EB" w:rsidP="00B851B7">
            <w:pPr>
              <w:rPr>
                <w:rFonts w:cs="Calibri"/>
                <w:sz w:val="16"/>
                <w:szCs w:val="16"/>
              </w:rPr>
            </w:pPr>
            <w:r w:rsidRPr="003F7F6C">
              <w:rPr>
                <w:rFonts w:cs="Calibri"/>
                <w:sz w:val="16"/>
                <w:szCs w:val="16"/>
              </w:rPr>
              <w:t>3.2.2 Develop methodological guides for upscaling ELUP</w:t>
            </w:r>
          </w:p>
        </w:tc>
        <w:tc>
          <w:tcPr>
            <w:tcW w:w="1057" w:type="dxa"/>
          </w:tcPr>
          <w:p w14:paraId="24766813" w14:textId="77777777" w:rsidR="00A76779" w:rsidRPr="003F7F6C" w:rsidRDefault="00A76779" w:rsidP="00B851B7">
            <w:pPr>
              <w:rPr>
                <w:rFonts w:cs="Calibri"/>
                <w:sz w:val="16"/>
                <w:szCs w:val="16"/>
              </w:rPr>
            </w:pPr>
            <w:r w:rsidRPr="003F7F6C">
              <w:rPr>
                <w:rFonts w:cs="Calibri"/>
                <w:sz w:val="16"/>
                <w:szCs w:val="16"/>
              </w:rPr>
              <w:t>SGAyDS</w:t>
            </w:r>
          </w:p>
        </w:tc>
        <w:tc>
          <w:tcPr>
            <w:tcW w:w="428" w:type="dxa"/>
          </w:tcPr>
          <w:p w14:paraId="6D835679" w14:textId="77777777" w:rsidR="002B04EB" w:rsidRPr="003F7F6C" w:rsidRDefault="002B04EB" w:rsidP="00B851B7">
            <w:pPr>
              <w:rPr>
                <w:rFonts w:cs="Calibri"/>
                <w:sz w:val="16"/>
                <w:szCs w:val="16"/>
              </w:rPr>
            </w:pPr>
          </w:p>
        </w:tc>
        <w:tc>
          <w:tcPr>
            <w:tcW w:w="444" w:type="dxa"/>
          </w:tcPr>
          <w:p w14:paraId="62995B4A" w14:textId="77777777" w:rsidR="002B04EB" w:rsidRPr="003F7F6C" w:rsidRDefault="002B04EB" w:rsidP="00B851B7">
            <w:pPr>
              <w:rPr>
                <w:rFonts w:cs="Calibri"/>
                <w:sz w:val="16"/>
                <w:szCs w:val="16"/>
              </w:rPr>
            </w:pPr>
          </w:p>
        </w:tc>
        <w:tc>
          <w:tcPr>
            <w:tcW w:w="428" w:type="dxa"/>
          </w:tcPr>
          <w:p w14:paraId="304FFF20" w14:textId="77777777" w:rsidR="002B04EB" w:rsidRPr="003F7F6C" w:rsidRDefault="002B04EB" w:rsidP="00B851B7">
            <w:pPr>
              <w:rPr>
                <w:rFonts w:cs="Calibri"/>
                <w:sz w:val="16"/>
                <w:szCs w:val="16"/>
              </w:rPr>
            </w:pPr>
          </w:p>
        </w:tc>
        <w:tc>
          <w:tcPr>
            <w:tcW w:w="428" w:type="dxa"/>
            <w:gridSpan w:val="2"/>
          </w:tcPr>
          <w:p w14:paraId="07FB2EEB" w14:textId="77777777" w:rsidR="002B04EB" w:rsidRPr="003F7F6C" w:rsidRDefault="002B04EB" w:rsidP="00B851B7">
            <w:pPr>
              <w:rPr>
                <w:rFonts w:cs="Calibri"/>
                <w:sz w:val="16"/>
                <w:szCs w:val="16"/>
              </w:rPr>
            </w:pPr>
          </w:p>
        </w:tc>
        <w:tc>
          <w:tcPr>
            <w:tcW w:w="428" w:type="dxa"/>
          </w:tcPr>
          <w:p w14:paraId="4A439B01" w14:textId="77777777" w:rsidR="002B04EB" w:rsidRPr="003F7F6C" w:rsidRDefault="002B04EB" w:rsidP="00B851B7">
            <w:pPr>
              <w:rPr>
                <w:rFonts w:cs="Calibri"/>
                <w:sz w:val="16"/>
                <w:szCs w:val="16"/>
              </w:rPr>
            </w:pPr>
          </w:p>
        </w:tc>
        <w:tc>
          <w:tcPr>
            <w:tcW w:w="427" w:type="dxa"/>
          </w:tcPr>
          <w:p w14:paraId="1E9E4098" w14:textId="77777777" w:rsidR="002B04EB" w:rsidRPr="003F7F6C" w:rsidRDefault="002B04EB" w:rsidP="00B851B7">
            <w:pPr>
              <w:rPr>
                <w:rFonts w:cs="Calibri"/>
                <w:sz w:val="16"/>
                <w:szCs w:val="16"/>
              </w:rPr>
            </w:pPr>
          </w:p>
        </w:tc>
        <w:tc>
          <w:tcPr>
            <w:tcW w:w="427" w:type="dxa"/>
          </w:tcPr>
          <w:p w14:paraId="3820C8C8" w14:textId="77777777" w:rsidR="002B04EB" w:rsidRPr="003F7F6C" w:rsidRDefault="002B04EB" w:rsidP="00B851B7">
            <w:pPr>
              <w:rPr>
                <w:rFonts w:cs="Calibri"/>
                <w:sz w:val="16"/>
                <w:szCs w:val="16"/>
              </w:rPr>
            </w:pPr>
          </w:p>
        </w:tc>
        <w:tc>
          <w:tcPr>
            <w:tcW w:w="427" w:type="dxa"/>
            <w:gridSpan w:val="2"/>
          </w:tcPr>
          <w:p w14:paraId="5CC37805" w14:textId="77777777" w:rsidR="002B04EB" w:rsidRPr="003F7F6C" w:rsidRDefault="002B04EB" w:rsidP="00B851B7">
            <w:pPr>
              <w:rPr>
                <w:rFonts w:cs="Calibri"/>
                <w:sz w:val="16"/>
                <w:szCs w:val="16"/>
              </w:rPr>
            </w:pPr>
          </w:p>
        </w:tc>
        <w:tc>
          <w:tcPr>
            <w:tcW w:w="428" w:type="dxa"/>
          </w:tcPr>
          <w:p w14:paraId="51E05013" w14:textId="77777777" w:rsidR="002B04EB" w:rsidRPr="003F7F6C" w:rsidRDefault="002B04EB" w:rsidP="00B851B7">
            <w:pPr>
              <w:rPr>
                <w:rFonts w:cs="Calibri"/>
                <w:sz w:val="16"/>
                <w:szCs w:val="16"/>
              </w:rPr>
            </w:pPr>
          </w:p>
        </w:tc>
        <w:tc>
          <w:tcPr>
            <w:tcW w:w="428" w:type="dxa"/>
          </w:tcPr>
          <w:p w14:paraId="256CD733" w14:textId="77777777" w:rsidR="002B04EB" w:rsidRPr="003F7F6C" w:rsidRDefault="002B04EB" w:rsidP="00B851B7">
            <w:pPr>
              <w:rPr>
                <w:rFonts w:cs="Calibri"/>
                <w:sz w:val="16"/>
                <w:szCs w:val="16"/>
              </w:rPr>
            </w:pPr>
          </w:p>
        </w:tc>
        <w:tc>
          <w:tcPr>
            <w:tcW w:w="428" w:type="dxa"/>
          </w:tcPr>
          <w:p w14:paraId="5B888163" w14:textId="77777777" w:rsidR="002B04EB" w:rsidRPr="003F7F6C" w:rsidRDefault="002B04EB" w:rsidP="00B851B7">
            <w:pPr>
              <w:rPr>
                <w:rFonts w:cs="Calibri"/>
                <w:sz w:val="16"/>
                <w:szCs w:val="16"/>
              </w:rPr>
            </w:pPr>
          </w:p>
        </w:tc>
        <w:tc>
          <w:tcPr>
            <w:tcW w:w="428" w:type="dxa"/>
            <w:gridSpan w:val="2"/>
          </w:tcPr>
          <w:p w14:paraId="1ED8A635" w14:textId="77777777" w:rsidR="002B04EB" w:rsidRPr="003F7F6C" w:rsidRDefault="002B04EB" w:rsidP="00B851B7">
            <w:pPr>
              <w:rPr>
                <w:rFonts w:cs="Calibri"/>
                <w:sz w:val="16"/>
                <w:szCs w:val="16"/>
              </w:rPr>
            </w:pPr>
          </w:p>
        </w:tc>
        <w:tc>
          <w:tcPr>
            <w:tcW w:w="428" w:type="dxa"/>
          </w:tcPr>
          <w:p w14:paraId="786D00AA" w14:textId="77777777" w:rsidR="002B04EB" w:rsidRPr="003F7F6C" w:rsidRDefault="002B04EB" w:rsidP="00B851B7">
            <w:pPr>
              <w:rPr>
                <w:sz w:val="16"/>
                <w:szCs w:val="16"/>
              </w:rPr>
            </w:pPr>
            <w:r w:rsidRPr="003F7F6C">
              <w:rPr>
                <w:rFonts w:cs="Calibri"/>
                <w:sz w:val="16"/>
                <w:szCs w:val="16"/>
              </w:rPr>
              <w:t>X</w:t>
            </w:r>
          </w:p>
        </w:tc>
        <w:tc>
          <w:tcPr>
            <w:tcW w:w="428" w:type="dxa"/>
          </w:tcPr>
          <w:p w14:paraId="08BF698E" w14:textId="77777777" w:rsidR="002B04EB" w:rsidRPr="003F7F6C" w:rsidRDefault="002B04EB" w:rsidP="00B851B7">
            <w:pPr>
              <w:rPr>
                <w:sz w:val="16"/>
                <w:szCs w:val="16"/>
              </w:rPr>
            </w:pPr>
            <w:r w:rsidRPr="003F7F6C">
              <w:rPr>
                <w:rFonts w:cs="Calibri"/>
                <w:sz w:val="16"/>
                <w:szCs w:val="16"/>
              </w:rPr>
              <w:t>X</w:t>
            </w:r>
          </w:p>
        </w:tc>
        <w:tc>
          <w:tcPr>
            <w:tcW w:w="428" w:type="dxa"/>
          </w:tcPr>
          <w:p w14:paraId="3241205D"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078356F9" w14:textId="77777777" w:rsidR="002B04EB" w:rsidRPr="003F7F6C" w:rsidRDefault="002B04EB" w:rsidP="00B851B7">
            <w:pPr>
              <w:rPr>
                <w:sz w:val="16"/>
                <w:szCs w:val="16"/>
              </w:rPr>
            </w:pPr>
            <w:r w:rsidRPr="003F7F6C">
              <w:rPr>
                <w:rFonts w:cs="Calibri"/>
                <w:sz w:val="16"/>
                <w:szCs w:val="16"/>
              </w:rPr>
              <w:t>X</w:t>
            </w:r>
          </w:p>
        </w:tc>
        <w:tc>
          <w:tcPr>
            <w:tcW w:w="428" w:type="dxa"/>
          </w:tcPr>
          <w:p w14:paraId="54AC30FF" w14:textId="77777777" w:rsidR="002B04EB" w:rsidRPr="003F7F6C" w:rsidRDefault="002B04EB" w:rsidP="00B851B7">
            <w:pPr>
              <w:rPr>
                <w:sz w:val="16"/>
                <w:szCs w:val="16"/>
              </w:rPr>
            </w:pPr>
            <w:r w:rsidRPr="003F7F6C">
              <w:rPr>
                <w:rFonts w:cs="Calibri"/>
                <w:sz w:val="16"/>
                <w:szCs w:val="16"/>
              </w:rPr>
              <w:t>X</w:t>
            </w:r>
          </w:p>
        </w:tc>
        <w:tc>
          <w:tcPr>
            <w:tcW w:w="428" w:type="dxa"/>
          </w:tcPr>
          <w:p w14:paraId="6CE09CB9" w14:textId="77777777" w:rsidR="002B04EB" w:rsidRPr="003F7F6C" w:rsidRDefault="002B04EB" w:rsidP="00B851B7">
            <w:pPr>
              <w:rPr>
                <w:sz w:val="16"/>
                <w:szCs w:val="16"/>
              </w:rPr>
            </w:pPr>
            <w:r w:rsidRPr="003F7F6C">
              <w:rPr>
                <w:rFonts w:cs="Calibri"/>
                <w:sz w:val="16"/>
                <w:szCs w:val="16"/>
              </w:rPr>
              <w:t>X</w:t>
            </w:r>
          </w:p>
        </w:tc>
        <w:tc>
          <w:tcPr>
            <w:tcW w:w="428" w:type="dxa"/>
          </w:tcPr>
          <w:p w14:paraId="7FE9493C"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33AB6F85" w14:textId="77777777" w:rsidR="002B04EB" w:rsidRPr="003F7F6C" w:rsidRDefault="002B04EB" w:rsidP="00B851B7">
            <w:pPr>
              <w:rPr>
                <w:sz w:val="16"/>
                <w:szCs w:val="16"/>
              </w:rPr>
            </w:pPr>
            <w:r w:rsidRPr="003F7F6C">
              <w:rPr>
                <w:rFonts w:cs="Calibri"/>
                <w:sz w:val="16"/>
                <w:szCs w:val="16"/>
              </w:rPr>
              <w:t>X</w:t>
            </w:r>
          </w:p>
        </w:tc>
        <w:tc>
          <w:tcPr>
            <w:tcW w:w="428" w:type="dxa"/>
          </w:tcPr>
          <w:p w14:paraId="52E20A5F" w14:textId="77777777" w:rsidR="002B04EB" w:rsidRPr="003F7F6C" w:rsidRDefault="002B04EB" w:rsidP="00B851B7">
            <w:pPr>
              <w:rPr>
                <w:sz w:val="16"/>
                <w:szCs w:val="16"/>
              </w:rPr>
            </w:pPr>
            <w:r w:rsidRPr="003F7F6C">
              <w:rPr>
                <w:rFonts w:cs="Calibri"/>
                <w:sz w:val="16"/>
                <w:szCs w:val="16"/>
              </w:rPr>
              <w:t>X</w:t>
            </w:r>
          </w:p>
        </w:tc>
        <w:tc>
          <w:tcPr>
            <w:tcW w:w="428" w:type="dxa"/>
          </w:tcPr>
          <w:p w14:paraId="44B4BC2C" w14:textId="77777777" w:rsidR="002B04EB" w:rsidRPr="003F7F6C" w:rsidRDefault="002B04EB" w:rsidP="00B851B7">
            <w:pPr>
              <w:rPr>
                <w:sz w:val="16"/>
                <w:szCs w:val="16"/>
              </w:rPr>
            </w:pPr>
            <w:r w:rsidRPr="003F7F6C">
              <w:rPr>
                <w:rFonts w:cs="Calibri"/>
                <w:sz w:val="16"/>
                <w:szCs w:val="16"/>
              </w:rPr>
              <w:t>X</w:t>
            </w:r>
          </w:p>
        </w:tc>
        <w:tc>
          <w:tcPr>
            <w:tcW w:w="428" w:type="dxa"/>
          </w:tcPr>
          <w:p w14:paraId="64A3BFC5" w14:textId="77777777" w:rsidR="002B04EB" w:rsidRPr="003F7F6C" w:rsidRDefault="002B04EB" w:rsidP="00B851B7">
            <w:pPr>
              <w:rPr>
                <w:sz w:val="16"/>
                <w:szCs w:val="16"/>
              </w:rPr>
            </w:pPr>
            <w:r w:rsidRPr="003F7F6C">
              <w:rPr>
                <w:rFonts w:cs="Calibri"/>
                <w:sz w:val="16"/>
                <w:szCs w:val="16"/>
              </w:rPr>
              <w:t>X</w:t>
            </w:r>
          </w:p>
        </w:tc>
        <w:tc>
          <w:tcPr>
            <w:tcW w:w="428" w:type="dxa"/>
          </w:tcPr>
          <w:p w14:paraId="7900D5F5" w14:textId="77777777" w:rsidR="002B04EB" w:rsidRPr="003F7F6C" w:rsidRDefault="002B04EB" w:rsidP="00B851B7">
            <w:pPr>
              <w:rPr>
                <w:sz w:val="16"/>
                <w:szCs w:val="16"/>
              </w:rPr>
            </w:pPr>
            <w:r w:rsidRPr="003F7F6C">
              <w:rPr>
                <w:rFonts w:cs="Calibri"/>
                <w:sz w:val="16"/>
                <w:szCs w:val="16"/>
              </w:rPr>
              <w:t>X</w:t>
            </w:r>
          </w:p>
        </w:tc>
      </w:tr>
      <w:tr w:rsidR="002B04EB" w:rsidRPr="003F7F6C" w14:paraId="439AEC6D" w14:textId="77777777" w:rsidTr="002B04EB">
        <w:tc>
          <w:tcPr>
            <w:tcW w:w="13010" w:type="dxa"/>
            <w:gridSpan w:val="31"/>
            <w:shd w:val="clear" w:color="auto" w:fill="B4C6E7"/>
          </w:tcPr>
          <w:p w14:paraId="6855EE11" w14:textId="77777777" w:rsidR="002B04EB" w:rsidRPr="003F7F6C" w:rsidRDefault="002B04EB" w:rsidP="00B851B7">
            <w:pPr>
              <w:rPr>
                <w:rFonts w:cs="Calibri"/>
                <w:sz w:val="16"/>
                <w:szCs w:val="16"/>
              </w:rPr>
            </w:pPr>
            <w:r w:rsidRPr="003F7F6C">
              <w:rPr>
                <w:rFonts w:eastAsia="Times New Roman" w:cs="Calibri"/>
                <w:i/>
                <w:sz w:val="16"/>
                <w:szCs w:val="16"/>
                <w:lang w:eastAsia="es-ES_tradnl"/>
              </w:rPr>
              <w:t xml:space="preserve">Output 3.3. </w:t>
            </w:r>
            <w:r w:rsidRPr="003F7F6C">
              <w:rPr>
                <w:rFonts w:eastAsia="Times New Roman" w:cs="Calibri"/>
                <w:bCs/>
                <w:i/>
                <w:sz w:val="16"/>
                <w:szCs w:val="16"/>
                <w:lang w:eastAsia="es-ES_tradnl"/>
              </w:rPr>
              <w:t>System to Monitor ELUP implementation nationwide established</w:t>
            </w:r>
          </w:p>
        </w:tc>
      </w:tr>
      <w:tr w:rsidR="002B04EB" w:rsidRPr="003F7F6C" w14:paraId="07E2F2A2" w14:textId="77777777" w:rsidTr="00B851B7">
        <w:tc>
          <w:tcPr>
            <w:tcW w:w="1668" w:type="dxa"/>
          </w:tcPr>
          <w:p w14:paraId="296CDACE" w14:textId="77777777" w:rsidR="002B04EB" w:rsidRPr="003F7F6C" w:rsidRDefault="002B04EB" w:rsidP="00B851B7">
            <w:pPr>
              <w:rPr>
                <w:rFonts w:cs="Calibri"/>
                <w:sz w:val="16"/>
                <w:szCs w:val="16"/>
              </w:rPr>
            </w:pPr>
            <w:r w:rsidRPr="003F7F6C">
              <w:rPr>
                <w:rFonts w:cs="Calibri"/>
                <w:sz w:val="16"/>
                <w:szCs w:val="16"/>
              </w:rPr>
              <w:t>3.3.1 Inter-sectoral coordination at different levels for planning, monitoring and mainstreaming ELUP in national programs</w:t>
            </w:r>
          </w:p>
        </w:tc>
        <w:tc>
          <w:tcPr>
            <w:tcW w:w="1057" w:type="dxa"/>
          </w:tcPr>
          <w:p w14:paraId="5012D612" w14:textId="77777777" w:rsidR="002B04EB" w:rsidRPr="003F7F6C" w:rsidRDefault="00A76779" w:rsidP="00B851B7">
            <w:pPr>
              <w:rPr>
                <w:rFonts w:cs="Calibri"/>
                <w:sz w:val="16"/>
                <w:szCs w:val="16"/>
              </w:rPr>
            </w:pPr>
            <w:r w:rsidRPr="003F7F6C">
              <w:rPr>
                <w:rFonts w:cs="Calibri"/>
                <w:sz w:val="16"/>
                <w:szCs w:val="16"/>
              </w:rPr>
              <w:t>SGAYDS</w:t>
            </w:r>
          </w:p>
        </w:tc>
        <w:tc>
          <w:tcPr>
            <w:tcW w:w="428" w:type="dxa"/>
          </w:tcPr>
          <w:p w14:paraId="7DAB4415" w14:textId="77777777" w:rsidR="002B04EB" w:rsidRPr="003F7F6C" w:rsidRDefault="002B04EB" w:rsidP="00B851B7">
            <w:pPr>
              <w:rPr>
                <w:rFonts w:cs="Calibri"/>
                <w:sz w:val="16"/>
                <w:szCs w:val="16"/>
              </w:rPr>
            </w:pPr>
          </w:p>
        </w:tc>
        <w:tc>
          <w:tcPr>
            <w:tcW w:w="444" w:type="dxa"/>
          </w:tcPr>
          <w:p w14:paraId="2E5FC7C6" w14:textId="77777777" w:rsidR="002B04EB" w:rsidRPr="003F7F6C" w:rsidRDefault="002B04EB" w:rsidP="00B851B7">
            <w:pPr>
              <w:rPr>
                <w:rFonts w:cs="Calibri"/>
                <w:sz w:val="16"/>
                <w:szCs w:val="16"/>
              </w:rPr>
            </w:pPr>
          </w:p>
        </w:tc>
        <w:tc>
          <w:tcPr>
            <w:tcW w:w="428" w:type="dxa"/>
          </w:tcPr>
          <w:p w14:paraId="2B7FD15F" w14:textId="77777777" w:rsidR="002B04EB" w:rsidRPr="003F7F6C" w:rsidRDefault="002B04EB" w:rsidP="00B851B7">
            <w:pPr>
              <w:rPr>
                <w:rFonts w:cs="Calibri"/>
                <w:sz w:val="16"/>
                <w:szCs w:val="16"/>
              </w:rPr>
            </w:pPr>
          </w:p>
        </w:tc>
        <w:tc>
          <w:tcPr>
            <w:tcW w:w="428" w:type="dxa"/>
            <w:gridSpan w:val="2"/>
          </w:tcPr>
          <w:p w14:paraId="618FE634" w14:textId="77777777" w:rsidR="002B04EB" w:rsidRPr="003F7F6C" w:rsidRDefault="002B04EB" w:rsidP="00B851B7">
            <w:pPr>
              <w:rPr>
                <w:rFonts w:cs="Calibri"/>
                <w:sz w:val="16"/>
                <w:szCs w:val="16"/>
              </w:rPr>
            </w:pPr>
          </w:p>
        </w:tc>
        <w:tc>
          <w:tcPr>
            <w:tcW w:w="428" w:type="dxa"/>
          </w:tcPr>
          <w:p w14:paraId="687F37AC" w14:textId="77777777" w:rsidR="002B04EB" w:rsidRPr="003F7F6C" w:rsidRDefault="002B04EB" w:rsidP="00B851B7">
            <w:pPr>
              <w:rPr>
                <w:rFonts w:cs="Calibri"/>
                <w:sz w:val="16"/>
                <w:szCs w:val="16"/>
              </w:rPr>
            </w:pPr>
          </w:p>
        </w:tc>
        <w:tc>
          <w:tcPr>
            <w:tcW w:w="427" w:type="dxa"/>
          </w:tcPr>
          <w:p w14:paraId="7387B911" w14:textId="77777777" w:rsidR="002B04EB" w:rsidRPr="003F7F6C" w:rsidRDefault="002B04EB" w:rsidP="00B851B7">
            <w:pPr>
              <w:rPr>
                <w:rFonts w:cs="Calibri"/>
                <w:sz w:val="16"/>
                <w:szCs w:val="16"/>
              </w:rPr>
            </w:pPr>
          </w:p>
        </w:tc>
        <w:tc>
          <w:tcPr>
            <w:tcW w:w="427" w:type="dxa"/>
          </w:tcPr>
          <w:p w14:paraId="38D3BD7C" w14:textId="77777777" w:rsidR="002B04EB" w:rsidRPr="003F7F6C" w:rsidRDefault="002B04EB" w:rsidP="00B851B7">
            <w:pPr>
              <w:rPr>
                <w:rFonts w:cs="Calibri"/>
                <w:sz w:val="16"/>
                <w:szCs w:val="16"/>
              </w:rPr>
            </w:pPr>
          </w:p>
        </w:tc>
        <w:tc>
          <w:tcPr>
            <w:tcW w:w="427" w:type="dxa"/>
            <w:gridSpan w:val="2"/>
          </w:tcPr>
          <w:p w14:paraId="2E18FEB6" w14:textId="77777777" w:rsidR="002B04EB" w:rsidRPr="003F7F6C" w:rsidRDefault="002B04EB" w:rsidP="00B851B7">
            <w:pPr>
              <w:rPr>
                <w:rFonts w:cs="Calibri"/>
                <w:sz w:val="16"/>
                <w:szCs w:val="16"/>
              </w:rPr>
            </w:pPr>
          </w:p>
        </w:tc>
        <w:tc>
          <w:tcPr>
            <w:tcW w:w="428" w:type="dxa"/>
          </w:tcPr>
          <w:p w14:paraId="0FF05C98" w14:textId="77777777" w:rsidR="002B04EB" w:rsidRPr="003F7F6C" w:rsidRDefault="002B04EB" w:rsidP="00B851B7">
            <w:pPr>
              <w:rPr>
                <w:rFonts w:cs="Calibri"/>
                <w:sz w:val="16"/>
                <w:szCs w:val="16"/>
              </w:rPr>
            </w:pPr>
          </w:p>
        </w:tc>
        <w:tc>
          <w:tcPr>
            <w:tcW w:w="428" w:type="dxa"/>
          </w:tcPr>
          <w:p w14:paraId="131CE9D8" w14:textId="77777777" w:rsidR="002B04EB" w:rsidRPr="003F7F6C" w:rsidRDefault="002B04EB" w:rsidP="00B851B7">
            <w:pPr>
              <w:rPr>
                <w:rFonts w:cs="Calibri"/>
                <w:sz w:val="16"/>
                <w:szCs w:val="16"/>
              </w:rPr>
            </w:pPr>
          </w:p>
        </w:tc>
        <w:tc>
          <w:tcPr>
            <w:tcW w:w="428" w:type="dxa"/>
          </w:tcPr>
          <w:p w14:paraId="5743C6E7" w14:textId="77777777" w:rsidR="002B04EB" w:rsidRPr="003F7F6C" w:rsidRDefault="002B04EB" w:rsidP="00B851B7">
            <w:pPr>
              <w:rPr>
                <w:rFonts w:cs="Calibri"/>
                <w:sz w:val="16"/>
                <w:szCs w:val="16"/>
              </w:rPr>
            </w:pPr>
          </w:p>
        </w:tc>
        <w:tc>
          <w:tcPr>
            <w:tcW w:w="428" w:type="dxa"/>
            <w:gridSpan w:val="2"/>
          </w:tcPr>
          <w:p w14:paraId="5E32780A" w14:textId="77777777" w:rsidR="002B04EB" w:rsidRPr="003F7F6C" w:rsidRDefault="002B04EB" w:rsidP="00B851B7">
            <w:pPr>
              <w:rPr>
                <w:rFonts w:cs="Calibri"/>
                <w:sz w:val="16"/>
                <w:szCs w:val="16"/>
              </w:rPr>
            </w:pPr>
          </w:p>
        </w:tc>
        <w:tc>
          <w:tcPr>
            <w:tcW w:w="428" w:type="dxa"/>
          </w:tcPr>
          <w:p w14:paraId="5133F598" w14:textId="77777777" w:rsidR="002B04EB" w:rsidRPr="003F7F6C" w:rsidRDefault="002B04EB" w:rsidP="00B851B7">
            <w:pPr>
              <w:rPr>
                <w:sz w:val="16"/>
                <w:szCs w:val="16"/>
              </w:rPr>
            </w:pPr>
            <w:r w:rsidRPr="003F7F6C">
              <w:rPr>
                <w:rFonts w:cs="Calibri"/>
                <w:sz w:val="16"/>
                <w:szCs w:val="16"/>
              </w:rPr>
              <w:t>X</w:t>
            </w:r>
          </w:p>
        </w:tc>
        <w:tc>
          <w:tcPr>
            <w:tcW w:w="428" w:type="dxa"/>
          </w:tcPr>
          <w:p w14:paraId="51619984" w14:textId="77777777" w:rsidR="002B04EB" w:rsidRPr="003F7F6C" w:rsidRDefault="002B04EB" w:rsidP="00B851B7">
            <w:pPr>
              <w:rPr>
                <w:sz w:val="16"/>
                <w:szCs w:val="16"/>
              </w:rPr>
            </w:pPr>
            <w:r w:rsidRPr="003F7F6C">
              <w:rPr>
                <w:rFonts w:cs="Calibri"/>
                <w:sz w:val="16"/>
                <w:szCs w:val="16"/>
              </w:rPr>
              <w:t>X</w:t>
            </w:r>
          </w:p>
        </w:tc>
        <w:tc>
          <w:tcPr>
            <w:tcW w:w="428" w:type="dxa"/>
          </w:tcPr>
          <w:p w14:paraId="284B39DE"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68F7B61D" w14:textId="77777777" w:rsidR="002B04EB" w:rsidRPr="003F7F6C" w:rsidRDefault="002B04EB" w:rsidP="00B851B7">
            <w:pPr>
              <w:rPr>
                <w:sz w:val="16"/>
                <w:szCs w:val="16"/>
              </w:rPr>
            </w:pPr>
            <w:r w:rsidRPr="003F7F6C">
              <w:rPr>
                <w:rFonts w:cs="Calibri"/>
                <w:sz w:val="16"/>
                <w:szCs w:val="16"/>
              </w:rPr>
              <w:t>X</w:t>
            </w:r>
          </w:p>
        </w:tc>
        <w:tc>
          <w:tcPr>
            <w:tcW w:w="428" w:type="dxa"/>
          </w:tcPr>
          <w:p w14:paraId="021266C8" w14:textId="77777777" w:rsidR="002B04EB" w:rsidRPr="003F7F6C" w:rsidRDefault="002B04EB" w:rsidP="00B851B7">
            <w:pPr>
              <w:rPr>
                <w:sz w:val="16"/>
                <w:szCs w:val="16"/>
              </w:rPr>
            </w:pPr>
            <w:r w:rsidRPr="003F7F6C">
              <w:rPr>
                <w:rFonts w:cs="Calibri"/>
                <w:sz w:val="16"/>
                <w:szCs w:val="16"/>
              </w:rPr>
              <w:t>X</w:t>
            </w:r>
          </w:p>
        </w:tc>
        <w:tc>
          <w:tcPr>
            <w:tcW w:w="428" w:type="dxa"/>
          </w:tcPr>
          <w:p w14:paraId="16FDBDE2" w14:textId="77777777" w:rsidR="002B04EB" w:rsidRPr="003F7F6C" w:rsidRDefault="002B04EB" w:rsidP="00B851B7">
            <w:pPr>
              <w:rPr>
                <w:sz w:val="16"/>
                <w:szCs w:val="16"/>
              </w:rPr>
            </w:pPr>
            <w:r w:rsidRPr="003F7F6C">
              <w:rPr>
                <w:rFonts w:cs="Calibri"/>
                <w:sz w:val="16"/>
                <w:szCs w:val="16"/>
              </w:rPr>
              <w:t>X</w:t>
            </w:r>
          </w:p>
        </w:tc>
        <w:tc>
          <w:tcPr>
            <w:tcW w:w="428" w:type="dxa"/>
          </w:tcPr>
          <w:p w14:paraId="1F6A3590"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4895911B" w14:textId="77777777" w:rsidR="002B04EB" w:rsidRPr="003F7F6C" w:rsidRDefault="002B04EB" w:rsidP="00B851B7">
            <w:pPr>
              <w:rPr>
                <w:sz w:val="16"/>
                <w:szCs w:val="16"/>
              </w:rPr>
            </w:pPr>
            <w:r w:rsidRPr="003F7F6C">
              <w:rPr>
                <w:rFonts w:cs="Calibri"/>
                <w:sz w:val="16"/>
                <w:szCs w:val="16"/>
              </w:rPr>
              <w:t>X</w:t>
            </w:r>
          </w:p>
        </w:tc>
        <w:tc>
          <w:tcPr>
            <w:tcW w:w="428" w:type="dxa"/>
          </w:tcPr>
          <w:p w14:paraId="2CEC90B3" w14:textId="77777777" w:rsidR="002B04EB" w:rsidRPr="003F7F6C" w:rsidRDefault="002B04EB" w:rsidP="00B851B7">
            <w:pPr>
              <w:rPr>
                <w:sz w:val="16"/>
                <w:szCs w:val="16"/>
              </w:rPr>
            </w:pPr>
            <w:r w:rsidRPr="003F7F6C">
              <w:rPr>
                <w:rFonts w:cs="Calibri"/>
                <w:sz w:val="16"/>
                <w:szCs w:val="16"/>
              </w:rPr>
              <w:t>X</w:t>
            </w:r>
          </w:p>
        </w:tc>
        <w:tc>
          <w:tcPr>
            <w:tcW w:w="428" w:type="dxa"/>
          </w:tcPr>
          <w:p w14:paraId="0A77FF58" w14:textId="77777777" w:rsidR="002B04EB" w:rsidRPr="003F7F6C" w:rsidRDefault="002B04EB" w:rsidP="00B851B7">
            <w:pPr>
              <w:rPr>
                <w:sz w:val="16"/>
                <w:szCs w:val="16"/>
              </w:rPr>
            </w:pPr>
            <w:r w:rsidRPr="003F7F6C">
              <w:rPr>
                <w:rFonts w:cs="Calibri"/>
                <w:sz w:val="16"/>
                <w:szCs w:val="16"/>
              </w:rPr>
              <w:t>X</w:t>
            </w:r>
          </w:p>
        </w:tc>
        <w:tc>
          <w:tcPr>
            <w:tcW w:w="428" w:type="dxa"/>
          </w:tcPr>
          <w:p w14:paraId="388B7E0E" w14:textId="77777777" w:rsidR="002B04EB" w:rsidRPr="003F7F6C" w:rsidRDefault="002B04EB" w:rsidP="00B851B7">
            <w:pPr>
              <w:rPr>
                <w:sz w:val="16"/>
                <w:szCs w:val="16"/>
              </w:rPr>
            </w:pPr>
            <w:r w:rsidRPr="003F7F6C">
              <w:rPr>
                <w:rFonts w:cs="Calibri"/>
                <w:sz w:val="16"/>
                <w:szCs w:val="16"/>
              </w:rPr>
              <w:t>X</w:t>
            </w:r>
          </w:p>
        </w:tc>
        <w:tc>
          <w:tcPr>
            <w:tcW w:w="428" w:type="dxa"/>
          </w:tcPr>
          <w:p w14:paraId="5A6FA392" w14:textId="77777777" w:rsidR="002B04EB" w:rsidRPr="003F7F6C" w:rsidRDefault="002B04EB" w:rsidP="00B851B7">
            <w:pPr>
              <w:rPr>
                <w:sz w:val="16"/>
                <w:szCs w:val="16"/>
              </w:rPr>
            </w:pPr>
            <w:r w:rsidRPr="003F7F6C">
              <w:rPr>
                <w:rFonts w:cs="Calibri"/>
                <w:sz w:val="16"/>
                <w:szCs w:val="16"/>
              </w:rPr>
              <w:t>X</w:t>
            </w:r>
          </w:p>
        </w:tc>
      </w:tr>
      <w:tr w:rsidR="002B04EB" w:rsidRPr="003F7F6C" w14:paraId="4DD8CB69" w14:textId="77777777" w:rsidTr="00B851B7">
        <w:tc>
          <w:tcPr>
            <w:tcW w:w="1668" w:type="dxa"/>
          </w:tcPr>
          <w:p w14:paraId="2882D51E" w14:textId="77777777" w:rsidR="002B04EB" w:rsidRPr="003F7F6C" w:rsidRDefault="002B04EB" w:rsidP="00B851B7">
            <w:pPr>
              <w:rPr>
                <w:rFonts w:cs="Calibri"/>
                <w:sz w:val="16"/>
                <w:szCs w:val="16"/>
              </w:rPr>
            </w:pPr>
            <w:r w:rsidRPr="003F7F6C">
              <w:rPr>
                <w:rFonts w:cs="Calibri"/>
                <w:sz w:val="16"/>
                <w:szCs w:val="16"/>
              </w:rPr>
              <w:t>3.3.2 Design and implement SEM-OAT</w:t>
            </w:r>
          </w:p>
        </w:tc>
        <w:tc>
          <w:tcPr>
            <w:tcW w:w="1057" w:type="dxa"/>
          </w:tcPr>
          <w:p w14:paraId="3E36B671" w14:textId="77777777" w:rsidR="002B04EB" w:rsidRPr="003F7F6C" w:rsidRDefault="002B04EB" w:rsidP="00B851B7">
            <w:pPr>
              <w:rPr>
                <w:rFonts w:cs="Calibri"/>
                <w:sz w:val="16"/>
                <w:szCs w:val="16"/>
              </w:rPr>
            </w:pPr>
            <w:r w:rsidRPr="003F7F6C">
              <w:rPr>
                <w:rFonts w:cs="Calibri"/>
                <w:sz w:val="16"/>
                <w:szCs w:val="16"/>
              </w:rPr>
              <w:t>SGAyDS Provinces</w:t>
            </w:r>
          </w:p>
          <w:p w14:paraId="5401DF05" w14:textId="77777777" w:rsidR="002B04EB" w:rsidRPr="003F7F6C" w:rsidRDefault="002B04EB" w:rsidP="00B851B7">
            <w:pPr>
              <w:rPr>
                <w:rFonts w:cs="Calibri"/>
                <w:sz w:val="16"/>
                <w:szCs w:val="16"/>
              </w:rPr>
            </w:pPr>
            <w:r w:rsidRPr="003F7F6C">
              <w:rPr>
                <w:rFonts w:cs="Calibri"/>
                <w:sz w:val="16"/>
                <w:szCs w:val="16"/>
              </w:rPr>
              <w:t>INTA</w:t>
            </w:r>
          </w:p>
        </w:tc>
        <w:tc>
          <w:tcPr>
            <w:tcW w:w="428" w:type="dxa"/>
          </w:tcPr>
          <w:p w14:paraId="66D5B814" w14:textId="77777777" w:rsidR="002B04EB" w:rsidRPr="003F7F6C" w:rsidRDefault="002B04EB" w:rsidP="00B851B7">
            <w:pPr>
              <w:rPr>
                <w:rFonts w:cs="Calibri"/>
                <w:sz w:val="16"/>
                <w:szCs w:val="16"/>
              </w:rPr>
            </w:pPr>
          </w:p>
        </w:tc>
        <w:tc>
          <w:tcPr>
            <w:tcW w:w="444" w:type="dxa"/>
          </w:tcPr>
          <w:p w14:paraId="3003BB5F" w14:textId="77777777" w:rsidR="002B04EB" w:rsidRPr="003F7F6C" w:rsidRDefault="002B04EB" w:rsidP="00B851B7">
            <w:pPr>
              <w:rPr>
                <w:rFonts w:cs="Calibri"/>
                <w:sz w:val="16"/>
                <w:szCs w:val="16"/>
              </w:rPr>
            </w:pPr>
          </w:p>
        </w:tc>
        <w:tc>
          <w:tcPr>
            <w:tcW w:w="428" w:type="dxa"/>
          </w:tcPr>
          <w:p w14:paraId="1A37F8C4" w14:textId="77777777" w:rsidR="002B04EB" w:rsidRPr="003F7F6C" w:rsidRDefault="002B04EB" w:rsidP="00B851B7">
            <w:pPr>
              <w:rPr>
                <w:rFonts w:cs="Calibri"/>
                <w:sz w:val="16"/>
                <w:szCs w:val="16"/>
              </w:rPr>
            </w:pPr>
          </w:p>
        </w:tc>
        <w:tc>
          <w:tcPr>
            <w:tcW w:w="428" w:type="dxa"/>
            <w:gridSpan w:val="2"/>
          </w:tcPr>
          <w:p w14:paraId="704F3517" w14:textId="77777777" w:rsidR="002B04EB" w:rsidRPr="003F7F6C" w:rsidRDefault="002B04EB" w:rsidP="00B851B7">
            <w:pPr>
              <w:rPr>
                <w:rFonts w:cs="Calibri"/>
                <w:sz w:val="16"/>
                <w:szCs w:val="16"/>
              </w:rPr>
            </w:pPr>
          </w:p>
        </w:tc>
        <w:tc>
          <w:tcPr>
            <w:tcW w:w="428" w:type="dxa"/>
          </w:tcPr>
          <w:p w14:paraId="29B4B4E8" w14:textId="77777777" w:rsidR="002B04EB" w:rsidRPr="003F7F6C" w:rsidRDefault="002B04EB" w:rsidP="00B851B7">
            <w:pPr>
              <w:rPr>
                <w:sz w:val="16"/>
                <w:szCs w:val="16"/>
              </w:rPr>
            </w:pPr>
            <w:r w:rsidRPr="003F7F6C">
              <w:rPr>
                <w:rFonts w:cs="Calibri"/>
                <w:sz w:val="16"/>
                <w:szCs w:val="16"/>
              </w:rPr>
              <w:t>X</w:t>
            </w:r>
          </w:p>
        </w:tc>
        <w:tc>
          <w:tcPr>
            <w:tcW w:w="427" w:type="dxa"/>
          </w:tcPr>
          <w:p w14:paraId="148D045F" w14:textId="77777777" w:rsidR="002B04EB" w:rsidRPr="003F7F6C" w:rsidRDefault="002B04EB" w:rsidP="00B851B7">
            <w:pPr>
              <w:rPr>
                <w:sz w:val="16"/>
                <w:szCs w:val="16"/>
              </w:rPr>
            </w:pPr>
            <w:r w:rsidRPr="003F7F6C">
              <w:rPr>
                <w:rFonts w:cs="Calibri"/>
                <w:sz w:val="16"/>
                <w:szCs w:val="16"/>
              </w:rPr>
              <w:t>X</w:t>
            </w:r>
          </w:p>
        </w:tc>
        <w:tc>
          <w:tcPr>
            <w:tcW w:w="427" w:type="dxa"/>
          </w:tcPr>
          <w:p w14:paraId="00ED6D0F" w14:textId="77777777" w:rsidR="002B04EB" w:rsidRPr="003F7F6C" w:rsidRDefault="002B04EB" w:rsidP="00B851B7">
            <w:pPr>
              <w:rPr>
                <w:sz w:val="16"/>
                <w:szCs w:val="16"/>
              </w:rPr>
            </w:pPr>
            <w:r w:rsidRPr="003F7F6C">
              <w:rPr>
                <w:rFonts w:cs="Calibri"/>
                <w:sz w:val="16"/>
                <w:szCs w:val="16"/>
              </w:rPr>
              <w:t>X</w:t>
            </w:r>
          </w:p>
        </w:tc>
        <w:tc>
          <w:tcPr>
            <w:tcW w:w="427" w:type="dxa"/>
            <w:gridSpan w:val="2"/>
          </w:tcPr>
          <w:p w14:paraId="2F7D82EF" w14:textId="77777777" w:rsidR="002B04EB" w:rsidRPr="003F7F6C" w:rsidRDefault="002B04EB" w:rsidP="00B851B7">
            <w:pPr>
              <w:rPr>
                <w:sz w:val="16"/>
                <w:szCs w:val="16"/>
              </w:rPr>
            </w:pPr>
            <w:r w:rsidRPr="003F7F6C">
              <w:rPr>
                <w:rFonts w:cs="Calibri"/>
                <w:sz w:val="16"/>
                <w:szCs w:val="16"/>
              </w:rPr>
              <w:t>X</w:t>
            </w:r>
          </w:p>
        </w:tc>
        <w:tc>
          <w:tcPr>
            <w:tcW w:w="428" w:type="dxa"/>
          </w:tcPr>
          <w:p w14:paraId="7D14E449" w14:textId="77777777" w:rsidR="002B04EB" w:rsidRPr="003F7F6C" w:rsidRDefault="002B04EB" w:rsidP="00B851B7">
            <w:pPr>
              <w:rPr>
                <w:sz w:val="16"/>
                <w:szCs w:val="16"/>
              </w:rPr>
            </w:pPr>
            <w:r w:rsidRPr="003F7F6C">
              <w:rPr>
                <w:rFonts w:cs="Calibri"/>
                <w:sz w:val="16"/>
                <w:szCs w:val="16"/>
              </w:rPr>
              <w:t>X</w:t>
            </w:r>
          </w:p>
        </w:tc>
        <w:tc>
          <w:tcPr>
            <w:tcW w:w="428" w:type="dxa"/>
          </w:tcPr>
          <w:p w14:paraId="2586CB94" w14:textId="77777777" w:rsidR="002B04EB" w:rsidRPr="003F7F6C" w:rsidRDefault="002B04EB" w:rsidP="00B851B7">
            <w:pPr>
              <w:rPr>
                <w:sz w:val="16"/>
                <w:szCs w:val="16"/>
              </w:rPr>
            </w:pPr>
            <w:r w:rsidRPr="003F7F6C">
              <w:rPr>
                <w:rFonts w:cs="Calibri"/>
                <w:sz w:val="16"/>
                <w:szCs w:val="16"/>
              </w:rPr>
              <w:t>X</w:t>
            </w:r>
          </w:p>
        </w:tc>
        <w:tc>
          <w:tcPr>
            <w:tcW w:w="428" w:type="dxa"/>
          </w:tcPr>
          <w:p w14:paraId="3F3CC329"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1917BFEF" w14:textId="77777777" w:rsidR="002B04EB" w:rsidRPr="003F7F6C" w:rsidRDefault="002B04EB" w:rsidP="00B851B7">
            <w:pPr>
              <w:rPr>
                <w:sz w:val="16"/>
                <w:szCs w:val="16"/>
              </w:rPr>
            </w:pPr>
            <w:r w:rsidRPr="003F7F6C">
              <w:rPr>
                <w:rFonts w:cs="Calibri"/>
                <w:sz w:val="16"/>
                <w:szCs w:val="16"/>
              </w:rPr>
              <w:t>X</w:t>
            </w:r>
          </w:p>
        </w:tc>
        <w:tc>
          <w:tcPr>
            <w:tcW w:w="428" w:type="dxa"/>
          </w:tcPr>
          <w:p w14:paraId="3F2AE49A" w14:textId="77777777" w:rsidR="002B04EB" w:rsidRPr="003F7F6C" w:rsidRDefault="002B04EB" w:rsidP="00B851B7">
            <w:pPr>
              <w:rPr>
                <w:sz w:val="16"/>
                <w:szCs w:val="16"/>
              </w:rPr>
            </w:pPr>
            <w:r w:rsidRPr="003F7F6C">
              <w:rPr>
                <w:rFonts w:cs="Calibri"/>
                <w:sz w:val="16"/>
                <w:szCs w:val="16"/>
              </w:rPr>
              <w:t>X</w:t>
            </w:r>
          </w:p>
        </w:tc>
        <w:tc>
          <w:tcPr>
            <w:tcW w:w="428" w:type="dxa"/>
          </w:tcPr>
          <w:p w14:paraId="6B90CB4C" w14:textId="77777777" w:rsidR="002B04EB" w:rsidRPr="003F7F6C" w:rsidRDefault="002B04EB" w:rsidP="00B851B7">
            <w:pPr>
              <w:rPr>
                <w:sz w:val="16"/>
                <w:szCs w:val="16"/>
              </w:rPr>
            </w:pPr>
            <w:r w:rsidRPr="003F7F6C">
              <w:rPr>
                <w:rFonts w:cs="Calibri"/>
                <w:sz w:val="16"/>
                <w:szCs w:val="16"/>
              </w:rPr>
              <w:t>X</w:t>
            </w:r>
          </w:p>
        </w:tc>
        <w:tc>
          <w:tcPr>
            <w:tcW w:w="428" w:type="dxa"/>
          </w:tcPr>
          <w:p w14:paraId="2CD41D45"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6073A0E1" w14:textId="77777777" w:rsidR="002B04EB" w:rsidRPr="003F7F6C" w:rsidRDefault="002B04EB" w:rsidP="00B851B7">
            <w:pPr>
              <w:rPr>
                <w:sz w:val="16"/>
                <w:szCs w:val="16"/>
              </w:rPr>
            </w:pPr>
            <w:r w:rsidRPr="003F7F6C">
              <w:rPr>
                <w:rFonts w:cs="Calibri"/>
                <w:sz w:val="16"/>
                <w:szCs w:val="16"/>
              </w:rPr>
              <w:t>X</w:t>
            </w:r>
          </w:p>
        </w:tc>
        <w:tc>
          <w:tcPr>
            <w:tcW w:w="428" w:type="dxa"/>
          </w:tcPr>
          <w:p w14:paraId="4EEFB626" w14:textId="77777777" w:rsidR="002B04EB" w:rsidRPr="003F7F6C" w:rsidRDefault="002B04EB" w:rsidP="00B851B7">
            <w:pPr>
              <w:rPr>
                <w:sz w:val="16"/>
                <w:szCs w:val="16"/>
              </w:rPr>
            </w:pPr>
            <w:r w:rsidRPr="003F7F6C">
              <w:rPr>
                <w:rFonts w:cs="Calibri"/>
                <w:sz w:val="16"/>
                <w:szCs w:val="16"/>
              </w:rPr>
              <w:t>X</w:t>
            </w:r>
          </w:p>
        </w:tc>
        <w:tc>
          <w:tcPr>
            <w:tcW w:w="428" w:type="dxa"/>
          </w:tcPr>
          <w:p w14:paraId="5D2BA48C" w14:textId="77777777" w:rsidR="002B04EB" w:rsidRPr="003F7F6C" w:rsidRDefault="002B04EB" w:rsidP="00B851B7">
            <w:pPr>
              <w:rPr>
                <w:sz w:val="16"/>
                <w:szCs w:val="16"/>
              </w:rPr>
            </w:pPr>
            <w:r w:rsidRPr="003F7F6C">
              <w:rPr>
                <w:rFonts w:cs="Calibri"/>
                <w:sz w:val="16"/>
                <w:szCs w:val="16"/>
              </w:rPr>
              <w:t>X</w:t>
            </w:r>
          </w:p>
        </w:tc>
        <w:tc>
          <w:tcPr>
            <w:tcW w:w="428" w:type="dxa"/>
          </w:tcPr>
          <w:p w14:paraId="6E547968" w14:textId="77777777" w:rsidR="002B04EB" w:rsidRPr="003F7F6C" w:rsidRDefault="002B04EB" w:rsidP="00B851B7">
            <w:pPr>
              <w:rPr>
                <w:sz w:val="16"/>
                <w:szCs w:val="16"/>
              </w:rPr>
            </w:pPr>
            <w:r w:rsidRPr="003F7F6C">
              <w:rPr>
                <w:rFonts w:cs="Calibri"/>
                <w:sz w:val="16"/>
                <w:szCs w:val="16"/>
              </w:rPr>
              <w:t>X</w:t>
            </w:r>
          </w:p>
        </w:tc>
        <w:tc>
          <w:tcPr>
            <w:tcW w:w="428" w:type="dxa"/>
            <w:gridSpan w:val="2"/>
          </w:tcPr>
          <w:p w14:paraId="39C26FDC" w14:textId="77777777" w:rsidR="002B04EB" w:rsidRPr="003F7F6C" w:rsidRDefault="002B04EB" w:rsidP="00B851B7">
            <w:pPr>
              <w:rPr>
                <w:sz w:val="16"/>
                <w:szCs w:val="16"/>
              </w:rPr>
            </w:pPr>
            <w:r w:rsidRPr="003F7F6C">
              <w:rPr>
                <w:rFonts w:cs="Calibri"/>
                <w:sz w:val="16"/>
                <w:szCs w:val="16"/>
              </w:rPr>
              <w:t>X</w:t>
            </w:r>
          </w:p>
        </w:tc>
        <w:tc>
          <w:tcPr>
            <w:tcW w:w="428" w:type="dxa"/>
          </w:tcPr>
          <w:p w14:paraId="734A261B" w14:textId="77777777" w:rsidR="002B04EB" w:rsidRPr="003F7F6C" w:rsidRDefault="002B04EB" w:rsidP="00B851B7">
            <w:pPr>
              <w:rPr>
                <w:sz w:val="16"/>
                <w:szCs w:val="16"/>
              </w:rPr>
            </w:pPr>
            <w:r w:rsidRPr="003F7F6C">
              <w:rPr>
                <w:rFonts w:cs="Calibri"/>
                <w:sz w:val="16"/>
                <w:szCs w:val="16"/>
              </w:rPr>
              <w:t>X</w:t>
            </w:r>
          </w:p>
        </w:tc>
        <w:tc>
          <w:tcPr>
            <w:tcW w:w="428" w:type="dxa"/>
          </w:tcPr>
          <w:p w14:paraId="7EA4DC2E" w14:textId="77777777" w:rsidR="002B04EB" w:rsidRPr="003F7F6C" w:rsidRDefault="002B04EB" w:rsidP="00B851B7">
            <w:pPr>
              <w:rPr>
                <w:sz w:val="16"/>
                <w:szCs w:val="16"/>
              </w:rPr>
            </w:pPr>
            <w:r w:rsidRPr="003F7F6C">
              <w:rPr>
                <w:rFonts w:cs="Calibri"/>
                <w:sz w:val="16"/>
                <w:szCs w:val="16"/>
              </w:rPr>
              <w:t>X</w:t>
            </w:r>
          </w:p>
        </w:tc>
        <w:tc>
          <w:tcPr>
            <w:tcW w:w="428" w:type="dxa"/>
          </w:tcPr>
          <w:p w14:paraId="159FD304" w14:textId="77777777" w:rsidR="002B04EB" w:rsidRPr="003F7F6C" w:rsidRDefault="002B04EB" w:rsidP="00B851B7">
            <w:pPr>
              <w:rPr>
                <w:sz w:val="16"/>
                <w:szCs w:val="16"/>
              </w:rPr>
            </w:pPr>
            <w:r w:rsidRPr="003F7F6C">
              <w:rPr>
                <w:rFonts w:cs="Calibri"/>
                <w:sz w:val="16"/>
                <w:szCs w:val="16"/>
              </w:rPr>
              <w:t>X</w:t>
            </w:r>
          </w:p>
        </w:tc>
        <w:tc>
          <w:tcPr>
            <w:tcW w:w="428" w:type="dxa"/>
          </w:tcPr>
          <w:p w14:paraId="2F6EEF23" w14:textId="77777777" w:rsidR="002B04EB" w:rsidRPr="003F7F6C" w:rsidRDefault="002B04EB" w:rsidP="00B851B7">
            <w:pPr>
              <w:rPr>
                <w:sz w:val="16"/>
                <w:szCs w:val="16"/>
              </w:rPr>
            </w:pPr>
            <w:r w:rsidRPr="003F7F6C">
              <w:rPr>
                <w:rFonts w:cs="Calibri"/>
                <w:sz w:val="16"/>
                <w:szCs w:val="16"/>
              </w:rPr>
              <w:t>X</w:t>
            </w:r>
          </w:p>
        </w:tc>
      </w:tr>
      <w:tr w:rsidR="002B04EB" w:rsidRPr="003F7F6C" w14:paraId="53FFE245" w14:textId="77777777" w:rsidTr="002B04EB">
        <w:trPr>
          <w:trHeight w:val="323"/>
        </w:trPr>
        <w:tc>
          <w:tcPr>
            <w:tcW w:w="13010" w:type="dxa"/>
            <w:gridSpan w:val="31"/>
            <w:shd w:val="clear" w:color="auto" w:fill="FFD966"/>
          </w:tcPr>
          <w:p w14:paraId="11004FBE" w14:textId="180D7231" w:rsidR="002B04EB" w:rsidRPr="003F7F6C" w:rsidRDefault="002B04EB" w:rsidP="00B851B7">
            <w:pPr>
              <w:tabs>
                <w:tab w:val="left" w:pos="426"/>
              </w:tabs>
              <w:rPr>
                <w:rFonts w:cs="Calibri"/>
                <w:bCs/>
                <w:i/>
                <w:sz w:val="16"/>
                <w:szCs w:val="16"/>
              </w:rPr>
            </w:pPr>
            <w:r w:rsidRPr="003F7F6C">
              <w:rPr>
                <w:rFonts w:eastAsia="Times New Roman" w:cs="Calibri"/>
                <w:i/>
                <w:sz w:val="16"/>
                <w:szCs w:val="16"/>
                <w:lang w:eastAsia="es-ES_tradnl"/>
              </w:rPr>
              <w:t xml:space="preserve">Output 4.1: </w:t>
            </w:r>
            <w:r w:rsidR="00B82908" w:rsidRPr="003F7F6C">
              <w:rPr>
                <w:rFonts w:ascii="Times New Roman" w:hAnsi="Times New Roman"/>
                <w:bCs/>
                <w:i/>
                <w:sz w:val="18"/>
                <w:szCs w:val="18"/>
              </w:rPr>
              <w:t>Project M&amp;E system operational and generating periodic report</w:t>
            </w:r>
          </w:p>
        </w:tc>
      </w:tr>
      <w:tr w:rsidR="002B04EB" w:rsidRPr="003F7F6C" w14:paraId="3BCD5BAD" w14:textId="77777777" w:rsidTr="00B851B7">
        <w:tc>
          <w:tcPr>
            <w:tcW w:w="1668" w:type="dxa"/>
          </w:tcPr>
          <w:p w14:paraId="1A985E64" w14:textId="77777777" w:rsidR="002B04EB" w:rsidRPr="003F7F6C" w:rsidRDefault="002B04EB" w:rsidP="00B851B7">
            <w:pPr>
              <w:rPr>
                <w:rFonts w:cs="Calibri"/>
                <w:sz w:val="16"/>
                <w:szCs w:val="16"/>
              </w:rPr>
            </w:pPr>
            <w:r w:rsidRPr="003F7F6C">
              <w:rPr>
                <w:rFonts w:cs="Calibri"/>
                <w:sz w:val="16"/>
                <w:szCs w:val="16"/>
              </w:rPr>
              <w:t>4.1.1 Project M&amp;E System</w:t>
            </w:r>
          </w:p>
        </w:tc>
        <w:tc>
          <w:tcPr>
            <w:tcW w:w="1057" w:type="dxa"/>
          </w:tcPr>
          <w:p w14:paraId="6269D654" w14:textId="77777777" w:rsidR="002B04EB" w:rsidRPr="003F7F6C" w:rsidRDefault="002B04EB" w:rsidP="00B851B7">
            <w:pPr>
              <w:rPr>
                <w:rFonts w:cs="Calibri"/>
                <w:sz w:val="16"/>
                <w:szCs w:val="16"/>
              </w:rPr>
            </w:pPr>
            <w:r w:rsidRPr="003F7F6C">
              <w:rPr>
                <w:rFonts w:cs="Calibri"/>
                <w:sz w:val="16"/>
                <w:szCs w:val="16"/>
              </w:rPr>
              <w:t>PMU</w:t>
            </w:r>
          </w:p>
          <w:p w14:paraId="1150309B" w14:textId="77777777" w:rsidR="002B04EB" w:rsidRPr="003F7F6C" w:rsidRDefault="002B04EB" w:rsidP="00B851B7">
            <w:pPr>
              <w:rPr>
                <w:rFonts w:cs="Calibri"/>
                <w:sz w:val="16"/>
                <w:szCs w:val="16"/>
              </w:rPr>
            </w:pPr>
            <w:r w:rsidRPr="003F7F6C">
              <w:rPr>
                <w:rFonts w:cs="Calibri"/>
                <w:sz w:val="16"/>
                <w:szCs w:val="16"/>
              </w:rPr>
              <w:t>SGAyDS</w:t>
            </w:r>
          </w:p>
        </w:tc>
        <w:tc>
          <w:tcPr>
            <w:tcW w:w="428" w:type="dxa"/>
          </w:tcPr>
          <w:p w14:paraId="4C6566DA" w14:textId="77777777" w:rsidR="002B04EB" w:rsidRPr="003F7F6C" w:rsidRDefault="002B04EB" w:rsidP="00B851B7"/>
        </w:tc>
        <w:tc>
          <w:tcPr>
            <w:tcW w:w="444" w:type="dxa"/>
          </w:tcPr>
          <w:p w14:paraId="69278A0A" w14:textId="77777777" w:rsidR="002B04EB" w:rsidRPr="003F7F6C" w:rsidRDefault="002B04EB" w:rsidP="00B851B7">
            <w:r w:rsidRPr="003F7F6C">
              <w:rPr>
                <w:rFonts w:cs="Calibri"/>
                <w:sz w:val="16"/>
                <w:szCs w:val="16"/>
              </w:rPr>
              <w:t>X</w:t>
            </w:r>
          </w:p>
        </w:tc>
        <w:tc>
          <w:tcPr>
            <w:tcW w:w="428" w:type="dxa"/>
          </w:tcPr>
          <w:p w14:paraId="2CE7A176" w14:textId="77777777" w:rsidR="002B04EB" w:rsidRPr="003F7F6C" w:rsidRDefault="002B04EB" w:rsidP="00B851B7">
            <w:r w:rsidRPr="003F7F6C">
              <w:rPr>
                <w:rFonts w:cs="Calibri"/>
                <w:sz w:val="16"/>
                <w:szCs w:val="16"/>
              </w:rPr>
              <w:t>X</w:t>
            </w:r>
          </w:p>
        </w:tc>
        <w:tc>
          <w:tcPr>
            <w:tcW w:w="428" w:type="dxa"/>
            <w:gridSpan w:val="2"/>
          </w:tcPr>
          <w:p w14:paraId="4D2A010F" w14:textId="77777777" w:rsidR="002B04EB" w:rsidRPr="003F7F6C" w:rsidRDefault="002B04EB" w:rsidP="00B851B7">
            <w:r w:rsidRPr="003F7F6C">
              <w:rPr>
                <w:rFonts w:cs="Calibri"/>
                <w:sz w:val="16"/>
                <w:szCs w:val="16"/>
              </w:rPr>
              <w:t>X</w:t>
            </w:r>
          </w:p>
        </w:tc>
        <w:tc>
          <w:tcPr>
            <w:tcW w:w="428" w:type="dxa"/>
          </w:tcPr>
          <w:p w14:paraId="5F778A71" w14:textId="77777777" w:rsidR="002B04EB" w:rsidRPr="003F7F6C" w:rsidRDefault="002B04EB" w:rsidP="00B851B7">
            <w:r w:rsidRPr="003F7F6C">
              <w:rPr>
                <w:rFonts w:cs="Calibri"/>
                <w:sz w:val="16"/>
                <w:szCs w:val="16"/>
              </w:rPr>
              <w:t>X</w:t>
            </w:r>
          </w:p>
        </w:tc>
        <w:tc>
          <w:tcPr>
            <w:tcW w:w="427" w:type="dxa"/>
          </w:tcPr>
          <w:p w14:paraId="080703C5" w14:textId="77777777" w:rsidR="002B04EB" w:rsidRPr="003F7F6C" w:rsidRDefault="002B04EB" w:rsidP="00B851B7">
            <w:r w:rsidRPr="003F7F6C">
              <w:rPr>
                <w:rFonts w:cs="Calibri"/>
                <w:sz w:val="16"/>
                <w:szCs w:val="16"/>
              </w:rPr>
              <w:t>X</w:t>
            </w:r>
          </w:p>
        </w:tc>
        <w:tc>
          <w:tcPr>
            <w:tcW w:w="427" w:type="dxa"/>
          </w:tcPr>
          <w:p w14:paraId="10285391" w14:textId="77777777" w:rsidR="002B04EB" w:rsidRPr="003F7F6C" w:rsidRDefault="002B04EB" w:rsidP="00B851B7">
            <w:r w:rsidRPr="003F7F6C">
              <w:rPr>
                <w:rFonts w:cs="Calibri"/>
                <w:sz w:val="16"/>
                <w:szCs w:val="16"/>
              </w:rPr>
              <w:t>X</w:t>
            </w:r>
          </w:p>
        </w:tc>
        <w:tc>
          <w:tcPr>
            <w:tcW w:w="427" w:type="dxa"/>
            <w:gridSpan w:val="2"/>
          </w:tcPr>
          <w:p w14:paraId="761AA196" w14:textId="77777777" w:rsidR="002B04EB" w:rsidRPr="003F7F6C" w:rsidRDefault="002B04EB" w:rsidP="00B851B7">
            <w:r w:rsidRPr="003F7F6C">
              <w:rPr>
                <w:rFonts w:cs="Calibri"/>
                <w:sz w:val="16"/>
                <w:szCs w:val="16"/>
              </w:rPr>
              <w:t>X</w:t>
            </w:r>
          </w:p>
        </w:tc>
        <w:tc>
          <w:tcPr>
            <w:tcW w:w="428" w:type="dxa"/>
          </w:tcPr>
          <w:p w14:paraId="76B5F55E" w14:textId="77777777" w:rsidR="002B04EB" w:rsidRPr="003F7F6C" w:rsidRDefault="002B04EB" w:rsidP="00B851B7">
            <w:r w:rsidRPr="003F7F6C">
              <w:rPr>
                <w:rFonts w:cs="Calibri"/>
                <w:sz w:val="16"/>
                <w:szCs w:val="16"/>
              </w:rPr>
              <w:t>X</w:t>
            </w:r>
          </w:p>
        </w:tc>
        <w:tc>
          <w:tcPr>
            <w:tcW w:w="428" w:type="dxa"/>
          </w:tcPr>
          <w:p w14:paraId="3D931D58" w14:textId="77777777" w:rsidR="002B04EB" w:rsidRPr="003F7F6C" w:rsidRDefault="002B04EB" w:rsidP="00B851B7">
            <w:r w:rsidRPr="003F7F6C">
              <w:rPr>
                <w:rFonts w:cs="Calibri"/>
                <w:sz w:val="16"/>
                <w:szCs w:val="16"/>
              </w:rPr>
              <w:t>X</w:t>
            </w:r>
          </w:p>
        </w:tc>
        <w:tc>
          <w:tcPr>
            <w:tcW w:w="428" w:type="dxa"/>
          </w:tcPr>
          <w:p w14:paraId="4FD99F18" w14:textId="77777777" w:rsidR="002B04EB" w:rsidRPr="003F7F6C" w:rsidRDefault="002B04EB" w:rsidP="00B851B7">
            <w:r w:rsidRPr="003F7F6C">
              <w:rPr>
                <w:rFonts w:cs="Calibri"/>
                <w:sz w:val="16"/>
                <w:szCs w:val="16"/>
              </w:rPr>
              <w:t>X</w:t>
            </w:r>
          </w:p>
        </w:tc>
        <w:tc>
          <w:tcPr>
            <w:tcW w:w="428" w:type="dxa"/>
            <w:gridSpan w:val="2"/>
          </w:tcPr>
          <w:p w14:paraId="6AB94BA9" w14:textId="77777777" w:rsidR="002B04EB" w:rsidRPr="003F7F6C" w:rsidRDefault="002B04EB" w:rsidP="00B851B7">
            <w:r w:rsidRPr="003F7F6C">
              <w:rPr>
                <w:rFonts w:cs="Calibri"/>
                <w:sz w:val="16"/>
                <w:szCs w:val="16"/>
              </w:rPr>
              <w:t>X</w:t>
            </w:r>
          </w:p>
        </w:tc>
        <w:tc>
          <w:tcPr>
            <w:tcW w:w="428" w:type="dxa"/>
          </w:tcPr>
          <w:p w14:paraId="61987A78" w14:textId="77777777" w:rsidR="002B04EB" w:rsidRPr="003F7F6C" w:rsidRDefault="002B04EB" w:rsidP="00B851B7">
            <w:r w:rsidRPr="003F7F6C">
              <w:rPr>
                <w:rFonts w:cs="Calibri"/>
                <w:sz w:val="16"/>
                <w:szCs w:val="16"/>
              </w:rPr>
              <w:t>X</w:t>
            </w:r>
          </w:p>
        </w:tc>
        <w:tc>
          <w:tcPr>
            <w:tcW w:w="428" w:type="dxa"/>
          </w:tcPr>
          <w:p w14:paraId="319F32E6" w14:textId="77777777" w:rsidR="002B04EB" w:rsidRPr="003F7F6C" w:rsidRDefault="002B04EB" w:rsidP="00B851B7">
            <w:r w:rsidRPr="003F7F6C">
              <w:rPr>
                <w:rFonts w:cs="Calibri"/>
                <w:sz w:val="16"/>
                <w:szCs w:val="16"/>
              </w:rPr>
              <w:t>X</w:t>
            </w:r>
          </w:p>
        </w:tc>
        <w:tc>
          <w:tcPr>
            <w:tcW w:w="428" w:type="dxa"/>
          </w:tcPr>
          <w:p w14:paraId="43706B36" w14:textId="77777777" w:rsidR="002B04EB" w:rsidRPr="003F7F6C" w:rsidRDefault="002B04EB" w:rsidP="00B851B7">
            <w:r w:rsidRPr="003F7F6C">
              <w:rPr>
                <w:rFonts w:cs="Calibri"/>
                <w:sz w:val="16"/>
                <w:szCs w:val="16"/>
              </w:rPr>
              <w:t>X</w:t>
            </w:r>
          </w:p>
        </w:tc>
        <w:tc>
          <w:tcPr>
            <w:tcW w:w="428" w:type="dxa"/>
            <w:gridSpan w:val="2"/>
          </w:tcPr>
          <w:p w14:paraId="4ACDBF4C" w14:textId="77777777" w:rsidR="002B04EB" w:rsidRPr="003F7F6C" w:rsidRDefault="002B04EB" w:rsidP="00B851B7">
            <w:r w:rsidRPr="003F7F6C">
              <w:rPr>
                <w:rFonts w:cs="Calibri"/>
                <w:sz w:val="16"/>
                <w:szCs w:val="16"/>
              </w:rPr>
              <w:t>X</w:t>
            </w:r>
          </w:p>
        </w:tc>
        <w:tc>
          <w:tcPr>
            <w:tcW w:w="428" w:type="dxa"/>
          </w:tcPr>
          <w:p w14:paraId="5230A7CA" w14:textId="77777777" w:rsidR="002B04EB" w:rsidRPr="003F7F6C" w:rsidRDefault="002B04EB" w:rsidP="00B851B7">
            <w:r w:rsidRPr="003F7F6C">
              <w:rPr>
                <w:rFonts w:cs="Calibri"/>
                <w:sz w:val="16"/>
                <w:szCs w:val="16"/>
              </w:rPr>
              <w:t>X</w:t>
            </w:r>
          </w:p>
        </w:tc>
        <w:tc>
          <w:tcPr>
            <w:tcW w:w="428" w:type="dxa"/>
          </w:tcPr>
          <w:p w14:paraId="2FA1E0C7" w14:textId="77777777" w:rsidR="002B04EB" w:rsidRPr="003F7F6C" w:rsidRDefault="002B04EB" w:rsidP="00B851B7">
            <w:r w:rsidRPr="003F7F6C">
              <w:rPr>
                <w:rFonts w:cs="Calibri"/>
                <w:sz w:val="16"/>
                <w:szCs w:val="16"/>
              </w:rPr>
              <w:t>X</w:t>
            </w:r>
          </w:p>
        </w:tc>
        <w:tc>
          <w:tcPr>
            <w:tcW w:w="428" w:type="dxa"/>
          </w:tcPr>
          <w:p w14:paraId="7038F773" w14:textId="77777777" w:rsidR="002B04EB" w:rsidRPr="003F7F6C" w:rsidRDefault="002B04EB" w:rsidP="00B851B7">
            <w:r w:rsidRPr="003F7F6C">
              <w:rPr>
                <w:rFonts w:cs="Calibri"/>
                <w:sz w:val="16"/>
                <w:szCs w:val="16"/>
              </w:rPr>
              <w:t>X</w:t>
            </w:r>
          </w:p>
        </w:tc>
        <w:tc>
          <w:tcPr>
            <w:tcW w:w="428" w:type="dxa"/>
            <w:gridSpan w:val="2"/>
          </w:tcPr>
          <w:p w14:paraId="5479E9B7" w14:textId="77777777" w:rsidR="002B04EB" w:rsidRPr="003F7F6C" w:rsidRDefault="002B04EB" w:rsidP="00B851B7">
            <w:r w:rsidRPr="003F7F6C">
              <w:rPr>
                <w:rFonts w:cs="Calibri"/>
                <w:sz w:val="16"/>
                <w:szCs w:val="16"/>
              </w:rPr>
              <w:t>X</w:t>
            </w:r>
          </w:p>
        </w:tc>
        <w:tc>
          <w:tcPr>
            <w:tcW w:w="428" w:type="dxa"/>
          </w:tcPr>
          <w:p w14:paraId="640803E5" w14:textId="77777777" w:rsidR="002B04EB" w:rsidRPr="003F7F6C" w:rsidRDefault="002B04EB" w:rsidP="00B851B7">
            <w:r w:rsidRPr="003F7F6C">
              <w:rPr>
                <w:rFonts w:cs="Calibri"/>
                <w:sz w:val="16"/>
                <w:szCs w:val="16"/>
              </w:rPr>
              <w:t>X</w:t>
            </w:r>
          </w:p>
        </w:tc>
        <w:tc>
          <w:tcPr>
            <w:tcW w:w="428" w:type="dxa"/>
          </w:tcPr>
          <w:p w14:paraId="228A500B" w14:textId="77777777" w:rsidR="002B04EB" w:rsidRPr="003F7F6C" w:rsidRDefault="002B04EB" w:rsidP="00B851B7">
            <w:r w:rsidRPr="003F7F6C">
              <w:rPr>
                <w:rFonts w:cs="Calibri"/>
                <w:sz w:val="16"/>
                <w:szCs w:val="16"/>
              </w:rPr>
              <w:t>X</w:t>
            </w:r>
          </w:p>
        </w:tc>
        <w:tc>
          <w:tcPr>
            <w:tcW w:w="428" w:type="dxa"/>
          </w:tcPr>
          <w:p w14:paraId="2F2D8665" w14:textId="77777777" w:rsidR="002B04EB" w:rsidRPr="003F7F6C" w:rsidRDefault="002B04EB" w:rsidP="00B851B7">
            <w:r w:rsidRPr="003F7F6C">
              <w:rPr>
                <w:rFonts w:cs="Calibri"/>
                <w:sz w:val="16"/>
                <w:szCs w:val="16"/>
              </w:rPr>
              <w:t>X</w:t>
            </w:r>
          </w:p>
        </w:tc>
        <w:tc>
          <w:tcPr>
            <w:tcW w:w="428" w:type="dxa"/>
          </w:tcPr>
          <w:p w14:paraId="0089A6B7" w14:textId="77777777" w:rsidR="002B04EB" w:rsidRPr="003F7F6C" w:rsidRDefault="002B04EB" w:rsidP="00B851B7">
            <w:r w:rsidRPr="003F7F6C">
              <w:rPr>
                <w:rFonts w:cs="Calibri"/>
                <w:sz w:val="16"/>
                <w:szCs w:val="16"/>
              </w:rPr>
              <w:t>X</w:t>
            </w:r>
          </w:p>
        </w:tc>
      </w:tr>
      <w:tr w:rsidR="00B82908" w:rsidRPr="003F7F6C" w14:paraId="0DE3AA04" w14:textId="77777777" w:rsidTr="000D5B4E">
        <w:tc>
          <w:tcPr>
            <w:tcW w:w="13010" w:type="dxa"/>
            <w:gridSpan w:val="31"/>
          </w:tcPr>
          <w:p w14:paraId="58C16244" w14:textId="05912320" w:rsidR="00B82908" w:rsidRPr="003F7F6C" w:rsidRDefault="00B82908" w:rsidP="00B851B7">
            <w:pPr>
              <w:rPr>
                <w:rFonts w:cs="Calibri"/>
                <w:sz w:val="16"/>
                <w:szCs w:val="16"/>
              </w:rPr>
            </w:pPr>
            <w:r w:rsidRPr="003F7F6C">
              <w:rPr>
                <w:rFonts w:eastAsia="Times New Roman" w:cs="Calibri"/>
                <w:i/>
                <w:sz w:val="16"/>
                <w:szCs w:val="16"/>
                <w:lang w:eastAsia="es-ES_tradnl"/>
              </w:rPr>
              <w:t xml:space="preserve">Output 4.2: </w:t>
            </w:r>
            <w:r w:rsidRPr="003F7F6C">
              <w:rPr>
                <w:rFonts w:eastAsia="Times New Roman" w:cs="Calibri"/>
                <w:bCs/>
                <w:i/>
                <w:sz w:val="16"/>
                <w:szCs w:val="16"/>
                <w:lang w:eastAsia="es-ES_tradnl"/>
              </w:rPr>
              <w:t xml:space="preserve">Knowledge management system </w:t>
            </w:r>
            <w:r w:rsidRPr="003F7F6C">
              <w:rPr>
                <w:rFonts w:eastAsia="Times New Roman" w:cs="Calibri"/>
                <w:i/>
                <w:sz w:val="16"/>
                <w:szCs w:val="16"/>
                <w:lang w:eastAsia="es-ES_tradnl"/>
              </w:rPr>
              <w:t>set up to disseminate good practices and lessons learned</w:t>
            </w:r>
          </w:p>
        </w:tc>
      </w:tr>
      <w:tr w:rsidR="002B04EB" w:rsidRPr="003F7F6C" w14:paraId="423CD1F6" w14:textId="77777777" w:rsidTr="00B851B7">
        <w:tc>
          <w:tcPr>
            <w:tcW w:w="1668" w:type="dxa"/>
          </w:tcPr>
          <w:p w14:paraId="5042C13B" w14:textId="3122B825" w:rsidR="002B04EB" w:rsidRPr="003F7F6C" w:rsidRDefault="002B04EB" w:rsidP="00B851B7">
            <w:pPr>
              <w:rPr>
                <w:rFonts w:cs="Calibri"/>
                <w:sz w:val="16"/>
                <w:szCs w:val="16"/>
              </w:rPr>
            </w:pPr>
            <w:r w:rsidRPr="003F7F6C">
              <w:rPr>
                <w:rFonts w:cs="Calibri"/>
                <w:sz w:val="16"/>
                <w:szCs w:val="16"/>
              </w:rPr>
              <w:t>4.</w:t>
            </w:r>
            <w:r w:rsidR="00B82908" w:rsidRPr="003F7F6C">
              <w:rPr>
                <w:rFonts w:cs="Calibri"/>
                <w:sz w:val="16"/>
                <w:szCs w:val="16"/>
              </w:rPr>
              <w:t>2</w:t>
            </w:r>
            <w:r w:rsidRPr="003F7F6C">
              <w:rPr>
                <w:rFonts w:cs="Calibri"/>
                <w:sz w:val="16"/>
                <w:szCs w:val="16"/>
              </w:rPr>
              <w:t>.</w:t>
            </w:r>
            <w:r w:rsidR="00B82908" w:rsidRPr="003F7F6C">
              <w:rPr>
                <w:rFonts w:cs="Calibri"/>
                <w:sz w:val="16"/>
                <w:szCs w:val="16"/>
              </w:rPr>
              <w:t>1</w:t>
            </w:r>
            <w:r w:rsidRPr="003F7F6C">
              <w:rPr>
                <w:rFonts w:cs="Calibri"/>
                <w:sz w:val="16"/>
                <w:szCs w:val="16"/>
              </w:rPr>
              <w:t xml:space="preserve"> Information and communication program</w:t>
            </w:r>
          </w:p>
        </w:tc>
        <w:tc>
          <w:tcPr>
            <w:tcW w:w="1057" w:type="dxa"/>
          </w:tcPr>
          <w:p w14:paraId="2BFBE162" w14:textId="77777777" w:rsidR="002B04EB" w:rsidRPr="003F7F6C" w:rsidRDefault="002B04EB" w:rsidP="00B851B7">
            <w:pPr>
              <w:rPr>
                <w:rFonts w:cs="Calibri"/>
                <w:sz w:val="16"/>
                <w:szCs w:val="16"/>
              </w:rPr>
            </w:pPr>
            <w:r w:rsidRPr="003F7F6C">
              <w:rPr>
                <w:rFonts w:cs="Calibri"/>
                <w:sz w:val="16"/>
                <w:szCs w:val="16"/>
              </w:rPr>
              <w:t>PMU, SGAyDS</w:t>
            </w:r>
          </w:p>
        </w:tc>
        <w:tc>
          <w:tcPr>
            <w:tcW w:w="428" w:type="dxa"/>
          </w:tcPr>
          <w:p w14:paraId="7902241F" w14:textId="77777777" w:rsidR="002B04EB" w:rsidRPr="003F7F6C" w:rsidRDefault="002B04EB" w:rsidP="00B851B7"/>
        </w:tc>
        <w:tc>
          <w:tcPr>
            <w:tcW w:w="444" w:type="dxa"/>
          </w:tcPr>
          <w:p w14:paraId="6230A9F4" w14:textId="77777777" w:rsidR="002B04EB" w:rsidRPr="003F7F6C" w:rsidRDefault="002B04EB" w:rsidP="00B851B7">
            <w:r w:rsidRPr="003F7F6C">
              <w:rPr>
                <w:rFonts w:cs="Calibri"/>
                <w:sz w:val="16"/>
                <w:szCs w:val="16"/>
              </w:rPr>
              <w:t>X</w:t>
            </w:r>
          </w:p>
        </w:tc>
        <w:tc>
          <w:tcPr>
            <w:tcW w:w="428" w:type="dxa"/>
          </w:tcPr>
          <w:p w14:paraId="7FF4D6AB" w14:textId="77777777" w:rsidR="002B04EB" w:rsidRPr="003F7F6C" w:rsidRDefault="002B04EB" w:rsidP="00B851B7">
            <w:r w:rsidRPr="003F7F6C">
              <w:rPr>
                <w:rFonts w:cs="Calibri"/>
                <w:sz w:val="16"/>
                <w:szCs w:val="16"/>
              </w:rPr>
              <w:t>X</w:t>
            </w:r>
          </w:p>
        </w:tc>
        <w:tc>
          <w:tcPr>
            <w:tcW w:w="428" w:type="dxa"/>
            <w:gridSpan w:val="2"/>
          </w:tcPr>
          <w:p w14:paraId="6EDC66F0" w14:textId="77777777" w:rsidR="002B04EB" w:rsidRPr="003F7F6C" w:rsidRDefault="002B04EB" w:rsidP="00B851B7">
            <w:r w:rsidRPr="003F7F6C">
              <w:rPr>
                <w:rFonts w:cs="Calibri"/>
                <w:sz w:val="16"/>
                <w:szCs w:val="16"/>
              </w:rPr>
              <w:t>X</w:t>
            </w:r>
          </w:p>
        </w:tc>
        <w:tc>
          <w:tcPr>
            <w:tcW w:w="428" w:type="dxa"/>
          </w:tcPr>
          <w:p w14:paraId="1865F91B" w14:textId="77777777" w:rsidR="002B04EB" w:rsidRPr="003F7F6C" w:rsidRDefault="002B04EB" w:rsidP="00B851B7">
            <w:r w:rsidRPr="003F7F6C">
              <w:rPr>
                <w:rFonts w:cs="Calibri"/>
                <w:sz w:val="16"/>
                <w:szCs w:val="16"/>
              </w:rPr>
              <w:t>X</w:t>
            </w:r>
          </w:p>
        </w:tc>
        <w:tc>
          <w:tcPr>
            <w:tcW w:w="427" w:type="dxa"/>
          </w:tcPr>
          <w:p w14:paraId="1B123449" w14:textId="77777777" w:rsidR="002B04EB" w:rsidRPr="003F7F6C" w:rsidRDefault="002B04EB" w:rsidP="00B851B7">
            <w:r w:rsidRPr="003F7F6C">
              <w:rPr>
                <w:rFonts w:cs="Calibri"/>
                <w:sz w:val="16"/>
                <w:szCs w:val="16"/>
              </w:rPr>
              <w:t>X</w:t>
            </w:r>
          </w:p>
        </w:tc>
        <w:tc>
          <w:tcPr>
            <w:tcW w:w="427" w:type="dxa"/>
          </w:tcPr>
          <w:p w14:paraId="246CA632" w14:textId="77777777" w:rsidR="002B04EB" w:rsidRPr="003F7F6C" w:rsidRDefault="002B04EB" w:rsidP="00B851B7">
            <w:r w:rsidRPr="003F7F6C">
              <w:rPr>
                <w:rFonts w:cs="Calibri"/>
                <w:sz w:val="16"/>
                <w:szCs w:val="16"/>
              </w:rPr>
              <w:t>X</w:t>
            </w:r>
          </w:p>
        </w:tc>
        <w:tc>
          <w:tcPr>
            <w:tcW w:w="427" w:type="dxa"/>
            <w:gridSpan w:val="2"/>
          </w:tcPr>
          <w:p w14:paraId="77307F30" w14:textId="77777777" w:rsidR="002B04EB" w:rsidRPr="003F7F6C" w:rsidRDefault="002B04EB" w:rsidP="00B851B7">
            <w:r w:rsidRPr="003F7F6C">
              <w:rPr>
                <w:rFonts w:cs="Calibri"/>
                <w:sz w:val="16"/>
                <w:szCs w:val="16"/>
              </w:rPr>
              <w:t>X</w:t>
            </w:r>
          </w:p>
        </w:tc>
        <w:tc>
          <w:tcPr>
            <w:tcW w:w="428" w:type="dxa"/>
          </w:tcPr>
          <w:p w14:paraId="1A8C4907" w14:textId="77777777" w:rsidR="002B04EB" w:rsidRPr="003F7F6C" w:rsidRDefault="002B04EB" w:rsidP="00B851B7">
            <w:r w:rsidRPr="003F7F6C">
              <w:rPr>
                <w:rFonts w:cs="Calibri"/>
                <w:sz w:val="16"/>
                <w:szCs w:val="16"/>
              </w:rPr>
              <w:t>X</w:t>
            </w:r>
          </w:p>
        </w:tc>
        <w:tc>
          <w:tcPr>
            <w:tcW w:w="428" w:type="dxa"/>
          </w:tcPr>
          <w:p w14:paraId="12DA5D4C" w14:textId="77777777" w:rsidR="002B04EB" w:rsidRPr="003F7F6C" w:rsidRDefault="002B04EB" w:rsidP="00B851B7">
            <w:r w:rsidRPr="003F7F6C">
              <w:rPr>
                <w:rFonts w:cs="Calibri"/>
                <w:sz w:val="16"/>
                <w:szCs w:val="16"/>
              </w:rPr>
              <w:t>X</w:t>
            </w:r>
          </w:p>
        </w:tc>
        <w:tc>
          <w:tcPr>
            <w:tcW w:w="428" w:type="dxa"/>
          </w:tcPr>
          <w:p w14:paraId="5E39F896" w14:textId="77777777" w:rsidR="002B04EB" w:rsidRPr="003F7F6C" w:rsidRDefault="002B04EB" w:rsidP="00B851B7">
            <w:r w:rsidRPr="003F7F6C">
              <w:rPr>
                <w:rFonts w:cs="Calibri"/>
                <w:sz w:val="16"/>
                <w:szCs w:val="16"/>
              </w:rPr>
              <w:t>X</w:t>
            </w:r>
          </w:p>
        </w:tc>
        <w:tc>
          <w:tcPr>
            <w:tcW w:w="428" w:type="dxa"/>
            <w:gridSpan w:val="2"/>
          </w:tcPr>
          <w:p w14:paraId="7102735F" w14:textId="77777777" w:rsidR="002B04EB" w:rsidRPr="003F7F6C" w:rsidRDefault="002B04EB" w:rsidP="00B851B7">
            <w:r w:rsidRPr="003F7F6C">
              <w:rPr>
                <w:rFonts w:cs="Calibri"/>
                <w:sz w:val="16"/>
                <w:szCs w:val="16"/>
              </w:rPr>
              <w:t>X</w:t>
            </w:r>
          </w:p>
        </w:tc>
        <w:tc>
          <w:tcPr>
            <w:tcW w:w="428" w:type="dxa"/>
          </w:tcPr>
          <w:p w14:paraId="0610FE66" w14:textId="77777777" w:rsidR="002B04EB" w:rsidRPr="003F7F6C" w:rsidRDefault="002B04EB" w:rsidP="00B851B7">
            <w:r w:rsidRPr="003F7F6C">
              <w:rPr>
                <w:rFonts w:cs="Calibri"/>
                <w:sz w:val="16"/>
                <w:szCs w:val="16"/>
              </w:rPr>
              <w:t>X</w:t>
            </w:r>
          </w:p>
        </w:tc>
        <w:tc>
          <w:tcPr>
            <w:tcW w:w="428" w:type="dxa"/>
          </w:tcPr>
          <w:p w14:paraId="54FC3E55" w14:textId="77777777" w:rsidR="002B04EB" w:rsidRPr="003F7F6C" w:rsidRDefault="002B04EB" w:rsidP="00B851B7">
            <w:r w:rsidRPr="003F7F6C">
              <w:rPr>
                <w:rFonts w:cs="Calibri"/>
                <w:sz w:val="16"/>
                <w:szCs w:val="16"/>
              </w:rPr>
              <w:t>X</w:t>
            </w:r>
          </w:p>
        </w:tc>
        <w:tc>
          <w:tcPr>
            <w:tcW w:w="428" w:type="dxa"/>
          </w:tcPr>
          <w:p w14:paraId="6BF03451" w14:textId="77777777" w:rsidR="002B04EB" w:rsidRPr="003F7F6C" w:rsidRDefault="002B04EB" w:rsidP="00B851B7">
            <w:r w:rsidRPr="003F7F6C">
              <w:rPr>
                <w:rFonts w:cs="Calibri"/>
                <w:sz w:val="16"/>
                <w:szCs w:val="16"/>
              </w:rPr>
              <w:t>X</w:t>
            </w:r>
          </w:p>
        </w:tc>
        <w:tc>
          <w:tcPr>
            <w:tcW w:w="428" w:type="dxa"/>
            <w:gridSpan w:val="2"/>
          </w:tcPr>
          <w:p w14:paraId="791407C6" w14:textId="77777777" w:rsidR="002B04EB" w:rsidRPr="003F7F6C" w:rsidRDefault="002B04EB" w:rsidP="00B851B7">
            <w:r w:rsidRPr="003F7F6C">
              <w:rPr>
                <w:rFonts w:cs="Calibri"/>
                <w:sz w:val="16"/>
                <w:szCs w:val="16"/>
              </w:rPr>
              <w:t>X</w:t>
            </w:r>
          </w:p>
        </w:tc>
        <w:tc>
          <w:tcPr>
            <w:tcW w:w="428" w:type="dxa"/>
          </w:tcPr>
          <w:p w14:paraId="107B3CFB" w14:textId="77777777" w:rsidR="002B04EB" w:rsidRPr="003F7F6C" w:rsidRDefault="002B04EB" w:rsidP="00B851B7">
            <w:r w:rsidRPr="003F7F6C">
              <w:rPr>
                <w:rFonts w:cs="Calibri"/>
                <w:sz w:val="16"/>
                <w:szCs w:val="16"/>
              </w:rPr>
              <w:t>X</w:t>
            </w:r>
          </w:p>
        </w:tc>
        <w:tc>
          <w:tcPr>
            <w:tcW w:w="428" w:type="dxa"/>
          </w:tcPr>
          <w:p w14:paraId="62DF1B02" w14:textId="77777777" w:rsidR="002B04EB" w:rsidRPr="003F7F6C" w:rsidRDefault="002B04EB" w:rsidP="00B851B7">
            <w:r w:rsidRPr="003F7F6C">
              <w:rPr>
                <w:rFonts w:cs="Calibri"/>
                <w:sz w:val="16"/>
                <w:szCs w:val="16"/>
              </w:rPr>
              <w:t>X</w:t>
            </w:r>
          </w:p>
        </w:tc>
        <w:tc>
          <w:tcPr>
            <w:tcW w:w="428" w:type="dxa"/>
          </w:tcPr>
          <w:p w14:paraId="241C13EA" w14:textId="77777777" w:rsidR="002B04EB" w:rsidRPr="003F7F6C" w:rsidRDefault="002B04EB" w:rsidP="00B851B7">
            <w:r w:rsidRPr="003F7F6C">
              <w:rPr>
                <w:rFonts w:cs="Calibri"/>
                <w:sz w:val="16"/>
                <w:szCs w:val="16"/>
              </w:rPr>
              <w:t>X</w:t>
            </w:r>
          </w:p>
        </w:tc>
        <w:tc>
          <w:tcPr>
            <w:tcW w:w="428" w:type="dxa"/>
            <w:gridSpan w:val="2"/>
          </w:tcPr>
          <w:p w14:paraId="6434B8F8" w14:textId="77777777" w:rsidR="002B04EB" w:rsidRPr="003F7F6C" w:rsidRDefault="002B04EB" w:rsidP="00B851B7">
            <w:r w:rsidRPr="003F7F6C">
              <w:rPr>
                <w:rFonts w:cs="Calibri"/>
                <w:sz w:val="16"/>
                <w:szCs w:val="16"/>
              </w:rPr>
              <w:t>X</w:t>
            </w:r>
          </w:p>
        </w:tc>
        <w:tc>
          <w:tcPr>
            <w:tcW w:w="428" w:type="dxa"/>
          </w:tcPr>
          <w:p w14:paraId="55A8EE70" w14:textId="77777777" w:rsidR="002B04EB" w:rsidRPr="003F7F6C" w:rsidRDefault="002B04EB" w:rsidP="00B851B7">
            <w:r w:rsidRPr="003F7F6C">
              <w:rPr>
                <w:rFonts w:cs="Calibri"/>
                <w:sz w:val="16"/>
                <w:szCs w:val="16"/>
              </w:rPr>
              <w:t>X</w:t>
            </w:r>
          </w:p>
        </w:tc>
        <w:tc>
          <w:tcPr>
            <w:tcW w:w="428" w:type="dxa"/>
          </w:tcPr>
          <w:p w14:paraId="4CD0318D" w14:textId="77777777" w:rsidR="002B04EB" w:rsidRPr="003F7F6C" w:rsidRDefault="002B04EB" w:rsidP="00B851B7">
            <w:r w:rsidRPr="003F7F6C">
              <w:rPr>
                <w:rFonts w:cs="Calibri"/>
                <w:sz w:val="16"/>
                <w:szCs w:val="16"/>
              </w:rPr>
              <w:t>X</w:t>
            </w:r>
          </w:p>
        </w:tc>
        <w:tc>
          <w:tcPr>
            <w:tcW w:w="428" w:type="dxa"/>
          </w:tcPr>
          <w:p w14:paraId="6A09D985" w14:textId="77777777" w:rsidR="002B04EB" w:rsidRPr="003F7F6C" w:rsidRDefault="002B04EB" w:rsidP="00B851B7">
            <w:r w:rsidRPr="003F7F6C">
              <w:rPr>
                <w:rFonts w:cs="Calibri"/>
                <w:sz w:val="16"/>
                <w:szCs w:val="16"/>
              </w:rPr>
              <w:t>X</w:t>
            </w:r>
          </w:p>
        </w:tc>
        <w:tc>
          <w:tcPr>
            <w:tcW w:w="428" w:type="dxa"/>
          </w:tcPr>
          <w:p w14:paraId="16EAA15B" w14:textId="77777777" w:rsidR="002B04EB" w:rsidRPr="003F7F6C" w:rsidRDefault="002B04EB" w:rsidP="00B851B7">
            <w:r w:rsidRPr="003F7F6C">
              <w:rPr>
                <w:rFonts w:cs="Calibri"/>
                <w:sz w:val="16"/>
                <w:szCs w:val="16"/>
              </w:rPr>
              <w:t>X</w:t>
            </w:r>
          </w:p>
        </w:tc>
      </w:tr>
    </w:tbl>
    <w:p w14:paraId="324FA329" w14:textId="77777777" w:rsidR="002B04EB" w:rsidRPr="003F7F6C" w:rsidRDefault="002B04EB" w:rsidP="003B2A79">
      <w:pPr>
        <w:rPr>
          <w:szCs w:val="22"/>
        </w:rPr>
      </w:pPr>
    </w:p>
    <w:p w14:paraId="343318BD" w14:textId="77777777" w:rsidR="00661B6A" w:rsidRPr="003F7F6C" w:rsidRDefault="00661B6A" w:rsidP="003B2A79">
      <w:pPr>
        <w:rPr>
          <w:szCs w:val="22"/>
        </w:rPr>
      </w:pPr>
    </w:p>
    <w:p w14:paraId="2748D105" w14:textId="77777777" w:rsidR="002B04EB" w:rsidRPr="003F7F6C" w:rsidRDefault="002B04EB" w:rsidP="003B2A79">
      <w:pPr>
        <w:rPr>
          <w:szCs w:val="22"/>
        </w:rPr>
      </w:pPr>
    </w:p>
    <w:p w14:paraId="2F8775CC" w14:textId="77777777" w:rsidR="002B04EB" w:rsidRPr="003F7F6C" w:rsidRDefault="002B04EB" w:rsidP="003B2A79">
      <w:pPr>
        <w:rPr>
          <w:szCs w:val="22"/>
        </w:rPr>
        <w:sectPr w:rsidR="002B04EB" w:rsidRPr="003F7F6C" w:rsidSect="00661B6A">
          <w:pgSz w:w="15840" w:h="12240" w:orient="landscape" w:code="1"/>
          <w:pgMar w:top="1440" w:right="1440" w:bottom="1440" w:left="1440" w:header="720" w:footer="720" w:gutter="0"/>
          <w:cols w:space="720"/>
          <w:docGrid w:linePitch="360"/>
        </w:sectPr>
      </w:pPr>
    </w:p>
    <w:p w14:paraId="7ABEE9CC" w14:textId="77777777" w:rsidR="00556F17" w:rsidRPr="003F7F6C" w:rsidRDefault="007259BD" w:rsidP="00556F17">
      <w:pPr>
        <w:pStyle w:val="Heading2"/>
        <w:ind w:left="0"/>
        <w:rPr>
          <w:rFonts w:ascii="Calibri" w:hAnsi="Calibri"/>
          <w:b w:val="0"/>
          <w:szCs w:val="22"/>
        </w:rPr>
      </w:pPr>
      <w:bookmarkStart w:id="35" w:name="_Toc529891421"/>
      <w:bookmarkEnd w:id="15"/>
      <w:bookmarkEnd w:id="16"/>
      <w:r w:rsidRPr="003F7F6C">
        <w:rPr>
          <w:rFonts w:ascii="Calibri" w:hAnsi="Calibri"/>
          <w:szCs w:val="22"/>
        </w:rPr>
        <w:t xml:space="preserve">Annex </w:t>
      </w:r>
      <w:r w:rsidR="00556F17" w:rsidRPr="003F7F6C">
        <w:rPr>
          <w:rFonts w:ascii="Calibri" w:hAnsi="Calibri"/>
          <w:szCs w:val="22"/>
        </w:rPr>
        <w:t xml:space="preserve">B:  </w:t>
      </w:r>
      <w:r w:rsidR="00142A0C" w:rsidRPr="003F7F6C">
        <w:rPr>
          <w:rFonts w:ascii="Calibri" w:hAnsi="Calibri"/>
          <w:szCs w:val="22"/>
        </w:rPr>
        <w:t xml:space="preserve">Core Indicators </w:t>
      </w:r>
      <w:r w:rsidR="00556F17" w:rsidRPr="003F7F6C">
        <w:rPr>
          <w:rFonts w:ascii="Calibri" w:hAnsi="Calibri"/>
          <w:szCs w:val="22"/>
        </w:rPr>
        <w:t xml:space="preserve"> at baseline</w:t>
      </w:r>
      <w:bookmarkEnd w:id="35"/>
    </w:p>
    <w:p w14:paraId="091C3D62" w14:textId="77777777" w:rsidR="003E615F" w:rsidRPr="003F7F6C" w:rsidRDefault="003E615F" w:rsidP="003E615F"/>
    <w:p w14:paraId="1B6B9F43" w14:textId="77777777" w:rsidR="003E615F" w:rsidRPr="003F7F6C" w:rsidRDefault="003E615F" w:rsidP="003E615F">
      <w:pPr>
        <w:rPr>
          <w:b/>
        </w:rPr>
      </w:pPr>
      <w:bookmarkStart w:id="36" w:name="_Toc521920313"/>
      <w:r w:rsidRPr="003F7F6C">
        <w:rPr>
          <w:b/>
        </w:rPr>
        <w:t>Core Indicator 3: Area of land restored (hectares)</w:t>
      </w:r>
      <w:bookmarkEnd w:id="3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3E615F" w:rsidRPr="003F7F6C" w14:paraId="6AA63B91" w14:textId="77777777" w:rsidTr="002B3130">
        <w:tc>
          <w:tcPr>
            <w:tcW w:w="2304" w:type="dxa"/>
            <w:shd w:val="clear" w:color="auto" w:fill="D9D9D9"/>
          </w:tcPr>
          <w:p w14:paraId="0AC98BD5"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Ha (expected at PIF)</w:t>
            </w:r>
          </w:p>
        </w:tc>
        <w:tc>
          <w:tcPr>
            <w:tcW w:w="2304" w:type="dxa"/>
            <w:shd w:val="clear" w:color="auto" w:fill="D9D9D9"/>
          </w:tcPr>
          <w:p w14:paraId="71063096"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Ha (expected at CEO Endorsement)</w:t>
            </w:r>
          </w:p>
        </w:tc>
        <w:tc>
          <w:tcPr>
            <w:tcW w:w="2304" w:type="dxa"/>
            <w:shd w:val="clear" w:color="auto" w:fill="D9D9D9"/>
          </w:tcPr>
          <w:p w14:paraId="1582CBE7"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Ha (achieved at MTR)</w:t>
            </w:r>
          </w:p>
        </w:tc>
        <w:tc>
          <w:tcPr>
            <w:tcW w:w="2304" w:type="dxa"/>
            <w:shd w:val="clear" w:color="auto" w:fill="D9D9D9"/>
          </w:tcPr>
          <w:p w14:paraId="55D5157D"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Ha (achieved at TE)</w:t>
            </w:r>
          </w:p>
        </w:tc>
      </w:tr>
      <w:tr w:rsidR="003E615F" w:rsidRPr="003F7F6C" w14:paraId="5CEFBC9C" w14:textId="77777777" w:rsidTr="002B3130">
        <w:tc>
          <w:tcPr>
            <w:tcW w:w="2304" w:type="dxa"/>
            <w:shd w:val="clear" w:color="auto" w:fill="auto"/>
          </w:tcPr>
          <w:p w14:paraId="06481DBE" w14:textId="77777777" w:rsidR="003E615F" w:rsidRPr="003F7F6C" w:rsidRDefault="003E615F" w:rsidP="002B3130">
            <w:pPr>
              <w:jc w:val="right"/>
              <w:rPr>
                <w:rFonts w:eastAsia="Times New Roman" w:cs="Calibri"/>
                <w:color w:val="000000"/>
                <w:sz w:val="18"/>
                <w:szCs w:val="18"/>
              </w:rPr>
            </w:pPr>
            <w:r w:rsidRPr="003F7F6C">
              <w:rPr>
                <w:rFonts w:eastAsia="Times New Roman" w:cs="Calibri"/>
                <w:color w:val="000000"/>
                <w:sz w:val="18"/>
                <w:szCs w:val="18"/>
              </w:rPr>
              <w:t>N/A</w:t>
            </w:r>
          </w:p>
        </w:tc>
        <w:tc>
          <w:tcPr>
            <w:tcW w:w="2304" w:type="dxa"/>
            <w:shd w:val="clear" w:color="auto" w:fill="auto"/>
          </w:tcPr>
          <w:p w14:paraId="17A9C35D" w14:textId="77777777" w:rsidR="003E615F" w:rsidRPr="003F7F6C" w:rsidRDefault="003E615F" w:rsidP="002B3130">
            <w:pPr>
              <w:jc w:val="right"/>
              <w:rPr>
                <w:rFonts w:eastAsia="Times New Roman" w:cs="Calibri"/>
                <w:color w:val="000000"/>
                <w:sz w:val="18"/>
                <w:szCs w:val="18"/>
              </w:rPr>
            </w:pPr>
            <w:r w:rsidRPr="003F7F6C">
              <w:rPr>
                <w:rFonts w:eastAsia="Times New Roman" w:cs="Calibri"/>
                <w:color w:val="000000"/>
                <w:sz w:val="18"/>
                <w:szCs w:val="18"/>
              </w:rPr>
              <w:t>128,</w:t>
            </w:r>
            <w:r w:rsidR="00690B11" w:rsidRPr="003F7F6C">
              <w:rPr>
                <w:rFonts w:eastAsia="Times New Roman" w:cs="Calibri"/>
                <w:color w:val="000000"/>
                <w:sz w:val="18"/>
                <w:szCs w:val="18"/>
              </w:rPr>
              <w:t>370</w:t>
            </w:r>
          </w:p>
        </w:tc>
        <w:tc>
          <w:tcPr>
            <w:tcW w:w="2304" w:type="dxa"/>
            <w:shd w:val="clear" w:color="auto" w:fill="auto"/>
          </w:tcPr>
          <w:p w14:paraId="66B8893F" w14:textId="77777777" w:rsidR="003E615F" w:rsidRPr="003F7F6C" w:rsidRDefault="003E615F" w:rsidP="003E615F">
            <w:pPr>
              <w:rPr>
                <w:rFonts w:eastAsia="Times New Roman" w:cs="Calibri"/>
                <w:color w:val="000000"/>
                <w:sz w:val="18"/>
                <w:szCs w:val="18"/>
              </w:rPr>
            </w:pPr>
          </w:p>
        </w:tc>
        <w:tc>
          <w:tcPr>
            <w:tcW w:w="2304" w:type="dxa"/>
            <w:shd w:val="clear" w:color="auto" w:fill="auto"/>
          </w:tcPr>
          <w:p w14:paraId="50761425" w14:textId="77777777" w:rsidR="003E615F" w:rsidRPr="003F7F6C" w:rsidRDefault="003E615F" w:rsidP="003E615F">
            <w:pPr>
              <w:rPr>
                <w:rFonts w:eastAsia="Times New Roman" w:cs="Calibri"/>
                <w:color w:val="000000"/>
                <w:sz w:val="18"/>
                <w:szCs w:val="18"/>
              </w:rPr>
            </w:pPr>
          </w:p>
        </w:tc>
      </w:tr>
    </w:tbl>
    <w:p w14:paraId="74239F76" w14:textId="77777777" w:rsidR="003E615F" w:rsidRPr="003F7F6C" w:rsidRDefault="003E615F" w:rsidP="003E615F">
      <w:pPr>
        <w:rPr>
          <w:rFonts w:ascii="Times New Roman" w:eastAsia="Times New Roman" w:hAnsi="Times New Roman"/>
          <w:i/>
          <w:color w:val="000000"/>
        </w:rPr>
      </w:pPr>
      <w:r w:rsidRPr="003F7F6C">
        <w:rPr>
          <w:rFonts w:ascii="Times New Roman" w:eastAsia="Times New Roman" w:hAnsi="Times New Roman"/>
          <w:i/>
          <w:color w:val="000000"/>
        </w:rPr>
        <w:t>Figure at a given stage must be the sum of all figures reported under the four sub-indicators (3.1, 3.2, 3.3 and 3.4) for that stage.</w:t>
      </w:r>
    </w:p>
    <w:p w14:paraId="15A95633" w14:textId="77777777" w:rsidR="003E615F" w:rsidRPr="003F7F6C" w:rsidRDefault="003E615F" w:rsidP="003E615F">
      <w:pPr>
        <w:rPr>
          <w:rFonts w:ascii="Times New Roman" w:eastAsia="Times New Roman" w:hAnsi="Times New Roman"/>
          <w:color w:val="000000"/>
        </w:rPr>
      </w:pPr>
    </w:p>
    <w:p w14:paraId="1C5C9E66"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3.1 Area of degraded agricultural lands restored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3E615F" w:rsidRPr="003F7F6C" w14:paraId="7FA6D573" w14:textId="77777777" w:rsidTr="002B3130">
        <w:tc>
          <w:tcPr>
            <w:tcW w:w="2304" w:type="dxa"/>
            <w:shd w:val="clear" w:color="auto" w:fill="D9D9D9"/>
          </w:tcPr>
          <w:p w14:paraId="2835678D"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Ha (expected at PIF)</w:t>
            </w:r>
          </w:p>
        </w:tc>
        <w:tc>
          <w:tcPr>
            <w:tcW w:w="2304" w:type="dxa"/>
            <w:shd w:val="clear" w:color="auto" w:fill="D9D9D9"/>
          </w:tcPr>
          <w:p w14:paraId="23D2646A"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Ha (expected at CEO Endorsement)</w:t>
            </w:r>
          </w:p>
        </w:tc>
        <w:tc>
          <w:tcPr>
            <w:tcW w:w="2304" w:type="dxa"/>
            <w:shd w:val="clear" w:color="auto" w:fill="D9D9D9"/>
          </w:tcPr>
          <w:p w14:paraId="59630854"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Ha (achieved at MTR)</w:t>
            </w:r>
          </w:p>
        </w:tc>
        <w:tc>
          <w:tcPr>
            <w:tcW w:w="2304" w:type="dxa"/>
            <w:shd w:val="clear" w:color="auto" w:fill="D9D9D9"/>
          </w:tcPr>
          <w:p w14:paraId="474365D7"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Ha (achieved at TE)</w:t>
            </w:r>
          </w:p>
        </w:tc>
      </w:tr>
      <w:tr w:rsidR="003E615F" w:rsidRPr="003F7F6C" w14:paraId="525B0523" w14:textId="77777777" w:rsidTr="002B3130">
        <w:tc>
          <w:tcPr>
            <w:tcW w:w="2304" w:type="dxa"/>
            <w:shd w:val="clear" w:color="auto" w:fill="auto"/>
          </w:tcPr>
          <w:p w14:paraId="3E578FA5" w14:textId="77777777" w:rsidR="003E615F" w:rsidRPr="003F7F6C" w:rsidRDefault="003E615F" w:rsidP="008135A4">
            <w:pPr>
              <w:jc w:val="center"/>
              <w:rPr>
                <w:rFonts w:eastAsia="Times New Roman" w:cs="Calibri"/>
                <w:color w:val="000000"/>
                <w:sz w:val="18"/>
                <w:szCs w:val="18"/>
              </w:rPr>
            </w:pPr>
            <w:r w:rsidRPr="003F7F6C">
              <w:rPr>
                <w:rFonts w:eastAsia="Times New Roman" w:cs="Calibri"/>
                <w:color w:val="000000"/>
                <w:sz w:val="18"/>
                <w:szCs w:val="18"/>
              </w:rPr>
              <w:t>N/A</w:t>
            </w:r>
          </w:p>
        </w:tc>
        <w:tc>
          <w:tcPr>
            <w:tcW w:w="2304" w:type="dxa"/>
            <w:shd w:val="clear" w:color="auto" w:fill="auto"/>
          </w:tcPr>
          <w:p w14:paraId="402E71F3" w14:textId="77777777" w:rsidR="003E615F" w:rsidRPr="003F7F6C" w:rsidRDefault="00690B11" w:rsidP="002B3130">
            <w:pPr>
              <w:jc w:val="right"/>
              <w:rPr>
                <w:rFonts w:eastAsia="Times New Roman" w:cs="Calibri"/>
                <w:color w:val="000000"/>
                <w:sz w:val="18"/>
                <w:szCs w:val="18"/>
              </w:rPr>
            </w:pPr>
            <w:r w:rsidRPr="003F7F6C">
              <w:rPr>
                <w:rFonts w:eastAsia="Times New Roman" w:cs="Calibri"/>
                <w:color w:val="000000"/>
                <w:sz w:val="18"/>
                <w:szCs w:val="18"/>
              </w:rPr>
              <w:t>97,868</w:t>
            </w:r>
          </w:p>
        </w:tc>
        <w:tc>
          <w:tcPr>
            <w:tcW w:w="2304" w:type="dxa"/>
            <w:shd w:val="clear" w:color="auto" w:fill="auto"/>
          </w:tcPr>
          <w:p w14:paraId="50D65C48" w14:textId="77777777" w:rsidR="003E615F" w:rsidRPr="003F7F6C" w:rsidRDefault="003E615F" w:rsidP="003E615F">
            <w:pPr>
              <w:rPr>
                <w:rFonts w:eastAsia="Times New Roman" w:cs="Calibri"/>
                <w:color w:val="000000"/>
                <w:sz w:val="18"/>
                <w:szCs w:val="18"/>
              </w:rPr>
            </w:pPr>
          </w:p>
        </w:tc>
        <w:tc>
          <w:tcPr>
            <w:tcW w:w="2304" w:type="dxa"/>
            <w:shd w:val="clear" w:color="auto" w:fill="auto"/>
          </w:tcPr>
          <w:p w14:paraId="4A9F0A4D" w14:textId="77777777" w:rsidR="003E615F" w:rsidRPr="003F7F6C" w:rsidRDefault="003E615F" w:rsidP="003E615F">
            <w:pPr>
              <w:rPr>
                <w:rFonts w:eastAsia="Times New Roman" w:cs="Calibri"/>
                <w:color w:val="000000"/>
                <w:sz w:val="18"/>
                <w:szCs w:val="18"/>
              </w:rPr>
            </w:pPr>
          </w:p>
        </w:tc>
      </w:tr>
    </w:tbl>
    <w:p w14:paraId="384CF42C" w14:textId="77777777" w:rsidR="003E615F" w:rsidRPr="003F7F6C" w:rsidRDefault="003E615F" w:rsidP="003E615F">
      <w:pPr>
        <w:rPr>
          <w:rFonts w:eastAsia="Times New Roman" w:cs="Calibri"/>
          <w:color w:val="000000"/>
          <w:sz w:val="18"/>
          <w:szCs w:val="18"/>
        </w:rPr>
      </w:pPr>
    </w:p>
    <w:p w14:paraId="7B4006D6" w14:textId="6E48F854"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 xml:space="preserve">3.2 Area of forest and forest land restored </w:t>
      </w:r>
    </w:p>
    <w:p w14:paraId="62532B30" w14:textId="77777777" w:rsidR="003E615F" w:rsidRPr="003F7F6C" w:rsidRDefault="00C86154" w:rsidP="003E615F">
      <w:pPr>
        <w:rPr>
          <w:rFonts w:eastAsia="Times New Roman" w:cs="Calibri"/>
          <w:b/>
          <w:color w:val="000000"/>
          <w:sz w:val="18"/>
          <w:szCs w:val="18"/>
        </w:rPr>
      </w:pPr>
      <w:r w:rsidRPr="003F7F6C">
        <w:rPr>
          <w:rFonts w:eastAsia="Times New Roman" w:cs="Calibri"/>
          <w:b/>
          <w:color w:val="000000"/>
          <w:sz w:val="18"/>
          <w:szCs w:val="18"/>
        </w:rPr>
        <w:t>(values are for both)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3E615F" w:rsidRPr="003F7F6C" w14:paraId="267B29B3" w14:textId="77777777" w:rsidTr="002B3130">
        <w:tc>
          <w:tcPr>
            <w:tcW w:w="2304" w:type="dxa"/>
            <w:shd w:val="clear" w:color="auto" w:fill="D9D9D9"/>
          </w:tcPr>
          <w:p w14:paraId="2BACBC90"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Ha (expected at PIF)</w:t>
            </w:r>
          </w:p>
        </w:tc>
        <w:tc>
          <w:tcPr>
            <w:tcW w:w="2304" w:type="dxa"/>
            <w:shd w:val="clear" w:color="auto" w:fill="D9D9D9"/>
          </w:tcPr>
          <w:p w14:paraId="1CCA97E9"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Ha (expected at CEO Endorsement)</w:t>
            </w:r>
          </w:p>
        </w:tc>
        <w:tc>
          <w:tcPr>
            <w:tcW w:w="2304" w:type="dxa"/>
            <w:shd w:val="clear" w:color="auto" w:fill="D9D9D9"/>
          </w:tcPr>
          <w:p w14:paraId="233296F2"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Ha (achieved at MTR)</w:t>
            </w:r>
          </w:p>
        </w:tc>
        <w:tc>
          <w:tcPr>
            <w:tcW w:w="2304" w:type="dxa"/>
            <w:shd w:val="clear" w:color="auto" w:fill="D9D9D9"/>
          </w:tcPr>
          <w:p w14:paraId="66D57876"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Ha (achieved at TE)</w:t>
            </w:r>
          </w:p>
        </w:tc>
      </w:tr>
      <w:tr w:rsidR="003E615F" w:rsidRPr="003F7F6C" w14:paraId="09538559" w14:textId="77777777" w:rsidTr="002B3130">
        <w:tc>
          <w:tcPr>
            <w:tcW w:w="2304" w:type="dxa"/>
            <w:shd w:val="clear" w:color="auto" w:fill="auto"/>
          </w:tcPr>
          <w:p w14:paraId="5DFB81E8" w14:textId="77777777" w:rsidR="003E615F" w:rsidRPr="003F7F6C" w:rsidRDefault="003E615F" w:rsidP="008135A4">
            <w:pPr>
              <w:jc w:val="center"/>
              <w:rPr>
                <w:rFonts w:eastAsia="Times New Roman" w:cs="Calibri"/>
                <w:color w:val="000000"/>
                <w:sz w:val="18"/>
                <w:szCs w:val="18"/>
              </w:rPr>
            </w:pPr>
            <w:r w:rsidRPr="003F7F6C">
              <w:rPr>
                <w:rFonts w:eastAsia="Times New Roman" w:cs="Calibri"/>
                <w:color w:val="000000"/>
                <w:sz w:val="18"/>
                <w:szCs w:val="18"/>
              </w:rPr>
              <w:t>N/A</w:t>
            </w:r>
          </w:p>
        </w:tc>
        <w:tc>
          <w:tcPr>
            <w:tcW w:w="2304" w:type="dxa"/>
            <w:shd w:val="clear" w:color="auto" w:fill="auto"/>
          </w:tcPr>
          <w:p w14:paraId="14B37EDF" w14:textId="77777777" w:rsidR="003E615F" w:rsidRPr="003F7F6C" w:rsidRDefault="003E615F" w:rsidP="002B3130">
            <w:pPr>
              <w:jc w:val="right"/>
              <w:rPr>
                <w:rFonts w:eastAsia="Times New Roman" w:cs="Calibri"/>
                <w:color w:val="000000"/>
                <w:sz w:val="18"/>
                <w:szCs w:val="18"/>
              </w:rPr>
            </w:pPr>
            <w:r w:rsidRPr="003F7F6C">
              <w:rPr>
                <w:rFonts w:eastAsia="Times New Roman" w:cs="Calibri"/>
                <w:color w:val="000000"/>
                <w:sz w:val="18"/>
                <w:szCs w:val="18"/>
              </w:rPr>
              <w:t>30,502</w:t>
            </w:r>
          </w:p>
        </w:tc>
        <w:tc>
          <w:tcPr>
            <w:tcW w:w="2304" w:type="dxa"/>
            <w:shd w:val="clear" w:color="auto" w:fill="auto"/>
          </w:tcPr>
          <w:p w14:paraId="4516DF78" w14:textId="77777777" w:rsidR="003E615F" w:rsidRPr="003F7F6C" w:rsidRDefault="003E615F" w:rsidP="003E615F">
            <w:pPr>
              <w:rPr>
                <w:rFonts w:eastAsia="Times New Roman" w:cs="Calibri"/>
                <w:color w:val="000000"/>
                <w:sz w:val="18"/>
                <w:szCs w:val="18"/>
              </w:rPr>
            </w:pPr>
          </w:p>
        </w:tc>
        <w:tc>
          <w:tcPr>
            <w:tcW w:w="2304" w:type="dxa"/>
            <w:shd w:val="clear" w:color="auto" w:fill="auto"/>
          </w:tcPr>
          <w:p w14:paraId="1987C9C0" w14:textId="77777777" w:rsidR="003E615F" w:rsidRPr="003F7F6C" w:rsidRDefault="003E615F" w:rsidP="003E615F">
            <w:pPr>
              <w:rPr>
                <w:rFonts w:eastAsia="Times New Roman" w:cs="Calibri"/>
                <w:color w:val="000000"/>
                <w:sz w:val="18"/>
                <w:szCs w:val="18"/>
              </w:rPr>
            </w:pPr>
          </w:p>
        </w:tc>
      </w:tr>
    </w:tbl>
    <w:p w14:paraId="642F5C74" w14:textId="77777777" w:rsidR="003E615F" w:rsidRPr="003F7F6C" w:rsidRDefault="003E615F" w:rsidP="003E615F">
      <w:pPr>
        <w:rPr>
          <w:rFonts w:eastAsia="Times New Roman" w:cs="Calibri"/>
          <w:color w:val="000000"/>
          <w:sz w:val="18"/>
          <w:szCs w:val="18"/>
        </w:rPr>
      </w:pPr>
    </w:p>
    <w:p w14:paraId="07FAC608" w14:textId="4BFE9D95" w:rsidR="003E615F" w:rsidRPr="003F7F6C" w:rsidRDefault="00052711" w:rsidP="003E615F">
      <w:pPr>
        <w:rPr>
          <w:rFonts w:eastAsia="Times New Roman" w:cs="Calibri"/>
          <w:b/>
          <w:color w:val="000000"/>
          <w:sz w:val="18"/>
          <w:szCs w:val="18"/>
        </w:rPr>
      </w:pPr>
      <w:r w:rsidRPr="003F7F6C">
        <w:rPr>
          <w:rFonts w:eastAsia="Times New Roman" w:cs="Calibri"/>
          <w:b/>
          <w:color w:val="000000"/>
          <w:sz w:val="18"/>
          <w:szCs w:val="18"/>
        </w:rPr>
        <w:t>3.3 Area of natural grass and shrublands restored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052711" w:rsidRPr="003F7F6C" w14:paraId="3749D423" w14:textId="77777777" w:rsidTr="002946EA">
        <w:tc>
          <w:tcPr>
            <w:tcW w:w="2304" w:type="dxa"/>
            <w:shd w:val="clear" w:color="auto" w:fill="D9D9D9"/>
          </w:tcPr>
          <w:p w14:paraId="1117B12C" w14:textId="77777777" w:rsidR="00052711" w:rsidRPr="003F7F6C" w:rsidRDefault="00052711" w:rsidP="002946EA">
            <w:pPr>
              <w:rPr>
                <w:rFonts w:eastAsia="Times New Roman" w:cs="Calibri"/>
                <w:b/>
                <w:color w:val="000000"/>
                <w:sz w:val="18"/>
                <w:szCs w:val="18"/>
              </w:rPr>
            </w:pPr>
            <w:r w:rsidRPr="003F7F6C">
              <w:rPr>
                <w:rFonts w:eastAsia="Times New Roman" w:cs="Calibri"/>
                <w:color w:val="000000"/>
                <w:sz w:val="18"/>
                <w:szCs w:val="18"/>
              </w:rPr>
              <w:t> </w:t>
            </w:r>
            <w:r w:rsidRPr="003F7F6C">
              <w:rPr>
                <w:rFonts w:eastAsia="Times New Roman" w:cs="Calibri"/>
                <w:b/>
                <w:color w:val="000000"/>
                <w:sz w:val="18"/>
                <w:szCs w:val="18"/>
              </w:rPr>
              <w:t>Ha (expected at PIF)</w:t>
            </w:r>
          </w:p>
        </w:tc>
        <w:tc>
          <w:tcPr>
            <w:tcW w:w="2304" w:type="dxa"/>
            <w:shd w:val="clear" w:color="auto" w:fill="D9D9D9"/>
          </w:tcPr>
          <w:p w14:paraId="54F4A98B" w14:textId="77777777" w:rsidR="00052711" w:rsidRPr="003F7F6C" w:rsidRDefault="00052711" w:rsidP="002946EA">
            <w:pPr>
              <w:rPr>
                <w:rFonts w:eastAsia="Times New Roman" w:cs="Calibri"/>
                <w:b/>
                <w:color w:val="000000"/>
                <w:sz w:val="18"/>
                <w:szCs w:val="18"/>
              </w:rPr>
            </w:pPr>
            <w:r w:rsidRPr="003F7F6C">
              <w:rPr>
                <w:rFonts w:eastAsia="Times New Roman" w:cs="Calibri"/>
                <w:b/>
                <w:color w:val="000000"/>
                <w:sz w:val="18"/>
                <w:szCs w:val="18"/>
              </w:rPr>
              <w:t>Ha (expected at CEO Endorsement)</w:t>
            </w:r>
          </w:p>
        </w:tc>
        <w:tc>
          <w:tcPr>
            <w:tcW w:w="2304" w:type="dxa"/>
            <w:shd w:val="clear" w:color="auto" w:fill="D9D9D9"/>
          </w:tcPr>
          <w:p w14:paraId="49191B0D" w14:textId="77777777" w:rsidR="00052711" w:rsidRPr="003F7F6C" w:rsidRDefault="00052711" w:rsidP="002946EA">
            <w:pPr>
              <w:rPr>
                <w:rFonts w:eastAsia="Times New Roman" w:cs="Calibri"/>
                <w:b/>
                <w:color w:val="000000"/>
                <w:sz w:val="18"/>
                <w:szCs w:val="18"/>
              </w:rPr>
            </w:pPr>
            <w:r w:rsidRPr="003F7F6C">
              <w:rPr>
                <w:rFonts w:eastAsia="Times New Roman" w:cs="Calibri"/>
                <w:b/>
                <w:color w:val="000000"/>
                <w:sz w:val="18"/>
                <w:szCs w:val="18"/>
              </w:rPr>
              <w:t>Ha (achieved at MTR)</w:t>
            </w:r>
          </w:p>
        </w:tc>
        <w:tc>
          <w:tcPr>
            <w:tcW w:w="2304" w:type="dxa"/>
            <w:shd w:val="clear" w:color="auto" w:fill="D9D9D9"/>
          </w:tcPr>
          <w:p w14:paraId="632FAE97" w14:textId="77777777" w:rsidR="00052711" w:rsidRPr="003F7F6C" w:rsidRDefault="00052711" w:rsidP="002946EA">
            <w:pPr>
              <w:rPr>
                <w:rFonts w:eastAsia="Times New Roman" w:cs="Calibri"/>
                <w:b/>
                <w:color w:val="000000"/>
                <w:sz w:val="18"/>
                <w:szCs w:val="18"/>
              </w:rPr>
            </w:pPr>
            <w:r w:rsidRPr="003F7F6C">
              <w:rPr>
                <w:rFonts w:eastAsia="Times New Roman" w:cs="Calibri"/>
                <w:b/>
                <w:color w:val="000000"/>
                <w:sz w:val="18"/>
                <w:szCs w:val="18"/>
              </w:rPr>
              <w:t>Ha (achieved at TE)</w:t>
            </w:r>
          </w:p>
        </w:tc>
      </w:tr>
      <w:tr w:rsidR="00052711" w:rsidRPr="003F7F6C" w14:paraId="3A44E08A" w14:textId="77777777" w:rsidTr="002946EA">
        <w:tc>
          <w:tcPr>
            <w:tcW w:w="2304" w:type="dxa"/>
            <w:shd w:val="clear" w:color="auto" w:fill="auto"/>
          </w:tcPr>
          <w:p w14:paraId="265C112B" w14:textId="77777777" w:rsidR="00052711" w:rsidRPr="003F7F6C" w:rsidRDefault="00052711" w:rsidP="002946EA">
            <w:pPr>
              <w:jc w:val="center"/>
              <w:rPr>
                <w:rFonts w:eastAsia="Times New Roman" w:cs="Calibri"/>
                <w:color w:val="000000"/>
                <w:sz w:val="18"/>
                <w:szCs w:val="18"/>
              </w:rPr>
            </w:pPr>
            <w:r w:rsidRPr="003F7F6C">
              <w:rPr>
                <w:rFonts w:eastAsia="Times New Roman" w:cs="Calibri"/>
                <w:color w:val="000000"/>
                <w:sz w:val="18"/>
                <w:szCs w:val="18"/>
              </w:rPr>
              <w:t>N/A</w:t>
            </w:r>
          </w:p>
        </w:tc>
        <w:tc>
          <w:tcPr>
            <w:tcW w:w="2304" w:type="dxa"/>
            <w:shd w:val="clear" w:color="auto" w:fill="auto"/>
          </w:tcPr>
          <w:p w14:paraId="350B58EB" w14:textId="77777777" w:rsidR="00052711" w:rsidRPr="003F7F6C" w:rsidRDefault="00052711" w:rsidP="002946EA">
            <w:pPr>
              <w:jc w:val="center"/>
              <w:rPr>
                <w:rFonts w:eastAsia="Times New Roman" w:cs="Calibri"/>
                <w:color w:val="000000"/>
                <w:sz w:val="18"/>
                <w:szCs w:val="18"/>
              </w:rPr>
            </w:pPr>
            <w:r w:rsidRPr="003F7F6C">
              <w:rPr>
                <w:rFonts w:eastAsia="Times New Roman" w:cs="Calibri"/>
                <w:color w:val="000000"/>
                <w:sz w:val="18"/>
                <w:szCs w:val="18"/>
              </w:rPr>
              <w:t>N/A</w:t>
            </w:r>
          </w:p>
        </w:tc>
        <w:tc>
          <w:tcPr>
            <w:tcW w:w="2304" w:type="dxa"/>
            <w:shd w:val="clear" w:color="auto" w:fill="auto"/>
          </w:tcPr>
          <w:p w14:paraId="0F5EEEFD" w14:textId="77777777" w:rsidR="00052711" w:rsidRPr="003F7F6C" w:rsidRDefault="00052711" w:rsidP="002946EA">
            <w:pPr>
              <w:rPr>
                <w:rFonts w:eastAsia="Times New Roman" w:cs="Calibri"/>
                <w:color w:val="000000"/>
                <w:sz w:val="18"/>
                <w:szCs w:val="18"/>
              </w:rPr>
            </w:pPr>
          </w:p>
        </w:tc>
        <w:tc>
          <w:tcPr>
            <w:tcW w:w="2304" w:type="dxa"/>
            <w:shd w:val="clear" w:color="auto" w:fill="auto"/>
          </w:tcPr>
          <w:p w14:paraId="48031B8E" w14:textId="77777777" w:rsidR="00052711" w:rsidRPr="003F7F6C" w:rsidRDefault="00052711" w:rsidP="002946EA">
            <w:pPr>
              <w:rPr>
                <w:rFonts w:eastAsia="Times New Roman" w:cs="Calibri"/>
                <w:color w:val="000000"/>
                <w:sz w:val="18"/>
                <w:szCs w:val="18"/>
              </w:rPr>
            </w:pPr>
          </w:p>
        </w:tc>
      </w:tr>
    </w:tbl>
    <w:p w14:paraId="01F03FE4" w14:textId="77777777" w:rsidR="00052711" w:rsidRPr="003F7F6C" w:rsidRDefault="00052711" w:rsidP="003E615F">
      <w:pPr>
        <w:rPr>
          <w:rFonts w:eastAsia="Times New Roman" w:cs="Calibri"/>
          <w:color w:val="000000"/>
          <w:sz w:val="18"/>
          <w:szCs w:val="18"/>
        </w:rPr>
      </w:pPr>
    </w:p>
    <w:p w14:paraId="3A8BC5FF"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3.4 Area of wetlands (including estuaries and mangroves) restored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3E615F" w:rsidRPr="003F7F6C" w14:paraId="30B15DB2" w14:textId="77777777" w:rsidTr="002B3130">
        <w:tc>
          <w:tcPr>
            <w:tcW w:w="2304" w:type="dxa"/>
            <w:shd w:val="clear" w:color="auto" w:fill="D9D9D9"/>
          </w:tcPr>
          <w:p w14:paraId="1F379E1B" w14:textId="77777777" w:rsidR="003E615F" w:rsidRPr="003F7F6C" w:rsidRDefault="003E615F" w:rsidP="003E615F">
            <w:pPr>
              <w:rPr>
                <w:rFonts w:eastAsia="Times New Roman" w:cs="Calibri"/>
                <w:b/>
                <w:color w:val="000000"/>
                <w:sz w:val="18"/>
                <w:szCs w:val="18"/>
              </w:rPr>
            </w:pPr>
            <w:r w:rsidRPr="003F7F6C">
              <w:rPr>
                <w:rFonts w:eastAsia="Times New Roman" w:cs="Calibri"/>
                <w:color w:val="000000"/>
                <w:sz w:val="18"/>
                <w:szCs w:val="18"/>
              </w:rPr>
              <w:t> </w:t>
            </w:r>
            <w:r w:rsidRPr="003F7F6C">
              <w:rPr>
                <w:rFonts w:eastAsia="Times New Roman" w:cs="Calibri"/>
                <w:b/>
                <w:color w:val="000000"/>
                <w:sz w:val="18"/>
                <w:szCs w:val="18"/>
              </w:rPr>
              <w:t>Ha (expected at PIF)</w:t>
            </w:r>
          </w:p>
        </w:tc>
        <w:tc>
          <w:tcPr>
            <w:tcW w:w="2304" w:type="dxa"/>
            <w:shd w:val="clear" w:color="auto" w:fill="D9D9D9"/>
          </w:tcPr>
          <w:p w14:paraId="33B93CD0"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Ha (expected at CEO Endorsement)</w:t>
            </w:r>
          </w:p>
        </w:tc>
        <w:tc>
          <w:tcPr>
            <w:tcW w:w="2304" w:type="dxa"/>
            <w:shd w:val="clear" w:color="auto" w:fill="D9D9D9"/>
          </w:tcPr>
          <w:p w14:paraId="645ECA95"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Ha (achieved at MTR)</w:t>
            </w:r>
          </w:p>
        </w:tc>
        <w:tc>
          <w:tcPr>
            <w:tcW w:w="2304" w:type="dxa"/>
            <w:shd w:val="clear" w:color="auto" w:fill="D9D9D9"/>
          </w:tcPr>
          <w:p w14:paraId="238E99DC"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Ha (achieved at TE)</w:t>
            </w:r>
          </w:p>
        </w:tc>
      </w:tr>
      <w:tr w:rsidR="003E615F" w:rsidRPr="003F7F6C" w14:paraId="5C43ABDA" w14:textId="77777777" w:rsidTr="002B3130">
        <w:tc>
          <w:tcPr>
            <w:tcW w:w="2304" w:type="dxa"/>
            <w:shd w:val="clear" w:color="auto" w:fill="auto"/>
          </w:tcPr>
          <w:p w14:paraId="1F64482A" w14:textId="77777777" w:rsidR="003E615F" w:rsidRPr="003F7F6C" w:rsidRDefault="00690B11" w:rsidP="00536D50">
            <w:pPr>
              <w:jc w:val="center"/>
              <w:rPr>
                <w:rFonts w:eastAsia="Times New Roman" w:cs="Calibri"/>
                <w:color w:val="000000"/>
                <w:sz w:val="18"/>
                <w:szCs w:val="18"/>
              </w:rPr>
            </w:pPr>
            <w:r w:rsidRPr="003F7F6C">
              <w:rPr>
                <w:rFonts w:eastAsia="Times New Roman" w:cs="Calibri"/>
                <w:color w:val="000000"/>
                <w:sz w:val="18"/>
                <w:szCs w:val="18"/>
              </w:rPr>
              <w:t>N/A</w:t>
            </w:r>
          </w:p>
        </w:tc>
        <w:tc>
          <w:tcPr>
            <w:tcW w:w="2304" w:type="dxa"/>
            <w:shd w:val="clear" w:color="auto" w:fill="auto"/>
          </w:tcPr>
          <w:p w14:paraId="65312635" w14:textId="77777777" w:rsidR="003E615F" w:rsidRPr="003F7F6C" w:rsidRDefault="00690B11" w:rsidP="00536D50">
            <w:pPr>
              <w:jc w:val="center"/>
              <w:rPr>
                <w:rFonts w:eastAsia="Times New Roman" w:cs="Calibri"/>
                <w:color w:val="000000"/>
                <w:sz w:val="18"/>
                <w:szCs w:val="18"/>
              </w:rPr>
            </w:pPr>
            <w:r w:rsidRPr="003F7F6C">
              <w:rPr>
                <w:rFonts w:eastAsia="Times New Roman" w:cs="Calibri"/>
                <w:color w:val="000000"/>
                <w:sz w:val="18"/>
                <w:szCs w:val="18"/>
              </w:rPr>
              <w:t>N/A</w:t>
            </w:r>
          </w:p>
        </w:tc>
        <w:tc>
          <w:tcPr>
            <w:tcW w:w="2304" w:type="dxa"/>
            <w:shd w:val="clear" w:color="auto" w:fill="auto"/>
          </w:tcPr>
          <w:p w14:paraId="2993ACE0" w14:textId="77777777" w:rsidR="003E615F" w:rsidRPr="003F7F6C" w:rsidRDefault="003E615F" w:rsidP="003E615F">
            <w:pPr>
              <w:rPr>
                <w:rFonts w:eastAsia="Times New Roman" w:cs="Calibri"/>
                <w:color w:val="000000"/>
                <w:sz w:val="18"/>
                <w:szCs w:val="18"/>
              </w:rPr>
            </w:pPr>
          </w:p>
        </w:tc>
        <w:tc>
          <w:tcPr>
            <w:tcW w:w="2304" w:type="dxa"/>
            <w:shd w:val="clear" w:color="auto" w:fill="auto"/>
          </w:tcPr>
          <w:p w14:paraId="215BDD40" w14:textId="77777777" w:rsidR="003E615F" w:rsidRPr="003F7F6C" w:rsidRDefault="003E615F" w:rsidP="003E615F">
            <w:pPr>
              <w:rPr>
                <w:rFonts w:eastAsia="Times New Roman" w:cs="Calibri"/>
                <w:color w:val="000000"/>
                <w:sz w:val="18"/>
                <w:szCs w:val="18"/>
              </w:rPr>
            </w:pPr>
          </w:p>
        </w:tc>
      </w:tr>
    </w:tbl>
    <w:p w14:paraId="2B24AE9A" w14:textId="77777777" w:rsidR="003E615F" w:rsidRPr="003F7F6C" w:rsidRDefault="003E615F" w:rsidP="003E615F"/>
    <w:p w14:paraId="394B0CB5" w14:textId="77777777" w:rsidR="003E615F" w:rsidRPr="003F7F6C" w:rsidRDefault="003E615F" w:rsidP="003E615F"/>
    <w:p w14:paraId="0F334F87" w14:textId="77777777" w:rsidR="003E615F" w:rsidRPr="003F7F6C" w:rsidRDefault="003E615F" w:rsidP="003E615F">
      <w:r w:rsidRPr="003F7F6C">
        <w:br w:type="page"/>
      </w:r>
    </w:p>
    <w:p w14:paraId="3E7EA45E" w14:textId="77777777" w:rsidR="003E615F" w:rsidRPr="003F7F6C" w:rsidRDefault="003E615F" w:rsidP="003E615F">
      <w:pPr>
        <w:rPr>
          <w:b/>
        </w:rPr>
      </w:pPr>
      <w:bookmarkStart w:id="37" w:name="_Toc521920314"/>
      <w:r w:rsidRPr="003F7F6C">
        <w:rPr>
          <w:b/>
        </w:rPr>
        <w:t>Core Indicator 4: Area of landscapes under improved practices (hectares; excluding protected areas)</w:t>
      </w:r>
      <w:bookmarkEnd w:id="37"/>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3E615F" w:rsidRPr="003F7F6C" w14:paraId="03C91795" w14:textId="77777777" w:rsidTr="002B3130">
        <w:tc>
          <w:tcPr>
            <w:tcW w:w="2304" w:type="dxa"/>
            <w:shd w:val="clear" w:color="auto" w:fill="D9D9D9"/>
          </w:tcPr>
          <w:p w14:paraId="1B747814"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Ha (expected at PIF)</w:t>
            </w:r>
          </w:p>
        </w:tc>
        <w:tc>
          <w:tcPr>
            <w:tcW w:w="2304" w:type="dxa"/>
            <w:shd w:val="clear" w:color="auto" w:fill="D9D9D9"/>
          </w:tcPr>
          <w:p w14:paraId="5E2F4725"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Ha (expected at CEO Endorsement)</w:t>
            </w:r>
          </w:p>
        </w:tc>
        <w:tc>
          <w:tcPr>
            <w:tcW w:w="2304" w:type="dxa"/>
            <w:shd w:val="clear" w:color="auto" w:fill="D9D9D9"/>
          </w:tcPr>
          <w:p w14:paraId="56C932E7"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Ha (achieved at MTR)</w:t>
            </w:r>
          </w:p>
        </w:tc>
        <w:tc>
          <w:tcPr>
            <w:tcW w:w="2304" w:type="dxa"/>
            <w:shd w:val="clear" w:color="auto" w:fill="D9D9D9"/>
          </w:tcPr>
          <w:p w14:paraId="7FB2A74C"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Ha (achieved at TE)</w:t>
            </w:r>
          </w:p>
        </w:tc>
      </w:tr>
      <w:tr w:rsidR="003E615F" w:rsidRPr="003F7F6C" w14:paraId="7D7BFF9E" w14:textId="77777777" w:rsidTr="002B3130">
        <w:tc>
          <w:tcPr>
            <w:tcW w:w="2304" w:type="dxa"/>
            <w:shd w:val="clear" w:color="auto" w:fill="auto"/>
          </w:tcPr>
          <w:p w14:paraId="549A641A" w14:textId="77777777" w:rsidR="003E615F" w:rsidRPr="003F7F6C" w:rsidRDefault="003E615F" w:rsidP="002B3130">
            <w:pPr>
              <w:jc w:val="right"/>
              <w:rPr>
                <w:rFonts w:eastAsia="Times New Roman" w:cs="Calibri"/>
                <w:color w:val="000000"/>
                <w:sz w:val="18"/>
                <w:szCs w:val="18"/>
              </w:rPr>
            </w:pPr>
            <w:r w:rsidRPr="003F7F6C">
              <w:rPr>
                <w:rFonts w:eastAsia="Times New Roman" w:cs="Calibri"/>
                <w:color w:val="000000"/>
                <w:sz w:val="18"/>
                <w:szCs w:val="18"/>
              </w:rPr>
              <w:t>723,677</w:t>
            </w:r>
          </w:p>
        </w:tc>
        <w:tc>
          <w:tcPr>
            <w:tcW w:w="2304" w:type="dxa"/>
            <w:shd w:val="clear" w:color="auto" w:fill="auto"/>
          </w:tcPr>
          <w:p w14:paraId="41FF2365" w14:textId="42F4B7B8" w:rsidR="003E615F" w:rsidRPr="003F7F6C" w:rsidRDefault="00E75DC7" w:rsidP="003E615F">
            <w:pPr>
              <w:rPr>
                <w:rFonts w:eastAsia="Times New Roman" w:cs="Calibri"/>
                <w:color w:val="000000"/>
                <w:sz w:val="18"/>
                <w:szCs w:val="18"/>
              </w:rPr>
            </w:pPr>
            <w:r w:rsidRPr="003F7F6C">
              <w:rPr>
                <w:rFonts w:eastAsia="Times New Roman" w:cs="Calibri"/>
                <w:color w:val="000000"/>
                <w:sz w:val="18"/>
                <w:szCs w:val="18"/>
              </w:rPr>
              <w:t>613,128</w:t>
            </w:r>
          </w:p>
        </w:tc>
        <w:tc>
          <w:tcPr>
            <w:tcW w:w="2304" w:type="dxa"/>
            <w:shd w:val="clear" w:color="auto" w:fill="auto"/>
          </w:tcPr>
          <w:p w14:paraId="73FDAD62" w14:textId="77777777" w:rsidR="003E615F" w:rsidRPr="003F7F6C" w:rsidRDefault="003E615F" w:rsidP="003E615F">
            <w:pPr>
              <w:rPr>
                <w:rFonts w:eastAsia="Times New Roman" w:cs="Calibri"/>
                <w:color w:val="000000"/>
                <w:sz w:val="18"/>
                <w:szCs w:val="18"/>
              </w:rPr>
            </w:pPr>
          </w:p>
        </w:tc>
        <w:tc>
          <w:tcPr>
            <w:tcW w:w="2304" w:type="dxa"/>
            <w:shd w:val="clear" w:color="auto" w:fill="auto"/>
          </w:tcPr>
          <w:p w14:paraId="65F184AE" w14:textId="77777777" w:rsidR="003E615F" w:rsidRPr="003F7F6C" w:rsidRDefault="003E615F" w:rsidP="003E615F">
            <w:pPr>
              <w:rPr>
                <w:rFonts w:eastAsia="Times New Roman" w:cs="Calibri"/>
                <w:color w:val="000000"/>
                <w:sz w:val="18"/>
                <w:szCs w:val="18"/>
              </w:rPr>
            </w:pPr>
          </w:p>
        </w:tc>
      </w:tr>
    </w:tbl>
    <w:p w14:paraId="190A4CA2" w14:textId="77777777" w:rsidR="003E615F" w:rsidRPr="003F7F6C" w:rsidRDefault="003E615F" w:rsidP="003E615F">
      <w:pPr>
        <w:rPr>
          <w:rFonts w:ascii="Times New Roman" w:eastAsia="Times New Roman" w:hAnsi="Times New Roman"/>
          <w:i/>
          <w:color w:val="000000"/>
        </w:rPr>
      </w:pPr>
      <w:r w:rsidRPr="003F7F6C">
        <w:rPr>
          <w:rFonts w:ascii="Times New Roman" w:eastAsia="Times New Roman" w:hAnsi="Times New Roman"/>
          <w:i/>
          <w:color w:val="000000"/>
        </w:rPr>
        <w:t>Figure at a given stage must be the sum of all figures reported under the four sub-indicators (4.1, 4.2, 4.3 and 4.4) for that stage.</w:t>
      </w:r>
    </w:p>
    <w:p w14:paraId="3B2A9C9F" w14:textId="77777777" w:rsidR="003E615F" w:rsidRPr="003F7F6C" w:rsidRDefault="003E615F" w:rsidP="003E615F">
      <w:pPr>
        <w:rPr>
          <w:rFonts w:ascii="Times New Roman" w:eastAsia="Times New Roman" w:hAnsi="Times New Roman"/>
          <w:b/>
          <w:bCs/>
          <w:color w:val="000000"/>
        </w:rPr>
      </w:pPr>
    </w:p>
    <w:p w14:paraId="6CC75B52" w14:textId="77777777" w:rsidR="003E615F" w:rsidRPr="003F7F6C" w:rsidRDefault="003E615F" w:rsidP="003E615F">
      <w:pPr>
        <w:rPr>
          <w:rFonts w:eastAsia="Times New Roman" w:cs="Calibri"/>
          <w:b/>
          <w:color w:val="000000"/>
        </w:rPr>
      </w:pPr>
      <w:r w:rsidRPr="003F7F6C">
        <w:rPr>
          <w:rFonts w:eastAsia="Times New Roman" w:cs="Calibri"/>
          <w:b/>
          <w:color w:val="000000"/>
        </w:rPr>
        <w:t>4.1 Area of landscapes under improved management to benefit biodiversity (qualitative assessment, noncertified)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3"/>
        <w:gridCol w:w="1159"/>
        <w:gridCol w:w="1413"/>
        <w:gridCol w:w="1298"/>
        <w:gridCol w:w="1117"/>
        <w:gridCol w:w="1159"/>
        <w:gridCol w:w="1117"/>
        <w:gridCol w:w="1180"/>
      </w:tblGrid>
      <w:tr w:rsidR="00A664A6" w:rsidRPr="003F7F6C" w14:paraId="71DBFA9E" w14:textId="77777777" w:rsidTr="002B3130">
        <w:trPr>
          <w:jc w:val="center"/>
        </w:trPr>
        <w:tc>
          <w:tcPr>
            <w:tcW w:w="1918" w:type="dxa"/>
            <w:shd w:val="clear" w:color="auto" w:fill="D9D9D9"/>
          </w:tcPr>
          <w:p w14:paraId="370757A5" w14:textId="77777777" w:rsidR="003E615F" w:rsidRPr="003F7F6C" w:rsidRDefault="003E615F" w:rsidP="003E615F">
            <w:pPr>
              <w:rPr>
                <w:rFonts w:eastAsia="Times New Roman" w:cs="Calibri"/>
                <w:b/>
                <w:color w:val="000000"/>
                <w:sz w:val="18"/>
                <w:szCs w:val="18"/>
              </w:rPr>
            </w:pPr>
            <w:r w:rsidRPr="003F7F6C">
              <w:rPr>
                <w:rFonts w:eastAsia="Times New Roman" w:cs="Calibri"/>
                <w:color w:val="000000"/>
                <w:sz w:val="18"/>
                <w:szCs w:val="18"/>
              </w:rPr>
              <w:t> </w:t>
            </w:r>
            <w:r w:rsidRPr="003F7F6C">
              <w:rPr>
                <w:rFonts w:eastAsia="Times New Roman" w:cs="Calibri"/>
                <w:b/>
                <w:color w:val="000000"/>
                <w:sz w:val="18"/>
                <w:szCs w:val="18"/>
              </w:rPr>
              <w:t>Ha (expected at PIF)</w:t>
            </w:r>
          </w:p>
        </w:tc>
        <w:tc>
          <w:tcPr>
            <w:tcW w:w="1624" w:type="dxa"/>
            <w:shd w:val="clear" w:color="auto" w:fill="D9D9D9"/>
          </w:tcPr>
          <w:p w14:paraId="2FBA1C59"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Qualitative description at PIF</w:t>
            </w:r>
          </w:p>
        </w:tc>
        <w:tc>
          <w:tcPr>
            <w:tcW w:w="2044" w:type="dxa"/>
            <w:shd w:val="clear" w:color="auto" w:fill="D9D9D9"/>
          </w:tcPr>
          <w:p w14:paraId="11DE6025"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Ha (expected at CEO Endorsement)</w:t>
            </w:r>
          </w:p>
        </w:tc>
        <w:tc>
          <w:tcPr>
            <w:tcW w:w="1623" w:type="dxa"/>
            <w:shd w:val="clear" w:color="auto" w:fill="D9D9D9"/>
          </w:tcPr>
          <w:p w14:paraId="1B1B2ECE"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Qualitative description at CEO ER</w:t>
            </w:r>
          </w:p>
        </w:tc>
        <w:tc>
          <w:tcPr>
            <w:tcW w:w="1910" w:type="dxa"/>
            <w:shd w:val="clear" w:color="auto" w:fill="D9D9D9"/>
          </w:tcPr>
          <w:p w14:paraId="7CDF539F"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Ha (achieved at MTR)</w:t>
            </w:r>
          </w:p>
        </w:tc>
        <w:tc>
          <w:tcPr>
            <w:tcW w:w="1623" w:type="dxa"/>
            <w:shd w:val="clear" w:color="auto" w:fill="D9D9D9"/>
          </w:tcPr>
          <w:p w14:paraId="1E980335"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Qualitative description at MTR</w:t>
            </w:r>
          </w:p>
        </w:tc>
        <w:tc>
          <w:tcPr>
            <w:tcW w:w="1910" w:type="dxa"/>
            <w:shd w:val="clear" w:color="auto" w:fill="D9D9D9"/>
          </w:tcPr>
          <w:p w14:paraId="48BFD940"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Ha (achieved at TE)</w:t>
            </w:r>
          </w:p>
        </w:tc>
        <w:tc>
          <w:tcPr>
            <w:tcW w:w="1738" w:type="dxa"/>
            <w:shd w:val="clear" w:color="auto" w:fill="D9D9D9"/>
          </w:tcPr>
          <w:p w14:paraId="02FE53A8"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Qualitative description at TE</w:t>
            </w:r>
          </w:p>
        </w:tc>
      </w:tr>
      <w:tr w:rsidR="00A664A6" w:rsidRPr="003F7F6C" w14:paraId="384C655D" w14:textId="77777777" w:rsidTr="002B3130">
        <w:trPr>
          <w:jc w:val="center"/>
        </w:trPr>
        <w:tc>
          <w:tcPr>
            <w:tcW w:w="1918" w:type="dxa"/>
            <w:shd w:val="clear" w:color="auto" w:fill="auto"/>
          </w:tcPr>
          <w:p w14:paraId="1F2A6E26" w14:textId="77777777" w:rsidR="003E615F" w:rsidRPr="003F7F6C" w:rsidRDefault="003E615F" w:rsidP="003E615F">
            <w:pPr>
              <w:rPr>
                <w:rFonts w:eastAsia="Times New Roman" w:cs="Calibri"/>
                <w:color w:val="000000"/>
                <w:sz w:val="18"/>
                <w:szCs w:val="18"/>
              </w:rPr>
            </w:pPr>
            <w:r w:rsidRPr="003F7F6C">
              <w:rPr>
                <w:rFonts w:eastAsia="Times New Roman" w:cs="Calibri"/>
                <w:color w:val="000000"/>
                <w:sz w:val="18"/>
                <w:szCs w:val="18"/>
              </w:rPr>
              <w:t>N/A</w:t>
            </w:r>
          </w:p>
        </w:tc>
        <w:tc>
          <w:tcPr>
            <w:tcW w:w="1624" w:type="dxa"/>
            <w:shd w:val="clear" w:color="auto" w:fill="auto"/>
          </w:tcPr>
          <w:p w14:paraId="39D05DD4" w14:textId="77777777" w:rsidR="003E615F" w:rsidRPr="003F7F6C" w:rsidRDefault="00690B11" w:rsidP="003E615F">
            <w:pPr>
              <w:rPr>
                <w:rFonts w:eastAsia="Times New Roman" w:cs="Calibri"/>
                <w:color w:val="000000"/>
                <w:sz w:val="18"/>
                <w:szCs w:val="18"/>
              </w:rPr>
            </w:pPr>
            <w:r w:rsidRPr="003F7F6C">
              <w:rPr>
                <w:rFonts w:eastAsia="Times New Roman" w:cs="Calibri"/>
                <w:color w:val="000000"/>
                <w:sz w:val="18"/>
                <w:szCs w:val="18"/>
              </w:rPr>
              <w:t>N/A</w:t>
            </w:r>
          </w:p>
        </w:tc>
        <w:tc>
          <w:tcPr>
            <w:tcW w:w="2044" w:type="dxa"/>
            <w:shd w:val="clear" w:color="auto" w:fill="auto"/>
          </w:tcPr>
          <w:p w14:paraId="09AC666F" w14:textId="2BBF041C" w:rsidR="003E615F" w:rsidRPr="003F7F6C" w:rsidRDefault="00E75DC7" w:rsidP="003E615F">
            <w:pPr>
              <w:rPr>
                <w:rFonts w:eastAsia="Times New Roman" w:cs="Calibri"/>
                <w:color w:val="000000"/>
                <w:sz w:val="18"/>
                <w:szCs w:val="18"/>
              </w:rPr>
            </w:pPr>
            <w:r w:rsidRPr="003F7F6C">
              <w:rPr>
                <w:rFonts w:eastAsia="Times New Roman" w:cs="Calibri"/>
                <w:color w:val="000000"/>
                <w:sz w:val="18"/>
                <w:szCs w:val="18"/>
              </w:rPr>
              <w:t>240,644</w:t>
            </w:r>
          </w:p>
        </w:tc>
        <w:tc>
          <w:tcPr>
            <w:tcW w:w="1623" w:type="dxa"/>
            <w:shd w:val="clear" w:color="auto" w:fill="auto"/>
          </w:tcPr>
          <w:p w14:paraId="35E270B0" w14:textId="77777777" w:rsidR="00A664A6" w:rsidRPr="003F7F6C" w:rsidRDefault="00A664A6" w:rsidP="00037801">
            <w:pPr>
              <w:pStyle w:val="NormalWeb"/>
              <w:shd w:val="clear" w:color="auto" w:fill="FFFFFF"/>
              <w:spacing w:before="0" w:beforeAutospacing="0" w:after="0" w:afterAutospacing="0"/>
              <w:rPr>
                <w:rFonts w:ascii="Calibri" w:hAnsi="Calibri" w:cs="Calibri"/>
                <w:i/>
                <w:iCs/>
                <w:sz w:val="16"/>
                <w:szCs w:val="16"/>
              </w:rPr>
            </w:pPr>
            <w:r w:rsidRPr="003F7F6C">
              <w:rPr>
                <w:rFonts w:ascii="Calibri" w:eastAsia="Times New Roman" w:hAnsi="Calibri" w:cs="Calibri"/>
                <w:sz w:val="16"/>
                <w:szCs w:val="16"/>
                <w:u w:val="single"/>
              </w:rPr>
              <w:t>Espinal ecoregion</w:t>
            </w:r>
            <w:r w:rsidRPr="003F7F6C">
              <w:rPr>
                <w:rFonts w:ascii="Calibri" w:eastAsia="Times New Roman" w:hAnsi="Calibri" w:cs="Calibri"/>
                <w:sz w:val="16"/>
                <w:szCs w:val="16"/>
              </w:rPr>
              <w:t>: reduced pressures on relict populations of endangered species e.g.</w:t>
            </w:r>
            <w:r w:rsidRPr="003F7F6C">
              <w:rPr>
                <w:rFonts w:ascii="Calibri" w:eastAsia="Times New Roman" w:hAnsi="Calibri" w:cs="Calibri"/>
                <w:color w:val="FF0000"/>
                <w:sz w:val="16"/>
                <w:szCs w:val="16"/>
              </w:rPr>
              <w:t xml:space="preserve"> </w:t>
            </w:r>
            <w:r w:rsidRPr="003F7F6C">
              <w:rPr>
                <w:rFonts w:ascii="Calibri" w:hAnsi="Calibri" w:cs="Calibri"/>
                <w:sz w:val="16"/>
                <w:szCs w:val="16"/>
              </w:rPr>
              <w:t xml:space="preserve">Pampas deer - </w:t>
            </w:r>
            <w:r w:rsidRPr="003F7F6C">
              <w:rPr>
                <w:rFonts w:ascii="Calibri" w:hAnsi="Calibri" w:cs="Calibri"/>
                <w:i/>
                <w:iCs/>
                <w:sz w:val="16"/>
                <w:szCs w:val="16"/>
              </w:rPr>
              <w:t>Ozotoceros bezoarticus</w:t>
            </w:r>
          </w:p>
          <w:p w14:paraId="4B09EAE6" w14:textId="77777777" w:rsidR="00037801" w:rsidRPr="003F7F6C" w:rsidRDefault="00037801" w:rsidP="00037801">
            <w:pPr>
              <w:pStyle w:val="NormalWeb"/>
              <w:shd w:val="clear" w:color="auto" w:fill="FFFFFF"/>
              <w:spacing w:before="0" w:beforeAutospacing="0" w:after="0" w:afterAutospacing="0"/>
              <w:jc w:val="left"/>
              <w:rPr>
                <w:rFonts w:ascii="Calibri" w:hAnsi="Calibri" w:cs="Calibri"/>
                <w:iCs/>
                <w:sz w:val="16"/>
                <w:szCs w:val="16"/>
                <w:u w:val="single"/>
              </w:rPr>
            </w:pPr>
          </w:p>
          <w:p w14:paraId="56856706" w14:textId="77777777" w:rsidR="00A664A6" w:rsidRPr="003F7F6C" w:rsidRDefault="00A664A6" w:rsidP="00037801">
            <w:pPr>
              <w:pStyle w:val="NormalWeb"/>
              <w:shd w:val="clear" w:color="auto" w:fill="FFFFFF"/>
              <w:spacing w:before="0" w:beforeAutospacing="0" w:after="0" w:afterAutospacing="0"/>
              <w:jc w:val="left"/>
              <w:rPr>
                <w:rFonts w:ascii="Calibri" w:hAnsi="Calibri" w:cs="Calibri"/>
                <w:i/>
                <w:iCs/>
                <w:sz w:val="16"/>
                <w:szCs w:val="16"/>
              </w:rPr>
            </w:pPr>
            <w:r w:rsidRPr="003F7F6C">
              <w:rPr>
                <w:rFonts w:ascii="Calibri" w:hAnsi="Calibri" w:cs="Calibri"/>
                <w:iCs/>
                <w:sz w:val="16"/>
                <w:szCs w:val="16"/>
                <w:u w:val="single"/>
              </w:rPr>
              <w:t>High Andes</w:t>
            </w:r>
            <w:r w:rsidRPr="003F7F6C">
              <w:rPr>
                <w:rFonts w:ascii="Calibri" w:hAnsi="Calibri" w:cs="Calibri"/>
                <w:iCs/>
                <w:sz w:val="16"/>
                <w:szCs w:val="16"/>
              </w:rPr>
              <w:t xml:space="preserve">: conservation of wetlands, pressures reduced on </w:t>
            </w:r>
            <w:r w:rsidR="00EA1584" w:rsidRPr="003F7F6C">
              <w:rPr>
                <w:rFonts w:ascii="Calibri" w:hAnsi="Calibri" w:cs="Calibri"/>
                <w:iCs/>
                <w:sz w:val="16"/>
                <w:szCs w:val="16"/>
              </w:rPr>
              <w:t>bird</w:t>
            </w:r>
            <w:r w:rsidRPr="003F7F6C">
              <w:rPr>
                <w:rFonts w:ascii="Calibri" w:hAnsi="Calibri" w:cs="Calibri"/>
                <w:iCs/>
                <w:sz w:val="16"/>
                <w:szCs w:val="16"/>
              </w:rPr>
              <w:t xml:space="preserve"> species</w:t>
            </w:r>
            <w:r w:rsidR="00EA1584" w:rsidRPr="003F7F6C">
              <w:rPr>
                <w:rFonts w:ascii="Calibri" w:hAnsi="Calibri" w:cs="Calibri"/>
                <w:iCs/>
                <w:sz w:val="16"/>
                <w:szCs w:val="16"/>
              </w:rPr>
              <w:t xml:space="preserve"> and wild fauna</w:t>
            </w:r>
            <w:r w:rsidRPr="003F7F6C">
              <w:rPr>
                <w:rFonts w:ascii="Calibri" w:hAnsi="Calibri" w:cs="Calibri"/>
                <w:iCs/>
                <w:sz w:val="16"/>
                <w:szCs w:val="16"/>
              </w:rPr>
              <w:t xml:space="preserve"> </w:t>
            </w:r>
            <w:r w:rsidR="00EA1584" w:rsidRPr="003F7F6C">
              <w:rPr>
                <w:rFonts w:ascii="Calibri" w:hAnsi="Calibri" w:cs="Calibri"/>
                <w:iCs/>
                <w:sz w:val="16"/>
                <w:szCs w:val="16"/>
              </w:rPr>
              <w:t>e.g</w:t>
            </w:r>
            <w:r w:rsidRPr="003F7F6C">
              <w:rPr>
                <w:rFonts w:ascii="Calibri" w:hAnsi="Calibri" w:cs="Calibri"/>
                <w:iCs/>
                <w:sz w:val="16"/>
                <w:szCs w:val="16"/>
              </w:rPr>
              <w:t xml:space="preserve"> guanaco </w:t>
            </w:r>
            <w:r w:rsidRPr="003F7F6C">
              <w:rPr>
                <w:rFonts w:ascii="Calibri" w:hAnsi="Calibri" w:cs="Calibri"/>
                <w:i/>
                <w:iCs/>
                <w:sz w:val="16"/>
                <w:szCs w:val="16"/>
              </w:rPr>
              <w:t>Lama guanicoe</w:t>
            </w:r>
          </w:p>
          <w:p w14:paraId="56CE397B" w14:textId="77777777" w:rsidR="00037801" w:rsidRPr="003F7F6C" w:rsidRDefault="00037801" w:rsidP="00037801">
            <w:pPr>
              <w:pStyle w:val="NormalWeb"/>
              <w:shd w:val="clear" w:color="auto" w:fill="FFFFFF"/>
              <w:spacing w:before="0" w:beforeAutospacing="0" w:after="0" w:afterAutospacing="0"/>
              <w:rPr>
                <w:rFonts w:ascii="Calibri" w:hAnsi="Calibri" w:cs="Calibri"/>
                <w:iCs/>
                <w:sz w:val="16"/>
                <w:szCs w:val="16"/>
                <w:u w:val="single"/>
              </w:rPr>
            </w:pPr>
          </w:p>
          <w:p w14:paraId="407FF787" w14:textId="77777777" w:rsidR="00A664A6" w:rsidRPr="003F7F6C" w:rsidRDefault="00A664A6" w:rsidP="00037801">
            <w:pPr>
              <w:pStyle w:val="NormalWeb"/>
              <w:shd w:val="clear" w:color="auto" w:fill="FFFFFF"/>
              <w:spacing w:before="0" w:beforeAutospacing="0" w:after="0" w:afterAutospacing="0"/>
              <w:rPr>
                <w:rFonts w:ascii="Calibri" w:hAnsi="Calibri" w:cs="Calibri"/>
                <w:sz w:val="16"/>
                <w:szCs w:val="16"/>
                <w:lang w:eastAsia="es-ES_tradnl"/>
              </w:rPr>
            </w:pPr>
            <w:r w:rsidRPr="003F7F6C">
              <w:rPr>
                <w:rFonts w:ascii="Calibri" w:hAnsi="Calibri" w:cs="Calibri"/>
                <w:iCs/>
                <w:sz w:val="16"/>
                <w:szCs w:val="16"/>
                <w:u w:val="single"/>
              </w:rPr>
              <w:t>Puna</w:t>
            </w:r>
            <w:r w:rsidRPr="003F7F6C">
              <w:rPr>
                <w:rFonts w:ascii="Calibri" w:hAnsi="Calibri" w:cs="Calibri"/>
                <w:i/>
                <w:iCs/>
                <w:sz w:val="16"/>
                <w:szCs w:val="16"/>
              </w:rPr>
              <w:t xml:space="preserve">: </w:t>
            </w:r>
            <w:r w:rsidRPr="003F7F6C">
              <w:rPr>
                <w:rFonts w:ascii="Calibri" w:hAnsi="Calibri" w:cs="Calibri"/>
                <w:iCs/>
                <w:sz w:val="16"/>
                <w:szCs w:val="16"/>
              </w:rPr>
              <w:t xml:space="preserve">conservation of wetlands, benefits to congregatory species e.g. </w:t>
            </w:r>
            <w:r w:rsidRPr="003F7F6C">
              <w:rPr>
                <w:rFonts w:ascii="Calibri" w:hAnsi="Calibri" w:cs="Calibri"/>
                <w:sz w:val="16"/>
                <w:szCs w:val="16"/>
              </w:rPr>
              <w:t xml:space="preserve">Andean flamingo - </w:t>
            </w:r>
            <w:r w:rsidRPr="003F7F6C">
              <w:rPr>
                <w:rFonts w:ascii="Calibri" w:hAnsi="Calibri" w:cs="Calibri"/>
                <w:i/>
                <w:iCs/>
                <w:sz w:val="16"/>
                <w:szCs w:val="16"/>
              </w:rPr>
              <w:t xml:space="preserve">Phoenicoparrus andinus and other flamingo species </w:t>
            </w:r>
          </w:p>
          <w:p w14:paraId="0847D9B4" w14:textId="77777777" w:rsidR="00037801" w:rsidRPr="003F7F6C" w:rsidRDefault="00037801" w:rsidP="00037801">
            <w:pPr>
              <w:pStyle w:val="NormalWeb"/>
              <w:shd w:val="clear" w:color="auto" w:fill="FFFFFF"/>
              <w:spacing w:before="0" w:beforeAutospacing="0" w:after="0" w:afterAutospacing="0"/>
              <w:jc w:val="left"/>
              <w:rPr>
                <w:rFonts w:ascii="Calibri" w:hAnsi="Calibri" w:cs="Calibri"/>
                <w:sz w:val="16"/>
                <w:szCs w:val="16"/>
                <w:u w:val="single"/>
                <w:lang w:eastAsia="es-ES_tradnl"/>
              </w:rPr>
            </w:pPr>
          </w:p>
          <w:p w14:paraId="477771D5" w14:textId="77777777" w:rsidR="00A664A6" w:rsidRPr="003F7F6C" w:rsidRDefault="00A664A6" w:rsidP="00037801">
            <w:pPr>
              <w:pStyle w:val="NormalWeb"/>
              <w:shd w:val="clear" w:color="auto" w:fill="FFFFFF"/>
              <w:spacing w:before="0" w:beforeAutospacing="0" w:after="0" w:afterAutospacing="0"/>
              <w:jc w:val="left"/>
              <w:rPr>
                <w:rFonts w:ascii="Calibri" w:hAnsi="Calibri" w:cs="Calibri"/>
                <w:sz w:val="16"/>
                <w:szCs w:val="16"/>
                <w:lang w:eastAsia="es-ES_tradnl"/>
              </w:rPr>
            </w:pPr>
            <w:r w:rsidRPr="003F7F6C">
              <w:rPr>
                <w:rFonts w:ascii="Calibri" w:hAnsi="Calibri" w:cs="Calibri"/>
                <w:sz w:val="16"/>
                <w:szCs w:val="16"/>
                <w:u w:val="single"/>
                <w:lang w:eastAsia="es-ES_tradnl"/>
              </w:rPr>
              <w:t>High Monte</w:t>
            </w:r>
            <w:r w:rsidRPr="003F7F6C">
              <w:rPr>
                <w:rFonts w:ascii="Calibri" w:hAnsi="Calibri" w:cs="Calibri"/>
                <w:sz w:val="16"/>
                <w:szCs w:val="16"/>
                <w:lang w:eastAsia="es-ES_tradnl"/>
              </w:rPr>
              <w:t xml:space="preserve">: reduced fires and pressure over wild fauna e.g. </w:t>
            </w:r>
            <w:r w:rsidRPr="003F7F6C">
              <w:rPr>
                <w:rFonts w:ascii="Calibri" w:hAnsi="Calibri" w:cs="Calibri"/>
                <w:sz w:val="16"/>
                <w:szCs w:val="16"/>
              </w:rPr>
              <w:t xml:space="preserve">puma - </w:t>
            </w:r>
            <w:r w:rsidRPr="003F7F6C">
              <w:rPr>
                <w:rFonts w:ascii="Calibri" w:hAnsi="Calibri" w:cs="Calibri"/>
                <w:i/>
                <w:iCs/>
                <w:sz w:val="16"/>
                <w:szCs w:val="16"/>
              </w:rPr>
              <w:t>Puma concolor</w:t>
            </w:r>
            <w:r w:rsidRPr="003F7F6C">
              <w:rPr>
                <w:rFonts w:ascii="Calibri" w:hAnsi="Calibri" w:cs="Calibri"/>
                <w:sz w:val="16"/>
                <w:szCs w:val="16"/>
              </w:rPr>
              <w:t xml:space="preserve">- </w:t>
            </w:r>
          </w:p>
          <w:p w14:paraId="4C56CEFF" w14:textId="77777777" w:rsidR="00037801" w:rsidRPr="003F7F6C" w:rsidRDefault="00037801" w:rsidP="00037801">
            <w:pPr>
              <w:pStyle w:val="NormalWeb"/>
              <w:shd w:val="clear" w:color="auto" w:fill="FFFFFF"/>
              <w:spacing w:before="0" w:beforeAutospacing="0" w:after="0" w:afterAutospacing="0"/>
              <w:jc w:val="left"/>
              <w:rPr>
                <w:rFonts w:ascii="Calibri" w:hAnsi="Calibri" w:cs="Calibri"/>
                <w:sz w:val="16"/>
                <w:szCs w:val="16"/>
                <w:u w:val="single"/>
                <w:lang w:eastAsia="es-ES_tradnl"/>
              </w:rPr>
            </w:pPr>
          </w:p>
          <w:p w14:paraId="394FE594" w14:textId="77777777" w:rsidR="00A664A6" w:rsidRPr="003F7F6C" w:rsidRDefault="00A664A6" w:rsidP="00037801">
            <w:pPr>
              <w:pStyle w:val="NormalWeb"/>
              <w:shd w:val="clear" w:color="auto" w:fill="FFFFFF"/>
              <w:spacing w:before="0" w:beforeAutospacing="0" w:after="0" w:afterAutospacing="0"/>
              <w:jc w:val="left"/>
              <w:rPr>
                <w:rFonts w:ascii="Calibri" w:hAnsi="Calibri" w:cs="Calibri"/>
                <w:iCs/>
                <w:sz w:val="16"/>
                <w:szCs w:val="16"/>
              </w:rPr>
            </w:pPr>
            <w:r w:rsidRPr="003F7F6C">
              <w:rPr>
                <w:rFonts w:ascii="Calibri" w:hAnsi="Calibri" w:cs="Calibri"/>
                <w:sz w:val="16"/>
                <w:szCs w:val="16"/>
                <w:u w:val="single"/>
                <w:lang w:eastAsia="es-ES_tradnl"/>
              </w:rPr>
              <w:t>Low Monte</w:t>
            </w:r>
            <w:r w:rsidRPr="003F7F6C">
              <w:rPr>
                <w:rFonts w:ascii="Calibri" w:hAnsi="Calibri" w:cs="Calibri"/>
                <w:sz w:val="16"/>
                <w:szCs w:val="16"/>
                <w:lang w:eastAsia="es-ES_tradnl"/>
              </w:rPr>
              <w:t xml:space="preserve">: pressures reduced </w:t>
            </w:r>
            <w:r w:rsidRPr="003F7F6C">
              <w:rPr>
                <w:rFonts w:ascii="Calibri" w:hAnsi="Calibri" w:cs="Calibri"/>
                <w:sz w:val="16"/>
                <w:szCs w:val="16"/>
              </w:rPr>
              <w:t xml:space="preserve">on shrubs and steppes and their related fauna e.g. Andean fox </w:t>
            </w:r>
            <w:r w:rsidRPr="003F7F6C">
              <w:rPr>
                <w:rFonts w:ascii="Calibri" w:hAnsi="Calibri" w:cs="Calibri"/>
                <w:i/>
                <w:iCs/>
                <w:sz w:val="16"/>
                <w:szCs w:val="16"/>
              </w:rPr>
              <w:t>Lycalopex culpaeus</w:t>
            </w:r>
          </w:p>
          <w:p w14:paraId="4927298B" w14:textId="77777777" w:rsidR="00037801" w:rsidRPr="003F7F6C" w:rsidRDefault="00037801" w:rsidP="00037801">
            <w:pPr>
              <w:pStyle w:val="NormalWeb"/>
              <w:shd w:val="clear" w:color="auto" w:fill="FFFFFF"/>
              <w:spacing w:before="0" w:beforeAutospacing="0" w:after="0" w:afterAutospacing="0"/>
              <w:jc w:val="left"/>
              <w:rPr>
                <w:rFonts w:ascii="Calibri" w:hAnsi="Calibri" w:cs="Calibri"/>
                <w:iCs/>
                <w:sz w:val="16"/>
                <w:szCs w:val="16"/>
                <w:u w:val="single"/>
              </w:rPr>
            </w:pPr>
          </w:p>
          <w:p w14:paraId="7E719DF9" w14:textId="77777777" w:rsidR="00EA1584" w:rsidRPr="003F7F6C" w:rsidRDefault="00EA1584" w:rsidP="00037801">
            <w:pPr>
              <w:pStyle w:val="NormalWeb"/>
              <w:shd w:val="clear" w:color="auto" w:fill="FFFFFF"/>
              <w:spacing w:before="0" w:beforeAutospacing="0" w:after="0" w:afterAutospacing="0"/>
              <w:jc w:val="left"/>
              <w:rPr>
                <w:rFonts w:ascii="Calibri" w:hAnsi="Calibri" w:cs="Calibri"/>
                <w:sz w:val="16"/>
                <w:szCs w:val="16"/>
                <w:lang w:eastAsia="es-ES_tradnl"/>
              </w:rPr>
            </w:pPr>
            <w:r w:rsidRPr="003F7F6C">
              <w:rPr>
                <w:rFonts w:ascii="Calibri" w:hAnsi="Calibri" w:cs="Calibri"/>
                <w:iCs/>
                <w:sz w:val="16"/>
                <w:szCs w:val="16"/>
                <w:u w:val="single"/>
              </w:rPr>
              <w:t>Yungas Forest</w:t>
            </w:r>
            <w:r w:rsidRPr="003F7F6C">
              <w:rPr>
                <w:rFonts w:ascii="Calibri" w:hAnsi="Calibri" w:cs="Calibri"/>
                <w:iCs/>
                <w:sz w:val="16"/>
                <w:szCs w:val="16"/>
              </w:rPr>
              <w:t xml:space="preserve">: reduced deforestation and degradation will benefit important tree species e.g. </w:t>
            </w:r>
            <w:r w:rsidRPr="003F7F6C">
              <w:rPr>
                <w:rFonts w:ascii="Calibri" w:hAnsi="Calibri" w:cs="Calibri"/>
                <w:sz w:val="16"/>
                <w:szCs w:val="16"/>
              </w:rPr>
              <w:t xml:space="preserve">palo blanco </w:t>
            </w:r>
            <w:r w:rsidRPr="003F7F6C">
              <w:rPr>
                <w:rFonts w:ascii="Calibri" w:hAnsi="Calibri" w:cs="Calibri"/>
                <w:i/>
                <w:iCs/>
                <w:sz w:val="16"/>
                <w:szCs w:val="16"/>
              </w:rPr>
              <w:t>Calycophyllum multiflorum</w:t>
            </w:r>
            <w:r w:rsidRPr="003F7F6C">
              <w:rPr>
                <w:rFonts w:ascii="Calibri" w:hAnsi="Calibri" w:cs="Calibri"/>
                <w:sz w:val="16"/>
                <w:szCs w:val="16"/>
              </w:rPr>
              <w:t xml:space="preserve">, and endangered fauna e.g. jaguar </w:t>
            </w:r>
            <w:r w:rsidRPr="003F7F6C">
              <w:rPr>
                <w:rFonts w:ascii="Calibri" w:hAnsi="Calibri" w:cs="Calibri"/>
                <w:i/>
                <w:iCs/>
                <w:sz w:val="16"/>
                <w:szCs w:val="16"/>
              </w:rPr>
              <w:t xml:space="preserve">Panthera onca </w:t>
            </w:r>
          </w:p>
          <w:p w14:paraId="67C6498C" w14:textId="77777777" w:rsidR="00037801" w:rsidRPr="003F7F6C" w:rsidRDefault="00037801" w:rsidP="00037801">
            <w:pPr>
              <w:pStyle w:val="NormalWeb"/>
              <w:shd w:val="clear" w:color="auto" w:fill="FFFFFF"/>
              <w:spacing w:before="0" w:beforeAutospacing="0" w:after="0" w:afterAutospacing="0"/>
              <w:rPr>
                <w:rFonts w:ascii="Calibri" w:hAnsi="Calibri" w:cs="Calibri"/>
                <w:iCs/>
                <w:sz w:val="16"/>
                <w:szCs w:val="16"/>
                <w:u w:val="single"/>
              </w:rPr>
            </w:pPr>
          </w:p>
          <w:p w14:paraId="3D0075DF" w14:textId="77777777" w:rsidR="00EA1584" w:rsidRPr="003F7F6C" w:rsidRDefault="00EA1584" w:rsidP="00037801">
            <w:pPr>
              <w:pStyle w:val="NormalWeb"/>
              <w:shd w:val="clear" w:color="auto" w:fill="FFFFFF"/>
              <w:spacing w:before="0" w:beforeAutospacing="0" w:after="0" w:afterAutospacing="0"/>
              <w:rPr>
                <w:rFonts w:ascii="Calibri" w:hAnsi="Calibri" w:cs="Calibri"/>
                <w:sz w:val="16"/>
                <w:szCs w:val="16"/>
                <w:lang w:eastAsia="es-ES_tradnl"/>
              </w:rPr>
            </w:pPr>
            <w:r w:rsidRPr="003F7F6C">
              <w:rPr>
                <w:rFonts w:ascii="Calibri" w:hAnsi="Calibri" w:cs="Calibri"/>
                <w:iCs/>
                <w:sz w:val="16"/>
                <w:szCs w:val="16"/>
                <w:u w:val="single"/>
              </w:rPr>
              <w:t>Patagonian Steppe</w:t>
            </w:r>
            <w:r w:rsidRPr="003F7F6C">
              <w:rPr>
                <w:rFonts w:ascii="Calibri" w:hAnsi="Calibri" w:cs="Calibri"/>
                <w:iCs/>
                <w:sz w:val="16"/>
                <w:szCs w:val="16"/>
              </w:rPr>
              <w:t>:</w:t>
            </w:r>
            <w:r w:rsidR="007A6F5F" w:rsidRPr="003F7F6C">
              <w:rPr>
                <w:rFonts w:ascii="Calibri" w:hAnsi="Calibri" w:cs="Calibri"/>
                <w:iCs/>
                <w:sz w:val="16"/>
                <w:szCs w:val="16"/>
              </w:rPr>
              <w:t xml:space="preserve"> reduced vegetation loss from overgrazing will benefit threatened species eg. </w:t>
            </w:r>
            <w:r w:rsidR="007A6F5F" w:rsidRPr="003F7F6C">
              <w:rPr>
                <w:rFonts w:ascii="Calibri" w:hAnsi="Calibri" w:cs="Calibri"/>
                <w:sz w:val="16"/>
                <w:szCs w:val="16"/>
              </w:rPr>
              <w:t xml:space="preserve">macá tobiano </w:t>
            </w:r>
            <w:r w:rsidR="007A6F5F" w:rsidRPr="003F7F6C">
              <w:rPr>
                <w:rFonts w:ascii="Calibri" w:hAnsi="Calibri" w:cs="Calibri"/>
                <w:i/>
                <w:iCs/>
                <w:sz w:val="16"/>
                <w:szCs w:val="16"/>
              </w:rPr>
              <w:t xml:space="preserve">Podiceps gallardo </w:t>
            </w:r>
          </w:p>
          <w:p w14:paraId="55B6C912" w14:textId="77777777" w:rsidR="00037801" w:rsidRPr="003F7F6C" w:rsidRDefault="00037801" w:rsidP="00037801">
            <w:pPr>
              <w:pStyle w:val="NormalWeb"/>
              <w:shd w:val="clear" w:color="auto" w:fill="FFFFFF"/>
              <w:spacing w:before="0" w:beforeAutospacing="0" w:after="0" w:afterAutospacing="0"/>
              <w:jc w:val="left"/>
              <w:rPr>
                <w:rFonts w:ascii="Calibri" w:hAnsi="Calibri" w:cs="Calibri"/>
                <w:iCs/>
                <w:sz w:val="16"/>
                <w:szCs w:val="16"/>
                <w:u w:val="single"/>
              </w:rPr>
            </w:pPr>
          </w:p>
          <w:p w14:paraId="604CA84E" w14:textId="77777777" w:rsidR="00EA1584" w:rsidRPr="003F7F6C" w:rsidRDefault="00EA1584" w:rsidP="00037801">
            <w:pPr>
              <w:pStyle w:val="NormalWeb"/>
              <w:shd w:val="clear" w:color="auto" w:fill="FFFFFF"/>
              <w:spacing w:before="0" w:beforeAutospacing="0" w:after="0" w:afterAutospacing="0"/>
              <w:jc w:val="left"/>
              <w:rPr>
                <w:rFonts w:ascii="Calibri" w:hAnsi="Calibri" w:cs="Calibri"/>
                <w:sz w:val="16"/>
                <w:szCs w:val="16"/>
                <w:lang w:eastAsia="es-ES_tradnl"/>
              </w:rPr>
            </w:pPr>
            <w:r w:rsidRPr="003F7F6C">
              <w:rPr>
                <w:rFonts w:ascii="Calibri" w:hAnsi="Calibri" w:cs="Calibri"/>
                <w:iCs/>
                <w:sz w:val="16"/>
                <w:szCs w:val="16"/>
                <w:u w:val="single"/>
              </w:rPr>
              <w:t>Parana Delta</w:t>
            </w:r>
            <w:r w:rsidRPr="003F7F6C">
              <w:rPr>
                <w:rFonts w:ascii="Calibri" w:hAnsi="Calibri" w:cs="Calibri"/>
                <w:iCs/>
                <w:sz w:val="16"/>
                <w:szCs w:val="16"/>
              </w:rPr>
              <w:t>:</w:t>
            </w:r>
            <w:r w:rsidR="007A6F5F" w:rsidRPr="003F7F6C">
              <w:rPr>
                <w:rFonts w:ascii="Calibri" w:hAnsi="Calibri" w:cs="Calibri"/>
                <w:iCs/>
                <w:sz w:val="16"/>
                <w:szCs w:val="16"/>
              </w:rPr>
              <w:t xml:space="preserve"> reduced pressure of urban expansion on wetland benefits and wild fauna e.g. </w:t>
            </w:r>
            <w:r w:rsidR="007A6F5F" w:rsidRPr="003F7F6C">
              <w:rPr>
                <w:rFonts w:ascii="Calibri" w:hAnsi="Calibri" w:cs="Calibri"/>
                <w:sz w:val="16"/>
                <w:szCs w:val="16"/>
              </w:rPr>
              <w:t>Marsh Deer -</w:t>
            </w:r>
            <w:r w:rsidR="007A6F5F" w:rsidRPr="003F7F6C">
              <w:rPr>
                <w:rFonts w:ascii="Calibri" w:hAnsi="Calibri" w:cs="Calibri"/>
                <w:i/>
                <w:iCs/>
                <w:sz w:val="16"/>
                <w:szCs w:val="16"/>
              </w:rPr>
              <w:t xml:space="preserve">Blastocerus dichotomus </w:t>
            </w:r>
          </w:p>
          <w:p w14:paraId="77E1A055" w14:textId="77777777" w:rsidR="00037801" w:rsidRPr="003F7F6C" w:rsidRDefault="00037801" w:rsidP="00037801">
            <w:pPr>
              <w:pStyle w:val="NormalWeb"/>
              <w:shd w:val="clear" w:color="auto" w:fill="FFFFFF"/>
              <w:spacing w:before="0" w:beforeAutospacing="0" w:after="0" w:afterAutospacing="0"/>
              <w:rPr>
                <w:rFonts w:ascii="Calibri" w:hAnsi="Calibri" w:cs="Calibri"/>
                <w:iCs/>
                <w:sz w:val="16"/>
                <w:szCs w:val="16"/>
                <w:u w:val="single"/>
              </w:rPr>
            </w:pPr>
          </w:p>
          <w:p w14:paraId="25D0E194" w14:textId="77777777" w:rsidR="00A664A6" w:rsidRPr="003F7F6C" w:rsidRDefault="00EA1584" w:rsidP="00037801">
            <w:pPr>
              <w:pStyle w:val="NormalWeb"/>
              <w:shd w:val="clear" w:color="auto" w:fill="FFFFFF"/>
              <w:spacing w:before="0" w:beforeAutospacing="0" w:after="0" w:afterAutospacing="0"/>
              <w:rPr>
                <w:rFonts w:ascii="Calibri" w:hAnsi="Calibri" w:cs="Calibri"/>
                <w:sz w:val="16"/>
                <w:szCs w:val="16"/>
                <w:lang w:eastAsia="es-ES_tradnl"/>
              </w:rPr>
            </w:pPr>
            <w:r w:rsidRPr="003F7F6C">
              <w:rPr>
                <w:rFonts w:ascii="Calibri" w:hAnsi="Calibri" w:cs="Calibri"/>
                <w:iCs/>
                <w:sz w:val="16"/>
                <w:szCs w:val="16"/>
                <w:u w:val="single"/>
              </w:rPr>
              <w:t>Pampas</w:t>
            </w:r>
            <w:r w:rsidR="007A6F5F" w:rsidRPr="003F7F6C">
              <w:rPr>
                <w:rFonts w:ascii="Calibri" w:hAnsi="Calibri" w:cs="Calibri"/>
                <w:iCs/>
                <w:sz w:val="16"/>
                <w:szCs w:val="16"/>
              </w:rPr>
              <w:t>: reduced pressure on VGAs</w:t>
            </w:r>
            <w:r w:rsidR="00037801" w:rsidRPr="003F7F6C">
              <w:rPr>
                <w:rFonts w:ascii="Calibri" w:hAnsi="Calibri" w:cs="Calibri"/>
                <w:iCs/>
                <w:sz w:val="16"/>
                <w:szCs w:val="16"/>
              </w:rPr>
              <w:t xml:space="preserve"> and benefits to threatened species e.g. </w:t>
            </w:r>
            <w:r w:rsidR="00037801" w:rsidRPr="003F7F6C">
              <w:rPr>
                <w:rFonts w:ascii="Calibri" w:hAnsi="Calibri" w:cs="Calibri"/>
                <w:sz w:val="16"/>
                <w:szCs w:val="16"/>
              </w:rPr>
              <w:t>the endangered species Pampas Meadowlark -</w:t>
            </w:r>
            <w:r w:rsidR="00037801" w:rsidRPr="003F7F6C">
              <w:rPr>
                <w:rFonts w:ascii="Calibri" w:hAnsi="Calibri" w:cs="Calibri"/>
                <w:i/>
                <w:iCs/>
                <w:sz w:val="16"/>
                <w:szCs w:val="16"/>
              </w:rPr>
              <w:t>Sturnella defilippii</w:t>
            </w:r>
            <w:r w:rsidR="00037801" w:rsidRPr="003F7F6C">
              <w:rPr>
                <w:rFonts w:ascii="Calibri" w:hAnsi="Calibri" w:cs="Calibri"/>
                <w:sz w:val="16"/>
                <w:szCs w:val="16"/>
              </w:rPr>
              <w:t xml:space="preserve">-) </w:t>
            </w:r>
          </w:p>
          <w:p w14:paraId="596AB89D" w14:textId="77777777" w:rsidR="003E615F" w:rsidRPr="003F7F6C" w:rsidRDefault="003E615F" w:rsidP="00037801">
            <w:pPr>
              <w:spacing w:after="0"/>
              <w:rPr>
                <w:rFonts w:eastAsia="Times New Roman" w:cs="Calibri"/>
                <w:color w:val="FF0000"/>
                <w:sz w:val="16"/>
                <w:szCs w:val="16"/>
              </w:rPr>
            </w:pPr>
          </w:p>
        </w:tc>
        <w:tc>
          <w:tcPr>
            <w:tcW w:w="1910" w:type="dxa"/>
            <w:shd w:val="clear" w:color="auto" w:fill="auto"/>
          </w:tcPr>
          <w:p w14:paraId="6E3954AC" w14:textId="77777777" w:rsidR="003E615F" w:rsidRPr="003F7F6C" w:rsidRDefault="003E615F" w:rsidP="003E615F">
            <w:pPr>
              <w:rPr>
                <w:rFonts w:eastAsia="Times New Roman" w:cs="Calibri"/>
                <w:color w:val="000000"/>
                <w:sz w:val="18"/>
                <w:szCs w:val="18"/>
              </w:rPr>
            </w:pPr>
          </w:p>
        </w:tc>
        <w:tc>
          <w:tcPr>
            <w:tcW w:w="1623" w:type="dxa"/>
            <w:shd w:val="clear" w:color="auto" w:fill="auto"/>
          </w:tcPr>
          <w:p w14:paraId="28722B12" w14:textId="77777777" w:rsidR="003E615F" w:rsidRPr="003F7F6C" w:rsidRDefault="003E615F" w:rsidP="003E615F">
            <w:pPr>
              <w:rPr>
                <w:rFonts w:eastAsia="Times New Roman" w:cs="Calibri"/>
                <w:color w:val="000000"/>
                <w:sz w:val="18"/>
                <w:szCs w:val="18"/>
              </w:rPr>
            </w:pPr>
          </w:p>
        </w:tc>
        <w:tc>
          <w:tcPr>
            <w:tcW w:w="1910" w:type="dxa"/>
            <w:shd w:val="clear" w:color="auto" w:fill="auto"/>
          </w:tcPr>
          <w:p w14:paraId="3EEB0A43" w14:textId="77777777" w:rsidR="003E615F" w:rsidRPr="003F7F6C" w:rsidRDefault="003E615F" w:rsidP="003E615F">
            <w:pPr>
              <w:rPr>
                <w:rFonts w:eastAsia="Times New Roman" w:cs="Calibri"/>
                <w:color w:val="000000"/>
                <w:sz w:val="18"/>
                <w:szCs w:val="18"/>
              </w:rPr>
            </w:pPr>
          </w:p>
        </w:tc>
        <w:tc>
          <w:tcPr>
            <w:tcW w:w="1738" w:type="dxa"/>
            <w:shd w:val="clear" w:color="auto" w:fill="auto"/>
          </w:tcPr>
          <w:p w14:paraId="59F57312" w14:textId="77777777" w:rsidR="003E615F" w:rsidRPr="003F7F6C" w:rsidRDefault="003E615F" w:rsidP="003E615F">
            <w:pPr>
              <w:rPr>
                <w:rFonts w:eastAsia="Times New Roman" w:cs="Calibri"/>
                <w:color w:val="000000"/>
                <w:sz w:val="18"/>
                <w:szCs w:val="18"/>
              </w:rPr>
            </w:pPr>
          </w:p>
        </w:tc>
      </w:tr>
    </w:tbl>
    <w:p w14:paraId="65D962DF" w14:textId="77777777" w:rsidR="003E615F" w:rsidRPr="003F7F6C" w:rsidRDefault="003E615F" w:rsidP="003E615F">
      <w:pPr>
        <w:rPr>
          <w:rFonts w:ascii="Times New Roman" w:eastAsia="Times New Roman" w:hAnsi="Times New Roman"/>
          <w:i/>
          <w:color w:val="000000"/>
        </w:rPr>
      </w:pPr>
      <w:r w:rsidRPr="003F7F6C">
        <w:rPr>
          <w:rFonts w:ascii="Times New Roman" w:eastAsia="Times New Roman" w:hAnsi="Times New Roman"/>
          <w:i/>
          <w:color w:val="000000"/>
        </w:rPr>
        <w:t>Add rows as needed.</w:t>
      </w:r>
    </w:p>
    <w:p w14:paraId="5FB2E6CB" w14:textId="77777777" w:rsidR="003E615F" w:rsidRPr="003F7F6C" w:rsidRDefault="003E615F" w:rsidP="003E615F">
      <w:pPr>
        <w:rPr>
          <w:rFonts w:ascii="Times New Roman" w:eastAsia="Times New Roman" w:hAnsi="Times New Roman"/>
          <w:color w:val="000000"/>
        </w:rPr>
      </w:pPr>
    </w:p>
    <w:p w14:paraId="6D4CD528" w14:textId="77777777" w:rsidR="00792D77" w:rsidRPr="003F7F6C" w:rsidRDefault="00792D77" w:rsidP="003E615F">
      <w:pPr>
        <w:rPr>
          <w:rFonts w:ascii="Times New Roman" w:eastAsia="Times New Roman" w:hAnsi="Times New Roman"/>
          <w:color w:val="000000"/>
        </w:rPr>
      </w:pPr>
    </w:p>
    <w:p w14:paraId="379A5073" w14:textId="77777777" w:rsidR="00792D77" w:rsidRPr="003F7F6C" w:rsidRDefault="00792D77" w:rsidP="003E615F">
      <w:pPr>
        <w:rPr>
          <w:rFonts w:ascii="Times New Roman" w:eastAsia="Times New Roman" w:hAnsi="Times New Roman"/>
          <w:color w:val="000000"/>
        </w:rPr>
      </w:pPr>
    </w:p>
    <w:p w14:paraId="360D1B6D" w14:textId="77777777" w:rsidR="00792D77" w:rsidRPr="003F7F6C" w:rsidRDefault="00792D77" w:rsidP="003E615F">
      <w:pPr>
        <w:rPr>
          <w:rFonts w:ascii="Times New Roman" w:eastAsia="Times New Roman" w:hAnsi="Times New Roman"/>
          <w:color w:val="000000"/>
        </w:rPr>
      </w:pPr>
    </w:p>
    <w:p w14:paraId="2FE201A9" w14:textId="77777777" w:rsidR="003E615F" w:rsidRPr="003F7F6C" w:rsidRDefault="003E615F" w:rsidP="003E615F">
      <w:pPr>
        <w:rPr>
          <w:rFonts w:eastAsia="Times New Roman" w:cs="Calibri"/>
          <w:b/>
          <w:color w:val="000000"/>
        </w:rPr>
      </w:pPr>
      <w:r w:rsidRPr="003F7F6C">
        <w:rPr>
          <w:rFonts w:eastAsia="Times New Roman" w:cs="Calibri"/>
          <w:b/>
          <w:color w:val="000000"/>
        </w:rPr>
        <w:t>4.2 Area of landscapes that meet national or international third-party certification and that incorporates biodiversity considerations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2"/>
        <w:gridCol w:w="1215"/>
        <w:gridCol w:w="1396"/>
        <w:gridCol w:w="1215"/>
        <w:gridCol w:w="1095"/>
        <w:gridCol w:w="1215"/>
        <w:gridCol w:w="1095"/>
        <w:gridCol w:w="1233"/>
      </w:tblGrid>
      <w:tr w:rsidR="003E615F" w:rsidRPr="003F7F6C" w14:paraId="774569CE" w14:textId="77777777" w:rsidTr="002B3130">
        <w:trPr>
          <w:jc w:val="center"/>
        </w:trPr>
        <w:tc>
          <w:tcPr>
            <w:tcW w:w="1918" w:type="dxa"/>
            <w:shd w:val="clear" w:color="auto" w:fill="D9D9D9"/>
          </w:tcPr>
          <w:p w14:paraId="0C667ACD" w14:textId="77777777" w:rsidR="003E615F" w:rsidRPr="003F7F6C" w:rsidRDefault="003E615F" w:rsidP="003E615F">
            <w:pPr>
              <w:rPr>
                <w:rFonts w:eastAsia="Times New Roman" w:cs="Calibri"/>
                <w:b/>
                <w:color w:val="000000"/>
                <w:sz w:val="18"/>
                <w:szCs w:val="18"/>
              </w:rPr>
            </w:pPr>
            <w:r w:rsidRPr="003F7F6C">
              <w:rPr>
                <w:rFonts w:eastAsia="Times New Roman" w:cs="Calibri"/>
                <w:color w:val="000000"/>
                <w:sz w:val="18"/>
                <w:szCs w:val="18"/>
              </w:rPr>
              <w:t> </w:t>
            </w:r>
            <w:r w:rsidRPr="003F7F6C">
              <w:rPr>
                <w:rFonts w:eastAsia="Times New Roman" w:cs="Calibri"/>
                <w:b/>
                <w:color w:val="000000"/>
                <w:sz w:val="18"/>
                <w:szCs w:val="18"/>
              </w:rPr>
              <w:t>Ha (expected at PIF)</w:t>
            </w:r>
          </w:p>
        </w:tc>
        <w:tc>
          <w:tcPr>
            <w:tcW w:w="1624" w:type="dxa"/>
            <w:shd w:val="clear" w:color="auto" w:fill="D9D9D9"/>
          </w:tcPr>
          <w:p w14:paraId="5281CC1C"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Type of Certification at PIF</w:t>
            </w:r>
          </w:p>
        </w:tc>
        <w:tc>
          <w:tcPr>
            <w:tcW w:w="2044" w:type="dxa"/>
            <w:shd w:val="clear" w:color="auto" w:fill="D9D9D9"/>
          </w:tcPr>
          <w:p w14:paraId="58802C81"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Ha (expected at CEO Endorsement)</w:t>
            </w:r>
          </w:p>
        </w:tc>
        <w:tc>
          <w:tcPr>
            <w:tcW w:w="1623" w:type="dxa"/>
            <w:shd w:val="clear" w:color="auto" w:fill="D9D9D9"/>
          </w:tcPr>
          <w:p w14:paraId="48384501"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Type of Certification at CEO ER</w:t>
            </w:r>
          </w:p>
        </w:tc>
        <w:tc>
          <w:tcPr>
            <w:tcW w:w="1910" w:type="dxa"/>
            <w:shd w:val="clear" w:color="auto" w:fill="D9D9D9"/>
          </w:tcPr>
          <w:p w14:paraId="31BBFFAC"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Ha (achieved at MTR)</w:t>
            </w:r>
          </w:p>
        </w:tc>
        <w:tc>
          <w:tcPr>
            <w:tcW w:w="1623" w:type="dxa"/>
            <w:shd w:val="clear" w:color="auto" w:fill="D9D9D9"/>
          </w:tcPr>
          <w:p w14:paraId="144C27D4"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Type of Certification at MTR</w:t>
            </w:r>
          </w:p>
        </w:tc>
        <w:tc>
          <w:tcPr>
            <w:tcW w:w="1910" w:type="dxa"/>
            <w:shd w:val="clear" w:color="auto" w:fill="D9D9D9"/>
          </w:tcPr>
          <w:p w14:paraId="48A0A849"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Ha (achieved at TE)</w:t>
            </w:r>
          </w:p>
        </w:tc>
        <w:tc>
          <w:tcPr>
            <w:tcW w:w="1738" w:type="dxa"/>
            <w:shd w:val="clear" w:color="auto" w:fill="D9D9D9"/>
          </w:tcPr>
          <w:p w14:paraId="5664E22B"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Type of Certification at TE</w:t>
            </w:r>
          </w:p>
        </w:tc>
      </w:tr>
      <w:tr w:rsidR="003E615F" w:rsidRPr="003F7F6C" w14:paraId="799D42DD" w14:textId="77777777" w:rsidTr="002B3130">
        <w:trPr>
          <w:jc w:val="center"/>
        </w:trPr>
        <w:tc>
          <w:tcPr>
            <w:tcW w:w="1918" w:type="dxa"/>
            <w:shd w:val="clear" w:color="auto" w:fill="auto"/>
          </w:tcPr>
          <w:p w14:paraId="3CF8EA0A" w14:textId="77777777" w:rsidR="003E615F" w:rsidRPr="003F7F6C" w:rsidRDefault="00690B11" w:rsidP="003E615F">
            <w:pPr>
              <w:rPr>
                <w:rFonts w:eastAsia="Times New Roman" w:cs="Calibri"/>
                <w:color w:val="000000"/>
                <w:sz w:val="18"/>
                <w:szCs w:val="18"/>
              </w:rPr>
            </w:pPr>
            <w:r w:rsidRPr="003F7F6C">
              <w:rPr>
                <w:rFonts w:eastAsia="Times New Roman" w:cs="Calibri"/>
                <w:color w:val="000000"/>
                <w:sz w:val="18"/>
                <w:szCs w:val="18"/>
              </w:rPr>
              <w:t>N/A</w:t>
            </w:r>
          </w:p>
        </w:tc>
        <w:tc>
          <w:tcPr>
            <w:tcW w:w="1624" w:type="dxa"/>
            <w:shd w:val="clear" w:color="auto" w:fill="auto"/>
          </w:tcPr>
          <w:p w14:paraId="3437522F" w14:textId="77777777" w:rsidR="003E615F" w:rsidRPr="003F7F6C" w:rsidRDefault="00690B11" w:rsidP="003E615F">
            <w:pPr>
              <w:rPr>
                <w:rFonts w:eastAsia="Times New Roman" w:cs="Calibri"/>
                <w:color w:val="000000"/>
                <w:sz w:val="18"/>
                <w:szCs w:val="18"/>
              </w:rPr>
            </w:pPr>
            <w:r w:rsidRPr="003F7F6C">
              <w:rPr>
                <w:rFonts w:eastAsia="Times New Roman" w:cs="Calibri"/>
                <w:color w:val="000000"/>
                <w:sz w:val="18"/>
                <w:szCs w:val="18"/>
              </w:rPr>
              <w:t>N/A</w:t>
            </w:r>
          </w:p>
        </w:tc>
        <w:tc>
          <w:tcPr>
            <w:tcW w:w="2044" w:type="dxa"/>
            <w:shd w:val="clear" w:color="auto" w:fill="auto"/>
          </w:tcPr>
          <w:p w14:paraId="495892AA" w14:textId="77777777" w:rsidR="003E615F" w:rsidRPr="003F7F6C" w:rsidRDefault="00690B11" w:rsidP="003E615F">
            <w:pPr>
              <w:rPr>
                <w:rFonts w:eastAsia="Times New Roman" w:cs="Calibri"/>
                <w:color w:val="000000"/>
                <w:sz w:val="18"/>
                <w:szCs w:val="18"/>
              </w:rPr>
            </w:pPr>
            <w:r w:rsidRPr="003F7F6C">
              <w:rPr>
                <w:rFonts w:eastAsia="Times New Roman" w:cs="Calibri"/>
                <w:color w:val="000000"/>
                <w:sz w:val="18"/>
                <w:szCs w:val="18"/>
              </w:rPr>
              <w:t>N/A</w:t>
            </w:r>
          </w:p>
        </w:tc>
        <w:tc>
          <w:tcPr>
            <w:tcW w:w="1623" w:type="dxa"/>
            <w:shd w:val="clear" w:color="auto" w:fill="auto"/>
          </w:tcPr>
          <w:p w14:paraId="65FF696F" w14:textId="77777777" w:rsidR="003E615F" w:rsidRPr="003F7F6C" w:rsidRDefault="00FB7343" w:rsidP="003E615F">
            <w:pPr>
              <w:rPr>
                <w:rFonts w:ascii="Times New Roman" w:eastAsia="Times New Roman" w:hAnsi="Times New Roman"/>
                <w:color w:val="000000"/>
              </w:rPr>
            </w:pPr>
            <w:r w:rsidRPr="003F7F6C">
              <w:rPr>
                <w:rFonts w:eastAsia="Times New Roman" w:cs="Calibri"/>
                <w:color w:val="000000"/>
                <w:sz w:val="18"/>
                <w:szCs w:val="18"/>
              </w:rPr>
              <w:t>N/A</w:t>
            </w:r>
          </w:p>
        </w:tc>
        <w:tc>
          <w:tcPr>
            <w:tcW w:w="1910" w:type="dxa"/>
            <w:shd w:val="clear" w:color="auto" w:fill="auto"/>
          </w:tcPr>
          <w:p w14:paraId="127CB3D3" w14:textId="77777777" w:rsidR="003E615F" w:rsidRPr="003F7F6C" w:rsidRDefault="003E615F" w:rsidP="003E615F">
            <w:pPr>
              <w:rPr>
                <w:rFonts w:ascii="Times New Roman" w:eastAsia="Times New Roman" w:hAnsi="Times New Roman"/>
                <w:color w:val="000000"/>
              </w:rPr>
            </w:pPr>
          </w:p>
        </w:tc>
        <w:tc>
          <w:tcPr>
            <w:tcW w:w="1623" w:type="dxa"/>
            <w:shd w:val="clear" w:color="auto" w:fill="auto"/>
          </w:tcPr>
          <w:p w14:paraId="550B59BA" w14:textId="77777777" w:rsidR="003E615F" w:rsidRPr="003F7F6C" w:rsidRDefault="003E615F" w:rsidP="003E615F">
            <w:pPr>
              <w:rPr>
                <w:rFonts w:ascii="Times New Roman" w:eastAsia="Times New Roman" w:hAnsi="Times New Roman"/>
                <w:color w:val="000000"/>
              </w:rPr>
            </w:pPr>
          </w:p>
        </w:tc>
        <w:tc>
          <w:tcPr>
            <w:tcW w:w="1910" w:type="dxa"/>
            <w:shd w:val="clear" w:color="auto" w:fill="auto"/>
          </w:tcPr>
          <w:p w14:paraId="2F7E17A0" w14:textId="77777777" w:rsidR="003E615F" w:rsidRPr="003F7F6C" w:rsidRDefault="003E615F" w:rsidP="003E615F">
            <w:pPr>
              <w:rPr>
                <w:rFonts w:ascii="Times New Roman" w:eastAsia="Times New Roman" w:hAnsi="Times New Roman"/>
                <w:color w:val="000000"/>
              </w:rPr>
            </w:pPr>
          </w:p>
        </w:tc>
        <w:tc>
          <w:tcPr>
            <w:tcW w:w="1738" w:type="dxa"/>
            <w:shd w:val="clear" w:color="auto" w:fill="auto"/>
          </w:tcPr>
          <w:p w14:paraId="135D33EA" w14:textId="77777777" w:rsidR="003E615F" w:rsidRPr="003F7F6C" w:rsidRDefault="003E615F" w:rsidP="003E615F">
            <w:pPr>
              <w:rPr>
                <w:rFonts w:ascii="Times New Roman" w:eastAsia="Times New Roman" w:hAnsi="Times New Roman"/>
                <w:color w:val="000000"/>
              </w:rPr>
            </w:pPr>
          </w:p>
        </w:tc>
      </w:tr>
    </w:tbl>
    <w:p w14:paraId="211B1498" w14:textId="77777777" w:rsidR="003E615F" w:rsidRPr="003F7F6C" w:rsidRDefault="003E615F" w:rsidP="003E615F">
      <w:pPr>
        <w:rPr>
          <w:rFonts w:ascii="Times New Roman" w:eastAsia="Times New Roman" w:hAnsi="Times New Roman"/>
          <w:i/>
          <w:color w:val="000000"/>
        </w:rPr>
      </w:pPr>
      <w:r w:rsidRPr="003F7F6C">
        <w:rPr>
          <w:rFonts w:ascii="Times New Roman" w:eastAsia="Times New Roman" w:hAnsi="Times New Roman"/>
          <w:i/>
          <w:color w:val="000000"/>
        </w:rPr>
        <w:t>Add rows as needed.</w:t>
      </w:r>
    </w:p>
    <w:p w14:paraId="26F1CBE2" w14:textId="77777777" w:rsidR="003E615F" w:rsidRPr="003F7F6C" w:rsidRDefault="003E615F" w:rsidP="003E615F">
      <w:pPr>
        <w:rPr>
          <w:rFonts w:ascii="Times New Roman" w:eastAsia="Times New Roman" w:hAnsi="Times New Roman"/>
          <w:color w:val="000000"/>
        </w:rPr>
      </w:pPr>
    </w:p>
    <w:p w14:paraId="25276D94" w14:textId="77777777" w:rsidR="003E615F" w:rsidRPr="003F7F6C" w:rsidRDefault="003E615F" w:rsidP="003E615F">
      <w:pPr>
        <w:rPr>
          <w:rFonts w:eastAsia="Times New Roman" w:cs="Calibri"/>
          <w:b/>
          <w:color w:val="000000"/>
        </w:rPr>
      </w:pPr>
      <w:r w:rsidRPr="003F7F6C">
        <w:rPr>
          <w:rFonts w:eastAsia="Times New Roman" w:cs="Calibri"/>
          <w:b/>
          <w:color w:val="000000"/>
        </w:rPr>
        <w:t>4.3 Area of landscapes under sustainable land management in production systems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9"/>
        <w:gridCol w:w="1262"/>
        <w:gridCol w:w="1354"/>
        <w:gridCol w:w="1281"/>
        <w:gridCol w:w="1042"/>
        <w:gridCol w:w="1262"/>
        <w:gridCol w:w="1042"/>
        <w:gridCol w:w="1274"/>
      </w:tblGrid>
      <w:tr w:rsidR="00FB7343" w:rsidRPr="003F7F6C" w14:paraId="38CAA913" w14:textId="77777777" w:rsidTr="002B3130">
        <w:trPr>
          <w:jc w:val="center"/>
        </w:trPr>
        <w:tc>
          <w:tcPr>
            <w:tcW w:w="1918" w:type="dxa"/>
            <w:shd w:val="clear" w:color="auto" w:fill="D9D9D9"/>
          </w:tcPr>
          <w:p w14:paraId="74A37D63" w14:textId="77777777" w:rsidR="003E615F" w:rsidRPr="003F7F6C" w:rsidRDefault="003E615F" w:rsidP="003E615F">
            <w:pPr>
              <w:rPr>
                <w:rFonts w:eastAsia="Times New Roman" w:cs="Calibri"/>
                <w:b/>
                <w:color w:val="000000"/>
                <w:sz w:val="18"/>
                <w:szCs w:val="18"/>
              </w:rPr>
            </w:pPr>
            <w:r w:rsidRPr="003F7F6C">
              <w:rPr>
                <w:rFonts w:eastAsia="Times New Roman" w:cs="Calibri"/>
                <w:color w:val="000000"/>
                <w:sz w:val="18"/>
                <w:szCs w:val="18"/>
              </w:rPr>
              <w:t> </w:t>
            </w:r>
            <w:r w:rsidRPr="003F7F6C">
              <w:rPr>
                <w:rFonts w:eastAsia="Times New Roman" w:cs="Calibri"/>
                <w:b/>
                <w:color w:val="000000"/>
                <w:sz w:val="18"/>
                <w:szCs w:val="18"/>
              </w:rPr>
              <w:t>Ha (expected at PIF)</w:t>
            </w:r>
          </w:p>
        </w:tc>
        <w:tc>
          <w:tcPr>
            <w:tcW w:w="1624" w:type="dxa"/>
            <w:shd w:val="clear" w:color="auto" w:fill="D9D9D9"/>
          </w:tcPr>
          <w:p w14:paraId="3F0E28C4"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Description of Management Practices at PIF</w:t>
            </w:r>
          </w:p>
        </w:tc>
        <w:tc>
          <w:tcPr>
            <w:tcW w:w="2044" w:type="dxa"/>
            <w:shd w:val="clear" w:color="auto" w:fill="D9D9D9"/>
          </w:tcPr>
          <w:p w14:paraId="1D3EACF7"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Ha (expected at CEO Endorsement)</w:t>
            </w:r>
          </w:p>
        </w:tc>
        <w:tc>
          <w:tcPr>
            <w:tcW w:w="1623" w:type="dxa"/>
            <w:shd w:val="clear" w:color="auto" w:fill="D9D9D9"/>
          </w:tcPr>
          <w:p w14:paraId="087E3755"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Description of Management Practices at CEO ER</w:t>
            </w:r>
          </w:p>
        </w:tc>
        <w:tc>
          <w:tcPr>
            <w:tcW w:w="1910" w:type="dxa"/>
            <w:shd w:val="clear" w:color="auto" w:fill="D9D9D9"/>
          </w:tcPr>
          <w:p w14:paraId="6D1D62CF"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Ha (achieved at MTR)</w:t>
            </w:r>
          </w:p>
        </w:tc>
        <w:tc>
          <w:tcPr>
            <w:tcW w:w="1623" w:type="dxa"/>
            <w:shd w:val="clear" w:color="auto" w:fill="D9D9D9"/>
          </w:tcPr>
          <w:p w14:paraId="1B64A27A"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Description of Management Practices at MTR</w:t>
            </w:r>
          </w:p>
        </w:tc>
        <w:tc>
          <w:tcPr>
            <w:tcW w:w="1910" w:type="dxa"/>
            <w:shd w:val="clear" w:color="auto" w:fill="D9D9D9"/>
          </w:tcPr>
          <w:p w14:paraId="7EB9DEC9"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Ha (achieved at TE)</w:t>
            </w:r>
          </w:p>
        </w:tc>
        <w:tc>
          <w:tcPr>
            <w:tcW w:w="1738" w:type="dxa"/>
            <w:shd w:val="clear" w:color="auto" w:fill="D9D9D9"/>
          </w:tcPr>
          <w:p w14:paraId="3BA4B543"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Description of Management Practices at TE</w:t>
            </w:r>
          </w:p>
        </w:tc>
      </w:tr>
      <w:tr w:rsidR="00FB7343" w:rsidRPr="003F7F6C" w14:paraId="10895A8E" w14:textId="77777777" w:rsidTr="002B3130">
        <w:trPr>
          <w:jc w:val="center"/>
        </w:trPr>
        <w:tc>
          <w:tcPr>
            <w:tcW w:w="1918" w:type="dxa"/>
            <w:shd w:val="clear" w:color="auto" w:fill="auto"/>
          </w:tcPr>
          <w:p w14:paraId="51C520A8" w14:textId="77777777" w:rsidR="003E615F" w:rsidRPr="003F7F6C" w:rsidRDefault="003E615F" w:rsidP="003E615F">
            <w:pPr>
              <w:rPr>
                <w:rFonts w:eastAsia="Times New Roman" w:cs="Calibri"/>
                <w:color w:val="000000"/>
                <w:sz w:val="18"/>
                <w:szCs w:val="18"/>
              </w:rPr>
            </w:pPr>
            <w:r w:rsidRPr="003F7F6C">
              <w:rPr>
                <w:rFonts w:eastAsia="Times New Roman" w:cs="Calibri"/>
                <w:color w:val="000000"/>
                <w:sz w:val="18"/>
                <w:szCs w:val="18"/>
              </w:rPr>
              <w:t>N/A</w:t>
            </w:r>
          </w:p>
        </w:tc>
        <w:tc>
          <w:tcPr>
            <w:tcW w:w="1624" w:type="dxa"/>
            <w:shd w:val="clear" w:color="auto" w:fill="auto"/>
          </w:tcPr>
          <w:p w14:paraId="1282B64F" w14:textId="77777777" w:rsidR="003E615F" w:rsidRPr="003F7F6C" w:rsidRDefault="00690B11" w:rsidP="003E615F">
            <w:pPr>
              <w:rPr>
                <w:rFonts w:eastAsia="Times New Roman" w:cs="Calibri"/>
                <w:color w:val="000000"/>
                <w:sz w:val="18"/>
                <w:szCs w:val="18"/>
              </w:rPr>
            </w:pPr>
            <w:r w:rsidRPr="003F7F6C">
              <w:rPr>
                <w:rFonts w:eastAsia="Times New Roman" w:cs="Calibri"/>
                <w:color w:val="000000"/>
                <w:sz w:val="18"/>
                <w:szCs w:val="18"/>
              </w:rPr>
              <w:t>N/A</w:t>
            </w:r>
          </w:p>
        </w:tc>
        <w:tc>
          <w:tcPr>
            <w:tcW w:w="2044" w:type="dxa"/>
            <w:shd w:val="clear" w:color="auto" w:fill="auto"/>
          </w:tcPr>
          <w:p w14:paraId="3B98B00B" w14:textId="1777936C" w:rsidR="003E615F" w:rsidRPr="003F7F6C" w:rsidRDefault="00E75DC7" w:rsidP="003E615F">
            <w:pPr>
              <w:rPr>
                <w:rFonts w:eastAsia="Times New Roman" w:cs="Calibri"/>
                <w:color w:val="000000"/>
                <w:sz w:val="18"/>
                <w:szCs w:val="18"/>
              </w:rPr>
            </w:pPr>
            <w:r w:rsidRPr="003F7F6C">
              <w:rPr>
                <w:rFonts w:eastAsia="Times New Roman" w:cs="Calibri"/>
                <w:color w:val="000000"/>
                <w:sz w:val="18"/>
                <w:szCs w:val="18"/>
              </w:rPr>
              <w:t>372,484</w:t>
            </w:r>
          </w:p>
        </w:tc>
        <w:tc>
          <w:tcPr>
            <w:tcW w:w="1623" w:type="dxa"/>
            <w:shd w:val="clear" w:color="auto" w:fill="auto"/>
          </w:tcPr>
          <w:p w14:paraId="6BA66A70" w14:textId="77777777" w:rsidR="00FB7343" w:rsidRPr="003F7F6C" w:rsidRDefault="00FB7343" w:rsidP="00FB7343">
            <w:pPr>
              <w:rPr>
                <w:sz w:val="16"/>
                <w:szCs w:val="16"/>
              </w:rPr>
            </w:pPr>
            <w:r w:rsidRPr="003F7F6C">
              <w:rPr>
                <w:sz w:val="16"/>
                <w:szCs w:val="16"/>
                <w:u w:val="single"/>
              </w:rPr>
              <w:t>Agriculture &amp; Livestock sector</w:t>
            </w:r>
            <w:r w:rsidRPr="003F7F6C">
              <w:rPr>
                <w:sz w:val="16"/>
                <w:szCs w:val="16"/>
              </w:rPr>
              <w:t>:</w:t>
            </w:r>
          </w:p>
          <w:p w14:paraId="6A4E3FB9" w14:textId="77777777" w:rsidR="00FB7343" w:rsidRPr="003F7F6C" w:rsidRDefault="00FB7343" w:rsidP="00E91275">
            <w:pPr>
              <w:pStyle w:val="ListParagraph"/>
              <w:numPr>
                <w:ilvl w:val="0"/>
                <w:numId w:val="35"/>
              </w:numPr>
              <w:spacing w:after="0"/>
              <w:ind w:left="102" w:hanging="142"/>
              <w:jc w:val="left"/>
              <w:rPr>
                <w:rFonts w:cs="Calibri"/>
                <w:color w:val="000000"/>
                <w:sz w:val="16"/>
                <w:szCs w:val="16"/>
              </w:rPr>
            </w:pPr>
            <w:r w:rsidRPr="003F7F6C">
              <w:rPr>
                <w:rFonts w:cs="Calibri"/>
                <w:color w:val="000000"/>
                <w:sz w:val="16"/>
                <w:szCs w:val="16"/>
              </w:rPr>
              <w:t>Conservation agriculture/</w:t>
            </w:r>
            <w:r w:rsidR="009B61A3" w:rsidRPr="003F7F6C">
              <w:rPr>
                <w:rFonts w:cs="Calibri"/>
                <w:color w:val="000000"/>
                <w:sz w:val="16"/>
                <w:szCs w:val="16"/>
              </w:rPr>
              <w:t xml:space="preserve"> </w:t>
            </w:r>
            <w:r w:rsidRPr="003F7F6C">
              <w:rPr>
                <w:rFonts w:cs="Calibri"/>
                <w:color w:val="000000"/>
                <w:sz w:val="16"/>
                <w:szCs w:val="16"/>
              </w:rPr>
              <w:t>agro-ecological practices</w:t>
            </w:r>
          </w:p>
          <w:p w14:paraId="56EF91EB" w14:textId="77777777" w:rsidR="00FB7343" w:rsidRPr="003F7F6C" w:rsidRDefault="00FB7343" w:rsidP="00E91275">
            <w:pPr>
              <w:pStyle w:val="ListParagraph"/>
              <w:numPr>
                <w:ilvl w:val="0"/>
                <w:numId w:val="35"/>
              </w:numPr>
              <w:spacing w:after="0"/>
              <w:ind w:left="102" w:hanging="142"/>
              <w:jc w:val="left"/>
              <w:rPr>
                <w:rFonts w:cs="Calibri"/>
                <w:color w:val="000000"/>
                <w:sz w:val="16"/>
                <w:szCs w:val="16"/>
              </w:rPr>
            </w:pPr>
            <w:r w:rsidRPr="003F7F6C">
              <w:rPr>
                <w:rFonts w:cs="Calibri"/>
                <w:color w:val="000000"/>
                <w:sz w:val="16"/>
                <w:szCs w:val="16"/>
              </w:rPr>
              <w:t>Monitoring of status of natural grasslands in cattle ranches.</w:t>
            </w:r>
          </w:p>
          <w:p w14:paraId="3FBDCBEC" w14:textId="77777777" w:rsidR="00FB7343" w:rsidRPr="003F7F6C" w:rsidRDefault="00FB7343" w:rsidP="00E91275">
            <w:pPr>
              <w:pStyle w:val="ListParagraph"/>
              <w:numPr>
                <w:ilvl w:val="0"/>
                <w:numId w:val="35"/>
              </w:numPr>
              <w:spacing w:after="0"/>
              <w:ind w:left="102" w:hanging="142"/>
              <w:jc w:val="left"/>
              <w:rPr>
                <w:rFonts w:cs="Calibri"/>
                <w:color w:val="000000"/>
                <w:sz w:val="16"/>
                <w:szCs w:val="16"/>
              </w:rPr>
            </w:pPr>
            <w:r w:rsidRPr="003F7F6C">
              <w:rPr>
                <w:rFonts w:cs="Calibri"/>
                <w:color w:val="000000"/>
                <w:sz w:val="16"/>
                <w:szCs w:val="16"/>
              </w:rPr>
              <w:t xml:space="preserve">Management of herd stocks and grazing (e.g. carrying capacity, paddock rotation </w:t>
            </w:r>
          </w:p>
          <w:p w14:paraId="6F44F79F" w14:textId="77777777" w:rsidR="00FB7343" w:rsidRPr="003F7F6C" w:rsidRDefault="00FB7343" w:rsidP="00E91275">
            <w:pPr>
              <w:pStyle w:val="ListParagraph"/>
              <w:numPr>
                <w:ilvl w:val="0"/>
                <w:numId w:val="35"/>
              </w:numPr>
              <w:spacing w:after="0"/>
              <w:ind w:left="102" w:hanging="142"/>
              <w:jc w:val="left"/>
              <w:rPr>
                <w:rFonts w:cs="Calibri"/>
                <w:color w:val="000000"/>
                <w:sz w:val="16"/>
                <w:szCs w:val="16"/>
              </w:rPr>
            </w:pPr>
            <w:r w:rsidRPr="003F7F6C">
              <w:rPr>
                <w:rFonts w:cs="Calibri"/>
                <w:color w:val="000000"/>
                <w:sz w:val="16"/>
                <w:szCs w:val="16"/>
              </w:rPr>
              <w:t xml:space="preserve">Optimum grazing height in grasslands for conservation of </w:t>
            </w:r>
            <w:r w:rsidR="009B61A3" w:rsidRPr="003F7F6C">
              <w:rPr>
                <w:rFonts w:cs="Calibri"/>
                <w:color w:val="000000"/>
                <w:sz w:val="16"/>
                <w:szCs w:val="16"/>
              </w:rPr>
              <w:t xml:space="preserve">soil and </w:t>
            </w:r>
            <w:r w:rsidRPr="003F7F6C">
              <w:rPr>
                <w:rFonts w:cs="Calibri"/>
                <w:color w:val="000000"/>
                <w:sz w:val="16"/>
                <w:szCs w:val="16"/>
              </w:rPr>
              <w:t xml:space="preserve">grassland </w:t>
            </w:r>
          </w:p>
          <w:p w14:paraId="43DC7544" w14:textId="77777777" w:rsidR="00FB7343" w:rsidRPr="003F7F6C" w:rsidRDefault="00FB7343" w:rsidP="00E91275">
            <w:pPr>
              <w:pStyle w:val="ListParagraph"/>
              <w:numPr>
                <w:ilvl w:val="0"/>
                <w:numId w:val="35"/>
              </w:numPr>
              <w:spacing w:after="0"/>
              <w:ind w:left="102" w:hanging="142"/>
              <w:jc w:val="left"/>
              <w:rPr>
                <w:rFonts w:cs="Calibri"/>
                <w:color w:val="000000"/>
                <w:sz w:val="16"/>
                <w:szCs w:val="16"/>
              </w:rPr>
            </w:pPr>
            <w:r w:rsidRPr="003F7F6C">
              <w:rPr>
                <w:rFonts w:cs="Calibri"/>
                <w:color w:val="000000"/>
                <w:sz w:val="16"/>
                <w:szCs w:val="16"/>
              </w:rPr>
              <w:t xml:space="preserve">Silvo-pastoral schemes, tree barriers </w:t>
            </w:r>
          </w:p>
          <w:p w14:paraId="7B8B77C2" w14:textId="77777777" w:rsidR="00FB7343" w:rsidRPr="003F7F6C" w:rsidRDefault="00FB7343" w:rsidP="00E91275">
            <w:pPr>
              <w:pStyle w:val="ListParagraph"/>
              <w:numPr>
                <w:ilvl w:val="0"/>
                <w:numId w:val="35"/>
              </w:numPr>
              <w:spacing w:after="0"/>
              <w:ind w:left="102" w:hanging="142"/>
              <w:jc w:val="left"/>
              <w:rPr>
                <w:rFonts w:cs="Calibri"/>
                <w:color w:val="000000"/>
                <w:sz w:val="16"/>
                <w:szCs w:val="16"/>
              </w:rPr>
            </w:pPr>
            <w:r w:rsidRPr="003F7F6C">
              <w:rPr>
                <w:rFonts w:cs="Calibri"/>
                <w:color w:val="000000"/>
                <w:sz w:val="16"/>
                <w:szCs w:val="16"/>
              </w:rPr>
              <w:t>Sustainable intensification of traditional goat rearing</w:t>
            </w:r>
          </w:p>
          <w:p w14:paraId="307E4750" w14:textId="77777777" w:rsidR="00FB7343" w:rsidRPr="003F7F6C" w:rsidRDefault="00FB7343" w:rsidP="00FB7343">
            <w:pPr>
              <w:pStyle w:val="xmsonormal"/>
              <w:spacing w:before="0" w:beforeAutospacing="0" w:after="0" w:afterAutospacing="0"/>
              <w:ind w:left="174"/>
              <w:jc w:val="both"/>
              <w:rPr>
                <w:sz w:val="16"/>
                <w:szCs w:val="16"/>
                <w:lang w:val="en-US"/>
              </w:rPr>
            </w:pPr>
          </w:p>
          <w:p w14:paraId="77828906" w14:textId="77777777" w:rsidR="00FB7343" w:rsidRPr="003F7F6C" w:rsidRDefault="00FB7343" w:rsidP="00FB7343">
            <w:pPr>
              <w:rPr>
                <w:sz w:val="16"/>
                <w:szCs w:val="16"/>
              </w:rPr>
            </w:pPr>
            <w:r w:rsidRPr="003F7F6C">
              <w:rPr>
                <w:sz w:val="16"/>
                <w:szCs w:val="16"/>
                <w:u w:val="single"/>
              </w:rPr>
              <w:t>Peri-urban infrastructure sector</w:t>
            </w:r>
            <w:r w:rsidRPr="003F7F6C">
              <w:rPr>
                <w:sz w:val="16"/>
                <w:szCs w:val="16"/>
              </w:rPr>
              <w:t>:</w:t>
            </w:r>
          </w:p>
          <w:p w14:paraId="65CF9786" w14:textId="77777777" w:rsidR="00FB7343" w:rsidRPr="003F7F6C" w:rsidRDefault="00FB7343" w:rsidP="00E91275">
            <w:pPr>
              <w:pStyle w:val="xmsonormal"/>
              <w:numPr>
                <w:ilvl w:val="0"/>
                <w:numId w:val="35"/>
              </w:numPr>
              <w:spacing w:before="0" w:beforeAutospacing="0" w:after="0" w:afterAutospacing="0"/>
              <w:ind w:left="149" w:hanging="149"/>
              <w:jc w:val="both"/>
              <w:rPr>
                <w:rFonts w:ascii="Calibri" w:hAnsi="Calibri" w:cs="Calibri"/>
                <w:color w:val="000000"/>
                <w:sz w:val="16"/>
                <w:szCs w:val="16"/>
                <w:lang w:val="en-US"/>
              </w:rPr>
            </w:pPr>
            <w:r w:rsidRPr="003F7F6C">
              <w:rPr>
                <w:rFonts w:ascii="Calibri" w:hAnsi="Calibri" w:cs="Calibri"/>
                <w:color w:val="000000"/>
                <w:sz w:val="16"/>
                <w:szCs w:val="16"/>
                <w:lang w:val="en-US"/>
              </w:rPr>
              <w:t xml:space="preserve">Zoning of priority wetlands and coastal habitats </w:t>
            </w:r>
          </w:p>
          <w:p w14:paraId="67F4E2B1" w14:textId="77777777" w:rsidR="00FB7343" w:rsidRPr="003F7F6C" w:rsidRDefault="00FB7343" w:rsidP="00E91275">
            <w:pPr>
              <w:pStyle w:val="xmsonormal"/>
              <w:numPr>
                <w:ilvl w:val="0"/>
                <w:numId w:val="35"/>
              </w:numPr>
              <w:spacing w:before="0" w:beforeAutospacing="0" w:after="0" w:afterAutospacing="0"/>
              <w:ind w:left="149" w:hanging="149"/>
              <w:jc w:val="both"/>
              <w:rPr>
                <w:rFonts w:ascii="Calibri" w:hAnsi="Calibri" w:cs="Calibri"/>
                <w:color w:val="000000"/>
                <w:sz w:val="16"/>
                <w:szCs w:val="16"/>
                <w:lang w:val="en-US"/>
              </w:rPr>
            </w:pPr>
            <w:r w:rsidRPr="003F7F6C">
              <w:rPr>
                <w:rFonts w:ascii="Calibri" w:hAnsi="Calibri" w:cs="Calibri"/>
                <w:color w:val="000000"/>
                <w:sz w:val="16"/>
                <w:szCs w:val="16"/>
                <w:lang w:val="en-US"/>
              </w:rPr>
              <w:t>Restrictions to urban expansion</w:t>
            </w:r>
          </w:p>
          <w:p w14:paraId="38A99989" w14:textId="77777777" w:rsidR="00FB7343" w:rsidRPr="003F7F6C" w:rsidRDefault="00FB7343" w:rsidP="00E91275">
            <w:pPr>
              <w:pStyle w:val="xmsonormal"/>
              <w:numPr>
                <w:ilvl w:val="0"/>
                <w:numId w:val="35"/>
              </w:numPr>
              <w:spacing w:before="0" w:beforeAutospacing="0" w:after="0" w:afterAutospacing="0"/>
              <w:ind w:left="146" w:hanging="142"/>
              <w:jc w:val="both"/>
              <w:rPr>
                <w:rFonts w:ascii="Calibri" w:hAnsi="Calibri" w:cs="Calibri"/>
                <w:sz w:val="16"/>
                <w:szCs w:val="16"/>
                <w:lang w:val="en-US"/>
              </w:rPr>
            </w:pPr>
            <w:r w:rsidRPr="003F7F6C">
              <w:rPr>
                <w:rFonts w:ascii="Calibri" w:hAnsi="Calibri" w:cs="Calibri"/>
                <w:color w:val="000000"/>
                <w:sz w:val="16"/>
                <w:szCs w:val="16"/>
                <w:lang w:val="en-US"/>
              </w:rPr>
              <w:t>Solid waste management</w:t>
            </w:r>
          </w:p>
          <w:p w14:paraId="5D73F290" w14:textId="77777777" w:rsidR="00FB7343" w:rsidRPr="003F7F6C" w:rsidRDefault="00FB7343" w:rsidP="00E91275">
            <w:pPr>
              <w:pStyle w:val="xmsonormal"/>
              <w:numPr>
                <w:ilvl w:val="0"/>
                <w:numId w:val="35"/>
              </w:numPr>
              <w:spacing w:before="0" w:beforeAutospacing="0" w:after="0" w:afterAutospacing="0"/>
              <w:ind w:left="146" w:hanging="142"/>
              <w:jc w:val="both"/>
              <w:rPr>
                <w:rFonts w:ascii="Calibri" w:hAnsi="Calibri" w:cs="Calibri"/>
                <w:sz w:val="16"/>
                <w:szCs w:val="16"/>
                <w:lang w:val="en-US"/>
              </w:rPr>
            </w:pPr>
            <w:r w:rsidRPr="003F7F6C">
              <w:rPr>
                <w:rFonts w:ascii="Calibri" w:hAnsi="Calibri" w:cs="Calibri"/>
                <w:sz w:val="16"/>
                <w:szCs w:val="16"/>
                <w:lang w:val="en-US"/>
              </w:rPr>
              <w:t>Management of water and drains in the areas of water table outcrops for recovery of wetlands and optimizing productive uses</w:t>
            </w:r>
          </w:p>
          <w:p w14:paraId="442D5754" w14:textId="77777777" w:rsidR="00FB7343" w:rsidRPr="003F7F6C" w:rsidRDefault="00FB7343" w:rsidP="00E91275">
            <w:pPr>
              <w:pStyle w:val="xmsonormal"/>
              <w:numPr>
                <w:ilvl w:val="0"/>
                <w:numId w:val="35"/>
              </w:numPr>
              <w:spacing w:before="0" w:beforeAutospacing="0" w:after="0" w:afterAutospacing="0"/>
              <w:ind w:left="146" w:hanging="142"/>
              <w:jc w:val="both"/>
              <w:rPr>
                <w:rFonts w:ascii="Calibri" w:hAnsi="Calibri" w:cs="Calibri"/>
                <w:sz w:val="16"/>
                <w:szCs w:val="16"/>
                <w:lang w:val="en-US"/>
              </w:rPr>
            </w:pPr>
            <w:r w:rsidRPr="003F7F6C">
              <w:rPr>
                <w:rFonts w:ascii="Calibri" w:hAnsi="Calibri" w:cs="Calibri"/>
                <w:sz w:val="16"/>
                <w:szCs w:val="16"/>
                <w:lang w:val="en-US"/>
              </w:rPr>
              <w:t>Systems to reuse water for production in areas with restrictions</w:t>
            </w:r>
          </w:p>
          <w:p w14:paraId="1A7C0344" w14:textId="77777777" w:rsidR="00FB7343" w:rsidRPr="003F7F6C" w:rsidRDefault="00FB7343" w:rsidP="00FB7343">
            <w:pPr>
              <w:rPr>
                <w:sz w:val="16"/>
                <w:szCs w:val="16"/>
              </w:rPr>
            </w:pPr>
          </w:p>
          <w:p w14:paraId="229601B3" w14:textId="77777777" w:rsidR="00FB7343" w:rsidRPr="003F7F6C" w:rsidRDefault="00FB7343" w:rsidP="00FB7343">
            <w:pPr>
              <w:rPr>
                <w:sz w:val="16"/>
                <w:szCs w:val="16"/>
              </w:rPr>
            </w:pPr>
            <w:r w:rsidRPr="003F7F6C">
              <w:rPr>
                <w:sz w:val="16"/>
                <w:szCs w:val="16"/>
                <w:u w:val="single"/>
              </w:rPr>
              <w:t>Mining sector</w:t>
            </w:r>
            <w:r w:rsidRPr="003F7F6C">
              <w:rPr>
                <w:sz w:val="16"/>
                <w:szCs w:val="16"/>
              </w:rPr>
              <w:t>:</w:t>
            </w:r>
          </w:p>
          <w:p w14:paraId="6FCBFA21" w14:textId="77777777" w:rsidR="00FB7343" w:rsidRPr="003F7F6C" w:rsidRDefault="00FB7343" w:rsidP="00E91275">
            <w:pPr>
              <w:pStyle w:val="ListParagraph"/>
              <w:numPr>
                <w:ilvl w:val="0"/>
                <w:numId w:val="35"/>
              </w:numPr>
              <w:spacing w:after="0"/>
              <w:ind w:left="142" w:hanging="142"/>
              <w:jc w:val="left"/>
              <w:rPr>
                <w:sz w:val="16"/>
                <w:szCs w:val="16"/>
              </w:rPr>
            </w:pPr>
            <w:r w:rsidRPr="003F7F6C">
              <w:rPr>
                <w:rFonts w:cs="Calibri"/>
                <w:sz w:val="16"/>
                <w:szCs w:val="16"/>
              </w:rPr>
              <w:t xml:space="preserve">Public-private partnerships for sustainable productive development of communities living in the area of influence of mining </w:t>
            </w:r>
          </w:p>
          <w:p w14:paraId="7F47B67A" w14:textId="77777777" w:rsidR="00FB7343" w:rsidRPr="003F7F6C" w:rsidRDefault="00FB7343" w:rsidP="00FB7343">
            <w:pPr>
              <w:rPr>
                <w:sz w:val="16"/>
                <w:szCs w:val="16"/>
              </w:rPr>
            </w:pPr>
          </w:p>
          <w:p w14:paraId="7D305523" w14:textId="77777777" w:rsidR="00FB7343" w:rsidRPr="003F7F6C" w:rsidRDefault="00FB7343" w:rsidP="00FB7343">
            <w:pPr>
              <w:rPr>
                <w:sz w:val="16"/>
                <w:szCs w:val="16"/>
              </w:rPr>
            </w:pPr>
            <w:r w:rsidRPr="003F7F6C">
              <w:rPr>
                <w:sz w:val="16"/>
                <w:szCs w:val="16"/>
                <w:u w:val="single"/>
              </w:rPr>
              <w:t>Tourism sector:</w:t>
            </w:r>
          </w:p>
          <w:p w14:paraId="423F126E" w14:textId="77777777" w:rsidR="00FB7343" w:rsidRPr="003F7F6C" w:rsidRDefault="00FB7343" w:rsidP="00E91275">
            <w:pPr>
              <w:pStyle w:val="ListParagraph"/>
              <w:numPr>
                <w:ilvl w:val="0"/>
                <w:numId w:val="35"/>
              </w:numPr>
              <w:spacing w:after="0"/>
              <w:ind w:left="142" w:hanging="142"/>
              <w:jc w:val="left"/>
              <w:rPr>
                <w:rFonts w:cs="Calibri"/>
                <w:color w:val="000000"/>
                <w:sz w:val="16"/>
                <w:szCs w:val="16"/>
              </w:rPr>
            </w:pPr>
            <w:r w:rsidRPr="003F7F6C">
              <w:rPr>
                <w:rFonts w:cs="Calibri"/>
                <w:color w:val="000000"/>
                <w:sz w:val="16"/>
                <w:szCs w:val="16"/>
              </w:rPr>
              <w:t>Tourism Development Plans</w:t>
            </w:r>
          </w:p>
          <w:p w14:paraId="08B2E366" w14:textId="77777777" w:rsidR="00FB7343" w:rsidRPr="003F7F6C" w:rsidRDefault="00FB7343" w:rsidP="00E91275">
            <w:pPr>
              <w:pStyle w:val="ListParagraph"/>
              <w:numPr>
                <w:ilvl w:val="0"/>
                <w:numId w:val="35"/>
              </w:numPr>
              <w:spacing w:after="0"/>
              <w:ind w:left="142" w:hanging="142"/>
              <w:jc w:val="left"/>
              <w:rPr>
                <w:rFonts w:cs="Calibri"/>
                <w:color w:val="000000"/>
                <w:sz w:val="16"/>
                <w:szCs w:val="16"/>
              </w:rPr>
            </w:pPr>
            <w:r w:rsidRPr="003F7F6C">
              <w:rPr>
                <w:rFonts w:cs="Calibri"/>
                <w:color w:val="000000"/>
                <w:sz w:val="16"/>
                <w:szCs w:val="16"/>
              </w:rPr>
              <w:t>Best practice manual for ecotourism in protected areas: evaluate carrying capacity, trail design, incorporating locals as guides</w:t>
            </w:r>
          </w:p>
          <w:p w14:paraId="51CA86F0" w14:textId="77777777" w:rsidR="003E615F" w:rsidRPr="003F7F6C" w:rsidRDefault="00FB7343" w:rsidP="00E91275">
            <w:pPr>
              <w:pStyle w:val="ListParagraph"/>
              <w:numPr>
                <w:ilvl w:val="0"/>
                <w:numId w:val="35"/>
              </w:numPr>
              <w:spacing w:after="0"/>
              <w:ind w:left="142" w:hanging="142"/>
              <w:jc w:val="left"/>
              <w:rPr>
                <w:rFonts w:cs="Calibri"/>
                <w:color w:val="000000"/>
                <w:sz w:val="16"/>
                <w:szCs w:val="16"/>
              </w:rPr>
            </w:pPr>
            <w:r w:rsidRPr="003F7F6C">
              <w:rPr>
                <w:sz w:val="16"/>
                <w:szCs w:val="16"/>
              </w:rPr>
              <w:t>Design of tourist corridors</w:t>
            </w:r>
          </w:p>
        </w:tc>
        <w:tc>
          <w:tcPr>
            <w:tcW w:w="1910" w:type="dxa"/>
            <w:shd w:val="clear" w:color="auto" w:fill="auto"/>
          </w:tcPr>
          <w:p w14:paraId="61A77895" w14:textId="77777777" w:rsidR="003E615F" w:rsidRPr="003F7F6C" w:rsidRDefault="003E615F" w:rsidP="003E615F">
            <w:pPr>
              <w:rPr>
                <w:rFonts w:eastAsia="Times New Roman" w:cs="Calibri"/>
                <w:color w:val="000000"/>
                <w:sz w:val="18"/>
                <w:szCs w:val="18"/>
              </w:rPr>
            </w:pPr>
          </w:p>
        </w:tc>
        <w:tc>
          <w:tcPr>
            <w:tcW w:w="1623" w:type="dxa"/>
            <w:shd w:val="clear" w:color="auto" w:fill="auto"/>
          </w:tcPr>
          <w:p w14:paraId="70C9CC56" w14:textId="77777777" w:rsidR="003E615F" w:rsidRPr="003F7F6C" w:rsidRDefault="003E615F" w:rsidP="003E615F">
            <w:pPr>
              <w:rPr>
                <w:rFonts w:eastAsia="Times New Roman" w:cs="Calibri"/>
                <w:color w:val="000000"/>
                <w:sz w:val="18"/>
                <w:szCs w:val="18"/>
              </w:rPr>
            </w:pPr>
          </w:p>
        </w:tc>
        <w:tc>
          <w:tcPr>
            <w:tcW w:w="1910" w:type="dxa"/>
            <w:shd w:val="clear" w:color="auto" w:fill="auto"/>
          </w:tcPr>
          <w:p w14:paraId="08B0E1C7" w14:textId="77777777" w:rsidR="003E615F" w:rsidRPr="003F7F6C" w:rsidRDefault="003E615F" w:rsidP="003E615F">
            <w:pPr>
              <w:rPr>
                <w:rFonts w:eastAsia="Times New Roman" w:cs="Calibri"/>
                <w:color w:val="000000"/>
                <w:sz w:val="18"/>
                <w:szCs w:val="18"/>
              </w:rPr>
            </w:pPr>
          </w:p>
        </w:tc>
        <w:tc>
          <w:tcPr>
            <w:tcW w:w="1738" w:type="dxa"/>
            <w:shd w:val="clear" w:color="auto" w:fill="auto"/>
          </w:tcPr>
          <w:p w14:paraId="04D23D61" w14:textId="77777777" w:rsidR="003E615F" w:rsidRPr="003F7F6C" w:rsidRDefault="003E615F" w:rsidP="003E615F">
            <w:pPr>
              <w:rPr>
                <w:rFonts w:eastAsia="Times New Roman" w:cs="Calibri"/>
                <w:color w:val="000000"/>
                <w:sz w:val="18"/>
                <w:szCs w:val="18"/>
              </w:rPr>
            </w:pPr>
          </w:p>
        </w:tc>
      </w:tr>
    </w:tbl>
    <w:p w14:paraId="0063A26D" w14:textId="77777777" w:rsidR="003E615F" w:rsidRPr="003F7F6C" w:rsidRDefault="003E615F" w:rsidP="003E615F">
      <w:pPr>
        <w:rPr>
          <w:rFonts w:ascii="Times New Roman" w:eastAsia="Times New Roman" w:hAnsi="Times New Roman"/>
          <w:color w:val="000000"/>
        </w:rPr>
      </w:pPr>
      <w:r w:rsidRPr="003F7F6C">
        <w:rPr>
          <w:rFonts w:ascii="Times New Roman" w:eastAsia="Times New Roman" w:hAnsi="Times New Roman"/>
          <w:i/>
          <w:color w:val="000000"/>
        </w:rPr>
        <w:t>Add rows as needed.</w:t>
      </w:r>
    </w:p>
    <w:p w14:paraId="095AE2DA" w14:textId="615F5120" w:rsidR="003E615F" w:rsidRPr="003F7F6C" w:rsidRDefault="003E615F" w:rsidP="003E615F">
      <w:pPr>
        <w:rPr>
          <w:rFonts w:ascii="Times New Roman" w:eastAsia="Times New Roman" w:hAnsi="Times New Roman"/>
          <w:color w:val="000000"/>
        </w:rPr>
      </w:pPr>
    </w:p>
    <w:p w14:paraId="20B82FFD" w14:textId="5515BDF2" w:rsidR="00E75DC7" w:rsidRPr="003F7F6C" w:rsidRDefault="00E75DC7" w:rsidP="003E615F">
      <w:pPr>
        <w:rPr>
          <w:rFonts w:ascii="Times New Roman" w:eastAsia="Times New Roman" w:hAnsi="Times New Roman"/>
          <w:color w:val="000000"/>
        </w:rPr>
      </w:pPr>
    </w:p>
    <w:p w14:paraId="3E24E03B" w14:textId="27BAFFD1" w:rsidR="00E75DC7" w:rsidRPr="003F7F6C" w:rsidRDefault="00E75DC7" w:rsidP="003E615F">
      <w:pPr>
        <w:rPr>
          <w:rFonts w:ascii="Times New Roman" w:eastAsia="Times New Roman" w:hAnsi="Times New Roman"/>
          <w:color w:val="000000"/>
        </w:rPr>
      </w:pPr>
    </w:p>
    <w:p w14:paraId="4BF4BA3C" w14:textId="77777777" w:rsidR="00E75DC7" w:rsidRPr="003F7F6C" w:rsidRDefault="00E75DC7" w:rsidP="003E615F">
      <w:pPr>
        <w:rPr>
          <w:rFonts w:ascii="Times New Roman" w:eastAsia="Times New Roman" w:hAnsi="Times New Roman"/>
          <w:color w:val="000000"/>
        </w:rPr>
      </w:pPr>
    </w:p>
    <w:p w14:paraId="7EBD81F6" w14:textId="77777777" w:rsidR="003E615F" w:rsidRPr="003F7F6C" w:rsidRDefault="003E615F" w:rsidP="003E615F">
      <w:pPr>
        <w:rPr>
          <w:rFonts w:eastAsia="Times New Roman" w:cs="Calibri"/>
          <w:color w:val="000000"/>
        </w:rPr>
      </w:pPr>
      <w:r w:rsidRPr="003F7F6C">
        <w:rPr>
          <w:rFonts w:eastAsia="Times New Roman" w:cs="Calibri"/>
          <w:b/>
          <w:color w:val="000000"/>
        </w:rPr>
        <w:t>4.4 Area of High Conservation Value forest loss avoided</w:t>
      </w:r>
      <w:r w:rsidRPr="003F7F6C">
        <w:rPr>
          <w:rFonts w:eastAsia="Times New Roman" w:cs="Calibri"/>
          <w:color w:val="000000"/>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3E615F" w:rsidRPr="003F7F6C" w14:paraId="46FCD2E5" w14:textId="77777777" w:rsidTr="002B3130">
        <w:tc>
          <w:tcPr>
            <w:tcW w:w="2304" w:type="dxa"/>
            <w:shd w:val="clear" w:color="auto" w:fill="D9D9D9"/>
          </w:tcPr>
          <w:p w14:paraId="472FAE7F"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Total Ha (expected at PIF)</w:t>
            </w:r>
          </w:p>
        </w:tc>
        <w:tc>
          <w:tcPr>
            <w:tcW w:w="2304" w:type="dxa"/>
            <w:shd w:val="clear" w:color="auto" w:fill="D9D9D9"/>
          </w:tcPr>
          <w:p w14:paraId="0B461DAD"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Total Ha (expected at CEO Endorsement)</w:t>
            </w:r>
          </w:p>
        </w:tc>
        <w:tc>
          <w:tcPr>
            <w:tcW w:w="2304" w:type="dxa"/>
            <w:shd w:val="clear" w:color="auto" w:fill="D9D9D9"/>
          </w:tcPr>
          <w:p w14:paraId="1BED19AA"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Total Ha (achieved at MTR)</w:t>
            </w:r>
          </w:p>
        </w:tc>
        <w:tc>
          <w:tcPr>
            <w:tcW w:w="2304" w:type="dxa"/>
            <w:shd w:val="clear" w:color="auto" w:fill="D9D9D9"/>
          </w:tcPr>
          <w:p w14:paraId="71FE61DA"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Total Ha (achieved at TE)</w:t>
            </w:r>
          </w:p>
        </w:tc>
      </w:tr>
      <w:tr w:rsidR="003E615F" w:rsidRPr="003F7F6C" w14:paraId="5D65D537" w14:textId="77777777" w:rsidTr="002B3130">
        <w:tc>
          <w:tcPr>
            <w:tcW w:w="2304" w:type="dxa"/>
            <w:shd w:val="clear" w:color="auto" w:fill="auto"/>
          </w:tcPr>
          <w:p w14:paraId="6C3367D7" w14:textId="77777777" w:rsidR="003E615F" w:rsidRPr="003F7F6C" w:rsidRDefault="00690B11" w:rsidP="003E615F">
            <w:pPr>
              <w:rPr>
                <w:rFonts w:eastAsia="Times New Roman" w:cs="Calibri"/>
                <w:color w:val="000000"/>
                <w:sz w:val="18"/>
                <w:szCs w:val="18"/>
              </w:rPr>
            </w:pPr>
            <w:r w:rsidRPr="003F7F6C">
              <w:rPr>
                <w:rFonts w:eastAsia="Times New Roman" w:cs="Calibri"/>
                <w:color w:val="000000"/>
                <w:sz w:val="18"/>
                <w:szCs w:val="18"/>
              </w:rPr>
              <w:t>N/A</w:t>
            </w:r>
          </w:p>
        </w:tc>
        <w:tc>
          <w:tcPr>
            <w:tcW w:w="2304" w:type="dxa"/>
            <w:shd w:val="clear" w:color="auto" w:fill="auto"/>
          </w:tcPr>
          <w:p w14:paraId="0B239C58" w14:textId="77777777" w:rsidR="003E615F" w:rsidRPr="003F7F6C" w:rsidRDefault="00690B11" w:rsidP="003E615F">
            <w:pPr>
              <w:rPr>
                <w:rFonts w:eastAsia="Times New Roman" w:cs="Calibri"/>
                <w:color w:val="000000"/>
                <w:sz w:val="18"/>
                <w:szCs w:val="18"/>
              </w:rPr>
            </w:pPr>
            <w:r w:rsidRPr="003F7F6C">
              <w:rPr>
                <w:rFonts w:eastAsia="Times New Roman" w:cs="Calibri"/>
                <w:color w:val="000000"/>
                <w:sz w:val="18"/>
                <w:szCs w:val="18"/>
              </w:rPr>
              <w:t>N/A</w:t>
            </w:r>
          </w:p>
        </w:tc>
        <w:tc>
          <w:tcPr>
            <w:tcW w:w="2304" w:type="dxa"/>
            <w:shd w:val="clear" w:color="auto" w:fill="auto"/>
          </w:tcPr>
          <w:p w14:paraId="70318B8C" w14:textId="77777777" w:rsidR="003E615F" w:rsidRPr="003F7F6C" w:rsidRDefault="003E615F" w:rsidP="003E615F">
            <w:pPr>
              <w:rPr>
                <w:rFonts w:eastAsia="Times New Roman" w:cs="Calibri"/>
                <w:color w:val="000000"/>
                <w:sz w:val="18"/>
                <w:szCs w:val="18"/>
              </w:rPr>
            </w:pPr>
          </w:p>
        </w:tc>
        <w:tc>
          <w:tcPr>
            <w:tcW w:w="2304" w:type="dxa"/>
            <w:shd w:val="clear" w:color="auto" w:fill="auto"/>
          </w:tcPr>
          <w:p w14:paraId="37C360D0" w14:textId="77777777" w:rsidR="003E615F" w:rsidRPr="003F7F6C" w:rsidRDefault="003E615F" w:rsidP="003E615F">
            <w:pPr>
              <w:rPr>
                <w:rFonts w:eastAsia="Times New Roman" w:cs="Calibri"/>
                <w:color w:val="000000"/>
                <w:sz w:val="18"/>
                <w:szCs w:val="18"/>
              </w:rPr>
            </w:pPr>
          </w:p>
        </w:tc>
      </w:tr>
    </w:tbl>
    <w:p w14:paraId="26B18E07" w14:textId="77777777" w:rsidR="003E615F" w:rsidRPr="003F7F6C" w:rsidRDefault="003E615F" w:rsidP="003E615F">
      <w:pPr>
        <w:rPr>
          <w:rFonts w:ascii="Times New Roman" w:eastAsia="Times New Roman" w:hAnsi="Times New Roman"/>
          <w:i/>
          <w:color w:val="000000"/>
        </w:rPr>
      </w:pPr>
      <w:r w:rsidRPr="003F7F6C">
        <w:rPr>
          <w:rFonts w:ascii="Times New Roman" w:eastAsia="Times New Roman" w:hAnsi="Times New Roman"/>
          <w:i/>
          <w:color w:val="000000"/>
        </w:rPr>
        <w:t>Figure at a given stage must be the sum of all individual PAs reported in the next table, for that stage. Prepare and upload file that justifies the HCVF.</w:t>
      </w:r>
    </w:p>
    <w:p w14:paraId="04A25D5E" w14:textId="77777777" w:rsidR="003E615F" w:rsidRPr="003F7F6C" w:rsidRDefault="003E615F" w:rsidP="003E615F">
      <w:pPr>
        <w:rPr>
          <w:rFonts w:ascii="Times New Roman" w:eastAsia="Times New Roman" w:hAnsi="Times New Roman"/>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1"/>
        <w:gridCol w:w="1299"/>
        <w:gridCol w:w="1587"/>
        <w:gridCol w:w="1541"/>
        <w:gridCol w:w="1504"/>
        <w:gridCol w:w="1287"/>
        <w:gridCol w:w="1287"/>
      </w:tblGrid>
      <w:tr w:rsidR="003E615F" w:rsidRPr="003F7F6C" w14:paraId="27040DC2" w14:textId="77777777" w:rsidTr="002B3130">
        <w:tc>
          <w:tcPr>
            <w:tcW w:w="1996" w:type="dxa"/>
            <w:shd w:val="clear" w:color="auto" w:fill="D9D9D9"/>
          </w:tcPr>
          <w:p w14:paraId="63E482D0"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Name of HCVF</w:t>
            </w:r>
          </w:p>
        </w:tc>
        <w:tc>
          <w:tcPr>
            <w:tcW w:w="2069" w:type="dxa"/>
            <w:shd w:val="clear" w:color="auto" w:fill="D9D9D9"/>
          </w:tcPr>
          <w:p w14:paraId="507B5115"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Ha (expected at PIF)</w:t>
            </w:r>
          </w:p>
        </w:tc>
        <w:tc>
          <w:tcPr>
            <w:tcW w:w="2160" w:type="dxa"/>
            <w:shd w:val="clear" w:color="auto" w:fill="D9D9D9"/>
          </w:tcPr>
          <w:p w14:paraId="25E28592"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Counterfactual at PIF</w:t>
            </w:r>
          </w:p>
        </w:tc>
        <w:tc>
          <w:tcPr>
            <w:tcW w:w="2145" w:type="dxa"/>
            <w:shd w:val="clear" w:color="auto" w:fill="D9D9D9"/>
          </w:tcPr>
          <w:p w14:paraId="7E2AFDF0"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Ha (expected at CEO Endorsement)</w:t>
            </w:r>
          </w:p>
        </w:tc>
        <w:tc>
          <w:tcPr>
            <w:tcW w:w="1890" w:type="dxa"/>
            <w:shd w:val="clear" w:color="auto" w:fill="D9D9D9"/>
          </w:tcPr>
          <w:p w14:paraId="525CE077"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Counterfactual at CEO ER</w:t>
            </w:r>
          </w:p>
        </w:tc>
        <w:tc>
          <w:tcPr>
            <w:tcW w:w="2065" w:type="dxa"/>
            <w:shd w:val="clear" w:color="auto" w:fill="D9D9D9"/>
          </w:tcPr>
          <w:p w14:paraId="501C0DDF"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Ha (achieved at MTR)</w:t>
            </w:r>
          </w:p>
        </w:tc>
        <w:tc>
          <w:tcPr>
            <w:tcW w:w="2065" w:type="dxa"/>
            <w:shd w:val="clear" w:color="auto" w:fill="D9D9D9"/>
          </w:tcPr>
          <w:p w14:paraId="5F4CF947" w14:textId="77777777" w:rsidR="003E615F" w:rsidRPr="003F7F6C" w:rsidRDefault="003E615F" w:rsidP="003E615F">
            <w:pPr>
              <w:rPr>
                <w:rFonts w:eastAsia="Times New Roman" w:cs="Calibri"/>
                <w:b/>
                <w:color w:val="000000"/>
                <w:sz w:val="18"/>
                <w:szCs w:val="18"/>
              </w:rPr>
            </w:pPr>
            <w:r w:rsidRPr="003F7F6C">
              <w:rPr>
                <w:rFonts w:eastAsia="Times New Roman" w:cs="Calibri"/>
                <w:b/>
                <w:color w:val="000000"/>
                <w:sz w:val="18"/>
                <w:szCs w:val="18"/>
              </w:rPr>
              <w:t>Ha (achieved at TE)</w:t>
            </w:r>
          </w:p>
        </w:tc>
      </w:tr>
      <w:tr w:rsidR="003E615F" w:rsidRPr="003F7F6C" w14:paraId="2C722D5F" w14:textId="77777777" w:rsidTr="002B3130">
        <w:tc>
          <w:tcPr>
            <w:tcW w:w="1996" w:type="dxa"/>
            <w:shd w:val="clear" w:color="auto" w:fill="auto"/>
          </w:tcPr>
          <w:p w14:paraId="619093B5" w14:textId="77777777" w:rsidR="003E615F" w:rsidRPr="003F7F6C" w:rsidRDefault="00690B11" w:rsidP="003E615F">
            <w:pPr>
              <w:rPr>
                <w:rFonts w:eastAsia="Times New Roman" w:cs="Calibri"/>
                <w:color w:val="000000"/>
                <w:sz w:val="18"/>
                <w:szCs w:val="18"/>
              </w:rPr>
            </w:pPr>
            <w:r w:rsidRPr="003F7F6C">
              <w:rPr>
                <w:rFonts w:eastAsia="Times New Roman" w:cs="Calibri"/>
                <w:color w:val="000000"/>
                <w:sz w:val="18"/>
                <w:szCs w:val="18"/>
              </w:rPr>
              <w:t>N/A</w:t>
            </w:r>
          </w:p>
        </w:tc>
        <w:tc>
          <w:tcPr>
            <w:tcW w:w="2069" w:type="dxa"/>
            <w:shd w:val="clear" w:color="auto" w:fill="auto"/>
          </w:tcPr>
          <w:p w14:paraId="027F647E" w14:textId="77777777" w:rsidR="003E615F" w:rsidRPr="003F7F6C" w:rsidRDefault="00690B11" w:rsidP="003E615F">
            <w:pPr>
              <w:rPr>
                <w:rFonts w:eastAsia="Times New Roman" w:cs="Calibri"/>
                <w:color w:val="000000"/>
                <w:sz w:val="18"/>
                <w:szCs w:val="18"/>
              </w:rPr>
            </w:pPr>
            <w:r w:rsidRPr="003F7F6C">
              <w:rPr>
                <w:rFonts w:eastAsia="Times New Roman" w:cs="Calibri"/>
                <w:color w:val="000000"/>
                <w:sz w:val="18"/>
                <w:szCs w:val="18"/>
              </w:rPr>
              <w:t>N/A</w:t>
            </w:r>
          </w:p>
        </w:tc>
        <w:tc>
          <w:tcPr>
            <w:tcW w:w="2160" w:type="dxa"/>
            <w:shd w:val="clear" w:color="auto" w:fill="auto"/>
          </w:tcPr>
          <w:p w14:paraId="6C3EF22A" w14:textId="77777777" w:rsidR="003E615F" w:rsidRPr="003F7F6C" w:rsidRDefault="00690B11" w:rsidP="003E615F">
            <w:pPr>
              <w:rPr>
                <w:rFonts w:eastAsia="Times New Roman" w:cs="Calibri"/>
                <w:color w:val="000000"/>
                <w:sz w:val="18"/>
                <w:szCs w:val="18"/>
              </w:rPr>
            </w:pPr>
            <w:r w:rsidRPr="003F7F6C">
              <w:rPr>
                <w:rFonts w:eastAsia="Times New Roman" w:cs="Calibri"/>
                <w:color w:val="000000"/>
                <w:sz w:val="18"/>
                <w:szCs w:val="18"/>
              </w:rPr>
              <w:t>N/A</w:t>
            </w:r>
          </w:p>
        </w:tc>
        <w:tc>
          <w:tcPr>
            <w:tcW w:w="2145" w:type="dxa"/>
            <w:shd w:val="clear" w:color="auto" w:fill="auto"/>
          </w:tcPr>
          <w:p w14:paraId="45DD1E89" w14:textId="77777777" w:rsidR="003E615F" w:rsidRPr="003F7F6C" w:rsidRDefault="00690B11" w:rsidP="003E615F">
            <w:pPr>
              <w:rPr>
                <w:rFonts w:eastAsia="Times New Roman" w:cs="Calibri"/>
                <w:color w:val="000000"/>
                <w:sz w:val="18"/>
                <w:szCs w:val="18"/>
              </w:rPr>
            </w:pPr>
            <w:r w:rsidRPr="003F7F6C">
              <w:rPr>
                <w:rFonts w:eastAsia="Times New Roman" w:cs="Calibri"/>
                <w:color w:val="000000"/>
                <w:sz w:val="18"/>
                <w:szCs w:val="18"/>
              </w:rPr>
              <w:t>N/A</w:t>
            </w:r>
          </w:p>
        </w:tc>
        <w:tc>
          <w:tcPr>
            <w:tcW w:w="1890" w:type="dxa"/>
            <w:shd w:val="clear" w:color="auto" w:fill="auto"/>
          </w:tcPr>
          <w:p w14:paraId="4EE9401D" w14:textId="77777777" w:rsidR="003E615F" w:rsidRPr="003F7F6C" w:rsidRDefault="003E615F" w:rsidP="003E615F">
            <w:pPr>
              <w:rPr>
                <w:rFonts w:eastAsia="Times New Roman" w:cs="Calibri"/>
                <w:color w:val="000000"/>
                <w:sz w:val="18"/>
                <w:szCs w:val="18"/>
              </w:rPr>
            </w:pPr>
          </w:p>
        </w:tc>
        <w:tc>
          <w:tcPr>
            <w:tcW w:w="2065" w:type="dxa"/>
            <w:shd w:val="clear" w:color="auto" w:fill="auto"/>
          </w:tcPr>
          <w:p w14:paraId="654D8A46" w14:textId="77777777" w:rsidR="003E615F" w:rsidRPr="003F7F6C" w:rsidRDefault="003E615F" w:rsidP="003E615F">
            <w:pPr>
              <w:rPr>
                <w:rFonts w:eastAsia="Times New Roman" w:cs="Calibri"/>
                <w:color w:val="000000"/>
                <w:sz w:val="18"/>
                <w:szCs w:val="18"/>
              </w:rPr>
            </w:pPr>
          </w:p>
        </w:tc>
        <w:tc>
          <w:tcPr>
            <w:tcW w:w="2065" w:type="dxa"/>
            <w:shd w:val="clear" w:color="auto" w:fill="auto"/>
          </w:tcPr>
          <w:p w14:paraId="6ABE954A" w14:textId="77777777" w:rsidR="003E615F" w:rsidRPr="003F7F6C" w:rsidRDefault="003E615F" w:rsidP="003E615F">
            <w:pPr>
              <w:rPr>
                <w:rFonts w:eastAsia="Times New Roman" w:cs="Calibri"/>
                <w:color w:val="000000"/>
                <w:sz w:val="18"/>
                <w:szCs w:val="18"/>
              </w:rPr>
            </w:pPr>
          </w:p>
        </w:tc>
      </w:tr>
    </w:tbl>
    <w:p w14:paraId="33436829" w14:textId="77777777" w:rsidR="003E615F" w:rsidRPr="003F7F6C" w:rsidRDefault="003E615F" w:rsidP="003E615F">
      <w:pPr>
        <w:rPr>
          <w:rFonts w:ascii="Times New Roman" w:eastAsia="Times New Roman" w:hAnsi="Times New Roman"/>
          <w:color w:val="000000"/>
        </w:rPr>
      </w:pPr>
      <w:r w:rsidRPr="003F7F6C">
        <w:rPr>
          <w:rFonts w:ascii="Times New Roman" w:eastAsia="Times New Roman" w:hAnsi="Times New Roman"/>
          <w:i/>
          <w:color w:val="000000"/>
        </w:rPr>
        <w:t>Add rows as needed.</w:t>
      </w:r>
    </w:p>
    <w:p w14:paraId="3BFFADC8" w14:textId="77777777" w:rsidR="003E615F" w:rsidRPr="003F7F6C" w:rsidRDefault="003E615F" w:rsidP="003E615F"/>
    <w:p w14:paraId="5ABAB708" w14:textId="77777777" w:rsidR="003E615F" w:rsidRPr="003F7F6C" w:rsidRDefault="003E615F" w:rsidP="003E615F"/>
    <w:p w14:paraId="480CA4E4" w14:textId="77777777" w:rsidR="003E615F" w:rsidRPr="003F7F6C" w:rsidRDefault="003E615F" w:rsidP="003E615F">
      <w:pPr>
        <w:rPr>
          <w:b/>
        </w:rPr>
      </w:pPr>
      <w:bookmarkStart w:id="38" w:name="_Toc521920321"/>
      <w:r w:rsidRPr="003F7F6C">
        <w:rPr>
          <w:b/>
        </w:rPr>
        <w:t>Core Indicator 11: Number of direct beneficiaries disaggregated by gender as co-benefit of GEF investment</w:t>
      </w:r>
      <w:bookmarkEnd w:id="38"/>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5"/>
        <w:gridCol w:w="2016"/>
        <w:gridCol w:w="2016"/>
        <w:gridCol w:w="2016"/>
        <w:gridCol w:w="2016"/>
      </w:tblGrid>
      <w:tr w:rsidR="003E615F" w:rsidRPr="003F7F6C" w14:paraId="241A75FC" w14:textId="77777777" w:rsidTr="002B3130">
        <w:tc>
          <w:tcPr>
            <w:tcW w:w="1255" w:type="dxa"/>
            <w:shd w:val="clear" w:color="auto" w:fill="D9D9D9"/>
          </w:tcPr>
          <w:p w14:paraId="281EA9C1" w14:textId="77777777" w:rsidR="003E615F" w:rsidRPr="003F7F6C" w:rsidRDefault="003E615F" w:rsidP="003E615F">
            <w:pPr>
              <w:rPr>
                <w:rFonts w:eastAsia="Times New Roman" w:cs="Calibri"/>
                <w:b/>
                <w:color w:val="000000"/>
              </w:rPr>
            </w:pPr>
          </w:p>
        </w:tc>
        <w:tc>
          <w:tcPr>
            <w:tcW w:w="2016" w:type="dxa"/>
            <w:shd w:val="clear" w:color="auto" w:fill="D9D9D9"/>
          </w:tcPr>
          <w:p w14:paraId="3B630C4F" w14:textId="77777777" w:rsidR="003E615F" w:rsidRPr="003F7F6C" w:rsidRDefault="003E615F" w:rsidP="003E615F">
            <w:pPr>
              <w:rPr>
                <w:rFonts w:eastAsia="Times New Roman" w:cs="Calibri"/>
                <w:b/>
                <w:color w:val="000000"/>
              </w:rPr>
            </w:pPr>
            <w:r w:rsidRPr="003F7F6C">
              <w:rPr>
                <w:rFonts w:eastAsia="Times New Roman" w:cs="Calibri"/>
                <w:b/>
                <w:color w:val="000000"/>
              </w:rPr>
              <w:t>Total number (expected at PIF)</w:t>
            </w:r>
          </w:p>
        </w:tc>
        <w:tc>
          <w:tcPr>
            <w:tcW w:w="2016" w:type="dxa"/>
            <w:shd w:val="clear" w:color="auto" w:fill="D9D9D9"/>
          </w:tcPr>
          <w:p w14:paraId="61DBF934" w14:textId="77777777" w:rsidR="003E615F" w:rsidRPr="003F7F6C" w:rsidRDefault="003E615F" w:rsidP="003E615F">
            <w:pPr>
              <w:rPr>
                <w:rFonts w:eastAsia="Times New Roman" w:cs="Calibri"/>
                <w:b/>
                <w:color w:val="000000"/>
              </w:rPr>
            </w:pPr>
            <w:r w:rsidRPr="003F7F6C">
              <w:rPr>
                <w:rFonts w:eastAsia="Times New Roman" w:cs="Calibri"/>
                <w:b/>
                <w:color w:val="000000"/>
              </w:rPr>
              <w:t>Total number (expected at CEO Endorsement)</w:t>
            </w:r>
          </w:p>
        </w:tc>
        <w:tc>
          <w:tcPr>
            <w:tcW w:w="2016" w:type="dxa"/>
            <w:shd w:val="clear" w:color="auto" w:fill="D9D9D9"/>
          </w:tcPr>
          <w:p w14:paraId="4EF43D2C" w14:textId="77777777" w:rsidR="003E615F" w:rsidRPr="003F7F6C" w:rsidRDefault="003E615F" w:rsidP="003E615F">
            <w:pPr>
              <w:rPr>
                <w:rFonts w:eastAsia="Times New Roman" w:cs="Calibri"/>
                <w:b/>
                <w:color w:val="000000"/>
              </w:rPr>
            </w:pPr>
            <w:r w:rsidRPr="003F7F6C">
              <w:rPr>
                <w:rFonts w:eastAsia="Times New Roman" w:cs="Calibri"/>
                <w:b/>
                <w:color w:val="000000"/>
              </w:rPr>
              <w:t>Total number (achieved at MTR)</w:t>
            </w:r>
          </w:p>
        </w:tc>
        <w:tc>
          <w:tcPr>
            <w:tcW w:w="2016" w:type="dxa"/>
            <w:shd w:val="clear" w:color="auto" w:fill="D9D9D9"/>
          </w:tcPr>
          <w:p w14:paraId="0ADB8F70" w14:textId="77777777" w:rsidR="003E615F" w:rsidRPr="003F7F6C" w:rsidRDefault="003E615F" w:rsidP="003E615F">
            <w:pPr>
              <w:rPr>
                <w:rFonts w:eastAsia="Times New Roman" w:cs="Calibri"/>
                <w:b/>
                <w:color w:val="000000"/>
              </w:rPr>
            </w:pPr>
            <w:r w:rsidRPr="003F7F6C">
              <w:rPr>
                <w:rFonts w:eastAsia="Times New Roman" w:cs="Calibri"/>
                <w:b/>
                <w:color w:val="000000"/>
              </w:rPr>
              <w:t>Total number (achieved at TE)</w:t>
            </w:r>
          </w:p>
        </w:tc>
      </w:tr>
      <w:tr w:rsidR="003E615F" w:rsidRPr="003F7F6C" w14:paraId="25F21126" w14:textId="77777777" w:rsidTr="002B3130">
        <w:tc>
          <w:tcPr>
            <w:tcW w:w="1255" w:type="dxa"/>
            <w:shd w:val="clear" w:color="auto" w:fill="D9D9D9"/>
          </w:tcPr>
          <w:p w14:paraId="262D042A" w14:textId="77777777" w:rsidR="003E615F" w:rsidRPr="003F7F6C" w:rsidRDefault="003E615F" w:rsidP="003E615F">
            <w:pPr>
              <w:rPr>
                <w:rFonts w:eastAsia="Times New Roman" w:cs="Calibri"/>
                <w:b/>
                <w:color w:val="000000"/>
              </w:rPr>
            </w:pPr>
            <w:r w:rsidRPr="003F7F6C">
              <w:rPr>
                <w:rFonts w:eastAsia="Times New Roman" w:cs="Calibri"/>
                <w:b/>
                <w:color w:val="000000"/>
              </w:rPr>
              <w:t>Women</w:t>
            </w:r>
          </w:p>
        </w:tc>
        <w:tc>
          <w:tcPr>
            <w:tcW w:w="2016" w:type="dxa"/>
            <w:shd w:val="clear" w:color="auto" w:fill="auto"/>
          </w:tcPr>
          <w:p w14:paraId="28057AE7" w14:textId="77777777" w:rsidR="003E615F" w:rsidRPr="003F7F6C" w:rsidRDefault="003E615F" w:rsidP="002B3130">
            <w:pPr>
              <w:jc w:val="center"/>
              <w:rPr>
                <w:rFonts w:eastAsia="Times New Roman" w:cs="Calibri"/>
                <w:color w:val="000000"/>
              </w:rPr>
            </w:pPr>
            <w:r w:rsidRPr="003F7F6C">
              <w:rPr>
                <w:rFonts w:eastAsia="Times New Roman" w:cs="Calibri"/>
                <w:color w:val="000000"/>
              </w:rPr>
              <w:t>N/A</w:t>
            </w:r>
          </w:p>
        </w:tc>
        <w:tc>
          <w:tcPr>
            <w:tcW w:w="2016" w:type="dxa"/>
            <w:shd w:val="clear" w:color="auto" w:fill="auto"/>
          </w:tcPr>
          <w:p w14:paraId="7548B9DF" w14:textId="77777777" w:rsidR="003E615F" w:rsidRPr="003F7F6C" w:rsidRDefault="003E615F" w:rsidP="002B3130">
            <w:pPr>
              <w:jc w:val="right"/>
              <w:rPr>
                <w:rFonts w:eastAsia="Times New Roman" w:cs="Calibri"/>
                <w:color w:val="000000"/>
              </w:rPr>
            </w:pPr>
            <w:r w:rsidRPr="003F7F6C">
              <w:rPr>
                <w:rFonts w:eastAsia="Times New Roman" w:cs="Calibri"/>
                <w:color w:val="000000"/>
              </w:rPr>
              <w:t>4,665</w:t>
            </w:r>
          </w:p>
        </w:tc>
        <w:tc>
          <w:tcPr>
            <w:tcW w:w="2016" w:type="dxa"/>
            <w:shd w:val="clear" w:color="auto" w:fill="auto"/>
          </w:tcPr>
          <w:p w14:paraId="020F8492" w14:textId="77777777" w:rsidR="003E615F" w:rsidRPr="003F7F6C" w:rsidRDefault="003E615F" w:rsidP="003E615F">
            <w:pPr>
              <w:rPr>
                <w:rFonts w:eastAsia="Times New Roman" w:cs="Calibri"/>
                <w:color w:val="000000"/>
              </w:rPr>
            </w:pPr>
          </w:p>
        </w:tc>
        <w:tc>
          <w:tcPr>
            <w:tcW w:w="2016" w:type="dxa"/>
            <w:shd w:val="clear" w:color="auto" w:fill="auto"/>
          </w:tcPr>
          <w:p w14:paraId="285D7F86" w14:textId="77777777" w:rsidR="003E615F" w:rsidRPr="003F7F6C" w:rsidRDefault="003E615F" w:rsidP="003E615F">
            <w:pPr>
              <w:rPr>
                <w:rFonts w:eastAsia="Times New Roman" w:cs="Calibri"/>
                <w:color w:val="000000"/>
              </w:rPr>
            </w:pPr>
          </w:p>
        </w:tc>
      </w:tr>
      <w:tr w:rsidR="003E615F" w:rsidRPr="003F7F6C" w14:paraId="100649BE" w14:textId="77777777" w:rsidTr="002B3130">
        <w:tc>
          <w:tcPr>
            <w:tcW w:w="1255" w:type="dxa"/>
            <w:shd w:val="clear" w:color="auto" w:fill="D9D9D9"/>
          </w:tcPr>
          <w:p w14:paraId="5288A4A3" w14:textId="77777777" w:rsidR="003E615F" w:rsidRPr="003F7F6C" w:rsidRDefault="003E615F" w:rsidP="003E615F">
            <w:pPr>
              <w:rPr>
                <w:rFonts w:eastAsia="Times New Roman" w:cs="Calibri"/>
                <w:b/>
                <w:color w:val="000000"/>
              </w:rPr>
            </w:pPr>
            <w:r w:rsidRPr="003F7F6C">
              <w:rPr>
                <w:rFonts w:eastAsia="Times New Roman" w:cs="Calibri"/>
                <w:b/>
                <w:color w:val="000000"/>
              </w:rPr>
              <w:t>Men</w:t>
            </w:r>
          </w:p>
        </w:tc>
        <w:tc>
          <w:tcPr>
            <w:tcW w:w="2016" w:type="dxa"/>
            <w:shd w:val="clear" w:color="auto" w:fill="auto"/>
          </w:tcPr>
          <w:p w14:paraId="5F20E624" w14:textId="77777777" w:rsidR="003E615F" w:rsidRPr="003F7F6C" w:rsidRDefault="003E615F" w:rsidP="002B3130">
            <w:pPr>
              <w:jc w:val="center"/>
              <w:rPr>
                <w:rFonts w:eastAsia="Times New Roman" w:cs="Calibri"/>
                <w:color w:val="000000"/>
              </w:rPr>
            </w:pPr>
            <w:r w:rsidRPr="003F7F6C">
              <w:rPr>
                <w:rFonts w:eastAsia="Times New Roman" w:cs="Calibri"/>
                <w:color w:val="000000"/>
              </w:rPr>
              <w:t>N/A</w:t>
            </w:r>
          </w:p>
        </w:tc>
        <w:tc>
          <w:tcPr>
            <w:tcW w:w="2016" w:type="dxa"/>
            <w:shd w:val="clear" w:color="auto" w:fill="auto"/>
          </w:tcPr>
          <w:p w14:paraId="0C29E69F" w14:textId="77777777" w:rsidR="003E615F" w:rsidRPr="003F7F6C" w:rsidRDefault="003E615F" w:rsidP="002B3130">
            <w:pPr>
              <w:jc w:val="right"/>
              <w:rPr>
                <w:rFonts w:eastAsia="Times New Roman" w:cs="Calibri"/>
                <w:color w:val="000000"/>
              </w:rPr>
            </w:pPr>
            <w:r w:rsidRPr="003F7F6C">
              <w:rPr>
                <w:rFonts w:eastAsia="Times New Roman" w:cs="Calibri"/>
                <w:color w:val="000000"/>
              </w:rPr>
              <w:t>7,000</w:t>
            </w:r>
          </w:p>
        </w:tc>
        <w:tc>
          <w:tcPr>
            <w:tcW w:w="2016" w:type="dxa"/>
            <w:shd w:val="clear" w:color="auto" w:fill="auto"/>
          </w:tcPr>
          <w:p w14:paraId="3E8118AF" w14:textId="77777777" w:rsidR="003E615F" w:rsidRPr="003F7F6C" w:rsidRDefault="003E615F" w:rsidP="003E615F">
            <w:pPr>
              <w:rPr>
                <w:rFonts w:eastAsia="Times New Roman" w:cs="Calibri"/>
                <w:color w:val="000000"/>
              </w:rPr>
            </w:pPr>
          </w:p>
        </w:tc>
        <w:tc>
          <w:tcPr>
            <w:tcW w:w="2016" w:type="dxa"/>
            <w:shd w:val="clear" w:color="auto" w:fill="auto"/>
          </w:tcPr>
          <w:p w14:paraId="799CD0E1" w14:textId="77777777" w:rsidR="003E615F" w:rsidRPr="003F7F6C" w:rsidRDefault="003E615F" w:rsidP="003E615F">
            <w:pPr>
              <w:rPr>
                <w:rFonts w:eastAsia="Times New Roman" w:cs="Calibri"/>
                <w:color w:val="000000"/>
              </w:rPr>
            </w:pPr>
          </w:p>
        </w:tc>
      </w:tr>
      <w:tr w:rsidR="003E615F" w:rsidRPr="003F7F6C" w14:paraId="15712579" w14:textId="77777777" w:rsidTr="002B3130">
        <w:tc>
          <w:tcPr>
            <w:tcW w:w="1255" w:type="dxa"/>
            <w:shd w:val="clear" w:color="auto" w:fill="D9D9D9"/>
          </w:tcPr>
          <w:p w14:paraId="5C47B731" w14:textId="77777777" w:rsidR="003E615F" w:rsidRPr="003F7F6C" w:rsidRDefault="003E615F" w:rsidP="003E615F">
            <w:pPr>
              <w:rPr>
                <w:rFonts w:eastAsia="Times New Roman" w:cs="Calibri"/>
                <w:b/>
                <w:color w:val="000000"/>
              </w:rPr>
            </w:pPr>
            <w:r w:rsidRPr="003F7F6C">
              <w:rPr>
                <w:rFonts w:eastAsia="Times New Roman" w:cs="Calibri"/>
                <w:b/>
                <w:color w:val="000000"/>
              </w:rPr>
              <w:t>Total</w:t>
            </w:r>
          </w:p>
        </w:tc>
        <w:tc>
          <w:tcPr>
            <w:tcW w:w="2016" w:type="dxa"/>
            <w:shd w:val="clear" w:color="auto" w:fill="auto"/>
          </w:tcPr>
          <w:p w14:paraId="464BC358" w14:textId="77777777" w:rsidR="003E615F" w:rsidRPr="003F7F6C" w:rsidRDefault="003E615F" w:rsidP="002B3130">
            <w:pPr>
              <w:jc w:val="center"/>
              <w:rPr>
                <w:rFonts w:eastAsia="Times New Roman" w:cs="Calibri"/>
                <w:color w:val="000000"/>
              </w:rPr>
            </w:pPr>
            <w:r w:rsidRPr="003F7F6C">
              <w:rPr>
                <w:rFonts w:eastAsia="Times New Roman" w:cs="Calibri"/>
                <w:color w:val="000000"/>
              </w:rPr>
              <w:t>N/A</w:t>
            </w:r>
          </w:p>
        </w:tc>
        <w:tc>
          <w:tcPr>
            <w:tcW w:w="2016" w:type="dxa"/>
            <w:shd w:val="clear" w:color="auto" w:fill="auto"/>
          </w:tcPr>
          <w:p w14:paraId="6391DA10" w14:textId="77777777" w:rsidR="003E615F" w:rsidRPr="003F7F6C" w:rsidRDefault="003E615F" w:rsidP="002B3130">
            <w:pPr>
              <w:jc w:val="right"/>
              <w:rPr>
                <w:rFonts w:eastAsia="Times New Roman" w:cs="Calibri"/>
                <w:color w:val="000000"/>
              </w:rPr>
            </w:pPr>
            <w:r w:rsidRPr="003F7F6C">
              <w:rPr>
                <w:rFonts w:eastAsia="Times New Roman" w:cs="Calibri"/>
                <w:color w:val="000000"/>
              </w:rPr>
              <w:t>11,665</w:t>
            </w:r>
          </w:p>
        </w:tc>
        <w:tc>
          <w:tcPr>
            <w:tcW w:w="2016" w:type="dxa"/>
            <w:shd w:val="clear" w:color="auto" w:fill="auto"/>
          </w:tcPr>
          <w:p w14:paraId="6D678282" w14:textId="77777777" w:rsidR="003E615F" w:rsidRPr="003F7F6C" w:rsidRDefault="003E615F" w:rsidP="003E615F">
            <w:pPr>
              <w:rPr>
                <w:rFonts w:eastAsia="Times New Roman" w:cs="Calibri"/>
                <w:color w:val="000000"/>
              </w:rPr>
            </w:pPr>
          </w:p>
        </w:tc>
        <w:tc>
          <w:tcPr>
            <w:tcW w:w="2016" w:type="dxa"/>
            <w:shd w:val="clear" w:color="auto" w:fill="auto"/>
          </w:tcPr>
          <w:p w14:paraId="3706A83E" w14:textId="77777777" w:rsidR="003E615F" w:rsidRPr="003F7F6C" w:rsidRDefault="003E615F" w:rsidP="003E615F">
            <w:pPr>
              <w:rPr>
                <w:rFonts w:eastAsia="Times New Roman" w:cs="Calibri"/>
                <w:color w:val="000000"/>
              </w:rPr>
            </w:pPr>
          </w:p>
        </w:tc>
      </w:tr>
    </w:tbl>
    <w:p w14:paraId="30B7495B" w14:textId="77777777" w:rsidR="003E615F" w:rsidRPr="003F7F6C" w:rsidRDefault="003E615F" w:rsidP="003E615F"/>
    <w:p w14:paraId="0285FCF5" w14:textId="77777777" w:rsidR="003E615F" w:rsidRPr="003F7F6C" w:rsidRDefault="003E615F" w:rsidP="003E615F"/>
    <w:p w14:paraId="6945EEC3" w14:textId="77777777" w:rsidR="00761D79" w:rsidRPr="003F7F6C" w:rsidRDefault="00761D79" w:rsidP="00556F17">
      <w:pPr>
        <w:pStyle w:val="Heading2"/>
        <w:ind w:left="0"/>
        <w:rPr>
          <w:b w:val="0"/>
          <w:szCs w:val="22"/>
        </w:rPr>
        <w:sectPr w:rsidR="00761D79" w:rsidRPr="003F7F6C" w:rsidSect="0096798B">
          <w:pgSz w:w="12240" w:h="15840" w:code="1"/>
          <w:pgMar w:top="1440" w:right="1440" w:bottom="1440" w:left="1440" w:header="720" w:footer="720" w:gutter="0"/>
          <w:cols w:space="720"/>
          <w:docGrid w:linePitch="360"/>
        </w:sectPr>
      </w:pPr>
    </w:p>
    <w:p w14:paraId="3AE58BAE" w14:textId="77777777" w:rsidR="00556F17" w:rsidRPr="003F7F6C" w:rsidRDefault="00556F17" w:rsidP="00556F17">
      <w:pPr>
        <w:pStyle w:val="Heading2"/>
        <w:ind w:left="0"/>
        <w:rPr>
          <w:rFonts w:ascii="Calibri" w:hAnsi="Calibri"/>
          <w:szCs w:val="22"/>
        </w:rPr>
      </w:pPr>
      <w:bookmarkStart w:id="39" w:name="_Toc529891422"/>
      <w:r w:rsidRPr="003F7F6C">
        <w:rPr>
          <w:rFonts w:ascii="Calibri" w:hAnsi="Calibri"/>
          <w:szCs w:val="22"/>
        </w:rPr>
        <w:t xml:space="preserve">Annex C:  </w:t>
      </w:r>
      <w:r w:rsidR="00DF2D3A" w:rsidRPr="003F7F6C">
        <w:rPr>
          <w:rFonts w:ascii="Calibri" w:hAnsi="Calibri"/>
          <w:szCs w:val="22"/>
        </w:rPr>
        <w:t>Overview of Technical Consultancies</w:t>
      </w:r>
      <w:bookmarkEnd w:id="39"/>
    </w:p>
    <w:p w14:paraId="132C5EB7" w14:textId="77777777" w:rsidR="00D42863" w:rsidRPr="003F7F6C" w:rsidRDefault="00D42863" w:rsidP="00761D79">
      <w:pPr>
        <w:jc w:val="left"/>
        <w:rPr>
          <w:rFonts w:cs="Arial"/>
          <w:i/>
          <w:noProof/>
          <w:szCs w:val="20"/>
          <w:lang w:eastAsia="zh-CN"/>
        </w:rPr>
      </w:pPr>
    </w:p>
    <w:tbl>
      <w:tblPr>
        <w:tblW w:w="14022" w:type="dxa"/>
        <w:tblInd w:w="-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63"/>
        <w:gridCol w:w="1440"/>
        <w:gridCol w:w="10619"/>
      </w:tblGrid>
      <w:tr w:rsidR="004969AA" w:rsidRPr="003F7F6C" w14:paraId="4B5C00A1" w14:textId="77777777" w:rsidTr="00EF3482">
        <w:trPr>
          <w:tblHeader/>
        </w:trPr>
        <w:tc>
          <w:tcPr>
            <w:tcW w:w="1963" w:type="dxa"/>
            <w:tcBorders>
              <w:top w:val="single" w:sz="4" w:space="0" w:color="auto"/>
              <w:left w:val="single" w:sz="4" w:space="0" w:color="auto"/>
              <w:bottom w:val="single" w:sz="4" w:space="0" w:color="auto"/>
              <w:right w:val="single" w:sz="4" w:space="0" w:color="auto"/>
            </w:tcBorders>
            <w:shd w:val="clear" w:color="auto" w:fill="FDE9D9"/>
            <w:hideMark/>
          </w:tcPr>
          <w:p w14:paraId="283A576B" w14:textId="77777777" w:rsidR="004969AA" w:rsidRPr="003F7F6C" w:rsidRDefault="004969AA" w:rsidP="00EF3482">
            <w:pPr>
              <w:spacing w:after="0"/>
              <w:rPr>
                <w:rFonts w:cs="Calibri"/>
                <w:b/>
                <w:szCs w:val="20"/>
                <w:lang w:eastAsia="ja-JP"/>
              </w:rPr>
            </w:pPr>
            <w:r w:rsidRPr="003F7F6C">
              <w:rPr>
                <w:rFonts w:cs="Calibri"/>
                <w:b/>
                <w:szCs w:val="20"/>
                <w:lang w:eastAsia="ja-JP"/>
              </w:rPr>
              <w:t>Consultant</w:t>
            </w:r>
          </w:p>
        </w:tc>
        <w:tc>
          <w:tcPr>
            <w:tcW w:w="1440" w:type="dxa"/>
            <w:tcBorders>
              <w:top w:val="single" w:sz="4" w:space="0" w:color="auto"/>
              <w:left w:val="single" w:sz="4" w:space="0" w:color="auto"/>
              <w:bottom w:val="single" w:sz="4" w:space="0" w:color="auto"/>
              <w:right w:val="single" w:sz="4" w:space="0" w:color="auto"/>
            </w:tcBorders>
            <w:shd w:val="clear" w:color="auto" w:fill="FDE9D9"/>
            <w:hideMark/>
          </w:tcPr>
          <w:p w14:paraId="61385B8B" w14:textId="77777777" w:rsidR="004969AA" w:rsidRPr="003F7F6C" w:rsidRDefault="004969AA" w:rsidP="00EF3482">
            <w:pPr>
              <w:spacing w:after="0"/>
              <w:rPr>
                <w:rFonts w:cs="Calibri"/>
                <w:b/>
                <w:szCs w:val="20"/>
                <w:lang w:eastAsia="ja-JP"/>
              </w:rPr>
            </w:pPr>
            <w:r w:rsidRPr="003F7F6C">
              <w:rPr>
                <w:rFonts w:cs="Calibri"/>
                <w:b/>
                <w:szCs w:val="20"/>
                <w:lang w:eastAsia="ja-JP"/>
              </w:rPr>
              <w:t>Time Input</w:t>
            </w:r>
          </w:p>
        </w:tc>
        <w:tc>
          <w:tcPr>
            <w:tcW w:w="10619" w:type="dxa"/>
            <w:tcBorders>
              <w:top w:val="single" w:sz="4" w:space="0" w:color="auto"/>
              <w:left w:val="single" w:sz="4" w:space="0" w:color="auto"/>
              <w:bottom w:val="single" w:sz="4" w:space="0" w:color="auto"/>
              <w:right w:val="single" w:sz="4" w:space="0" w:color="auto"/>
            </w:tcBorders>
            <w:shd w:val="clear" w:color="auto" w:fill="FDE9D9"/>
            <w:hideMark/>
          </w:tcPr>
          <w:p w14:paraId="4A1CBBC3" w14:textId="77777777" w:rsidR="004969AA" w:rsidRPr="003F7F6C" w:rsidRDefault="004969AA" w:rsidP="00EF3482">
            <w:pPr>
              <w:spacing w:after="0"/>
              <w:rPr>
                <w:rFonts w:cs="Calibri"/>
                <w:b/>
                <w:szCs w:val="20"/>
                <w:lang w:eastAsia="ja-JP"/>
              </w:rPr>
            </w:pPr>
            <w:r w:rsidRPr="003F7F6C">
              <w:rPr>
                <w:rFonts w:cs="Calibri"/>
                <w:b/>
                <w:szCs w:val="20"/>
                <w:lang w:eastAsia="ja-JP"/>
              </w:rPr>
              <w:t>Tasks, Inputs and Outputs</w:t>
            </w:r>
          </w:p>
        </w:tc>
      </w:tr>
      <w:tr w:rsidR="004969AA" w:rsidRPr="003F7F6C" w14:paraId="0D478A06" w14:textId="77777777" w:rsidTr="00EF3482">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239103B2" w14:textId="77777777" w:rsidR="004969AA" w:rsidRPr="003F7F6C" w:rsidRDefault="004969AA" w:rsidP="00EF3482">
            <w:pPr>
              <w:spacing w:after="0"/>
              <w:jc w:val="center"/>
              <w:rPr>
                <w:rFonts w:cs="Calibri"/>
                <w:i/>
                <w:szCs w:val="20"/>
                <w:lang w:eastAsia="ja-JP"/>
              </w:rPr>
            </w:pPr>
            <w:r w:rsidRPr="003F7F6C">
              <w:rPr>
                <w:rFonts w:cs="Calibri"/>
                <w:b/>
                <w:i/>
                <w:szCs w:val="20"/>
                <w:lang w:eastAsia="ja-JP"/>
              </w:rPr>
              <w:t>For Project Management / Monitoring &amp; Evaluation</w:t>
            </w:r>
          </w:p>
        </w:tc>
      </w:tr>
      <w:tr w:rsidR="004969AA" w:rsidRPr="003F7F6C" w14:paraId="2B12E897" w14:textId="77777777" w:rsidTr="00EF3482">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0C86D12A" w14:textId="77777777" w:rsidR="004969AA" w:rsidRPr="003F7F6C" w:rsidRDefault="004969AA" w:rsidP="00EF3482">
            <w:pPr>
              <w:spacing w:after="0"/>
              <w:rPr>
                <w:rFonts w:cs="Calibri"/>
                <w:b/>
                <w:i/>
                <w:szCs w:val="20"/>
                <w:lang w:eastAsia="ja-JP"/>
              </w:rPr>
            </w:pPr>
            <w:r w:rsidRPr="003F7F6C">
              <w:rPr>
                <w:rFonts w:cs="Calibri"/>
                <w:b/>
                <w:i/>
                <w:szCs w:val="20"/>
                <w:lang w:eastAsia="ja-JP"/>
              </w:rPr>
              <w:t>Local / National contracting</w:t>
            </w:r>
          </w:p>
        </w:tc>
      </w:tr>
      <w:tr w:rsidR="004969AA" w:rsidRPr="003F7F6C" w14:paraId="5779471E" w14:textId="77777777" w:rsidTr="00EF3482">
        <w:tc>
          <w:tcPr>
            <w:tcW w:w="1963" w:type="dxa"/>
            <w:tcBorders>
              <w:top w:val="single" w:sz="4" w:space="0" w:color="auto"/>
              <w:left w:val="single" w:sz="4" w:space="0" w:color="auto"/>
              <w:bottom w:val="single" w:sz="4" w:space="0" w:color="auto"/>
              <w:right w:val="single" w:sz="4" w:space="0" w:color="auto"/>
            </w:tcBorders>
          </w:tcPr>
          <w:p w14:paraId="0F71A267" w14:textId="77777777" w:rsidR="004969AA" w:rsidRPr="003F7F6C" w:rsidRDefault="004969AA" w:rsidP="00EF3482">
            <w:pPr>
              <w:spacing w:after="0"/>
              <w:rPr>
                <w:rFonts w:cs="Calibri"/>
                <w:szCs w:val="20"/>
                <w:lang w:eastAsia="ja-JP"/>
              </w:rPr>
            </w:pPr>
            <w:r w:rsidRPr="003F7F6C">
              <w:rPr>
                <w:rFonts w:cs="Calibri"/>
                <w:szCs w:val="20"/>
                <w:lang w:eastAsia="ja-JP"/>
              </w:rPr>
              <w:t>Project Coordinator</w:t>
            </w:r>
          </w:p>
          <w:p w14:paraId="15701014" w14:textId="77777777" w:rsidR="004969AA" w:rsidRPr="003F7F6C" w:rsidRDefault="004969AA" w:rsidP="00EF3482">
            <w:pPr>
              <w:spacing w:after="0"/>
              <w:rPr>
                <w:rFonts w:cs="Calibri"/>
                <w:szCs w:val="20"/>
                <w:lang w:eastAsia="ja-JP"/>
              </w:rPr>
            </w:pPr>
          </w:p>
          <w:p w14:paraId="07258DC2" w14:textId="01D484EF" w:rsidR="004969AA" w:rsidRPr="003F7F6C" w:rsidRDefault="004969AA" w:rsidP="00EF3482">
            <w:pPr>
              <w:spacing w:after="0"/>
              <w:jc w:val="left"/>
              <w:rPr>
                <w:rFonts w:cs="Calibri"/>
                <w:szCs w:val="20"/>
                <w:lang w:eastAsia="ja-JP"/>
              </w:rPr>
            </w:pPr>
            <w:r w:rsidRPr="003F7F6C">
              <w:rPr>
                <w:rFonts w:cs="Calibri"/>
                <w:szCs w:val="20"/>
                <w:lang w:eastAsia="ja-JP"/>
              </w:rPr>
              <w:t xml:space="preserve">Rate: USD </w:t>
            </w:r>
            <w:r w:rsidR="002620FA" w:rsidRPr="003F7F6C">
              <w:rPr>
                <w:rFonts w:cs="Calibri"/>
                <w:szCs w:val="20"/>
                <w:lang w:eastAsia="ja-JP"/>
              </w:rPr>
              <w:t>2,002</w:t>
            </w:r>
            <w:r w:rsidRPr="003F7F6C">
              <w:rPr>
                <w:rFonts w:cs="Calibri"/>
                <w:szCs w:val="20"/>
                <w:lang w:eastAsia="ja-JP"/>
              </w:rPr>
              <w:t xml:space="preserve">/month </w:t>
            </w:r>
          </w:p>
        </w:tc>
        <w:tc>
          <w:tcPr>
            <w:tcW w:w="1440" w:type="dxa"/>
            <w:tcBorders>
              <w:top w:val="single" w:sz="4" w:space="0" w:color="auto"/>
              <w:left w:val="single" w:sz="4" w:space="0" w:color="auto"/>
              <w:bottom w:val="single" w:sz="4" w:space="0" w:color="auto"/>
              <w:right w:val="single" w:sz="4" w:space="0" w:color="auto"/>
            </w:tcBorders>
            <w:hideMark/>
          </w:tcPr>
          <w:p w14:paraId="46BC11AF" w14:textId="77777777" w:rsidR="004969AA" w:rsidRPr="003F7F6C" w:rsidRDefault="004969AA" w:rsidP="00EF3482">
            <w:pPr>
              <w:spacing w:after="0"/>
              <w:rPr>
                <w:rFonts w:cs="Calibri"/>
                <w:szCs w:val="20"/>
                <w:lang w:eastAsia="ja-JP"/>
              </w:rPr>
            </w:pPr>
            <w:r w:rsidRPr="003F7F6C">
              <w:rPr>
                <w:rFonts w:cs="Calibri"/>
                <w:szCs w:val="20"/>
                <w:lang w:eastAsia="ja-JP"/>
              </w:rPr>
              <w:t>72 months</w:t>
            </w:r>
          </w:p>
        </w:tc>
        <w:tc>
          <w:tcPr>
            <w:tcW w:w="10619" w:type="dxa"/>
            <w:tcBorders>
              <w:top w:val="single" w:sz="4" w:space="0" w:color="auto"/>
              <w:left w:val="single" w:sz="4" w:space="0" w:color="auto"/>
              <w:bottom w:val="single" w:sz="4" w:space="0" w:color="auto"/>
              <w:right w:val="single" w:sz="4" w:space="0" w:color="auto"/>
            </w:tcBorders>
            <w:hideMark/>
          </w:tcPr>
          <w:p w14:paraId="37FF47FB" w14:textId="1221B221" w:rsidR="004969AA" w:rsidRPr="003F7F6C" w:rsidRDefault="004969AA" w:rsidP="00EF3482">
            <w:pPr>
              <w:spacing w:after="0"/>
              <w:rPr>
                <w:rFonts w:cs="Calibri"/>
                <w:szCs w:val="20"/>
                <w:lang w:eastAsia="ja-JP"/>
              </w:rPr>
            </w:pPr>
            <w:r w:rsidRPr="003F7F6C">
              <w:rPr>
                <w:rFonts w:cs="Calibri"/>
                <w:szCs w:val="20"/>
                <w:lang w:eastAsia="ja-JP"/>
              </w:rPr>
              <w:t xml:space="preserve">The Project Coordinator (PC) will be responsible for the overall management of the project, including the mobilization of all project inputs, supervision </w:t>
            </w:r>
            <w:r w:rsidR="007A5B1A" w:rsidRPr="003F7F6C">
              <w:rPr>
                <w:rFonts w:cs="Calibri"/>
                <w:szCs w:val="20"/>
                <w:lang w:eastAsia="ja-JP"/>
              </w:rPr>
              <w:t xml:space="preserve">of </w:t>
            </w:r>
            <w:r w:rsidRPr="003F7F6C">
              <w:rPr>
                <w:rFonts w:cs="Calibri"/>
                <w:szCs w:val="20"/>
                <w:lang w:eastAsia="ja-JP"/>
              </w:rPr>
              <w:t>project staff, consultants and sub-contractors. The PC will also act as the project´s specialist on Environmental Land Use Planning with the support of a team of ELUP technicians of the SGAyDS. See the full TOR</w:t>
            </w:r>
            <w:r w:rsidR="007A5B1A" w:rsidRPr="003F7F6C">
              <w:rPr>
                <w:rFonts w:cs="Calibri"/>
                <w:szCs w:val="20"/>
                <w:lang w:eastAsia="ja-JP"/>
              </w:rPr>
              <w:t>s</w:t>
            </w:r>
            <w:r w:rsidRPr="003F7F6C">
              <w:rPr>
                <w:rFonts w:cs="Calibri"/>
                <w:szCs w:val="20"/>
                <w:lang w:eastAsia="ja-JP"/>
              </w:rPr>
              <w:t xml:space="preserve"> below for details.</w:t>
            </w:r>
          </w:p>
        </w:tc>
      </w:tr>
      <w:tr w:rsidR="004969AA" w:rsidRPr="003F7F6C" w14:paraId="34F5F227" w14:textId="77777777" w:rsidTr="00EF3482">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62AA290E" w14:textId="77777777" w:rsidR="004969AA" w:rsidRPr="003F7F6C" w:rsidRDefault="004969AA" w:rsidP="00EF3482">
            <w:pPr>
              <w:spacing w:after="0"/>
              <w:jc w:val="center"/>
              <w:rPr>
                <w:rFonts w:cs="Calibri"/>
                <w:i/>
                <w:szCs w:val="20"/>
                <w:lang w:eastAsia="ja-JP"/>
              </w:rPr>
            </w:pPr>
            <w:r w:rsidRPr="003F7F6C">
              <w:rPr>
                <w:rFonts w:cs="Calibri"/>
                <w:b/>
                <w:i/>
                <w:szCs w:val="20"/>
                <w:lang w:eastAsia="ja-JP"/>
              </w:rPr>
              <w:t>For Technical Assistance</w:t>
            </w:r>
          </w:p>
        </w:tc>
      </w:tr>
      <w:tr w:rsidR="004969AA" w:rsidRPr="003F7F6C" w14:paraId="6A5CD4B0" w14:textId="77777777" w:rsidTr="00EF3482">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5A578381" w14:textId="77777777" w:rsidR="004969AA" w:rsidRPr="003F7F6C" w:rsidRDefault="004969AA" w:rsidP="00EF3482">
            <w:pPr>
              <w:spacing w:after="0"/>
              <w:rPr>
                <w:rFonts w:cs="Calibri"/>
                <w:b/>
                <w:i/>
                <w:szCs w:val="20"/>
                <w:lang w:eastAsia="ja-JP"/>
              </w:rPr>
            </w:pPr>
            <w:r w:rsidRPr="003F7F6C">
              <w:rPr>
                <w:rFonts w:cs="Calibri"/>
                <w:b/>
                <w:i/>
                <w:szCs w:val="20"/>
                <w:lang w:eastAsia="ja-JP"/>
              </w:rPr>
              <w:t>Local / National contracting</w:t>
            </w:r>
          </w:p>
        </w:tc>
      </w:tr>
      <w:tr w:rsidR="004969AA" w:rsidRPr="003F7F6C" w14:paraId="1C300A3B" w14:textId="77777777" w:rsidTr="00EF3482">
        <w:tc>
          <w:tcPr>
            <w:tcW w:w="1963" w:type="dxa"/>
            <w:tcBorders>
              <w:top w:val="single" w:sz="4" w:space="0" w:color="auto"/>
              <w:left w:val="single" w:sz="4" w:space="0" w:color="auto"/>
              <w:bottom w:val="single" w:sz="4" w:space="0" w:color="auto"/>
              <w:right w:val="single" w:sz="4" w:space="0" w:color="auto"/>
            </w:tcBorders>
          </w:tcPr>
          <w:p w14:paraId="06584233" w14:textId="30FB6482" w:rsidR="004969AA" w:rsidRPr="003F7F6C" w:rsidRDefault="009C371A" w:rsidP="000D5B4E">
            <w:pPr>
              <w:spacing w:after="0"/>
              <w:jc w:val="left"/>
              <w:rPr>
                <w:rFonts w:cs="Calibri"/>
                <w:szCs w:val="20"/>
                <w:lang w:eastAsia="ja-JP"/>
              </w:rPr>
            </w:pPr>
            <w:r w:rsidRPr="003F7F6C">
              <w:rPr>
                <w:rFonts w:cs="Calibri"/>
                <w:szCs w:val="20"/>
                <w:lang w:eastAsia="ja-JP"/>
              </w:rPr>
              <w:t>Specialist</w:t>
            </w:r>
            <w:r w:rsidR="004969AA" w:rsidRPr="003F7F6C">
              <w:rPr>
                <w:rFonts w:cs="Calibri"/>
                <w:szCs w:val="20"/>
                <w:lang w:eastAsia="ja-JP"/>
              </w:rPr>
              <w:t xml:space="preserve"> for definition of criteria for priority areas </w:t>
            </w:r>
            <w:r w:rsidR="00D82B2F" w:rsidRPr="003F7F6C">
              <w:rPr>
                <w:rFonts w:cs="Calibri"/>
                <w:szCs w:val="20"/>
                <w:lang w:eastAsia="ja-JP"/>
              </w:rPr>
              <w:t xml:space="preserve">of </w:t>
            </w:r>
            <w:r w:rsidRPr="003F7F6C">
              <w:rPr>
                <w:rFonts w:cs="Calibri"/>
                <w:szCs w:val="20"/>
                <w:lang w:eastAsia="ja-JP"/>
              </w:rPr>
              <w:t>environmental value</w:t>
            </w:r>
          </w:p>
          <w:p w14:paraId="02F06557" w14:textId="77777777" w:rsidR="004969AA" w:rsidRPr="003F7F6C" w:rsidRDefault="004969AA" w:rsidP="00EF3482">
            <w:pPr>
              <w:spacing w:after="0"/>
              <w:rPr>
                <w:rFonts w:cs="Calibri"/>
                <w:szCs w:val="20"/>
                <w:lang w:eastAsia="ja-JP"/>
              </w:rPr>
            </w:pPr>
          </w:p>
          <w:p w14:paraId="5B6C60AB" w14:textId="77777777" w:rsidR="004969AA" w:rsidRPr="003F7F6C" w:rsidRDefault="004969AA" w:rsidP="00EF3482">
            <w:pPr>
              <w:spacing w:after="0"/>
              <w:jc w:val="left"/>
              <w:rPr>
                <w:rFonts w:cs="Calibri"/>
                <w:szCs w:val="20"/>
                <w:lang w:eastAsia="ja-JP"/>
              </w:rPr>
            </w:pPr>
            <w:r w:rsidRPr="003F7F6C">
              <w:rPr>
                <w:rFonts w:cs="Calibri"/>
                <w:szCs w:val="20"/>
                <w:lang w:eastAsia="ja-JP"/>
              </w:rPr>
              <w:t xml:space="preserve"> Rate: USD 1,000/month</w:t>
            </w:r>
          </w:p>
        </w:tc>
        <w:tc>
          <w:tcPr>
            <w:tcW w:w="1440" w:type="dxa"/>
            <w:tcBorders>
              <w:top w:val="single" w:sz="4" w:space="0" w:color="auto"/>
              <w:left w:val="single" w:sz="4" w:space="0" w:color="auto"/>
              <w:bottom w:val="single" w:sz="4" w:space="0" w:color="auto"/>
              <w:right w:val="single" w:sz="4" w:space="0" w:color="auto"/>
            </w:tcBorders>
            <w:hideMark/>
          </w:tcPr>
          <w:p w14:paraId="67C56473" w14:textId="77777777" w:rsidR="004969AA" w:rsidRPr="003F7F6C" w:rsidRDefault="004969AA" w:rsidP="00EF3482">
            <w:pPr>
              <w:spacing w:after="0"/>
              <w:rPr>
                <w:rFonts w:cs="Calibri"/>
                <w:szCs w:val="20"/>
                <w:lang w:eastAsia="ja-JP"/>
              </w:rPr>
            </w:pPr>
            <w:r w:rsidRPr="003F7F6C">
              <w:rPr>
                <w:rFonts w:cs="Calibri"/>
                <w:szCs w:val="20"/>
                <w:lang w:eastAsia="ja-JP"/>
              </w:rPr>
              <w:t>48 months</w:t>
            </w:r>
          </w:p>
        </w:tc>
        <w:tc>
          <w:tcPr>
            <w:tcW w:w="10619" w:type="dxa"/>
            <w:tcBorders>
              <w:top w:val="single" w:sz="4" w:space="0" w:color="auto"/>
              <w:left w:val="single" w:sz="4" w:space="0" w:color="auto"/>
              <w:bottom w:val="single" w:sz="4" w:space="0" w:color="auto"/>
              <w:right w:val="single" w:sz="4" w:space="0" w:color="auto"/>
            </w:tcBorders>
          </w:tcPr>
          <w:p w14:paraId="1AAB88F0" w14:textId="77777777" w:rsidR="004969AA" w:rsidRPr="003F7F6C" w:rsidRDefault="004969AA" w:rsidP="00EF3482">
            <w:pPr>
              <w:spacing w:after="0"/>
              <w:rPr>
                <w:rFonts w:cs="Calibri"/>
                <w:szCs w:val="20"/>
                <w:lang w:eastAsia="ja-JP"/>
              </w:rPr>
            </w:pPr>
            <w:r w:rsidRPr="003F7F6C">
              <w:rPr>
                <w:rFonts w:cs="Calibri"/>
                <w:szCs w:val="20"/>
                <w:lang w:eastAsia="ja-JP"/>
              </w:rPr>
              <w:t>Under close supervision of the Project Coordinator the consultant will work closely with the SGAyDS technical team and key stakeholders to identify, assess, prioritize and validate criteria for priority areas of environmental value for ELUP implementation under Output 1.3, which will serve as the basis for the elaboration of maps of such priority areas.  The specialist will:</w:t>
            </w:r>
          </w:p>
          <w:p w14:paraId="41B12E03" w14:textId="77777777" w:rsidR="004969AA" w:rsidRPr="003F7F6C" w:rsidRDefault="004969AA" w:rsidP="00E91275">
            <w:pPr>
              <w:numPr>
                <w:ilvl w:val="0"/>
                <w:numId w:val="9"/>
              </w:numPr>
              <w:spacing w:after="0"/>
              <w:jc w:val="left"/>
              <w:rPr>
                <w:rFonts w:eastAsia="MS Mincho" w:cs="Calibri"/>
                <w:szCs w:val="20"/>
                <w:lang w:eastAsia="ja-JP"/>
              </w:rPr>
            </w:pPr>
            <w:r w:rsidRPr="003F7F6C">
              <w:rPr>
                <w:rFonts w:eastAsia="MS Mincho" w:cs="Calibri"/>
                <w:szCs w:val="20"/>
                <w:lang w:eastAsia="ja-JP"/>
              </w:rPr>
              <w:t>Research criteria that can be used to define priority areas of environmental value for ELUP.</w:t>
            </w:r>
          </w:p>
          <w:p w14:paraId="453F063A" w14:textId="77777777" w:rsidR="004969AA" w:rsidRPr="003F7F6C" w:rsidRDefault="004969AA" w:rsidP="00E91275">
            <w:pPr>
              <w:numPr>
                <w:ilvl w:val="0"/>
                <w:numId w:val="9"/>
              </w:numPr>
              <w:spacing w:after="0"/>
              <w:jc w:val="left"/>
              <w:rPr>
                <w:rFonts w:eastAsia="MS Mincho" w:cs="Calibri"/>
                <w:szCs w:val="20"/>
                <w:lang w:eastAsia="ja-JP"/>
              </w:rPr>
            </w:pPr>
            <w:r w:rsidRPr="003F7F6C">
              <w:rPr>
                <w:rFonts w:eastAsia="MS Mincho" w:cs="Calibri"/>
                <w:szCs w:val="20"/>
                <w:lang w:eastAsia="ja-JP"/>
              </w:rPr>
              <w:t>Identify a list of basic and auxiliary criteria that could be used to define priority areas.</w:t>
            </w:r>
          </w:p>
          <w:p w14:paraId="1DDEB072" w14:textId="77777777" w:rsidR="004969AA" w:rsidRPr="003F7F6C" w:rsidRDefault="004969AA" w:rsidP="00E91275">
            <w:pPr>
              <w:numPr>
                <w:ilvl w:val="0"/>
                <w:numId w:val="9"/>
              </w:numPr>
              <w:spacing w:after="0"/>
              <w:jc w:val="left"/>
              <w:rPr>
                <w:rFonts w:eastAsia="MS Mincho" w:cs="Calibri"/>
                <w:szCs w:val="20"/>
                <w:lang w:eastAsia="ja-JP"/>
              </w:rPr>
            </w:pPr>
            <w:r w:rsidRPr="003F7F6C">
              <w:rPr>
                <w:rFonts w:eastAsia="MS Mincho" w:cs="Calibri"/>
                <w:szCs w:val="20"/>
                <w:lang w:eastAsia="ja-JP"/>
              </w:rPr>
              <w:t>Assess each criteria and propose a set of pertinent criteria.</w:t>
            </w:r>
          </w:p>
          <w:p w14:paraId="0323C2EF" w14:textId="77777777" w:rsidR="004969AA" w:rsidRPr="003F7F6C" w:rsidRDefault="004969AA" w:rsidP="00E91275">
            <w:pPr>
              <w:numPr>
                <w:ilvl w:val="0"/>
                <w:numId w:val="9"/>
              </w:numPr>
              <w:spacing w:after="0"/>
              <w:jc w:val="left"/>
              <w:rPr>
                <w:rFonts w:eastAsia="MS Mincho" w:cs="Calibri"/>
                <w:szCs w:val="20"/>
                <w:lang w:eastAsia="ja-JP"/>
              </w:rPr>
            </w:pPr>
            <w:r w:rsidRPr="003F7F6C">
              <w:rPr>
                <w:rFonts w:eastAsia="MS Mincho" w:cs="Calibri"/>
                <w:szCs w:val="20"/>
                <w:lang w:eastAsia="ja-JP"/>
              </w:rPr>
              <w:t>Facilitate at different stages of the process workshops and meetings with scientific committees, experts and national/provincial technicians to discuss the criteria and methodology to assess them, obtain inputs and suggestions, and validate the final set of criteria.</w:t>
            </w:r>
          </w:p>
          <w:p w14:paraId="0DFA032C" w14:textId="77777777" w:rsidR="004969AA" w:rsidRPr="003F7F6C" w:rsidRDefault="004969AA" w:rsidP="00E91275">
            <w:pPr>
              <w:numPr>
                <w:ilvl w:val="0"/>
                <w:numId w:val="9"/>
              </w:numPr>
              <w:spacing w:after="0"/>
              <w:jc w:val="left"/>
              <w:rPr>
                <w:rFonts w:eastAsia="MS Mincho" w:cs="Calibri"/>
                <w:szCs w:val="20"/>
                <w:lang w:eastAsia="ja-JP"/>
              </w:rPr>
            </w:pPr>
            <w:r w:rsidRPr="003F7F6C">
              <w:rPr>
                <w:rFonts w:eastAsia="MS Mincho" w:cs="Calibri"/>
                <w:szCs w:val="20"/>
                <w:lang w:eastAsia="ja-JP"/>
              </w:rPr>
              <w:t>Elaborate a document containing the final set of criteria and the methodology to guide the application of the criteria in mapping the priority areas.</w:t>
            </w:r>
          </w:p>
          <w:p w14:paraId="4B58793E" w14:textId="698FF905" w:rsidR="00BD4FE3" w:rsidRPr="003F7F6C" w:rsidRDefault="00BD4FE3" w:rsidP="00BD4FE3">
            <w:pPr>
              <w:spacing w:after="0"/>
              <w:jc w:val="left"/>
              <w:rPr>
                <w:rFonts w:eastAsia="MS Mincho" w:cs="Calibri"/>
                <w:szCs w:val="20"/>
                <w:lang w:eastAsia="ja-JP"/>
              </w:rPr>
            </w:pPr>
            <w:r w:rsidRPr="003F7F6C">
              <w:rPr>
                <w:rFonts w:eastAsia="MS Mincho" w:cs="Calibri"/>
                <w:szCs w:val="20"/>
                <w:lang w:eastAsia="ja-JP"/>
              </w:rPr>
              <w:t>Specific TOR</w:t>
            </w:r>
            <w:r w:rsidR="007A5B1A" w:rsidRPr="003F7F6C">
              <w:rPr>
                <w:rFonts w:eastAsia="MS Mincho" w:cs="Calibri"/>
                <w:szCs w:val="20"/>
                <w:lang w:eastAsia="ja-JP"/>
              </w:rPr>
              <w:t>s</w:t>
            </w:r>
            <w:r w:rsidRPr="003F7F6C">
              <w:rPr>
                <w:rFonts w:eastAsia="MS Mincho" w:cs="Calibri"/>
                <w:szCs w:val="20"/>
                <w:lang w:eastAsia="ja-JP"/>
              </w:rPr>
              <w:t xml:space="preserve"> will be prepared during project implementation.</w:t>
            </w:r>
          </w:p>
        </w:tc>
      </w:tr>
      <w:tr w:rsidR="004969AA" w:rsidRPr="003F7F6C" w14:paraId="405F8EBC" w14:textId="77777777" w:rsidTr="00EF3482">
        <w:tc>
          <w:tcPr>
            <w:tcW w:w="1963" w:type="dxa"/>
            <w:tcBorders>
              <w:top w:val="single" w:sz="4" w:space="0" w:color="auto"/>
              <w:left w:val="single" w:sz="4" w:space="0" w:color="auto"/>
              <w:bottom w:val="single" w:sz="4" w:space="0" w:color="auto"/>
              <w:right w:val="single" w:sz="4" w:space="0" w:color="auto"/>
            </w:tcBorders>
          </w:tcPr>
          <w:p w14:paraId="7A053094" w14:textId="77777777" w:rsidR="004969AA" w:rsidRPr="003F7F6C" w:rsidRDefault="004969AA" w:rsidP="00EF3482">
            <w:pPr>
              <w:spacing w:after="0"/>
              <w:rPr>
                <w:rFonts w:cs="Calibri"/>
                <w:szCs w:val="20"/>
                <w:lang w:eastAsia="ja-JP"/>
              </w:rPr>
            </w:pPr>
            <w:r w:rsidRPr="003F7F6C">
              <w:rPr>
                <w:rFonts w:cs="Calibri"/>
                <w:szCs w:val="20"/>
                <w:lang w:eastAsia="ja-JP"/>
              </w:rPr>
              <w:t>Information Systems Specialist</w:t>
            </w:r>
          </w:p>
          <w:p w14:paraId="342591FB" w14:textId="77777777" w:rsidR="004969AA" w:rsidRPr="003F7F6C" w:rsidRDefault="004969AA" w:rsidP="00EF3482">
            <w:pPr>
              <w:spacing w:after="0"/>
              <w:rPr>
                <w:rFonts w:cs="Calibri"/>
                <w:szCs w:val="20"/>
                <w:lang w:eastAsia="ja-JP"/>
              </w:rPr>
            </w:pPr>
          </w:p>
          <w:p w14:paraId="205E1989" w14:textId="77777777" w:rsidR="004969AA" w:rsidRPr="003F7F6C" w:rsidRDefault="004969AA" w:rsidP="00EF3482">
            <w:pPr>
              <w:spacing w:after="0"/>
              <w:jc w:val="left"/>
              <w:rPr>
                <w:rFonts w:cs="Calibri"/>
                <w:szCs w:val="20"/>
                <w:lang w:eastAsia="ja-JP"/>
              </w:rPr>
            </w:pPr>
            <w:r w:rsidRPr="003F7F6C">
              <w:rPr>
                <w:rFonts w:cs="Calibri"/>
                <w:szCs w:val="20"/>
                <w:lang w:eastAsia="ja-JP"/>
              </w:rPr>
              <w:t>Rate: USD 1,000/month</w:t>
            </w:r>
          </w:p>
        </w:tc>
        <w:tc>
          <w:tcPr>
            <w:tcW w:w="1440" w:type="dxa"/>
            <w:tcBorders>
              <w:top w:val="single" w:sz="4" w:space="0" w:color="auto"/>
              <w:left w:val="single" w:sz="4" w:space="0" w:color="auto"/>
              <w:bottom w:val="single" w:sz="4" w:space="0" w:color="auto"/>
              <w:right w:val="single" w:sz="4" w:space="0" w:color="auto"/>
            </w:tcBorders>
          </w:tcPr>
          <w:p w14:paraId="55065DF5" w14:textId="77777777" w:rsidR="004969AA" w:rsidRPr="003F7F6C" w:rsidRDefault="004969AA" w:rsidP="00EF3482">
            <w:pPr>
              <w:spacing w:after="0"/>
              <w:rPr>
                <w:rFonts w:cs="Calibri"/>
                <w:szCs w:val="20"/>
                <w:lang w:eastAsia="ja-JP"/>
              </w:rPr>
            </w:pPr>
            <w:r w:rsidRPr="003F7F6C">
              <w:rPr>
                <w:rFonts w:cs="Calibri"/>
                <w:szCs w:val="20"/>
                <w:lang w:eastAsia="ja-JP"/>
              </w:rPr>
              <w:t>72 months</w:t>
            </w:r>
          </w:p>
        </w:tc>
        <w:tc>
          <w:tcPr>
            <w:tcW w:w="10619" w:type="dxa"/>
            <w:tcBorders>
              <w:top w:val="single" w:sz="4" w:space="0" w:color="auto"/>
              <w:left w:val="single" w:sz="4" w:space="0" w:color="auto"/>
              <w:bottom w:val="single" w:sz="4" w:space="0" w:color="auto"/>
              <w:right w:val="single" w:sz="4" w:space="0" w:color="auto"/>
            </w:tcBorders>
          </w:tcPr>
          <w:p w14:paraId="704F5AE4" w14:textId="77777777" w:rsidR="004969AA" w:rsidRPr="003F7F6C" w:rsidRDefault="004969AA" w:rsidP="00EF3482">
            <w:pPr>
              <w:spacing w:after="0"/>
              <w:jc w:val="left"/>
              <w:rPr>
                <w:rFonts w:cs="Calibri"/>
                <w:szCs w:val="20"/>
              </w:rPr>
            </w:pPr>
            <w:r w:rsidRPr="003F7F6C">
              <w:rPr>
                <w:rFonts w:cs="Calibri"/>
                <w:szCs w:val="20"/>
              </w:rPr>
              <w:t>Under the overall supervision of the Project Coordinator, and in coordination with the Implementing Partner and other project partners, the Information Systems Specialist will coordinate and provide technical advice for the implementation of activities under Outputs 1.1 and 3.3, including the following:</w:t>
            </w:r>
          </w:p>
          <w:p w14:paraId="2F5EC355" w14:textId="77777777" w:rsidR="004969AA" w:rsidRPr="003F7F6C" w:rsidRDefault="004969AA" w:rsidP="00E91275">
            <w:pPr>
              <w:pStyle w:val="ListParagraph"/>
              <w:numPr>
                <w:ilvl w:val="0"/>
                <w:numId w:val="43"/>
              </w:numPr>
              <w:spacing w:after="0"/>
              <w:contextualSpacing w:val="0"/>
              <w:jc w:val="left"/>
              <w:rPr>
                <w:rFonts w:eastAsia="MS Mincho" w:cs="Calibri"/>
                <w:szCs w:val="20"/>
                <w:lang w:eastAsia="ja-JP"/>
              </w:rPr>
            </w:pPr>
            <w:r w:rsidRPr="003F7F6C">
              <w:rPr>
                <w:rFonts w:eastAsia="MS Mincho" w:cs="Calibri"/>
                <w:szCs w:val="20"/>
                <w:lang w:eastAsia="ja-JP"/>
              </w:rPr>
              <w:t>Support the development of the information system for analysis of environmental variables, including systematization and standardization of information; establishing the ELUP module in the IDE Ambiente data base.</w:t>
            </w:r>
          </w:p>
          <w:p w14:paraId="617859EF" w14:textId="77777777" w:rsidR="004969AA" w:rsidRPr="003F7F6C" w:rsidRDefault="004969AA" w:rsidP="00E91275">
            <w:pPr>
              <w:pStyle w:val="ListParagraph"/>
              <w:numPr>
                <w:ilvl w:val="0"/>
                <w:numId w:val="43"/>
              </w:numPr>
              <w:spacing w:after="0"/>
              <w:contextualSpacing w:val="0"/>
              <w:jc w:val="left"/>
              <w:rPr>
                <w:rFonts w:eastAsia="MS Mincho" w:cs="Calibri"/>
                <w:szCs w:val="20"/>
                <w:lang w:eastAsia="ja-JP"/>
              </w:rPr>
            </w:pPr>
            <w:r w:rsidRPr="003F7F6C">
              <w:rPr>
                <w:rFonts w:eastAsia="MS Mincho" w:cs="Calibri"/>
                <w:szCs w:val="20"/>
                <w:lang w:eastAsia="ja-JP"/>
              </w:rPr>
              <w:t xml:space="preserve">Training of national and provincial technicians in information sharing and standardization protocols. </w:t>
            </w:r>
          </w:p>
          <w:p w14:paraId="611F1FA8" w14:textId="77777777" w:rsidR="004969AA" w:rsidRPr="003F7F6C" w:rsidRDefault="004969AA" w:rsidP="00E91275">
            <w:pPr>
              <w:pStyle w:val="ListParagraph"/>
              <w:numPr>
                <w:ilvl w:val="0"/>
                <w:numId w:val="43"/>
              </w:numPr>
              <w:spacing w:after="0"/>
              <w:contextualSpacing w:val="0"/>
              <w:jc w:val="left"/>
              <w:rPr>
                <w:rFonts w:eastAsia="MS Mincho" w:cs="Calibri"/>
                <w:szCs w:val="20"/>
                <w:lang w:eastAsia="ja-JP"/>
              </w:rPr>
            </w:pPr>
            <w:r w:rsidRPr="003F7F6C">
              <w:rPr>
                <w:rFonts w:eastAsia="MS Mincho" w:cs="Calibri"/>
                <w:szCs w:val="20"/>
                <w:lang w:eastAsia="ja-JP"/>
              </w:rPr>
              <w:t>Support defining indicators for ELUP.</w:t>
            </w:r>
          </w:p>
          <w:p w14:paraId="020E5736" w14:textId="77777777" w:rsidR="004969AA" w:rsidRPr="003F7F6C" w:rsidRDefault="004969AA" w:rsidP="00E91275">
            <w:pPr>
              <w:pStyle w:val="ListParagraph"/>
              <w:numPr>
                <w:ilvl w:val="0"/>
                <w:numId w:val="43"/>
              </w:numPr>
              <w:spacing w:after="0"/>
              <w:contextualSpacing w:val="0"/>
              <w:jc w:val="left"/>
              <w:rPr>
                <w:rFonts w:eastAsia="MS Mincho" w:cs="Calibri"/>
                <w:szCs w:val="20"/>
                <w:lang w:eastAsia="ja-JP"/>
              </w:rPr>
            </w:pPr>
            <w:r w:rsidRPr="003F7F6C">
              <w:rPr>
                <w:rFonts w:eastAsia="MS Mincho" w:cs="Calibri"/>
                <w:szCs w:val="20"/>
                <w:lang w:eastAsia="ja-JP"/>
              </w:rPr>
              <w:t>Support the development of maps of priority areas of environmental value for ELUP implementation.</w:t>
            </w:r>
          </w:p>
          <w:p w14:paraId="7B346AA9" w14:textId="77777777" w:rsidR="004969AA" w:rsidRPr="003F7F6C" w:rsidRDefault="004969AA" w:rsidP="00E91275">
            <w:pPr>
              <w:pStyle w:val="ListParagraph"/>
              <w:numPr>
                <w:ilvl w:val="0"/>
                <w:numId w:val="43"/>
              </w:numPr>
              <w:spacing w:after="0"/>
              <w:contextualSpacing w:val="0"/>
              <w:jc w:val="left"/>
              <w:rPr>
                <w:rFonts w:eastAsia="MS Mincho" w:cs="Calibri"/>
                <w:szCs w:val="20"/>
                <w:lang w:eastAsia="ja-JP"/>
              </w:rPr>
            </w:pPr>
            <w:r w:rsidRPr="003F7F6C">
              <w:rPr>
                <w:rFonts w:eastAsia="MS Mincho" w:cs="Calibri"/>
                <w:szCs w:val="20"/>
                <w:lang w:eastAsia="ja-JP"/>
              </w:rPr>
              <w:t>Support the design and development of the system for evaluation and monitoring of ELUP implementation</w:t>
            </w:r>
          </w:p>
          <w:p w14:paraId="24ECD082" w14:textId="0C4303EF" w:rsidR="004969AA" w:rsidRPr="003F7F6C" w:rsidRDefault="004969AA" w:rsidP="00E91275">
            <w:pPr>
              <w:pStyle w:val="ListParagraph"/>
              <w:numPr>
                <w:ilvl w:val="0"/>
                <w:numId w:val="43"/>
              </w:numPr>
              <w:spacing w:after="0"/>
              <w:contextualSpacing w:val="0"/>
              <w:jc w:val="left"/>
              <w:rPr>
                <w:rFonts w:eastAsia="MS Mincho" w:cs="Calibri"/>
                <w:szCs w:val="20"/>
                <w:lang w:eastAsia="ja-JP"/>
              </w:rPr>
            </w:pPr>
            <w:r w:rsidRPr="003F7F6C">
              <w:rPr>
                <w:rFonts w:eastAsia="MS Mincho" w:cs="Calibri"/>
                <w:szCs w:val="20"/>
                <w:lang w:eastAsia="ja-JP"/>
              </w:rPr>
              <w:t xml:space="preserve">Prepare a proposal for the financial sustainability plan </w:t>
            </w:r>
            <w:r w:rsidR="007A5B1A" w:rsidRPr="003F7F6C">
              <w:rPr>
                <w:rFonts w:eastAsia="MS Mincho" w:cs="Calibri"/>
                <w:szCs w:val="20"/>
                <w:lang w:eastAsia="ja-JP"/>
              </w:rPr>
              <w:t xml:space="preserve">of </w:t>
            </w:r>
            <w:r w:rsidRPr="003F7F6C">
              <w:rPr>
                <w:rFonts w:eastAsia="MS Mincho" w:cs="Calibri"/>
                <w:szCs w:val="20"/>
                <w:lang w:eastAsia="ja-JP"/>
              </w:rPr>
              <w:t>the system.</w:t>
            </w:r>
          </w:p>
          <w:p w14:paraId="2C07C00D" w14:textId="599B4763" w:rsidR="004969AA" w:rsidRPr="003F7F6C" w:rsidRDefault="004969AA" w:rsidP="000C156D">
            <w:pPr>
              <w:spacing w:after="0"/>
              <w:jc w:val="left"/>
              <w:rPr>
                <w:rFonts w:eastAsia="MS Mincho" w:cs="Calibri"/>
                <w:szCs w:val="20"/>
                <w:lang w:eastAsia="ja-JP"/>
              </w:rPr>
            </w:pPr>
            <w:r w:rsidRPr="003F7F6C">
              <w:rPr>
                <w:rFonts w:cs="Calibri"/>
                <w:szCs w:val="20"/>
                <w:lang w:eastAsia="ja-JP"/>
              </w:rPr>
              <w:t>See TOR</w:t>
            </w:r>
            <w:r w:rsidR="007A5B1A" w:rsidRPr="003F7F6C">
              <w:rPr>
                <w:rFonts w:cs="Calibri"/>
                <w:szCs w:val="20"/>
                <w:lang w:eastAsia="ja-JP"/>
              </w:rPr>
              <w:t>s</w:t>
            </w:r>
            <w:r w:rsidRPr="003F7F6C">
              <w:rPr>
                <w:rFonts w:cs="Calibri"/>
                <w:szCs w:val="20"/>
                <w:lang w:eastAsia="ja-JP"/>
              </w:rPr>
              <w:t xml:space="preserve"> below for details.</w:t>
            </w:r>
          </w:p>
        </w:tc>
      </w:tr>
      <w:tr w:rsidR="004969AA" w:rsidRPr="003F7F6C" w14:paraId="792DEE55" w14:textId="77777777" w:rsidTr="00EF3482">
        <w:tc>
          <w:tcPr>
            <w:tcW w:w="1963" w:type="dxa"/>
            <w:tcBorders>
              <w:top w:val="single" w:sz="4" w:space="0" w:color="auto"/>
              <w:left w:val="single" w:sz="4" w:space="0" w:color="auto"/>
              <w:bottom w:val="single" w:sz="4" w:space="0" w:color="auto"/>
              <w:right w:val="single" w:sz="4" w:space="0" w:color="auto"/>
            </w:tcBorders>
          </w:tcPr>
          <w:p w14:paraId="2CF39E3C" w14:textId="77777777" w:rsidR="004969AA" w:rsidRPr="003F7F6C" w:rsidRDefault="004969AA" w:rsidP="00EF3482">
            <w:pPr>
              <w:spacing w:after="0"/>
              <w:jc w:val="left"/>
              <w:rPr>
                <w:rFonts w:eastAsia="MS Mincho" w:cs="Calibri"/>
                <w:szCs w:val="20"/>
                <w:lang w:eastAsia="ja-JP"/>
              </w:rPr>
            </w:pPr>
            <w:r w:rsidRPr="003F7F6C">
              <w:rPr>
                <w:rFonts w:eastAsia="MS Mincho" w:cs="Calibri"/>
                <w:szCs w:val="20"/>
                <w:lang w:eastAsia="ja-JP"/>
              </w:rPr>
              <w:t>Economic and Financial Instruments Specialist</w:t>
            </w:r>
          </w:p>
          <w:p w14:paraId="190A38C5" w14:textId="77777777" w:rsidR="004969AA" w:rsidRPr="003F7F6C" w:rsidRDefault="004969AA" w:rsidP="00EF3482">
            <w:pPr>
              <w:spacing w:after="0"/>
              <w:jc w:val="left"/>
              <w:rPr>
                <w:rFonts w:cs="Calibri"/>
                <w:szCs w:val="20"/>
                <w:lang w:eastAsia="ja-JP"/>
              </w:rPr>
            </w:pPr>
          </w:p>
          <w:p w14:paraId="3830904B" w14:textId="77777777" w:rsidR="004969AA" w:rsidRPr="003F7F6C" w:rsidRDefault="004969AA" w:rsidP="00EF3482">
            <w:pPr>
              <w:spacing w:after="0"/>
              <w:jc w:val="left"/>
              <w:rPr>
                <w:rFonts w:cs="Calibri"/>
                <w:szCs w:val="20"/>
                <w:lang w:eastAsia="ja-JP"/>
              </w:rPr>
            </w:pPr>
            <w:r w:rsidRPr="003F7F6C">
              <w:rPr>
                <w:rFonts w:cs="Calibri"/>
                <w:szCs w:val="20"/>
                <w:lang w:eastAsia="ja-JP"/>
              </w:rPr>
              <w:t>Rate: USD 1,000/month</w:t>
            </w:r>
          </w:p>
        </w:tc>
        <w:tc>
          <w:tcPr>
            <w:tcW w:w="1440" w:type="dxa"/>
            <w:tcBorders>
              <w:top w:val="single" w:sz="4" w:space="0" w:color="auto"/>
              <w:left w:val="single" w:sz="4" w:space="0" w:color="auto"/>
              <w:bottom w:val="single" w:sz="4" w:space="0" w:color="auto"/>
              <w:right w:val="single" w:sz="4" w:space="0" w:color="auto"/>
            </w:tcBorders>
          </w:tcPr>
          <w:p w14:paraId="3A1C65F6" w14:textId="77777777" w:rsidR="004969AA" w:rsidRPr="003F7F6C" w:rsidRDefault="004969AA" w:rsidP="00EF3482">
            <w:pPr>
              <w:spacing w:after="0"/>
              <w:rPr>
                <w:rFonts w:cs="Calibri"/>
                <w:szCs w:val="20"/>
                <w:lang w:eastAsia="ja-JP"/>
              </w:rPr>
            </w:pPr>
            <w:r w:rsidRPr="003F7F6C">
              <w:rPr>
                <w:rFonts w:cs="Calibri"/>
                <w:szCs w:val="20"/>
                <w:lang w:eastAsia="ja-JP"/>
              </w:rPr>
              <w:t>72 months</w:t>
            </w:r>
          </w:p>
        </w:tc>
        <w:tc>
          <w:tcPr>
            <w:tcW w:w="10619" w:type="dxa"/>
            <w:tcBorders>
              <w:top w:val="single" w:sz="4" w:space="0" w:color="auto"/>
              <w:left w:val="single" w:sz="4" w:space="0" w:color="auto"/>
              <w:bottom w:val="single" w:sz="4" w:space="0" w:color="auto"/>
              <w:right w:val="single" w:sz="4" w:space="0" w:color="auto"/>
            </w:tcBorders>
          </w:tcPr>
          <w:p w14:paraId="6E806A9A" w14:textId="77777777" w:rsidR="004969AA" w:rsidRPr="003F7F6C" w:rsidRDefault="004969AA" w:rsidP="00EF3482">
            <w:pPr>
              <w:spacing w:after="0"/>
              <w:jc w:val="left"/>
              <w:rPr>
                <w:rFonts w:eastAsia="MS Mincho" w:cs="Calibri"/>
                <w:szCs w:val="20"/>
                <w:lang w:eastAsia="ja-JP"/>
              </w:rPr>
            </w:pPr>
            <w:r w:rsidRPr="003F7F6C">
              <w:rPr>
                <w:rFonts w:cs="Calibri"/>
                <w:szCs w:val="20"/>
              </w:rPr>
              <w:t xml:space="preserve">Under the overall supervision of the Project Coordinator, and in coordination with the Implementing Partner and other project partners, the </w:t>
            </w:r>
            <w:r w:rsidRPr="003F7F6C">
              <w:rPr>
                <w:rFonts w:eastAsia="MS Mincho" w:cs="Calibri"/>
                <w:szCs w:val="20"/>
                <w:lang w:eastAsia="ja-JP"/>
              </w:rPr>
              <w:t xml:space="preserve">Economic and Financial Instruments Specialist </w:t>
            </w:r>
            <w:r w:rsidRPr="003F7F6C">
              <w:rPr>
                <w:rFonts w:cs="Calibri"/>
                <w:szCs w:val="20"/>
              </w:rPr>
              <w:t>will coordinate and provide technical advice for the implementation of activities under Outputs 1.2, 1.3, 2.3 and 3.1, including the following:</w:t>
            </w:r>
          </w:p>
          <w:p w14:paraId="4F8686C9" w14:textId="77777777" w:rsidR="004969AA" w:rsidRPr="003F7F6C" w:rsidRDefault="004969AA" w:rsidP="00E91275">
            <w:pPr>
              <w:pStyle w:val="ListParagraph"/>
              <w:numPr>
                <w:ilvl w:val="0"/>
                <w:numId w:val="45"/>
              </w:numPr>
              <w:spacing w:after="0"/>
              <w:contextualSpacing w:val="0"/>
              <w:jc w:val="left"/>
              <w:rPr>
                <w:rFonts w:eastAsia="MS Mincho" w:cs="Calibri"/>
                <w:szCs w:val="20"/>
                <w:lang w:eastAsia="ja-JP"/>
              </w:rPr>
            </w:pPr>
            <w:r w:rsidRPr="003F7F6C">
              <w:rPr>
                <w:rFonts w:eastAsia="MS Mincho" w:cs="Calibri"/>
                <w:szCs w:val="20"/>
                <w:lang w:eastAsia="ja-JP"/>
              </w:rPr>
              <w:t xml:space="preserve">Support the assessment, development and participatory validation of </w:t>
            </w:r>
            <w:r w:rsidRPr="003F7F6C">
              <w:rPr>
                <w:rFonts w:eastAsia="Calibri" w:cs="Calibri"/>
                <w:szCs w:val="20"/>
              </w:rPr>
              <w:t xml:space="preserve">SLM, BD conservation and ecosystem services valuation criteria/methodologies for defining different land use zones and production practices restrictions; </w:t>
            </w:r>
          </w:p>
          <w:p w14:paraId="76EDBC23" w14:textId="77777777" w:rsidR="004969AA" w:rsidRPr="003F7F6C" w:rsidRDefault="004969AA" w:rsidP="00E91275">
            <w:pPr>
              <w:pStyle w:val="ListParagraph"/>
              <w:numPr>
                <w:ilvl w:val="0"/>
                <w:numId w:val="45"/>
              </w:numPr>
              <w:spacing w:after="0"/>
              <w:contextualSpacing w:val="0"/>
              <w:jc w:val="left"/>
              <w:rPr>
                <w:rFonts w:eastAsia="MS Mincho" w:cs="Calibri"/>
                <w:szCs w:val="20"/>
                <w:lang w:eastAsia="ja-JP"/>
              </w:rPr>
            </w:pPr>
            <w:r w:rsidRPr="003F7F6C">
              <w:rPr>
                <w:rFonts w:eastAsia="MS Mincho" w:cs="Calibri"/>
                <w:szCs w:val="20"/>
                <w:lang w:eastAsia="ja-JP"/>
              </w:rPr>
              <w:t xml:space="preserve">Support the assessment, development and participatory validation of compensation schemes; </w:t>
            </w:r>
          </w:p>
          <w:p w14:paraId="195772DE" w14:textId="77777777" w:rsidR="004969AA" w:rsidRPr="003F7F6C" w:rsidRDefault="004969AA" w:rsidP="00E91275">
            <w:pPr>
              <w:pStyle w:val="ListParagraph"/>
              <w:numPr>
                <w:ilvl w:val="0"/>
                <w:numId w:val="45"/>
              </w:numPr>
              <w:spacing w:after="0"/>
              <w:contextualSpacing w:val="0"/>
              <w:jc w:val="left"/>
              <w:rPr>
                <w:rFonts w:eastAsia="MS Mincho" w:cs="Calibri"/>
                <w:szCs w:val="20"/>
                <w:lang w:eastAsia="ja-JP"/>
              </w:rPr>
            </w:pPr>
            <w:r w:rsidRPr="003F7F6C">
              <w:rPr>
                <w:rFonts w:eastAsia="MS Mincho" w:cs="Calibri"/>
                <w:szCs w:val="20"/>
                <w:lang w:eastAsia="ja-JP"/>
              </w:rPr>
              <w:t>Coordinate mainstreaming of ELUP criteria in sector planning and finance frameworks working with national programs and private sector banks.</w:t>
            </w:r>
          </w:p>
          <w:p w14:paraId="4ADE74B5" w14:textId="77777777" w:rsidR="004969AA" w:rsidRPr="003F7F6C" w:rsidRDefault="004969AA" w:rsidP="00E91275">
            <w:pPr>
              <w:pStyle w:val="ListParagraph"/>
              <w:numPr>
                <w:ilvl w:val="0"/>
                <w:numId w:val="44"/>
              </w:numPr>
              <w:spacing w:after="0"/>
              <w:contextualSpacing w:val="0"/>
              <w:jc w:val="left"/>
              <w:rPr>
                <w:rFonts w:eastAsia="MS Mincho" w:cs="Calibri"/>
                <w:szCs w:val="20"/>
                <w:lang w:eastAsia="ja-JP"/>
              </w:rPr>
            </w:pPr>
            <w:r w:rsidRPr="003F7F6C">
              <w:rPr>
                <w:rFonts w:eastAsia="MS Mincho" w:cs="Calibri"/>
                <w:szCs w:val="20"/>
                <w:lang w:eastAsia="ja-JP"/>
              </w:rPr>
              <w:t xml:space="preserve">Support development and participatory validation of eligibility criteria </w:t>
            </w:r>
            <w:r w:rsidRPr="003F7F6C">
              <w:rPr>
                <w:rFonts w:eastAsia="Calibri" w:cs="Calibri"/>
                <w:color w:val="000000"/>
                <w:szCs w:val="20"/>
              </w:rPr>
              <w:t xml:space="preserve">and standards for </w:t>
            </w:r>
            <w:r w:rsidRPr="003F7F6C">
              <w:rPr>
                <w:rFonts w:eastAsia="MS Mincho" w:cs="Calibri"/>
                <w:szCs w:val="20"/>
                <w:lang w:eastAsia="ja-JP"/>
              </w:rPr>
              <w:t>accessing economic instruments for</w:t>
            </w:r>
            <w:r w:rsidRPr="003F7F6C">
              <w:rPr>
                <w:rFonts w:eastAsia="Calibri" w:cs="Calibri"/>
                <w:color w:val="000000"/>
                <w:szCs w:val="20"/>
              </w:rPr>
              <w:t xml:space="preserve"> production practices in restricted use areas that are a priority for BD &amp; ES conservation.</w:t>
            </w:r>
          </w:p>
          <w:p w14:paraId="53301739" w14:textId="77777777" w:rsidR="004969AA" w:rsidRPr="003F7F6C" w:rsidRDefault="004969AA" w:rsidP="00E91275">
            <w:pPr>
              <w:pStyle w:val="ListParagraph"/>
              <w:numPr>
                <w:ilvl w:val="0"/>
                <w:numId w:val="44"/>
              </w:numPr>
              <w:spacing w:after="0"/>
              <w:contextualSpacing w:val="0"/>
              <w:jc w:val="left"/>
              <w:rPr>
                <w:rFonts w:eastAsia="MS Mincho" w:cs="Calibri"/>
                <w:szCs w:val="20"/>
                <w:lang w:eastAsia="ja-JP"/>
              </w:rPr>
            </w:pPr>
            <w:r w:rsidRPr="003F7F6C">
              <w:rPr>
                <w:rFonts w:eastAsia="MS Mincho" w:cs="Calibri"/>
                <w:szCs w:val="20"/>
                <w:lang w:eastAsia="ja-JP"/>
              </w:rPr>
              <w:t>Provide guidance and advice to provincial governments of the pilot provinces in the assessment and testing of economic and financial instruments in the provinces.</w:t>
            </w:r>
          </w:p>
          <w:p w14:paraId="76F7CCE1" w14:textId="77777777" w:rsidR="004969AA" w:rsidRPr="003F7F6C" w:rsidRDefault="004969AA" w:rsidP="00E91275">
            <w:pPr>
              <w:pStyle w:val="ListParagraph"/>
              <w:numPr>
                <w:ilvl w:val="0"/>
                <w:numId w:val="44"/>
              </w:numPr>
              <w:spacing w:after="0"/>
              <w:contextualSpacing w:val="0"/>
              <w:jc w:val="left"/>
              <w:rPr>
                <w:rFonts w:eastAsia="MS Mincho" w:cs="Calibri"/>
                <w:szCs w:val="20"/>
                <w:lang w:eastAsia="ja-JP"/>
              </w:rPr>
            </w:pPr>
            <w:r w:rsidRPr="003F7F6C">
              <w:rPr>
                <w:rFonts w:eastAsia="MS Mincho" w:cs="Calibri"/>
                <w:szCs w:val="20"/>
                <w:lang w:eastAsia="ja-JP"/>
              </w:rPr>
              <w:t>Support assessing lessons/experiences from ongoing and past projects as well as economic, financial and fiscal incentives, valuation of ecosystem services and compensations schemes in non-pilot provinces.</w:t>
            </w:r>
          </w:p>
          <w:p w14:paraId="1B7BD884" w14:textId="350E83F2" w:rsidR="004969AA" w:rsidRPr="003F7F6C" w:rsidRDefault="004969AA" w:rsidP="00EF3482">
            <w:pPr>
              <w:spacing w:after="0"/>
              <w:jc w:val="left"/>
              <w:rPr>
                <w:rFonts w:eastAsia="MS Mincho" w:cs="Calibri"/>
                <w:szCs w:val="20"/>
                <w:lang w:eastAsia="ja-JP"/>
              </w:rPr>
            </w:pPr>
            <w:r w:rsidRPr="003F7F6C">
              <w:rPr>
                <w:rFonts w:cs="Calibri"/>
                <w:szCs w:val="20"/>
                <w:lang w:eastAsia="ja-JP"/>
              </w:rPr>
              <w:t>See TOR</w:t>
            </w:r>
            <w:r w:rsidR="007A5B1A" w:rsidRPr="003F7F6C">
              <w:rPr>
                <w:rFonts w:cs="Calibri"/>
                <w:szCs w:val="20"/>
                <w:lang w:eastAsia="ja-JP"/>
              </w:rPr>
              <w:t>s</w:t>
            </w:r>
            <w:r w:rsidRPr="003F7F6C">
              <w:rPr>
                <w:rFonts w:cs="Calibri"/>
                <w:szCs w:val="20"/>
                <w:lang w:eastAsia="ja-JP"/>
              </w:rPr>
              <w:t xml:space="preserve"> below for details.</w:t>
            </w:r>
          </w:p>
        </w:tc>
      </w:tr>
      <w:tr w:rsidR="004969AA" w:rsidRPr="003F7F6C" w14:paraId="2DC96E14" w14:textId="77777777" w:rsidTr="00EF3482">
        <w:tc>
          <w:tcPr>
            <w:tcW w:w="1963" w:type="dxa"/>
            <w:tcBorders>
              <w:top w:val="single" w:sz="4" w:space="0" w:color="auto"/>
              <w:left w:val="single" w:sz="4" w:space="0" w:color="auto"/>
              <w:bottom w:val="single" w:sz="4" w:space="0" w:color="auto"/>
              <w:right w:val="single" w:sz="4" w:space="0" w:color="auto"/>
            </w:tcBorders>
          </w:tcPr>
          <w:p w14:paraId="721D1D6D" w14:textId="77777777" w:rsidR="004969AA" w:rsidRPr="003F7F6C" w:rsidRDefault="004969AA" w:rsidP="00EF3482">
            <w:pPr>
              <w:spacing w:after="0"/>
              <w:rPr>
                <w:rFonts w:cs="Calibri"/>
                <w:szCs w:val="20"/>
              </w:rPr>
            </w:pPr>
            <w:r w:rsidRPr="003F7F6C">
              <w:rPr>
                <w:rFonts w:cs="Calibri"/>
                <w:szCs w:val="20"/>
              </w:rPr>
              <w:t>Stakeholder Engagement Specialist</w:t>
            </w:r>
          </w:p>
          <w:p w14:paraId="61FEC3D3" w14:textId="77777777" w:rsidR="004969AA" w:rsidRPr="003F7F6C" w:rsidRDefault="004969AA" w:rsidP="00EF3482">
            <w:pPr>
              <w:spacing w:after="0"/>
              <w:rPr>
                <w:rFonts w:cs="Calibri"/>
                <w:szCs w:val="20"/>
                <w:lang w:eastAsia="ja-JP"/>
              </w:rPr>
            </w:pPr>
          </w:p>
          <w:p w14:paraId="05AB5EC8" w14:textId="77777777" w:rsidR="004969AA" w:rsidRPr="003F7F6C" w:rsidRDefault="004969AA" w:rsidP="00EF3482">
            <w:pPr>
              <w:spacing w:after="0"/>
              <w:jc w:val="left"/>
              <w:rPr>
                <w:rFonts w:cs="Calibri"/>
                <w:szCs w:val="20"/>
                <w:lang w:eastAsia="ja-JP"/>
              </w:rPr>
            </w:pPr>
            <w:r w:rsidRPr="003F7F6C">
              <w:rPr>
                <w:rFonts w:cs="Calibri"/>
                <w:szCs w:val="20"/>
                <w:lang w:eastAsia="ja-JP"/>
              </w:rPr>
              <w:t>Rate: USD 1,000/month</w:t>
            </w:r>
          </w:p>
        </w:tc>
        <w:tc>
          <w:tcPr>
            <w:tcW w:w="1440" w:type="dxa"/>
            <w:tcBorders>
              <w:top w:val="single" w:sz="4" w:space="0" w:color="auto"/>
              <w:left w:val="single" w:sz="4" w:space="0" w:color="auto"/>
              <w:bottom w:val="single" w:sz="4" w:space="0" w:color="auto"/>
              <w:right w:val="single" w:sz="4" w:space="0" w:color="auto"/>
            </w:tcBorders>
          </w:tcPr>
          <w:p w14:paraId="1A5FCC11" w14:textId="77777777" w:rsidR="004969AA" w:rsidRPr="003F7F6C" w:rsidRDefault="004969AA" w:rsidP="00EF3482">
            <w:pPr>
              <w:spacing w:after="0"/>
              <w:rPr>
                <w:rFonts w:cs="Calibri"/>
                <w:szCs w:val="20"/>
                <w:lang w:eastAsia="ja-JP"/>
              </w:rPr>
            </w:pPr>
            <w:r w:rsidRPr="003F7F6C">
              <w:rPr>
                <w:rFonts w:cs="Calibri"/>
                <w:szCs w:val="20"/>
                <w:lang w:eastAsia="ja-JP"/>
              </w:rPr>
              <w:t>72 months</w:t>
            </w:r>
          </w:p>
        </w:tc>
        <w:tc>
          <w:tcPr>
            <w:tcW w:w="10619" w:type="dxa"/>
            <w:tcBorders>
              <w:top w:val="single" w:sz="4" w:space="0" w:color="auto"/>
              <w:left w:val="single" w:sz="4" w:space="0" w:color="auto"/>
              <w:bottom w:val="single" w:sz="4" w:space="0" w:color="auto"/>
              <w:right w:val="single" w:sz="4" w:space="0" w:color="auto"/>
            </w:tcBorders>
          </w:tcPr>
          <w:p w14:paraId="68245E7F" w14:textId="77777777" w:rsidR="004969AA" w:rsidRPr="003F7F6C" w:rsidRDefault="004969AA" w:rsidP="00EF3482">
            <w:pPr>
              <w:spacing w:after="0"/>
              <w:rPr>
                <w:rFonts w:cs="Calibri"/>
                <w:szCs w:val="20"/>
              </w:rPr>
            </w:pPr>
            <w:r w:rsidRPr="003F7F6C">
              <w:rPr>
                <w:rFonts w:cs="Calibri"/>
                <w:szCs w:val="20"/>
              </w:rPr>
              <w:t>Under the overall supervision of the Project Coordinator, and in coordination with the Implementing Partner and other project partners, the Stakeholder Engagement Specialist will be responsible for strategically organizing and strengthening consultation and stakeholder engagement within the framework of the Project´s Stakeholder Engagement Plan, including the following:</w:t>
            </w:r>
          </w:p>
          <w:p w14:paraId="564A226D" w14:textId="17EDB94D" w:rsidR="004969AA" w:rsidRPr="003F7F6C" w:rsidRDefault="004969AA" w:rsidP="00E91275">
            <w:pPr>
              <w:pStyle w:val="ListParagraph"/>
              <w:numPr>
                <w:ilvl w:val="0"/>
                <w:numId w:val="46"/>
              </w:numPr>
              <w:spacing w:after="0"/>
              <w:contextualSpacing w:val="0"/>
              <w:jc w:val="left"/>
              <w:rPr>
                <w:rFonts w:eastAsia="MS Mincho" w:cs="Calibri"/>
                <w:szCs w:val="20"/>
                <w:lang w:eastAsia="ja-JP"/>
              </w:rPr>
            </w:pPr>
            <w:r w:rsidRPr="003F7F6C">
              <w:rPr>
                <w:rFonts w:eastAsia="MS Mincho" w:cs="Calibri"/>
                <w:szCs w:val="20"/>
                <w:lang w:eastAsia="ja-JP"/>
              </w:rPr>
              <w:t>Undertake national and provincial stakeholder</w:t>
            </w:r>
            <w:r w:rsidRPr="003F7F6C">
              <w:rPr>
                <w:rFonts w:cs="Calibri"/>
                <w:szCs w:val="20"/>
              </w:rPr>
              <w:t xml:space="preserve"> mapping to further identify key stakeholders.</w:t>
            </w:r>
          </w:p>
          <w:p w14:paraId="15EA875B" w14:textId="7028D6A9" w:rsidR="005C20F1" w:rsidRPr="003F7F6C" w:rsidRDefault="005C20F1" w:rsidP="00E91275">
            <w:pPr>
              <w:pStyle w:val="ListParagraph"/>
              <w:numPr>
                <w:ilvl w:val="0"/>
                <w:numId w:val="46"/>
              </w:numPr>
              <w:spacing w:after="0"/>
              <w:contextualSpacing w:val="0"/>
              <w:jc w:val="left"/>
              <w:rPr>
                <w:rFonts w:eastAsia="MS Mincho" w:cs="Calibri"/>
                <w:szCs w:val="20"/>
                <w:lang w:eastAsia="ja-JP"/>
              </w:rPr>
            </w:pPr>
            <w:r w:rsidRPr="003F7F6C">
              <w:rPr>
                <w:rFonts w:eastAsia="MS Mincho" w:cs="Calibri"/>
                <w:szCs w:val="20"/>
                <w:lang w:eastAsia="ja-JP"/>
              </w:rPr>
              <w:t>Develop the detailed Indigenous Peoples Plan.</w:t>
            </w:r>
          </w:p>
          <w:p w14:paraId="751785D6" w14:textId="77777777" w:rsidR="004969AA" w:rsidRPr="003F7F6C" w:rsidRDefault="004969AA" w:rsidP="00E91275">
            <w:pPr>
              <w:pStyle w:val="ListParagraph"/>
              <w:numPr>
                <w:ilvl w:val="0"/>
                <w:numId w:val="46"/>
              </w:numPr>
              <w:spacing w:after="0"/>
              <w:contextualSpacing w:val="0"/>
              <w:jc w:val="left"/>
              <w:rPr>
                <w:rFonts w:eastAsia="MS Mincho" w:cs="Calibri"/>
                <w:szCs w:val="20"/>
                <w:lang w:eastAsia="ja-JP"/>
              </w:rPr>
            </w:pPr>
            <w:r w:rsidRPr="003F7F6C">
              <w:rPr>
                <w:rFonts w:cs="Calibri"/>
                <w:szCs w:val="20"/>
              </w:rPr>
              <w:t>Coordinate the design and implementation of national and provincial multi-stakeholder dialogue and coordination spaces.</w:t>
            </w:r>
          </w:p>
          <w:p w14:paraId="22766592" w14:textId="77777777" w:rsidR="004969AA" w:rsidRPr="003F7F6C" w:rsidRDefault="004969AA" w:rsidP="00E91275">
            <w:pPr>
              <w:pStyle w:val="ListParagraph"/>
              <w:numPr>
                <w:ilvl w:val="0"/>
                <w:numId w:val="46"/>
              </w:numPr>
              <w:spacing w:after="0"/>
              <w:contextualSpacing w:val="0"/>
              <w:jc w:val="left"/>
              <w:rPr>
                <w:rFonts w:eastAsia="MS Mincho" w:cs="Calibri"/>
                <w:szCs w:val="20"/>
                <w:lang w:eastAsia="ja-JP"/>
              </w:rPr>
            </w:pPr>
            <w:r w:rsidRPr="003F7F6C">
              <w:rPr>
                <w:rFonts w:cs="Calibri"/>
                <w:szCs w:val="20"/>
              </w:rPr>
              <w:t xml:space="preserve">Develop capacity building programs for national level strengthening; </w:t>
            </w:r>
          </w:p>
          <w:p w14:paraId="33234B36" w14:textId="1B978DD6" w:rsidR="004969AA" w:rsidRPr="003F7F6C" w:rsidRDefault="009A700C" w:rsidP="00E91275">
            <w:pPr>
              <w:pStyle w:val="ListParagraph"/>
              <w:numPr>
                <w:ilvl w:val="0"/>
                <w:numId w:val="46"/>
              </w:numPr>
              <w:spacing w:after="0"/>
              <w:contextualSpacing w:val="0"/>
              <w:jc w:val="left"/>
              <w:rPr>
                <w:rFonts w:eastAsia="MS Mincho" w:cs="Calibri"/>
                <w:szCs w:val="20"/>
                <w:lang w:eastAsia="ja-JP"/>
              </w:rPr>
            </w:pPr>
            <w:r w:rsidRPr="003F7F6C">
              <w:rPr>
                <w:rFonts w:cs="Calibri"/>
                <w:szCs w:val="20"/>
              </w:rPr>
              <w:t xml:space="preserve">Implement </w:t>
            </w:r>
            <w:r w:rsidR="004969AA" w:rsidRPr="003F7F6C">
              <w:rPr>
                <w:rFonts w:cs="Calibri"/>
                <w:szCs w:val="20"/>
              </w:rPr>
              <w:t>social safeguards, particularly in regard to participation of indigenous peoples, and ensure their application</w:t>
            </w:r>
          </w:p>
          <w:p w14:paraId="6C0920CB" w14:textId="77777777" w:rsidR="004969AA" w:rsidRPr="003F7F6C" w:rsidRDefault="004969AA" w:rsidP="00E91275">
            <w:pPr>
              <w:pStyle w:val="ListParagraph"/>
              <w:numPr>
                <w:ilvl w:val="0"/>
                <w:numId w:val="46"/>
              </w:numPr>
              <w:spacing w:after="0"/>
              <w:contextualSpacing w:val="0"/>
              <w:jc w:val="left"/>
              <w:rPr>
                <w:rFonts w:eastAsia="MS Mincho" w:cs="Calibri"/>
                <w:szCs w:val="20"/>
                <w:lang w:eastAsia="ja-JP"/>
              </w:rPr>
            </w:pPr>
            <w:r w:rsidRPr="003F7F6C">
              <w:rPr>
                <w:rFonts w:cs="Calibri"/>
                <w:szCs w:val="20"/>
              </w:rPr>
              <w:t xml:space="preserve">Promote stakeholder participation, particularly women and indigenous peoples, in project interventions; </w:t>
            </w:r>
          </w:p>
          <w:p w14:paraId="353C0535" w14:textId="288ACBF0" w:rsidR="004969AA" w:rsidRPr="003F7F6C" w:rsidRDefault="009A700C" w:rsidP="00E91275">
            <w:pPr>
              <w:pStyle w:val="ListParagraph"/>
              <w:numPr>
                <w:ilvl w:val="0"/>
                <w:numId w:val="46"/>
              </w:numPr>
              <w:spacing w:after="0"/>
              <w:contextualSpacing w:val="0"/>
              <w:jc w:val="left"/>
              <w:rPr>
                <w:rFonts w:eastAsia="MS Mincho" w:cs="Calibri"/>
                <w:szCs w:val="20"/>
                <w:lang w:eastAsia="ja-JP"/>
              </w:rPr>
            </w:pPr>
            <w:r w:rsidRPr="003F7F6C">
              <w:rPr>
                <w:rFonts w:cs="Calibri"/>
                <w:szCs w:val="20"/>
              </w:rPr>
              <w:t xml:space="preserve">Support </w:t>
            </w:r>
            <w:r w:rsidR="002620FA" w:rsidRPr="003F7F6C">
              <w:rPr>
                <w:rFonts w:cs="Calibri"/>
                <w:szCs w:val="20"/>
              </w:rPr>
              <w:t>the SGAyDS´s Communication Specialist</w:t>
            </w:r>
            <w:r w:rsidR="004969AA" w:rsidRPr="003F7F6C">
              <w:rPr>
                <w:rFonts w:cs="Calibri"/>
                <w:szCs w:val="20"/>
              </w:rPr>
              <w:t xml:space="preserve"> </w:t>
            </w:r>
            <w:r w:rsidRPr="003F7F6C">
              <w:rPr>
                <w:rFonts w:cs="Calibri"/>
                <w:szCs w:val="20"/>
              </w:rPr>
              <w:t>in</w:t>
            </w:r>
            <w:r w:rsidR="002620FA" w:rsidRPr="003F7F6C">
              <w:rPr>
                <w:rFonts w:cs="Calibri"/>
                <w:szCs w:val="20"/>
              </w:rPr>
              <w:t xml:space="preserve"> </w:t>
            </w:r>
            <w:r w:rsidR="002A3FBF" w:rsidRPr="003F7F6C">
              <w:rPr>
                <w:rFonts w:cs="Calibri"/>
                <w:szCs w:val="20"/>
              </w:rPr>
              <w:t>preparing communication</w:t>
            </w:r>
            <w:r w:rsidR="004969AA" w:rsidRPr="003F7F6C">
              <w:rPr>
                <w:rFonts w:cs="Calibri"/>
                <w:szCs w:val="20"/>
              </w:rPr>
              <w:t xml:space="preserve"> </w:t>
            </w:r>
            <w:r w:rsidRPr="003F7F6C">
              <w:rPr>
                <w:rFonts w:cs="Calibri"/>
                <w:szCs w:val="20"/>
              </w:rPr>
              <w:t>materials</w:t>
            </w:r>
            <w:r w:rsidR="002A3FBF" w:rsidRPr="003F7F6C">
              <w:rPr>
                <w:rFonts w:cs="Calibri"/>
                <w:szCs w:val="20"/>
              </w:rPr>
              <w:t xml:space="preserve"> and messages</w:t>
            </w:r>
            <w:r w:rsidR="004969AA" w:rsidRPr="003F7F6C">
              <w:rPr>
                <w:rFonts w:cs="Calibri"/>
                <w:szCs w:val="20"/>
              </w:rPr>
              <w:t xml:space="preserve"> </w:t>
            </w:r>
            <w:r w:rsidRPr="003F7F6C">
              <w:rPr>
                <w:rFonts w:cs="Calibri"/>
                <w:szCs w:val="20"/>
              </w:rPr>
              <w:t xml:space="preserve"> to encourage stakeholder engagement</w:t>
            </w:r>
            <w:r w:rsidR="004969AA" w:rsidRPr="003F7F6C">
              <w:rPr>
                <w:rFonts w:cs="Calibri"/>
                <w:szCs w:val="20"/>
              </w:rPr>
              <w:t>.</w:t>
            </w:r>
          </w:p>
          <w:p w14:paraId="5AA086AA" w14:textId="5C353651" w:rsidR="004969AA" w:rsidRPr="003F7F6C" w:rsidRDefault="004969AA" w:rsidP="00E91275">
            <w:pPr>
              <w:pStyle w:val="ListParagraph"/>
              <w:numPr>
                <w:ilvl w:val="0"/>
                <w:numId w:val="46"/>
              </w:numPr>
              <w:spacing w:after="0"/>
              <w:contextualSpacing w:val="0"/>
              <w:jc w:val="left"/>
              <w:rPr>
                <w:rFonts w:eastAsia="MS Mincho" w:cs="Calibri"/>
                <w:szCs w:val="20"/>
                <w:lang w:eastAsia="ja-JP"/>
              </w:rPr>
            </w:pPr>
            <w:r w:rsidRPr="003F7F6C">
              <w:rPr>
                <w:rFonts w:cs="Calibri"/>
                <w:szCs w:val="20"/>
              </w:rPr>
              <w:t xml:space="preserve">Support the Project Coordinator in coordinating collection of M&amp;E data </w:t>
            </w:r>
            <w:r w:rsidR="00D4067B" w:rsidRPr="003F7F6C">
              <w:rPr>
                <w:rFonts w:cs="Calibri"/>
                <w:szCs w:val="20"/>
              </w:rPr>
              <w:t xml:space="preserve">with </w:t>
            </w:r>
            <w:r w:rsidRPr="003F7F6C">
              <w:rPr>
                <w:rFonts w:cs="Calibri"/>
                <w:szCs w:val="20"/>
              </w:rPr>
              <w:t>regard to stakeholder participation, including sex-disaggregated data; synthesizing lessons on best practices and knowledge on stakeholder engagement and preparing related publications.</w:t>
            </w:r>
          </w:p>
          <w:p w14:paraId="5B5AFB60" w14:textId="77777777" w:rsidR="004969AA" w:rsidRPr="003F7F6C" w:rsidRDefault="004969AA" w:rsidP="00E91275">
            <w:pPr>
              <w:pStyle w:val="ListParagraph"/>
              <w:numPr>
                <w:ilvl w:val="0"/>
                <w:numId w:val="46"/>
              </w:numPr>
              <w:spacing w:after="0"/>
              <w:contextualSpacing w:val="0"/>
              <w:jc w:val="left"/>
              <w:rPr>
                <w:rFonts w:eastAsia="MS Mincho" w:cs="Calibri"/>
                <w:szCs w:val="20"/>
                <w:lang w:eastAsia="ja-JP"/>
              </w:rPr>
            </w:pPr>
            <w:r w:rsidRPr="003F7F6C">
              <w:rPr>
                <w:rFonts w:cs="Calibri"/>
                <w:szCs w:val="20"/>
              </w:rPr>
              <w:t xml:space="preserve">Oversee the implementation of field assessments to measure project progress, including a livelihood assessment; a knowledge, aptitude and practice survey; and other surveys that may needed. </w:t>
            </w:r>
          </w:p>
          <w:p w14:paraId="4C6A86FD" w14:textId="2F26615E" w:rsidR="004969AA" w:rsidRPr="003F7F6C" w:rsidRDefault="004969AA" w:rsidP="00EF3482">
            <w:pPr>
              <w:spacing w:after="0"/>
              <w:rPr>
                <w:rFonts w:cs="Calibri"/>
                <w:szCs w:val="20"/>
              </w:rPr>
            </w:pPr>
            <w:r w:rsidRPr="003F7F6C">
              <w:rPr>
                <w:rFonts w:cs="Calibri"/>
                <w:szCs w:val="20"/>
                <w:lang w:eastAsia="ja-JP"/>
              </w:rPr>
              <w:t>See TOR</w:t>
            </w:r>
            <w:r w:rsidR="00D4067B" w:rsidRPr="003F7F6C">
              <w:rPr>
                <w:rFonts w:cs="Calibri"/>
                <w:szCs w:val="20"/>
                <w:lang w:eastAsia="ja-JP"/>
              </w:rPr>
              <w:t>s</w:t>
            </w:r>
            <w:r w:rsidRPr="003F7F6C">
              <w:rPr>
                <w:rFonts w:cs="Calibri"/>
                <w:szCs w:val="20"/>
                <w:lang w:eastAsia="ja-JP"/>
              </w:rPr>
              <w:t xml:space="preserve"> below for details.</w:t>
            </w:r>
          </w:p>
        </w:tc>
      </w:tr>
      <w:tr w:rsidR="004969AA" w:rsidRPr="003F7F6C" w14:paraId="730451FC" w14:textId="77777777" w:rsidTr="00EF3482">
        <w:tc>
          <w:tcPr>
            <w:tcW w:w="1963" w:type="dxa"/>
            <w:tcBorders>
              <w:top w:val="single" w:sz="4" w:space="0" w:color="auto"/>
              <w:left w:val="single" w:sz="4" w:space="0" w:color="auto"/>
              <w:bottom w:val="single" w:sz="4" w:space="0" w:color="auto"/>
              <w:right w:val="single" w:sz="4" w:space="0" w:color="auto"/>
            </w:tcBorders>
          </w:tcPr>
          <w:p w14:paraId="2390CAC3" w14:textId="77777777" w:rsidR="004969AA" w:rsidRPr="003F7F6C" w:rsidRDefault="004969AA" w:rsidP="00EF3482">
            <w:pPr>
              <w:spacing w:after="0"/>
              <w:rPr>
                <w:rFonts w:cs="Calibri"/>
                <w:szCs w:val="20"/>
              </w:rPr>
            </w:pPr>
            <w:r w:rsidRPr="003F7F6C">
              <w:rPr>
                <w:rFonts w:cs="Calibri"/>
                <w:szCs w:val="20"/>
              </w:rPr>
              <w:t>Gender Specialist</w:t>
            </w:r>
          </w:p>
          <w:p w14:paraId="04BF57FC" w14:textId="77777777" w:rsidR="004969AA" w:rsidRPr="003F7F6C" w:rsidRDefault="004969AA" w:rsidP="00EF3482">
            <w:pPr>
              <w:spacing w:after="0"/>
              <w:rPr>
                <w:rFonts w:cs="Calibri"/>
                <w:szCs w:val="20"/>
                <w:lang w:eastAsia="ja-JP"/>
              </w:rPr>
            </w:pPr>
          </w:p>
          <w:p w14:paraId="3B9F1A6A" w14:textId="77777777" w:rsidR="004969AA" w:rsidRPr="003F7F6C" w:rsidRDefault="004969AA" w:rsidP="00EF3482">
            <w:pPr>
              <w:spacing w:after="0"/>
              <w:jc w:val="left"/>
              <w:rPr>
                <w:rFonts w:cs="Calibri"/>
                <w:szCs w:val="20"/>
                <w:lang w:eastAsia="ja-JP"/>
              </w:rPr>
            </w:pPr>
            <w:r w:rsidRPr="003F7F6C">
              <w:rPr>
                <w:rFonts w:cs="Calibri"/>
                <w:szCs w:val="20"/>
                <w:lang w:eastAsia="ja-JP"/>
              </w:rPr>
              <w:t>Rate: USD 1,000/month</w:t>
            </w:r>
          </w:p>
        </w:tc>
        <w:tc>
          <w:tcPr>
            <w:tcW w:w="1440" w:type="dxa"/>
            <w:tcBorders>
              <w:top w:val="single" w:sz="4" w:space="0" w:color="auto"/>
              <w:left w:val="single" w:sz="4" w:space="0" w:color="auto"/>
              <w:bottom w:val="single" w:sz="4" w:space="0" w:color="auto"/>
              <w:right w:val="single" w:sz="4" w:space="0" w:color="auto"/>
            </w:tcBorders>
          </w:tcPr>
          <w:p w14:paraId="61C5335E" w14:textId="77777777" w:rsidR="004969AA" w:rsidRPr="003F7F6C" w:rsidRDefault="004969AA" w:rsidP="00EF3482">
            <w:pPr>
              <w:spacing w:after="0"/>
              <w:rPr>
                <w:rFonts w:cs="Calibri"/>
                <w:szCs w:val="20"/>
                <w:lang w:eastAsia="ja-JP"/>
              </w:rPr>
            </w:pPr>
            <w:r w:rsidRPr="003F7F6C">
              <w:rPr>
                <w:rFonts w:cs="Calibri"/>
                <w:szCs w:val="20"/>
                <w:lang w:eastAsia="ja-JP"/>
              </w:rPr>
              <w:t>72 months</w:t>
            </w:r>
          </w:p>
        </w:tc>
        <w:tc>
          <w:tcPr>
            <w:tcW w:w="10619" w:type="dxa"/>
            <w:tcBorders>
              <w:top w:val="single" w:sz="4" w:space="0" w:color="auto"/>
              <w:left w:val="single" w:sz="4" w:space="0" w:color="auto"/>
              <w:bottom w:val="single" w:sz="4" w:space="0" w:color="auto"/>
              <w:right w:val="single" w:sz="4" w:space="0" w:color="auto"/>
            </w:tcBorders>
          </w:tcPr>
          <w:p w14:paraId="65507556" w14:textId="77777777" w:rsidR="004969AA" w:rsidRPr="003F7F6C" w:rsidRDefault="004969AA" w:rsidP="00EF3482">
            <w:pPr>
              <w:spacing w:after="0"/>
              <w:rPr>
                <w:rFonts w:cs="Calibri"/>
                <w:szCs w:val="20"/>
                <w:lang w:eastAsia="ja-JP"/>
              </w:rPr>
            </w:pPr>
            <w:r w:rsidRPr="003F7F6C">
              <w:rPr>
                <w:rFonts w:cs="Calibri"/>
                <w:szCs w:val="20"/>
              </w:rPr>
              <w:t>Under the overall supervision and guidance of the Project Coordinator, the Gender Specialist will have the responsibility for the implementation of the Gender Action Plan. Specific responsibilities will include:</w:t>
            </w:r>
          </w:p>
          <w:p w14:paraId="5AB25C6D" w14:textId="77777777" w:rsidR="004969AA" w:rsidRPr="003F7F6C" w:rsidRDefault="004969AA" w:rsidP="00E91275">
            <w:pPr>
              <w:numPr>
                <w:ilvl w:val="0"/>
                <w:numId w:val="47"/>
              </w:numPr>
              <w:spacing w:after="0"/>
              <w:jc w:val="left"/>
              <w:rPr>
                <w:rFonts w:cs="Calibri"/>
                <w:szCs w:val="20"/>
              </w:rPr>
            </w:pPr>
            <w:r w:rsidRPr="003F7F6C">
              <w:rPr>
                <w:rFonts w:cs="Calibri"/>
                <w:szCs w:val="20"/>
              </w:rPr>
              <w:t>Monitor progress in implementation of the project Gender Action Plan ensuring that targets are fully met and the reporting requirements are fulfilled.</w:t>
            </w:r>
          </w:p>
          <w:p w14:paraId="0790A8ED" w14:textId="77777777" w:rsidR="004969AA" w:rsidRPr="003F7F6C" w:rsidRDefault="004969AA" w:rsidP="00E91275">
            <w:pPr>
              <w:numPr>
                <w:ilvl w:val="0"/>
                <w:numId w:val="47"/>
              </w:numPr>
              <w:spacing w:after="0"/>
              <w:jc w:val="left"/>
              <w:rPr>
                <w:rFonts w:cs="Calibri"/>
                <w:szCs w:val="20"/>
              </w:rPr>
            </w:pPr>
            <w:r w:rsidRPr="003F7F6C">
              <w:rPr>
                <w:rFonts w:cs="Calibri"/>
                <w:szCs w:val="20"/>
              </w:rPr>
              <w:t>Oversee/develop/coordinate implementation of all gender-related work.</w:t>
            </w:r>
          </w:p>
          <w:p w14:paraId="53AD5214" w14:textId="1D274A13" w:rsidR="004969AA" w:rsidRPr="003F7F6C" w:rsidRDefault="004969AA" w:rsidP="00E91275">
            <w:pPr>
              <w:numPr>
                <w:ilvl w:val="0"/>
                <w:numId w:val="47"/>
              </w:numPr>
              <w:spacing w:after="0"/>
              <w:jc w:val="left"/>
              <w:rPr>
                <w:rFonts w:cs="Calibri"/>
                <w:szCs w:val="20"/>
              </w:rPr>
            </w:pPr>
            <w:r w:rsidRPr="003F7F6C">
              <w:rPr>
                <w:rFonts w:cs="Calibri"/>
                <w:szCs w:val="20"/>
              </w:rPr>
              <w:t>Establish collaborations with gender</w:t>
            </w:r>
            <w:r w:rsidR="00784C45" w:rsidRPr="003F7F6C">
              <w:rPr>
                <w:rFonts w:cs="Calibri"/>
                <w:szCs w:val="20"/>
              </w:rPr>
              <w:t>-</w:t>
            </w:r>
            <w:r w:rsidRPr="003F7F6C">
              <w:rPr>
                <w:rFonts w:cs="Calibri"/>
                <w:szCs w:val="20"/>
              </w:rPr>
              <w:t>related national and provincial institutions to promote their participation in project activities.</w:t>
            </w:r>
          </w:p>
          <w:p w14:paraId="3B32BC22" w14:textId="77777777" w:rsidR="004969AA" w:rsidRPr="003F7F6C" w:rsidRDefault="004969AA" w:rsidP="00E91275">
            <w:pPr>
              <w:numPr>
                <w:ilvl w:val="0"/>
                <w:numId w:val="47"/>
              </w:numPr>
              <w:spacing w:after="0"/>
              <w:jc w:val="left"/>
              <w:rPr>
                <w:rFonts w:cs="Calibri"/>
                <w:szCs w:val="20"/>
              </w:rPr>
            </w:pPr>
            <w:r w:rsidRPr="003F7F6C">
              <w:rPr>
                <w:rFonts w:cs="Calibri"/>
                <w:szCs w:val="20"/>
              </w:rPr>
              <w:t>Review the Gender Action Plan annually, and update and revise corresponding management plans as necessary.</w:t>
            </w:r>
          </w:p>
          <w:p w14:paraId="2468294A" w14:textId="746919C5" w:rsidR="004969AA" w:rsidRPr="003F7F6C" w:rsidRDefault="004969AA" w:rsidP="00E91275">
            <w:pPr>
              <w:numPr>
                <w:ilvl w:val="0"/>
                <w:numId w:val="47"/>
              </w:numPr>
              <w:spacing w:after="0"/>
              <w:jc w:val="left"/>
              <w:rPr>
                <w:rFonts w:cs="Calibri"/>
                <w:szCs w:val="20"/>
              </w:rPr>
            </w:pPr>
            <w:r w:rsidRPr="003F7F6C">
              <w:rPr>
                <w:rFonts w:cs="Calibri"/>
                <w:szCs w:val="20"/>
              </w:rPr>
              <w:t xml:space="preserve">Support the Project Coordinator to ensure </w:t>
            </w:r>
            <w:r w:rsidR="00784C45" w:rsidRPr="003F7F6C">
              <w:rPr>
                <w:rFonts w:cs="Calibri"/>
                <w:szCs w:val="20"/>
              </w:rPr>
              <w:t xml:space="preserve">that </w:t>
            </w:r>
            <w:r w:rsidRPr="003F7F6C">
              <w:rPr>
                <w:rFonts w:cs="Calibri"/>
                <w:szCs w:val="20"/>
              </w:rPr>
              <w:t>reporting, monitoring and evaluation fully address the gender issues of the project</w:t>
            </w:r>
            <w:r w:rsidR="009A700C" w:rsidRPr="003F7F6C">
              <w:rPr>
                <w:rFonts w:cs="Calibri"/>
                <w:szCs w:val="20"/>
              </w:rPr>
              <w:t xml:space="preserve"> and feed into the project´s communication and information program</w:t>
            </w:r>
          </w:p>
          <w:p w14:paraId="4B04B38E" w14:textId="77777777" w:rsidR="004969AA" w:rsidRPr="003F7F6C" w:rsidRDefault="004969AA" w:rsidP="00E91275">
            <w:pPr>
              <w:pStyle w:val="ListParagraph"/>
              <w:numPr>
                <w:ilvl w:val="0"/>
                <w:numId w:val="46"/>
              </w:numPr>
              <w:spacing w:after="0"/>
              <w:contextualSpacing w:val="0"/>
              <w:jc w:val="left"/>
              <w:rPr>
                <w:rFonts w:eastAsia="MS Mincho" w:cs="Calibri"/>
                <w:szCs w:val="20"/>
                <w:lang w:eastAsia="ja-JP"/>
              </w:rPr>
            </w:pPr>
            <w:r w:rsidRPr="003F7F6C">
              <w:rPr>
                <w:rFonts w:cs="Calibri"/>
                <w:szCs w:val="20"/>
              </w:rPr>
              <w:t>Support the Project Coordinator collecting gender related M&amp;E data; in synthesizing lessons on gender mainstreaming best practices and knowledge on and preparing related publications.</w:t>
            </w:r>
          </w:p>
          <w:p w14:paraId="0E6926DB" w14:textId="3F203F6A" w:rsidR="004969AA" w:rsidRPr="003F7F6C" w:rsidRDefault="004969AA" w:rsidP="00EF3482">
            <w:pPr>
              <w:spacing w:after="0"/>
              <w:rPr>
                <w:rFonts w:cs="Calibri"/>
                <w:szCs w:val="20"/>
                <w:lang w:eastAsia="ja-JP"/>
              </w:rPr>
            </w:pPr>
            <w:r w:rsidRPr="003F7F6C">
              <w:rPr>
                <w:rFonts w:cs="Calibri"/>
                <w:szCs w:val="20"/>
                <w:lang w:eastAsia="ja-JP"/>
              </w:rPr>
              <w:t>See TOR</w:t>
            </w:r>
            <w:r w:rsidR="00784C45" w:rsidRPr="003F7F6C">
              <w:rPr>
                <w:rFonts w:cs="Calibri"/>
                <w:szCs w:val="20"/>
                <w:lang w:eastAsia="ja-JP"/>
              </w:rPr>
              <w:t>s</w:t>
            </w:r>
            <w:r w:rsidRPr="003F7F6C">
              <w:rPr>
                <w:rFonts w:cs="Calibri"/>
                <w:szCs w:val="20"/>
                <w:lang w:eastAsia="ja-JP"/>
              </w:rPr>
              <w:t xml:space="preserve"> below for details.</w:t>
            </w:r>
          </w:p>
        </w:tc>
      </w:tr>
      <w:tr w:rsidR="004969AA" w:rsidRPr="003F7F6C" w14:paraId="60709A85" w14:textId="77777777" w:rsidTr="00EF3482">
        <w:tc>
          <w:tcPr>
            <w:tcW w:w="1963" w:type="dxa"/>
            <w:tcBorders>
              <w:top w:val="single" w:sz="4" w:space="0" w:color="auto"/>
              <w:left w:val="single" w:sz="4" w:space="0" w:color="auto"/>
              <w:bottom w:val="single" w:sz="4" w:space="0" w:color="auto"/>
              <w:right w:val="single" w:sz="4" w:space="0" w:color="auto"/>
            </w:tcBorders>
          </w:tcPr>
          <w:p w14:paraId="07CA13C1" w14:textId="77777777" w:rsidR="004969AA" w:rsidRPr="003F7F6C" w:rsidRDefault="004969AA" w:rsidP="00EF3482">
            <w:pPr>
              <w:spacing w:after="0"/>
              <w:rPr>
                <w:rFonts w:cs="Calibri"/>
                <w:szCs w:val="20"/>
                <w:lang w:eastAsia="ja-JP"/>
              </w:rPr>
            </w:pPr>
            <w:r w:rsidRPr="003F7F6C">
              <w:rPr>
                <w:rFonts w:cs="Calibri"/>
                <w:szCs w:val="20"/>
                <w:lang w:eastAsia="ja-JP"/>
              </w:rPr>
              <w:t>Provincial Technicians (3)</w:t>
            </w:r>
          </w:p>
          <w:p w14:paraId="6E649978" w14:textId="77777777" w:rsidR="004969AA" w:rsidRPr="003F7F6C" w:rsidRDefault="004969AA" w:rsidP="00EF3482">
            <w:pPr>
              <w:spacing w:after="0"/>
              <w:rPr>
                <w:rFonts w:cs="Calibri"/>
                <w:szCs w:val="20"/>
                <w:lang w:eastAsia="ja-JP"/>
              </w:rPr>
            </w:pPr>
          </w:p>
          <w:p w14:paraId="24607FF0" w14:textId="1632A5A2" w:rsidR="004969AA" w:rsidRPr="003F7F6C" w:rsidRDefault="004969AA" w:rsidP="00EF3482">
            <w:pPr>
              <w:spacing w:after="0"/>
              <w:jc w:val="left"/>
              <w:rPr>
                <w:rFonts w:cs="Calibri"/>
                <w:szCs w:val="20"/>
                <w:lang w:eastAsia="ja-JP"/>
              </w:rPr>
            </w:pPr>
            <w:r w:rsidRPr="003F7F6C">
              <w:rPr>
                <w:rFonts w:cs="Calibri"/>
                <w:szCs w:val="20"/>
                <w:lang w:eastAsia="ja-JP"/>
              </w:rPr>
              <w:t xml:space="preserve">Rate: USD </w:t>
            </w:r>
            <w:r w:rsidR="002620FA" w:rsidRPr="003F7F6C">
              <w:rPr>
                <w:rFonts w:cs="Calibri"/>
                <w:szCs w:val="20"/>
                <w:lang w:eastAsia="ja-JP"/>
              </w:rPr>
              <w:t>1,126</w:t>
            </w:r>
            <w:r w:rsidRPr="003F7F6C">
              <w:rPr>
                <w:rFonts w:cs="Calibri"/>
                <w:szCs w:val="20"/>
                <w:lang w:eastAsia="ja-JP"/>
              </w:rPr>
              <w:t>/month</w:t>
            </w:r>
          </w:p>
        </w:tc>
        <w:tc>
          <w:tcPr>
            <w:tcW w:w="1440" w:type="dxa"/>
            <w:tcBorders>
              <w:top w:val="single" w:sz="4" w:space="0" w:color="auto"/>
              <w:left w:val="single" w:sz="4" w:space="0" w:color="auto"/>
              <w:bottom w:val="single" w:sz="4" w:space="0" w:color="auto"/>
              <w:right w:val="single" w:sz="4" w:space="0" w:color="auto"/>
            </w:tcBorders>
          </w:tcPr>
          <w:p w14:paraId="2518F108" w14:textId="77777777" w:rsidR="004969AA" w:rsidRPr="003F7F6C" w:rsidRDefault="004969AA" w:rsidP="00EF3482">
            <w:pPr>
              <w:spacing w:after="0"/>
              <w:rPr>
                <w:rFonts w:cs="Calibri"/>
                <w:szCs w:val="20"/>
                <w:lang w:eastAsia="ja-JP"/>
              </w:rPr>
            </w:pPr>
            <w:r w:rsidRPr="003F7F6C">
              <w:rPr>
                <w:rFonts w:cs="Calibri"/>
                <w:szCs w:val="20"/>
                <w:lang w:eastAsia="ja-JP"/>
              </w:rPr>
              <w:t>72 months</w:t>
            </w:r>
          </w:p>
        </w:tc>
        <w:tc>
          <w:tcPr>
            <w:tcW w:w="10619" w:type="dxa"/>
            <w:tcBorders>
              <w:top w:val="single" w:sz="4" w:space="0" w:color="auto"/>
              <w:left w:val="single" w:sz="4" w:space="0" w:color="auto"/>
              <w:bottom w:val="single" w:sz="4" w:space="0" w:color="auto"/>
              <w:right w:val="single" w:sz="4" w:space="0" w:color="auto"/>
            </w:tcBorders>
          </w:tcPr>
          <w:p w14:paraId="48E38763" w14:textId="77777777" w:rsidR="004969AA" w:rsidRPr="003F7F6C" w:rsidRDefault="004969AA" w:rsidP="00EF3482">
            <w:pPr>
              <w:spacing w:after="0"/>
              <w:rPr>
                <w:rFonts w:cs="Calibri"/>
                <w:szCs w:val="20"/>
              </w:rPr>
            </w:pPr>
            <w:r w:rsidRPr="003F7F6C">
              <w:rPr>
                <w:rFonts w:cs="Calibri"/>
                <w:szCs w:val="20"/>
              </w:rPr>
              <w:t>Under the overall supervision of the Project Coordinator, and in coordination with the Implementing Partner, Provincial Governments of Buenos Aires, Jujuy and Mendoza, and project specialists, the Provincial Technicians will be responsible for providing technical support, coordination, oversight and monitoring and evaluation for the adequate implementation of project activities in each province, including:</w:t>
            </w:r>
          </w:p>
          <w:p w14:paraId="5BCDC5BE" w14:textId="77777777" w:rsidR="004969AA" w:rsidRPr="003F7F6C" w:rsidRDefault="004969AA" w:rsidP="00E91275">
            <w:pPr>
              <w:pStyle w:val="ListParagraph"/>
              <w:numPr>
                <w:ilvl w:val="0"/>
                <w:numId w:val="42"/>
              </w:numPr>
              <w:spacing w:after="0"/>
              <w:contextualSpacing w:val="0"/>
              <w:rPr>
                <w:rFonts w:cs="Calibri"/>
                <w:szCs w:val="20"/>
              </w:rPr>
            </w:pPr>
            <w:r w:rsidRPr="003F7F6C">
              <w:rPr>
                <w:rFonts w:cs="Calibri"/>
                <w:szCs w:val="20"/>
              </w:rPr>
              <w:t>Support the Project Coordinator in supervising and coordinating the production of project outputs.</w:t>
            </w:r>
          </w:p>
          <w:p w14:paraId="0027EFA1" w14:textId="77777777" w:rsidR="004969AA" w:rsidRPr="003F7F6C" w:rsidRDefault="004969AA" w:rsidP="00E91275">
            <w:pPr>
              <w:pStyle w:val="ListParagraph"/>
              <w:numPr>
                <w:ilvl w:val="0"/>
                <w:numId w:val="42"/>
              </w:numPr>
              <w:spacing w:after="0"/>
              <w:contextualSpacing w:val="0"/>
              <w:rPr>
                <w:rFonts w:cs="Calibri"/>
                <w:szCs w:val="20"/>
              </w:rPr>
            </w:pPr>
            <w:r w:rsidRPr="003F7F6C">
              <w:rPr>
                <w:rFonts w:cs="Calibri"/>
                <w:noProof/>
                <w:szCs w:val="20"/>
                <w:lang w:eastAsia="zh-CN"/>
              </w:rPr>
              <w:t>Provide support in coordinating all project inputs.</w:t>
            </w:r>
          </w:p>
          <w:p w14:paraId="1720B2A8" w14:textId="7B1F1D57" w:rsidR="004969AA" w:rsidRPr="003F7F6C" w:rsidRDefault="004969AA" w:rsidP="00E91275">
            <w:pPr>
              <w:pStyle w:val="ListParagraph"/>
              <w:numPr>
                <w:ilvl w:val="0"/>
                <w:numId w:val="42"/>
              </w:numPr>
              <w:spacing w:after="0"/>
              <w:contextualSpacing w:val="0"/>
              <w:rPr>
                <w:rFonts w:cs="Calibri"/>
                <w:szCs w:val="20"/>
              </w:rPr>
            </w:pPr>
            <w:r w:rsidRPr="003F7F6C">
              <w:rPr>
                <w:rFonts w:cs="Calibri"/>
                <w:szCs w:val="20"/>
              </w:rPr>
              <w:t>Support the implementation of stakeholder engagement mechanisms</w:t>
            </w:r>
            <w:r w:rsidR="00B46514" w:rsidRPr="003F7F6C">
              <w:rPr>
                <w:rFonts w:cs="Calibri"/>
                <w:szCs w:val="20"/>
              </w:rPr>
              <w:t xml:space="preserve"> in coordination with the stakeholder engagement specialist</w:t>
            </w:r>
            <w:r w:rsidRPr="003F7F6C">
              <w:rPr>
                <w:rFonts w:cs="Calibri"/>
                <w:szCs w:val="20"/>
              </w:rPr>
              <w:t>.</w:t>
            </w:r>
          </w:p>
          <w:p w14:paraId="553D33A5" w14:textId="3E44CAFB" w:rsidR="00B46514" w:rsidRPr="003F7F6C" w:rsidRDefault="004969AA" w:rsidP="00E91275">
            <w:pPr>
              <w:pStyle w:val="ListParagraph"/>
              <w:numPr>
                <w:ilvl w:val="0"/>
                <w:numId w:val="42"/>
              </w:numPr>
              <w:spacing w:after="0"/>
              <w:contextualSpacing w:val="0"/>
              <w:rPr>
                <w:rFonts w:cs="Calibri"/>
                <w:szCs w:val="20"/>
              </w:rPr>
            </w:pPr>
            <w:r w:rsidRPr="003F7F6C">
              <w:rPr>
                <w:rFonts w:cs="Calibri"/>
                <w:szCs w:val="20"/>
              </w:rPr>
              <w:t>Support the implementation of gender mainstreaming in project activities</w:t>
            </w:r>
            <w:r w:rsidR="00B46514" w:rsidRPr="003F7F6C">
              <w:rPr>
                <w:rFonts w:cs="Calibri"/>
                <w:szCs w:val="20"/>
              </w:rPr>
              <w:t xml:space="preserve"> in coordination with the gender specialist.</w:t>
            </w:r>
          </w:p>
          <w:p w14:paraId="31ED951F" w14:textId="77777777" w:rsidR="004969AA" w:rsidRPr="003F7F6C" w:rsidRDefault="004969AA" w:rsidP="00E91275">
            <w:pPr>
              <w:pStyle w:val="ListParagraph"/>
              <w:numPr>
                <w:ilvl w:val="0"/>
                <w:numId w:val="42"/>
              </w:numPr>
              <w:spacing w:after="0"/>
              <w:contextualSpacing w:val="0"/>
              <w:rPr>
                <w:rFonts w:cs="Calibri"/>
                <w:szCs w:val="20"/>
              </w:rPr>
            </w:pPr>
            <w:r w:rsidRPr="003F7F6C">
              <w:rPr>
                <w:rFonts w:cs="Calibri"/>
                <w:szCs w:val="20"/>
              </w:rPr>
              <w:t>Support the dissemination of information on the project.</w:t>
            </w:r>
          </w:p>
          <w:p w14:paraId="027E8548" w14:textId="77777777" w:rsidR="004969AA" w:rsidRPr="003F7F6C" w:rsidRDefault="004969AA" w:rsidP="00E91275">
            <w:pPr>
              <w:pStyle w:val="ListParagraph"/>
              <w:numPr>
                <w:ilvl w:val="0"/>
                <w:numId w:val="42"/>
              </w:numPr>
              <w:spacing w:after="0"/>
              <w:contextualSpacing w:val="0"/>
              <w:rPr>
                <w:rFonts w:cs="Calibri"/>
                <w:szCs w:val="20"/>
              </w:rPr>
            </w:pPr>
            <w:r w:rsidRPr="003F7F6C">
              <w:rPr>
                <w:rFonts w:cs="Calibri"/>
                <w:szCs w:val="20"/>
              </w:rPr>
              <w:t>Support project M&amp;E</w:t>
            </w:r>
          </w:p>
          <w:p w14:paraId="4ACBC56A" w14:textId="5D78CF4D" w:rsidR="004969AA" w:rsidRPr="003F7F6C" w:rsidRDefault="004969AA" w:rsidP="00E91275">
            <w:pPr>
              <w:pStyle w:val="ListParagraph"/>
              <w:numPr>
                <w:ilvl w:val="0"/>
                <w:numId w:val="42"/>
              </w:numPr>
              <w:spacing w:after="0"/>
              <w:contextualSpacing w:val="0"/>
              <w:rPr>
                <w:rFonts w:cs="Calibri"/>
                <w:szCs w:val="20"/>
              </w:rPr>
            </w:pPr>
            <w:r w:rsidRPr="003F7F6C">
              <w:rPr>
                <w:rFonts w:cs="Calibri"/>
                <w:szCs w:val="20"/>
              </w:rPr>
              <w:t>Liaise and follow up with the responsible parties for implementation of project activities in the target landscapes of each province</w:t>
            </w:r>
            <w:r w:rsidR="003F5617" w:rsidRPr="003F7F6C">
              <w:rPr>
                <w:rFonts w:cs="Calibri"/>
                <w:szCs w:val="20"/>
              </w:rPr>
              <w:t xml:space="preserve"> and promote and maintain partnerships with relevant provincial agencies and institutions.</w:t>
            </w:r>
          </w:p>
          <w:p w14:paraId="06615E70" w14:textId="419EE4ED" w:rsidR="004969AA" w:rsidRPr="003F7F6C" w:rsidRDefault="004969AA" w:rsidP="00EF3482">
            <w:pPr>
              <w:spacing w:after="0"/>
              <w:rPr>
                <w:rFonts w:cs="Calibri"/>
                <w:szCs w:val="20"/>
                <w:lang w:eastAsia="ja-JP"/>
              </w:rPr>
            </w:pPr>
            <w:r w:rsidRPr="003F7F6C">
              <w:rPr>
                <w:rFonts w:cs="Calibri"/>
                <w:szCs w:val="20"/>
                <w:lang w:eastAsia="ja-JP"/>
              </w:rPr>
              <w:t>See TOR</w:t>
            </w:r>
            <w:r w:rsidR="003F5617" w:rsidRPr="003F7F6C">
              <w:rPr>
                <w:rFonts w:cs="Calibri"/>
                <w:szCs w:val="20"/>
                <w:lang w:eastAsia="ja-JP"/>
              </w:rPr>
              <w:t>s</w:t>
            </w:r>
            <w:r w:rsidRPr="003F7F6C">
              <w:rPr>
                <w:rFonts w:cs="Calibri"/>
                <w:szCs w:val="20"/>
                <w:lang w:eastAsia="ja-JP"/>
              </w:rPr>
              <w:t xml:space="preserve"> below for details.</w:t>
            </w:r>
          </w:p>
        </w:tc>
      </w:tr>
      <w:tr w:rsidR="004969AA" w:rsidRPr="003F7F6C" w14:paraId="6BF98AB1" w14:textId="77777777" w:rsidTr="00EF3482">
        <w:tc>
          <w:tcPr>
            <w:tcW w:w="1963" w:type="dxa"/>
            <w:tcBorders>
              <w:top w:val="single" w:sz="4" w:space="0" w:color="auto"/>
              <w:left w:val="single" w:sz="4" w:space="0" w:color="auto"/>
              <w:bottom w:val="single" w:sz="4" w:space="0" w:color="auto"/>
              <w:right w:val="single" w:sz="4" w:space="0" w:color="auto"/>
            </w:tcBorders>
          </w:tcPr>
          <w:p w14:paraId="5AE4C41F" w14:textId="77777777" w:rsidR="004969AA" w:rsidRPr="003F7F6C" w:rsidRDefault="004969AA" w:rsidP="00EF3482">
            <w:pPr>
              <w:spacing w:after="0"/>
              <w:jc w:val="left"/>
              <w:rPr>
                <w:rFonts w:cs="Calibri"/>
                <w:szCs w:val="20"/>
                <w:lang w:eastAsia="ja-JP"/>
              </w:rPr>
            </w:pPr>
            <w:r w:rsidRPr="003F7F6C">
              <w:rPr>
                <w:rFonts w:cs="Calibri"/>
                <w:szCs w:val="20"/>
                <w:lang w:eastAsia="ja-JP"/>
              </w:rPr>
              <w:t>Mid-term Review Expert</w:t>
            </w:r>
          </w:p>
          <w:p w14:paraId="1544B101" w14:textId="77777777" w:rsidR="004969AA" w:rsidRPr="003F7F6C" w:rsidRDefault="004969AA" w:rsidP="00EF3482">
            <w:pPr>
              <w:spacing w:after="0"/>
              <w:rPr>
                <w:rFonts w:cs="Calibri"/>
                <w:szCs w:val="20"/>
                <w:lang w:eastAsia="ja-JP"/>
              </w:rPr>
            </w:pPr>
          </w:p>
          <w:p w14:paraId="074741BE" w14:textId="6E6BF19F" w:rsidR="004969AA" w:rsidRPr="003F7F6C" w:rsidRDefault="004969AA" w:rsidP="00EF3482">
            <w:pPr>
              <w:spacing w:after="0"/>
              <w:rPr>
                <w:rFonts w:cs="Calibri"/>
                <w:szCs w:val="20"/>
                <w:lang w:eastAsia="ja-JP"/>
              </w:rPr>
            </w:pPr>
            <w:r w:rsidRPr="003F7F6C">
              <w:rPr>
                <w:rFonts w:cs="Calibri"/>
                <w:szCs w:val="20"/>
                <w:lang w:eastAsia="ja-JP"/>
              </w:rPr>
              <w:t xml:space="preserve">Rate: USD </w:t>
            </w:r>
            <w:r w:rsidR="009A700C" w:rsidRPr="003F7F6C">
              <w:rPr>
                <w:rFonts w:cs="Calibri"/>
                <w:szCs w:val="20"/>
                <w:lang w:eastAsia="ja-JP"/>
              </w:rPr>
              <w:t>1,000</w:t>
            </w:r>
            <w:r w:rsidRPr="003F7F6C">
              <w:rPr>
                <w:rFonts w:cs="Calibri"/>
                <w:szCs w:val="20"/>
                <w:lang w:eastAsia="ja-JP"/>
              </w:rPr>
              <w:t>/week</w:t>
            </w:r>
          </w:p>
        </w:tc>
        <w:tc>
          <w:tcPr>
            <w:tcW w:w="1440" w:type="dxa"/>
            <w:tcBorders>
              <w:top w:val="single" w:sz="4" w:space="0" w:color="auto"/>
              <w:left w:val="single" w:sz="4" w:space="0" w:color="auto"/>
              <w:bottom w:val="single" w:sz="4" w:space="0" w:color="auto"/>
              <w:right w:val="single" w:sz="4" w:space="0" w:color="auto"/>
            </w:tcBorders>
          </w:tcPr>
          <w:p w14:paraId="53B1C959" w14:textId="77777777" w:rsidR="004969AA" w:rsidRPr="003F7F6C" w:rsidRDefault="004969AA" w:rsidP="00EF3482">
            <w:pPr>
              <w:spacing w:after="0"/>
              <w:rPr>
                <w:rFonts w:cs="Calibri"/>
                <w:szCs w:val="20"/>
                <w:lang w:eastAsia="ja-JP"/>
              </w:rPr>
            </w:pPr>
            <w:r w:rsidRPr="003F7F6C">
              <w:rPr>
                <w:rFonts w:cs="Calibri"/>
                <w:szCs w:val="20"/>
                <w:lang w:eastAsia="ja-JP"/>
              </w:rPr>
              <w:t>6 weeks</w:t>
            </w:r>
          </w:p>
        </w:tc>
        <w:tc>
          <w:tcPr>
            <w:tcW w:w="10619" w:type="dxa"/>
            <w:tcBorders>
              <w:top w:val="single" w:sz="4" w:space="0" w:color="auto"/>
              <w:left w:val="single" w:sz="4" w:space="0" w:color="auto"/>
              <w:bottom w:val="single" w:sz="4" w:space="0" w:color="auto"/>
              <w:right w:val="single" w:sz="4" w:space="0" w:color="auto"/>
            </w:tcBorders>
          </w:tcPr>
          <w:p w14:paraId="6686456E" w14:textId="3F792564" w:rsidR="004969AA" w:rsidRPr="003F7F6C" w:rsidRDefault="004969AA" w:rsidP="00EF3482">
            <w:pPr>
              <w:spacing w:after="0"/>
              <w:jc w:val="left"/>
              <w:rPr>
                <w:rFonts w:eastAsia="Times New Roman" w:cs="Calibri"/>
                <w:szCs w:val="20"/>
              </w:rPr>
            </w:pPr>
            <w:r w:rsidRPr="003F7F6C">
              <w:rPr>
                <w:rFonts w:cs="Calibri"/>
                <w:szCs w:val="20"/>
              </w:rPr>
              <w:t>The local Mid-term Review Expert will support the International MTR Expert in assessing progress towards the achievement of the project objectives and outcomes as specified in the Project Document, and assessing early signs of project success or failure with the goal of identifying the necessary changes to be made in order to set the project on</w:t>
            </w:r>
            <w:r w:rsidR="00B43170" w:rsidRPr="003F7F6C">
              <w:rPr>
                <w:rFonts w:cs="Calibri"/>
                <w:szCs w:val="20"/>
              </w:rPr>
              <w:t xml:space="preserve"> </w:t>
            </w:r>
            <w:r w:rsidRPr="003F7F6C">
              <w:rPr>
                <w:rFonts w:cs="Calibri"/>
                <w:szCs w:val="20"/>
              </w:rPr>
              <w:t>track to achieve its intended results; as well as the project’s strategy, its risks to sustainability.</w:t>
            </w:r>
          </w:p>
          <w:p w14:paraId="48226E98" w14:textId="77777777" w:rsidR="004969AA" w:rsidRPr="003F7F6C" w:rsidRDefault="004969AA" w:rsidP="00EF3482">
            <w:pPr>
              <w:spacing w:after="0"/>
              <w:rPr>
                <w:rFonts w:cs="Calibri"/>
                <w:szCs w:val="20"/>
                <w:lang w:eastAsia="ja-JP"/>
              </w:rPr>
            </w:pPr>
          </w:p>
        </w:tc>
      </w:tr>
      <w:tr w:rsidR="004969AA" w:rsidRPr="003F7F6C" w14:paraId="22FAF699" w14:textId="77777777" w:rsidTr="00EF3482">
        <w:tc>
          <w:tcPr>
            <w:tcW w:w="1963" w:type="dxa"/>
            <w:tcBorders>
              <w:top w:val="single" w:sz="4" w:space="0" w:color="auto"/>
              <w:left w:val="single" w:sz="4" w:space="0" w:color="auto"/>
              <w:bottom w:val="single" w:sz="4" w:space="0" w:color="auto"/>
              <w:right w:val="single" w:sz="4" w:space="0" w:color="auto"/>
            </w:tcBorders>
          </w:tcPr>
          <w:p w14:paraId="5F4AA175" w14:textId="77777777" w:rsidR="004969AA" w:rsidRPr="003F7F6C" w:rsidRDefault="004969AA" w:rsidP="00EF3482">
            <w:pPr>
              <w:spacing w:after="0"/>
              <w:rPr>
                <w:rFonts w:cs="Calibri"/>
                <w:szCs w:val="20"/>
                <w:lang w:eastAsia="ja-JP"/>
              </w:rPr>
            </w:pPr>
            <w:r w:rsidRPr="003F7F6C">
              <w:rPr>
                <w:rFonts w:cs="Calibri"/>
                <w:szCs w:val="20"/>
                <w:lang w:eastAsia="ja-JP"/>
              </w:rPr>
              <w:t>Terminal Evaluation Expert</w:t>
            </w:r>
          </w:p>
          <w:p w14:paraId="4D20FAC4" w14:textId="77777777" w:rsidR="004969AA" w:rsidRPr="003F7F6C" w:rsidRDefault="004969AA" w:rsidP="00EF3482">
            <w:pPr>
              <w:spacing w:after="0"/>
              <w:rPr>
                <w:rFonts w:cs="Calibri"/>
                <w:szCs w:val="20"/>
                <w:lang w:eastAsia="ja-JP"/>
              </w:rPr>
            </w:pPr>
          </w:p>
          <w:p w14:paraId="05411550" w14:textId="7B2FB1B7" w:rsidR="004969AA" w:rsidRPr="003F7F6C" w:rsidRDefault="004969AA" w:rsidP="00EF3482">
            <w:pPr>
              <w:spacing w:after="0"/>
              <w:jc w:val="left"/>
              <w:rPr>
                <w:rFonts w:cs="Calibri"/>
                <w:szCs w:val="20"/>
                <w:lang w:eastAsia="ja-JP"/>
              </w:rPr>
            </w:pPr>
            <w:r w:rsidRPr="003F7F6C">
              <w:rPr>
                <w:rFonts w:cs="Calibri"/>
                <w:szCs w:val="20"/>
                <w:lang w:eastAsia="ja-JP"/>
              </w:rPr>
              <w:t xml:space="preserve">Rate: USD </w:t>
            </w:r>
            <w:r w:rsidR="009A700C" w:rsidRPr="003F7F6C">
              <w:rPr>
                <w:rFonts w:cs="Calibri"/>
                <w:szCs w:val="20"/>
                <w:lang w:eastAsia="ja-JP"/>
              </w:rPr>
              <w:t>1,000</w:t>
            </w:r>
            <w:r w:rsidRPr="003F7F6C">
              <w:rPr>
                <w:rFonts w:cs="Calibri"/>
                <w:szCs w:val="20"/>
                <w:lang w:eastAsia="ja-JP"/>
              </w:rPr>
              <w:t>/week</w:t>
            </w:r>
          </w:p>
        </w:tc>
        <w:tc>
          <w:tcPr>
            <w:tcW w:w="1440" w:type="dxa"/>
            <w:tcBorders>
              <w:top w:val="single" w:sz="4" w:space="0" w:color="auto"/>
              <w:left w:val="single" w:sz="4" w:space="0" w:color="auto"/>
              <w:bottom w:val="single" w:sz="4" w:space="0" w:color="auto"/>
              <w:right w:val="single" w:sz="4" w:space="0" w:color="auto"/>
            </w:tcBorders>
          </w:tcPr>
          <w:p w14:paraId="2CDB44F4" w14:textId="77777777" w:rsidR="004969AA" w:rsidRPr="003F7F6C" w:rsidRDefault="004969AA" w:rsidP="00EF3482">
            <w:pPr>
              <w:spacing w:after="0"/>
              <w:rPr>
                <w:rFonts w:cs="Calibri"/>
                <w:szCs w:val="20"/>
                <w:lang w:eastAsia="ja-JP"/>
              </w:rPr>
            </w:pPr>
            <w:r w:rsidRPr="003F7F6C">
              <w:rPr>
                <w:rFonts w:cs="Calibri"/>
                <w:szCs w:val="20"/>
                <w:lang w:eastAsia="ja-JP"/>
              </w:rPr>
              <w:t>6 weeks</w:t>
            </w:r>
          </w:p>
        </w:tc>
        <w:tc>
          <w:tcPr>
            <w:tcW w:w="10619" w:type="dxa"/>
            <w:tcBorders>
              <w:top w:val="single" w:sz="4" w:space="0" w:color="auto"/>
              <w:left w:val="single" w:sz="4" w:space="0" w:color="auto"/>
              <w:bottom w:val="single" w:sz="4" w:space="0" w:color="auto"/>
              <w:right w:val="single" w:sz="4" w:space="0" w:color="auto"/>
            </w:tcBorders>
          </w:tcPr>
          <w:p w14:paraId="72F10287" w14:textId="77777777" w:rsidR="004969AA" w:rsidRPr="003F7F6C" w:rsidRDefault="004969AA" w:rsidP="00EF3482">
            <w:pPr>
              <w:spacing w:after="0"/>
              <w:rPr>
                <w:rFonts w:cs="Calibri"/>
                <w:szCs w:val="20"/>
                <w:lang w:eastAsia="ja-JP"/>
              </w:rPr>
            </w:pPr>
            <w:r w:rsidRPr="003F7F6C">
              <w:rPr>
                <w:rFonts w:cs="Calibri"/>
                <w:szCs w:val="20"/>
              </w:rPr>
              <w:t xml:space="preserve">The local Terminal Evaluation expert will support the International TE Expert in the </w:t>
            </w:r>
            <w:r w:rsidRPr="003F7F6C">
              <w:rPr>
                <w:rFonts w:eastAsia="Times New Roman" w:cs="Calibri"/>
                <w:szCs w:val="20"/>
              </w:rPr>
              <w:t>evaluation</w:t>
            </w:r>
            <w:r w:rsidRPr="003F7F6C">
              <w:rPr>
                <w:rFonts w:cs="Calibri"/>
                <w:szCs w:val="20"/>
              </w:rPr>
              <w:t xml:space="preserve"> of the project</w:t>
            </w:r>
            <w:r w:rsidRPr="003F7F6C">
              <w:rPr>
                <w:rFonts w:eastAsia="Times New Roman" w:cs="Calibri"/>
                <w:szCs w:val="20"/>
              </w:rPr>
              <w:t xml:space="preserve"> to assess the achievement of project results, and to draw lessons that can both improve the sustainability of benefits from this project, and aid in the overall enhancement of UNDP programming.   </w:t>
            </w:r>
          </w:p>
        </w:tc>
      </w:tr>
      <w:tr w:rsidR="004969AA" w:rsidRPr="003F7F6C" w14:paraId="09E5F03F" w14:textId="77777777" w:rsidTr="00EF3482">
        <w:trPr>
          <w:trHeight w:val="431"/>
        </w:trPr>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10D3014F" w14:textId="77777777" w:rsidR="004969AA" w:rsidRPr="003F7F6C" w:rsidRDefault="004969AA" w:rsidP="00EF3482">
            <w:pPr>
              <w:spacing w:after="0"/>
              <w:rPr>
                <w:rFonts w:cs="Calibri"/>
                <w:b/>
                <w:i/>
                <w:szCs w:val="20"/>
                <w:lang w:eastAsia="ja-JP"/>
              </w:rPr>
            </w:pPr>
            <w:r w:rsidRPr="003F7F6C">
              <w:rPr>
                <w:rFonts w:cs="Calibri"/>
                <w:b/>
                <w:i/>
                <w:szCs w:val="20"/>
                <w:lang w:eastAsia="ja-JP"/>
              </w:rPr>
              <w:t>International / Regional and global contracting</w:t>
            </w:r>
          </w:p>
        </w:tc>
      </w:tr>
      <w:tr w:rsidR="004969AA" w:rsidRPr="003F7F6C" w14:paraId="620BC2CA" w14:textId="77777777" w:rsidTr="00EF3482">
        <w:tc>
          <w:tcPr>
            <w:tcW w:w="1963" w:type="dxa"/>
            <w:tcBorders>
              <w:top w:val="single" w:sz="4" w:space="0" w:color="auto"/>
              <w:left w:val="single" w:sz="4" w:space="0" w:color="auto"/>
              <w:bottom w:val="single" w:sz="4" w:space="0" w:color="auto"/>
              <w:right w:val="single" w:sz="4" w:space="0" w:color="auto"/>
            </w:tcBorders>
          </w:tcPr>
          <w:p w14:paraId="553E4B5F" w14:textId="77777777" w:rsidR="004969AA" w:rsidRPr="003F7F6C" w:rsidRDefault="004969AA" w:rsidP="00EF3482">
            <w:pPr>
              <w:spacing w:after="0"/>
              <w:jc w:val="left"/>
              <w:rPr>
                <w:rFonts w:cs="Calibri"/>
                <w:szCs w:val="20"/>
                <w:lang w:eastAsia="ja-JP"/>
              </w:rPr>
            </w:pPr>
            <w:r w:rsidRPr="003F7F6C">
              <w:rPr>
                <w:rFonts w:cs="Calibri"/>
                <w:szCs w:val="20"/>
                <w:lang w:eastAsia="ja-JP"/>
              </w:rPr>
              <w:t>Mid-term Review Expert</w:t>
            </w:r>
          </w:p>
          <w:p w14:paraId="51DE54FA" w14:textId="77777777" w:rsidR="004969AA" w:rsidRPr="003F7F6C" w:rsidRDefault="004969AA" w:rsidP="00EF3482">
            <w:pPr>
              <w:spacing w:after="0"/>
              <w:rPr>
                <w:rFonts w:cs="Calibri"/>
                <w:szCs w:val="20"/>
                <w:lang w:eastAsia="ja-JP"/>
              </w:rPr>
            </w:pPr>
          </w:p>
          <w:p w14:paraId="596ED003" w14:textId="38DE3CE9" w:rsidR="004969AA" w:rsidRPr="003F7F6C" w:rsidRDefault="004969AA" w:rsidP="007F6301">
            <w:pPr>
              <w:spacing w:after="0"/>
              <w:jc w:val="left"/>
              <w:rPr>
                <w:rFonts w:cs="Calibri"/>
                <w:szCs w:val="20"/>
                <w:lang w:eastAsia="ja-JP"/>
              </w:rPr>
            </w:pPr>
            <w:r w:rsidRPr="003F7F6C">
              <w:rPr>
                <w:rFonts w:cs="Calibri"/>
                <w:szCs w:val="20"/>
                <w:lang w:eastAsia="ja-JP"/>
              </w:rPr>
              <w:t xml:space="preserve">Rate: USD </w:t>
            </w:r>
            <w:r w:rsidR="005F3B2E" w:rsidRPr="003F7F6C">
              <w:rPr>
                <w:rFonts w:cs="Calibri"/>
                <w:szCs w:val="20"/>
                <w:lang w:eastAsia="ja-JP"/>
              </w:rPr>
              <w:t>2</w:t>
            </w:r>
            <w:r w:rsidRPr="003F7F6C">
              <w:rPr>
                <w:rFonts w:cs="Calibri"/>
                <w:szCs w:val="20"/>
                <w:lang w:eastAsia="ja-JP"/>
              </w:rPr>
              <w:t>,</w:t>
            </w:r>
            <w:r w:rsidR="005F3B2E" w:rsidRPr="003F7F6C">
              <w:rPr>
                <w:rFonts w:cs="Calibri"/>
                <w:szCs w:val="20"/>
                <w:lang w:eastAsia="ja-JP"/>
              </w:rPr>
              <w:t>5</w:t>
            </w:r>
            <w:r w:rsidR="007F6301" w:rsidRPr="003F7F6C">
              <w:rPr>
                <w:rFonts w:cs="Calibri"/>
                <w:szCs w:val="20"/>
                <w:lang w:eastAsia="ja-JP"/>
              </w:rPr>
              <w:t>00</w:t>
            </w:r>
            <w:r w:rsidRPr="003F7F6C">
              <w:rPr>
                <w:rFonts w:cs="Calibri"/>
                <w:szCs w:val="20"/>
                <w:lang w:eastAsia="ja-JP"/>
              </w:rPr>
              <w:t>/week</w:t>
            </w:r>
          </w:p>
        </w:tc>
        <w:tc>
          <w:tcPr>
            <w:tcW w:w="1440" w:type="dxa"/>
            <w:tcBorders>
              <w:top w:val="single" w:sz="4" w:space="0" w:color="auto"/>
              <w:left w:val="single" w:sz="4" w:space="0" w:color="auto"/>
              <w:bottom w:val="single" w:sz="4" w:space="0" w:color="auto"/>
              <w:right w:val="single" w:sz="4" w:space="0" w:color="auto"/>
            </w:tcBorders>
            <w:hideMark/>
          </w:tcPr>
          <w:p w14:paraId="0B2EF117" w14:textId="77777777" w:rsidR="004969AA" w:rsidRPr="003F7F6C" w:rsidRDefault="004969AA" w:rsidP="00EF3482">
            <w:pPr>
              <w:spacing w:after="0"/>
              <w:rPr>
                <w:rFonts w:cs="Calibri"/>
                <w:szCs w:val="20"/>
                <w:lang w:eastAsia="ja-JP"/>
              </w:rPr>
            </w:pPr>
            <w:r w:rsidRPr="003F7F6C">
              <w:rPr>
                <w:rFonts w:cs="Calibri"/>
                <w:szCs w:val="20"/>
                <w:lang w:eastAsia="ja-JP"/>
              </w:rPr>
              <w:t>6 weeks</w:t>
            </w:r>
          </w:p>
        </w:tc>
        <w:tc>
          <w:tcPr>
            <w:tcW w:w="10619" w:type="dxa"/>
            <w:tcBorders>
              <w:top w:val="single" w:sz="4" w:space="0" w:color="auto"/>
              <w:left w:val="single" w:sz="4" w:space="0" w:color="auto"/>
              <w:bottom w:val="single" w:sz="4" w:space="0" w:color="auto"/>
              <w:right w:val="single" w:sz="4" w:space="0" w:color="auto"/>
            </w:tcBorders>
          </w:tcPr>
          <w:p w14:paraId="22E3A559" w14:textId="597ACB4A" w:rsidR="004969AA" w:rsidRPr="003F7F6C" w:rsidRDefault="004969AA" w:rsidP="00EF3482">
            <w:pPr>
              <w:spacing w:after="0"/>
              <w:rPr>
                <w:rFonts w:cs="Calibri"/>
                <w:szCs w:val="20"/>
              </w:rPr>
            </w:pPr>
            <w:r w:rsidRPr="003F7F6C">
              <w:rPr>
                <w:rFonts w:cs="Calibri"/>
                <w:szCs w:val="20"/>
              </w:rPr>
              <w:t xml:space="preserve">The Mid-term Review Expert will assess progress towards the achievement of the project objectives and outcomes as specified in the Project Document, and assess early signs of project success or failure with the goal of identifying the necessary changes to be made in order to set the project on-track to achieve its intended results. The MTR will also review the project’s strategy, </w:t>
            </w:r>
            <w:r w:rsidR="00B43170" w:rsidRPr="003F7F6C">
              <w:rPr>
                <w:rFonts w:cs="Calibri"/>
                <w:szCs w:val="20"/>
              </w:rPr>
              <w:t>and the</w:t>
            </w:r>
            <w:r w:rsidRPr="003F7F6C">
              <w:rPr>
                <w:rFonts w:cs="Calibri"/>
                <w:szCs w:val="20"/>
              </w:rPr>
              <w:t xml:space="preserve"> risks to sustainability</w:t>
            </w:r>
            <w:r w:rsidR="00B43170" w:rsidRPr="003F7F6C">
              <w:rPr>
                <w:rFonts w:cs="Calibri"/>
                <w:szCs w:val="20"/>
              </w:rPr>
              <w:t>, among other elements</w:t>
            </w:r>
            <w:r w:rsidRPr="003F7F6C">
              <w:rPr>
                <w:rFonts w:cs="Calibri"/>
                <w:szCs w:val="20"/>
              </w:rPr>
              <w:t>.</w:t>
            </w:r>
          </w:p>
          <w:p w14:paraId="124AFE55" w14:textId="77777777" w:rsidR="004969AA" w:rsidRPr="003F7F6C" w:rsidRDefault="004969AA" w:rsidP="00EF3482">
            <w:pPr>
              <w:spacing w:after="0"/>
              <w:rPr>
                <w:rFonts w:cs="Calibri"/>
                <w:szCs w:val="20"/>
                <w:lang w:eastAsia="ja-JP"/>
              </w:rPr>
            </w:pPr>
          </w:p>
        </w:tc>
      </w:tr>
      <w:tr w:rsidR="004969AA" w:rsidRPr="003F7F6C" w14:paraId="5729B0F9" w14:textId="77777777" w:rsidTr="00EF3482">
        <w:tc>
          <w:tcPr>
            <w:tcW w:w="1963" w:type="dxa"/>
            <w:tcBorders>
              <w:top w:val="single" w:sz="4" w:space="0" w:color="auto"/>
              <w:left w:val="single" w:sz="4" w:space="0" w:color="auto"/>
              <w:bottom w:val="single" w:sz="4" w:space="0" w:color="auto"/>
              <w:right w:val="single" w:sz="4" w:space="0" w:color="auto"/>
            </w:tcBorders>
          </w:tcPr>
          <w:p w14:paraId="783CBD42" w14:textId="77777777" w:rsidR="004969AA" w:rsidRPr="003F7F6C" w:rsidRDefault="004969AA" w:rsidP="00EF3482">
            <w:pPr>
              <w:spacing w:after="0"/>
              <w:rPr>
                <w:rFonts w:cs="Calibri"/>
                <w:szCs w:val="20"/>
                <w:lang w:eastAsia="ja-JP"/>
              </w:rPr>
            </w:pPr>
            <w:r w:rsidRPr="003F7F6C">
              <w:rPr>
                <w:rFonts w:cs="Calibri"/>
                <w:szCs w:val="20"/>
                <w:lang w:eastAsia="ja-JP"/>
              </w:rPr>
              <w:t>Terminal Evaluation Expert</w:t>
            </w:r>
          </w:p>
          <w:p w14:paraId="4D35932C" w14:textId="77777777" w:rsidR="004969AA" w:rsidRPr="003F7F6C" w:rsidRDefault="004969AA" w:rsidP="00EF3482">
            <w:pPr>
              <w:spacing w:after="0"/>
              <w:rPr>
                <w:rFonts w:cs="Calibri"/>
                <w:szCs w:val="20"/>
                <w:lang w:eastAsia="ja-JP"/>
              </w:rPr>
            </w:pPr>
          </w:p>
          <w:p w14:paraId="1B5BE51D" w14:textId="4750961B" w:rsidR="004969AA" w:rsidRPr="003F7F6C" w:rsidRDefault="004969AA" w:rsidP="007F6301">
            <w:pPr>
              <w:spacing w:after="0"/>
              <w:jc w:val="left"/>
              <w:rPr>
                <w:rFonts w:cs="Calibri"/>
                <w:szCs w:val="20"/>
                <w:lang w:eastAsia="ja-JP"/>
              </w:rPr>
            </w:pPr>
            <w:r w:rsidRPr="003F7F6C">
              <w:rPr>
                <w:rFonts w:cs="Calibri"/>
                <w:szCs w:val="20"/>
                <w:lang w:eastAsia="ja-JP"/>
              </w:rPr>
              <w:t xml:space="preserve">Rate: USD </w:t>
            </w:r>
            <w:r w:rsidR="005F3B2E" w:rsidRPr="003F7F6C">
              <w:rPr>
                <w:rFonts w:cs="Calibri"/>
                <w:szCs w:val="20"/>
                <w:lang w:eastAsia="ja-JP"/>
              </w:rPr>
              <w:t>3</w:t>
            </w:r>
            <w:r w:rsidR="000838BC" w:rsidRPr="003F7F6C">
              <w:rPr>
                <w:rFonts w:cs="Calibri"/>
                <w:szCs w:val="20"/>
                <w:lang w:eastAsia="ja-JP"/>
              </w:rPr>
              <w:t>,000</w:t>
            </w:r>
            <w:r w:rsidRPr="003F7F6C">
              <w:rPr>
                <w:rFonts w:cs="Calibri"/>
                <w:szCs w:val="20"/>
                <w:lang w:eastAsia="ja-JP"/>
              </w:rPr>
              <w:t>/week</w:t>
            </w:r>
          </w:p>
        </w:tc>
        <w:tc>
          <w:tcPr>
            <w:tcW w:w="1440" w:type="dxa"/>
            <w:tcBorders>
              <w:top w:val="single" w:sz="4" w:space="0" w:color="auto"/>
              <w:left w:val="single" w:sz="4" w:space="0" w:color="auto"/>
              <w:bottom w:val="single" w:sz="4" w:space="0" w:color="auto"/>
              <w:right w:val="single" w:sz="4" w:space="0" w:color="auto"/>
            </w:tcBorders>
          </w:tcPr>
          <w:p w14:paraId="2F71531E" w14:textId="77777777" w:rsidR="004969AA" w:rsidRPr="003F7F6C" w:rsidRDefault="004969AA" w:rsidP="00EF3482">
            <w:pPr>
              <w:spacing w:after="0"/>
              <w:rPr>
                <w:rFonts w:cs="Calibri"/>
                <w:szCs w:val="20"/>
                <w:lang w:eastAsia="ja-JP"/>
              </w:rPr>
            </w:pPr>
            <w:r w:rsidRPr="003F7F6C">
              <w:rPr>
                <w:rFonts w:cs="Calibri"/>
                <w:szCs w:val="20"/>
                <w:lang w:eastAsia="ja-JP"/>
              </w:rPr>
              <w:t>6 weeks</w:t>
            </w:r>
          </w:p>
        </w:tc>
        <w:tc>
          <w:tcPr>
            <w:tcW w:w="10619" w:type="dxa"/>
            <w:tcBorders>
              <w:top w:val="single" w:sz="4" w:space="0" w:color="auto"/>
              <w:left w:val="single" w:sz="4" w:space="0" w:color="auto"/>
              <w:bottom w:val="single" w:sz="4" w:space="0" w:color="auto"/>
              <w:right w:val="single" w:sz="4" w:space="0" w:color="auto"/>
            </w:tcBorders>
          </w:tcPr>
          <w:p w14:paraId="298E679D" w14:textId="77777777" w:rsidR="004969AA" w:rsidRPr="003F7F6C" w:rsidRDefault="004969AA" w:rsidP="00EF3482">
            <w:pPr>
              <w:spacing w:after="0"/>
              <w:jc w:val="left"/>
              <w:rPr>
                <w:rFonts w:cs="Calibri"/>
                <w:szCs w:val="20"/>
                <w:lang w:eastAsia="ja-JP"/>
              </w:rPr>
            </w:pPr>
            <w:r w:rsidRPr="003F7F6C">
              <w:rPr>
                <w:rFonts w:cs="Calibri"/>
                <w:szCs w:val="20"/>
              </w:rPr>
              <w:t xml:space="preserve">The Terminal Evaluation expert will undertake an </w:t>
            </w:r>
            <w:r w:rsidRPr="003F7F6C">
              <w:rPr>
                <w:rFonts w:eastAsia="Times New Roman" w:cs="Calibri"/>
                <w:szCs w:val="20"/>
              </w:rPr>
              <w:t>evaluation</w:t>
            </w:r>
            <w:r w:rsidRPr="003F7F6C">
              <w:rPr>
                <w:rFonts w:cs="Calibri"/>
                <w:szCs w:val="20"/>
              </w:rPr>
              <w:t xml:space="preserve"> of the project</w:t>
            </w:r>
            <w:r w:rsidRPr="003F7F6C">
              <w:rPr>
                <w:rFonts w:eastAsia="Times New Roman" w:cs="Calibri"/>
                <w:szCs w:val="20"/>
              </w:rPr>
              <w:t xml:space="preserve"> to assess the achievement of project results, and to draw lessons that can both improve the sustainability of benefits from this project, and aid in the overall enhancement of UNDP programming.   </w:t>
            </w:r>
          </w:p>
        </w:tc>
      </w:tr>
    </w:tbl>
    <w:p w14:paraId="75773079" w14:textId="77777777" w:rsidR="004969AA" w:rsidRPr="003F7F6C" w:rsidRDefault="004969AA" w:rsidP="00761D79">
      <w:pPr>
        <w:jc w:val="left"/>
        <w:rPr>
          <w:rFonts w:cs="Arial"/>
          <w:i/>
          <w:noProof/>
          <w:szCs w:val="20"/>
          <w:lang w:eastAsia="zh-CN"/>
        </w:rPr>
      </w:pPr>
    </w:p>
    <w:p w14:paraId="788B80FF" w14:textId="77777777" w:rsidR="004969AA" w:rsidRPr="003F7F6C" w:rsidRDefault="004969AA" w:rsidP="00193746"/>
    <w:p w14:paraId="1AE0BE56" w14:textId="19AE40A4" w:rsidR="00761D79" w:rsidRPr="003F7F6C" w:rsidRDefault="003F5617" w:rsidP="00193746">
      <w:pPr>
        <w:rPr>
          <w:b/>
          <w:sz w:val="16"/>
          <w:szCs w:val="16"/>
        </w:rPr>
        <w:sectPr w:rsidR="00761D79" w:rsidRPr="003F7F6C" w:rsidSect="00761D79">
          <w:pgSz w:w="15840" w:h="12240" w:orient="landscape" w:code="1"/>
          <w:pgMar w:top="1440" w:right="1440" w:bottom="1440" w:left="1440" w:header="720" w:footer="720" w:gutter="0"/>
          <w:cols w:space="720"/>
          <w:docGrid w:linePitch="360"/>
        </w:sectPr>
      </w:pPr>
      <w:r w:rsidRPr="003F7F6C">
        <w:t>.</w:t>
      </w:r>
    </w:p>
    <w:p w14:paraId="3AF29AEC" w14:textId="77777777" w:rsidR="00D42863" w:rsidRPr="003F7F6C" w:rsidRDefault="00D42863" w:rsidP="006512C4">
      <w:pPr>
        <w:pStyle w:val="Heading2"/>
        <w:ind w:left="0"/>
        <w:rPr>
          <w:rFonts w:ascii="Calibri" w:hAnsi="Calibri"/>
          <w:lang w:val="en-GB"/>
        </w:rPr>
      </w:pPr>
      <w:bookmarkStart w:id="40" w:name="_Toc529891423"/>
      <w:r w:rsidRPr="003F7F6C">
        <w:rPr>
          <w:rFonts w:ascii="Calibri" w:hAnsi="Calibri"/>
        </w:rPr>
        <w:t xml:space="preserve">Annex </w:t>
      </w:r>
      <w:r w:rsidR="006512C4" w:rsidRPr="003F7F6C">
        <w:rPr>
          <w:rFonts w:ascii="Calibri" w:hAnsi="Calibri"/>
        </w:rPr>
        <w:t>D</w:t>
      </w:r>
      <w:r w:rsidRPr="003F7F6C">
        <w:rPr>
          <w:rFonts w:ascii="Calibri" w:hAnsi="Calibri"/>
        </w:rPr>
        <w:t>: Terms of Reference</w:t>
      </w:r>
      <w:bookmarkEnd w:id="40"/>
    </w:p>
    <w:p w14:paraId="082E13A0" w14:textId="77777777" w:rsidR="000D002A" w:rsidRPr="003F7F6C" w:rsidRDefault="000D002A" w:rsidP="00D42863">
      <w:pPr>
        <w:jc w:val="left"/>
        <w:rPr>
          <w:rFonts w:cs="Arial"/>
          <w:b/>
          <w:i/>
          <w:noProof/>
          <w:szCs w:val="20"/>
          <w:lang w:eastAsia="zh-CN"/>
        </w:rPr>
      </w:pPr>
    </w:p>
    <w:p w14:paraId="6AB383F7" w14:textId="77777777" w:rsidR="00F04292" w:rsidRPr="003F7F6C" w:rsidRDefault="00F04292" w:rsidP="00F04292">
      <w:pPr>
        <w:rPr>
          <w:rFonts w:cs="Calibri"/>
          <w:b/>
          <w:iCs/>
          <w:szCs w:val="20"/>
          <w:u w:val="single"/>
          <w:lang w:eastAsia="zh-CN"/>
        </w:rPr>
      </w:pPr>
      <w:r w:rsidRPr="003F7F6C">
        <w:rPr>
          <w:rFonts w:cs="Calibri"/>
          <w:b/>
          <w:iCs/>
          <w:szCs w:val="20"/>
          <w:u w:val="single"/>
          <w:lang w:eastAsia="zh-CN"/>
        </w:rPr>
        <w:t>Terms of Reference for the Project Board</w:t>
      </w:r>
    </w:p>
    <w:p w14:paraId="03DA8655" w14:textId="77777777" w:rsidR="00F04292" w:rsidRPr="003F7F6C" w:rsidRDefault="00F04292" w:rsidP="00F04292">
      <w:pPr>
        <w:rPr>
          <w:rFonts w:cs="Calibri"/>
          <w:i/>
          <w:iCs/>
          <w:szCs w:val="20"/>
          <w:lang w:eastAsia="zh-CN"/>
        </w:rPr>
      </w:pPr>
    </w:p>
    <w:p w14:paraId="7160180F" w14:textId="2FC68D98" w:rsidR="00F04292" w:rsidRPr="003F7F6C" w:rsidRDefault="00F04292" w:rsidP="00F04292">
      <w:pPr>
        <w:rPr>
          <w:rFonts w:cs="Calibri"/>
          <w:iCs/>
          <w:szCs w:val="20"/>
          <w:lang w:eastAsia="zh-CN"/>
        </w:rPr>
      </w:pPr>
      <w:r w:rsidRPr="003F7F6C">
        <w:rPr>
          <w:rFonts w:cs="Calibri"/>
          <w:iCs/>
          <w:szCs w:val="20"/>
          <w:lang w:eastAsia="zh-CN"/>
        </w:rPr>
        <w:t xml:space="preserve">The Project Board (PB) will serve as the project’s decision-making body. It will meet according to necessity, at least once each year, to review project progress, approve project work plans and approve major project deliverables. The PB is responsible for providing strategic guidance and oversight to project implementation to ensure that it meets the requirements of the approved Project Document and achieves the stated outcomes. The PB’s role will include: </w:t>
      </w:r>
    </w:p>
    <w:p w14:paraId="0E87E599" w14:textId="7C8635AC" w:rsidR="00F04292" w:rsidRPr="003F7F6C" w:rsidRDefault="00F04292" w:rsidP="00E91275">
      <w:pPr>
        <w:numPr>
          <w:ilvl w:val="0"/>
          <w:numId w:val="15"/>
        </w:numPr>
        <w:spacing w:after="0"/>
        <w:contextualSpacing/>
        <w:rPr>
          <w:rFonts w:cs="Calibri"/>
          <w:iCs/>
          <w:szCs w:val="20"/>
          <w:lang w:eastAsia="zh-CN"/>
        </w:rPr>
      </w:pPr>
      <w:r w:rsidRPr="003F7F6C">
        <w:rPr>
          <w:rFonts w:cs="Calibri"/>
          <w:iCs/>
          <w:szCs w:val="20"/>
          <w:lang w:eastAsia="zh-CN"/>
        </w:rPr>
        <w:t xml:space="preserve">Provide strategic guidance to </w:t>
      </w:r>
      <w:r w:rsidR="00165F80" w:rsidRPr="003F7F6C">
        <w:rPr>
          <w:rFonts w:cs="Calibri"/>
          <w:iCs/>
          <w:szCs w:val="20"/>
          <w:lang w:eastAsia="zh-CN"/>
        </w:rPr>
        <w:t xml:space="preserve">support </w:t>
      </w:r>
      <w:r w:rsidRPr="003F7F6C">
        <w:rPr>
          <w:rFonts w:cs="Calibri"/>
          <w:iCs/>
          <w:szCs w:val="20"/>
          <w:lang w:eastAsia="zh-CN"/>
        </w:rPr>
        <w:t xml:space="preserve">project implementation; </w:t>
      </w:r>
    </w:p>
    <w:p w14:paraId="0E7FD2A9" w14:textId="1E3BC708" w:rsidR="00F04292" w:rsidRPr="003F7F6C" w:rsidRDefault="00F04292" w:rsidP="00E91275">
      <w:pPr>
        <w:numPr>
          <w:ilvl w:val="0"/>
          <w:numId w:val="15"/>
        </w:numPr>
        <w:spacing w:after="0"/>
        <w:contextualSpacing/>
        <w:rPr>
          <w:rFonts w:cs="Calibri"/>
          <w:iCs/>
          <w:szCs w:val="20"/>
          <w:lang w:eastAsia="zh-CN"/>
        </w:rPr>
      </w:pPr>
      <w:r w:rsidRPr="003F7F6C">
        <w:rPr>
          <w:rFonts w:cs="Calibri"/>
          <w:iCs/>
          <w:szCs w:val="20"/>
          <w:lang w:eastAsia="zh-CN"/>
        </w:rPr>
        <w:t>Ensure coordination between various donor</w:t>
      </w:r>
      <w:r w:rsidR="00165F80" w:rsidRPr="003F7F6C">
        <w:rPr>
          <w:rFonts w:cs="Calibri"/>
          <w:iCs/>
          <w:szCs w:val="20"/>
          <w:lang w:eastAsia="zh-CN"/>
        </w:rPr>
        <w:t>-</w:t>
      </w:r>
      <w:r w:rsidRPr="003F7F6C">
        <w:rPr>
          <w:rFonts w:cs="Calibri"/>
          <w:iCs/>
          <w:szCs w:val="20"/>
          <w:lang w:eastAsia="zh-CN"/>
        </w:rPr>
        <w:t xml:space="preserve"> funded and government</w:t>
      </w:r>
      <w:r w:rsidR="00165F80" w:rsidRPr="003F7F6C">
        <w:rPr>
          <w:rFonts w:cs="Calibri"/>
          <w:iCs/>
          <w:szCs w:val="20"/>
          <w:lang w:eastAsia="zh-CN"/>
        </w:rPr>
        <w:t>-</w:t>
      </w:r>
      <w:r w:rsidRPr="003F7F6C">
        <w:rPr>
          <w:rFonts w:cs="Calibri"/>
          <w:iCs/>
          <w:szCs w:val="20"/>
          <w:lang w:eastAsia="zh-CN"/>
        </w:rPr>
        <w:t xml:space="preserve"> funded projects and programs; </w:t>
      </w:r>
    </w:p>
    <w:p w14:paraId="58C15A16" w14:textId="77777777" w:rsidR="00F04292" w:rsidRPr="003F7F6C" w:rsidRDefault="00F04292" w:rsidP="00E91275">
      <w:pPr>
        <w:numPr>
          <w:ilvl w:val="0"/>
          <w:numId w:val="15"/>
        </w:numPr>
        <w:spacing w:after="0"/>
        <w:contextualSpacing/>
        <w:rPr>
          <w:rFonts w:cs="Calibri"/>
          <w:iCs/>
          <w:szCs w:val="20"/>
          <w:lang w:eastAsia="zh-CN"/>
        </w:rPr>
      </w:pPr>
      <w:r w:rsidRPr="003F7F6C">
        <w:rPr>
          <w:rFonts w:cs="Calibri"/>
          <w:iCs/>
          <w:szCs w:val="20"/>
          <w:lang w:eastAsia="zh-CN"/>
        </w:rPr>
        <w:t xml:space="preserve">Ensure coordination with various government agencies and their participation in project activities; </w:t>
      </w:r>
    </w:p>
    <w:p w14:paraId="0CA9DCC8" w14:textId="17350926" w:rsidR="00F04292" w:rsidRPr="003F7F6C" w:rsidRDefault="00F04292" w:rsidP="00E91275">
      <w:pPr>
        <w:numPr>
          <w:ilvl w:val="0"/>
          <w:numId w:val="15"/>
        </w:numPr>
        <w:spacing w:after="0"/>
        <w:contextualSpacing/>
        <w:rPr>
          <w:rFonts w:cs="Calibri"/>
          <w:iCs/>
          <w:szCs w:val="20"/>
          <w:lang w:eastAsia="zh-CN"/>
        </w:rPr>
      </w:pPr>
      <w:r w:rsidRPr="003F7F6C">
        <w:rPr>
          <w:rFonts w:cs="Calibri"/>
          <w:iCs/>
          <w:szCs w:val="20"/>
          <w:lang w:eastAsia="zh-CN"/>
        </w:rPr>
        <w:t>Approve annual project work plans and budgets, a</w:t>
      </w:r>
      <w:r w:rsidR="00165F80" w:rsidRPr="003F7F6C">
        <w:rPr>
          <w:rFonts w:cs="Calibri"/>
          <w:iCs/>
          <w:szCs w:val="20"/>
          <w:lang w:eastAsia="zh-CN"/>
        </w:rPr>
        <w:t xml:space="preserve">s </w:t>
      </w:r>
      <w:r w:rsidRPr="003F7F6C">
        <w:rPr>
          <w:rFonts w:cs="Calibri"/>
          <w:iCs/>
          <w:szCs w:val="20"/>
          <w:lang w:eastAsia="zh-CN"/>
        </w:rPr>
        <w:t xml:space="preserve"> propos</w:t>
      </w:r>
      <w:r w:rsidR="00165F80" w:rsidRPr="003F7F6C">
        <w:rPr>
          <w:rFonts w:cs="Calibri"/>
          <w:iCs/>
          <w:szCs w:val="20"/>
          <w:lang w:eastAsia="zh-CN"/>
        </w:rPr>
        <w:t>ed by</w:t>
      </w:r>
      <w:r w:rsidRPr="003F7F6C">
        <w:rPr>
          <w:rFonts w:cs="Calibri"/>
          <w:iCs/>
          <w:szCs w:val="20"/>
          <w:lang w:eastAsia="zh-CN"/>
        </w:rPr>
        <w:t xml:space="preserve"> the Project Manager; </w:t>
      </w:r>
    </w:p>
    <w:p w14:paraId="6B878F83" w14:textId="77777777" w:rsidR="00F04292" w:rsidRPr="003F7F6C" w:rsidRDefault="00F04292" w:rsidP="00E91275">
      <w:pPr>
        <w:numPr>
          <w:ilvl w:val="0"/>
          <w:numId w:val="15"/>
        </w:numPr>
        <w:spacing w:after="0"/>
        <w:contextualSpacing/>
        <w:rPr>
          <w:rFonts w:cs="Calibri"/>
          <w:iCs/>
          <w:szCs w:val="20"/>
          <w:lang w:eastAsia="zh-CN"/>
        </w:rPr>
      </w:pPr>
      <w:r w:rsidRPr="003F7F6C">
        <w:rPr>
          <w:rFonts w:cs="Calibri"/>
          <w:iCs/>
          <w:szCs w:val="20"/>
          <w:lang w:eastAsia="zh-CN"/>
        </w:rPr>
        <w:t>Approve any major changes in project plans or programs;</w:t>
      </w:r>
    </w:p>
    <w:p w14:paraId="4A9990E5" w14:textId="77777777" w:rsidR="00F04292" w:rsidRPr="003F7F6C" w:rsidRDefault="00F04292" w:rsidP="00E91275">
      <w:pPr>
        <w:numPr>
          <w:ilvl w:val="0"/>
          <w:numId w:val="15"/>
        </w:numPr>
        <w:spacing w:after="0"/>
        <w:contextualSpacing/>
        <w:rPr>
          <w:rFonts w:cs="Calibri"/>
          <w:iCs/>
          <w:szCs w:val="20"/>
          <w:lang w:eastAsia="zh-CN"/>
        </w:rPr>
      </w:pPr>
      <w:r w:rsidRPr="003F7F6C">
        <w:rPr>
          <w:rFonts w:cs="Calibri"/>
          <w:iCs/>
          <w:szCs w:val="20"/>
          <w:lang w:eastAsia="zh-CN"/>
        </w:rPr>
        <w:t xml:space="preserve">Oversee monitoring, evaluation and reporting in line with GEF requirements; </w:t>
      </w:r>
    </w:p>
    <w:p w14:paraId="00588839" w14:textId="77777777" w:rsidR="00F04292" w:rsidRPr="003F7F6C" w:rsidRDefault="00F04292" w:rsidP="00E91275">
      <w:pPr>
        <w:numPr>
          <w:ilvl w:val="0"/>
          <w:numId w:val="15"/>
        </w:numPr>
        <w:spacing w:after="0"/>
        <w:contextualSpacing/>
        <w:rPr>
          <w:rFonts w:cs="Calibri"/>
          <w:iCs/>
          <w:szCs w:val="20"/>
          <w:lang w:eastAsia="zh-CN"/>
        </w:rPr>
      </w:pPr>
      <w:r w:rsidRPr="003F7F6C">
        <w:rPr>
          <w:rFonts w:cs="Calibri"/>
          <w:iCs/>
          <w:szCs w:val="20"/>
          <w:lang w:eastAsia="zh-CN"/>
        </w:rPr>
        <w:t xml:space="preserve">Ensure commitment of human resources to support project implementation, arbitrating any issues within the project; </w:t>
      </w:r>
    </w:p>
    <w:p w14:paraId="5F6E9CD1" w14:textId="77777777" w:rsidR="00F04292" w:rsidRPr="003F7F6C" w:rsidRDefault="00F04292" w:rsidP="00E91275">
      <w:pPr>
        <w:numPr>
          <w:ilvl w:val="0"/>
          <w:numId w:val="15"/>
        </w:numPr>
        <w:spacing w:after="0"/>
        <w:contextualSpacing/>
        <w:rPr>
          <w:rFonts w:cs="Calibri"/>
          <w:iCs/>
          <w:szCs w:val="20"/>
          <w:lang w:eastAsia="zh-CN"/>
        </w:rPr>
      </w:pPr>
      <w:r w:rsidRPr="003F7F6C">
        <w:rPr>
          <w:rFonts w:cs="Calibri"/>
          <w:iCs/>
          <w:szCs w:val="20"/>
          <w:lang w:eastAsia="zh-CN"/>
        </w:rPr>
        <w:t xml:space="preserve">Negotiate solutions between the project and any parties beyond the scope of the project; </w:t>
      </w:r>
    </w:p>
    <w:p w14:paraId="3182DAEA" w14:textId="77777777" w:rsidR="00F04292" w:rsidRPr="003F7F6C" w:rsidRDefault="00F04292" w:rsidP="00E91275">
      <w:pPr>
        <w:numPr>
          <w:ilvl w:val="0"/>
          <w:numId w:val="15"/>
        </w:numPr>
        <w:spacing w:after="0"/>
        <w:contextualSpacing/>
        <w:rPr>
          <w:rFonts w:cs="Calibri"/>
          <w:iCs/>
          <w:szCs w:val="20"/>
          <w:lang w:eastAsia="zh-CN"/>
        </w:rPr>
      </w:pPr>
      <w:r w:rsidRPr="003F7F6C">
        <w:rPr>
          <w:rFonts w:cs="Calibri"/>
          <w:iCs/>
          <w:szCs w:val="20"/>
          <w:lang w:eastAsia="zh-CN"/>
        </w:rPr>
        <w:t>Ensure that UNDP Social and Environmental Safeguards Policy is applied throughout project implementation; and, address related grievances as necessary.</w:t>
      </w:r>
    </w:p>
    <w:p w14:paraId="041514D5" w14:textId="77777777" w:rsidR="00F04292" w:rsidRPr="003F7F6C" w:rsidRDefault="00F04292" w:rsidP="00F04292">
      <w:pPr>
        <w:rPr>
          <w:rFonts w:cs="Calibri"/>
          <w:iCs/>
          <w:szCs w:val="20"/>
          <w:lang w:eastAsia="zh-CN"/>
        </w:rPr>
      </w:pPr>
    </w:p>
    <w:p w14:paraId="37CCF058" w14:textId="77777777" w:rsidR="00F04292" w:rsidRPr="003F7F6C" w:rsidRDefault="00F04292" w:rsidP="00F04292">
      <w:pPr>
        <w:rPr>
          <w:rFonts w:cs="Calibri"/>
          <w:iCs/>
          <w:szCs w:val="20"/>
          <w:lang w:eastAsia="zh-CN"/>
        </w:rPr>
      </w:pPr>
      <w:r w:rsidRPr="003F7F6C">
        <w:rPr>
          <w:rFonts w:cs="Calibri"/>
          <w:iCs/>
          <w:szCs w:val="20"/>
          <w:lang w:eastAsia="zh-CN"/>
        </w:rPr>
        <w:t xml:space="preserve">These terms of reference will be finalized during the Project Inception Workshop. </w:t>
      </w:r>
    </w:p>
    <w:p w14:paraId="4C2D25F4" w14:textId="77777777" w:rsidR="00F04292" w:rsidRPr="003F7F6C" w:rsidRDefault="00F04292" w:rsidP="00F04292">
      <w:pPr>
        <w:rPr>
          <w:rFonts w:cs="Calibri"/>
          <w:b/>
          <w:szCs w:val="20"/>
        </w:rPr>
      </w:pPr>
    </w:p>
    <w:p w14:paraId="7B15CE24" w14:textId="77777777" w:rsidR="00F04292" w:rsidRPr="003F7F6C" w:rsidRDefault="00F04292" w:rsidP="00F04292">
      <w:pPr>
        <w:rPr>
          <w:rFonts w:cs="Calibri"/>
          <w:b/>
          <w:iCs/>
          <w:szCs w:val="20"/>
          <w:u w:val="single"/>
          <w:lang w:eastAsia="zh-CN"/>
        </w:rPr>
      </w:pPr>
      <w:r w:rsidRPr="003F7F6C">
        <w:rPr>
          <w:rFonts w:cs="Calibri"/>
          <w:b/>
          <w:szCs w:val="20"/>
          <w:u w:val="single"/>
        </w:rPr>
        <w:t>Terms of Reference for the Project Technical Committee</w:t>
      </w:r>
      <w:r w:rsidRPr="003F7F6C">
        <w:rPr>
          <w:rFonts w:cs="Calibri"/>
          <w:szCs w:val="20"/>
          <w:u w:val="single"/>
        </w:rPr>
        <w:t xml:space="preserve"> </w:t>
      </w:r>
      <w:r w:rsidRPr="003F7F6C">
        <w:rPr>
          <w:rFonts w:cs="Calibri"/>
          <w:b/>
          <w:szCs w:val="20"/>
          <w:u w:val="single"/>
        </w:rPr>
        <w:t>(PTC)</w:t>
      </w:r>
    </w:p>
    <w:p w14:paraId="0E922661" w14:textId="77777777" w:rsidR="00F04292" w:rsidRPr="003F7F6C" w:rsidRDefault="00F04292" w:rsidP="00F04292">
      <w:pPr>
        <w:rPr>
          <w:rFonts w:cs="Calibri"/>
          <w:b/>
          <w:iCs/>
          <w:szCs w:val="20"/>
          <w:lang w:eastAsia="zh-CN"/>
        </w:rPr>
      </w:pPr>
    </w:p>
    <w:p w14:paraId="17D70EEA" w14:textId="60403757" w:rsidR="00F04292" w:rsidRPr="003F7F6C" w:rsidRDefault="00F04292" w:rsidP="00F04292">
      <w:pPr>
        <w:rPr>
          <w:rFonts w:cs="Calibri"/>
          <w:szCs w:val="20"/>
        </w:rPr>
      </w:pPr>
      <w:r w:rsidRPr="003F7F6C">
        <w:rPr>
          <w:rFonts w:cs="Calibri"/>
          <w:szCs w:val="20"/>
        </w:rPr>
        <w:t xml:space="preserve">The PTC will provide technical advice and inputs relating to project implementation and will be chaired by the Project National Director with support from the Project Coordinator.  The members of the PTC will consist of representatives </w:t>
      </w:r>
      <w:r w:rsidR="00165F80" w:rsidRPr="003F7F6C">
        <w:rPr>
          <w:rFonts w:cs="Calibri"/>
          <w:szCs w:val="20"/>
        </w:rPr>
        <w:t xml:space="preserve">of </w:t>
      </w:r>
      <w:r w:rsidRPr="003F7F6C">
        <w:rPr>
          <w:rFonts w:cs="Calibri"/>
          <w:szCs w:val="20"/>
        </w:rPr>
        <w:t>SGAyDS, UNDP, provincial governments of Buenos Aires, Mendoza and Jujuy, INTA, other relevant government agencies, research and educational organizations, NGOs, technical experts and other relevant stakeholders to be agreed by the Project Board. Technical experts may be invited in to discuss specific issues. Indicative Terms of Reference are as follows</w:t>
      </w:r>
      <w:r w:rsidR="00165F80" w:rsidRPr="003F7F6C">
        <w:rPr>
          <w:rFonts w:cs="Calibri"/>
          <w:szCs w:val="20"/>
        </w:rPr>
        <w:t>:</w:t>
      </w:r>
    </w:p>
    <w:p w14:paraId="3063D8E9" w14:textId="77777777" w:rsidR="00F04292" w:rsidRPr="003F7F6C" w:rsidRDefault="00F04292" w:rsidP="00E91275">
      <w:pPr>
        <w:numPr>
          <w:ilvl w:val="0"/>
          <w:numId w:val="14"/>
        </w:numPr>
        <w:spacing w:after="0"/>
        <w:contextualSpacing/>
        <w:rPr>
          <w:rFonts w:cs="Calibri"/>
          <w:iCs/>
          <w:szCs w:val="20"/>
          <w:lang w:eastAsia="zh-CN"/>
        </w:rPr>
      </w:pPr>
      <w:r w:rsidRPr="003F7F6C">
        <w:rPr>
          <w:rFonts w:cs="Calibri"/>
          <w:iCs/>
          <w:szCs w:val="20"/>
          <w:lang w:eastAsia="zh-CN"/>
        </w:rPr>
        <w:t>Review planned activities and ensure that they are technically sound and that, wherever possible, there is integration and synergy between the various project components during planning and implementation;</w:t>
      </w:r>
    </w:p>
    <w:p w14:paraId="01853B70" w14:textId="77777777" w:rsidR="00F04292" w:rsidRPr="003F7F6C" w:rsidRDefault="00F04292" w:rsidP="00E91275">
      <w:pPr>
        <w:numPr>
          <w:ilvl w:val="0"/>
          <w:numId w:val="14"/>
        </w:numPr>
        <w:spacing w:after="0"/>
        <w:contextualSpacing/>
        <w:rPr>
          <w:rFonts w:cs="Calibri"/>
          <w:iCs/>
          <w:szCs w:val="20"/>
          <w:lang w:eastAsia="zh-CN"/>
        </w:rPr>
      </w:pPr>
      <w:r w:rsidRPr="003F7F6C">
        <w:rPr>
          <w:rFonts w:cs="Calibri"/>
          <w:iCs/>
          <w:szCs w:val="20"/>
          <w:lang w:eastAsia="zh-CN"/>
        </w:rPr>
        <w:t xml:space="preserve">Promote technical coordination between institutions, where such coordination is necessary and where opportunities for synergy and sharing of lessons exist; </w:t>
      </w:r>
    </w:p>
    <w:p w14:paraId="6F45F487" w14:textId="09E3BB9D" w:rsidR="00F04292" w:rsidRPr="003F7F6C" w:rsidRDefault="00F04292" w:rsidP="00E91275">
      <w:pPr>
        <w:numPr>
          <w:ilvl w:val="0"/>
          <w:numId w:val="14"/>
        </w:numPr>
        <w:spacing w:after="0"/>
        <w:contextualSpacing/>
        <w:rPr>
          <w:rFonts w:cs="Calibri"/>
          <w:b/>
          <w:iCs/>
          <w:szCs w:val="20"/>
          <w:lang w:eastAsia="zh-CN"/>
        </w:rPr>
      </w:pPr>
      <w:r w:rsidRPr="003F7F6C">
        <w:rPr>
          <w:rFonts w:cs="Calibri"/>
          <w:szCs w:val="20"/>
        </w:rPr>
        <w:t>Provide technical advice and guidance on specific issues</w:t>
      </w:r>
      <w:r w:rsidR="00165F80" w:rsidRPr="003F7F6C">
        <w:rPr>
          <w:rFonts w:cs="Calibri"/>
          <w:szCs w:val="20"/>
        </w:rPr>
        <w:t xml:space="preserve"> related to environmental land use planning</w:t>
      </w:r>
      <w:r w:rsidRPr="003F7F6C">
        <w:rPr>
          <w:rFonts w:cs="Calibri"/>
          <w:szCs w:val="20"/>
        </w:rPr>
        <w:t>;</w:t>
      </w:r>
    </w:p>
    <w:p w14:paraId="69C2CBC3" w14:textId="77777777" w:rsidR="00F04292" w:rsidRPr="003F7F6C" w:rsidRDefault="00F04292" w:rsidP="00E91275">
      <w:pPr>
        <w:numPr>
          <w:ilvl w:val="0"/>
          <w:numId w:val="14"/>
        </w:numPr>
        <w:spacing w:after="0"/>
        <w:contextualSpacing/>
        <w:rPr>
          <w:rFonts w:cs="Calibri"/>
          <w:b/>
          <w:iCs/>
          <w:szCs w:val="20"/>
          <w:lang w:eastAsia="zh-CN"/>
        </w:rPr>
      </w:pPr>
      <w:r w:rsidRPr="003F7F6C">
        <w:rPr>
          <w:rFonts w:cs="Calibri"/>
          <w:szCs w:val="20"/>
        </w:rPr>
        <w:t>Share information on project progress and lessons learned with related stakeholders at the national level;</w:t>
      </w:r>
    </w:p>
    <w:p w14:paraId="710FF2CB" w14:textId="77777777" w:rsidR="00F04292" w:rsidRPr="003F7F6C" w:rsidRDefault="00F04292" w:rsidP="00E91275">
      <w:pPr>
        <w:numPr>
          <w:ilvl w:val="0"/>
          <w:numId w:val="14"/>
        </w:numPr>
        <w:spacing w:after="0"/>
        <w:contextualSpacing/>
        <w:rPr>
          <w:rFonts w:cs="Calibri"/>
          <w:iCs/>
          <w:szCs w:val="20"/>
          <w:lang w:eastAsia="zh-CN"/>
        </w:rPr>
      </w:pPr>
      <w:r w:rsidRPr="003F7F6C">
        <w:rPr>
          <w:rFonts w:cs="Calibri"/>
          <w:iCs/>
          <w:szCs w:val="20"/>
          <w:lang w:eastAsia="zh-CN"/>
        </w:rPr>
        <w:t>The PTC or a subset of its members may be requested to undertake specific project-related tasks, such as preparing or reviewing analytical reports, strategies and action plans, etc.;</w:t>
      </w:r>
    </w:p>
    <w:p w14:paraId="0BE258B9" w14:textId="77777777" w:rsidR="00F04292" w:rsidRPr="003F7F6C" w:rsidRDefault="00F04292" w:rsidP="00E91275">
      <w:pPr>
        <w:numPr>
          <w:ilvl w:val="0"/>
          <w:numId w:val="14"/>
        </w:numPr>
        <w:spacing w:after="0"/>
        <w:contextualSpacing/>
        <w:rPr>
          <w:rFonts w:cs="Calibri"/>
          <w:iCs/>
          <w:szCs w:val="20"/>
          <w:lang w:eastAsia="zh-CN"/>
        </w:rPr>
      </w:pPr>
      <w:r w:rsidRPr="003F7F6C">
        <w:rPr>
          <w:rFonts w:cs="Calibri"/>
          <w:iCs/>
          <w:szCs w:val="20"/>
          <w:lang w:eastAsia="zh-CN"/>
        </w:rPr>
        <w:t>Other tasks as indicated by the Project Board</w:t>
      </w:r>
    </w:p>
    <w:p w14:paraId="0572782B" w14:textId="77777777" w:rsidR="00F04292" w:rsidRPr="003F7F6C" w:rsidRDefault="00F04292" w:rsidP="00F04292">
      <w:pPr>
        <w:rPr>
          <w:rFonts w:cs="Calibri"/>
          <w:b/>
          <w:iCs/>
          <w:szCs w:val="20"/>
          <w:lang w:eastAsia="zh-CN"/>
        </w:rPr>
      </w:pPr>
    </w:p>
    <w:p w14:paraId="1378BDA0" w14:textId="77777777" w:rsidR="00F04292" w:rsidRPr="003F7F6C" w:rsidRDefault="00F04292" w:rsidP="00F04292">
      <w:pPr>
        <w:rPr>
          <w:rFonts w:cs="Calibri"/>
          <w:szCs w:val="20"/>
        </w:rPr>
      </w:pPr>
      <w:r w:rsidRPr="003F7F6C">
        <w:rPr>
          <w:rFonts w:cs="Calibri"/>
          <w:szCs w:val="20"/>
        </w:rPr>
        <w:t xml:space="preserve">These </w:t>
      </w:r>
      <w:r w:rsidRPr="003F7F6C">
        <w:rPr>
          <w:rFonts w:cs="Calibri"/>
          <w:iCs/>
          <w:szCs w:val="20"/>
          <w:lang w:eastAsia="zh-CN"/>
        </w:rPr>
        <w:t>terms of reference</w:t>
      </w:r>
      <w:r w:rsidRPr="003F7F6C">
        <w:rPr>
          <w:rFonts w:cs="Calibri"/>
          <w:szCs w:val="20"/>
        </w:rPr>
        <w:t xml:space="preserve"> will be reviewed by the Project Board during project inception and may be extended as necessary.</w:t>
      </w:r>
    </w:p>
    <w:p w14:paraId="1A0F58DA" w14:textId="77777777" w:rsidR="00F04292" w:rsidRPr="003F7F6C" w:rsidRDefault="00F04292" w:rsidP="00F04292">
      <w:pPr>
        <w:rPr>
          <w:rFonts w:cs="Calibri"/>
          <w:b/>
          <w:iCs/>
          <w:szCs w:val="20"/>
          <w:lang w:eastAsia="zh-CN"/>
        </w:rPr>
      </w:pPr>
    </w:p>
    <w:p w14:paraId="59D05FBC" w14:textId="77777777" w:rsidR="00F04292" w:rsidRPr="003F7F6C" w:rsidRDefault="00F04292" w:rsidP="00F04292">
      <w:pPr>
        <w:rPr>
          <w:rFonts w:cs="Calibri"/>
          <w:b/>
          <w:iCs/>
          <w:szCs w:val="20"/>
          <w:lang w:eastAsia="zh-CN"/>
        </w:rPr>
      </w:pPr>
    </w:p>
    <w:p w14:paraId="29F5A682" w14:textId="77777777" w:rsidR="00F04292" w:rsidRPr="003F7F6C" w:rsidRDefault="00F04292" w:rsidP="00F04292">
      <w:pPr>
        <w:rPr>
          <w:rFonts w:cs="Calibri"/>
          <w:b/>
          <w:iCs/>
          <w:szCs w:val="20"/>
          <w:lang w:eastAsia="zh-CN"/>
        </w:rPr>
      </w:pPr>
    </w:p>
    <w:p w14:paraId="5001A2B1" w14:textId="77777777" w:rsidR="00F04292" w:rsidRPr="003F7F6C" w:rsidRDefault="00F04292" w:rsidP="00F04292">
      <w:pPr>
        <w:rPr>
          <w:rFonts w:cs="Calibri"/>
          <w:b/>
          <w:iCs/>
          <w:szCs w:val="20"/>
          <w:lang w:eastAsia="zh-CN"/>
        </w:rPr>
      </w:pPr>
    </w:p>
    <w:p w14:paraId="69CB357E" w14:textId="06996A50" w:rsidR="00F04292" w:rsidRPr="003F7F6C" w:rsidRDefault="00F04292" w:rsidP="00F04292">
      <w:pPr>
        <w:rPr>
          <w:rFonts w:cs="Calibri"/>
          <w:b/>
          <w:iCs/>
          <w:szCs w:val="20"/>
          <w:lang w:eastAsia="zh-CN"/>
        </w:rPr>
      </w:pPr>
    </w:p>
    <w:p w14:paraId="469042B9" w14:textId="275C8DDF" w:rsidR="00E75DC7" w:rsidRPr="003F7F6C" w:rsidRDefault="00E75DC7" w:rsidP="00F04292">
      <w:pPr>
        <w:rPr>
          <w:rFonts w:cs="Calibri"/>
          <w:b/>
          <w:iCs/>
          <w:szCs w:val="20"/>
          <w:lang w:eastAsia="zh-CN"/>
        </w:rPr>
      </w:pPr>
    </w:p>
    <w:p w14:paraId="24BB759C" w14:textId="469BB418" w:rsidR="00E75DC7" w:rsidRPr="003F7F6C" w:rsidRDefault="00E75DC7" w:rsidP="00F04292">
      <w:pPr>
        <w:rPr>
          <w:rFonts w:cs="Calibri"/>
          <w:b/>
          <w:iCs/>
          <w:szCs w:val="20"/>
          <w:lang w:eastAsia="zh-CN"/>
        </w:rPr>
      </w:pPr>
    </w:p>
    <w:p w14:paraId="5E58CF10" w14:textId="100C8A8F" w:rsidR="00E75DC7" w:rsidRPr="003F7F6C" w:rsidRDefault="00E75DC7" w:rsidP="00F04292">
      <w:pPr>
        <w:rPr>
          <w:rFonts w:cs="Calibri"/>
          <w:b/>
          <w:iCs/>
          <w:szCs w:val="20"/>
          <w:lang w:eastAsia="zh-CN"/>
        </w:rPr>
      </w:pPr>
    </w:p>
    <w:p w14:paraId="4C2C3916" w14:textId="5796D01E" w:rsidR="00E75DC7" w:rsidRPr="003F7F6C" w:rsidRDefault="00E75DC7" w:rsidP="00F04292">
      <w:pPr>
        <w:rPr>
          <w:rFonts w:cs="Calibri"/>
          <w:b/>
          <w:iCs/>
          <w:szCs w:val="20"/>
          <w:lang w:eastAsia="zh-CN"/>
        </w:rPr>
      </w:pPr>
    </w:p>
    <w:p w14:paraId="4FBAE18B" w14:textId="4F6B78BF" w:rsidR="00E75DC7" w:rsidRPr="003F7F6C" w:rsidRDefault="00E75DC7" w:rsidP="00F04292">
      <w:pPr>
        <w:rPr>
          <w:rFonts w:cs="Calibri"/>
          <w:b/>
          <w:iCs/>
          <w:szCs w:val="20"/>
          <w:lang w:eastAsia="zh-CN"/>
        </w:rPr>
      </w:pPr>
    </w:p>
    <w:p w14:paraId="69041CC3" w14:textId="5DD05BD3" w:rsidR="00E75DC7" w:rsidRPr="003F7F6C" w:rsidRDefault="00E75DC7" w:rsidP="00F04292">
      <w:pPr>
        <w:rPr>
          <w:rFonts w:cs="Calibri"/>
          <w:b/>
          <w:iCs/>
          <w:szCs w:val="20"/>
          <w:lang w:eastAsia="zh-CN"/>
        </w:rPr>
      </w:pPr>
    </w:p>
    <w:p w14:paraId="1D5F9894" w14:textId="776D20F5" w:rsidR="00E75DC7" w:rsidRPr="003F7F6C" w:rsidRDefault="00E75DC7" w:rsidP="00F04292">
      <w:pPr>
        <w:rPr>
          <w:rFonts w:cs="Calibri"/>
          <w:b/>
          <w:iCs/>
          <w:szCs w:val="20"/>
          <w:lang w:eastAsia="zh-CN"/>
        </w:rPr>
      </w:pPr>
    </w:p>
    <w:p w14:paraId="309643E0" w14:textId="77777777" w:rsidR="00E75DC7" w:rsidRPr="003F7F6C" w:rsidRDefault="00E75DC7" w:rsidP="00F04292">
      <w:pPr>
        <w:rPr>
          <w:rFonts w:cs="Calibri"/>
          <w:b/>
          <w:iCs/>
          <w:szCs w:val="20"/>
          <w:lang w:eastAsia="zh-CN"/>
        </w:rPr>
      </w:pPr>
    </w:p>
    <w:p w14:paraId="33D010C5" w14:textId="408D7AB7" w:rsidR="00F04292" w:rsidRPr="003F7F6C" w:rsidRDefault="00F04292" w:rsidP="00F04292">
      <w:pPr>
        <w:rPr>
          <w:rFonts w:cs="Calibri"/>
          <w:b/>
          <w:iCs/>
          <w:szCs w:val="20"/>
          <w:u w:val="single"/>
          <w:lang w:eastAsia="zh-CN"/>
        </w:rPr>
      </w:pPr>
      <w:r w:rsidRPr="003F7F6C">
        <w:rPr>
          <w:rFonts w:cs="Calibri"/>
          <w:b/>
          <w:iCs/>
          <w:szCs w:val="20"/>
          <w:u w:val="single"/>
          <w:lang w:eastAsia="zh-CN"/>
        </w:rPr>
        <w:t xml:space="preserve">Terms of Reference </w:t>
      </w:r>
      <w:r w:rsidR="00EF3A9E" w:rsidRPr="003F7F6C">
        <w:rPr>
          <w:rFonts w:cs="Calibri"/>
          <w:b/>
          <w:iCs/>
          <w:szCs w:val="20"/>
          <w:u w:val="single"/>
          <w:lang w:eastAsia="zh-CN"/>
        </w:rPr>
        <w:t xml:space="preserve">of </w:t>
      </w:r>
      <w:r w:rsidRPr="003F7F6C">
        <w:rPr>
          <w:rFonts w:cs="Calibri"/>
          <w:b/>
          <w:iCs/>
          <w:szCs w:val="20"/>
          <w:u w:val="single"/>
          <w:lang w:eastAsia="zh-CN"/>
        </w:rPr>
        <w:t>Key Project Staff</w:t>
      </w:r>
    </w:p>
    <w:p w14:paraId="502021EB" w14:textId="77777777" w:rsidR="00F04292" w:rsidRPr="003F7F6C" w:rsidRDefault="00F04292" w:rsidP="00F04292">
      <w:pPr>
        <w:rPr>
          <w:rFonts w:cs="Calibri"/>
          <w:b/>
          <w:iCs/>
          <w:szCs w:val="20"/>
          <w:lang w:eastAsia="zh-CN"/>
        </w:rPr>
      </w:pPr>
      <w:bookmarkStart w:id="41" w:name="_Toc404634831"/>
    </w:p>
    <w:p w14:paraId="7BC211BA" w14:textId="77777777" w:rsidR="00F04292" w:rsidRPr="003F7F6C" w:rsidRDefault="00F04292" w:rsidP="00F04292">
      <w:pPr>
        <w:rPr>
          <w:rFonts w:cs="Calibri"/>
          <w:b/>
          <w:iCs/>
          <w:szCs w:val="20"/>
          <w:u w:val="single"/>
          <w:lang w:eastAsia="zh-CN"/>
        </w:rPr>
      </w:pPr>
      <w:r w:rsidRPr="003F7F6C">
        <w:rPr>
          <w:rFonts w:cs="Calibri"/>
          <w:b/>
          <w:iCs/>
          <w:szCs w:val="20"/>
          <w:u w:val="single"/>
          <w:lang w:eastAsia="zh-CN"/>
        </w:rPr>
        <w:t xml:space="preserve">Project </w:t>
      </w:r>
      <w:bookmarkEnd w:id="41"/>
      <w:r w:rsidRPr="003F7F6C">
        <w:rPr>
          <w:rFonts w:cs="Calibri"/>
          <w:b/>
          <w:iCs/>
          <w:szCs w:val="20"/>
          <w:u w:val="single"/>
          <w:lang w:eastAsia="zh-CN"/>
        </w:rPr>
        <w:t>Coordinator</w:t>
      </w:r>
    </w:p>
    <w:p w14:paraId="5F2F1936" w14:textId="77777777" w:rsidR="00F04292" w:rsidRPr="003F7F6C" w:rsidRDefault="00F04292" w:rsidP="00F04292">
      <w:pPr>
        <w:rPr>
          <w:rFonts w:cs="Calibri"/>
          <w:szCs w:val="20"/>
          <w:lang w:eastAsia="zh-CN"/>
        </w:rPr>
      </w:pPr>
    </w:p>
    <w:p w14:paraId="2CE70436" w14:textId="3754B240" w:rsidR="00F04292" w:rsidRPr="003F7F6C" w:rsidRDefault="00F04292" w:rsidP="00F04292">
      <w:pPr>
        <w:pStyle w:val="Normal11"/>
        <w:spacing w:before="0" w:after="0"/>
        <w:ind w:firstLine="0"/>
        <w:rPr>
          <w:rFonts w:ascii="Calibri" w:hAnsi="Calibri" w:cs="Calibri"/>
          <w:sz w:val="20"/>
          <w:szCs w:val="20"/>
          <w:lang w:val="en-US"/>
        </w:rPr>
      </w:pPr>
      <w:r w:rsidRPr="003F7F6C">
        <w:rPr>
          <w:rFonts w:ascii="Calibri" w:hAnsi="Calibri" w:cs="Calibri"/>
          <w:sz w:val="20"/>
          <w:szCs w:val="20"/>
          <w:lang w:val="en-US"/>
        </w:rPr>
        <w:t xml:space="preserve">The Project Coordinator (PC) will act as the head of the Project Management Unit (PMU) and will be responsible for overall project implementation and supervision of the PMU. </w:t>
      </w:r>
      <w:r w:rsidRPr="003F7F6C">
        <w:rPr>
          <w:rFonts w:ascii="Calibri" w:hAnsi="Calibri" w:cs="Calibri"/>
          <w:sz w:val="20"/>
          <w:szCs w:val="20"/>
          <w:lang w:val="en-US" w:eastAsia="zh-CN"/>
        </w:rPr>
        <w:t>The PC will be locally recruited following UNDP procedure</w:t>
      </w:r>
      <w:r w:rsidR="00EF3A9E" w:rsidRPr="003F7F6C">
        <w:rPr>
          <w:rFonts w:ascii="Calibri" w:hAnsi="Calibri" w:cs="Calibri"/>
          <w:sz w:val="20"/>
          <w:szCs w:val="20"/>
          <w:lang w:val="en-US" w:eastAsia="zh-CN"/>
        </w:rPr>
        <w:t>s</w:t>
      </w:r>
      <w:r w:rsidRPr="003F7F6C">
        <w:rPr>
          <w:rFonts w:ascii="Calibri" w:hAnsi="Calibri" w:cs="Calibri"/>
          <w:sz w:val="20"/>
          <w:szCs w:val="20"/>
          <w:lang w:val="en-US" w:eastAsia="zh-CN"/>
        </w:rPr>
        <w:t>, with input</w:t>
      </w:r>
      <w:r w:rsidR="00FD36FE" w:rsidRPr="003F7F6C">
        <w:rPr>
          <w:rFonts w:ascii="Calibri" w:hAnsi="Calibri" w:cs="Calibri"/>
          <w:sz w:val="20"/>
          <w:szCs w:val="20"/>
          <w:lang w:val="en-US" w:eastAsia="zh-CN"/>
        </w:rPr>
        <w:t>s</w:t>
      </w:r>
      <w:r w:rsidRPr="003F7F6C">
        <w:rPr>
          <w:rFonts w:ascii="Calibri" w:hAnsi="Calibri" w:cs="Calibri"/>
          <w:sz w:val="20"/>
          <w:szCs w:val="20"/>
          <w:lang w:val="en-US" w:eastAsia="zh-CN"/>
        </w:rPr>
        <w:t xml:space="preserve"> </w:t>
      </w:r>
      <w:r w:rsidR="00FD36FE" w:rsidRPr="003F7F6C">
        <w:rPr>
          <w:rFonts w:ascii="Calibri" w:hAnsi="Calibri" w:cs="Calibri"/>
          <w:sz w:val="20"/>
          <w:szCs w:val="20"/>
          <w:lang w:val="en-US" w:eastAsia="zh-CN"/>
        </w:rPr>
        <w:t>in</w:t>
      </w:r>
      <w:r w:rsidRPr="003F7F6C">
        <w:rPr>
          <w:rFonts w:ascii="Calibri" w:hAnsi="Calibri" w:cs="Calibri"/>
          <w:sz w:val="20"/>
          <w:szCs w:val="20"/>
          <w:lang w:val="en-US" w:eastAsia="zh-CN"/>
        </w:rPr>
        <w:t xml:space="preserve">to the selection process from the Project partners. The position will be appointed by the project implementing agencies and funded entirely from the Project. The PC will be responsible for the overall management of the Project, including the mobilization of all project inputs, </w:t>
      </w:r>
      <w:r w:rsidR="00FD36FE" w:rsidRPr="003F7F6C">
        <w:rPr>
          <w:rFonts w:ascii="Calibri" w:hAnsi="Calibri" w:cs="Calibri"/>
          <w:sz w:val="20"/>
          <w:szCs w:val="20"/>
          <w:lang w:val="en-US" w:eastAsia="zh-CN"/>
        </w:rPr>
        <w:t xml:space="preserve">and </w:t>
      </w:r>
      <w:r w:rsidRPr="003F7F6C">
        <w:rPr>
          <w:rFonts w:ascii="Calibri" w:hAnsi="Calibri" w:cs="Calibri"/>
          <w:sz w:val="20"/>
          <w:szCs w:val="20"/>
          <w:lang w:val="en-US" w:eastAsia="zh-CN"/>
        </w:rPr>
        <w:t xml:space="preserve">supervision </w:t>
      </w:r>
      <w:r w:rsidR="00FD36FE" w:rsidRPr="003F7F6C">
        <w:rPr>
          <w:rFonts w:ascii="Calibri" w:hAnsi="Calibri" w:cs="Calibri"/>
          <w:sz w:val="20"/>
          <w:szCs w:val="20"/>
          <w:lang w:val="en-US" w:eastAsia="zh-CN"/>
        </w:rPr>
        <w:t xml:space="preserve">of </w:t>
      </w:r>
      <w:r w:rsidRPr="003F7F6C">
        <w:rPr>
          <w:rFonts w:ascii="Calibri" w:hAnsi="Calibri" w:cs="Calibri"/>
          <w:sz w:val="20"/>
          <w:szCs w:val="20"/>
          <w:lang w:val="en-US" w:eastAsia="zh-CN"/>
        </w:rPr>
        <w:t xml:space="preserve">project staff, consultants and sub-contractors. The PC will report to the Project National Director in close consultation with the assigned UNDP Programme Manager for all of the Project’s substantive and administrative issues. </w:t>
      </w:r>
    </w:p>
    <w:p w14:paraId="35994C0E" w14:textId="77777777" w:rsidR="00F04292" w:rsidRPr="003F7F6C" w:rsidRDefault="00F04292" w:rsidP="00F04292">
      <w:pPr>
        <w:pStyle w:val="Normal11"/>
        <w:spacing w:before="0" w:after="0"/>
        <w:ind w:firstLine="0"/>
        <w:rPr>
          <w:rFonts w:ascii="Calibri" w:hAnsi="Calibri" w:cs="Calibri"/>
          <w:sz w:val="20"/>
          <w:szCs w:val="20"/>
          <w:lang w:val="en-US"/>
        </w:rPr>
      </w:pPr>
    </w:p>
    <w:p w14:paraId="55079704" w14:textId="37807D5B" w:rsidR="00F04292" w:rsidRPr="003F7F6C" w:rsidRDefault="00F04292" w:rsidP="00F04292">
      <w:pPr>
        <w:rPr>
          <w:rFonts w:cs="Calibri"/>
          <w:szCs w:val="20"/>
          <w:lang w:eastAsia="zh-CN"/>
        </w:rPr>
      </w:pPr>
      <w:r w:rsidRPr="003F7F6C">
        <w:rPr>
          <w:rFonts w:cs="Calibri"/>
          <w:szCs w:val="20"/>
        </w:rPr>
        <w:t xml:space="preserve">The PC will work closely with </w:t>
      </w:r>
      <w:r w:rsidR="00FD36FE" w:rsidRPr="003F7F6C">
        <w:rPr>
          <w:rFonts w:cs="Calibri"/>
          <w:szCs w:val="20"/>
        </w:rPr>
        <w:t xml:space="preserve">the </w:t>
      </w:r>
      <w:r w:rsidRPr="003F7F6C">
        <w:rPr>
          <w:rFonts w:cs="Calibri"/>
          <w:szCs w:val="20"/>
        </w:rPr>
        <w:t xml:space="preserve">Institutions represented </w:t>
      </w:r>
      <w:r w:rsidR="00FD36FE" w:rsidRPr="003F7F6C">
        <w:rPr>
          <w:rFonts w:cs="Calibri"/>
          <w:szCs w:val="20"/>
        </w:rPr>
        <w:t>o</w:t>
      </w:r>
      <w:r w:rsidRPr="003F7F6C">
        <w:rPr>
          <w:rFonts w:cs="Calibri"/>
          <w:szCs w:val="20"/>
        </w:rPr>
        <w:t>n the Project Board, the Technical Committee and key stakeholders.</w:t>
      </w:r>
      <w:r w:rsidRPr="003F7F6C">
        <w:rPr>
          <w:rFonts w:cs="Calibri"/>
          <w:szCs w:val="20"/>
          <w:lang w:eastAsia="zh-CN"/>
        </w:rPr>
        <w:t xml:space="preserve"> The PC will report on a periodic basis to the Project Board, based on the Project National Director´s instruction. Generally, the PC will support the Project National Director who will be responsible for meeting government obligations under the Project, under the NIM execution modality. The PC will perform a liaison role with the government, UNDP and other GEF agencies, CSOs and project partners, and maintain close collaboration with other institutions providing co-financing.  The PC will also act as the project´s ELUP specialist coordinating and providing technical advice to </w:t>
      </w:r>
      <w:r w:rsidR="00FD36FE" w:rsidRPr="003F7F6C">
        <w:rPr>
          <w:rFonts w:cs="Calibri"/>
          <w:szCs w:val="20"/>
          <w:lang w:eastAsia="zh-CN"/>
        </w:rPr>
        <w:t xml:space="preserve">implement </w:t>
      </w:r>
      <w:r w:rsidRPr="003F7F6C">
        <w:rPr>
          <w:rFonts w:cs="Calibri"/>
          <w:szCs w:val="20"/>
          <w:lang w:eastAsia="zh-CN"/>
        </w:rPr>
        <w:t>the ELUP approach.</w:t>
      </w:r>
    </w:p>
    <w:p w14:paraId="1F395DCE" w14:textId="77777777" w:rsidR="00F04292" w:rsidRPr="003F7F6C" w:rsidRDefault="00F04292" w:rsidP="00F04292">
      <w:pPr>
        <w:rPr>
          <w:rFonts w:cs="Calibri"/>
          <w:szCs w:val="20"/>
          <w:lang w:eastAsia="zh-CN"/>
        </w:rPr>
      </w:pPr>
    </w:p>
    <w:p w14:paraId="76D06A25" w14:textId="77777777" w:rsidR="00F04292" w:rsidRPr="003F7F6C" w:rsidRDefault="00F04292" w:rsidP="00F04292">
      <w:pPr>
        <w:rPr>
          <w:rFonts w:cs="Calibri"/>
          <w:szCs w:val="20"/>
          <w:u w:val="single"/>
          <w:lang w:eastAsia="zh-CN"/>
        </w:rPr>
      </w:pPr>
      <w:r w:rsidRPr="003F7F6C">
        <w:rPr>
          <w:rFonts w:cs="Calibri"/>
          <w:szCs w:val="20"/>
          <w:u w:val="single"/>
          <w:lang w:eastAsia="zh-CN"/>
        </w:rPr>
        <w:t>Duties and Responsibilities</w:t>
      </w:r>
    </w:p>
    <w:p w14:paraId="34850421" w14:textId="77777777" w:rsidR="00F04292" w:rsidRPr="003F7F6C" w:rsidRDefault="00F04292" w:rsidP="00E91275">
      <w:pPr>
        <w:pStyle w:val="ListParagraph"/>
        <w:numPr>
          <w:ilvl w:val="0"/>
          <w:numId w:val="52"/>
        </w:numPr>
        <w:contextualSpacing w:val="0"/>
        <w:rPr>
          <w:rFonts w:cs="Calibri"/>
          <w:szCs w:val="20"/>
        </w:rPr>
      </w:pPr>
      <w:r w:rsidRPr="003F7F6C">
        <w:rPr>
          <w:rFonts w:cs="Calibri"/>
          <w:szCs w:val="20"/>
        </w:rPr>
        <w:t>Provide overall project coordination and M&amp;E for the achievement of the Project outcomes and objectives, based on Results-Based-Management.</w:t>
      </w:r>
    </w:p>
    <w:p w14:paraId="6DFC3509" w14:textId="77777777" w:rsidR="00F04292" w:rsidRPr="003F7F6C" w:rsidRDefault="00F04292" w:rsidP="00E91275">
      <w:pPr>
        <w:pStyle w:val="ListParagraph"/>
        <w:numPr>
          <w:ilvl w:val="0"/>
          <w:numId w:val="52"/>
        </w:numPr>
        <w:contextualSpacing w:val="0"/>
        <w:rPr>
          <w:rFonts w:cs="Calibri"/>
          <w:szCs w:val="20"/>
        </w:rPr>
      </w:pPr>
      <w:r w:rsidRPr="003F7F6C">
        <w:rPr>
          <w:rFonts w:cs="Calibri"/>
          <w:szCs w:val="20"/>
        </w:rPr>
        <w:t>Coordinate work with UNDP offices and programs to ensure the alignment of the project results with UNDP´s Strategic Plan and the Country Programme Document and Gender Strategy.</w:t>
      </w:r>
    </w:p>
    <w:p w14:paraId="7F8B8C4F" w14:textId="750774BD" w:rsidR="00F04292" w:rsidRPr="003F7F6C" w:rsidRDefault="00F04292" w:rsidP="00E91275">
      <w:pPr>
        <w:pStyle w:val="ListParagraph"/>
        <w:numPr>
          <w:ilvl w:val="0"/>
          <w:numId w:val="52"/>
        </w:numPr>
        <w:contextualSpacing w:val="0"/>
        <w:rPr>
          <w:rFonts w:cs="Calibri"/>
          <w:szCs w:val="20"/>
        </w:rPr>
      </w:pPr>
      <w:r w:rsidRPr="003F7F6C">
        <w:rPr>
          <w:rFonts w:cs="Calibri"/>
          <w:szCs w:val="20"/>
        </w:rPr>
        <w:t xml:space="preserve">Establish the PMU internal working procedures and coordination mechanisms with UNDP, </w:t>
      </w:r>
      <w:r w:rsidR="00984E18" w:rsidRPr="003F7F6C">
        <w:rPr>
          <w:rFonts w:cs="Calibri"/>
          <w:szCs w:val="20"/>
        </w:rPr>
        <w:t xml:space="preserve">the </w:t>
      </w:r>
      <w:r w:rsidRPr="003F7F6C">
        <w:rPr>
          <w:rFonts w:cs="Calibri"/>
          <w:szCs w:val="20"/>
        </w:rPr>
        <w:t>Project Board, the Technical Committee and other key stakeholders.</w:t>
      </w:r>
    </w:p>
    <w:p w14:paraId="27929E39" w14:textId="5C3D0ECC" w:rsidR="00F04292" w:rsidRPr="003F7F6C" w:rsidRDefault="00F04292" w:rsidP="00E91275">
      <w:pPr>
        <w:pStyle w:val="ListParagraph"/>
        <w:numPr>
          <w:ilvl w:val="0"/>
          <w:numId w:val="52"/>
        </w:numPr>
        <w:contextualSpacing w:val="0"/>
        <w:rPr>
          <w:rFonts w:cs="Calibri"/>
          <w:szCs w:val="20"/>
        </w:rPr>
      </w:pPr>
      <w:r w:rsidRPr="003F7F6C">
        <w:rPr>
          <w:rFonts w:cs="Calibri"/>
          <w:szCs w:val="20"/>
        </w:rPr>
        <w:t xml:space="preserve">Prepare the annual workplans and budgets and submit them for approval </w:t>
      </w:r>
      <w:r w:rsidR="00984E18" w:rsidRPr="003F7F6C">
        <w:rPr>
          <w:rFonts w:cs="Calibri"/>
          <w:szCs w:val="20"/>
        </w:rPr>
        <w:t xml:space="preserve">by </w:t>
      </w:r>
      <w:r w:rsidRPr="003F7F6C">
        <w:rPr>
          <w:rFonts w:cs="Calibri"/>
          <w:szCs w:val="20"/>
        </w:rPr>
        <w:t>the Project Board.</w:t>
      </w:r>
    </w:p>
    <w:p w14:paraId="3ECCBD5C" w14:textId="4D942378" w:rsidR="00F04292" w:rsidRPr="003F7F6C" w:rsidRDefault="00F04292" w:rsidP="00E91275">
      <w:pPr>
        <w:pStyle w:val="ListParagraph"/>
        <w:numPr>
          <w:ilvl w:val="0"/>
          <w:numId w:val="52"/>
        </w:numPr>
        <w:contextualSpacing w:val="0"/>
        <w:rPr>
          <w:rFonts w:cs="Calibri"/>
          <w:szCs w:val="20"/>
        </w:rPr>
      </w:pPr>
      <w:r w:rsidRPr="003F7F6C">
        <w:rPr>
          <w:rFonts w:cs="Calibri"/>
          <w:szCs w:val="20"/>
          <w:lang w:eastAsia="zh-CN"/>
        </w:rPr>
        <w:t>Plan the activities of the project and monitor progress against the approved workplan.</w:t>
      </w:r>
    </w:p>
    <w:p w14:paraId="4F89454B" w14:textId="75241E91" w:rsidR="00F04292" w:rsidRPr="003F7F6C" w:rsidRDefault="00F04292" w:rsidP="00E91275">
      <w:pPr>
        <w:pStyle w:val="ListParagraph"/>
        <w:numPr>
          <w:ilvl w:val="0"/>
          <w:numId w:val="52"/>
        </w:numPr>
        <w:contextualSpacing w:val="0"/>
        <w:rPr>
          <w:rFonts w:cs="Calibri"/>
          <w:szCs w:val="20"/>
        </w:rPr>
      </w:pPr>
      <w:r w:rsidRPr="003F7F6C">
        <w:rPr>
          <w:rFonts w:cs="Calibri"/>
          <w:szCs w:val="20"/>
          <w:lang w:eastAsia="zh-CN"/>
        </w:rPr>
        <w:t xml:space="preserve">Supervise and coordinate the production of project outputs, as per the </w:t>
      </w:r>
      <w:r w:rsidR="00984E18" w:rsidRPr="003F7F6C">
        <w:rPr>
          <w:rFonts w:cs="Calibri"/>
          <w:szCs w:val="20"/>
          <w:lang w:eastAsia="zh-CN"/>
        </w:rPr>
        <w:t>P</w:t>
      </w:r>
      <w:r w:rsidRPr="003F7F6C">
        <w:rPr>
          <w:rFonts w:cs="Calibri"/>
          <w:szCs w:val="20"/>
          <w:lang w:eastAsia="zh-CN"/>
        </w:rPr>
        <w:t xml:space="preserve">roject </w:t>
      </w:r>
      <w:r w:rsidR="00984E18" w:rsidRPr="003F7F6C">
        <w:rPr>
          <w:rFonts w:cs="Calibri"/>
          <w:szCs w:val="20"/>
          <w:lang w:eastAsia="zh-CN"/>
        </w:rPr>
        <w:t>D</w:t>
      </w:r>
      <w:r w:rsidRPr="003F7F6C">
        <w:rPr>
          <w:rFonts w:cs="Calibri"/>
          <w:szCs w:val="20"/>
          <w:lang w:eastAsia="zh-CN"/>
        </w:rPr>
        <w:t>ocument in a timely and high</w:t>
      </w:r>
      <w:r w:rsidR="00984E18" w:rsidRPr="003F7F6C">
        <w:rPr>
          <w:rFonts w:cs="Calibri"/>
          <w:szCs w:val="20"/>
          <w:lang w:eastAsia="zh-CN"/>
        </w:rPr>
        <w:t>-</w:t>
      </w:r>
      <w:r w:rsidRPr="003F7F6C">
        <w:rPr>
          <w:rFonts w:cs="Calibri"/>
          <w:szCs w:val="20"/>
          <w:lang w:eastAsia="zh-CN"/>
        </w:rPr>
        <w:t xml:space="preserve"> quality fashion.</w:t>
      </w:r>
    </w:p>
    <w:p w14:paraId="6034240A" w14:textId="77777777" w:rsidR="00F04292" w:rsidRPr="003F7F6C" w:rsidRDefault="00F04292" w:rsidP="00E91275">
      <w:pPr>
        <w:pStyle w:val="ListParagraph"/>
        <w:numPr>
          <w:ilvl w:val="0"/>
          <w:numId w:val="52"/>
        </w:numPr>
        <w:contextualSpacing w:val="0"/>
        <w:rPr>
          <w:rFonts w:cs="Calibri"/>
          <w:szCs w:val="20"/>
        </w:rPr>
      </w:pPr>
      <w:r w:rsidRPr="003F7F6C">
        <w:rPr>
          <w:rFonts w:cs="Calibri"/>
          <w:szCs w:val="20"/>
          <w:lang w:eastAsia="zh-CN"/>
        </w:rPr>
        <w:t>Coordinate all project inputs and ensure that they adhere to UNDP procedures for nationally executed projects.</w:t>
      </w:r>
    </w:p>
    <w:p w14:paraId="4B576CA6" w14:textId="7D286F08" w:rsidR="00F04292" w:rsidRPr="003F7F6C" w:rsidRDefault="00834685" w:rsidP="00E91275">
      <w:pPr>
        <w:pStyle w:val="ListParagraph"/>
        <w:numPr>
          <w:ilvl w:val="0"/>
          <w:numId w:val="52"/>
        </w:numPr>
        <w:contextualSpacing w:val="0"/>
        <w:rPr>
          <w:rFonts w:cs="Calibri"/>
          <w:szCs w:val="20"/>
        </w:rPr>
      </w:pPr>
      <w:r w:rsidRPr="003F7F6C">
        <w:rPr>
          <w:rFonts w:cs="Calibri"/>
          <w:szCs w:val="20"/>
        </w:rPr>
        <w:t xml:space="preserve">Ensure </w:t>
      </w:r>
      <w:r w:rsidR="00F04292" w:rsidRPr="003F7F6C">
        <w:rPr>
          <w:rFonts w:cs="Calibri"/>
          <w:szCs w:val="20"/>
        </w:rPr>
        <w:t xml:space="preserve">project expenditures and procurement respond to the principle of transparency and best value for money, and are in accordance with the activities established in the </w:t>
      </w:r>
      <w:r w:rsidR="00984E18" w:rsidRPr="003F7F6C">
        <w:rPr>
          <w:rFonts w:cs="Calibri"/>
          <w:szCs w:val="20"/>
        </w:rPr>
        <w:t>P</w:t>
      </w:r>
      <w:r w:rsidR="00F04292" w:rsidRPr="003F7F6C">
        <w:rPr>
          <w:rFonts w:cs="Calibri"/>
          <w:szCs w:val="20"/>
        </w:rPr>
        <w:t xml:space="preserve">roject </w:t>
      </w:r>
      <w:r w:rsidR="00984E18" w:rsidRPr="003F7F6C">
        <w:rPr>
          <w:rFonts w:cs="Calibri"/>
          <w:szCs w:val="20"/>
        </w:rPr>
        <w:t>D</w:t>
      </w:r>
      <w:r w:rsidR="00F04292" w:rsidRPr="003F7F6C">
        <w:rPr>
          <w:rFonts w:cs="Calibri"/>
          <w:szCs w:val="20"/>
        </w:rPr>
        <w:t>ocument and plans.</w:t>
      </w:r>
    </w:p>
    <w:p w14:paraId="73EFEE0C" w14:textId="66A8137E" w:rsidR="00F04292" w:rsidRPr="003F7F6C" w:rsidRDefault="00F04292" w:rsidP="00E91275">
      <w:pPr>
        <w:pStyle w:val="ListParagraph"/>
        <w:numPr>
          <w:ilvl w:val="0"/>
          <w:numId w:val="52"/>
        </w:numPr>
        <w:contextualSpacing w:val="0"/>
        <w:rPr>
          <w:rFonts w:cs="Calibri"/>
          <w:szCs w:val="20"/>
        </w:rPr>
      </w:pPr>
      <w:r w:rsidRPr="003F7F6C">
        <w:rPr>
          <w:rFonts w:cs="Calibri"/>
          <w:szCs w:val="20"/>
          <w:lang w:eastAsia="zh-CN"/>
        </w:rPr>
        <w:t>Supervise and coordinate the work of all project staff, consultants and sub-contractors</w:t>
      </w:r>
      <w:r w:rsidR="00984E18" w:rsidRPr="003F7F6C">
        <w:rPr>
          <w:rFonts w:cs="Calibri"/>
          <w:szCs w:val="20"/>
          <w:lang w:eastAsia="zh-CN"/>
        </w:rPr>
        <w:t>,</w:t>
      </w:r>
      <w:r w:rsidRPr="003F7F6C">
        <w:rPr>
          <w:rFonts w:cs="Calibri"/>
          <w:szCs w:val="20"/>
          <w:lang w:eastAsia="zh-CN"/>
        </w:rPr>
        <w:t xml:space="preserve"> ensuring timing and quality of outputs.</w:t>
      </w:r>
    </w:p>
    <w:p w14:paraId="568C4914" w14:textId="77777777" w:rsidR="00F04292" w:rsidRPr="003F7F6C" w:rsidRDefault="00F04292" w:rsidP="00E91275">
      <w:pPr>
        <w:pStyle w:val="ListParagraph"/>
        <w:numPr>
          <w:ilvl w:val="0"/>
          <w:numId w:val="52"/>
        </w:numPr>
        <w:contextualSpacing w:val="0"/>
        <w:rPr>
          <w:rFonts w:cs="Calibri"/>
          <w:szCs w:val="20"/>
        </w:rPr>
      </w:pPr>
      <w:r w:rsidRPr="003F7F6C">
        <w:rPr>
          <w:rFonts w:cs="Calibri"/>
          <w:szCs w:val="20"/>
          <w:lang w:eastAsia="zh-CN"/>
        </w:rPr>
        <w:t>Coordinate the recruitment and selection of project personnel, consultants and sub-contracts, including drafting terms of reference and work specifications and overseeing all contractors’ work.</w:t>
      </w:r>
    </w:p>
    <w:p w14:paraId="5EDC74E2" w14:textId="77777777" w:rsidR="00F04292" w:rsidRPr="003F7F6C" w:rsidRDefault="00F04292" w:rsidP="00E91275">
      <w:pPr>
        <w:pStyle w:val="ListParagraph"/>
        <w:numPr>
          <w:ilvl w:val="0"/>
          <w:numId w:val="52"/>
        </w:numPr>
        <w:contextualSpacing w:val="0"/>
        <w:rPr>
          <w:rFonts w:cs="Calibri"/>
          <w:szCs w:val="20"/>
        </w:rPr>
      </w:pPr>
      <w:r w:rsidRPr="003F7F6C">
        <w:rPr>
          <w:rFonts w:cs="Calibri"/>
          <w:szCs w:val="20"/>
          <w:lang w:eastAsia="zh-CN"/>
        </w:rPr>
        <w:t>Manage requests for the provision of financial resources by UNDP, through advance of funds, direct payments, or reimbursement using the UNDP provided format.</w:t>
      </w:r>
    </w:p>
    <w:p w14:paraId="4A7CDC2A" w14:textId="77777777" w:rsidR="00F04292" w:rsidRPr="003F7F6C" w:rsidRDefault="00F04292" w:rsidP="00E91275">
      <w:pPr>
        <w:pStyle w:val="ListParagraph"/>
        <w:numPr>
          <w:ilvl w:val="0"/>
          <w:numId w:val="52"/>
        </w:numPr>
        <w:contextualSpacing w:val="0"/>
        <w:rPr>
          <w:rFonts w:cs="Calibri"/>
          <w:szCs w:val="20"/>
        </w:rPr>
      </w:pPr>
      <w:r w:rsidRPr="003F7F6C">
        <w:rPr>
          <w:rFonts w:cs="Calibri"/>
          <w:szCs w:val="20"/>
          <w:lang w:eastAsia="zh-CN"/>
        </w:rPr>
        <w:t>Monitor financial resources and accounting to ensure accuracy and reliability of financial reports, submitted on a quarterly basis.</w:t>
      </w:r>
    </w:p>
    <w:p w14:paraId="33171DD6" w14:textId="43C181B3" w:rsidR="00F04292" w:rsidRPr="003F7F6C" w:rsidRDefault="00F04292" w:rsidP="00E91275">
      <w:pPr>
        <w:pStyle w:val="ListParagraph"/>
        <w:numPr>
          <w:ilvl w:val="0"/>
          <w:numId w:val="52"/>
        </w:numPr>
        <w:contextualSpacing w:val="0"/>
        <w:rPr>
          <w:rFonts w:cs="Calibri"/>
          <w:szCs w:val="20"/>
        </w:rPr>
      </w:pPr>
      <w:r w:rsidRPr="003F7F6C">
        <w:rPr>
          <w:rFonts w:cs="Calibri"/>
          <w:szCs w:val="20"/>
          <w:lang w:eastAsia="zh-CN"/>
        </w:rPr>
        <w:t>Manage and monitor the project risks initially identified and submit new risks to the project board for consideration and decision on possible actions if required; update the status of these risks by maintaining the project risk log.</w:t>
      </w:r>
    </w:p>
    <w:p w14:paraId="18E067C5" w14:textId="77777777" w:rsidR="00F04292" w:rsidRPr="003F7F6C" w:rsidRDefault="00F04292" w:rsidP="00E91275">
      <w:pPr>
        <w:pStyle w:val="ListParagraph"/>
        <w:numPr>
          <w:ilvl w:val="0"/>
          <w:numId w:val="52"/>
        </w:numPr>
        <w:contextualSpacing w:val="0"/>
        <w:rPr>
          <w:rFonts w:cs="Calibri"/>
          <w:szCs w:val="20"/>
        </w:rPr>
      </w:pPr>
      <w:r w:rsidRPr="003F7F6C">
        <w:rPr>
          <w:rFonts w:cs="Calibri"/>
          <w:szCs w:val="20"/>
          <w:lang w:eastAsia="zh-CN"/>
        </w:rPr>
        <w:t>Liaise with UNDP, Project Board, relevant government agencies, and all project partners, including co-financing organizations and CSOs for effective coordination of all project activities.</w:t>
      </w:r>
    </w:p>
    <w:p w14:paraId="73F9BFEA" w14:textId="20D670F4" w:rsidR="00F04292" w:rsidRPr="003F7F6C" w:rsidRDefault="00F04292" w:rsidP="00E91275">
      <w:pPr>
        <w:pStyle w:val="ListParagraph"/>
        <w:numPr>
          <w:ilvl w:val="0"/>
          <w:numId w:val="52"/>
        </w:numPr>
        <w:ind w:left="357" w:hanging="357"/>
        <w:contextualSpacing w:val="0"/>
        <w:rPr>
          <w:rFonts w:cs="Calibri"/>
          <w:szCs w:val="20"/>
        </w:rPr>
      </w:pPr>
      <w:r w:rsidRPr="003F7F6C">
        <w:rPr>
          <w:rFonts w:cs="Calibri"/>
          <w:szCs w:val="20"/>
          <w:lang w:eastAsia="zh-CN"/>
        </w:rPr>
        <w:t>Oversee and ensure timely submission of the Inception Report, Project Implementation Report</w:t>
      </w:r>
      <w:r w:rsidR="00C853B0" w:rsidRPr="003F7F6C">
        <w:rPr>
          <w:rFonts w:cs="Calibri"/>
          <w:szCs w:val="20"/>
          <w:lang w:eastAsia="zh-CN"/>
        </w:rPr>
        <w:t>s</w:t>
      </w:r>
      <w:r w:rsidRPr="003F7F6C">
        <w:rPr>
          <w:rFonts w:cs="Calibri"/>
          <w:szCs w:val="20"/>
          <w:lang w:eastAsia="zh-CN"/>
        </w:rPr>
        <w:t xml:space="preserve">, </w:t>
      </w:r>
      <w:r w:rsidR="00C853B0" w:rsidRPr="003F7F6C">
        <w:rPr>
          <w:rFonts w:cs="Calibri"/>
          <w:szCs w:val="20"/>
          <w:lang w:eastAsia="zh-CN"/>
        </w:rPr>
        <w:t>t</w:t>
      </w:r>
      <w:r w:rsidRPr="003F7F6C">
        <w:rPr>
          <w:rFonts w:cs="Calibri"/>
          <w:szCs w:val="20"/>
          <w:lang w:eastAsia="zh-CN"/>
        </w:rPr>
        <w:t>echnical reports</w:t>
      </w:r>
      <w:r w:rsidR="00C853B0" w:rsidRPr="003F7F6C">
        <w:rPr>
          <w:rFonts w:cs="Calibri"/>
          <w:szCs w:val="20"/>
          <w:lang w:eastAsia="zh-CN"/>
        </w:rPr>
        <w:t xml:space="preserve"> as needed</w:t>
      </w:r>
      <w:r w:rsidRPr="003F7F6C">
        <w:rPr>
          <w:rFonts w:cs="Calibri"/>
          <w:szCs w:val="20"/>
          <w:lang w:eastAsia="zh-CN"/>
        </w:rPr>
        <w:t>, quarterly financial reports, and other reports as may be required by UNDP, GEF and other oversight agencies.</w:t>
      </w:r>
    </w:p>
    <w:p w14:paraId="4F445B8F" w14:textId="77777777" w:rsidR="00F04292" w:rsidRPr="003F7F6C" w:rsidRDefault="00F04292" w:rsidP="00E91275">
      <w:pPr>
        <w:numPr>
          <w:ilvl w:val="0"/>
          <w:numId w:val="11"/>
        </w:numPr>
        <w:ind w:left="357" w:hanging="357"/>
        <w:rPr>
          <w:rFonts w:cs="Calibri"/>
          <w:szCs w:val="20"/>
          <w:lang w:eastAsia="zh-CN"/>
        </w:rPr>
      </w:pPr>
      <w:r w:rsidRPr="003F7F6C">
        <w:rPr>
          <w:rFonts w:cs="Calibri"/>
          <w:szCs w:val="20"/>
          <w:lang w:eastAsia="zh-CN"/>
        </w:rPr>
        <w:t>Disseminate project reports and respond to queries from concerned stakeholders.</w:t>
      </w:r>
    </w:p>
    <w:p w14:paraId="0C7957FE" w14:textId="6FDD6173" w:rsidR="00F04292" w:rsidRPr="003F7F6C" w:rsidRDefault="00F04292" w:rsidP="00E91275">
      <w:pPr>
        <w:numPr>
          <w:ilvl w:val="0"/>
          <w:numId w:val="11"/>
        </w:numPr>
        <w:ind w:left="357" w:hanging="357"/>
        <w:rPr>
          <w:rFonts w:cs="Calibri"/>
          <w:szCs w:val="20"/>
          <w:lang w:eastAsia="zh-CN"/>
        </w:rPr>
      </w:pPr>
      <w:r w:rsidRPr="003F7F6C">
        <w:rPr>
          <w:rFonts w:cs="Calibri"/>
          <w:szCs w:val="20"/>
          <w:lang w:eastAsia="zh-CN"/>
        </w:rPr>
        <w:t>Report progress of project to project partners and ensure the fulfilment of Project Board directives.</w:t>
      </w:r>
    </w:p>
    <w:p w14:paraId="263152FD" w14:textId="77777777" w:rsidR="00F04292" w:rsidRPr="003F7F6C" w:rsidRDefault="00F04292" w:rsidP="00E91275">
      <w:pPr>
        <w:numPr>
          <w:ilvl w:val="0"/>
          <w:numId w:val="11"/>
        </w:numPr>
        <w:ind w:left="357" w:hanging="357"/>
        <w:rPr>
          <w:rFonts w:cs="Calibri"/>
          <w:szCs w:val="20"/>
          <w:lang w:eastAsia="zh-CN"/>
        </w:rPr>
      </w:pPr>
      <w:r w:rsidRPr="003F7F6C">
        <w:rPr>
          <w:rFonts w:cs="Calibri"/>
          <w:szCs w:val="20"/>
          <w:lang w:eastAsia="zh-CN"/>
        </w:rPr>
        <w:t>Oversee the exchange and sharing of experiences and lessons learned with relevant related projects nationally and internationally.</w:t>
      </w:r>
    </w:p>
    <w:p w14:paraId="4D4971BA" w14:textId="2D25E864" w:rsidR="00F04292" w:rsidRPr="003F7F6C" w:rsidRDefault="00F04292" w:rsidP="00E91275">
      <w:pPr>
        <w:numPr>
          <w:ilvl w:val="0"/>
          <w:numId w:val="11"/>
        </w:numPr>
        <w:ind w:left="357" w:hanging="357"/>
        <w:rPr>
          <w:rFonts w:cs="Calibri"/>
          <w:szCs w:val="20"/>
          <w:lang w:eastAsia="zh-CN"/>
        </w:rPr>
      </w:pPr>
      <w:r w:rsidRPr="003F7F6C">
        <w:rPr>
          <w:rFonts w:cs="Calibri"/>
          <w:szCs w:val="20"/>
        </w:rPr>
        <w:t>Ensure a gender approach is maintained in all activities, including specific activities</w:t>
      </w:r>
      <w:r w:rsidR="00C853B0" w:rsidRPr="003F7F6C">
        <w:rPr>
          <w:rFonts w:cs="Calibri"/>
          <w:szCs w:val="20"/>
        </w:rPr>
        <w:t>,</w:t>
      </w:r>
      <w:r w:rsidRPr="003F7F6C">
        <w:rPr>
          <w:rFonts w:cs="Calibri"/>
          <w:szCs w:val="20"/>
        </w:rPr>
        <w:t xml:space="preserve"> </w:t>
      </w:r>
      <w:r w:rsidR="00C853B0" w:rsidRPr="003F7F6C">
        <w:rPr>
          <w:rFonts w:cs="Calibri"/>
          <w:szCs w:val="20"/>
        </w:rPr>
        <w:t>aligned</w:t>
      </w:r>
      <w:r w:rsidRPr="003F7F6C">
        <w:rPr>
          <w:rFonts w:cs="Calibri"/>
          <w:szCs w:val="20"/>
        </w:rPr>
        <w:t xml:space="preserve"> with UNDP´s Gender Strategy. </w:t>
      </w:r>
      <w:r w:rsidRPr="003F7F6C">
        <w:rPr>
          <w:rFonts w:cs="Calibri"/>
          <w:szCs w:val="20"/>
          <w:lang w:eastAsia="zh-CN"/>
        </w:rPr>
        <w:t>Encourage staff, partners and consultants such that strategic, intentional and demonstrable efforts are made to actively include women in the project, including activity design and planning, budgeting, staff and consultant hiring, subcontracting, purchasing, outreach to project partners, training, participation in meetings; and access to project benefits</w:t>
      </w:r>
      <w:r w:rsidR="00C853B0" w:rsidRPr="003F7F6C">
        <w:rPr>
          <w:rFonts w:cs="Calibri"/>
          <w:szCs w:val="20"/>
          <w:lang w:eastAsia="zh-CN"/>
        </w:rPr>
        <w:t>, among others</w:t>
      </w:r>
      <w:r w:rsidRPr="003F7F6C">
        <w:rPr>
          <w:rFonts w:cs="Calibri"/>
          <w:szCs w:val="20"/>
          <w:lang w:eastAsia="zh-CN"/>
        </w:rPr>
        <w:t>.</w:t>
      </w:r>
    </w:p>
    <w:p w14:paraId="159CC0CB" w14:textId="77777777" w:rsidR="00F04292" w:rsidRPr="003F7F6C" w:rsidRDefault="00F04292" w:rsidP="00E91275">
      <w:pPr>
        <w:numPr>
          <w:ilvl w:val="0"/>
          <w:numId w:val="11"/>
        </w:numPr>
        <w:ind w:left="357" w:hanging="357"/>
        <w:rPr>
          <w:rFonts w:cs="Calibri"/>
          <w:szCs w:val="20"/>
          <w:lang w:eastAsia="zh-CN"/>
        </w:rPr>
      </w:pPr>
      <w:r w:rsidRPr="003F7F6C">
        <w:rPr>
          <w:rFonts w:cs="Calibri"/>
          <w:szCs w:val="20"/>
          <w:lang w:eastAsia="zh-CN"/>
        </w:rPr>
        <w:t>Assist and advise the project partners responsible for activity implementation in the target landscapes.</w:t>
      </w:r>
    </w:p>
    <w:p w14:paraId="399CE584" w14:textId="77777777" w:rsidR="00F04292" w:rsidRPr="003F7F6C" w:rsidRDefault="00F04292" w:rsidP="00E91275">
      <w:pPr>
        <w:numPr>
          <w:ilvl w:val="0"/>
          <w:numId w:val="11"/>
        </w:numPr>
        <w:ind w:left="357" w:hanging="357"/>
        <w:rPr>
          <w:rFonts w:cs="Calibri"/>
          <w:szCs w:val="20"/>
          <w:lang w:eastAsia="zh-CN"/>
        </w:rPr>
      </w:pPr>
      <w:r w:rsidRPr="003F7F6C">
        <w:rPr>
          <w:rFonts w:cs="Calibri"/>
          <w:szCs w:val="20"/>
        </w:rPr>
        <w:t>Undertake meetings and visits to the project stakeholders at national, provincial and local levels as part of the overall supervision of project implementation and prepare visit reports.</w:t>
      </w:r>
    </w:p>
    <w:p w14:paraId="531DD484" w14:textId="77777777" w:rsidR="00F04292" w:rsidRPr="003F7F6C" w:rsidRDefault="00F04292" w:rsidP="00E91275">
      <w:pPr>
        <w:numPr>
          <w:ilvl w:val="0"/>
          <w:numId w:val="11"/>
        </w:numPr>
        <w:ind w:left="357" w:hanging="357"/>
        <w:rPr>
          <w:rFonts w:cs="Calibri"/>
          <w:szCs w:val="20"/>
          <w:lang w:eastAsia="zh-CN"/>
        </w:rPr>
      </w:pPr>
      <w:r w:rsidRPr="003F7F6C">
        <w:rPr>
          <w:rFonts w:cs="Calibri"/>
          <w:szCs w:val="20"/>
        </w:rPr>
        <w:t>Represent the project in national and international fora.</w:t>
      </w:r>
    </w:p>
    <w:p w14:paraId="3A6EA472" w14:textId="32FC281C" w:rsidR="00F04292" w:rsidRPr="003F7F6C" w:rsidRDefault="00F04292" w:rsidP="00E91275">
      <w:pPr>
        <w:numPr>
          <w:ilvl w:val="0"/>
          <w:numId w:val="11"/>
        </w:numPr>
        <w:ind w:left="357" w:hanging="357"/>
        <w:rPr>
          <w:rFonts w:cs="Calibri"/>
          <w:szCs w:val="20"/>
          <w:lang w:eastAsia="zh-CN"/>
        </w:rPr>
      </w:pPr>
      <w:r w:rsidRPr="003F7F6C">
        <w:rPr>
          <w:rFonts w:cs="Calibri"/>
          <w:szCs w:val="20"/>
        </w:rPr>
        <w:t xml:space="preserve">Prepare, </w:t>
      </w:r>
      <w:r w:rsidR="00C853B0" w:rsidRPr="003F7F6C">
        <w:rPr>
          <w:rFonts w:cs="Calibri"/>
          <w:szCs w:val="20"/>
        </w:rPr>
        <w:t>together</w:t>
      </w:r>
      <w:r w:rsidRPr="003F7F6C">
        <w:rPr>
          <w:rFonts w:cs="Calibri"/>
          <w:szCs w:val="20"/>
        </w:rPr>
        <w:t xml:space="preserve"> with UNDP, the justification for </w:t>
      </w:r>
      <w:r w:rsidR="00C853B0" w:rsidRPr="003F7F6C">
        <w:rPr>
          <w:rFonts w:cs="Calibri"/>
          <w:szCs w:val="20"/>
        </w:rPr>
        <w:t xml:space="preserve">any proposed </w:t>
      </w:r>
      <w:r w:rsidRPr="003F7F6C">
        <w:rPr>
          <w:rFonts w:cs="Calibri"/>
          <w:szCs w:val="20"/>
        </w:rPr>
        <w:t xml:space="preserve">changes in budgets, activities and objectives that </w:t>
      </w:r>
      <w:r w:rsidR="00C853B0" w:rsidRPr="003F7F6C">
        <w:rPr>
          <w:rFonts w:cs="Calibri"/>
          <w:szCs w:val="20"/>
        </w:rPr>
        <w:t>differ from the original ProDoc and plans</w:t>
      </w:r>
      <w:r w:rsidRPr="003F7F6C">
        <w:rPr>
          <w:rFonts w:cs="Calibri"/>
          <w:szCs w:val="20"/>
        </w:rPr>
        <w:t>.</w:t>
      </w:r>
    </w:p>
    <w:p w14:paraId="41A770BF" w14:textId="5FBBC7D4" w:rsidR="00F04292" w:rsidRPr="003F7F6C" w:rsidRDefault="00F04292" w:rsidP="00E91275">
      <w:pPr>
        <w:numPr>
          <w:ilvl w:val="0"/>
          <w:numId w:val="11"/>
        </w:numPr>
        <w:ind w:left="357" w:hanging="357"/>
        <w:rPr>
          <w:rFonts w:cs="Calibri"/>
          <w:szCs w:val="20"/>
          <w:lang w:eastAsia="zh-CN"/>
        </w:rPr>
      </w:pPr>
      <w:r w:rsidRPr="003F7F6C">
        <w:rPr>
          <w:rFonts w:cs="Calibri"/>
          <w:szCs w:val="20"/>
          <w:lang w:eastAsia="zh-CN"/>
        </w:rPr>
        <w:t xml:space="preserve">Coordinate and provide technical advice to the Implementing Partner and project partners </w:t>
      </w:r>
      <w:r w:rsidR="00C853B0" w:rsidRPr="003F7F6C">
        <w:rPr>
          <w:rFonts w:cs="Calibri"/>
          <w:szCs w:val="20"/>
          <w:lang w:eastAsia="zh-CN"/>
        </w:rPr>
        <w:t>o</w:t>
      </w:r>
      <w:r w:rsidRPr="003F7F6C">
        <w:rPr>
          <w:rFonts w:cs="Calibri"/>
          <w:szCs w:val="20"/>
          <w:lang w:eastAsia="zh-CN"/>
        </w:rPr>
        <w:t xml:space="preserve">n the ELUP approach, including the </w:t>
      </w:r>
      <w:r w:rsidRPr="003F7F6C">
        <w:rPr>
          <w:rFonts w:cs="Calibri"/>
          <w:szCs w:val="20"/>
        </w:rPr>
        <w:t>development of ELUP criteria; assessment of ELUP instruments; development of maps of priority areas of environmental value for ELUP; analysis of ELUP regulations; assessment of valuation methodologies for environmental services</w:t>
      </w:r>
      <w:r w:rsidRPr="003F7F6C">
        <w:rPr>
          <w:rFonts w:cs="Calibri"/>
          <w:szCs w:val="20"/>
          <w:lang w:eastAsia="zh-CN"/>
        </w:rPr>
        <w:t xml:space="preserve">; </w:t>
      </w:r>
      <w:r w:rsidRPr="003F7F6C">
        <w:rPr>
          <w:rFonts w:cs="Calibri"/>
          <w:szCs w:val="20"/>
        </w:rPr>
        <w:t>assessment of experiences and lessons learned from ongoing and past projects; facilitating dialogue and coordination with non-pilot provinces to initiate ELUP; and elaboration of methodological guides for ELUP.</w:t>
      </w:r>
    </w:p>
    <w:p w14:paraId="4F9D263A" w14:textId="77777777" w:rsidR="00F04292" w:rsidRPr="003F7F6C" w:rsidRDefault="00F04292" w:rsidP="00F04292">
      <w:pPr>
        <w:rPr>
          <w:rFonts w:cs="Calibri"/>
          <w:szCs w:val="20"/>
          <w:lang w:eastAsia="zh-CN"/>
        </w:rPr>
      </w:pPr>
    </w:p>
    <w:p w14:paraId="5AD06CEA" w14:textId="77777777" w:rsidR="00F04292" w:rsidRPr="003F7F6C" w:rsidRDefault="00F04292" w:rsidP="00F04292">
      <w:pPr>
        <w:rPr>
          <w:rFonts w:cs="Calibri"/>
          <w:szCs w:val="20"/>
          <w:u w:val="single"/>
          <w:lang w:eastAsia="zh-CN"/>
        </w:rPr>
      </w:pPr>
      <w:r w:rsidRPr="003F7F6C">
        <w:rPr>
          <w:rFonts w:cs="Calibri"/>
          <w:szCs w:val="20"/>
          <w:u w:val="single"/>
          <w:lang w:eastAsia="zh-CN"/>
        </w:rPr>
        <w:t xml:space="preserve">Required skills and expertise </w:t>
      </w:r>
    </w:p>
    <w:p w14:paraId="08EF31CA" w14:textId="77777777" w:rsidR="00F04292" w:rsidRPr="003F7F6C" w:rsidRDefault="00F04292" w:rsidP="00E91275">
      <w:pPr>
        <w:numPr>
          <w:ilvl w:val="0"/>
          <w:numId w:val="10"/>
        </w:numPr>
        <w:ind w:left="357" w:hanging="357"/>
        <w:rPr>
          <w:rFonts w:cs="Calibri"/>
          <w:szCs w:val="20"/>
          <w:lang w:eastAsia="zh-CN"/>
        </w:rPr>
      </w:pPr>
      <w:r w:rsidRPr="003F7F6C">
        <w:rPr>
          <w:rFonts w:cs="Calibri"/>
          <w:szCs w:val="20"/>
          <w:lang w:eastAsia="zh-CN"/>
        </w:rPr>
        <w:t xml:space="preserve">Graduate degree – MSc is desirable - </w:t>
      </w:r>
      <w:r w:rsidRPr="003F7F6C">
        <w:rPr>
          <w:rFonts w:cs="Calibri"/>
          <w:szCs w:val="20"/>
        </w:rPr>
        <w:t>in a relevant field such as natural resource management, environmental science or studies, or environmental land use planning</w:t>
      </w:r>
    </w:p>
    <w:p w14:paraId="5B55D19F" w14:textId="77777777" w:rsidR="00F04292" w:rsidRPr="003F7F6C" w:rsidRDefault="00F04292" w:rsidP="00E91275">
      <w:pPr>
        <w:pStyle w:val="ListParagraph"/>
        <w:numPr>
          <w:ilvl w:val="0"/>
          <w:numId w:val="10"/>
        </w:numPr>
        <w:spacing w:before="60"/>
        <w:ind w:left="357" w:hanging="357"/>
        <w:contextualSpacing w:val="0"/>
        <w:rPr>
          <w:rFonts w:cs="Calibri"/>
          <w:szCs w:val="20"/>
          <w:lang w:eastAsia="zh-CN"/>
        </w:rPr>
      </w:pPr>
      <w:r w:rsidRPr="003F7F6C">
        <w:rPr>
          <w:rFonts w:cs="Calibri"/>
          <w:szCs w:val="20"/>
          <w:lang w:eastAsia="zh-CN"/>
        </w:rPr>
        <w:t>At least 10 years of experience in land use planning, natural resource management and/or environmental management.</w:t>
      </w:r>
    </w:p>
    <w:p w14:paraId="0657A64B" w14:textId="77777777" w:rsidR="00F04292" w:rsidRPr="003F7F6C" w:rsidRDefault="00F04292" w:rsidP="00E91275">
      <w:pPr>
        <w:numPr>
          <w:ilvl w:val="0"/>
          <w:numId w:val="10"/>
        </w:numPr>
        <w:ind w:left="357" w:hanging="357"/>
        <w:rPr>
          <w:rFonts w:cs="Calibri"/>
          <w:szCs w:val="20"/>
          <w:lang w:eastAsia="zh-CN"/>
        </w:rPr>
      </w:pPr>
      <w:r w:rsidRPr="003F7F6C">
        <w:rPr>
          <w:rFonts w:cs="Calibri"/>
          <w:szCs w:val="20"/>
          <w:lang w:eastAsia="zh-CN"/>
        </w:rPr>
        <w:t>At least 5 years of demonstrable project/program management experience.</w:t>
      </w:r>
    </w:p>
    <w:p w14:paraId="6B934371" w14:textId="77777777" w:rsidR="00F04292" w:rsidRPr="003F7F6C" w:rsidRDefault="00F04292" w:rsidP="00E91275">
      <w:pPr>
        <w:numPr>
          <w:ilvl w:val="0"/>
          <w:numId w:val="10"/>
        </w:numPr>
        <w:ind w:left="357" w:hanging="357"/>
        <w:rPr>
          <w:rFonts w:cs="Calibri"/>
          <w:szCs w:val="20"/>
          <w:lang w:eastAsia="zh-CN"/>
        </w:rPr>
      </w:pPr>
      <w:r w:rsidRPr="003F7F6C">
        <w:rPr>
          <w:rFonts w:cs="Calibri"/>
          <w:szCs w:val="20"/>
          <w:lang w:eastAsia="zh-CN"/>
        </w:rPr>
        <w:t>At least 5 years of experience working with ministries, national or provincial institutions or NGOs that are concerned with natural resource and/or environmental management.</w:t>
      </w:r>
    </w:p>
    <w:p w14:paraId="0B8F28BC" w14:textId="77777777" w:rsidR="00F04292" w:rsidRPr="003F7F6C" w:rsidRDefault="00F04292" w:rsidP="00F04292">
      <w:pPr>
        <w:rPr>
          <w:rFonts w:cs="Calibri"/>
          <w:szCs w:val="20"/>
          <w:u w:val="single"/>
          <w:lang w:eastAsia="zh-CN"/>
        </w:rPr>
      </w:pPr>
    </w:p>
    <w:p w14:paraId="0E1A7051" w14:textId="77777777" w:rsidR="00F04292" w:rsidRPr="003F7F6C" w:rsidRDefault="00F04292" w:rsidP="00F04292">
      <w:pPr>
        <w:rPr>
          <w:rFonts w:cs="Calibri"/>
          <w:szCs w:val="20"/>
          <w:u w:val="single"/>
          <w:lang w:eastAsia="zh-CN"/>
        </w:rPr>
      </w:pPr>
      <w:r w:rsidRPr="003F7F6C">
        <w:rPr>
          <w:rFonts w:cs="Calibri"/>
          <w:szCs w:val="20"/>
          <w:u w:val="single"/>
          <w:lang w:eastAsia="zh-CN"/>
        </w:rPr>
        <w:t>Competencies</w:t>
      </w:r>
    </w:p>
    <w:p w14:paraId="275399DC" w14:textId="77777777" w:rsidR="00F04292" w:rsidRPr="003F7F6C" w:rsidRDefault="00F04292" w:rsidP="00E91275">
      <w:pPr>
        <w:numPr>
          <w:ilvl w:val="0"/>
          <w:numId w:val="12"/>
        </w:numPr>
        <w:ind w:left="357" w:hanging="357"/>
        <w:rPr>
          <w:rFonts w:cs="Calibri"/>
          <w:szCs w:val="20"/>
          <w:lang w:eastAsia="zh-CN"/>
        </w:rPr>
      </w:pPr>
      <w:r w:rsidRPr="003F7F6C">
        <w:rPr>
          <w:rFonts w:cs="Calibri"/>
          <w:szCs w:val="20"/>
          <w:lang w:eastAsia="zh-CN"/>
        </w:rPr>
        <w:t>Strong leadership, managerial and coordination skills, with a demonstrated ability to effectively coordinate the implementation of large multi-stakeholder projects, including financial and technical aspects.</w:t>
      </w:r>
    </w:p>
    <w:p w14:paraId="4D425CDF" w14:textId="77777777" w:rsidR="00F04292" w:rsidRPr="003F7F6C" w:rsidRDefault="00F04292" w:rsidP="00E91275">
      <w:pPr>
        <w:numPr>
          <w:ilvl w:val="0"/>
          <w:numId w:val="12"/>
        </w:numPr>
        <w:ind w:left="357" w:hanging="357"/>
        <w:rPr>
          <w:rFonts w:cs="Calibri"/>
          <w:szCs w:val="20"/>
          <w:lang w:eastAsia="zh-CN"/>
        </w:rPr>
      </w:pPr>
      <w:r w:rsidRPr="003F7F6C">
        <w:rPr>
          <w:rFonts w:cs="Calibri"/>
          <w:szCs w:val="20"/>
          <w:lang w:eastAsia="zh-CN"/>
        </w:rPr>
        <w:t>Ability to effectively manage technical and administrative teams, work with a wide range of stakeholders across various sectors and at all levels, to develop durable partnerships with collaborating agencies.</w:t>
      </w:r>
    </w:p>
    <w:p w14:paraId="05F1A996" w14:textId="77777777" w:rsidR="00F04292" w:rsidRPr="003F7F6C" w:rsidRDefault="00F04292" w:rsidP="00E91275">
      <w:pPr>
        <w:numPr>
          <w:ilvl w:val="0"/>
          <w:numId w:val="10"/>
        </w:numPr>
        <w:ind w:left="357" w:hanging="357"/>
        <w:rPr>
          <w:rFonts w:cs="Calibri"/>
          <w:szCs w:val="20"/>
          <w:lang w:eastAsia="zh-CN"/>
        </w:rPr>
      </w:pPr>
      <w:r w:rsidRPr="003F7F6C">
        <w:rPr>
          <w:rFonts w:cs="Calibri"/>
          <w:szCs w:val="20"/>
          <w:lang w:eastAsia="zh-CN"/>
        </w:rPr>
        <w:t>Ability to administer budgets, train and work effectively with counterpart staff at all levels and with all groups involved in the project.</w:t>
      </w:r>
    </w:p>
    <w:p w14:paraId="2303996A" w14:textId="77777777" w:rsidR="00F04292" w:rsidRPr="003F7F6C" w:rsidRDefault="00F04292" w:rsidP="00E91275">
      <w:pPr>
        <w:numPr>
          <w:ilvl w:val="0"/>
          <w:numId w:val="10"/>
        </w:numPr>
        <w:ind w:left="357" w:hanging="357"/>
        <w:rPr>
          <w:rFonts w:cs="Calibri"/>
          <w:szCs w:val="20"/>
          <w:lang w:eastAsia="zh-CN"/>
        </w:rPr>
      </w:pPr>
      <w:r w:rsidRPr="003F7F6C">
        <w:rPr>
          <w:rFonts w:cs="Calibri"/>
          <w:szCs w:val="20"/>
          <w:lang w:eastAsia="zh-CN"/>
        </w:rPr>
        <w:t>Ability to coordinate and supervise implementation of technical activities in partnership with a variety of national and provincial stakeholder groups, including government, community, private sector, CSOs.</w:t>
      </w:r>
    </w:p>
    <w:p w14:paraId="5C213AA4" w14:textId="77777777" w:rsidR="00F04292" w:rsidRPr="003F7F6C" w:rsidRDefault="00F04292" w:rsidP="00E91275">
      <w:pPr>
        <w:numPr>
          <w:ilvl w:val="0"/>
          <w:numId w:val="10"/>
        </w:numPr>
        <w:ind w:left="357" w:hanging="357"/>
        <w:rPr>
          <w:rFonts w:cs="Calibri"/>
          <w:szCs w:val="20"/>
          <w:lang w:eastAsia="zh-CN"/>
        </w:rPr>
      </w:pPr>
      <w:r w:rsidRPr="003F7F6C">
        <w:rPr>
          <w:rFonts w:cs="Calibri"/>
          <w:szCs w:val="20"/>
          <w:lang w:eastAsia="zh-CN"/>
        </w:rPr>
        <w:t>Strong drafting, presentation and reporting skills.</w:t>
      </w:r>
    </w:p>
    <w:p w14:paraId="01D39C32" w14:textId="1E7D3E5B" w:rsidR="00F04292" w:rsidRPr="003F7F6C" w:rsidRDefault="00F04292" w:rsidP="00E91275">
      <w:pPr>
        <w:numPr>
          <w:ilvl w:val="0"/>
          <w:numId w:val="10"/>
        </w:numPr>
        <w:ind w:left="357" w:hanging="357"/>
        <w:rPr>
          <w:rFonts w:cs="Calibri"/>
          <w:szCs w:val="20"/>
          <w:lang w:eastAsia="zh-CN"/>
        </w:rPr>
      </w:pPr>
      <w:r w:rsidRPr="003F7F6C">
        <w:rPr>
          <w:rFonts w:cs="Calibri"/>
          <w:szCs w:val="20"/>
          <w:lang w:eastAsia="zh-CN"/>
        </w:rPr>
        <w:t xml:space="preserve">Strong communication skills, </w:t>
      </w:r>
      <w:r w:rsidR="0073637B" w:rsidRPr="003F7F6C">
        <w:rPr>
          <w:rFonts w:cs="Calibri"/>
          <w:szCs w:val="20"/>
          <w:lang w:eastAsia="zh-CN"/>
        </w:rPr>
        <w:t>including</w:t>
      </w:r>
      <w:r w:rsidRPr="003F7F6C">
        <w:rPr>
          <w:rFonts w:cs="Calibri"/>
          <w:szCs w:val="20"/>
          <w:lang w:eastAsia="zh-CN"/>
        </w:rPr>
        <w:t xml:space="preserve"> timely and accurate responses to emails.</w:t>
      </w:r>
    </w:p>
    <w:p w14:paraId="2E1BCBE2" w14:textId="0C20D3AD" w:rsidR="00F04292" w:rsidRPr="003F7F6C" w:rsidRDefault="00F04292" w:rsidP="00E91275">
      <w:pPr>
        <w:numPr>
          <w:ilvl w:val="0"/>
          <w:numId w:val="10"/>
        </w:numPr>
        <w:ind w:left="357" w:hanging="357"/>
        <w:rPr>
          <w:rFonts w:cs="Calibri"/>
          <w:szCs w:val="20"/>
          <w:lang w:eastAsia="zh-CN"/>
        </w:rPr>
      </w:pPr>
      <w:r w:rsidRPr="003F7F6C">
        <w:rPr>
          <w:rFonts w:cs="Calibri"/>
          <w:szCs w:val="20"/>
          <w:lang w:eastAsia="zh-CN"/>
        </w:rPr>
        <w:t>Strong computer skills, in particular mastery of all applications of the MS Office package and internet search</w:t>
      </w:r>
      <w:r w:rsidR="0073637B" w:rsidRPr="003F7F6C">
        <w:rPr>
          <w:rFonts w:cs="Calibri"/>
          <w:szCs w:val="20"/>
          <w:lang w:eastAsia="zh-CN"/>
        </w:rPr>
        <w:t>es</w:t>
      </w:r>
      <w:r w:rsidRPr="003F7F6C">
        <w:rPr>
          <w:rFonts w:cs="Calibri"/>
          <w:szCs w:val="20"/>
          <w:lang w:eastAsia="zh-CN"/>
        </w:rPr>
        <w:t>.</w:t>
      </w:r>
    </w:p>
    <w:p w14:paraId="7B696CE6" w14:textId="77777777" w:rsidR="00F04292" w:rsidRPr="003F7F6C" w:rsidRDefault="00F04292" w:rsidP="00E91275">
      <w:pPr>
        <w:numPr>
          <w:ilvl w:val="0"/>
          <w:numId w:val="10"/>
        </w:numPr>
        <w:ind w:left="357" w:hanging="357"/>
        <w:rPr>
          <w:rFonts w:cs="Calibri"/>
          <w:szCs w:val="20"/>
          <w:lang w:eastAsia="zh-CN"/>
        </w:rPr>
      </w:pPr>
      <w:r w:rsidRPr="003F7F6C">
        <w:rPr>
          <w:rFonts w:cs="Calibri"/>
          <w:szCs w:val="20"/>
        </w:rPr>
        <w:t>Knowledge of productive sectors and environmental land use planning in Argentina.</w:t>
      </w:r>
    </w:p>
    <w:p w14:paraId="1683B58F" w14:textId="77777777" w:rsidR="00F04292" w:rsidRPr="003F7F6C" w:rsidRDefault="00F04292" w:rsidP="00E91275">
      <w:pPr>
        <w:numPr>
          <w:ilvl w:val="0"/>
          <w:numId w:val="10"/>
        </w:numPr>
        <w:ind w:left="357" w:hanging="357"/>
        <w:rPr>
          <w:rFonts w:cs="Calibri"/>
          <w:szCs w:val="20"/>
        </w:rPr>
      </w:pPr>
      <w:r w:rsidRPr="003F7F6C">
        <w:rPr>
          <w:rFonts w:cs="Calibri"/>
          <w:szCs w:val="20"/>
        </w:rPr>
        <w:t>Excellent verbal and writing communication skills in Spanish.</w:t>
      </w:r>
    </w:p>
    <w:p w14:paraId="55D8E81E" w14:textId="015B1891" w:rsidR="00F04292" w:rsidRPr="003F7F6C" w:rsidRDefault="00F04292" w:rsidP="00E91275">
      <w:pPr>
        <w:numPr>
          <w:ilvl w:val="0"/>
          <w:numId w:val="10"/>
        </w:numPr>
        <w:ind w:left="357" w:hanging="357"/>
        <w:rPr>
          <w:rFonts w:cs="Calibri"/>
          <w:szCs w:val="20"/>
        </w:rPr>
      </w:pPr>
      <w:r w:rsidRPr="003F7F6C">
        <w:rPr>
          <w:rFonts w:cs="Calibri"/>
          <w:szCs w:val="20"/>
        </w:rPr>
        <w:t xml:space="preserve">Working knowledge of English is </w:t>
      </w:r>
      <w:r w:rsidR="001D57B3" w:rsidRPr="003F7F6C">
        <w:rPr>
          <w:rFonts w:cs="Calibri"/>
          <w:szCs w:val="20"/>
        </w:rPr>
        <w:t>mandatory.</w:t>
      </w:r>
    </w:p>
    <w:p w14:paraId="7D4DB770" w14:textId="77777777" w:rsidR="00F04292" w:rsidRPr="003F7F6C" w:rsidRDefault="00F04292" w:rsidP="00F04292">
      <w:pPr>
        <w:rPr>
          <w:rFonts w:cs="Calibri"/>
          <w:szCs w:val="20"/>
        </w:rPr>
      </w:pPr>
    </w:p>
    <w:p w14:paraId="29833D26" w14:textId="77777777" w:rsidR="00F04292" w:rsidRPr="003F7F6C" w:rsidRDefault="00F04292" w:rsidP="00F04292">
      <w:pPr>
        <w:rPr>
          <w:rFonts w:cs="Calibri"/>
          <w:szCs w:val="20"/>
        </w:rPr>
      </w:pPr>
    </w:p>
    <w:p w14:paraId="2ACD9F37" w14:textId="77777777" w:rsidR="00F04292" w:rsidRPr="003F7F6C" w:rsidRDefault="00F04292" w:rsidP="00F04292">
      <w:pPr>
        <w:rPr>
          <w:rFonts w:cs="Calibri"/>
          <w:b/>
          <w:szCs w:val="20"/>
          <w:u w:val="single"/>
        </w:rPr>
      </w:pPr>
      <w:r w:rsidRPr="003F7F6C">
        <w:rPr>
          <w:rFonts w:cs="Calibri"/>
          <w:b/>
          <w:szCs w:val="20"/>
          <w:u w:val="single"/>
        </w:rPr>
        <w:t>Administrative Assistant</w:t>
      </w:r>
    </w:p>
    <w:p w14:paraId="2D61D49A" w14:textId="77777777" w:rsidR="00F04292" w:rsidRPr="003F7F6C" w:rsidRDefault="00F04292" w:rsidP="00F04292">
      <w:pPr>
        <w:rPr>
          <w:rFonts w:cs="Calibri"/>
          <w:szCs w:val="20"/>
        </w:rPr>
      </w:pPr>
      <w:r w:rsidRPr="003F7F6C">
        <w:rPr>
          <w:rFonts w:cs="Calibri"/>
          <w:szCs w:val="20"/>
        </w:rPr>
        <w:t>The Administrative Assistant will provide support to the Project Coordinator in management and administration of the project.  Under the supervision of the Project Coordinator, and in coordination with UNDP and the Implementing Partner, the Administrative Assistant will have the following specific responsibilities:</w:t>
      </w:r>
    </w:p>
    <w:p w14:paraId="1D25E6B3" w14:textId="77777777" w:rsidR="00F04292" w:rsidRPr="003F7F6C" w:rsidRDefault="00F04292" w:rsidP="00F04292">
      <w:pPr>
        <w:rPr>
          <w:rFonts w:cs="Calibri"/>
          <w:szCs w:val="20"/>
        </w:rPr>
      </w:pPr>
    </w:p>
    <w:p w14:paraId="521010D5" w14:textId="77777777" w:rsidR="00F04292" w:rsidRPr="003F7F6C" w:rsidRDefault="00F04292" w:rsidP="00F04292">
      <w:pPr>
        <w:rPr>
          <w:rFonts w:cs="Calibri"/>
          <w:szCs w:val="20"/>
          <w:u w:val="single"/>
          <w:lang w:eastAsia="zh-CN"/>
        </w:rPr>
      </w:pPr>
      <w:r w:rsidRPr="003F7F6C">
        <w:rPr>
          <w:rFonts w:cs="Calibri"/>
          <w:szCs w:val="20"/>
          <w:u w:val="single"/>
          <w:lang w:eastAsia="zh-CN"/>
        </w:rPr>
        <w:t>Duties and Responsibilities</w:t>
      </w:r>
    </w:p>
    <w:p w14:paraId="4D6290DF" w14:textId="77777777" w:rsidR="00F04292" w:rsidRPr="003F7F6C" w:rsidRDefault="00F04292" w:rsidP="00E91275">
      <w:pPr>
        <w:pStyle w:val="Normal11"/>
        <w:numPr>
          <w:ilvl w:val="0"/>
          <w:numId w:val="50"/>
        </w:numPr>
        <w:spacing w:before="0" w:after="60"/>
        <w:ind w:left="360"/>
        <w:rPr>
          <w:rFonts w:ascii="Calibri" w:hAnsi="Calibri" w:cs="Calibri"/>
          <w:sz w:val="20"/>
          <w:szCs w:val="20"/>
          <w:lang w:val="en-US" w:eastAsia="zh-CN"/>
        </w:rPr>
      </w:pPr>
      <w:r w:rsidRPr="003F7F6C">
        <w:rPr>
          <w:rFonts w:ascii="Calibri" w:hAnsi="Calibri" w:cs="Calibri"/>
          <w:sz w:val="20"/>
          <w:szCs w:val="20"/>
          <w:lang w:val="en-US" w:eastAsia="zh-CN"/>
        </w:rPr>
        <w:t>Undertake low complexity tasks with the purpose of contributing to the achievement of the planned results.</w:t>
      </w:r>
    </w:p>
    <w:p w14:paraId="595C9E84" w14:textId="77777777" w:rsidR="00F04292" w:rsidRPr="003F7F6C" w:rsidRDefault="00F04292" w:rsidP="00E91275">
      <w:pPr>
        <w:pStyle w:val="Normal11"/>
        <w:numPr>
          <w:ilvl w:val="0"/>
          <w:numId w:val="50"/>
        </w:numPr>
        <w:spacing w:before="0" w:after="60"/>
        <w:ind w:left="360"/>
        <w:rPr>
          <w:rFonts w:ascii="Calibri" w:hAnsi="Calibri" w:cs="Calibri"/>
          <w:sz w:val="20"/>
          <w:szCs w:val="20"/>
          <w:lang w:val="en-US" w:eastAsia="zh-CN"/>
        </w:rPr>
      </w:pPr>
      <w:r w:rsidRPr="003F7F6C">
        <w:rPr>
          <w:rFonts w:ascii="Calibri" w:hAnsi="Calibri" w:cs="Calibri"/>
          <w:sz w:val="20"/>
          <w:szCs w:val="20"/>
          <w:lang w:val="en-US" w:eastAsia="zh-CN"/>
        </w:rPr>
        <w:t>Participate in situation analyses and diagnoses.</w:t>
      </w:r>
    </w:p>
    <w:p w14:paraId="171591C2" w14:textId="51D9AF87" w:rsidR="00F04292" w:rsidRPr="003F7F6C" w:rsidRDefault="00F04292" w:rsidP="00E91275">
      <w:pPr>
        <w:pStyle w:val="Normal11"/>
        <w:numPr>
          <w:ilvl w:val="0"/>
          <w:numId w:val="55"/>
        </w:numPr>
        <w:spacing w:before="0" w:after="60"/>
        <w:ind w:left="360"/>
        <w:rPr>
          <w:rFonts w:ascii="Calibri" w:hAnsi="Calibri" w:cs="Calibri"/>
          <w:sz w:val="20"/>
          <w:szCs w:val="20"/>
          <w:lang w:val="en-US"/>
        </w:rPr>
      </w:pPr>
      <w:r w:rsidRPr="003F7F6C">
        <w:rPr>
          <w:rFonts w:ascii="Calibri" w:hAnsi="Calibri" w:cs="Calibri"/>
          <w:sz w:val="20"/>
          <w:szCs w:val="20"/>
          <w:lang w:val="en-US"/>
        </w:rPr>
        <w:t xml:space="preserve">Support the Project Coordinator in implementing monitoring and control mechanisms to ensure compliance with provisions set out in the Project Document on administrative and financial management, monitoring, preparation and presentation of </w:t>
      </w:r>
      <w:r w:rsidR="004F0C83" w:rsidRPr="003F7F6C">
        <w:rPr>
          <w:rFonts w:ascii="Calibri" w:hAnsi="Calibri" w:cs="Calibri"/>
          <w:sz w:val="20"/>
          <w:szCs w:val="20"/>
          <w:lang w:val="en-US"/>
        </w:rPr>
        <w:t xml:space="preserve">project </w:t>
      </w:r>
      <w:r w:rsidRPr="003F7F6C">
        <w:rPr>
          <w:rFonts w:ascii="Calibri" w:hAnsi="Calibri" w:cs="Calibri"/>
          <w:sz w:val="20"/>
          <w:szCs w:val="20"/>
          <w:lang w:val="en-US"/>
        </w:rPr>
        <w:t>and financial reports to UNDP.</w:t>
      </w:r>
    </w:p>
    <w:p w14:paraId="31858576" w14:textId="77777777" w:rsidR="00F04292" w:rsidRPr="003F7F6C" w:rsidRDefault="00F04292" w:rsidP="00E91275">
      <w:pPr>
        <w:pStyle w:val="Normal11"/>
        <w:numPr>
          <w:ilvl w:val="0"/>
          <w:numId w:val="48"/>
        </w:numPr>
        <w:spacing w:before="0" w:after="60"/>
        <w:ind w:left="357" w:hanging="357"/>
        <w:rPr>
          <w:rFonts w:ascii="Calibri" w:hAnsi="Calibri" w:cs="Calibri"/>
          <w:sz w:val="20"/>
          <w:szCs w:val="20"/>
          <w:lang w:val="en-US"/>
        </w:rPr>
      </w:pPr>
      <w:r w:rsidRPr="003F7F6C">
        <w:rPr>
          <w:rFonts w:ascii="Calibri" w:hAnsi="Calibri" w:cs="Calibri"/>
          <w:sz w:val="20"/>
          <w:szCs w:val="20"/>
          <w:lang w:val="en-US"/>
        </w:rPr>
        <w:t>Provide support in the selection and contracting processes for procurement of goods and services, as well as in screening and hiring individuals and travel management according to UNDP policies, standards, procedures and good practices.</w:t>
      </w:r>
    </w:p>
    <w:p w14:paraId="6A5DCC5E" w14:textId="141FB961" w:rsidR="00F04292" w:rsidRPr="003F7F6C" w:rsidRDefault="00F04292" w:rsidP="00E91275">
      <w:pPr>
        <w:pStyle w:val="Normal11"/>
        <w:numPr>
          <w:ilvl w:val="0"/>
          <w:numId w:val="48"/>
        </w:numPr>
        <w:spacing w:before="0" w:after="60"/>
        <w:ind w:left="357" w:hanging="357"/>
        <w:rPr>
          <w:rFonts w:ascii="Calibri" w:hAnsi="Calibri" w:cs="Calibri"/>
          <w:sz w:val="20"/>
          <w:szCs w:val="20"/>
          <w:lang w:val="en-US"/>
        </w:rPr>
      </w:pPr>
      <w:r w:rsidRPr="003F7F6C">
        <w:rPr>
          <w:rFonts w:ascii="Calibri" w:hAnsi="Calibri" w:cs="Calibri"/>
          <w:sz w:val="20"/>
          <w:szCs w:val="20"/>
          <w:lang w:val="en-US"/>
        </w:rPr>
        <w:t xml:space="preserve">Ensure that transactions are undertaken in accordance with the procurement plan and agreements and/or contracts signed with third parties, and </w:t>
      </w:r>
      <w:r w:rsidR="004F0C83" w:rsidRPr="003F7F6C">
        <w:rPr>
          <w:rFonts w:ascii="Calibri" w:hAnsi="Calibri" w:cs="Calibri"/>
          <w:sz w:val="20"/>
          <w:szCs w:val="20"/>
          <w:lang w:val="en-US"/>
        </w:rPr>
        <w:t xml:space="preserve">in accordance with </w:t>
      </w:r>
      <w:r w:rsidRPr="003F7F6C">
        <w:rPr>
          <w:rFonts w:ascii="Calibri" w:hAnsi="Calibri" w:cs="Calibri"/>
          <w:sz w:val="20"/>
          <w:szCs w:val="20"/>
          <w:lang w:val="en-US"/>
        </w:rPr>
        <w:t>UNDP rules and regulations.</w:t>
      </w:r>
    </w:p>
    <w:p w14:paraId="2B761D73" w14:textId="77777777" w:rsidR="00F04292" w:rsidRPr="003F7F6C" w:rsidRDefault="00F04292" w:rsidP="00E91275">
      <w:pPr>
        <w:pStyle w:val="Normal11"/>
        <w:numPr>
          <w:ilvl w:val="0"/>
          <w:numId w:val="48"/>
        </w:numPr>
        <w:spacing w:before="0" w:after="60"/>
        <w:ind w:left="357" w:hanging="357"/>
        <w:rPr>
          <w:rFonts w:ascii="Calibri" w:hAnsi="Calibri" w:cs="Calibri"/>
          <w:sz w:val="20"/>
          <w:szCs w:val="20"/>
          <w:lang w:val="en-US"/>
        </w:rPr>
      </w:pPr>
      <w:r w:rsidRPr="003F7F6C">
        <w:rPr>
          <w:rFonts w:ascii="Calibri" w:hAnsi="Calibri" w:cs="Calibri"/>
          <w:sz w:val="20"/>
          <w:szCs w:val="20"/>
          <w:lang w:val="en-US"/>
        </w:rPr>
        <w:t>Verify that all payments for remunerations and other services are made in accordance with the terms of the contracts or agreements and the corresponding authorizations.</w:t>
      </w:r>
    </w:p>
    <w:p w14:paraId="6D547C72" w14:textId="77777777" w:rsidR="00F04292" w:rsidRPr="003F7F6C" w:rsidRDefault="00F04292" w:rsidP="00E91275">
      <w:pPr>
        <w:pStyle w:val="Normal11"/>
        <w:numPr>
          <w:ilvl w:val="0"/>
          <w:numId w:val="48"/>
        </w:numPr>
        <w:spacing w:before="0" w:after="60"/>
        <w:ind w:left="357" w:hanging="357"/>
        <w:rPr>
          <w:rFonts w:ascii="Calibri" w:hAnsi="Calibri" w:cs="Calibri"/>
          <w:sz w:val="20"/>
          <w:szCs w:val="20"/>
          <w:lang w:val="en-US"/>
        </w:rPr>
      </w:pPr>
      <w:r w:rsidRPr="003F7F6C">
        <w:rPr>
          <w:rFonts w:ascii="Calibri" w:hAnsi="Calibri" w:cs="Calibri"/>
          <w:sz w:val="20"/>
          <w:szCs w:val="20"/>
          <w:lang w:val="en-US"/>
        </w:rPr>
        <w:t>Follow up requirements and purchase orders in coordination with UNDP´s Procurement Unit.</w:t>
      </w:r>
    </w:p>
    <w:p w14:paraId="26D51EF0" w14:textId="77777777" w:rsidR="00F04292" w:rsidRPr="003F7F6C" w:rsidRDefault="00F04292" w:rsidP="00E91275">
      <w:pPr>
        <w:pStyle w:val="Normal11"/>
        <w:numPr>
          <w:ilvl w:val="0"/>
          <w:numId w:val="48"/>
        </w:numPr>
        <w:spacing w:before="0" w:after="60"/>
        <w:ind w:left="357" w:hanging="357"/>
        <w:rPr>
          <w:rFonts w:ascii="Calibri" w:hAnsi="Calibri" w:cs="Calibri"/>
          <w:sz w:val="20"/>
          <w:szCs w:val="20"/>
          <w:lang w:val="en-US"/>
        </w:rPr>
      </w:pPr>
      <w:r w:rsidRPr="003F7F6C">
        <w:rPr>
          <w:rFonts w:ascii="Calibri" w:hAnsi="Calibri" w:cs="Calibri"/>
          <w:sz w:val="20"/>
          <w:szCs w:val="20"/>
          <w:lang w:val="en-US"/>
        </w:rPr>
        <w:t>Keep an updated inventory record of project physical resources, which have been given in custody, ensuring their good use until their final disposal by UNDP.</w:t>
      </w:r>
    </w:p>
    <w:p w14:paraId="5910A7F7" w14:textId="77777777" w:rsidR="00F04292" w:rsidRPr="003F7F6C" w:rsidRDefault="00F04292" w:rsidP="00E91275">
      <w:pPr>
        <w:pStyle w:val="Normal11"/>
        <w:numPr>
          <w:ilvl w:val="0"/>
          <w:numId w:val="48"/>
        </w:numPr>
        <w:spacing w:before="0" w:after="60"/>
        <w:ind w:left="357" w:hanging="357"/>
        <w:rPr>
          <w:rFonts w:ascii="Calibri" w:hAnsi="Calibri" w:cs="Calibri"/>
          <w:sz w:val="20"/>
          <w:szCs w:val="20"/>
          <w:lang w:val="en-US"/>
        </w:rPr>
      </w:pPr>
      <w:r w:rsidRPr="003F7F6C">
        <w:rPr>
          <w:rFonts w:ascii="Calibri" w:hAnsi="Calibri" w:cs="Calibri"/>
          <w:sz w:val="20"/>
          <w:szCs w:val="20"/>
          <w:lang w:val="en-US"/>
        </w:rPr>
        <w:t>Coordinate logistical aspects for the organization of workshops, meetings and events in coordination with the project´s technical team and partners.</w:t>
      </w:r>
    </w:p>
    <w:p w14:paraId="6F089335" w14:textId="77777777" w:rsidR="00F04292" w:rsidRPr="003F7F6C" w:rsidRDefault="00F04292" w:rsidP="00E91275">
      <w:pPr>
        <w:pStyle w:val="Normal11"/>
        <w:numPr>
          <w:ilvl w:val="0"/>
          <w:numId w:val="48"/>
        </w:numPr>
        <w:spacing w:before="0" w:after="60"/>
        <w:ind w:left="357" w:hanging="357"/>
        <w:rPr>
          <w:rFonts w:ascii="Calibri" w:hAnsi="Calibri" w:cs="Calibri"/>
          <w:sz w:val="20"/>
          <w:szCs w:val="20"/>
          <w:lang w:val="en-US"/>
        </w:rPr>
      </w:pPr>
      <w:r w:rsidRPr="003F7F6C">
        <w:rPr>
          <w:rFonts w:ascii="Calibri" w:hAnsi="Calibri" w:cs="Calibri"/>
          <w:sz w:val="20"/>
          <w:szCs w:val="20"/>
          <w:lang w:val="en-US"/>
        </w:rPr>
        <w:t>Keep updated files on administrative and financial issues (reports, communications, payment requests, procurements).</w:t>
      </w:r>
    </w:p>
    <w:p w14:paraId="37044859" w14:textId="2DEF97E0" w:rsidR="00F04292" w:rsidRPr="003F7F6C" w:rsidRDefault="00F04292" w:rsidP="00E91275">
      <w:pPr>
        <w:pStyle w:val="Normal11"/>
        <w:numPr>
          <w:ilvl w:val="0"/>
          <w:numId w:val="48"/>
        </w:numPr>
        <w:spacing w:before="0" w:after="60"/>
        <w:ind w:left="357" w:hanging="357"/>
        <w:rPr>
          <w:rFonts w:ascii="Calibri" w:hAnsi="Calibri" w:cs="Calibri"/>
          <w:sz w:val="20"/>
          <w:szCs w:val="20"/>
          <w:lang w:val="en-US"/>
        </w:rPr>
      </w:pPr>
      <w:r w:rsidRPr="003F7F6C">
        <w:rPr>
          <w:rFonts w:ascii="Calibri" w:hAnsi="Calibri" w:cs="Calibri"/>
          <w:sz w:val="20"/>
          <w:szCs w:val="20"/>
          <w:lang w:val="en-US"/>
        </w:rPr>
        <w:t xml:space="preserve">Ensure permanent communication and coordination </w:t>
      </w:r>
      <w:r w:rsidR="004F0C83" w:rsidRPr="003F7F6C">
        <w:rPr>
          <w:rFonts w:ascii="Calibri" w:hAnsi="Calibri" w:cs="Calibri"/>
          <w:sz w:val="20"/>
          <w:szCs w:val="20"/>
          <w:lang w:val="en-US"/>
        </w:rPr>
        <w:t>o</w:t>
      </w:r>
      <w:r w:rsidRPr="003F7F6C">
        <w:rPr>
          <w:rFonts w:ascii="Calibri" w:hAnsi="Calibri" w:cs="Calibri"/>
          <w:sz w:val="20"/>
          <w:szCs w:val="20"/>
          <w:lang w:val="en-US"/>
        </w:rPr>
        <w:t>n administrative and financial issues with the Implementing Partner and other project partners.</w:t>
      </w:r>
    </w:p>
    <w:p w14:paraId="3A584DFB" w14:textId="77777777" w:rsidR="00F04292" w:rsidRPr="003F7F6C" w:rsidRDefault="00F04292" w:rsidP="00E91275">
      <w:pPr>
        <w:pStyle w:val="Normal11"/>
        <w:numPr>
          <w:ilvl w:val="0"/>
          <w:numId w:val="48"/>
        </w:numPr>
        <w:spacing w:before="0" w:after="60"/>
        <w:ind w:left="357" w:hanging="357"/>
        <w:rPr>
          <w:rFonts w:ascii="Calibri" w:hAnsi="Calibri" w:cs="Calibri"/>
          <w:sz w:val="20"/>
          <w:szCs w:val="20"/>
          <w:lang w:val="en-US"/>
        </w:rPr>
      </w:pPr>
      <w:r w:rsidRPr="003F7F6C">
        <w:rPr>
          <w:rFonts w:ascii="Calibri" w:hAnsi="Calibri" w:cs="Calibri"/>
          <w:sz w:val="20"/>
          <w:szCs w:val="20"/>
          <w:lang w:val="en-US"/>
        </w:rPr>
        <w:t>Provide support to project audits and external evaluations.</w:t>
      </w:r>
    </w:p>
    <w:p w14:paraId="68B4733E" w14:textId="77777777" w:rsidR="00F04292" w:rsidRPr="003F7F6C" w:rsidRDefault="00F04292" w:rsidP="00E91275">
      <w:pPr>
        <w:pStyle w:val="Normal11"/>
        <w:numPr>
          <w:ilvl w:val="0"/>
          <w:numId w:val="48"/>
        </w:numPr>
        <w:spacing w:before="0" w:after="60"/>
        <w:ind w:left="357" w:hanging="357"/>
        <w:rPr>
          <w:rFonts w:ascii="Calibri" w:hAnsi="Calibri" w:cs="Calibri"/>
          <w:sz w:val="20"/>
          <w:szCs w:val="20"/>
          <w:lang w:val="en-US"/>
        </w:rPr>
      </w:pPr>
      <w:r w:rsidRPr="003F7F6C">
        <w:rPr>
          <w:rFonts w:ascii="Calibri" w:hAnsi="Calibri" w:cs="Calibri"/>
          <w:sz w:val="20"/>
          <w:szCs w:val="20"/>
          <w:lang w:val="en-US"/>
        </w:rPr>
        <w:t>Manage the project office (contracts, cleaning services, etc.)</w:t>
      </w:r>
    </w:p>
    <w:p w14:paraId="6DB6024A" w14:textId="77777777" w:rsidR="00F04292" w:rsidRPr="003F7F6C" w:rsidRDefault="00F04292" w:rsidP="00E91275">
      <w:pPr>
        <w:pStyle w:val="Normal11"/>
        <w:numPr>
          <w:ilvl w:val="0"/>
          <w:numId w:val="48"/>
        </w:numPr>
        <w:spacing w:before="0" w:after="60"/>
        <w:ind w:left="357" w:hanging="357"/>
        <w:rPr>
          <w:rFonts w:ascii="Calibri" w:hAnsi="Calibri" w:cs="Calibri"/>
          <w:sz w:val="20"/>
          <w:szCs w:val="20"/>
          <w:lang w:val="en-US"/>
        </w:rPr>
      </w:pPr>
      <w:r w:rsidRPr="003F7F6C">
        <w:rPr>
          <w:rFonts w:ascii="Calibri" w:hAnsi="Calibri" w:cs="Calibri"/>
          <w:sz w:val="20"/>
          <w:szCs w:val="20"/>
          <w:lang w:val="en-US"/>
        </w:rPr>
        <w:t>Other tasks necessary for adequate project management.</w:t>
      </w:r>
    </w:p>
    <w:p w14:paraId="7A82B8E1" w14:textId="77777777" w:rsidR="00F04292" w:rsidRPr="003F7F6C" w:rsidRDefault="00F04292" w:rsidP="00F04292">
      <w:pPr>
        <w:pStyle w:val="Normal11"/>
        <w:spacing w:before="0" w:after="0"/>
        <w:ind w:firstLine="0"/>
        <w:rPr>
          <w:rFonts w:ascii="Calibri" w:hAnsi="Calibri" w:cs="Calibri"/>
          <w:sz w:val="20"/>
          <w:szCs w:val="20"/>
          <w:lang w:val="en-US"/>
        </w:rPr>
      </w:pPr>
    </w:p>
    <w:p w14:paraId="03FB9471" w14:textId="77777777" w:rsidR="00F04292" w:rsidRPr="003F7F6C" w:rsidRDefault="00F04292" w:rsidP="00F04292">
      <w:pPr>
        <w:rPr>
          <w:rFonts w:cs="Calibri"/>
          <w:szCs w:val="20"/>
          <w:u w:val="single"/>
          <w:lang w:eastAsia="zh-CN"/>
        </w:rPr>
      </w:pPr>
      <w:r w:rsidRPr="003F7F6C">
        <w:rPr>
          <w:rFonts w:cs="Calibri"/>
          <w:szCs w:val="20"/>
          <w:u w:val="single"/>
          <w:lang w:eastAsia="zh-CN"/>
        </w:rPr>
        <w:t>Required skills and expertise:</w:t>
      </w:r>
    </w:p>
    <w:p w14:paraId="657A5A89" w14:textId="77777777" w:rsidR="00F04292" w:rsidRPr="003F7F6C" w:rsidRDefault="00F04292" w:rsidP="00E91275">
      <w:pPr>
        <w:numPr>
          <w:ilvl w:val="0"/>
          <w:numId w:val="16"/>
        </w:numPr>
        <w:ind w:left="357" w:hanging="357"/>
        <w:rPr>
          <w:rFonts w:cs="Calibri"/>
          <w:szCs w:val="20"/>
        </w:rPr>
      </w:pPr>
      <w:r w:rsidRPr="003F7F6C">
        <w:rPr>
          <w:rFonts w:cs="Calibri"/>
          <w:szCs w:val="20"/>
        </w:rPr>
        <w:t>Graduate degree or secondary school diploma with experience in management and administration.</w:t>
      </w:r>
    </w:p>
    <w:p w14:paraId="21F02F69" w14:textId="77777777" w:rsidR="00F04292" w:rsidRPr="003F7F6C" w:rsidRDefault="00F04292" w:rsidP="00E91275">
      <w:pPr>
        <w:numPr>
          <w:ilvl w:val="0"/>
          <w:numId w:val="16"/>
        </w:numPr>
        <w:ind w:left="357" w:hanging="357"/>
        <w:rPr>
          <w:rFonts w:cs="Calibri"/>
          <w:szCs w:val="20"/>
        </w:rPr>
      </w:pPr>
      <w:r w:rsidRPr="003F7F6C">
        <w:rPr>
          <w:rFonts w:cs="Calibri"/>
          <w:szCs w:val="20"/>
        </w:rPr>
        <w:t>At least five years of relevant work experience in project administration, procurement and project management.</w:t>
      </w:r>
    </w:p>
    <w:p w14:paraId="1657895E" w14:textId="77777777" w:rsidR="00F04292" w:rsidRPr="003F7F6C" w:rsidRDefault="00F04292" w:rsidP="00E91275">
      <w:pPr>
        <w:numPr>
          <w:ilvl w:val="0"/>
          <w:numId w:val="16"/>
        </w:numPr>
        <w:ind w:left="357" w:hanging="357"/>
        <w:rPr>
          <w:rFonts w:cs="Calibri"/>
          <w:szCs w:val="20"/>
        </w:rPr>
      </w:pPr>
      <w:r w:rsidRPr="003F7F6C">
        <w:rPr>
          <w:rFonts w:cs="Calibri"/>
          <w:szCs w:val="20"/>
        </w:rPr>
        <w:t>Working experience in a project management setting involving multi-lateral/ international funding agency, preferably with UN projects is desirable.</w:t>
      </w:r>
    </w:p>
    <w:p w14:paraId="373D93CC" w14:textId="4C0B6CD5" w:rsidR="00F04292" w:rsidRPr="003F7F6C" w:rsidRDefault="00F04292" w:rsidP="00E91275">
      <w:pPr>
        <w:numPr>
          <w:ilvl w:val="0"/>
          <w:numId w:val="16"/>
        </w:numPr>
        <w:ind w:left="357" w:hanging="357"/>
        <w:rPr>
          <w:rFonts w:cs="Calibri"/>
          <w:szCs w:val="20"/>
        </w:rPr>
      </w:pPr>
      <w:r w:rsidRPr="003F7F6C">
        <w:rPr>
          <w:rFonts w:cs="Calibri"/>
          <w:szCs w:val="20"/>
        </w:rPr>
        <w:t>Experience in liaising and cooperating with government officials</w:t>
      </w:r>
    </w:p>
    <w:p w14:paraId="505BB8DF" w14:textId="77777777" w:rsidR="00F04292" w:rsidRPr="003F7F6C" w:rsidRDefault="00F04292" w:rsidP="00E91275">
      <w:pPr>
        <w:numPr>
          <w:ilvl w:val="0"/>
          <w:numId w:val="16"/>
        </w:numPr>
        <w:ind w:left="357" w:hanging="357"/>
        <w:rPr>
          <w:rFonts w:cs="Calibri"/>
          <w:szCs w:val="20"/>
        </w:rPr>
      </w:pPr>
      <w:r w:rsidRPr="003F7F6C">
        <w:rPr>
          <w:rFonts w:cs="Calibri"/>
          <w:szCs w:val="20"/>
        </w:rPr>
        <w:t>Acquaintance with UNDP procedures is highly desirable.</w:t>
      </w:r>
    </w:p>
    <w:p w14:paraId="69D032F4" w14:textId="0D1D6191" w:rsidR="00F04292" w:rsidRPr="003F7F6C" w:rsidRDefault="00F04292" w:rsidP="00E91275">
      <w:pPr>
        <w:numPr>
          <w:ilvl w:val="0"/>
          <w:numId w:val="16"/>
        </w:numPr>
        <w:ind w:left="357" w:hanging="357"/>
        <w:rPr>
          <w:rFonts w:cs="Calibri"/>
          <w:szCs w:val="20"/>
        </w:rPr>
      </w:pPr>
      <w:r w:rsidRPr="003F7F6C">
        <w:rPr>
          <w:rFonts w:cs="Calibri"/>
          <w:szCs w:val="20"/>
        </w:rPr>
        <w:t>Experience in organizing meetings, trip and per diem requests and in administrative functions.</w:t>
      </w:r>
    </w:p>
    <w:p w14:paraId="733FA2B7" w14:textId="77777777" w:rsidR="00F04292" w:rsidRPr="003F7F6C" w:rsidRDefault="00F04292" w:rsidP="00E91275">
      <w:pPr>
        <w:numPr>
          <w:ilvl w:val="0"/>
          <w:numId w:val="16"/>
        </w:numPr>
        <w:ind w:left="357" w:hanging="357"/>
        <w:rPr>
          <w:rFonts w:cs="Calibri"/>
          <w:szCs w:val="20"/>
        </w:rPr>
      </w:pPr>
      <w:r w:rsidRPr="003F7F6C">
        <w:rPr>
          <w:rFonts w:cs="Calibri"/>
          <w:szCs w:val="20"/>
        </w:rPr>
        <w:t>Computer skills and experience with data processing.</w:t>
      </w:r>
    </w:p>
    <w:p w14:paraId="6B522BC8" w14:textId="756EC88E" w:rsidR="00F04292" w:rsidRPr="003F7F6C" w:rsidRDefault="00F04292" w:rsidP="00E91275">
      <w:pPr>
        <w:numPr>
          <w:ilvl w:val="0"/>
          <w:numId w:val="16"/>
        </w:numPr>
        <w:ind w:left="357" w:hanging="357"/>
        <w:rPr>
          <w:rFonts w:cs="Calibri"/>
          <w:szCs w:val="20"/>
        </w:rPr>
      </w:pPr>
      <w:r w:rsidRPr="003F7F6C">
        <w:rPr>
          <w:rFonts w:cs="Calibri"/>
          <w:szCs w:val="20"/>
        </w:rPr>
        <w:t xml:space="preserve">Excellent verbal and </w:t>
      </w:r>
      <w:r w:rsidR="004F499B" w:rsidRPr="003F7F6C">
        <w:rPr>
          <w:rFonts w:cs="Calibri"/>
          <w:szCs w:val="20"/>
        </w:rPr>
        <w:t xml:space="preserve">written </w:t>
      </w:r>
      <w:r w:rsidRPr="003F7F6C">
        <w:rPr>
          <w:rFonts w:cs="Calibri"/>
          <w:szCs w:val="20"/>
        </w:rPr>
        <w:t>communication skills in Spanish.</w:t>
      </w:r>
    </w:p>
    <w:p w14:paraId="4A6687AC" w14:textId="77777777" w:rsidR="00F04292" w:rsidRPr="003F7F6C" w:rsidRDefault="00F04292" w:rsidP="00F04292">
      <w:pPr>
        <w:pStyle w:val="Normal11"/>
        <w:spacing w:before="0" w:after="0"/>
        <w:ind w:firstLine="0"/>
        <w:rPr>
          <w:rFonts w:ascii="Calibri" w:hAnsi="Calibri" w:cs="Calibri"/>
          <w:sz w:val="20"/>
          <w:szCs w:val="20"/>
          <w:lang w:val="en-US"/>
        </w:rPr>
      </w:pPr>
    </w:p>
    <w:p w14:paraId="5A6FC09A" w14:textId="77777777" w:rsidR="00F04292" w:rsidRPr="003F7F6C" w:rsidRDefault="00F04292" w:rsidP="00F04292">
      <w:pPr>
        <w:rPr>
          <w:rFonts w:cs="Calibri"/>
          <w:szCs w:val="20"/>
        </w:rPr>
      </w:pPr>
    </w:p>
    <w:p w14:paraId="0C3CBC19" w14:textId="77777777" w:rsidR="00F04292" w:rsidRPr="003F7F6C" w:rsidRDefault="00F04292" w:rsidP="00F04292">
      <w:pPr>
        <w:rPr>
          <w:rFonts w:cs="Calibri"/>
          <w:b/>
          <w:szCs w:val="20"/>
          <w:u w:val="single"/>
        </w:rPr>
      </w:pPr>
      <w:r w:rsidRPr="003F7F6C">
        <w:rPr>
          <w:rFonts w:cs="Calibri"/>
          <w:b/>
          <w:szCs w:val="20"/>
          <w:u w:val="single"/>
        </w:rPr>
        <w:t>Project Accountant</w:t>
      </w:r>
    </w:p>
    <w:p w14:paraId="1108D0FE" w14:textId="77777777" w:rsidR="00F04292" w:rsidRPr="003F7F6C" w:rsidRDefault="00F04292" w:rsidP="00F04292">
      <w:pPr>
        <w:rPr>
          <w:rFonts w:cs="Calibri"/>
          <w:szCs w:val="20"/>
        </w:rPr>
      </w:pPr>
      <w:r w:rsidRPr="003F7F6C">
        <w:rPr>
          <w:rFonts w:cs="Calibri"/>
          <w:szCs w:val="20"/>
        </w:rPr>
        <w:t>The Project Accountant will provide support to the Project Coordinator in management and administration of the project. Under the supervision of the Project Coordinator and in coordination with UNDP and the Implementing Partner, the Project Accountant will have the following specific responsibilities:</w:t>
      </w:r>
    </w:p>
    <w:p w14:paraId="1A4665CF" w14:textId="77777777" w:rsidR="00F04292" w:rsidRPr="003F7F6C" w:rsidRDefault="00F04292" w:rsidP="00F04292">
      <w:pPr>
        <w:rPr>
          <w:rFonts w:cs="Calibri"/>
          <w:szCs w:val="20"/>
        </w:rPr>
      </w:pPr>
    </w:p>
    <w:p w14:paraId="19BC7F42" w14:textId="77777777" w:rsidR="00F04292" w:rsidRPr="003F7F6C" w:rsidRDefault="00F04292" w:rsidP="00F04292">
      <w:pPr>
        <w:rPr>
          <w:rFonts w:cs="Calibri"/>
          <w:szCs w:val="20"/>
          <w:u w:val="single"/>
          <w:lang w:eastAsia="zh-CN"/>
        </w:rPr>
      </w:pPr>
      <w:r w:rsidRPr="003F7F6C">
        <w:rPr>
          <w:rFonts w:cs="Calibri"/>
          <w:szCs w:val="20"/>
          <w:u w:val="single"/>
          <w:lang w:eastAsia="zh-CN"/>
        </w:rPr>
        <w:t>Duties and Responsibilities</w:t>
      </w:r>
    </w:p>
    <w:p w14:paraId="6F6ABE45" w14:textId="77777777" w:rsidR="00F04292" w:rsidRPr="003F7F6C" w:rsidRDefault="00F04292" w:rsidP="00E91275">
      <w:pPr>
        <w:pStyle w:val="Normal11"/>
        <w:numPr>
          <w:ilvl w:val="0"/>
          <w:numId w:val="48"/>
        </w:numPr>
        <w:spacing w:before="0" w:after="60"/>
        <w:ind w:left="357" w:hanging="357"/>
        <w:rPr>
          <w:rFonts w:ascii="Calibri" w:hAnsi="Calibri" w:cs="Calibri"/>
          <w:sz w:val="20"/>
          <w:szCs w:val="20"/>
          <w:lang w:val="en-US"/>
        </w:rPr>
      </w:pPr>
      <w:r w:rsidRPr="003F7F6C">
        <w:rPr>
          <w:rFonts w:ascii="Calibri" w:hAnsi="Calibri" w:cs="Calibri"/>
          <w:sz w:val="20"/>
          <w:szCs w:val="20"/>
          <w:lang w:val="en-US"/>
        </w:rPr>
        <w:t>Support the Project Administrator in processes related to planning, administration, procurement, payments, conciliations, budgetary revisions and inventories, ensuring the adequate administrative and financial management in accordance with UNDP procedures.</w:t>
      </w:r>
    </w:p>
    <w:p w14:paraId="6D125F37" w14:textId="77777777" w:rsidR="00F04292" w:rsidRPr="003F7F6C" w:rsidRDefault="00F04292" w:rsidP="00E91275">
      <w:pPr>
        <w:numPr>
          <w:ilvl w:val="0"/>
          <w:numId w:val="48"/>
        </w:numPr>
        <w:ind w:left="357" w:right="-22" w:hanging="357"/>
        <w:rPr>
          <w:rFonts w:cs="Calibri"/>
          <w:bCs/>
          <w:szCs w:val="20"/>
        </w:rPr>
      </w:pPr>
      <w:r w:rsidRPr="003F7F6C">
        <w:rPr>
          <w:rFonts w:cs="Calibri"/>
          <w:bCs/>
          <w:szCs w:val="20"/>
        </w:rPr>
        <w:t>Carry out accounting procedures in accordance with the guidelines established by UNDP.</w:t>
      </w:r>
    </w:p>
    <w:p w14:paraId="74DBAE73" w14:textId="77777777" w:rsidR="00F04292" w:rsidRPr="003F7F6C" w:rsidRDefault="00F04292" w:rsidP="00E91275">
      <w:pPr>
        <w:numPr>
          <w:ilvl w:val="0"/>
          <w:numId w:val="48"/>
        </w:numPr>
        <w:ind w:left="357" w:hanging="357"/>
        <w:rPr>
          <w:rFonts w:cs="Calibri"/>
          <w:szCs w:val="20"/>
        </w:rPr>
      </w:pPr>
      <w:r w:rsidRPr="003F7F6C">
        <w:rPr>
          <w:rFonts w:cs="Calibri"/>
          <w:szCs w:val="20"/>
        </w:rPr>
        <w:t>Review project expenditures and ensure that project funds are used in compliance with the Project Document and Government of Argentina financial rules and procedures;</w:t>
      </w:r>
    </w:p>
    <w:p w14:paraId="2AC05A27" w14:textId="62355BAF" w:rsidR="00F04292" w:rsidRPr="003F7F6C" w:rsidRDefault="00F04292" w:rsidP="00E91275">
      <w:pPr>
        <w:numPr>
          <w:ilvl w:val="0"/>
          <w:numId w:val="48"/>
        </w:numPr>
        <w:ind w:left="357" w:hanging="357"/>
        <w:rPr>
          <w:rFonts w:cs="Calibri"/>
          <w:szCs w:val="20"/>
        </w:rPr>
      </w:pPr>
      <w:r w:rsidRPr="003F7F6C">
        <w:rPr>
          <w:rFonts w:cs="Calibri"/>
          <w:szCs w:val="20"/>
        </w:rPr>
        <w:t>Keep records of project funds and expenditures and ensure all project-related financial documentation are well maintained and readily available when required by the Project Coordinator.</w:t>
      </w:r>
    </w:p>
    <w:p w14:paraId="304F650F" w14:textId="77777777" w:rsidR="00F04292" w:rsidRPr="003F7F6C" w:rsidRDefault="00F04292" w:rsidP="00E91275">
      <w:pPr>
        <w:pStyle w:val="ListParagraph"/>
        <w:numPr>
          <w:ilvl w:val="0"/>
          <w:numId w:val="48"/>
        </w:numPr>
        <w:spacing w:after="0"/>
        <w:contextualSpacing w:val="0"/>
        <w:rPr>
          <w:rFonts w:cs="Calibri"/>
          <w:szCs w:val="20"/>
          <w:lang w:val="en-GB"/>
        </w:rPr>
      </w:pPr>
      <w:r w:rsidRPr="003F7F6C">
        <w:rPr>
          <w:rFonts w:cs="Calibri"/>
          <w:szCs w:val="20"/>
        </w:rPr>
        <w:t>Budgetary control, ensuring that project activities are carried out within the limits of the approved budget and UNDP rules and procedures.</w:t>
      </w:r>
    </w:p>
    <w:p w14:paraId="70E4B096" w14:textId="77777777" w:rsidR="00F04292" w:rsidRPr="003F7F6C" w:rsidRDefault="00F04292" w:rsidP="00E91275">
      <w:pPr>
        <w:pStyle w:val="Normal11"/>
        <w:numPr>
          <w:ilvl w:val="0"/>
          <w:numId w:val="48"/>
        </w:numPr>
        <w:spacing w:before="0" w:after="60"/>
        <w:ind w:left="357" w:hanging="357"/>
        <w:rPr>
          <w:rFonts w:ascii="Calibri" w:hAnsi="Calibri" w:cs="Calibri"/>
          <w:sz w:val="20"/>
          <w:szCs w:val="20"/>
          <w:lang w:val="en-US"/>
        </w:rPr>
      </w:pPr>
      <w:r w:rsidRPr="003F7F6C">
        <w:rPr>
          <w:rFonts w:ascii="Calibri" w:hAnsi="Calibri" w:cs="Calibri"/>
          <w:sz w:val="20"/>
          <w:szCs w:val="20"/>
          <w:lang w:val="en-US"/>
        </w:rPr>
        <w:t>Verify quarterly and annual CDRs for certification.</w:t>
      </w:r>
    </w:p>
    <w:p w14:paraId="105756EB" w14:textId="77777777" w:rsidR="00F04292" w:rsidRPr="003F7F6C" w:rsidRDefault="00F04292" w:rsidP="00E91275">
      <w:pPr>
        <w:pStyle w:val="Normal11"/>
        <w:numPr>
          <w:ilvl w:val="0"/>
          <w:numId w:val="48"/>
        </w:numPr>
        <w:spacing w:before="0" w:after="60"/>
        <w:ind w:left="357" w:hanging="357"/>
        <w:rPr>
          <w:rFonts w:ascii="Calibri" w:hAnsi="Calibri" w:cs="Calibri"/>
          <w:sz w:val="20"/>
          <w:szCs w:val="20"/>
          <w:lang w:val="en-US"/>
        </w:rPr>
      </w:pPr>
      <w:r w:rsidRPr="003F7F6C">
        <w:rPr>
          <w:rFonts w:ascii="Calibri" w:hAnsi="Calibri" w:cs="Calibri"/>
          <w:sz w:val="20"/>
          <w:szCs w:val="20"/>
          <w:lang w:val="en-US"/>
        </w:rPr>
        <w:t>Conciliate project expenses and commitments with those registered in the UNDP systems.</w:t>
      </w:r>
    </w:p>
    <w:p w14:paraId="01AE228F" w14:textId="4ECD1F31" w:rsidR="00F04292" w:rsidRPr="003F7F6C" w:rsidRDefault="00F04292" w:rsidP="00E91275">
      <w:pPr>
        <w:pStyle w:val="Normal11"/>
        <w:numPr>
          <w:ilvl w:val="0"/>
          <w:numId w:val="48"/>
        </w:numPr>
        <w:spacing w:before="0" w:after="60"/>
        <w:ind w:left="357" w:hanging="357"/>
        <w:rPr>
          <w:rFonts w:ascii="Calibri" w:hAnsi="Calibri" w:cs="Calibri"/>
          <w:sz w:val="20"/>
          <w:szCs w:val="20"/>
          <w:lang w:val="en-US"/>
        </w:rPr>
      </w:pPr>
      <w:r w:rsidRPr="003F7F6C">
        <w:rPr>
          <w:rFonts w:ascii="Calibri" w:hAnsi="Calibri" w:cs="Calibri"/>
          <w:sz w:val="20"/>
          <w:szCs w:val="20"/>
          <w:lang w:val="en-US"/>
        </w:rPr>
        <w:t>Support the reconciliation of project intermediate and financial reports.</w:t>
      </w:r>
    </w:p>
    <w:p w14:paraId="2E326AC0" w14:textId="729ADB29" w:rsidR="00834685" w:rsidRPr="003F7F6C" w:rsidRDefault="00834685" w:rsidP="00E91275">
      <w:pPr>
        <w:pStyle w:val="Normal11"/>
        <w:numPr>
          <w:ilvl w:val="0"/>
          <w:numId w:val="48"/>
        </w:numPr>
        <w:spacing w:before="0" w:after="60"/>
        <w:ind w:left="357" w:hanging="357"/>
        <w:rPr>
          <w:rFonts w:ascii="Calibri" w:hAnsi="Calibri" w:cs="Calibri"/>
          <w:sz w:val="20"/>
          <w:szCs w:val="20"/>
          <w:lang w:val="en-US"/>
        </w:rPr>
      </w:pPr>
      <w:r w:rsidRPr="003F7F6C">
        <w:rPr>
          <w:rFonts w:ascii="Calibri" w:hAnsi="Calibri" w:cs="Calibri"/>
          <w:sz w:val="20"/>
          <w:szCs w:val="20"/>
          <w:lang w:val="en-US"/>
        </w:rPr>
        <w:t>Interact with the ATLAS ERP System managing: requisitions, purchase orders, vendors, vouchers and others.</w:t>
      </w:r>
    </w:p>
    <w:p w14:paraId="1070695F" w14:textId="77777777" w:rsidR="00F04292" w:rsidRPr="003F7F6C" w:rsidRDefault="00F04292" w:rsidP="00E91275">
      <w:pPr>
        <w:numPr>
          <w:ilvl w:val="0"/>
          <w:numId w:val="48"/>
        </w:numPr>
        <w:ind w:left="357" w:hanging="357"/>
        <w:rPr>
          <w:rFonts w:cs="Calibri"/>
          <w:szCs w:val="20"/>
        </w:rPr>
      </w:pPr>
      <w:r w:rsidRPr="003F7F6C">
        <w:rPr>
          <w:rFonts w:cs="Calibri"/>
          <w:szCs w:val="20"/>
        </w:rPr>
        <w:t>Provide necessary financial information as and when required for project management decisions;</w:t>
      </w:r>
    </w:p>
    <w:p w14:paraId="43871571" w14:textId="77777777" w:rsidR="00F04292" w:rsidRPr="003F7F6C" w:rsidRDefault="00F04292" w:rsidP="00E91275">
      <w:pPr>
        <w:numPr>
          <w:ilvl w:val="0"/>
          <w:numId w:val="48"/>
        </w:numPr>
        <w:ind w:left="357" w:hanging="357"/>
        <w:rPr>
          <w:rFonts w:cs="Calibri"/>
          <w:szCs w:val="20"/>
        </w:rPr>
      </w:pPr>
      <w:r w:rsidRPr="003F7F6C">
        <w:rPr>
          <w:rFonts w:cs="Calibri"/>
          <w:szCs w:val="20"/>
        </w:rPr>
        <w:t>Provide necessary financial information during project audit(s);</w:t>
      </w:r>
    </w:p>
    <w:p w14:paraId="304E55CF" w14:textId="77777777" w:rsidR="00F04292" w:rsidRPr="003F7F6C" w:rsidRDefault="00F04292" w:rsidP="00E91275">
      <w:pPr>
        <w:numPr>
          <w:ilvl w:val="0"/>
          <w:numId w:val="48"/>
        </w:numPr>
        <w:ind w:left="357" w:hanging="357"/>
        <w:rPr>
          <w:rFonts w:cs="Calibri"/>
          <w:szCs w:val="20"/>
        </w:rPr>
      </w:pPr>
      <w:r w:rsidRPr="003F7F6C">
        <w:rPr>
          <w:rFonts w:cs="Calibri"/>
          <w:szCs w:val="20"/>
        </w:rPr>
        <w:t>Consolidate financial progress reports submitted by the responsible parties for implementation of project activities;</w:t>
      </w:r>
    </w:p>
    <w:p w14:paraId="483EC429" w14:textId="77777777" w:rsidR="00F04292" w:rsidRPr="003F7F6C" w:rsidRDefault="00F04292" w:rsidP="00E91275">
      <w:pPr>
        <w:numPr>
          <w:ilvl w:val="0"/>
          <w:numId w:val="48"/>
        </w:numPr>
        <w:ind w:left="357" w:right="-22" w:hanging="357"/>
        <w:rPr>
          <w:rFonts w:cs="Calibri"/>
          <w:bCs/>
          <w:szCs w:val="20"/>
        </w:rPr>
      </w:pPr>
      <w:r w:rsidRPr="003F7F6C">
        <w:rPr>
          <w:rFonts w:cs="Calibri"/>
          <w:bCs/>
          <w:szCs w:val="20"/>
        </w:rPr>
        <w:t>Elaborate and monitor contracting processes of the Project. Issue and record requests for payments and purchase orders required by the project.</w:t>
      </w:r>
    </w:p>
    <w:p w14:paraId="2AF82A31" w14:textId="77777777" w:rsidR="00F04292" w:rsidRPr="003F7F6C" w:rsidRDefault="00F04292" w:rsidP="00E91275">
      <w:pPr>
        <w:pStyle w:val="Normal11"/>
        <w:numPr>
          <w:ilvl w:val="0"/>
          <w:numId w:val="48"/>
        </w:numPr>
        <w:spacing w:before="0" w:after="60"/>
        <w:ind w:left="357" w:hanging="357"/>
        <w:rPr>
          <w:rFonts w:ascii="Calibri" w:hAnsi="Calibri" w:cs="Calibri"/>
          <w:sz w:val="20"/>
          <w:szCs w:val="20"/>
          <w:lang w:val="en-US"/>
        </w:rPr>
      </w:pPr>
      <w:r w:rsidRPr="003F7F6C">
        <w:rPr>
          <w:rFonts w:ascii="Calibri" w:hAnsi="Calibri" w:cs="Calibri"/>
          <w:sz w:val="20"/>
          <w:szCs w:val="20"/>
          <w:lang w:val="en-US"/>
        </w:rPr>
        <w:t>Keep updated files on accounting and financial issues (General Ledger, inventories, etc.)</w:t>
      </w:r>
    </w:p>
    <w:p w14:paraId="0D7776B7" w14:textId="77777777" w:rsidR="00F04292" w:rsidRPr="003F7F6C" w:rsidRDefault="00F04292" w:rsidP="00E91275">
      <w:pPr>
        <w:pStyle w:val="Normal11"/>
        <w:numPr>
          <w:ilvl w:val="0"/>
          <w:numId w:val="48"/>
        </w:numPr>
        <w:spacing w:before="0" w:after="60"/>
        <w:ind w:left="357" w:hanging="357"/>
        <w:rPr>
          <w:rFonts w:ascii="Calibri" w:hAnsi="Calibri" w:cs="Calibri"/>
          <w:sz w:val="20"/>
          <w:szCs w:val="20"/>
          <w:lang w:val="en-US"/>
        </w:rPr>
      </w:pPr>
      <w:r w:rsidRPr="003F7F6C">
        <w:rPr>
          <w:rFonts w:ascii="Calibri" w:hAnsi="Calibri" w:cs="Calibri"/>
          <w:sz w:val="20"/>
          <w:szCs w:val="20"/>
          <w:lang w:val="en-US"/>
        </w:rPr>
        <w:t>Undertake financial monitoring and control of the project, as well as disbursement schedules to ensure adequate recording of all financial operations.</w:t>
      </w:r>
    </w:p>
    <w:p w14:paraId="3B1206F3" w14:textId="77777777" w:rsidR="00F04292" w:rsidRPr="003F7F6C" w:rsidRDefault="00F04292" w:rsidP="00E91275">
      <w:pPr>
        <w:pStyle w:val="Normal11"/>
        <w:numPr>
          <w:ilvl w:val="0"/>
          <w:numId w:val="48"/>
        </w:numPr>
        <w:spacing w:before="0" w:after="60"/>
        <w:ind w:left="357" w:hanging="357"/>
        <w:rPr>
          <w:rFonts w:ascii="Calibri" w:hAnsi="Calibri" w:cs="Calibri"/>
          <w:sz w:val="20"/>
          <w:szCs w:val="20"/>
          <w:lang w:val="en-US"/>
        </w:rPr>
      </w:pPr>
      <w:r w:rsidRPr="003F7F6C">
        <w:rPr>
          <w:rFonts w:ascii="Calibri" w:hAnsi="Calibri" w:cs="Calibri"/>
          <w:sz w:val="20"/>
          <w:szCs w:val="20"/>
          <w:lang w:val="en-US"/>
        </w:rPr>
        <w:t>Provide support to external staff mobilization (requirement processing, per diem allocation and travel settlement) in accordance with UNDP policies and procedures.</w:t>
      </w:r>
    </w:p>
    <w:p w14:paraId="3DA16228" w14:textId="77777777" w:rsidR="00F04292" w:rsidRPr="003F7F6C" w:rsidRDefault="00F04292" w:rsidP="00E91275">
      <w:pPr>
        <w:numPr>
          <w:ilvl w:val="0"/>
          <w:numId w:val="48"/>
        </w:numPr>
        <w:ind w:left="357" w:right="-22" w:hanging="357"/>
        <w:rPr>
          <w:rFonts w:cs="Calibri"/>
          <w:bCs/>
          <w:szCs w:val="20"/>
        </w:rPr>
      </w:pPr>
      <w:r w:rsidRPr="003F7F6C">
        <w:rPr>
          <w:rFonts w:cs="Calibri"/>
          <w:bCs/>
          <w:szCs w:val="20"/>
        </w:rPr>
        <w:t>Provide support for the organization and holding of meetings.</w:t>
      </w:r>
    </w:p>
    <w:p w14:paraId="733F761D" w14:textId="1A1640E3" w:rsidR="00F04292" w:rsidRPr="003F7F6C" w:rsidRDefault="00F04292" w:rsidP="00E91275">
      <w:pPr>
        <w:numPr>
          <w:ilvl w:val="0"/>
          <w:numId w:val="48"/>
        </w:numPr>
        <w:ind w:left="357" w:hanging="357"/>
        <w:rPr>
          <w:rFonts w:cs="Calibri"/>
          <w:szCs w:val="20"/>
        </w:rPr>
      </w:pPr>
      <w:r w:rsidRPr="003F7F6C">
        <w:rPr>
          <w:rFonts w:cs="Calibri"/>
          <w:szCs w:val="20"/>
        </w:rPr>
        <w:t xml:space="preserve">Liaise and follow up with the responsible parties for implementation of project activities </w:t>
      </w:r>
      <w:r w:rsidR="004F499B" w:rsidRPr="003F7F6C">
        <w:rPr>
          <w:rFonts w:cs="Calibri"/>
          <w:szCs w:val="20"/>
        </w:rPr>
        <w:t>o</w:t>
      </w:r>
      <w:r w:rsidRPr="003F7F6C">
        <w:rPr>
          <w:rFonts w:cs="Calibri"/>
          <w:szCs w:val="20"/>
        </w:rPr>
        <w:t xml:space="preserve">n matters related to project funds and financial progress reports. </w:t>
      </w:r>
    </w:p>
    <w:p w14:paraId="64A331B7" w14:textId="77777777" w:rsidR="00F04292" w:rsidRPr="003F7F6C" w:rsidRDefault="00F04292" w:rsidP="00F04292">
      <w:pPr>
        <w:rPr>
          <w:rFonts w:cs="Calibri"/>
          <w:szCs w:val="20"/>
        </w:rPr>
      </w:pPr>
    </w:p>
    <w:p w14:paraId="63B72AFF" w14:textId="77777777" w:rsidR="00F04292" w:rsidRPr="003F7F6C" w:rsidRDefault="00F04292" w:rsidP="00F04292">
      <w:pPr>
        <w:rPr>
          <w:rFonts w:cs="Calibri"/>
          <w:szCs w:val="20"/>
        </w:rPr>
      </w:pPr>
      <w:r w:rsidRPr="003F7F6C">
        <w:rPr>
          <w:rFonts w:cs="Calibri"/>
          <w:szCs w:val="20"/>
          <w:u w:val="single"/>
          <w:lang w:eastAsia="zh-CN"/>
        </w:rPr>
        <w:t>Required skills and expertise</w:t>
      </w:r>
    </w:p>
    <w:p w14:paraId="04F95999" w14:textId="77777777" w:rsidR="00F04292" w:rsidRPr="003F7F6C" w:rsidRDefault="00F04292" w:rsidP="00E91275">
      <w:pPr>
        <w:numPr>
          <w:ilvl w:val="0"/>
          <w:numId w:val="16"/>
        </w:numPr>
        <w:ind w:left="357" w:hanging="357"/>
        <w:rPr>
          <w:rFonts w:cs="Calibri"/>
          <w:szCs w:val="20"/>
        </w:rPr>
      </w:pPr>
      <w:r w:rsidRPr="003F7F6C">
        <w:rPr>
          <w:rFonts w:cs="Calibri"/>
          <w:szCs w:val="20"/>
        </w:rPr>
        <w:t>Graduate or advanced degree in accounting/ financial management.</w:t>
      </w:r>
    </w:p>
    <w:p w14:paraId="6CEEF7B4" w14:textId="5B228A7C" w:rsidR="00F04292" w:rsidRPr="003F7F6C" w:rsidRDefault="00F04292" w:rsidP="00E91275">
      <w:pPr>
        <w:numPr>
          <w:ilvl w:val="0"/>
          <w:numId w:val="16"/>
        </w:numPr>
        <w:ind w:left="357" w:hanging="357"/>
        <w:rPr>
          <w:rFonts w:cs="Calibri"/>
          <w:szCs w:val="20"/>
        </w:rPr>
      </w:pPr>
      <w:r w:rsidRPr="003F7F6C">
        <w:rPr>
          <w:rFonts w:cs="Calibri"/>
          <w:szCs w:val="20"/>
        </w:rPr>
        <w:t xml:space="preserve">At least five years of relevant work experience </w:t>
      </w:r>
      <w:r w:rsidR="004F499B" w:rsidRPr="003F7F6C">
        <w:rPr>
          <w:rFonts w:cs="Calibri"/>
          <w:szCs w:val="20"/>
        </w:rPr>
        <w:t xml:space="preserve">in </w:t>
      </w:r>
      <w:r w:rsidRPr="003F7F6C">
        <w:rPr>
          <w:rFonts w:cs="Calibri"/>
          <w:szCs w:val="20"/>
        </w:rPr>
        <w:t>project accounting, procurement and project management.</w:t>
      </w:r>
    </w:p>
    <w:p w14:paraId="26A1AC47" w14:textId="77777777" w:rsidR="00F04292" w:rsidRPr="003F7F6C" w:rsidRDefault="00F04292" w:rsidP="00E91275">
      <w:pPr>
        <w:numPr>
          <w:ilvl w:val="0"/>
          <w:numId w:val="16"/>
        </w:numPr>
        <w:ind w:left="357" w:hanging="357"/>
        <w:rPr>
          <w:rFonts w:cs="Calibri"/>
          <w:szCs w:val="20"/>
        </w:rPr>
      </w:pPr>
      <w:r w:rsidRPr="003F7F6C">
        <w:rPr>
          <w:rFonts w:cs="Calibri"/>
          <w:szCs w:val="20"/>
        </w:rPr>
        <w:t>Working experience in a project management setting involving multi-lateral/ international funding agency, preferably with UN projects is desirable.</w:t>
      </w:r>
    </w:p>
    <w:p w14:paraId="235AEB3F" w14:textId="44E420EF" w:rsidR="00F04292" w:rsidRPr="003F7F6C" w:rsidRDefault="00F04292" w:rsidP="00E91275">
      <w:pPr>
        <w:numPr>
          <w:ilvl w:val="0"/>
          <w:numId w:val="16"/>
        </w:numPr>
        <w:ind w:left="357" w:hanging="357"/>
        <w:rPr>
          <w:rFonts w:cs="Calibri"/>
          <w:szCs w:val="20"/>
        </w:rPr>
      </w:pPr>
      <w:r w:rsidRPr="003F7F6C">
        <w:rPr>
          <w:rFonts w:cs="Calibri"/>
          <w:szCs w:val="20"/>
        </w:rPr>
        <w:t>Experience in organizing meetings, trip and per diem requests and in administrative functions</w:t>
      </w:r>
    </w:p>
    <w:p w14:paraId="71FFA65A" w14:textId="77777777" w:rsidR="00F04292" w:rsidRPr="003F7F6C" w:rsidRDefault="00F04292" w:rsidP="00E91275">
      <w:pPr>
        <w:numPr>
          <w:ilvl w:val="0"/>
          <w:numId w:val="16"/>
        </w:numPr>
        <w:ind w:left="357" w:hanging="357"/>
        <w:rPr>
          <w:rFonts w:cs="Calibri"/>
          <w:szCs w:val="20"/>
        </w:rPr>
      </w:pPr>
      <w:r w:rsidRPr="003F7F6C">
        <w:rPr>
          <w:rFonts w:cs="Calibri"/>
          <w:szCs w:val="20"/>
        </w:rPr>
        <w:t>Computer skills and experience with data processing.</w:t>
      </w:r>
    </w:p>
    <w:p w14:paraId="779DBC0F" w14:textId="64F507B3" w:rsidR="00F04292" w:rsidRPr="003F7F6C" w:rsidRDefault="00F04292" w:rsidP="00E91275">
      <w:pPr>
        <w:numPr>
          <w:ilvl w:val="0"/>
          <w:numId w:val="16"/>
        </w:numPr>
        <w:ind w:left="357" w:hanging="357"/>
        <w:rPr>
          <w:rFonts w:cs="Calibri"/>
          <w:szCs w:val="20"/>
        </w:rPr>
      </w:pPr>
      <w:r w:rsidRPr="003F7F6C">
        <w:rPr>
          <w:rFonts w:cs="Calibri"/>
          <w:szCs w:val="20"/>
        </w:rPr>
        <w:t xml:space="preserve">Excellent verbal and </w:t>
      </w:r>
      <w:r w:rsidR="004F499B" w:rsidRPr="003F7F6C">
        <w:rPr>
          <w:rFonts w:cs="Calibri"/>
          <w:szCs w:val="20"/>
        </w:rPr>
        <w:t xml:space="preserve">written </w:t>
      </w:r>
      <w:r w:rsidRPr="003F7F6C">
        <w:rPr>
          <w:rFonts w:cs="Calibri"/>
          <w:szCs w:val="20"/>
        </w:rPr>
        <w:t>communication skills in Spanish.</w:t>
      </w:r>
    </w:p>
    <w:p w14:paraId="794484E8" w14:textId="77777777" w:rsidR="00F04292" w:rsidRPr="003F7F6C" w:rsidRDefault="00F04292" w:rsidP="00F04292">
      <w:pPr>
        <w:rPr>
          <w:rFonts w:cs="Calibri"/>
          <w:szCs w:val="20"/>
        </w:rPr>
      </w:pPr>
    </w:p>
    <w:p w14:paraId="54ABA30E" w14:textId="77777777" w:rsidR="00F04292" w:rsidRPr="003F7F6C" w:rsidRDefault="00F04292" w:rsidP="00F04292">
      <w:pPr>
        <w:rPr>
          <w:rFonts w:cs="Calibri"/>
          <w:szCs w:val="20"/>
        </w:rPr>
      </w:pPr>
    </w:p>
    <w:p w14:paraId="579B23C8" w14:textId="77777777" w:rsidR="00F04292" w:rsidRPr="003F7F6C" w:rsidRDefault="00F04292" w:rsidP="00F04292">
      <w:pPr>
        <w:rPr>
          <w:rFonts w:cs="Calibri"/>
          <w:b/>
          <w:szCs w:val="20"/>
          <w:u w:val="single"/>
        </w:rPr>
      </w:pPr>
      <w:r w:rsidRPr="003F7F6C">
        <w:rPr>
          <w:rFonts w:cs="Calibri"/>
          <w:b/>
          <w:szCs w:val="20"/>
          <w:u w:val="single"/>
        </w:rPr>
        <w:t>Information Systems Specialist</w:t>
      </w:r>
    </w:p>
    <w:p w14:paraId="75B8855F" w14:textId="77777777" w:rsidR="00F04292" w:rsidRPr="003F7F6C" w:rsidRDefault="00F04292" w:rsidP="00F04292">
      <w:pPr>
        <w:pStyle w:val="NormalWeb"/>
        <w:spacing w:before="0" w:beforeAutospacing="0" w:after="0" w:afterAutospacing="0"/>
        <w:textAlignment w:val="baseline"/>
        <w:rPr>
          <w:rFonts w:ascii="Calibri" w:hAnsi="Calibri" w:cs="Calibri"/>
          <w:sz w:val="20"/>
          <w:szCs w:val="20"/>
        </w:rPr>
      </w:pPr>
      <w:r w:rsidRPr="003F7F6C">
        <w:rPr>
          <w:rFonts w:ascii="Calibri" w:hAnsi="Calibri" w:cs="Calibri"/>
          <w:sz w:val="20"/>
          <w:szCs w:val="20"/>
        </w:rPr>
        <w:t>Under the overall supervision of the Project Coordinator, and in coordination with the Implementing Partner and other project partners, the Information Systems Specialist will be responsible for supporting the development and implementation of an information system for analysis of environmental variables for environmental land use planning as well as a system to evaluate and monitor the implementation of environmental land use planning.</w:t>
      </w:r>
    </w:p>
    <w:p w14:paraId="42E185EC" w14:textId="77777777" w:rsidR="00F04292" w:rsidRPr="003F7F6C" w:rsidRDefault="00F04292" w:rsidP="00F04292">
      <w:pPr>
        <w:rPr>
          <w:rFonts w:cs="Calibri"/>
          <w:szCs w:val="20"/>
        </w:rPr>
      </w:pPr>
    </w:p>
    <w:p w14:paraId="60DB84AD" w14:textId="77777777" w:rsidR="00F04292" w:rsidRPr="003F7F6C" w:rsidRDefault="00F04292" w:rsidP="00F04292">
      <w:pPr>
        <w:rPr>
          <w:rFonts w:cs="Calibri"/>
          <w:szCs w:val="20"/>
          <w:u w:val="single"/>
          <w:lang w:eastAsia="zh-CN"/>
        </w:rPr>
      </w:pPr>
      <w:r w:rsidRPr="003F7F6C">
        <w:rPr>
          <w:rFonts w:cs="Calibri"/>
          <w:szCs w:val="20"/>
          <w:u w:val="single"/>
          <w:lang w:eastAsia="zh-CN"/>
        </w:rPr>
        <w:t>Duties and Responsibilities</w:t>
      </w:r>
    </w:p>
    <w:p w14:paraId="607DC7CC" w14:textId="40872DD9" w:rsidR="00F04292" w:rsidRPr="003F7F6C" w:rsidRDefault="00F04292" w:rsidP="00E91275">
      <w:pPr>
        <w:pStyle w:val="ListParagraph"/>
        <w:numPr>
          <w:ilvl w:val="0"/>
          <w:numId w:val="54"/>
        </w:numPr>
        <w:contextualSpacing w:val="0"/>
        <w:rPr>
          <w:rFonts w:cs="Calibri"/>
          <w:szCs w:val="20"/>
        </w:rPr>
      </w:pPr>
      <w:r w:rsidRPr="003F7F6C">
        <w:rPr>
          <w:rFonts w:cs="Calibri"/>
          <w:szCs w:val="20"/>
        </w:rPr>
        <w:t xml:space="preserve">Prepare the annual workplan and budget for the activities that fall under his/her responsibility and contribute to preparation of the project´s annual workplan and budget </w:t>
      </w:r>
    </w:p>
    <w:p w14:paraId="5466CCFA" w14:textId="49CDE030" w:rsidR="00F04292" w:rsidRPr="003F7F6C" w:rsidRDefault="00F04292" w:rsidP="00E91275">
      <w:pPr>
        <w:pStyle w:val="ListParagraph"/>
        <w:numPr>
          <w:ilvl w:val="0"/>
          <w:numId w:val="54"/>
        </w:numPr>
        <w:contextualSpacing w:val="0"/>
        <w:rPr>
          <w:rFonts w:cs="Calibri"/>
          <w:szCs w:val="20"/>
        </w:rPr>
      </w:pPr>
      <w:r w:rsidRPr="003F7F6C">
        <w:rPr>
          <w:rFonts w:cs="Calibri"/>
          <w:szCs w:val="20"/>
        </w:rPr>
        <w:t xml:space="preserve">Prepare periodic reports of the activities </w:t>
      </w:r>
      <w:r w:rsidR="00E062BD" w:rsidRPr="003F7F6C">
        <w:rPr>
          <w:rFonts w:cs="Calibri"/>
          <w:szCs w:val="20"/>
        </w:rPr>
        <w:t xml:space="preserve">carried out </w:t>
      </w:r>
      <w:r w:rsidRPr="003F7F6C">
        <w:rPr>
          <w:rFonts w:cs="Calibri"/>
          <w:szCs w:val="20"/>
        </w:rPr>
        <w:t xml:space="preserve">and contribute to the preparation of the project progress reports </w:t>
      </w:r>
    </w:p>
    <w:p w14:paraId="06D273EE" w14:textId="6D08106E" w:rsidR="00F04292" w:rsidRPr="003F7F6C" w:rsidRDefault="00F04292" w:rsidP="00E91275">
      <w:pPr>
        <w:pStyle w:val="ListParagraph"/>
        <w:numPr>
          <w:ilvl w:val="0"/>
          <w:numId w:val="54"/>
        </w:numPr>
        <w:ind w:left="357" w:hanging="357"/>
        <w:contextualSpacing w:val="0"/>
        <w:rPr>
          <w:rFonts w:cs="Calibri"/>
          <w:szCs w:val="20"/>
        </w:rPr>
      </w:pPr>
      <w:r w:rsidRPr="003F7F6C">
        <w:rPr>
          <w:rFonts w:cs="Calibri"/>
          <w:szCs w:val="20"/>
        </w:rPr>
        <w:t xml:space="preserve">Support the project partners in undertaking in-depth assessments of existing data bases and information systems to identify </w:t>
      </w:r>
      <w:r w:rsidRPr="003F7F6C">
        <w:rPr>
          <w:rFonts w:cs="Calibri"/>
          <w:szCs w:val="20"/>
          <w:lang w:eastAsia="es-AR"/>
        </w:rPr>
        <w:t>requirements to standardize and share environmental information as well as identify and fill gaps.</w:t>
      </w:r>
    </w:p>
    <w:p w14:paraId="52B63485" w14:textId="77B105D8" w:rsidR="00F04292" w:rsidRPr="003F7F6C" w:rsidRDefault="00F04292" w:rsidP="00E91275">
      <w:pPr>
        <w:pStyle w:val="ListParagraph"/>
        <w:numPr>
          <w:ilvl w:val="0"/>
          <w:numId w:val="54"/>
        </w:numPr>
        <w:ind w:left="357" w:hanging="357"/>
        <w:contextualSpacing w:val="0"/>
        <w:rPr>
          <w:rFonts w:cs="Calibri"/>
          <w:szCs w:val="20"/>
        </w:rPr>
      </w:pPr>
      <w:r w:rsidRPr="003F7F6C">
        <w:rPr>
          <w:rFonts w:cs="Calibri"/>
          <w:szCs w:val="20"/>
        </w:rPr>
        <w:t>Support the development and application of protocols and criteria to update, standardize and systematize information</w:t>
      </w:r>
      <w:r w:rsidR="00FF1FAA" w:rsidRPr="003F7F6C">
        <w:rPr>
          <w:rFonts w:cs="Calibri"/>
          <w:szCs w:val="20"/>
        </w:rPr>
        <w:t xml:space="preserve"> from</w:t>
      </w:r>
      <w:r w:rsidRPr="003F7F6C">
        <w:rPr>
          <w:rFonts w:cs="Calibri"/>
          <w:szCs w:val="20"/>
        </w:rPr>
        <w:t xml:space="preserve"> project partners.</w:t>
      </w:r>
    </w:p>
    <w:p w14:paraId="3309C1F6" w14:textId="77777777" w:rsidR="00F04292" w:rsidRPr="003F7F6C" w:rsidRDefault="00F04292" w:rsidP="00E91275">
      <w:pPr>
        <w:pStyle w:val="ListParagraph"/>
        <w:numPr>
          <w:ilvl w:val="0"/>
          <w:numId w:val="54"/>
        </w:numPr>
        <w:ind w:left="357" w:hanging="357"/>
        <w:contextualSpacing w:val="0"/>
        <w:rPr>
          <w:rFonts w:cs="Calibri"/>
          <w:szCs w:val="20"/>
        </w:rPr>
      </w:pPr>
      <w:r w:rsidRPr="003F7F6C">
        <w:rPr>
          <w:rFonts w:cs="Calibri"/>
          <w:szCs w:val="20"/>
        </w:rPr>
        <w:t>Provide technical backstopping and recommendations to the Implementing partner and other project partners in updating, standardizing and systematizing information.</w:t>
      </w:r>
    </w:p>
    <w:p w14:paraId="1862C692" w14:textId="77777777" w:rsidR="00F04292" w:rsidRPr="003F7F6C" w:rsidRDefault="00F04292" w:rsidP="00E91275">
      <w:pPr>
        <w:pStyle w:val="ListParagraph"/>
        <w:numPr>
          <w:ilvl w:val="0"/>
          <w:numId w:val="54"/>
        </w:numPr>
        <w:ind w:left="357" w:hanging="357"/>
        <w:contextualSpacing w:val="0"/>
        <w:rPr>
          <w:rFonts w:cs="Calibri"/>
          <w:szCs w:val="20"/>
        </w:rPr>
      </w:pPr>
      <w:r w:rsidRPr="003F7F6C">
        <w:rPr>
          <w:rFonts w:cs="Calibri"/>
          <w:szCs w:val="20"/>
        </w:rPr>
        <w:t xml:space="preserve">Provide training to staff of the Implementing Partner and other project partners in </w:t>
      </w:r>
      <w:r w:rsidRPr="003F7F6C">
        <w:rPr>
          <w:rFonts w:cs="Calibri"/>
          <w:color w:val="212121"/>
          <w:szCs w:val="20"/>
        </w:rPr>
        <w:t>the protocols and processes for standardizing, systematizing and sharing data and information.</w:t>
      </w:r>
    </w:p>
    <w:p w14:paraId="20689E77" w14:textId="77777777" w:rsidR="00F04292" w:rsidRPr="003F7F6C" w:rsidRDefault="00F04292" w:rsidP="00E91275">
      <w:pPr>
        <w:pStyle w:val="ListParagraph"/>
        <w:numPr>
          <w:ilvl w:val="0"/>
          <w:numId w:val="54"/>
        </w:numPr>
        <w:ind w:left="357" w:hanging="357"/>
        <w:contextualSpacing w:val="0"/>
        <w:rPr>
          <w:rFonts w:cs="Calibri"/>
          <w:szCs w:val="20"/>
        </w:rPr>
      </w:pPr>
      <w:r w:rsidRPr="003F7F6C">
        <w:rPr>
          <w:rFonts w:cs="Calibri"/>
          <w:szCs w:val="20"/>
        </w:rPr>
        <w:t>Support the design and implementation of an information system for analysis of environmental variables to address environmental land use planning.</w:t>
      </w:r>
    </w:p>
    <w:p w14:paraId="68940362" w14:textId="77777777" w:rsidR="00F04292" w:rsidRPr="003F7F6C" w:rsidRDefault="00F04292" w:rsidP="00E91275">
      <w:pPr>
        <w:pStyle w:val="ListParagraph"/>
        <w:numPr>
          <w:ilvl w:val="0"/>
          <w:numId w:val="54"/>
        </w:numPr>
        <w:ind w:left="357" w:hanging="357"/>
        <w:contextualSpacing w:val="0"/>
        <w:rPr>
          <w:rFonts w:cs="Calibri"/>
          <w:szCs w:val="20"/>
        </w:rPr>
      </w:pPr>
      <w:r w:rsidRPr="003F7F6C">
        <w:rPr>
          <w:rFonts w:cs="Calibri"/>
          <w:szCs w:val="20"/>
        </w:rPr>
        <w:t>Support the design of a system to evaluate and monitor the implementation of environmental land use planning.</w:t>
      </w:r>
    </w:p>
    <w:p w14:paraId="1152C3BC" w14:textId="1CB8DC3D" w:rsidR="00F04292" w:rsidRPr="003F7F6C" w:rsidRDefault="00F04292" w:rsidP="00E91275">
      <w:pPr>
        <w:pStyle w:val="ListParagraph"/>
        <w:numPr>
          <w:ilvl w:val="0"/>
          <w:numId w:val="54"/>
        </w:numPr>
        <w:ind w:left="357" w:hanging="357"/>
        <w:contextualSpacing w:val="0"/>
        <w:rPr>
          <w:rFonts w:cs="Calibri"/>
          <w:szCs w:val="20"/>
        </w:rPr>
      </w:pPr>
      <w:r w:rsidRPr="003F7F6C">
        <w:rPr>
          <w:rFonts w:cs="Calibri"/>
          <w:szCs w:val="20"/>
        </w:rPr>
        <w:t>Support online coordination with project partners and key stakeholders</w:t>
      </w:r>
      <w:r w:rsidR="00E062BD" w:rsidRPr="003F7F6C">
        <w:rPr>
          <w:rFonts w:cs="Calibri"/>
          <w:szCs w:val="20"/>
        </w:rPr>
        <w:t>.</w:t>
      </w:r>
      <w:r w:rsidRPr="003F7F6C">
        <w:rPr>
          <w:rFonts w:cs="Calibri"/>
          <w:szCs w:val="20"/>
        </w:rPr>
        <w:t xml:space="preserve"> </w:t>
      </w:r>
    </w:p>
    <w:p w14:paraId="2F2BC3D0" w14:textId="11D1FDF1" w:rsidR="00F04292" w:rsidRPr="003F7F6C" w:rsidRDefault="00F04292" w:rsidP="00E91275">
      <w:pPr>
        <w:pStyle w:val="ListParagraph"/>
        <w:numPr>
          <w:ilvl w:val="0"/>
          <w:numId w:val="54"/>
        </w:numPr>
        <w:ind w:left="357" w:hanging="357"/>
        <w:contextualSpacing w:val="0"/>
        <w:rPr>
          <w:rFonts w:cs="Calibri"/>
          <w:szCs w:val="20"/>
        </w:rPr>
      </w:pPr>
      <w:r w:rsidRPr="003F7F6C">
        <w:rPr>
          <w:rFonts w:cs="Calibri"/>
          <w:szCs w:val="20"/>
        </w:rPr>
        <w:t>Support the design and implementation of tools to support online dissemination of information and mak</w:t>
      </w:r>
      <w:r w:rsidR="00E062BD" w:rsidRPr="003F7F6C">
        <w:rPr>
          <w:rFonts w:cs="Calibri"/>
          <w:szCs w:val="20"/>
        </w:rPr>
        <w:t>e</w:t>
      </w:r>
      <w:r w:rsidRPr="003F7F6C">
        <w:rPr>
          <w:rFonts w:cs="Calibri"/>
          <w:szCs w:val="20"/>
        </w:rPr>
        <w:t xml:space="preserve"> information available to potential users of the</w:t>
      </w:r>
      <w:r w:rsidR="00FF1FAA" w:rsidRPr="003F7F6C">
        <w:rPr>
          <w:rFonts w:cs="Calibri"/>
          <w:szCs w:val="20"/>
        </w:rPr>
        <w:t xml:space="preserve"> environmental</w:t>
      </w:r>
      <w:r w:rsidRPr="003F7F6C">
        <w:rPr>
          <w:rFonts w:cs="Calibri"/>
          <w:szCs w:val="20"/>
        </w:rPr>
        <w:t xml:space="preserve"> information system.</w:t>
      </w:r>
    </w:p>
    <w:p w14:paraId="3D03C519" w14:textId="77777777" w:rsidR="00F04292" w:rsidRPr="003F7F6C" w:rsidRDefault="00F04292" w:rsidP="00E91275">
      <w:pPr>
        <w:pStyle w:val="ListParagraph"/>
        <w:numPr>
          <w:ilvl w:val="0"/>
          <w:numId w:val="54"/>
        </w:numPr>
        <w:ind w:left="357" w:hanging="357"/>
        <w:contextualSpacing w:val="0"/>
        <w:rPr>
          <w:rFonts w:cs="Calibri"/>
          <w:szCs w:val="20"/>
        </w:rPr>
      </w:pPr>
      <w:r w:rsidRPr="003F7F6C">
        <w:rPr>
          <w:rFonts w:cs="Calibri"/>
          <w:szCs w:val="20"/>
        </w:rPr>
        <w:t>Support the development of SMART indicators to monitor the implementation of environmental land use planning and protocols for measuring the different indicators.</w:t>
      </w:r>
    </w:p>
    <w:p w14:paraId="54AD354F" w14:textId="125F501C" w:rsidR="00F04292" w:rsidRPr="003F7F6C" w:rsidRDefault="00F04292" w:rsidP="00E91275">
      <w:pPr>
        <w:pStyle w:val="ListParagraph"/>
        <w:numPr>
          <w:ilvl w:val="0"/>
          <w:numId w:val="54"/>
        </w:numPr>
        <w:ind w:left="357" w:hanging="357"/>
        <w:contextualSpacing w:val="0"/>
        <w:rPr>
          <w:rFonts w:cs="Calibri"/>
          <w:szCs w:val="20"/>
        </w:rPr>
      </w:pPr>
      <w:r w:rsidRPr="003F7F6C">
        <w:rPr>
          <w:rFonts w:cs="Calibri"/>
          <w:szCs w:val="20"/>
        </w:rPr>
        <w:t xml:space="preserve">Participate in consultation processes with project partners and stakeholders </w:t>
      </w:r>
      <w:r w:rsidR="00E062BD" w:rsidRPr="003F7F6C">
        <w:rPr>
          <w:rFonts w:cs="Calibri"/>
          <w:szCs w:val="20"/>
        </w:rPr>
        <w:t xml:space="preserve">with </w:t>
      </w:r>
      <w:r w:rsidRPr="003F7F6C">
        <w:rPr>
          <w:rFonts w:cs="Calibri"/>
          <w:szCs w:val="20"/>
        </w:rPr>
        <w:t>regard to development of the information system and monitoring indicators.</w:t>
      </w:r>
    </w:p>
    <w:p w14:paraId="13E300C0" w14:textId="23147564" w:rsidR="00F04292" w:rsidRPr="003F7F6C" w:rsidRDefault="00F04292" w:rsidP="00E91275">
      <w:pPr>
        <w:pStyle w:val="ListParagraph"/>
        <w:numPr>
          <w:ilvl w:val="0"/>
          <w:numId w:val="54"/>
        </w:numPr>
        <w:ind w:left="357" w:hanging="357"/>
        <w:contextualSpacing w:val="0"/>
        <w:rPr>
          <w:rFonts w:cs="Calibri"/>
          <w:szCs w:val="20"/>
        </w:rPr>
      </w:pPr>
      <w:r w:rsidRPr="003F7F6C">
        <w:rPr>
          <w:rFonts w:cs="Calibri"/>
          <w:szCs w:val="20"/>
        </w:rPr>
        <w:t xml:space="preserve">Support the development of maps for environmental land use planning, identifying map information needs, accessing map information sources and ensuring that the produced reports/maps meet the requirements of the </w:t>
      </w:r>
      <w:r w:rsidR="00597B6B" w:rsidRPr="003F7F6C">
        <w:rPr>
          <w:rFonts w:cs="Calibri"/>
          <w:szCs w:val="20"/>
        </w:rPr>
        <w:t>p</w:t>
      </w:r>
      <w:r w:rsidRPr="003F7F6C">
        <w:rPr>
          <w:rFonts w:cs="Calibri"/>
          <w:szCs w:val="20"/>
        </w:rPr>
        <w:t>roject.</w:t>
      </w:r>
    </w:p>
    <w:p w14:paraId="06A0928E" w14:textId="75322058" w:rsidR="00F04292" w:rsidRPr="003F7F6C" w:rsidRDefault="00F04292" w:rsidP="00E91275">
      <w:pPr>
        <w:pStyle w:val="ListParagraph"/>
        <w:numPr>
          <w:ilvl w:val="0"/>
          <w:numId w:val="54"/>
        </w:numPr>
        <w:ind w:left="357" w:hanging="357"/>
        <w:contextualSpacing w:val="0"/>
        <w:rPr>
          <w:rFonts w:cs="Calibri"/>
          <w:szCs w:val="20"/>
        </w:rPr>
      </w:pPr>
      <w:r w:rsidRPr="003F7F6C">
        <w:rPr>
          <w:rFonts w:cs="Calibri"/>
          <w:szCs w:val="20"/>
        </w:rPr>
        <w:t>Support project M&amp;E</w:t>
      </w:r>
      <w:r w:rsidR="00AC774B" w:rsidRPr="003F7F6C">
        <w:rPr>
          <w:rFonts w:cs="Calibri"/>
          <w:szCs w:val="20"/>
        </w:rPr>
        <w:t>,</w:t>
      </w:r>
      <w:r w:rsidRPr="003F7F6C">
        <w:rPr>
          <w:rFonts w:cs="Calibri"/>
          <w:szCs w:val="20"/>
        </w:rPr>
        <w:t xml:space="preserve"> coordinating, supervising and monitoring </w:t>
      </w:r>
      <w:r w:rsidR="00AC774B" w:rsidRPr="003F7F6C">
        <w:rPr>
          <w:rFonts w:cs="Calibri"/>
          <w:szCs w:val="20"/>
        </w:rPr>
        <w:t xml:space="preserve">the </w:t>
      </w:r>
      <w:r w:rsidRPr="003F7F6C">
        <w:rPr>
          <w:rFonts w:cs="Calibri"/>
          <w:szCs w:val="20"/>
        </w:rPr>
        <w:t xml:space="preserve">data collection processes </w:t>
      </w:r>
      <w:r w:rsidR="00AC774B" w:rsidRPr="003F7F6C">
        <w:rPr>
          <w:rFonts w:cs="Calibri"/>
          <w:szCs w:val="20"/>
        </w:rPr>
        <w:t>carried out</w:t>
      </w:r>
      <w:r w:rsidRPr="003F7F6C">
        <w:rPr>
          <w:rFonts w:cs="Calibri"/>
          <w:szCs w:val="20"/>
        </w:rPr>
        <w:t xml:space="preserve"> by project consultants and the technical teams of the participating institutions working on the ground/collecting data for each of the activities, and ensuring dynamic linkages between GIS data, partners´ databases, and the environmental information system.</w:t>
      </w:r>
    </w:p>
    <w:p w14:paraId="59230C07" w14:textId="77777777" w:rsidR="00F04292" w:rsidRPr="003F7F6C" w:rsidRDefault="00F04292" w:rsidP="00E91275">
      <w:pPr>
        <w:pStyle w:val="ListParagraph"/>
        <w:numPr>
          <w:ilvl w:val="0"/>
          <w:numId w:val="54"/>
        </w:numPr>
        <w:ind w:left="357" w:hanging="357"/>
        <w:contextualSpacing w:val="0"/>
        <w:rPr>
          <w:rFonts w:cs="Calibri"/>
          <w:szCs w:val="20"/>
        </w:rPr>
      </w:pPr>
      <w:r w:rsidRPr="003F7F6C">
        <w:rPr>
          <w:rFonts w:cs="Calibri"/>
          <w:szCs w:val="20"/>
        </w:rPr>
        <w:t>Undertake analysis of data and geographic information as needed to show progress of project activities, visually portray impact in line with project indicators, identify geographical/thematic needs and recommendations for the project.</w:t>
      </w:r>
    </w:p>
    <w:p w14:paraId="30915C75" w14:textId="77777777" w:rsidR="00F04292" w:rsidRPr="003F7F6C" w:rsidRDefault="00F04292" w:rsidP="00F04292">
      <w:pPr>
        <w:rPr>
          <w:rFonts w:cs="Calibri"/>
          <w:szCs w:val="20"/>
          <w:u w:val="single"/>
          <w:lang w:eastAsia="zh-CN"/>
        </w:rPr>
      </w:pPr>
    </w:p>
    <w:p w14:paraId="5394CE44" w14:textId="77777777" w:rsidR="00F04292" w:rsidRPr="003F7F6C" w:rsidRDefault="00F04292" w:rsidP="00F04292">
      <w:pPr>
        <w:rPr>
          <w:rFonts w:cs="Calibri"/>
          <w:szCs w:val="20"/>
        </w:rPr>
      </w:pPr>
      <w:r w:rsidRPr="003F7F6C">
        <w:rPr>
          <w:rFonts w:cs="Calibri"/>
          <w:szCs w:val="20"/>
          <w:u w:val="single"/>
          <w:lang w:eastAsia="zh-CN"/>
        </w:rPr>
        <w:t>Required skills and expertise</w:t>
      </w:r>
    </w:p>
    <w:p w14:paraId="0EB9F7C6" w14:textId="77777777" w:rsidR="00F04292" w:rsidRPr="003F7F6C" w:rsidRDefault="00F04292" w:rsidP="00E91275">
      <w:pPr>
        <w:numPr>
          <w:ilvl w:val="0"/>
          <w:numId w:val="53"/>
        </w:numPr>
        <w:ind w:left="357" w:hanging="357"/>
        <w:rPr>
          <w:rFonts w:cs="Calibri"/>
          <w:szCs w:val="20"/>
        </w:rPr>
      </w:pPr>
      <w:r w:rsidRPr="003F7F6C">
        <w:rPr>
          <w:rFonts w:cs="Calibri"/>
          <w:szCs w:val="20"/>
        </w:rPr>
        <w:t>Postgraduate degree in Information Technology (IT), engineering, data or computer science, or related discipline.</w:t>
      </w:r>
    </w:p>
    <w:p w14:paraId="0F631E15" w14:textId="3561E837" w:rsidR="00F04292" w:rsidRPr="003F7F6C" w:rsidRDefault="00F04292" w:rsidP="00E91275">
      <w:pPr>
        <w:numPr>
          <w:ilvl w:val="0"/>
          <w:numId w:val="53"/>
        </w:numPr>
        <w:ind w:left="357" w:hanging="357"/>
        <w:rPr>
          <w:rFonts w:cs="Calibri"/>
          <w:szCs w:val="20"/>
        </w:rPr>
      </w:pPr>
      <w:r w:rsidRPr="003F7F6C">
        <w:rPr>
          <w:rFonts w:cs="Calibri"/>
          <w:szCs w:val="20"/>
        </w:rPr>
        <w:t xml:space="preserve">At least </w:t>
      </w:r>
      <w:r w:rsidR="00A13BC6" w:rsidRPr="003F7F6C">
        <w:rPr>
          <w:rFonts w:cs="Calibri"/>
          <w:szCs w:val="20"/>
        </w:rPr>
        <w:t xml:space="preserve">7 </w:t>
      </w:r>
      <w:r w:rsidRPr="003F7F6C">
        <w:rPr>
          <w:rFonts w:cs="Calibri"/>
          <w:szCs w:val="20"/>
        </w:rPr>
        <w:t>years of overall professional experience, with incremental responsibilities, preferably with some experience in the UN system.</w:t>
      </w:r>
    </w:p>
    <w:p w14:paraId="6885B31D" w14:textId="77777777" w:rsidR="00F04292" w:rsidRPr="003F7F6C" w:rsidRDefault="00F04292" w:rsidP="00E91275">
      <w:pPr>
        <w:numPr>
          <w:ilvl w:val="0"/>
          <w:numId w:val="53"/>
        </w:numPr>
        <w:ind w:left="357" w:hanging="357"/>
        <w:rPr>
          <w:rFonts w:cs="Calibri"/>
          <w:szCs w:val="20"/>
        </w:rPr>
      </w:pPr>
      <w:r w:rsidRPr="003F7F6C">
        <w:rPr>
          <w:rFonts w:cs="Calibri"/>
          <w:szCs w:val="20"/>
        </w:rPr>
        <w:t>At least 5 years of experience and in-depth knowledge and track record in relevant areas including information management, GIS, natural resource management and environmental land use planning.</w:t>
      </w:r>
    </w:p>
    <w:p w14:paraId="6C35552C" w14:textId="2E9A06A0" w:rsidR="00F04292" w:rsidRPr="003F7F6C" w:rsidRDefault="00F04292" w:rsidP="00E91275">
      <w:pPr>
        <w:pStyle w:val="NormalWeb"/>
        <w:numPr>
          <w:ilvl w:val="0"/>
          <w:numId w:val="53"/>
        </w:numPr>
        <w:spacing w:before="0" w:beforeAutospacing="0" w:after="60" w:afterAutospacing="0"/>
        <w:ind w:left="357" w:hanging="357"/>
        <w:rPr>
          <w:rFonts w:ascii="Calibri" w:hAnsi="Calibri" w:cs="Calibri"/>
          <w:sz w:val="20"/>
          <w:szCs w:val="20"/>
        </w:rPr>
      </w:pPr>
      <w:r w:rsidRPr="003F7F6C">
        <w:rPr>
          <w:rFonts w:ascii="Calibri" w:hAnsi="Calibri" w:cs="Calibri"/>
          <w:sz w:val="20"/>
          <w:szCs w:val="20"/>
        </w:rPr>
        <w:t>Detailed understanding of IT support services including IT hardware/infrastructure support and other IT applications support.</w:t>
      </w:r>
      <w:r w:rsidR="00C330C1" w:rsidRPr="003F7F6C">
        <w:rPr>
          <w:rFonts w:ascii="Calibri" w:hAnsi="Calibri" w:cs="Calibri"/>
          <w:sz w:val="20"/>
          <w:szCs w:val="20"/>
        </w:rPr>
        <w:t xml:space="preserve"> </w:t>
      </w:r>
    </w:p>
    <w:p w14:paraId="55115991" w14:textId="77777777" w:rsidR="00F04292" w:rsidRPr="003F7F6C" w:rsidRDefault="00F04292" w:rsidP="00E91275">
      <w:pPr>
        <w:numPr>
          <w:ilvl w:val="0"/>
          <w:numId w:val="53"/>
        </w:numPr>
        <w:ind w:left="357" w:hanging="357"/>
        <w:rPr>
          <w:rFonts w:cs="Calibri"/>
          <w:szCs w:val="20"/>
        </w:rPr>
      </w:pPr>
      <w:r w:rsidRPr="003F7F6C">
        <w:rPr>
          <w:rFonts w:cs="Calibri"/>
          <w:szCs w:val="20"/>
        </w:rPr>
        <w:t xml:space="preserve">Knowledge of environmental issues, policies and programs in Argentina is desirable, including knowledge on issues related to environmental land use planning and relevant regulations. </w:t>
      </w:r>
    </w:p>
    <w:p w14:paraId="15A5EEC3" w14:textId="77777777" w:rsidR="00F04292" w:rsidRPr="003F7F6C" w:rsidRDefault="00F04292" w:rsidP="00E91275">
      <w:pPr>
        <w:numPr>
          <w:ilvl w:val="0"/>
          <w:numId w:val="53"/>
        </w:numPr>
        <w:rPr>
          <w:rFonts w:cs="Calibri"/>
          <w:szCs w:val="20"/>
          <w:lang w:eastAsia="zh-CN"/>
        </w:rPr>
      </w:pPr>
      <w:r w:rsidRPr="003F7F6C">
        <w:rPr>
          <w:rFonts w:cs="Calibri"/>
          <w:szCs w:val="20"/>
          <w:lang w:eastAsia="zh-CN"/>
        </w:rPr>
        <w:t>Ability to coordinate and supervise implementation of technical activities in partnership with a variety of national and provincial stakeholder groups, including government, community, private sector, CSOs.</w:t>
      </w:r>
    </w:p>
    <w:p w14:paraId="19C57593" w14:textId="77777777" w:rsidR="00F04292" w:rsidRPr="003F7F6C" w:rsidRDefault="00F04292" w:rsidP="00E91275">
      <w:pPr>
        <w:pStyle w:val="ListParagraph"/>
        <w:numPr>
          <w:ilvl w:val="0"/>
          <w:numId w:val="53"/>
        </w:numPr>
        <w:spacing w:after="200" w:line="276" w:lineRule="auto"/>
        <w:rPr>
          <w:rFonts w:cs="Calibri"/>
          <w:szCs w:val="20"/>
        </w:rPr>
      </w:pPr>
      <w:r w:rsidRPr="003F7F6C">
        <w:rPr>
          <w:rFonts w:cs="Calibri"/>
          <w:szCs w:val="20"/>
        </w:rPr>
        <w:t>Strong interpersonal and communication skills; commitment to team work and to working across disciplines.</w:t>
      </w:r>
    </w:p>
    <w:p w14:paraId="473C4DDC" w14:textId="58535696" w:rsidR="00F04292" w:rsidRPr="003F7F6C" w:rsidRDefault="00F04292" w:rsidP="00E91275">
      <w:pPr>
        <w:pStyle w:val="ListParagraph"/>
        <w:numPr>
          <w:ilvl w:val="0"/>
          <w:numId w:val="53"/>
        </w:numPr>
        <w:spacing w:after="200" w:line="276" w:lineRule="auto"/>
        <w:rPr>
          <w:rFonts w:cs="Calibri"/>
          <w:szCs w:val="20"/>
        </w:rPr>
      </w:pPr>
      <w:r w:rsidRPr="003F7F6C">
        <w:rPr>
          <w:rFonts w:cs="Calibri"/>
          <w:szCs w:val="20"/>
        </w:rPr>
        <w:t>Computer skills.</w:t>
      </w:r>
      <w:r w:rsidR="00A13BC6" w:rsidRPr="003F7F6C">
        <w:rPr>
          <w:rFonts w:cs="Calibri"/>
          <w:szCs w:val="20"/>
        </w:rPr>
        <w:t xml:space="preserve"> Knowledge of QGIS is mandatory.</w:t>
      </w:r>
    </w:p>
    <w:p w14:paraId="6F83D95F" w14:textId="478D4B73" w:rsidR="00F04292" w:rsidRPr="003F7F6C" w:rsidRDefault="00F04292" w:rsidP="00E91275">
      <w:pPr>
        <w:pStyle w:val="ListParagraph"/>
        <w:numPr>
          <w:ilvl w:val="0"/>
          <w:numId w:val="53"/>
        </w:numPr>
        <w:spacing w:after="200" w:line="276" w:lineRule="auto"/>
        <w:rPr>
          <w:rFonts w:cs="Calibri"/>
          <w:szCs w:val="20"/>
        </w:rPr>
      </w:pPr>
      <w:r w:rsidRPr="003F7F6C">
        <w:rPr>
          <w:rFonts w:cs="Calibri"/>
          <w:szCs w:val="20"/>
        </w:rPr>
        <w:t xml:space="preserve">Excellent verbal and </w:t>
      </w:r>
      <w:r w:rsidR="00597B6B" w:rsidRPr="003F7F6C">
        <w:rPr>
          <w:rFonts w:cs="Calibri"/>
          <w:szCs w:val="20"/>
        </w:rPr>
        <w:t xml:space="preserve">written </w:t>
      </w:r>
      <w:r w:rsidRPr="003F7F6C">
        <w:rPr>
          <w:rFonts w:cs="Calibri"/>
          <w:szCs w:val="20"/>
        </w:rPr>
        <w:t>communication skills in Spanish.</w:t>
      </w:r>
    </w:p>
    <w:p w14:paraId="3036F34B" w14:textId="77777777" w:rsidR="00F04292" w:rsidRPr="003F7F6C" w:rsidRDefault="00F04292" w:rsidP="00F04292">
      <w:pPr>
        <w:rPr>
          <w:rFonts w:cs="Calibri"/>
          <w:szCs w:val="20"/>
        </w:rPr>
      </w:pPr>
    </w:p>
    <w:p w14:paraId="37B269FF" w14:textId="77777777" w:rsidR="00F04292" w:rsidRPr="003F7F6C" w:rsidRDefault="00F04292" w:rsidP="00F04292">
      <w:pPr>
        <w:rPr>
          <w:rFonts w:cs="Calibri"/>
          <w:szCs w:val="20"/>
        </w:rPr>
      </w:pPr>
    </w:p>
    <w:p w14:paraId="52992B82" w14:textId="34FE13EF" w:rsidR="00F04292" w:rsidRPr="003F7F6C" w:rsidRDefault="00F04292" w:rsidP="00F04292">
      <w:pPr>
        <w:rPr>
          <w:rFonts w:cs="Calibri"/>
          <w:b/>
          <w:szCs w:val="20"/>
          <w:u w:val="single"/>
        </w:rPr>
      </w:pPr>
      <w:r w:rsidRPr="003F7F6C">
        <w:rPr>
          <w:rFonts w:cs="Calibri"/>
          <w:b/>
          <w:szCs w:val="20"/>
          <w:u w:val="single"/>
        </w:rPr>
        <w:t xml:space="preserve">Economic </w:t>
      </w:r>
      <w:r w:rsidR="00597B6B" w:rsidRPr="003F7F6C">
        <w:rPr>
          <w:rFonts w:cs="Calibri"/>
          <w:b/>
          <w:szCs w:val="20"/>
          <w:u w:val="single"/>
        </w:rPr>
        <w:t xml:space="preserve">and Financial </w:t>
      </w:r>
      <w:r w:rsidRPr="003F7F6C">
        <w:rPr>
          <w:rFonts w:cs="Calibri"/>
          <w:b/>
          <w:szCs w:val="20"/>
          <w:u w:val="single"/>
        </w:rPr>
        <w:t>Instruments Specialist</w:t>
      </w:r>
    </w:p>
    <w:p w14:paraId="59270C31" w14:textId="25BDA2A7" w:rsidR="00F04292" w:rsidRPr="003F7F6C" w:rsidRDefault="00F04292" w:rsidP="00F04292">
      <w:pPr>
        <w:pStyle w:val="NormalWeb"/>
        <w:spacing w:before="0" w:beforeAutospacing="0" w:after="0" w:afterAutospacing="0"/>
        <w:textAlignment w:val="baseline"/>
        <w:rPr>
          <w:rFonts w:ascii="Calibri" w:hAnsi="Calibri" w:cs="Calibri"/>
          <w:sz w:val="20"/>
          <w:szCs w:val="20"/>
        </w:rPr>
      </w:pPr>
      <w:r w:rsidRPr="003F7F6C">
        <w:rPr>
          <w:rFonts w:ascii="Calibri" w:hAnsi="Calibri" w:cs="Calibri"/>
          <w:sz w:val="20"/>
          <w:szCs w:val="20"/>
        </w:rPr>
        <w:t xml:space="preserve">Under the overall supervision of the Project Coordinator, and in coordination with the Implementing Partner and other project partners, the Economic </w:t>
      </w:r>
      <w:r w:rsidR="00597B6B" w:rsidRPr="003F7F6C">
        <w:rPr>
          <w:rFonts w:ascii="Calibri" w:hAnsi="Calibri" w:cs="Calibri"/>
          <w:sz w:val="20"/>
          <w:szCs w:val="20"/>
        </w:rPr>
        <w:t xml:space="preserve">and Financial </w:t>
      </w:r>
      <w:r w:rsidRPr="003F7F6C">
        <w:rPr>
          <w:rFonts w:ascii="Calibri" w:hAnsi="Calibri" w:cs="Calibri"/>
          <w:sz w:val="20"/>
          <w:szCs w:val="20"/>
        </w:rPr>
        <w:t>Instruments Specialist will be responsible for supporting the development and implementation of economic, financial and fiscal instruments for environmental land use planning.</w:t>
      </w:r>
    </w:p>
    <w:p w14:paraId="4A0B9834" w14:textId="77777777" w:rsidR="00F04292" w:rsidRPr="003F7F6C" w:rsidRDefault="00F04292" w:rsidP="00F04292">
      <w:pPr>
        <w:rPr>
          <w:rFonts w:cs="Calibri"/>
          <w:szCs w:val="20"/>
        </w:rPr>
      </w:pPr>
    </w:p>
    <w:p w14:paraId="39DAEC04" w14:textId="77777777" w:rsidR="00F04292" w:rsidRPr="003F7F6C" w:rsidRDefault="00F04292" w:rsidP="00F04292">
      <w:pPr>
        <w:rPr>
          <w:rFonts w:cs="Calibri"/>
          <w:szCs w:val="20"/>
          <w:u w:val="single"/>
          <w:lang w:eastAsia="zh-CN"/>
        </w:rPr>
      </w:pPr>
      <w:r w:rsidRPr="003F7F6C">
        <w:rPr>
          <w:rFonts w:cs="Calibri"/>
          <w:szCs w:val="20"/>
          <w:u w:val="single"/>
          <w:lang w:eastAsia="zh-CN"/>
        </w:rPr>
        <w:t>Duties and Responsibilities</w:t>
      </w:r>
    </w:p>
    <w:p w14:paraId="1E9D293A" w14:textId="1A30002A" w:rsidR="00F04292" w:rsidRPr="003F7F6C" w:rsidRDefault="00F04292" w:rsidP="00E91275">
      <w:pPr>
        <w:pStyle w:val="ListParagraph"/>
        <w:numPr>
          <w:ilvl w:val="0"/>
          <w:numId w:val="42"/>
        </w:numPr>
        <w:contextualSpacing w:val="0"/>
        <w:rPr>
          <w:rFonts w:cs="Calibri"/>
          <w:szCs w:val="20"/>
        </w:rPr>
      </w:pPr>
      <w:r w:rsidRPr="003F7F6C">
        <w:rPr>
          <w:rFonts w:cs="Calibri"/>
          <w:szCs w:val="20"/>
        </w:rPr>
        <w:t>Prepare the annual workplan and budget for the activities that fall under his/her responsibility and contribute to preparation of the project´s annual workplan and budget.</w:t>
      </w:r>
    </w:p>
    <w:p w14:paraId="0E434C66" w14:textId="1137CCB4" w:rsidR="00F04292" w:rsidRPr="003F7F6C" w:rsidRDefault="00F04292" w:rsidP="00E91275">
      <w:pPr>
        <w:pStyle w:val="ListParagraph"/>
        <w:numPr>
          <w:ilvl w:val="0"/>
          <w:numId w:val="42"/>
        </w:numPr>
        <w:contextualSpacing w:val="0"/>
        <w:rPr>
          <w:rFonts w:cs="Calibri"/>
          <w:szCs w:val="20"/>
        </w:rPr>
      </w:pPr>
      <w:r w:rsidRPr="003F7F6C">
        <w:rPr>
          <w:rFonts w:cs="Calibri"/>
          <w:szCs w:val="20"/>
        </w:rPr>
        <w:t xml:space="preserve">Prepare periodic reports of the activities </w:t>
      </w:r>
      <w:r w:rsidR="00F74B4E" w:rsidRPr="003F7F6C">
        <w:rPr>
          <w:rFonts w:cs="Calibri"/>
          <w:szCs w:val="20"/>
        </w:rPr>
        <w:t xml:space="preserve">carried out </w:t>
      </w:r>
      <w:r w:rsidRPr="003F7F6C">
        <w:rPr>
          <w:rFonts w:cs="Calibri"/>
          <w:szCs w:val="20"/>
        </w:rPr>
        <w:t>and contribute to the preparation of the project progress reports.</w:t>
      </w:r>
    </w:p>
    <w:p w14:paraId="46D68C9E" w14:textId="77777777" w:rsidR="00F04292" w:rsidRPr="003F7F6C" w:rsidRDefault="00F04292" w:rsidP="00E91275">
      <w:pPr>
        <w:pStyle w:val="ListParagraph"/>
        <w:numPr>
          <w:ilvl w:val="0"/>
          <w:numId w:val="42"/>
        </w:numPr>
        <w:contextualSpacing w:val="0"/>
        <w:rPr>
          <w:rFonts w:cs="Calibri"/>
          <w:szCs w:val="20"/>
        </w:rPr>
      </w:pPr>
      <w:r w:rsidRPr="003F7F6C">
        <w:rPr>
          <w:rFonts w:cs="Calibri"/>
          <w:szCs w:val="20"/>
        </w:rPr>
        <w:t xml:space="preserve">Support the Implementing Partner and project partners in assessing and defining the methodologies for valuation of ecosystem goods and services in different ecoregions and land uses to provide decision makers with information on the implications of different courses of action affecting natural resources and global environmental values. </w:t>
      </w:r>
    </w:p>
    <w:p w14:paraId="2FDD5FA4" w14:textId="00380242" w:rsidR="00F04292" w:rsidRPr="003F7F6C" w:rsidRDefault="00A13BC6" w:rsidP="00E91275">
      <w:pPr>
        <w:pStyle w:val="NormalWeb"/>
        <w:numPr>
          <w:ilvl w:val="0"/>
          <w:numId w:val="42"/>
        </w:numPr>
        <w:spacing w:before="0" w:beforeAutospacing="0" w:after="60" w:afterAutospacing="0"/>
        <w:rPr>
          <w:rFonts w:ascii="Calibri" w:hAnsi="Calibri" w:cs="Calibri"/>
          <w:sz w:val="20"/>
          <w:szCs w:val="20"/>
        </w:rPr>
      </w:pPr>
      <w:r w:rsidRPr="003F7F6C">
        <w:rPr>
          <w:rFonts w:ascii="Calibri" w:hAnsi="Calibri" w:cs="Calibri"/>
          <w:sz w:val="20"/>
          <w:szCs w:val="20"/>
        </w:rPr>
        <w:t>Carry out</w:t>
      </w:r>
      <w:r w:rsidR="00F04292" w:rsidRPr="003F7F6C">
        <w:rPr>
          <w:rFonts w:ascii="Calibri" w:hAnsi="Calibri" w:cs="Calibri"/>
          <w:sz w:val="20"/>
          <w:szCs w:val="20"/>
        </w:rPr>
        <w:t xml:space="preserve"> research </w:t>
      </w:r>
      <w:r w:rsidR="00F74B4E" w:rsidRPr="003F7F6C">
        <w:rPr>
          <w:rFonts w:ascii="Calibri" w:hAnsi="Calibri" w:cs="Calibri"/>
          <w:sz w:val="20"/>
          <w:szCs w:val="20"/>
        </w:rPr>
        <w:t xml:space="preserve">on </w:t>
      </w:r>
      <w:r w:rsidR="00F04292" w:rsidRPr="003F7F6C">
        <w:rPr>
          <w:rFonts w:ascii="Calibri" w:hAnsi="Calibri" w:cs="Calibri"/>
          <w:sz w:val="20"/>
          <w:szCs w:val="20"/>
        </w:rPr>
        <w:t>representative existing incentive measures, review of case studies, identification of new opportunities for incentive measures, and dissemination of information.</w:t>
      </w:r>
    </w:p>
    <w:p w14:paraId="5AAAF30A" w14:textId="51827CB6" w:rsidR="00F04292" w:rsidRPr="003F7F6C" w:rsidRDefault="00A13BC6" w:rsidP="00E91275">
      <w:pPr>
        <w:pStyle w:val="ListParagraph"/>
        <w:numPr>
          <w:ilvl w:val="0"/>
          <w:numId w:val="42"/>
        </w:numPr>
        <w:contextualSpacing w:val="0"/>
        <w:rPr>
          <w:rFonts w:cs="Calibri"/>
          <w:szCs w:val="20"/>
        </w:rPr>
      </w:pPr>
      <w:r w:rsidRPr="003F7F6C">
        <w:rPr>
          <w:rFonts w:cs="Calibri"/>
          <w:szCs w:val="20"/>
        </w:rPr>
        <w:t xml:space="preserve">Carry out </w:t>
      </w:r>
      <w:r w:rsidR="00F04292" w:rsidRPr="003F7F6C">
        <w:rPr>
          <w:rFonts w:cs="Calibri"/>
          <w:szCs w:val="20"/>
        </w:rPr>
        <w:t>the analysis and</w:t>
      </w:r>
      <w:r w:rsidRPr="003F7F6C">
        <w:rPr>
          <w:rFonts w:cs="Calibri"/>
          <w:szCs w:val="20"/>
        </w:rPr>
        <w:t xml:space="preserve"> support the technical teams of SGAyDS and provinces to</w:t>
      </w:r>
      <w:r w:rsidR="00F04292" w:rsidRPr="003F7F6C">
        <w:rPr>
          <w:rFonts w:cs="Calibri"/>
          <w:szCs w:val="20"/>
        </w:rPr>
        <w:t xml:space="preserve"> design compensation schemes based on the results of valuation of ecosystem goods and services.</w:t>
      </w:r>
    </w:p>
    <w:p w14:paraId="6B3AA604" w14:textId="04656DA2" w:rsidR="00F04292" w:rsidRPr="003F7F6C" w:rsidRDefault="00A13BC6" w:rsidP="00E91275">
      <w:pPr>
        <w:pStyle w:val="ListParagraph"/>
        <w:numPr>
          <w:ilvl w:val="0"/>
          <w:numId w:val="42"/>
        </w:numPr>
        <w:contextualSpacing w:val="0"/>
        <w:rPr>
          <w:rFonts w:cs="Calibri"/>
          <w:szCs w:val="20"/>
        </w:rPr>
      </w:pPr>
      <w:r w:rsidRPr="003F7F6C">
        <w:rPr>
          <w:rFonts w:cs="Calibri"/>
          <w:szCs w:val="20"/>
        </w:rPr>
        <w:t>Asses in coordination with SGAyDS and provinces</w:t>
      </w:r>
      <w:r w:rsidR="00F04292" w:rsidRPr="003F7F6C">
        <w:rPr>
          <w:rFonts w:cs="Calibri"/>
          <w:szCs w:val="20"/>
        </w:rPr>
        <w:t xml:space="preserve">  the most feasible economic, financial and fiscal instruments to put in place through the project to compensate for the opportunity costs for land owners who are required to reduce or change production in areas designated in environmental land use planning for strict conservation of biodiversity or those where extreme measures are needed to reduce land degradation and to promote implementation of production practices in restricted areas defined through environmental land use planning.</w:t>
      </w:r>
    </w:p>
    <w:p w14:paraId="43FFCA0F" w14:textId="46AF8EAF" w:rsidR="00F04292" w:rsidRPr="003F7F6C" w:rsidRDefault="00F04292" w:rsidP="00E91275">
      <w:pPr>
        <w:pStyle w:val="ListParagraph"/>
        <w:numPr>
          <w:ilvl w:val="0"/>
          <w:numId w:val="42"/>
        </w:numPr>
        <w:contextualSpacing w:val="0"/>
        <w:rPr>
          <w:rFonts w:cs="Calibri"/>
          <w:szCs w:val="20"/>
        </w:rPr>
      </w:pPr>
      <w:r w:rsidRPr="003F7F6C">
        <w:rPr>
          <w:rFonts w:cs="Calibri"/>
          <w:szCs w:val="20"/>
        </w:rPr>
        <w:t xml:space="preserve">Participate in the consultation processes with project partners and stakeholders </w:t>
      </w:r>
      <w:r w:rsidR="000461FA" w:rsidRPr="003F7F6C">
        <w:rPr>
          <w:rFonts w:cs="Calibri"/>
          <w:szCs w:val="20"/>
        </w:rPr>
        <w:t xml:space="preserve">with </w:t>
      </w:r>
      <w:r w:rsidRPr="003F7F6C">
        <w:rPr>
          <w:rFonts w:cs="Calibri"/>
          <w:szCs w:val="20"/>
        </w:rPr>
        <w:t>regard to  the development and implementation of economic, financial and fiscal instruments.</w:t>
      </w:r>
    </w:p>
    <w:p w14:paraId="46F77CC9" w14:textId="77777777" w:rsidR="00F04292" w:rsidRPr="003F7F6C" w:rsidRDefault="00F04292" w:rsidP="00E91275">
      <w:pPr>
        <w:pStyle w:val="ListParagraph"/>
        <w:numPr>
          <w:ilvl w:val="0"/>
          <w:numId w:val="42"/>
        </w:numPr>
        <w:contextualSpacing w:val="0"/>
        <w:rPr>
          <w:rFonts w:cs="Calibri"/>
          <w:szCs w:val="20"/>
        </w:rPr>
      </w:pPr>
      <w:r w:rsidRPr="003F7F6C">
        <w:rPr>
          <w:rFonts w:cs="Calibri"/>
          <w:szCs w:val="20"/>
        </w:rPr>
        <w:t>Provide technical backstopping and recommendations to project partners for application of valuation methodologies and testing and validation of different economic, financial and fiscal instruments in the field, identifying lessons and supporting the adaptation of instruments to local realities when needed.</w:t>
      </w:r>
    </w:p>
    <w:p w14:paraId="1F7B14F8" w14:textId="196B5EFE" w:rsidR="00F04292" w:rsidRPr="003F7F6C" w:rsidRDefault="00F04292" w:rsidP="00E91275">
      <w:pPr>
        <w:pStyle w:val="ListParagraph"/>
        <w:numPr>
          <w:ilvl w:val="0"/>
          <w:numId w:val="42"/>
        </w:numPr>
        <w:contextualSpacing w:val="0"/>
        <w:rPr>
          <w:rFonts w:cs="Calibri"/>
          <w:szCs w:val="20"/>
        </w:rPr>
      </w:pPr>
      <w:r w:rsidRPr="003F7F6C">
        <w:rPr>
          <w:rFonts w:cs="Calibri"/>
          <w:szCs w:val="20"/>
        </w:rPr>
        <w:t>Support project M&amp;E</w:t>
      </w:r>
      <w:r w:rsidR="000461FA" w:rsidRPr="003F7F6C">
        <w:rPr>
          <w:rFonts w:cs="Calibri"/>
          <w:szCs w:val="20"/>
        </w:rPr>
        <w:t>,</w:t>
      </w:r>
      <w:r w:rsidRPr="003F7F6C">
        <w:rPr>
          <w:rFonts w:cs="Calibri"/>
          <w:szCs w:val="20"/>
        </w:rPr>
        <w:t xml:space="preserve"> coordinating, supervising and monitoring data collection processes </w:t>
      </w:r>
      <w:r w:rsidR="000461FA" w:rsidRPr="003F7F6C">
        <w:rPr>
          <w:rFonts w:cs="Calibri"/>
          <w:szCs w:val="20"/>
        </w:rPr>
        <w:t>carried out</w:t>
      </w:r>
      <w:r w:rsidRPr="003F7F6C">
        <w:rPr>
          <w:rFonts w:cs="Calibri"/>
          <w:szCs w:val="20"/>
        </w:rPr>
        <w:t xml:space="preserve"> by project consultants and the technical teams of the participating institutions working on the ground/collecting data for each of the instruments being tested.</w:t>
      </w:r>
    </w:p>
    <w:p w14:paraId="4FE041CA" w14:textId="77777777" w:rsidR="00F04292" w:rsidRPr="003F7F6C" w:rsidRDefault="00F04292" w:rsidP="00E91275">
      <w:pPr>
        <w:numPr>
          <w:ilvl w:val="0"/>
          <w:numId w:val="42"/>
        </w:numPr>
        <w:textAlignment w:val="baseline"/>
        <w:rPr>
          <w:rFonts w:cs="Calibri"/>
          <w:szCs w:val="20"/>
        </w:rPr>
      </w:pPr>
      <w:r w:rsidRPr="003F7F6C">
        <w:rPr>
          <w:rFonts w:cs="Calibri"/>
          <w:szCs w:val="20"/>
        </w:rPr>
        <w:t>Support the Project Coordinator in synthesizing lessons and encourage uptake of best practices and knowledge on economic, financial and fiscal instruments.</w:t>
      </w:r>
    </w:p>
    <w:p w14:paraId="6948B819" w14:textId="77777777" w:rsidR="00F04292" w:rsidRPr="003F7F6C" w:rsidRDefault="00F04292" w:rsidP="00F04292">
      <w:pPr>
        <w:rPr>
          <w:rFonts w:cs="Calibri"/>
          <w:szCs w:val="20"/>
        </w:rPr>
      </w:pPr>
    </w:p>
    <w:p w14:paraId="25CB8F7E" w14:textId="77777777" w:rsidR="00F04292" w:rsidRPr="003F7F6C" w:rsidRDefault="00F04292" w:rsidP="00F04292">
      <w:pPr>
        <w:rPr>
          <w:rFonts w:cs="Calibri"/>
          <w:szCs w:val="20"/>
        </w:rPr>
      </w:pPr>
      <w:r w:rsidRPr="003F7F6C">
        <w:rPr>
          <w:rFonts w:cs="Calibri"/>
          <w:szCs w:val="20"/>
          <w:u w:val="single"/>
          <w:lang w:eastAsia="zh-CN"/>
        </w:rPr>
        <w:t>Required skills and expertise</w:t>
      </w:r>
    </w:p>
    <w:p w14:paraId="0D4CAAA5" w14:textId="4AC9DDDA" w:rsidR="00F04292" w:rsidRPr="003F7F6C" w:rsidRDefault="00F04292" w:rsidP="00E91275">
      <w:pPr>
        <w:numPr>
          <w:ilvl w:val="0"/>
          <w:numId w:val="53"/>
        </w:numPr>
        <w:spacing w:after="0"/>
        <w:rPr>
          <w:rFonts w:cs="Calibri"/>
          <w:szCs w:val="20"/>
        </w:rPr>
      </w:pPr>
      <w:r w:rsidRPr="003F7F6C">
        <w:rPr>
          <w:rFonts w:cs="Calibri"/>
          <w:szCs w:val="20"/>
        </w:rPr>
        <w:t>Postgraduate degree in a relevant field such as natural resource economics.</w:t>
      </w:r>
    </w:p>
    <w:p w14:paraId="513B358F" w14:textId="470BCD5B" w:rsidR="00F04292" w:rsidRPr="003F7F6C" w:rsidRDefault="00F04292" w:rsidP="00E91275">
      <w:pPr>
        <w:numPr>
          <w:ilvl w:val="0"/>
          <w:numId w:val="53"/>
        </w:numPr>
        <w:rPr>
          <w:rFonts w:cs="Calibri"/>
          <w:szCs w:val="20"/>
        </w:rPr>
      </w:pPr>
      <w:r w:rsidRPr="003F7F6C">
        <w:rPr>
          <w:rFonts w:cs="Calibri"/>
          <w:szCs w:val="20"/>
        </w:rPr>
        <w:t xml:space="preserve">At least </w:t>
      </w:r>
      <w:r w:rsidR="00A13BC6" w:rsidRPr="003F7F6C">
        <w:rPr>
          <w:rFonts w:cs="Calibri"/>
          <w:szCs w:val="20"/>
        </w:rPr>
        <w:t xml:space="preserve">7 </w:t>
      </w:r>
      <w:r w:rsidRPr="003F7F6C">
        <w:rPr>
          <w:rFonts w:cs="Calibri"/>
          <w:szCs w:val="20"/>
        </w:rPr>
        <w:t>years of overall professional experience, with incremental responsibilities, preferably with some experience in the UN system.</w:t>
      </w:r>
    </w:p>
    <w:p w14:paraId="6782A2F0" w14:textId="6A731848" w:rsidR="00F04292" w:rsidRPr="003F7F6C" w:rsidRDefault="00F04292" w:rsidP="00E91275">
      <w:pPr>
        <w:numPr>
          <w:ilvl w:val="0"/>
          <w:numId w:val="53"/>
        </w:numPr>
        <w:rPr>
          <w:rFonts w:cs="Calibri"/>
          <w:szCs w:val="20"/>
        </w:rPr>
      </w:pPr>
      <w:r w:rsidRPr="003F7F6C">
        <w:rPr>
          <w:rFonts w:cs="Calibri"/>
          <w:szCs w:val="20"/>
        </w:rPr>
        <w:t>At least 5 years of experience and in-depth knowledge and track record in economic valuation and/or financial and fiscal instruments to promote conservation and sustainable natural resource management.</w:t>
      </w:r>
    </w:p>
    <w:p w14:paraId="19B1B1EC" w14:textId="77777777" w:rsidR="00F04292" w:rsidRPr="003F7F6C" w:rsidRDefault="00F04292" w:rsidP="00E91275">
      <w:pPr>
        <w:numPr>
          <w:ilvl w:val="0"/>
          <w:numId w:val="53"/>
        </w:numPr>
        <w:rPr>
          <w:rFonts w:cs="Calibri"/>
          <w:szCs w:val="20"/>
        </w:rPr>
      </w:pPr>
      <w:r w:rsidRPr="003F7F6C">
        <w:rPr>
          <w:rFonts w:cs="Calibri"/>
          <w:szCs w:val="20"/>
        </w:rPr>
        <w:t>Knowledge of environmental issues, policies and programs in Argentina is desirable, including knowledge on issues related to environmental land use planning and production sectors.</w:t>
      </w:r>
    </w:p>
    <w:p w14:paraId="51037151" w14:textId="77777777" w:rsidR="00F04292" w:rsidRPr="003F7F6C" w:rsidRDefault="00F04292" w:rsidP="00E91275">
      <w:pPr>
        <w:numPr>
          <w:ilvl w:val="0"/>
          <w:numId w:val="53"/>
        </w:numPr>
        <w:rPr>
          <w:rFonts w:cs="Calibri"/>
          <w:szCs w:val="20"/>
          <w:lang w:eastAsia="zh-CN"/>
        </w:rPr>
      </w:pPr>
      <w:r w:rsidRPr="003F7F6C">
        <w:rPr>
          <w:rFonts w:cs="Calibri"/>
          <w:szCs w:val="20"/>
          <w:lang w:eastAsia="zh-CN"/>
        </w:rPr>
        <w:t>Ability to coordinate and supervise implementation of technical activities in partnership with a variety of national and provincial stakeholder groups, including government, community, private sector, CSOs.</w:t>
      </w:r>
    </w:p>
    <w:p w14:paraId="0C1F0E50" w14:textId="77777777" w:rsidR="00F04292" w:rsidRPr="003F7F6C" w:rsidRDefault="00F04292" w:rsidP="00E91275">
      <w:pPr>
        <w:pStyle w:val="ListParagraph"/>
        <w:numPr>
          <w:ilvl w:val="0"/>
          <w:numId w:val="53"/>
        </w:numPr>
        <w:spacing w:after="200" w:line="276" w:lineRule="auto"/>
        <w:rPr>
          <w:rFonts w:cs="Calibri"/>
          <w:szCs w:val="20"/>
        </w:rPr>
      </w:pPr>
      <w:r w:rsidRPr="003F7F6C">
        <w:rPr>
          <w:rFonts w:cs="Calibri"/>
          <w:szCs w:val="20"/>
        </w:rPr>
        <w:t xml:space="preserve">Strong interpersonal and communication skills; commitment to team work and to working across disciplines </w:t>
      </w:r>
    </w:p>
    <w:p w14:paraId="1E74DD65" w14:textId="77777777" w:rsidR="00F04292" w:rsidRPr="003F7F6C" w:rsidRDefault="00F04292" w:rsidP="00E91275">
      <w:pPr>
        <w:pStyle w:val="ListParagraph"/>
        <w:numPr>
          <w:ilvl w:val="0"/>
          <w:numId w:val="53"/>
        </w:numPr>
        <w:spacing w:after="200" w:line="276" w:lineRule="auto"/>
        <w:rPr>
          <w:rFonts w:cs="Calibri"/>
          <w:szCs w:val="20"/>
        </w:rPr>
      </w:pPr>
      <w:r w:rsidRPr="003F7F6C">
        <w:rPr>
          <w:rFonts w:cs="Calibri"/>
          <w:szCs w:val="20"/>
        </w:rPr>
        <w:t>Computer skills.</w:t>
      </w:r>
    </w:p>
    <w:p w14:paraId="045E265D" w14:textId="0B905080" w:rsidR="00F04292" w:rsidRPr="003F7F6C" w:rsidRDefault="00F04292" w:rsidP="00E91275">
      <w:pPr>
        <w:pStyle w:val="ListParagraph"/>
        <w:numPr>
          <w:ilvl w:val="0"/>
          <w:numId w:val="53"/>
        </w:numPr>
        <w:spacing w:after="200" w:line="276" w:lineRule="auto"/>
        <w:rPr>
          <w:rFonts w:cs="Calibri"/>
          <w:szCs w:val="20"/>
        </w:rPr>
      </w:pPr>
      <w:r w:rsidRPr="003F7F6C">
        <w:rPr>
          <w:rFonts w:cs="Calibri"/>
          <w:szCs w:val="20"/>
        </w:rPr>
        <w:t xml:space="preserve">Excellent verbal and </w:t>
      </w:r>
      <w:r w:rsidR="000461FA" w:rsidRPr="003F7F6C">
        <w:rPr>
          <w:rFonts w:cs="Calibri"/>
          <w:szCs w:val="20"/>
        </w:rPr>
        <w:t xml:space="preserve">written </w:t>
      </w:r>
      <w:r w:rsidRPr="003F7F6C">
        <w:rPr>
          <w:rFonts w:cs="Calibri"/>
          <w:szCs w:val="20"/>
        </w:rPr>
        <w:t>communication skills in Spanish.</w:t>
      </w:r>
    </w:p>
    <w:p w14:paraId="2AF279E1" w14:textId="77777777" w:rsidR="00F04292" w:rsidRPr="003F7F6C" w:rsidRDefault="00F04292" w:rsidP="00F04292">
      <w:pPr>
        <w:rPr>
          <w:rFonts w:cs="Calibri"/>
          <w:szCs w:val="20"/>
        </w:rPr>
      </w:pPr>
    </w:p>
    <w:p w14:paraId="333A7A24" w14:textId="77777777" w:rsidR="00F04292" w:rsidRPr="003F7F6C" w:rsidRDefault="00F04292" w:rsidP="00F04292">
      <w:pPr>
        <w:rPr>
          <w:rFonts w:cs="Calibri"/>
          <w:szCs w:val="20"/>
        </w:rPr>
      </w:pPr>
    </w:p>
    <w:p w14:paraId="656C82E7" w14:textId="77777777" w:rsidR="00F04292" w:rsidRPr="003F7F6C" w:rsidRDefault="00F04292" w:rsidP="00F04292">
      <w:pPr>
        <w:rPr>
          <w:rFonts w:cs="Calibri"/>
          <w:b/>
          <w:szCs w:val="20"/>
          <w:u w:val="single"/>
        </w:rPr>
      </w:pPr>
      <w:r w:rsidRPr="003F7F6C">
        <w:rPr>
          <w:rFonts w:cs="Calibri"/>
          <w:b/>
          <w:szCs w:val="20"/>
          <w:u w:val="single"/>
        </w:rPr>
        <w:t>Stakeholder Engagement Specialist</w:t>
      </w:r>
    </w:p>
    <w:p w14:paraId="0EE6D13B" w14:textId="77777777" w:rsidR="00F04292" w:rsidRPr="003F7F6C" w:rsidRDefault="00F04292" w:rsidP="00F04292">
      <w:pPr>
        <w:rPr>
          <w:rFonts w:cs="Calibri"/>
          <w:szCs w:val="20"/>
        </w:rPr>
      </w:pPr>
      <w:r w:rsidRPr="003F7F6C">
        <w:rPr>
          <w:rFonts w:cs="Calibri"/>
          <w:szCs w:val="20"/>
        </w:rPr>
        <w:t xml:space="preserve">Under the overall supervision of the Project Coordinator, and in coordination with the Implementing Partner and other project partners, the Stakeholder Engagement Specialist will be responsible for strategically organizing and strengthening consultation and stakeholder engagement within the framework of the Project´s Stakeholder Engagement Plan. </w:t>
      </w:r>
    </w:p>
    <w:p w14:paraId="47F57AD5" w14:textId="77777777" w:rsidR="00F04292" w:rsidRPr="003F7F6C" w:rsidRDefault="00F04292" w:rsidP="00F04292">
      <w:pPr>
        <w:rPr>
          <w:rFonts w:cs="Calibri"/>
          <w:szCs w:val="20"/>
        </w:rPr>
      </w:pPr>
    </w:p>
    <w:p w14:paraId="2F761246" w14:textId="77777777" w:rsidR="00F04292" w:rsidRPr="003F7F6C" w:rsidRDefault="00F04292" w:rsidP="00F04292">
      <w:pPr>
        <w:rPr>
          <w:rFonts w:cs="Calibri"/>
          <w:szCs w:val="20"/>
          <w:u w:val="single"/>
          <w:lang w:eastAsia="zh-CN"/>
        </w:rPr>
      </w:pPr>
      <w:r w:rsidRPr="003F7F6C">
        <w:rPr>
          <w:rFonts w:cs="Calibri"/>
          <w:szCs w:val="20"/>
          <w:u w:val="single"/>
          <w:lang w:eastAsia="zh-CN"/>
        </w:rPr>
        <w:t>Duties and Responsibilities</w:t>
      </w:r>
    </w:p>
    <w:p w14:paraId="5FA7D98D" w14:textId="1D5CDE67" w:rsidR="00F04292" w:rsidRPr="003F7F6C" w:rsidRDefault="00F04292" w:rsidP="00E91275">
      <w:pPr>
        <w:pStyle w:val="ListParagraph"/>
        <w:numPr>
          <w:ilvl w:val="0"/>
          <w:numId w:val="42"/>
        </w:numPr>
        <w:spacing w:after="0"/>
        <w:rPr>
          <w:rFonts w:cs="Calibri"/>
          <w:szCs w:val="20"/>
        </w:rPr>
      </w:pPr>
      <w:r w:rsidRPr="003F7F6C">
        <w:rPr>
          <w:rFonts w:cs="Calibri"/>
          <w:szCs w:val="20"/>
        </w:rPr>
        <w:t xml:space="preserve">Prepare the annual workplan and budget for the activities that fall under his/her responsibility and contribute to preparation of the project´s annual workplan and budget </w:t>
      </w:r>
    </w:p>
    <w:p w14:paraId="4551D30F" w14:textId="4638029C" w:rsidR="00F04292" w:rsidRPr="003F7F6C" w:rsidRDefault="00F04292" w:rsidP="00E91275">
      <w:pPr>
        <w:pStyle w:val="ListParagraph"/>
        <w:numPr>
          <w:ilvl w:val="0"/>
          <w:numId w:val="42"/>
        </w:numPr>
        <w:spacing w:after="0"/>
        <w:rPr>
          <w:rFonts w:cs="Calibri"/>
          <w:szCs w:val="20"/>
        </w:rPr>
      </w:pPr>
      <w:r w:rsidRPr="003F7F6C">
        <w:rPr>
          <w:rFonts w:cs="Calibri"/>
          <w:szCs w:val="20"/>
        </w:rPr>
        <w:t xml:space="preserve">Prepare periodic reports of the activities </w:t>
      </w:r>
      <w:r w:rsidR="000461FA" w:rsidRPr="003F7F6C">
        <w:rPr>
          <w:rFonts w:cs="Calibri"/>
          <w:szCs w:val="20"/>
        </w:rPr>
        <w:t xml:space="preserve">implemented </w:t>
      </w:r>
      <w:r w:rsidRPr="003F7F6C">
        <w:rPr>
          <w:rFonts w:cs="Calibri"/>
          <w:szCs w:val="20"/>
        </w:rPr>
        <w:t xml:space="preserve">and contribute to the preparation of the project progress reports. </w:t>
      </w:r>
    </w:p>
    <w:p w14:paraId="6F1AC24F" w14:textId="77777777" w:rsidR="00F04292" w:rsidRPr="003F7F6C" w:rsidRDefault="00F04292" w:rsidP="00E91275">
      <w:pPr>
        <w:pStyle w:val="NormalWeb"/>
        <w:numPr>
          <w:ilvl w:val="0"/>
          <w:numId w:val="42"/>
        </w:numPr>
        <w:spacing w:before="0" w:beforeAutospacing="0" w:after="60" w:afterAutospacing="0"/>
        <w:ind w:left="357" w:hanging="357"/>
        <w:textAlignment w:val="baseline"/>
        <w:rPr>
          <w:rFonts w:ascii="Calibri" w:hAnsi="Calibri" w:cs="Calibri"/>
          <w:sz w:val="20"/>
          <w:szCs w:val="20"/>
        </w:rPr>
      </w:pPr>
      <w:r w:rsidRPr="003F7F6C">
        <w:rPr>
          <w:rFonts w:ascii="Calibri" w:hAnsi="Calibri" w:cs="Calibri"/>
          <w:sz w:val="20"/>
          <w:szCs w:val="20"/>
        </w:rPr>
        <w:t>Assess the capacity of various agencies and stakeholder groups, in respect of their roles, functions and/or responsibilities in environmental land use planning, environmental management and productive sectors targeted by the project, and identify the capacity development needs of the different stakeholder groups to ensure development of adequate capacity strengthening programs.</w:t>
      </w:r>
    </w:p>
    <w:p w14:paraId="709D450F" w14:textId="69BFFC9D" w:rsidR="00F04292" w:rsidRPr="003F7F6C" w:rsidRDefault="00F04292" w:rsidP="00E91275">
      <w:pPr>
        <w:numPr>
          <w:ilvl w:val="0"/>
          <w:numId w:val="42"/>
        </w:numPr>
        <w:ind w:left="357" w:hanging="357"/>
        <w:textAlignment w:val="baseline"/>
        <w:rPr>
          <w:rFonts w:cs="Calibri"/>
          <w:szCs w:val="20"/>
        </w:rPr>
      </w:pPr>
      <w:r w:rsidRPr="003F7F6C">
        <w:rPr>
          <w:rFonts w:cs="Calibri"/>
          <w:szCs w:val="20"/>
        </w:rPr>
        <w:t xml:space="preserve">Support the development of strategies that are gender balanced and will enable the full and effective participation of key stakeholders including government institutions, NGOs, communities, producers, indigenous peoples and </w:t>
      </w:r>
      <w:r w:rsidR="000461FA" w:rsidRPr="003F7F6C">
        <w:rPr>
          <w:rFonts w:cs="Calibri"/>
          <w:szCs w:val="20"/>
        </w:rPr>
        <w:t xml:space="preserve">the </w:t>
      </w:r>
      <w:r w:rsidRPr="003F7F6C">
        <w:rPr>
          <w:rFonts w:cs="Calibri"/>
          <w:szCs w:val="20"/>
        </w:rPr>
        <w:t>private sector.</w:t>
      </w:r>
    </w:p>
    <w:p w14:paraId="054B108B" w14:textId="7475633F" w:rsidR="005C20F1" w:rsidRPr="003F7F6C" w:rsidRDefault="005C20F1" w:rsidP="00E91275">
      <w:pPr>
        <w:numPr>
          <w:ilvl w:val="0"/>
          <w:numId w:val="42"/>
        </w:numPr>
        <w:ind w:left="357" w:hanging="357"/>
        <w:textAlignment w:val="baseline"/>
        <w:rPr>
          <w:rFonts w:cs="Calibri"/>
          <w:szCs w:val="20"/>
        </w:rPr>
      </w:pPr>
      <w:r w:rsidRPr="003F7F6C">
        <w:rPr>
          <w:rFonts w:cs="Calibri"/>
          <w:szCs w:val="20"/>
        </w:rPr>
        <w:t xml:space="preserve">Develop the detailed Indigenous Peoples Plan based on the draft IPP, the Social and Environmental Screening Procedure and </w:t>
      </w:r>
      <w:r w:rsidR="00951D11" w:rsidRPr="003F7F6C">
        <w:rPr>
          <w:rFonts w:cs="Calibri"/>
          <w:szCs w:val="20"/>
        </w:rPr>
        <w:t>the Stakeholder Engagement Plan.</w:t>
      </w:r>
    </w:p>
    <w:p w14:paraId="5C6F5419" w14:textId="74B6D8DE" w:rsidR="00F04292" w:rsidRPr="003F7F6C" w:rsidRDefault="00F04292" w:rsidP="00E91275">
      <w:pPr>
        <w:numPr>
          <w:ilvl w:val="0"/>
          <w:numId w:val="42"/>
        </w:numPr>
        <w:ind w:left="357" w:hanging="357"/>
        <w:textAlignment w:val="baseline"/>
        <w:rPr>
          <w:rFonts w:cs="Calibri"/>
          <w:szCs w:val="20"/>
        </w:rPr>
      </w:pPr>
      <w:r w:rsidRPr="003F7F6C">
        <w:rPr>
          <w:rFonts w:cs="Calibri"/>
          <w:szCs w:val="20"/>
        </w:rPr>
        <w:t>Support, maintain and update information and tools that will facilitate effective stakeholder participation such as stakeholder and network mapping and analysis and others included in the Stakeholder Engagement Plan.</w:t>
      </w:r>
    </w:p>
    <w:p w14:paraId="35FA2277" w14:textId="68A64567" w:rsidR="00F04292" w:rsidRPr="003F7F6C" w:rsidRDefault="00F04292" w:rsidP="00E91275">
      <w:pPr>
        <w:numPr>
          <w:ilvl w:val="0"/>
          <w:numId w:val="42"/>
        </w:numPr>
        <w:ind w:left="357" w:hanging="357"/>
        <w:textAlignment w:val="baseline"/>
        <w:rPr>
          <w:rFonts w:cs="Calibri"/>
          <w:szCs w:val="20"/>
        </w:rPr>
      </w:pPr>
      <w:r w:rsidRPr="003F7F6C">
        <w:rPr>
          <w:rFonts w:cs="Calibri"/>
          <w:szCs w:val="20"/>
        </w:rPr>
        <w:t>Support the development of multi-stakeholder dialogue and coordination spaces with adequate representation of key stakeholders including government institutions, NGOs and CSOs, private sector, academia, indigenous peoples</w:t>
      </w:r>
      <w:r w:rsidR="000461FA" w:rsidRPr="003F7F6C">
        <w:rPr>
          <w:rFonts w:cs="Calibri"/>
          <w:szCs w:val="20"/>
        </w:rPr>
        <w:t>,</w:t>
      </w:r>
      <w:r w:rsidRPr="003F7F6C">
        <w:rPr>
          <w:rFonts w:cs="Calibri"/>
          <w:szCs w:val="20"/>
        </w:rPr>
        <w:t xml:space="preserve"> and </w:t>
      </w:r>
      <w:r w:rsidR="000461FA" w:rsidRPr="003F7F6C">
        <w:rPr>
          <w:rFonts w:cs="Calibri"/>
          <w:szCs w:val="20"/>
        </w:rPr>
        <w:t xml:space="preserve">ensure </w:t>
      </w:r>
      <w:r w:rsidRPr="003F7F6C">
        <w:rPr>
          <w:rFonts w:cs="Calibri"/>
          <w:szCs w:val="20"/>
        </w:rPr>
        <w:t xml:space="preserve">that </w:t>
      </w:r>
      <w:r w:rsidR="000461FA" w:rsidRPr="003F7F6C">
        <w:rPr>
          <w:rFonts w:cs="Calibri"/>
          <w:szCs w:val="20"/>
        </w:rPr>
        <w:t xml:space="preserve">these </w:t>
      </w:r>
      <w:r w:rsidRPr="003F7F6C">
        <w:rPr>
          <w:rFonts w:cs="Calibri"/>
          <w:szCs w:val="20"/>
        </w:rPr>
        <w:t>are gender balanced.</w:t>
      </w:r>
    </w:p>
    <w:p w14:paraId="580911D6" w14:textId="2509E921" w:rsidR="00F04292" w:rsidRPr="003F7F6C" w:rsidRDefault="00F04292" w:rsidP="00E91275">
      <w:pPr>
        <w:numPr>
          <w:ilvl w:val="0"/>
          <w:numId w:val="42"/>
        </w:numPr>
        <w:ind w:left="357" w:hanging="357"/>
        <w:textAlignment w:val="baseline"/>
        <w:rPr>
          <w:rFonts w:cs="Calibri"/>
          <w:szCs w:val="20"/>
        </w:rPr>
      </w:pPr>
      <w:r w:rsidRPr="003F7F6C">
        <w:rPr>
          <w:rFonts w:cs="Calibri"/>
          <w:szCs w:val="20"/>
        </w:rPr>
        <w:t>Support the development and application of social safeguards, and particularly in regard to participation of indigenous peoples, respecting existing consultation mechanisms where they exist, and ensuring their rights to: participation in public policies; Prior Consultation in regard to specific regulatory or administrative measures; and Free, Prior and Informed Consent in specific cases that may affect their fundamental rights or risk their integrity.</w:t>
      </w:r>
    </w:p>
    <w:p w14:paraId="6EFE1A14" w14:textId="77777777" w:rsidR="00F04292" w:rsidRPr="003F7F6C" w:rsidRDefault="00F04292" w:rsidP="00E91275">
      <w:pPr>
        <w:numPr>
          <w:ilvl w:val="0"/>
          <w:numId w:val="42"/>
        </w:numPr>
        <w:ind w:left="357" w:hanging="357"/>
        <w:textAlignment w:val="baseline"/>
        <w:rPr>
          <w:rFonts w:cs="Calibri"/>
          <w:szCs w:val="20"/>
        </w:rPr>
      </w:pPr>
      <w:r w:rsidRPr="003F7F6C">
        <w:rPr>
          <w:rFonts w:cs="Calibri"/>
          <w:szCs w:val="20"/>
        </w:rPr>
        <w:t>Support effective stakeholder engagement in other activities where necessary.</w:t>
      </w:r>
    </w:p>
    <w:p w14:paraId="253B5B37" w14:textId="71A5295B" w:rsidR="00F04292" w:rsidRPr="003F7F6C" w:rsidRDefault="00F04292" w:rsidP="00E91275">
      <w:pPr>
        <w:numPr>
          <w:ilvl w:val="0"/>
          <w:numId w:val="42"/>
        </w:numPr>
        <w:ind w:left="357" w:hanging="357"/>
        <w:textAlignment w:val="baseline"/>
        <w:rPr>
          <w:rFonts w:cs="Calibri"/>
          <w:szCs w:val="20"/>
        </w:rPr>
      </w:pPr>
      <w:r w:rsidRPr="003F7F6C">
        <w:rPr>
          <w:rFonts w:cs="Calibri"/>
          <w:szCs w:val="20"/>
        </w:rPr>
        <w:t>Liaise with key stakeholders to ensure the</w:t>
      </w:r>
      <w:r w:rsidR="008E5756" w:rsidRPr="003F7F6C">
        <w:rPr>
          <w:rFonts w:cs="Calibri"/>
          <w:szCs w:val="20"/>
        </w:rPr>
        <w:t>ir</w:t>
      </w:r>
      <w:r w:rsidRPr="003F7F6C">
        <w:rPr>
          <w:rFonts w:cs="Calibri"/>
          <w:szCs w:val="20"/>
        </w:rPr>
        <w:t xml:space="preserve"> needs and concerns are appropriately addressed in project planning and implementation.</w:t>
      </w:r>
    </w:p>
    <w:p w14:paraId="712720D3" w14:textId="64E010E7" w:rsidR="00F04292" w:rsidRPr="003F7F6C" w:rsidRDefault="00F04292" w:rsidP="00E91275">
      <w:pPr>
        <w:pStyle w:val="NormalWeb"/>
        <w:numPr>
          <w:ilvl w:val="0"/>
          <w:numId w:val="42"/>
        </w:numPr>
        <w:spacing w:before="0" w:beforeAutospacing="0" w:after="60" w:afterAutospacing="0"/>
        <w:ind w:left="357" w:hanging="357"/>
        <w:rPr>
          <w:rFonts w:ascii="Calibri" w:hAnsi="Calibri" w:cs="Calibri"/>
          <w:sz w:val="20"/>
          <w:szCs w:val="20"/>
        </w:rPr>
      </w:pPr>
      <w:r w:rsidRPr="003F7F6C">
        <w:rPr>
          <w:rFonts w:ascii="Calibri" w:hAnsi="Calibri" w:cs="Calibri"/>
          <w:spacing w:val="8"/>
          <w:sz w:val="20"/>
          <w:szCs w:val="20"/>
          <w:shd w:val="clear" w:color="auto" w:fill="FFFFFF"/>
        </w:rPr>
        <w:t>Develop and maintain communication and coordination with key stakeholders to ensure successful</w:t>
      </w:r>
      <w:r w:rsidRPr="003F7F6C">
        <w:rPr>
          <w:rFonts w:ascii="Calibri" w:hAnsi="Calibri" w:cs="Calibri"/>
          <w:spacing w:val="8"/>
          <w:sz w:val="20"/>
          <w:szCs w:val="20"/>
        </w:rPr>
        <w:t xml:space="preserve"> </w:t>
      </w:r>
      <w:r w:rsidRPr="003F7F6C">
        <w:rPr>
          <w:rFonts w:ascii="Calibri" w:hAnsi="Calibri" w:cs="Calibri"/>
          <w:spacing w:val="8"/>
          <w:sz w:val="20"/>
          <w:szCs w:val="20"/>
          <w:shd w:val="clear" w:color="auto" w:fill="FFFFFF"/>
        </w:rPr>
        <w:t xml:space="preserve">project implementation and </w:t>
      </w:r>
      <w:r w:rsidRPr="003F7F6C">
        <w:rPr>
          <w:rFonts w:ascii="Calibri" w:hAnsi="Calibri" w:cs="Calibri"/>
          <w:sz w:val="20"/>
          <w:szCs w:val="20"/>
        </w:rPr>
        <w:t xml:space="preserve">ensure full disclosure of information </w:t>
      </w:r>
      <w:r w:rsidR="008E5756" w:rsidRPr="003F7F6C">
        <w:rPr>
          <w:rFonts w:ascii="Calibri" w:hAnsi="Calibri" w:cs="Calibri"/>
          <w:sz w:val="20"/>
          <w:szCs w:val="20"/>
        </w:rPr>
        <w:t xml:space="preserve">to </w:t>
      </w:r>
      <w:r w:rsidRPr="003F7F6C">
        <w:rPr>
          <w:rFonts w:ascii="Calibri" w:hAnsi="Calibri" w:cs="Calibri"/>
          <w:sz w:val="20"/>
          <w:szCs w:val="20"/>
        </w:rPr>
        <w:t>concerned stakeholders.</w:t>
      </w:r>
    </w:p>
    <w:p w14:paraId="47F5546D" w14:textId="374B93B6" w:rsidR="002A3FBF" w:rsidRPr="003F7F6C" w:rsidRDefault="002A3FBF" w:rsidP="00E91275">
      <w:pPr>
        <w:pStyle w:val="ListParagraph"/>
        <w:numPr>
          <w:ilvl w:val="0"/>
          <w:numId w:val="42"/>
        </w:numPr>
        <w:spacing w:after="0"/>
        <w:contextualSpacing w:val="0"/>
        <w:jc w:val="left"/>
        <w:rPr>
          <w:rFonts w:eastAsia="MS Mincho" w:cs="Calibri"/>
          <w:szCs w:val="20"/>
          <w:lang w:eastAsia="ja-JP"/>
        </w:rPr>
      </w:pPr>
      <w:r w:rsidRPr="003F7F6C">
        <w:rPr>
          <w:rFonts w:cs="Calibri"/>
          <w:szCs w:val="20"/>
        </w:rPr>
        <w:t>Support the SGAyDS´s Communication Specialist in preparing communication materials and messages to encourage stakeholder engagement.</w:t>
      </w:r>
    </w:p>
    <w:p w14:paraId="2FE7FAA8" w14:textId="77777777" w:rsidR="00F04292" w:rsidRPr="003F7F6C" w:rsidRDefault="00F04292" w:rsidP="00E91275">
      <w:pPr>
        <w:numPr>
          <w:ilvl w:val="0"/>
          <w:numId w:val="42"/>
        </w:numPr>
        <w:ind w:left="357" w:hanging="357"/>
        <w:textAlignment w:val="baseline"/>
        <w:rPr>
          <w:rFonts w:cs="Calibri"/>
          <w:szCs w:val="20"/>
        </w:rPr>
      </w:pPr>
      <w:r w:rsidRPr="003F7F6C">
        <w:rPr>
          <w:rFonts w:cs="Calibri"/>
          <w:szCs w:val="20"/>
        </w:rPr>
        <w:t>Support the communication specialist of the Implementing Partner in the development of communication and information materials for publication in media (newspapers, radio and television, posters, webpage, blogs)</w:t>
      </w:r>
    </w:p>
    <w:p w14:paraId="7187BD38" w14:textId="77777777" w:rsidR="00F04292" w:rsidRPr="003F7F6C" w:rsidRDefault="00F04292" w:rsidP="00E91275">
      <w:pPr>
        <w:numPr>
          <w:ilvl w:val="0"/>
          <w:numId w:val="42"/>
        </w:numPr>
        <w:ind w:left="357" w:hanging="357"/>
        <w:textAlignment w:val="baseline"/>
        <w:rPr>
          <w:rFonts w:cs="Calibri"/>
          <w:szCs w:val="20"/>
        </w:rPr>
      </w:pPr>
      <w:r w:rsidRPr="003F7F6C">
        <w:rPr>
          <w:rFonts w:cs="Calibri"/>
          <w:szCs w:val="20"/>
        </w:rPr>
        <w:t>Coordinate with the communication specialist of the Implementing Partner to ensure the availability and accessibility of information to enhance awareness and capacity among key stakeholders.</w:t>
      </w:r>
    </w:p>
    <w:p w14:paraId="7F730467" w14:textId="77777777" w:rsidR="00F04292" w:rsidRPr="003F7F6C" w:rsidRDefault="00F04292" w:rsidP="00E91275">
      <w:pPr>
        <w:numPr>
          <w:ilvl w:val="0"/>
          <w:numId w:val="42"/>
        </w:numPr>
        <w:ind w:left="357" w:hanging="357"/>
        <w:textAlignment w:val="baseline"/>
        <w:rPr>
          <w:rFonts w:cs="Calibri"/>
          <w:szCs w:val="20"/>
        </w:rPr>
      </w:pPr>
      <w:r w:rsidRPr="003F7F6C">
        <w:rPr>
          <w:rFonts w:cs="Calibri"/>
          <w:szCs w:val="20"/>
        </w:rPr>
        <w:t>Support the Project Coordinator in synthesizing lessons and encourage uptake of best practices and knowledge on stakeholder engagement.</w:t>
      </w:r>
    </w:p>
    <w:p w14:paraId="7A7CD561" w14:textId="77777777" w:rsidR="00F04292" w:rsidRPr="003F7F6C" w:rsidRDefault="00F04292" w:rsidP="00E91275">
      <w:pPr>
        <w:pStyle w:val="NormalWeb"/>
        <w:numPr>
          <w:ilvl w:val="0"/>
          <w:numId w:val="42"/>
        </w:numPr>
        <w:spacing w:before="0" w:beforeAutospacing="0" w:after="60" w:afterAutospacing="0"/>
        <w:ind w:left="357" w:hanging="357"/>
        <w:rPr>
          <w:rFonts w:ascii="Calibri" w:hAnsi="Calibri" w:cs="Calibri"/>
          <w:sz w:val="20"/>
          <w:szCs w:val="20"/>
        </w:rPr>
      </w:pPr>
      <w:r w:rsidRPr="003F7F6C">
        <w:rPr>
          <w:rFonts w:ascii="Calibri" w:hAnsi="Calibri" w:cs="Calibri"/>
          <w:sz w:val="20"/>
          <w:szCs w:val="20"/>
        </w:rPr>
        <w:t>Provide support to ensure that social risks are identified, avoided, mitigated and managed throughout project implementation.</w:t>
      </w:r>
    </w:p>
    <w:p w14:paraId="2212F515" w14:textId="77777777" w:rsidR="00F04292" w:rsidRPr="003F7F6C" w:rsidRDefault="00F04292" w:rsidP="00E91275">
      <w:pPr>
        <w:pStyle w:val="NormalWeb"/>
        <w:numPr>
          <w:ilvl w:val="0"/>
          <w:numId w:val="42"/>
        </w:numPr>
        <w:spacing w:before="0" w:beforeAutospacing="0" w:after="60" w:afterAutospacing="0"/>
        <w:ind w:left="357" w:hanging="357"/>
        <w:rPr>
          <w:rFonts w:ascii="Calibri" w:hAnsi="Calibri" w:cs="Calibri"/>
          <w:sz w:val="20"/>
          <w:szCs w:val="20"/>
        </w:rPr>
      </w:pPr>
      <w:r w:rsidRPr="003F7F6C">
        <w:rPr>
          <w:rFonts w:ascii="Calibri" w:hAnsi="Calibri" w:cs="Calibri"/>
          <w:sz w:val="20"/>
          <w:szCs w:val="20"/>
        </w:rPr>
        <w:t>Support the Project Coordinator to ensure reporting, monitoring and evaluation fully address the social safeguard issues of the project; providing well-documented, evidence-based compliance reports to be incorporated into the project annual reports.</w:t>
      </w:r>
    </w:p>
    <w:p w14:paraId="4C50F06F" w14:textId="77777777" w:rsidR="00F04292" w:rsidRPr="003F7F6C" w:rsidRDefault="00F04292" w:rsidP="00E91275">
      <w:pPr>
        <w:numPr>
          <w:ilvl w:val="0"/>
          <w:numId w:val="42"/>
        </w:numPr>
        <w:ind w:left="357" w:hanging="357"/>
        <w:textAlignment w:val="baseline"/>
        <w:rPr>
          <w:rFonts w:cs="Calibri"/>
          <w:szCs w:val="20"/>
        </w:rPr>
      </w:pPr>
      <w:r w:rsidRPr="003F7F6C">
        <w:rPr>
          <w:rFonts w:cs="Calibri"/>
          <w:szCs w:val="20"/>
        </w:rPr>
        <w:t>Develop an appropriate grievance mechanism for complaints and concerns arising from project implementation.</w:t>
      </w:r>
    </w:p>
    <w:p w14:paraId="5824A8F1" w14:textId="77777777" w:rsidR="00F04292" w:rsidRPr="003F7F6C" w:rsidRDefault="00F04292" w:rsidP="00E91275">
      <w:pPr>
        <w:pStyle w:val="ListParagraph"/>
        <w:numPr>
          <w:ilvl w:val="0"/>
          <w:numId w:val="42"/>
        </w:numPr>
        <w:ind w:left="357" w:hanging="357"/>
        <w:contextualSpacing w:val="0"/>
        <w:rPr>
          <w:rFonts w:cs="Calibri"/>
          <w:szCs w:val="20"/>
        </w:rPr>
      </w:pPr>
      <w:r w:rsidRPr="003F7F6C">
        <w:rPr>
          <w:rFonts w:cs="Calibri"/>
          <w:szCs w:val="20"/>
        </w:rPr>
        <w:t>Ensure social and environmental grievances are managed effectively and transparently through the grievance redress mechanisms.</w:t>
      </w:r>
    </w:p>
    <w:p w14:paraId="1171FE7E" w14:textId="46FBBAF8" w:rsidR="00F04292" w:rsidRPr="003F7F6C" w:rsidRDefault="00F04292" w:rsidP="00E91275">
      <w:pPr>
        <w:pStyle w:val="ListParagraph"/>
        <w:numPr>
          <w:ilvl w:val="0"/>
          <w:numId w:val="42"/>
        </w:numPr>
        <w:ind w:left="357" w:hanging="357"/>
        <w:contextualSpacing w:val="0"/>
        <w:rPr>
          <w:rFonts w:cs="Calibri"/>
          <w:szCs w:val="20"/>
        </w:rPr>
      </w:pPr>
      <w:r w:rsidRPr="003F7F6C">
        <w:rPr>
          <w:rFonts w:cs="Calibri"/>
          <w:szCs w:val="20"/>
        </w:rPr>
        <w:t>Oversee the development and implementation of field assessments to measure project progress, including among others</w:t>
      </w:r>
      <w:r w:rsidR="008E563A" w:rsidRPr="003F7F6C">
        <w:rPr>
          <w:rFonts w:cs="Calibri"/>
          <w:szCs w:val="20"/>
        </w:rPr>
        <w:t>,</w:t>
      </w:r>
      <w:r w:rsidRPr="003F7F6C">
        <w:rPr>
          <w:rFonts w:cs="Calibri"/>
          <w:szCs w:val="20"/>
        </w:rPr>
        <w:t xml:space="preserve"> a livelihood assessment; field surveys; knowledge, aptitude and practice surveys. </w:t>
      </w:r>
    </w:p>
    <w:p w14:paraId="5D3CF28D" w14:textId="77777777" w:rsidR="00F04292" w:rsidRPr="003F7F6C" w:rsidRDefault="00F04292" w:rsidP="00F04292">
      <w:pPr>
        <w:rPr>
          <w:rFonts w:cs="Calibri"/>
          <w:szCs w:val="20"/>
        </w:rPr>
      </w:pPr>
    </w:p>
    <w:p w14:paraId="0631EFB5" w14:textId="77777777" w:rsidR="00F04292" w:rsidRPr="003F7F6C" w:rsidRDefault="00F04292" w:rsidP="00F04292">
      <w:pPr>
        <w:rPr>
          <w:rFonts w:cs="Calibri"/>
          <w:szCs w:val="20"/>
        </w:rPr>
      </w:pPr>
      <w:r w:rsidRPr="003F7F6C">
        <w:rPr>
          <w:rFonts w:cs="Calibri"/>
          <w:szCs w:val="20"/>
          <w:u w:val="single"/>
          <w:lang w:eastAsia="zh-CN"/>
        </w:rPr>
        <w:t>Required skills and expertise</w:t>
      </w:r>
    </w:p>
    <w:p w14:paraId="44C5961F" w14:textId="77777777" w:rsidR="00F04292" w:rsidRPr="003F7F6C" w:rsidRDefault="00F04292" w:rsidP="00E91275">
      <w:pPr>
        <w:numPr>
          <w:ilvl w:val="0"/>
          <w:numId w:val="53"/>
        </w:numPr>
        <w:ind w:left="357" w:hanging="357"/>
        <w:rPr>
          <w:rFonts w:cs="Calibri"/>
          <w:szCs w:val="20"/>
        </w:rPr>
      </w:pPr>
      <w:r w:rsidRPr="003F7F6C">
        <w:rPr>
          <w:rFonts w:cs="Calibri"/>
          <w:szCs w:val="20"/>
        </w:rPr>
        <w:t>Postgraduate degree in a relevant field such as social science or rural development, preferably with professional specialization in issues of ecologically sustainable production practices, natural resource management, biodiversity and/or ecosystem management, land use planning or stakeholder engagement.</w:t>
      </w:r>
    </w:p>
    <w:p w14:paraId="6B1CF2E8" w14:textId="69AE01A1" w:rsidR="00F04292" w:rsidRPr="003F7F6C" w:rsidRDefault="00F04292" w:rsidP="00E91275">
      <w:pPr>
        <w:numPr>
          <w:ilvl w:val="0"/>
          <w:numId w:val="53"/>
        </w:numPr>
        <w:ind w:left="357" w:hanging="357"/>
        <w:rPr>
          <w:rFonts w:cs="Calibri"/>
          <w:szCs w:val="20"/>
        </w:rPr>
      </w:pPr>
      <w:r w:rsidRPr="003F7F6C">
        <w:rPr>
          <w:rFonts w:cs="Calibri"/>
          <w:szCs w:val="20"/>
        </w:rPr>
        <w:t xml:space="preserve">At least </w:t>
      </w:r>
      <w:r w:rsidR="00A13BC6" w:rsidRPr="003F7F6C">
        <w:rPr>
          <w:rFonts w:cs="Calibri"/>
          <w:szCs w:val="20"/>
        </w:rPr>
        <w:t xml:space="preserve">10 </w:t>
      </w:r>
      <w:r w:rsidRPr="003F7F6C">
        <w:rPr>
          <w:rFonts w:cs="Calibri"/>
          <w:szCs w:val="20"/>
        </w:rPr>
        <w:t>years of overall professional experience, preferably with some experience in the UN system.</w:t>
      </w:r>
    </w:p>
    <w:p w14:paraId="509FB1B4" w14:textId="51DE3B7D" w:rsidR="00F04292" w:rsidRPr="003F7F6C" w:rsidRDefault="00F04292" w:rsidP="00E91275">
      <w:pPr>
        <w:numPr>
          <w:ilvl w:val="0"/>
          <w:numId w:val="53"/>
        </w:numPr>
        <w:ind w:left="357" w:hanging="357"/>
        <w:rPr>
          <w:rFonts w:cs="Calibri"/>
          <w:szCs w:val="20"/>
        </w:rPr>
      </w:pPr>
      <w:r w:rsidRPr="003F7F6C">
        <w:rPr>
          <w:rFonts w:cs="Calibri"/>
          <w:szCs w:val="20"/>
        </w:rPr>
        <w:t xml:space="preserve">At least </w:t>
      </w:r>
      <w:r w:rsidR="00A13BC6" w:rsidRPr="003F7F6C">
        <w:rPr>
          <w:rFonts w:cs="Calibri"/>
          <w:szCs w:val="20"/>
        </w:rPr>
        <w:t xml:space="preserve">7 </w:t>
      </w:r>
      <w:r w:rsidRPr="003F7F6C">
        <w:rPr>
          <w:rFonts w:cs="Calibri"/>
          <w:szCs w:val="20"/>
        </w:rPr>
        <w:t>years of experience and in-depth knowledge and track record in stakeholder engagement and consultations, issues facing indigenous and traditional peoples, socioeconomic research and rural livelihood issues in the context of research, project design or management</w:t>
      </w:r>
    </w:p>
    <w:p w14:paraId="1971374F" w14:textId="77777777" w:rsidR="00F04292" w:rsidRPr="003F7F6C" w:rsidRDefault="00F04292" w:rsidP="00E91275">
      <w:pPr>
        <w:pStyle w:val="ListParagraph"/>
        <w:numPr>
          <w:ilvl w:val="0"/>
          <w:numId w:val="53"/>
        </w:numPr>
        <w:ind w:left="357" w:hanging="357"/>
        <w:contextualSpacing w:val="0"/>
        <w:rPr>
          <w:rFonts w:cs="Calibri"/>
          <w:szCs w:val="20"/>
        </w:rPr>
      </w:pPr>
      <w:r w:rsidRPr="003F7F6C">
        <w:rPr>
          <w:rFonts w:cs="Calibri"/>
          <w:szCs w:val="20"/>
        </w:rPr>
        <w:t>Demonstrated experience in constructing and implementing stakeholder engagement programs with a range of stakeholders</w:t>
      </w:r>
    </w:p>
    <w:p w14:paraId="2763A146" w14:textId="77777777" w:rsidR="00F04292" w:rsidRPr="003F7F6C" w:rsidRDefault="00F04292" w:rsidP="00E91275">
      <w:pPr>
        <w:pStyle w:val="ListParagraph"/>
        <w:numPr>
          <w:ilvl w:val="0"/>
          <w:numId w:val="53"/>
        </w:numPr>
        <w:ind w:left="357" w:hanging="357"/>
        <w:contextualSpacing w:val="0"/>
        <w:rPr>
          <w:rFonts w:cs="Calibri"/>
          <w:szCs w:val="20"/>
        </w:rPr>
      </w:pPr>
      <w:r w:rsidRPr="003F7F6C">
        <w:rPr>
          <w:rFonts w:cs="Calibri"/>
          <w:szCs w:val="20"/>
        </w:rPr>
        <w:t>Demonstrated experience in developing awareness materials for projects or institutions.</w:t>
      </w:r>
    </w:p>
    <w:p w14:paraId="342ED086" w14:textId="53EC8CAD" w:rsidR="00F04292" w:rsidRPr="003F7F6C" w:rsidRDefault="00F04292" w:rsidP="00E91275">
      <w:pPr>
        <w:pStyle w:val="ListParagraph"/>
        <w:numPr>
          <w:ilvl w:val="0"/>
          <w:numId w:val="53"/>
        </w:numPr>
        <w:ind w:left="357" w:hanging="357"/>
        <w:contextualSpacing w:val="0"/>
        <w:rPr>
          <w:rFonts w:cs="Calibri"/>
          <w:szCs w:val="20"/>
        </w:rPr>
      </w:pPr>
      <w:r w:rsidRPr="003F7F6C">
        <w:rPr>
          <w:rFonts w:cs="Calibri"/>
          <w:szCs w:val="20"/>
        </w:rPr>
        <w:t xml:space="preserve">Ability </w:t>
      </w:r>
      <w:r w:rsidR="0075165D" w:rsidRPr="003F7F6C">
        <w:rPr>
          <w:rFonts w:cs="Calibri"/>
          <w:szCs w:val="20"/>
        </w:rPr>
        <w:t xml:space="preserve">to </w:t>
      </w:r>
      <w:r w:rsidRPr="003F7F6C">
        <w:rPr>
          <w:rFonts w:cs="Calibri"/>
          <w:szCs w:val="20"/>
        </w:rPr>
        <w:t xml:space="preserve">network and </w:t>
      </w:r>
      <w:r w:rsidR="0075165D" w:rsidRPr="003F7F6C">
        <w:rPr>
          <w:rFonts w:cs="Calibri"/>
          <w:szCs w:val="20"/>
        </w:rPr>
        <w:t xml:space="preserve">engage in </w:t>
      </w:r>
      <w:r w:rsidRPr="003F7F6C">
        <w:rPr>
          <w:rFonts w:cs="Calibri"/>
          <w:szCs w:val="20"/>
        </w:rPr>
        <w:t>team-building.</w:t>
      </w:r>
    </w:p>
    <w:p w14:paraId="03027335" w14:textId="77777777" w:rsidR="00F04292" w:rsidRPr="003F7F6C" w:rsidRDefault="00F04292" w:rsidP="00E91275">
      <w:pPr>
        <w:pStyle w:val="ListParagraph"/>
        <w:numPr>
          <w:ilvl w:val="0"/>
          <w:numId w:val="53"/>
        </w:numPr>
        <w:ind w:left="357" w:hanging="357"/>
        <w:contextualSpacing w:val="0"/>
        <w:rPr>
          <w:rFonts w:cs="Calibri"/>
          <w:szCs w:val="20"/>
        </w:rPr>
      </w:pPr>
      <w:r w:rsidRPr="003F7F6C">
        <w:rPr>
          <w:rFonts w:cs="Calibri"/>
          <w:szCs w:val="20"/>
        </w:rPr>
        <w:t>Knowledge of environmental issues, policies and programs in Argentina is desirable, including knowledge on issues related to environmental land use planning and production sectors</w:t>
      </w:r>
    </w:p>
    <w:p w14:paraId="100A7985" w14:textId="77777777" w:rsidR="00F04292" w:rsidRPr="003F7F6C" w:rsidRDefault="00F04292" w:rsidP="00E91275">
      <w:pPr>
        <w:pStyle w:val="ListParagraph"/>
        <w:numPr>
          <w:ilvl w:val="0"/>
          <w:numId w:val="53"/>
        </w:numPr>
        <w:ind w:left="357" w:hanging="357"/>
        <w:contextualSpacing w:val="0"/>
        <w:rPr>
          <w:rFonts w:cs="Calibri"/>
          <w:szCs w:val="20"/>
        </w:rPr>
      </w:pPr>
      <w:r w:rsidRPr="003F7F6C">
        <w:rPr>
          <w:rFonts w:cs="Calibri"/>
          <w:szCs w:val="20"/>
        </w:rPr>
        <w:t>Computer skills</w:t>
      </w:r>
    </w:p>
    <w:p w14:paraId="7CE49ECF" w14:textId="207AAB9E" w:rsidR="00F04292" w:rsidRPr="003F7F6C" w:rsidRDefault="00F04292" w:rsidP="00E91275">
      <w:pPr>
        <w:pStyle w:val="ListParagraph"/>
        <w:numPr>
          <w:ilvl w:val="0"/>
          <w:numId w:val="53"/>
        </w:numPr>
        <w:ind w:left="357" w:hanging="357"/>
        <w:contextualSpacing w:val="0"/>
        <w:rPr>
          <w:rFonts w:cs="Calibri"/>
          <w:szCs w:val="20"/>
        </w:rPr>
      </w:pPr>
      <w:r w:rsidRPr="003F7F6C">
        <w:rPr>
          <w:rFonts w:cs="Calibri"/>
          <w:szCs w:val="20"/>
        </w:rPr>
        <w:t xml:space="preserve">Excellent verbal and </w:t>
      </w:r>
      <w:r w:rsidR="0075165D" w:rsidRPr="003F7F6C">
        <w:rPr>
          <w:rFonts w:cs="Calibri"/>
          <w:szCs w:val="20"/>
        </w:rPr>
        <w:t xml:space="preserve">written </w:t>
      </w:r>
      <w:r w:rsidRPr="003F7F6C">
        <w:rPr>
          <w:rFonts w:cs="Calibri"/>
          <w:szCs w:val="20"/>
        </w:rPr>
        <w:t>communication skills in Spanish.</w:t>
      </w:r>
    </w:p>
    <w:p w14:paraId="69AD6495" w14:textId="77777777" w:rsidR="00F04292" w:rsidRPr="003F7F6C" w:rsidRDefault="00F04292" w:rsidP="00F04292">
      <w:pPr>
        <w:rPr>
          <w:rFonts w:cs="Calibri"/>
          <w:szCs w:val="20"/>
        </w:rPr>
      </w:pPr>
    </w:p>
    <w:p w14:paraId="3BF88BDC" w14:textId="77777777" w:rsidR="00F04292" w:rsidRPr="003F7F6C" w:rsidRDefault="00F04292" w:rsidP="00F04292">
      <w:pPr>
        <w:rPr>
          <w:rFonts w:cs="Calibri"/>
          <w:b/>
          <w:szCs w:val="20"/>
          <w:u w:val="single"/>
        </w:rPr>
      </w:pPr>
    </w:p>
    <w:p w14:paraId="491A47B2" w14:textId="77777777" w:rsidR="00F04292" w:rsidRPr="003F7F6C" w:rsidRDefault="00F04292" w:rsidP="00F04292">
      <w:pPr>
        <w:rPr>
          <w:rFonts w:cs="Calibri"/>
          <w:szCs w:val="20"/>
        </w:rPr>
      </w:pPr>
      <w:r w:rsidRPr="003F7F6C">
        <w:rPr>
          <w:rFonts w:cs="Calibri"/>
          <w:b/>
          <w:szCs w:val="20"/>
          <w:u w:val="single"/>
        </w:rPr>
        <w:t>Gender Specialist</w:t>
      </w:r>
    </w:p>
    <w:p w14:paraId="103D4A2A" w14:textId="6DDEA6DF" w:rsidR="00F04292" w:rsidRPr="003F7F6C" w:rsidRDefault="00F04292" w:rsidP="00F04292">
      <w:pPr>
        <w:rPr>
          <w:rFonts w:cs="Calibri"/>
          <w:szCs w:val="20"/>
        </w:rPr>
      </w:pPr>
      <w:r w:rsidRPr="003F7F6C">
        <w:rPr>
          <w:rFonts w:cs="Calibri"/>
          <w:szCs w:val="20"/>
        </w:rPr>
        <w:t>Under the overall supervision of the Project Coordinator, and in coordination with the Implementing Partner and other project partners, the Gender Specialist will be responsible for ensuring that gender is mainstreamed during project execution and for the implementation of the project Gender Action Plan, on related aspects of project implementation, reporting, monitoring, evaluation and communication</w:t>
      </w:r>
      <w:r w:rsidR="0075165D" w:rsidRPr="003F7F6C">
        <w:rPr>
          <w:rFonts w:cs="Calibri"/>
          <w:szCs w:val="20"/>
        </w:rPr>
        <w:t>.</w:t>
      </w:r>
    </w:p>
    <w:p w14:paraId="1A52E036" w14:textId="77777777" w:rsidR="00F04292" w:rsidRPr="003F7F6C" w:rsidRDefault="00F04292" w:rsidP="00F04292">
      <w:pPr>
        <w:rPr>
          <w:rFonts w:cs="Calibri"/>
          <w:szCs w:val="20"/>
        </w:rPr>
      </w:pPr>
    </w:p>
    <w:p w14:paraId="78703EDF" w14:textId="77777777" w:rsidR="00F04292" w:rsidRPr="003F7F6C" w:rsidRDefault="00F04292" w:rsidP="00F04292">
      <w:pPr>
        <w:rPr>
          <w:rFonts w:cs="Calibri"/>
          <w:szCs w:val="20"/>
          <w:u w:val="single"/>
          <w:lang w:eastAsia="zh-CN"/>
        </w:rPr>
      </w:pPr>
      <w:r w:rsidRPr="003F7F6C">
        <w:rPr>
          <w:rFonts w:cs="Calibri"/>
          <w:szCs w:val="20"/>
          <w:u w:val="single"/>
          <w:lang w:eastAsia="zh-CN"/>
        </w:rPr>
        <w:t>Duties and Responsibilities</w:t>
      </w:r>
    </w:p>
    <w:p w14:paraId="0528E741" w14:textId="3124C864" w:rsidR="00F04292" w:rsidRPr="003F7F6C" w:rsidRDefault="00F04292" w:rsidP="00E91275">
      <w:pPr>
        <w:pStyle w:val="ListParagraph"/>
        <w:numPr>
          <w:ilvl w:val="0"/>
          <w:numId w:val="57"/>
        </w:numPr>
        <w:spacing w:after="200" w:line="276" w:lineRule="auto"/>
        <w:rPr>
          <w:rFonts w:cs="Calibri"/>
          <w:szCs w:val="20"/>
          <w:u w:val="single"/>
          <w:lang w:eastAsia="zh-CN"/>
        </w:rPr>
      </w:pPr>
      <w:r w:rsidRPr="003F7F6C">
        <w:rPr>
          <w:rFonts w:cs="Calibri"/>
          <w:szCs w:val="20"/>
        </w:rPr>
        <w:t>Coordinate with the Project Coordinator</w:t>
      </w:r>
      <w:r w:rsidR="00FF1FAA" w:rsidRPr="003F7F6C">
        <w:rPr>
          <w:rFonts w:cs="Calibri"/>
          <w:szCs w:val="20"/>
        </w:rPr>
        <w:t>, project team, consultants</w:t>
      </w:r>
      <w:r w:rsidRPr="003F7F6C">
        <w:rPr>
          <w:rFonts w:cs="Calibri"/>
          <w:szCs w:val="20"/>
        </w:rPr>
        <w:t xml:space="preserve"> and the different technical and administrative units of the Implementing Partner and provincial governments for gender mainstreaming.</w:t>
      </w:r>
    </w:p>
    <w:p w14:paraId="0D3C4E02" w14:textId="64E69FC4" w:rsidR="00F04292" w:rsidRPr="003F7F6C" w:rsidRDefault="00F04292" w:rsidP="00E91275">
      <w:pPr>
        <w:pStyle w:val="ListParagraph"/>
        <w:numPr>
          <w:ilvl w:val="0"/>
          <w:numId w:val="57"/>
        </w:numPr>
        <w:spacing w:after="0"/>
        <w:rPr>
          <w:rFonts w:cs="Calibri"/>
          <w:szCs w:val="20"/>
        </w:rPr>
      </w:pPr>
      <w:r w:rsidRPr="003F7F6C">
        <w:rPr>
          <w:rFonts w:cs="Calibri"/>
          <w:szCs w:val="20"/>
        </w:rPr>
        <w:t>Prepare the annual workplan and budget for the activities that fall under his/her responsibility and contribute to preparation of the project´s annual workplan and budget ensuring the necessary time and resources to implement the project Gender Action Plan.</w:t>
      </w:r>
    </w:p>
    <w:p w14:paraId="5D894857" w14:textId="71EC3229" w:rsidR="00F04292" w:rsidRPr="003F7F6C" w:rsidRDefault="00F04292" w:rsidP="00E91275">
      <w:pPr>
        <w:pStyle w:val="ListParagraph"/>
        <w:numPr>
          <w:ilvl w:val="0"/>
          <w:numId w:val="57"/>
        </w:numPr>
        <w:spacing w:after="0"/>
        <w:rPr>
          <w:rFonts w:cs="Calibri"/>
          <w:szCs w:val="20"/>
        </w:rPr>
      </w:pPr>
      <w:r w:rsidRPr="003F7F6C">
        <w:rPr>
          <w:rFonts w:cs="Calibri"/>
          <w:szCs w:val="20"/>
        </w:rPr>
        <w:t xml:space="preserve">Prepare periodic reports of the activities </w:t>
      </w:r>
      <w:r w:rsidR="0075165D" w:rsidRPr="003F7F6C">
        <w:rPr>
          <w:rFonts w:cs="Calibri"/>
          <w:szCs w:val="20"/>
        </w:rPr>
        <w:t xml:space="preserve">implemented </w:t>
      </w:r>
      <w:r w:rsidRPr="003F7F6C">
        <w:rPr>
          <w:rFonts w:cs="Calibri"/>
          <w:szCs w:val="20"/>
        </w:rPr>
        <w:t xml:space="preserve">and contribute to the preparation of the project progress reports. </w:t>
      </w:r>
    </w:p>
    <w:p w14:paraId="76A9127C" w14:textId="7D8304B5" w:rsidR="00F04292" w:rsidRPr="003F7F6C" w:rsidRDefault="00F04292" w:rsidP="00E91275">
      <w:pPr>
        <w:pStyle w:val="ListParagraph"/>
        <w:numPr>
          <w:ilvl w:val="0"/>
          <w:numId w:val="57"/>
        </w:numPr>
        <w:spacing w:after="200" w:line="276" w:lineRule="auto"/>
        <w:rPr>
          <w:rFonts w:cs="Calibri"/>
          <w:szCs w:val="20"/>
          <w:lang w:eastAsia="zh-CN"/>
        </w:rPr>
      </w:pPr>
      <w:r w:rsidRPr="003F7F6C">
        <w:rPr>
          <w:rFonts w:cs="Calibri"/>
          <w:szCs w:val="20"/>
          <w:lang w:eastAsia="zh-CN"/>
        </w:rPr>
        <w:t xml:space="preserve">Coordinate closely with the Stakeholder Engagement Specialist to ensure </w:t>
      </w:r>
      <w:r w:rsidRPr="003F7F6C">
        <w:rPr>
          <w:rFonts w:cs="Calibri"/>
          <w:szCs w:val="20"/>
        </w:rPr>
        <w:t xml:space="preserve">adequate gender mainstreaming and representation of women </w:t>
      </w:r>
      <w:r w:rsidR="0075165D" w:rsidRPr="003F7F6C">
        <w:rPr>
          <w:rFonts w:cs="Calibri"/>
          <w:szCs w:val="20"/>
        </w:rPr>
        <w:t>i</w:t>
      </w:r>
      <w:r w:rsidRPr="003F7F6C">
        <w:rPr>
          <w:rFonts w:cs="Calibri"/>
          <w:szCs w:val="20"/>
        </w:rPr>
        <w:t>n consultation processes and stakeholder dialogue spaces.</w:t>
      </w:r>
    </w:p>
    <w:p w14:paraId="4F3719EE" w14:textId="6ECD18FF" w:rsidR="00F04292" w:rsidRPr="003F7F6C" w:rsidRDefault="00F04292" w:rsidP="00E91275">
      <w:pPr>
        <w:pStyle w:val="ListParagraph"/>
        <w:numPr>
          <w:ilvl w:val="0"/>
          <w:numId w:val="57"/>
        </w:numPr>
        <w:spacing w:after="200" w:line="276" w:lineRule="auto"/>
        <w:rPr>
          <w:rFonts w:cs="Calibri"/>
          <w:szCs w:val="20"/>
          <w:lang w:eastAsia="zh-CN"/>
        </w:rPr>
      </w:pPr>
      <w:r w:rsidRPr="003F7F6C">
        <w:rPr>
          <w:rFonts w:cs="Calibri"/>
          <w:szCs w:val="20"/>
        </w:rPr>
        <w:t xml:space="preserve">Support the development and application of social safeguards, and particularly in regard to </w:t>
      </w:r>
      <w:r w:rsidR="00752A99" w:rsidRPr="003F7F6C">
        <w:rPr>
          <w:rFonts w:cs="Calibri"/>
          <w:szCs w:val="20"/>
        </w:rPr>
        <w:t xml:space="preserve">the </w:t>
      </w:r>
      <w:r w:rsidRPr="003F7F6C">
        <w:rPr>
          <w:rFonts w:cs="Calibri"/>
          <w:szCs w:val="20"/>
        </w:rPr>
        <w:t>participation of women.</w:t>
      </w:r>
    </w:p>
    <w:p w14:paraId="0FEA951B" w14:textId="5D908382" w:rsidR="00F04292" w:rsidRPr="003F7F6C" w:rsidRDefault="00F04292" w:rsidP="00E91275">
      <w:pPr>
        <w:pStyle w:val="ListParagraph"/>
        <w:numPr>
          <w:ilvl w:val="0"/>
          <w:numId w:val="57"/>
        </w:numPr>
        <w:spacing w:after="200" w:line="276" w:lineRule="auto"/>
        <w:rPr>
          <w:rFonts w:cs="Calibri"/>
          <w:szCs w:val="20"/>
          <w:lang w:eastAsia="zh-CN"/>
        </w:rPr>
      </w:pPr>
      <w:r w:rsidRPr="003F7F6C">
        <w:rPr>
          <w:rFonts w:cs="Calibri"/>
          <w:szCs w:val="20"/>
        </w:rPr>
        <w:t xml:space="preserve">Support the development of an appropriate grievance mechanism for complaints and concerns arising from project implementation, particularly in regard to </w:t>
      </w:r>
      <w:r w:rsidR="008C1096" w:rsidRPr="003F7F6C">
        <w:rPr>
          <w:rFonts w:cs="Calibri"/>
          <w:szCs w:val="20"/>
        </w:rPr>
        <w:t xml:space="preserve">the </w:t>
      </w:r>
      <w:r w:rsidRPr="003F7F6C">
        <w:rPr>
          <w:rFonts w:cs="Calibri"/>
          <w:szCs w:val="20"/>
        </w:rPr>
        <w:t>participation of women.</w:t>
      </w:r>
    </w:p>
    <w:p w14:paraId="3566F7E3" w14:textId="77777777" w:rsidR="00F04292" w:rsidRPr="003F7F6C" w:rsidRDefault="00F04292" w:rsidP="00E91275">
      <w:pPr>
        <w:pStyle w:val="ListParagraph"/>
        <w:numPr>
          <w:ilvl w:val="0"/>
          <w:numId w:val="57"/>
        </w:numPr>
        <w:spacing w:after="200" w:line="276" w:lineRule="auto"/>
        <w:rPr>
          <w:rFonts w:cs="Calibri"/>
          <w:szCs w:val="20"/>
          <w:lang w:eastAsia="zh-CN"/>
        </w:rPr>
      </w:pPr>
      <w:r w:rsidRPr="003F7F6C">
        <w:rPr>
          <w:rFonts w:cs="Calibri"/>
          <w:szCs w:val="20"/>
        </w:rPr>
        <w:t>Support effective and transparent management of social and environmental grievances through the grievance redress mechanisms.</w:t>
      </w:r>
    </w:p>
    <w:p w14:paraId="4A409974" w14:textId="77777777" w:rsidR="00F04292" w:rsidRPr="003F7F6C" w:rsidRDefault="00F04292" w:rsidP="00E91275">
      <w:pPr>
        <w:pStyle w:val="ListParagraph"/>
        <w:numPr>
          <w:ilvl w:val="0"/>
          <w:numId w:val="57"/>
        </w:numPr>
        <w:spacing w:after="200" w:line="276" w:lineRule="auto"/>
        <w:rPr>
          <w:rFonts w:cs="Calibri"/>
          <w:szCs w:val="20"/>
          <w:lang w:eastAsia="zh-CN"/>
        </w:rPr>
      </w:pPr>
      <w:r w:rsidRPr="003F7F6C">
        <w:rPr>
          <w:rFonts w:cs="Calibri"/>
          <w:szCs w:val="20"/>
        </w:rPr>
        <w:t>Collect sex‐disaggregated data in line with the Project Results Framework and the Gender Action Plan.</w:t>
      </w:r>
    </w:p>
    <w:p w14:paraId="2B4BD6C0" w14:textId="0F1D9929" w:rsidR="00F04292" w:rsidRPr="003F7F6C" w:rsidRDefault="00F04292" w:rsidP="00E91275">
      <w:pPr>
        <w:pStyle w:val="ListParagraph"/>
        <w:numPr>
          <w:ilvl w:val="0"/>
          <w:numId w:val="57"/>
        </w:numPr>
        <w:spacing w:after="200" w:line="276" w:lineRule="auto"/>
        <w:rPr>
          <w:rFonts w:cs="Calibri"/>
          <w:szCs w:val="20"/>
          <w:lang w:eastAsia="zh-CN"/>
        </w:rPr>
      </w:pPr>
      <w:r w:rsidRPr="003F7F6C">
        <w:rPr>
          <w:rFonts w:cs="Calibri"/>
          <w:szCs w:val="20"/>
        </w:rPr>
        <w:t xml:space="preserve"> Provide support to the Project Coordinator in preparing gender‐based reports required by UNDP and the GEF,</w:t>
      </w:r>
      <w:r w:rsidR="00FF1FAA" w:rsidRPr="003F7F6C">
        <w:rPr>
          <w:rFonts w:cs="Calibri"/>
          <w:szCs w:val="20"/>
        </w:rPr>
        <w:t xml:space="preserve"> as well as provide inputs into project evaluations on this issue,</w:t>
      </w:r>
      <w:r w:rsidRPr="003F7F6C">
        <w:rPr>
          <w:rFonts w:cs="Calibri"/>
          <w:szCs w:val="20"/>
        </w:rPr>
        <w:t xml:space="preserve"> indicating, among other things, the progress in complying with the indicators included in the Project Results Framework and</w:t>
      </w:r>
      <w:r w:rsidR="00FF1FAA" w:rsidRPr="003F7F6C">
        <w:rPr>
          <w:rFonts w:cs="Calibri"/>
          <w:szCs w:val="20"/>
        </w:rPr>
        <w:t xml:space="preserve"> activities in</w:t>
      </w:r>
      <w:r w:rsidRPr="003F7F6C">
        <w:rPr>
          <w:rFonts w:cs="Calibri"/>
          <w:szCs w:val="20"/>
        </w:rPr>
        <w:t xml:space="preserve"> the Gender Action Plan.</w:t>
      </w:r>
    </w:p>
    <w:p w14:paraId="177A54E6" w14:textId="48723505" w:rsidR="00F04292" w:rsidRPr="003F7F6C" w:rsidRDefault="00F04292" w:rsidP="00E91275">
      <w:pPr>
        <w:pStyle w:val="ListParagraph"/>
        <w:numPr>
          <w:ilvl w:val="0"/>
          <w:numId w:val="57"/>
        </w:numPr>
        <w:spacing w:after="200" w:line="276" w:lineRule="auto"/>
        <w:rPr>
          <w:rFonts w:cs="Calibri"/>
          <w:szCs w:val="20"/>
          <w:lang w:eastAsia="zh-CN"/>
        </w:rPr>
      </w:pPr>
      <w:r w:rsidRPr="003F7F6C">
        <w:rPr>
          <w:rFonts w:cs="Calibri"/>
          <w:szCs w:val="20"/>
        </w:rPr>
        <w:t>Participate and coordinate project training activities for gender mainstreaming.</w:t>
      </w:r>
    </w:p>
    <w:p w14:paraId="4B17CA87" w14:textId="3CB3792D" w:rsidR="00F04292" w:rsidRPr="003F7F6C" w:rsidRDefault="00F04292" w:rsidP="00E91275">
      <w:pPr>
        <w:pStyle w:val="ListParagraph"/>
        <w:numPr>
          <w:ilvl w:val="0"/>
          <w:numId w:val="57"/>
        </w:numPr>
        <w:spacing w:after="200" w:line="276" w:lineRule="auto"/>
        <w:rPr>
          <w:rFonts w:cs="Calibri"/>
          <w:szCs w:val="20"/>
          <w:lang w:eastAsia="zh-CN"/>
        </w:rPr>
      </w:pPr>
      <w:r w:rsidRPr="003F7F6C">
        <w:rPr>
          <w:rFonts w:cs="Calibri"/>
          <w:szCs w:val="20"/>
        </w:rPr>
        <w:t>Coordinate actions with government agencies, NGOs, CSOs, and women’s organization</w:t>
      </w:r>
      <w:r w:rsidR="008C1096" w:rsidRPr="003F7F6C">
        <w:rPr>
          <w:rFonts w:cs="Calibri"/>
          <w:szCs w:val="20"/>
        </w:rPr>
        <w:t>s</w:t>
      </w:r>
      <w:r w:rsidRPr="003F7F6C">
        <w:rPr>
          <w:rFonts w:cs="Calibri"/>
          <w:szCs w:val="20"/>
        </w:rPr>
        <w:t xml:space="preserve"> or groups whose work focuses on gender in the project´s pilot provinces. </w:t>
      </w:r>
    </w:p>
    <w:p w14:paraId="6AC1881D" w14:textId="3A815C5B" w:rsidR="00F04292" w:rsidRPr="003F7F6C" w:rsidRDefault="00F04292" w:rsidP="00F04292">
      <w:pPr>
        <w:rPr>
          <w:rFonts w:cs="Calibri"/>
          <w:szCs w:val="20"/>
          <w:u w:val="single"/>
          <w:lang w:eastAsia="zh-CN"/>
        </w:rPr>
      </w:pPr>
    </w:p>
    <w:p w14:paraId="0FC0D951" w14:textId="77777777" w:rsidR="00494980" w:rsidRPr="003F7F6C" w:rsidRDefault="00494980" w:rsidP="00F04292">
      <w:pPr>
        <w:rPr>
          <w:rFonts w:cs="Calibri"/>
          <w:szCs w:val="20"/>
          <w:u w:val="single"/>
          <w:lang w:eastAsia="zh-CN"/>
        </w:rPr>
      </w:pPr>
    </w:p>
    <w:p w14:paraId="1D8FB008" w14:textId="77777777" w:rsidR="00F04292" w:rsidRPr="003F7F6C" w:rsidRDefault="00F04292" w:rsidP="00F04292">
      <w:pPr>
        <w:rPr>
          <w:rFonts w:cs="Calibri"/>
          <w:szCs w:val="20"/>
        </w:rPr>
      </w:pPr>
      <w:r w:rsidRPr="003F7F6C">
        <w:rPr>
          <w:rFonts w:cs="Calibri"/>
          <w:szCs w:val="20"/>
          <w:u w:val="single"/>
          <w:lang w:eastAsia="zh-CN"/>
        </w:rPr>
        <w:t>Required skills and expertise</w:t>
      </w:r>
    </w:p>
    <w:p w14:paraId="2C60E12C" w14:textId="77777777" w:rsidR="00F04292" w:rsidRPr="003F7F6C" w:rsidRDefault="00F04292" w:rsidP="00E91275">
      <w:pPr>
        <w:pStyle w:val="ListParagraph"/>
        <w:numPr>
          <w:ilvl w:val="0"/>
          <w:numId w:val="56"/>
        </w:numPr>
        <w:spacing w:after="200" w:line="276" w:lineRule="auto"/>
        <w:rPr>
          <w:rFonts w:cs="Calibri"/>
          <w:szCs w:val="20"/>
        </w:rPr>
      </w:pPr>
      <w:r w:rsidRPr="003F7F6C">
        <w:rPr>
          <w:rFonts w:cs="Calibri"/>
          <w:szCs w:val="20"/>
        </w:rPr>
        <w:t>Postgraduate degree in a relevant field such as social science or natural sciences, preferably with professional specialization in gender and project cycle management.</w:t>
      </w:r>
    </w:p>
    <w:p w14:paraId="1BAB2CA7" w14:textId="1FBEC2E9" w:rsidR="00F04292" w:rsidRPr="003F7F6C" w:rsidRDefault="00F04292" w:rsidP="00E91275">
      <w:pPr>
        <w:pStyle w:val="ListParagraph"/>
        <w:numPr>
          <w:ilvl w:val="0"/>
          <w:numId w:val="56"/>
        </w:numPr>
        <w:spacing w:after="200" w:line="276" w:lineRule="auto"/>
        <w:rPr>
          <w:rFonts w:cs="Calibri"/>
          <w:szCs w:val="20"/>
        </w:rPr>
      </w:pPr>
      <w:r w:rsidRPr="003F7F6C">
        <w:rPr>
          <w:rFonts w:cs="Calibri"/>
          <w:szCs w:val="20"/>
        </w:rPr>
        <w:t xml:space="preserve">At least </w:t>
      </w:r>
      <w:r w:rsidR="0043560D" w:rsidRPr="003F7F6C">
        <w:rPr>
          <w:rFonts w:cs="Calibri"/>
          <w:szCs w:val="20"/>
        </w:rPr>
        <w:t xml:space="preserve">7 </w:t>
      </w:r>
      <w:r w:rsidRPr="003F7F6C">
        <w:rPr>
          <w:rFonts w:cs="Calibri"/>
          <w:szCs w:val="20"/>
        </w:rPr>
        <w:t>years of overall professional experience, preferably with some experience in the UN system.</w:t>
      </w:r>
    </w:p>
    <w:p w14:paraId="10DCCA14" w14:textId="51ED58C7" w:rsidR="00F04292" w:rsidRPr="003F7F6C" w:rsidRDefault="00F04292" w:rsidP="00E91275">
      <w:pPr>
        <w:pStyle w:val="ListParagraph"/>
        <w:numPr>
          <w:ilvl w:val="0"/>
          <w:numId w:val="56"/>
        </w:numPr>
        <w:spacing w:after="200" w:line="276" w:lineRule="auto"/>
        <w:rPr>
          <w:rFonts w:cs="Calibri"/>
          <w:szCs w:val="20"/>
        </w:rPr>
      </w:pPr>
      <w:r w:rsidRPr="003F7F6C">
        <w:rPr>
          <w:rFonts w:cs="Calibri"/>
          <w:szCs w:val="20"/>
        </w:rPr>
        <w:t xml:space="preserve">At least </w:t>
      </w:r>
      <w:r w:rsidR="0043560D" w:rsidRPr="003F7F6C">
        <w:rPr>
          <w:rFonts w:cs="Calibri"/>
          <w:szCs w:val="20"/>
        </w:rPr>
        <w:t xml:space="preserve">5 </w:t>
      </w:r>
      <w:r w:rsidRPr="003F7F6C">
        <w:rPr>
          <w:rFonts w:cs="Calibri"/>
          <w:szCs w:val="20"/>
        </w:rPr>
        <w:t>years of experience and in-depth knowledge and track record in the field of gender equality and gender mainstreaming.</w:t>
      </w:r>
    </w:p>
    <w:p w14:paraId="014118B7" w14:textId="37106CAF" w:rsidR="00F04292" w:rsidRPr="003F7F6C" w:rsidRDefault="00F04292" w:rsidP="00E91275">
      <w:pPr>
        <w:pStyle w:val="ListParagraph"/>
        <w:numPr>
          <w:ilvl w:val="0"/>
          <w:numId w:val="56"/>
        </w:numPr>
        <w:spacing w:after="200" w:line="276" w:lineRule="auto"/>
        <w:rPr>
          <w:rFonts w:cs="Calibri"/>
          <w:szCs w:val="20"/>
        </w:rPr>
      </w:pPr>
      <w:r w:rsidRPr="003F7F6C">
        <w:rPr>
          <w:rFonts w:cs="Calibri"/>
          <w:szCs w:val="20"/>
        </w:rPr>
        <w:t>Demonstrated expertise in mainstreaming gender. Experience in gender</w:t>
      </w:r>
      <w:r w:rsidR="001B35EB" w:rsidRPr="003F7F6C">
        <w:rPr>
          <w:rFonts w:cs="Calibri"/>
          <w:szCs w:val="20"/>
        </w:rPr>
        <w:t>-</w:t>
      </w:r>
      <w:r w:rsidRPr="003F7F6C">
        <w:rPr>
          <w:rFonts w:cs="Calibri"/>
          <w:szCs w:val="20"/>
        </w:rPr>
        <w:t>responsive capacity building.</w:t>
      </w:r>
    </w:p>
    <w:p w14:paraId="395DE7D7" w14:textId="77777777" w:rsidR="00F04292" w:rsidRPr="003F7F6C" w:rsidRDefault="00F04292" w:rsidP="00E91275">
      <w:pPr>
        <w:pStyle w:val="ListParagraph"/>
        <w:numPr>
          <w:ilvl w:val="0"/>
          <w:numId w:val="56"/>
        </w:numPr>
        <w:spacing w:after="200" w:line="276" w:lineRule="auto"/>
        <w:rPr>
          <w:rFonts w:cs="Calibri"/>
          <w:szCs w:val="20"/>
        </w:rPr>
      </w:pPr>
      <w:r w:rsidRPr="003F7F6C">
        <w:rPr>
          <w:rFonts w:cs="Calibri"/>
          <w:szCs w:val="20"/>
        </w:rPr>
        <w:t>Demonstrated understanding of the links between sustainable development, social and gender issues.</w:t>
      </w:r>
    </w:p>
    <w:p w14:paraId="62940842" w14:textId="77777777" w:rsidR="00F04292" w:rsidRPr="003F7F6C" w:rsidRDefault="00F04292" w:rsidP="00E91275">
      <w:pPr>
        <w:pStyle w:val="ListParagraph"/>
        <w:numPr>
          <w:ilvl w:val="0"/>
          <w:numId w:val="56"/>
        </w:numPr>
        <w:spacing w:after="200" w:line="276" w:lineRule="auto"/>
        <w:rPr>
          <w:rFonts w:cs="Calibri"/>
          <w:szCs w:val="20"/>
        </w:rPr>
      </w:pPr>
      <w:r w:rsidRPr="003F7F6C">
        <w:rPr>
          <w:rFonts w:cs="Calibri"/>
          <w:szCs w:val="20"/>
        </w:rPr>
        <w:t>Experience working with government institutions and international organizations that support gender and development work in environmental projects and programs.</w:t>
      </w:r>
    </w:p>
    <w:p w14:paraId="640DB985" w14:textId="7247B9AF" w:rsidR="00F04292" w:rsidRPr="003F7F6C" w:rsidRDefault="00F04292" w:rsidP="00E91275">
      <w:pPr>
        <w:pStyle w:val="ListParagraph"/>
        <w:numPr>
          <w:ilvl w:val="0"/>
          <w:numId w:val="56"/>
        </w:numPr>
        <w:spacing w:after="200" w:line="276" w:lineRule="auto"/>
        <w:rPr>
          <w:rFonts w:cs="Calibri"/>
          <w:szCs w:val="20"/>
        </w:rPr>
      </w:pPr>
      <w:r w:rsidRPr="003F7F6C">
        <w:rPr>
          <w:rFonts w:cs="Calibri"/>
          <w:szCs w:val="20"/>
        </w:rPr>
        <w:t xml:space="preserve">Knowledge of gender analysis tools and methodologies for gender mainstreaming </w:t>
      </w:r>
    </w:p>
    <w:p w14:paraId="7D931295" w14:textId="77777777" w:rsidR="00F04292" w:rsidRPr="003F7F6C" w:rsidRDefault="00F04292" w:rsidP="00E91275">
      <w:pPr>
        <w:pStyle w:val="ListParagraph"/>
        <w:numPr>
          <w:ilvl w:val="0"/>
          <w:numId w:val="56"/>
        </w:numPr>
        <w:contextualSpacing w:val="0"/>
        <w:rPr>
          <w:rFonts w:cs="Calibri"/>
          <w:szCs w:val="20"/>
        </w:rPr>
      </w:pPr>
      <w:r w:rsidRPr="003F7F6C">
        <w:rPr>
          <w:rFonts w:cs="Calibri"/>
          <w:szCs w:val="20"/>
        </w:rPr>
        <w:t>Knowledge of environmental issues, policies and programs in Argentina is desirable, including knowledge on issues related to environmental land use planning and production sectors</w:t>
      </w:r>
    </w:p>
    <w:p w14:paraId="0E3CD438" w14:textId="1340FAB7" w:rsidR="00F04292" w:rsidRPr="003F7F6C" w:rsidRDefault="00F04292" w:rsidP="00E91275">
      <w:pPr>
        <w:pStyle w:val="ListParagraph"/>
        <w:numPr>
          <w:ilvl w:val="0"/>
          <w:numId w:val="56"/>
        </w:numPr>
        <w:spacing w:after="200" w:line="276" w:lineRule="auto"/>
        <w:rPr>
          <w:rFonts w:cs="Calibri"/>
          <w:szCs w:val="20"/>
        </w:rPr>
      </w:pPr>
      <w:r w:rsidRPr="003F7F6C">
        <w:rPr>
          <w:rFonts w:cs="Calibri"/>
          <w:szCs w:val="20"/>
        </w:rPr>
        <w:t>Strong interpersonal and communication skills</w:t>
      </w:r>
      <w:r w:rsidR="001B35EB" w:rsidRPr="003F7F6C">
        <w:rPr>
          <w:rFonts w:cs="Calibri"/>
          <w:szCs w:val="20"/>
        </w:rPr>
        <w:t>,</w:t>
      </w:r>
      <w:r w:rsidRPr="003F7F6C">
        <w:rPr>
          <w:rFonts w:cs="Calibri"/>
          <w:szCs w:val="20"/>
        </w:rPr>
        <w:t xml:space="preserve"> commitment to team work and to working across disciplines </w:t>
      </w:r>
    </w:p>
    <w:p w14:paraId="4EA62602" w14:textId="77777777" w:rsidR="00F04292" w:rsidRPr="003F7F6C" w:rsidRDefault="00F04292" w:rsidP="00E91275">
      <w:pPr>
        <w:pStyle w:val="ListParagraph"/>
        <w:numPr>
          <w:ilvl w:val="0"/>
          <w:numId w:val="56"/>
        </w:numPr>
        <w:contextualSpacing w:val="0"/>
        <w:rPr>
          <w:rFonts w:cs="Calibri"/>
          <w:szCs w:val="20"/>
        </w:rPr>
      </w:pPr>
      <w:r w:rsidRPr="003F7F6C">
        <w:rPr>
          <w:rFonts w:cs="Calibri"/>
          <w:szCs w:val="20"/>
        </w:rPr>
        <w:t>Computer skills</w:t>
      </w:r>
    </w:p>
    <w:p w14:paraId="570D075F" w14:textId="692BC984" w:rsidR="00F04292" w:rsidRPr="003F7F6C" w:rsidRDefault="00F04292" w:rsidP="00E91275">
      <w:pPr>
        <w:pStyle w:val="ListParagraph"/>
        <w:numPr>
          <w:ilvl w:val="0"/>
          <w:numId w:val="56"/>
        </w:numPr>
        <w:contextualSpacing w:val="0"/>
        <w:rPr>
          <w:rFonts w:cs="Calibri"/>
          <w:szCs w:val="20"/>
        </w:rPr>
      </w:pPr>
      <w:r w:rsidRPr="003F7F6C">
        <w:rPr>
          <w:rFonts w:cs="Calibri"/>
          <w:szCs w:val="20"/>
        </w:rPr>
        <w:t xml:space="preserve">Excellent verbal and </w:t>
      </w:r>
      <w:r w:rsidR="001B35EB" w:rsidRPr="003F7F6C">
        <w:rPr>
          <w:rFonts w:cs="Calibri"/>
          <w:szCs w:val="20"/>
        </w:rPr>
        <w:t xml:space="preserve">written </w:t>
      </w:r>
      <w:r w:rsidRPr="003F7F6C">
        <w:rPr>
          <w:rFonts w:cs="Calibri"/>
          <w:szCs w:val="20"/>
        </w:rPr>
        <w:t>communication skills in Spanish.</w:t>
      </w:r>
    </w:p>
    <w:p w14:paraId="29E0AFE3" w14:textId="77777777" w:rsidR="00F04292" w:rsidRPr="003F7F6C" w:rsidRDefault="00F04292" w:rsidP="00F04292">
      <w:pPr>
        <w:rPr>
          <w:rFonts w:cs="Calibri"/>
          <w:szCs w:val="20"/>
        </w:rPr>
      </w:pPr>
    </w:p>
    <w:p w14:paraId="1E93AA26" w14:textId="77777777" w:rsidR="00F04292" w:rsidRPr="003F7F6C" w:rsidRDefault="00F04292" w:rsidP="00F04292">
      <w:pPr>
        <w:rPr>
          <w:rFonts w:cs="Calibri"/>
          <w:szCs w:val="20"/>
        </w:rPr>
      </w:pPr>
    </w:p>
    <w:p w14:paraId="21F32A48" w14:textId="77777777" w:rsidR="00F04292" w:rsidRPr="003F7F6C" w:rsidRDefault="00F04292" w:rsidP="00F04292">
      <w:pPr>
        <w:rPr>
          <w:rFonts w:cs="Calibri"/>
          <w:b/>
          <w:szCs w:val="20"/>
          <w:u w:val="single"/>
        </w:rPr>
      </w:pPr>
      <w:r w:rsidRPr="003F7F6C">
        <w:rPr>
          <w:rFonts w:cs="Calibri"/>
          <w:b/>
          <w:szCs w:val="20"/>
          <w:u w:val="single"/>
        </w:rPr>
        <w:t>Provincial Technicians (3)</w:t>
      </w:r>
    </w:p>
    <w:p w14:paraId="08A9C1A9" w14:textId="328F19AD" w:rsidR="00F04292" w:rsidRPr="003F7F6C" w:rsidRDefault="00F04292" w:rsidP="00F04292">
      <w:pPr>
        <w:rPr>
          <w:rFonts w:cs="Calibri"/>
          <w:szCs w:val="20"/>
        </w:rPr>
      </w:pPr>
      <w:r w:rsidRPr="003F7F6C">
        <w:rPr>
          <w:rFonts w:cs="Calibri"/>
          <w:szCs w:val="20"/>
        </w:rPr>
        <w:t xml:space="preserve">Under the overall supervision of the Project Coordinator, and in coordination with the Implementing Partner, </w:t>
      </w:r>
      <w:r w:rsidR="009A054F" w:rsidRPr="003F7F6C">
        <w:rPr>
          <w:rFonts w:cs="Calibri"/>
          <w:szCs w:val="20"/>
        </w:rPr>
        <w:t xml:space="preserve">the </w:t>
      </w:r>
      <w:r w:rsidRPr="003F7F6C">
        <w:rPr>
          <w:rFonts w:cs="Calibri"/>
          <w:szCs w:val="20"/>
        </w:rPr>
        <w:t>Provincial Governments of Buenos Aires, Jujuy and Mendoza, and project specialists, the Provincial Technicians will be responsible for providing technical support, coordination, oversight and monitoring and evaluation for the adequate implementation of project activities in each province.</w:t>
      </w:r>
    </w:p>
    <w:p w14:paraId="73771807" w14:textId="77777777" w:rsidR="00F04292" w:rsidRPr="003F7F6C" w:rsidRDefault="00F04292" w:rsidP="00F04292">
      <w:pPr>
        <w:rPr>
          <w:rFonts w:cs="Calibri"/>
          <w:szCs w:val="20"/>
        </w:rPr>
      </w:pPr>
    </w:p>
    <w:p w14:paraId="3AE1C81E" w14:textId="77777777" w:rsidR="00F04292" w:rsidRPr="003F7F6C" w:rsidRDefault="00F04292" w:rsidP="00F04292">
      <w:pPr>
        <w:rPr>
          <w:rFonts w:cs="Calibri"/>
          <w:szCs w:val="20"/>
          <w:u w:val="single"/>
          <w:lang w:eastAsia="zh-CN"/>
        </w:rPr>
      </w:pPr>
      <w:r w:rsidRPr="003F7F6C">
        <w:rPr>
          <w:rFonts w:cs="Calibri"/>
          <w:szCs w:val="20"/>
          <w:u w:val="single"/>
          <w:lang w:eastAsia="zh-CN"/>
        </w:rPr>
        <w:t>Duties and Responsibilities</w:t>
      </w:r>
    </w:p>
    <w:p w14:paraId="02C6FF3E" w14:textId="407B47A9" w:rsidR="00F04292" w:rsidRPr="003F7F6C" w:rsidRDefault="00F04292" w:rsidP="00E91275">
      <w:pPr>
        <w:pStyle w:val="ListParagraph"/>
        <w:numPr>
          <w:ilvl w:val="0"/>
          <w:numId w:val="42"/>
        </w:numPr>
        <w:spacing w:after="0"/>
        <w:rPr>
          <w:rFonts w:cs="Calibri"/>
          <w:szCs w:val="20"/>
        </w:rPr>
      </w:pPr>
      <w:r w:rsidRPr="003F7F6C">
        <w:rPr>
          <w:rFonts w:cs="Calibri"/>
          <w:szCs w:val="20"/>
        </w:rPr>
        <w:t xml:space="preserve">Prepare the annual work plan and budget for the activities that fall under his/her responsibility and contribute to </w:t>
      </w:r>
      <w:r w:rsidR="009A054F" w:rsidRPr="003F7F6C">
        <w:rPr>
          <w:rFonts w:cs="Calibri"/>
          <w:szCs w:val="20"/>
        </w:rPr>
        <w:t xml:space="preserve">the </w:t>
      </w:r>
      <w:r w:rsidRPr="003F7F6C">
        <w:rPr>
          <w:rFonts w:cs="Calibri"/>
          <w:szCs w:val="20"/>
        </w:rPr>
        <w:t>preparation of the project´s annual workplan and budget.</w:t>
      </w:r>
    </w:p>
    <w:p w14:paraId="273AA6EC" w14:textId="665CD9DC" w:rsidR="00F04292" w:rsidRPr="003F7F6C" w:rsidRDefault="00F04292" w:rsidP="00E91275">
      <w:pPr>
        <w:pStyle w:val="ListParagraph"/>
        <w:numPr>
          <w:ilvl w:val="0"/>
          <w:numId w:val="42"/>
        </w:numPr>
        <w:spacing w:after="0"/>
        <w:rPr>
          <w:rFonts w:cs="Calibri"/>
          <w:szCs w:val="20"/>
        </w:rPr>
      </w:pPr>
      <w:r w:rsidRPr="003F7F6C">
        <w:rPr>
          <w:rFonts w:cs="Calibri"/>
          <w:szCs w:val="20"/>
        </w:rPr>
        <w:t xml:space="preserve">Prepare periodic reports of the activities </w:t>
      </w:r>
      <w:r w:rsidR="000A78B9" w:rsidRPr="003F7F6C">
        <w:rPr>
          <w:rFonts w:cs="Calibri"/>
          <w:szCs w:val="20"/>
        </w:rPr>
        <w:t xml:space="preserve">implemented </w:t>
      </w:r>
      <w:r w:rsidRPr="003F7F6C">
        <w:rPr>
          <w:rFonts w:cs="Calibri"/>
          <w:szCs w:val="20"/>
        </w:rPr>
        <w:t>and contribute to the preparation of the project progress reports.</w:t>
      </w:r>
    </w:p>
    <w:p w14:paraId="10226476" w14:textId="2FEC3CC7" w:rsidR="00F04292" w:rsidRPr="003F7F6C" w:rsidRDefault="00F04292" w:rsidP="00E91275">
      <w:pPr>
        <w:pStyle w:val="ListParagraph"/>
        <w:numPr>
          <w:ilvl w:val="0"/>
          <w:numId w:val="42"/>
        </w:numPr>
        <w:contextualSpacing w:val="0"/>
        <w:rPr>
          <w:rFonts w:cs="Calibri"/>
          <w:szCs w:val="20"/>
        </w:rPr>
      </w:pPr>
      <w:r w:rsidRPr="003F7F6C">
        <w:rPr>
          <w:rFonts w:cs="Calibri"/>
          <w:szCs w:val="20"/>
        </w:rPr>
        <w:t>Support project M&amp;E</w:t>
      </w:r>
      <w:r w:rsidR="000A78B9" w:rsidRPr="003F7F6C">
        <w:rPr>
          <w:rFonts w:cs="Calibri"/>
          <w:szCs w:val="20"/>
        </w:rPr>
        <w:t>,</w:t>
      </w:r>
      <w:r w:rsidRPr="003F7F6C">
        <w:rPr>
          <w:rFonts w:cs="Calibri"/>
          <w:szCs w:val="20"/>
        </w:rPr>
        <w:t xml:space="preserve"> coordinating, supervising and monitoring data collection processes </w:t>
      </w:r>
      <w:r w:rsidR="000A78B9" w:rsidRPr="003F7F6C">
        <w:rPr>
          <w:rFonts w:cs="Calibri"/>
          <w:szCs w:val="20"/>
        </w:rPr>
        <w:t>being carried out</w:t>
      </w:r>
      <w:r w:rsidRPr="003F7F6C">
        <w:rPr>
          <w:rFonts w:cs="Calibri"/>
          <w:szCs w:val="20"/>
        </w:rPr>
        <w:t xml:space="preserve"> by project consultants and the technical teams of the participating institutions working on the ground/collecting data for the different activities carried out in the provinces.</w:t>
      </w:r>
    </w:p>
    <w:p w14:paraId="1274BA3E" w14:textId="78BCBE39" w:rsidR="00F04292" w:rsidRPr="003F7F6C" w:rsidRDefault="00F04292" w:rsidP="00E91275">
      <w:pPr>
        <w:pStyle w:val="ListParagraph"/>
        <w:numPr>
          <w:ilvl w:val="0"/>
          <w:numId w:val="42"/>
        </w:numPr>
        <w:contextualSpacing w:val="0"/>
        <w:rPr>
          <w:rFonts w:cs="Calibri"/>
          <w:szCs w:val="20"/>
        </w:rPr>
      </w:pPr>
      <w:r w:rsidRPr="003F7F6C">
        <w:rPr>
          <w:rFonts w:cs="Calibri"/>
          <w:szCs w:val="20"/>
        </w:rPr>
        <w:t xml:space="preserve">Support the Project Coordinator in supervising and coordinating the production of project outputs, as per the </w:t>
      </w:r>
      <w:r w:rsidR="000A78B9" w:rsidRPr="003F7F6C">
        <w:rPr>
          <w:rFonts w:cs="Calibri"/>
          <w:szCs w:val="20"/>
        </w:rPr>
        <w:t>P</w:t>
      </w:r>
      <w:r w:rsidRPr="003F7F6C">
        <w:rPr>
          <w:rFonts w:cs="Calibri"/>
          <w:szCs w:val="20"/>
        </w:rPr>
        <w:t xml:space="preserve">roject </w:t>
      </w:r>
      <w:r w:rsidR="000A78B9" w:rsidRPr="003F7F6C">
        <w:rPr>
          <w:rFonts w:cs="Calibri"/>
          <w:szCs w:val="20"/>
        </w:rPr>
        <w:t>D</w:t>
      </w:r>
      <w:r w:rsidRPr="003F7F6C">
        <w:rPr>
          <w:rFonts w:cs="Calibri"/>
          <w:szCs w:val="20"/>
        </w:rPr>
        <w:t>ocument in a timely and high</w:t>
      </w:r>
      <w:r w:rsidR="000A78B9" w:rsidRPr="003F7F6C">
        <w:rPr>
          <w:rFonts w:cs="Calibri"/>
          <w:szCs w:val="20"/>
        </w:rPr>
        <w:t>-</w:t>
      </w:r>
      <w:r w:rsidRPr="003F7F6C">
        <w:rPr>
          <w:rFonts w:cs="Calibri"/>
          <w:szCs w:val="20"/>
        </w:rPr>
        <w:t>quality fashion.</w:t>
      </w:r>
    </w:p>
    <w:p w14:paraId="231998EB" w14:textId="77777777" w:rsidR="00F04292" w:rsidRPr="003F7F6C" w:rsidRDefault="00F04292" w:rsidP="00E91275">
      <w:pPr>
        <w:pStyle w:val="ListParagraph"/>
        <w:numPr>
          <w:ilvl w:val="0"/>
          <w:numId w:val="42"/>
        </w:numPr>
        <w:contextualSpacing w:val="0"/>
        <w:rPr>
          <w:rFonts w:cs="Calibri"/>
          <w:szCs w:val="20"/>
        </w:rPr>
      </w:pPr>
      <w:r w:rsidRPr="003F7F6C">
        <w:rPr>
          <w:rFonts w:cs="Calibri"/>
          <w:szCs w:val="20"/>
          <w:lang w:eastAsia="zh-CN"/>
        </w:rPr>
        <w:t>Provide support in coordinating all project inputs and ensure that they adhere to UNDP procedures for nationally executed projects.</w:t>
      </w:r>
    </w:p>
    <w:p w14:paraId="280C3249" w14:textId="051AD89B" w:rsidR="00F04292" w:rsidRPr="003F7F6C" w:rsidRDefault="00F04292" w:rsidP="00E91275">
      <w:pPr>
        <w:pStyle w:val="ListParagraph"/>
        <w:numPr>
          <w:ilvl w:val="0"/>
          <w:numId w:val="42"/>
        </w:numPr>
        <w:spacing w:after="0"/>
        <w:rPr>
          <w:rFonts w:cs="Calibri"/>
          <w:szCs w:val="20"/>
        </w:rPr>
      </w:pPr>
      <w:r w:rsidRPr="003F7F6C">
        <w:rPr>
          <w:rFonts w:cs="Calibri"/>
          <w:szCs w:val="20"/>
        </w:rPr>
        <w:t>Support the implementation of stakeholder engagement mechanisms as foreseen in the Stakeholder Engagement Plan</w:t>
      </w:r>
      <w:r w:rsidR="000A78B9" w:rsidRPr="003F7F6C">
        <w:rPr>
          <w:rFonts w:cs="Calibri"/>
          <w:szCs w:val="20"/>
        </w:rPr>
        <w:t>, in coordination with the stakeholder engagement specialist</w:t>
      </w:r>
      <w:r w:rsidRPr="003F7F6C">
        <w:rPr>
          <w:rFonts w:cs="Calibri"/>
          <w:szCs w:val="20"/>
        </w:rPr>
        <w:t>.</w:t>
      </w:r>
    </w:p>
    <w:p w14:paraId="76F1D5DC" w14:textId="4C0D1E98" w:rsidR="00F04292" w:rsidRPr="003F7F6C" w:rsidRDefault="00F04292" w:rsidP="00E91275">
      <w:pPr>
        <w:pStyle w:val="ListParagraph"/>
        <w:numPr>
          <w:ilvl w:val="0"/>
          <w:numId w:val="42"/>
        </w:numPr>
        <w:spacing w:after="0"/>
        <w:rPr>
          <w:rFonts w:cs="Calibri"/>
          <w:szCs w:val="20"/>
        </w:rPr>
      </w:pPr>
      <w:r w:rsidRPr="003F7F6C">
        <w:rPr>
          <w:rFonts w:cs="Calibri"/>
          <w:szCs w:val="20"/>
        </w:rPr>
        <w:t>Support the implementation of gender mainstreaming in project activities as foreseen in the Gender Action Plan</w:t>
      </w:r>
      <w:r w:rsidR="000A78B9" w:rsidRPr="003F7F6C">
        <w:rPr>
          <w:rFonts w:cs="Calibri"/>
          <w:szCs w:val="20"/>
        </w:rPr>
        <w:t>, in coordination with the gender specialist</w:t>
      </w:r>
      <w:r w:rsidRPr="003F7F6C">
        <w:rPr>
          <w:rFonts w:cs="Calibri"/>
          <w:szCs w:val="20"/>
        </w:rPr>
        <w:t>.</w:t>
      </w:r>
    </w:p>
    <w:p w14:paraId="36A653BB" w14:textId="77777777" w:rsidR="00F04292" w:rsidRPr="003F7F6C" w:rsidRDefault="00F04292" w:rsidP="00E91275">
      <w:pPr>
        <w:pStyle w:val="ListParagraph"/>
        <w:numPr>
          <w:ilvl w:val="0"/>
          <w:numId w:val="42"/>
        </w:numPr>
        <w:spacing w:after="0"/>
        <w:rPr>
          <w:rFonts w:cs="Calibri"/>
          <w:szCs w:val="20"/>
        </w:rPr>
      </w:pPr>
      <w:r w:rsidRPr="003F7F6C">
        <w:rPr>
          <w:rFonts w:cs="Calibri"/>
          <w:szCs w:val="20"/>
        </w:rPr>
        <w:t>Support the dissemination of information on the project.</w:t>
      </w:r>
    </w:p>
    <w:p w14:paraId="25E6FBAF" w14:textId="77777777" w:rsidR="00F04292" w:rsidRPr="003F7F6C" w:rsidRDefault="00F04292" w:rsidP="00E91275">
      <w:pPr>
        <w:numPr>
          <w:ilvl w:val="0"/>
          <w:numId w:val="11"/>
        </w:numPr>
        <w:ind w:left="357" w:hanging="357"/>
        <w:rPr>
          <w:rFonts w:cs="Calibri"/>
          <w:szCs w:val="20"/>
          <w:lang w:eastAsia="zh-CN"/>
        </w:rPr>
      </w:pPr>
      <w:r w:rsidRPr="003F7F6C">
        <w:rPr>
          <w:rFonts w:cs="Calibri"/>
          <w:szCs w:val="20"/>
        </w:rPr>
        <w:t>Undertake frequent meetings and visits to the project stakeholders, including government agencies, CSOs and communities, as part of the overall supervision of project implementation and prepare visit reports.</w:t>
      </w:r>
    </w:p>
    <w:p w14:paraId="29523EBE" w14:textId="5066E5B5" w:rsidR="00F04292" w:rsidRPr="003F7F6C" w:rsidRDefault="00F04292" w:rsidP="00E91275">
      <w:pPr>
        <w:numPr>
          <w:ilvl w:val="0"/>
          <w:numId w:val="48"/>
        </w:numPr>
        <w:ind w:left="357" w:hanging="357"/>
        <w:rPr>
          <w:rFonts w:cs="Calibri"/>
          <w:szCs w:val="20"/>
        </w:rPr>
      </w:pPr>
      <w:r w:rsidRPr="003F7F6C">
        <w:rPr>
          <w:rFonts w:cs="Calibri"/>
          <w:szCs w:val="20"/>
        </w:rPr>
        <w:t xml:space="preserve">Liaise and follow up with the responsible parties for implementation of project activities </w:t>
      </w:r>
      <w:r w:rsidR="000A78B9" w:rsidRPr="003F7F6C">
        <w:rPr>
          <w:rFonts w:cs="Calibri"/>
          <w:szCs w:val="20"/>
        </w:rPr>
        <w:t>o</w:t>
      </w:r>
      <w:r w:rsidRPr="003F7F6C">
        <w:rPr>
          <w:rFonts w:cs="Calibri"/>
          <w:szCs w:val="20"/>
        </w:rPr>
        <w:t xml:space="preserve">n matters related to planning and implementation of activities. </w:t>
      </w:r>
    </w:p>
    <w:p w14:paraId="533DD484" w14:textId="77777777" w:rsidR="00F04292" w:rsidRPr="003F7F6C" w:rsidRDefault="00F04292" w:rsidP="00F04292">
      <w:pPr>
        <w:rPr>
          <w:rFonts w:cs="Calibri"/>
          <w:szCs w:val="20"/>
        </w:rPr>
      </w:pPr>
    </w:p>
    <w:p w14:paraId="060EAF76" w14:textId="77777777" w:rsidR="00F04292" w:rsidRPr="003F7F6C" w:rsidRDefault="00F04292" w:rsidP="00F04292">
      <w:pPr>
        <w:rPr>
          <w:rFonts w:cs="Calibri"/>
          <w:szCs w:val="20"/>
        </w:rPr>
      </w:pPr>
      <w:r w:rsidRPr="003F7F6C">
        <w:rPr>
          <w:rFonts w:cs="Calibri"/>
          <w:szCs w:val="20"/>
          <w:u w:val="single"/>
          <w:lang w:eastAsia="zh-CN"/>
        </w:rPr>
        <w:t>Required skills and expertise</w:t>
      </w:r>
    </w:p>
    <w:p w14:paraId="7C6DFDBB" w14:textId="77777777" w:rsidR="00F04292" w:rsidRPr="003F7F6C" w:rsidRDefault="00F04292" w:rsidP="00E91275">
      <w:pPr>
        <w:pStyle w:val="ListParagraph"/>
        <w:numPr>
          <w:ilvl w:val="0"/>
          <w:numId w:val="51"/>
        </w:numPr>
        <w:spacing w:after="0"/>
        <w:contextualSpacing w:val="0"/>
        <w:rPr>
          <w:rFonts w:cs="Calibri"/>
          <w:szCs w:val="20"/>
        </w:rPr>
      </w:pPr>
      <w:r w:rsidRPr="003F7F6C">
        <w:rPr>
          <w:rFonts w:cs="Calibri"/>
          <w:szCs w:val="20"/>
        </w:rPr>
        <w:t>Graduate degree in a relevant field such as social science or rural development, preferably with professional specialization in issues such as ecologically sustainable production practices, natural resource management, biodiversity and/or ecosystem management, and/or land use planning.</w:t>
      </w:r>
    </w:p>
    <w:p w14:paraId="22ABF429" w14:textId="77777777" w:rsidR="00F04292" w:rsidRPr="003F7F6C" w:rsidRDefault="00F04292" w:rsidP="00E91275">
      <w:pPr>
        <w:numPr>
          <w:ilvl w:val="0"/>
          <w:numId w:val="51"/>
        </w:numPr>
        <w:rPr>
          <w:rFonts w:cs="Calibri"/>
          <w:szCs w:val="20"/>
        </w:rPr>
      </w:pPr>
      <w:r w:rsidRPr="003F7F6C">
        <w:rPr>
          <w:rFonts w:cs="Calibri"/>
          <w:szCs w:val="20"/>
        </w:rPr>
        <w:t>At least 5 years of overall professional experience in her/his field.</w:t>
      </w:r>
    </w:p>
    <w:p w14:paraId="39C27ADF" w14:textId="77777777" w:rsidR="00F04292" w:rsidRPr="003F7F6C" w:rsidRDefault="00F04292" w:rsidP="00E91275">
      <w:pPr>
        <w:numPr>
          <w:ilvl w:val="0"/>
          <w:numId w:val="51"/>
        </w:numPr>
        <w:rPr>
          <w:rFonts w:cs="Calibri"/>
          <w:szCs w:val="20"/>
        </w:rPr>
      </w:pPr>
      <w:r w:rsidRPr="003F7F6C">
        <w:rPr>
          <w:rFonts w:cs="Calibri"/>
          <w:szCs w:val="20"/>
        </w:rPr>
        <w:t>Knowledge of environmental issues, policies and programs in Argentina is desirable, including knowledge on issues related to environmental land use planning and production sectors.</w:t>
      </w:r>
    </w:p>
    <w:p w14:paraId="74F09CC4" w14:textId="77777777" w:rsidR="00F04292" w:rsidRPr="003F7F6C" w:rsidRDefault="00F04292" w:rsidP="00E91275">
      <w:pPr>
        <w:numPr>
          <w:ilvl w:val="0"/>
          <w:numId w:val="53"/>
        </w:numPr>
        <w:rPr>
          <w:rFonts w:cs="Calibri"/>
          <w:szCs w:val="20"/>
          <w:lang w:eastAsia="zh-CN"/>
        </w:rPr>
      </w:pPr>
      <w:r w:rsidRPr="003F7F6C">
        <w:rPr>
          <w:rFonts w:cs="Calibri"/>
          <w:szCs w:val="20"/>
          <w:lang w:eastAsia="zh-CN"/>
        </w:rPr>
        <w:t>Ability to coordinate and supervise implementation of technical activities in partnership with a variety of national and provincial stakeholder groups, including government, community, private sector, CSOs.</w:t>
      </w:r>
    </w:p>
    <w:p w14:paraId="4DBB10A6" w14:textId="6D8FC70B" w:rsidR="00F04292" w:rsidRPr="003F7F6C" w:rsidRDefault="00F04292" w:rsidP="00E91275">
      <w:pPr>
        <w:numPr>
          <w:ilvl w:val="0"/>
          <w:numId w:val="53"/>
        </w:numPr>
        <w:rPr>
          <w:rFonts w:cs="Calibri"/>
          <w:szCs w:val="20"/>
          <w:lang w:eastAsia="zh-CN"/>
        </w:rPr>
      </w:pPr>
      <w:r w:rsidRPr="003F7F6C">
        <w:rPr>
          <w:rFonts w:cs="Calibri"/>
          <w:szCs w:val="20"/>
          <w:lang w:eastAsia="zh-CN"/>
        </w:rPr>
        <w:t xml:space="preserve">Working experience in the provinces of Buenos Aires, Jujuy </w:t>
      </w:r>
      <w:r w:rsidR="00FF1FAA" w:rsidRPr="003F7F6C">
        <w:rPr>
          <w:rFonts w:cs="Calibri"/>
          <w:szCs w:val="20"/>
          <w:lang w:eastAsia="zh-CN"/>
        </w:rPr>
        <w:t xml:space="preserve">or </w:t>
      </w:r>
      <w:r w:rsidRPr="003F7F6C">
        <w:rPr>
          <w:rFonts w:cs="Calibri"/>
          <w:szCs w:val="20"/>
          <w:lang w:eastAsia="zh-CN"/>
        </w:rPr>
        <w:t>Mendoza.</w:t>
      </w:r>
    </w:p>
    <w:p w14:paraId="1C7A9D7A" w14:textId="77777777" w:rsidR="00F04292" w:rsidRPr="003F7F6C" w:rsidRDefault="00F04292" w:rsidP="00E91275">
      <w:pPr>
        <w:numPr>
          <w:ilvl w:val="0"/>
          <w:numId w:val="53"/>
        </w:numPr>
        <w:ind w:left="357" w:hanging="357"/>
        <w:rPr>
          <w:rFonts w:cs="Calibri"/>
          <w:szCs w:val="20"/>
        </w:rPr>
      </w:pPr>
      <w:r w:rsidRPr="003F7F6C">
        <w:rPr>
          <w:rFonts w:cs="Calibri"/>
          <w:szCs w:val="20"/>
        </w:rPr>
        <w:t>Computer skills.</w:t>
      </w:r>
    </w:p>
    <w:p w14:paraId="26F81DC0" w14:textId="7A53A9C3" w:rsidR="00F04292" w:rsidRPr="003F7F6C" w:rsidRDefault="00F04292" w:rsidP="00E91275">
      <w:pPr>
        <w:numPr>
          <w:ilvl w:val="0"/>
          <w:numId w:val="53"/>
        </w:numPr>
        <w:ind w:left="357" w:hanging="357"/>
        <w:rPr>
          <w:rFonts w:cs="Calibri"/>
          <w:szCs w:val="20"/>
        </w:rPr>
      </w:pPr>
      <w:r w:rsidRPr="003F7F6C">
        <w:rPr>
          <w:rFonts w:cs="Calibri"/>
          <w:szCs w:val="20"/>
        </w:rPr>
        <w:t xml:space="preserve">Excellent verbal and </w:t>
      </w:r>
      <w:r w:rsidR="000A78B9" w:rsidRPr="003F7F6C">
        <w:rPr>
          <w:rFonts w:cs="Calibri"/>
          <w:szCs w:val="20"/>
        </w:rPr>
        <w:t xml:space="preserve">written </w:t>
      </w:r>
      <w:r w:rsidRPr="003F7F6C">
        <w:rPr>
          <w:rFonts w:cs="Calibri"/>
          <w:szCs w:val="20"/>
        </w:rPr>
        <w:t>communication skills in Spanish.</w:t>
      </w:r>
    </w:p>
    <w:p w14:paraId="179A0CB8" w14:textId="77777777" w:rsidR="00F04292" w:rsidRPr="003F7F6C" w:rsidRDefault="00F04292" w:rsidP="00F04292">
      <w:pPr>
        <w:rPr>
          <w:rFonts w:cs="Calibri"/>
          <w:b/>
          <w:iCs/>
          <w:szCs w:val="20"/>
          <w:lang w:eastAsia="zh-CN"/>
        </w:rPr>
      </w:pPr>
    </w:p>
    <w:p w14:paraId="0BE6AAA4" w14:textId="77777777" w:rsidR="00D42863" w:rsidRPr="003F7F6C" w:rsidRDefault="00D42863" w:rsidP="00D42863">
      <w:pPr>
        <w:spacing w:after="0"/>
        <w:rPr>
          <w:i/>
          <w:szCs w:val="20"/>
        </w:rPr>
      </w:pPr>
    </w:p>
    <w:p w14:paraId="2B2D071B" w14:textId="77777777" w:rsidR="00D42863" w:rsidRPr="003F7F6C" w:rsidRDefault="00D42863" w:rsidP="00D42863">
      <w:pPr>
        <w:spacing w:after="0"/>
        <w:rPr>
          <w:i/>
          <w:szCs w:val="20"/>
        </w:rPr>
      </w:pPr>
    </w:p>
    <w:p w14:paraId="7976731E" w14:textId="77777777" w:rsidR="000D002A" w:rsidRPr="003F7F6C" w:rsidRDefault="000D002A" w:rsidP="00D42863">
      <w:pPr>
        <w:spacing w:after="0"/>
        <w:rPr>
          <w:b/>
          <w:i/>
          <w:szCs w:val="20"/>
        </w:rPr>
      </w:pPr>
    </w:p>
    <w:p w14:paraId="502B3DB5" w14:textId="77777777" w:rsidR="00D42863" w:rsidRPr="003F7F6C" w:rsidRDefault="00D42863" w:rsidP="00D42863">
      <w:pPr>
        <w:spacing w:after="0"/>
        <w:rPr>
          <w:i/>
          <w:szCs w:val="20"/>
        </w:rPr>
      </w:pPr>
    </w:p>
    <w:p w14:paraId="5DFB1213" w14:textId="77777777" w:rsidR="00494980" w:rsidRPr="003F7F6C" w:rsidRDefault="006512C4" w:rsidP="006512C4">
      <w:pPr>
        <w:pStyle w:val="Heading2"/>
        <w:ind w:left="0"/>
        <w:rPr>
          <w:b w:val="0"/>
          <w:szCs w:val="22"/>
        </w:rPr>
        <w:sectPr w:rsidR="00494980" w:rsidRPr="003F7F6C" w:rsidSect="0096798B">
          <w:footerReference w:type="default" r:id="rId34"/>
          <w:pgSz w:w="12240" w:h="15840" w:code="1"/>
          <w:pgMar w:top="1440" w:right="1440" w:bottom="1440" w:left="1440" w:header="720" w:footer="720" w:gutter="0"/>
          <w:cols w:space="720"/>
          <w:docGrid w:linePitch="360"/>
        </w:sectPr>
      </w:pPr>
      <w:r w:rsidRPr="003F7F6C">
        <w:rPr>
          <w:b w:val="0"/>
          <w:szCs w:val="22"/>
        </w:rPr>
        <w:br w:type="page"/>
      </w:r>
    </w:p>
    <w:p w14:paraId="25EB33AE" w14:textId="7A67D806" w:rsidR="006512C4" w:rsidRPr="003F7F6C" w:rsidRDefault="006512C4" w:rsidP="006512C4">
      <w:pPr>
        <w:pStyle w:val="Heading2"/>
        <w:ind w:left="0"/>
        <w:rPr>
          <w:rFonts w:ascii="Calibri" w:hAnsi="Calibri"/>
          <w:szCs w:val="22"/>
        </w:rPr>
      </w:pPr>
      <w:bookmarkStart w:id="42" w:name="_Toc529891424"/>
      <w:r w:rsidRPr="003F7F6C">
        <w:rPr>
          <w:rFonts w:ascii="Calibri" w:hAnsi="Calibri"/>
          <w:szCs w:val="22"/>
        </w:rPr>
        <w:t>Annex E:  UNDP Social and Environmental Screening Procedure</w:t>
      </w:r>
      <w:r w:rsidR="003B6502" w:rsidRPr="003F7F6C">
        <w:rPr>
          <w:rFonts w:ascii="Calibri" w:hAnsi="Calibri"/>
          <w:szCs w:val="22"/>
        </w:rPr>
        <w:t xml:space="preserve"> and plans as needed</w:t>
      </w:r>
      <w:bookmarkEnd w:id="42"/>
      <w:r w:rsidR="00541A10" w:rsidRPr="003F7F6C">
        <w:rPr>
          <w:rFonts w:ascii="Calibri" w:hAnsi="Calibri"/>
          <w:szCs w:val="22"/>
        </w:rPr>
        <w:t xml:space="preserve"> </w:t>
      </w:r>
    </w:p>
    <w:p w14:paraId="4B2A5567" w14:textId="5A1F7E8D" w:rsidR="00556F17" w:rsidRPr="003F7F6C" w:rsidRDefault="00541A10" w:rsidP="00B54E97">
      <w:pPr>
        <w:rPr>
          <w:b/>
          <w:szCs w:val="22"/>
        </w:rPr>
      </w:pPr>
      <w:r w:rsidRPr="003F7F6C">
        <w:rPr>
          <w:b/>
          <w:szCs w:val="22"/>
        </w:rPr>
        <w:t>(Signed version is in a separate file)</w:t>
      </w:r>
    </w:p>
    <w:p w14:paraId="6D3B6958" w14:textId="77777777" w:rsidR="00494980" w:rsidRPr="003F7F6C" w:rsidRDefault="00494980" w:rsidP="00494980">
      <w:pPr>
        <w:spacing w:before="200"/>
        <w:ind w:left="360"/>
        <w:rPr>
          <w:b/>
          <w:color w:val="4F81BD"/>
          <w:sz w:val="24"/>
        </w:rPr>
      </w:pPr>
      <w:r w:rsidRPr="003F7F6C">
        <w:rPr>
          <w:b/>
          <w:color w:val="4F81BD"/>
          <w:sz w:val="24"/>
        </w:rPr>
        <w:t>Project Information</w:t>
      </w:r>
    </w:p>
    <w:tbl>
      <w:tblPr>
        <w:tblW w:w="137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5"/>
        <w:gridCol w:w="10420"/>
      </w:tblGrid>
      <w:tr w:rsidR="00494980" w:rsidRPr="003F7F6C" w14:paraId="7AD02BB3" w14:textId="77777777" w:rsidTr="00494980">
        <w:tc>
          <w:tcPr>
            <w:tcW w:w="3325" w:type="dxa"/>
            <w:shd w:val="clear" w:color="auto" w:fill="C6D9F1"/>
            <w:vAlign w:val="center"/>
          </w:tcPr>
          <w:p w14:paraId="1B45466A" w14:textId="77777777" w:rsidR="00494980" w:rsidRPr="003F7F6C" w:rsidRDefault="00494980" w:rsidP="008E53E9">
            <w:pPr>
              <w:tabs>
                <w:tab w:val="left" w:pos="360"/>
              </w:tabs>
              <w:rPr>
                <w:b/>
                <w:i/>
                <w:color w:val="000000"/>
                <w:szCs w:val="20"/>
              </w:rPr>
            </w:pPr>
            <w:r w:rsidRPr="003F7F6C">
              <w:rPr>
                <w:b/>
                <w:i/>
                <w:color w:val="000000"/>
                <w:szCs w:val="20"/>
              </w:rPr>
              <w:t xml:space="preserve">Project Information </w:t>
            </w:r>
          </w:p>
        </w:tc>
        <w:tc>
          <w:tcPr>
            <w:tcW w:w="10420" w:type="dxa"/>
            <w:shd w:val="clear" w:color="auto" w:fill="C6D9F1"/>
            <w:vAlign w:val="center"/>
          </w:tcPr>
          <w:p w14:paraId="4BAB0448" w14:textId="77777777" w:rsidR="00494980" w:rsidRPr="003F7F6C" w:rsidRDefault="00494980" w:rsidP="008E53E9">
            <w:pPr>
              <w:rPr>
                <w:i/>
                <w:color w:val="000000"/>
                <w:szCs w:val="20"/>
              </w:rPr>
            </w:pPr>
          </w:p>
        </w:tc>
      </w:tr>
      <w:tr w:rsidR="00494980" w:rsidRPr="003F7F6C" w14:paraId="6D9330C7" w14:textId="77777777" w:rsidTr="00494980">
        <w:trPr>
          <w:trHeight w:val="288"/>
        </w:trPr>
        <w:tc>
          <w:tcPr>
            <w:tcW w:w="3325" w:type="dxa"/>
            <w:shd w:val="clear" w:color="auto" w:fill="auto"/>
            <w:vAlign w:val="center"/>
          </w:tcPr>
          <w:p w14:paraId="1F29614C" w14:textId="77777777" w:rsidR="00494980" w:rsidRPr="003F7F6C" w:rsidRDefault="00494980" w:rsidP="00E91275">
            <w:pPr>
              <w:pStyle w:val="Cuadrculaclara-nfasis31"/>
              <w:numPr>
                <w:ilvl w:val="0"/>
                <w:numId w:val="76"/>
              </w:numPr>
              <w:ind w:left="360"/>
              <w:rPr>
                <w:sz w:val="18"/>
                <w:szCs w:val="18"/>
              </w:rPr>
            </w:pPr>
            <w:r w:rsidRPr="003F7F6C">
              <w:rPr>
                <w:sz w:val="18"/>
                <w:szCs w:val="18"/>
              </w:rPr>
              <w:t>Project Title</w:t>
            </w:r>
          </w:p>
        </w:tc>
        <w:tc>
          <w:tcPr>
            <w:tcW w:w="10420" w:type="dxa"/>
            <w:shd w:val="clear" w:color="auto" w:fill="auto"/>
            <w:vAlign w:val="center"/>
          </w:tcPr>
          <w:p w14:paraId="11867069" w14:textId="77777777" w:rsidR="00494980" w:rsidRPr="003F7F6C" w:rsidRDefault="00494980" w:rsidP="008E53E9">
            <w:pPr>
              <w:pStyle w:val="NormalWeb"/>
              <w:rPr>
                <w:rFonts w:ascii="Calibri" w:hAnsi="Calibri" w:cs="Calibri"/>
                <w:sz w:val="18"/>
                <w:szCs w:val="18"/>
              </w:rPr>
            </w:pPr>
            <w:r w:rsidRPr="003F7F6C">
              <w:rPr>
                <w:rFonts w:ascii="Calibri" w:hAnsi="Calibri" w:cs="Calibri"/>
                <w:sz w:val="18"/>
                <w:szCs w:val="18"/>
              </w:rPr>
              <w:t xml:space="preserve">Mainstreaming biodiversity conservation and sustainable land management (SLM) into development planning: Making Environmental Land Use Planning (ELUP) Operational in Argentina </w:t>
            </w:r>
          </w:p>
        </w:tc>
      </w:tr>
      <w:tr w:rsidR="00494980" w:rsidRPr="003F7F6C" w14:paraId="6214B002" w14:textId="77777777" w:rsidTr="00494980">
        <w:trPr>
          <w:trHeight w:val="288"/>
        </w:trPr>
        <w:tc>
          <w:tcPr>
            <w:tcW w:w="3325" w:type="dxa"/>
            <w:shd w:val="clear" w:color="auto" w:fill="auto"/>
            <w:vAlign w:val="center"/>
          </w:tcPr>
          <w:p w14:paraId="42C32AD1" w14:textId="77777777" w:rsidR="00494980" w:rsidRPr="003F7F6C" w:rsidRDefault="00494980" w:rsidP="00E91275">
            <w:pPr>
              <w:pStyle w:val="Cuadrculaclara-nfasis31"/>
              <w:numPr>
                <w:ilvl w:val="0"/>
                <w:numId w:val="76"/>
              </w:numPr>
              <w:ind w:left="360"/>
              <w:rPr>
                <w:sz w:val="18"/>
                <w:szCs w:val="18"/>
              </w:rPr>
            </w:pPr>
            <w:r w:rsidRPr="003F7F6C">
              <w:rPr>
                <w:sz w:val="18"/>
                <w:szCs w:val="18"/>
              </w:rPr>
              <w:t>Project Number</w:t>
            </w:r>
          </w:p>
        </w:tc>
        <w:tc>
          <w:tcPr>
            <w:tcW w:w="10420" w:type="dxa"/>
            <w:shd w:val="clear" w:color="auto" w:fill="auto"/>
            <w:vAlign w:val="center"/>
          </w:tcPr>
          <w:p w14:paraId="544E7CC0" w14:textId="77777777" w:rsidR="00494980" w:rsidRPr="003F7F6C" w:rsidRDefault="00494980" w:rsidP="008E53E9">
            <w:pPr>
              <w:rPr>
                <w:sz w:val="18"/>
                <w:szCs w:val="18"/>
              </w:rPr>
            </w:pPr>
            <w:r w:rsidRPr="003F7F6C">
              <w:rPr>
                <w:sz w:val="18"/>
                <w:szCs w:val="18"/>
              </w:rPr>
              <w:t>5791</w:t>
            </w:r>
          </w:p>
        </w:tc>
      </w:tr>
      <w:tr w:rsidR="00494980" w:rsidRPr="003F7F6C" w14:paraId="2AAE0984" w14:textId="77777777" w:rsidTr="00494980">
        <w:trPr>
          <w:trHeight w:val="288"/>
        </w:trPr>
        <w:tc>
          <w:tcPr>
            <w:tcW w:w="3325" w:type="dxa"/>
            <w:shd w:val="clear" w:color="auto" w:fill="auto"/>
            <w:vAlign w:val="center"/>
          </w:tcPr>
          <w:p w14:paraId="4EB129E6" w14:textId="77777777" w:rsidR="00494980" w:rsidRPr="003F7F6C" w:rsidRDefault="00494980" w:rsidP="00E91275">
            <w:pPr>
              <w:pStyle w:val="Cuadrculaclara-nfasis31"/>
              <w:numPr>
                <w:ilvl w:val="0"/>
                <w:numId w:val="76"/>
              </w:numPr>
              <w:ind w:left="360"/>
              <w:rPr>
                <w:sz w:val="18"/>
                <w:szCs w:val="18"/>
              </w:rPr>
            </w:pPr>
            <w:r w:rsidRPr="003F7F6C">
              <w:rPr>
                <w:sz w:val="18"/>
                <w:szCs w:val="18"/>
              </w:rPr>
              <w:t>Location (Global/Region/Country)</w:t>
            </w:r>
          </w:p>
        </w:tc>
        <w:tc>
          <w:tcPr>
            <w:tcW w:w="10420" w:type="dxa"/>
            <w:shd w:val="clear" w:color="auto" w:fill="auto"/>
            <w:vAlign w:val="center"/>
          </w:tcPr>
          <w:p w14:paraId="7DA128FA" w14:textId="77777777" w:rsidR="00494980" w:rsidRPr="003F7F6C" w:rsidRDefault="00494980" w:rsidP="008E53E9">
            <w:pPr>
              <w:rPr>
                <w:sz w:val="18"/>
                <w:szCs w:val="18"/>
              </w:rPr>
            </w:pPr>
            <w:r w:rsidRPr="003F7F6C">
              <w:rPr>
                <w:sz w:val="18"/>
                <w:szCs w:val="18"/>
              </w:rPr>
              <w:t>Argentina</w:t>
            </w:r>
          </w:p>
        </w:tc>
      </w:tr>
    </w:tbl>
    <w:p w14:paraId="71AFC8D1" w14:textId="77777777" w:rsidR="00494980" w:rsidRPr="003F7F6C" w:rsidRDefault="00494980" w:rsidP="00494980">
      <w:pPr>
        <w:tabs>
          <w:tab w:val="left" w:pos="360"/>
        </w:tabs>
        <w:rPr>
          <w:szCs w:val="20"/>
        </w:rPr>
      </w:pPr>
    </w:p>
    <w:p w14:paraId="7FB7FF25" w14:textId="77777777" w:rsidR="00494980" w:rsidRPr="003F7F6C" w:rsidRDefault="00494980" w:rsidP="00494980">
      <w:pPr>
        <w:spacing w:before="200"/>
        <w:ind w:left="360"/>
        <w:rPr>
          <w:b/>
          <w:color w:val="365F91"/>
          <w:sz w:val="24"/>
        </w:rPr>
      </w:pPr>
      <w:r w:rsidRPr="003F7F6C">
        <w:rPr>
          <w:b/>
          <w:color w:val="365F91"/>
          <w:sz w:val="24"/>
        </w:rPr>
        <w:t>Part A. Integrating Overarching Principles to Strengthen Social and Environmental Sustainability</w:t>
      </w:r>
    </w:p>
    <w:tbl>
      <w:tblPr>
        <w:tblW w:w="137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45"/>
      </w:tblGrid>
      <w:tr w:rsidR="00494980" w:rsidRPr="003F7F6C" w14:paraId="1104C447" w14:textId="77777777" w:rsidTr="00494980">
        <w:trPr>
          <w:trHeight w:val="449"/>
        </w:trPr>
        <w:tc>
          <w:tcPr>
            <w:tcW w:w="13745" w:type="dxa"/>
            <w:shd w:val="clear" w:color="auto" w:fill="0F243E"/>
            <w:vAlign w:val="center"/>
          </w:tcPr>
          <w:p w14:paraId="50C42D25" w14:textId="77777777" w:rsidR="00494980" w:rsidRPr="003F7F6C" w:rsidRDefault="00494980" w:rsidP="008E53E9">
            <w:pPr>
              <w:rPr>
                <w:szCs w:val="20"/>
              </w:rPr>
            </w:pPr>
            <w:r w:rsidRPr="003F7F6C">
              <w:rPr>
                <w:b/>
                <w:szCs w:val="20"/>
              </w:rPr>
              <w:t>QUESTION 1: How Does the Project Integrate the Overarching Principles in order to Strengthen Social and Environmental Sustainability?</w:t>
            </w:r>
          </w:p>
        </w:tc>
      </w:tr>
      <w:tr w:rsidR="00494980" w:rsidRPr="003F7F6C" w14:paraId="08C232A9" w14:textId="77777777" w:rsidTr="00494980">
        <w:tc>
          <w:tcPr>
            <w:tcW w:w="13745" w:type="dxa"/>
            <w:shd w:val="clear" w:color="auto" w:fill="C6D9F1"/>
          </w:tcPr>
          <w:p w14:paraId="7EEA977A" w14:textId="77777777" w:rsidR="00494980" w:rsidRPr="003F7F6C" w:rsidRDefault="00494980" w:rsidP="008E53E9">
            <w:pPr>
              <w:tabs>
                <w:tab w:val="left" w:pos="432"/>
              </w:tabs>
              <w:spacing w:before="60"/>
              <w:rPr>
                <w:rFonts w:eastAsia="Times New Roman"/>
                <w:b/>
                <w:i/>
                <w:sz w:val="18"/>
                <w:szCs w:val="18"/>
              </w:rPr>
            </w:pPr>
            <w:r w:rsidRPr="003F7F6C">
              <w:rPr>
                <w:rFonts w:eastAsia="Times New Roman"/>
                <w:b/>
                <w:i/>
                <w:sz w:val="18"/>
                <w:szCs w:val="18"/>
              </w:rPr>
              <w:t xml:space="preserve">Briefly describe in the space below how the Project mainstreams the human-rights based approach </w:t>
            </w:r>
          </w:p>
        </w:tc>
      </w:tr>
      <w:tr w:rsidR="00494980" w:rsidRPr="003F7F6C" w14:paraId="7BA839C9" w14:textId="77777777" w:rsidTr="00494980">
        <w:tc>
          <w:tcPr>
            <w:tcW w:w="13745" w:type="dxa"/>
            <w:shd w:val="clear" w:color="auto" w:fill="auto"/>
          </w:tcPr>
          <w:p w14:paraId="1D1E434E" w14:textId="77777777" w:rsidR="00494980" w:rsidRPr="003F7F6C" w:rsidRDefault="00494980" w:rsidP="008E53E9">
            <w:pPr>
              <w:pStyle w:val="GEFFieldtoFillout"/>
              <w:ind w:left="0"/>
              <w:jc w:val="both"/>
              <w:rPr>
                <w:color w:val="auto"/>
                <w:lang w:val="en-GB"/>
              </w:rPr>
            </w:pPr>
            <w:r w:rsidRPr="003F7F6C">
              <w:rPr>
                <w:color w:val="auto"/>
                <w:lang w:val="en-GB"/>
              </w:rPr>
              <w:t>This project will provide technical support and resources to the Government of Argentina (GoA) to reduce biodiversity loss and land degradation in Argentina by mainstreaming biodiversity (BD) conservation and sustainable land management (SLM) approaches into the production practices of the main sectors driving these processes, namely the agriculture and livestock sector and the emerging threats from mining and infrastructure expansion in peri-urban areas. The approach to achieve this mainstreaming will be through spatial planning, specifically, Environmental Land Use Planning-</w:t>
            </w:r>
            <w:r w:rsidRPr="003F7F6C">
              <w:rPr>
                <w:b/>
                <w:color w:val="auto"/>
                <w:lang w:val="en-GB"/>
              </w:rPr>
              <w:t>ELUP</w:t>
            </w:r>
            <w:r w:rsidRPr="003F7F6C">
              <w:rPr>
                <w:color w:val="auto"/>
                <w:lang w:val="en-GB"/>
              </w:rPr>
              <w:t xml:space="preserve">. This is recognised within the  General Law of the Environment (Law 25675, 2002), through Article 10, that sets up ELUP as an environmental management policy and instrument </w:t>
            </w:r>
            <w:r w:rsidRPr="003F7F6C">
              <w:rPr>
                <w:i/>
                <w:color w:val="auto"/>
                <w:lang w:val="en-GB"/>
              </w:rPr>
              <w:t>to guide the use of natural resources. One that allows a maximum production in each ecosystems whilst guaranteeing the minimum level of degradation and promoting social participation in decisions that are necessary for sustainable development</w:t>
            </w:r>
            <w:r w:rsidRPr="003F7F6C">
              <w:rPr>
                <w:color w:val="auto"/>
                <w:lang w:val="en-GB"/>
              </w:rPr>
              <w:t xml:space="preserve">. ELUP has to respect the interest and nature of the communities, applying public participation as a key mechanism during the ELUP decision making process. </w:t>
            </w:r>
          </w:p>
          <w:p w14:paraId="2D08CCDF" w14:textId="77777777" w:rsidR="00494980" w:rsidRPr="003F7F6C" w:rsidRDefault="00494980" w:rsidP="008E53E9">
            <w:pPr>
              <w:pStyle w:val="Default"/>
              <w:rPr>
                <w:rFonts w:ascii="Calibri" w:hAnsi="Calibri" w:cs="Times New Roman"/>
                <w:color w:val="auto"/>
                <w:sz w:val="20"/>
                <w:szCs w:val="20"/>
              </w:rPr>
            </w:pPr>
          </w:p>
          <w:p w14:paraId="45A85011" w14:textId="77777777" w:rsidR="00494980" w:rsidRPr="003F7F6C" w:rsidRDefault="00494980" w:rsidP="008E53E9">
            <w:pPr>
              <w:pStyle w:val="Default"/>
              <w:jc w:val="both"/>
              <w:rPr>
                <w:rFonts w:ascii="Calibri" w:hAnsi="Calibri" w:cs="Times New Roman"/>
                <w:color w:val="auto"/>
                <w:sz w:val="20"/>
                <w:szCs w:val="20"/>
              </w:rPr>
            </w:pPr>
            <w:r w:rsidRPr="003F7F6C">
              <w:rPr>
                <w:rFonts w:ascii="Calibri" w:hAnsi="Calibri" w:cs="Times New Roman"/>
                <w:color w:val="auto"/>
                <w:sz w:val="20"/>
                <w:szCs w:val="20"/>
              </w:rPr>
              <w:t>The core of the project is to strengthen the governance and zoning to guard against the expansion of production practices that may undermine ecosystem health and the loss of goods and services. Protecting these ecosystem services and goods in turn will maintain current and future development options of communities and indigenous peoples. In doing so the project upholds the generic concept of the centrality of human rights to sustainable development and is committed to supporting “universal respect for, and observance of, human rights and fundamental freedoms for all.” The project seeks to enhance or maintain the livelihoods of communities, preserve habitats and the value of ecosystems. The proposed changes regarding the use of the land must ensure the integrity of the ecosystems, the habitats and the preservation of the livelihoods of the communities and indigenous peoples.</w:t>
            </w:r>
          </w:p>
          <w:p w14:paraId="651479D6" w14:textId="77777777" w:rsidR="00494980" w:rsidRPr="003F7F6C" w:rsidRDefault="00494980" w:rsidP="008E53E9">
            <w:pPr>
              <w:pStyle w:val="Default"/>
              <w:jc w:val="both"/>
              <w:rPr>
                <w:rFonts w:ascii="Calibri" w:hAnsi="Calibri" w:cs="Times New Roman"/>
                <w:color w:val="auto"/>
                <w:sz w:val="20"/>
                <w:szCs w:val="20"/>
              </w:rPr>
            </w:pPr>
          </w:p>
          <w:p w14:paraId="5D92E287" w14:textId="77777777" w:rsidR="00494980" w:rsidRPr="003F7F6C" w:rsidRDefault="00494980" w:rsidP="008E53E9">
            <w:pPr>
              <w:pStyle w:val="Default"/>
              <w:jc w:val="both"/>
              <w:rPr>
                <w:rFonts w:ascii="Calibri" w:hAnsi="Calibri" w:cs="Times New Roman"/>
                <w:color w:val="auto"/>
                <w:sz w:val="20"/>
                <w:szCs w:val="20"/>
              </w:rPr>
            </w:pPr>
            <w:r w:rsidRPr="003F7F6C">
              <w:rPr>
                <w:rFonts w:ascii="Calibri" w:hAnsi="Calibri" w:cs="Times New Roman"/>
                <w:color w:val="auto"/>
                <w:sz w:val="20"/>
                <w:szCs w:val="20"/>
              </w:rPr>
              <w:t>Specifically it will uphold the following principles as described below:</w:t>
            </w:r>
          </w:p>
          <w:p w14:paraId="67094270" w14:textId="77777777" w:rsidR="00494980" w:rsidRPr="003F7F6C" w:rsidRDefault="00494980" w:rsidP="008E53E9">
            <w:pPr>
              <w:pStyle w:val="Default"/>
              <w:rPr>
                <w:rFonts w:ascii="Calibri" w:hAnsi="Calibri" w:cs="Times New Roman"/>
                <w:color w:val="auto"/>
                <w:sz w:val="20"/>
                <w:szCs w:val="20"/>
              </w:rPr>
            </w:pPr>
          </w:p>
          <w:p w14:paraId="6946A404" w14:textId="77777777" w:rsidR="00494980" w:rsidRPr="003F7F6C" w:rsidRDefault="00494980" w:rsidP="008E53E9">
            <w:pPr>
              <w:pStyle w:val="Default"/>
              <w:jc w:val="both"/>
              <w:rPr>
                <w:rFonts w:ascii="Calibri" w:hAnsi="Calibri" w:cs="Times New Roman"/>
                <w:color w:val="auto"/>
                <w:sz w:val="20"/>
                <w:szCs w:val="20"/>
              </w:rPr>
            </w:pPr>
            <w:r w:rsidRPr="003F7F6C">
              <w:rPr>
                <w:rFonts w:ascii="Calibri" w:hAnsi="Calibri" w:cs="Times New Roman"/>
                <w:color w:val="auto"/>
                <w:sz w:val="20"/>
                <w:szCs w:val="20"/>
                <w:u w:val="single"/>
              </w:rPr>
              <w:t>Participation and inclusion:</w:t>
            </w:r>
            <w:r w:rsidRPr="003F7F6C">
              <w:rPr>
                <w:rFonts w:ascii="Calibri" w:hAnsi="Calibri" w:cs="Times New Roman"/>
                <w:color w:val="auto"/>
                <w:sz w:val="20"/>
                <w:szCs w:val="20"/>
              </w:rPr>
              <w:t xml:space="preserve"> At the local and provincial levels, the project will engage multiple and diverse governmental institutions, organizations and stakeholder groups. A stakeholder mapping was undertaken during the PPG and the key stakeholders identified along with their roles in project implementation and participation in project components (see Annex F Stakeholder Engagement Plan of the UNDP/GEF Project Document).  Project Component 2 will undertake interventions in three pilot provinces (Buenos Aires, Jujuy and Mendoza).  Target landscapes have been selected in each province and interventions will be undertaken in rural areas of these sites. In Jujuy two target landscapes have been selected, which are inhabited by 16,586 people (2010 Population Census), the majority of which are Omaguaca, Kolla and Atacama indigenous peoples (36 communities in total), with the remainder being non-indigenous small producers.  Four target landscapes in Mendoza are inhabited by 82,660 people (2010 Census) mainly small, medium and large-scale producers, including 150 families (600 individuals) of the Mapuche indigenous peoples living in one of the selected sites. In Mendoza, consultations were held with the “Werken” or spokesman, on behalf of the communities and the organization of the Mapuche communities of Mendoza. In Jujuy, the PPG team worked with provincial authorities and the Secretariat of Indigenous Peoples, which is responsible for the promotion and protection of the rights of Indigenous Peoples in the province, and in particular to guarantee the right to Prior Consultation and FPIC. In both cases oral and general agreements to the project were obtained as well as their agreement to jointly develop during project implementation specific consultations before elaborating specific ELUP related interventions in the target landscapes. Project interventions will be addressed within a human rights and livelihoods protection approach, particularly for Indigenous Peoples. and addressing the improvement and sustainability of their livelihoods. In this regard the decisions will be taken under appropriate consultation processes to obtain consent, and where appropriate Free, Prior and Informed Consent. In Buenos Aires the selected target landscapes cover rural areas with wetland and riverine areas with low population density, and agricultural areas occupied by small, medium and large-scale producers (1500 farms). According to information gathered during the PPG, there are Mapuche communities living in urban areas of one of the target landscapes of Buenos Aires; however, since project interventions will be undertaken in rural areas they are not likely to be affected. </w:t>
            </w:r>
          </w:p>
          <w:p w14:paraId="560F2BC8" w14:textId="77777777" w:rsidR="00494980" w:rsidRPr="003F7F6C" w:rsidRDefault="00494980" w:rsidP="008E53E9">
            <w:pPr>
              <w:pStyle w:val="Default"/>
              <w:jc w:val="both"/>
              <w:rPr>
                <w:rFonts w:ascii="Calibri" w:hAnsi="Calibri" w:cs="Times New Roman"/>
                <w:color w:val="auto"/>
                <w:sz w:val="20"/>
                <w:szCs w:val="20"/>
              </w:rPr>
            </w:pPr>
          </w:p>
          <w:p w14:paraId="1F0F7AF0" w14:textId="77777777" w:rsidR="00494980" w:rsidRPr="003F7F6C" w:rsidRDefault="00494980" w:rsidP="008E53E9">
            <w:pPr>
              <w:pStyle w:val="Default"/>
              <w:jc w:val="both"/>
              <w:rPr>
                <w:rFonts w:ascii="Calibri" w:hAnsi="Calibri" w:cs="Times New Roman"/>
                <w:color w:val="FF0000"/>
                <w:sz w:val="20"/>
                <w:szCs w:val="20"/>
              </w:rPr>
            </w:pPr>
            <w:r w:rsidRPr="003F7F6C">
              <w:rPr>
                <w:rFonts w:ascii="Calibri" w:hAnsi="Calibri" w:cs="Times New Roman"/>
                <w:color w:val="auto"/>
                <w:sz w:val="20"/>
                <w:szCs w:val="20"/>
              </w:rPr>
              <w:t>The PPG undertook an assessment of substantive indigenous rights and consultation and information requirements as per the relevant national and international legislation to foster full respect for indigenous peoples’ human rights including but not limited to their rights to self-determination, their lands, resources and territories, traditional livelihoods and cultures. Project activities are in line with the national legal framework that supports participation with regard to this project including the General Law of the Environment, the Native Forest Law (Nº26331), the Environmental Policy Law (Nº 25675) and the Law for Access to Public Information (Nº27275). At provincial level, participation is guaranteed through the Land Use Planning Law (Nº5961) in Mendoza; the General Law of the Environment (Nº 5063) and the Law for Adaptive Land Use Planning of Forest Areas (Nº5676) in Jujuy, and in Buenos Aires the Environment Law (Nº11723) and the Land Use Planning Law (Nº8912). Furthermore, the legal framework regarding Indigenous Peoples participation include the National Constitution, Law Nº24071 ratifying the ILO Convention 169, Law Nº23302 in support of indigenous communities and Law Nº26160 on indigenous territories. The assessment is included in the Stakeholder Engagement Plan. This legal framework has a wide approach to participation and will be complementary to the UNDP Standards, which will be closely followed during project implementation.</w:t>
            </w:r>
          </w:p>
          <w:p w14:paraId="2FEC1684" w14:textId="77777777" w:rsidR="00494980" w:rsidRPr="003F7F6C" w:rsidRDefault="00494980" w:rsidP="008E53E9">
            <w:pPr>
              <w:pStyle w:val="Default"/>
              <w:jc w:val="both"/>
              <w:rPr>
                <w:rFonts w:ascii="Calibri" w:hAnsi="Calibri" w:cs="Times New Roman"/>
                <w:color w:val="auto"/>
                <w:sz w:val="20"/>
                <w:szCs w:val="20"/>
              </w:rPr>
            </w:pPr>
          </w:p>
          <w:p w14:paraId="0F288AD1" w14:textId="77777777" w:rsidR="00494980" w:rsidRPr="003F7F6C" w:rsidRDefault="00494980" w:rsidP="008E53E9">
            <w:pPr>
              <w:pStyle w:val="Default"/>
              <w:jc w:val="both"/>
              <w:rPr>
                <w:rFonts w:ascii="Calibri" w:hAnsi="Calibri" w:cs="Times New Roman"/>
                <w:color w:val="auto"/>
                <w:sz w:val="20"/>
                <w:szCs w:val="20"/>
              </w:rPr>
            </w:pPr>
            <w:r w:rsidRPr="003F7F6C">
              <w:rPr>
                <w:rFonts w:ascii="Calibri" w:hAnsi="Calibri" w:cs="Times New Roman"/>
                <w:color w:val="auto"/>
                <w:sz w:val="20"/>
                <w:szCs w:val="20"/>
              </w:rPr>
              <w:t>Active participation in project activities will be voluntary and provisions have been made to increase understanding and buy-in as this is crucial to increase the feasibility, effectiveness and social sustainability of the actions proposed.</w:t>
            </w:r>
            <w:r w:rsidRPr="003F7F6C">
              <w:rPr>
                <w:color w:val="auto"/>
                <w:sz w:val="20"/>
                <w:szCs w:val="20"/>
              </w:rPr>
              <w:t xml:space="preserve">  </w:t>
            </w:r>
            <w:r w:rsidRPr="003F7F6C">
              <w:rPr>
                <w:rFonts w:ascii="Calibri" w:hAnsi="Calibri" w:cs="Times New Roman"/>
                <w:color w:val="auto"/>
                <w:sz w:val="20"/>
                <w:szCs w:val="20"/>
              </w:rPr>
              <w:t>Participation will be fostered through several components and mechanisms that have been identified to ensure full, effective and meaningful stakeholder participation and avoid negative human rights impacts. These are: a) communication and capacity development for informed participation; b) dialogue mechanisms taking advantage of existing spaces and structures for consultation, deliberation, decision making and inter-institutional coordination; and c) conflict prevention and management (spaces for negotiation, mediation, information requests and grievance).  With regard to the participation of indigenous peoples in pilot provinces, the province of Mendoza has over 20 years of experience in undertaking participatory processes in land use planning.  In particular, the Mapuche communities in the Mendoza target landscape have participatory structures such as the Community Assembly and the Council of Authorities in each community, and are organized in the Malalweche Mapuche Territorial Organization. A protocol for prior consultation has been developed and proven and there is experience in prior consultation processes with government and non-government stakeholders. Jujuy has also developed wide experience in participatory processes. The Kolla, Omaguaca and Atacama peoples have very similar decision-making structures in each community such as the Community Council, the Council of Elders and the Assembly. The communities in the target landscapes do not have specific protocols (as do other communities throughout the province) but have a high degree of coordination with the Indigenous Peoples Secretariat of the province, which provides technical backstopping for designing and undertaking consultation processes in the communities and facilitating dialogue with public and private institutions.  The Secretariat has a specific unit to provide support to the communities in implementing consultation processes.  The communities regularly undertake dialogues with public authorities and private sector on subjects of their interest.  The project will make use of these existing structures, protocols and processes to ensure participation of indigenous peoples in planning, implementation and monitoring of interventions in the target landscapes.  In addition, during the first year of project implementation the project will develop a detailed Indigenous Peoples Plan (IPP), building on the draft IPP (Project Document Annex E-1, this SESP and the Stakeholder Engagement Plan. Based on that IPP the project and provincial authorities will undertake the processes for prior consultations and FPIC (as per UNDP’s SES and in line with ILO 169) to obtain consent for potential activities that trigger requirement under the international framework and UNDP (e.g extraction of natural resources such as felling or mining or agricultural developments in their lands or territories; a decision that could affect the status or rights of people to their lands/territories, resources or livelihoods; access to traditional knowledge, innovations and practices; commercial use of natural and/or cultural resources in lands subject to traditional ownership or under traditional use by Indigenous Peoples; decisions in regards to benefit sharing when such benefits derive from their lands, territories or resources).</w:t>
            </w:r>
          </w:p>
          <w:p w14:paraId="216224A2" w14:textId="77777777" w:rsidR="00494980" w:rsidRPr="003F7F6C" w:rsidRDefault="00494980" w:rsidP="008E53E9">
            <w:pPr>
              <w:pStyle w:val="Default"/>
              <w:jc w:val="both"/>
              <w:rPr>
                <w:rFonts w:ascii="Calibri" w:hAnsi="Calibri" w:cs="Times New Roman"/>
                <w:color w:val="auto"/>
                <w:sz w:val="20"/>
                <w:szCs w:val="20"/>
              </w:rPr>
            </w:pPr>
          </w:p>
          <w:p w14:paraId="4D2410E0" w14:textId="77777777" w:rsidR="00494980" w:rsidRPr="003F7F6C" w:rsidRDefault="00494980" w:rsidP="008E53E9">
            <w:pPr>
              <w:pStyle w:val="Default"/>
              <w:jc w:val="both"/>
              <w:rPr>
                <w:rFonts w:ascii="Calibri" w:hAnsi="Calibri" w:cs="Times New Roman"/>
                <w:color w:val="auto"/>
                <w:sz w:val="20"/>
                <w:szCs w:val="20"/>
              </w:rPr>
            </w:pPr>
            <w:r w:rsidRPr="003F7F6C">
              <w:rPr>
                <w:rFonts w:ascii="Calibri" w:hAnsi="Calibri" w:cs="Times New Roman"/>
                <w:color w:val="auto"/>
                <w:sz w:val="20"/>
                <w:szCs w:val="20"/>
              </w:rPr>
              <w:t xml:space="preserve">The </w:t>
            </w:r>
            <w:r w:rsidRPr="003F7F6C">
              <w:rPr>
                <w:rFonts w:ascii="Calibri" w:hAnsi="Calibri" w:cs="Times New Roman"/>
                <w:color w:val="auto"/>
                <w:sz w:val="20"/>
                <w:szCs w:val="20"/>
                <w:u w:val="single"/>
              </w:rPr>
              <w:t>principle of accountability and rule of law</w:t>
            </w:r>
            <w:r w:rsidRPr="003F7F6C">
              <w:rPr>
                <w:rFonts w:ascii="Calibri" w:hAnsi="Calibri" w:cs="Times New Roman"/>
                <w:color w:val="auto"/>
                <w:sz w:val="20"/>
                <w:szCs w:val="20"/>
              </w:rPr>
              <w:t xml:space="preserve"> will also be upheld by following all standard UNDP policies on monitoring, evaluation, audits, and transparency in project implementation. The legal context of the project is defined by the CPAP signed by the Government and UNDP and which includes reference to “ensure the inclusion of a sustainable development approach… promotion of sustainable livelihoods, conservation, equitable and sustainable use of biodiversity and ecosystems…”. All CPAP provisions apply to this document.   In addition, </w:t>
            </w:r>
            <w:r w:rsidRPr="003F7F6C">
              <w:rPr>
                <w:rFonts w:ascii="Calibri" w:hAnsi="Calibri" w:cs="Calibri"/>
                <w:sz w:val="20"/>
                <w:szCs w:val="20"/>
                <w:lang w:val="en-CA"/>
              </w:rPr>
              <w:t xml:space="preserve">UNDP has established accountability mechanisms with two main components: 1) A </w:t>
            </w:r>
            <w:hyperlink r:id="rId35" w:history="1">
              <w:r w:rsidRPr="003F7F6C">
                <w:rPr>
                  <w:rFonts w:ascii="Calibri" w:hAnsi="Calibri" w:cs="Calibri"/>
                  <w:sz w:val="20"/>
                  <w:szCs w:val="20"/>
                  <w:lang w:val="en-CA"/>
                </w:rPr>
                <w:t>Compliance Review</w:t>
              </w:r>
            </w:hyperlink>
            <w:r w:rsidRPr="003F7F6C">
              <w:rPr>
                <w:rFonts w:ascii="Calibri" w:hAnsi="Calibri" w:cs="Calibri"/>
                <w:sz w:val="20"/>
                <w:szCs w:val="20"/>
                <w:lang w:val="en-CA"/>
              </w:rPr>
              <w:t xml:space="preserve"> to respond to any potential claims that UNDP is not in compliance with applicable environmental and social policies; and 2) A Stakeholder Response Mechanism (SRM) that ensures individuals, peoples, and communities affected by projects have access to appropriate grievance resolution procedures for hearing and addressing project-related complaints and disputes. A project-level grievance redress mechanism (GRM) will also be established, as described in the Stakeholder Engagement Plan and draft IPP. </w:t>
            </w:r>
          </w:p>
        </w:tc>
      </w:tr>
      <w:tr w:rsidR="00494980" w:rsidRPr="003F7F6C" w14:paraId="3271CA36" w14:textId="77777777" w:rsidTr="00494980">
        <w:trPr>
          <w:trHeight w:val="296"/>
        </w:trPr>
        <w:tc>
          <w:tcPr>
            <w:tcW w:w="13745" w:type="dxa"/>
            <w:shd w:val="clear" w:color="auto" w:fill="C6D9F1"/>
          </w:tcPr>
          <w:p w14:paraId="7FBDE11B" w14:textId="77777777" w:rsidR="00494980" w:rsidRPr="003F7F6C" w:rsidRDefault="00494980" w:rsidP="008E53E9">
            <w:pPr>
              <w:spacing w:after="120"/>
              <w:contextualSpacing/>
              <w:rPr>
                <w:b/>
                <w:i/>
                <w:sz w:val="18"/>
                <w:szCs w:val="18"/>
              </w:rPr>
            </w:pPr>
            <w:r w:rsidRPr="003F7F6C">
              <w:rPr>
                <w:rFonts w:eastAsia="Times New Roman"/>
                <w:b/>
                <w:i/>
                <w:sz w:val="18"/>
                <w:szCs w:val="18"/>
              </w:rPr>
              <w:t>Briefly describe in the space below how the Project is likely to improve gender equality and women’s empowerment</w:t>
            </w:r>
          </w:p>
        </w:tc>
      </w:tr>
      <w:tr w:rsidR="00494980" w:rsidRPr="003F7F6C" w14:paraId="4A5B3367" w14:textId="77777777" w:rsidTr="00494980">
        <w:tc>
          <w:tcPr>
            <w:tcW w:w="13745" w:type="dxa"/>
            <w:shd w:val="clear" w:color="auto" w:fill="auto"/>
          </w:tcPr>
          <w:p w14:paraId="526747C4" w14:textId="77777777" w:rsidR="00494980" w:rsidRPr="003F7F6C" w:rsidRDefault="00494980" w:rsidP="008E53E9">
            <w:pPr>
              <w:tabs>
                <w:tab w:val="left" w:pos="432"/>
              </w:tabs>
              <w:spacing w:before="60"/>
              <w:rPr>
                <w:szCs w:val="20"/>
              </w:rPr>
            </w:pPr>
            <w:r w:rsidRPr="003F7F6C">
              <w:rPr>
                <w:szCs w:val="20"/>
              </w:rPr>
              <w:t xml:space="preserve">Women and men play important but differentiated roles in biodiversity and natural resource management, use, and conservation while satisfying their various livelihood requirements that are highly dependent on biodiversity and ecosystem services. Women often take the lead in the selection and improvement of local production and in more remote areas they are also the primary collectors of wild foods in forests and they possess extensive knowledge of their location and characteristics. The project recognizes that roles for women and men in natural resource management are different. The project also appreciates the importance of participation of and consideration of gender issues in project design and implementation. In this regard the project will mainstream gender into all activities based on a detailed gender analysis carried out during the PPG. Additionally, gender balance will be taken into account in engaging the project team, the Steering Committee and multi-sectoral, multi-stakeholder committees. </w:t>
            </w:r>
          </w:p>
          <w:p w14:paraId="5F391559" w14:textId="77777777" w:rsidR="00494980" w:rsidRPr="003F7F6C" w:rsidRDefault="00494980" w:rsidP="008E53E9">
            <w:pPr>
              <w:tabs>
                <w:tab w:val="left" w:pos="432"/>
              </w:tabs>
              <w:spacing w:before="60"/>
              <w:rPr>
                <w:b/>
                <w:szCs w:val="20"/>
              </w:rPr>
            </w:pPr>
            <w:r w:rsidRPr="003F7F6C">
              <w:rPr>
                <w:b/>
                <w:szCs w:val="20"/>
              </w:rPr>
              <w:t xml:space="preserve">Gender and ethnic analysis carried out during the PPG (main findings). </w:t>
            </w:r>
          </w:p>
          <w:p w14:paraId="2BF4EDCC" w14:textId="77777777" w:rsidR="00494980" w:rsidRPr="003F7F6C" w:rsidRDefault="00494980" w:rsidP="008E53E9">
            <w:pPr>
              <w:tabs>
                <w:tab w:val="left" w:pos="432"/>
              </w:tabs>
              <w:spacing w:before="60"/>
              <w:rPr>
                <w:szCs w:val="20"/>
              </w:rPr>
            </w:pPr>
            <w:r w:rsidRPr="003F7F6C">
              <w:rPr>
                <w:b/>
                <w:szCs w:val="20"/>
              </w:rPr>
              <w:t xml:space="preserve">1. </w:t>
            </w:r>
            <w:r w:rsidRPr="003F7F6C">
              <w:rPr>
                <w:szCs w:val="20"/>
              </w:rPr>
              <w:t xml:space="preserve">In Argentina the causes of gender inequality and discrimination are mainly explained by the prevalence of traditional patriarchal structures and norms and gender roles, particularly in remote, rural and agricultural areas. </w:t>
            </w:r>
          </w:p>
          <w:p w14:paraId="6E536540" w14:textId="77777777" w:rsidR="00494980" w:rsidRPr="003F7F6C" w:rsidRDefault="00494980" w:rsidP="008E53E9">
            <w:pPr>
              <w:tabs>
                <w:tab w:val="left" w:pos="432"/>
              </w:tabs>
              <w:spacing w:before="60"/>
              <w:rPr>
                <w:szCs w:val="20"/>
              </w:rPr>
            </w:pPr>
            <w:r w:rsidRPr="003F7F6C">
              <w:rPr>
                <w:b/>
                <w:szCs w:val="20"/>
              </w:rPr>
              <w:t>2.</w:t>
            </w:r>
            <w:r w:rsidRPr="003F7F6C">
              <w:rPr>
                <w:szCs w:val="20"/>
              </w:rPr>
              <w:t xml:space="preserve"> Young, poor, rural and indigenous women represent around 40% of the agricultural labor force. Although there are no legal instruments that prevent women from owning property, such as land, in Argentina 80% of men have such ownership (FAO, 2010). Men are the ones who mostly make decisions related to access, use and management of ecosystem resources; therefore, most women cannot enjoy the benefits of profitable land, access credit and/or productive resources derived from</w:t>
            </w:r>
            <w:r w:rsidRPr="003F7F6C">
              <w:rPr>
                <w:szCs w:val="20"/>
                <w:lang w:val="en-GB"/>
              </w:rPr>
              <w:t xml:space="preserve"> land. While women are not as active as men in agricultural labor force, women take on major roles in sustainable forest management. As caregivers they are highly dependent on forests and are the primary users of forest products. However, they are often excluded from forestry-related decision-making. This bears the risk/concern that women’s valuable knowledge remains underutilized.</w:t>
            </w:r>
          </w:p>
          <w:p w14:paraId="106046A8" w14:textId="77777777" w:rsidR="00494980" w:rsidRPr="003F7F6C" w:rsidRDefault="00494980" w:rsidP="008E53E9">
            <w:pPr>
              <w:tabs>
                <w:tab w:val="left" w:pos="432"/>
              </w:tabs>
              <w:spacing w:before="60"/>
              <w:rPr>
                <w:szCs w:val="20"/>
              </w:rPr>
            </w:pPr>
            <w:r w:rsidRPr="003F7F6C">
              <w:rPr>
                <w:b/>
                <w:szCs w:val="20"/>
              </w:rPr>
              <w:t>3.</w:t>
            </w:r>
            <w:r w:rsidRPr="003F7F6C">
              <w:rPr>
                <w:szCs w:val="20"/>
              </w:rPr>
              <w:t xml:space="preserve"> In Argentina, there are more women (52%) than men (48%). The number of women 46 years and older is higher, while the ratio is reversed in younger ages (from 0 to 35 years), with the exception of the age bracket 14 to 15 years. This distribution of the population by sex and age groups is conserved without statistically significant differences in the three prioritized areas (52.0% women and 48.0% men in Buenos Aires; 51.5% women and 48.5% men in Jujuy and 52.2% women and 47.8% men in Mendoza (INDEC, 2017). </w:t>
            </w:r>
          </w:p>
          <w:p w14:paraId="58835EFD" w14:textId="77777777" w:rsidR="00494980" w:rsidRPr="003F7F6C" w:rsidRDefault="00494980" w:rsidP="008E53E9">
            <w:pPr>
              <w:tabs>
                <w:tab w:val="left" w:pos="432"/>
              </w:tabs>
              <w:spacing w:before="60"/>
              <w:rPr>
                <w:szCs w:val="20"/>
              </w:rPr>
            </w:pPr>
            <w:r w:rsidRPr="003F7F6C">
              <w:rPr>
                <w:b/>
                <w:szCs w:val="20"/>
              </w:rPr>
              <w:t>4.</w:t>
            </w:r>
            <w:r w:rsidRPr="003F7F6C">
              <w:rPr>
                <w:szCs w:val="20"/>
              </w:rPr>
              <w:t xml:space="preserve"> 91% of the Argentine population lives in urban areas and the remaining 9% in rural areas. Mendoza is the province with the largest number of inhabitants in rural areas (19.1%), followed by Jujuy (12.5%) and then Buenos Aires (3%). The distribution of rural population disaggregated by sex in the province of Jujuy is 51.7% men and 48.3% women (DIPEC, 2012). So far, information disaggregated by sex in rural areas has not been available in Mendoza or Buenos Aires.</w:t>
            </w:r>
          </w:p>
          <w:p w14:paraId="42E00672" w14:textId="77777777" w:rsidR="00494980" w:rsidRPr="003F7F6C" w:rsidRDefault="00494980" w:rsidP="008E53E9">
            <w:pPr>
              <w:tabs>
                <w:tab w:val="left" w:pos="432"/>
              </w:tabs>
              <w:spacing w:before="60"/>
              <w:rPr>
                <w:szCs w:val="20"/>
              </w:rPr>
            </w:pPr>
            <w:r w:rsidRPr="003F7F6C">
              <w:rPr>
                <w:b/>
                <w:szCs w:val="20"/>
              </w:rPr>
              <w:t>5.</w:t>
            </w:r>
            <w:r w:rsidRPr="003F7F6C">
              <w:rPr>
                <w:szCs w:val="20"/>
              </w:rPr>
              <w:t xml:space="preserve"> The proportion of indigenous peoples with respect to the total population of each jurisdiction is variable: 2.38% at the national level, 1.92% in Buenos Aires; 2.4% in Mendoza and 7.8% in Jujuy with respect to provincial totals. Jujuy has the largest indigenous population in relative terms (8%). The distribution of the indigenous population according to sex presents a fairly homogeneous behavior within each jurisdiction and in the country as a whole (50% men and 50% women). The proportion of the Afro-descendant population is less than 1% in the three prioritized areas. </w:t>
            </w:r>
          </w:p>
          <w:p w14:paraId="27642AE4" w14:textId="77777777" w:rsidR="00494980" w:rsidRPr="003F7F6C" w:rsidRDefault="00494980" w:rsidP="008E53E9">
            <w:pPr>
              <w:shd w:val="clear" w:color="auto" w:fill="FFFFFF"/>
              <w:rPr>
                <w:rFonts w:ascii="Arial" w:eastAsia="Times New Roman" w:hAnsi="Arial" w:cs="Arial"/>
                <w:color w:val="777777"/>
                <w:szCs w:val="20"/>
                <w:lang w:eastAsia="es-ES"/>
              </w:rPr>
            </w:pPr>
            <w:r w:rsidRPr="003F7F6C">
              <w:rPr>
                <w:b/>
                <w:szCs w:val="20"/>
              </w:rPr>
              <w:t>6.</w:t>
            </w:r>
            <w:r w:rsidRPr="003F7F6C">
              <w:rPr>
                <w:szCs w:val="20"/>
              </w:rPr>
              <w:t xml:space="preserve"> Regarding the heads of household, of every 10 people who claim to be head of the household at the national level, 4 are women and 6 are men (41.2% and 58.8%, respectively). This proportion is consistent in each priority area. In relation to the age of women heads of household both at the country level and in the priority areas, 6 out of 10 women heads of household are 50 years old and over, and they are more affected by the double burden of domestic and paid work that falls on them alone. Note:</w:t>
            </w:r>
            <w:r w:rsidRPr="003F7F6C">
              <w:rPr>
                <w:rFonts w:ascii="Arial" w:eastAsia="Times New Roman" w:hAnsi="Arial" w:cs="Arial"/>
                <w:color w:val="777777"/>
                <w:szCs w:val="20"/>
                <w:lang w:eastAsia="es-ES"/>
              </w:rPr>
              <w:t xml:space="preserve"> </w:t>
            </w:r>
            <w:r w:rsidRPr="003F7F6C">
              <w:rPr>
                <w:szCs w:val="20"/>
              </w:rPr>
              <w:t>A head of household is</w:t>
            </w:r>
            <w:r w:rsidRPr="003F7F6C">
              <w:rPr>
                <w:rFonts w:ascii="Arial" w:eastAsia="Times New Roman" w:hAnsi="Arial" w:cs="Arial"/>
                <w:color w:val="777777"/>
                <w:szCs w:val="20"/>
                <w:lang w:eastAsia="es-ES"/>
              </w:rPr>
              <w:t xml:space="preserve"> </w:t>
            </w:r>
            <w:r w:rsidRPr="003F7F6C">
              <w:rPr>
                <w:szCs w:val="20"/>
              </w:rPr>
              <w:t>“the person, either a man or a woman, or both, recognized as such by the other members of the household”. Source: Situation and Social Evolution (Synthesis N ° 4); INDEC.</w:t>
            </w:r>
          </w:p>
          <w:p w14:paraId="48CE40BF" w14:textId="77777777" w:rsidR="00494980" w:rsidRPr="003F7F6C" w:rsidRDefault="00494980" w:rsidP="008E53E9">
            <w:pPr>
              <w:tabs>
                <w:tab w:val="left" w:pos="432"/>
              </w:tabs>
              <w:spacing w:before="60"/>
              <w:rPr>
                <w:szCs w:val="20"/>
              </w:rPr>
            </w:pPr>
            <w:r w:rsidRPr="003F7F6C">
              <w:rPr>
                <w:b/>
                <w:szCs w:val="20"/>
              </w:rPr>
              <w:t xml:space="preserve">7. </w:t>
            </w:r>
            <w:r w:rsidRPr="003F7F6C">
              <w:rPr>
                <w:szCs w:val="20"/>
              </w:rPr>
              <w:t>Regarding socio-economic indicators, at the country level, approximately 40% of women up to 29 years old participate in the labor market against almost 60% of men in the same age group. Only in Jujuy is there a marked decrease in the proportion of men who participate in the economy (38.8%) compared to the national percentage, although the rate of men in the labor market still exceeds that of women in the labor market in that province (29.2%). In Mendoza, the male activity rate is also lower than the national rate for that same age group (52.0%) and also exceeds that of women (39.1%). The employment rate is higher for men than for women (65.7% and 43.5%, respectively), a trend that, although there are nuances, is reproduced inside the prioritized areas. Men earn 26% more than women (WEF, 2017).</w:t>
            </w:r>
          </w:p>
          <w:p w14:paraId="2B96CA03" w14:textId="77777777" w:rsidR="00494980" w:rsidRPr="003F7F6C" w:rsidRDefault="00494980" w:rsidP="008E53E9">
            <w:pPr>
              <w:tabs>
                <w:tab w:val="left" w:pos="432"/>
              </w:tabs>
              <w:spacing w:before="60"/>
              <w:rPr>
                <w:szCs w:val="20"/>
              </w:rPr>
            </w:pPr>
            <w:r w:rsidRPr="003F7F6C">
              <w:rPr>
                <w:b/>
                <w:szCs w:val="20"/>
              </w:rPr>
              <w:t>8.</w:t>
            </w:r>
            <w:r w:rsidRPr="003F7F6C">
              <w:rPr>
                <w:szCs w:val="20"/>
              </w:rPr>
              <w:t xml:space="preserve"> The unemployment rates follow an inverse pattern, registering a higher percentage of unemployed women at the country level than men in the same situation (8.7% and 6.1%, respectively). In Jujuy and Mendoza the percentage variations are smaller. Within the age group up to 29 years, there is a marked gap between the unemployment of men and women. The difference at the national level is 7.4 percentage points, to the detriment of women, a trend that is exacerbated in Mendoza and Buenos Aires, with 7.55 and 11.1 percentage points, respectively. The trend softens in the case of Jujuy, where the difference is only 1.8 percentage points. </w:t>
            </w:r>
          </w:p>
          <w:p w14:paraId="52D09AC6" w14:textId="77777777" w:rsidR="00494980" w:rsidRPr="003F7F6C" w:rsidRDefault="00494980" w:rsidP="008E53E9">
            <w:pPr>
              <w:tabs>
                <w:tab w:val="left" w:pos="432"/>
              </w:tabs>
              <w:spacing w:before="60"/>
              <w:rPr>
                <w:szCs w:val="20"/>
              </w:rPr>
            </w:pPr>
            <w:r w:rsidRPr="003F7F6C">
              <w:rPr>
                <w:b/>
                <w:szCs w:val="20"/>
              </w:rPr>
              <w:t>9.</w:t>
            </w:r>
            <w:r w:rsidRPr="003F7F6C">
              <w:rPr>
                <w:szCs w:val="20"/>
              </w:rPr>
              <w:t xml:space="preserve"> According to the World Economic Forum's Global Gender Gap Index (WEF, 2017), Argentina stands out in terms of access to education for men and women, obtaining a score of 0.998 out of 1, which indicates parity between men and women. This proportion holds true in each priority area.</w:t>
            </w:r>
          </w:p>
          <w:p w14:paraId="27CE74EC" w14:textId="77777777" w:rsidR="00494980" w:rsidRPr="003F7F6C" w:rsidRDefault="00494980" w:rsidP="008E53E9">
            <w:pPr>
              <w:tabs>
                <w:tab w:val="left" w:pos="432"/>
              </w:tabs>
              <w:spacing w:before="60"/>
              <w:rPr>
                <w:szCs w:val="20"/>
              </w:rPr>
            </w:pPr>
            <w:r w:rsidRPr="003F7F6C">
              <w:rPr>
                <w:b/>
                <w:szCs w:val="20"/>
              </w:rPr>
              <w:t>10.</w:t>
            </w:r>
            <w:r w:rsidRPr="003F7F6C">
              <w:rPr>
                <w:szCs w:val="20"/>
              </w:rPr>
              <w:t xml:space="preserve"> Regarding the level of poverty and indigence, in the second half of 2017 the percentage of households below the poverty line was 17.9%; these comprise 25.7% of people. In the three prioritized areas, the differences are not statistically significant, except for Buenos Aires where the percentage of households and people below the poverty line exceeds the national average (21.3% and 29.5%, respectively) and the same situation is observed in terms of the indigence analysis, where the values ​​exceed the percentage at the country level (4.6% of households that comprise 6.2% of the population in this prioritized area). </w:t>
            </w:r>
          </w:p>
          <w:p w14:paraId="36685727" w14:textId="77777777" w:rsidR="00494980" w:rsidRPr="003F7F6C" w:rsidRDefault="00494980" w:rsidP="008E53E9">
            <w:pPr>
              <w:tabs>
                <w:tab w:val="left" w:pos="432"/>
              </w:tabs>
              <w:spacing w:before="60"/>
              <w:rPr>
                <w:szCs w:val="20"/>
              </w:rPr>
            </w:pPr>
            <w:r w:rsidRPr="003F7F6C">
              <w:rPr>
                <w:b/>
                <w:szCs w:val="20"/>
              </w:rPr>
              <w:t>11.</w:t>
            </w:r>
            <w:r w:rsidRPr="003F7F6C">
              <w:rPr>
                <w:szCs w:val="20"/>
              </w:rPr>
              <w:t xml:space="preserve"> The amount of average weekly hours that women devote to unpaid work is much higher than that of men, and as the age of children increases, women’s participation in the labor market increases, too. This is unlike what happens with men, whose participation remains stable. In the country as a whole, women spend, on average, 76.4% of their time on unpaid domestic work, while men spend, on average, only 23.6% of their time on the same activity (EAHU, 2013). That is, women spend 3.3 times more of their time on unpaid domestic work than men. This proportion is evident in each priority area.</w:t>
            </w:r>
          </w:p>
          <w:p w14:paraId="5BE44FB4" w14:textId="77777777" w:rsidR="00494980" w:rsidRPr="003F7F6C" w:rsidRDefault="00494980" w:rsidP="008E53E9">
            <w:pPr>
              <w:tabs>
                <w:tab w:val="left" w:pos="432"/>
              </w:tabs>
              <w:spacing w:before="60"/>
              <w:rPr>
                <w:b/>
                <w:szCs w:val="20"/>
              </w:rPr>
            </w:pPr>
            <w:r w:rsidRPr="003F7F6C">
              <w:rPr>
                <w:b/>
                <w:szCs w:val="20"/>
              </w:rPr>
              <w:t>Main strategies to mainstream gender and ethnicity in the project</w:t>
            </w:r>
          </w:p>
          <w:p w14:paraId="60D292BE" w14:textId="77777777" w:rsidR="00494980" w:rsidRPr="003F7F6C" w:rsidRDefault="00494980" w:rsidP="00E91275">
            <w:pPr>
              <w:pStyle w:val="CommentText"/>
              <w:numPr>
                <w:ilvl w:val="0"/>
                <w:numId w:val="77"/>
              </w:numPr>
              <w:tabs>
                <w:tab w:val="left" w:pos="284"/>
              </w:tabs>
              <w:spacing w:after="0"/>
              <w:ind w:left="0" w:firstLine="0"/>
            </w:pPr>
            <w:r w:rsidRPr="003F7F6C">
              <w:t xml:space="preserve">Gender balance will be taken into account in engaging the project team, the Project Board and multi-sectoral, multi-stakeholder dialogue spaces. For this sake, a consultant will be hired or contracted during project implementation to work on gender mainstreaming aspects. </w:t>
            </w:r>
          </w:p>
          <w:p w14:paraId="09546183" w14:textId="77777777" w:rsidR="00494980" w:rsidRPr="003F7F6C" w:rsidRDefault="00494980" w:rsidP="00E91275">
            <w:pPr>
              <w:pStyle w:val="CommentText"/>
              <w:numPr>
                <w:ilvl w:val="0"/>
                <w:numId w:val="77"/>
              </w:numPr>
              <w:tabs>
                <w:tab w:val="left" w:pos="284"/>
              </w:tabs>
              <w:spacing w:after="0"/>
              <w:ind w:left="0" w:firstLine="0"/>
            </w:pPr>
            <w:r w:rsidRPr="003F7F6C">
              <w:t>Including gender and ethnicity disaggregated social and economic data collected from official sources in the development of policy, economic, financial and technical instruments and governance mechanisms for ELUP. If the latter are scarce, specific instruments (e.g. survey) should be created by the project to gather sensible and evidence-based gender and ethnicity disaggregated data to examine gender dimensions in the use of BD and ecosystem resources management.</w:t>
            </w:r>
          </w:p>
          <w:p w14:paraId="052D93F1" w14:textId="77777777" w:rsidR="00494980" w:rsidRPr="003F7F6C" w:rsidRDefault="00494980" w:rsidP="00E91275">
            <w:pPr>
              <w:pStyle w:val="CommentText"/>
              <w:numPr>
                <w:ilvl w:val="0"/>
                <w:numId w:val="77"/>
              </w:numPr>
              <w:tabs>
                <w:tab w:val="left" w:pos="284"/>
              </w:tabs>
              <w:spacing w:after="0"/>
              <w:ind w:left="0" w:firstLine="0"/>
            </w:pPr>
            <w:r w:rsidRPr="003F7F6C">
              <w:t>Development of a capacity building program aimed at public officials and/or technical teams to raise awareness on the importance of engaging both women and men in decision-making processes and addressing gender issues.</w:t>
            </w:r>
          </w:p>
          <w:p w14:paraId="4091449D" w14:textId="77777777" w:rsidR="00494980" w:rsidRPr="003F7F6C" w:rsidRDefault="00494980" w:rsidP="00E91275">
            <w:pPr>
              <w:pStyle w:val="CommentText"/>
              <w:numPr>
                <w:ilvl w:val="0"/>
                <w:numId w:val="77"/>
              </w:numPr>
              <w:tabs>
                <w:tab w:val="left" w:pos="284"/>
              </w:tabs>
              <w:spacing w:after="0"/>
              <w:ind w:left="0" w:firstLine="0"/>
            </w:pPr>
            <w:r w:rsidRPr="003F7F6C">
              <w:t>Gender and ethnicity mainstreaming in the promotion of dialogue mechanisms, making the most of existing spaces and structures for consultation, deliberation, decision-making and inter-institutional coordination at the national, provincial and pilot levels, by fostering equal participation of women and men and indigenous populations in agenda-setting, decision-making and/or policy-making processes.</w:t>
            </w:r>
          </w:p>
          <w:p w14:paraId="2002207E" w14:textId="77777777" w:rsidR="00494980" w:rsidRPr="003F7F6C" w:rsidRDefault="00494980" w:rsidP="008E53E9">
            <w:pPr>
              <w:pStyle w:val="CommentText"/>
            </w:pPr>
            <w:r w:rsidRPr="003F7F6C">
              <w:rPr>
                <w:b/>
              </w:rPr>
              <w:t>5.</w:t>
            </w:r>
            <w:r w:rsidRPr="003F7F6C">
              <w:t xml:space="preserve"> Development of a capacity building program aimed at women beneficiaries (indigenous and non-indigenous) in the three prioritized areas and pilot sites to: i) promote gender equality in the management, use and conservation of biodiversity; ii) ensure that both women and men´s needs are addressed through the project interventions; iii) engaging men and women equally in order to ensure their participation in multi-sectoral and multi-stakeholder dialogue spaces (dialogue platforms and/or mechanisms in the three prioritized areas). For this purpose, the project will articulate with the gender machinery at the national level (National Institute of Women – INAM, the Federal Council of Women and the National Institute of Indigenous Affairs) and with the three provincial gender and indigenous affairs institutions (Buenos Aires: the Provincial Council of Women under the Secretariat for Gender and Sexual Diversity of the Secretariat for Human Rights of the Province of Buenos Aires and the Provincial Council for Indigenous Affairs (CPAI), a co-decision body of the Human Rights Secretariat of the Province of Buenos Aires; Mendoza: the Directorate of Women, Gender and Diversity under the Ministry of Social Development and Human Rights and in Jujuy, the Gender Parity Secretariat under the Ministry of Human Development and the Secretariat of Indigenous Peoples). Each of these entities will enhance collaboration with civil society organizations in the three prioritized areas.</w:t>
            </w:r>
          </w:p>
          <w:p w14:paraId="0CA53301" w14:textId="77777777" w:rsidR="00494980" w:rsidRPr="003F7F6C" w:rsidRDefault="00494980" w:rsidP="008E53E9">
            <w:pPr>
              <w:pStyle w:val="CommentText"/>
              <w:tabs>
                <w:tab w:val="left" w:pos="284"/>
              </w:tabs>
            </w:pPr>
            <w:r w:rsidRPr="003F7F6C">
              <w:rPr>
                <w:b/>
              </w:rPr>
              <w:t>6.</w:t>
            </w:r>
            <w:r w:rsidRPr="003F7F6C">
              <w:t xml:space="preserve"> Enhance project knowledge management by systematizing, assessing, replicating and/or scaling up lessons learned, case studies, and promising and/or best practices on gender mainstreaming and multicultural approach in BD/SLM and ELUP and on women’s participation in dialogue platforms and/or mechanisms in the three prioritized areas. This strategy is based on the assumption that beneficiaries are aware of the need to adopt sustainable and environmentally friendly best practices and their advantages to help improve production, productivity and livelihoods, engage and adopt best practices.</w:t>
            </w:r>
          </w:p>
          <w:p w14:paraId="38A26DCD" w14:textId="77777777" w:rsidR="00494980" w:rsidRPr="003F7F6C" w:rsidRDefault="00494980" w:rsidP="008E53E9">
            <w:pPr>
              <w:pStyle w:val="CommentText"/>
            </w:pPr>
            <w:r w:rsidRPr="003F7F6C">
              <w:rPr>
                <w:b/>
              </w:rPr>
              <w:t>7.</w:t>
            </w:r>
            <w:r w:rsidRPr="003F7F6C">
              <w:t xml:space="preserve"> Gender-disaggregated indicators have been included in the Project Results Framework and financial and human resources have been set aside for gender mainstreaming and monitoring the effectiveness of doing so. A consultant will be hired or contracted during project implementation to work on gender mainstreaming aspects.</w:t>
            </w:r>
          </w:p>
        </w:tc>
      </w:tr>
      <w:tr w:rsidR="00494980" w:rsidRPr="003F7F6C" w14:paraId="6CC84AE0" w14:textId="77777777" w:rsidTr="00494980">
        <w:trPr>
          <w:trHeight w:val="305"/>
        </w:trPr>
        <w:tc>
          <w:tcPr>
            <w:tcW w:w="13745" w:type="dxa"/>
            <w:shd w:val="clear" w:color="auto" w:fill="C6D9F1"/>
          </w:tcPr>
          <w:p w14:paraId="27CFDFC5" w14:textId="77777777" w:rsidR="00494980" w:rsidRPr="003F7F6C" w:rsidRDefault="00494980" w:rsidP="008E53E9">
            <w:pPr>
              <w:spacing w:after="120"/>
              <w:contextualSpacing/>
              <w:rPr>
                <w:b/>
                <w:i/>
                <w:sz w:val="18"/>
                <w:szCs w:val="18"/>
                <w:u w:val="single"/>
              </w:rPr>
            </w:pPr>
            <w:r w:rsidRPr="003F7F6C">
              <w:rPr>
                <w:rFonts w:eastAsia="Times New Roman"/>
                <w:b/>
                <w:i/>
                <w:sz w:val="18"/>
                <w:szCs w:val="18"/>
              </w:rPr>
              <w:t>Briefly describe in the space below how the Project mainstreams environmental sustainability</w:t>
            </w:r>
          </w:p>
        </w:tc>
      </w:tr>
      <w:tr w:rsidR="00494980" w:rsidRPr="003F7F6C" w14:paraId="610AB6DC" w14:textId="77777777" w:rsidTr="00494980">
        <w:tc>
          <w:tcPr>
            <w:tcW w:w="13745" w:type="dxa"/>
            <w:shd w:val="clear" w:color="auto" w:fill="auto"/>
          </w:tcPr>
          <w:p w14:paraId="5AED6A0F" w14:textId="77777777" w:rsidR="00494980" w:rsidRPr="003F7F6C" w:rsidRDefault="00494980" w:rsidP="008E53E9">
            <w:pPr>
              <w:pStyle w:val="GEFFieldtoFillout"/>
              <w:ind w:left="0"/>
              <w:jc w:val="both"/>
              <w:rPr>
                <w:color w:val="auto"/>
              </w:rPr>
            </w:pPr>
            <w:r w:rsidRPr="003F7F6C">
              <w:rPr>
                <w:color w:val="auto"/>
                <w:lang w:val="en-GB"/>
              </w:rPr>
              <w:t>The project will provide support to make this ELUP operational and will be based on criteria such as valuation of ecosystem goods and services and trade off scenario analysis to determine changes or modifications needed in production practices to reduce impact in priority areas in the landscape. It will support ELUP in three provinces (Buenos Aires, Jujuy and Mendoza), test sustainable production practices for different zones and model a mix of instruments to implement restrictions in priority landscapes as needed. These include command and control mechanisms, such as fines, fiscal approaches and incentives (e.g., preferential credit, market-based).  This will deliver direct benefits to nine ecoregions with globally significant biodiversity or top priorities for combatting land degradation (Pampas, Delta and Islands of the Parana River, Espinal, Puna, Yungas Forest, High Monte, Low Monte, High Andes and Patagonian Steppe). In parallel the project will strengthen Federal public policy for ELUP including setting the minimum standards for the application of these approaches in Provinces across the nation, and will incorporate the ELUP mechanisms into sector planning and finance frameworks. In doing so it will trigger changes in the use of public finance flows on the scale necessary to address threats to priority areas and develop the policy reforms needed to mitigate the key sectoral drivers of biodiversity loss and land degradation and encourage sustainable development through the better management of biodiversity and natural capital.</w:t>
            </w:r>
            <w:r w:rsidRPr="003F7F6C">
              <w:rPr>
                <w:color w:val="auto"/>
              </w:rPr>
              <w:t xml:space="preserve"> </w:t>
            </w:r>
          </w:p>
        </w:tc>
      </w:tr>
    </w:tbl>
    <w:p w14:paraId="731607F6" w14:textId="77777777" w:rsidR="00494980" w:rsidRPr="003F7F6C" w:rsidRDefault="00494980" w:rsidP="00494980">
      <w:pPr>
        <w:rPr>
          <w:b/>
          <w:szCs w:val="20"/>
        </w:rPr>
      </w:pPr>
    </w:p>
    <w:p w14:paraId="2F3C53BE" w14:textId="77777777" w:rsidR="00494980" w:rsidRPr="003F7F6C" w:rsidRDefault="00494980" w:rsidP="00494980">
      <w:pPr>
        <w:keepNext/>
        <w:spacing w:before="200"/>
        <w:ind w:left="360"/>
        <w:rPr>
          <w:b/>
          <w:color w:val="365F91"/>
          <w:sz w:val="24"/>
        </w:rPr>
      </w:pPr>
      <w:r w:rsidRPr="003F7F6C">
        <w:rPr>
          <w:b/>
          <w:color w:val="365F91"/>
          <w:sz w:val="24"/>
        </w:rPr>
        <w:t xml:space="preserve">Part B. Identifying and Managing Social and Environmental </w:t>
      </w:r>
      <w:r w:rsidRPr="003F7F6C">
        <w:rPr>
          <w:b/>
          <w:color w:val="365F91"/>
          <w:sz w:val="24"/>
          <w:u w:val="single"/>
        </w:rPr>
        <w:t>Risks</w:t>
      </w:r>
    </w:p>
    <w:tbl>
      <w:tblPr>
        <w:tblW w:w="1375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10"/>
        <w:gridCol w:w="1080"/>
        <w:gridCol w:w="1080"/>
        <w:gridCol w:w="2183"/>
        <w:gridCol w:w="427"/>
        <w:gridCol w:w="367"/>
        <w:gridCol w:w="5103"/>
      </w:tblGrid>
      <w:tr w:rsidR="00494980" w:rsidRPr="003F7F6C" w14:paraId="29677679" w14:textId="77777777" w:rsidTr="00494980">
        <w:trPr>
          <w:trHeight w:val="1061"/>
        </w:trPr>
        <w:tc>
          <w:tcPr>
            <w:tcW w:w="3510" w:type="dxa"/>
            <w:shd w:val="clear" w:color="auto" w:fill="0F243E"/>
          </w:tcPr>
          <w:p w14:paraId="38655EBD" w14:textId="77777777" w:rsidR="00494980" w:rsidRPr="003F7F6C" w:rsidRDefault="00494980" w:rsidP="008E53E9">
            <w:pPr>
              <w:keepNext/>
              <w:tabs>
                <w:tab w:val="left" w:pos="101"/>
              </w:tabs>
              <w:ind w:right="252" w:firstLine="11"/>
              <w:rPr>
                <w:b/>
                <w:szCs w:val="20"/>
              </w:rPr>
            </w:pPr>
            <w:r w:rsidRPr="003F7F6C">
              <w:rPr>
                <w:b/>
                <w:szCs w:val="20"/>
              </w:rPr>
              <w:t xml:space="preserve">QUESTION 2: What are the Potential Social and Environmental Risks? </w:t>
            </w:r>
          </w:p>
          <w:p w14:paraId="23F053C6" w14:textId="77777777" w:rsidR="00494980" w:rsidRPr="003F7F6C" w:rsidRDefault="00494980" w:rsidP="008E53E9">
            <w:pPr>
              <w:keepNext/>
              <w:tabs>
                <w:tab w:val="left" w:pos="101"/>
              </w:tabs>
              <w:ind w:right="252" w:firstLine="11"/>
              <w:rPr>
                <w:b/>
                <w:szCs w:val="20"/>
              </w:rPr>
            </w:pPr>
            <w:r w:rsidRPr="003F7F6C">
              <w:rPr>
                <w:i/>
                <w:sz w:val="18"/>
                <w:szCs w:val="18"/>
              </w:rPr>
              <w:t>Note: Describe briefly potential social and environmental risks identified in Attachment 1 – Risk Screening Checklist (based on any “Yes” responses). If no risks have been identified in Attachment 1 then note “No Risks Identified” and skip to Question 4 and Select “Low Risk”. Questions 5 and 6 not required for Low Risk Projects.</w:t>
            </w:r>
          </w:p>
        </w:tc>
        <w:tc>
          <w:tcPr>
            <w:tcW w:w="5137" w:type="dxa"/>
            <w:gridSpan w:val="5"/>
            <w:shd w:val="clear" w:color="auto" w:fill="0F243E"/>
          </w:tcPr>
          <w:p w14:paraId="55CAA7F9" w14:textId="77777777" w:rsidR="00494980" w:rsidRPr="003F7F6C" w:rsidRDefault="00494980" w:rsidP="008E53E9">
            <w:pPr>
              <w:keepNext/>
              <w:tabs>
                <w:tab w:val="left" w:pos="101"/>
              </w:tabs>
              <w:ind w:right="252" w:firstLine="11"/>
              <w:rPr>
                <w:b/>
                <w:szCs w:val="20"/>
              </w:rPr>
            </w:pPr>
            <w:r w:rsidRPr="003F7F6C">
              <w:rPr>
                <w:b/>
                <w:szCs w:val="20"/>
              </w:rPr>
              <w:t>QUESTION 3: What is the level of significance of the potential social and environmental risks?</w:t>
            </w:r>
          </w:p>
          <w:p w14:paraId="5A9ADB84" w14:textId="77777777" w:rsidR="00494980" w:rsidRPr="003F7F6C" w:rsidRDefault="00494980" w:rsidP="008E53E9">
            <w:pPr>
              <w:keepNext/>
              <w:tabs>
                <w:tab w:val="left" w:pos="432"/>
              </w:tabs>
              <w:rPr>
                <w:b/>
                <w:szCs w:val="20"/>
              </w:rPr>
            </w:pPr>
            <w:r w:rsidRPr="003F7F6C">
              <w:rPr>
                <w:i/>
                <w:sz w:val="18"/>
                <w:szCs w:val="18"/>
              </w:rPr>
              <w:t>Note: Respond to Questions 4 and 5 below before proceeding to Question 6</w:t>
            </w:r>
          </w:p>
        </w:tc>
        <w:tc>
          <w:tcPr>
            <w:tcW w:w="5103" w:type="dxa"/>
            <w:shd w:val="clear" w:color="auto" w:fill="0F243E"/>
          </w:tcPr>
          <w:p w14:paraId="01E42B8D" w14:textId="77777777" w:rsidR="00494980" w:rsidRPr="003F7F6C" w:rsidRDefault="00494980" w:rsidP="008E53E9">
            <w:pPr>
              <w:keepNext/>
              <w:tabs>
                <w:tab w:val="left" w:pos="432"/>
              </w:tabs>
              <w:rPr>
                <w:b/>
                <w:szCs w:val="20"/>
              </w:rPr>
            </w:pPr>
            <w:r w:rsidRPr="003F7F6C">
              <w:rPr>
                <w:b/>
                <w:szCs w:val="20"/>
              </w:rPr>
              <w:t>QUESTION 6: What social and environmental assessment and management measures have been conducted and/or are required to address potential risks (for Risks with Moderate and High Significance)?</w:t>
            </w:r>
          </w:p>
        </w:tc>
      </w:tr>
      <w:tr w:rsidR="00494980" w:rsidRPr="003F7F6C" w14:paraId="586F61BF" w14:textId="77777777" w:rsidTr="00494980">
        <w:tc>
          <w:tcPr>
            <w:tcW w:w="3510" w:type="dxa"/>
            <w:shd w:val="clear" w:color="auto" w:fill="C6D9F1"/>
          </w:tcPr>
          <w:p w14:paraId="0138C6EC" w14:textId="77777777" w:rsidR="00494980" w:rsidRPr="003F7F6C" w:rsidRDefault="00494980" w:rsidP="008E53E9">
            <w:pPr>
              <w:rPr>
                <w:b/>
                <w:i/>
                <w:sz w:val="18"/>
                <w:szCs w:val="18"/>
              </w:rPr>
            </w:pPr>
            <w:r w:rsidRPr="003F7F6C">
              <w:rPr>
                <w:b/>
                <w:i/>
                <w:sz w:val="18"/>
                <w:szCs w:val="18"/>
              </w:rPr>
              <w:t>Risk Description</w:t>
            </w:r>
          </w:p>
        </w:tc>
        <w:tc>
          <w:tcPr>
            <w:tcW w:w="1080" w:type="dxa"/>
            <w:shd w:val="clear" w:color="auto" w:fill="C6D9F1"/>
          </w:tcPr>
          <w:p w14:paraId="7A33F05F" w14:textId="77777777" w:rsidR="00494980" w:rsidRPr="003F7F6C" w:rsidRDefault="00494980" w:rsidP="008E53E9">
            <w:pPr>
              <w:ind w:left="-72" w:right="-72"/>
              <w:jc w:val="center"/>
              <w:rPr>
                <w:b/>
                <w:i/>
                <w:sz w:val="18"/>
                <w:szCs w:val="18"/>
              </w:rPr>
            </w:pPr>
            <w:r w:rsidRPr="003F7F6C">
              <w:rPr>
                <w:b/>
                <w:i/>
                <w:sz w:val="18"/>
                <w:szCs w:val="18"/>
              </w:rPr>
              <w:t>Impact and Probability  (1-5)</w:t>
            </w:r>
          </w:p>
        </w:tc>
        <w:tc>
          <w:tcPr>
            <w:tcW w:w="1080" w:type="dxa"/>
            <w:shd w:val="clear" w:color="auto" w:fill="C6D9F1"/>
          </w:tcPr>
          <w:p w14:paraId="359965E6" w14:textId="77777777" w:rsidR="00494980" w:rsidRPr="003F7F6C" w:rsidRDefault="00494980" w:rsidP="008E53E9">
            <w:pPr>
              <w:ind w:left="-72" w:right="-72"/>
              <w:jc w:val="center"/>
              <w:rPr>
                <w:b/>
                <w:i/>
                <w:sz w:val="18"/>
                <w:szCs w:val="18"/>
              </w:rPr>
            </w:pPr>
            <w:r w:rsidRPr="003F7F6C">
              <w:rPr>
                <w:b/>
                <w:i/>
                <w:sz w:val="18"/>
                <w:szCs w:val="18"/>
              </w:rPr>
              <w:t>Significance</w:t>
            </w:r>
          </w:p>
          <w:p w14:paraId="58E6F175" w14:textId="77777777" w:rsidR="00494980" w:rsidRPr="003F7F6C" w:rsidRDefault="00494980" w:rsidP="008E53E9">
            <w:pPr>
              <w:ind w:left="-72" w:right="-72"/>
              <w:jc w:val="center"/>
              <w:rPr>
                <w:b/>
                <w:i/>
                <w:sz w:val="18"/>
                <w:szCs w:val="18"/>
              </w:rPr>
            </w:pPr>
            <w:r w:rsidRPr="003F7F6C">
              <w:rPr>
                <w:b/>
                <w:i/>
                <w:sz w:val="18"/>
                <w:szCs w:val="18"/>
              </w:rPr>
              <w:t>(Low, Moderate, High)</w:t>
            </w:r>
          </w:p>
        </w:tc>
        <w:tc>
          <w:tcPr>
            <w:tcW w:w="2977" w:type="dxa"/>
            <w:gridSpan w:val="3"/>
            <w:shd w:val="clear" w:color="auto" w:fill="C6D9F1"/>
          </w:tcPr>
          <w:p w14:paraId="2ECA0B98" w14:textId="77777777" w:rsidR="00494980" w:rsidRPr="003F7F6C" w:rsidRDefault="00494980" w:rsidP="008E53E9">
            <w:pPr>
              <w:ind w:left="-72" w:right="-72"/>
              <w:jc w:val="center"/>
              <w:rPr>
                <w:b/>
                <w:i/>
                <w:sz w:val="18"/>
                <w:szCs w:val="18"/>
              </w:rPr>
            </w:pPr>
            <w:r w:rsidRPr="003F7F6C">
              <w:rPr>
                <w:b/>
                <w:i/>
                <w:sz w:val="18"/>
                <w:szCs w:val="18"/>
              </w:rPr>
              <w:t>Comments</w:t>
            </w:r>
          </w:p>
        </w:tc>
        <w:tc>
          <w:tcPr>
            <w:tcW w:w="5103" w:type="dxa"/>
            <w:shd w:val="clear" w:color="auto" w:fill="C6D9F1"/>
          </w:tcPr>
          <w:p w14:paraId="182B83E3" w14:textId="77777777" w:rsidR="00494980" w:rsidRPr="003F7F6C" w:rsidRDefault="00494980" w:rsidP="008E53E9">
            <w:pPr>
              <w:ind w:left="-72" w:right="-72"/>
              <w:jc w:val="center"/>
              <w:rPr>
                <w:b/>
                <w:i/>
                <w:sz w:val="18"/>
                <w:szCs w:val="18"/>
              </w:rPr>
            </w:pPr>
            <w:r w:rsidRPr="003F7F6C">
              <w:rPr>
                <w:b/>
                <w:i/>
                <w:sz w:val="18"/>
                <w:szCs w:val="18"/>
              </w:rPr>
              <w:t>Description of assessment and management measures as reflected in the Project design.  If ESIA or SESA is required note that the assessment should consider all potential impacts and risks.</w:t>
            </w:r>
          </w:p>
        </w:tc>
      </w:tr>
      <w:tr w:rsidR="00494980" w:rsidRPr="003F7F6C" w14:paraId="7AFE83E0" w14:textId="77777777" w:rsidTr="00494980">
        <w:tc>
          <w:tcPr>
            <w:tcW w:w="3510" w:type="dxa"/>
            <w:shd w:val="clear" w:color="auto" w:fill="auto"/>
            <w:vAlign w:val="center"/>
          </w:tcPr>
          <w:p w14:paraId="4405C4C3" w14:textId="77777777" w:rsidR="00494980" w:rsidRPr="003F7F6C" w:rsidRDefault="00494980" w:rsidP="008E53E9">
            <w:pPr>
              <w:rPr>
                <w:sz w:val="18"/>
                <w:szCs w:val="18"/>
              </w:rPr>
            </w:pPr>
            <w:r w:rsidRPr="003F7F6C">
              <w:rPr>
                <w:sz w:val="18"/>
                <w:szCs w:val="18"/>
                <w:u w:val="single"/>
              </w:rPr>
              <w:t>Risk 1</w:t>
            </w:r>
            <w:r w:rsidRPr="003F7F6C">
              <w:rPr>
                <w:sz w:val="18"/>
                <w:szCs w:val="18"/>
              </w:rPr>
              <w:t xml:space="preserve"> The project </w:t>
            </w:r>
            <w:r w:rsidRPr="003F7F6C">
              <w:rPr>
                <w:rFonts w:eastAsia="Times New Roman"/>
                <w:bCs/>
                <w:sz w:val="18"/>
                <w:szCs w:val="18"/>
              </w:rPr>
              <w:t>activities will take place within and adjacent to critical habitats and/or environmentally sensitive areas, including legally protected areas and indigenous people’s lands</w:t>
            </w:r>
            <w:r w:rsidRPr="003F7F6C">
              <w:rPr>
                <w:sz w:val="18"/>
                <w:szCs w:val="18"/>
              </w:rPr>
              <w:t>. The risk is that unless proposed land uses take into account ecosystem structure and function limitations, it may adversely affect conservation values of these areas.</w:t>
            </w:r>
          </w:p>
          <w:p w14:paraId="2C5A47A8" w14:textId="77777777" w:rsidR="00494980" w:rsidRPr="003F7F6C" w:rsidRDefault="00494980" w:rsidP="008E53E9">
            <w:pPr>
              <w:rPr>
                <w:sz w:val="18"/>
                <w:szCs w:val="18"/>
              </w:rPr>
            </w:pPr>
          </w:p>
          <w:p w14:paraId="1E7BB134" w14:textId="77777777" w:rsidR="00494980" w:rsidRPr="003F7F6C" w:rsidRDefault="00494980" w:rsidP="008E53E9">
            <w:pPr>
              <w:rPr>
                <w:sz w:val="18"/>
                <w:szCs w:val="18"/>
              </w:rPr>
            </w:pPr>
            <w:r w:rsidRPr="003F7F6C">
              <w:rPr>
                <w:sz w:val="18"/>
                <w:szCs w:val="18"/>
              </w:rPr>
              <w:t>(Standard 1, questions 1.1, 1.2 and 1.3)</w:t>
            </w:r>
          </w:p>
          <w:p w14:paraId="0A49E213" w14:textId="77777777" w:rsidR="00494980" w:rsidRPr="003F7F6C" w:rsidRDefault="00494980" w:rsidP="008E53E9">
            <w:pPr>
              <w:rPr>
                <w:sz w:val="18"/>
                <w:szCs w:val="18"/>
              </w:rPr>
            </w:pPr>
          </w:p>
          <w:p w14:paraId="4F729FA2" w14:textId="77777777" w:rsidR="00494980" w:rsidRPr="003F7F6C" w:rsidRDefault="00494980" w:rsidP="008E53E9">
            <w:pPr>
              <w:rPr>
                <w:sz w:val="18"/>
                <w:szCs w:val="18"/>
              </w:rPr>
            </w:pPr>
          </w:p>
        </w:tc>
        <w:tc>
          <w:tcPr>
            <w:tcW w:w="1080" w:type="dxa"/>
            <w:shd w:val="clear" w:color="auto" w:fill="auto"/>
          </w:tcPr>
          <w:p w14:paraId="7B62F48C" w14:textId="77777777" w:rsidR="00494980" w:rsidRPr="003F7F6C" w:rsidRDefault="00494980" w:rsidP="008E53E9">
            <w:pPr>
              <w:rPr>
                <w:rFonts w:cs="Minion Pro"/>
                <w:sz w:val="18"/>
                <w:szCs w:val="18"/>
              </w:rPr>
            </w:pPr>
            <w:r w:rsidRPr="003F7F6C">
              <w:rPr>
                <w:rFonts w:cs="Minion Pro"/>
                <w:sz w:val="18"/>
                <w:szCs w:val="18"/>
              </w:rPr>
              <w:t>I = 3</w:t>
            </w:r>
          </w:p>
          <w:p w14:paraId="1E4C91E0" w14:textId="77777777" w:rsidR="00494980" w:rsidRPr="003F7F6C" w:rsidRDefault="00494980" w:rsidP="008E53E9">
            <w:pPr>
              <w:rPr>
                <w:rFonts w:cs="Minion Pro"/>
                <w:sz w:val="18"/>
                <w:szCs w:val="18"/>
              </w:rPr>
            </w:pPr>
            <w:r w:rsidRPr="003F7F6C">
              <w:rPr>
                <w:rFonts w:cs="Minion Pro"/>
                <w:sz w:val="18"/>
                <w:szCs w:val="18"/>
              </w:rPr>
              <w:t>P = 1</w:t>
            </w:r>
          </w:p>
          <w:p w14:paraId="7A851151" w14:textId="77777777" w:rsidR="00494980" w:rsidRPr="003F7F6C" w:rsidRDefault="00494980" w:rsidP="008E53E9">
            <w:pPr>
              <w:rPr>
                <w:rFonts w:cs="Minion Pro"/>
                <w:sz w:val="18"/>
                <w:szCs w:val="18"/>
              </w:rPr>
            </w:pPr>
          </w:p>
        </w:tc>
        <w:tc>
          <w:tcPr>
            <w:tcW w:w="1080" w:type="dxa"/>
            <w:shd w:val="clear" w:color="auto" w:fill="auto"/>
          </w:tcPr>
          <w:p w14:paraId="5DF6538C" w14:textId="77777777" w:rsidR="00494980" w:rsidRPr="003F7F6C" w:rsidRDefault="00494980" w:rsidP="008E53E9">
            <w:pPr>
              <w:rPr>
                <w:b/>
                <w:sz w:val="18"/>
                <w:szCs w:val="18"/>
              </w:rPr>
            </w:pPr>
            <w:r w:rsidRPr="003F7F6C">
              <w:rPr>
                <w:sz w:val="18"/>
                <w:szCs w:val="18"/>
                <w:lang w:val="en-GB"/>
              </w:rPr>
              <w:t>Low</w:t>
            </w:r>
          </w:p>
        </w:tc>
        <w:tc>
          <w:tcPr>
            <w:tcW w:w="2977" w:type="dxa"/>
            <w:gridSpan w:val="3"/>
            <w:shd w:val="clear" w:color="auto" w:fill="auto"/>
          </w:tcPr>
          <w:p w14:paraId="4DF01D44" w14:textId="77777777" w:rsidR="00494980" w:rsidRPr="003F7F6C" w:rsidRDefault="00494980" w:rsidP="008E53E9">
            <w:pPr>
              <w:rPr>
                <w:sz w:val="18"/>
                <w:szCs w:val="18"/>
              </w:rPr>
            </w:pPr>
            <w:r w:rsidRPr="003F7F6C">
              <w:rPr>
                <w:sz w:val="18"/>
                <w:szCs w:val="18"/>
              </w:rPr>
              <w:t>The focus of the project is precisely on maintaining areas that are identified as being priorities for their high biodiversity conservation value; or that are identified as vulnerable to land degradation, and in turn, loss of ecosystem goods and services that are important for livelihoods and production sectors.</w:t>
            </w:r>
          </w:p>
          <w:p w14:paraId="0F9F99C4" w14:textId="77777777" w:rsidR="00494980" w:rsidRPr="003F7F6C" w:rsidRDefault="00494980" w:rsidP="008E53E9">
            <w:pPr>
              <w:rPr>
                <w:sz w:val="18"/>
                <w:szCs w:val="18"/>
              </w:rPr>
            </w:pPr>
          </w:p>
          <w:p w14:paraId="78DAA26E" w14:textId="77777777" w:rsidR="00494980" w:rsidRPr="003F7F6C" w:rsidRDefault="00494980" w:rsidP="008E53E9">
            <w:pPr>
              <w:rPr>
                <w:sz w:val="18"/>
                <w:szCs w:val="18"/>
              </w:rPr>
            </w:pPr>
            <w:r w:rsidRPr="003F7F6C">
              <w:rPr>
                <w:sz w:val="18"/>
                <w:szCs w:val="18"/>
              </w:rPr>
              <w:t xml:space="preserve">The project will foster land use planning, governance and management that harmonize national, provincial and local priorities that will guide land use to those activities and practices that do not harm ecosystem goods and services.  </w:t>
            </w:r>
          </w:p>
          <w:p w14:paraId="769658EF" w14:textId="77777777" w:rsidR="00494980" w:rsidRPr="003F7F6C" w:rsidRDefault="00494980" w:rsidP="008E53E9">
            <w:pPr>
              <w:rPr>
                <w:b/>
                <w:sz w:val="18"/>
                <w:szCs w:val="18"/>
              </w:rPr>
            </w:pPr>
          </w:p>
        </w:tc>
        <w:tc>
          <w:tcPr>
            <w:tcW w:w="5103" w:type="dxa"/>
            <w:shd w:val="clear" w:color="auto" w:fill="auto"/>
          </w:tcPr>
          <w:p w14:paraId="00DEB626" w14:textId="77777777" w:rsidR="00494980" w:rsidRPr="003F7F6C" w:rsidRDefault="00494980" w:rsidP="008E53E9">
            <w:pPr>
              <w:rPr>
                <w:sz w:val="18"/>
                <w:szCs w:val="18"/>
              </w:rPr>
            </w:pPr>
          </w:p>
        </w:tc>
      </w:tr>
      <w:tr w:rsidR="00494980" w:rsidRPr="003F7F6C" w14:paraId="33033082" w14:textId="77777777" w:rsidTr="00494980">
        <w:tc>
          <w:tcPr>
            <w:tcW w:w="3510" w:type="dxa"/>
            <w:shd w:val="clear" w:color="auto" w:fill="auto"/>
            <w:vAlign w:val="center"/>
          </w:tcPr>
          <w:p w14:paraId="111631CC" w14:textId="77777777" w:rsidR="00494980" w:rsidRPr="003F7F6C" w:rsidRDefault="00494980" w:rsidP="008E53E9">
            <w:pPr>
              <w:rPr>
                <w:sz w:val="18"/>
                <w:szCs w:val="18"/>
              </w:rPr>
            </w:pPr>
            <w:r w:rsidRPr="003F7F6C">
              <w:rPr>
                <w:sz w:val="18"/>
                <w:szCs w:val="18"/>
              </w:rPr>
              <w:t>Risk 2:</w:t>
            </w:r>
            <w:r w:rsidRPr="003F7F6C">
              <w:rPr>
                <w:sz w:val="18"/>
                <w:szCs w:val="18"/>
                <w:lang w:val="en-GB"/>
              </w:rPr>
              <w:t xml:space="preserve"> </w:t>
            </w:r>
            <w:r w:rsidRPr="003F7F6C">
              <w:rPr>
                <w:sz w:val="18"/>
                <w:szCs w:val="18"/>
              </w:rPr>
              <w:t xml:space="preserve">Through Output 2.1 the project will support land use planning and regulation in sensitive areas where economic activity could potentially impact the ecosystem. This may result in economic displacement (e.g., loss of access to resources due to land use restrictions) and could have an opportunity cost to small-scale producers although there will be no loss of access to land or physical relocation. </w:t>
            </w:r>
          </w:p>
          <w:p w14:paraId="1B812312" w14:textId="77777777" w:rsidR="00494980" w:rsidRPr="003F7F6C" w:rsidRDefault="00494980" w:rsidP="008E53E9">
            <w:pPr>
              <w:rPr>
                <w:sz w:val="18"/>
                <w:szCs w:val="18"/>
              </w:rPr>
            </w:pPr>
          </w:p>
          <w:p w14:paraId="442B39B6" w14:textId="77777777" w:rsidR="00494980" w:rsidRPr="003F7F6C" w:rsidRDefault="00494980" w:rsidP="008E53E9">
            <w:pPr>
              <w:rPr>
                <w:sz w:val="18"/>
                <w:szCs w:val="18"/>
                <w:lang w:val="fr-CA"/>
              </w:rPr>
            </w:pPr>
            <w:r w:rsidRPr="003F7F6C">
              <w:rPr>
                <w:sz w:val="18"/>
                <w:szCs w:val="18"/>
                <w:lang w:val="fr-CA"/>
              </w:rPr>
              <w:t>(Standard 5, question 5.2)</w:t>
            </w:r>
          </w:p>
          <w:p w14:paraId="4951E298" w14:textId="77777777" w:rsidR="00494980" w:rsidRPr="003F7F6C" w:rsidRDefault="00494980" w:rsidP="008E53E9">
            <w:pPr>
              <w:rPr>
                <w:sz w:val="18"/>
                <w:szCs w:val="18"/>
                <w:lang w:val="fr-CA"/>
              </w:rPr>
            </w:pPr>
            <w:r w:rsidRPr="003F7F6C">
              <w:rPr>
                <w:sz w:val="18"/>
                <w:szCs w:val="18"/>
                <w:lang w:val="fr-CA"/>
              </w:rPr>
              <w:t>(Principle 1, question 3)</w:t>
            </w:r>
          </w:p>
          <w:p w14:paraId="656EB523" w14:textId="77777777" w:rsidR="00494980" w:rsidRPr="003F7F6C" w:rsidRDefault="00494980" w:rsidP="008E53E9">
            <w:pPr>
              <w:rPr>
                <w:sz w:val="18"/>
                <w:szCs w:val="18"/>
                <w:lang w:val="fr-CA"/>
              </w:rPr>
            </w:pPr>
            <w:r w:rsidRPr="003F7F6C">
              <w:rPr>
                <w:sz w:val="18"/>
                <w:szCs w:val="18"/>
                <w:lang w:val="fr-CA"/>
              </w:rPr>
              <w:t>(Standard 6, question 6.6)</w:t>
            </w:r>
          </w:p>
        </w:tc>
        <w:tc>
          <w:tcPr>
            <w:tcW w:w="1080" w:type="dxa"/>
            <w:shd w:val="clear" w:color="auto" w:fill="auto"/>
          </w:tcPr>
          <w:p w14:paraId="6327EA56" w14:textId="77777777" w:rsidR="00494980" w:rsidRPr="003F7F6C" w:rsidRDefault="00494980" w:rsidP="008E53E9">
            <w:pPr>
              <w:rPr>
                <w:rFonts w:cs="Minion Pro"/>
                <w:sz w:val="18"/>
                <w:szCs w:val="18"/>
              </w:rPr>
            </w:pPr>
            <w:r w:rsidRPr="003F7F6C">
              <w:rPr>
                <w:rFonts w:cs="Minion Pro"/>
                <w:sz w:val="18"/>
                <w:szCs w:val="18"/>
              </w:rPr>
              <w:t>I = 3</w:t>
            </w:r>
          </w:p>
          <w:p w14:paraId="0D55D14B" w14:textId="77777777" w:rsidR="00494980" w:rsidRPr="003F7F6C" w:rsidRDefault="00494980" w:rsidP="008E53E9">
            <w:pPr>
              <w:rPr>
                <w:sz w:val="18"/>
                <w:szCs w:val="18"/>
              </w:rPr>
            </w:pPr>
            <w:r w:rsidRPr="003F7F6C">
              <w:rPr>
                <w:rFonts w:cs="Minion Pro"/>
                <w:sz w:val="18"/>
                <w:szCs w:val="18"/>
              </w:rPr>
              <w:t>P = 3</w:t>
            </w:r>
          </w:p>
        </w:tc>
        <w:tc>
          <w:tcPr>
            <w:tcW w:w="1080" w:type="dxa"/>
            <w:shd w:val="clear" w:color="auto" w:fill="auto"/>
          </w:tcPr>
          <w:p w14:paraId="304ADAE0" w14:textId="77777777" w:rsidR="00494980" w:rsidRPr="003F7F6C" w:rsidRDefault="00494980" w:rsidP="008E53E9">
            <w:pPr>
              <w:rPr>
                <w:b/>
                <w:sz w:val="18"/>
                <w:szCs w:val="18"/>
              </w:rPr>
            </w:pPr>
            <w:r w:rsidRPr="003F7F6C">
              <w:rPr>
                <w:sz w:val="18"/>
                <w:szCs w:val="18"/>
                <w:lang w:val="en-GB"/>
              </w:rPr>
              <w:t>Moderate</w:t>
            </w:r>
          </w:p>
        </w:tc>
        <w:tc>
          <w:tcPr>
            <w:tcW w:w="2977" w:type="dxa"/>
            <w:gridSpan w:val="3"/>
            <w:shd w:val="clear" w:color="auto" w:fill="auto"/>
          </w:tcPr>
          <w:p w14:paraId="42BB98CB" w14:textId="77777777" w:rsidR="00494980" w:rsidRPr="003F7F6C" w:rsidRDefault="00494980" w:rsidP="008E53E9">
            <w:pPr>
              <w:rPr>
                <w:b/>
                <w:sz w:val="18"/>
                <w:szCs w:val="18"/>
                <w:lang w:val="en-GB"/>
              </w:rPr>
            </w:pPr>
          </w:p>
        </w:tc>
        <w:tc>
          <w:tcPr>
            <w:tcW w:w="5103" w:type="dxa"/>
            <w:shd w:val="clear" w:color="auto" w:fill="auto"/>
          </w:tcPr>
          <w:p w14:paraId="31E18049" w14:textId="77777777" w:rsidR="00494980" w:rsidRPr="003F7F6C" w:rsidRDefault="00494980" w:rsidP="008E53E9">
            <w:pPr>
              <w:rPr>
                <w:b/>
                <w:color w:val="4F81BD"/>
                <w:sz w:val="18"/>
                <w:szCs w:val="18"/>
              </w:rPr>
            </w:pPr>
            <w:r w:rsidRPr="003F7F6C">
              <w:rPr>
                <w:sz w:val="18"/>
                <w:szCs w:val="18"/>
              </w:rPr>
              <w:t>The project strategy has been designed to compensate any potential opportunity costs in the short term by testing a range of incentives and compensation mechanisms</w:t>
            </w:r>
            <w:r w:rsidRPr="003F7F6C">
              <w:rPr>
                <w:sz w:val="18"/>
                <w:szCs w:val="18"/>
                <w:lang w:val="en-GB"/>
              </w:rPr>
              <w:t xml:space="preserve">. In parallel it will work through sectoral programmes and </w:t>
            </w:r>
            <w:r w:rsidRPr="003F7F6C">
              <w:rPr>
                <w:sz w:val="18"/>
                <w:szCs w:val="18"/>
              </w:rPr>
              <w:t xml:space="preserve">facilitate access to markets or credit </w:t>
            </w:r>
            <w:r w:rsidRPr="003F7F6C">
              <w:rPr>
                <w:sz w:val="18"/>
                <w:szCs w:val="18"/>
                <w:lang w:val="en-GB"/>
              </w:rPr>
              <w:t xml:space="preserve">to increase financial flows in the medium term to transition to new production or provide continued support for private conservation. Potential pressure of future land use changes in response to changes in economic and trade contexts (for instance, changes in commodity prices) would also be offset based on: a) use of multi-stakeholder dialogue platforms/sustainable commodities platform to coordinate new production interests and demands; b) testing of economic and financial instruments to maintain sustainable and compatibles uses.  The main focus of the project strategy is to promote sustainable uses that guarantee the preservation and improvement of the ecosystems and their services as well as livelihoods, particularly of Indigenous Peoples. </w:t>
            </w:r>
            <w:r w:rsidRPr="003F7F6C">
              <w:rPr>
                <w:sz w:val="18"/>
                <w:szCs w:val="18"/>
              </w:rPr>
              <w:t>Decisions regarding the territories inhabited by Indigenous Peoples will be taken in accordance with the regulatory framework on Indigenous Peoples’ Human Rights, undertaking prior consultation in all cases and FPIC when required. The draft Indigenous Peoples Plan, which is included in the Project Document, will be further developed during the first year of implementation into a fully detailed Plan.</w:t>
            </w:r>
          </w:p>
        </w:tc>
      </w:tr>
      <w:tr w:rsidR="00494980" w:rsidRPr="003F7F6C" w14:paraId="6898B432" w14:textId="77777777" w:rsidTr="00494980">
        <w:tc>
          <w:tcPr>
            <w:tcW w:w="3510" w:type="dxa"/>
            <w:shd w:val="clear" w:color="auto" w:fill="auto"/>
          </w:tcPr>
          <w:p w14:paraId="1C68C9B7" w14:textId="77777777" w:rsidR="00494980" w:rsidRPr="003F7F6C" w:rsidRDefault="00494980" w:rsidP="008E53E9">
            <w:pPr>
              <w:rPr>
                <w:sz w:val="18"/>
                <w:szCs w:val="18"/>
              </w:rPr>
            </w:pPr>
            <w:r w:rsidRPr="003F7F6C">
              <w:rPr>
                <w:sz w:val="18"/>
                <w:szCs w:val="18"/>
                <w:lang w:val="en-GB"/>
              </w:rPr>
              <w:t xml:space="preserve">Risk 3: Indigenous peoples are present in the selected pilot sites of the provinces of Mendoza and Jujuy. Some of the environmentally sensitive areas may be located in their lands and unless the </w:t>
            </w:r>
            <w:r w:rsidRPr="003F7F6C">
              <w:rPr>
                <w:sz w:val="18"/>
                <w:szCs w:val="18"/>
              </w:rPr>
              <w:t>culturally appropriate consultations are carried out with the objective of achieving FPIC, the land use planning in these areas may affect the rights and interests, lands, resources, territories and traditional livelihoods of the indigenous peoples concerned.</w:t>
            </w:r>
          </w:p>
          <w:p w14:paraId="7B0F26D3" w14:textId="77777777" w:rsidR="00494980" w:rsidRPr="003F7F6C" w:rsidRDefault="00494980" w:rsidP="008E53E9">
            <w:pPr>
              <w:rPr>
                <w:sz w:val="18"/>
                <w:szCs w:val="18"/>
              </w:rPr>
            </w:pPr>
          </w:p>
          <w:p w14:paraId="0F517972" w14:textId="77777777" w:rsidR="00494980" w:rsidRPr="003F7F6C" w:rsidRDefault="00494980" w:rsidP="008E53E9">
            <w:pPr>
              <w:rPr>
                <w:sz w:val="18"/>
                <w:szCs w:val="18"/>
                <w:lang w:val="en-GB"/>
              </w:rPr>
            </w:pPr>
            <w:r w:rsidRPr="003F7F6C">
              <w:rPr>
                <w:sz w:val="18"/>
                <w:szCs w:val="18"/>
              </w:rPr>
              <w:t>(Standard 6, questions 6.1, 6.2, 6.3, 6.4)</w:t>
            </w:r>
          </w:p>
        </w:tc>
        <w:tc>
          <w:tcPr>
            <w:tcW w:w="1080" w:type="dxa"/>
            <w:shd w:val="clear" w:color="auto" w:fill="auto"/>
          </w:tcPr>
          <w:p w14:paraId="43ACC994" w14:textId="77777777" w:rsidR="00494980" w:rsidRPr="003F7F6C" w:rsidRDefault="00494980" w:rsidP="008E53E9">
            <w:pPr>
              <w:rPr>
                <w:rFonts w:cs="Minion Pro"/>
                <w:sz w:val="18"/>
                <w:szCs w:val="18"/>
              </w:rPr>
            </w:pPr>
            <w:r w:rsidRPr="003F7F6C">
              <w:rPr>
                <w:rFonts w:cs="Minion Pro"/>
                <w:sz w:val="18"/>
                <w:szCs w:val="18"/>
              </w:rPr>
              <w:t>I = 4</w:t>
            </w:r>
          </w:p>
          <w:p w14:paraId="56BE1153" w14:textId="77777777" w:rsidR="00494980" w:rsidRPr="003F7F6C" w:rsidRDefault="00494980" w:rsidP="008E53E9">
            <w:pPr>
              <w:rPr>
                <w:sz w:val="18"/>
                <w:szCs w:val="18"/>
              </w:rPr>
            </w:pPr>
            <w:r w:rsidRPr="003F7F6C">
              <w:rPr>
                <w:rFonts w:cs="Minion Pro"/>
                <w:sz w:val="18"/>
                <w:szCs w:val="18"/>
              </w:rPr>
              <w:t>P = 2</w:t>
            </w:r>
          </w:p>
        </w:tc>
        <w:tc>
          <w:tcPr>
            <w:tcW w:w="1080" w:type="dxa"/>
            <w:shd w:val="clear" w:color="auto" w:fill="auto"/>
          </w:tcPr>
          <w:p w14:paraId="54AB7FD5" w14:textId="77777777" w:rsidR="00494980" w:rsidRPr="003F7F6C" w:rsidRDefault="00494980" w:rsidP="008E53E9">
            <w:pPr>
              <w:rPr>
                <w:b/>
                <w:sz w:val="18"/>
                <w:szCs w:val="18"/>
              </w:rPr>
            </w:pPr>
            <w:r w:rsidRPr="003F7F6C">
              <w:rPr>
                <w:sz w:val="18"/>
                <w:szCs w:val="18"/>
                <w:lang w:val="en-GB"/>
              </w:rPr>
              <w:t>Moderate</w:t>
            </w:r>
          </w:p>
        </w:tc>
        <w:tc>
          <w:tcPr>
            <w:tcW w:w="2977" w:type="dxa"/>
            <w:gridSpan w:val="3"/>
            <w:shd w:val="clear" w:color="auto" w:fill="auto"/>
          </w:tcPr>
          <w:p w14:paraId="5253F0AF" w14:textId="77777777" w:rsidR="00494980" w:rsidRPr="003F7F6C" w:rsidRDefault="00494980" w:rsidP="008E53E9">
            <w:pPr>
              <w:rPr>
                <w:sz w:val="18"/>
                <w:szCs w:val="18"/>
              </w:rPr>
            </w:pPr>
            <w:r w:rsidRPr="003F7F6C">
              <w:rPr>
                <w:sz w:val="18"/>
                <w:szCs w:val="18"/>
              </w:rPr>
              <w:t xml:space="preserve">Argentina ratified 169 ILO Convention concerning indigenous and Tribal Peoples, which recognizes indigenous rights and mandatory consultations and FPIC on specific cases. Moreover, the national and provincial legal framework related to this project provides for stakeholder participation including indigenous peoples and have been assessed during the PPG to ensure project alignment.  </w:t>
            </w:r>
          </w:p>
          <w:p w14:paraId="79454F66" w14:textId="77777777" w:rsidR="00494980" w:rsidRPr="003F7F6C" w:rsidRDefault="00494980" w:rsidP="008E53E9">
            <w:pPr>
              <w:rPr>
                <w:sz w:val="18"/>
                <w:szCs w:val="18"/>
              </w:rPr>
            </w:pPr>
            <w:r w:rsidRPr="003F7F6C">
              <w:rPr>
                <w:sz w:val="18"/>
                <w:szCs w:val="18"/>
              </w:rPr>
              <w:t>During the PPG consultations were undertaken with provincial authorities and representatives of indigenous peoples to identify the strategies to best ensure their participation and inclusion in project planning, implementation and monitoring.</w:t>
            </w:r>
          </w:p>
          <w:p w14:paraId="7303F67C" w14:textId="77777777" w:rsidR="00494980" w:rsidRPr="003F7F6C" w:rsidRDefault="00494980" w:rsidP="008E53E9">
            <w:pPr>
              <w:rPr>
                <w:b/>
                <w:sz w:val="18"/>
                <w:szCs w:val="18"/>
              </w:rPr>
            </w:pPr>
            <w:r w:rsidRPr="003F7F6C">
              <w:rPr>
                <w:sz w:val="18"/>
                <w:szCs w:val="18"/>
              </w:rPr>
              <w:t>In both Mendoza and Jujuy provinces oral and general agreements to the project were obtained as well as the agreement to jointly develop during project implementation specific consultations before elaborating the detailed ELUP related interventions in the target landscapes</w:t>
            </w:r>
          </w:p>
        </w:tc>
        <w:tc>
          <w:tcPr>
            <w:tcW w:w="5103" w:type="dxa"/>
            <w:shd w:val="clear" w:color="auto" w:fill="auto"/>
          </w:tcPr>
          <w:p w14:paraId="7A13EBC1" w14:textId="77777777" w:rsidR="00494980" w:rsidRPr="003F7F6C" w:rsidRDefault="00494980" w:rsidP="008E53E9">
            <w:pPr>
              <w:spacing w:before="120"/>
              <w:rPr>
                <w:sz w:val="18"/>
                <w:szCs w:val="18"/>
              </w:rPr>
            </w:pPr>
            <w:r w:rsidRPr="003F7F6C">
              <w:rPr>
                <w:sz w:val="18"/>
                <w:szCs w:val="18"/>
              </w:rPr>
              <w:t>Environmental Land Use Planning is essentially a participatory tool, and this principle will prevail during project implementation. To this effect a project Stakeholder Engagement Plan (Project Document Annex F) and a draft IPP (Annex E-1) have been developed that include several participatory mechanisms and specific provisions and measures. This draft IPP will be developed in detail during project year 1. At target landscape level the action lines outlined in the Project Document will be defined in detail during project implementation. For this the project will apply prior consultations at all times and FPIC will be ensured on any matters that may affect the rights and interests, lands, resources, territories, namely extraction of natural resources such as felling, mining or agricultural activities in their lands or territories; a decision affecting the status or people’s rights to their land/territories, resources or means of support; access to traditional knowledge and practices; commercial use of natural and / or cultural resources in plots of land subject to traditional ownership rights and / or traditional use by indigenous peoples; decisions regarding benefit sharing arrangements, where the benefits are derived from their land, territories or resources (eg., management of natural resources or extractive industries).</w:t>
            </w:r>
          </w:p>
          <w:p w14:paraId="69483CED" w14:textId="77777777" w:rsidR="00494980" w:rsidRPr="003F7F6C" w:rsidRDefault="00494980" w:rsidP="008E53E9">
            <w:pPr>
              <w:spacing w:before="120"/>
              <w:rPr>
                <w:sz w:val="18"/>
                <w:szCs w:val="18"/>
              </w:rPr>
            </w:pPr>
            <w:r w:rsidRPr="003F7F6C">
              <w:rPr>
                <w:sz w:val="18"/>
                <w:szCs w:val="18"/>
              </w:rPr>
              <w:t xml:space="preserve">The project will take advantage of the existing institutional experience in consultation processes in Mendoza and Jujuy, as well as the existing community structures and organizations, and protocols and processes that have already proven successful with the indigenous communities that will participate in project interventions. </w:t>
            </w:r>
          </w:p>
          <w:p w14:paraId="13564D02" w14:textId="77777777" w:rsidR="00494980" w:rsidRPr="003F7F6C" w:rsidRDefault="00494980" w:rsidP="008E53E9">
            <w:pPr>
              <w:pStyle w:val="Default"/>
              <w:jc w:val="both"/>
              <w:rPr>
                <w:rFonts w:ascii="Calibri" w:hAnsi="Calibri"/>
                <w:color w:val="FF0000"/>
                <w:sz w:val="18"/>
                <w:szCs w:val="18"/>
              </w:rPr>
            </w:pPr>
            <w:r w:rsidRPr="003F7F6C">
              <w:rPr>
                <w:rFonts w:ascii="Calibri" w:hAnsi="Calibri"/>
                <w:sz w:val="18"/>
                <w:szCs w:val="18"/>
              </w:rPr>
              <w:t>In addition, at provincial level participation of indigenous peoples will fostered in two spaces. One of them will be the the multi-stakeholder dialogue spaces (Output 2.2) which will engage stakeholders with different levels of power and use of resources in participatory land use planning. Another space will be a Provincial Project Working Group, which will include key stakeholders involved in project implementation and will be in charge of providing strategic guidance in each pilot province.</w:t>
            </w:r>
          </w:p>
          <w:p w14:paraId="70D4F155" w14:textId="77777777" w:rsidR="00494980" w:rsidRPr="003F7F6C" w:rsidRDefault="00494980" w:rsidP="008E53E9">
            <w:pPr>
              <w:rPr>
                <w:sz w:val="18"/>
                <w:szCs w:val="18"/>
              </w:rPr>
            </w:pPr>
            <w:r w:rsidRPr="003F7F6C">
              <w:rPr>
                <w:sz w:val="18"/>
                <w:szCs w:val="18"/>
              </w:rPr>
              <w:t xml:space="preserve">Furthermore, these mechanisms will be strengthened through communication and capacity building for informed consent that will be implemented at provincial level within the dialogue platforms (Output 2.2) and at pilot site level within the consultation processes for planning and implementing field interventions (Output 2.4).  </w:t>
            </w:r>
          </w:p>
          <w:p w14:paraId="343B3F25" w14:textId="77777777" w:rsidR="00494980" w:rsidRPr="003F7F6C" w:rsidRDefault="00494980" w:rsidP="008E53E9">
            <w:pPr>
              <w:rPr>
                <w:sz w:val="18"/>
                <w:szCs w:val="18"/>
              </w:rPr>
            </w:pPr>
            <w:r w:rsidRPr="003F7F6C">
              <w:rPr>
                <w:sz w:val="18"/>
                <w:szCs w:val="18"/>
              </w:rPr>
              <w:t xml:space="preserve">A </w:t>
            </w:r>
            <w:r w:rsidRPr="003F7F6C">
              <w:rPr>
                <w:rFonts w:eastAsia="Calibri"/>
                <w:sz w:val="18"/>
                <w:szCs w:val="18"/>
              </w:rPr>
              <w:t>System for Prevention and Management of Consultations and Conflicts</w:t>
            </w:r>
            <w:r w:rsidRPr="003F7F6C">
              <w:rPr>
                <w:rFonts w:eastAsia="Calibri"/>
                <w:b/>
                <w:szCs w:val="20"/>
              </w:rPr>
              <w:t xml:space="preserve"> </w:t>
            </w:r>
            <w:r w:rsidRPr="003F7F6C">
              <w:rPr>
                <w:sz w:val="18"/>
                <w:szCs w:val="18"/>
              </w:rPr>
              <w:t xml:space="preserve">(project-level grievance redress mechanism) will be put in place to prevent potential conflicts, manage conflicts that may arise and to serve as a grievance mechanism. </w:t>
            </w:r>
          </w:p>
          <w:p w14:paraId="5FF22C41" w14:textId="77777777" w:rsidR="00494980" w:rsidRPr="003F7F6C" w:rsidRDefault="00494980" w:rsidP="008E53E9">
            <w:pPr>
              <w:rPr>
                <w:sz w:val="18"/>
                <w:szCs w:val="18"/>
              </w:rPr>
            </w:pPr>
            <w:r w:rsidRPr="003F7F6C">
              <w:rPr>
                <w:sz w:val="18"/>
                <w:szCs w:val="18"/>
              </w:rPr>
              <w:t>More detailed information is included in the draft Indigenous Peoples Plan, Annex E-1 of the Project Document.</w:t>
            </w:r>
          </w:p>
        </w:tc>
      </w:tr>
      <w:tr w:rsidR="00494980" w:rsidRPr="003F7F6C" w14:paraId="52CD81E5" w14:textId="77777777" w:rsidTr="00494980">
        <w:trPr>
          <w:trHeight w:val="132"/>
        </w:trPr>
        <w:tc>
          <w:tcPr>
            <w:tcW w:w="3510" w:type="dxa"/>
            <w:shd w:val="clear" w:color="auto" w:fill="auto"/>
          </w:tcPr>
          <w:p w14:paraId="4545C24C" w14:textId="77777777" w:rsidR="00494980" w:rsidRPr="003F7F6C" w:rsidRDefault="00494980" w:rsidP="008E53E9">
            <w:pPr>
              <w:rPr>
                <w:sz w:val="18"/>
                <w:szCs w:val="18"/>
                <w:lang w:val="en-GB"/>
              </w:rPr>
            </w:pPr>
            <w:r w:rsidRPr="003F7F6C">
              <w:rPr>
                <w:sz w:val="18"/>
                <w:szCs w:val="18"/>
                <w:lang w:val="en-GB"/>
              </w:rPr>
              <w:t xml:space="preserve">Risk 4:  </w:t>
            </w:r>
            <w:r w:rsidRPr="003F7F6C">
              <w:rPr>
                <w:rFonts w:eastAsia="Times New Roman"/>
                <w:sz w:val="18"/>
                <w:szCs w:val="18"/>
                <w:lang w:val="en-GB"/>
              </w:rPr>
              <w:t xml:space="preserve">The </w:t>
            </w:r>
            <w:r w:rsidRPr="003F7F6C">
              <w:rPr>
                <w:rFonts w:eastAsia="Times New Roman"/>
                <w:sz w:val="18"/>
                <w:szCs w:val="18"/>
              </w:rPr>
              <w:t>project could potentially limit women’s ability to use, develop and protect natural resources, taking into account the different roles and positions of women and men in accessing environmental goods and services</w:t>
            </w:r>
          </w:p>
          <w:p w14:paraId="203BB92D" w14:textId="77777777" w:rsidR="00494980" w:rsidRPr="003F7F6C" w:rsidRDefault="00494980" w:rsidP="008E53E9">
            <w:pPr>
              <w:rPr>
                <w:sz w:val="18"/>
                <w:szCs w:val="18"/>
                <w:lang w:val="en-GB"/>
              </w:rPr>
            </w:pPr>
          </w:p>
          <w:p w14:paraId="2E3BA57A" w14:textId="77777777" w:rsidR="00494980" w:rsidRPr="003F7F6C" w:rsidRDefault="00494980" w:rsidP="008E53E9">
            <w:pPr>
              <w:rPr>
                <w:sz w:val="18"/>
                <w:szCs w:val="18"/>
                <w:lang w:val="en-GB"/>
              </w:rPr>
            </w:pPr>
            <w:r w:rsidRPr="003F7F6C">
              <w:rPr>
                <w:sz w:val="18"/>
                <w:szCs w:val="18"/>
                <w:lang w:val="en-GB"/>
              </w:rPr>
              <w:t>(Principle 2, question 4)</w:t>
            </w:r>
          </w:p>
        </w:tc>
        <w:tc>
          <w:tcPr>
            <w:tcW w:w="1080" w:type="dxa"/>
            <w:shd w:val="clear" w:color="auto" w:fill="auto"/>
          </w:tcPr>
          <w:p w14:paraId="414800A7" w14:textId="77777777" w:rsidR="00494980" w:rsidRPr="003F7F6C" w:rsidRDefault="00494980" w:rsidP="008E53E9">
            <w:pPr>
              <w:rPr>
                <w:rFonts w:cs="Minion Pro"/>
                <w:sz w:val="18"/>
                <w:szCs w:val="18"/>
              </w:rPr>
            </w:pPr>
            <w:r w:rsidRPr="003F7F6C">
              <w:rPr>
                <w:rFonts w:cs="Minion Pro"/>
                <w:sz w:val="18"/>
                <w:szCs w:val="18"/>
              </w:rPr>
              <w:t xml:space="preserve"> I = 3</w:t>
            </w:r>
          </w:p>
          <w:p w14:paraId="024DDD84" w14:textId="77777777" w:rsidR="00494980" w:rsidRPr="003F7F6C" w:rsidRDefault="00494980" w:rsidP="008E53E9">
            <w:pPr>
              <w:rPr>
                <w:rFonts w:cs="Minion Pro"/>
                <w:sz w:val="18"/>
                <w:szCs w:val="18"/>
              </w:rPr>
            </w:pPr>
            <w:r w:rsidRPr="003F7F6C">
              <w:rPr>
                <w:rFonts w:cs="Minion Pro"/>
                <w:sz w:val="18"/>
                <w:szCs w:val="18"/>
              </w:rPr>
              <w:t>P = 3</w:t>
            </w:r>
          </w:p>
        </w:tc>
        <w:tc>
          <w:tcPr>
            <w:tcW w:w="1080" w:type="dxa"/>
            <w:shd w:val="clear" w:color="auto" w:fill="auto"/>
          </w:tcPr>
          <w:p w14:paraId="0037B213" w14:textId="77777777" w:rsidR="00494980" w:rsidRPr="003F7F6C" w:rsidDel="00314260" w:rsidRDefault="00494980" w:rsidP="008E53E9">
            <w:pPr>
              <w:rPr>
                <w:sz w:val="18"/>
                <w:szCs w:val="18"/>
                <w:lang w:val="en-GB"/>
              </w:rPr>
            </w:pPr>
            <w:r w:rsidRPr="003F7F6C">
              <w:rPr>
                <w:sz w:val="18"/>
                <w:szCs w:val="18"/>
                <w:lang w:val="en-GB"/>
              </w:rPr>
              <w:t>Moderate</w:t>
            </w:r>
          </w:p>
        </w:tc>
        <w:tc>
          <w:tcPr>
            <w:tcW w:w="2977" w:type="dxa"/>
            <w:gridSpan w:val="3"/>
            <w:shd w:val="clear" w:color="auto" w:fill="auto"/>
          </w:tcPr>
          <w:p w14:paraId="73B74151" w14:textId="77777777" w:rsidR="00494980" w:rsidRPr="003F7F6C" w:rsidRDefault="00494980" w:rsidP="008E53E9">
            <w:pPr>
              <w:tabs>
                <w:tab w:val="left" w:pos="426"/>
              </w:tabs>
              <w:rPr>
                <w:rFonts w:cs="Calibri"/>
                <w:sz w:val="18"/>
                <w:szCs w:val="18"/>
                <w:lang w:eastAsia="en-GB"/>
              </w:rPr>
            </w:pPr>
            <w:r w:rsidRPr="003F7F6C">
              <w:rPr>
                <w:rFonts w:cs="Calibri"/>
                <w:sz w:val="18"/>
                <w:szCs w:val="18"/>
                <w:lang w:eastAsia="en-GB"/>
              </w:rPr>
              <w:t>The project mainstreams gender and multi-cultural issues, based on the premise that besides ensuring participation of both women and men (and their organizations) in the spaces, dialogue platforms and mechanisms generated by the project, it will contribute to their effective empowerment as social actors by ensuring that both women and men´s needs are addressed through the project interventions.  The gaps identified in the analysis and which are considered in the strategy include: i) lack of parity in decision-making spaces; ii) differences between men and women in access to improved  incomes and livelihoods; iii) differences in use of time; and iv) differences in access to, and control of resources between men and women.</w:t>
            </w:r>
          </w:p>
        </w:tc>
        <w:tc>
          <w:tcPr>
            <w:tcW w:w="5103" w:type="dxa"/>
            <w:shd w:val="clear" w:color="auto" w:fill="auto"/>
          </w:tcPr>
          <w:p w14:paraId="5851BD06" w14:textId="77777777" w:rsidR="00494980" w:rsidRPr="003F7F6C" w:rsidDel="00B1085A" w:rsidRDefault="00494980" w:rsidP="008E53E9">
            <w:pPr>
              <w:rPr>
                <w:sz w:val="18"/>
                <w:szCs w:val="18"/>
              </w:rPr>
            </w:pPr>
            <w:r w:rsidRPr="003F7F6C">
              <w:rPr>
                <w:sz w:val="18"/>
                <w:szCs w:val="18"/>
              </w:rPr>
              <w:t xml:space="preserve">A gender analysis was undertaken during the PPG. The findings were used to develop a Gender Analysis and Action Plan, which will be implemented throughout the project.  (See Annex G of the Project Document). Key strategies include: 1) All data, reports and inputs for the development of the policy, economic, financial and technical instruments and governance mechanisms for ELUP will be looked at through a gender and intercultural view. 2) The project will develop a capacity building program aimed at public officials and/or technical teams to raise awareness on the importance of engaging both women and men in decision-making processes and addressing gender issues, such as how the </w:t>
            </w:r>
            <w:r w:rsidRPr="003F7F6C">
              <w:rPr>
                <w:rFonts w:eastAsia="Times New Roman"/>
                <w:sz w:val="18"/>
                <w:szCs w:val="18"/>
              </w:rPr>
              <w:t>different roles and positions of women and men affect the use, development and protection of environmental goods and services</w:t>
            </w:r>
            <w:r w:rsidRPr="003F7F6C">
              <w:rPr>
                <w:sz w:val="18"/>
                <w:szCs w:val="18"/>
              </w:rPr>
              <w:t xml:space="preserve">. 3) Gender and ethnicity will be mainstreamed in the dialogue mechanisms by fostering equal participation of women and men and indigenous populations in agenda-setting, decision-making and/or policy-making processes. 4) The project will develop a capacity building program aimed at women beneficiaries (indigenous and non-indigenous) in the three prioritized areas and target landscapes to: i) promote gender equality in the management, use and conservation of biodiversity; ii) ensure that both women and men´s needs are addressed through the project interventions; iii) engaging men and women equally in order to ensure their participation in multi-sectoral and multi-stakeholder dialogue spaces. 5) The project will enhance knowledge management by systematizing, assessing, replicating and/or scaling up lessons learned, case studies, and promising and/or best practices on gender mainstreaming and the multicultural approach in BD/SLM and ELUP. More detailed information is included in the Gender Analysis and Action Plan, Annex G of the Project. </w:t>
            </w:r>
            <w:r w:rsidRPr="003F7F6C">
              <w:rPr>
                <w:rFonts w:cs="Calibri"/>
                <w:sz w:val="18"/>
                <w:szCs w:val="18"/>
              </w:rPr>
              <w:t>In addition, the Stakeholder Engagement Plan (Annex F of the UNDP Project Document) foresees the participation of women through several mechanisms that include dialogue, communication and information, and capacity building.</w:t>
            </w:r>
          </w:p>
        </w:tc>
      </w:tr>
      <w:tr w:rsidR="00494980" w:rsidRPr="003F7F6C" w14:paraId="69EEEFFB" w14:textId="77777777" w:rsidTr="00494980">
        <w:tc>
          <w:tcPr>
            <w:tcW w:w="3510" w:type="dxa"/>
            <w:shd w:val="clear" w:color="auto" w:fill="auto"/>
          </w:tcPr>
          <w:p w14:paraId="30FD0B8E" w14:textId="77777777" w:rsidR="00494980" w:rsidRPr="003F7F6C" w:rsidRDefault="00494980" w:rsidP="008E53E9">
            <w:pPr>
              <w:rPr>
                <w:rFonts w:eastAsia="Times New Roman"/>
                <w:sz w:val="18"/>
                <w:szCs w:val="18"/>
              </w:rPr>
            </w:pPr>
            <w:r w:rsidRPr="003F7F6C">
              <w:rPr>
                <w:sz w:val="18"/>
                <w:szCs w:val="18"/>
                <w:lang w:val="en-GB"/>
              </w:rPr>
              <w:t xml:space="preserve">Risk 5:  Land use suitability could change due to climate change, making </w:t>
            </w:r>
            <w:r w:rsidRPr="003F7F6C">
              <w:rPr>
                <w:rFonts w:eastAsia="Times New Roman"/>
                <w:sz w:val="18"/>
                <w:szCs w:val="18"/>
              </w:rPr>
              <w:t xml:space="preserve">potential outcomes of the project sensitive or vulnerable to potential impacts of </w:t>
            </w:r>
            <w:r w:rsidRPr="003F7F6C">
              <w:rPr>
                <w:rFonts w:eastAsia="Times New Roman"/>
                <w:bCs/>
                <w:color w:val="000000"/>
                <w:sz w:val="18"/>
                <w:szCs w:val="18"/>
              </w:rPr>
              <w:t>climate</w:t>
            </w:r>
            <w:r w:rsidRPr="003F7F6C">
              <w:rPr>
                <w:rFonts w:eastAsia="Times New Roman"/>
                <w:sz w:val="18"/>
                <w:szCs w:val="18"/>
              </w:rPr>
              <w:t xml:space="preserve"> change</w:t>
            </w:r>
          </w:p>
          <w:p w14:paraId="76B1067F" w14:textId="77777777" w:rsidR="00494980" w:rsidRPr="003F7F6C" w:rsidRDefault="00494980" w:rsidP="008E53E9">
            <w:pPr>
              <w:rPr>
                <w:rFonts w:eastAsia="Times New Roman"/>
                <w:sz w:val="18"/>
                <w:szCs w:val="18"/>
              </w:rPr>
            </w:pPr>
          </w:p>
          <w:p w14:paraId="00533405" w14:textId="77777777" w:rsidR="00494980" w:rsidRPr="003F7F6C" w:rsidRDefault="00494980" w:rsidP="008E53E9">
            <w:pPr>
              <w:rPr>
                <w:sz w:val="18"/>
                <w:szCs w:val="18"/>
                <w:lang w:val="en-GB"/>
              </w:rPr>
            </w:pPr>
            <w:r w:rsidRPr="003F7F6C">
              <w:rPr>
                <w:rFonts w:eastAsia="Times New Roman"/>
                <w:sz w:val="18"/>
                <w:szCs w:val="18"/>
              </w:rPr>
              <w:t>(Standard 2, question 2.2)</w:t>
            </w:r>
          </w:p>
        </w:tc>
        <w:tc>
          <w:tcPr>
            <w:tcW w:w="1080" w:type="dxa"/>
            <w:shd w:val="clear" w:color="auto" w:fill="auto"/>
          </w:tcPr>
          <w:p w14:paraId="12FF5D4A" w14:textId="77777777" w:rsidR="00494980" w:rsidRPr="003F7F6C" w:rsidRDefault="00494980" w:rsidP="008E53E9">
            <w:pPr>
              <w:rPr>
                <w:rFonts w:cs="Minion Pro"/>
                <w:sz w:val="18"/>
                <w:szCs w:val="18"/>
              </w:rPr>
            </w:pPr>
            <w:r w:rsidRPr="003F7F6C">
              <w:rPr>
                <w:rFonts w:cs="Minion Pro"/>
                <w:sz w:val="18"/>
                <w:szCs w:val="18"/>
              </w:rPr>
              <w:t xml:space="preserve"> I = 3</w:t>
            </w:r>
          </w:p>
          <w:p w14:paraId="69AA9F92" w14:textId="77777777" w:rsidR="00494980" w:rsidRPr="003F7F6C" w:rsidRDefault="00494980" w:rsidP="008E53E9">
            <w:pPr>
              <w:rPr>
                <w:rFonts w:cs="Minion Pro"/>
                <w:sz w:val="18"/>
                <w:szCs w:val="18"/>
              </w:rPr>
            </w:pPr>
            <w:r w:rsidRPr="003F7F6C">
              <w:rPr>
                <w:rFonts w:cs="Minion Pro"/>
                <w:sz w:val="18"/>
                <w:szCs w:val="18"/>
              </w:rPr>
              <w:t>P = 3</w:t>
            </w:r>
          </w:p>
        </w:tc>
        <w:tc>
          <w:tcPr>
            <w:tcW w:w="1080" w:type="dxa"/>
            <w:shd w:val="clear" w:color="auto" w:fill="auto"/>
          </w:tcPr>
          <w:p w14:paraId="51B89B61" w14:textId="77777777" w:rsidR="00494980" w:rsidRPr="003F7F6C" w:rsidRDefault="00494980" w:rsidP="008E53E9">
            <w:pPr>
              <w:rPr>
                <w:sz w:val="18"/>
                <w:szCs w:val="18"/>
                <w:lang w:val="en-GB"/>
              </w:rPr>
            </w:pPr>
            <w:r w:rsidRPr="003F7F6C">
              <w:rPr>
                <w:sz w:val="18"/>
                <w:szCs w:val="18"/>
                <w:lang w:val="en-GB"/>
              </w:rPr>
              <w:t>Moderate</w:t>
            </w:r>
          </w:p>
        </w:tc>
        <w:tc>
          <w:tcPr>
            <w:tcW w:w="2977" w:type="dxa"/>
            <w:gridSpan w:val="3"/>
            <w:shd w:val="clear" w:color="auto" w:fill="auto"/>
          </w:tcPr>
          <w:p w14:paraId="322DC782" w14:textId="77777777" w:rsidR="00494980" w:rsidRPr="003F7F6C" w:rsidRDefault="00494980" w:rsidP="008E53E9">
            <w:pPr>
              <w:rPr>
                <w:sz w:val="18"/>
                <w:szCs w:val="18"/>
              </w:rPr>
            </w:pPr>
            <w:r w:rsidRPr="003F7F6C">
              <w:rPr>
                <w:rFonts w:ascii="Calibri Light" w:hAnsi="Calibri Light" w:cs="Calibri Light"/>
                <w:sz w:val="18"/>
                <w:szCs w:val="18"/>
              </w:rPr>
              <w:t xml:space="preserve">Climate scenarios described in Argentina´s Third National Communication indicate in general increases in high temperature and rainfall extremes in most of the country. Given the extension and climatic diversity of Argentina, climate change will affect different regions differently. </w:t>
            </w:r>
          </w:p>
        </w:tc>
        <w:tc>
          <w:tcPr>
            <w:tcW w:w="5103" w:type="dxa"/>
            <w:shd w:val="clear" w:color="auto" w:fill="auto"/>
          </w:tcPr>
          <w:p w14:paraId="214B95F4" w14:textId="77777777" w:rsidR="00494980" w:rsidRPr="003F7F6C" w:rsidRDefault="00494980" w:rsidP="008E53E9">
            <w:pPr>
              <w:pStyle w:val="NormalWeb"/>
              <w:spacing w:before="0" w:beforeAutospacing="0" w:after="0" w:afterAutospacing="0"/>
              <w:rPr>
                <w:rFonts w:ascii="Calibri" w:hAnsi="Calibri" w:cs="Calibri"/>
                <w:sz w:val="18"/>
                <w:szCs w:val="18"/>
              </w:rPr>
            </w:pPr>
            <w:r w:rsidRPr="003F7F6C">
              <w:rPr>
                <w:rFonts w:ascii="Calibri" w:hAnsi="Calibri" w:cs="Calibri"/>
                <w:sz w:val="18"/>
                <w:szCs w:val="18"/>
              </w:rPr>
              <w:t xml:space="preserve">The PPG team assessed the risk and management measures have been integrated into the Project Document.  These include: 1) </w:t>
            </w:r>
            <w:r w:rsidRPr="003F7F6C">
              <w:rPr>
                <w:sz w:val="18"/>
                <w:szCs w:val="18"/>
                <w:lang w:eastAsia="es-EC"/>
              </w:rPr>
              <w:t>c</w:t>
            </w:r>
            <w:r w:rsidRPr="003F7F6C">
              <w:rPr>
                <w:rFonts w:ascii="Calibri" w:hAnsi="Calibri"/>
                <w:sz w:val="18"/>
                <w:szCs w:val="18"/>
                <w:lang w:eastAsia="es-EC"/>
              </w:rPr>
              <w:t>oordination with projects that share intervention areas to exchange experiences and lessons on climate change issues; 2)</w:t>
            </w:r>
            <w:r w:rsidRPr="003F7F6C">
              <w:rPr>
                <w:rFonts w:ascii="Calibri" w:hAnsi="Calibri"/>
                <w:color w:val="000000"/>
                <w:sz w:val="18"/>
                <w:szCs w:val="18"/>
              </w:rPr>
              <w:t xml:space="preserve"> </w:t>
            </w:r>
          </w:p>
          <w:p w14:paraId="6BC46F4E" w14:textId="77777777" w:rsidR="00494980" w:rsidRPr="003F7F6C" w:rsidDel="00B1085A" w:rsidRDefault="00494980" w:rsidP="008E53E9">
            <w:pPr>
              <w:rPr>
                <w:rFonts w:cs="Calibri"/>
                <w:sz w:val="18"/>
                <w:szCs w:val="18"/>
              </w:rPr>
            </w:pPr>
            <w:r w:rsidRPr="003F7F6C">
              <w:rPr>
                <w:rFonts w:eastAsia="Times New Roman"/>
                <w:sz w:val="18"/>
                <w:szCs w:val="18"/>
                <w:lang w:eastAsia="es-EC"/>
              </w:rPr>
              <w:t xml:space="preserve">the project will participate in the roundtables of the National Climate Change Cabinet and in turn the institutions that comprise this cabinet will be invited to participate in the dialogue spaces for participatory ELUP to mainstream climate change considerations (Outcome 1); 3) Discussions on climate change and its potential impacts will also be a part of the participatory dialogue spaces at provincial level (Outcome 2); 4) </w:t>
            </w:r>
            <w:r w:rsidRPr="003F7F6C">
              <w:rPr>
                <w:rFonts w:cs="Calibri"/>
                <w:sz w:val="18"/>
                <w:szCs w:val="18"/>
              </w:rPr>
              <w:t xml:space="preserve">environmentally friendly and sustainable practices (Outcome 2) taking into account the vulnerabilities and impacts of climate change and adaptation needs; 5) development of economic and financial incentives (Outcomes 1 and 2) will incorporate CC considerations; </w:t>
            </w:r>
            <w:r w:rsidRPr="003F7F6C">
              <w:rPr>
                <w:color w:val="000000"/>
                <w:sz w:val="18"/>
                <w:szCs w:val="18"/>
              </w:rPr>
              <w:t xml:space="preserve">6) </w:t>
            </w:r>
            <w:r w:rsidRPr="003F7F6C">
              <w:rPr>
                <w:rFonts w:eastAsia="Times New Roman"/>
                <w:sz w:val="18"/>
                <w:szCs w:val="18"/>
                <w:lang w:eastAsia="es-EC"/>
              </w:rPr>
              <w:t xml:space="preserve">assessment of experiences and lessons (Outcome 3) will also take into account knowledge in regards to climate change; 7) </w:t>
            </w:r>
            <w:r w:rsidRPr="003F7F6C">
              <w:rPr>
                <w:rFonts w:cs="Calibri"/>
                <w:sz w:val="18"/>
                <w:szCs w:val="18"/>
              </w:rPr>
              <w:t>awareness raising and training of landowners and communities for a better understanding of vulnerability and climate change impacts.</w:t>
            </w:r>
          </w:p>
        </w:tc>
      </w:tr>
      <w:tr w:rsidR="00494980" w:rsidRPr="003F7F6C" w14:paraId="05192C29" w14:textId="77777777" w:rsidTr="00494980">
        <w:trPr>
          <w:trHeight w:val="593"/>
        </w:trPr>
        <w:tc>
          <w:tcPr>
            <w:tcW w:w="3510" w:type="dxa"/>
            <w:vMerge w:val="restart"/>
            <w:shd w:val="clear" w:color="auto" w:fill="auto"/>
          </w:tcPr>
          <w:p w14:paraId="0E7958B6" w14:textId="77777777" w:rsidR="00494980" w:rsidRPr="003F7F6C" w:rsidRDefault="00494980" w:rsidP="008E53E9">
            <w:pPr>
              <w:rPr>
                <w:b/>
                <w:szCs w:val="20"/>
              </w:rPr>
            </w:pPr>
          </w:p>
        </w:tc>
        <w:tc>
          <w:tcPr>
            <w:tcW w:w="10240" w:type="dxa"/>
            <w:gridSpan w:val="6"/>
            <w:shd w:val="clear" w:color="auto" w:fill="0F243E"/>
          </w:tcPr>
          <w:p w14:paraId="604D0081" w14:textId="77777777" w:rsidR="00494980" w:rsidRPr="003F7F6C" w:rsidRDefault="00494980" w:rsidP="008E53E9">
            <w:pPr>
              <w:rPr>
                <w:b/>
                <w:sz w:val="18"/>
                <w:szCs w:val="18"/>
              </w:rPr>
            </w:pPr>
            <w:r w:rsidRPr="003F7F6C">
              <w:rPr>
                <w:b/>
                <w:szCs w:val="20"/>
              </w:rPr>
              <w:t xml:space="preserve">QUESTION 4: What is the overall Project risk categorization? </w:t>
            </w:r>
          </w:p>
        </w:tc>
      </w:tr>
      <w:tr w:rsidR="00494980" w:rsidRPr="003F7F6C" w14:paraId="1AD1411C" w14:textId="77777777" w:rsidTr="00494980">
        <w:tc>
          <w:tcPr>
            <w:tcW w:w="3510" w:type="dxa"/>
            <w:vMerge/>
            <w:shd w:val="clear" w:color="auto" w:fill="auto"/>
          </w:tcPr>
          <w:p w14:paraId="31BFC576" w14:textId="77777777" w:rsidR="00494980" w:rsidRPr="003F7F6C" w:rsidRDefault="00494980" w:rsidP="008E53E9">
            <w:pPr>
              <w:rPr>
                <w:sz w:val="18"/>
                <w:szCs w:val="18"/>
                <w:u w:val="single"/>
              </w:rPr>
            </w:pPr>
          </w:p>
        </w:tc>
        <w:tc>
          <w:tcPr>
            <w:tcW w:w="5137" w:type="dxa"/>
            <w:gridSpan w:val="5"/>
            <w:shd w:val="clear" w:color="auto" w:fill="auto"/>
          </w:tcPr>
          <w:p w14:paraId="25070BEC" w14:textId="77777777" w:rsidR="00494980" w:rsidRPr="003F7F6C" w:rsidRDefault="00494980" w:rsidP="008E53E9">
            <w:pPr>
              <w:jc w:val="center"/>
              <w:rPr>
                <w:b/>
                <w:sz w:val="18"/>
                <w:szCs w:val="18"/>
              </w:rPr>
            </w:pPr>
            <w:r w:rsidRPr="003F7F6C">
              <w:rPr>
                <w:b/>
                <w:sz w:val="18"/>
                <w:szCs w:val="18"/>
              </w:rPr>
              <w:t xml:space="preserve">Select one (see </w:t>
            </w:r>
            <w:hyperlink r:id="rId36" w:history="1">
              <w:r w:rsidRPr="003F7F6C">
                <w:rPr>
                  <w:rStyle w:val="Hyperlink"/>
                  <w:b/>
                  <w:sz w:val="18"/>
                  <w:szCs w:val="18"/>
                </w:rPr>
                <w:t>SESP</w:t>
              </w:r>
            </w:hyperlink>
            <w:r w:rsidRPr="003F7F6C">
              <w:rPr>
                <w:b/>
                <w:sz w:val="18"/>
                <w:szCs w:val="18"/>
              </w:rPr>
              <w:t xml:space="preserve"> for guidance)</w:t>
            </w:r>
          </w:p>
        </w:tc>
        <w:tc>
          <w:tcPr>
            <w:tcW w:w="5103" w:type="dxa"/>
            <w:shd w:val="clear" w:color="auto" w:fill="auto"/>
          </w:tcPr>
          <w:p w14:paraId="1A611E39" w14:textId="77777777" w:rsidR="00494980" w:rsidRPr="003F7F6C" w:rsidRDefault="00494980" w:rsidP="008E53E9">
            <w:pPr>
              <w:jc w:val="center"/>
              <w:rPr>
                <w:b/>
                <w:sz w:val="18"/>
                <w:szCs w:val="18"/>
              </w:rPr>
            </w:pPr>
            <w:r w:rsidRPr="003F7F6C">
              <w:rPr>
                <w:b/>
                <w:sz w:val="18"/>
                <w:szCs w:val="18"/>
              </w:rPr>
              <w:t>Comments</w:t>
            </w:r>
          </w:p>
        </w:tc>
      </w:tr>
      <w:tr w:rsidR="00494980" w:rsidRPr="003F7F6C" w14:paraId="78B59A24" w14:textId="77777777" w:rsidTr="00494980">
        <w:trPr>
          <w:trHeight w:val="251"/>
        </w:trPr>
        <w:tc>
          <w:tcPr>
            <w:tcW w:w="3510" w:type="dxa"/>
            <w:vMerge/>
            <w:shd w:val="clear" w:color="auto" w:fill="auto"/>
          </w:tcPr>
          <w:p w14:paraId="68BB7ED3" w14:textId="77777777" w:rsidR="00494980" w:rsidRPr="003F7F6C" w:rsidRDefault="00494980" w:rsidP="008E53E9">
            <w:pPr>
              <w:rPr>
                <w:rFonts w:cs="Minion Pro"/>
                <w:sz w:val="18"/>
                <w:szCs w:val="18"/>
              </w:rPr>
            </w:pPr>
          </w:p>
        </w:tc>
        <w:tc>
          <w:tcPr>
            <w:tcW w:w="4343" w:type="dxa"/>
            <w:gridSpan w:val="3"/>
            <w:shd w:val="clear" w:color="auto" w:fill="auto"/>
          </w:tcPr>
          <w:p w14:paraId="7BFD5292" w14:textId="77777777" w:rsidR="00494980" w:rsidRPr="003F7F6C" w:rsidRDefault="00494980" w:rsidP="008E53E9">
            <w:pPr>
              <w:jc w:val="right"/>
              <w:rPr>
                <w:rFonts w:cs="Minion Pro"/>
                <w:b/>
                <w:i/>
                <w:sz w:val="18"/>
                <w:szCs w:val="18"/>
              </w:rPr>
            </w:pPr>
            <w:r w:rsidRPr="003F7F6C">
              <w:rPr>
                <w:rFonts w:cs="Minion Pro"/>
                <w:b/>
                <w:i/>
                <w:sz w:val="18"/>
                <w:szCs w:val="18"/>
              </w:rPr>
              <w:t>Low Risk</w:t>
            </w:r>
          </w:p>
        </w:tc>
        <w:tc>
          <w:tcPr>
            <w:tcW w:w="427" w:type="dxa"/>
            <w:shd w:val="clear" w:color="auto" w:fill="auto"/>
          </w:tcPr>
          <w:p w14:paraId="405596C9" w14:textId="77777777" w:rsidR="00494980" w:rsidRPr="003F7F6C" w:rsidRDefault="00494980" w:rsidP="008E53E9">
            <w:pPr>
              <w:ind w:left="-2230" w:firstLine="2230"/>
              <w:rPr>
                <w:b/>
                <w:sz w:val="18"/>
                <w:szCs w:val="18"/>
              </w:rPr>
            </w:pPr>
            <w:r w:rsidRPr="003F7F6C">
              <w:rPr>
                <w:rFonts w:ascii="Segoe UI Symbol" w:hAnsi="Segoe UI Symbol" w:cs="Segoe UI Symbol"/>
                <w:b/>
                <w:szCs w:val="20"/>
              </w:rPr>
              <w:t>☐</w:t>
            </w:r>
          </w:p>
        </w:tc>
        <w:tc>
          <w:tcPr>
            <w:tcW w:w="5470" w:type="dxa"/>
            <w:gridSpan w:val="2"/>
            <w:shd w:val="clear" w:color="auto" w:fill="auto"/>
          </w:tcPr>
          <w:p w14:paraId="2E867EA7" w14:textId="77777777" w:rsidR="00494980" w:rsidRPr="003F7F6C" w:rsidRDefault="00494980" w:rsidP="008E53E9">
            <w:pPr>
              <w:rPr>
                <w:b/>
                <w:sz w:val="18"/>
                <w:szCs w:val="18"/>
              </w:rPr>
            </w:pPr>
          </w:p>
        </w:tc>
      </w:tr>
      <w:tr w:rsidR="00494980" w:rsidRPr="003F7F6C" w14:paraId="58A4E8D3" w14:textId="77777777" w:rsidTr="00494980">
        <w:tc>
          <w:tcPr>
            <w:tcW w:w="3510" w:type="dxa"/>
            <w:vMerge/>
            <w:shd w:val="clear" w:color="auto" w:fill="auto"/>
          </w:tcPr>
          <w:p w14:paraId="69E7503C" w14:textId="77777777" w:rsidR="00494980" w:rsidRPr="003F7F6C" w:rsidRDefault="00494980" w:rsidP="008E53E9">
            <w:pPr>
              <w:rPr>
                <w:rFonts w:cs="Minion Pro"/>
                <w:sz w:val="18"/>
                <w:szCs w:val="18"/>
              </w:rPr>
            </w:pPr>
          </w:p>
        </w:tc>
        <w:tc>
          <w:tcPr>
            <w:tcW w:w="4343" w:type="dxa"/>
            <w:gridSpan w:val="3"/>
            <w:shd w:val="clear" w:color="auto" w:fill="auto"/>
          </w:tcPr>
          <w:p w14:paraId="69FE030F" w14:textId="77777777" w:rsidR="00494980" w:rsidRPr="003F7F6C" w:rsidRDefault="00494980" w:rsidP="008E53E9">
            <w:pPr>
              <w:jc w:val="right"/>
              <w:rPr>
                <w:rFonts w:cs="Minion Pro"/>
                <w:b/>
                <w:i/>
                <w:sz w:val="18"/>
                <w:szCs w:val="18"/>
              </w:rPr>
            </w:pPr>
            <w:r w:rsidRPr="003F7F6C">
              <w:rPr>
                <w:rFonts w:cs="Minion Pro"/>
                <w:b/>
                <w:i/>
                <w:sz w:val="18"/>
                <w:szCs w:val="18"/>
              </w:rPr>
              <w:t>Moderate Risk</w:t>
            </w:r>
          </w:p>
        </w:tc>
        <w:tc>
          <w:tcPr>
            <w:tcW w:w="427" w:type="dxa"/>
            <w:shd w:val="clear" w:color="auto" w:fill="auto"/>
          </w:tcPr>
          <w:p w14:paraId="50C83A8D" w14:textId="77777777" w:rsidR="00494980" w:rsidRPr="003F7F6C" w:rsidRDefault="00494980" w:rsidP="008E53E9">
            <w:pPr>
              <w:ind w:left="-2230" w:firstLine="2230"/>
              <w:rPr>
                <w:b/>
                <w:sz w:val="18"/>
                <w:szCs w:val="18"/>
              </w:rPr>
            </w:pPr>
            <w:r w:rsidRPr="003F7F6C">
              <w:rPr>
                <w:rFonts w:ascii="Segoe UI Symbol" w:hAnsi="Segoe UI Symbol" w:cs="Segoe UI Symbol"/>
                <w:b/>
                <w:szCs w:val="20"/>
              </w:rPr>
              <w:t>x</w:t>
            </w:r>
          </w:p>
        </w:tc>
        <w:tc>
          <w:tcPr>
            <w:tcW w:w="5470" w:type="dxa"/>
            <w:gridSpan w:val="2"/>
            <w:shd w:val="clear" w:color="auto" w:fill="auto"/>
          </w:tcPr>
          <w:p w14:paraId="2C7B26D7" w14:textId="77777777" w:rsidR="00494980" w:rsidRPr="003F7F6C" w:rsidRDefault="00494980" w:rsidP="008E53E9">
            <w:pPr>
              <w:rPr>
                <w:sz w:val="18"/>
                <w:szCs w:val="18"/>
              </w:rPr>
            </w:pPr>
            <w:r w:rsidRPr="003F7F6C">
              <w:rPr>
                <w:sz w:val="18"/>
                <w:szCs w:val="18"/>
              </w:rPr>
              <w:t>Given that the project has an explicit focus on biodiversity conservation and Sustainable Land Management through best practice land-use planning and setting up the framework for its implementation, the risk of adversely affecting conservation values is limited. However, because communities and indigenous peoples are present in several target landscapes covering globally important ecoregions where the project will work, measures are needed to ensure risks are managed. The design of the project takes into account measures, which will be further developed during project implementation.   Full and meaningful participation and inclusion of indigenous peoples at all levels will be guaranteed. At target landscape level the action lines outlined in the Project Document will be defined in detail during project implementation. For this the project will apply prior consultations at all times and FPIC will be ensured on any matters that may affect the rights and interests, lands, resources, territories. Agreement will be sought</w:t>
            </w:r>
            <w:r w:rsidRPr="003F7F6C">
              <w:rPr>
                <w:rFonts w:cs="Calibri"/>
                <w:sz w:val="18"/>
                <w:szCs w:val="18"/>
              </w:rPr>
              <w:t xml:space="preserve"> in all cases where </w:t>
            </w:r>
            <w:r w:rsidRPr="003F7F6C">
              <w:rPr>
                <w:rFonts w:cs="Calibri"/>
                <w:iCs/>
                <w:sz w:val="18"/>
                <w:szCs w:val="18"/>
                <w:shd w:val="clear" w:color="auto" w:fill="FFFFFF"/>
              </w:rPr>
              <w:t>project activities that may adversely affect the existence, value, use or enjoyment of indigenous lands, resources or territories, as per UNDP’s Standard 6 on Indigenous Peoples</w:t>
            </w:r>
            <w:r w:rsidRPr="003F7F6C">
              <w:rPr>
                <w:sz w:val="18"/>
                <w:szCs w:val="18"/>
              </w:rPr>
              <w:t xml:space="preserve">.  </w:t>
            </w:r>
          </w:p>
          <w:p w14:paraId="0B8DC400" w14:textId="77777777" w:rsidR="00494980" w:rsidRPr="003F7F6C" w:rsidRDefault="00494980" w:rsidP="008E53E9">
            <w:pPr>
              <w:rPr>
                <w:sz w:val="18"/>
                <w:szCs w:val="18"/>
              </w:rPr>
            </w:pPr>
            <w:r w:rsidRPr="003F7F6C">
              <w:rPr>
                <w:rFonts w:cs="Calibri"/>
                <w:sz w:val="18"/>
                <w:szCs w:val="18"/>
              </w:rPr>
              <w:t xml:space="preserve">Interventions addressing indigenous communities will follow and respect their organizational ways and cultural patterns; will ensure that stakeholders show respect for their dignity and human rights and will be carried out with a multi-cultural approach, respecting their collective and individual rights protected by international and national regulations and including safeguards to ensure actions do not negatively affect the livelihoods of indigenous communities. Participation will be ensured through: a) accumulated institutional experience in consultation processes in Jujuy and Mendoza; b) existing </w:t>
            </w:r>
            <w:r w:rsidRPr="003F7F6C">
              <w:rPr>
                <w:sz w:val="18"/>
                <w:szCs w:val="18"/>
              </w:rPr>
              <w:t>community structures and organizations, and c) proven participation protocols and processes; d) capacity building and awareness raising for participation; and e) communication and information.</w:t>
            </w:r>
          </w:p>
        </w:tc>
      </w:tr>
      <w:tr w:rsidR="00494980" w:rsidRPr="003F7F6C" w14:paraId="6E208D43" w14:textId="77777777" w:rsidTr="00494980">
        <w:tc>
          <w:tcPr>
            <w:tcW w:w="3510" w:type="dxa"/>
            <w:vMerge/>
            <w:shd w:val="clear" w:color="auto" w:fill="auto"/>
          </w:tcPr>
          <w:p w14:paraId="4984C2AA" w14:textId="77777777" w:rsidR="00494980" w:rsidRPr="003F7F6C" w:rsidRDefault="00494980" w:rsidP="008E53E9">
            <w:pPr>
              <w:rPr>
                <w:rFonts w:cs="Minion Pro"/>
                <w:sz w:val="18"/>
                <w:szCs w:val="18"/>
              </w:rPr>
            </w:pPr>
          </w:p>
        </w:tc>
        <w:tc>
          <w:tcPr>
            <w:tcW w:w="4343" w:type="dxa"/>
            <w:gridSpan w:val="3"/>
            <w:shd w:val="clear" w:color="auto" w:fill="auto"/>
          </w:tcPr>
          <w:p w14:paraId="052CCFB3" w14:textId="77777777" w:rsidR="00494980" w:rsidRPr="003F7F6C" w:rsidRDefault="00494980" w:rsidP="008E53E9">
            <w:pPr>
              <w:jc w:val="right"/>
              <w:rPr>
                <w:rFonts w:cs="Minion Pro"/>
                <w:b/>
                <w:i/>
                <w:sz w:val="18"/>
                <w:szCs w:val="18"/>
              </w:rPr>
            </w:pPr>
            <w:r w:rsidRPr="003F7F6C">
              <w:rPr>
                <w:rFonts w:cs="Minion Pro"/>
                <w:b/>
                <w:i/>
                <w:sz w:val="18"/>
                <w:szCs w:val="18"/>
              </w:rPr>
              <w:t>High Risk</w:t>
            </w:r>
          </w:p>
        </w:tc>
        <w:tc>
          <w:tcPr>
            <w:tcW w:w="427" w:type="dxa"/>
            <w:shd w:val="clear" w:color="auto" w:fill="auto"/>
          </w:tcPr>
          <w:p w14:paraId="2328B4A3" w14:textId="77777777" w:rsidR="00494980" w:rsidRPr="003F7F6C" w:rsidRDefault="00494980" w:rsidP="008E53E9">
            <w:pPr>
              <w:ind w:left="-2230" w:firstLine="2230"/>
              <w:rPr>
                <w:b/>
                <w:sz w:val="18"/>
                <w:szCs w:val="18"/>
              </w:rPr>
            </w:pPr>
            <w:r w:rsidRPr="003F7F6C">
              <w:rPr>
                <w:rFonts w:ascii="Segoe UI Symbol" w:hAnsi="Segoe UI Symbol" w:cs="Segoe UI Symbol"/>
                <w:b/>
                <w:szCs w:val="20"/>
              </w:rPr>
              <w:t>☐</w:t>
            </w:r>
          </w:p>
        </w:tc>
        <w:tc>
          <w:tcPr>
            <w:tcW w:w="5470" w:type="dxa"/>
            <w:gridSpan w:val="2"/>
            <w:shd w:val="clear" w:color="auto" w:fill="auto"/>
          </w:tcPr>
          <w:p w14:paraId="6BA683F0" w14:textId="77777777" w:rsidR="00494980" w:rsidRPr="003F7F6C" w:rsidRDefault="00494980" w:rsidP="008E53E9">
            <w:pPr>
              <w:rPr>
                <w:b/>
                <w:sz w:val="18"/>
                <w:szCs w:val="18"/>
              </w:rPr>
            </w:pPr>
          </w:p>
        </w:tc>
      </w:tr>
      <w:tr w:rsidR="00494980" w:rsidRPr="003F7F6C" w14:paraId="0B8F7592" w14:textId="77777777" w:rsidTr="00494980">
        <w:trPr>
          <w:trHeight w:val="782"/>
        </w:trPr>
        <w:tc>
          <w:tcPr>
            <w:tcW w:w="3510" w:type="dxa"/>
            <w:vMerge w:val="restart"/>
            <w:shd w:val="clear" w:color="auto" w:fill="FFFFFF"/>
          </w:tcPr>
          <w:p w14:paraId="71D845F0" w14:textId="77777777" w:rsidR="00494980" w:rsidRPr="003F7F6C" w:rsidRDefault="00494980" w:rsidP="008E53E9">
            <w:pPr>
              <w:ind w:hanging="18"/>
              <w:rPr>
                <w:b/>
                <w:szCs w:val="20"/>
              </w:rPr>
            </w:pPr>
          </w:p>
        </w:tc>
        <w:tc>
          <w:tcPr>
            <w:tcW w:w="5137" w:type="dxa"/>
            <w:gridSpan w:val="5"/>
            <w:shd w:val="clear" w:color="auto" w:fill="0F243E"/>
            <w:vAlign w:val="center"/>
          </w:tcPr>
          <w:p w14:paraId="10FFF91C" w14:textId="77777777" w:rsidR="00494980" w:rsidRPr="003F7F6C" w:rsidRDefault="00494980" w:rsidP="008E53E9">
            <w:pPr>
              <w:tabs>
                <w:tab w:val="left" w:pos="360"/>
              </w:tabs>
              <w:rPr>
                <w:szCs w:val="20"/>
              </w:rPr>
            </w:pPr>
            <w:r w:rsidRPr="003F7F6C">
              <w:rPr>
                <w:b/>
                <w:szCs w:val="20"/>
              </w:rPr>
              <w:t>QUESTION 5: Based on the identified risks and risk categorization, what requirements of the SES are relevant?</w:t>
            </w:r>
          </w:p>
        </w:tc>
        <w:tc>
          <w:tcPr>
            <w:tcW w:w="5103" w:type="dxa"/>
            <w:shd w:val="clear" w:color="auto" w:fill="0F243E"/>
            <w:vAlign w:val="center"/>
          </w:tcPr>
          <w:p w14:paraId="47045075" w14:textId="77777777" w:rsidR="00494980" w:rsidRPr="003F7F6C" w:rsidRDefault="00494980" w:rsidP="008E53E9">
            <w:pPr>
              <w:tabs>
                <w:tab w:val="left" w:pos="360"/>
              </w:tabs>
              <w:jc w:val="center"/>
              <w:rPr>
                <w:b/>
                <w:szCs w:val="20"/>
              </w:rPr>
            </w:pPr>
          </w:p>
        </w:tc>
      </w:tr>
      <w:tr w:rsidR="00494980" w:rsidRPr="003F7F6C" w14:paraId="1B763D69" w14:textId="77777777" w:rsidTr="00494980">
        <w:trPr>
          <w:trHeight w:val="296"/>
        </w:trPr>
        <w:tc>
          <w:tcPr>
            <w:tcW w:w="3510" w:type="dxa"/>
            <w:vMerge/>
            <w:shd w:val="clear" w:color="auto" w:fill="FFFFFF"/>
          </w:tcPr>
          <w:p w14:paraId="199E0615" w14:textId="77777777" w:rsidR="00494980" w:rsidRPr="003F7F6C" w:rsidRDefault="00494980" w:rsidP="008E53E9">
            <w:pPr>
              <w:rPr>
                <w:sz w:val="18"/>
                <w:szCs w:val="18"/>
                <w:u w:val="single"/>
              </w:rPr>
            </w:pPr>
          </w:p>
        </w:tc>
        <w:tc>
          <w:tcPr>
            <w:tcW w:w="5137" w:type="dxa"/>
            <w:gridSpan w:val="5"/>
            <w:shd w:val="clear" w:color="auto" w:fill="auto"/>
          </w:tcPr>
          <w:p w14:paraId="5E5C1544" w14:textId="77777777" w:rsidR="00494980" w:rsidRPr="003F7F6C" w:rsidRDefault="00494980" w:rsidP="008E53E9">
            <w:pPr>
              <w:tabs>
                <w:tab w:val="left" w:pos="360"/>
              </w:tabs>
              <w:jc w:val="center"/>
              <w:rPr>
                <w:rFonts w:ascii="Menlo Bold" w:hAnsi="Menlo Bold" w:cs="Menlo Bold"/>
                <w:b/>
                <w:szCs w:val="20"/>
              </w:rPr>
            </w:pPr>
            <w:r w:rsidRPr="003F7F6C">
              <w:rPr>
                <w:sz w:val="18"/>
                <w:szCs w:val="18"/>
              </w:rPr>
              <w:t>Check all that apply</w:t>
            </w:r>
          </w:p>
        </w:tc>
        <w:tc>
          <w:tcPr>
            <w:tcW w:w="5103" w:type="dxa"/>
            <w:shd w:val="clear" w:color="auto" w:fill="auto"/>
          </w:tcPr>
          <w:p w14:paraId="0DA8B00B" w14:textId="77777777" w:rsidR="00494980" w:rsidRPr="003F7F6C" w:rsidRDefault="00494980" w:rsidP="008E53E9">
            <w:pPr>
              <w:tabs>
                <w:tab w:val="left" w:pos="360"/>
              </w:tabs>
              <w:jc w:val="center"/>
              <w:rPr>
                <w:b/>
                <w:sz w:val="18"/>
                <w:szCs w:val="18"/>
              </w:rPr>
            </w:pPr>
            <w:r w:rsidRPr="003F7F6C">
              <w:rPr>
                <w:b/>
                <w:sz w:val="18"/>
                <w:szCs w:val="18"/>
              </w:rPr>
              <w:t>Comments</w:t>
            </w:r>
          </w:p>
        </w:tc>
      </w:tr>
      <w:tr w:rsidR="00494980" w:rsidRPr="003F7F6C" w14:paraId="25E86BF0" w14:textId="77777777" w:rsidTr="00494980">
        <w:tc>
          <w:tcPr>
            <w:tcW w:w="3510" w:type="dxa"/>
            <w:vMerge/>
            <w:shd w:val="clear" w:color="auto" w:fill="FFFFFF"/>
          </w:tcPr>
          <w:p w14:paraId="221EAD74" w14:textId="77777777" w:rsidR="00494980" w:rsidRPr="003F7F6C" w:rsidRDefault="00494980" w:rsidP="008E53E9">
            <w:pPr>
              <w:tabs>
                <w:tab w:val="left" w:pos="270"/>
              </w:tabs>
              <w:ind w:left="270" w:hanging="270"/>
              <w:rPr>
                <w:sz w:val="18"/>
                <w:szCs w:val="18"/>
              </w:rPr>
            </w:pPr>
          </w:p>
        </w:tc>
        <w:tc>
          <w:tcPr>
            <w:tcW w:w="4343" w:type="dxa"/>
            <w:gridSpan w:val="3"/>
            <w:shd w:val="clear" w:color="auto" w:fill="auto"/>
          </w:tcPr>
          <w:p w14:paraId="0DF0F97C" w14:textId="77777777" w:rsidR="00494980" w:rsidRPr="003F7F6C" w:rsidRDefault="00494980" w:rsidP="008E53E9">
            <w:pPr>
              <w:tabs>
                <w:tab w:val="left" w:pos="270"/>
              </w:tabs>
              <w:ind w:left="270" w:hanging="270"/>
              <w:rPr>
                <w:b/>
                <w:i/>
                <w:sz w:val="18"/>
                <w:szCs w:val="18"/>
              </w:rPr>
            </w:pPr>
            <w:r w:rsidRPr="003F7F6C">
              <w:rPr>
                <w:b/>
                <w:i/>
                <w:sz w:val="18"/>
                <w:szCs w:val="18"/>
              </w:rPr>
              <w:t>Principle 1: Human Rights</w:t>
            </w:r>
          </w:p>
        </w:tc>
        <w:tc>
          <w:tcPr>
            <w:tcW w:w="427" w:type="dxa"/>
            <w:shd w:val="clear" w:color="auto" w:fill="auto"/>
            <w:vAlign w:val="center"/>
          </w:tcPr>
          <w:p w14:paraId="709FC251" w14:textId="77777777" w:rsidR="00494980" w:rsidRPr="003F7F6C" w:rsidRDefault="00494980" w:rsidP="008E53E9">
            <w:pPr>
              <w:tabs>
                <w:tab w:val="left" w:pos="360"/>
              </w:tabs>
              <w:rPr>
                <w:sz w:val="18"/>
                <w:szCs w:val="18"/>
              </w:rPr>
            </w:pPr>
            <w:r w:rsidRPr="003F7F6C">
              <w:rPr>
                <w:rFonts w:ascii="Segoe UI Symbol" w:hAnsi="Segoe UI Symbol" w:cs="Segoe UI Symbol"/>
                <w:b/>
                <w:szCs w:val="20"/>
              </w:rPr>
              <w:t>x</w:t>
            </w:r>
          </w:p>
        </w:tc>
        <w:tc>
          <w:tcPr>
            <w:tcW w:w="5470" w:type="dxa"/>
            <w:gridSpan w:val="2"/>
            <w:shd w:val="clear" w:color="auto" w:fill="auto"/>
          </w:tcPr>
          <w:p w14:paraId="3BEE8713" w14:textId="77777777" w:rsidR="00494980" w:rsidRPr="003F7F6C" w:rsidRDefault="00494980" w:rsidP="008E53E9">
            <w:pPr>
              <w:tabs>
                <w:tab w:val="left" w:pos="360"/>
              </w:tabs>
              <w:rPr>
                <w:sz w:val="18"/>
                <w:szCs w:val="18"/>
              </w:rPr>
            </w:pPr>
            <w:r w:rsidRPr="003F7F6C">
              <w:rPr>
                <w:sz w:val="18"/>
                <w:szCs w:val="18"/>
              </w:rPr>
              <w:t xml:space="preserve">With the support to Environmental Land Use Planning, there may be restrictions on potential production activities that may incur opportunity costs.  These restrictions will be negotiated during land use planning with different levels of government and communities. Additionally, as noted above the project design includes testing economic and financial incentives and selecting and promoting those best feasible to compensate for potential opportunity costs.  </w:t>
            </w:r>
          </w:p>
          <w:p w14:paraId="48C0C23D" w14:textId="77777777" w:rsidR="00494980" w:rsidRPr="003F7F6C" w:rsidRDefault="00494980" w:rsidP="008E53E9">
            <w:pPr>
              <w:tabs>
                <w:tab w:val="left" w:pos="360"/>
              </w:tabs>
              <w:rPr>
                <w:sz w:val="18"/>
                <w:szCs w:val="18"/>
              </w:rPr>
            </w:pPr>
            <w:r w:rsidRPr="003F7F6C">
              <w:rPr>
                <w:sz w:val="18"/>
                <w:szCs w:val="18"/>
              </w:rPr>
              <w:t>The project is committed to supporting “universal respect for, and observance of, human rights and fundamental freedoms for all” through: a) implementation of the stakeholder engagement plan that has been designed to ensure buy-in and full and meaningful participation and inclusion of all concerned stakeholders at all levels; b) a conflict prevention and management system, including a grievance mechanism; and c) a gender mainstreaming strategy.</w:t>
            </w:r>
            <w:r w:rsidRPr="003F7F6C">
              <w:rPr>
                <w:color w:val="FF0000"/>
                <w:sz w:val="18"/>
                <w:szCs w:val="18"/>
              </w:rPr>
              <w:t xml:space="preserve">  </w:t>
            </w:r>
          </w:p>
        </w:tc>
      </w:tr>
      <w:tr w:rsidR="00494980" w:rsidRPr="003F7F6C" w14:paraId="3562F912" w14:textId="77777777" w:rsidTr="00494980">
        <w:tc>
          <w:tcPr>
            <w:tcW w:w="3510" w:type="dxa"/>
            <w:vMerge/>
            <w:shd w:val="clear" w:color="auto" w:fill="FFFFFF"/>
          </w:tcPr>
          <w:p w14:paraId="60819E7E" w14:textId="77777777" w:rsidR="00494980" w:rsidRPr="003F7F6C" w:rsidRDefault="00494980" w:rsidP="008E53E9">
            <w:pPr>
              <w:tabs>
                <w:tab w:val="left" w:pos="270"/>
              </w:tabs>
              <w:ind w:left="270" w:hanging="270"/>
              <w:rPr>
                <w:sz w:val="18"/>
                <w:szCs w:val="18"/>
              </w:rPr>
            </w:pPr>
          </w:p>
        </w:tc>
        <w:tc>
          <w:tcPr>
            <w:tcW w:w="4343" w:type="dxa"/>
            <w:gridSpan w:val="3"/>
            <w:shd w:val="clear" w:color="auto" w:fill="auto"/>
          </w:tcPr>
          <w:p w14:paraId="67AA2C7A" w14:textId="77777777" w:rsidR="00494980" w:rsidRPr="003F7F6C" w:rsidRDefault="00494980" w:rsidP="008E53E9">
            <w:pPr>
              <w:tabs>
                <w:tab w:val="left" w:pos="270"/>
              </w:tabs>
              <w:ind w:left="270" w:hanging="270"/>
              <w:rPr>
                <w:b/>
                <w:i/>
                <w:sz w:val="18"/>
                <w:szCs w:val="18"/>
              </w:rPr>
            </w:pPr>
            <w:r w:rsidRPr="003F7F6C">
              <w:rPr>
                <w:b/>
                <w:i/>
                <w:sz w:val="18"/>
                <w:szCs w:val="18"/>
              </w:rPr>
              <w:t>Principle 2: Gender Equality and Women’s Empowerment</w:t>
            </w:r>
          </w:p>
        </w:tc>
        <w:tc>
          <w:tcPr>
            <w:tcW w:w="427" w:type="dxa"/>
            <w:shd w:val="clear" w:color="auto" w:fill="auto"/>
            <w:vAlign w:val="center"/>
          </w:tcPr>
          <w:p w14:paraId="067922F5" w14:textId="77777777" w:rsidR="00494980" w:rsidRPr="003F7F6C" w:rsidRDefault="00494980" w:rsidP="008E53E9">
            <w:pPr>
              <w:tabs>
                <w:tab w:val="left" w:pos="360"/>
              </w:tabs>
              <w:rPr>
                <w:sz w:val="18"/>
                <w:szCs w:val="18"/>
              </w:rPr>
            </w:pPr>
            <w:r w:rsidRPr="003F7F6C">
              <w:rPr>
                <w:rFonts w:ascii="Segoe UI Symbol" w:hAnsi="Segoe UI Symbol" w:cs="Segoe UI Symbol"/>
                <w:b/>
                <w:szCs w:val="20"/>
              </w:rPr>
              <w:t>x</w:t>
            </w:r>
          </w:p>
        </w:tc>
        <w:tc>
          <w:tcPr>
            <w:tcW w:w="5470" w:type="dxa"/>
            <w:gridSpan w:val="2"/>
            <w:shd w:val="clear" w:color="auto" w:fill="auto"/>
          </w:tcPr>
          <w:p w14:paraId="703ED449" w14:textId="77777777" w:rsidR="00494980" w:rsidRPr="003F7F6C" w:rsidRDefault="00494980" w:rsidP="008E53E9">
            <w:pPr>
              <w:tabs>
                <w:tab w:val="left" w:pos="360"/>
              </w:tabs>
              <w:rPr>
                <w:rFonts w:cs="Calibri"/>
                <w:sz w:val="18"/>
                <w:szCs w:val="18"/>
              </w:rPr>
            </w:pPr>
            <w:r w:rsidRPr="003F7F6C">
              <w:rPr>
                <w:rFonts w:cs="Calibri"/>
                <w:sz w:val="18"/>
                <w:szCs w:val="18"/>
              </w:rPr>
              <w:t>As outlined above (Question 1 and Question 2/Risk 4) the gender analysis identified several gaps including: parity in decision-making spaces; women´s incomes and livelihoods; use of time; and access to, and control of resources. The project has developed a strategy that links the most important gaps identified in relation to its outcomes, the proposed interventions, and the country´s policies and commitments toward gender equality. See Annex G of the UNDP Project Document for further details). In addition, the Stakeholder Engagement Plan (Annex F of the UNDP Project Document) foresees the participation of women through several mechanisms that include dialogue, communication and information, and capacity building.</w:t>
            </w:r>
          </w:p>
        </w:tc>
      </w:tr>
      <w:tr w:rsidR="00494980" w:rsidRPr="003F7F6C" w14:paraId="72D07411" w14:textId="77777777" w:rsidTr="00494980">
        <w:tc>
          <w:tcPr>
            <w:tcW w:w="3510" w:type="dxa"/>
            <w:vMerge/>
            <w:shd w:val="clear" w:color="auto" w:fill="FFFFFF"/>
          </w:tcPr>
          <w:p w14:paraId="30F9E774" w14:textId="77777777" w:rsidR="00494980" w:rsidRPr="003F7F6C" w:rsidRDefault="00494980" w:rsidP="008E53E9">
            <w:pPr>
              <w:tabs>
                <w:tab w:val="left" w:pos="270"/>
              </w:tabs>
              <w:ind w:left="270" w:hanging="270"/>
              <w:rPr>
                <w:sz w:val="18"/>
                <w:szCs w:val="18"/>
              </w:rPr>
            </w:pPr>
          </w:p>
        </w:tc>
        <w:tc>
          <w:tcPr>
            <w:tcW w:w="4343" w:type="dxa"/>
            <w:gridSpan w:val="3"/>
            <w:shd w:val="clear" w:color="auto" w:fill="auto"/>
          </w:tcPr>
          <w:p w14:paraId="7E3124A7" w14:textId="77777777" w:rsidR="00494980" w:rsidRPr="003F7F6C" w:rsidRDefault="00494980" w:rsidP="008E53E9">
            <w:pPr>
              <w:tabs>
                <w:tab w:val="left" w:pos="270"/>
              </w:tabs>
              <w:ind w:left="270" w:hanging="270"/>
              <w:rPr>
                <w:b/>
                <w:i/>
                <w:sz w:val="18"/>
                <w:szCs w:val="18"/>
              </w:rPr>
            </w:pPr>
            <w:r w:rsidRPr="003F7F6C">
              <w:rPr>
                <w:b/>
                <w:i/>
                <w:sz w:val="18"/>
                <w:szCs w:val="18"/>
              </w:rPr>
              <w:t>1.</w:t>
            </w:r>
            <w:r w:rsidRPr="003F7F6C">
              <w:rPr>
                <w:b/>
                <w:i/>
                <w:sz w:val="18"/>
                <w:szCs w:val="18"/>
              </w:rPr>
              <w:tab/>
              <w:t>Biodiversity Conservation and Natural Resource Management</w:t>
            </w:r>
          </w:p>
        </w:tc>
        <w:tc>
          <w:tcPr>
            <w:tcW w:w="427" w:type="dxa"/>
            <w:shd w:val="clear" w:color="auto" w:fill="auto"/>
            <w:vAlign w:val="center"/>
          </w:tcPr>
          <w:p w14:paraId="3E5820DD" w14:textId="77777777" w:rsidR="00494980" w:rsidRPr="003F7F6C" w:rsidRDefault="00494980" w:rsidP="008E53E9">
            <w:pPr>
              <w:tabs>
                <w:tab w:val="left" w:pos="360"/>
              </w:tabs>
              <w:rPr>
                <w:sz w:val="18"/>
                <w:szCs w:val="18"/>
              </w:rPr>
            </w:pPr>
            <w:r w:rsidRPr="003F7F6C">
              <w:rPr>
                <w:rFonts w:ascii="Segoe UI Symbol" w:hAnsi="Segoe UI Symbol" w:cs="Segoe UI Symbol"/>
                <w:b/>
                <w:szCs w:val="20"/>
              </w:rPr>
              <w:t>☐</w:t>
            </w:r>
          </w:p>
        </w:tc>
        <w:tc>
          <w:tcPr>
            <w:tcW w:w="5470" w:type="dxa"/>
            <w:gridSpan w:val="2"/>
            <w:shd w:val="clear" w:color="auto" w:fill="auto"/>
          </w:tcPr>
          <w:p w14:paraId="55F1A469" w14:textId="77777777" w:rsidR="00494980" w:rsidRPr="003F7F6C" w:rsidRDefault="00494980" w:rsidP="008E53E9">
            <w:pPr>
              <w:tabs>
                <w:tab w:val="left" w:pos="360"/>
              </w:tabs>
              <w:rPr>
                <w:sz w:val="18"/>
                <w:szCs w:val="18"/>
              </w:rPr>
            </w:pPr>
          </w:p>
          <w:p w14:paraId="323D4017" w14:textId="77777777" w:rsidR="00494980" w:rsidRPr="003F7F6C" w:rsidRDefault="00494980" w:rsidP="008E53E9">
            <w:pPr>
              <w:tabs>
                <w:tab w:val="left" w:pos="360"/>
              </w:tabs>
              <w:rPr>
                <w:sz w:val="18"/>
                <w:szCs w:val="18"/>
              </w:rPr>
            </w:pPr>
          </w:p>
        </w:tc>
      </w:tr>
      <w:tr w:rsidR="00494980" w:rsidRPr="003F7F6C" w14:paraId="3ABE4F6C" w14:textId="77777777" w:rsidTr="00494980">
        <w:tc>
          <w:tcPr>
            <w:tcW w:w="3510" w:type="dxa"/>
            <w:vMerge/>
            <w:shd w:val="clear" w:color="auto" w:fill="FFFFFF"/>
          </w:tcPr>
          <w:p w14:paraId="4201957B" w14:textId="77777777" w:rsidR="00494980" w:rsidRPr="003F7F6C" w:rsidRDefault="00494980" w:rsidP="008E53E9">
            <w:pPr>
              <w:tabs>
                <w:tab w:val="left" w:pos="270"/>
              </w:tabs>
              <w:ind w:left="270" w:hanging="270"/>
              <w:rPr>
                <w:sz w:val="18"/>
                <w:szCs w:val="18"/>
              </w:rPr>
            </w:pPr>
          </w:p>
        </w:tc>
        <w:tc>
          <w:tcPr>
            <w:tcW w:w="4343" w:type="dxa"/>
            <w:gridSpan w:val="3"/>
            <w:shd w:val="clear" w:color="auto" w:fill="auto"/>
          </w:tcPr>
          <w:p w14:paraId="51D05956" w14:textId="77777777" w:rsidR="00494980" w:rsidRPr="003F7F6C" w:rsidRDefault="00494980" w:rsidP="008E53E9">
            <w:pPr>
              <w:tabs>
                <w:tab w:val="left" w:pos="270"/>
              </w:tabs>
              <w:ind w:left="270" w:hanging="270"/>
              <w:rPr>
                <w:b/>
                <w:i/>
                <w:sz w:val="18"/>
                <w:szCs w:val="18"/>
              </w:rPr>
            </w:pPr>
            <w:r w:rsidRPr="003F7F6C">
              <w:rPr>
                <w:b/>
                <w:i/>
                <w:sz w:val="18"/>
                <w:szCs w:val="18"/>
              </w:rPr>
              <w:t>2.</w:t>
            </w:r>
            <w:r w:rsidRPr="003F7F6C">
              <w:rPr>
                <w:b/>
                <w:i/>
                <w:sz w:val="18"/>
                <w:szCs w:val="18"/>
              </w:rPr>
              <w:tab/>
              <w:t>Climate Change Mitigation and Adaptation</w:t>
            </w:r>
          </w:p>
        </w:tc>
        <w:tc>
          <w:tcPr>
            <w:tcW w:w="427" w:type="dxa"/>
            <w:shd w:val="clear" w:color="auto" w:fill="auto"/>
            <w:vAlign w:val="center"/>
          </w:tcPr>
          <w:p w14:paraId="41002749" w14:textId="77777777" w:rsidR="00494980" w:rsidRPr="003F7F6C" w:rsidRDefault="00494980" w:rsidP="008E53E9">
            <w:pPr>
              <w:tabs>
                <w:tab w:val="left" w:pos="360"/>
              </w:tabs>
              <w:rPr>
                <w:sz w:val="18"/>
                <w:szCs w:val="18"/>
              </w:rPr>
            </w:pPr>
            <w:r w:rsidRPr="003F7F6C">
              <w:rPr>
                <w:rFonts w:ascii="Segoe UI Symbol" w:hAnsi="Segoe UI Symbol" w:cs="Segoe UI Symbol"/>
                <w:b/>
                <w:szCs w:val="20"/>
              </w:rPr>
              <w:t>x</w:t>
            </w:r>
          </w:p>
        </w:tc>
        <w:tc>
          <w:tcPr>
            <w:tcW w:w="5470" w:type="dxa"/>
            <w:gridSpan w:val="2"/>
            <w:shd w:val="clear" w:color="auto" w:fill="auto"/>
          </w:tcPr>
          <w:p w14:paraId="3DEFFCB4" w14:textId="77777777" w:rsidR="00494980" w:rsidRPr="003F7F6C" w:rsidRDefault="00494980" w:rsidP="008E53E9">
            <w:pPr>
              <w:tabs>
                <w:tab w:val="left" w:pos="360"/>
              </w:tabs>
              <w:rPr>
                <w:sz w:val="18"/>
                <w:szCs w:val="18"/>
              </w:rPr>
            </w:pPr>
            <w:r w:rsidRPr="003F7F6C">
              <w:rPr>
                <w:sz w:val="18"/>
                <w:szCs w:val="18"/>
              </w:rPr>
              <w:t xml:space="preserve"> Argentina´s Third National Communication identifies the climate scenarios for the different regions of the country as well as vulnerabilities and impacts.  These include forecasts for the project´s three pilot provinces (Buenos Aires, Jujuy and Mendoza), which will be taken into account during project implementation to promote an Environmental Land Use Planning management model that is flexible and adjustable to increase resilience to climate change.  Adaptation to climate change will be incorporated in capacity building activities, in the design of economic and financial incentives and in testing and validating environmentally friendly and sustainable best practices.</w:t>
            </w:r>
          </w:p>
        </w:tc>
      </w:tr>
      <w:tr w:rsidR="00494980" w:rsidRPr="003F7F6C" w14:paraId="165A4D5F" w14:textId="77777777" w:rsidTr="00494980">
        <w:tc>
          <w:tcPr>
            <w:tcW w:w="3510" w:type="dxa"/>
            <w:vMerge/>
            <w:shd w:val="clear" w:color="auto" w:fill="FFFFFF"/>
          </w:tcPr>
          <w:p w14:paraId="31F9A765" w14:textId="77777777" w:rsidR="00494980" w:rsidRPr="003F7F6C" w:rsidRDefault="00494980" w:rsidP="008E53E9">
            <w:pPr>
              <w:tabs>
                <w:tab w:val="left" w:pos="270"/>
              </w:tabs>
              <w:ind w:left="270" w:hanging="270"/>
              <w:rPr>
                <w:sz w:val="18"/>
                <w:szCs w:val="18"/>
              </w:rPr>
            </w:pPr>
          </w:p>
        </w:tc>
        <w:tc>
          <w:tcPr>
            <w:tcW w:w="4343" w:type="dxa"/>
            <w:gridSpan w:val="3"/>
            <w:shd w:val="clear" w:color="auto" w:fill="auto"/>
          </w:tcPr>
          <w:p w14:paraId="51979A44" w14:textId="77777777" w:rsidR="00494980" w:rsidRPr="003F7F6C" w:rsidRDefault="00494980" w:rsidP="008E53E9">
            <w:pPr>
              <w:tabs>
                <w:tab w:val="left" w:pos="270"/>
              </w:tabs>
              <w:ind w:left="270" w:hanging="270"/>
              <w:rPr>
                <w:b/>
                <w:i/>
                <w:sz w:val="18"/>
                <w:szCs w:val="18"/>
              </w:rPr>
            </w:pPr>
            <w:r w:rsidRPr="003F7F6C">
              <w:rPr>
                <w:b/>
                <w:i/>
                <w:sz w:val="18"/>
                <w:szCs w:val="18"/>
              </w:rPr>
              <w:t>3.</w:t>
            </w:r>
            <w:r w:rsidRPr="003F7F6C">
              <w:rPr>
                <w:b/>
                <w:i/>
                <w:sz w:val="18"/>
                <w:szCs w:val="18"/>
              </w:rPr>
              <w:tab/>
              <w:t>Community Health, Safety and Working Conditions</w:t>
            </w:r>
          </w:p>
        </w:tc>
        <w:tc>
          <w:tcPr>
            <w:tcW w:w="427" w:type="dxa"/>
            <w:shd w:val="clear" w:color="auto" w:fill="auto"/>
            <w:vAlign w:val="center"/>
          </w:tcPr>
          <w:p w14:paraId="400614F8" w14:textId="77777777" w:rsidR="00494980" w:rsidRPr="003F7F6C" w:rsidRDefault="00494980" w:rsidP="008E53E9">
            <w:pPr>
              <w:tabs>
                <w:tab w:val="left" w:pos="360"/>
              </w:tabs>
              <w:rPr>
                <w:sz w:val="18"/>
                <w:szCs w:val="18"/>
              </w:rPr>
            </w:pPr>
            <w:r w:rsidRPr="003F7F6C">
              <w:rPr>
                <w:rFonts w:ascii="Segoe UI Symbol" w:hAnsi="Segoe UI Symbol" w:cs="Segoe UI Symbol"/>
                <w:b/>
                <w:szCs w:val="20"/>
              </w:rPr>
              <w:t>☐</w:t>
            </w:r>
          </w:p>
        </w:tc>
        <w:tc>
          <w:tcPr>
            <w:tcW w:w="5470" w:type="dxa"/>
            <w:gridSpan w:val="2"/>
            <w:shd w:val="clear" w:color="auto" w:fill="auto"/>
          </w:tcPr>
          <w:p w14:paraId="445F4802" w14:textId="77777777" w:rsidR="00494980" w:rsidRPr="003F7F6C" w:rsidRDefault="00494980" w:rsidP="008E53E9">
            <w:pPr>
              <w:tabs>
                <w:tab w:val="left" w:pos="360"/>
              </w:tabs>
              <w:rPr>
                <w:sz w:val="18"/>
                <w:szCs w:val="18"/>
              </w:rPr>
            </w:pPr>
          </w:p>
        </w:tc>
      </w:tr>
      <w:tr w:rsidR="00494980" w:rsidRPr="003F7F6C" w14:paraId="11D2FEBE" w14:textId="77777777" w:rsidTr="00494980">
        <w:tc>
          <w:tcPr>
            <w:tcW w:w="3510" w:type="dxa"/>
            <w:vMerge/>
            <w:shd w:val="clear" w:color="auto" w:fill="FFFFFF"/>
          </w:tcPr>
          <w:p w14:paraId="2156E46B" w14:textId="77777777" w:rsidR="00494980" w:rsidRPr="003F7F6C" w:rsidRDefault="00494980" w:rsidP="008E53E9">
            <w:pPr>
              <w:tabs>
                <w:tab w:val="left" w:pos="270"/>
              </w:tabs>
              <w:ind w:left="270" w:hanging="270"/>
              <w:rPr>
                <w:sz w:val="18"/>
                <w:szCs w:val="18"/>
              </w:rPr>
            </w:pPr>
          </w:p>
        </w:tc>
        <w:tc>
          <w:tcPr>
            <w:tcW w:w="4343" w:type="dxa"/>
            <w:gridSpan w:val="3"/>
            <w:shd w:val="clear" w:color="auto" w:fill="auto"/>
          </w:tcPr>
          <w:p w14:paraId="1D85AB79" w14:textId="77777777" w:rsidR="00494980" w:rsidRPr="003F7F6C" w:rsidRDefault="00494980" w:rsidP="008E53E9">
            <w:pPr>
              <w:tabs>
                <w:tab w:val="left" w:pos="270"/>
              </w:tabs>
              <w:ind w:left="270" w:hanging="270"/>
              <w:rPr>
                <w:b/>
                <w:i/>
                <w:sz w:val="18"/>
                <w:szCs w:val="18"/>
              </w:rPr>
            </w:pPr>
            <w:r w:rsidRPr="003F7F6C">
              <w:rPr>
                <w:b/>
                <w:i/>
                <w:sz w:val="18"/>
                <w:szCs w:val="18"/>
              </w:rPr>
              <w:t>4.</w:t>
            </w:r>
            <w:r w:rsidRPr="003F7F6C">
              <w:rPr>
                <w:b/>
                <w:i/>
                <w:sz w:val="18"/>
                <w:szCs w:val="18"/>
              </w:rPr>
              <w:tab/>
              <w:t>Cultural Heritage</w:t>
            </w:r>
          </w:p>
        </w:tc>
        <w:tc>
          <w:tcPr>
            <w:tcW w:w="427" w:type="dxa"/>
            <w:shd w:val="clear" w:color="auto" w:fill="auto"/>
            <w:vAlign w:val="center"/>
          </w:tcPr>
          <w:p w14:paraId="2C100930" w14:textId="77777777" w:rsidR="00494980" w:rsidRPr="003F7F6C" w:rsidRDefault="00494980" w:rsidP="008E53E9">
            <w:pPr>
              <w:tabs>
                <w:tab w:val="left" w:pos="360"/>
              </w:tabs>
              <w:rPr>
                <w:sz w:val="18"/>
                <w:szCs w:val="18"/>
              </w:rPr>
            </w:pPr>
            <w:r w:rsidRPr="003F7F6C">
              <w:rPr>
                <w:rFonts w:ascii="Segoe UI Symbol" w:hAnsi="Segoe UI Symbol" w:cs="Segoe UI Symbol"/>
                <w:b/>
                <w:szCs w:val="20"/>
              </w:rPr>
              <w:t>☐</w:t>
            </w:r>
          </w:p>
        </w:tc>
        <w:tc>
          <w:tcPr>
            <w:tcW w:w="5470" w:type="dxa"/>
            <w:gridSpan w:val="2"/>
            <w:shd w:val="clear" w:color="auto" w:fill="auto"/>
          </w:tcPr>
          <w:p w14:paraId="7E3D542B" w14:textId="77777777" w:rsidR="00494980" w:rsidRPr="003F7F6C" w:rsidRDefault="00494980" w:rsidP="008E53E9">
            <w:pPr>
              <w:tabs>
                <w:tab w:val="left" w:pos="360"/>
              </w:tabs>
              <w:rPr>
                <w:sz w:val="18"/>
                <w:szCs w:val="18"/>
              </w:rPr>
            </w:pPr>
          </w:p>
        </w:tc>
      </w:tr>
      <w:tr w:rsidR="00494980" w:rsidRPr="003F7F6C" w14:paraId="276545F3" w14:textId="77777777" w:rsidTr="00494980">
        <w:tc>
          <w:tcPr>
            <w:tcW w:w="3510" w:type="dxa"/>
            <w:vMerge/>
            <w:shd w:val="clear" w:color="auto" w:fill="FFFFFF"/>
          </w:tcPr>
          <w:p w14:paraId="66838215" w14:textId="77777777" w:rsidR="00494980" w:rsidRPr="003F7F6C" w:rsidRDefault="00494980" w:rsidP="008E53E9">
            <w:pPr>
              <w:tabs>
                <w:tab w:val="left" w:pos="270"/>
              </w:tabs>
              <w:ind w:left="270" w:hanging="270"/>
              <w:rPr>
                <w:sz w:val="18"/>
                <w:szCs w:val="18"/>
              </w:rPr>
            </w:pPr>
          </w:p>
        </w:tc>
        <w:tc>
          <w:tcPr>
            <w:tcW w:w="4343" w:type="dxa"/>
            <w:gridSpan w:val="3"/>
            <w:shd w:val="clear" w:color="auto" w:fill="auto"/>
          </w:tcPr>
          <w:p w14:paraId="5E224F45" w14:textId="77777777" w:rsidR="00494980" w:rsidRPr="003F7F6C" w:rsidRDefault="00494980" w:rsidP="008E53E9">
            <w:pPr>
              <w:tabs>
                <w:tab w:val="left" w:pos="270"/>
              </w:tabs>
              <w:ind w:left="270" w:hanging="270"/>
              <w:rPr>
                <w:b/>
                <w:i/>
                <w:sz w:val="18"/>
                <w:szCs w:val="18"/>
              </w:rPr>
            </w:pPr>
            <w:r w:rsidRPr="003F7F6C">
              <w:rPr>
                <w:b/>
                <w:i/>
                <w:sz w:val="18"/>
                <w:szCs w:val="18"/>
              </w:rPr>
              <w:t>5.</w:t>
            </w:r>
            <w:r w:rsidRPr="003F7F6C">
              <w:rPr>
                <w:b/>
                <w:i/>
                <w:sz w:val="18"/>
                <w:szCs w:val="18"/>
              </w:rPr>
              <w:tab/>
              <w:t>Displacement and Resettlement</w:t>
            </w:r>
          </w:p>
        </w:tc>
        <w:tc>
          <w:tcPr>
            <w:tcW w:w="427" w:type="dxa"/>
            <w:shd w:val="clear" w:color="auto" w:fill="auto"/>
            <w:vAlign w:val="center"/>
          </w:tcPr>
          <w:p w14:paraId="6547FCA1" w14:textId="77777777" w:rsidR="00494980" w:rsidRPr="003F7F6C" w:rsidRDefault="00494980" w:rsidP="008E53E9">
            <w:pPr>
              <w:tabs>
                <w:tab w:val="left" w:pos="360"/>
              </w:tabs>
              <w:rPr>
                <w:sz w:val="18"/>
                <w:szCs w:val="18"/>
              </w:rPr>
            </w:pPr>
            <w:r w:rsidRPr="003F7F6C">
              <w:rPr>
                <w:rFonts w:ascii="Segoe UI Symbol" w:hAnsi="Segoe UI Symbol" w:cs="Segoe UI Symbol"/>
                <w:b/>
                <w:szCs w:val="20"/>
              </w:rPr>
              <w:t>X</w:t>
            </w:r>
          </w:p>
        </w:tc>
        <w:tc>
          <w:tcPr>
            <w:tcW w:w="5470" w:type="dxa"/>
            <w:gridSpan w:val="2"/>
            <w:shd w:val="clear" w:color="auto" w:fill="auto"/>
          </w:tcPr>
          <w:p w14:paraId="15B3A247" w14:textId="77777777" w:rsidR="00494980" w:rsidRPr="003F7F6C" w:rsidRDefault="00494980" w:rsidP="008E53E9">
            <w:pPr>
              <w:tabs>
                <w:tab w:val="left" w:pos="360"/>
              </w:tabs>
              <w:rPr>
                <w:sz w:val="18"/>
                <w:szCs w:val="18"/>
              </w:rPr>
            </w:pPr>
            <w:r w:rsidRPr="003F7F6C">
              <w:rPr>
                <w:sz w:val="18"/>
                <w:szCs w:val="18"/>
              </w:rPr>
              <w:t xml:space="preserve">This Standard will be met through the development and implementation of the detailed IPP; see the following comment for more detail. </w:t>
            </w:r>
          </w:p>
        </w:tc>
      </w:tr>
      <w:tr w:rsidR="00494980" w:rsidRPr="003F7F6C" w14:paraId="256CD372" w14:textId="77777777" w:rsidTr="00494980">
        <w:tc>
          <w:tcPr>
            <w:tcW w:w="3510" w:type="dxa"/>
            <w:vMerge/>
            <w:shd w:val="clear" w:color="auto" w:fill="FFFFFF"/>
          </w:tcPr>
          <w:p w14:paraId="7339520B" w14:textId="77777777" w:rsidR="00494980" w:rsidRPr="003F7F6C" w:rsidRDefault="00494980" w:rsidP="008E53E9">
            <w:pPr>
              <w:tabs>
                <w:tab w:val="left" w:pos="270"/>
              </w:tabs>
              <w:ind w:left="270" w:hanging="270"/>
              <w:rPr>
                <w:sz w:val="18"/>
                <w:szCs w:val="18"/>
              </w:rPr>
            </w:pPr>
          </w:p>
        </w:tc>
        <w:tc>
          <w:tcPr>
            <w:tcW w:w="4343" w:type="dxa"/>
            <w:gridSpan w:val="3"/>
            <w:shd w:val="clear" w:color="auto" w:fill="auto"/>
          </w:tcPr>
          <w:p w14:paraId="790D56DF" w14:textId="77777777" w:rsidR="00494980" w:rsidRPr="003F7F6C" w:rsidRDefault="00494980" w:rsidP="008E53E9">
            <w:pPr>
              <w:tabs>
                <w:tab w:val="left" w:pos="270"/>
              </w:tabs>
              <w:ind w:left="270" w:hanging="270"/>
              <w:rPr>
                <w:b/>
                <w:i/>
                <w:sz w:val="18"/>
                <w:szCs w:val="18"/>
              </w:rPr>
            </w:pPr>
            <w:r w:rsidRPr="003F7F6C">
              <w:rPr>
                <w:b/>
                <w:i/>
                <w:sz w:val="18"/>
                <w:szCs w:val="18"/>
              </w:rPr>
              <w:t>6.</w:t>
            </w:r>
            <w:r w:rsidRPr="003F7F6C">
              <w:rPr>
                <w:b/>
                <w:i/>
                <w:sz w:val="18"/>
                <w:szCs w:val="18"/>
              </w:rPr>
              <w:tab/>
              <w:t>Indigenous Peoples</w:t>
            </w:r>
          </w:p>
        </w:tc>
        <w:tc>
          <w:tcPr>
            <w:tcW w:w="427" w:type="dxa"/>
            <w:shd w:val="clear" w:color="auto" w:fill="auto"/>
            <w:vAlign w:val="center"/>
          </w:tcPr>
          <w:p w14:paraId="0FCA91FD" w14:textId="77777777" w:rsidR="00494980" w:rsidRPr="003F7F6C" w:rsidRDefault="00494980" w:rsidP="008E53E9">
            <w:pPr>
              <w:tabs>
                <w:tab w:val="left" w:pos="360"/>
              </w:tabs>
              <w:rPr>
                <w:sz w:val="18"/>
                <w:szCs w:val="18"/>
              </w:rPr>
            </w:pPr>
            <w:r w:rsidRPr="003F7F6C">
              <w:rPr>
                <w:rFonts w:ascii="Segoe UI Symbol" w:hAnsi="Segoe UI Symbol" w:cs="Segoe UI Symbol"/>
                <w:b/>
                <w:szCs w:val="20"/>
              </w:rPr>
              <w:t>X</w:t>
            </w:r>
          </w:p>
        </w:tc>
        <w:tc>
          <w:tcPr>
            <w:tcW w:w="5470" w:type="dxa"/>
            <w:gridSpan w:val="2"/>
            <w:shd w:val="clear" w:color="auto" w:fill="auto"/>
          </w:tcPr>
          <w:p w14:paraId="694F5CD1" w14:textId="77777777" w:rsidR="00494980" w:rsidRPr="003F7F6C" w:rsidRDefault="00494980" w:rsidP="008E53E9">
            <w:pPr>
              <w:tabs>
                <w:tab w:val="left" w:pos="360"/>
              </w:tabs>
              <w:rPr>
                <w:sz w:val="18"/>
                <w:szCs w:val="18"/>
              </w:rPr>
            </w:pPr>
            <w:r w:rsidRPr="003F7F6C">
              <w:rPr>
                <w:sz w:val="18"/>
                <w:szCs w:val="18"/>
              </w:rPr>
              <w:t xml:space="preserve">As described above (Question 1 and Question 2/Risks 2 and 3) the Jujuy and Mendoza pilot sites involve indigenous communities.  </w:t>
            </w:r>
          </w:p>
          <w:p w14:paraId="24A8A9D3" w14:textId="77777777" w:rsidR="00494980" w:rsidRPr="003F7F6C" w:rsidRDefault="00494980" w:rsidP="008E53E9">
            <w:pPr>
              <w:pStyle w:val="Default"/>
              <w:jc w:val="both"/>
              <w:rPr>
                <w:rFonts w:asciiTheme="minorHAnsi" w:hAnsiTheme="minorHAnsi" w:cstheme="minorHAnsi"/>
                <w:color w:val="auto"/>
                <w:sz w:val="18"/>
                <w:szCs w:val="18"/>
              </w:rPr>
            </w:pPr>
            <w:r w:rsidRPr="003F7F6C">
              <w:rPr>
                <w:rFonts w:ascii="Calibri" w:hAnsi="Calibri" w:cs="Times New Roman"/>
                <w:color w:val="auto"/>
                <w:sz w:val="18"/>
                <w:szCs w:val="18"/>
              </w:rPr>
              <w:t xml:space="preserve">In Mendoza and Jujuy consultations were held with the “Werken” authority and the Secretariat of Indigenous Peoples respectively. </w:t>
            </w:r>
            <w:r w:rsidRPr="003F7F6C">
              <w:rPr>
                <w:rFonts w:asciiTheme="minorHAnsi" w:hAnsiTheme="minorHAnsi" w:cstheme="minorHAnsi"/>
                <w:color w:val="auto"/>
                <w:sz w:val="18"/>
                <w:szCs w:val="18"/>
              </w:rPr>
              <w:t>In both cases oral and general agreements for the project have been obtained as well as the agreement to jointly develop during project implementation specific consultations before elaborating detailed ELUP related interventions in the target landscapes.</w:t>
            </w:r>
          </w:p>
          <w:p w14:paraId="7587CCB4" w14:textId="77777777" w:rsidR="00494980" w:rsidRPr="003F7F6C" w:rsidRDefault="00494980" w:rsidP="008E53E9">
            <w:pPr>
              <w:pStyle w:val="Default"/>
              <w:jc w:val="both"/>
              <w:rPr>
                <w:rFonts w:ascii="Calibri" w:hAnsi="Calibri" w:cs="Times New Roman"/>
                <w:color w:val="FF0000"/>
                <w:sz w:val="18"/>
                <w:szCs w:val="18"/>
              </w:rPr>
            </w:pPr>
            <w:r w:rsidRPr="003F7F6C">
              <w:rPr>
                <w:rFonts w:asciiTheme="minorHAnsi" w:hAnsiTheme="minorHAnsi" w:cstheme="minorHAnsi"/>
                <w:color w:val="auto"/>
                <w:sz w:val="18"/>
                <w:szCs w:val="18"/>
              </w:rPr>
              <w:t>A project Stakeholder Engagement Plan and a draft IPP have been developed that include several participatory mechanisms and specific provisions and measures. The draft IPP will be developed in detail in project year 1. At target landscape level the action lines outlined in the Project Document will be defined</w:t>
            </w:r>
            <w:r w:rsidRPr="003F7F6C">
              <w:rPr>
                <w:rFonts w:asciiTheme="minorHAnsi" w:hAnsiTheme="minorHAnsi" w:cstheme="minorHAnsi"/>
                <w:sz w:val="18"/>
                <w:szCs w:val="18"/>
              </w:rPr>
              <w:t xml:space="preserve"> in detail</w:t>
            </w:r>
            <w:r w:rsidRPr="003F7F6C">
              <w:rPr>
                <w:rFonts w:asciiTheme="minorHAnsi" w:hAnsiTheme="minorHAnsi" w:cstheme="minorHAnsi"/>
                <w:color w:val="auto"/>
                <w:sz w:val="18"/>
                <w:szCs w:val="18"/>
              </w:rPr>
              <w:t xml:space="preserve"> during project implementation</w:t>
            </w:r>
            <w:r w:rsidRPr="003F7F6C">
              <w:rPr>
                <w:rFonts w:asciiTheme="minorHAnsi" w:hAnsiTheme="minorHAnsi" w:cstheme="minorHAnsi"/>
                <w:sz w:val="18"/>
                <w:szCs w:val="18"/>
              </w:rPr>
              <w:t>. F</w:t>
            </w:r>
            <w:r w:rsidRPr="003F7F6C">
              <w:rPr>
                <w:rFonts w:asciiTheme="minorHAnsi" w:hAnsiTheme="minorHAnsi" w:cstheme="minorHAnsi"/>
                <w:color w:val="auto"/>
                <w:sz w:val="18"/>
                <w:szCs w:val="18"/>
              </w:rPr>
              <w:t>or this the project will apply prior consultations</w:t>
            </w:r>
            <w:r w:rsidRPr="003F7F6C">
              <w:rPr>
                <w:rFonts w:ascii="Calibri" w:hAnsi="Calibri"/>
                <w:color w:val="auto"/>
                <w:sz w:val="18"/>
                <w:szCs w:val="18"/>
              </w:rPr>
              <w:t xml:space="preserve"> at all times and </w:t>
            </w:r>
            <w:r w:rsidRPr="003F7F6C">
              <w:rPr>
                <w:rFonts w:ascii="Calibri" w:hAnsi="Calibri" w:cs="Times New Roman"/>
                <w:color w:val="auto"/>
                <w:sz w:val="18"/>
                <w:szCs w:val="18"/>
              </w:rPr>
              <w:t>FPIC will be ensured on any matters that may affect the rights and interests, lands, resources and territories.</w:t>
            </w:r>
          </w:p>
          <w:p w14:paraId="75C51969" w14:textId="77777777" w:rsidR="00494980" w:rsidRPr="003F7F6C" w:rsidRDefault="00494980" w:rsidP="008E53E9">
            <w:pPr>
              <w:tabs>
                <w:tab w:val="left" w:pos="360"/>
              </w:tabs>
              <w:rPr>
                <w:sz w:val="18"/>
                <w:szCs w:val="18"/>
              </w:rPr>
            </w:pPr>
            <w:r w:rsidRPr="003F7F6C">
              <w:rPr>
                <w:sz w:val="18"/>
                <w:szCs w:val="18"/>
              </w:rPr>
              <w:t>The project will respect the ethno-cultural characteristics of the indigenous communities to be involved (Omaguaca, Kolla, Atacama and Mapuche) in the design of interventions. The project will work with the existing organizational structures and decision-making processes of each group and will take advantage of the dialogue and workspaces already developed between provincial governments and communities. Representatives of indigenous communities/organizations will be invited to participate in project planning, implementation and monitoring and evaluation.  Participatory dialogue and coordination will be established with communities to report, motivate, engage and receive feedback with regard to the project. See Annex F of the UNDP Project Document.</w:t>
            </w:r>
          </w:p>
        </w:tc>
      </w:tr>
      <w:tr w:rsidR="00494980" w:rsidRPr="003F7F6C" w14:paraId="42254926" w14:textId="77777777" w:rsidTr="00494980">
        <w:tc>
          <w:tcPr>
            <w:tcW w:w="3510" w:type="dxa"/>
            <w:vMerge/>
            <w:shd w:val="clear" w:color="auto" w:fill="FFFFFF"/>
          </w:tcPr>
          <w:p w14:paraId="5AF89175" w14:textId="77777777" w:rsidR="00494980" w:rsidRPr="003F7F6C" w:rsidRDefault="00494980" w:rsidP="008E53E9">
            <w:pPr>
              <w:tabs>
                <w:tab w:val="left" w:pos="270"/>
              </w:tabs>
              <w:ind w:left="270" w:hanging="270"/>
              <w:rPr>
                <w:sz w:val="18"/>
                <w:szCs w:val="18"/>
              </w:rPr>
            </w:pPr>
          </w:p>
        </w:tc>
        <w:tc>
          <w:tcPr>
            <w:tcW w:w="4343" w:type="dxa"/>
            <w:gridSpan w:val="3"/>
            <w:shd w:val="clear" w:color="auto" w:fill="auto"/>
          </w:tcPr>
          <w:p w14:paraId="0CF11591" w14:textId="77777777" w:rsidR="00494980" w:rsidRPr="003F7F6C" w:rsidRDefault="00494980" w:rsidP="008E53E9">
            <w:pPr>
              <w:tabs>
                <w:tab w:val="left" w:pos="270"/>
              </w:tabs>
              <w:ind w:left="270" w:hanging="270"/>
              <w:rPr>
                <w:b/>
                <w:i/>
                <w:sz w:val="18"/>
                <w:szCs w:val="18"/>
              </w:rPr>
            </w:pPr>
            <w:r w:rsidRPr="003F7F6C">
              <w:rPr>
                <w:b/>
                <w:i/>
                <w:sz w:val="18"/>
                <w:szCs w:val="18"/>
              </w:rPr>
              <w:t>7.</w:t>
            </w:r>
            <w:r w:rsidRPr="003F7F6C">
              <w:rPr>
                <w:b/>
                <w:i/>
                <w:sz w:val="18"/>
                <w:szCs w:val="18"/>
              </w:rPr>
              <w:tab/>
              <w:t>Pollution Prevention and Resource Efficiency</w:t>
            </w:r>
          </w:p>
        </w:tc>
        <w:tc>
          <w:tcPr>
            <w:tcW w:w="427" w:type="dxa"/>
            <w:shd w:val="clear" w:color="auto" w:fill="auto"/>
            <w:vAlign w:val="center"/>
          </w:tcPr>
          <w:p w14:paraId="17D509E9" w14:textId="77777777" w:rsidR="00494980" w:rsidRPr="003F7F6C" w:rsidRDefault="00494980" w:rsidP="008E53E9">
            <w:pPr>
              <w:tabs>
                <w:tab w:val="left" w:pos="360"/>
              </w:tabs>
              <w:rPr>
                <w:sz w:val="18"/>
                <w:szCs w:val="18"/>
              </w:rPr>
            </w:pPr>
            <w:r w:rsidRPr="003F7F6C">
              <w:rPr>
                <w:rFonts w:ascii="Segoe UI Symbol" w:hAnsi="Segoe UI Symbol" w:cs="Segoe UI Symbol"/>
                <w:b/>
                <w:szCs w:val="20"/>
              </w:rPr>
              <w:t>☐</w:t>
            </w:r>
          </w:p>
        </w:tc>
        <w:tc>
          <w:tcPr>
            <w:tcW w:w="5470" w:type="dxa"/>
            <w:gridSpan w:val="2"/>
            <w:shd w:val="clear" w:color="auto" w:fill="auto"/>
          </w:tcPr>
          <w:p w14:paraId="62E9E5E4" w14:textId="77777777" w:rsidR="00494980" w:rsidRPr="003F7F6C" w:rsidRDefault="00494980" w:rsidP="008E53E9">
            <w:pPr>
              <w:tabs>
                <w:tab w:val="left" w:pos="360"/>
              </w:tabs>
              <w:rPr>
                <w:sz w:val="18"/>
                <w:szCs w:val="18"/>
              </w:rPr>
            </w:pPr>
          </w:p>
        </w:tc>
      </w:tr>
    </w:tbl>
    <w:p w14:paraId="2B74112B" w14:textId="77777777" w:rsidR="00494980" w:rsidRPr="003F7F6C" w:rsidRDefault="00494980" w:rsidP="00494980">
      <w:pPr>
        <w:tabs>
          <w:tab w:val="left" w:pos="360"/>
        </w:tabs>
        <w:rPr>
          <w:sz w:val="18"/>
          <w:szCs w:val="18"/>
        </w:rPr>
      </w:pPr>
    </w:p>
    <w:p w14:paraId="1EC37AB6" w14:textId="0653DBC9" w:rsidR="00494980" w:rsidRPr="003F7F6C" w:rsidRDefault="00494980" w:rsidP="00494980">
      <w:pPr>
        <w:tabs>
          <w:tab w:val="left" w:pos="360"/>
        </w:tabs>
        <w:rPr>
          <w:sz w:val="18"/>
          <w:szCs w:val="18"/>
        </w:rPr>
      </w:pPr>
    </w:p>
    <w:p w14:paraId="5A236D2F" w14:textId="1C2082A3" w:rsidR="00494980" w:rsidRPr="003F7F6C" w:rsidRDefault="00494980" w:rsidP="00494980">
      <w:pPr>
        <w:tabs>
          <w:tab w:val="left" w:pos="360"/>
        </w:tabs>
        <w:rPr>
          <w:sz w:val="18"/>
          <w:szCs w:val="18"/>
        </w:rPr>
      </w:pPr>
    </w:p>
    <w:p w14:paraId="26406389" w14:textId="0F373AB7" w:rsidR="00494980" w:rsidRPr="003F7F6C" w:rsidRDefault="00494980" w:rsidP="00494980">
      <w:pPr>
        <w:tabs>
          <w:tab w:val="left" w:pos="360"/>
        </w:tabs>
        <w:rPr>
          <w:sz w:val="18"/>
          <w:szCs w:val="18"/>
        </w:rPr>
      </w:pPr>
    </w:p>
    <w:p w14:paraId="54D43DF2" w14:textId="6D5940FB" w:rsidR="00494980" w:rsidRPr="003F7F6C" w:rsidRDefault="00494980" w:rsidP="00494980">
      <w:pPr>
        <w:tabs>
          <w:tab w:val="left" w:pos="360"/>
        </w:tabs>
        <w:rPr>
          <w:sz w:val="18"/>
          <w:szCs w:val="18"/>
        </w:rPr>
      </w:pPr>
    </w:p>
    <w:p w14:paraId="141ED5BF" w14:textId="7DFABDE6" w:rsidR="00494980" w:rsidRPr="003F7F6C" w:rsidRDefault="00494980" w:rsidP="00494980">
      <w:pPr>
        <w:tabs>
          <w:tab w:val="left" w:pos="360"/>
        </w:tabs>
        <w:rPr>
          <w:sz w:val="18"/>
          <w:szCs w:val="18"/>
        </w:rPr>
      </w:pPr>
    </w:p>
    <w:p w14:paraId="175425A1" w14:textId="12345BBF" w:rsidR="00494980" w:rsidRPr="003F7F6C" w:rsidRDefault="00494980" w:rsidP="00494980">
      <w:pPr>
        <w:tabs>
          <w:tab w:val="left" w:pos="360"/>
        </w:tabs>
        <w:rPr>
          <w:sz w:val="18"/>
          <w:szCs w:val="18"/>
        </w:rPr>
      </w:pPr>
    </w:p>
    <w:p w14:paraId="7DB06215" w14:textId="72AFCC91" w:rsidR="00494980" w:rsidRPr="003F7F6C" w:rsidRDefault="00494980" w:rsidP="00494980">
      <w:pPr>
        <w:tabs>
          <w:tab w:val="left" w:pos="360"/>
        </w:tabs>
        <w:rPr>
          <w:sz w:val="18"/>
          <w:szCs w:val="18"/>
        </w:rPr>
      </w:pPr>
    </w:p>
    <w:p w14:paraId="5D47CA24" w14:textId="77777777" w:rsidR="00494980" w:rsidRPr="003F7F6C" w:rsidRDefault="00494980" w:rsidP="00494980">
      <w:pPr>
        <w:tabs>
          <w:tab w:val="left" w:pos="360"/>
        </w:tabs>
        <w:rPr>
          <w:sz w:val="18"/>
          <w:szCs w:val="18"/>
        </w:rPr>
      </w:pPr>
    </w:p>
    <w:p w14:paraId="4C4754A9" w14:textId="77777777" w:rsidR="00494980" w:rsidRPr="003F7F6C" w:rsidRDefault="00494980" w:rsidP="00494980">
      <w:pPr>
        <w:spacing w:before="200"/>
        <w:ind w:left="360"/>
        <w:rPr>
          <w:b/>
          <w:color w:val="4F81BD"/>
          <w:sz w:val="24"/>
        </w:rPr>
      </w:pPr>
      <w:r w:rsidRPr="003F7F6C">
        <w:rPr>
          <w:b/>
          <w:color w:val="4F81BD"/>
          <w:sz w:val="24"/>
        </w:rPr>
        <w:t xml:space="preserve">Final Sign Off </w:t>
      </w:r>
    </w:p>
    <w:p w14:paraId="6787A83D" w14:textId="77777777" w:rsidR="00494980" w:rsidRPr="003F7F6C" w:rsidRDefault="00494980" w:rsidP="00494980">
      <w:pPr>
        <w:tabs>
          <w:tab w:val="left" w:pos="360"/>
          <w:tab w:val="left" w:pos="4320"/>
        </w:tabs>
        <w:rPr>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5"/>
        <w:gridCol w:w="1350"/>
        <w:gridCol w:w="8641"/>
      </w:tblGrid>
      <w:tr w:rsidR="00494980" w:rsidRPr="003F7F6C" w14:paraId="08863068" w14:textId="77777777" w:rsidTr="008E53E9">
        <w:tc>
          <w:tcPr>
            <w:tcW w:w="2875" w:type="dxa"/>
            <w:shd w:val="clear" w:color="auto" w:fill="C6D9F1"/>
          </w:tcPr>
          <w:p w14:paraId="5A4E2BFD" w14:textId="77777777" w:rsidR="00494980" w:rsidRPr="003F7F6C" w:rsidRDefault="00494980" w:rsidP="008E53E9">
            <w:pPr>
              <w:tabs>
                <w:tab w:val="left" w:pos="360"/>
                <w:tab w:val="left" w:pos="4320"/>
              </w:tabs>
              <w:rPr>
                <w:b/>
                <w:i/>
                <w:sz w:val="18"/>
                <w:szCs w:val="18"/>
              </w:rPr>
            </w:pPr>
            <w:r w:rsidRPr="003F7F6C">
              <w:rPr>
                <w:b/>
                <w:i/>
                <w:sz w:val="18"/>
                <w:szCs w:val="18"/>
              </w:rPr>
              <w:t>Signature</w:t>
            </w:r>
          </w:p>
        </w:tc>
        <w:tc>
          <w:tcPr>
            <w:tcW w:w="1350" w:type="dxa"/>
            <w:shd w:val="clear" w:color="auto" w:fill="C6D9F1"/>
          </w:tcPr>
          <w:p w14:paraId="03FA5E1C" w14:textId="77777777" w:rsidR="00494980" w:rsidRPr="003F7F6C" w:rsidRDefault="00494980" w:rsidP="008E53E9">
            <w:pPr>
              <w:tabs>
                <w:tab w:val="left" w:pos="360"/>
                <w:tab w:val="left" w:pos="4320"/>
              </w:tabs>
              <w:rPr>
                <w:b/>
                <w:i/>
                <w:sz w:val="18"/>
                <w:szCs w:val="18"/>
              </w:rPr>
            </w:pPr>
            <w:r w:rsidRPr="003F7F6C">
              <w:rPr>
                <w:b/>
                <w:i/>
                <w:sz w:val="18"/>
                <w:szCs w:val="18"/>
              </w:rPr>
              <w:t>Date</w:t>
            </w:r>
          </w:p>
        </w:tc>
        <w:tc>
          <w:tcPr>
            <w:tcW w:w="8641" w:type="dxa"/>
            <w:shd w:val="clear" w:color="auto" w:fill="C6D9F1"/>
          </w:tcPr>
          <w:p w14:paraId="36F8F971" w14:textId="77777777" w:rsidR="00494980" w:rsidRPr="003F7F6C" w:rsidRDefault="00494980" w:rsidP="008E53E9">
            <w:pPr>
              <w:tabs>
                <w:tab w:val="left" w:pos="360"/>
                <w:tab w:val="left" w:pos="4320"/>
              </w:tabs>
              <w:rPr>
                <w:b/>
                <w:i/>
                <w:sz w:val="18"/>
                <w:szCs w:val="18"/>
              </w:rPr>
            </w:pPr>
            <w:r w:rsidRPr="003F7F6C">
              <w:rPr>
                <w:b/>
                <w:i/>
                <w:sz w:val="18"/>
                <w:szCs w:val="18"/>
              </w:rPr>
              <w:t>Description</w:t>
            </w:r>
          </w:p>
        </w:tc>
      </w:tr>
      <w:tr w:rsidR="00494980" w:rsidRPr="003F7F6C" w14:paraId="7E3C236A" w14:textId="77777777" w:rsidTr="008E53E9">
        <w:trPr>
          <w:trHeight w:val="629"/>
        </w:trPr>
        <w:tc>
          <w:tcPr>
            <w:tcW w:w="2875" w:type="dxa"/>
            <w:shd w:val="clear" w:color="auto" w:fill="auto"/>
          </w:tcPr>
          <w:p w14:paraId="1EFBBCC8" w14:textId="77777777" w:rsidR="00494980" w:rsidRPr="003F7F6C" w:rsidRDefault="00494980" w:rsidP="008E53E9">
            <w:pPr>
              <w:tabs>
                <w:tab w:val="left" w:pos="360"/>
                <w:tab w:val="left" w:pos="4320"/>
              </w:tabs>
              <w:rPr>
                <w:szCs w:val="20"/>
              </w:rPr>
            </w:pPr>
            <w:r w:rsidRPr="003F7F6C">
              <w:rPr>
                <w:szCs w:val="20"/>
              </w:rPr>
              <w:t>QA Assessor</w:t>
            </w:r>
          </w:p>
        </w:tc>
        <w:tc>
          <w:tcPr>
            <w:tcW w:w="1350" w:type="dxa"/>
            <w:shd w:val="clear" w:color="auto" w:fill="auto"/>
          </w:tcPr>
          <w:p w14:paraId="3A860492" w14:textId="77777777" w:rsidR="00494980" w:rsidRPr="003F7F6C" w:rsidRDefault="00494980" w:rsidP="008E53E9">
            <w:pPr>
              <w:tabs>
                <w:tab w:val="left" w:pos="360"/>
                <w:tab w:val="left" w:pos="4320"/>
              </w:tabs>
              <w:rPr>
                <w:szCs w:val="20"/>
              </w:rPr>
            </w:pPr>
          </w:p>
        </w:tc>
        <w:tc>
          <w:tcPr>
            <w:tcW w:w="8641" w:type="dxa"/>
            <w:shd w:val="clear" w:color="auto" w:fill="auto"/>
          </w:tcPr>
          <w:p w14:paraId="426A2C8E" w14:textId="77777777" w:rsidR="00494980" w:rsidRPr="003F7F6C" w:rsidRDefault="00494980" w:rsidP="008E53E9">
            <w:pPr>
              <w:pStyle w:val="SESPbodynumbered"/>
              <w:numPr>
                <w:ilvl w:val="0"/>
                <w:numId w:val="0"/>
              </w:numPr>
              <w:tabs>
                <w:tab w:val="clear" w:pos="360"/>
                <w:tab w:val="left" w:pos="720"/>
              </w:tabs>
              <w:spacing w:before="0" w:after="0"/>
            </w:pPr>
            <w:r w:rsidRPr="003F7F6C">
              <w:t>UNDP staff member responsible for the Project</w:t>
            </w:r>
            <w:r w:rsidRPr="003F7F6C">
              <w:rPr>
                <w:lang w:val="en-GB"/>
              </w:rPr>
              <w:t>, typically a UNDP Programme Officer. Final signature confirms they have “checked” to ensure that the SESP is adequately conducted.</w:t>
            </w:r>
          </w:p>
        </w:tc>
      </w:tr>
      <w:tr w:rsidR="00494980" w:rsidRPr="003F7F6C" w14:paraId="6A2F50FC" w14:textId="77777777" w:rsidTr="008E53E9">
        <w:tc>
          <w:tcPr>
            <w:tcW w:w="2875" w:type="dxa"/>
            <w:shd w:val="clear" w:color="auto" w:fill="auto"/>
          </w:tcPr>
          <w:p w14:paraId="6427A5EC" w14:textId="77777777" w:rsidR="00494980" w:rsidRPr="003F7F6C" w:rsidRDefault="00494980" w:rsidP="008E53E9">
            <w:pPr>
              <w:tabs>
                <w:tab w:val="left" w:pos="360"/>
                <w:tab w:val="left" w:pos="4320"/>
              </w:tabs>
              <w:rPr>
                <w:szCs w:val="20"/>
              </w:rPr>
            </w:pPr>
            <w:r w:rsidRPr="003F7F6C">
              <w:rPr>
                <w:szCs w:val="20"/>
              </w:rPr>
              <w:t>QA Approver</w:t>
            </w:r>
          </w:p>
        </w:tc>
        <w:tc>
          <w:tcPr>
            <w:tcW w:w="1350" w:type="dxa"/>
            <w:shd w:val="clear" w:color="auto" w:fill="auto"/>
          </w:tcPr>
          <w:p w14:paraId="601537DB" w14:textId="77777777" w:rsidR="00494980" w:rsidRPr="003F7F6C" w:rsidRDefault="00494980" w:rsidP="008E53E9">
            <w:pPr>
              <w:tabs>
                <w:tab w:val="left" w:pos="360"/>
                <w:tab w:val="left" w:pos="4320"/>
              </w:tabs>
              <w:rPr>
                <w:szCs w:val="20"/>
              </w:rPr>
            </w:pPr>
          </w:p>
        </w:tc>
        <w:tc>
          <w:tcPr>
            <w:tcW w:w="8641" w:type="dxa"/>
            <w:shd w:val="clear" w:color="auto" w:fill="auto"/>
          </w:tcPr>
          <w:p w14:paraId="290CC6B2" w14:textId="77777777" w:rsidR="00494980" w:rsidRPr="003F7F6C" w:rsidRDefault="00494980" w:rsidP="008E53E9">
            <w:pPr>
              <w:tabs>
                <w:tab w:val="left" w:pos="360"/>
                <w:tab w:val="left" w:pos="4320"/>
              </w:tabs>
              <w:rPr>
                <w:szCs w:val="20"/>
              </w:rPr>
            </w:pPr>
            <w:r w:rsidRPr="003F7F6C">
              <w:rPr>
                <w:szCs w:val="20"/>
                <w:lang w:val="en-GB"/>
              </w:rPr>
              <w:t>UNDP senior manager, typically the UNDP Deputy Country Director (DCD), Country Director (CD)</w:t>
            </w:r>
            <w:r w:rsidRPr="003F7F6C">
              <w:rPr>
                <w:b/>
                <w:szCs w:val="20"/>
              </w:rPr>
              <w:t xml:space="preserve">, </w:t>
            </w:r>
            <w:r w:rsidRPr="003F7F6C">
              <w:rPr>
                <w:szCs w:val="20"/>
              </w:rPr>
              <w:t>Deputy Resident Representative (DRR), or Resident Representative (RR). The QA Approver cannot also be the QA Assessor. Final signature confirms they have “cleared” the SESP prior to submittal to the PAC.</w:t>
            </w:r>
          </w:p>
        </w:tc>
      </w:tr>
      <w:tr w:rsidR="00494980" w:rsidRPr="003F7F6C" w14:paraId="0BC38E1D" w14:textId="77777777" w:rsidTr="008E53E9">
        <w:tc>
          <w:tcPr>
            <w:tcW w:w="2875" w:type="dxa"/>
            <w:shd w:val="clear" w:color="auto" w:fill="auto"/>
          </w:tcPr>
          <w:p w14:paraId="3442C7D6" w14:textId="77777777" w:rsidR="00494980" w:rsidRPr="003F7F6C" w:rsidRDefault="00494980" w:rsidP="008E53E9">
            <w:pPr>
              <w:tabs>
                <w:tab w:val="left" w:pos="360"/>
                <w:tab w:val="left" w:pos="4320"/>
              </w:tabs>
              <w:rPr>
                <w:szCs w:val="20"/>
              </w:rPr>
            </w:pPr>
            <w:r w:rsidRPr="003F7F6C">
              <w:rPr>
                <w:szCs w:val="20"/>
              </w:rPr>
              <w:t>PAC Chair</w:t>
            </w:r>
          </w:p>
        </w:tc>
        <w:tc>
          <w:tcPr>
            <w:tcW w:w="1350" w:type="dxa"/>
            <w:shd w:val="clear" w:color="auto" w:fill="auto"/>
          </w:tcPr>
          <w:p w14:paraId="00F932FD" w14:textId="77777777" w:rsidR="00494980" w:rsidRPr="003F7F6C" w:rsidRDefault="00494980" w:rsidP="008E53E9">
            <w:pPr>
              <w:tabs>
                <w:tab w:val="left" w:pos="360"/>
                <w:tab w:val="left" w:pos="4320"/>
              </w:tabs>
              <w:rPr>
                <w:szCs w:val="20"/>
              </w:rPr>
            </w:pPr>
          </w:p>
        </w:tc>
        <w:tc>
          <w:tcPr>
            <w:tcW w:w="8641" w:type="dxa"/>
            <w:shd w:val="clear" w:color="auto" w:fill="auto"/>
          </w:tcPr>
          <w:p w14:paraId="7325CA01" w14:textId="77777777" w:rsidR="00494980" w:rsidRPr="003F7F6C" w:rsidRDefault="00494980" w:rsidP="008E53E9">
            <w:pPr>
              <w:tabs>
                <w:tab w:val="left" w:pos="360"/>
                <w:tab w:val="left" w:pos="4320"/>
              </w:tabs>
              <w:rPr>
                <w:szCs w:val="20"/>
              </w:rPr>
            </w:pPr>
            <w:r w:rsidRPr="003F7F6C">
              <w:rPr>
                <w:szCs w:val="20"/>
              </w:rPr>
              <w:t xml:space="preserve">UNDP chair of the PAC.  In some cases PAC Chair may also be the QA Approver. Final signature confirms that the SESP was considered as part of the project appraisal and considered in recommendations of the PAC. </w:t>
            </w:r>
          </w:p>
        </w:tc>
      </w:tr>
    </w:tbl>
    <w:p w14:paraId="0974FB97" w14:textId="77777777" w:rsidR="00494980" w:rsidRPr="003F7F6C" w:rsidRDefault="00494980" w:rsidP="00494980">
      <w:pPr>
        <w:sectPr w:rsidR="00494980" w:rsidRPr="003F7F6C" w:rsidSect="008E53E9">
          <w:pgSz w:w="15840" w:h="12240" w:orient="landscape"/>
          <w:pgMar w:top="1440" w:right="1440" w:bottom="1440" w:left="1440" w:header="720" w:footer="720" w:gutter="0"/>
          <w:cols w:space="720"/>
          <w:titlePg/>
          <w:docGrid w:linePitch="360"/>
        </w:sectPr>
      </w:pPr>
    </w:p>
    <w:p w14:paraId="672A9F1E" w14:textId="77777777" w:rsidR="00494980" w:rsidRPr="003F7F6C" w:rsidRDefault="00494980" w:rsidP="00B54E97">
      <w:pPr>
        <w:rPr>
          <w:b/>
          <w:szCs w:val="22"/>
        </w:rPr>
      </w:pPr>
    </w:p>
    <w:p w14:paraId="34C8E2F3" w14:textId="77777777" w:rsidR="00494980" w:rsidRPr="003F7F6C" w:rsidRDefault="00494980" w:rsidP="00494980">
      <w:pPr>
        <w:pStyle w:val="Heading3"/>
        <w:rPr>
          <w:rFonts w:asciiTheme="minorHAnsi" w:hAnsiTheme="minorHAnsi"/>
          <w:sz w:val="20"/>
        </w:rPr>
      </w:pPr>
      <w:bookmarkStart w:id="43" w:name="_Toc404528202"/>
      <w:bookmarkStart w:id="44" w:name="_Toc529820210"/>
      <w:bookmarkStart w:id="45" w:name="_Toc529891425"/>
      <w:r w:rsidRPr="003F7F6C">
        <w:rPr>
          <w:rFonts w:asciiTheme="minorHAnsi" w:hAnsiTheme="minorHAnsi"/>
          <w:sz w:val="20"/>
        </w:rPr>
        <w:t>SESP Attachment 1. Social and Environmental Risk Screening Checklist</w:t>
      </w:r>
      <w:bookmarkEnd w:id="43"/>
      <w:bookmarkEnd w:id="44"/>
      <w:bookmarkEnd w:id="45"/>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494980" w:rsidRPr="003F7F6C" w14:paraId="41724822" w14:textId="77777777" w:rsidTr="008E53E9">
        <w:tc>
          <w:tcPr>
            <w:tcW w:w="8635" w:type="dxa"/>
            <w:tcBorders>
              <w:bottom w:val="single" w:sz="4" w:space="0" w:color="auto"/>
            </w:tcBorders>
            <w:shd w:val="clear" w:color="auto" w:fill="8DB3E2"/>
          </w:tcPr>
          <w:p w14:paraId="19B75FB1" w14:textId="77777777" w:rsidR="00494980" w:rsidRPr="003F7F6C" w:rsidRDefault="00494980" w:rsidP="008E53E9">
            <w:pPr>
              <w:tabs>
                <w:tab w:val="left" w:pos="810"/>
              </w:tabs>
              <w:rPr>
                <w:rFonts w:eastAsia="Times New Roman"/>
                <w:sz w:val="22"/>
                <w:szCs w:val="22"/>
                <w:u w:val="single"/>
              </w:rPr>
            </w:pPr>
            <w:r w:rsidRPr="003F7F6C">
              <w:rPr>
                <w:b/>
                <w:sz w:val="22"/>
                <w:szCs w:val="22"/>
              </w:rPr>
              <w:t xml:space="preserve">Checklist Potential Social and Environmental </w:t>
            </w:r>
            <w:r w:rsidRPr="003F7F6C">
              <w:rPr>
                <w:b/>
                <w:sz w:val="22"/>
                <w:szCs w:val="22"/>
                <w:u w:val="single"/>
              </w:rPr>
              <w:t>Risks</w:t>
            </w:r>
          </w:p>
        </w:tc>
        <w:tc>
          <w:tcPr>
            <w:tcW w:w="833" w:type="dxa"/>
            <w:tcBorders>
              <w:bottom w:val="single" w:sz="4" w:space="0" w:color="auto"/>
            </w:tcBorders>
            <w:shd w:val="clear" w:color="auto" w:fill="8DB3E2"/>
          </w:tcPr>
          <w:p w14:paraId="2ADED3DB" w14:textId="77777777" w:rsidR="00494980" w:rsidRPr="003F7F6C" w:rsidRDefault="00494980" w:rsidP="008E53E9">
            <w:pPr>
              <w:tabs>
                <w:tab w:val="left" w:pos="810"/>
              </w:tabs>
              <w:rPr>
                <w:rFonts w:eastAsia="Times New Roman"/>
                <w:sz w:val="22"/>
                <w:szCs w:val="22"/>
              </w:rPr>
            </w:pPr>
          </w:p>
        </w:tc>
      </w:tr>
      <w:tr w:rsidR="00494980" w:rsidRPr="003F7F6C" w14:paraId="5C039BD0" w14:textId="77777777" w:rsidTr="008E53E9">
        <w:tc>
          <w:tcPr>
            <w:tcW w:w="8635" w:type="dxa"/>
            <w:tcBorders>
              <w:bottom w:val="single" w:sz="4" w:space="0" w:color="auto"/>
            </w:tcBorders>
            <w:shd w:val="clear" w:color="auto" w:fill="DBE5F1"/>
          </w:tcPr>
          <w:p w14:paraId="58461671" w14:textId="77777777" w:rsidR="00494980" w:rsidRPr="003F7F6C" w:rsidRDefault="00494980" w:rsidP="008E53E9">
            <w:pPr>
              <w:tabs>
                <w:tab w:val="left" w:pos="810"/>
              </w:tabs>
              <w:spacing w:before="120" w:after="120"/>
              <w:rPr>
                <w:b/>
                <w:sz w:val="18"/>
                <w:szCs w:val="18"/>
              </w:rPr>
            </w:pPr>
            <w:r w:rsidRPr="003F7F6C">
              <w:rPr>
                <w:b/>
                <w:sz w:val="18"/>
                <w:szCs w:val="18"/>
              </w:rPr>
              <w:t>Principles 1: Human Rights</w:t>
            </w:r>
          </w:p>
        </w:tc>
        <w:tc>
          <w:tcPr>
            <w:tcW w:w="833" w:type="dxa"/>
            <w:tcBorders>
              <w:bottom w:val="single" w:sz="4" w:space="0" w:color="auto"/>
            </w:tcBorders>
            <w:shd w:val="clear" w:color="auto" w:fill="DBE5F1"/>
          </w:tcPr>
          <w:p w14:paraId="13D7E1F1" w14:textId="77777777" w:rsidR="00494980" w:rsidRPr="003F7F6C" w:rsidRDefault="00494980" w:rsidP="008E53E9">
            <w:pPr>
              <w:tabs>
                <w:tab w:val="left" w:pos="810"/>
              </w:tabs>
              <w:jc w:val="center"/>
              <w:rPr>
                <w:b/>
                <w:sz w:val="18"/>
                <w:szCs w:val="18"/>
              </w:rPr>
            </w:pPr>
            <w:r w:rsidRPr="003F7F6C">
              <w:rPr>
                <w:rFonts w:eastAsia="Times New Roman"/>
                <w:b/>
                <w:sz w:val="16"/>
                <w:szCs w:val="16"/>
              </w:rPr>
              <w:t xml:space="preserve">Answer </w:t>
            </w:r>
            <w:r w:rsidRPr="003F7F6C">
              <w:rPr>
                <w:rFonts w:eastAsia="Times New Roman"/>
                <w:b/>
                <w:sz w:val="16"/>
                <w:szCs w:val="16"/>
              </w:rPr>
              <w:br/>
              <w:t>(Yes/No)</w:t>
            </w:r>
          </w:p>
        </w:tc>
      </w:tr>
      <w:tr w:rsidR="00494980" w:rsidRPr="003F7F6C" w14:paraId="2BD31F0C" w14:textId="77777777" w:rsidTr="008E53E9">
        <w:tc>
          <w:tcPr>
            <w:tcW w:w="8635" w:type="dxa"/>
            <w:tcBorders>
              <w:bottom w:val="single" w:sz="4" w:space="0" w:color="auto"/>
            </w:tcBorders>
            <w:shd w:val="clear" w:color="auto" w:fill="auto"/>
          </w:tcPr>
          <w:p w14:paraId="117D5C6C" w14:textId="77777777" w:rsidR="00494980" w:rsidRPr="003F7F6C" w:rsidRDefault="00494980" w:rsidP="008E53E9">
            <w:pPr>
              <w:tabs>
                <w:tab w:val="left" w:pos="900"/>
              </w:tabs>
              <w:spacing w:before="60"/>
              <w:ind w:left="567" w:hanging="567"/>
              <w:rPr>
                <w:rFonts w:eastAsia="Times New Roman"/>
                <w:sz w:val="18"/>
                <w:szCs w:val="18"/>
              </w:rPr>
            </w:pPr>
            <w:r w:rsidRPr="003F7F6C">
              <w:rPr>
                <w:rFonts w:eastAsia="Times New Roman"/>
                <w:sz w:val="18"/>
                <w:szCs w:val="18"/>
              </w:rPr>
              <w:t>1.</w:t>
            </w:r>
            <w:r w:rsidRPr="003F7F6C">
              <w:rPr>
                <w:rFonts w:eastAsia="Times New Roman"/>
                <w:sz w:val="18"/>
                <w:szCs w:val="18"/>
              </w:rPr>
              <w:tab/>
              <w:t>Could the Project lead to adverse impacts on enjoyment of the human rights (civil, political, economic, social or cultural) of the affected population and particularly of marginalized groups?</w:t>
            </w:r>
          </w:p>
        </w:tc>
        <w:tc>
          <w:tcPr>
            <w:tcW w:w="833" w:type="dxa"/>
            <w:tcBorders>
              <w:bottom w:val="single" w:sz="4" w:space="0" w:color="auto"/>
            </w:tcBorders>
            <w:shd w:val="clear" w:color="auto" w:fill="auto"/>
          </w:tcPr>
          <w:p w14:paraId="114F5741" w14:textId="77777777" w:rsidR="00494980" w:rsidRPr="003F7F6C" w:rsidRDefault="00494980" w:rsidP="008E53E9">
            <w:pPr>
              <w:tabs>
                <w:tab w:val="left" w:pos="810"/>
              </w:tabs>
              <w:rPr>
                <w:sz w:val="18"/>
                <w:szCs w:val="18"/>
              </w:rPr>
            </w:pPr>
            <w:r w:rsidRPr="003F7F6C">
              <w:rPr>
                <w:sz w:val="18"/>
                <w:szCs w:val="18"/>
              </w:rPr>
              <w:t>No</w:t>
            </w:r>
          </w:p>
        </w:tc>
      </w:tr>
      <w:tr w:rsidR="00494980" w:rsidRPr="003F7F6C" w14:paraId="601EB359" w14:textId="77777777" w:rsidTr="008E53E9">
        <w:tc>
          <w:tcPr>
            <w:tcW w:w="8635" w:type="dxa"/>
            <w:tcBorders>
              <w:bottom w:val="single" w:sz="4" w:space="0" w:color="auto"/>
            </w:tcBorders>
            <w:shd w:val="clear" w:color="auto" w:fill="auto"/>
          </w:tcPr>
          <w:p w14:paraId="5D5ADF4E" w14:textId="77777777" w:rsidR="00494980" w:rsidRPr="003F7F6C" w:rsidRDefault="00494980" w:rsidP="008E53E9">
            <w:pPr>
              <w:tabs>
                <w:tab w:val="left" w:pos="900"/>
              </w:tabs>
              <w:spacing w:before="60"/>
              <w:ind w:left="567" w:hanging="567"/>
              <w:rPr>
                <w:rFonts w:eastAsia="Times New Roman"/>
                <w:sz w:val="18"/>
                <w:szCs w:val="18"/>
              </w:rPr>
            </w:pPr>
            <w:r w:rsidRPr="003F7F6C">
              <w:rPr>
                <w:rFonts w:eastAsia="Times New Roman"/>
                <w:sz w:val="18"/>
                <w:szCs w:val="18"/>
              </w:rPr>
              <w:t xml:space="preserve">2. </w:t>
            </w:r>
            <w:r w:rsidRPr="003F7F6C">
              <w:rPr>
                <w:rFonts w:eastAsia="Times New Roman"/>
                <w:sz w:val="18"/>
                <w:szCs w:val="18"/>
              </w:rPr>
              <w:tab/>
              <w:t>Is there likelihood that the Project would have inequitable or discriminatory adverse impacts on affected populations, particularly people living in poverty or marginalized or excluded individuals or groups?</w:t>
            </w:r>
            <w:r w:rsidRPr="003F7F6C">
              <w:rPr>
                <w:rStyle w:val="FootnoteReference"/>
                <w:rFonts w:eastAsia="Times New Roman"/>
                <w:szCs w:val="18"/>
              </w:rPr>
              <w:t xml:space="preserve"> </w:t>
            </w:r>
            <w:r w:rsidRPr="003F7F6C">
              <w:rPr>
                <w:rStyle w:val="FootnoteReference"/>
                <w:rFonts w:eastAsia="Times New Roman"/>
                <w:szCs w:val="18"/>
              </w:rPr>
              <w:footnoteReference w:id="88"/>
            </w:r>
            <w:r w:rsidRPr="003F7F6C">
              <w:rPr>
                <w:rFonts w:eastAsia="Times New Roman"/>
                <w:sz w:val="18"/>
                <w:szCs w:val="18"/>
              </w:rPr>
              <w:t xml:space="preserve"> </w:t>
            </w:r>
          </w:p>
        </w:tc>
        <w:tc>
          <w:tcPr>
            <w:tcW w:w="833" w:type="dxa"/>
            <w:tcBorders>
              <w:bottom w:val="single" w:sz="4" w:space="0" w:color="auto"/>
            </w:tcBorders>
            <w:shd w:val="clear" w:color="auto" w:fill="auto"/>
          </w:tcPr>
          <w:p w14:paraId="0235AC46" w14:textId="77777777" w:rsidR="00494980" w:rsidRPr="003F7F6C" w:rsidRDefault="00494980" w:rsidP="008E53E9">
            <w:pPr>
              <w:tabs>
                <w:tab w:val="left" w:pos="810"/>
              </w:tabs>
              <w:rPr>
                <w:sz w:val="18"/>
                <w:szCs w:val="18"/>
              </w:rPr>
            </w:pPr>
            <w:r w:rsidRPr="003F7F6C">
              <w:rPr>
                <w:sz w:val="18"/>
                <w:szCs w:val="18"/>
              </w:rPr>
              <w:t>No</w:t>
            </w:r>
          </w:p>
        </w:tc>
      </w:tr>
      <w:tr w:rsidR="00494980" w:rsidRPr="003F7F6C" w14:paraId="302945DE" w14:textId="77777777" w:rsidTr="008E53E9">
        <w:tc>
          <w:tcPr>
            <w:tcW w:w="8635" w:type="dxa"/>
            <w:tcBorders>
              <w:bottom w:val="single" w:sz="4" w:space="0" w:color="auto"/>
            </w:tcBorders>
            <w:shd w:val="clear" w:color="auto" w:fill="auto"/>
          </w:tcPr>
          <w:p w14:paraId="14D346D6" w14:textId="77777777" w:rsidR="00494980" w:rsidRPr="003F7F6C" w:rsidRDefault="00494980" w:rsidP="008E53E9">
            <w:pPr>
              <w:tabs>
                <w:tab w:val="left" w:pos="900"/>
              </w:tabs>
              <w:spacing w:before="60"/>
              <w:ind w:left="567" w:hanging="567"/>
              <w:rPr>
                <w:rFonts w:eastAsia="Times New Roman"/>
                <w:sz w:val="18"/>
                <w:szCs w:val="18"/>
              </w:rPr>
            </w:pPr>
            <w:r w:rsidRPr="003F7F6C">
              <w:rPr>
                <w:rFonts w:eastAsia="Times New Roman"/>
                <w:sz w:val="18"/>
                <w:szCs w:val="18"/>
              </w:rPr>
              <w:t>3.</w:t>
            </w:r>
            <w:r w:rsidRPr="003F7F6C">
              <w:rPr>
                <w:rFonts w:eastAsia="Times New Roman"/>
                <w:sz w:val="18"/>
                <w:szCs w:val="18"/>
              </w:rPr>
              <w:tab/>
              <w:t>Could the Project potentially restrict availability, quality of and access to resources or basic services, in particular to marginalized individuals or groups?</w:t>
            </w:r>
          </w:p>
        </w:tc>
        <w:tc>
          <w:tcPr>
            <w:tcW w:w="833" w:type="dxa"/>
            <w:tcBorders>
              <w:bottom w:val="single" w:sz="4" w:space="0" w:color="auto"/>
            </w:tcBorders>
            <w:shd w:val="clear" w:color="auto" w:fill="auto"/>
          </w:tcPr>
          <w:p w14:paraId="085140A2" w14:textId="77777777" w:rsidR="00494980" w:rsidRPr="003F7F6C" w:rsidRDefault="00494980" w:rsidP="008E53E9">
            <w:pPr>
              <w:tabs>
                <w:tab w:val="left" w:pos="810"/>
              </w:tabs>
              <w:rPr>
                <w:sz w:val="18"/>
                <w:szCs w:val="18"/>
              </w:rPr>
            </w:pPr>
            <w:r w:rsidRPr="003F7F6C">
              <w:rPr>
                <w:sz w:val="18"/>
                <w:szCs w:val="18"/>
              </w:rPr>
              <w:t xml:space="preserve"> Yes</w:t>
            </w:r>
          </w:p>
        </w:tc>
      </w:tr>
      <w:tr w:rsidR="00494980" w:rsidRPr="003F7F6C" w14:paraId="7BB13E77" w14:textId="77777777" w:rsidTr="008E53E9">
        <w:tc>
          <w:tcPr>
            <w:tcW w:w="8635" w:type="dxa"/>
            <w:tcBorders>
              <w:bottom w:val="single" w:sz="4" w:space="0" w:color="auto"/>
            </w:tcBorders>
            <w:shd w:val="clear" w:color="auto" w:fill="auto"/>
          </w:tcPr>
          <w:p w14:paraId="3A6A2646" w14:textId="77777777" w:rsidR="00494980" w:rsidRPr="003F7F6C" w:rsidRDefault="00494980" w:rsidP="008E53E9">
            <w:pPr>
              <w:tabs>
                <w:tab w:val="left" w:pos="900"/>
              </w:tabs>
              <w:spacing w:before="60"/>
              <w:ind w:left="567" w:hanging="567"/>
              <w:rPr>
                <w:rFonts w:eastAsia="Times New Roman"/>
                <w:sz w:val="18"/>
                <w:szCs w:val="18"/>
              </w:rPr>
            </w:pPr>
            <w:r w:rsidRPr="003F7F6C">
              <w:rPr>
                <w:rFonts w:eastAsia="Times New Roman"/>
                <w:sz w:val="18"/>
                <w:szCs w:val="18"/>
              </w:rPr>
              <w:t>4.</w:t>
            </w:r>
            <w:r w:rsidRPr="003F7F6C">
              <w:rPr>
                <w:rFonts w:eastAsia="Times New Roman"/>
                <w:sz w:val="18"/>
                <w:szCs w:val="18"/>
              </w:rPr>
              <w:tab/>
              <w:t>Is there likelihood that the Project would exclude any potentially affected stakeholders, in particular marginalized groups, from fully participating in decisions that may affect them?</w:t>
            </w:r>
          </w:p>
        </w:tc>
        <w:tc>
          <w:tcPr>
            <w:tcW w:w="833" w:type="dxa"/>
            <w:tcBorders>
              <w:bottom w:val="single" w:sz="4" w:space="0" w:color="auto"/>
            </w:tcBorders>
            <w:shd w:val="clear" w:color="auto" w:fill="auto"/>
          </w:tcPr>
          <w:p w14:paraId="154B0FFE" w14:textId="77777777" w:rsidR="00494980" w:rsidRPr="003F7F6C" w:rsidRDefault="00494980" w:rsidP="008E53E9">
            <w:pPr>
              <w:tabs>
                <w:tab w:val="left" w:pos="810"/>
              </w:tabs>
              <w:rPr>
                <w:sz w:val="18"/>
                <w:szCs w:val="18"/>
              </w:rPr>
            </w:pPr>
            <w:r w:rsidRPr="003F7F6C">
              <w:rPr>
                <w:sz w:val="18"/>
                <w:szCs w:val="18"/>
              </w:rPr>
              <w:t>No</w:t>
            </w:r>
          </w:p>
        </w:tc>
      </w:tr>
      <w:tr w:rsidR="00494980" w:rsidRPr="003F7F6C" w14:paraId="2760721C" w14:textId="77777777" w:rsidTr="008E53E9">
        <w:tc>
          <w:tcPr>
            <w:tcW w:w="8635" w:type="dxa"/>
            <w:tcBorders>
              <w:bottom w:val="single" w:sz="4" w:space="0" w:color="auto"/>
            </w:tcBorders>
            <w:shd w:val="clear" w:color="auto" w:fill="auto"/>
          </w:tcPr>
          <w:p w14:paraId="59B6481A" w14:textId="77777777" w:rsidR="00494980" w:rsidRPr="003F7F6C" w:rsidDel="00074D34" w:rsidRDefault="00494980" w:rsidP="008E53E9">
            <w:pPr>
              <w:tabs>
                <w:tab w:val="left" w:pos="900"/>
              </w:tabs>
              <w:spacing w:before="60"/>
              <w:ind w:left="567" w:hanging="567"/>
              <w:rPr>
                <w:rFonts w:eastAsia="Times New Roman"/>
                <w:sz w:val="18"/>
                <w:szCs w:val="18"/>
              </w:rPr>
            </w:pPr>
            <w:r w:rsidRPr="003F7F6C">
              <w:rPr>
                <w:rFonts w:eastAsia="Times New Roman"/>
                <w:sz w:val="18"/>
                <w:szCs w:val="18"/>
              </w:rPr>
              <w:t>5.</w:t>
            </w:r>
            <w:r w:rsidRPr="003F7F6C">
              <w:rPr>
                <w:rFonts w:eastAsia="Times New Roman"/>
                <w:sz w:val="18"/>
                <w:szCs w:val="18"/>
              </w:rPr>
              <w:tab/>
              <w:t>Is there a risk that duty-bearers do not have the capacity to meet their obligations in the Project?</w:t>
            </w:r>
          </w:p>
        </w:tc>
        <w:tc>
          <w:tcPr>
            <w:tcW w:w="833" w:type="dxa"/>
            <w:tcBorders>
              <w:bottom w:val="single" w:sz="4" w:space="0" w:color="auto"/>
            </w:tcBorders>
            <w:shd w:val="clear" w:color="auto" w:fill="auto"/>
          </w:tcPr>
          <w:p w14:paraId="40F8E470" w14:textId="77777777" w:rsidR="00494980" w:rsidRPr="003F7F6C" w:rsidRDefault="00494980" w:rsidP="008E53E9">
            <w:pPr>
              <w:tabs>
                <w:tab w:val="left" w:pos="810"/>
              </w:tabs>
              <w:rPr>
                <w:sz w:val="18"/>
                <w:szCs w:val="18"/>
              </w:rPr>
            </w:pPr>
            <w:r w:rsidRPr="003F7F6C">
              <w:rPr>
                <w:sz w:val="18"/>
                <w:szCs w:val="18"/>
              </w:rPr>
              <w:t>No</w:t>
            </w:r>
          </w:p>
        </w:tc>
      </w:tr>
      <w:tr w:rsidR="00494980" w:rsidRPr="003F7F6C" w14:paraId="3A578846" w14:textId="77777777" w:rsidTr="008E53E9">
        <w:tc>
          <w:tcPr>
            <w:tcW w:w="8635" w:type="dxa"/>
            <w:tcBorders>
              <w:bottom w:val="single" w:sz="4" w:space="0" w:color="auto"/>
            </w:tcBorders>
            <w:shd w:val="clear" w:color="auto" w:fill="auto"/>
          </w:tcPr>
          <w:p w14:paraId="3A065259" w14:textId="77777777" w:rsidR="00494980" w:rsidRPr="003F7F6C" w:rsidRDefault="00494980" w:rsidP="008E53E9">
            <w:pPr>
              <w:tabs>
                <w:tab w:val="left" w:pos="900"/>
              </w:tabs>
              <w:spacing w:before="60"/>
              <w:ind w:left="567" w:hanging="567"/>
              <w:rPr>
                <w:rFonts w:eastAsia="Times New Roman"/>
                <w:sz w:val="18"/>
                <w:szCs w:val="18"/>
              </w:rPr>
            </w:pPr>
            <w:r w:rsidRPr="003F7F6C">
              <w:rPr>
                <w:rFonts w:eastAsia="Times New Roman"/>
                <w:sz w:val="18"/>
                <w:szCs w:val="18"/>
              </w:rPr>
              <w:t>6.</w:t>
            </w:r>
            <w:r w:rsidRPr="003F7F6C">
              <w:rPr>
                <w:rFonts w:eastAsia="Times New Roman"/>
                <w:sz w:val="18"/>
                <w:szCs w:val="18"/>
              </w:rPr>
              <w:tab/>
              <w:t xml:space="preserve">Is there a risk that rights-holders do not have the capacity to claim their rights? </w:t>
            </w:r>
          </w:p>
        </w:tc>
        <w:tc>
          <w:tcPr>
            <w:tcW w:w="833" w:type="dxa"/>
            <w:tcBorders>
              <w:bottom w:val="single" w:sz="4" w:space="0" w:color="auto"/>
            </w:tcBorders>
            <w:shd w:val="clear" w:color="auto" w:fill="auto"/>
          </w:tcPr>
          <w:p w14:paraId="1F91E053" w14:textId="77777777" w:rsidR="00494980" w:rsidRPr="003F7F6C" w:rsidRDefault="00494980" w:rsidP="008E53E9">
            <w:pPr>
              <w:tabs>
                <w:tab w:val="left" w:pos="810"/>
              </w:tabs>
              <w:rPr>
                <w:sz w:val="18"/>
                <w:szCs w:val="18"/>
              </w:rPr>
            </w:pPr>
            <w:r w:rsidRPr="003F7F6C">
              <w:rPr>
                <w:sz w:val="18"/>
                <w:szCs w:val="18"/>
              </w:rPr>
              <w:t>No</w:t>
            </w:r>
          </w:p>
        </w:tc>
      </w:tr>
      <w:tr w:rsidR="00494980" w:rsidRPr="003F7F6C" w14:paraId="2EE70251" w14:textId="77777777" w:rsidTr="008E53E9">
        <w:tc>
          <w:tcPr>
            <w:tcW w:w="8635" w:type="dxa"/>
            <w:tcBorders>
              <w:bottom w:val="single" w:sz="4" w:space="0" w:color="auto"/>
            </w:tcBorders>
            <w:shd w:val="clear" w:color="auto" w:fill="auto"/>
          </w:tcPr>
          <w:p w14:paraId="4B13C124" w14:textId="77777777" w:rsidR="00494980" w:rsidRPr="003F7F6C" w:rsidRDefault="00494980" w:rsidP="008E53E9">
            <w:pPr>
              <w:tabs>
                <w:tab w:val="left" w:pos="900"/>
              </w:tabs>
              <w:spacing w:before="60"/>
              <w:ind w:left="567" w:hanging="567"/>
              <w:rPr>
                <w:rFonts w:eastAsia="Times New Roman"/>
                <w:sz w:val="18"/>
                <w:szCs w:val="18"/>
              </w:rPr>
            </w:pPr>
            <w:r w:rsidRPr="003F7F6C">
              <w:rPr>
                <w:rFonts w:eastAsia="Times New Roman"/>
                <w:sz w:val="18"/>
                <w:szCs w:val="18"/>
              </w:rPr>
              <w:t>7.</w:t>
            </w:r>
            <w:r w:rsidRPr="003F7F6C">
              <w:rPr>
                <w:rFonts w:eastAsia="Times New Roman"/>
                <w:sz w:val="18"/>
                <w:szCs w:val="18"/>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tcPr>
          <w:p w14:paraId="4FE56881" w14:textId="77777777" w:rsidR="00494980" w:rsidRPr="003F7F6C" w:rsidRDefault="00494980" w:rsidP="008E53E9">
            <w:pPr>
              <w:tabs>
                <w:tab w:val="left" w:pos="810"/>
              </w:tabs>
              <w:rPr>
                <w:sz w:val="18"/>
                <w:szCs w:val="18"/>
              </w:rPr>
            </w:pPr>
            <w:r w:rsidRPr="003F7F6C">
              <w:rPr>
                <w:sz w:val="18"/>
                <w:szCs w:val="18"/>
              </w:rPr>
              <w:t>No</w:t>
            </w:r>
          </w:p>
        </w:tc>
      </w:tr>
      <w:tr w:rsidR="00494980" w:rsidRPr="003F7F6C" w14:paraId="76FD3C8B" w14:textId="77777777" w:rsidTr="008E53E9">
        <w:tc>
          <w:tcPr>
            <w:tcW w:w="8635" w:type="dxa"/>
            <w:tcBorders>
              <w:bottom w:val="single" w:sz="4" w:space="0" w:color="auto"/>
            </w:tcBorders>
            <w:shd w:val="clear" w:color="auto" w:fill="auto"/>
          </w:tcPr>
          <w:p w14:paraId="6F50B504" w14:textId="77777777" w:rsidR="00494980" w:rsidRPr="003F7F6C" w:rsidRDefault="00494980" w:rsidP="008E53E9">
            <w:pPr>
              <w:tabs>
                <w:tab w:val="left" w:pos="900"/>
              </w:tabs>
              <w:spacing w:before="60"/>
              <w:ind w:left="567" w:hanging="567"/>
              <w:rPr>
                <w:rFonts w:eastAsia="Times New Roman"/>
                <w:sz w:val="18"/>
                <w:szCs w:val="18"/>
              </w:rPr>
            </w:pPr>
            <w:r w:rsidRPr="003F7F6C">
              <w:rPr>
                <w:rFonts w:eastAsia="Times New Roman"/>
                <w:sz w:val="18"/>
                <w:szCs w:val="18"/>
              </w:rPr>
              <w:t>8.</w:t>
            </w:r>
            <w:r w:rsidRPr="003F7F6C">
              <w:rPr>
                <w:rFonts w:eastAsia="Times New Roman"/>
                <w:sz w:val="18"/>
                <w:szCs w:val="18"/>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tcPr>
          <w:p w14:paraId="063D4142" w14:textId="77777777" w:rsidR="00494980" w:rsidRPr="003F7F6C" w:rsidRDefault="00494980" w:rsidP="008E53E9">
            <w:pPr>
              <w:tabs>
                <w:tab w:val="left" w:pos="810"/>
              </w:tabs>
              <w:rPr>
                <w:sz w:val="18"/>
                <w:szCs w:val="18"/>
              </w:rPr>
            </w:pPr>
            <w:r w:rsidRPr="003F7F6C">
              <w:rPr>
                <w:sz w:val="18"/>
                <w:szCs w:val="18"/>
              </w:rPr>
              <w:t>No</w:t>
            </w:r>
          </w:p>
        </w:tc>
      </w:tr>
      <w:tr w:rsidR="00494980" w:rsidRPr="003F7F6C" w14:paraId="09ED7796" w14:textId="77777777" w:rsidTr="008E53E9">
        <w:tc>
          <w:tcPr>
            <w:tcW w:w="8635" w:type="dxa"/>
            <w:tcBorders>
              <w:bottom w:val="single" w:sz="4" w:space="0" w:color="auto"/>
            </w:tcBorders>
            <w:shd w:val="clear" w:color="auto" w:fill="DBE5F1"/>
          </w:tcPr>
          <w:p w14:paraId="6C0889D8" w14:textId="77777777" w:rsidR="00494980" w:rsidRPr="003F7F6C" w:rsidRDefault="00494980" w:rsidP="008E53E9">
            <w:pPr>
              <w:tabs>
                <w:tab w:val="left" w:pos="810"/>
              </w:tabs>
              <w:spacing w:before="120" w:after="120"/>
              <w:rPr>
                <w:b/>
                <w:sz w:val="18"/>
                <w:szCs w:val="18"/>
              </w:rPr>
            </w:pPr>
            <w:r w:rsidRPr="003F7F6C">
              <w:rPr>
                <w:b/>
                <w:sz w:val="18"/>
                <w:szCs w:val="18"/>
              </w:rPr>
              <w:t>Principle 2: Gender Equality and Women’s Empowerment</w:t>
            </w:r>
          </w:p>
        </w:tc>
        <w:tc>
          <w:tcPr>
            <w:tcW w:w="833" w:type="dxa"/>
            <w:tcBorders>
              <w:bottom w:val="single" w:sz="4" w:space="0" w:color="auto"/>
            </w:tcBorders>
            <w:shd w:val="clear" w:color="auto" w:fill="DBE5F1"/>
          </w:tcPr>
          <w:p w14:paraId="1E9D0C4C" w14:textId="77777777" w:rsidR="00494980" w:rsidRPr="003F7F6C" w:rsidRDefault="00494980" w:rsidP="008E53E9">
            <w:pPr>
              <w:tabs>
                <w:tab w:val="left" w:pos="810"/>
              </w:tabs>
              <w:spacing w:before="120" w:after="120"/>
              <w:rPr>
                <w:b/>
                <w:sz w:val="18"/>
                <w:szCs w:val="18"/>
              </w:rPr>
            </w:pPr>
          </w:p>
        </w:tc>
      </w:tr>
      <w:tr w:rsidR="00494980" w:rsidRPr="003F7F6C" w14:paraId="32BE7746" w14:textId="77777777" w:rsidTr="008E53E9">
        <w:tc>
          <w:tcPr>
            <w:tcW w:w="8635" w:type="dxa"/>
            <w:tcBorders>
              <w:bottom w:val="single" w:sz="4" w:space="0" w:color="auto"/>
            </w:tcBorders>
            <w:shd w:val="clear" w:color="auto" w:fill="auto"/>
          </w:tcPr>
          <w:p w14:paraId="76115CE7" w14:textId="77777777" w:rsidR="00494980" w:rsidRPr="003F7F6C" w:rsidRDefault="00494980" w:rsidP="008E53E9">
            <w:pPr>
              <w:tabs>
                <w:tab w:val="left" w:pos="900"/>
              </w:tabs>
              <w:spacing w:before="60"/>
              <w:ind w:left="567" w:hanging="567"/>
              <w:rPr>
                <w:rFonts w:eastAsia="Times New Roman"/>
                <w:sz w:val="18"/>
                <w:szCs w:val="18"/>
              </w:rPr>
            </w:pPr>
            <w:r w:rsidRPr="003F7F6C">
              <w:rPr>
                <w:rFonts w:eastAsia="Times New Roman"/>
                <w:sz w:val="18"/>
                <w:szCs w:val="18"/>
              </w:rPr>
              <w:t>1.</w:t>
            </w:r>
            <w:r w:rsidRPr="003F7F6C">
              <w:rPr>
                <w:rFonts w:eastAsia="Times New Roman"/>
                <w:sz w:val="18"/>
                <w:szCs w:val="18"/>
              </w:rPr>
              <w:tab/>
              <w:t xml:space="preserve">Is there likelihood that the proposed Project would have adverse impacts on gender equality and/or the situation of women and girls? </w:t>
            </w:r>
          </w:p>
        </w:tc>
        <w:tc>
          <w:tcPr>
            <w:tcW w:w="833" w:type="dxa"/>
            <w:tcBorders>
              <w:bottom w:val="single" w:sz="4" w:space="0" w:color="auto"/>
            </w:tcBorders>
            <w:shd w:val="clear" w:color="auto" w:fill="auto"/>
          </w:tcPr>
          <w:p w14:paraId="1325F897" w14:textId="77777777" w:rsidR="00494980" w:rsidRPr="003F7F6C" w:rsidRDefault="00494980" w:rsidP="008E53E9">
            <w:pPr>
              <w:tabs>
                <w:tab w:val="left" w:pos="810"/>
              </w:tabs>
              <w:rPr>
                <w:sz w:val="18"/>
                <w:szCs w:val="18"/>
              </w:rPr>
            </w:pPr>
            <w:r w:rsidRPr="003F7F6C">
              <w:rPr>
                <w:sz w:val="18"/>
                <w:szCs w:val="18"/>
              </w:rPr>
              <w:t>No</w:t>
            </w:r>
          </w:p>
        </w:tc>
      </w:tr>
      <w:tr w:rsidR="00494980" w:rsidRPr="003F7F6C" w14:paraId="401C7EDD" w14:textId="77777777" w:rsidTr="008E53E9">
        <w:tc>
          <w:tcPr>
            <w:tcW w:w="8635" w:type="dxa"/>
            <w:tcBorders>
              <w:bottom w:val="single" w:sz="4" w:space="0" w:color="auto"/>
            </w:tcBorders>
            <w:shd w:val="clear" w:color="auto" w:fill="auto"/>
          </w:tcPr>
          <w:p w14:paraId="4FF277AB" w14:textId="77777777" w:rsidR="00494980" w:rsidRPr="003F7F6C" w:rsidRDefault="00494980" w:rsidP="008E53E9">
            <w:pPr>
              <w:tabs>
                <w:tab w:val="left" w:pos="900"/>
              </w:tabs>
              <w:spacing w:before="60"/>
              <w:ind w:left="567" w:hanging="567"/>
              <w:rPr>
                <w:rFonts w:eastAsia="Times New Roman"/>
                <w:sz w:val="18"/>
                <w:szCs w:val="18"/>
              </w:rPr>
            </w:pPr>
            <w:r w:rsidRPr="003F7F6C">
              <w:rPr>
                <w:rFonts w:eastAsia="Times New Roman"/>
                <w:sz w:val="18"/>
                <w:szCs w:val="18"/>
              </w:rPr>
              <w:t>2.</w:t>
            </w:r>
            <w:r w:rsidRPr="003F7F6C">
              <w:rPr>
                <w:rFonts w:eastAsia="Times New Roman"/>
                <w:sz w:val="18"/>
                <w:szCs w:val="18"/>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tcPr>
          <w:p w14:paraId="23E5C0A7" w14:textId="77777777" w:rsidR="00494980" w:rsidRPr="003F7F6C" w:rsidRDefault="00494980" w:rsidP="008E53E9">
            <w:pPr>
              <w:tabs>
                <w:tab w:val="left" w:pos="810"/>
              </w:tabs>
              <w:rPr>
                <w:sz w:val="18"/>
                <w:szCs w:val="18"/>
              </w:rPr>
            </w:pPr>
            <w:r w:rsidRPr="003F7F6C">
              <w:rPr>
                <w:sz w:val="18"/>
                <w:szCs w:val="18"/>
              </w:rPr>
              <w:t>No</w:t>
            </w:r>
          </w:p>
        </w:tc>
      </w:tr>
      <w:tr w:rsidR="00494980" w:rsidRPr="003F7F6C" w14:paraId="0E6F431A" w14:textId="77777777" w:rsidTr="008E53E9">
        <w:tc>
          <w:tcPr>
            <w:tcW w:w="8635" w:type="dxa"/>
            <w:tcBorders>
              <w:bottom w:val="single" w:sz="4" w:space="0" w:color="auto"/>
            </w:tcBorders>
            <w:shd w:val="clear" w:color="auto" w:fill="auto"/>
          </w:tcPr>
          <w:p w14:paraId="203BC6F8" w14:textId="77777777" w:rsidR="00494980" w:rsidRPr="003F7F6C" w:rsidRDefault="00494980" w:rsidP="008E53E9">
            <w:pPr>
              <w:tabs>
                <w:tab w:val="left" w:pos="900"/>
              </w:tabs>
              <w:spacing w:before="60"/>
              <w:ind w:left="567" w:hanging="567"/>
              <w:rPr>
                <w:rFonts w:eastAsia="Times New Roman"/>
                <w:sz w:val="18"/>
                <w:szCs w:val="18"/>
              </w:rPr>
            </w:pPr>
            <w:r w:rsidRPr="003F7F6C">
              <w:rPr>
                <w:rFonts w:eastAsia="Times New Roman"/>
                <w:sz w:val="18"/>
                <w:szCs w:val="18"/>
              </w:rPr>
              <w:t>3.</w:t>
            </w:r>
            <w:r w:rsidRPr="003F7F6C">
              <w:rPr>
                <w:rFonts w:eastAsia="Times New Roman"/>
                <w:sz w:val="18"/>
                <w:szCs w:val="18"/>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auto"/>
          </w:tcPr>
          <w:p w14:paraId="304CD40A" w14:textId="77777777" w:rsidR="00494980" w:rsidRPr="003F7F6C" w:rsidRDefault="00494980" w:rsidP="008E53E9">
            <w:pPr>
              <w:tabs>
                <w:tab w:val="left" w:pos="810"/>
              </w:tabs>
              <w:rPr>
                <w:sz w:val="18"/>
                <w:szCs w:val="18"/>
              </w:rPr>
            </w:pPr>
            <w:r w:rsidRPr="003F7F6C">
              <w:rPr>
                <w:sz w:val="18"/>
                <w:szCs w:val="18"/>
              </w:rPr>
              <w:t>No</w:t>
            </w:r>
          </w:p>
        </w:tc>
      </w:tr>
      <w:tr w:rsidR="00494980" w:rsidRPr="003F7F6C" w14:paraId="5E532B98" w14:textId="77777777" w:rsidTr="008E53E9">
        <w:tc>
          <w:tcPr>
            <w:tcW w:w="8635" w:type="dxa"/>
            <w:tcBorders>
              <w:bottom w:val="single" w:sz="4" w:space="0" w:color="auto"/>
            </w:tcBorders>
            <w:shd w:val="clear" w:color="auto" w:fill="auto"/>
          </w:tcPr>
          <w:p w14:paraId="5D6DEA26" w14:textId="77777777" w:rsidR="00494980" w:rsidRPr="003F7F6C" w:rsidRDefault="00494980" w:rsidP="008E53E9">
            <w:pPr>
              <w:tabs>
                <w:tab w:val="left" w:pos="900"/>
              </w:tabs>
              <w:spacing w:before="60"/>
              <w:ind w:left="567" w:hanging="567"/>
              <w:rPr>
                <w:rFonts w:eastAsia="Times New Roman"/>
                <w:sz w:val="18"/>
                <w:szCs w:val="18"/>
              </w:rPr>
            </w:pPr>
            <w:r w:rsidRPr="003F7F6C">
              <w:rPr>
                <w:rFonts w:eastAsia="Times New Roman"/>
                <w:sz w:val="18"/>
                <w:szCs w:val="18"/>
              </w:rPr>
              <w:t>4.</w:t>
            </w:r>
            <w:r w:rsidRPr="003F7F6C">
              <w:rPr>
                <w:rFonts w:eastAsia="Times New Roman"/>
                <w:sz w:val="18"/>
                <w:szCs w:val="18"/>
              </w:rPr>
              <w:tab/>
              <w:t>Would the Project potentially limit women’s ability to use, develop and protect natural resources, taking into account different roles and positions of women and men in accessing environmental goods and services?</w:t>
            </w:r>
          </w:p>
          <w:p w14:paraId="5CBCAC5D" w14:textId="77777777" w:rsidR="00494980" w:rsidRPr="003F7F6C" w:rsidRDefault="00494980" w:rsidP="008E53E9">
            <w:pPr>
              <w:tabs>
                <w:tab w:val="left" w:pos="900"/>
              </w:tabs>
              <w:spacing w:before="60"/>
              <w:ind w:left="567" w:hanging="567"/>
              <w:rPr>
                <w:rFonts w:eastAsia="Times New Roman"/>
                <w:i/>
                <w:sz w:val="18"/>
                <w:szCs w:val="18"/>
              </w:rPr>
            </w:pPr>
            <w:r w:rsidRPr="003F7F6C">
              <w:rPr>
                <w:sz w:val="18"/>
                <w:szCs w:val="18"/>
              </w:rPr>
              <w:tab/>
            </w:r>
            <w:r w:rsidRPr="003F7F6C">
              <w:rPr>
                <w:i/>
                <w:sz w:val="18"/>
                <w:szCs w:val="18"/>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tcPr>
          <w:p w14:paraId="4D2D4F97" w14:textId="77777777" w:rsidR="00494980" w:rsidRPr="003F7F6C" w:rsidRDefault="00494980" w:rsidP="008E53E9">
            <w:pPr>
              <w:tabs>
                <w:tab w:val="left" w:pos="810"/>
              </w:tabs>
              <w:rPr>
                <w:sz w:val="18"/>
                <w:szCs w:val="18"/>
              </w:rPr>
            </w:pPr>
            <w:r w:rsidRPr="003F7F6C">
              <w:rPr>
                <w:sz w:val="18"/>
                <w:szCs w:val="18"/>
              </w:rPr>
              <w:t xml:space="preserve"> Yes</w:t>
            </w:r>
          </w:p>
        </w:tc>
      </w:tr>
      <w:tr w:rsidR="00494980" w:rsidRPr="003F7F6C" w14:paraId="4EDD6A66" w14:textId="77777777" w:rsidTr="008E53E9">
        <w:tc>
          <w:tcPr>
            <w:tcW w:w="8635" w:type="dxa"/>
            <w:tcBorders>
              <w:bottom w:val="single" w:sz="4" w:space="0" w:color="auto"/>
            </w:tcBorders>
            <w:shd w:val="clear" w:color="auto" w:fill="DBE5F1"/>
          </w:tcPr>
          <w:p w14:paraId="37BC5AF5" w14:textId="77777777" w:rsidR="00494980" w:rsidRPr="003F7F6C" w:rsidRDefault="00494980" w:rsidP="008E53E9">
            <w:pPr>
              <w:tabs>
                <w:tab w:val="left" w:pos="810"/>
              </w:tabs>
              <w:spacing w:before="120" w:after="120"/>
              <w:rPr>
                <w:rFonts w:eastAsia="Times New Roman"/>
                <w:b/>
                <w:sz w:val="18"/>
                <w:szCs w:val="18"/>
              </w:rPr>
            </w:pPr>
            <w:r w:rsidRPr="003F7F6C">
              <w:rPr>
                <w:b/>
                <w:sz w:val="18"/>
                <w:szCs w:val="18"/>
              </w:rPr>
              <w:t xml:space="preserve">Principle 3:  Environmental Sustainability: </w:t>
            </w:r>
            <w:r w:rsidRPr="003F7F6C">
              <w:rPr>
                <w:sz w:val="18"/>
                <w:szCs w:val="18"/>
              </w:rPr>
              <w:t>Screening</w:t>
            </w:r>
            <w:r w:rsidRPr="003F7F6C">
              <w:rPr>
                <w:b/>
                <w:sz w:val="18"/>
                <w:szCs w:val="18"/>
              </w:rPr>
              <w:t xml:space="preserve"> </w:t>
            </w:r>
            <w:r w:rsidRPr="003F7F6C">
              <w:rPr>
                <w:sz w:val="18"/>
                <w:szCs w:val="18"/>
              </w:rPr>
              <w:t>questions regarding environmental risks are encompassed by the specific Standard-related questions below</w:t>
            </w:r>
          </w:p>
        </w:tc>
        <w:tc>
          <w:tcPr>
            <w:tcW w:w="833" w:type="dxa"/>
            <w:tcBorders>
              <w:bottom w:val="single" w:sz="4" w:space="0" w:color="auto"/>
            </w:tcBorders>
            <w:shd w:val="clear" w:color="auto" w:fill="DBE5F1"/>
          </w:tcPr>
          <w:p w14:paraId="4FFA42B1" w14:textId="77777777" w:rsidR="00494980" w:rsidRPr="003F7F6C" w:rsidRDefault="00494980" w:rsidP="008E53E9">
            <w:pPr>
              <w:tabs>
                <w:tab w:val="left" w:pos="810"/>
              </w:tabs>
              <w:rPr>
                <w:sz w:val="18"/>
                <w:szCs w:val="18"/>
              </w:rPr>
            </w:pPr>
          </w:p>
        </w:tc>
      </w:tr>
      <w:tr w:rsidR="00494980" w:rsidRPr="003F7F6C" w14:paraId="16481A4E" w14:textId="77777777" w:rsidTr="008E53E9">
        <w:tc>
          <w:tcPr>
            <w:tcW w:w="8635" w:type="dxa"/>
            <w:tcBorders>
              <w:bottom w:val="single" w:sz="4" w:space="0" w:color="auto"/>
            </w:tcBorders>
            <w:shd w:val="clear" w:color="auto" w:fill="auto"/>
          </w:tcPr>
          <w:p w14:paraId="1F47ACB0" w14:textId="77777777" w:rsidR="00494980" w:rsidRPr="003F7F6C" w:rsidRDefault="00494980" w:rsidP="008E53E9">
            <w:pPr>
              <w:tabs>
                <w:tab w:val="left" w:pos="810"/>
              </w:tabs>
              <w:rPr>
                <w:rFonts w:eastAsia="Times New Roman"/>
                <w:b/>
                <w:sz w:val="18"/>
                <w:szCs w:val="18"/>
              </w:rPr>
            </w:pPr>
          </w:p>
        </w:tc>
        <w:tc>
          <w:tcPr>
            <w:tcW w:w="833" w:type="dxa"/>
            <w:tcBorders>
              <w:bottom w:val="single" w:sz="4" w:space="0" w:color="auto"/>
            </w:tcBorders>
            <w:shd w:val="clear" w:color="auto" w:fill="auto"/>
          </w:tcPr>
          <w:p w14:paraId="1BB8A96A" w14:textId="77777777" w:rsidR="00494980" w:rsidRPr="003F7F6C" w:rsidRDefault="00494980" w:rsidP="008E53E9">
            <w:pPr>
              <w:tabs>
                <w:tab w:val="left" w:pos="810"/>
              </w:tabs>
              <w:rPr>
                <w:sz w:val="18"/>
                <w:szCs w:val="18"/>
              </w:rPr>
            </w:pPr>
          </w:p>
        </w:tc>
      </w:tr>
      <w:tr w:rsidR="00494980" w:rsidRPr="003F7F6C" w14:paraId="11F8F748" w14:textId="77777777" w:rsidTr="008E53E9">
        <w:tc>
          <w:tcPr>
            <w:tcW w:w="8635" w:type="dxa"/>
            <w:tcBorders>
              <w:bottom w:val="single" w:sz="4" w:space="0" w:color="auto"/>
            </w:tcBorders>
            <w:shd w:val="clear" w:color="auto" w:fill="DBE5F1"/>
            <w:vAlign w:val="center"/>
          </w:tcPr>
          <w:p w14:paraId="6725F129" w14:textId="77777777" w:rsidR="00494980" w:rsidRPr="003F7F6C" w:rsidRDefault="00494980" w:rsidP="008E53E9">
            <w:pPr>
              <w:tabs>
                <w:tab w:val="left" w:pos="570"/>
              </w:tabs>
              <w:spacing w:before="120" w:after="120"/>
              <w:rPr>
                <w:rFonts w:eastAsia="Times New Roman"/>
                <w:b/>
                <w:sz w:val="18"/>
                <w:szCs w:val="18"/>
              </w:rPr>
            </w:pPr>
            <w:r w:rsidRPr="003F7F6C">
              <w:rPr>
                <w:rFonts w:eastAsia="Times New Roman"/>
                <w:b/>
                <w:sz w:val="18"/>
                <w:szCs w:val="18"/>
              </w:rPr>
              <w:t xml:space="preserve">Standard 1: Biodiversity Conservation and Sustainable </w:t>
            </w:r>
            <w:hyperlink w:anchor="SustNatResManGlossary" w:history="1">
              <w:r w:rsidRPr="003F7F6C">
                <w:rPr>
                  <w:rFonts w:eastAsia="Times New Roman"/>
                  <w:b/>
                  <w:sz w:val="18"/>
                  <w:szCs w:val="18"/>
                </w:rPr>
                <w:t>Natural</w:t>
              </w:r>
            </w:hyperlink>
            <w:r w:rsidRPr="003F7F6C">
              <w:rPr>
                <w:b/>
                <w:sz w:val="18"/>
                <w:szCs w:val="18"/>
              </w:rPr>
              <w:t xml:space="preserve"> Resource Management</w:t>
            </w:r>
          </w:p>
        </w:tc>
        <w:tc>
          <w:tcPr>
            <w:tcW w:w="833" w:type="dxa"/>
            <w:tcBorders>
              <w:bottom w:val="single" w:sz="4" w:space="0" w:color="auto"/>
            </w:tcBorders>
            <w:shd w:val="clear" w:color="auto" w:fill="DBE5F1"/>
          </w:tcPr>
          <w:p w14:paraId="35A18F08" w14:textId="77777777" w:rsidR="00494980" w:rsidRPr="003F7F6C" w:rsidRDefault="00494980" w:rsidP="008E53E9">
            <w:pPr>
              <w:rPr>
                <w:rFonts w:eastAsia="Times New Roman"/>
                <w:b/>
                <w:sz w:val="18"/>
                <w:szCs w:val="18"/>
              </w:rPr>
            </w:pPr>
          </w:p>
        </w:tc>
      </w:tr>
      <w:tr w:rsidR="00494980" w:rsidRPr="003F7F6C" w14:paraId="01950B6C" w14:textId="77777777" w:rsidTr="008E53E9">
        <w:tc>
          <w:tcPr>
            <w:tcW w:w="8635" w:type="dxa"/>
            <w:shd w:val="clear" w:color="auto" w:fill="auto"/>
          </w:tcPr>
          <w:p w14:paraId="173342AD" w14:textId="77777777" w:rsidR="00494980" w:rsidRPr="003F7F6C" w:rsidRDefault="00494980" w:rsidP="008E53E9">
            <w:pPr>
              <w:tabs>
                <w:tab w:val="left" w:pos="900"/>
              </w:tabs>
              <w:spacing w:before="60"/>
              <w:ind w:left="567" w:hanging="567"/>
              <w:rPr>
                <w:rFonts w:eastAsia="Times New Roman"/>
                <w:sz w:val="18"/>
                <w:szCs w:val="18"/>
              </w:rPr>
            </w:pPr>
            <w:r w:rsidRPr="003F7F6C">
              <w:rPr>
                <w:rFonts w:eastAsia="Times New Roman"/>
                <w:sz w:val="18"/>
                <w:szCs w:val="18"/>
              </w:rPr>
              <w:t xml:space="preserve">1.1 </w:t>
            </w:r>
            <w:r w:rsidRPr="003F7F6C">
              <w:rPr>
                <w:rFonts w:eastAsia="Times New Roman"/>
                <w:sz w:val="18"/>
                <w:szCs w:val="18"/>
              </w:rPr>
              <w:tab/>
              <w:t>Would the Project potentially cause adverse impacts to habitats (e.g. modified, natural, and critical habitats) and/or ecosystems and ecosystem services?</w:t>
            </w:r>
            <w:r w:rsidRPr="003F7F6C">
              <w:rPr>
                <w:rFonts w:eastAsia="Times New Roman"/>
                <w:sz w:val="18"/>
                <w:szCs w:val="18"/>
              </w:rPr>
              <w:br/>
            </w:r>
            <w:r w:rsidRPr="003F7F6C">
              <w:rPr>
                <w:rFonts w:eastAsia="Times New Roman"/>
                <w:sz w:val="18"/>
                <w:szCs w:val="18"/>
              </w:rPr>
              <w:br/>
            </w:r>
            <w:r w:rsidRPr="003F7F6C">
              <w:rPr>
                <w:rFonts w:eastAsia="Times New Roman"/>
                <w:i/>
                <w:sz w:val="18"/>
                <w:szCs w:val="18"/>
              </w:rPr>
              <w:t>For example, through habitat loss, conversion or degradation, fragmentation, hydrological changes</w:t>
            </w:r>
          </w:p>
        </w:tc>
        <w:tc>
          <w:tcPr>
            <w:tcW w:w="833" w:type="dxa"/>
            <w:shd w:val="clear" w:color="auto" w:fill="auto"/>
          </w:tcPr>
          <w:p w14:paraId="24919F32" w14:textId="77777777" w:rsidR="00494980" w:rsidRPr="003F7F6C" w:rsidRDefault="00494980" w:rsidP="008E53E9">
            <w:pPr>
              <w:rPr>
                <w:rFonts w:eastAsia="Times New Roman"/>
                <w:sz w:val="18"/>
                <w:szCs w:val="18"/>
              </w:rPr>
            </w:pPr>
            <w:r w:rsidRPr="003F7F6C">
              <w:rPr>
                <w:rFonts w:eastAsia="Times New Roman"/>
                <w:sz w:val="18"/>
                <w:szCs w:val="18"/>
              </w:rPr>
              <w:t>Yes</w:t>
            </w:r>
          </w:p>
        </w:tc>
      </w:tr>
      <w:tr w:rsidR="00494980" w:rsidRPr="003F7F6C" w14:paraId="7B016BE8" w14:textId="77777777" w:rsidTr="008E53E9">
        <w:tc>
          <w:tcPr>
            <w:tcW w:w="8635" w:type="dxa"/>
            <w:tcBorders>
              <w:bottom w:val="single" w:sz="4" w:space="0" w:color="auto"/>
            </w:tcBorders>
            <w:shd w:val="clear" w:color="auto" w:fill="auto"/>
          </w:tcPr>
          <w:p w14:paraId="4DE3E1EF" w14:textId="77777777" w:rsidR="00494980" w:rsidRPr="003F7F6C" w:rsidRDefault="00494980" w:rsidP="008E53E9">
            <w:pPr>
              <w:tabs>
                <w:tab w:val="left" w:pos="900"/>
              </w:tabs>
              <w:autoSpaceDE w:val="0"/>
              <w:autoSpaceDN w:val="0"/>
              <w:adjustRightInd w:val="0"/>
              <w:spacing w:before="60"/>
              <w:ind w:left="567" w:hanging="567"/>
              <w:rPr>
                <w:rFonts w:eastAsia="Times New Roman"/>
                <w:color w:val="000000"/>
                <w:sz w:val="18"/>
                <w:szCs w:val="18"/>
              </w:rPr>
            </w:pPr>
            <w:r w:rsidRPr="003F7F6C">
              <w:rPr>
                <w:rFonts w:eastAsia="Times New Roman"/>
                <w:bCs/>
                <w:color w:val="000000"/>
                <w:sz w:val="18"/>
                <w:szCs w:val="18"/>
              </w:rPr>
              <w:t xml:space="preserve">1.2 </w:t>
            </w:r>
            <w:r w:rsidRPr="003F7F6C">
              <w:rPr>
                <w:rFonts w:eastAsia="Times New Roman"/>
                <w:bCs/>
                <w:color w:val="000000"/>
                <w:sz w:val="18"/>
                <w:szCs w:val="18"/>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tcPr>
          <w:p w14:paraId="3A5F7467" w14:textId="77777777" w:rsidR="00494980" w:rsidRPr="003F7F6C" w:rsidRDefault="00494980" w:rsidP="008E53E9">
            <w:pPr>
              <w:rPr>
                <w:rFonts w:eastAsia="Times New Roman"/>
                <w:sz w:val="18"/>
                <w:szCs w:val="18"/>
              </w:rPr>
            </w:pPr>
            <w:r w:rsidRPr="003F7F6C">
              <w:rPr>
                <w:rFonts w:eastAsia="Times New Roman"/>
                <w:sz w:val="18"/>
                <w:szCs w:val="18"/>
              </w:rPr>
              <w:t>Yes</w:t>
            </w:r>
          </w:p>
        </w:tc>
      </w:tr>
      <w:tr w:rsidR="00494980" w:rsidRPr="003F7F6C" w14:paraId="44984A3E" w14:textId="77777777" w:rsidTr="008E53E9">
        <w:tc>
          <w:tcPr>
            <w:tcW w:w="8635" w:type="dxa"/>
            <w:tcBorders>
              <w:bottom w:val="single" w:sz="4" w:space="0" w:color="auto"/>
            </w:tcBorders>
            <w:shd w:val="clear" w:color="auto" w:fill="auto"/>
          </w:tcPr>
          <w:p w14:paraId="009590FB" w14:textId="77777777" w:rsidR="00494980" w:rsidRPr="003F7F6C" w:rsidRDefault="00494980" w:rsidP="008E53E9">
            <w:pPr>
              <w:tabs>
                <w:tab w:val="left" w:pos="900"/>
              </w:tabs>
              <w:spacing w:before="60"/>
              <w:ind w:left="567" w:hanging="567"/>
              <w:rPr>
                <w:rFonts w:eastAsia="Times New Roman"/>
                <w:sz w:val="18"/>
                <w:szCs w:val="18"/>
              </w:rPr>
            </w:pPr>
            <w:r w:rsidRPr="003F7F6C">
              <w:rPr>
                <w:rFonts w:eastAsia="Times New Roman"/>
                <w:sz w:val="18"/>
                <w:szCs w:val="18"/>
              </w:rPr>
              <w:t>1.3</w:t>
            </w:r>
            <w:r w:rsidRPr="003F7F6C">
              <w:rPr>
                <w:rFonts w:eastAsia="Times New Roman"/>
                <w:sz w:val="18"/>
                <w:szCs w:val="18"/>
              </w:rPr>
              <w:tab/>
              <w:t>Does the Project involve changes to the use of lands and resources that may have adverse impacts on habitats, ecosystems, and/or livelihoods? (Note: if restrictions and/or limitations of access to lands would apply, refer to Standard 5)</w:t>
            </w:r>
          </w:p>
        </w:tc>
        <w:tc>
          <w:tcPr>
            <w:tcW w:w="833" w:type="dxa"/>
            <w:tcBorders>
              <w:bottom w:val="single" w:sz="4" w:space="0" w:color="auto"/>
            </w:tcBorders>
            <w:shd w:val="clear" w:color="auto" w:fill="auto"/>
          </w:tcPr>
          <w:p w14:paraId="04E79DAB" w14:textId="77777777" w:rsidR="00494980" w:rsidRPr="003F7F6C" w:rsidRDefault="00494980" w:rsidP="008E53E9">
            <w:pPr>
              <w:rPr>
                <w:rFonts w:eastAsia="Times New Roman"/>
                <w:sz w:val="18"/>
                <w:szCs w:val="18"/>
              </w:rPr>
            </w:pPr>
            <w:r w:rsidRPr="003F7F6C">
              <w:rPr>
                <w:rFonts w:eastAsia="Times New Roman"/>
                <w:sz w:val="18"/>
                <w:szCs w:val="18"/>
              </w:rPr>
              <w:t>Yes</w:t>
            </w:r>
          </w:p>
        </w:tc>
      </w:tr>
      <w:tr w:rsidR="00494980" w:rsidRPr="003F7F6C" w14:paraId="23E5CE79" w14:textId="77777777" w:rsidTr="008E53E9">
        <w:tc>
          <w:tcPr>
            <w:tcW w:w="8635" w:type="dxa"/>
            <w:tcBorders>
              <w:bottom w:val="single" w:sz="4" w:space="0" w:color="auto"/>
            </w:tcBorders>
            <w:shd w:val="clear" w:color="auto" w:fill="auto"/>
          </w:tcPr>
          <w:p w14:paraId="2164F670" w14:textId="77777777" w:rsidR="00494980" w:rsidRPr="003F7F6C" w:rsidRDefault="00494980" w:rsidP="008E53E9">
            <w:pPr>
              <w:tabs>
                <w:tab w:val="left" w:pos="900"/>
              </w:tabs>
              <w:spacing w:before="60"/>
              <w:ind w:left="567" w:hanging="567"/>
              <w:rPr>
                <w:rFonts w:eastAsia="Times New Roman"/>
                <w:sz w:val="18"/>
                <w:szCs w:val="18"/>
              </w:rPr>
            </w:pPr>
            <w:r w:rsidRPr="003F7F6C">
              <w:rPr>
                <w:rFonts w:eastAsia="Times New Roman"/>
                <w:sz w:val="18"/>
                <w:szCs w:val="18"/>
              </w:rPr>
              <w:t>1.4</w:t>
            </w:r>
            <w:r w:rsidRPr="003F7F6C">
              <w:rPr>
                <w:rFonts w:eastAsia="Times New Roman"/>
                <w:sz w:val="18"/>
                <w:szCs w:val="18"/>
              </w:rPr>
              <w:tab/>
              <w:t>Would Project activities pose risks to endangered species?</w:t>
            </w:r>
          </w:p>
        </w:tc>
        <w:tc>
          <w:tcPr>
            <w:tcW w:w="833" w:type="dxa"/>
            <w:tcBorders>
              <w:bottom w:val="single" w:sz="4" w:space="0" w:color="auto"/>
            </w:tcBorders>
            <w:shd w:val="clear" w:color="auto" w:fill="auto"/>
          </w:tcPr>
          <w:p w14:paraId="394EECF9" w14:textId="77777777" w:rsidR="00494980" w:rsidRPr="003F7F6C" w:rsidRDefault="00494980" w:rsidP="008E53E9">
            <w:pPr>
              <w:rPr>
                <w:rFonts w:eastAsia="Times New Roman"/>
                <w:sz w:val="18"/>
                <w:szCs w:val="18"/>
              </w:rPr>
            </w:pPr>
            <w:r w:rsidRPr="003F7F6C">
              <w:rPr>
                <w:rFonts w:eastAsia="Times New Roman"/>
                <w:sz w:val="18"/>
                <w:szCs w:val="18"/>
              </w:rPr>
              <w:t>No</w:t>
            </w:r>
          </w:p>
        </w:tc>
      </w:tr>
      <w:tr w:rsidR="00494980" w:rsidRPr="003F7F6C" w14:paraId="6D6E7A9A" w14:textId="77777777" w:rsidTr="008E53E9">
        <w:tc>
          <w:tcPr>
            <w:tcW w:w="8635" w:type="dxa"/>
            <w:tcBorders>
              <w:bottom w:val="single" w:sz="4" w:space="0" w:color="auto"/>
            </w:tcBorders>
            <w:shd w:val="clear" w:color="auto" w:fill="auto"/>
          </w:tcPr>
          <w:p w14:paraId="422EAC68" w14:textId="77777777" w:rsidR="00494980" w:rsidRPr="003F7F6C" w:rsidRDefault="00494980" w:rsidP="008E53E9">
            <w:pPr>
              <w:tabs>
                <w:tab w:val="left" w:pos="900"/>
              </w:tabs>
              <w:spacing w:before="60"/>
              <w:ind w:left="567" w:hanging="567"/>
              <w:rPr>
                <w:rFonts w:eastAsia="Times New Roman"/>
                <w:sz w:val="18"/>
                <w:szCs w:val="18"/>
              </w:rPr>
            </w:pPr>
            <w:r w:rsidRPr="003F7F6C">
              <w:rPr>
                <w:rFonts w:eastAsia="Times New Roman"/>
                <w:sz w:val="18"/>
                <w:szCs w:val="18"/>
              </w:rPr>
              <w:t xml:space="preserve">1.5 </w:t>
            </w:r>
            <w:r w:rsidRPr="003F7F6C">
              <w:rPr>
                <w:rFonts w:eastAsia="Times New Roman"/>
                <w:sz w:val="18"/>
                <w:szCs w:val="18"/>
              </w:rPr>
              <w:tab/>
              <w:t xml:space="preserve">Would the Project pose a risk of introducing invasive alien species? </w:t>
            </w:r>
          </w:p>
        </w:tc>
        <w:tc>
          <w:tcPr>
            <w:tcW w:w="833" w:type="dxa"/>
            <w:tcBorders>
              <w:bottom w:val="single" w:sz="4" w:space="0" w:color="auto"/>
            </w:tcBorders>
            <w:shd w:val="clear" w:color="auto" w:fill="auto"/>
          </w:tcPr>
          <w:p w14:paraId="1398F151" w14:textId="77777777" w:rsidR="00494980" w:rsidRPr="003F7F6C" w:rsidRDefault="00494980" w:rsidP="008E53E9">
            <w:pPr>
              <w:rPr>
                <w:rFonts w:eastAsia="Times New Roman"/>
                <w:sz w:val="18"/>
                <w:szCs w:val="18"/>
              </w:rPr>
            </w:pPr>
            <w:r w:rsidRPr="003F7F6C">
              <w:rPr>
                <w:rFonts w:eastAsia="Times New Roman"/>
                <w:sz w:val="18"/>
                <w:szCs w:val="18"/>
              </w:rPr>
              <w:t>No</w:t>
            </w:r>
          </w:p>
        </w:tc>
      </w:tr>
      <w:tr w:rsidR="00494980" w:rsidRPr="003F7F6C" w14:paraId="4A1C746C" w14:textId="77777777" w:rsidTr="008E53E9">
        <w:tc>
          <w:tcPr>
            <w:tcW w:w="8635" w:type="dxa"/>
            <w:tcBorders>
              <w:bottom w:val="single" w:sz="4" w:space="0" w:color="auto"/>
            </w:tcBorders>
            <w:shd w:val="clear" w:color="auto" w:fill="auto"/>
          </w:tcPr>
          <w:p w14:paraId="42625F67" w14:textId="77777777" w:rsidR="00494980" w:rsidRPr="003F7F6C" w:rsidRDefault="00494980" w:rsidP="008E53E9">
            <w:pPr>
              <w:tabs>
                <w:tab w:val="left" w:pos="900"/>
              </w:tabs>
              <w:spacing w:before="60"/>
              <w:ind w:left="567" w:hanging="567"/>
              <w:rPr>
                <w:rFonts w:eastAsia="Times New Roman"/>
                <w:sz w:val="18"/>
                <w:szCs w:val="18"/>
              </w:rPr>
            </w:pPr>
            <w:r w:rsidRPr="003F7F6C">
              <w:rPr>
                <w:rFonts w:eastAsia="Times New Roman"/>
                <w:sz w:val="18"/>
                <w:szCs w:val="18"/>
              </w:rPr>
              <w:t>1.6</w:t>
            </w:r>
            <w:r w:rsidRPr="003F7F6C">
              <w:rPr>
                <w:rFonts w:eastAsia="Times New Roman"/>
                <w:sz w:val="18"/>
                <w:szCs w:val="18"/>
              </w:rPr>
              <w:tab/>
              <w:t>Does the Project involve harvesting of natural forests, plantation development, or reforestation?</w:t>
            </w:r>
          </w:p>
        </w:tc>
        <w:tc>
          <w:tcPr>
            <w:tcW w:w="833" w:type="dxa"/>
            <w:tcBorders>
              <w:bottom w:val="single" w:sz="4" w:space="0" w:color="auto"/>
            </w:tcBorders>
            <w:shd w:val="clear" w:color="auto" w:fill="auto"/>
          </w:tcPr>
          <w:p w14:paraId="52F2DD31" w14:textId="77777777" w:rsidR="00494980" w:rsidRPr="003F7F6C" w:rsidRDefault="00494980" w:rsidP="008E53E9">
            <w:pPr>
              <w:rPr>
                <w:rFonts w:eastAsia="Times New Roman"/>
                <w:sz w:val="18"/>
                <w:szCs w:val="18"/>
              </w:rPr>
            </w:pPr>
            <w:r w:rsidRPr="003F7F6C">
              <w:rPr>
                <w:rFonts w:eastAsia="Times New Roman"/>
                <w:sz w:val="18"/>
                <w:szCs w:val="18"/>
              </w:rPr>
              <w:t>No</w:t>
            </w:r>
          </w:p>
        </w:tc>
      </w:tr>
      <w:tr w:rsidR="00494980" w:rsidRPr="003F7F6C" w14:paraId="3BF9BFF9" w14:textId="77777777" w:rsidTr="008E53E9">
        <w:tc>
          <w:tcPr>
            <w:tcW w:w="8635" w:type="dxa"/>
            <w:tcBorders>
              <w:bottom w:val="single" w:sz="4" w:space="0" w:color="auto"/>
            </w:tcBorders>
            <w:shd w:val="clear" w:color="auto" w:fill="auto"/>
          </w:tcPr>
          <w:p w14:paraId="40AB21FC" w14:textId="77777777" w:rsidR="00494980" w:rsidRPr="003F7F6C" w:rsidRDefault="00494980" w:rsidP="008E53E9">
            <w:pPr>
              <w:tabs>
                <w:tab w:val="left" w:pos="900"/>
              </w:tabs>
              <w:spacing w:before="60"/>
              <w:ind w:left="567" w:hanging="567"/>
              <w:rPr>
                <w:rFonts w:eastAsia="Times New Roman"/>
                <w:sz w:val="18"/>
                <w:szCs w:val="18"/>
              </w:rPr>
            </w:pPr>
            <w:r w:rsidRPr="003F7F6C">
              <w:rPr>
                <w:rFonts w:eastAsia="Times New Roman"/>
                <w:sz w:val="18"/>
                <w:szCs w:val="18"/>
              </w:rPr>
              <w:t xml:space="preserve">1.7 </w:t>
            </w:r>
            <w:r w:rsidRPr="003F7F6C">
              <w:rPr>
                <w:rFonts w:eastAsia="Times New Roman"/>
                <w:sz w:val="18"/>
                <w:szCs w:val="18"/>
              </w:rPr>
              <w:tab/>
              <w:t>Does the Project involve the production and/or harvesting of fish populations or other aquatic species?</w:t>
            </w:r>
          </w:p>
        </w:tc>
        <w:tc>
          <w:tcPr>
            <w:tcW w:w="833" w:type="dxa"/>
            <w:tcBorders>
              <w:bottom w:val="single" w:sz="4" w:space="0" w:color="auto"/>
            </w:tcBorders>
            <w:shd w:val="clear" w:color="auto" w:fill="auto"/>
          </w:tcPr>
          <w:p w14:paraId="004396B8" w14:textId="77777777" w:rsidR="00494980" w:rsidRPr="003F7F6C" w:rsidRDefault="00494980" w:rsidP="008E53E9">
            <w:pPr>
              <w:rPr>
                <w:rFonts w:eastAsia="Times New Roman"/>
                <w:sz w:val="18"/>
                <w:szCs w:val="18"/>
              </w:rPr>
            </w:pPr>
            <w:r w:rsidRPr="003F7F6C">
              <w:rPr>
                <w:rFonts w:eastAsia="Times New Roman"/>
                <w:sz w:val="18"/>
                <w:szCs w:val="18"/>
              </w:rPr>
              <w:t>No</w:t>
            </w:r>
          </w:p>
        </w:tc>
      </w:tr>
      <w:tr w:rsidR="00494980" w:rsidRPr="003F7F6C" w14:paraId="2CDC131F" w14:textId="77777777" w:rsidTr="008E53E9">
        <w:tc>
          <w:tcPr>
            <w:tcW w:w="8635" w:type="dxa"/>
            <w:tcBorders>
              <w:bottom w:val="single" w:sz="4" w:space="0" w:color="auto"/>
            </w:tcBorders>
            <w:shd w:val="clear" w:color="auto" w:fill="auto"/>
          </w:tcPr>
          <w:p w14:paraId="774696F6" w14:textId="77777777" w:rsidR="00494980" w:rsidRPr="003F7F6C" w:rsidRDefault="00494980" w:rsidP="008E53E9">
            <w:pPr>
              <w:tabs>
                <w:tab w:val="left" w:pos="900"/>
              </w:tabs>
              <w:spacing w:before="60"/>
              <w:ind w:left="567" w:hanging="567"/>
              <w:rPr>
                <w:rFonts w:eastAsia="Times New Roman"/>
                <w:sz w:val="18"/>
                <w:szCs w:val="18"/>
              </w:rPr>
            </w:pPr>
            <w:r w:rsidRPr="003F7F6C">
              <w:rPr>
                <w:rFonts w:eastAsia="Times New Roman"/>
                <w:sz w:val="18"/>
                <w:szCs w:val="18"/>
              </w:rPr>
              <w:t xml:space="preserve">1.8 </w:t>
            </w:r>
            <w:r w:rsidRPr="003F7F6C">
              <w:rPr>
                <w:rFonts w:eastAsia="Times New Roman"/>
                <w:sz w:val="18"/>
                <w:szCs w:val="18"/>
              </w:rPr>
              <w:tab/>
              <w:t>Does the Project involve significant extraction, diversion or containment of surface or ground water?</w:t>
            </w:r>
          </w:p>
          <w:p w14:paraId="6A1A4BFB" w14:textId="77777777" w:rsidR="00494980" w:rsidRPr="003F7F6C" w:rsidRDefault="00494980" w:rsidP="008E53E9">
            <w:pPr>
              <w:tabs>
                <w:tab w:val="left" w:pos="900"/>
              </w:tabs>
              <w:spacing w:before="60"/>
              <w:ind w:left="567" w:hanging="567"/>
              <w:rPr>
                <w:rFonts w:eastAsia="Times New Roman"/>
                <w:i/>
                <w:sz w:val="18"/>
                <w:szCs w:val="18"/>
              </w:rPr>
            </w:pPr>
            <w:r w:rsidRPr="003F7F6C">
              <w:rPr>
                <w:rFonts w:eastAsia="Times New Roman"/>
                <w:sz w:val="18"/>
                <w:szCs w:val="18"/>
              </w:rPr>
              <w:tab/>
            </w:r>
            <w:r w:rsidRPr="003F7F6C">
              <w:rPr>
                <w:rFonts w:eastAsia="Times New Roman"/>
                <w:i/>
                <w:sz w:val="18"/>
                <w:szCs w:val="18"/>
              </w:rPr>
              <w:t>For example, construction of dams, reservoirs, river basin developments, groundwater extraction</w:t>
            </w:r>
          </w:p>
        </w:tc>
        <w:tc>
          <w:tcPr>
            <w:tcW w:w="833" w:type="dxa"/>
            <w:tcBorders>
              <w:bottom w:val="single" w:sz="4" w:space="0" w:color="auto"/>
            </w:tcBorders>
            <w:shd w:val="clear" w:color="auto" w:fill="auto"/>
          </w:tcPr>
          <w:p w14:paraId="0DE1DCB0" w14:textId="77777777" w:rsidR="00494980" w:rsidRPr="003F7F6C" w:rsidRDefault="00494980" w:rsidP="008E53E9">
            <w:pPr>
              <w:rPr>
                <w:rFonts w:eastAsia="Times New Roman"/>
                <w:sz w:val="18"/>
                <w:szCs w:val="18"/>
              </w:rPr>
            </w:pPr>
            <w:r w:rsidRPr="003F7F6C">
              <w:rPr>
                <w:rFonts w:eastAsia="Times New Roman"/>
                <w:sz w:val="18"/>
                <w:szCs w:val="18"/>
              </w:rPr>
              <w:t>No</w:t>
            </w:r>
          </w:p>
        </w:tc>
      </w:tr>
      <w:tr w:rsidR="00494980" w:rsidRPr="003F7F6C" w14:paraId="75C86DFF" w14:textId="77777777" w:rsidTr="008E53E9">
        <w:tc>
          <w:tcPr>
            <w:tcW w:w="8635" w:type="dxa"/>
            <w:tcBorders>
              <w:bottom w:val="single" w:sz="4" w:space="0" w:color="auto"/>
            </w:tcBorders>
            <w:shd w:val="clear" w:color="auto" w:fill="auto"/>
          </w:tcPr>
          <w:p w14:paraId="11D6552C" w14:textId="77777777" w:rsidR="00494980" w:rsidRPr="003F7F6C" w:rsidRDefault="00494980" w:rsidP="008E53E9">
            <w:pPr>
              <w:tabs>
                <w:tab w:val="left" w:pos="900"/>
              </w:tabs>
              <w:spacing w:before="60"/>
              <w:ind w:left="567" w:hanging="567"/>
              <w:rPr>
                <w:rFonts w:eastAsia="Times New Roman"/>
                <w:sz w:val="18"/>
                <w:szCs w:val="18"/>
              </w:rPr>
            </w:pPr>
            <w:r w:rsidRPr="003F7F6C">
              <w:rPr>
                <w:rFonts w:eastAsia="Times New Roman"/>
                <w:sz w:val="18"/>
                <w:szCs w:val="18"/>
              </w:rPr>
              <w:t>1.9</w:t>
            </w:r>
            <w:r w:rsidRPr="003F7F6C">
              <w:rPr>
                <w:rFonts w:eastAsia="Times New Roman"/>
                <w:sz w:val="18"/>
                <w:szCs w:val="18"/>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tcPr>
          <w:p w14:paraId="668E2258" w14:textId="77777777" w:rsidR="00494980" w:rsidRPr="003F7F6C" w:rsidRDefault="00494980" w:rsidP="008E53E9">
            <w:pPr>
              <w:tabs>
                <w:tab w:val="left" w:pos="585"/>
              </w:tabs>
              <w:spacing w:before="60"/>
              <w:ind w:left="567" w:hanging="567"/>
              <w:rPr>
                <w:rFonts w:eastAsia="Times New Roman"/>
                <w:sz w:val="18"/>
                <w:szCs w:val="18"/>
              </w:rPr>
            </w:pPr>
            <w:r w:rsidRPr="003F7F6C">
              <w:rPr>
                <w:rFonts w:eastAsia="Times New Roman"/>
                <w:sz w:val="18"/>
                <w:szCs w:val="18"/>
              </w:rPr>
              <w:t>No</w:t>
            </w:r>
          </w:p>
        </w:tc>
      </w:tr>
      <w:tr w:rsidR="00494980" w:rsidRPr="003F7F6C" w14:paraId="693E41F5" w14:textId="77777777" w:rsidTr="008E53E9">
        <w:tc>
          <w:tcPr>
            <w:tcW w:w="8635" w:type="dxa"/>
            <w:tcBorders>
              <w:bottom w:val="single" w:sz="4" w:space="0" w:color="auto"/>
            </w:tcBorders>
            <w:shd w:val="clear" w:color="auto" w:fill="auto"/>
          </w:tcPr>
          <w:p w14:paraId="2530BC49" w14:textId="77777777" w:rsidR="00494980" w:rsidRPr="003F7F6C" w:rsidRDefault="00494980" w:rsidP="008E53E9">
            <w:pPr>
              <w:tabs>
                <w:tab w:val="left" w:pos="900"/>
              </w:tabs>
              <w:spacing w:before="60"/>
              <w:ind w:left="567" w:hanging="567"/>
              <w:rPr>
                <w:rFonts w:eastAsia="Times New Roman"/>
                <w:b/>
                <w:sz w:val="18"/>
                <w:szCs w:val="18"/>
              </w:rPr>
            </w:pPr>
            <w:r w:rsidRPr="003F7F6C">
              <w:rPr>
                <w:rFonts w:eastAsia="Times New Roman"/>
                <w:sz w:val="18"/>
                <w:szCs w:val="18"/>
              </w:rPr>
              <w:t>1.10</w:t>
            </w:r>
            <w:r w:rsidRPr="003F7F6C">
              <w:rPr>
                <w:rFonts w:eastAsia="Times New Roman"/>
                <w:sz w:val="18"/>
                <w:szCs w:val="18"/>
              </w:rPr>
              <w:tab/>
              <w:t>Would the Project generate potential adverse transboundary or global environmental concerns?</w:t>
            </w:r>
          </w:p>
        </w:tc>
        <w:tc>
          <w:tcPr>
            <w:tcW w:w="833" w:type="dxa"/>
            <w:tcBorders>
              <w:bottom w:val="single" w:sz="4" w:space="0" w:color="auto"/>
            </w:tcBorders>
            <w:shd w:val="clear" w:color="auto" w:fill="auto"/>
          </w:tcPr>
          <w:p w14:paraId="59B3FEAE" w14:textId="77777777" w:rsidR="00494980" w:rsidRPr="003F7F6C" w:rsidRDefault="00494980" w:rsidP="008E53E9">
            <w:pPr>
              <w:tabs>
                <w:tab w:val="left" w:pos="585"/>
              </w:tabs>
              <w:spacing w:before="60"/>
              <w:ind w:left="567" w:hanging="567"/>
              <w:rPr>
                <w:rFonts w:eastAsia="Times New Roman"/>
                <w:sz w:val="18"/>
                <w:szCs w:val="18"/>
              </w:rPr>
            </w:pPr>
            <w:r w:rsidRPr="003F7F6C">
              <w:rPr>
                <w:rFonts w:eastAsia="Times New Roman"/>
                <w:sz w:val="18"/>
                <w:szCs w:val="18"/>
              </w:rPr>
              <w:t>No</w:t>
            </w:r>
          </w:p>
        </w:tc>
      </w:tr>
      <w:tr w:rsidR="00494980" w:rsidRPr="003F7F6C" w14:paraId="59CDA1D1" w14:textId="77777777" w:rsidTr="008E53E9">
        <w:tc>
          <w:tcPr>
            <w:tcW w:w="8635" w:type="dxa"/>
            <w:tcBorders>
              <w:bottom w:val="single" w:sz="4" w:space="0" w:color="auto"/>
            </w:tcBorders>
            <w:shd w:val="clear" w:color="auto" w:fill="auto"/>
          </w:tcPr>
          <w:p w14:paraId="147551A9" w14:textId="77777777" w:rsidR="00494980" w:rsidRPr="003F7F6C" w:rsidRDefault="00494980" w:rsidP="008E53E9">
            <w:pPr>
              <w:tabs>
                <w:tab w:val="left" w:pos="900"/>
              </w:tabs>
              <w:spacing w:before="60"/>
              <w:ind w:left="567" w:hanging="567"/>
              <w:rPr>
                <w:rFonts w:eastAsia="Times New Roman"/>
                <w:sz w:val="18"/>
                <w:szCs w:val="18"/>
              </w:rPr>
            </w:pPr>
            <w:r w:rsidRPr="003F7F6C">
              <w:rPr>
                <w:rFonts w:eastAsia="Times New Roman"/>
                <w:sz w:val="18"/>
                <w:szCs w:val="18"/>
              </w:rPr>
              <w:t>1.11</w:t>
            </w:r>
            <w:r w:rsidRPr="003F7F6C">
              <w:rPr>
                <w:rFonts w:eastAsia="Times New Roman"/>
                <w:sz w:val="18"/>
                <w:szCs w:val="18"/>
              </w:rPr>
              <w:tab/>
              <w:t>Would the Project result in secondary or consequential development activities, which could lead to adverse social and environmental effects, or would it generate cumulative impacts with other known existing or planned activities in the area?</w:t>
            </w:r>
          </w:p>
          <w:p w14:paraId="73CA8B52" w14:textId="77777777" w:rsidR="00494980" w:rsidRPr="003F7F6C" w:rsidRDefault="00494980" w:rsidP="008E53E9">
            <w:pPr>
              <w:tabs>
                <w:tab w:val="left" w:pos="900"/>
              </w:tabs>
              <w:spacing w:before="60"/>
              <w:ind w:left="567" w:hanging="567"/>
              <w:rPr>
                <w:rFonts w:eastAsia="Times New Roman"/>
                <w:i/>
                <w:sz w:val="18"/>
                <w:szCs w:val="18"/>
              </w:rPr>
            </w:pPr>
            <w:r w:rsidRPr="003F7F6C">
              <w:rPr>
                <w:rFonts w:eastAsia="Times New Roman"/>
                <w:sz w:val="18"/>
                <w:szCs w:val="18"/>
              </w:rPr>
              <w:tab/>
            </w:r>
            <w:r w:rsidRPr="003F7F6C">
              <w:rPr>
                <w:rFonts w:eastAsia="Times New Roman"/>
                <w:i/>
                <w:sz w:val="18"/>
                <w:szCs w:val="18"/>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33" w:type="dxa"/>
            <w:tcBorders>
              <w:bottom w:val="single" w:sz="4" w:space="0" w:color="auto"/>
            </w:tcBorders>
            <w:shd w:val="clear" w:color="auto" w:fill="auto"/>
          </w:tcPr>
          <w:p w14:paraId="3C4FBB35" w14:textId="77777777" w:rsidR="00494980" w:rsidRPr="003F7F6C" w:rsidRDefault="00494980" w:rsidP="008E53E9">
            <w:pPr>
              <w:tabs>
                <w:tab w:val="left" w:pos="585"/>
              </w:tabs>
              <w:spacing w:before="60"/>
              <w:ind w:left="567" w:hanging="567"/>
              <w:rPr>
                <w:rFonts w:eastAsia="Times New Roman"/>
                <w:sz w:val="18"/>
                <w:szCs w:val="18"/>
              </w:rPr>
            </w:pPr>
            <w:r w:rsidRPr="003F7F6C">
              <w:rPr>
                <w:rFonts w:eastAsia="Times New Roman"/>
                <w:sz w:val="18"/>
                <w:szCs w:val="18"/>
              </w:rPr>
              <w:t>No</w:t>
            </w:r>
          </w:p>
        </w:tc>
      </w:tr>
      <w:tr w:rsidR="00494980" w:rsidRPr="003F7F6C" w14:paraId="25C71C60" w14:textId="77777777" w:rsidTr="008E53E9">
        <w:trPr>
          <w:trHeight w:val="530"/>
        </w:trPr>
        <w:tc>
          <w:tcPr>
            <w:tcW w:w="8635" w:type="dxa"/>
            <w:tcBorders>
              <w:bottom w:val="single" w:sz="4" w:space="0" w:color="auto"/>
            </w:tcBorders>
            <w:shd w:val="clear" w:color="auto" w:fill="DBE5F1"/>
            <w:vAlign w:val="center"/>
          </w:tcPr>
          <w:p w14:paraId="40C5A64B" w14:textId="77777777" w:rsidR="00494980" w:rsidRPr="003F7F6C" w:rsidRDefault="00494980" w:rsidP="008E53E9">
            <w:pPr>
              <w:tabs>
                <w:tab w:val="left" w:pos="555"/>
              </w:tabs>
              <w:spacing w:before="120" w:after="120"/>
              <w:rPr>
                <w:rFonts w:eastAsia="Times New Roman"/>
                <w:b/>
                <w:sz w:val="18"/>
                <w:szCs w:val="18"/>
              </w:rPr>
            </w:pPr>
            <w:r w:rsidRPr="003F7F6C">
              <w:rPr>
                <w:rFonts w:eastAsia="Times New Roman"/>
                <w:b/>
                <w:sz w:val="18"/>
                <w:szCs w:val="18"/>
              </w:rPr>
              <w:t>Standard 2: Climate Change Mitigation and Adaptation</w:t>
            </w:r>
          </w:p>
        </w:tc>
        <w:tc>
          <w:tcPr>
            <w:tcW w:w="833" w:type="dxa"/>
            <w:tcBorders>
              <w:bottom w:val="single" w:sz="4" w:space="0" w:color="auto"/>
            </w:tcBorders>
            <w:shd w:val="clear" w:color="auto" w:fill="DBE5F1"/>
          </w:tcPr>
          <w:p w14:paraId="79895D24" w14:textId="77777777" w:rsidR="00494980" w:rsidRPr="003F7F6C" w:rsidRDefault="00494980" w:rsidP="008E53E9">
            <w:pPr>
              <w:tabs>
                <w:tab w:val="left" w:pos="585"/>
              </w:tabs>
              <w:spacing w:before="60"/>
              <w:ind w:left="567" w:hanging="567"/>
              <w:rPr>
                <w:rFonts w:eastAsia="Times New Roman"/>
                <w:sz w:val="18"/>
                <w:szCs w:val="18"/>
              </w:rPr>
            </w:pPr>
          </w:p>
        </w:tc>
      </w:tr>
      <w:tr w:rsidR="00494980" w:rsidRPr="003F7F6C" w14:paraId="2052828C" w14:textId="77777777" w:rsidTr="008E53E9">
        <w:tc>
          <w:tcPr>
            <w:tcW w:w="8635" w:type="dxa"/>
            <w:tcBorders>
              <w:bottom w:val="single" w:sz="4" w:space="0" w:color="auto"/>
            </w:tcBorders>
            <w:shd w:val="clear" w:color="auto" w:fill="auto"/>
          </w:tcPr>
          <w:p w14:paraId="629850BC" w14:textId="77777777" w:rsidR="00494980" w:rsidRPr="003F7F6C" w:rsidRDefault="00494980" w:rsidP="008E53E9">
            <w:pPr>
              <w:tabs>
                <w:tab w:val="left" w:pos="585"/>
              </w:tabs>
              <w:spacing w:before="60"/>
              <w:ind w:left="567" w:hanging="567"/>
              <w:rPr>
                <w:rFonts w:eastAsia="Times New Roman"/>
                <w:sz w:val="18"/>
                <w:szCs w:val="18"/>
              </w:rPr>
            </w:pPr>
            <w:r w:rsidRPr="003F7F6C">
              <w:rPr>
                <w:rFonts w:eastAsia="Times New Roman"/>
                <w:sz w:val="18"/>
                <w:szCs w:val="18"/>
              </w:rPr>
              <w:t xml:space="preserve">2.1 </w:t>
            </w:r>
            <w:r w:rsidRPr="003F7F6C">
              <w:rPr>
                <w:rFonts w:eastAsia="Times New Roman"/>
                <w:sz w:val="18"/>
                <w:szCs w:val="18"/>
              </w:rPr>
              <w:tab/>
              <w:t>Will the proposed Project result in significant</w:t>
            </w:r>
            <w:r w:rsidRPr="003F7F6C">
              <w:rPr>
                <w:sz w:val="18"/>
                <w:szCs w:val="18"/>
                <w:vertAlign w:val="superscript"/>
              </w:rPr>
              <w:footnoteReference w:id="89"/>
            </w:r>
            <w:r w:rsidRPr="003F7F6C">
              <w:rPr>
                <w:rFonts w:eastAsia="Times New Roman"/>
                <w:sz w:val="18"/>
                <w:szCs w:val="18"/>
                <w:vertAlign w:val="superscript"/>
              </w:rPr>
              <w:t xml:space="preserve"> </w:t>
            </w:r>
            <w:r w:rsidRPr="003F7F6C">
              <w:rPr>
                <w:rFonts w:eastAsia="Times New Roman"/>
                <w:sz w:val="18"/>
                <w:szCs w:val="18"/>
              </w:rPr>
              <w:t xml:space="preserve">greenhouse gas emissions or may exacerbate climate change? </w:t>
            </w:r>
          </w:p>
        </w:tc>
        <w:tc>
          <w:tcPr>
            <w:tcW w:w="833" w:type="dxa"/>
            <w:tcBorders>
              <w:bottom w:val="single" w:sz="4" w:space="0" w:color="auto"/>
            </w:tcBorders>
            <w:shd w:val="clear" w:color="auto" w:fill="auto"/>
          </w:tcPr>
          <w:p w14:paraId="085E2F8A" w14:textId="77777777" w:rsidR="00494980" w:rsidRPr="003F7F6C" w:rsidRDefault="00494980" w:rsidP="008E53E9">
            <w:pPr>
              <w:tabs>
                <w:tab w:val="left" w:pos="585"/>
              </w:tabs>
              <w:spacing w:before="60"/>
              <w:ind w:left="567" w:hanging="567"/>
              <w:rPr>
                <w:rFonts w:eastAsia="Times New Roman"/>
                <w:sz w:val="18"/>
                <w:szCs w:val="18"/>
              </w:rPr>
            </w:pPr>
            <w:r w:rsidRPr="003F7F6C">
              <w:rPr>
                <w:rFonts w:eastAsia="Times New Roman"/>
                <w:sz w:val="18"/>
                <w:szCs w:val="18"/>
              </w:rPr>
              <w:t>No</w:t>
            </w:r>
          </w:p>
        </w:tc>
      </w:tr>
      <w:tr w:rsidR="00494980" w:rsidRPr="003F7F6C" w14:paraId="34E9A85D" w14:textId="77777777" w:rsidTr="008E53E9">
        <w:tc>
          <w:tcPr>
            <w:tcW w:w="8635" w:type="dxa"/>
            <w:tcBorders>
              <w:bottom w:val="single" w:sz="4" w:space="0" w:color="auto"/>
            </w:tcBorders>
            <w:shd w:val="clear" w:color="auto" w:fill="auto"/>
          </w:tcPr>
          <w:p w14:paraId="1866FE4B" w14:textId="77777777" w:rsidR="00494980" w:rsidRPr="003F7F6C" w:rsidRDefault="00494980" w:rsidP="008E53E9">
            <w:pPr>
              <w:tabs>
                <w:tab w:val="left" w:pos="585"/>
              </w:tabs>
              <w:autoSpaceDE w:val="0"/>
              <w:autoSpaceDN w:val="0"/>
              <w:adjustRightInd w:val="0"/>
              <w:spacing w:before="60"/>
              <w:ind w:left="567" w:hanging="567"/>
              <w:rPr>
                <w:rFonts w:eastAsia="Times New Roman"/>
                <w:sz w:val="18"/>
                <w:szCs w:val="18"/>
              </w:rPr>
            </w:pPr>
            <w:r w:rsidRPr="003F7F6C">
              <w:rPr>
                <w:rFonts w:eastAsia="Times New Roman"/>
                <w:sz w:val="18"/>
                <w:szCs w:val="18"/>
              </w:rPr>
              <w:t>2.2</w:t>
            </w:r>
            <w:r w:rsidRPr="003F7F6C">
              <w:rPr>
                <w:rFonts w:eastAsia="Times New Roman"/>
                <w:sz w:val="18"/>
                <w:szCs w:val="18"/>
              </w:rPr>
              <w:tab/>
              <w:t xml:space="preserve">Would the potential outcomes of the Project be sensitive or vulnerable to potential impacts of </w:t>
            </w:r>
            <w:r w:rsidRPr="003F7F6C">
              <w:rPr>
                <w:rFonts w:eastAsia="Times New Roman"/>
                <w:bCs/>
                <w:color w:val="000000"/>
                <w:sz w:val="18"/>
                <w:szCs w:val="18"/>
              </w:rPr>
              <w:t>climate</w:t>
            </w:r>
            <w:r w:rsidRPr="003F7F6C">
              <w:rPr>
                <w:rFonts w:eastAsia="Times New Roman"/>
                <w:sz w:val="18"/>
                <w:szCs w:val="18"/>
              </w:rPr>
              <w:t xml:space="preserve"> change? </w:t>
            </w:r>
          </w:p>
        </w:tc>
        <w:tc>
          <w:tcPr>
            <w:tcW w:w="833" w:type="dxa"/>
            <w:tcBorders>
              <w:bottom w:val="single" w:sz="4" w:space="0" w:color="auto"/>
            </w:tcBorders>
            <w:shd w:val="clear" w:color="auto" w:fill="auto"/>
          </w:tcPr>
          <w:p w14:paraId="42363706" w14:textId="77777777" w:rsidR="00494980" w:rsidRPr="003F7F6C" w:rsidRDefault="00494980" w:rsidP="008E53E9">
            <w:pPr>
              <w:tabs>
                <w:tab w:val="left" w:pos="585"/>
              </w:tabs>
              <w:spacing w:before="60"/>
              <w:ind w:left="567" w:hanging="567"/>
              <w:rPr>
                <w:rFonts w:eastAsia="Times New Roman"/>
                <w:sz w:val="18"/>
                <w:szCs w:val="18"/>
              </w:rPr>
            </w:pPr>
            <w:r w:rsidRPr="003F7F6C">
              <w:rPr>
                <w:rFonts w:eastAsia="Times New Roman"/>
                <w:sz w:val="18"/>
                <w:szCs w:val="18"/>
              </w:rPr>
              <w:t xml:space="preserve"> Yes</w:t>
            </w:r>
          </w:p>
        </w:tc>
      </w:tr>
      <w:tr w:rsidR="00494980" w:rsidRPr="003F7F6C" w14:paraId="46139CE7" w14:textId="77777777" w:rsidTr="008E53E9">
        <w:tc>
          <w:tcPr>
            <w:tcW w:w="8635" w:type="dxa"/>
            <w:tcBorders>
              <w:bottom w:val="single" w:sz="4" w:space="0" w:color="auto"/>
            </w:tcBorders>
            <w:shd w:val="clear" w:color="auto" w:fill="auto"/>
          </w:tcPr>
          <w:p w14:paraId="02ECC0B2" w14:textId="77777777" w:rsidR="00494980" w:rsidRPr="003F7F6C" w:rsidRDefault="00494980" w:rsidP="008E53E9">
            <w:pPr>
              <w:tabs>
                <w:tab w:val="left" w:pos="585"/>
              </w:tabs>
              <w:spacing w:before="60"/>
              <w:ind w:left="567" w:hanging="567"/>
              <w:rPr>
                <w:rFonts w:eastAsia="Times New Roman"/>
                <w:sz w:val="18"/>
                <w:szCs w:val="18"/>
              </w:rPr>
            </w:pPr>
            <w:r w:rsidRPr="003F7F6C">
              <w:rPr>
                <w:rFonts w:eastAsia="Times New Roman"/>
                <w:sz w:val="18"/>
                <w:szCs w:val="18"/>
              </w:rPr>
              <w:t>2.3</w:t>
            </w:r>
            <w:r w:rsidRPr="003F7F6C">
              <w:rPr>
                <w:rFonts w:eastAsia="Times New Roman"/>
                <w:sz w:val="18"/>
                <w:szCs w:val="18"/>
              </w:rPr>
              <w:tab/>
              <w:t xml:space="preserve">Is the proposed Project likely to directly or indirectly increase social and environmental </w:t>
            </w:r>
            <w:hyperlink w:anchor="CCVulnerabilityGlossary" w:history="1">
              <w:r w:rsidRPr="003F7F6C">
                <w:rPr>
                  <w:rFonts w:eastAsia="Times New Roman"/>
                  <w:sz w:val="18"/>
                  <w:szCs w:val="18"/>
                </w:rPr>
                <w:t>vulnerability to climate change</w:t>
              </w:r>
            </w:hyperlink>
            <w:r w:rsidRPr="003F7F6C">
              <w:rPr>
                <w:rFonts w:eastAsia="Times New Roman"/>
                <w:sz w:val="18"/>
                <w:szCs w:val="18"/>
              </w:rPr>
              <w:t xml:space="preserve"> now or in the future (also known as maladaptive practices)?</w:t>
            </w:r>
          </w:p>
          <w:p w14:paraId="4FA91606" w14:textId="77777777" w:rsidR="00494980" w:rsidRPr="003F7F6C" w:rsidRDefault="00494980" w:rsidP="008E53E9">
            <w:pPr>
              <w:tabs>
                <w:tab w:val="left" w:pos="630"/>
              </w:tabs>
              <w:spacing w:before="60"/>
              <w:ind w:left="630"/>
              <w:rPr>
                <w:rFonts w:eastAsia="Times New Roman"/>
                <w:sz w:val="18"/>
                <w:szCs w:val="18"/>
              </w:rPr>
            </w:pPr>
            <w:r w:rsidRPr="003F7F6C">
              <w:rPr>
                <w:rFonts w:eastAsia="Times New Roman"/>
                <w:i/>
                <w:sz w:val="18"/>
                <w:szCs w:val="18"/>
              </w:rPr>
              <w:t>For example, changes to land use planning may encourage further development of floodplains, potentially increasing the population’s vulnerability to climate change, specifically flooding</w:t>
            </w:r>
          </w:p>
        </w:tc>
        <w:tc>
          <w:tcPr>
            <w:tcW w:w="833" w:type="dxa"/>
            <w:tcBorders>
              <w:bottom w:val="single" w:sz="4" w:space="0" w:color="auto"/>
            </w:tcBorders>
            <w:shd w:val="clear" w:color="auto" w:fill="auto"/>
          </w:tcPr>
          <w:p w14:paraId="24BEC837" w14:textId="77777777" w:rsidR="00494980" w:rsidRPr="003F7F6C" w:rsidRDefault="00494980" w:rsidP="008E53E9">
            <w:pPr>
              <w:tabs>
                <w:tab w:val="left" w:pos="585"/>
              </w:tabs>
              <w:spacing w:before="60"/>
              <w:ind w:left="567" w:hanging="567"/>
              <w:rPr>
                <w:rFonts w:eastAsia="Times New Roman"/>
                <w:sz w:val="18"/>
                <w:szCs w:val="18"/>
              </w:rPr>
            </w:pPr>
            <w:r w:rsidRPr="003F7F6C">
              <w:rPr>
                <w:rFonts w:eastAsia="Times New Roman"/>
                <w:sz w:val="18"/>
                <w:szCs w:val="18"/>
              </w:rPr>
              <w:t>No</w:t>
            </w:r>
          </w:p>
        </w:tc>
      </w:tr>
      <w:tr w:rsidR="00494980" w:rsidRPr="003F7F6C" w14:paraId="13980C4A" w14:textId="77777777" w:rsidTr="008E53E9">
        <w:trPr>
          <w:trHeight w:val="539"/>
        </w:trPr>
        <w:tc>
          <w:tcPr>
            <w:tcW w:w="8635" w:type="dxa"/>
            <w:tcBorders>
              <w:bottom w:val="single" w:sz="4" w:space="0" w:color="auto"/>
            </w:tcBorders>
            <w:shd w:val="clear" w:color="auto" w:fill="DBE5F1"/>
            <w:vAlign w:val="center"/>
          </w:tcPr>
          <w:p w14:paraId="79772939" w14:textId="77777777" w:rsidR="00494980" w:rsidRPr="003F7F6C" w:rsidRDefault="00494980" w:rsidP="008E53E9">
            <w:pPr>
              <w:tabs>
                <w:tab w:val="left" w:pos="0"/>
                <w:tab w:val="left" w:pos="555"/>
              </w:tabs>
              <w:spacing w:before="60"/>
              <w:rPr>
                <w:rFonts w:eastAsia="Times New Roman"/>
                <w:b/>
                <w:sz w:val="18"/>
                <w:szCs w:val="18"/>
              </w:rPr>
            </w:pPr>
            <w:r w:rsidRPr="003F7F6C">
              <w:rPr>
                <w:rFonts w:eastAsia="Times New Roman"/>
                <w:b/>
                <w:sz w:val="18"/>
                <w:szCs w:val="18"/>
              </w:rPr>
              <w:t>Standard 3: Community Health, Safety and Working Conditions</w:t>
            </w:r>
          </w:p>
        </w:tc>
        <w:tc>
          <w:tcPr>
            <w:tcW w:w="833" w:type="dxa"/>
            <w:tcBorders>
              <w:bottom w:val="single" w:sz="4" w:space="0" w:color="auto"/>
            </w:tcBorders>
            <w:shd w:val="clear" w:color="auto" w:fill="DBE5F1"/>
            <w:vAlign w:val="center"/>
          </w:tcPr>
          <w:p w14:paraId="6B7571B5" w14:textId="77777777" w:rsidR="00494980" w:rsidRPr="003F7F6C" w:rsidRDefault="00494980" w:rsidP="008E53E9">
            <w:pPr>
              <w:tabs>
                <w:tab w:val="left" w:pos="585"/>
              </w:tabs>
              <w:spacing w:before="60"/>
              <w:ind w:left="567" w:hanging="567"/>
              <w:rPr>
                <w:rFonts w:eastAsia="Times New Roman"/>
                <w:sz w:val="18"/>
                <w:szCs w:val="18"/>
              </w:rPr>
            </w:pPr>
          </w:p>
        </w:tc>
      </w:tr>
      <w:tr w:rsidR="00494980" w:rsidRPr="003F7F6C" w14:paraId="758255DE" w14:textId="77777777" w:rsidTr="008E53E9">
        <w:tc>
          <w:tcPr>
            <w:tcW w:w="8635" w:type="dxa"/>
            <w:tcBorders>
              <w:bottom w:val="single" w:sz="4" w:space="0" w:color="auto"/>
            </w:tcBorders>
            <w:shd w:val="clear" w:color="auto" w:fill="auto"/>
          </w:tcPr>
          <w:p w14:paraId="4B1C3D23" w14:textId="77777777" w:rsidR="00494980" w:rsidRPr="003F7F6C" w:rsidRDefault="00494980" w:rsidP="008E53E9">
            <w:pPr>
              <w:tabs>
                <w:tab w:val="left" w:pos="585"/>
              </w:tabs>
              <w:spacing w:before="60"/>
              <w:ind w:left="567" w:hanging="567"/>
              <w:rPr>
                <w:rFonts w:eastAsia="Times New Roman"/>
                <w:sz w:val="18"/>
                <w:szCs w:val="18"/>
              </w:rPr>
            </w:pPr>
            <w:r w:rsidRPr="003F7F6C">
              <w:rPr>
                <w:rFonts w:eastAsia="Times New Roman"/>
                <w:sz w:val="18"/>
                <w:szCs w:val="18"/>
              </w:rPr>
              <w:t>3.1</w:t>
            </w:r>
            <w:r w:rsidRPr="003F7F6C">
              <w:rPr>
                <w:rFonts w:eastAsia="Times New Roman"/>
                <w:sz w:val="18"/>
                <w:szCs w:val="18"/>
              </w:rPr>
              <w:tab/>
              <w:t>Would elements of Project construction, operation, or decommissioning pose potential safety risks to local communities?</w:t>
            </w:r>
          </w:p>
        </w:tc>
        <w:tc>
          <w:tcPr>
            <w:tcW w:w="833" w:type="dxa"/>
            <w:tcBorders>
              <w:bottom w:val="single" w:sz="4" w:space="0" w:color="auto"/>
            </w:tcBorders>
            <w:shd w:val="clear" w:color="auto" w:fill="auto"/>
          </w:tcPr>
          <w:p w14:paraId="156241C8" w14:textId="77777777" w:rsidR="00494980" w:rsidRPr="003F7F6C" w:rsidRDefault="00494980" w:rsidP="008E53E9">
            <w:pPr>
              <w:tabs>
                <w:tab w:val="left" w:pos="585"/>
              </w:tabs>
              <w:spacing w:before="60"/>
              <w:ind w:left="567" w:hanging="567"/>
              <w:rPr>
                <w:rFonts w:eastAsia="Times New Roman"/>
                <w:sz w:val="18"/>
                <w:szCs w:val="18"/>
              </w:rPr>
            </w:pPr>
            <w:r w:rsidRPr="003F7F6C">
              <w:rPr>
                <w:rFonts w:eastAsia="Times New Roman"/>
                <w:sz w:val="18"/>
                <w:szCs w:val="18"/>
              </w:rPr>
              <w:t>No</w:t>
            </w:r>
          </w:p>
        </w:tc>
      </w:tr>
      <w:tr w:rsidR="00494980" w:rsidRPr="003F7F6C" w14:paraId="7A8E7BBB" w14:textId="77777777" w:rsidTr="008E53E9">
        <w:tc>
          <w:tcPr>
            <w:tcW w:w="8635" w:type="dxa"/>
            <w:tcBorders>
              <w:bottom w:val="single" w:sz="4" w:space="0" w:color="auto"/>
            </w:tcBorders>
            <w:shd w:val="clear" w:color="auto" w:fill="auto"/>
          </w:tcPr>
          <w:p w14:paraId="2425190A" w14:textId="77777777" w:rsidR="00494980" w:rsidRPr="003F7F6C" w:rsidRDefault="00494980" w:rsidP="008E53E9">
            <w:pPr>
              <w:tabs>
                <w:tab w:val="left" w:pos="585"/>
              </w:tabs>
              <w:spacing w:before="60"/>
              <w:ind w:left="567" w:hanging="567"/>
              <w:rPr>
                <w:rFonts w:eastAsia="Times New Roman"/>
                <w:sz w:val="18"/>
                <w:szCs w:val="18"/>
              </w:rPr>
            </w:pPr>
            <w:r w:rsidRPr="003F7F6C">
              <w:rPr>
                <w:sz w:val="18"/>
                <w:szCs w:val="18"/>
              </w:rPr>
              <w:t>3.2</w:t>
            </w:r>
            <w:r w:rsidRPr="003F7F6C">
              <w:rPr>
                <w:sz w:val="18"/>
                <w:szCs w:val="18"/>
              </w:rPr>
              <w:tab/>
              <w:t>Would the Project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tcPr>
          <w:p w14:paraId="3E3E63FB" w14:textId="77777777" w:rsidR="00494980" w:rsidRPr="003F7F6C" w:rsidRDefault="00494980" w:rsidP="008E53E9">
            <w:pPr>
              <w:tabs>
                <w:tab w:val="left" w:pos="585"/>
              </w:tabs>
              <w:spacing w:before="60"/>
              <w:ind w:left="567" w:hanging="567"/>
              <w:rPr>
                <w:rFonts w:eastAsia="Times New Roman"/>
                <w:sz w:val="18"/>
                <w:szCs w:val="18"/>
              </w:rPr>
            </w:pPr>
            <w:r w:rsidRPr="003F7F6C">
              <w:rPr>
                <w:rFonts w:eastAsia="Times New Roman"/>
                <w:sz w:val="18"/>
                <w:szCs w:val="18"/>
              </w:rPr>
              <w:t>No</w:t>
            </w:r>
          </w:p>
        </w:tc>
      </w:tr>
      <w:tr w:rsidR="00494980" w:rsidRPr="003F7F6C" w14:paraId="536C46B2" w14:textId="77777777" w:rsidTr="008E53E9">
        <w:tc>
          <w:tcPr>
            <w:tcW w:w="8635" w:type="dxa"/>
            <w:tcBorders>
              <w:bottom w:val="single" w:sz="4" w:space="0" w:color="auto"/>
            </w:tcBorders>
            <w:shd w:val="clear" w:color="auto" w:fill="auto"/>
          </w:tcPr>
          <w:p w14:paraId="472DB62F" w14:textId="77777777" w:rsidR="00494980" w:rsidRPr="003F7F6C" w:rsidRDefault="00494980" w:rsidP="008E53E9">
            <w:pPr>
              <w:tabs>
                <w:tab w:val="left" w:pos="585"/>
              </w:tabs>
              <w:spacing w:before="60"/>
              <w:ind w:left="567" w:hanging="567"/>
              <w:rPr>
                <w:rFonts w:eastAsia="Times New Roman"/>
                <w:sz w:val="18"/>
                <w:szCs w:val="18"/>
              </w:rPr>
            </w:pPr>
            <w:r w:rsidRPr="003F7F6C">
              <w:rPr>
                <w:rFonts w:eastAsia="Times New Roman"/>
                <w:sz w:val="18"/>
                <w:szCs w:val="18"/>
              </w:rPr>
              <w:t>3.3</w:t>
            </w:r>
            <w:r w:rsidRPr="003F7F6C">
              <w:rPr>
                <w:rFonts w:eastAsia="Times New Roman"/>
                <w:sz w:val="18"/>
                <w:szCs w:val="18"/>
              </w:rPr>
              <w:tab/>
              <w:t>Does the Project involve large-scale infrastructure development (e.g. dams, roads, buildings)?</w:t>
            </w:r>
          </w:p>
        </w:tc>
        <w:tc>
          <w:tcPr>
            <w:tcW w:w="833" w:type="dxa"/>
            <w:tcBorders>
              <w:bottom w:val="single" w:sz="4" w:space="0" w:color="auto"/>
            </w:tcBorders>
            <w:shd w:val="clear" w:color="auto" w:fill="auto"/>
          </w:tcPr>
          <w:p w14:paraId="3FB30FA7" w14:textId="77777777" w:rsidR="00494980" w:rsidRPr="003F7F6C" w:rsidRDefault="00494980" w:rsidP="008E53E9">
            <w:pPr>
              <w:tabs>
                <w:tab w:val="left" w:pos="585"/>
              </w:tabs>
              <w:spacing w:before="60"/>
              <w:ind w:left="567" w:hanging="567"/>
              <w:rPr>
                <w:rFonts w:eastAsia="Times New Roman"/>
                <w:sz w:val="18"/>
                <w:szCs w:val="18"/>
              </w:rPr>
            </w:pPr>
            <w:r w:rsidRPr="003F7F6C">
              <w:rPr>
                <w:rFonts w:eastAsia="Times New Roman"/>
                <w:sz w:val="18"/>
                <w:szCs w:val="18"/>
              </w:rPr>
              <w:t>No</w:t>
            </w:r>
          </w:p>
        </w:tc>
      </w:tr>
      <w:tr w:rsidR="00494980" w:rsidRPr="003F7F6C" w14:paraId="50B4DA9E" w14:textId="77777777" w:rsidTr="008E53E9">
        <w:tc>
          <w:tcPr>
            <w:tcW w:w="8635" w:type="dxa"/>
            <w:tcBorders>
              <w:bottom w:val="single" w:sz="4" w:space="0" w:color="auto"/>
            </w:tcBorders>
            <w:shd w:val="clear" w:color="auto" w:fill="auto"/>
          </w:tcPr>
          <w:p w14:paraId="7BE0EA03" w14:textId="77777777" w:rsidR="00494980" w:rsidRPr="003F7F6C" w:rsidRDefault="00494980" w:rsidP="008E53E9">
            <w:pPr>
              <w:tabs>
                <w:tab w:val="left" w:pos="585"/>
              </w:tabs>
              <w:spacing w:before="60"/>
              <w:ind w:left="567" w:hanging="567"/>
              <w:rPr>
                <w:rFonts w:eastAsia="Times New Roman"/>
                <w:sz w:val="18"/>
                <w:szCs w:val="18"/>
              </w:rPr>
            </w:pPr>
            <w:r w:rsidRPr="003F7F6C">
              <w:rPr>
                <w:rFonts w:eastAsia="Times New Roman"/>
                <w:sz w:val="18"/>
                <w:szCs w:val="18"/>
              </w:rPr>
              <w:t>3.4</w:t>
            </w:r>
            <w:r w:rsidRPr="003F7F6C">
              <w:rPr>
                <w:rFonts w:eastAsia="Times New Roman"/>
                <w:sz w:val="18"/>
                <w:szCs w:val="18"/>
              </w:rPr>
              <w:tab/>
              <w:t>Would failure of structural elements of the Project pose risks to communities? (e.g. collapse of buildings or infrastructure)</w:t>
            </w:r>
          </w:p>
        </w:tc>
        <w:tc>
          <w:tcPr>
            <w:tcW w:w="833" w:type="dxa"/>
            <w:tcBorders>
              <w:bottom w:val="single" w:sz="4" w:space="0" w:color="auto"/>
            </w:tcBorders>
            <w:shd w:val="clear" w:color="auto" w:fill="auto"/>
          </w:tcPr>
          <w:p w14:paraId="7E7E5CA3" w14:textId="77777777" w:rsidR="00494980" w:rsidRPr="003F7F6C" w:rsidRDefault="00494980" w:rsidP="008E53E9">
            <w:pPr>
              <w:tabs>
                <w:tab w:val="left" w:pos="585"/>
              </w:tabs>
              <w:spacing w:before="60"/>
              <w:ind w:left="567" w:hanging="567"/>
              <w:rPr>
                <w:rFonts w:eastAsia="Times New Roman"/>
                <w:sz w:val="18"/>
                <w:szCs w:val="18"/>
              </w:rPr>
            </w:pPr>
            <w:r w:rsidRPr="003F7F6C">
              <w:rPr>
                <w:rFonts w:eastAsia="Times New Roman"/>
                <w:sz w:val="18"/>
                <w:szCs w:val="18"/>
              </w:rPr>
              <w:t>No</w:t>
            </w:r>
          </w:p>
        </w:tc>
      </w:tr>
      <w:tr w:rsidR="00494980" w:rsidRPr="003F7F6C" w14:paraId="0DCD7FD4" w14:textId="77777777" w:rsidTr="008E53E9">
        <w:tc>
          <w:tcPr>
            <w:tcW w:w="8635" w:type="dxa"/>
            <w:tcBorders>
              <w:bottom w:val="single" w:sz="4" w:space="0" w:color="auto"/>
            </w:tcBorders>
            <w:shd w:val="clear" w:color="auto" w:fill="auto"/>
          </w:tcPr>
          <w:p w14:paraId="4533AD8C" w14:textId="77777777" w:rsidR="00494980" w:rsidRPr="003F7F6C" w:rsidRDefault="00494980" w:rsidP="008E53E9">
            <w:pPr>
              <w:tabs>
                <w:tab w:val="left" w:pos="585"/>
              </w:tabs>
              <w:spacing w:before="60"/>
              <w:ind w:left="567" w:hanging="567"/>
              <w:rPr>
                <w:rFonts w:eastAsia="Times New Roman"/>
                <w:sz w:val="18"/>
                <w:szCs w:val="18"/>
              </w:rPr>
            </w:pPr>
            <w:r w:rsidRPr="003F7F6C">
              <w:rPr>
                <w:rFonts w:eastAsia="Times New Roman"/>
                <w:sz w:val="18"/>
                <w:szCs w:val="18"/>
              </w:rPr>
              <w:t>3.5</w:t>
            </w:r>
            <w:r w:rsidRPr="003F7F6C">
              <w:rPr>
                <w:rFonts w:eastAsia="Times New Roman"/>
                <w:sz w:val="18"/>
                <w:szCs w:val="18"/>
              </w:rPr>
              <w:tab/>
              <w:t>Would the proposed Project be susceptible to or lead to increased vulnerability to earthquakes, subsidence, landslides, erosion, flooding or extreme climatic conditions?</w:t>
            </w:r>
          </w:p>
        </w:tc>
        <w:tc>
          <w:tcPr>
            <w:tcW w:w="833" w:type="dxa"/>
            <w:tcBorders>
              <w:bottom w:val="single" w:sz="4" w:space="0" w:color="auto"/>
            </w:tcBorders>
            <w:shd w:val="clear" w:color="auto" w:fill="auto"/>
          </w:tcPr>
          <w:p w14:paraId="6A95BF01" w14:textId="77777777" w:rsidR="00494980" w:rsidRPr="003F7F6C" w:rsidRDefault="00494980" w:rsidP="008E53E9">
            <w:pPr>
              <w:tabs>
                <w:tab w:val="left" w:pos="585"/>
              </w:tabs>
              <w:spacing w:before="60"/>
              <w:ind w:left="567" w:hanging="567"/>
              <w:rPr>
                <w:rFonts w:eastAsia="Times New Roman"/>
                <w:sz w:val="18"/>
                <w:szCs w:val="18"/>
              </w:rPr>
            </w:pPr>
            <w:r w:rsidRPr="003F7F6C">
              <w:rPr>
                <w:rFonts w:eastAsia="Times New Roman"/>
                <w:sz w:val="18"/>
                <w:szCs w:val="18"/>
              </w:rPr>
              <w:t>No</w:t>
            </w:r>
          </w:p>
        </w:tc>
      </w:tr>
      <w:tr w:rsidR="00494980" w:rsidRPr="003F7F6C" w14:paraId="306C7913" w14:textId="77777777" w:rsidTr="008E53E9">
        <w:tc>
          <w:tcPr>
            <w:tcW w:w="8635" w:type="dxa"/>
            <w:tcBorders>
              <w:bottom w:val="single" w:sz="4" w:space="0" w:color="auto"/>
            </w:tcBorders>
            <w:shd w:val="clear" w:color="auto" w:fill="auto"/>
          </w:tcPr>
          <w:p w14:paraId="1FADA22A" w14:textId="77777777" w:rsidR="00494980" w:rsidRPr="003F7F6C" w:rsidRDefault="00494980" w:rsidP="008E53E9">
            <w:pPr>
              <w:tabs>
                <w:tab w:val="left" w:pos="585"/>
              </w:tabs>
              <w:spacing w:before="60"/>
              <w:ind w:left="567" w:hanging="567"/>
              <w:rPr>
                <w:rFonts w:eastAsia="Times New Roman"/>
                <w:sz w:val="18"/>
                <w:szCs w:val="18"/>
              </w:rPr>
            </w:pPr>
            <w:r w:rsidRPr="003F7F6C">
              <w:rPr>
                <w:rFonts w:eastAsia="Times New Roman"/>
                <w:sz w:val="18"/>
                <w:szCs w:val="18"/>
              </w:rPr>
              <w:t>3.6</w:t>
            </w:r>
            <w:r w:rsidRPr="003F7F6C">
              <w:rPr>
                <w:rFonts w:eastAsia="Times New Roman"/>
                <w:sz w:val="18"/>
                <w:szCs w:val="18"/>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tcPr>
          <w:p w14:paraId="6332D6EF" w14:textId="77777777" w:rsidR="00494980" w:rsidRPr="003F7F6C" w:rsidRDefault="00494980" w:rsidP="008E53E9">
            <w:pPr>
              <w:tabs>
                <w:tab w:val="left" w:pos="585"/>
              </w:tabs>
              <w:spacing w:before="60"/>
              <w:ind w:left="567" w:hanging="567"/>
              <w:rPr>
                <w:rFonts w:eastAsia="Times New Roman"/>
                <w:sz w:val="18"/>
                <w:szCs w:val="18"/>
              </w:rPr>
            </w:pPr>
            <w:r w:rsidRPr="003F7F6C">
              <w:rPr>
                <w:rFonts w:eastAsia="Times New Roman"/>
                <w:sz w:val="18"/>
                <w:szCs w:val="18"/>
              </w:rPr>
              <w:t>No</w:t>
            </w:r>
          </w:p>
        </w:tc>
      </w:tr>
      <w:tr w:rsidR="00494980" w:rsidRPr="003F7F6C" w14:paraId="0876B354" w14:textId="77777777" w:rsidTr="008E53E9">
        <w:tc>
          <w:tcPr>
            <w:tcW w:w="8635" w:type="dxa"/>
            <w:tcBorders>
              <w:bottom w:val="single" w:sz="4" w:space="0" w:color="auto"/>
            </w:tcBorders>
            <w:shd w:val="clear" w:color="auto" w:fill="auto"/>
          </w:tcPr>
          <w:p w14:paraId="4C6D971B" w14:textId="77777777" w:rsidR="00494980" w:rsidRPr="003F7F6C" w:rsidRDefault="00494980" w:rsidP="008E53E9">
            <w:pPr>
              <w:tabs>
                <w:tab w:val="left" w:pos="585"/>
              </w:tabs>
              <w:spacing w:before="60"/>
              <w:ind w:left="567" w:hanging="567"/>
              <w:rPr>
                <w:rFonts w:eastAsia="Times New Roman"/>
                <w:sz w:val="18"/>
                <w:szCs w:val="18"/>
              </w:rPr>
            </w:pPr>
            <w:r w:rsidRPr="003F7F6C">
              <w:rPr>
                <w:rFonts w:eastAsia="Times New Roman"/>
                <w:sz w:val="18"/>
                <w:szCs w:val="18"/>
              </w:rPr>
              <w:t>3.7</w:t>
            </w:r>
            <w:r w:rsidRPr="003F7F6C">
              <w:rPr>
                <w:rFonts w:eastAsia="Times New Roman"/>
                <w:sz w:val="18"/>
                <w:szCs w:val="18"/>
              </w:rPr>
              <w:tab/>
              <w:t>Does the Project pose potential risks and vulnerabilities related to occupational health and safety due to physical, chemical, biological, and radiological hazards during Project construction, operation, or decommissioning?</w:t>
            </w:r>
          </w:p>
        </w:tc>
        <w:tc>
          <w:tcPr>
            <w:tcW w:w="833" w:type="dxa"/>
            <w:tcBorders>
              <w:bottom w:val="single" w:sz="4" w:space="0" w:color="auto"/>
            </w:tcBorders>
            <w:shd w:val="clear" w:color="auto" w:fill="auto"/>
          </w:tcPr>
          <w:p w14:paraId="234AD268" w14:textId="77777777" w:rsidR="00494980" w:rsidRPr="003F7F6C" w:rsidRDefault="00494980" w:rsidP="008E53E9">
            <w:pPr>
              <w:tabs>
                <w:tab w:val="left" w:pos="585"/>
              </w:tabs>
              <w:spacing w:before="60"/>
              <w:ind w:left="567" w:hanging="567"/>
              <w:rPr>
                <w:rFonts w:eastAsia="Times New Roman"/>
                <w:sz w:val="18"/>
                <w:szCs w:val="18"/>
              </w:rPr>
            </w:pPr>
            <w:r w:rsidRPr="003F7F6C">
              <w:rPr>
                <w:rFonts w:eastAsia="Times New Roman"/>
                <w:sz w:val="18"/>
                <w:szCs w:val="18"/>
              </w:rPr>
              <w:t>No</w:t>
            </w:r>
          </w:p>
        </w:tc>
      </w:tr>
      <w:tr w:rsidR="00494980" w:rsidRPr="003F7F6C" w14:paraId="1E85C2AD" w14:textId="77777777" w:rsidTr="008E53E9">
        <w:tc>
          <w:tcPr>
            <w:tcW w:w="8635" w:type="dxa"/>
            <w:tcBorders>
              <w:bottom w:val="single" w:sz="4" w:space="0" w:color="auto"/>
            </w:tcBorders>
            <w:shd w:val="clear" w:color="auto" w:fill="auto"/>
          </w:tcPr>
          <w:p w14:paraId="4CCA654C" w14:textId="77777777" w:rsidR="00494980" w:rsidRPr="003F7F6C" w:rsidRDefault="00494980" w:rsidP="008E53E9">
            <w:pPr>
              <w:tabs>
                <w:tab w:val="left" w:pos="585"/>
              </w:tabs>
              <w:spacing w:before="60"/>
              <w:ind w:left="567" w:hanging="567"/>
              <w:rPr>
                <w:rFonts w:eastAsia="Times New Roman"/>
                <w:sz w:val="18"/>
                <w:szCs w:val="18"/>
              </w:rPr>
            </w:pPr>
            <w:r w:rsidRPr="003F7F6C">
              <w:rPr>
                <w:rFonts w:eastAsia="Times New Roman"/>
                <w:sz w:val="18"/>
                <w:szCs w:val="18"/>
              </w:rPr>
              <w:t>3.8</w:t>
            </w:r>
            <w:r w:rsidRPr="003F7F6C">
              <w:rPr>
                <w:rFonts w:eastAsia="Times New Roman"/>
                <w:sz w:val="18"/>
                <w:szCs w:val="18"/>
              </w:rPr>
              <w:tab/>
              <w:t xml:space="preserve">Does the Project involve support for employment or livelihoods that may fail to comply with national and international labor standards (i.e. principles and standards of ILO fundamental conventions)?  </w:t>
            </w:r>
          </w:p>
        </w:tc>
        <w:tc>
          <w:tcPr>
            <w:tcW w:w="833" w:type="dxa"/>
            <w:tcBorders>
              <w:bottom w:val="single" w:sz="4" w:space="0" w:color="auto"/>
            </w:tcBorders>
            <w:shd w:val="clear" w:color="auto" w:fill="auto"/>
          </w:tcPr>
          <w:p w14:paraId="0B9CEEE7" w14:textId="77777777" w:rsidR="00494980" w:rsidRPr="003F7F6C" w:rsidRDefault="00494980" w:rsidP="008E53E9">
            <w:pPr>
              <w:tabs>
                <w:tab w:val="left" w:pos="585"/>
              </w:tabs>
              <w:spacing w:before="60"/>
              <w:ind w:left="567" w:hanging="567"/>
              <w:rPr>
                <w:rFonts w:eastAsia="Times New Roman"/>
                <w:sz w:val="18"/>
                <w:szCs w:val="18"/>
              </w:rPr>
            </w:pPr>
            <w:r w:rsidRPr="003F7F6C">
              <w:rPr>
                <w:rFonts w:eastAsia="Times New Roman"/>
                <w:sz w:val="18"/>
                <w:szCs w:val="18"/>
              </w:rPr>
              <w:t>No</w:t>
            </w:r>
          </w:p>
        </w:tc>
      </w:tr>
      <w:tr w:rsidR="00494980" w:rsidRPr="003F7F6C" w14:paraId="37084BCD" w14:textId="77777777" w:rsidTr="008E53E9">
        <w:tc>
          <w:tcPr>
            <w:tcW w:w="8635" w:type="dxa"/>
            <w:tcBorders>
              <w:bottom w:val="single" w:sz="4" w:space="0" w:color="auto"/>
            </w:tcBorders>
            <w:shd w:val="clear" w:color="auto" w:fill="auto"/>
          </w:tcPr>
          <w:p w14:paraId="0C8A2784" w14:textId="77777777" w:rsidR="00494980" w:rsidRPr="003F7F6C" w:rsidRDefault="00494980" w:rsidP="008E53E9">
            <w:pPr>
              <w:tabs>
                <w:tab w:val="left" w:pos="585"/>
              </w:tabs>
              <w:spacing w:before="60"/>
              <w:ind w:left="567" w:hanging="567"/>
              <w:rPr>
                <w:rFonts w:eastAsia="Times New Roman"/>
                <w:sz w:val="18"/>
                <w:szCs w:val="18"/>
              </w:rPr>
            </w:pPr>
            <w:r w:rsidRPr="003F7F6C">
              <w:rPr>
                <w:rFonts w:eastAsia="Times New Roman"/>
                <w:sz w:val="18"/>
                <w:szCs w:val="18"/>
              </w:rPr>
              <w:t>3.9</w:t>
            </w:r>
            <w:r w:rsidRPr="003F7F6C">
              <w:rPr>
                <w:rFonts w:eastAsia="Times New Roman"/>
                <w:sz w:val="18"/>
                <w:szCs w:val="18"/>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tcPr>
          <w:p w14:paraId="2B1A9D10" w14:textId="77777777" w:rsidR="00494980" w:rsidRPr="003F7F6C" w:rsidRDefault="00494980" w:rsidP="008E53E9">
            <w:pPr>
              <w:tabs>
                <w:tab w:val="left" w:pos="585"/>
              </w:tabs>
              <w:spacing w:before="60"/>
              <w:ind w:left="567" w:hanging="567"/>
              <w:rPr>
                <w:rFonts w:eastAsia="Times New Roman"/>
                <w:sz w:val="18"/>
                <w:szCs w:val="18"/>
              </w:rPr>
            </w:pPr>
            <w:r w:rsidRPr="003F7F6C">
              <w:rPr>
                <w:rFonts w:eastAsia="Times New Roman"/>
                <w:sz w:val="18"/>
                <w:szCs w:val="18"/>
              </w:rPr>
              <w:t>No</w:t>
            </w:r>
          </w:p>
        </w:tc>
      </w:tr>
      <w:tr w:rsidR="00494980" w:rsidRPr="003F7F6C" w14:paraId="22434761" w14:textId="77777777" w:rsidTr="008E53E9">
        <w:trPr>
          <w:trHeight w:val="503"/>
        </w:trPr>
        <w:tc>
          <w:tcPr>
            <w:tcW w:w="8635" w:type="dxa"/>
            <w:tcBorders>
              <w:bottom w:val="single" w:sz="4" w:space="0" w:color="auto"/>
            </w:tcBorders>
            <w:shd w:val="clear" w:color="auto" w:fill="DBE5F1"/>
            <w:vAlign w:val="center"/>
          </w:tcPr>
          <w:p w14:paraId="5450BAE8" w14:textId="77777777" w:rsidR="00494980" w:rsidRPr="003F7F6C" w:rsidRDefault="00494980" w:rsidP="008E53E9">
            <w:pPr>
              <w:tabs>
                <w:tab w:val="left" w:pos="0"/>
                <w:tab w:val="left" w:pos="555"/>
              </w:tabs>
              <w:spacing w:before="60"/>
              <w:rPr>
                <w:rFonts w:eastAsia="Times New Roman"/>
                <w:b/>
                <w:sz w:val="18"/>
                <w:szCs w:val="18"/>
              </w:rPr>
            </w:pPr>
            <w:r w:rsidRPr="003F7F6C">
              <w:rPr>
                <w:rFonts w:eastAsia="Times New Roman"/>
                <w:b/>
                <w:sz w:val="18"/>
                <w:szCs w:val="18"/>
              </w:rPr>
              <w:t>Standard 4: Cultural Heritage</w:t>
            </w:r>
          </w:p>
        </w:tc>
        <w:tc>
          <w:tcPr>
            <w:tcW w:w="833" w:type="dxa"/>
            <w:tcBorders>
              <w:bottom w:val="single" w:sz="4" w:space="0" w:color="auto"/>
            </w:tcBorders>
            <w:shd w:val="clear" w:color="auto" w:fill="DBE5F1"/>
            <w:vAlign w:val="center"/>
          </w:tcPr>
          <w:p w14:paraId="381F4267" w14:textId="77777777" w:rsidR="00494980" w:rsidRPr="003F7F6C" w:rsidRDefault="00494980" w:rsidP="008E53E9">
            <w:pPr>
              <w:tabs>
                <w:tab w:val="left" w:pos="585"/>
              </w:tabs>
              <w:spacing w:before="60"/>
              <w:ind w:left="567" w:hanging="567"/>
              <w:rPr>
                <w:rFonts w:eastAsia="Times New Roman"/>
                <w:sz w:val="18"/>
                <w:szCs w:val="18"/>
              </w:rPr>
            </w:pPr>
          </w:p>
        </w:tc>
      </w:tr>
      <w:tr w:rsidR="00494980" w:rsidRPr="003F7F6C" w14:paraId="4AD4570B" w14:textId="77777777" w:rsidTr="008E53E9">
        <w:tc>
          <w:tcPr>
            <w:tcW w:w="8635" w:type="dxa"/>
            <w:tcBorders>
              <w:bottom w:val="single" w:sz="4" w:space="0" w:color="auto"/>
            </w:tcBorders>
            <w:shd w:val="clear" w:color="auto" w:fill="auto"/>
          </w:tcPr>
          <w:p w14:paraId="0A16258A" w14:textId="77777777" w:rsidR="00494980" w:rsidRPr="003F7F6C" w:rsidRDefault="00494980" w:rsidP="008E53E9">
            <w:pPr>
              <w:tabs>
                <w:tab w:val="left" w:pos="585"/>
              </w:tabs>
              <w:spacing w:before="60"/>
              <w:ind w:left="567" w:hanging="567"/>
              <w:rPr>
                <w:rFonts w:eastAsia="Times New Roman"/>
                <w:sz w:val="18"/>
                <w:szCs w:val="18"/>
              </w:rPr>
            </w:pPr>
            <w:r w:rsidRPr="003F7F6C">
              <w:rPr>
                <w:rFonts w:eastAsia="Times New Roman"/>
                <w:sz w:val="18"/>
                <w:szCs w:val="18"/>
              </w:rPr>
              <w:t>4.1</w:t>
            </w:r>
            <w:r w:rsidRPr="003F7F6C">
              <w:rPr>
                <w:rFonts w:eastAsia="Times New Roman"/>
                <w:sz w:val="18"/>
                <w:szCs w:val="18"/>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833" w:type="dxa"/>
            <w:tcBorders>
              <w:bottom w:val="single" w:sz="4" w:space="0" w:color="auto"/>
            </w:tcBorders>
            <w:shd w:val="clear" w:color="auto" w:fill="auto"/>
          </w:tcPr>
          <w:p w14:paraId="0EAAD5AF" w14:textId="77777777" w:rsidR="00494980" w:rsidRPr="003F7F6C" w:rsidRDefault="00494980" w:rsidP="008E53E9">
            <w:pPr>
              <w:tabs>
                <w:tab w:val="left" w:pos="585"/>
              </w:tabs>
              <w:spacing w:before="60"/>
              <w:ind w:left="567" w:hanging="567"/>
              <w:rPr>
                <w:rFonts w:eastAsia="Times New Roman"/>
                <w:sz w:val="18"/>
                <w:szCs w:val="18"/>
              </w:rPr>
            </w:pPr>
            <w:r w:rsidRPr="003F7F6C">
              <w:rPr>
                <w:rFonts w:eastAsia="Times New Roman"/>
                <w:sz w:val="18"/>
                <w:szCs w:val="18"/>
              </w:rPr>
              <w:t>No</w:t>
            </w:r>
          </w:p>
        </w:tc>
      </w:tr>
      <w:tr w:rsidR="00494980" w:rsidRPr="003F7F6C" w14:paraId="25C98230" w14:textId="77777777" w:rsidTr="008E53E9">
        <w:tc>
          <w:tcPr>
            <w:tcW w:w="8635" w:type="dxa"/>
            <w:tcBorders>
              <w:bottom w:val="single" w:sz="4" w:space="0" w:color="auto"/>
            </w:tcBorders>
            <w:shd w:val="clear" w:color="auto" w:fill="auto"/>
          </w:tcPr>
          <w:p w14:paraId="4F1C0AE0" w14:textId="77777777" w:rsidR="00494980" w:rsidRPr="003F7F6C" w:rsidRDefault="00494980" w:rsidP="008E53E9">
            <w:pPr>
              <w:tabs>
                <w:tab w:val="left" w:pos="585"/>
              </w:tabs>
              <w:spacing w:before="60"/>
              <w:ind w:left="567" w:hanging="567"/>
              <w:rPr>
                <w:rFonts w:eastAsia="Times New Roman"/>
                <w:b/>
                <w:sz w:val="18"/>
                <w:szCs w:val="18"/>
              </w:rPr>
            </w:pPr>
            <w:r w:rsidRPr="003F7F6C">
              <w:rPr>
                <w:rFonts w:eastAsia="Times New Roman"/>
                <w:sz w:val="18"/>
                <w:szCs w:val="18"/>
              </w:rPr>
              <w:t>4.2</w:t>
            </w:r>
            <w:r w:rsidRPr="003F7F6C">
              <w:rPr>
                <w:rFonts w:eastAsia="Times New Roman"/>
                <w:sz w:val="18"/>
                <w:szCs w:val="18"/>
              </w:rPr>
              <w:tab/>
              <w:t>Does the Project propose utilizing tangible and/or intangible forms of cultural heritage for commercial or other purposes?</w:t>
            </w:r>
          </w:p>
        </w:tc>
        <w:tc>
          <w:tcPr>
            <w:tcW w:w="833" w:type="dxa"/>
            <w:tcBorders>
              <w:bottom w:val="single" w:sz="4" w:space="0" w:color="auto"/>
            </w:tcBorders>
            <w:shd w:val="clear" w:color="auto" w:fill="auto"/>
          </w:tcPr>
          <w:p w14:paraId="01DA10F7" w14:textId="77777777" w:rsidR="00494980" w:rsidRPr="003F7F6C" w:rsidRDefault="00494980" w:rsidP="008E53E9">
            <w:pPr>
              <w:tabs>
                <w:tab w:val="left" w:pos="585"/>
              </w:tabs>
              <w:spacing w:before="60"/>
              <w:ind w:left="567" w:hanging="567"/>
              <w:rPr>
                <w:rFonts w:eastAsia="Times New Roman"/>
                <w:sz w:val="18"/>
                <w:szCs w:val="18"/>
              </w:rPr>
            </w:pPr>
            <w:r w:rsidRPr="003F7F6C">
              <w:rPr>
                <w:rFonts w:eastAsia="Times New Roman"/>
                <w:sz w:val="18"/>
                <w:szCs w:val="18"/>
              </w:rPr>
              <w:t>No</w:t>
            </w:r>
          </w:p>
        </w:tc>
      </w:tr>
      <w:tr w:rsidR="00494980" w:rsidRPr="003F7F6C" w14:paraId="17E6C25A" w14:textId="77777777" w:rsidTr="008E53E9">
        <w:trPr>
          <w:trHeight w:val="566"/>
        </w:trPr>
        <w:tc>
          <w:tcPr>
            <w:tcW w:w="8635" w:type="dxa"/>
            <w:tcBorders>
              <w:bottom w:val="single" w:sz="4" w:space="0" w:color="auto"/>
            </w:tcBorders>
            <w:shd w:val="clear" w:color="auto" w:fill="DBE5F1"/>
            <w:vAlign w:val="center"/>
          </w:tcPr>
          <w:p w14:paraId="3E943698" w14:textId="77777777" w:rsidR="00494980" w:rsidRPr="003F7F6C" w:rsidRDefault="00494980" w:rsidP="008E53E9">
            <w:pPr>
              <w:tabs>
                <w:tab w:val="left" w:pos="0"/>
                <w:tab w:val="left" w:pos="555"/>
              </w:tabs>
              <w:spacing w:before="60"/>
              <w:rPr>
                <w:rFonts w:eastAsia="Times New Roman"/>
                <w:b/>
                <w:sz w:val="18"/>
                <w:szCs w:val="18"/>
              </w:rPr>
            </w:pPr>
            <w:r w:rsidRPr="003F7F6C">
              <w:rPr>
                <w:rFonts w:eastAsia="Times New Roman"/>
                <w:b/>
                <w:sz w:val="18"/>
                <w:szCs w:val="18"/>
              </w:rPr>
              <w:t>Standard 5: Displacement and Resettlement</w:t>
            </w:r>
          </w:p>
        </w:tc>
        <w:tc>
          <w:tcPr>
            <w:tcW w:w="833" w:type="dxa"/>
            <w:tcBorders>
              <w:bottom w:val="single" w:sz="4" w:space="0" w:color="auto"/>
            </w:tcBorders>
            <w:shd w:val="clear" w:color="auto" w:fill="DBE5F1"/>
            <w:vAlign w:val="center"/>
          </w:tcPr>
          <w:p w14:paraId="56FF36D1" w14:textId="77777777" w:rsidR="00494980" w:rsidRPr="003F7F6C" w:rsidRDefault="00494980" w:rsidP="008E53E9">
            <w:pPr>
              <w:tabs>
                <w:tab w:val="left" w:pos="585"/>
              </w:tabs>
              <w:spacing w:before="60"/>
              <w:ind w:left="567" w:hanging="567"/>
              <w:rPr>
                <w:rFonts w:eastAsia="Times New Roman"/>
                <w:sz w:val="18"/>
                <w:szCs w:val="18"/>
              </w:rPr>
            </w:pPr>
          </w:p>
        </w:tc>
      </w:tr>
      <w:tr w:rsidR="00494980" w:rsidRPr="003F7F6C" w14:paraId="5159485B" w14:textId="77777777" w:rsidTr="008E53E9">
        <w:tc>
          <w:tcPr>
            <w:tcW w:w="8635" w:type="dxa"/>
            <w:tcBorders>
              <w:bottom w:val="single" w:sz="4" w:space="0" w:color="auto"/>
            </w:tcBorders>
            <w:shd w:val="clear" w:color="auto" w:fill="auto"/>
          </w:tcPr>
          <w:p w14:paraId="0ABAA2AF" w14:textId="77777777" w:rsidR="00494980" w:rsidRPr="003F7F6C" w:rsidRDefault="00494980" w:rsidP="008E53E9">
            <w:pPr>
              <w:tabs>
                <w:tab w:val="left" w:pos="585"/>
              </w:tabs>
              <w:spacing w:before="60"/>
              <w:ind w:left="567" w:hanging="567"/>
              <w:rPr>
                <w:rFonts w:eastAsia="Times New Roman"/>
                <w:b/>
                <w:sz w:val="18"/>
                <w:szCs w:val="18"/>
              </w:rPr>
            </w:pPr>
            <w:r w:rsidRPr="003F7F6C">
              <w:rPr>
                <w:sz w:val="18"/>
                <w:szCs w:val="18"/>
              </w:rPr>
              <w:t>5.1</w:t>
            </w:r>
            <w:r w:rsidRPr="003F7F6C">
              <w:rPr>
                <w:sz w:val="18"/>
                <w:szCs w:val="18"/>
              </w:rPr>
              <w:tab/>
            </w:r>
            <w:r w:rsidRPr="003F7F6C">
              <w:rPr>
                <w:rFonts w:eastAsia="Times New Roman"/>
                <w:sz w:val="18"/>
                <w:szCs w:val="18"/>
              </w:rPr>
              <w:t>Would</w:t>
            </w:r>
            <w:r w:rsidRPr="003F7F6C">
              <w:rPr>
                <w:sz w:val="18"/>
                <w:szCs w:val="18"/>
              </w:rPr>
              <w:t xml:space="preserve"> the Project potentially involve temporary or permanent and full or partial physical displacement?</w:t>
            </w:r>
          </w:p>
        </w:tc>
        <w:tc>
          <w:tcPr>
            <w:tcW w:w="833" w:type="dxa"/>
            <w:tcBorders>
              <w:bottom w:val="single" w:sz="4" w:space="0" w:color="auto"/>
            </w:tcBorders>
            <w:shd w:val="clear" w:color="auto" w:fill="auto"/>
          </w:tcPr>
          <w:p w14:paraId="34FFB897" w14:textId="77777777" w:rsidR="00494980" w:rsidRPr="003F7F6C" w:rsidRDefault="00494980" w:rsidP="008E53E9">
            <w:pPr>
              <w:tabs>
                <w:tab w:val="left" w:pos="585"/>
              </w:tabs>
              <w:spacing w:before="60"/>
              <w:ind w:left="567" w:hanging="567"/>
              <w:rPr>
                <w:rFonts w:eastAsia="Times New Roman"/>
                <w:sz w:val="18"/>
                <w:szCs w:val="18"/>
              </w:rPr>
            </w:pPr>
            <w:r w:rsidRPr="003F7F6C">
              <w:rPr>
                <w:rFonts w:eastAsia="Times New Roman"/>
                <w:sz w:val="18"/>
                <w:szCs w:val="18"/>
              </w:rPr>
              <w:t>No</w:t>
            </w:r>
          </w:p>
        </w:tc>
      </w:tr>
      <w:tr w:rsidR="00494980" w:rsidRPr="003F7F6C" w14:paraId="6F19AD18" w14:textId="77777777" w:rsidTr="008E53E9">
        <w:tc>
          <w:tcPr>
            <w:tcW w:w="8635" w:type="dxa"/>
            <w:tcBorders>
              <w:bottom w:val="single" w:sz="4" w:space="0" w:color="auto"/>
            </w:tcBorders>
            <w:shd w:val="clear" w:color="auto" w:fill="auto"/>
          </w:tcPr>
          <w:p w14:paraId="69399A2E" w14:textId="77777777" w:rsidR="00494980" w:rsidRPr="003F7F6C" w:rsidRDefault="00494980" w:rsidP="008E53E9">
            <w:pPr>
              <w:tabs>
                <w:tab w:val="left" w:pos="585"/>
              </w:tabs>
              <w:spacing w:before="60"/>
              <w:ind w:left="567" w:hanging="567"/>
              <w:rPr>
                <w:rFonts w:eastAsia="Times New Roman"/>
                <w:b/>
                <w:sz w:val="18"/>
                <w:szCs w:val="18"/>
              </w:rPr>
            </w:pPr>
            <w:r w:rsidRPr="003F7F6C">
              <w:rPr>
                <w:sz w:val="18"/>
                <w:szCs w:val="18"/>
              </w:rPr>
              <w:t>5.2</w:t>
            </w:r>
            <w:r w:rsidRPr="003F7F6C">
              <w:rPr>
                <w:sz w:val="18"/>
                <w:szCs w:val="18"/>
              </w:rPr>
              <w:tab/>
            </w:r>
            <w:r w:rsidRPr="003F7F6C">
              <w:rPr>
                <w:rFonts w:eastAsia="Times New Roman"/>
                <w:sz w:val="18"/>
                <w:szCs w:val="18"/>
              </w:rPr>
              <w:t>Would</w:t>
            </w:r>
            <w:r w:rsidRPr="003F7F6C">
              <w:rPr>
                <w:sz w:val="18"/>
                <w:szCs w:val="18"/>
              </w:rPr>
              <w:t xml:space="preserve">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tcPr>
          <w:p w14:paraId="61DCCFB8" w14:textId="77777777" w:rsidR="00494980" w:rsidRPr="003F7F6C" w:rsidRDefault="00494980" w:rsidP="008E53E9">
            <w:pPr>
              <w:tabs>
                <w:tab w:val="left" w:pos="585"/>
              </w:tabs>
              <w:spacing w:before="60"/>
              <w:ind w:left="567" w:hanging="567"/>
              <w:rPr>
                <w:rFonts w:eastAsia="Times New Roman"/>
                <w:sz w:val="18"/>
                <w:szCs w:val="18"/>
              </w:rPr>
            </w:pPr>
            <w:r w:rsidRPr="003F7F6C">
              <w:rPr>
                <w:rFonts w:eastAsia="Times New Roman"/>
                <w:sz w:val="18"/>
                <w:szCs w:val="18"/>
              </w:rPr>
              <w:t>Yes</w:t>
            </w:r>
          </w:p>
        </w:tc>
      </w:tr>
      <w:tr w:rsidR="00494980" w:rsidRPr="003F7F6C" w14:paraId="260A0630" w14:textId="77777777" w:rsidTr="008E53E9">
        <w:tc>
          <w:tcPr>
            <w:tcW w:w="8635" w:type="dxa"/>
            <w:tcBorders>
              <w:bottom w:val="single" w:sz="4" w:space="0" w:color="auto"/>
            </w:tcBorders>
            <w:shd w:val="clear" w:color="auto" w:fill="auto"/>
          </w:tcPr>
          <w:p w14:paraId="47125719" w14:textId="77777777" w:rsidR="00494980" w:rsidRPr="003F7F6C" w:rsidRDefault="00494980" w:rsidP="008E53E9">
            <w:pPr>
              <w:tabs>
                <w:tab w:val="left" w:pos="585"/>
              </w:tabs>
              <w:spacing w:before="60"/>
              <w:ind w:left="567" w:hanging="567"/>
              <w:rPr>
                <w:sz w:val="18"/>
                <w:szCs w:val="18"/>
              </w:rPr>
            </w:pPr>
            <w:r w:rsidRPr="003F7F6C">
              <w:rPr>
                <w:rFonts w:eastAsia="Times New Roman"/>
                <w:sz w:val="18"/>
                <w:szCs w:val="18"/>
              </w:rPr>
              <w:t>5.3</w:t>
            </w:r>
            <w:r w:rsidRPr="003F7F6C">
              <w:rPr>
                <w:rFonts w:eastAsia="Times New Roman"/>
                <w:sz w:val="18"/>
                <w:szCs w:val="18"/>
              </w:rPr>
              <w:tab/>
              <w:t>Is there a risk that the Project would lead to forced evictions?</w:t>
            </w:r>
            <w:r w:rsidRPr="003F7F6C">
              <w:rPr>
                <w:rStyle w:val="FootnoteReference"/>
                <w:rFonts w:eastAsia="Times New Roman"/>
                <w:szCs w:val="18"/>
              </w:rPr>
              <w:footnoteReference w:id="90"/>
            </w:r>
          </w:p>
        </w:tc>
        <w:tc>
          <w:tcPr>
            <w:tcW w:w="833" w:type="dxa"/>
            <w:tcBorders>
              <w:bottom w:val="single" w:sz="4" w:space="0" w:color="auto"/>
            </w:tcBorders>
            <w:shd w:val="clear" w:color="auto" w:fill="auto"/>
          </w:tcPr>
          <w:p w14:paraId="25A42AC8" w14:textId="77777777" w:rsidR="00494980" w:rsidRPr="003F7F6C" w:rsidRDefault="00494980" w:rsidP="008E53E9">
            <w:pPr>
              <w:tabs>
                <w:tab w:val="left" w:pos="585"/>
              </w:tabs>
              <w:spacing w:before="60"/>
              <w:ind w:left="567" w:hanging="567"/>
              <w:rPr>
                <w:rFonts w:eastAsia="Times New Roman"/>
                <w:sz w:val="18"/>
                <w:szCs w:val="18"/>
              </w:rPr>
            </w:pPr>
            <w:r w:rsidRPr="003F7F6C">
              <w:rPr>
                <w:rFonts w:eastAsia="Times New Roman"/>
                <w:sz w:val="18"/>
                <w:szCs w:val="18"/>
              </w:rPr>
              <w:t>No</w:t>
            </w:r>
          </w:p>
        </w:tc>
      </w:tr>
      <w:tr w:rsidR="00494980" w:rsidRPr="003F7F6C" w14:paraId="5720035A" w14:textId="77777777" w:rsidTr="008E53E9">
        <w:tc>
          <w:tcPr>
            <w:tcW w:w="8635" w:type="dxa"/>
            <w:tcBorders>
              <w:bottom w:val="single" w:sz="4" w:space="0" w:color="auto"/>
            </w:tcBorders>
            <w:shd w:val="clear" w:color="auto" w:fill="auto"/>
          </w:tcPr>
          <w:p w14:paraId="699C1682" w14:textId="77777777" w:rsidR="00494980" w:rsidRPr="003F7F6C" w:rsidRDefault="00494980" w:rsidP="008E53E9">
            <w:pPr>
              <w:tabs>
                <w:tab w:val="left" w:pos="585"/>
              </w:tabs>
              <w:spacing w:before="60"/>
              <w:ind w:left="567" w:hanging="567"/>
              <w:rPr>
                <w:rFonts w:eastAsia="Times New Roman"/>
                <w:sz w:val="18"/>
                <w:szCs w:val="18"/>
              </w:rPr>
            </w:pPr>
            <w:r w:rsidRPr="003F7F6C">
              <w:rPr>
                <w:rFonts w:eastAsia="Times New Roman"/>
                <w:sz w:val="18"/>
                <w:szCs w:val="18"/>
              </w:rPr>
              <w:t>5.4</w:t>
            </w:r>
            <w:r w:rsidRPr="003F7F6C">
              <w:rPr>
                <w:rFonts w:eastAsia="Times New Roman"/>
                <w:sz w:val="18"/>
                <w:szCs w:val="18"/>
              </w:rPr>
              <w:tab/>
              <w:t xml:space="preserve">Would the proposed Project possibly affect land tenure arrangements and/or community based property rights/customary rights to land, territories and/or resources? </w:t>
            </w:r>
          </w:p>
        </w:tc>
        <w:tc>
          <w:tcPr>
            <w:tcW w:w="833" w:type="dxa"/>
            <w:tcBorders>
              <w:bottom w:val="single" w:sz="4" w:space="0" w:color="auto"/>
            </w:tcBorders>
            <w:shd w:val="clear" w:color="auto" w:fill="auto"/>
          </w:tcPr>
          <w:p w14:paraId="24186679" w14:textId="77777777" w:rsidR="00494980" w:rsidRPr="003F7F6C" w:rsidRDefault="00494980" w:rsidP="008E53E9">
            <w:pPr>
              <w:tabs>
                <w:tab w:val="left" w:pos="585"/>
              </w:tabs>
              <w:spacing w:before="60"/>
              <w:ind w:left="567" w:hanging="567"/>
              <w:rPr>
                <w:rFonts w:eastAsia="Times New Roman"/>
                <w:sz w:val="18"/>
                <w:szCs w:val="18"/>
              </w:rPr>
            </w:pPr>
            <w:r w:rsidRPr="003F7F6C">
              <w:rPr>
                <w:rFonts w:eastAsia="Times New Roman"/>
                <w:sz w:val="18"/>
                <w:szCs w:val="18"/>
              </w:rPr>
              <w:t>No</w:t>
            </w:r>
          </w:p>
        </w:tc>
      </w:tr>
      <w:tr w:rsidR="00494980" w:rsidRPr="003F7F6C" w14:paraId="18F5DB27" w14:textId="77777777" w:rsidTr="008E53E9">
        <w:trPr>
          <w:trHeight w:val="584"/>
        </w:trPr>
        <w:tc>
          <w:tcPr>
            <w:tcW w:w="8635" w:type="dxa"/>
            <w:tcBorders>
              <w:bottom w:val="single" w:sz="4" w:space="0" w:color="auto"/>
            </w:tcBorders>
            <w:shd w:val="clear" w:color="auto" w:fill="DBE5F1"/>
            <w:vAlign w:val="center"/>
          </w:tcPr>
          <w:p w14:paraId="022D73E8" w14:textId="77777777" w:rsidR="00494980" w:rsidRPr="003F7F6C" w:rsidRDefault="00494980" w:rsidP="008E53E9">
            <w:pPr>
              <w:tabs>
                <w:tab w:val="left" w:pos="0"/>
                <w:tab w:val="left" w:pos="555"/>
              </w:tabs>
              <w:spacing w:before="60"/>
              <w:rPr>
                <w:rFonts w:eastAsia="Times New Roman"/>
                <w:b/>
                <w:sz w:val="18"/>
                <w:szCs w:val="18"/>
              </w:rPr>
            </w:pPr>
            <w:r w:rsidRPr="003F7F6C">
              <w:rPr>
                <w:rFonts w:eastAsia="Times New Roman"/>
                <w:b/>
                <w:sz w:val="18"/>
                <w:szCs w:val="18"/>
              </w:rPr>
              <w:t>Standard 6: Indigenous Peoples</w:t>
            </w:r>
          </w:p>
        </w:tc>
        <w:tc>
          <w:tcPr>
            <w:tcW w:w="833" w:type="dxa"/>
            <w:tcBorders>
              <w:bottom w:val="single" w:sz="4" w:space="0" w:color="auto"/>
            </w:tcBorders>
            <w:shd w:val="clear" w:color="auto" w:fill="DBE5F1"/>
            <w:vAlign w:val="center"/>
          </w:tcPr>
          <w:p w14:paraId="24C44773" w14:textId="77777777" w:rsidR="00494980" w:rsidRPr="003F7F6C" w:rsidRDefault="00494980" w:rsidP="008E53E9">
            <w:pPr>
              <w:tabs>
                <w:tab w:val="left" w:pos="585"/>
              </w:tabs>
              <w:spacing w:before="60"/>
              <w:ind w:left="567" w:hanging="567"/>
              <w:rPr>
                <w:rFonts w:eastAsia="Times New Roman"/>
                <w:sz w:val="18"/>
                <w:szCs w:val="18"/>
              </w:rPr>
            </w:pPr>
          </w:p>
        </w:tc>
      </w:tr>
      <w:tr w:rsidR="00494980" w:rsidRPr="003F7F6C" w14:paraId="425E2C51" w14:textId="77777777" w:rsidTr="008E53E9">
        <w:tc>
          <w:tcPr>
            <w:tcW w:w="8635" w:type="dxa"/>
            <w:tcBorders>
              <w:bottom w:val="single" w:sz="4" w:space="0" w:color="auto"/>
            </w:tcBorders>
            <w:shd w:val="clear" w:color="auto" w:fill="auto"/>
          </w:tcPr>
          <w:p w14:paraId="2AE51F84" w14:textId="77777777" w:rsidR="00494980" w:rsidRPr="003F7F6C" w:rsidRDefault="00494980" w:rsidP="008E53E9">
            <w:pPr>
              <w:tabs>
                <w:tab w:val="left" w:pos="585"/>
              </w:tabs>
              <w:spacing w:before="60"/>
              <w:ind w:left="567" w:hanging="567"/>
              <w:rPr>
                <w:sz w:val="18"/>
                <w:szCs w:val="18"/>
              </w:rPr>
            </w:pPr>
            <w:r w:rsidRPr="003F7F6C">
              <w:rPr>
                <w:sz w:val="18"/>
                <w:szCs w:val="18"/>
              </w:rPr>
              <w:t>6.1</w:t>
            </w:r>
            <w:r w:rsidRPr="003F7F6C">
              <w:rPr>
                <w:sz w:val="18"/>
                <w:szCs w:val="18"/>
              </w:rPr>
              <w:tab/>
              <w:t>Are indigenous peoples present in the Project area (including Project area of influence)?</w:t>
            </w:r>
          </w:p>
        </w:tc>
        <w:tc>
          <w:tcPr>
            <w:tcW w:w="833" w:type="dxa"/>
            <w:tcBorders>
              <w:bottom w:val="single" w:sz="4" w:space="0" w:color="auto"/>
            </w:tcBorders>
            <w:shd w:val="clear" w:color="auto" w:fill="auto"/>
          </w:tcPr>
          <w:p w14:paraId="32F6D535" w14:textId="77777777" w:rsidR="00494980" w:rsidRPr="003F7F6C" w:rsidRDefault="00494980" w:rsidP="008E53E9">
            <w:pPr>
              <w:tabs>
                <w:tab w:val="left" w:pos="585"/>
              </w:tabs>
              <w:spacing w:before="60"/>
              <w:ind w:left="567" w:hanging="567"/>
              <w:rPr>
                <w:rFonts w:eastAsia="Times New Roman"/>
                <w:sz w:val="18"/>
                <w:szCs w:val="18"/>
              </w:rPr>
            </w:pPr>
            <w:r w:rsidRPr="003F7F6C">
              <w:rPr>
                <w:rFonts w:eastAsia="Times New Roman"/>
                <w:sz w:val="18"/>
                <w:szCs w:val="18"/>
              </w:rPr>
              <w:t>Yes</w:t>
            </w:r>
          </w:p>
        </w:tc>
      </w:tr>
      <w:tr w:rsidR="00494980" w:rsidRPr="003F7F6C" w14:paraId="3623C8AE" w14:textId="77777777" w:rsidTr="008E53E9">
        <w:tc>
          <w:tcPr>
            <w:tcW w:w="8635" w:type="dxa"/>
            <w:tcBorders>
              <w:bottom w:val="single" w:sz="4" w:space="0" w:color="auto"/>
            </w:tcBorders>
            <w:shd w:val="clear" w:color="auto" w:fill="auto"/>
          </w:tcPr>
          <w:p w14:paraId="31D70601" w14:textId="77777777" w:rsidR="00494980" w:rsidRPr="003F7F6C" w:rsidRDefault="00494980" w:rsidP="008E53E9">
            <w:pPr>
              <w:tabs>
                <w:tab w:val="left" w:pos="585"/>
              </w:tabs>
              <w:spacing w:before="60"/>
              <w:ind w:left="567" w:hanging="567"/>
              <w:rPr>
                <w:sz w:val="18"/>
                <w:szCs w:val="18"/>
              </w:rPr>
            </w:pPr>
            <w:r w:rsidRPr="003F7F6C">
              <w:rPr>
                <w:sz w:val="18"/>
                <w:szCs w:val="18"/>
              </w:rPr>
              <w:t>6.2</w:t>
            </w:r>
            <w:r w:rsidRPr="003F7F6C">
              <w:rPr>
                <w:sz w:val="18"/>
                <w:szCs w:val="18"/>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tcPr>
          <w:p w14:paraId="210E2164" w14:textId="77777777" w:rsidR="00494980" w:rsidRPr="003F7F6C" w:rsidRDefault="00494980" w:rsidP="008E53E9">
            <w:pPr>
              <w:tabs>
                <w:tab w:val="left" w:pos="585"/>
              </w:tabs>
              <w:spacing w:before="60"/>
              <w:ind w:left="567" w:hanging="567"/>
              <w:rPr>
                <w:rFonts w:eastAsia="Times New Roman"/>
                <w:sz w:val="18"/>
                <w:szCs w:val="18"/>
              </w:rPr>
            </w:pPr>
            <w:r w:rsidRPr="003F7F6C">
              <w:rPr>
                <w:rFonts w:eastAsia="Times New Roman"/>
                <w:sz w:val="18"/>
                <w:szCs w:val="18"/>
              </w:rPr>
              <w:t>Yes</w:t>
            </w:r>
          </w:p>
        </w:tc>
      </w:tr>
      <w:tr w:rsidR="00494980" w:rsidRPr="003F7F6C" w14:paraId="20743A25" w14:textId="77777777" w:rsidTr="008E53E9">
        <w:tc>
          <w:tcPr>
            <w:tcW w:w="8635" w:type="dxa"/>
            <w:tcBorders>
              <w:bottom w:val="single" w:sz="4" w:space="0" w:color="auto"/>
            </w:tcBorders>
            <w:shd w:val="clear" w:color="auto" w:fill="auto"/>
          </w:tcPr>
          <w:p w14:paraId="15D67C67" w14:textId="77777777" w:rsidR="00494980" w:rsidRPr="003F7F6C" w:rsidRDefault="00494980" w:rsidP="008E53E9">
            <w:pPr>
              <w:tabs>
                <w:tab w:val="left" w:pos="585"/>
              </w:tabs>
              <w:spacing w:before="60"/>
              <w:ind w:left="567" w:hanging="567"/>
              <w:rPr>
                <w:sz w:val="18"/>
                <w:szCs w:val="18"/>
              </w:rPr>
            </w:pPr>
            <w:r w:rsidRPr="003F7F6C">
              <w:rPr>
                <w:sz w:val="18"/>
                <w:szCs w:val="18"/>
              </w:rPr>
              <w:t>6.3</w:t>
            </w:r>
            <w:r w:rsidRPr="003F7F6C">
              <w:rPr>
                <w:sz w:val="18"/>
                <w:szCs w:val="18"/>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14:paraId="606F2FF1" w14:textId="77777777" w:rsidR="00494980" w:rsidRPr="003F7F6C" w:rsidRDefault="00494980" w:rsidP="008E53E9">
            <w:pPr>
              <w:tabs>
                <w:tab w:val="left" w:pos="585"/>
              </w:tabs>
              <w:spacing w:before="60"/>
              <w:ind w:left="567" w:firstLine="40"/>
              <w:rPr>
                <w:i/>
                <w:sz w:val="18"/>
                <w:szCs w:val="18"/>
              </w:rPr>
            </w:pPr>
            <w:r w:rsidRPr="003F7F6C">
              <w:rPr>
                <w:i/>
                <w:sz w:val="18"/>
                <w:szCs w:val="18"/>
              </w:rPr>
              <w:t>If the answer to the screening question 6.3 is “yes” the potential risk impacts are considered potentially severe and/or critical and the Project would be categorized as either Moderate or High Risk.</w:t>
            </w:r>
          </w:p>
        </w:tc>
        <w:tc>
          <w:tcPr>
            <w:tcW w:w="833" w:type="dxa"/>
            <w:tcBorders>
              <w:bottom w:val="single" w:sz="4" w:space="0" w:color="auto"/>
            </w:tcBorders>
            <w:shd w:val="clear" w:color="auto" w:fill="auto"/>
          </w:tcPr>
          <w:p w14:paraId="248F170E" w14:textId="77777777" w:rsidR="00494980" w:rsidRPr="003F7F6C" w:rsidRDefault="00494980" w:rsidP="008E53E9">
            <w:pPr>
              <w:tabs>
                <w:tab w:val="left" w:pos="585"/>
              </w:tabs>
              <w:spacing w:before="60"/>
              <w:ind w:left="567" w:hanging="567"/>
              <w:rPr>
                <w:rFonts w:eastAsia="Times New Roman"/>
                <w:sz w:val="18"/>
                <w:szCs w:val="18"/>
              </w:rPr>
            </w:pPr>
            <w:r w:rsidRPr="003F7F6C">
              <w:rPr>
                <w:rFonts w:eastAsia="Times New Roman"/>
                <w:sz w:val="18"/>
                <w:szCs w:val="18"/>
              </w:rPr>
              <w:t>Yes</w:t>
            </w:r>
          </w:p>
        </w:tc>
      </w:tr>
      <w:tr w:rsidR="00494980" w:rsidRPr="003F7F6C" w14:paraId="00E42EC7" w14:textId="77777777" w:rsidTr="008E53E9">
        <w:tc>
          <w:tcPr>
            <w:tcW w:w="8635" w:type="dxa"/>
            <w:tcBorders>
              <w:bottom w:val="single" w:sz="4" w:space="0" w:color="auto"/>
            </w:tcBorders>
            <w:shd w:val="clear" w:color="auto" w:fill="auto"/>
          </w:tcPr>
          <w:p w14:paraId="25E770EA" w14:textId="77777777" w:rsidR="00494980" w:rsidRPr="003F7F6C" w:rsidRDefault="00494980" w:rsidP="008E53E9">
            <w:pPr>
              <w:tabs>
                <w:tab w:val="left" w:pos="585"/>
              </w:tabs>
              <w:spacing w:before="60"/>
              <w:ind w:left="567" w:hanging="567"/>
              <w:rPr>
                <w:sz w:val="18"/>
                <w:szCs w:val="18"/>
              </w:rPr>
            </w:pPr>
            <w:r w:rsidRPr="003F7F6C">
              <w:rPr>
                <w:sz w:val="18"/>
                <w:szCs w:val="18"/>
              </w:rPr>
              <w:t>6.4</w:t>
            </w:r>
            <w:r w:rsidRPr="003F7F6C">
              <w:rPr>
                <w:sz w:val="18"/>
                <w:szCs w:val="18"/>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tcPr>
          <w:p w14:paraId="3AE381D2" w14:textId="77777777" w:rsidR="00494980" w:rsidRPr="003F7F6C" w:rsidRDefault="00494980" w:rsidP="008E53E9">
            <w:pPr>
              <w:tabs>
                <w:tab w:val="left" w:pos="585"/>
              </w:tabs>
              <w:spacing w:before="60"/>
              <w:ind w:left="567" w:hanging="567"/>
              <w:rPr>
                <w:rFonts w:eastAsia="Times New Roman"/>
                <w:sz w:val="18"/>
                <w:szCs w:val="18"/>
              </w:rPr>
            </w:pPr>
            <w:r w:rsidRPr="003F7F6C">
              <w:rPr>
                <w:rFonts w:eastAsia="Times New Roman"/>
                <w:sz w:val="18"/>
                <w:szCs w:val="18"/>
              </w:rPr>
              <w:t>Yes</w:t>
            </w:r>
          </w:p>
          <w:p w14:paraId="44F833B3" w14:textId="77777777" w:rsidR="00494980" w:rsidRPr="003F7F6C" w:rsidRDefault="00494980" w:rsidP="008E53E9">
            <w:pPr>
              <w:tabs>
                <w:tab w:val="left" w:pos="585"/>
              </w:tabs>
              <w:spacing w:before="60"/>
              <w:ind w:left="567" w:hanging="567"/>
              <w:rPr>
                <w:rFonts w:eastAsia="Times New Roman"/>
                <w:sz w:val="18"/>
                <w:szCs w:val="18"/>
              </w:rPr>
            </w:pPr>
          </w:p>
        </w:tc>
      </w:tr>
      <w:tr w:rsidR="00494980" w:rsidRPr="003F7F6C" w14:paraId="6ADC6C9C" w14:textId="77777777" w:rsidTr="008E53E9">
        <w:tc>
          <w:tcPr>
            <w:tcW w:w="8635" w:type="dxa"/>
            <w:tcBorders>
              <w:bottom w:val="single" w:sz="4" w:space="0" w:color="auto"/>
            </w:tcBorders>
            <w:shd w:val="clear" w:color="auto" w:fill="auto"/>
          </w:tcPr>
          <w:p w14:paraId="4CE3261D" w14:textId="77777777" w:rsidR="00494980" w:rsidRPr="003F7F6C" w:rsidRDefault="00494980" w:rsidP="008E53E9">
            <w:pPr>
              <w:tabs>
                <w:tab w:val="left" w:pos="585"/>
              </w:tabs>
              <w:spacing w:before="60"/>
              <w:ind w:left="567" w:hanging="567"/>
              <w:rPr>
                <w:sz w:val="18"/>
                <w:szCs w:val="18"/>
              </w:rPr>
            </w:pPr>
            <w:r w:rsidRPr="003F7F6C">
              <w:rPr>
                <w:sz w:val="18"/>
                <w:szCs w:val="18"/>
              </w:rPr>
              <w:t>6.5</w:t>
            </w:r>
            <w:r w:rsidRPr="003F7F6C">
              <w:rPr>
                <w:sz w:val="18"/>
                <w:szCs w:val="18"/>
              </w:rPr>
              <w:tab/>
              <w:t>Does the proposed Project involve the utilization and/or commercial development of natural resources on lands and territories claimed by indigenous peoples?</w:t>
            </w:r>
          </w:p>
        </w:tc>
        <w:tc>
          <w:tcPr>
            <w:tcW w:w="833" w:type="dxa"/>
            <w:tcBorders>
              <w:bottom w:val="single" w:sz="4" w:space="0" w:color="auto"/>
            </w:tcBorders>
            <w:shd w:val="clear" w:color="auto" w:fill="auto"/>
          </w:tcPr>
          <w:p w14:paraId="413A0B9D" w14:textId="77777777" w:rsidR="00494980" w:rsidRPr="003F7F6C" w:rsidRDefault="00494980" w:rsidP="008E53E9">
            <w:pPr>
              <w:tabs>
                <w:tab w:val="left" w:pos="585"/>
              </w:tabs>
              <w:spacing w:before="60"/>
              <w:rPr>
                <w:rFonts w:eastAsia="Times New Roman"/>
                <w:sz w:val="18"/>
                <w:szCs w:val="18"/>
              </w:rPr>
            </w:pPr>
            <w:r w:rsidRPr="003F7F6C">
              <w:rPr>
                <w:rFonts w:eastAsia="Times New Roman"/>
                <w:sz w:val="18"/>
                <w:szCs w:val="18"/>
              </w:rPr>
              <w:t>No</w:t>
            </w:r>
          </w:p>
        </w:tc>
      </w:tr>
      <w:tr w:rsidR="00494980" w:rsidRPr="003F7F6C" w14:paraId="4DAF5D72" w14:textId="77777777" w:rsidTr="008E53E9">
        <w:trPr>
          <w:trHeight w:val="591"/>
        </w:trPr>
        <w:tc>
          <w:tcPr>
            <w:tcW w:w="8635" w:type="dxa"/>
            <w:tcBorders>
              <w:bottom w:val="single" w:sz="4" w:space="0" w:color="auto"/>
            </w:tcBorders>
            <w:shd w:val="clear" w:color="auto" w:fill="auto"/>
          </w:tcPr>
          <w:p w14:paraId="253F9010" w14:textId="77777777" w:rsidR="00494980" w:rsidRPr="003F7F6C" w:rsidRDefault="00494980" w:rsidP="008E53E9">
            <w:pPr>
              <w:tabs>
                <w:tab w:val="left" w:pos="585"/>
              </w:tabs>
              <w:spacing w:before="60"/>
              <w:ind w:left="567" w:hanging="567"/>
              <w:rPr>
                <w:sz w:val="18"/>
                <w:szCs w:val="18"/>
              </w:rPr>
            </w:pPr>
            <w:r w:rsidRPr="003F7F6C">
              <w:rPr>
                <w:sz w:val="18"/>
                <w:szCs w:val="18"/>
              </w:rPr>
              <w:t>6.6</w:t>
            </w:r>
            <w:r w:rsidRPr="003F7F6C">
              <w:rPr>
                <w:sz w:val="18"/>
                <w:szCs w:val="18"/>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tcPr>
          <w:p w14:paraId="1286852A" w14:textId="77777777" w:rsidR="00494980" w:rsidRPr="003F7F6C" w:rsidRDefault="00494980" w:rsidP="008E53E9">
            <w:pPr>
              <w:tabs>
                <w:tab w:val="left" w:pos="585"/>
              </w:tabs>
              <w:spacing w:before="60"/>
              <w:ind w:left="567" w:hanging="567"/>
              <w:rPr>
                <w:rFonts w:eastAsia="Times New Roman"/>
                <w:sz w:val="18"/>
                <w:szCs w:val="18"/>
              </w:rPr>
            </w:pPr>
            <w:r w:rsidRPr="003F7F6C">
              <w:rPr>
                <w:rFonts w:eastAsia="Times New Roman"/>
                <w:sz w:val="18"/>
                <w:szCs w:val="18"/>
              </w:rPr>
              <w:t xml:space="preserve">Yes </w:t>
            </w:r>
          </w:p>
        </w:tc>
      </w:tr>
      <w:tr w:rsidR="00494980" w:rsidRPr="003F7F6C" w14:paraId="3465FF61" w14:textId="77777777" w:rsidTr="008E53E9">
        <w:tc>
          <w:tcPr>
            <w:tcW w:w="8635" w:type="dxa"/>
            <w:tcBorders>
              <w:bottom w:val="single" w:sz="4" w:space="0" w:color="auto"/>
            </w:tcBorders>
            <w:shd w:val="clear" w:color="auto" w:fill="auto"/>
          </w:tcPr>
          <w:p w14:paraId="5BA0B94D" w14:textId="77777777" w:rsidR="00494980" w:rsidRPr="003F7F6C" w:rsidRDefault="00494980" w:rsidP="008E53E9">
            <w:pPr>
              <w:tabs>
                <w:tab w:val="left" w:pos="585"/>
              </w:tabs>
              <w:spacing w:before="60"/>
              <w:ind w:left="567" w:hanging="567"/>
              <w:rPr>
                <w:sz w:val="18"/>
                <w:szCs w:val="18"/>
              </w:rPr>
            </w:pPr>
            <w:r w:rsidRPr="003F7F6C">
              <w:rPr>
                <w:sz w:val="18"/>
                <w:szCs w:val="18"/>
              </w:rPr>
              <w:t>6.7</w:t>
            </w:r>
            <w:r w:rsidRPr="003F7F6C">
              <w:rPr>
                <w:sz w:val="18"/>
                <w:szCs w:val="18"/>
              </w:rPr>
              <w:tab/>
              <w:t>Would the Project adversely affect the development priorities of indigenous peoples as defined by them?</w:t>
            </w:r>
          </w:p>
        </w:tc>
        <w:tc>
          <w:tcPr>
            <w:tcW w:w="833" w:type="dxa"/>
            <w:tcBorders>
              <w:bottom w:val="single" w:sz="4" w:space="0" w:color="auto"/>
            </w:tcBorders>
            <w:shd w:val="clear" w:color="auto" w:fill="auto"/>
          </w:tcPr>
          <w:p w14:paraId="3FF1A57A" w14:textId="77777777" w:rsidR="00494980" w:rsidRPr="003F7F6C" w:rsidRDefault="00494980" w:rsidP="008E53E9">
            <w:pPr>
              <w:tabs>
                <w:tab w:val="left" w:pos="585"/>
              </w:tabs>
              <w:spacing w:before="60"/>
              <w:ind w:left="567" w:hanging="567"/>
              <w:rPr>
                <w:rFonts w:eastAsia="Times New Roman"/>
                <w:sz w:val="18"/>
                <w:szCs w:val="18"/>
              </w:rPr>
            </w:pPr>
            <w:r w:rsidRPr="003F7F6C">
              <w:rPr>
                <w:rFonts w:eastAsia="Times New Roman"/>
                <w:sz w:val="18"/>
                <w:szCs w:val="18"/>
              </w:rPr>
              <w:t>No</w:t>
            </w:r>
          </w:p>
        </w:tc>
      </w:tr>
      <w:tr w:rsidR="00494980" w:rsidRPr="003F7F6C" w14:paraId="6B3BEDDE" w14:textId="77777777" w:rsidTr="008E53E9">
        <w:tc>
          <w:tcPr>
            <w:tcW w:w="8635" w:type="dxa"/>
            <w:tcBorders>
              <w:bottom w:val="single" w:sz="4" w:space="0" w:color="auto"/>
            </w:tcBorders>
            <w:shd w:val="clear" w:color="auto" w:fill="auto"/>
          </w:tcPr>
          <w:p w14:paraId="4802FFB5" w14:textId="77777777" w:rsidR="00494980" w:rsidRPr="003F7F6C" w:rsidRDefault="00494980" w:rsidP="008E53E9">
            <w:pPr>
              <w:tabs>
                <w:tab w:val="left" w:pos="585"/>
              </w:tabs>
              <w:spacing w:before="60"/>
              <w:ind w:left="567" w:hanging="567"/>
              <w:rPr>
                <w:sz w:val="18"/>
                <w:szCs w:val="18"/>
              </w:rPr>
            </w:pPr>
            <w:r w:rsidRPr="003F7F6C">
              <w:rPr>
                <w:sz w:val="18"/>
                <w:szCs w:val="18"/>
              </w:rPr>
              <w:t>6.8</w:t>
            </w:r>
            <w:r w:rsidRPr="003F7F6C">
              <w:rPr>
                <w:sz w:val="18"/>
                <w:szCs w:val="18"/>
              </w:rPr>
              <w:tab/>
              <w:t>Would the Project potentially affect the physical and cultural survival of indigenous peoples?</w:t>
            </w:r>
          </w:p>
        </w:tc>
        <w:tc>
          <w:tcPr>
            <w:tcW w:w="833" w:type="dxa"/>
            <w:tcBorders>
              <w:bottom w:val="single" w:sz="4" w:space="0" w:color="auto"/>
            </w:tcBorders>
            <w:shd w:val="clear" w:color="auto" w:fill="auto"/>
          </w:tcPr>
          <w:p w14:paraId="3618A9EE" w14:textId="77777777" w:rsidR="00494980" w:rsidRPr="003F7F6C" w:rsidRDefault="00494980" w:rsidP="008E53E9">
            <w:pPr>
              <w:tabs>
                <w:tab w:val="left" w:pos="585"/>
              </w:tabs>
              <w:spacing w:before="60"/>
              <w:ind w:left="567" w:hanging="567"/>
              <w:rPr>
                <w:rFonts w:eastAsia="Times New Roman"/>
                <w:sz w:val="18"/>
                <w:szCs w:val="18"/>
              </w:rPr>
            </w:pPr>
            <w:r w:rsidRPr="003F7F6C">
              <w:rPr>
                <w:rFonts w:eastAsia="Times New Roman"/>
                <w:sz w:val="18"/>
                <w:szCs w:val="18"/>
              </w:rPr>
              <w:t>No</w:t>
            </w:r>
          </w:p>
        </w:tc>
      </w:tr>
      <w:tr w:rsidR="00494980" w:rsidRPr="003F7F6C" w14:paraId="6C45EE6B" w14:textId="77777777" w:rsidTr="008E53E9">
        <w:tc>
          <w:tcPr>
            <w:tcW w:w="8635" w:type="dxa"/>
            <w:tcBorders>
              <w:bottom w:val="single" w:sz="4" w:space="0" w:color="auto"/>
            </w:tcBorders>
            <w:shd w:val="clear" w:color="auto" w:fill="auto"/>
          </w:tcPr>
          <w:p w14:paraId="752158C1" w14:textId="77777777" w:rsidR="00494980" w:rsidRPr="003F7F6C" w:rsidRDefault="00494980" w:rsidP="008E53E9">
            <w:pPr>
              <w:tabs>
                <w:tab w:val="left" w:pos="585"/>
              </w:tabs>
              <w:spacing w:before="60"/>
              <w:ind w:left="567" w:hanging="567"/>
              <w:rPr>
                <w:sz w:val="18"/>
                <w:szCs w:val="18"/>
              </w:rPr>
            </w:pPr>
            <w:r w:rsidRPr="003F7F6C">
              <w:rPr>
                <w:sz w:val="18"/>
                <w:szCs w:val="18"/>
              </w:rPr>
              <w:t>6.9</w:t>
            </w:r>
            <w:r w:rsidRPr="003F7F6C">
              <w:rPr>
                <w:sz w:val="18"/>
                <w:szCs w:val="18"/>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tcPr>
          <w:p w14:paraId="1B56CEBD" w14:textId="77777777" w:rsidR="00494980" w:rsidRPr="003F7F6C" w:rsidRDefault="00494980" w:rsidP="008E53E9">
            <w:pPr>
              <w:tabs>
                <w:tab w:val="left" w:pos="585"/>
              </w:tabs>
              <w:spacing w:before="60"/>
              <w:ind w:left="567" w:hanging="567"/>
              <w:rPr>
                <w:rFonts w:eastAsia="Times New Roman"/>
                <w:sz w:val="18"/>
                <w:szCs w:val="18"/>
              </w:rPr>
            </w:pPr>
            <w:r w:rsidRPr="003F7F6C">
              <w:rPr>
                <w:rFonts w:eastAsia="Times New Roman"/>
                <w:sz w:val="18"/>
                <w:szCs w:val="18"/>
              </w:rPr>
              <w:t>No</w:t>
            </w:r>
          </w:p>
        </w:tc>
      </w:tr>
      <w:tr w:rsidR="00494980" w:rsidRPr="003F7F6C" w14:paraId="41211180" w14:textId="77777777" w:rsidTr="008E53E9">
        <w:trPr>
          <w:trHeight w:val="602"/>
        </w:trPr>
        <w:tc>
          <w:tcPr>
            <w:tcW w:w="8635" w:type="dxa"/>
            <w:tcBorders>
              <w:bottom w:val="single" w:sz="4" w:space="0" w:color="auto"/>
            </w:tcBorders>
            <w:shd w:val="clear" w:color="auto" w:fill="DBE5F1"/>
            <w:vAlign w:val="center"/>
          </w:tcPr>
          <w:p w14:paraId="51D85CD5" w14:textId="77777777" w:rsidR="00494980" w:rsidRPr="003F7F6C" w:rsidRDefault="00494980" w:rsidP="008E53E9">
            <w:pPr>
              <w:tabs>
                <w:tab w:val="left" w:pos="570"/>
              </w:tabs>
              <w:spacing w:before="120"/>
              <w:rPr>
                <w:rFonts w:eastAsia="Times New Roman"/>
                <w:b/>
                <w:sz w:val="18"/>
                <w:szCs w:val="18"/>
              </w:rPr>
            </w:pPr>
            <w:r w:rsidRPr="003F7F6C">
              <w:rPr>
                <w:rFonts w:eastAsia="Times New Roman"/>
                <w:b/>
                <w:sz w:val="18"/>
                <w:szCs w:val="18"/>
              </w:rPr>
              <w:t>Standard 7: Pollution Prevention and Resource Efficiency</w:t>
            </w:r>
          </w:p>
        </w:tc>
        <w:tc>
          <w:tcPr>
            <w:tcW w:w="833" w:type="dxa"/>
            <w:tcBorders>
              <w:bottom w:val="single" w:sz="4" w:space="0" w:color="auto"/>
            </w:tcBorders>
            <w:shd w:val="clear" w:color="auto" w:fill="DBE5F1"/>
            <w:vAlign w:val="center"/>
          </w:tcPr>
          <w:p w14:paraId="746E28D3" w14:textId="77777777" w:rsidR="00494980" w:rsidRPr="003F7F6C" w:rsidRDefault="00494980" w:rsidP="008E53E9">
            <w:pPr>
              <w:rPr>
                <w:rFonts w:eastAsia="Times New Roman"/>
                <w:b/>
                <w:i/>
                <w:sz w:val="18"/>
                <w:szCs w:val="18"/>
              </w:rPr>
            </w:pPr>
          </w:p>
        </w:tc>
      </w:tr>
      <w:tr w:rsidR="00494980" w:rsidRPr="003F7F6C" w14:paraId="7D469FDE" w14:textId="77777777" w:rsidTr="008E53E9">
        <w:tc>
          <w:tcPr>
            <w:tcW w:w="8635" w:type="dxa"/>
            <w:shd w:val="clear" w:color="auto" w:fill="auto"/>
          </w:tcPr>
          <w:p w14:paraId="2CA9363D" w14:textId="77777777" w:rsidR="00494980" w:rsidRPr="003F7F6C" w:rsidRDefault="00494980" w:rsidP="008E53E9">
            <w:pPr>
              <w:tabs>
                <w:tab w:val="left" w:pos="585"/>
              </w:tabs>
              <w:spacing w:before="60"/>
              <w:ind w:left="567" w:hanging="567"/>
              <w:rPr>
                <w:rFonts w:eastAsia="Times New Roman"/>
                <w:sz w:val="18"/>
                <w:szCs w:val="18"/>
              </w:rPr>
            </w:pPr>
            <w:r w:rsidRPr="003F7F6C">
              <w:rPr>
                <w:rFonts w:eastAsia="Times New Roman"/>
                <w:sz w:val="18"/>
                <w:szCs w:val="18"/>
              </w:rPr>
              <w:t>7.1</w:t>
            </w:r>
            <w:r w:rsidRPr="003F7F6C">
              <w:rPr>
                <w:rFonts w:eastAsia="Times New Roman"/>
                <w:sz w:val="18"/>
                <w:szCs w:val="18"/>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3F7F6C">
                <w:rPr>
                  <w:rFonts w:eastAsia="Times New Roman"/>
                  <w:sz w:val="18"/>
                  <w:szCs w:val="18"/>
                </w:rPr>
                <w:t>transboundary impacts</w:t>
              </w:r>
            </w:hyperlink>
            <w:r w:rsidRPr="003F7F6C">
              <w:rPr>
                <w:rFonts w:eastAsia="Times New Roman"/>
                <w:sz w:val="18"/>
                <w:szCs w:val="18"/>
              </w:rPr>
              <w:t xml:space="preserve">? </w:t>
            </w:r>
          </w:p>
        </w:tc>
        <w:tc>
          <w:tcPr>
            <w:tcW w:w="833" w:type="dxa"/>
            <w:shd w:val="clear" w:color="auto" w:fill="auto"/>
          </w:tcPr>
          <w:p w14:paraId="72929AB9" w14:textId="77777777" w:rsidR="00494980" w:rsidRPr="003F7F6C" w:rsidRDefault="00494980" w:rsidP="008E53E9">
            <w:pPr>
              <w:rPr>
                <w:rFonts w:eastAsia="Times New Roman"/>
                <w:sz w:val="18"/>
                <w:szCs w:val="18"/>
              </w:rPr>
            </w:pPr>
            <w:r w:rsidRPr="003F7F6C">
              <w:rPr>
                <w:rFonts w:eastAsia="Times New Roman"/>
                <w:sz w:val="18"/>
                <w:szCs w:val="18"/>
              </w:rPr>
              <w:t>No</w:t>
            </w:r>
          </w:p>
        </w:tc>
      </w:tr>
      <w:tr w:rsidR="00494980" w:rsidRPr="003F7F6C" w14:paraId="2464A730" w14:textId="77777777" w:rsidTr="008E53E9">
        <w:tc>
          <w:tcPr>
            <w:tcW w:w="8635" w:type="dxa"/>
            <w:tcBorders>
              <w:bottom w:val="single" w:sz="4" w:space="0" w:color="auto"/>
            </w:tcBorders>
            <w:shd w:val="clear" w:color="auto" w:fill="auto"/>
          </w:tcPr>
          <w:p w14:paraId="197000CF" w14:textId="77777777" w:rsidR="00494980" w:rsidRPr="003F7F6C" w:rsidRDefault="00494980" w:rsidP="008E53E9">
            <w:pPr>
              <w:tabs>
                <w:tab w:val="left" w:pos="585"/>
              </w:tabs>
              <w:spacing w:before="60"/>
              <w:ind w:left="567" w:hanging="567"/>
              <w:rPr>
                <w:rFonts w:eastAsia="Times New Roman"/>
                <w:sz w:val="18"/>
                <w:szCs w:val="18"/>
              </w:rPr>
            </w:pPr>
            <w:r w:rsidRPr="003F7F6C">
              <w:rPr>
                <w:rFonts w:eastAsia="Times New Roman"/>
                <w:sz w:val="18"/>
                <w:szCs w:val="18"/>
              </w:rPr>
              <w:t>7.2</w:t>
            </w:r>
            <w:r w:rsidRPr="003F7F6C">
              <w:rPr>
                <w:rFonts w:eastAsia="Times New Roman"/>
                <w:sz w:val="18"/>
                <w:szCs w:val="18"/>
              </w:rPr>
              <w:tab/>
              <w:t>Would the proposed Project potentially result in the generation of waste (both hazardous and non-hazardous)?</w:t>
            </w:r>
          </w:p>
        </w:tc>
        <w:tc>
          <w:tcPr>
            <w:tcW w:w="833" w:type="dxa"/>
            <w:tcBorders>
              <w:bottom w:val="single" w:sz="4" w:space="0" w:color="auto"/>
            </w:tcBorders>
            <w:shd w:val="clear" w:color="auto" w:fill="auto"/>
          </w:tcPr>
          <w:p w14:paraId="78DBD418" w14:textId="77777777" w:rsidR="00494980" w:rsidRPr="003F7F6C" w:rsidRDefault="00494980" w:rsidP="008E53E9">
            <w:pPr>
              <w:rPr>
                <w:rFonts w:eastAsia="Times New Roman"/>
                <w:sz w:val="18"/>
                <w:szCs w:val="18"/>
              </w:rPr>
            </w:pPr>
            <w:r w:rsidRPr="003F7F6C">
              <w:rPr>
                <w:rFonts w:eastAsia="Times New Roman"/>
                <w:sz w:val="18"/>
                <w:szCs w:val="18"/>
              </w:rPr>
              <w:t>No</w:t>
            </w:r>
          </w:p>
        </w:tc>
      </w:tr>
      <w:tr w:rsidR="00494980" w:rsidRPr="003F7F6C" w14:paraId="112EA0ED" w14:textId="77777777" w:rsidTr="008E53E9">
        <w:trPr>
          <w:trHeight w:val="402"/>
        </w:trPr>
        <w:tc>
          <w:tcPr>
            <w:tcW w:w="8635" w:type="dxa"/>
            <w:tcBorders>
              <w:bottom w:val="single" w:sz="4" w:space="0" w:color="auto"/>
            </w:tcBorders>
            <w:shd w:val="clear" w:color="auto" w:fill="auto"/>
          </w:tcPr>
          <w:p w14:paraId="446EA9B0" w14:textId="77777777" w:rsidR="00494980" w:rsidRPr="003F7F6C" w:rsidRDefault="00494980" w:rsidP="008E53E9">
            <w:pPr>
              <w:tabs>
                <w:tab w:val="left" w:pos="585"/>
              </w:tabs>
              <w:spacing w:before="60"/>
              <w:ind w:left="567" w:hanging="567"/>
              <w:rPr>
                <w:rFonts w:eastAsia="Times New Roman"/>
                <w:sz w:val="18"/>
                <w:szCs w:val="18"/>
              </w:rPr>
            </w:pPr>
            <w:r w:rsidRPr="003F7F6C">
              <w:rPr>
                <w:rFonts w:eastAsia="Times New Roman"/>
                <w:sz w:val="18"/>
                <w:szCs w:val="18"/>
              </w:rPr>
              <w:t>7.3</w:t>
            </w:r>
            <w:r w:rsidRPr="003F7F6C">
              <w:rPr>
                <w:rFonts w:eastAsia="Times New Roman"/>
                <w:sz w:val="18"/>
                <w:szCs w:val="18"/>
              </w:rPr>
              <w:tab/>
              <w:t>Will the proposed Project potentially involve the manufacture, trade, release, and/or use of hazardous chemicals and/or materials? Does the Project propose use of chemicals or materials subject to international bans or phase-outs?</w:t>
            </w:r>
          </w:p>
          <w:p w14:paraId="6470A931" w14:textId="77777777" w:rsidR="00494980" w:rsidRPr="003F7F6C" w:rsidRDefault="00494980" w:rsidP="008E53E9">
            <w:pPr>
              <w:tabs>
                <w:tab w:val="left" w:pos="630"/>
              </w:tabs>
              <w:spacing w:before="60"/>
              <w:ind w:left="630"/>
              <w:rPr>
                <w:rFonts w:eastAsia="Times New Roman"/>
                <w:sz w:val="18"/>
                <w:szCs w:val="18"/>
              </w:rPr>
            </w:pPr>
            <w:r w:rsidRPr="003F7F6C">
              <w:rPr>
                <w:rFonts w:eastAsia="Times New Roman"/>
                <w:i/>
                <w:sz w:val="18"/>
                <w:szCs w:val="18"/>
              </w:rPr>
              <w:t>For example, DDT, PCBs and other chemicals listed in international conventions such as the Stockholm Conventions on Persistent Organic Pollutants or the Montreal Protocol</w:t>
            </w:r>
            <w:r w:rsidRPr="003F7F6C">
              <w:rPr>
                <w:rFonts w:eastAsia="Times New Roman"/>
                <w:sz w:val="18"/>
                <w:szCs w:val="18"/>
              </w:rPr>
              <w:t xml:space="preserve"> </w:t>
            </w:r>
          </w:p>
        </w:tc>
        <w:tc>
          <w:tcPr>
            <w:tcW w:w="833" w:type="dxa"/>
            <w:tcBorders>
              <w:bottom w:val="single" w:sz="4" w:space="0" w:color="auto"/>
            </w:tcBorders>
            <w:shd w:val="clear" w:color="auto" w:fill="auto"/>
          </w:tcPr>
          <w:p w14:paraId="511797FD" w14:textId="77777777" w:rsidR="00494980" w:rsidRPr="003F7F6C" w:rsidRDefault="00494980" w:rsidP="008E53E9">
            <w:pPr>
              <w:rPr>
                <w:rFonts w:eastAsia="Times New Roman"/>
                <w:sz w:val="18"/>
                <w:szCs w:val="18"/>
              </w:rPr>
            </w:pPr>
            <w:r w:rsidRPr="003F7F6C">
              <w:rPr>
                <w:rFonts w:eastAsia="Times New Roman"/>
                <w:sz w:val="18"/>
                <w:szCs w:val="18"/>
              </w:rPr>
              <w:t>No</w:t>
            </w:r>
          </w:p>
        </w:tc>
      </w:tr>
      <w:tr w:rsidR="00494980" w:rsidRPr="003F7F6C" w14:paraId="50016B3B" w14:textId="77777777" w:rsidTr="008E53E9">
        <w:tc>
          <w:tcPr>
            <w:tcW w:w="8635" w:type="dxa"/>
            <w:tcBorders>
              <w:bottom w:val="single" w:sz="4" w:space="0" w:color="auto"/>
            </w:tcBorders>
            <w:shd w:val="clear" w:color="auto" w:fill="auto"/>
          </w:tcPr>
          <w:p w14:paraId="44E059AC" w14:textId="77777777" w:rsidR="00494980" w:rsidRPr="003F7F6C" w:rsidRDefault="00494980" w:rsidP="008E53E9">
            <w:pPr>
              <w:tabs>
                <w:tab w:val="left" w:pos="585"/>
              </w:tabs>
              <w:spacing w:before="60"/>
              <w:ind w:left="567" w:hanging="567"/>
              <w:rPr>
                <w:rFonts w:eastAsia="Times New Roman"/>
                <w:sz w:val="18"/>
                <w:szCs w:val="18"/>
              </w:rPr>
            </w:pPr>
            <w:r w:rsidRPr="003F7F6C">
              <w:rPr>
                <w:rFonts w:eastAsia="Times New Roman"/>
                <w:sz w:val="18"/>
                <w:szCs w:val="18"/>
              </w:rPr>
              <w:t xml:space="preserve">7.4 </w:t>
            </w:r>
            <w:r w:rsidRPr="003F7F6C">
              <w:rPr>
                <w:rFonts w:eastAsia="Times New Roman"/>
                <w:sz w:val="18"/>
                <w:szCs w:val="18"/>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tcPr>
          <w:p w14:paraId="6DDCF073" w14:textId="77777777" w:rsidR="00494980" w:rsidRPr="003F7F6C" w:rsidRDefault="00494980" w:rsidP="008E53E9">
            <w:pPr>
              <w:tabs>
                <w:tab w:val="left" w:pos="585"/>
              </w:tabs>
              <w:spacing w:before="60"/>
              <w:ind w:left="567" w:hanging="567"/>
              <w:rPr>
                <w:rFonts w:eastAsia="Times New Roman"/>
                <w:sz w:val="18"/>
                <w:szCs w:val="18"/>
              </w:rPr>
            </w:pPr>
            <w:r w:rsidRPr="003F7F6C">
              <w:rPr>
                <w:rFonts w:eastAsia="Times New Roman"/>
                <w:sz w:val="18"/>
                <w:szCs w:val="18"/>
              </w:rPr>
              <w:t>No</w:t>
            </w:r>
          </w:p>
        </w:tc>
      </w:tr>
      <w:tr w:rsidR="00494980" w:rsidRPr="003F7F6C" w14:paraId="13BCB75E" w14:textId="77777777" w:rsidTr="008E53E9">
        <w:tc>
          <w:tcPr>
            <w:tcW w:w="8635" w:type="dxa"/>
            <w:tcBorders>
              <w:bottom w:val="single" w:sz="4" w:space="0" w:color="auto"/>
            </w:tcBorders>
            <w:shd w:val="clear" w:color="auto" w:fill="auto"/>
          </w:tcPr>
          <w:p w14:paraId="617B8F39" w14:textId="77777777" w:rsidR="00494980" w:rsidRPr="003F7F6C" w:rsidRDefault="00494980" w:rsidP="008E53E9">
            <w:pPr>
              <w:tabs>
                <w:tab w:val="left" w:pos="585"/>
              </w:tabs>
              <w:spacing w:before="60"/>
              <w:ind w:left="567" w:hanging="567"/>
              <w:rPr>
                <w:rFonts w:eastAsia="Times New Roman"/>
                <w:sz w:val="18"/>
                <w:szCs w:val="18"/>
              </w:rPr>
            </w:pPr>
            <w:r w:rsidRPr="003F7F6C">
              <w:rPr>
                <w:rFonts w:eastAsia="Times New Roman"/>
                <w:sz w:val="18"/>
                <w:szCs w:val="18"/>
              </w:rPr>
              <w:t>7.5</w:t>
            </w:r>
            <w:r w:rsidRPr="003F7F6C">
              <w:rPr>
                <w:rFonts w:eastAsia="Times New Roman"/>
                <w:sz w:val="18"/>
                <w:szCs w:val="18"/>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tcPr>
          <w:p w14:paraId="5C3260E9" w14:textId="77777777" w:rsidR="00494980" w:rsidRPr="003F7F6C" w:rsidRDefault="00494980" w:rsidP="008E53E9">
            <w:pPr>
              <w:tabs>
                <w:tab w:val="left" w:pos="585"/>
              </w:tabs>
              <w:spacing w:before="60"/>
              <w:ind w:left="567" w:hanging="567"/>
              <w:rPr>
                <w:rFonts w:eastAsia="Times New Roman"/>
                <w:sz w:val="18"/>
                <w:szCs w:val="18"/>
              </w:rPr>
            </w:pPr>
            <w:r w:rsidRPr="003F7F6C">
              <w:rPr>
                <w:rFonts w:eastAsia="Times New Roman"/>
                <w:sz w:val="18"/>
                <w:szCs w:val="18"/>
              </w:rPr>
              <w:t>No</w:t>
            </w:r>
          </w:p>
        </w:tc>
      </w:tr>
    </w:tbl>
    <w:p w14:paraId="49D35A21" w14:textId="77777777" w:rsidR="00494980" w:rsidRPr="003F7F6C" w:rsidRDefault="00494980" w:rsidP="00494980">
      <w:pPr>
        <w:pStyle w:val="Heading1"/>
        <w:numPr>
          <w:ilvl w:val="0"/>
          <w:numId w:val="0"/>
        </w:numPr>
        <w:rPr>
          <w:rFonts w:asciiTheme="minorHAnsi" w:hAnsiTheme="minorHAnsi" w:cstheme="minorHAnsi"/>
          <w:sz w:val="20"/>
        </w:rPr>
        <w:sectPr w:rsidR="00494980" w:rsidRPr="003F7F6C" w:rsidSect="008E53E9">
          <w:pgSz w:w="12242" w:h="15842" w:code="1"/>
          <w:pgMar w:top="1440" w:right="1440" w:bottom="1440" w:left="1440" w:header="720" w:footer="720" w:gutter="0"/>
          <w:cols w:space="720"/>
          <w:docGrid w:linePitch="360"/>
        </w:sectPr>
      </w:pPr>
    </w:p>
    <w:p w14:paraId="451729B1" w14:textId="77777777" w:rsidR="00494980" w:rsidRPr="003F7F6C" w:rsidRDefault="00494980" w:rsidP="00494980">
      <w:pPr>
        <w:spacing w:after="120" w:line="259" w:lineRule="auto"/>
        <w:jc w:val="center"/>
        <w:rPr>
          <w:rFonts w:eastAsia="Calibri"/>
          <w:b/>
          <w:szCs w:val="20"/>
          <w:lang w:eastAsia="es-CL"/>
        </w:rPr>
      </w:pPr>
      <w:r w:rsidRPr="003F7F6C">
        <w:rPr>
          <w:rFonts w:eastAsia="Calibri"/>
          <w:b/>
          <w:szCs w:val="20"/>
          <w:lang w:eastAsia="es-CL"/>
        </w:rPr>
        <w:t>Annex E-1 DRAFT INDIGENOUS PEOPLES PLAN</w:t>
      </w:r>
    </w:p>
    <w:p w14:paraId="24A74212" w14:textId="77777777" w:rsidR="00494980" w:rsidRPr="003F7F6C" w:rsidRDefault="00494980" w:rsidP="00494980">
      <w:pPr>
        <w:spacing w:after="120" w:line="259" w:lineRule="auto"/>
        <w:jc w:val="left"/>
        <w:rPr>
          <w:rFonts w:eastAsia="Calibri"/>
          <w:b/>
          <w:szCs w:val="20"/>
          <w:lang w:eastAsia="es-CL"/>
        </w:rPr>
      </w:pPr>
    </w:p>
    <w:p w14:paraId="3F9E6D0D" w14:textId="77777777" w:rsidR="00494980" w:rsidRPr="003F7F6C" w:rsidRDefault="00494980" w:rsidP="00494980">
      <w:pPr>
        <w:spacing w:after="120" w:line="259" w:lineRule="auto"/>
        <w:jc w:val="left"/>
        <w:rPr>
          <w:rFonts w:eastAsia="Calibri"/>
          <w:b/>
          <w:szCs w:val="20"/>
          <w:lang w:eastAsia="es-CL"/>
        </w:rPr>
      </w:pPr>
      <w:r w:rsidRPr="003F7F6C">
        <w:rPr>
          <w:rFonts w:eastAsia="Calibri"/>
          <w:b/>
          <w:szCs w:val="20"/>
          <w:lang w:eastAsia="es-CL"/>
        </w:rPr>
        <w:t>LEGAL FRAMEWORK FOR INDIGENOUS PEOPLES</w:t>
      </w:r>
    </w:p>
    <w:p w14:paraId="3BCA749F" w14:textId="77777777" w:rsidR="00494980" w:rsidRPr="003F7F6C" w:rsidRDefault="00494980" w:rsidP="00494980">
      <w:pPr>
        <w:spacing w:after="120" w:line="259" w:lineRule="auto"/>
        <w:ind w:left="10"/>
        <w:rPr>
          <w:rFonts w:eastAsia="Calibri" w:cs="Calibri"/>
          <w:color w:val="000000"/>
          <w:szCs w:val="20"/>
          <w:lang w:eastAsia="es-CL"/>
        </w:rPr>
      </w:pPr>
      <w:r w:rsidRPr="003F7F6C">
        <w:rPr>
          <w:rFonts w:eastAsia="Calibri" w:cs="Calibri"/>
          <w:color w:val="000000"/>
          <w:szCs w:val="20"/>
          <w:lang w:eastAsia="es-CL"/>
        </w:rPr>
        <w:t>In order to address the engagement and participation of Indigenous Peoples, the following international and domestic laws and regulations shall be taken into account.</w:t>
      </w:r>
    </w:p>
    <w:p w14:paraId="60E8DCFD" w14:textId="77777777" w:rsidR="00494980" w:rsidRPr="003F7F6C" w:rsidRDefault="00494980" w:rsidP="00494980">
      <w:pPr>
        <w:spacing w:after="120" w:line="259" w:lineRule="auto"/>
        <w:ind w:left="10"/>
        <w:rPr>
          <w:rFonts w:eastAsia="Calibri" w:cs="Calibri"/>
          <w:color w:val="000000"/>
          <w:szCs w:val="20"/>
          <w:lang w:eastAsia="es-CL"/>
        </w:rPr>
      </w:pPr>
      <w:r w:rsidRPr="003F7F6C">
        <w:rPr>
          <w:rFonts w:eastAsia="Calibri" w:cs="Calibri"/>
          <w:color w:val="000000"/>
          <w:szCs w:val="20"/>
          <w:lang w:eastAsia="es-CL"/>
        </w:rPr>
        <w:t>The federal legal framework under which the Argentine state protects the human rights of indigenous peoples is made up of the following elements, in  hierarchical order: Argentine Constitution Article 75(17) and related provisions; international human rights declarations and treaties with a constitutional status, particularly international economic, social and cultural rights treaties and civil and political rights treaties, the American Convention on Human Rights and the International Convention on the Elimination of all Forms of Racial Discrimination (Argentine Constitution Article 75(22)); other duly ratified international covenants, ranking below the Constitution but above domestic law (Argentine Constitution Article 75 (22)); particularly the International Labour Organization Convention No. 169 concerning Indigenous and Tribal Peoples in Independent Countries (Argentine Law No. 24,071); specific domestic laws, particularly Law No. 23,302 providing for support to aboriginal communities (1985)</w:t>
      </w:r>
      <w:r w:rsidRPr="003F7F6C">
        <w:rPr>
          <w:rFonts w:eastAsia="Calibri" w:cs="Calibri"/>
          <w:color w:val="000000"/>
          <w:szCs w:val="20"/>
          <w:vertAlign w:val="superscript"/>
          <w:lang w:eastAsia="es-CL"/>
        </w:rPr>
        <w:footnoteReference w:id="91"/>
      </w:r>
      <w:r w:rsidRPr="003F7F6C">
        <w:rPr>
          <w:rFonts w:eastAsia="Calibri" w:cs="Calibri"/>
          <w:color w:val="000000"/>
          <w:szCs w:val="20"/>
          <w:lang w:eastAsia="es-CL"/>
        </w:rPr>
        <w:t>. Under Law No. 26.160/06, extended until 2021, the National Indigenous Peoples Institute (INAI) was instructed to carry out a Technical, Legal and Land Survey of the ownership status of the lands occupied by indigenous communities, and to adopt such measures as are necessary with the Indigenous Engagement Council (</w:t>
      </w:r>
      <w:r w:rsidRPr="003F7F6C">
        <w:rPr>
          <w:rFonts w:eastAsia="Calibri" w:cs="Calibri"/>
          <w:i/>
          <w:color w:val="000000"/>
          <w:szCs w:val="20"/>
          <w:lang w:eastAsia="es-CL"/>
        </w:rPr>
        <w:t>CPI</w:t>
      </w:r>
      <w:r w:rsidRPr="003F7F6C">
        <w:rPr>
          <w:rFonts w:eastAsia="Calibri" w:cs="Calibri"/>
          <w:color w:val="000000"/>
          <w:szCs w:val="20"/>
          <w:lang w:eastAsia="es-CL"/>
        </w:rPr>
        <w:t>); provincial aboriginal institutes; national universities; national, provincial and local bodies; indigenous organizations and non-governmental organizations</w:t>
      </w:r>
      <w:r w:rsidRPr="003F7F6C">
        <w:rPr>
          <w:rFonts w:eastAsia="Calibri" w:cs="Calibri"/>
          <w:color w:val="000000"/>
          <w:szCs w:val="20"/>
          <w:vertAlign w:val="superscript"/>
          <w:lang w:eastAsia="es-CL"/>
        </w:rPr>
        <w:footnoteReference w:id="92"/>
      </w:r>
      <w:r w:rsidRPr="003F7F6C">
        <w:rPr>
          <w:rFonts w:eastAsia="Calibri" w:cs="Calibri"/>
          <w:color w:val="000000"/>
          <w:szCs w:val="20"/>
          <w:lang w:eastAsia="es-CL"/>
        </w:rPr>
        <w:t>. Provinces too may enact legislation as provided for in the final clause of the Argentine Constitution Article 75 (17). This has been interpreted to mean that the provinces may contribute to legally developing the law of the indigenous peoples and communities, provided that the minimum set of rights enshrined by federal legislation are recognized.</w:t>
      </w:r>
    </w:p>
    <w:p w14:paraId="6072BEF5" w14:textId="77777777" w:rsidR="00494980" w:rsidRPr="003F7F6C" w:rsidRDefault="00494980" w:rsidP="00494980">
      <w:pPr>
        <w:spacing w:after="160" w:line="259" w:lineRule="auto"/>
        <w:ind w:left="10"/>
        <w:rPr>
          <w:rFonts w:eastAsia="Calibri" w:cs="Calibri"/>
          <w:szCs w:val="20"/>
        </w:rPr>
      </w:pPr>
      <w:r w:rsidRPr="003F7F6C">
        <w:rPr>
          <w:rFonts w:eastAsia="Calibri" w:cs="Calibri"/>
          <w:szCs w:val="20"/>
        </w:rPr>
        <w:t>It should be noted that International Labour Organization Convention No. 169, in a chapter dealing with participation, imposes upon States a duty to consult with the peoples concerned, through appropriate procedures and in particular through their representative institutions, whenever consideration is being given to legislative or administrative measures which may affect them directly. For that purpose, mechanisms should be put in place so that indigenous peoples may participate to the same extent as other sectors of the population (Article 6 (a) and (b)). Additionally, Article 7 provides that indigenous peoples have a right to “decide their own priorities for the process of development as it affects their lives, institutions and spiritual wellbeing and the lands they occupy or otherwise use, and to exercise control over their own economic, social and cultural development.” In addition, the United Nations Universal Declaration on the Rights of Indigenous Peoples</w:t>
      </w:r>
      <w:r w:rsidRPr="003F7F6C">
        <w:rPr>
          <w:rFonts w:eastAsia="Calibri" w:cs="Calibri"/>
          <w:szCs w:val="20"/>
          <w:vertAlign w:val="superscript"/>
        </w:rPr>
        <w:footnoteReference w:id="93"/>
      </w:r>
      <w:r w:rsidRPr="003F7F6C">
        <w:rPr>
          <w:rFonts w:eastAsia="Calibri" w:cs="Calibri"/>
          <w:szCs w:val="20"/>
        </w:rPr>
        <w:t xml:space="preserve"> mentions Free, Prior and Informed Consent (FPIC) and constitutes an integral part of the human rights-based approach. Participation implies going beyond mere consultation and must lead to the concrete appropriation of projects by the indigenous peoples. The declaration specifically requires the specialized bodies and entities of the United Nations system (including the UNDP) to promote respect for, and full application of, the rights enshrined therein.</w:t>
      </w:r>
    </w:p>
    <w:p w14:paraId="2D14B02C" w14:textId="77777777" w:rsidR="00494980" w:rsidRPr="003F7F6C" w:rsidRDefault="00494980" w:rsidP="00494980">
      <w:pPr>
        <w:spacing w:after="120"/>
        <w:rPr>
          <w:rFonts w:eastAsia="Calibri" w:cs="Calibri"/>
          <w:szCs w:val="20"/>
        </w:rPr>
      </w:pPr>
      <w:r w:rsidRPr="003F7F6C">
        <w:rPr>
          <w:rFonts w:eastAsia="Calibri" w:cs="Calibri"/>
          <w:szCs w:val="20"/>
        </w:rPr>
        <w:t>The effective implementation of the indigenous peoples’ right to consultation is relevant for a variety of reasons ranging from a strict respect for the rights established by domestic and international legislation to the construction of a community that respects diversity living in harmony with its environment. Thus, some of the main contributions of the respect of the indigenous peoples’ right to be consulted are the fact that it dignifies indigenous peoples; strengthens our democratic system and contributes to enforcing rights; helps build an inclusive, diversity-friendly citizenry; helps prevent and transform conflicts; and contributes to sustainable development.</w:t>
      </w:r>
    </w:p>
    <w:p w14:paraId="0DB7426F" w14:textId="77777777" w:rsidR="00494980" w:rsidRPr="003F7F6C" w:rsidRDefault="00494980" w:rsidP="00494980">
      <w:pPr>
        <w:spacing w:after="120"/>
        <w:rPr>
          <w:rFonts w:eastAsia="Calibri" w:cs="Calibri"/>
          <w:szCs w:val="20"/>
        </w:rPr>
      </w:pPr>
    </w:p>
    <w:p w14:paraId="1C36D25B" w14:textId="45F36778" w:rsidR="00494980" w:rsidRPr="003F7F6C" w:rsidRDefault="00494980" w:rsidP="00494980">
      <w:pPr>
        <w:keepNext/>
        <w:keepLines/>
        <w:spacing w:after="120"/>
        <w:jc w:val="left"/>
        <w:outlineLvl w:val="2"/>
        <w:rPr>
          <w:rFonts w:eastAsia="Times New Roman"/>
          <w:b/>
          <w:smallCaps/>
          <w:szCs w:val="20"/>
          <w:lang w:eastAsia="es-US"/>
        </w:rPr>
      </w:pPr>
      <w:bookmarkStart w:id="46" w:name="_Toc529820211"/>
      <w:bookmarkStart w:id="47" w:name="_Toc529891426"/>
      <w:r w:rsidRPr="003F7F6C">
        <w:rPr>
          <w:rFonts w:eastAsia="Times New Roman"/>
          <w:b/>
          <w:smallCaps/>
          <w:szCs w:val="20"/>
          <w:lang w:eastAsia="es-US"/>
        </w:rPr>
        <w:t>SOCIAL ASSESSMENT WITH INDIGENOUS PEOPLES AND PROJECT ENGAGEMENT PLAN</w:t>
      </w:r>
      <w:bookmarkEnd w:id="46"/>
      <w:bookmarkEnd w:id="47"/>
    </w:p>
    <w:p w14:paraId="7E30B7C2" w14:textId="77777777" w:rsidR="00494980" w:rsidRPr="003F7F6C" w:rsidRDefault="00494980" w:rsidP="00494980">
      <w:pPr>
        <w:spacing w:after="120"/>
        <w:rPr>
          <w:rFonts w:eastAsia="Calibri"/>
          <w:szCs w:val="20"/>
          <w:lang w:eastAsia="es-US"/>
        </w:rPr>
      </w:pPr>
      <w:r w:rsidRPr="003F7F6C">
        <w:rPr>
          <w:rFonts w:eastAsia="Calibri"/>
          <w:szCs w:val="20"/>
          <w:lang w:eastAsia="es-US"/>
        </w:rPr>
        <w:t xml:space="preserve">Consultations were carried out in Mendoza with authorities representing the communities and the organization of communities in Mapuche communities of Mendoza living in the Malargüe district. In Jujuy, work was carried out together with the Secretariat of Indigenous Peoples. Since 2016, Jujuy has a </w:t>
      </w:r>
      <w:r w:rsidRPr="003F7F6C">
        <w:rPr>
          <w:rFonts w:eastAsia="Calibri" w:cs="Calibri"/>
          <w:szCs w:val="20"/>
        </w:rPr>
        <w:t>Secretariat of Indigenous Peoples</w:t>
      </w:r>
      <w:r w:rsidRPr="003F7F6C">
        <w:rPr>
          <w:rFonts w:eastAsia="Calibri"/>
          <w:szCs w:val="20"/>
          <w:lang w:eastAsia="es-US"/>
        </w:rPr>
        <w:t xml:space="preserve">, which is responsible for promoting and protecting the rights of the Indigenous Peoples, particularly guaranteeing the right to consultation. The </w:t>
      </w:r>
      <w:r w:rsidRPr="003F7F6C">
        <w:rPr>
          <w:rFonts w:eastAsia="Calibri" w:cs="Calibri"/>
          <w:szCs w:val="20"/>
        </w:rPr>
        <w:t>Secretariat of Indigenous Peoples</w:t>
      </w:r>
      <w:r w:rsidRPr="003F7F6C">
        <w:rPr>
          <w:rFonts w:eastAsia="Calibri"/>
          <w:szCs w:val="20"/>
          <w:lang w:eastAsia="es-US"/>
        </w:rPr>
        <w:t xml:space="preserve"> has come to act as a liaison body between public policies and governmental bodies on the one hand, and the indigenous peoples’ own existing processes, on the other; and has opened dialogue between those bodies and the indigenous peoples. Therefore, for PPG-related activities, requests for information, the identification of communities and the identification of appropriate measures for this and future project implementation stages have been carried out in consultation with the provincial project leaders and the </w:t>
      </w:r>
      <w:r w:rsidRPr="003F7F6C">
        <w:rPr>
          <w:rFonts w:eastAsia="Calibri" w:cs="Calibri"/>
          <w:szCs w:val="20"/>
        </w:rPr>
        <w:t>Secretariat of Indigenous Peoples</w:t>
      </w:r>
      <w:r w:rsidRPr="003F7F6C">
        <w:rPr>
          <w:rFonts w:eastAsia="Calibri"/>
          <w:szCs w:val="20"/>
          <w:lang w:eastAsia="es-US"/>
        </w:rPr>
        <w:t xml:space="preserve">. </w:t>
      </w:r>
    </w:p>
    <w:p w14:paraId="2E06915A" w14:textId="77777777" w:rsidR="00494980" w:rsidRPr="003F7F6C" w:rsidRDefault="00494980" w:rsidP="00494980">
      <w:pPr>
        <w:spacing w:before="120" w:after="120"/>
        <w:rPr>
          <w:rFonts w:eastAsia="Calibri"/>
          <w:szCs w:val="20"/>
          <w:lang w:eastAsia="es-US"/>
        </w:rPr>
      </w:pPr>
      <w:r w:rsidRPr="003F7F6C">
        <w:rPr>
          <w:rFonts w:eastAsia="Calibri"/>
          <w:szCs w:val="20"/>
          <w:lang w:eastAsia="es-US"/>
        </w:rPr>
        <w:t>In all cases, a brief introduction about the framework of the project was provided, as well as the legal framework and the standards governing the project, including the rationale behind the Land Use Planning instrument which constitutes the core of the project. As already explained, the Land Use Planning —and the project itself— contain a participative and collaborative logic. Afterwards, and as information became available, the project was discussed in greater detail, emphasizing the various mechanisms for participation —at the national, provincial and pilot site level— and the specific consultation and participation stages that could be developed jointly with indigenous peoples.</w:t>
      </w:r>
    </w:p>
    <w:p w14:paraId="4D02F78C" w14:textId="77777777" w:rsidR="00494980" w:rsidRPr="003F7F6C" w:rsidRDefault="00494980" w:rsidP="00494980">
      <w:pPr>
        <w:spacing w:before="120" w:after="120"/>
        <w:rPr>
          <w:rFonts w:eastAsia="Calibri"/>
          <w:szCs w:val="20"/>
        </w:rPr>
      </w:pPr>
      <w:r w:rsidRPr="003F7F6C">
        <w:rPr>
          <w:rFonts w:eastAsia="Calibri"/>
          <w:szCs w:val="20"/>
        </w:rPr>
        <w:t>In Mendoza, consultations were held with the “Werken” or spokesman, on behalf of the communities and the organization of the Mapuche communities of Mendoza in the Malargüe target landscape. In Jujuy, the PPG team worked with provincial authorities and the Secretariat of Indigenous Peoples, which is responsible for the promotion and protection of the rights of Indigenous Peoples in the province, and in particular to guarantee the right to Prior Consultation and FPIC. In both cases oral and general agreements with the project were obtained as well as their agreement to jointly develop during project implementation specific consultations before elaborating specific ELUP related interventions in the target landscapes.</w:t>
      </w:r>
    </w:p>
    <w:p w14:paraId="05DF8523" w14:textId="77777777" w:rsidR="00494980" w:rsidRPr="003F7F6C" w:rsidRDefault="00494980" w:rsidP="00494980">
      <w:pPr>
        <w:spacing w:after="160" w:line="259" w:lineRule="auto"/>
        <w:rPr>
          <w:rFonts w:eastAsia="Calibri"/>
          <w:szCs w:val="20"/>
          <w:lang w:eastAsia="es-US"/>
        </w:rPr>
      </w:pPr>
      <w:r w:rsidRPr="003F7F6C">
        <w:rPr>
          <w:rFonts w:eastAsia="Calibri"/>
          <w:szCs w:val="20"/>
          <w:lang w:eastAsia="es-US"/>
        </w:rPr>
        <w:t>Owing to the specific features of the project which require sustained negotiation, coordination and consultation processes as key elements of ELUP, during the initial year of the project, prior to designing specific plans to make the Environmental Land Use Planning operational, the appropriate consultation processes for each indigenous community involved in the specific activities will be designed for each pilot site. This is without prejudice to the information discussed below, which will form the basis for the coordination.</w:t>
      </w:r>
    </w:p>
    <w:p w14:paraId="6B0349EF" w14:textId="77777777" w:rsidR="00494980" w:rsidRPr="003F7F6C" w:rsidRDefault="00494980" w:rsidP="00494980">
      <w:pPr>
        <w:spacing w:before="120" w:after="120"/>
        <w:rPr>
          <w:rFonts w:eastAsia="Times New Roman" w:cs="Calibri"/>
          <w:color w:val="000000"/>
          <w:szCs w:val="20"/>
          <w:lang w:eastAsia="es-US"/>
        </w:rPr>
      </w:pPr>
    </w:p>
    <w:p w14:paraId="783834D5" w14:textId="77777777" w:rsidR="00494980" w:rsidRPr="003F7F6C" w:rsidRDefault="00494980" w:rsidP="00494980">
      <w:pPr>
        <w:spacing w:after="160" w:line="259" w:lineRule="auto"/>
        <w:jc w:val="left"/>
        <w:rPr>
          <w:rFonts w:eastAsia="Times New Roman"/>
          <w:b/>
          <w:szCs w:val="20"/>
        </w:rPr>
      </w:pPr>
      <w:r w:rsidRPr="003F7F6C">
        <w:rPr>
          <w:rFonts w:eastAsia="Calibri"/>
          <w:b/>
          <w:szCs w:val="20"/>
        </w:rPr>
        <w:t xml:space="preserve">ENGAGEMENT, CONSULTATION AND FPIC PROCESSES IN THE TERRITORY </w:t>
      </w:r>
    </w:p>
    <w:p w14:paraId="1F4FB582" w14:textId="77777777" w:rsidR="00494980" w:rsidRPr="003F7F6C" w:rsidRDefault="00494980" w:rsidP="00494980">
      <w:pPr>
        <w:spacing w:after="160" w:line="259" w:lineRule="auto"/>
        <w:rPr>
          <w:rFonts w:eastAsia="Calibri" w:cs="Calibri"/>
          <w:color w:val="222222"/>
          <w:szCs w:val="20"/>
          <w:shd w:val="clear" w:color="auto" w:fill="FFFFFF"/>
        </w:rPr>
      </w:pPr>
      <w:r w:rsidRPr="003F7F6C">
        <w:rPr>
          <w:rFonts w:eastAsia="Calibri"/>
          <w:b/>
          <w:iCs/>
          <w:color w:val="000000"/>
          <w:szCs w:val="20"/>
        </w:rPr>
        <w:t>Social and Political Organization of Indigenous Peoples in Mendoza</w:t>
      </w:r>
      <w:r w:rsidRPr="003F7F6C">
        <w:rPr>
          <w:rFonts w:eastAsia="Calibri"/>
          <w:color w:val="222222"/>
          <w:szCs w:val="20"/>
          <w:shd w:val="clear" w:color="auto" w:fill="FFFFFF"/>
        </w:rPr>
        <w:t xml:space="preserve">. In the Mapuche communities in Malargüe decisions are taken by an Assembly of Communities and the Council of Authorities of each Community. The ancestral political Authorities are the “Logko” (head - political authority), “Inan Logko” (Vice-president), “Werken” (messenger - spokesman) and “Kona” (warrior). The communities are grouped into political organizations or councils. In the case of Malargüe, they refer to Malalweche, i.e., the Territorial Organization of the Mapuche People. These communities and their political organization are ruled by a </w:t>
      </w:r>
      <w:r w:rsidRPr="003F7F6C">
        <w:rPr>
          <w:rFonts w:eastAsia="Calibri"/>
          <w:b/>
          <w:color w:val="222222"/>
          <w:szCs w:val="20"/>
          <w:shd w:val="clear" w:color="auto" w:fill="FFFFFF"/>
        </w:rPr>
        <w:t xml:space="preserve">prior consultation protocol developed by </w:t>
      </w:r>
      <w:r w:rsidRPr="003F7F6C">
        <w:rPr>
          <w:rFonts w:eastAsia="Calibri"/>
          <w:b/>
          <w:i/>
          <w:color w:val="222222"/>
          <w:szCs w:val="20"/>
          <w:shd w:val="clear" w:color="auto" w:fill="FFFFFF"/>
        </w:rPr>
        <w:t>Encuentro Nacional de Organizaciones Territoriales de Pueblos Originarios</w:t>
      </w:r>
      <w:r w:rsidRPr="003F7F6C">
        <w:rPr>
          <w:rFonts w:eastAsia="Calibri"/>
          <w:b/>
          <w:color w:val="222222"/>
          <w:szCs w:val="20"/>
          <w:shd w:val="clear" w:color="auto" w:fill="FFFFFF"/>
        </w:rPr>
        <w:t xml:space="preserve"> (ENOTPO, in Spanish).</w:t>
      </w:r>
      <w:r w:rsidRPr="003F7F6C">
        <w:rPr>
          <w:rFonts w:eastAsia="Calibri"/>
          <w:color w:val="222222"/>
          <w:szCs w:val="20"/>
          <w:shd w:val="clear" w:color="auto" w:fill="FFFFFF"/>
        </w:rPr>
        <w:t xml:space="preserve"> The organized Malargüe communities hold several prior consultation processes with the government and other actors. In particular, they have had experience participating in a land-use planning process with the Malargüe Municipality concerning a specific sector of “Cañada Colorada.” Besides, as mentioned above, Mendoza has been working on a land-use planning process for over 20 years, including an engagement element which has been tested, analyzed and improved. This included the implementation of prior consultation processes, which can be considered as experience to improve engagement practices in this project. For these reasons and </w:t>
      </w:r>
      <w:r w:rsidRPr="003F7F6C">
        <w:rPr>
          <w:rFonts w:eastAsia="Calibri"/>
          <w:szCs w:val="20"/>
        </w:rPr>
        <w:t>due to the capacity of the Land-use Planning Agency to liaise with indigenous peoples and actors of the Municipality and other producers, locals are extremely willing to engage.</w:t>
      </w:r>
    </w:p>
    <w:p w14:paraId="4FF305E1" w14:textId="77777777" w:rsidR="00494980" w:rsidRPr="003F7F6C" w:rsidRDefault="00494980" w:rsidP="00494980">
      <w:pPr>
        <w:spacing w:after="160" w:line="259" w:lineRule="auto"/>
        <w:ind w:left="10"/>
        <w:rPr>
          <w:rFonts w:eastAsia="Calibri" w:cs="Calibri"/>
          <w:color w:val="ED7D31"/>
          <w:szCs w:val="20"/>
        </w:rPr>
      </w:pPr>
      <w:r w:rsidRPr="003F7F6C">
        <w:rPr>
          <w:rFonts w:eastAsia="Calibri"/>
          <w:b/>
          <w:iCs/>
          <w:color w:val="000000"/>
          <w:szCs w:val="20"/>
        </w:rPr>
        <w:t>Social and Political Organization of Indigenous Peoples Communities in Jujuy.</w:t>
      </w:r>
      <w:r w:rsidRPr="003F7F6C">
        <w:rPr>
          <w:rFonts w:eastAsia="Calibri"/>
          <w:i/>
          <w:iCs/>
          <w:color w:val="000000"/>
          <w:szCs w:val="20"/>
        </w:rPr>
        <w:t xml:space="preserve"> </w:t>
      </w:r>
      <w:r w:rsidRPr="003F7F6C">
        <w:rPr>
          <w:rFonts w:eastAsia="Calibri"/>
          <w:color w:val="000000"/>
          <w:szCs w:val="20"/>
        </w:rPr>
        <w:t>The Kolla, Omaguaca, and Atacama peoples have very similar political institutions in each community, such as the Community Council, the Council of the Elderly, and the Assembly. The differences lie in some specific attributes. Moreover, the families form social networks based on family bonds, godfatherhood, and neighborliness which reinforce their relationship system. The </w:t>
      </w:r>
      <w:r w:rsidRPr="003F7F6C">
        <w:rPr>
          <w:rFonts w:eastAsia="Calibri"/>
          <w:i/>
          <w:iCs/>
          <w:color w:val="000000"/>
          <w:szCs w:val="20"/>
        </w:rPr>
        <w:t>minga</w:t>
      </w:r>
      <w:r w:rsidRPr="003F7F6C">
        <w:rPr>
          <w:rFonts w:eastAsia="Calibri"/>
          <w:color w:val="000000"/>
          <w:szCs w:val="20"/>
        </w:rPr>
        <w:t xml:space="preserve">, which originated from a community tradition deeply rooted in the Andean world, is a form of cooperative and voluntary work which gathers several families or neighbors and is based, precisely, on a network system. If the work is performed for a single family, this family is to compensate it with similar work for those who cooperated with them. </w:t>
      </w:r>
    </w:p>
    <w:p w14:paraId="393577C8" w14:textId="77777777" w:rsidR="00494980" w:rsidRPr="003F7F6C" w:rsidRDefault="00494980" w:rsidP="00494980">
      <w:pPr>
        <w:spacing w:after="160" w:line="259" w:lineRule="auto"/>
        <w:ind w:left="10"/>
        <w:rPr>
          <w:rFonts w:eastAsia="Calibri" w:cs="Calibri"/>
          <w:szCs w:val="20"/>
        </w:rPr>
      </w:pPr>
      <w:r w:rsidRPr="003F7F6C">
        <w:rPr>
          <w:rFonts w:eastAsia="Calibri"/>
          <w:szCs w:val="20"/>
        </w:rPr>
        <w:t xml:space="preserve">According to the information obtained from the Indigenous Peoples Secretariat and other governmental actors working in the territory, even though the communities in the target landscapes of Jujuy do not have their own consultation protocol as do other communities in the province </w:t>
      </w:r>
      <w:r w:rsidRPr="003F7F6C">
        <w:rPr>
          <w:rFonts w:eastAsia="Calibri" w:cs="Calibri"/>
          <w:szCs w:val="20"/>
          <w:vertAlign w:val="superscript"/>
        </w:rPr>
        <w:footnoteReference w:id="94"/>
      </w:r>
      <w:r w:rsidRPr="003F7F6C">
        <w:rPr>
          <w:rFonts w:eastAsia="Calibri"/>
          <w:szCs w:val="20"/>
        </w:rPr>
        <w:t xml:space="preserve">, they do maintain a close liaison with said Secretariat, which provides technical support for designing and developing consultation processes with the communities and FPIC when necessary, working as an intermediary in the dialogue between governmental entities, private actors and communities. The Secretariat has a specific area which provides guidance and support to communities in carrying out consultation processes. </w:t>
      </w:r>
    </w:p>
    <w:p w14:paraId="534114D6" w14:textId="77777777" w:rsidR="00494980" w:rsidRPr="003F7F6C" w:rsidRDefault="00494980" w:rsidP="00494980">
      <w:pPr>
        <w:spacing w:after="160" w:line="259" w:lineRule="auto"/>
        <w:rPr>
          <w:rFonts w:eastAsia="Calibri" w:cs="Calibri"/>
          <w:szCs w:val="20"/>
        </w:rPr>
      </w:pPr>
      <w:r w:rsidRPr="003F7F6C">
        <w:rPr>
          <w:rFonts w:eastAsia="Calibri"/>
          <w:szCs w:val="20"/>
        </w:rPr>
        <w:t xml:space="preserve">In these communities, there are internal deliberative practices, sustained stages for liaison with governmental entities and processes for consolidation of the peoples’ capacities. which provide the proper conditions for timely implementation of an initial phase of the project, the processes named Consultation about the Consultation, i.e., adequate processes in each site to identify not only the procedure but also the topics and the number of consultations to be carried out based on the activities to be considered. For example, in Jujuy, a prior consultation process with communities of Quebrada de Humahuaca was conducted for holding a concert in the World Heritage site. In the case of Susques, jujuy, all ten communities involved follow a consolidated tradition of internal deliberation by means of a community assembly and a general assembly of ten communities. They also conduct a deliberation practice with authorities and actors of the private sector within the framework of community assemblies where Secretaries or Ministers are invited to participate, as well as high ranking officers of the company “Sales de Jujuy”, to carry out a dialogue on topics of interest for the communities. These extended assemblies are held once a month and attended by authorities and members of the ten communities. Minutes of such assemblies are drafted reflecting the items discussed and the agreements reached. Based on the experience gained by the consultant in its interaction with these communities, and the reference given by the Indigenous Peoples Secretariat, this dialogue and deliberation system will be an adequate space for developing the first stages of Consultation on the Consultation, when required to identify the proper mechanisms for addressing several issues or projects involving this pilot site. </w:t>
      </w:r>
    </w:p>
    <w:p w14:paraId="02C94624" w14:textId="77777777" w:rsidR="00494980" w:rsidRPr="003F7F6C" w:rsidRDefault="00494980" w:rsidP="00494980">
      <w:pPr>
        <w:spacing w:after="160" w:line="259" w:lineRule="auto"/>
        <w:rPr>
          <w:rFonts w:eastAsia="Calibri" w:cs="Calibri"/>
          <w:szCs w:val="20"/>
        </w:rPr>
      </w:pPr>
      <w:r w:rsidRPr="003F7F6C">
        <w:rPr>
          <w:rFonts w:eastAsia="Calibri"/>
          <w:szCs w:val="20"/>
        </w:rPr>
        <w:t>In any case, in both sites a strong institutional presence is noteworthy in conjunction with a close liaison with local stakeholders, members of the indigenous communities, and other private actors (such as tourism service providers, mining companies, hygiene service providers, among others).</w:t>
      </w:r>
    </w:p>
    <w:p w14:paraId="7E9471DF" w14:textId="77777777" w:rsidR="00494980" w:rsidRPr="003F7F6C" w:rsidRDefault="00494980" w:rsidP="00494980">
      <w:pPr>
        <w:spacing w:after="160" w:line="259" w:lineRule="auto"/>
        <w:rPr>
          <w:rFonts w:eastAsia="Calibri" w:cs="Calibri"/>
          <w:szCs w:val="20"/>
        </w:rPr>
      </w:pPr>
      <w:r w:rsidRPr="003F7F6C">
        <w:rPr>
          <w:rFonts w:eastAsia="Calibri"/>
          <w:szCs w:val="20"/>
        </w:rPr>
        <w:t xml:space="preserve">Additionally, all indigenous communities of the country have two indigenous representatives per People at the provincial level, who are appointed in a process entailing community assemblies convened by INAI, with whom they comprise the Indigenous Participation Council, which is a space for collaborative work and cooperation between the National Government and the indigenous peoples of Argentina. This space has the purpose of </w:t>
      </w:r>
      <w:r w:rsidRPr="003F7F6C">
        <w:rPr>
          <w:rFonts w:eastAsia="Calibri"/>
          <w:szCs w:val="20"/>
          <w:shd w:val="clear" w:color="auto" w:fill="FFFFFF"/>
        </w:rPr>
        <w:t>promoting participation of indigenous communities in the Land Surveying Programme –Law No. 26,160-; guiding communities in formulating development projects with cultural identity; strengthening communities in the organization and registration of their legal identity and participating in several consultation processes concerning public policies that might affect the interests of indigenous peoples.</w:t>
      </w:r>
    </w:p>
    <w:p w14:paraId="1FE16AF5" w14:textId="77777777" w:rsidR="00494980" w:rsidRPr="003F7F6C" w:rsidRDefault="00494980" w:rsidP="00494980">
      <w:pPr>
        <w:spacing w:after="160" w:line="259" w:lineRule="auto"/>
        <w:jc w:val="left"/>
        <w:rPr>
          <w:rFonts w:eastAsia="Calibri"/>
          <w:b/>
          <w:szCs w:val="20"/>
        </w:rPr>
      </w:pPr>
      <w:r w:rsidRPr="003F7F6C">
        <w:rPr>
          <w:rFonts w:eastAsia="Calibri"/>
          <w:b/>
          <w:szCs w:val="20"/>
        </w:rPr>
        <w:t>SUPPORT CAPACITY</w:t>
      </w:r>
    </w:p>
    <w:p w14:paraId="25D0F59F" w14:textId="77777777" w:rsidR="00494980" w:rsidRPr="003F7F6C" w:rsidRDefault="00494980" w:rsidP="00494980">
      <w:pPr>
        <w:spacing w:before="120" w:after="120"/>
        <w:rPr>
          <w:rFonts w:eastAsia="Times New Roman" w:cs="Calibri"/>
          <w:color w:val="000000"/>
          <w:szCs w:val="20"/>
          <w:lang w:eastAsia="es-US"/>
        </w:rPr>
      </w:pPr>
      <w:r w:rsidRPr="003F7F6C">
        <w:rPr>
          <w:rFonts w:eastAsia="Calibri"/>
          <w:color w:val="000000"/>
          <w:szCs w:val="20"/>
        </w:rPr>
        <w:t xml:space="preserve">As part of the Capacity Strengthening Program to be implemented within the project, several participatory workshops will be carried out to work on enhancing information and strengthening capacities for several actors involved in the project. Some of the topics and practices to be discussed are as follows: Environmental Land Use Planning for government and civil society actors, as well as for indigenous peoples. A discussion will also be held to improve engagement practices and collaborative resolution of any disputes which may arise from discussions and dialogue on the use and regulation of practices involving territories. Moreover, and especially, another topic for discussion will be capacity strengthening for government and civil society actors on human rights and engagement practices, consultation and consent associated with the challenges and opportunities posed by this project. </w:t>
      </w:r>
    </w:p>
    <w:p w14:paraId="5C6BAC94" w14:textId="77777777" w:rsidR="00494980" w:rsidRPr="003F7F6C" w:rsidRDefault="00494980" w:rsidP="00494980">
      <w:pPr>
        <w:spacing w:after="160" w:line="259" w:lineRule="auto"/>
        <w:jc w:val="left"/>
        <w:rPr>
          <w:rFonts w:eastAsia="Times New Roman"/>
          <w:b/>
          <w:szCs w:val="20"/>
        </w:rPr>
      </w:pPr>
      <w:r w:rsidRPr="003F7F6C">
        <w:rPr>
          <w:rFonts w:eastAsia="Calibri"/>
          <w:b/>
          <w:szCs w:val="20"/>
        </w:rPr>
        <w:t xml:space="preserve">GRIEVANCE MECHANISM FOR COMPLAINTS </w:t>
      </w:r>
    </w:p>
    <w:p w14:paraId="29C87F1C" w14:textId="77777777" w:rsidR="00494980" w:rsidRPr="003F7F6C" w:rsidRDefault="00494980" w:rsidP="00494980">
      <w:pPr>
        <w:spacing w:after="160" w:line="259" w:lineRule="auto"/>
        <w:rPr>
          <w:rFonts w:eastAsia="Calibri"/>
          <w:szCs w:val="20"/>
        </w:rPr>
      </w:pPr>
      <w:r w:rsidRPr="003F7F6C">
        <w:rPr>
          <w:rFonts w:eastAsia="Calibri"/>
          <w:szCs w:val="20"/>
        </w:rPr>
        <w:t xml:space="preserve">The project will implement a comprehensive </w:t>
      </w:r>
      <w:r w:rsidRPr="003F7F6C">
        <w:rPr>
          <w:rFonts w:eastAsia="Calibri"/>
          <w:b/>
          <w:szCs w:val="20"/>
        </w:rPr>
        <w:t xml:space="preserve">System for Prevention and Management of Consultations and Conflicts (SPCC, in Spanish). </w:t>
      </w:r>
      <w:r w:rsidRPr="003F7F6C">
        <w:rPr>
          <w:rFonts w:eastAsia="Calibri"/>
          <w:szCs w:val="20"/>
        </w:rPr>
        <w:t xml:space="preserve">This system will comprise a specific structure for all cases in addition to a specific mechanism entailing adequate practices to address discrepancies, consultations or conflicts involving the Indigenous Peoples in connection with project activities. For these cases the mechanisms used by the communities to address disputes will be considered: for example, the Mapuche communities use a specific assembly method named Kumen Feley for their daily assembly practice and Nor Feley to solve disputes or conflicts and may be convened at the community level or at the community organization level.  In any case, besides primarily opting for managing and inquiring into the disputes concerning indigenous people’s practices, mechanisms will be implemented according to national and international laws related to indigenous peoples.  </w:t>
      </w:r>
    </w:p>
    <w:p w14:paraId="0BC12ABE" w14:textId="77777777" w:rsidR="00494980" w:rsidRPr="003F7F6C" w:rsidRDefault="00494980" w:rsidP="00494980">
      <w:pPr>
        <w:spacing w:after="160" w:line="259" w:lineRule="auto"/>
        <w:jc w:val="left"/>
        <w:rPr>
          <w:rFonts w:eastAsia="Calibri"/>
          <w:b/>
          <w:szCs w:val="20"/>
        </w:rPr>
      </w:pPr>
      <w:r w:rsidRPr="003F7F6C">
        <w:rPr>
          <w:rFonts w:eastAsia="Calibri"/>
          <w:b/>
          <w:szCs w:val="20"/>
        </w:rPr>
        <w:t>PLAN FOR INDIGENOUS PEOPLE’S ENGAGEMENT IN PROJECT IMPLEMENTATION</w:t>
      </w:r>
    </w:p>
    <w:p w14:paraId="0C917F23" w14:textId="77777777" w:rsidR="00494980" w:rsidRPr="003F7F6C" w:rsidRDefault="00494980" w:rsidP="00494980">
      <w:pPr>
        <w:spacing w:after="160" w:line="259" w:lineRule="auto"/>
        <w:rPr>
          <w:rFonts w:eastAsia="Calibri" w:cs="Calibri"/>
          <w:szCs w:val="20"/>
        </w:rPr>
      </w:pPr>
      <w:r w:rsidRPr="003F7F6C">
        <w:rPr>
          <w:rFonts w:eastAsia="Calibri"/>
          <w:szCs w:val="20"/>
        </w:rPr>
        <w:t xml:space="preserve">During the initial phase of project implementation, there will be consultations to discuss the later consultation processes to be carried out, i.e., adequate consultation processes will be implemented in each pilot site where indigenous peoples are identified to establish proper mechanisms for prior consultation and FPIC as applicable. </w:t>
      </w:r>
    </w:p>
    <w:p w14:paraId="44C71976" w14:textId="77777777" w:rsidR="00494980" w:rsidRPr="003F7F6C" w:rsidRDefault="00494980" w:rsidP="00494980">
      <w:pPr>
        <w:spacing w:after="160" w:line="259" w:lineRule="auto"/>
        <w:rPr>
          <w:rFonts w:eastAsia="Calibri" w:cs="Calibri"/>
          <w:szCs w:val="20"/>
        </w:rPr>
      </w:pPr>
      <w:r w:rsidRPr="003F7F6C">
        <w:rPr>
          <w:rFonts w:eastAsia="Calibri"/>
          <w:szCs w:val="20"/>
        </w:rPr>
        <w:t xml:space="preserve">In the initial consultations on the consultation processes, meetings with indigenous communities will be held so as to design further consultation processes and at this initial stage the aim will be to identify:  the communities involved by the specific consultation topic, the topics or types of topics involving consultation processes in each project or specific area, decision-making mechanisms to be implemented, and the type of result (Prior Consultation or FPIC), internal or external advisors or technicians, as required, agreed relevant time periods, type of information (format, modality, access) to be considered for the relevant process; and any other matters to be identified and clarified as deemed necessary by the communities at the so-called Consultation on the Consultation stage. </w:t>
      </w:r>
    </w:p>
    <w:p w14:paraId="2528A31A" w14:textId="77777777" w:rsidR="00494980" w:rsidRPr="003F7F6C" w:rsidRDefault="00494980" w:rsidP="00494980">
      <w:pPr>
        <w:spacing w:after="160" w:line="259" w:lineRule="auto"/>
        <w:rPr>
          <w:rFonts w:eastAsia="Calibri"/>
          <w:szCs w:val="20"/>
        </w:rPr>
      </w:pPr>
      <w:r w:rsidRPr="003F7F6C">
        <w:rPr>
          <w:rFonts w:eastAsia="Calibri"/>
          <w:szCs w:val="20"/>
        </w:rPr>
        <w:t>In these consultation processes, the following general principles will be followed for engaging indigenous peoples in the project:</w:t>
      </w:r>
    </w:p>
    <w:p w14:paraId="2305F11E" w14:textId="77777777" w:rsidR="00494980" w:rsidRPr="003F7F6C" w:rsidRDefault="00494980" w:rsidP="00494980">
      <w:pPr>
        <w:spacing w:after="160" w:line="259" w:lineRule="auto"/>
        <w:rPr>
          <w:rFonts w:eastAsia="Calibri" w:cs="Calibri"/>
          <w:szCs w:val="20"/>
        </w:rPr>
      </w:pPr>
      <w:r w:rsidRPr="003F7F6C">
        <w:rPr>
          <w:rFonts w:eastAsia="Calibri"/>
          <w:szCs w:val="20"/>
        </w:rPr>
        <w:t xml:space="preserve">The project will seek, as the case may be, to follow the mechanisms established, within the framework of dialogue and in agreement with the communities involved. These rights are as follows: the right to </w:t>
      </w:r>
      <w:r w:rsidRPr="003F7F6C">
        <w:rPr>
          <w:rFonts w:eastAsia="Calibri"/>
          <w:b/>
          <w:szCs w:val="20"/>
        </w:rPr>
        <w:t>engagement</w:t>
      </w:r>
      <w:r w:rsidRPr="003F7F6C">
        <w:rPr>
          <w:rFonts w:eastAsia="Calibri"/>
          <w:szCs w:val="20"/>
        </w:rPr>
        <w:t xml:space="preserve"> throughout the public policy making cycle, to </w:t>
      </w:r>
      <w:r w:rsidRPr="003F7F6C">
        <w:rPr>
          <w:rFonts w:eastAsia="Calibri"/>
          <w:b/>
          <w:szCs w:val="20"/>
        </w:rPr>
        <w:t>prior consultation</w:t>
      </w:r>
      <w:r w:rsidRPr="003F7F6C">
        <w:rPr>
          <w:rFonts w:eastAsia="Calibri"/>
          <w:szCs w:val="20"/>
        </w:rPr>
        <w:t xml:space="preserve"> in regard to concrete legislative or administrative measures, and to </w:t>
      </w:r>
      <w:r w:rsidRPr="003F7F6C">
        <w:rPr>
          <w:rFonts w:eastAsia="Calibri"/>
          <w:b/>
          <w:szCs w:val="20"/>
        </w:rPr>
        <w:t xml:space="preserve">free, prior and informed consent </w:t>
      </w:r>
      <w:r w:rsidRPr="003F7F6C">
        <w:rPr>
          <w:rFonts w:eastAsia="Calibri"/>
          <w:szCs w:val="20"/>
        </w:rPr>
        <w:t>in specific cases which might affect fundamental rights or jeopardize their integrity.</w:t>
      </w:r>
    </w:p>
    <w:p w14:paraId="35FFC91E" w14:textId="77777777" w:rsidR="00494980" w:rsidRPr="003F7F6C" w:rsidRDefault="00494980" w:rsidP="00E91275">
      <w:pPr>
        <w:numPr>
          <w:ilvl w:val="0"/>
          <w:numId w:val="65"/>
        </w:numPr>
        <w:spacing w:after="160" w:line="259" w:lineRule="auto"/>
        <w:contextualSpacing/>
        <w:jc w:val="left"/>
        <w:rPr>
          <w:rFonts w:eastAsia="Calibri" w:cs="Calibri"/>
          <w:szCs w:val="20"/>
        </w:rPr>
      </w:pPr>
      <w:r w:rsidRPr="003F7F6C">
        <w:rPr>
          <w:rFonts w:eastAsia="Calibri"/>
          <w:b/>
          <w:i/>
          <w:szCs w:val="20"/>
        </w:rPr>
        <w:t xml:space="preserve">Engagement. </w:t>
      </w:r>
      <w:r w:rsidRPr="003F7F6C">
        <w:rPr>
          <w:rFonts w:eastAsia="Calibri"/>
          <w:szCs w:val="20"/>
        </w:rPr>
        <w:t>Indigenous peoples’ representatives will take part in the phases of the project preparation, implementation and evaluation cycle, as well as in national, regional and local</w:t>
      </w:r>
      <w:r w:rsidRPr="003F7F6C">
        <w:rPr>
          <w:rFonts w:eastAsia="Calibri"/>
          <w:b/>
          <w:i/>
          <w:szCs w:val="20"/>
        </w:rPr>
        <w:t xml:space="preserve"> plans, policies and development programs</w:t>
      </w:r>
      <w:r w:rsidRPr="003F7F6C">
        <w:rPr>
          <w:rFonts w:eastAsia="Calibri"/>
          <w:szCs w:val="20"/>
        </w:rPr>
        <w:t xml:space="preserve"> resulting from said cycle and which may affect it, in order to ensure that their development priorities are taken into account, that the improvement of their life conditions is prioritized and that their integrity is not affected.  Decisions are made collectively among the indigenous peoples and the State, on the basis of processes for dialogue and understanding.</w:t>
      </w:r>
    </w:p>
    <w:p w14:paraId="30D346BC" w14:textId="77777777" w:rsidR="00494980" w:rsidRPr="003F7F6C" w:rsidRDefault="00494980" w:rsidP="00494980">
      <w:pPr>
        <w:spacing w:after="160" w:line="259" w:lineRule="auto"/>
        <w:ind w:left="360"/>
        <w:contextualSpacing/>
        <w:rPr>
          <w:rFonts w:eastAsia="Calibri" w:cs="Calibri"/>
          <w:szCs w:val="20"/>
        </w:rPr>
      </w:pPr>
    </w:p>
    <w:p w14:paraId="344D7509" w14:textId="77777777" w:rsidR="00494980" w:rsidRPr="003F7F6C" w:rsidRDefault="00494980" w:rsidP="00E91275">
      <w:pPr>
        <w:numPr>
          <w:ilvl w:val="0"/>
          <w:numId w:val="65"/>
        </w:numPr>
        <w:spacing w:after="160" w:line="259" w:lineRule="auto"/>
        <w:contextualSpacing/>
        <w:jc w:val="left"/>
        <w:rPr>
          <w:rFonts w:eastAsia="Calibri" w:cs="Calibri"/>
          <w:szCs w:val="20"/>
        </w:rPr>
      </w:pPr>
      <w:r w:rsidRPr="003F7F6C">
        <w:rPr>
          <w:rFonts w:eastAsia="Calibri"/>
          <w:b/>
          <w:i/>
          <w:szCs w:val="20"/>
        </w:rPr>
        <w:t xml:space="preserve">Prior Consultation. </w:t>
      </w:r>
      <w:r w:rsidRPr="003F7F6C">
        <w:rPr>
          <w:rFonts w:eastAsia="Calibri"/>
          <w:szCs w:val="20"/>
        </w:rPr>
        <w:t xml:space="preserve"> Under the aforesaid Convention No. 169, the State will implement good faith dialogue processes with indigenous communities before adopting </w:t>
      </w:r>
      <w:r w:rsidRPr="003F7F6C">
        <w:rPr>
          <w:rFonts w:eastAsia="Calibri"/>
          <w:b/>
          <w:szCs w:val="20"/>
        </w:rPr>
        <w:t>concrete administrative or legislative measures</w:t>
      </w:r>
      <w:r w:rsidRPr="003F7F6C">
        <w:rPr>
          <w:rFonts w:eastAsia="Calibri"/>
          <w:szCs w:val="20"/>
        </w:rPr>
        <w:t xml:space="preserve"> which might affect them, with the objective of achieving agreement or consent through dialogue. Even though the decision is on the State, it must justify such decision.</w:t>
      </w:r>
    </w:p>
    <w:p w14:paraId="1A8FB2D6" w14:textId="77777777" w:rsidR="00494980" w:rsidRPr="003F7F6C" w:rsidRDefault="00494980" w:rsidP="00494980">
      <w:pPr>
        <w:spacing w:after="160" w:line="259" w:lineRule="auto"/>
        <w:ind w:left="720"/>
        <w:contextualSpacing/>
        <w:jc w:val="left"/>
        <w:rPr>
          <w:rFonts w:eastAsia="Calibri"/>
          <w:b/>
          <w:i/>
          <w:szCs w:val="20"/>
        </w:rPr>
      </w:pPr>
    </w:p>
    <w:p w14:paraId="15CC8A0C" w14:textId="77777777" w:rsidR="00494980" w:rsidRPr="003F7F6C" w:rsidRDefault="00494980" w:rsidP="00E91275">
      <w:pPr>
        <w:numPr>
          <w:ilvl w:val="0"/>
          <w:numId w:val="65"/>
        </w:numPr>
        <w:spacing w:after="160" w:line="259" w:lineRule="auto"/>
        <w:contextualSpacing/>
        <w:jc w:val="left"/>
        <w:rPr>
          <w:rFonts w:eastAsia="Calibri" w:cs="Calibri"/>
          <w:szCs w:val="20"/>
        </w:rPr>
      </w:pPr>
      <w:r w:rsidRPr="003F7F6C">
        <w:rPr>
          <w:rFonts w:eastAsia="Calibri"/>
          <w:b/>
          <w:i/>
          <w:szCs w:val="20"/>
        </w:rPr>
        <w:t>Free, Prior and Informed Consent.</w:t>
      </w:r>
      <w:r w:rsidRPr="003F7F6C">
        <w:rPr>
          <w:rFonts w:eastAsia="Calibri"/>
          <w:szCs w:val="20"/>
        </w:rPr>
        <w:t xml:space="preserve"> However, when their fundamental rights are affected, or the integrity of the peoples is at stake, in addition to the consultation, the state may only adopt the measure with the consent of those affected by it. In these cases, consent is not only the aim but also a requirement for the state to act. </w:t>
      </w:r>
    </w:p>
    <w:p w14:paraId="0DF4AC8B" w14:textId="77777777" w:rsidR="00494980" w:rsidRPr="003F7F6C" w:rsidRDefault="00494980" w:rsidP="00494980">
      <w:pPr>
        <w:spacing w:before="120" w:after="160" w:line="259" w:lineRule="auto"/>
        <w:rPr>
          <w:rFonts w:eastAsia="Calibri"/>
          <w:szCs w:val="20"/>
        </w:rPr>
      </w:pPr>
    </w:p>
    <w:p w14:paraId="62D89AB7" w14:textId="284F86D7" w:rsidR="00494980" w:rsidRPr="003F7F6C" w:rsidRDefault="00494980" w:rsidP="00494980">
      <w:pPr>
        <w:spacing w:before="120" w:after="160" w:line="259" w:lineRule="auto"/>
        <w:rPr>
          <w:rFonts w:eastAsia="Calibri"/>
          <w:szCs w:val="20"/>
        </w:rPr>
      </w:pPr>
      <w:r w:rsidRPr="003F7F6C">
        <w:rPr>
          <w:rFonts w:eastAsia="Calibri"/>
          <w:szCs w:val="20"/>
        </w:rPr>
        <w:t>Environmental Land Use Planning is essentially a participatory tool, and this principle will prevail in the process of identifying projects and any processes existing as of the date of implementation of the project, as well as existing dialogue processes and platforms and any sustainable production activities to be developed or prioritized.  The action lines outlined in the Project Document will be defined in detail during project implementation. Within this framework, the governmental authorities of the provinces involved will work through prior consultation at all times and free, prior and informed consent mechanisms, in such cases where activities to be implemented might imply: extraction of natural resources such as felling, mining or agricultural activities in their lands or territories; a decision affecting the State or people’s rights to their land/territories, resources or means of support; access to traditional knowledge and practices; commercial use of natural and / or cultural resources in plots of land subject to traditional ownership rights and / or low customary use by indigenous peoples; decisions regarding benefit allocation arrangements, where the benefits are derived from their land, territories or resources (for example, management of natural resources or extractive industries).</w:t>
      </w:r>
    </w:p>
    <w:p w14:paraId="2AB44CB4" w14:textId="77777777" w:rsidR="00494980" w:rsidRPr="003F7F6C" w:rsidRDefault="00494980" w:rsidP="00494980">
      <w:pPr>
        <w:rPr>
          <w:b/>
          <w:szCs w:val="22"/>
        </w:rPr>
      </w:pPr>
      <w:r w:rsidRPr="003F7F6C">
        <w:rPr>
          <w:rFonts w:eastAsia="Calibri"/>
          <w:szCs w:val="20"/>
        </w:rPr>
        <w:t xml:space="preserve">Within this framework, the Consultation, as well as any other participatory stage involving indigenous peoples must meet the </w:t>
      </w:r>
      <w:r w:rsidRPr="003F7F6C">
        <w:rPr>
          <w:rFonts w:eastAsia="Calibri"/>
          <w:b/>
          <w:szCs w:val="20"/>
        </w:rPr>
        <w:t xml:space="preserve">basic requirements, i.e. It must be free, </w:t>
      </w:r>
      <w:r w:rsidRPr="003F7F6C">
        <w:rPr>
          <w:rFonts w:eastAsia="Calibri"/>
          <w:szCs w:val="20"/>
        </w:rPr>
        <w:t xml:space="preserve">without coercion, intimidation or manipulation; </w:t>
      </w:r>
      <w:r w:rsidRPr="003F7F6C">
        <w:rPr>
          <w:rFonts w:eastAsia="Calibri"/>
          <w:b/>
          <w:szCs w:val="20"/>
        </w:rPr>
        <w:t xml:space="preserve">prior, </w:t>
      </w:r>
      <w:r w:rsidRPr="003F7F6C">
        <w:rPr>
          <w:rFonts w:eastAsia="Calibri"/>
          <w:szCs w:val="20"/>
        </w:rPr>
        <w:t xml:space="preserve">previous to adopting the measure subject to consultation; </w:t>
      </w:r>
      <w:r w:rsidRPr="003F7F6C">
        <w:rPr>
          <w:rFonts w:eastAsia="Calibri"/>
          <w:b/>
          <w:szCs w:val="20"/>
        </w:rPr>
        <w:t>informed,</w:t>
      </w:r>
      <w:r w:rsidRPr="003F7F6C">
        <w:rPr>
          <w:rFonts w:eastAsia="Calibri"/>
          <w:szCs w:val="20"/>
        </w:rPr>
        <w:t xml:space="preserve"> as the State must provide the following information in order to make a decision: nature of the measure, reasons, duration, preliminary evaluation, risks and benefits, among others. The peoples have the right to inform the State about their priorities of life, cultural aspects, among others; </w:t>
      </w:r>
      <w:r w:rsidRPr="003F7F6C">
        <w:rPr>
          <w:rFonts w:eastAsia="Calibri"/>
          <w:b/>
          <w:szCs w:val="20"/>
        </w:rPr>
        <w:t xml:space="preserve">in good faith, </w:t>
      </w:r>
      <w:r w:rsidRPr="003F7F6C">
        <w:rPr>
          <w:rFonts w:eastAsia="Calibri"/>
          <w:szCs w:val="20"/>
        </w:rPr>
        <w:t xml:space="preserve">which implies the parties’ acceptance of the consultation procedure, the creation of a relationship based on trust and mutual respect, with the true objective of holding dialogue, which will allow them to make decisions and reach an agreement; </w:t>
      </w:r>
      <w:r w:rsidRPr="003F7F6C">
        <w:rPr>
          <w:rFonts w:eastAsia="Calibri"/>
          <w:b/>
          <w:szCs w:val="20"/>
        </w:rPr>
        <w:t>through indigenous representative institutions,</w:t>
      </w:r>
      <w:r w:rsidRPr="003F7F6C">
        <w:rPr>
          <w:rFonts w:eastAsia="Calibri"/>
          <w:szCs w:val="20"/>
        </w:rPr>
        <w:t xml:space="preserve"> resulting from the indigenous peoples´ own and internal processes, whether traditional or modern, providing that they have been pre-established, that they are </w:t>
      </w:r>
      <w:r w:rsidRPr="003F7F6C">
        <w:rPr>
          <w:rFonts w:eastAsia="Calibri"/>
          <w:b/>
          <w:szCs w:val="20"/>
        </w:rPr>
        <w:t xml:space="preserve">adequate and accessible, that is to say, </w:t>
      </w:r>
      <w:r w:rsidRPr="003F7F6C">
        <w:rPr>
          <w:rFonts w:eastAsia="Calibri"/>
          <w:szCs w:val="20"/>
        </w:rPr>
        <w:t xml:space="preserve">according to customs and traditional methods for decision making, respecting symbols and images to represent them; moreover, the timing, language and manners inherent to each people must be respected, and the process must be </w:t>
      </w:r>
      <w:r w:rsidRPr="003F7F6C">
        <w:rPr>
          <w:rFonts w:eastAsia="Calibri"/>
          <w:b/>
          <w:szCs w:val="20"/>
        </w:rPr>
        <w:t xml:space="preserve">systematic and transparent: </w:t>
      </w:r>
      <w:r w:rsidRPr="003F7F6C">
        <w:rPr>
          <w:rFonts w:eastAsia="Calibri"/>
          <w:szCs w:val="20"/>
        </w:rPr>
        <w:t>it must be made in a formal and systematic manner -which might be repeated for another issue- and transparent, so that all the people involved are aware of the situation.</w:t>
      </w:r>
    </w:p>
    <w:p w14:paraId="6F3BC024" w14:textId="03F14EA7" w:rsidR="00494980" w:rsidRPr="003F7F6C" w:rsidRDefault="00494980" w:rsidP="00B54E97">
      <w:pPr>
        <w:rPr>
          <w:b/>
          <w:szCs w:val="22"/>
        </w:rPr>
      </w:pPr>
    </w:p>
    <w:p w14:paraId="321B3D4A" w14:textId="77777777" w:rsidR="003B6502" w:rsidRPr="003F7F6C" w:rsidRDefault="003B6502" w:rsidP="003B6502">
      <w:pPr>
        <w:pStyle w:val="Heading2"/>
        <w:ind w:left="0"/>
        <w:rPr>
          <w:rFonts w:ascii="Calibri" w:hAnsi="Calibri"/>
          <w:szCs w:val="22"/>
        </w:rPr>
      </w:pPr>
      <w:r w:rsidRPr="003F7F6C">
        <w:rPr>
          <w:rFonts w:ascii="Calibri" w:hAnsi="Calibri"/>
          <w:szCs w:val="22"/>
        </w:rPr>
        <w:br w:type="page"/>
      </w:r>
      <w:bookmarkStart w:id="48" w:name="_Toc529891427"/>
      <w:r w:rsidRPr="003F7F6C">
        <w:rPr>
          <w:rFonts w:ascii="Calibri" w:hAnsi="Calibri"/>
          <w:szCs w:val="22"/>
        </w:rPr>
        <w:t>Annex F:  Stakeholder Engagement Plan</w:t>
      </w:r>
      <w:bookmarkEnd w:id="48"/>
      <w:r w:rsidRPr="003F7F6C">
        <w:rPr>
          <w:rFonts w:ascii="Calibri" w:hAnsi="Calibri"/>
          <w:szCs w:val="22"/>
        </w:rPr>
        <w:t xml:space="preserve"> </w:t>
      </w:r>
    </w:p>
    <w:p w14:paraId="5A0B16CC" w14:textId="17F780B5" w:rsidR="003B6502" w:rsidRPr="003F7F6C" w:rsidRDefault="003B6502" w:rsidP="003B6502"/>
    <w:p w14:paraId="2EF59DAA" w14:textId="77777777" w:rsidR="00D46B62" w:rsidRPr="003F7F6C" w:rsidRDefault="00D46B62" w:rsidP="00D46B62">
      <w:pPr>
        <w:spacing w:after="160" w:line="259" w:lineRule="auto"/>
        <w:jc w:val="left"/>
        <w:rPr>
          <w:rFonts w:eastAsia="Calibri"/>
          <w:b/>
          <w:szCs w:val="20"/>
        </w:rPr>
      </w:pPr>
      <w:bookmarkStart w:id="49" w:name="_Toc523149330"/>
      <w:r w:rsidRPr="003F7F6C">
        <w:rPr>
          <w:rFonts w:eastAsia="Calibri"/>
          <w:b/>
          <w:szCs w:val="20"/>
        </w:rPr>
        <w:t>LEGAL FRAMEWORK GOVERNING STAKEHOLDER ENGAGEMENT WITH ENVIRONMENTAL LAND USE PLANNING</w:t>
      </w:r>
      <w:bookmarkEnd w:id="49"/>
    </w:p>
    <w:p w14:paraId="1FAE618B" w14:textId="77777777" w:rsidR="00D46B62" w:rsidRPr="003F7F6C" w:rsidRDefault="00D46B62" w:rsidP="00D46B62">
      <w:pPr>
        <w:spacing w:after="160" w:line="259" w:lineRule="auto"/>
        <w:rPr>
          <w:rFonts w:eastAsia="Calibri" w:cs="Calibri"/>
          <w:szCs w:val="20"/>
        </w:rPr>
      </w:pPr>
      <w:r w:rsidRPr="003F7F6C">
        <w:rPr>
          <w:rFonts w:eastAsia="Calibri" w:cs="Calibri"/>
          <w:szCs w:val="20"/>
        </w:rPr>
        <w:t>The Argentine Constitution, international human rights and environmental law treaties, the General Law of the Environment and sector-specific laws setting out minimum environmental protection standards all incorporate the right to access to information, engagement in decision-making processes and access to justice for the protection of environmental rights.</w:t>
      </w:r>
    </w:p>
    <w:p w14:paraId="7FE0E2B7" w14:textId="77777777" w:rsidR="00D46B62" w:rsidRPr="003F7F6C" w:rsidRDefault="00D46B62" w:rsidP="00D46B62">
      <w:pPr>
        <w:spacing w:after="160" w:line="259" w:lineRule="auto"/>
        <w:rPr>
          <w:rFonts w:eastAsia="Calibri" w:cs="Calibri"/>
          <w:szCs w:val="20"/>
        </w:rPr>
      </w:pPr>
      <w:r w:rsidRPr="003F7F6C">
        <w:rPr>
          <w:rFonts w:eastAsia="Calibri" w:cs="Calibri"/>
          <w:szCs w:val="20"/>
        </w:rPr>
        <w:t>Access to information as part of the engagement stage established in the General Law of the Environment for the Environmental Land Use Planning (ELUP) process represents a key factor of the process and all jurisdictional levels must comply with this requirement. Environmental Land Use Planning is outlined in Articles 9 and 10 of the General Law of the Environment, which set out the requirements that must be met under this novel conception of the tool which we have been developing:</w:t>
      </w:r>
    </w:p>
    <w:p w14:paraId="716682C9" w14:textId="77777777" w:rsidR="00D46B62" w:rsidRPr="003F7F6C" w:rsidRDefault="00D46B62" w:rsidP="00D46B62">
      <w:pPr>
        <w:spacing w:after="160" w:line="259" w:lineRule="auto"/>
        <w:rPr>
          <w:rFonts w:eastAsia="Calibri" w:cs="Calibri"/>
          <w:szCs w:val="20"/>
        </w:rPr>
      </w:pPr>
      <w:r w:rsidRPr="003F7F6C">
        <w:rPr>
          <w:rFonts w:eastAsia="Calibri" w:cs="Calibri"/>
          <w:szCs w:val="20"/>
        </w:rPr>
        <w:t>ARTICLE 9. Environmental planning shall develop the functioning structure of the Argentine territory as a whole, and it is to be carried out through inter-jurisdictional coordination between local and provincial governments and between the city of Buenos Aires and provincial governments and the Argentine government, through the Federal Council of Environment Ministers (</w:t>
      </w:r>
      <w:r w:rsidRPr="003F7F6C">
        <w:rPr>
          <w:rFonts w:eastAsia="Calibri" w:cs="Calibri"/>
          <w:i/>
          <w:szCs w:val="20"/>
        </w:rPr>
        <w:t>COFEMA</w:t>
      </w:r>
      <w:r w:rsidRPr="003F7F6C">
        <w:rPr>
          <w:rFonts w:eastAsia="Calibri" w:cs="Calibri"/>
          <w:szCs w:val="20"/>
        </w:rPr>
        <w:t>). The environmental plan must seek to match the interests of the various sectors of society with one another and with the interests of the government.</w:t>
      </w:r>
    </w:p>
    <w:p w14:paraId="04B4400D" w14:textId="77777777" w:rsidR="00D46B62" w:rsidRPr="003F7F6C" w:rsidRDefault="00D46B62" w:rsidP="00D46B62">
      <w:pPr>
        <w:spacing w:after="160" w:line="259" w:lineRule="auto"/>
        <w:rPr>
          <w:rFonts w:eastAsia="Calibri" w:cs="Calibri"/>
          <w:szCs w:val="20"/>
        </w:rPr>
      </w:pPr>
      <w:r w:rsidRPr="003F7F6C">
        <w:rPr>
          <w:rFonts w:eastAsia="Calibri" w:cs="Calibri"/>
          <w:szCs w:val="20"/>
        </w:rPr>
        <w:t>ARTICLE 10. The environmental planning process must ensure the environmentally appropriate use of natural resources, afford maximum production and use of existing ecosystems, guarantee minimum degradation and waste, and promote society’s engagement with the fundamental decisions regarding sustainable development, taking into account the political, physical, social, technological, cultural, economic, legal and ecological aspects of local, regional and national realities.</w:t>
      </w:r>
    </w:p>
    <w:p w14:paraId="1209DCE9" w14:textId="77777777" w:rsidR="00D46B62" w:rsidRPr="003F7F6C" w:rsidRDefault="00D46B62" w:rsidP="00D46B62">
      <w:pPr>
        <w:spacing w:after="160" w:line="259" w:lineRule="auto"/>
        <w:rPr>
          <w:rFonts w:eastAsia="Calibri" w:cs="Calibri"/>
          <w:szCs w:val="20"/>
        </w:rPr>
      </w:pPr>
      <w:r w:rsidRPr="003F7F6C">
        <w:rPr>
          <w:rFonts w:eastAsia="Calibri" w:cs="Calibri"/>
          <w:szCs w:val="20"/>
        </w:rPr>
        <w:t>Likewise, in locating anthropic activities and developing human settlements, the following aspects are to be taken into account and given first priority:</w:t>
      </w:r>
    </w:p>
    <w:p w14:paraId="1F6C943D" w14:textId="77777777" w:rsidR="00D46B62" w:rsidRPr="003F7F6C" w:rsidRDefault="00D46B62" w:rsidP="00E91275">
      <w:pPr>
        <w:numPr>
          <w:ilvl w:val="0"/>
          <w:numId w:val="64"/>
        </w:numPr>
        <w:spacing w:after="160" w:line="259" w:lineRule="auto"/>
        <w:contextualSpacing/>
        <w:jc w:val="left"/>
        <w:rPr>
          <w:rFonts w:eastAsia="Calibri" w:cs="Calibri"/>
          <w:szCs w:val="20"/>
        </w:rPr>
      </w:pPr>
      <w:r w:rsidRPr="003F7F6C">
        <w:rPr>
          <w:rFonts w:eastAsia="Calibri" w:cs="Calibri"/>
          <w:szCs w:val="20"/>
        </w:rPr>
        <w:t xml:space="preserve">The vocation of each area or region, based on its natural resources and social, economic and ecological sustainability characteristics; (b) the distribution of population and its specific features; (c) the nature and specific characteristics of existing biomes; (d) any alterations in the biomes resulting from human settlements, economic activities or other human activities or natural phenomena; (e) the preservation and protection of important ecosystems. </w:t>
      </w:r>
    </w:p>
    <w:p w14:paraId="1C41F3F7" w14:textId="77777777" w:rsidR="00CE41E0" w:rsidRPr="003F7F6C" w:rsidRDefault="00CE41E0" w:rsidP="00D46B62">
      <w:pPr>
        <w:spacing w:after="160" w:line="259" w:lineRule="auto"/>
        <w:rPr>
          <w:rFonts w:eastAsia="Calibri" w:cs="Calibri"/>
          <w:szCs w:val="20"/>
        </w:rPr>
      </w:pPr>
    </w:p>
    <w:p w14:paraId="237FA77A" w14:textId="260B5829" w:rsidR="00D46B62" w:rsidRPr="003F7F6C" w:rsidRDefault="00D46B62" w:rsidP="00D46B62">
      <w:pPr>
        <w:spacing w:after="160" w:line="259" w:lineRule="auto"/>
        <w:rPr>
          <w:rFonts w:eastAsia="Calibri" w:cs="Calibri"/>
          <w:szCs w:val="20"/>
        </w:rPr>
      </w:pPr>
      <w:r w:rsidRPr="003F7F6C">
        <w:rPr>
          <w:rFonts w:eastAsia="Calibri" w:cs="Calibri"/>
          <w:szCs w:val="20"/>
        </w:rPr>
        <w:t>Law No. 26,331 on minimum standards for environmental protection of native rainforests provides that environmental planning is to be carried out with the engagement of relevant stakeholders.</w:t>
      </w:r>
    </w:p>
    <w:p w14:paraId="7348B973" w14:textId="77777777" w:rsidR="00D46B62" w:rsidRPr="003F7F6C" w:rsidRDefault="00D46B62" w:rsidP="00D46B62">
      <w:pPr>
        <w:spacing w:after="160" w:line="259" w:lineRule="auto"/>
        <w:rPr>
          <w:rFonts w:eastAsia="Calibri" w:cs="Calibri"/>
          <w:szCs w:val="20"/>
        </w:rPr>
      </w:pPr>
      <w:r w:rsidRPr="003F7F6C">
        <w:rPr>
          <w:rFonts w:eastAsia="Calibri" w:cs="Calibri"/>
          <w:szCs w:val="20"/>
        </w:rPr>
        <w:t>Additionally, the Argentine law on minimum environmental policy standards considers the promotion of citizen engagement as one of its goals (Law No. 25,675/02 Article 2) and recognizes the right to participate. “Every person is entitled to be consulted and heard in any administrative proceedings involving the preservation and protection of the environment affecting either the general public or a portion thereof and having a general scope” (Law No. 25,675/02 Article 19). However, this Article refers to the right to engage but does not associate it with the right to decide. The provision establishes that “the opinion or objection of participants shall not be binding on the authority requesting such opinion” (Law No. 25,675/02, Article 20), although the authorities must justify and publicly show any reasons for setting aside the citizens’ opinion.</w:t>
      </w:r>
    </w:p>
    <w:p w14:paraId="47FF7194" w14:textId="77777777" w:rsidR="00D46B62" w:rsidRPr="003F7F6C" w:rsidRDefault="00D46B62" w:rsidP="00D46B62">
      <w:pPr>
        <w:spacing w:after="160" w:line="259" w:lineRule="auto"/>
        <w:rPr>
          <w:rFonts w:eastAsia="Calibri" w:cs="Calibri"/>
          <w:szCs w:val="20"/>
        </w:rPr>
      </w:pPr>
      <w:r w:rsidRPr="003F7F6C">
        <w:rPr>
          <w:rFonts w:eastAsia="Calibri" w:cs="Calibri"/>
          <w:szCs w:val="20"/>
        </w:rPr>
        <w:t xml:space="preserve">Among the minimum standards laws, Law No. 25,831 on Access to Public Environmental Information is worth noting. Said law safeguards the right of every person to obtain environmental information owned by local and provincial governments, the national government or the government of the City of Buenos Aires, or by independent government agencies and public service companies, whether state- or privately-owned, or both. </w:t>
      </w:r>
    </w:p>
    <w:p w14:paraId="2DB51DE6" w14:textId="77777777" w:rsidR="00D46B62" w:rsidRPr="003F7F6C" w:rsidRDefault="00D46B62" w:rsidP="00D46B62">
      <w:pPr>
        <w:spacing w:after="160" w:line="259" w:lineRule="auto"/>
        <w:rPr>
          <w:rFonts w:eastAsia="Calibri" w:cs="Calibri"/>
          <w:szCs w:val="20"/>
        </w:rPr>
      </w:pPr>
      <w:r w:rsidRPr="003F7F6C">
        <w:rPr>
          <w:rFonts w:eastAsia="Calibri" w:cs="Calibri"/>
          <w:szCs w:val="20"/>
        </w:rPr>
        <w:t>It is also worth noting that the Access to Public Information Law No. 27,275, which was recently enacted (in September 2016), regulates access to public information, a key citizen participation tool which is crucial for transparency and oversight of governmental action. The law imposes a duty upon the three branches of government, the Public Ministry, companies, political parties, universities and workers’ unions receiving public funds to answer any requests for information made by citizens within a month.</w:t>
      </w:r>
    </w:p>
    <w:p w14:paraId="1848BFF2" w14:textId="77777777" w:rsidR="00D46B62" w:rsidRPr="003F7F6C" w:rsidRDefault="00D46B62" w:rsidP="00D46B62">
      <w:pPr>
        <w:spacing w:after="160" w:line="259" w:lineRule="auto"/>
        <w:rPr>
          <w:rFonts w:eastAsia="Calibri" w:cs="Calibri"/>
          <w:szCs w:val="20"/>
        </w:rPr>
      </w:pPr>
      <w:r w:rsidRPr="003F7F6C">
        <w:rPr>
          <w:rFonts w:eastAsia="Calibri" w:cs="Calibri"/>
          <w:szCs w:val="20"/>
        </w:rPr>
        <w:t>With regard to provincial laws, Mendoza is the first Argentine province to have a Land Use Planning Law, enacted on May 5, 2009 following a period of 20 years in which draft bills were introduced but failed to reach a consensus; the statute represents a landmark in the history of the province and the whole country. The enactment has placed the province at the forefront of participative lawmaking, breaking the stalemate of conflicting sectorial interests, with a view to achieving a common collective construction. The law establishes the development of a participative, inclusive and democratic space providing legitimacy and sustainability to the process of making and executing the plans.</w:t>
      </w:r>
    </w:p>
    <w:p w14:paraId="39F87404" w14:textId="77777777" w:rsidR="00D46B62" w:rsidRPr="003F7F6C" w:rsidRDefault="00D46B62" w:rsidP="00D46B62">
      <w:pPr>
        <w:spacing w:after="160" w:line="259" w:lineRule="auto"/>
        <w:rPr>
          <w:rFonts w:eastAsia="Calibri" w:cs="Calibri"/>
          <w:szCs w:val="20"/>
        </w:rPr>
      </w:pPr>
      <w:r w:rsidRPr="003F7F6C">
        <w:rPr>
          <w:rFonts w:eastAsia="Calibri" w:cs="Calibri"/>
          <w:szCs w:val="20"/>
        </w:rPr>
        <w:t xml:space="preserve">The province of Jujuy enacted provincial General Environmental Law No. 5063 and provincial </w:t>
      </w:r>
      <w:r w:rsidRPr="003F7F6C">
        <w:rPr>
          <w:rFonts w:eastAsia="Calibri"/>
          <w:szCs w:val="20"/>
        </w:rPr>
        <w:t xml:space="preserve">Adaptive Land Use Plan for Forest Areas </w:t>
      </w:r>
      <w:r w:rsidRPr="003F7F6C">
        <w:rPr>
          <w:rFonts w:eastAsia="Calibri" w:cs="Calibri"/>
          <w:szCs w:val="20"/>
        </w:rPr>
        <w:t xml:space="preserve">Law No. 5676, and it there is a land use planning bill that is being debated in the provincial legislature. In the province of Buenos Aires, Decree-Law No. 8912/77 on Land Use Planning is in effect, and Provincial Environmental Law No. 11723 has been enacted. Law No. 1496/08 is also relevant, as it establishes an Inter-ministerial Urban and Land Use Planning Commission. </w:t>
      </w:r>
    </w:p>
    <w:p w14:paraId="0B8793C6" w14:textId="77777777" w:rsidR="00D46B62" w:rsidRPr="003F7F6C" w:rsidRDefault="00D46B62" w:rsidP="00D46B62">
      <w:pPr>
        <w:spacing w:after="160" w:line="259" w:lineRule="auto"/>
        <w:jc w:val="left"/>
        <w:rPr>
          <w:rFonts w:eastAsia="Calibri"/>
          <w:b/>
          <w:szCs w:val="20"/>
        </w:rPr>
      </w:pPr>
    </w:p>
    <w:p w14:paraId="6B3CCFFE" w14:textId="77777777" w:rsidR="00D46B62" w:rsidRPr="003F7F6C" w:rsidRDefault="00D46B62" w:rsidP="00D46B62">
      <w:pPr>
        <w:spacing w:after="160" w:line="259" w:lineRule="auto"/>
        <w:jc w:val="left"/>
        <w:rPr>
          <w:rFonts w:eastAsia="Calibri"/>
          <w:b/>
          <w:szCs w:val="20"/>
        </w:rPr>
      </w:pPr>
      <w:r w:rsidRPr="003F7F6C">
        <w:rPr>
          <w:rFonts w:eastAsia="Calibri"/>
          <w:b/>
          <w:szCs w:val="20"/>
        </w:rPr>
        <w:t>STAKEHOLDER ENGAGEMENT PLAN</w:t>
      </w:r>
    </w:p>
    <w:p w14:paraId="170444E7" w14:textId="77777777" w:rsidR="00D46B62" w:rsidRPr="003F7F6C" w:rsidRDefault="00D46B62" w:rsidP="00D46B62">
      <w:pPr>
        <w:spacing w:after="160" w:line="259" w:lineRule="auto"/>
        <w:jc w:val="left"/>
        <w:rPr>
          <w:rFonts w:eastAsia="Calibri"/>
          <w:b/>
          <w:szCs w:val="20"/>
        </w:rPr>
      </w:pPr>
      <w:bookmarkStart w:id="50" w:name="_Toc523149339"/>
      <w:r w:rsidRPr="003F7F6C">
        <w:rPr>
          <w:rFonts w:eastAsia="Calibri"/>
          <w:b/>
          <w:szCs w:val="20"/>
        </w:rPr>
        <w:t>General Principles</w:t>
      </w:r>
      <w:bookmarkEnd w:id="50"/>
      <w:r w:rsidRPr="003F7F6C">
        <w:rPr>
          <w:rFonts w:eastAsia="Calibri"/>
          <w:b/>
          <w:szCs w:val="20"/>
        </w:rPr>
        <w:t xml:space="preserve"> </w:t>
      </w:r>
    </w:p>
    <w:p w14:paraId="19D40EB0" w14:textId="77777777" w:rsidR="00D46B62" w:rsidRPr="003F7F6C" w:rsidRDefault="00D46B62" w:rsidP="00D46B62">
      <w:pPr>
        <w:spacing w:after="160" w:line="259" w:lineRule="auto"/>
        <w:ind w:left="10"/>
        <w:rPr>
          <w:rFonts w:eastAsia="Calibri" w:cs="Calibri"/>
          <w:szCs w:val="20"/>
        </w:rPr>
      </w:pPr>
      <w:r w:rsidRPr="003F7F6C">
        <w:rPr>
          <w:rFonts w:eastAsia="Calibri" w:cs="Calibri"/>
          <w:szCs w:val="20"/>
        </w:rPr>
        <w:t xml:space="preserve">Two key elements are to be considered to tackle this subject: on the one hand, engagement, and on the other hand, the concept of collaboration or collaborative processes. Engagement is a complex process of human interrelations including opinion, analysis, reflection, confrontation, discussion, dialogue, consensus and joint decision-making to achieve the purposes established by all. </w:t>
      </w:r>
    </w:p>
    <w:p w14:paraId="77443553" w14:textId="77777777" w:rsidR="00D46B62" w:rsidRPr="003F7F6C" w:rsidRDefault="00D46B62" w:rsidP="00D46B62">
      <w:pPr>
        <w:spacing w:after="160" w:line="259" w:lineRule="auto"/>
        <w:ind w:left="10"/>
        <w:rPr>
          <w:rFonts w:eastAsia="Calibri" w:cs="Calibri"/>
          <w:szCs w:val="20"/>
        </w:rPr>
      </w:pPr>
      <w:r w:rsidRPr="003F7F6C">
        <w:rPr>
          <w:rFonts w:eastAsia="Calibri" w:cs="Calibri"/>
          <w:szCs w:val="20"/>
        </w:rPr>
        <w:t xml:space="preserve">The different elements of the project and ELUP as a tool give rise to a dual engagement expectation, as set forth in the General Law of the Environment, consisting of the identification and creation of proper inter jurisdictional coordination mechanisms amongst the country, the provinces and the municipalities to implement the project and, also, the concurrence of the different sectoral interests of society, as well as of these interests with the public administration (pursuant to art. 9 GLE), promoting social engagement in key decisions of sustainable development (pursuant to Art. 10 GLE). Therefore, the implementation of this project requires a multi-sectoral, multi-disciplinary and multi-level approach. </w:t>
      </w:r>
    </w:p>
    <w:p w14:paraId="0EBEA49F" w14:textId="77777777" w:rsidR="00D46B62" w:rsidRPr="003F7F6C" w:rsidRDefault="00D46B62" w:rsidP="00D46B62">
      <w:pPr>
        <w:spacing w:after="160" w:line="259" w:lineRule="auto"/>
        <w:ind w:left="10"/>
        <w:rPr>
          <w:rFonts w:eastAsia="Calibri" w:cs="Calibri"/>
          <w:szCs w:val="20"/>
        </w:rPr>
      </w:pPr>
      <w:r w:rsidRPr="003F7F6C">
        <w:rPr>
          <w:rFonts w:eastAsia="Calibri" w:cs="Calibri"/>
          <w:szCs w:val="20"/>
        </w:rPr>
        <w:t xml:space="preserve">There are different forms of engagement involving different stakeholders, and so it is important to identify such differences. For this reason, it is recommended that these differences be conceptualized as </w:t>
      </w:r>
      <w:r w:rsidRPr="003F7F6C">
        <w:rPr>
          <w:rFonts w:eastAsia="Calibri" w:cs="Calibri"/>
          <w:b/>
          <w:szCs w:val="20"/>
        </w:rPr>
        <w:t xml:space="preserve">Collaborative Processes </w:t>
      </w:r>
      <w:r w:rsidRPr="003F7F6C">
        <w:rPr>
          <w:rFonts w:eastAsia="Calibri" w:cs="Calibri"/>
          <w:szCs w:val="20"/>
        </w:rPr>
        <w:t xml:space="preserve">involving individuals and groups with different perspectives and interests on a given matter so that they may work together through dialogue, helped by a third party, on an agenda of common interest and with specific objectives.  </w:t>
      </w:r>
    </w:p>
    <w:p w14:paraId="42BE17CA" w14:textId="77777777" w:rsidR="00D46B62" w:rsidRPr="003F7F6C" w:rsidRDefault="00D46B62" w:rsidP="00D46B62">
      <w:pPr>
        <w:spacing w:after="160" w:line="259" w:lineRule="auto"/>
        <w:rPr>
          <w:rFonts w:eastAsia="Calibri" w:cs="Calibri"/>
          <w:szCs w:val="20"/>
        </w:rPr>
      </w:pPr>
      <w:r w:rsidRPr="003F7F6C">
        <w:rPr>
          <w:rFonts w:eastAsia="Calibri" w:cs="Calibri"/>
          <w:szCs w:val="20"/>
        </w:rPr>
        <w:t xml:space="preserve">When suggesting a collaborative process (or collaborative space) it is essential that its </w:t>
      </w:r>
      <w:r w:rsidRPr="003F7F6C">
        <w:rPr>
          <w:rFonts w:eastAsia="Calibri" w:cs="Calibri"/>
          <w:b/>
          <w:szCs w:val="20"/>
        </w:rPr>
        <w:t xml:space="preserve">purposes and scope </w:t>
      </w:r>
      <w:r w:rsidRPr="003F7F6C">
        <w:rPr>
          <w:rFonts w:eastAsia="Calibri" w:cs="Calibri"/>
          <w:szCs w:val="20"/>
        </w:rPr>
        <w:t>be clarified</w:t>
      </w:r>
      <w:r w:rsidRPr="003F7F6C">
        <w:rPr>
          <w:rFonts w:eastAsia="Calibri" w:cs="Calibri"/>
          <w:b/>
          <w:szCs w:val="20"/>
        </w:rPr>
        <w:t>.</w:t>
      </w:r>
      <w:r w:rsidRPr="003F7F6C">
        <w:rPr>
          <w:rFonts w:eastAsia="Calibri" w:cs="Calibri"/>
          <w:szCs w:val="20"/>
        </w:rPr>
        <w:t xml:space="preserve"> It may only be intended to promote </w:t>
      </w:r>
      <w:r w:rsidRPr="003F7F6C">
        <w:rPr>
          <w:rFonts w:eastAsia="Calibri" w:cs="Calibri"/>
          <w:b/>
          <w:szCs w:val="20"/>
        </w:rPr>
        <w:t>Dialogue</w:t>
      </w:r>
      <w:r w:rsidRPr="003F7F6C">
        <w:rPr>
          <w:rFonts w:eastAsia="Calibri" w:cs="Calibri"/>
          <w:szCs w:val="20"/>
        </w:rPr>
        <w:t xml:space="preserve"> </w:t>
      </w:r>
      <w:r w:rsidRPr="003F7F6C">
        <w:rPr>
          <w:rFonts w:eastAsia="Calibri" w:cs="Calibri"/>
          <w:bCs/>
          <w:iCs/>
          <w:szCs w:val="20"/>
        </w:rPr>
        <w:t xml:space="preserve">to gather different perspectives, inquire, expand, share information and views, create a shared understanding and identify disagreements. It may go a step further and propose a space for </w:t>
      </w:r>
      <w:r w:rsidRPr="003F7F6C">
        <w:rPr>
          <w:rFonts w:eastAsia="Calibri" w:cs="Calibri"/>
          <w:b/>
          <w:bCs/>
          <w:iCs/>
          <w:szCs w:val="20"/>
        </w:rPr>
        <w:t>Discussion</w:t>
      </w:r>
      <w:r w:rsidRPr="003F7F6C">
        <w:rPr>
          <w:rFonts w:eastAsia="Calibri" w:cs="Calibri"/>
          <w:szCs w:val="20"/>
        </w:rPr>
        <w:t xml:space="preserve"> to share arguments, identify potential solutions and make suggestions. Lastly, in terms of </w:t>
      </w:r>
      <w:r w:rsidRPr="003F7F6C">
        <w:rPr>
          <w:rFonts w:eastAsia="Calibri" w:cs="Calibri"/>
          <w:b/>
          <w:iCs/>
          <w:szCs w:val="20"/>
        </w:rPr>
        <w:t>Decision-making</w:t>
      </w:r>
      <w:r w:rsidRPr="003F7F6C">
        <w:rPr>
          <w:rFonts w:eastAsia="Calibri" w:cs="Calibri"/>
          <w:iCs/>
          <w:szCs w:val="20"/>
        </w:rPr>
        <w:t>, it is essential to measure its impact on decisions and decision makers: decisions are made by an authority who is not a part of this group (consulting-advisory group), or made, on some or all issues, by the group itself through negotiation, consensus or vote</w:t>
      </w:r>
      <w:r w:rsidRPr="003F7F6C">
        <w:rPr>
          <w:rFonts w:eastAsia="Calibri" w:cs="Calibri"/>
          <w:i/>
          <w:iCs/>
          <w:szCs w:val="20"/>
        </w:rPr>
        <w:t>.</w:t>
      </w:r>
    </w:p>
    <w:p w14:paraId="11A38AC9" w14:textId="77777777" w:rsidR="00D46B62" w:rsidRPr="003F7F6C" w:rsidRDefault="00D46B62" w:rsidP="00D46B62">
      <w:pPr>
        <w:spacing w:after="160" w:line="259" w:lineRule="auto"/>
        <w:rPr>
          <w:rFonts w:eastAsia="Calibri" w:cs="Calibri"/>
          <w:szCs w:val="20"/>
        </w:rPr>
      </w:pPr>
      <w:r w:rsidRPr="003F7F6C">
        <w:rPr>
          <w:rFonts w:eastAsia="Calibri" w:cs="Calibri"/>
          <w:szCs w:val="20"/>
        </w:rPr>
        <w:t xml:space="preserve">Finally, another distinctive element in collaborative processes are the </w:t>
      </w:r>
      <w:r w:rsidRPr="003F7F6C">
        <w:rPr>
          <w:rFonts w:eastAsia="Calibri" w:cs="Calibri"/>
          <w:b/>
          <w:szCs w:val="20"/>
        </w:rPr>
        <w:t>basic conditions</w:t>
      </w:r>
      <w:r w:rsidRPr="003F7F6C">
        <w:rPr>
          <w:rFonts w:eastAsia="Calibri" w:cs="Calibri"/>
          <w:szCs w:val="20"/>
        </w:rPr>
        <w:t xml:space="preserve"> for their establishment and operation. Spaces designed within the project framework must regularly verify that conditions are met and, upon modification, provide for the relevant corrections: </w:t>
      </w:r>
    </w:p>
    <w:p w14:paraId="4A0FF1CC" w14:textId="77777777" w:rsidR="00D46B62" w:rsidRPr="003F7F6C" w:rsidRDefault="00D46B62" w:rsidP="00E91275">
      <w:pPr>
        <w:numPr>
          <w:ilvl w:val="0"/>
          <w:numId w:val="62"/>
        </w:numPr>
        <w:tabs>
          <w:tab w:val="left" w:pos="180"/>
        </w:tabs>
        <w:spacing w:before="240" w:afterLines="40" w:after="96" w:line="259" w:lineRule="auto"/>
        <w:jc w:val="left"/>
        <w:rPr>
          <w:rFonts w:eastAsia="Calibri" w:cs="Calibri"/>
          <w:szCs w:val="20"/>
        </w:rPr>
      </w:pPr>
      <w:r w:rsidRPr="003F7F6C">
        <w:rPr>
          <w:rFonts w:eastAsia="Calibri" w:cs="Calibri"/>
          <w:b/>
          <w:szCs w:val="20"/>
        </w:rPr>
        <w:t>Political will.</w:t>
      </w:r>
      <w:r w:rsidRPr="003F7F6C">
        <w:rPr>
          <w:rFonts w:eastAsia="Calibri" w:cs="Calibri"/>
          <w:szCs w:val="20"/>
        </w:rPr>
        <w:t xml:space="preserve"> The legitimate and sustained will of the political stakeholders involved and their commitment to the space. Experience shows that not only an initial manifestation of will is required (access to and implementation of the initiative) but also an ongoing display of interest and determination in the process, showing signs that the initiative is legitimated not only through the allocation of logistical or technical resources but also through other signs of appropriation (communication actions, participation of their political and technical teams at work meetings, among others). </w:t>
      </w:r>
    </w:p>
    <w:p w14:paraId="60BC0276" w14:textId="77777777" w:rsidR="00D46B62" w:rsidRPr="003F7F6C" w:rsidRDefault="00D46B62" w:rsidP="00E91275">
      <w:pPr>
        <w:numPr>
          <w:ilvl w:val="0"/>
          <w:numId w:val="62"/>
        </w:numPr>
        <w:tabs>
          <w:tab w:val="left" w:pos="180"/>
        </w:tabs>
        <w:spacing w:before="240" w:afterLines="40" w:after="96" w:line="259" w:lineRule="auto"/>
        <w:jc w:val="left"/>
        <w:rPr>
          <w:rFonts w:eastAsia="Calibri" w:cs="Calibri"/>
          <w:szCs w:val="20"/>
        </w:rPr>
      </w:pPr>
      <w:r w:rsidRPr="003F7F6C">
        <w:rPr>
          <w:rFonts w:eastAsia="Calibri" w:cs="Calibri"/>
          <w:b/>
          <w:szCs w:val="20"/>
        </w:rPr>
        <w:t>Reliable organizers.</w:t>
      </w:r>
      <w:r w:rsidRPr="003F7F6C">
        <w:rPr>
          <w:rFonts w:eastAsia="Calibri" w:cs="Calibri"/>
          <w:szCs w:val="20"/>
        </w:rPr>
        <w:t xml:space="preserve"> Usually, several organizers are involved. A condition for good dialogue is that those who extend the invitation to dialogue be individuals or institutions with some sort of knowledge and legitimacy in the opinion of all the parties involved. Given that it is difficult for a single individual or institution to be reliable in the eyes of all sectors, it is usually recommended that a group of organizers be created to provide the initial characteristics of legitimacy and reliability that are necessary for the sectors to feel welcome to take part in the dialogue and so as to guarantee that different perspectives are taken into account when thinking the space up.</w:t>
      </w:r>
    </w:p>
    <w:p w14:paraId="27B76387" w14:textId="77777777" w:rsidR="00D46B62" w:rsidRPr="003F7F6C" w:rsidRDefault="00D46B62" w:rsidP="00E91275">
      <w:pPr>
        <w:numPr>
          <w:ilvl w:val="0"/>
          <w:numId w:val="62"/>
        </w:numPr>
        <w:tabs>
          <w:tab w:val="left" w:pos="180"/>
        </w:tabs>
        <w:spacing w:before="240" w:afterLines="40" w:after="96" w:line="259" w:lineRule="auto"/>
        <w:jc w:val="left"/>
        <w:rPr>
          <w:rFonts w:eastAsia="Calibri" w:cs="Calibri"/>
          <w:szCs w:val="20"/>
        </w:rPr>
      </w:pPr>
      <w:r w:rsidRPr="003F7F6C">
        <w:rPr>
          <w:rFonts w:eastAsia="Calibri" w:cs="Calibri"/>
          <w:b/>
          <w:szCs w:val="20"/>
        </w:rPr>
        <w:t>Inclusion</w:t>
      </w:r>
      <w:r w:rsidRPr="003F7F6C">
        <w:rPr>
          <w:rFonts w:eastAsia="Calibri" w:cs="Calibri"/>
          <w:szCs w:val="20"/>
        </w:rPr>
        <w:t xml:space="preserve">. It is important that the stakeholders (individuals and organizations) that will be taking part in the space be carefully identified, in order to include all relevant parties. This involves different challenges: evaluating if they will have decision-making capabilities or if all interested parties will be invited to participate. There are different ways to define participation, which is closely related to the objectives of the space and what they seek to achieve. </w:t>
      </w:r>
    </w:p>
    <w:p w14:paraId="4171F2C8" w14:textId="77777777" w:rsidR="00D46B62" w:rsidRPr="003F7F6C" w:rsidRDefault="00D46B62" w:rsidP="00E91275">
      <w:pPr>
        <w:numPr>
          <w:ilvl w:val="0"/>
          <w:numId w:val="62"/>
        </w:numPr>
        <w:tabs>
          <w:tab w:val="left" w:pos="180"/>
        </w:tabs>
        <w:spacing w:before="240" w:afterLines="40" w:after="96" w:line="259" w:lineRule="auto"/>
        <w:jc w:val="left"/>
        <w:rPr>
          <w:rFonts w:eastAsia="Calibri" w:cs="Calibri"/>
          <w:szCs w:val="20"/>
        </w:rPr>
      </w:pPr>
      <w:r w:rsidRPr="003F7F6C">
        <w:rPr>
          <w:rFonts w:eastAsia="Calibri" w:cs="Calibri"/>
          <w:b/>
          <w:szCs w:val="20"/>
        </w:rPr>
        <w:t>Power balance:</w:t>
      </w:r>
      <w:r w:rsidRPr="003F7F6C">
        <w:rPr>
          <w:rFonts w:eastAsia="Calibri" w:cs="Calibri"/>
          <w:szCs w:val="20"/>
        </w:rPr>
        <w:t xml:space="preserve"> This should also be assessed, in order to act based on the relative power condition of each sector. In some cases, face-to-face dialogue will not be possible until actions to balance the power and capabilities of each group are carried out for them to be able to take part in the space. In other cases, imbalances that may not be reduced to participate in the dialogue will have to be expressly recognized, thus seeking transparent mechanisms to work on them (such as mechanisms that are more bilateral, spaces for mediation or other alternatives).</w:t>
      </w:r>
    </w:p>
    <w:p w14:paraId="4B7BBA19" w14:textId="77777777" w:rsidR="00D46B62" w:rsidRPr="003F7F6C" w:rsidRDefault="00D46B62" w:rsidP="00E91275">
      <w:pPr>
        <w:numPr>
          <w:ilvl w:val="0"/>
          <w:numId w:val="62"/>
        </w:numPr>
        <w:tabs>
          <w:tab w:val="left" w:pos="180"/>
        </w:tabs>
        <w:spacing w:before="240" w:afterLines="40" w:after="96" w:line="259" w:lineRule="auto"/>
        <w:jc w:val="left"/>
        <w:rPr>
          <w:rFonts w:eastAsia="Calibri" w:cs="Calibri"/>
          <w:szCs w:val="20"/>
        </w:rPr>
      </w:pPr>
      <w:r w:rsidRPr="003F7F6C">
        <w:rPr>
          <w:rFonts w:eastAsia="Calibri" w:cs="Calibri"/>
          <w:b/>
          <w:szCs w:val="20"/>
        </w:rPr>
        <w:t>Generation and communication of understandable, accessible, relevant and reliable information for all stakeholders</w:t>
      </w:r>
      <w:r w:rsidRPr="003F7F6C">
        <w:rPr>
          <w:rFonts w:eastAsia="Calibri" w:cs="Calibri"/>
          <w:szCs w:val="20"/>
        </w:rPr>
        <w:t>, as an element that strengthens and enriches discussion and decision making. In this sense, land information must be generated and periodically updated, public information provided by different sources must be coordinated based on the competency of the different public entities, the complexity of the technical studies related to land uses must be translated into a simpler and more accessible language, and mechanisms to guarantee transparency in terms of the concession and environmental and economic regulation of production activities must be established.</w:t>
      </w:r>
    </w:p>
    <w:p w14:paraId="649F29F2" w14:textId="77777777" w:rsidR="00D46B62" w:rsidRPr="003F7F6C" w:rsidRDefault="00D46B62" w:rsidP="00E91275">
      <w:pPr>
        <w:numPr>
          <w:ilvl w:val="0"/>
          <w:numId w:val="62"/>
        </w:numPr>
        <w:tabs>
          <w:tab w:val="left" w:pos="180"/>
        </w:tabs>
        <w:spacing w:before="240" w:afterLines="40" w:after="96" w:line="259" w:lineRule="auto"/>
        <w:jc w:val="left"/>
        <w:rPr>
          <w:rFonts w:eastAsia="Calibri" w:cs="Calibri"/>
          <w:szCs w:val="20"/>
        </w:rPr>
      </w:pPr>
      <w:r w:rsidRPr="003F7F6C">
        <w:rPr>
          <w:rFonts w:eastAsia="Calibri" w:cs="Calibri"/>
          <w:b/>
          <w:szCs w:val="20"/>
        </w:rPr>
        <w:t xml:space="preserve">Process logic. Design and facilitation. </w:t>
      </w:r>
      <w:r w:rsidRPr="003F7F6C">
        <w:rPr>
          <w:rFonts w:eastAsia="Calibri" w:cs="Calibri"/>
          <w:szCs w:val="20"/>
        </w:rPr>
        <w:t xml:space="preserve">It is essential that these types of processes and spaces be carefully designed and facilitated, considering their existence within an extended temporary framework, suitable for the generation of changes not only in structures (laws or policies) but also in cultural aspects. Their design involves assessing the situation, identifying objectives, expected outcomes, activities, planning meetings, defining game rules, mapping stakeholders, and the need to take into account temporary factors to achieve changes. Facilitation (or coordination) is a key role that makes it possible for the space to continue to exist, to keep focusing on objectives and to ensure that the identified goals are reached at each meeting, thus ensuring that process conditions are met. </w:t>
      </w:r>
    </w:p>
    <w:p w14:paraId="49191316" w14:textId="77777777" w:rsidR="00D46B62" w:rsidRPr="003F7F6C" w:rsidRDefault="00D46B62" w:rsidP="00E91275">
      <w:pPr>
        <w:numPr>
          <w:ilvl w:val="0"/>
          <w:numId w:val="62"/>
        </w:numPr>
        <w:tabs>
          <w:tab w:val="left" w:pos="180"/>
        </w:tabs>
        <w:spacing w:before="240" w:afterLines="40" w:after="96" w:line="259" w:lineRule="auto"/>
        <w:ind w:right="29"/>
        <w:jc w:val="left"/>
        <w:rPr>
          <w:rFonts w:eastAsia="Calibri" w:cs="Calibri"/>
          <w:szCs w:val="20"/>
        </w:rPr>
      </w:pPr>
      <w:r w:rsidRPr="003F7F6C">
        <w:rPr>
          <w:rFonts w:eastAsia="Calibri" w:cs="Calibri"/>
          <w:b/>
          <w:szCs w:val="20"/>
        </w:rPr>
        <w:t xml:space="preserve">Conflict sensitivity. </w:t>
      </w:r>
      <w:r w:rsidRPr="003F7F6C">
        <w:rPr>
          <w:rFonts w:eastAsia="Calibri" w:cs="Calibri"/>
          <w:szCs w:val="20"/>
        </w:rPr>
        <w:t>ELUP implies a complexity of interests that may benefit from or be affected by the decisions made. The tool can have an impact on structural and current issues that could imply conflicts in social-environmental matters. This is the reason why it is important to take these conflicts into consideration, seeking to implement prevention strategies whenever possible, or otherwise seek alternative ways to manage said conflicts. In any case, it is recommended that these conflicts be tackled in a sensitive manner in order to avoid their worsening and to prevent them from having a negative impact on the project.</w:t>
      </w:r>
    </w:p>
    <w:p w14:paraId="61FE1B97" w14:textId="77777777" w:rsidR="00D46B62" w:rsidRPr="003F7F6C" w:rsidRDefault="00D46B62" w:rsidP="00E91275">
      <w:pPr>
        <w:numPr>
          <w:ilvl w:val="0"/>
          <w:numId w:val="62"/>
        </w:numPr>
        <w:tabs>
          <w:tab w:val="left" w:pos="180"/>
        </w:tabs>
        <w:spacing w:before="240" w:afterLines="40" w:after="96" w:line="259" w:lineRule="auto"/>
        <w:ind w:right="29"/>
        <w:jc w:val="left"/>
        <w:rPr>
          <w:rFonts w:eastAsia="Calibri" w:cs="Calibri"/>
          <w:szCs w:val="20"/>
        </w:rPr>
      </w:pPr>
      <w:r w:rsidRPr="003F7F6C">
        <w:rPr>
          <w:rFonts w:eastAsia="Calibri" w:cs="Calibri"/>
          <w:b/>
          <w:szCs w:val="20"/>
        </w:rPr>
        <w:t>Cultural sensitivity.</w:t>
      </w:r>
      <w:r w:rsidRPr="003F7F6C">
        <w:rPr>
          <w:rFonts w:eastAsia="Calibri" w:cs="Calibri"/>
          <w:szCs w:val="20"/>
        </w:rPr>
        <w:t xml:space="preserve"> Dialogue processes must be sensitive to cultural factors in particular. Specific aspects related to Indigenous Peoples and gender will be discussed below. It will suffice to say here that some of these factors may modify substantive aspects of dialogue spaces, such as the timeframe, accessibility of information, participation logic, etc. </w:t>
      </w:r>
      <w:bookmarkStart w:id="51" w:name="_Toc523149340"/>
    </w:p>
    <w:p w14:paraId="24E0C66A" w14:textId="77777777" w:rsidR="00D46B62" w:rsidRPr="003F7F6C" w:rsidRDefault="00D46B62" w:rsidP="00D46B62">
      <w:pPr>
        <w:tabs>
          <w:tab w:val="left" w:pos="180"/>
        </w:tabs>
        <w:spacing w:before="240" w:afterLines="40" w:after="96"/>
        <w:ind w:right="29"/>
        <w:rPr>
          <w:rFonts w:eastAsia="Calibri" w:cs="Calibri"/>
          <w:szCs w:val="20"/>
        </w:rPr>
      </w:pPr>
    </w:p>
    <w:p w14:paraId="5E289584" w14:textId="77777777" w:rsidR="00D46B62" w:rsidRPr="003F7F6C" w:rsidRDefault="00D46B62" w:rsidP="00D46B62">
      <w:pPr>
        <w:tabs>
          <w:tab w:val="left" w:pos="180"/>
        </w:tabs>
        <w:spacing w:after="0"/>
        <w:ind w:right="29"/>
        <w:rPr>
          <w:rFonts w:eastAsia="Calibri" w:cs="Calibri"/>
          <w:szCs w:val="20"/>
        </w:rPr>
      </w:pPr>
      <w:r w:rsidRPr="003F7F6C">
        <w:rPr>
          <w:rFonts w:eastAsia="Calibri"/>
          <w:b/>
          <w:szCs w:val="20"/>
        </w:rPr>
        <w:t xml:space="preserve">RELEVANT STAKEHOLDER </w:t>
      </w:r>
      <w:bookmarkEnd w:id="51"/>
      <w:r w:rsidRPr="003F7F6C">
        <w:rPr>
          <w:rFonts w:eastAsia="Calibri"/>
          <w:b/>
          <w:szCs w:val="20"/>
        </w:rPr>
        <w:t>ENGAGEMENT MECHANISMS</w:t>
      </w:r>
    </w:p>
    <w:p w14:paraId="55FCCDF5" w14:textId="77777777" w:rsidR="00D46B62" w:rsidRPr="003F7F6C" w:rsidRDefault="00D46B62" w:rsidP="00D46B62">
      <w:pPr>
        <w:keepNext/>
        <w:keepLines/>
        <w:spacing w:after="0"/>
        <w:jc w:val="left"/>
        <w:outlineLvl w:val="3"/>
        <w:rPr>
          <w:rFonts w:ascii="Calibri Light" w:eastAsia="Times New Roman" w:hAnsi="Calibri Light"/>
          <w:b/>
          <w:i/>
          <w:iCs/>
          <w:szCs w:val="20"/>
        </w:rPr>
      </w:pPr>
      <w:bookmarkStart w:id="52" w:name="_Toc523149341"/>
    </w:p>
    <w:p w14:paraId="5E760426" w14:textId="77777777" w:rsidR="00D46B62" w:rsidRPr="003F7F6C" w:rsidRDefault="00D46B62" w:rsidP="00D46B62">
      <w:pPr>
        <w:keepNext/>
        <w:keepLines/>
        <w:spacing w:after="0"/>
        <w:jc w:val="left"/>
        <w:outlineLvl w:val="3"/>
        <w:rPr>
          <w:rFonts w:ascii="Calibri Light" w:eastAsia="Times New Roman" w:hAnsi="Calibri Light"/>
          <w:b/>
          <w:i/>
          <w:iCs/>
          <w:szCs w:val="20"/>
        </w:rPr>
      </w:pPr>
      <w:r w:rsidRPr="003F7F6C">
        <w:rPr>
          <w:rFonts w:ascii="Calibri Light" w:eastAsia="Times New Roman" w:hAnsi="Calibri Light"/>
          <w:b/>
          <w:i/>
          <w:iCs/>
          <w:szCs w:val="20"/>
        </w:rPr>
        <w:t>During the PPG</w:t>
      </w:r>
      <w:bookmarkEnd w:id="52"/>
      <w:r w:rsidRPr="003F7F6C">
        <w:rPr>
          <w:rFonts w:ascii="Calibri Light" w:eastAsia="Times New Roman" w:hAnsi="Calibri Light"/>
          <w:b/>
          <w:i/>
          <w:iCs/>
          <w:szCs w:val="20"/>
        </w:rPr>
        <w:t xml:space="preserve"> phase:</w:t>
      </w:r>
    </w:p>
    <w:p w14:paraId="7089FEF7" w14:textId="77777777" w:rsidR="00D46B62" w:rsidRPr="003F7F6C" w:rsidRDefault="00D46B62" w:rsidP="00D46B62">
      <w:pPr>
        <w:spacing w:after="0"/>
        <w:rPr>
          <w:rFonts w:eastAsia="Calibri" w:cs="Calibri"/>
          <w:szCs w:val="20"/>
        </w:rPr>
      </w:pPr>
    </w:p>
    <w:p w14:paraId="79074FC6" w14:textId="77777777" w:rsidR="00D46B62" w:rsidRPr="003F7F6C" w:rsidRDefault="00D46B62" w:rsidP="00D46B62">
      <w:pPr>
        <w:spacing w:after="120"/>
        <w:rPr>
          <w:rFonts w:eastAsia="Calibri" w:cs="Calibri"/>
          <w:szCs w:val="20"/>
        </w:rPr>
      </w:pPr>
      <w:r w:rsidRPr="003F7F6C">
        <w:rPr>
          <w:rFonts w:eastAsia="Calibri" w:cs="Calibri"/>
          <w:szCs w:val="20"/>
        </w:rPr>
        <w:t xml:space="preserve">During the PPG phase, key stakeholders participated in project planning and design workshops and focus group meetings.  These participative fora included: a) PPG inception workshop; and b) multiple individual meetings and consultations with key national and local institutions, UNDP Argentina and the national authorities of the Secretariat of Environment and Sustainable Development (SGAyDS in Spanish). </w:t>
      </w:r>
    </w:p>
    <w:p w14:paraId="288C5D7C" w14:textId="77777777" w:rsidR="00D46B62" w:rsidRPr="003F7F6C" w:rsidRDefault="00D46B62" w:rsidP="00E91275">
      <w:pPr>
        <w:numPr>
          <w:ilvl w:val="0"/>
          <w:numId w:val="63"/>
        </w:numPr>
        <w:spacing w:after="120" w:line="259" w:lineRule="auto"/>
        <w:jc w:val="left"/>
        <w:rPr>
          <w:rFonts w:eastAsia="Calibri" w:cs="Calibri"/>
          <w:color w:val="212121"/>
          <w:szCs w:val="20"/>
          <w:shd w:val="clear" w:color="auto" w:fill="FFFFFF"/>
        </w:rPr>
      </w:pPr>
      <w:r w:rsidRPr="003F7F6C">
        <w:rPr>
          <w:rFonts w:eastAsia="Calibri" w:cs="Calibri"/>
          <w:szCs w:val="20"/>
        </w:rPr>
        <w:t>During the PPG phase, a close relationship was built with national and local stakeholders. National, provincial and local institutions participated directly in project development. Several consultations were made with multiple stakeholders to discuss the different aspects of project design, namely:</w:t>
      </w:r>
      <w:bookmarkStart w:id="53" w:name="_Toc523149342"/>
      <w:r w:rsidRPr="003F7F6C">
        <w:rPr>
          <w:rFonts w:eastAsia="Calibri" w:cs="Calibri"/>
          <w:szCs w:val="20"/>
        </w:rPr>
        <w:t xml:space="preserve"> an inception workshop was</w:t>
      </w:r>
      <w:r w:rsidRPr="003F7F6C">
        <w:rPr>
          <w:rFonts w:eastAsia="Calibri" w:cs="Calibri"/>
          <w:color w:val="212121"/>
          <w:szCs w:val="20"/>
          <w:shd w:val="clear" w:color="auto" w:fill="FFFFFF"/>
        </w:rPr>
        <w:t xml:space="preserve"> held in May 2018 with the participation of the national authorities of MAyDS and the provincial environmental agencies, particularly, national technicians of the </w:t>
      </w:r>
      <w:r w:rsidRPr="003F7F6C">
        <w:rPr>
          <w:rFonts w:eastAsia="Times New Roman" w:cs="Calibri"/>
          <w:color w:val="000000"/>
          <w:szCs w:val="20"/>
          <w:lang w:eastAsia="es-AR"/>
        </w:rPr>
        <w:t xml:space="preserve">National Directorate of Planning and Environmental Land Use Planning and the National Directorate of </w:t>
      </w:r>
      <w:r w:rsidRPr="003F7F6C">
        <w:rPr>
          <w:rFonts w:eastAsia="Calibri" w:cs="Calibri"/>
          <w:color w:val="212121"/>
          <w:szCs w:val="20"/>
          <w:shd w:val="clear" w:color="auto" w:fill="FFFFFF"/>
        </w:rPr>
        <w:t xml:space="preserve">Biodiversity of MAYDS; provincial Land Use Planning technicians of Mendoza, Jujuy and Buenos Aires, the </w:t>
      </w:r>
      <w:r w:rsidRPr="003F7F6C">
        <w:rPr>
          <w:rFonts w:eastAsia="Calibri" w:cs="Calibri"/>
          <w:szCs w:val="20"/>
        </w:rPr>
        <w:t>National Agricultural Technology Institute</w:t>
      </w:r>
      <w:r w:rsidRPr="003F7F6C">
        <w:rPr>
          <w:rFonts w:eastAsia="Calibri" w:cs="Calibri"/>
          <w:color w:val="212121"/>
          <w:szCs w:val="20"/>
          <w:shd w:val="clear" w:color="auto" w:fill="FFFFFF"/>
        </w:rPr>
        <w:t xml:space="preserve"> (INTA, in Spanish) national and regional offices of Buenos Aires, Mendoza and Jujuy, UNDP representatives and PPG consultants.</w:t>
      </w:r>
    </w:p>
    <w:p w14:paraId="2BEB2FF2" w14:textId="77777777" w:rsidR="00D46B62" w:rsidRPr="003F7F6C" w:rsidRDefault="00D46B62" w:rsidP="00E91275">
      <w:pPr>
        <w:numPr>
          <w:ilvl w:val="0"/>
          <w:numId w:val="63"/>
        </w:numPr>
        <w:spacing w:after="160" w:line="259" w:lineRule="auto"/>
        <w:contextualSpacing/>
        <w:jc w:val="left"/>
        <w:rPr>
          <w:rFonts w:eastAsia="Calibri" w:cs="Calibri"/>
          <w:color w:val="212121"/>
          <w:szCs w:val="20"/>
          <w:shd w:val="clear" w:color="auto" w:fill="FFFFFF"/>
        </w:rPr>
      </w:pPr>
      <w:r w:rsidRPr="003F7F6C">
        <w:rPr>
          <w:rFonts w:eastAsia="Calibri" w:cs="Calibri"/>
          <w:color w:val="212121"/>
          <w:szCs w:val="20"/>
          <w:shd w:val="clear" w:color="auto" w:fill="FFFFFF"/>
        </w:rPr>
        <w:t>Several provincial workshops were held with local authorities, members of INTA’s regional office and other civil society actors:</w:t>
      </w:r>
    </w:p>
    <w:p w14:paraId="789B1ED8" w14:textId="77777777" w:rsidR="00D46B62" w:rsidRPr="003F7F6C" w:rsidRDefault="00D46B62" w:rsidP="00E91275">
      <w:pPr>
        <w:numPr>
          <w:ilvl w:val="1"/>
          <w:numId w:val="63"/>
        </w:numPr>
        <w:spacing w:after="120" w:line="259" w:lineRule="auto"/>
        <w:jc w:val="left"/>
        <w:rPr>
          <w:rFonts w:eastAsia="Calibri" w:cs="Calibri"/>
          <w:color w:val="212121"/>
          <w:szCs w:val="20"/>
          <w:shd w:val="clear" w:color="auto" w:fill="FFFFFF"/>
        </w:rPr>
      </w:pPr>
      <w:r w:rsidRPr="003F7F6C">
        <w:rPr>
          <w:rFonts w:eastAsia="Calibri" w:cs="Calibri"/>
          <w:color w:val="212121"/>
          <w:szCs w:val="20"/>
          <w:shd w:val="clear" w:color="auto" w:fill="FFFFFF"/>
        </w:rPr>
        <w:t>June, July and August 2018, Buenos Aires: a meeting was held at the Provincial Agency for Sustainable Development (OPDS, in Spanish) with technicians of the organization and INTA, as well as the team of PPG phase consultants.</w:t>
      </w:r>
    </w:p>
    <w:p w14:paraId="71FB2CB1" w14:textId="77777777" w:rsidR="00D46B62" w:rsidRPr="003F7F6C" w:rsidRDefault="00D46B62" w:rsidP="00E91275">
      <w:pPr>
        <w:numPr>
          <w:ilvl w:val="1"/>
          <w:numId w:val="63"/>
        </w:numPr>
        <w:spacing w:after="120" w:line="259" w:lineRule="auto"/>
        <w:jc w:val="left"/>
        <w:rPr>
          <w:rFonts w:eastAsia="Calibri" w:cs="Calibri"/>
          <w:color w:val="212121"/>
          <w:szCs w:val="20"/>
          <w:shd w:val="clear" w:color="auto" w:fill="FFFFFF"/>
        </w:rPr>
      </w:pPr>
      <w:r w:rsidRPr="003F7F6C">
        <w:rPr>
          <w:rFonts w:eastAsia="Calibri" w:cs="Calibri"/>
          <w:color w:val="212121"/>
          <w:szCs w:val="20"/>
          <w:shd w:val="clear" w:color="auto" w:fill="FFFFFF"/>
        </w:rPr>
        <w:t xml:space="preserve">June, July and August 2018, Mendoza: several meetings were held in Mendoza with national authorities and environment technicians of the Land Use Planning Agency and INTA. Several meetings were held in Malargüe with municipal authorities, local actors, mapuche peoples, and technicians from INTA’s Malargüe office. Also, meetings on site were held to present the project and liaise with local actors in Uco Valley, in the Green Belt area and Malargüe. </w:t>
      </w:r>
    </w:p>
    <w:p w14:paraId="4BEE759D" w14:textId="77777777" w:rsidR="00D46B62" w:rsidRPr="003F7F6C" w:rsidRDefault="00D46B62" w:rsidP="00E91275">
      <w:pPr>
        <w:numPr>
          <w:ilvl w:val="1"/>
          <w:numId w:val="63"/>
        </w:numPr>
        <w:spacing w:after="120" w:line="259" w:lineRule="auto"/>
        <w:jc w:val="left"/>
        <w:rPr>
          <w:rFonts w:eastAsia="Calibri" w:cs="Calibri"/>
          <w:color w:val="212121"/>
          <w:szCs w:val="20"/>
          <w:shd w:val="clear" w:color="auto" w:fill="FFFFFF"/>
        </w:rPr>
      </w:pPr>
      <w:r w:rsidRPr="003F7F6C">
        <w:rPr>
          <w:rFonts w:eastAsia="Calibri" w:cs="Calibri"/>
          <w:color w:val="212121"/>
          <w:szCs w:val="20"/>
          <w:shd w:val="clear" w:color="auto" w:fill="FFFFFF"/>
        </w:rPr>
        <w:t xml:space="preserve">June, July and August 2018, Jujuy: several meetings were held in San Salvador de Jujuy with national authorities and environment technicians of the </w:t>
      </w:r>
      <w:r w:rsidRPr="003F7F6C">
        <w:rPr>
          <w:rFonts w:eastAsia="Calibri" w:cs="Calibri"/>
          <w:szCs w:val="20"/>
        </w:rPr>
        <w:t>Secretariat of Indigenous Peoples</w:t>
      </w:r>
      <w:r w:rsidRPr="003F7F6C">
        <w:rPr>
          <w:rFonts w:eastAsia="Calibri" w:cs="Calibri"/>
          <w:color w:val="212121"/>
          <w:szCs w:val="20"/>
          <w:shd w:val="clear" w:color="auto" w:fill="FFFFFF"/>
        </w:rPr>
        <w:t xml:space="preserve"> of Jujuy, the Secretariat of Production, Tourism, the Management Unit of Quebrada de Humahuaca, the Secretary of Family Agriculture and INTA. </w:t>
      </w:r>
    </w:p>
    <w:p w14:paraId="1622F6DB" w14:textId="77777777" w:rsidR="00D46B62" w:rsidRPr="003F7F6C" w:rsidRDefault="00D46B62" w:rsidP="00E91275">
      <w:pPr>
        <w:numPr>
          <w:ilvl w:val="0"/>
          <w:numId w:val="63"/>
        </w:numPr>
        <w:spacing w:after="160" w:line="259" w:lineRule="auto"/>
        <w:contextualSpacing/>
        <w:jc w:val="left"/>
        <w:rPr>
          <w:rFonts w:eastAsia="Calibri" w:cs="Calibri"/>
          <w:color w:val="222222"/>
          <w:szCs w:val="20"/>
        </w:rPr>
      </w:pPr>
      <w:r w:rsidRPr="003F7F6C">
        <w:rPr>
          <w:rFonts w:eastAsia="Calibri" w:cs="Calibri"/>
          <w:color w:val="212121"/>
          <w:szCs w:val="20"/>
        </w:rPr>
        <w:t>Additionally, during the PPG phase the project team, the UNDP country office staff, and SGAyDS staff held multiple focus group meetings and consultations with national, provincial and local key actors. Meetings were held with the Secretary of Environmental Policy on Natural Resources, the National Directorate of Biodiversity of</w:t>
      </w:r>
      <w:r w:rsidRPr="003F7F6C">
        <w:rPr>
          <w:rFonts w:eastAsia="Calibri" w:cs="Calibri"/>
          <w:color w:val="222222"/>
          <w:szCs w:val="20"/>
        </w:rPr>
        <w:t xml:space="preserve"> SGAyDS, the National Directorate of Forest Protection of SGAyDS, the National Directorate of Water Resources of SGAyDS, with UN REDD and the National Directorate of Planning and ELUP of SGAyDS. Meetings were held with the staff responsible for projects and methodologies related to this project such as Ecoser, </w:t>
      </w:r>
      <w:r w:rsidRPr="003F7F6C">
        <w:rPr>
          <w:rFonts w:eastAsia="Calibri" w:cs="Calibri"/>
          <w:szCs w:val="20"/>
        </w:rPr>
        <w:t>GEF Sustainable Use of Biodiversity Project</w:t>
      </w:r>
      <w:r w:rsidRPr="003F7F6C">
        <w:rPr>
          <w:rFonts w:eastAsia="Calibri" w:cs="Calibri"/>
          <w:color w:val="222222"/>
          <w:szCs w:val="20"/>
        </w:rPr>
        <w:t xml:space="preserve"> (USUBI), TSA methodology, several representatives of Banco Galicia, and the World Bank Project named “</w:t>
      </w:r>
      <w:r w:rsidRPr="003F7F6C">
        <w:rPr>
          <w:rFonts w:eastAsia="Times New Roman" w:cs="Calibri"/>
          <w:szCs w:val="20"/>
          <w:lang w:eastAsia="es-ES_tradnl"/>
        </w:rPr>
        <w:t xml:space="preserve">Increasing Climate Resilience and Improving Sustainable Land Management </w:t>
      </w:r>
      <w:r w:rsidRPr="003F7F6C">
        <w:rPr>
          <w:rFonts w:eastAsia="Calibri" w:cs="Segoe UI"/>
          <w:color w:val="000000"/>
          <w:szCs w:val="20"/>
        </w:rPr>
        <w:t>in the South-west of</w:t>
      </w:r>
      <w:r w:rsidRPr="003F7F6C">
        <w:rPr>
          <w:rFonts w:eastAsia="Times New Roman" w:cs="Calibri"/>
          <w:szCs w:val="20"/>
          <w:lang w:eastAsia="es-ES_tradnl"/>
        </w:rPr>
        <w:t xml:space="preserve"> Buenos Aires Province.</w:t>
      </w:r>
      <w:r w:rsidRPr="003F7F6C">
        <w:rPr>
          <w:rFonts w:eastAsia="Calibri" w:cs="Calibri"/>
          <w:color w:val="222222"/>
          <w:szCs w:val="20"/>
        </w:rPr>
        <w:t>”</w:t>
      </w:r>
    </w:p>
    <w:p w14:paraId="5664FBD6" w14:textId="77777777" w:rsidR="00D46B62" w:rsidRPr="003F7F6C" w:rsidRDefault="00D46B62" w:rsidP="00E91275">
      <w:pPr>
        <w:numPr>
          <w:ilvl w:val="0"/>
          <w:numId w:val="63"/>
        </w:numPr>
        <w:spacing w:after="160" w:line="259" w:lineRule="auto"/>
        <w:contextualSpacing/>
        <w:jc w:val="left"/>
        <w:rPr>
          <w:rFonts w:eastAsia="Calibri"/>
          <w:b/>
          <w:szCs w:val="20"/>
        </w:rPr>
      </w:pPr>
      <w:r w:rsidRPr="003F7F6C">
        <w:rPr>
          <w:rFonts w:eastAsia="Calibri" w:cs="Calibri"/>
          <w:color w:val="212121"/>
          <w:szCs w:val="20"/>
          <w:shd w:val="clear" w:color="auto" w:fill="FFFFFF"/>
        </w:rPr>
        <w:t>Also, meetings were held with national civil society organizations such as Fundación Vida Silvestre and Fundación Cambio Democrático.</w:t>
      </w:r>
    </w:p>
    <w:p w14:paraId="0ADEC488" w14:textId="77777777" w:rsidR="00CE41E0" w:rsidRPr="003F7F6C" w:rsidRDefault="00CE41E0" w:rsidP="00D46B62">
      <w:pPr>
        <w:keepNext/>
        <w:keepLines/>
        <w:spacing w:after="0" w:line="259" w:lineRule="auto"/>
        <w:jc w:val="left"/>
        <w:outlineLvl w:val="3"/>
        <w:rPr>
          <w:rFonts w:ascii="Calibri Light" w:eastAsia="Times New Roman" w:hAnsi="Calibri Light"/>
          <w:b/>
          <w:i/>
          <w:iCs/>
          <w:szCs w:val="20"/>
        </w:rPr>
      </w:pPr>
    </w:p>
    <w:p w14:paraId="7B1E1722" w14:textId="293900C1" w:rsidR="00D46B62" w:rsidRPr="003F7F6C" w:rsidRDefault="00D46B62" w:rsidP="00D46B62">
      <w:pPr>
        <w:keepNext/>
        <w:keepLines/>
        <w:spacing w:after="0" w:line="259" w:lineRule="auto"/>
        <w:jc w:val="left"/>
        <w:outlineLvl w:val="3"/>
        <w:rPr>
          <w:rFonts w:ascii="Calibri Light" w:eastAsia="Times New Roman" w:hAnsi="Calibri Light"/>
          <w:b/>
          <w:i/>
          <w:iCs/>
          <w:szCs w:val="20"/>
        </w:rPr>
      </w:pPr>
      <w:r w:rsidRPr="003F7F6C">
        <w:rPr>
          <w:rFonts w:ascii="Calibri Light" w:eastAsia="Times New Roman" w:hAnsi="Calibri Light"/>
          <w:b/>
          <w:i/>
          <w:iCs/>
          <w:szCs w:val="20"/>
        </w:rPr>
        <w:t>During project implementation</w:t>
      </w:r>
      <w:bookmarkEnd w:id="53"/>
      <w:r w:rsidRPr="003F7F6C">
        <w:rPr>
          <w:rFonts w:ascii="Calibri Light" w:eastAsia="Times New Roman" w:hAnsi="Calibri Light"/>
          <w:b/>
          <w:i/>
          <w:iCs/>
          <w:szCs w:val="20"/>
        </w:rPr>
        <w:t>:</w:t>
      </w:r>
    </w:p>
    <w:p w14:paraId="4C6A5DC0" w14:textId="77777777" w:rsidR="00D46B62" w:rsidRPr="003F7F6C" w:rsidRDefault="00D46B62" w:rsidP="00D46B62">
      <w:pPr>
        <w:spacing w:after="0" w:line="259" w:lineRule="auto"/>
        <w:ind w:left="10"/>
        <w:rPr>
          <w:rFonts w:eastAsia="Calibri" w:cs="Calibri"/>
          <w:szCs w:val="20"/>
        </w:rPr>
      </w:pPr>
    </w:p>
    <w:p w14:paraId="279B65E5" w14:textId="77777777" w:rsidR="00D46B62" w:rsidRPr="003F7F6C" w:rsidRDefault="00D46B62" w:rsidP="00D46B62">
      <w:pPr>
        <w:spacing w:after="0" w:line="259" w:lineRule="auto"/>
        <w:ind w:left="10"/>
        <w:rPr>
          <w:rFonts w:eastAsia="Calibri" w:cs="Calibri"/>
          <w:szCs w:val="20"/>
        </w:rPr>
      </w:pPr>
      <w:r w:rsidRPr="003F7F6C">
        <w:rPr>
          <w:rFonts w:eastAsia="Calibri" w:cs="Calibri"/>
          <w:szCs w:val="20"/>
        </w:rPr>
        <w:t>During the PPG stage, the form of intervention was analyzed from the perspective of three work levels (national, provincial and pilot sites). In order to facilitate liaison and engagement, cooperation agreements will be signed with the governmental entities handling the different areas involved in Environmental Land Use Planning (relevant actors associated with planning specifically, as well as with biodiversity, protected areas, tourism, culture, indigenous peoples, production, among others). A liaison will be made with actors who have already started such processes in order to leverage existing processes and projects, as well as to improve and escalate them.</w:t>
      </w:r>
    </w:p>
    <w:p w14:paraId="0FA0BF30" w14:textId="77777777" w:rsidR="00D46B62" w:rsidRPr="003F7F6C" w:rsidRDefault="00D46B62" w:rsidP="00D46B62">
      <w:pPr>
        <w:spacing w:after="160" w:line="259" w:lineRule="auto"/>
        <w:ind w:left="10"/>
        <w:rPr>
          <w:rFonts w:eastAsia="Calibri" w:cs="Calibri"/>
          <w:color w:val="ED7D31"/>
          <w:szCs w:val="20"/>
        </w:rPr>
      </w:pPr>
    </w:p>
    <w:p w14:paraId="24D3425F" w14:textId="77777777" w:rsidR="00D46B62" w:rsidRPr="003F7F6C" w:rsidRDefault="00D46B62" w:rsidP="00D46B62">
      <w:pPr>
        <w:spacing w:after="160" w:line="259" w:lineRule="auto"/>
        <w:rPr>
          <w:rFonts w:eastAsia="Calibri" w:cs="Calibri"/>
          <w:b/>
          <w:szCs w:val="20"/>
          <w:u w:val="single"/>
        </w:rPr>
      </w:pPr>
      <w:r w:rsidRPr="003F7F6C">
        <w:rPr>
          <w:rFonts w:eastAsia="Calibri" w:cs="Calibri"/>
          <w:b/>
          <w:szCs w:val="20"/>
          <w:u w:val="single"/>
          <w:lang w:val="en-GB"/>
        </w:rPr>
        <w:t>Stakeholder Mapping</w:t>
      </w:r>
    </w:p>
    <w:p w14:paraId="57A5F740" w14:textId="77777777" w:rsidR="00D46B62" w:rsidRPr="003F7F6C" w:rsidRDefault="00D46B62" w:rsidP="00D46B62">
      <w:pPr>
        <w:spacing w:after="160" w:line="259" w:lineRule="auto"/>
        <w:rPr>
          <w:rFonts w:eastAsia="Calibri" w:cs="Calibri"/>
          <w:szCs w:val="20"/>
          <w:lang w:val="en-GB"/>
        </w:rPr>
      </w:pPr>
      <w:r w:rsidRPr="003F7F6C">
        <w:rPr>
          <w:rFonts w:eastAsia="Calibri" w:cs="Calibri"/>
          <w:szCs w:val="20"/>
          <w:lang w:val="en-GB"/>
        </w:rPr>
        <w:t xml:space="preserve">During the PPG phase a Stakeholder Map was put together that identified the relevant stakeholders for the project, namely the people, groups or institutions whose participation is essential and required for fulfilling the purpose, objectives and goals of the initiative to be developed. In different ways, these key actors have the power, capacity and means to decide upon and influence the critical areas that will allow or hinder the development of a proposal. The relevant actors are characterized by some of the following factors: </w:t>
      </w:r>
    </w:p>
    <w:p w14:paraId="150B29B2" w14:textId="77777777" w:rsidR="00D46B62" w:rsidRPr="003F7F6C" w:rsidRDefault="00D46B62" w:rsidP="00D46B62">
      <w:pPr>
        <w:spacing w:after="160" w:line="259" w:lineRule="auto"/>
        <w:rPr>
          <w:rFonts w:eastAsia="Calibri" w:cs="Calibri"/>
          <w:szCs w:val="20"/>
          <w:lang w:val="en-GB"/>
        </w:rPr>
      </w:pPr>
      <w:r w:rsidRPr="003F7F6C">
        <w:rPr>
          <w:rFonts w:eastAsia="Calibri" w:cs="Calibri"/>
          <w:szCs w:val="20"/>
          <w:lang w:val="en-GB"/>
        </w:rPr>
        <w:t xml:space="preserve">1) They form part of the community where the situation analysis was undertaken and they represent legitimate interests of a group, or are actors that will be directly benefited or affected by the project’s actions; </w:t>
      </w:r>
    </w:p>
    <w:p w14:paraId="684B442A" w14:textId="77777777" w:rsidR="00D46B62" w:rsidRPr="003F7F6C" w:rsidRDefault="00D46B62" w:rsidP="00D46B62">
      <w:pPr>
        <w:spacing w:after="160" w:line="259" w:lineRule="auto"/>
        <w:rPr>
          <w:rFonts w:eastAsia="Calibri" w:cs="Calibri"/>
          <w:szCs w:val="20"/>
          <w:lang w:val="en-GB"/>
        </w:rPr>
      </w:pPr>
      <w:r w:rsidRPr="003F7F6C">
        <w:rPr>
          <w:rFonts w:eastAsia="Calibri" w:cs="Calibri"/>
          <w:szCs w:val="20"/>
          <w:lang w:val="en-GB"/>
        </w:rPr>
        <w:t xml:space="preserve">2) Their roles and responsibilities are directly in line with the project´s objectives; </w:t>
      </w:r>
    </w:p>
    <w:p w14:paraId="2A82E96F" w14:textId="77777777" w:rsidR="00D46B62" w:rsidRPr="003F7F6C" w:rsidRDefault="00D46B62" w:rsidP="00D46B62">
      <w:pPr>
        <w:spacing w:after="160" w:line="259" w:lineRule="auto"/>
        <w:rPr>
          <w:rFonts w:eastAsia="Calibri" w:cs="Calibri"/>
          <w:szCs w:val="20"/>
          <w:lang w:val="en-GB"/>
        </w:rPr>
      </w:pPr>
      <w:r w:rsidRPr="003F7F6C">
        <w:rPr>
          <w:rFonts w:eastAsia="Calibri" w:cs="Calibri"/>
          <w:szCs w:val="20"/>
          <w:lang w:val="en-GB"/>
        </w:rPr>
        <w:t xml:space="preserve">3) They have the capacities, skills, knowledge, infrastructure and resources to identify, address and solve scientific and technical problems; </w:t>
      </w:r>
    </w:p>
    <w:p w14:paraId="7B42098F" w14:textId="77777777" w:rsidR="00D46B62" w:rsidRPr="003F7F6C" w:rsidRDefault="00D46B62" w:rsidP="00D46B62">
      <w:pPr>
        <w:spacing w:after="160" w:line="259" w:lineRule="auto"/>
        <w:rPr>
          <w:rFonts w:eastAsia="Calibri" w:cs="Calibri"/>
          <w:szCs w:val="20"/>
          <w:lang w:val="en-GB"/>
        </w:rPr>
      </w:pPr>
      <w:r w:rsidRPr="003F7F6C">
        <w:rPr>
          <w:rFonts w:eastAsia="Calibri" w:cs="Calibri"/>
          <w:szCs w:val="20"/>
          <w:lang w:val="en-GB"/>
        </w:rPr>
        <w:t xml:space="preserve">4) They have financing mechanisms or could donate resources; </w:t>
      </w:r>
    </w:p>
    <w:p w14:paraId="2F75A2AB" w14:textId="77777777" w:rsidR="00D46B62" w:rsidRPr="003F7F6C" w:rsidRDefault="00D46B62" w:rsidP="00D46B62">
      <w:pPr>
        <w:spacing w:after="160" w:line="259" w:lineRule="auto"/>
        <w:rPr>
          <w:rFonts w:eastAsia="Calibri" w:cs="Calibri"/>
          <w:szCs w:val="20"/>
        </w:rPr>
      </w:pPr>
      <w:r w:rsidRPr="003F7F6C">
        <w:rPr>
          <w:rFonts w:eastAsia="Calibri" w:cs="Calibri"/>
          <w:szCs w:val="20"/>
          <w:lang w:val="en-GB"/>
        </w:rPr>
        <w:t>5) They have managerial and negotiating capacity with the various agents and/or with different levels of government to help build consensus and reach agreements.</w:t>
      </w:r>
    </w:p>
    <w:p w14:paraId="4EEE4D5E" w14:textId="77777777" w:rsidR="00D46B62" w:rsidRPr="003F7F6C" w:rsidRDefault="00D46B62" w:rsidP="00D46B62">
      <w:pPr>
        <w:spacing w:after="160" w:line="259" w:lineRule="auto"/>
        <w:rPr>
          <w:rFonts w:eastAsia="Calibri" w:cs="Calibri"/>
          <w:szCs w:val="20"/>
          <w:lang w:val="en-GB"/>
        </w:rPr>
      </w:pPr>
      <w:r w:rsidRPr="003F7F6C">
        <w:rPr>
          <w:rFonts w:eastAsia="Calibri" w:cs="Calibri"/>
          <w:szCs w:val="20"/>
          <w:lang w:val="en-GB"/>
        </w:rPr>
        <w:t>Table 1 below identifies the relevant actors, their role in the implementation of the project, and the project components in which they will participate.</w:t>
      </w:r>
    </w:p>
    <w:p w14:paraId="435C23ED" w14:textId="1F2655C6" w:rsidR="00D46B62" w:rsidRPr="003F7F6C" w:rsidRDefault="00D46B62" w:rsidP="00D46B62">
      <w:pPr>
        <w:spacing w:after="160" w:line="259" w:lineRule="auto"/>
        <w:rPr>
          <w:rFonts w:eastAsia="Calibri" w:cs="Calibri"/>
          <w:sz w:val="22"/>
          <w:szCs w:val="22"/>
          <w:lang w:val="en-GB"/>
        </w:rPr>
      </w:pPr>
    </w:p>
    <w:p w14:paraId="1CB54188" w14:textId="77777777" w:rsidR="00CE41E0" w:rsidRPr="003F7F6C" w:rsidRDefault="00CE41E0" w:rsidP="00D46B62">
      <w:pPr>
        <w:spacing w:after="160" w:line="259" w:lineRule="auto"/>
        <w:rPr>
          <w:rFonts w:eastAsia="Calibri" w:cs="Calibri"/>
          <w:sz w:val="22"/>
          <w:szCs w:val="22"/>
          <w:lang w:val="en-GB"/>
        </w:rPr>
      </w:pPr>
    </w:p>
    <w:p w14:paraId="40DB1A08" w14:textId="77777777" w:rsidR="00D46B62" w:rsidRPr="003F7F6C" w:rsidRDefault="00D46B62" w:rsidP="00D46B62">
      <w:pPr>
        <w:spacing w:after="160" w:line="259" w:lineRule="auto"/>
        <w:rPr>
          <w:rFonts w:eastAsia="Calibri" w:cs="Calibri"/>
          <w:b/>
          <w:sz w:val="22"/>
          <w:szCs w:val="22"/>
          <w:lang w:val="es-AR"/>
        </w:rPr>
      </w:pPr>
      <w:bookmarkStart w:id="54" w:name="_Hlk528836708"/>
      <w:r w:rsidRPr="003F7F6C">
        <w:rPr>
          <w:rFonts w:eastAsia="Calibri" w:cs="Calibri"/>
          <w:b/>
          <w:sz w:val="22"/>
          <w:szCs w:val="22"/>
          <w:lang w:val="en-GB"/>
        </w:rPr>
        <w:t>Table 1. Stakeholder Matrix</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51"/>
        <w:gridCol w:w="5635"/>
        <w:gridCol w:w="1414"/>
      </w:tblGrid>
      <w:tr w:rsidR="00D46B62" w:rsidRPr="003F7F6C" w14:paraId="11562BBB" w14:textId="77777777" w:rsidTr="00BA5606">
        <w:trPr>
          <w:trHeight w:val="672"/>
          <w:tblHeader/>
        </w:trPr>
        <w:tc>
          <w:tcPr>
            <w:tcW w:w="1290" w:type="pct"/>
            <w:shd w:val="clear" w:color="FFFFFF" w:fill="FFFFFF"/>
            <w:hideMark/>
          </w:tcPr>
          <w:bookmarkEnd w:id="54"/>
          <w:p w14:paraId="30828411" w14:textId="77777777" w:rsidR="00D46B62" w:rsidRPr="003F7F6C" w:rsidRDefault="00D46B62" w:rsidP="00D46B62">
            <w:pPr>
              <w:spacing w:after="0"/>
              <w:jc w:val="left"/>
              <w:rPr>
                <w:rFonts w:eastAsia="Calibri" w:cs="Calibri"/>
                <w:sz w:val="18"/>
                <w:szCs w:val="18"/>
                <w:lang w:val="es-AR"/>
              </w:rPr>
            </w:pPr>
            <w:r w:rsidRPr="003F7F6C">
              <w:rPr>
                <w:rFonts w:eastAsia="Calibri" w:cs="Calibri"/>
                <w:sz w:val="18"/>
                <w:szCs w:val="18"/>
                <w:lang w:val="en-GB"/>
              </w:rPr>
              <w:t>Organization</w:t>
            </w:r>
          </w:p>
        </w:tc>
        <w:tc>
          <w:tcPr>
            <w:tcW w:w="2966" w:type="pct"/>
            <w:shd w:val="clear" w:color="FFFFFF" w:fill="FFFFFF"/>
            <w:hideMark/>
          </w:tcPr>
          <w:p w14:paraId="1A114DE1" w14:textId="77777777" w:rsidR="00D46B62" w:rsidRPr="003F7F6C" w:rsidRDefault="00D46B62" w:rsidP="00D46B62">
            <w:pPr>
              <w:spacing w:after="0"/>
              <w:jc w:val="left"/>
              <w:rPr>
                <w:rFonts w:eastAsia="Calibri" w:cs="Calibri"/>
                <w:sz w:val="18"/>
                <w:szCs w:val="18"/>
                <w:lang w:val="es-AR"/>
              </w:rPr>
            </w:pPr>
            <w:r w:rsidRPr="003F7F6C">
              <w:rPr>
                <w:rFonts w:eastAsia="Calibri" w:cs="Calibri"/>
                <w:sz w:val="18"/>
                <w:szCs w:val="18"/>
                <w:lang w:val="en-GB"/>
              </w:rPr>
              <w:t>Role/Responsibility in Project</w:t>
            </w:r>
            <w:r w:rsidRPr="003F7F6C">
              <w:rPr>
                <w:rFonts w:eastAsia="Calibri" w:cs="Calibri"/>
                <w:sz w:val="18"/>
                <w:szCs w:val="18"/>
                <w:lang w:val="es-AR"/>
              </w:rPr>
              <w:br/>
            </w:r>
          </w:p>
        </w:tc>
        <w:tc>
          <w:tcPr>
            <w:tcW w:w="744" w:type="pct"/>
            <w:shd w:val="clear" w:color="FFFFFF" w:fill="FFFFFF"/>
            <w:hideMark/>
          </w:tcPr>
          <w:p w14:paraId="24E57214"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 xml:space="preserve">Participation in Components of the Project </w:t>
            </w:r>
          </w:p>
        </w:tc>
      </w:tr>
      <w:tr w:rsidR="00D46B62" w:rsidRPr="003F7F6C" w14:paraId="546E1E2F" w14:textId="77777777" w:rsidTr="00553F65">
        <w:trPr>
          <w:trHeight w:val="419"/>
        </w:trPr>
        <w:tc>
          <w:tcPr>
            <w:tcW w:w="5000" w:type="pct"/>
            <w:gridSpan w:val="3"/>
            <w:shd w:val="clear" w:color="FFFFFF" w:fill="FFFFFF"/>
          </w:tcPr>
          <w:p w14:paraId="31D85CD5" w14:textId="77777777" w:rsidR="00D46B62" w:rsidRPr="003F7F6C" w:rsidRDefault="00D46B62" w:rsidP="00D46B62">
            <w:pPr>
              <w:spacing w:after="0"/>
              <w:jc w:val="left"/>
              <w:rPr>
                <w:rFonts w:eastAsia="Calibri" w:cs="Calibri"/>
                <w:sz w:val="18"/>
                <w:szCs w:val="18"/>
                <w:lang w:val="es-AR"/>
              </w:rPr>
            </w:pPr>
            <w:r w:rsidRPr="003F7F6C">
              <w:rPr>
                <w:rFonts w:eastAsia="Calibri" w:cs="Calibri"/>
                <w:sz w:val="18"/>
                <w:szCs w:val="18"/>
                <w:lang w:val="en-GB"/>
              </w:rPr>
              <w:t>National level</w:t>
            </w:r>
          </w:p>
        </w:tc>
      </w:tr>
      <w:tr w:rsidR="00D46B62" w:rsidRPr="003F7F6C" w14:paraId="538255B1" w14:textId="77777777" w:rsidTr="00553F65">
        <w:trPr>
          <w:trHeight w:val="565"/>
        </w:trPr>
        <w:tc>
          <w:tcPr>
            <w:tcW w:w="1290" w:type="pct"/>
            <w:shd w:val="clear" w:color="auto" w:fill="auto"/>
            <w:hideMark/>
          </w:tcPr>
          <w:p w14:paraId="1F88E3DE"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 xml:space="preserve">Secretariat for the Environment and Sustainable Development - National Directorate of Environmental Land Use Planning under the Ministry of Environmental Policy in Natural Resources (SAyDS) </w:t>
            </w:r>
          </w:p>
        </w:tc>
        <w:tc>
          <w:tcPr>
            <w:tcW w:w="2966" w:type="pct"/>
            <w:shd w:val="clear" w:color="auto" w:fill="auto"/>
            <w:hideMark/>
          </w:tcPr>
          <w:p w14:paraId="619A799D"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Implementing Partner. Co-financier. Member of the Project´s Board and Technical Committee. Leadership and convening of partner institutions and participants in the implementation of the project. The institution where the project will physically be carried out. Its main role will be that of coordinating with other organizations and of leading the different stages of the project’s execution.  Member of dialogue platforms. Will participate in the M&amp;E of the project.</w:t>
            </w:r>
          </w:p>
        </w:tc>
        <w:tc>
          <w:tcPr>
            <w:tcW w:w="744" w:type="pct"/>
            <w:shd w:val="clear" w:color="auto" w:fill="auto"/>
            <w:hideMark/>
          </w:tcPr>
          <w:p w14:paraId="7E385E30" w14:textId="77777777" w:rsidR="00D46B62" w:rsidRPr="003F7F6C" w:rsidRDefault="00D46B62" w:rsidP="00D46B62">
            <w:pPr>
              <w:spacing w:after="0"/>
              <w:jc w:val="left"/>
              <w:rPr>
                <w:rFonts w:eastAsia="Calibri" w:cs="Calibri"/>
                <w:sz w:val="18"/>
                <w:szCs w:val="18"/>
                <w:lang w:val="es-AR"/>
              </w:rPr>
            </w:pPr>
            <w:r w:rsidRPr="003F7F6C">
              <w:rPr>
                <w:rFonts w:eastAsia="Calibri" w:cs="Calibri"/>
                <w:sz w:val="18"/>
                <w:szCs w:val="18"/>
                <w:lang w:val="en-GB"/>
              </w:rPr>
              <w:t>C1, C2, C3, C4</w:t>
            </w:r>
          </w:p>
        </w:tc>
      </w:tr>
      <w:tr w:rsidR="00D46B62" w:rsidRPr="003F7F6C" w14:paraId="3C774833" w14:textId="77777777" w:rsidTr="00553F65">
        <w:trPr>
          <w:trHeight w:val="706"/>
        </w:trPr>
        <w:tc>
          <w:tcPr>
            <w:tcW w:w="1290" w:type="pct"/>
            <w:shd w:val="clear" w:color="auto" w:fill="auto"/>
            <w:hideMark/>
          </w:tcPr>
          <w:p w14:paraId="4A1E43B0" w14:textId="77777777" w:rsidR="00D46B62" w:rsidRPr="003F7F6C" w:rsidRDefault="00D46B62" w:rsidP="00D46B62">
            <w:pPr>
              <w:spacing w:after="0"/>
              <w:jc w:val="left"/>
              <w:rPr>
                <w:rFonts w:eastAsia="Calibri" w:cs="Calibri"/>
                <w:sz w:val="18"/>
                <w:szCs w:val="18"/>
                <w:lang w:val="es-AR"/>
              </w:rPr>
            </w:pPr>
            <w:r w:rsidRPr="003F7F6C">
              <w:rPr>
                <w:rFonts w:eastAsia="Calibri" w:cs="Calibri"/>
                <w:sz w:val="18"/>
                <w:szCs w:val="18"/>
                <w:lang w:val="en-GB"/>
              </w:rPr>
              <w:t>National Agricultural Technology Institute. Ministry of Agribusiness of the Nation. (INTA)</w:t>
            </w:r>
          </w:p>
        </w:tc>
        <w:tc>
          <w:tcPr>
            <w:tcW w:w="2966" w:type="pct"/>
            <w:shd w:val="clear" w:color="auto" w:fill="auto"/>
            <w:hideMark/>
          </w:tcPr>
          <w:p w14:paraId="06178F5B"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 xml:space="preserve">Its presence throughout the country and its technical capacity will be of great importance in the development and application of innovative instruments and in the development of ELUP (Environmental Land Use Planning). It runs programmes throughout the country with farmers, peasant communities and indigenous peoples. It will bring concrete knowledge to the project regarding modes of production in use, alternative production techniques, sustainable production developments and technical knowledge regarding production in general. </w:t>
            </w:r>
            <w:r w:rsidRPr="003F7F6C">
              <w:rPr>
                <w:rFonts w:eastAsia="Calibri"/>
                <w:sz w:val="18"/>
                <w:szCs w:val="18"/>
              </w:rPr>
              <w:t>The project will benefit from INTA´s access to the territory and INTA in turn will benefit from information generated by the project</w:t>
            </w:r>
            <w:r w:rsidRPr="003F7F6C">
              <w:rPr>
                <w:rFonts w:eastAsia="Calibri" w:cs="Calibri"/>
                <w:sz w:val="18"/>
                <w:szCs w:val="18"/>
                <w:lang w:val="en-GB"/>
              </w:rPr>
              <w:t xml:space="preserve"> regarding concrete alternative production experiences. Member of national and provincial dialogue platforms and of sustainable commodities platform, participation in work teams at pilot sites. Member of the Technical Committee</w:t>
            </w:r>
          </w:p>
        </w:tc>
        <w:tc>
          <w:tcPr>
            <w:tcW w:w="744" w:type="pct"/>
            <w:shd w:val="clear" w:color="auto" w:fill="auto"/>
            <w:hideMark/>
          </w:tcPr>
          <w:p w14:paraId="50E3566C" w14:textId="77777777" w:rsidR="00D46B62" w:rsidRPr="003F7F6C" w:rsidRDefault="00D46B62" w:rsidP="00D46B62">
            <w:pPr>
              <w:spacing w:after="0"/>
              <w:jc w:val="left"/>
              <w:rPr>
                <w:rFonts w:eastAsia="Calibri" w:cs="Calibri"/>
                <w:sz w:val="18"/>
                <w:szCs w:val="18"/>
                <w:lang w:val="es-AR"/>
              </w:rPr>
            </w:pPr>
            <w:r w:rsidRPr="003F7F6C">
              <w:rPr>
                <w:rFonts w:eastAsia="Calibri" w:cs="Calibri"/>
                <w:sz w:val="18"/>
                <w:szCs w:val="18"/>
                <w:lang w:val="en-GB"/>
              </w:rPr>
              <w:t>C1, C2, C3</w:t>
            </w:r>
          </w:p>
        </w:tc>
      </w:tr>
      <w:tr w:rsidR="00D46B62" w:rsidRPr="003F7F6C" w14:paraId="129A98BF" w14:textId="77777777" w:rsidTr="00553F65">
        <w:trPr>
          <w:trHeight w:val="598"/>
        </w:trPr>
        <w:tc>
          <w:tcPr>
            <w:tcW w:w="1290" w:type="pct"/>
            <w:shd w:val="clear" w:color="auto" w:fill="auto"/>
            <w:hideMark/>
          </w:tcPr>
          <w:p w14:paraId="471993A2"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Federal Council of Environment Ministers (COFEMA)</w:t>
            </w:r>
          </w:p>
        </w:tc>
        <w:tc>
          <w:tcPr>
            <w:tcW w:w="2966" w:type="pct"/>
            <w:shd w:val="clear" w:color="auto" w:fill="auto"/>
            <w:hideMark/>
          </w:tcPr>
          <w:p w14:paraId="3B419627"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 xml:space="preserve">Analysis and dialogue about ELUP policies and legal frameworks and the necessary interjurisdictional coordination. Participation in dialogue platforms through committees. Dissemination to promote the replication of experiences and lessons learned throughout the country </w:t>
            </w:r>
          </w:p>
        </w:tc>
        <w:tc>
          <w:tcPr>
            <w:tcW w:w="744" w:type="pct"/>
            <w:shd w:val="clear" w:color="auto" w:fill="auto"/>
            <w:hideMark/>
          </w:tcPr>
          <w:p w14:paraId="5E2A2A03" w14:textId="77777777" w:rsidR="00D46B62" w:rsidRPr="003F7F6C" w:rsidRDefault="00D46B62" w:rsidP="00D46B62">
            <w:pPr>
              <w:spacing w:after="0"/>
              <w:jc w:val="left"/>
              <w:rPr>
                <w:rFonts w:eastAsia="Calibri" w:cs="Calibri"/>
                <w:sz w:val="18"/>
                <w:szCs w:val="18"/>
                <w:lang w:val="es-AR"/>
              </w:rPr>
            </w:pPr>
            <w:r w:rsidRPr="003F7F6C">
              <w:rPr>
                <w:rFonts w:eastAsia="Calibri" w:cs="Calibri"/>
                <w:sz w:val="18"/>
                <w:szCs w:val="18"/>
                <w:lang w:val="en-GB"/>
              </w:rPr>
              <w:t>C1, C3</w:t>
            </w:r>
          </w:p>
        </w:tc>
      </w:tr>
      <w:tr w:rsidR="00D46B62" w:rsidRPr="003F7F6C" w14:paraId="0912F658" w14:textId="77777777" w:rsidTr="00553F65">
        <w:trPr>
          <w:trHeight w:val="799"/>
        </w:trPr>
        <w:tc>
          <w:tcPr>
            <w:tcW w:w="1290" w:type="pct"/>
            <w:shd w:val="clear" w:color="auto" w:fill="auto"/>
            <w:hideMark/>
          </w:tcPr>
          <w:p w14:paraId="4FE2A131"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National Advisory Committee for Conservation and Sustainable Use of Biological Diversity. (CONADIBIO)</w:t>
            </w:r>
          </w:p>
        </w:tc>
        <w:tc>
          <w:tcPr>
            <w:tcW w:w="2966" w:type="pct"/>
            <w:shd w:val="clear" w:color="auto" w:fill="auto"/>
            <w:hideMark/>
          </w:tcPr>
          <w:p w14:paraId="444EAB6B"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Its role in the project will be that of consultation and dialogue on relevant ELUP matters linked to biodiversity. Participation in dialogue platforms and sustainable commodities platform</w:t>
            </w:r>
          </w:p>
        </w:tc>
        <w:tc>
          <w:tcPr>
            <w:tcW w:w="744" w:type="pct"/>
            <w:shd w:val="clear" w:color="auto" w:fill="auto"/>
            <w:hideMark/>
          </w:tcPr>
          <w:p w14:paraId="191300D0" w14:textId="77777777" w:rsidR="00D46B62" w:rsidRPr="003F7F6C" w:rsidRDefault="00D46B62" w:rsidP="00D46B62">
            <w:pPr>
              <w:spacing w:after="0"/>
              <w:jc w:val="left"/>
              <w:rPr>
                <w:rFonts w:eastAsia="Calibri" w:cs="Calibri"/>
                <w:sz w:val="18"/>
                <w:szCs w:val="18"/>
                <w:lang w:val="es-AR"/>
              </w:rPr>
            </w:pPr>
            <w:r w:rsidRPr="003F7F6C">
              <w:rPr>
                <w:rFonts w:eastAsia="Calibri" w:cs="Calibri"/>
                <w:sz w:val="18"/>
                <w:szCs w:val="18"/>
                <w:lang w:val="en-GB"/>
              </w:rPr>
              <w:t>C1</w:t>
            </w:r>
          </w:p>
        </w:tc>
      </w:tr>
      <w:tr w:rsidR="00D46B62" w:rsidRPr="003F7F6C" w14:paraId="041F0FB3" w14:textId="77777777" w:rsidTr="00553F65">
        <w:trPr>
          <w:trHeight w:val="792"/>
        </w:trPr>
        <w:tc>
          <w:tcPr>
            <w:tcW w:w="1290" w:type="pct"/>
            <w:shd w:val="clear" w:color="auto" w:fill="auto"/>
            <w:hideMark/>
          </w:tcPr>
          <w:p w14:paraId="37814C16"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National Council for Technical and Scientific Research. (CONICET)</w:t>
            </w:r>
          </w:p>
        </w:tc>
        <w:tc>
          <w:tcPr>
            <w:tcW w:w="2966" w:type="pct"/>
            <w:shd w:val="clear" w:color="auto" w:fill="auto"/>
            <w:hideMark/>
          </w:tcPr>
          <w:p w14:paraId="7650B1B8"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It will have a consultative role in the project through departments or researchers focused on the project´s subject matters. Participation in dialogue platforms</w:t>
            </w:r>
          </w:p>
        </w:tc>
        <w:tc>
          <w:tcPr>
            <w:tcW w:w="744" w:type="pct"/>
            <w:shd w:val="clear" w:color="auto" w:fill="auto"/>
            <w:hideMark/>
          </w:tcPr>
          <w:p w14:paraId="10BED5DC" w14:textId="77777777" w:rsidR="00D46B62" w:rsidRPr="003F7F6C" w:rsidRDefault="00D46B62" w:rsidP="00D46B62">
            <w:pPr>
              <w:spacing w:after="0"/>
              <w:jc w:val="left"/>
              <w:rPr>
                <w:rFonts w:eastAsia="Calibri" w:cs="Calibri"/>
                <w:sz w:val="18"/>
                <w:szCs w:val="18"/>
                <w:lang w:val="es-AR"/>
              </w:rPr>
            </w:pPr>
            <w:r w:rsidRPr="003F7F6C">
              <w:rPr>
                <w:rFonts w:eastAsia="Calibri" w:cs="Calibri"/>
                <w:sz w:val="18"/>
                <w:szCs w:val="18"/>
                <w:lang w:val="en-GB"/>
              </w:rPr>
              <w:t>C1</w:t>
            </w:r>
          </w:p>
        </w:tc>
      </w:tr>
      <w:tr w:rsidR="00D46B62" w:rsidRPr="003F7F6C" w14:paraId="6F0F7C34" w14:textId="77777777" w:rsidTr="00553F65">
        <w:trPr>
          <w:trHeight w:val="1415"/>
        </w:trPr>
        <w:tc>
          <w:tcPr>
            <w:tcW w:w="1290" w:type="pct"/>
            <w:shd w:val="clear" w:color="auto" w:fill="auto"/>
            <w:hideMark/>
          </w:tcPr>
          <w:p w14:paraId="36A9F109"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National Parks Administration.  Ministry of Environment and Sustainable Development (APN)</w:t>
            </w:r>
          </w:p>
        </w:tc>
        <w:tc>
          <w:tcPr>
            <w:tcW w:w="2966" w:type="pct"/>
            <w:shd w:val="clear" w:color="auto" w:fill="auto"/>
            <w:hideMark/>
          </w:tcPr>
          <w:p w14:paraId="3090CA26"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The APN will have special relevance in the national and provincial dialogue spaces, and it will also be able to help access protected areas, as well as provide knowledge about the land and the needs of the most isolated populations in pilot sites. Participation in national and provincial dialogue platforms and support for work teams in pilot sites that include national parks</w:t>
            </w:r>
          </w:p>
        </w:tc>
        <w:tc>
          <w:tcPr>
            <w:tcW w:w="744" w:type="pct"/>
            <w:shd w:val="clear" w:color="auto" w:fill="auto"/>
            <w:hideMark/>
          </w:tcPr>
          <w:p w14:paraId="3DA7F284" w14:textId="77777777" w:rsidR="00D46B62" w:rsidRPr="003F7F6C" w:rsidRDefault="00D46B62" w:rsidP="00D46B62">
            <w:pPr>
              <w:spacing w:after="0"/>
              <w:jc w:val="left"/>
              <w:rPr>
                <w:rFonts w:eastAsia="Calibri" w:cs="Calibri"/>
                <w:sz w:val="18"/>
                <w:szCs w:val="18"/>
                <w:lang w:val="es-AR"/>
              </w:rPr>
            </w:pPr>
            <w:r w:rsidRPr="003F7F6C">
              <w:rPr>
                <w:rFonts w:eastAsia="Calibri" w:cs="Calibri"/>
                <w:sz w:val="18"/>
                <w:szCs w:val="18"/>
                <w:lang w:val="en-GB"/>
              </w:rPr>
              <w:t>C1, C2, C3</w:t>
            </w:r>
          </w:p>
        </w:tc>
      </w:tr>
      <w:tr w:rsidR="00D46B62" w:rsidRPr="003F7F6C" w14:paraId="6E01F375" w14:textId="77777777" w:rsidTr="00553F65">
        <w:trPr>
          <w:trHeight w:val="976"/>
        </w:trPr>
        <w:tc>
          <w:tcPr>
            <w:tcW w:w="1290" w:type="pct"/>
            <w:shd w:val="clear" w:color="auto" w:fill="auto"/>
            <w:hideMark/>
          </w:tcPr>
          <w:p w14:paraId="401CD751"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 xml:space="preserve">National Observatory of Land Degradation and Desertification under the Ministry of Environment and Sustainable Development (ONDTyD) </w:t>
            </w:r>
          </w:p>
        </w:tc>
        <w:tc>
          <w:tcPr>
            <w:tcW w:w="2966" w:type="pct"/>
            <w:shd w:val="clear" w:color="auto" w:fill="auto"/>
            <w:hideMark/>
          </w:tcPr>
          <w:p w14:paraId="2D7D2527"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 xml:space="preserve">As well as having a consultative role in the project through participation in dialogue spaces at the national level, it will also contribute valuable relevant information associated with the project´s indicators. </w:t>
            </w:r>
          </w:p>
        </w:tc>
        <w:tc>
          <w:tcPr>
            <w:tcW w:w="744" w:type="pct"/>
            <w:shd w:val="clear" w:color="auto" w:fill="auto"/>
            <w:hideMark/>
          </w:tcPr>
          <w:p w14:paraId="35072422" w14:textId="77777777" w:rsidR="00D46B62" w:rsidRPr="003F7F6C" w:rsidRDefault="00D46B62" w:rsidP="00D46B62">
            <w:pPr>
              <w:spacing w:after="0"/>
              <w:jc w:val="left"/>
              <w:rPr>
                <w:rFonts w:eastAsia="Calibri" w:cs="Calibri"/>
                <w:sz w:val="18"/>
                <w:szCs w:val="18"/>
                <w:lang w:val="es-AR"/>
              </w:rPr>
            </w:pPr>
            <w:r w:rsidRPr="003F7F6C">
              <w:rPr>
                <w:rFonts w:eastAsia="Calibri" w:cs="Calibri"/>
                <w:sz w:val="18"/>
                <w:szCs w:val="18"/>
                <w:lang w:val="en-GB"/>
              </w:rPr>
              <w:t>C1, C2, C3</w:t>
            </w:r>
            <w:r w:rsidRPr="003F7F6C">
              <w:rPr>
                <w:rFonts w:eastAsia="Calibri" w:cs="Calibri"/>
                <w:sz w:val="18"/>
                <w:szCs w:val="18"/>
                <w:lang w:val="en-GB"/>
              </w:rPr>
              <w:br/>
            </w:r>
          </w:p>
        </w:tc>
      </w:tr>
      <w:tr w:rsidR="00D46B62" w:rsidRPr="003F7F6C" w14:paraId="3E06C174" w14:textId="77777777" w:rsidTr="00553F65">
        <w:trPr>
          <w:trHeight w:val="1021"/>
        </w:trPr>
        <w:tc>
          <w:tcPr>
            <w:tcW w:w="1290" w:type="pct"/>
            <w:shd w:val="clear" w:color="auto" w:fill="auto"/>
            <w:hideMark/>
          </w:tcPr>
          <w:p w14:paraId="5BE5B7CD"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National Biodiversity Observatory in the Ministry of Environment and Sustainable Development (OBIO)</w:t>
            </w:r>
          </w:p>
        </w:tc>
        <w:tc>
          <w:tcPr>
            <w:tcW w:w="2966" w:type="pct"/>
            <w:shd w:val="clear" w:color="auto" w:fill="auto"/>
            <w:hideMark/>
          </w:tcPr>
          <w:p w14:paraId="16C92DAF"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As well as having a consultative role in the project through participation in dialogue spaces at the national level, it will also contribute valuable relevant information associated with the project´s indicators.</w:t>
            </w:r>
          </w:p>
        </w:tc>
        <w:tc>
          <w:tcPr>
            <w:tcW w:w="744" w:type="pct"/>
            <w:shd w:val="clear" w:color="auto" w:fill="auto"/>
            <w:hideMark/>
          </w:tcPr>
          <w:p w14:paraId="3EEA4FDE" w14:textId="77777777" w:rsidR="00D46B62" w:rsidRPr="003F7F6C" w:rsidRDefault="00D46B62" w:rsidP="00D46B62">
            <w:pPr>
              <w:spacing w:after="0"/>
              <w:jc w:val="left"/>
              <w:rPr>
                <w:rFonts w:eastAsia="Calibri" w:cs="Calibri"/>
                <w:sz w:val="18"/>
                <w:szCs w:val="18"/>
                <w:lang w:val="es-AR"/>
              </w:rPr>
            </w:pPr>
            <w:r w:rsidRPr="003F7F6C">
              <w:rPr>
                <w:rFonts w:eastAsia="Calibri" w:cs="Calibri"/>
                <w:sz w:val="18"/>
                <w:szCs w:val="18"/>
                <w:lang w:val="en-GB"/>
              </w:rPr>
              <w:t>C1, C2, C3</w:t>
            </w:r>
            <w:r w:rsidRPr="003F7F6C">
              <w:rPr>
                <w:rFonts w:eastAsia="Calibri" w:cs="Calibri"/>
                <w:sz w:val="18"/>
                <w:szCs w:val="18"/>
                <w:lang w:val="en-GB"/>
              </w:rPr>
              <w:br/>
            </w:r>
          </w:p>
        </w:tc>
      </w:tr>
      <w:tr w:rsidR="00D46B62" w:rsidRPr="003F7F6C" w14:paraId="1DDA97C9" w14:textId="77777777" w:rsidTr="00553F65">
        <w:trPr>
          <w:trHeight w:val="1699"/>
        </w:trPr>
        <w:tc>
          <w:tcPr>
            <w:tcW w:w="1290" w:type="pct"/>
            <w:shd w:val="clear" w:color="auto" w:fill="auto"/>
            <w:hideMark/>
          </w:tcPr>
          <w:p w14:paraId="243855C2"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National Indigenous Peoples Institute of the Ministry of Justice and Human Rights (INAI)</w:t>
            </w:r>
          </w:p>
        </w:tc>
        <w:tc>
          <w:tcPr>
            <w:tcW w:w="2966" w:type="pct"/>
            <w:shd w:val="clear" w:color="auto" w:fill="auto"/>
            <w:hideMark/>
          </w:tcPr>
          <w:p w14:paraId="203ECC6B"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 xml:space="preserve">Due to the presence of indigenous peoples in the territory of the Project’s pilot sites, and the role of indigenous peoples’ policies in the overall ELUP framework, they are included as consultative actors for national dialogue spaces and they can offer support in the territory through the CPIs and also by providing information on several issues, such as the hierarchical structure of communities, ancestral modes of production, the role of women within the community, among others. </w:t>
            </w:r>
          </w:p>
        </w:tc>
        <w:tc>
          <w:tcPr>
            <w:tcW w:w="744" w:type="pct"/>
            <w:shd w:val="clear" w:color="auto" w:fill="auto"/>
            <w:hideMark/>
          </w:tcPr>
          <w:p w14:paraId="2434EFA7" w14:textId="77777777" w:rsidR="00D46B62" w:rsidRPr="003F7F6C" w:rsidRDefault="00D46B62" w:rsidP="00D46B62">
            <w:pPr>
              <w:spacing w:after="0"/>
              <w:jc w:val="left"/>
              <w:rPr>
                <w:rFonts w:eastAsia="Calibri" w:cs="Calibri"/>
                <w:sz w:val="18"/>
                <w:szCs w:val="18"/>
                <w:lang w:val="es-AR"/>
              </w:rPr>
            </w:pPr>
            <w:r w:rsidRPr="003F7F6C">
              <w:rPr>
                <w:rFonts w:eastAsia="Calibri" w:cs="Calibri"/>
                <w:sz w:val="18"/>
                <w:szCs w:val="18"/>
                <w:lang w:val="en-GB"/>
              </w:rPr>
              <w:t>C1, C2</w:t>
            </w:r>
            <w:r w:rsidRPr="003F7F6C">
              <w:rPr>
                <w:rFonts w:eastAsia="Calibri" w:cs="Calibri"/>
                <w:sz w:val="18"/>
                <w:szCs w:val="18"/>
                <w:lang w:val="en-GB"/>
              </w:rPr>
              <w:br/>
            </w:r>
          </w:p>
        </w:tc>
      </w:tr>
      <w:tr w:rsidR="00D46B62" w:rsidRPr="003F7F6C" w14:paraId="4AE2E34D" w14:textId="77777777" w:rsidTr="00553F65">
        <w:trPr>
          <w:trHeight w:val="640"/>
        </w:trPr>
        <w:tc>
          <w:tcPr>
            <w:tcW w:w="1290" w:type="pct"/>
            <w:shd w:val="clear" w:color="auto" w:fill="auto"/>
            <w:hideMark/>
          </w:tcPr>
          <w:p w14:paraId="65FDC3BF"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Environment and Natural Resources Foundation (FARN)</w:t>
            </w:r>
          </w:p>
        </w:tc>
        <w:tc>
          <w:tcPr>
            <w:tcW w:w="2966" w:type="pct"/>
            <w:shd w:val="clear" w:color="auto" w:fill="auto"/>
            <w:hideMark/>
          </w:tcPr>
          <w:p w14:paraId="534B6C66"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Its role in the project will be of a consultative nature in national multisectoral dialogue spaces, and it will be able to offer its knowledge and experience in the surveying and analysis of ELUP matters</w:t>
            </w:r>
          </w:p>
        </w:tc>
        <w:tc>
          <w:tcPr>
            <w:tcW w:w="744" w:type="pct"/>
            <w:shd w:val="clear" w:color="auto" w:fill="auto"/>
            <w:hideMark/>
          </w:tcPr>
          <w:p w14:paraId="0F8A621E" w14:textId="77777777" w:rsidR="00D46B62" w:rsidRPr="003F7F6C" w:rsidRDefault="00D46B62" w:rsidP="00D46B62">
            <w:pPr>
              <w:spacing w:after="0"/>
              <w:jc w:val="left"/>
              <w:rPr>
                <w:rFonts w:eastAsia="Calibri" w:cs="Calibri"/>
                <w:sz w:val="18"/>
                <w:szCs w:val="18"/>
                <w:lang w:val="es-AR"/>
              </w:rPr>
            </w:pPr>
            <w:r w:rsidRPr="003F7F6C">
              <w:rPr>
                <w:rFonts w:eastAsia="Calibri" w:cs="Calibri"/>
                <w:sz w:val="18"/>
                <w:szCs w:val="18"/>
                <w:lang w:val="en-GB"/>
              </w:rPr>
              <w:t>C1</w:t>
            </w:r>
            <w:r w:rsidRPr="003F7F6C">
              <w:rPr>
                <w:rFonts w:eastAsia="Calibri" w:cs="Calibri"/>
                <w:sz w:val="18"/>
                <w:szCs w:val="18"/>
                <w:lang w:val="en-GB"/>
              </w:rPr>
              <w:br/>
            </w:r>
          </w:p>
        </w:tc>
      </w:tr>
      <w:tr w:rsidR="00D46B62" w:rsidRPr="003F7F6C" w14:paraId="2BFC17DC" w14:textId="77777777" w:rsidTr="00553F65">
        <w:trPr>
          <w:trHeight w:val="808"/>
        </w:trPr>
        <w:tc>
          <w:tcPr>
            <w:tcW w:w="1290" w:type="pct"/>
            <w:shd w:val="clear" w:color="auto" w:fill="auto"/>
          </w:tcPr>
          <w:p w14:paraId="7D36E8F8" w14:textId="77777777" w:rsidR="00D46B62" w:rsidRPr="003F7F6C" w:rsidRDefault="00D46B62" w:rsidP="00D46B62">
            <w:pPr>
              <w:spacing w:after="0"/>
              <w:jc w:val="left"/>
              <w:rPr>
                <w:rFonts w:eastAsia="Calibri" w:cs="Calibri"/>
                <w:sz w:val="18"/>
                <w:szCs w:val="18"/>
                <w:lang w:val="es-AR"/>
              </w:rPr>
            </w:pPr>
            <w:r w:rsidRPr="003F7F6C">
              <w:rPr>
                <w:rFonts w:eastAsia="Calibri" w:cs="Calibri"/>
                <w:sz w:val="18"/>
                <w:szCs w:val="18"/>
                <w:lang w:val="en-GB"/>
              </w:rPr>
              <w:t>Democratic Change Foundation (FCD)</w:t>
            </w:r>
          </w:p>
        </w:tc>
        <w:tc>
          <w:tcPr>
            <w:tcW w:w="2966" w:type="pct"/>
            <w:shd w:val="clear" w:color="auto" w:fill="auto"/>
          </w:tcPr>
          <w:p w14:paraId="3E9476CB"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 xml:space="preserve"> Its role in the project will be of a consultative nature in national multisectoral dialogue spaces, and it will be able to bring its knowledge and experience to participation issues related to ELUP. </w:t>
            </w:r>
          </w:p>
        </w:tc>
        <w:tc>
          <w:tcPr>
            <w:tcW w:w="744" w:type="pct"/>
            <w:shd w:val="clear" w:color="auto" w:fill="auto"/>
          </w:tcPr>
          <w:p w14:paraId="609E1798" w14:textId="77777777" w:rsidR="00D46B62" w:rsidRPr="003F7F6C" w:rsidRDefault="00D46B62" w:rsidP="00D46B62">
            <w:pPr>
              <w:spacing w:after="0"/>
              <w:jc w:val="left"/>
              <w:rPr>
                <w:rFonts w:eastAsia="Calibri" w:cs="Calibri"/>
                <w:sz w:val="18"/>
                <w:szCs w:val="18"/>
                <w:lang w:val="es-AR"/>
              </w:rPr>
            </w:pPr>
            <w:r w:rsidRPr="003F7F6C">
              <w:rPr>
                <w:rFonts w:eastAsia="Calibri" w:cs="Calibri"/>
                <w:sz w:val="18"/>
                <w:szCs w:val="18"/>
                <w:lang w:val="en-GB"/>
              </w:rPr>
              <w:t>C1</w:t>
            </w:r>
          </w:p>
        </w:tc>
      </w:tr>
      <w:tr w:rsidR="00D46B62" w:rsidRPr="003F7F6C" w14:paraId="77EF4957" w14:textId="77777777" w:rsidTr="00553F65">
        <w:trPr>
          <w:trHeight w:val="751"/>
        </w:trPr>
        <w:tc>
          <w:tcPr>
            <w:tcW w:w="1290" w:type="pct"/>
            <w:shd w:val="clear" w:color="auto" w:fill="auto"/>
            <w:hideMark/>
          </w:tcPr>
          <w:p w14:paraId="012C0D25" w14:textId="77777777" w:rsidR="00D46B62" w:rsidRPr="003F7F6C" w:rsidRDefault="00D46B62" w:rsidP="00D46B62">
            <w:pPr>
              <w:spacing w:after="0"/>
              <w:jc w:val="left"/>
              <w:rPr>
                <w:rFonts w:eastAsia="Calibri" w:cs="Calibri"/>
                <w:sz w:val="18"/>
                <w:szCs w:val="18"/>
                <w:lang w:val="es-AR"/>
              </w:rPr>
            </w:pPr>
            <w:r w:rsidRPr="003F7F6C">
              <w:rPr>
                <w:rFonts w:eastAsia="Calibri" w:cs="Calibri"/>
                <w:sz w:val="18"/>
                <w:szCs w:val="18"/>
                <w:lang w:val="en-GB"/>
              </w:rPr>
              <w:t>Wildlife Foundation (FVS)</w:t>
            </w:r>
          </w:p>
        </w:tc>
        <w:tc>
          <w:tcPr>
            <w:tcW w:w="2966" w:type="pct"/>
            <w:shd w:val="clear" w:color="auto" w:fill="auto"/>
            <w:hideMark/>
          </w:tcPr>
          <w:p w14:paraId="1200FD17"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 xml:space="preserve">Its role in the project will be of a consultative nature in national multisectoral dialogue spaces and it will be able to provide knowledge and experience on environmental issues and work in the territory. </w:t>
            </w:r>
          </w:p>
        </w:tc>
        <w:tc>
          <w:tcPr>
            <w:tcW w:w="744" w:type="pct"/>
            <w:shd w:val="clear" w:color="auto" w:fill="auto"/>
            <w:hideMark/>
          </w:tcPr>
          <w:p w14:paraId="4AFA1B1F" w14:textId="77777777" w:rsidR="00D46B62" w:rsidRPr="003F7F6C" w:rsidRDefault="00D46B62" w:rsidP="00D46B62">
            <w:pPr>
              <w:spacing w:after="0"/>
              <w:jc w:val="left"/>
              <w:rPr>
                <w:rFonts w:eastAsia="Calibri" w:cs="Calibri"/>
                <w:sz w:val="18"/>
                <w:szCs w:val="18"/>
                <w:lang w:val="es-AR"/>
              </w:rPr>
            </w:pPr>
            <w:r w:rsidRPr="003F7F6C">
              <w:rPr>
                <w:rFonts w:eastAsia="Calibri" w:cs="Calibri"/>
                <w:sz w:val="18"/>
                <w:szCs w:val="18"/>
                <w:lang w:val="en-GB"/>
              </w:rPr>
              <w:t>C1</w:t>
            </w:r>
          </w:p>
        </w:tc>
      </w:tr>
      <w:tr w:rsidR="00D46B62" w:rsidRPr="003F7F6C" w14:paraId="1A4F5D4C" w14:textId="77777777" w:rsidTr="00553F65">
        <w:trPr>
          <w:trHeight w:val="430"/>
        </w:trPr>
        <w:tc>
          <w:tcPr>
            <w:tcW w:w="5000" w:type="pct"/>
            <w:gridSpan w:val="3"/>
            <w:shd w:val="clear" w:color="auto" w:fill="auto"/>
          </w:tcPr>
          <w:p w14:paraId="31DD854B" w14:textId="77777777" w:rsidR="00D46B62" w:rsidRPr="003F7F6C" w:rsidRDefault="00D46B62" w:rsidP="00D46B62">
            <w:pPr>
              <w:spacing w:after="0"/>
              <w:jc w:val="left"/>
              <w:rPr>
                <w:rFonts w:eastAsia="Calibri" w:cs="Calibri"/>
                <w:sz w:val="18"/>
                <w:szCs w:val="18"/>
                <w:lang w:val="es-AR"/>
              </w:rPr>
            </w:pPr>
            <w:r w:rsidRPr="003F7F6C">
              <w:rPr>
                <w:rFonts w:eastAsia="Calibri" w:cs="Calibri"/>
                <w:sz w:val="18"/>
                <w:szCs w:val="18"/>
                <w:lang w:val="en-GB"/>
              </w:rPr>
              <w:t>Provincial Level</w:t>
            </w:r>
          </w:p>
        </w:tc>
      </w:tr>
      <w:tr w:rsidR="00D46B62" w:rsidRPr="003F7F6C" w14:paraId="130440BD" w14:textId="77777777" w:rsidTr="00553F65">
        <w:trPr>
          <w:trHeight w:val="1575"/>
        </w:trPr>
        <w:tc>
          <w:tcPr>
            <w:tcW w:w="1290" w:type="pct"/>
            <w:shd w:val="clear" w:color="auto" w:fill="auto"/>
          </w:tcPr>
          <w:p w14:paraId="71BAF849" w14:textId="77777777" w:rsidR="00D46B62" w:rsidRPr="003F7F6C" w:rsidRDefault="00D46B62" w:rsidP="00D46B62">
            <w:pPr>
              <w:spacing w:after="0"/>
              <w:jc w:val="left"/>
              <w:rPr>
                <w:rFonts w:eastAsia="Calibri" w:cs="Calibri"/>
                <w:sz w:val="18"/>
                <w:szCs w:val="18"/>
                <w:lang w:val="es-AR"/>
              </w:rPr>
            </w:pPr>
            <w:r w:rsidRPr="003F7F6C">
              <w:rPr>
                <w:rFonts w:eastAsia="Calibri" w:cs="Calibri"/>
                <w:sz w:val="18"/>
                <w:szCs w:val="18"/>
                <w:lang w:val="en-GB"/>
              </w:rPr>
              <w:t xml:space="preserve">Universities </w:t>
            </w:r>
          </w:p>
          <w:p w14:paraId="2CD3F3E5" w14:textId="77777777" w:rsidR="00D46B62" w:rsidRPr="003F7F6C" w:rsidRDefault="00D46B62" w:rsidP="00D46B62">
            <w:pPr>
              <w:spacing w:after="0"/>
              <w:jc w:val="left"/>
              <w:rPr>
                <w:rFonts w:eastAsia="Calibri" w:cs="Calibri"/>
                <w:sz w:val="18"/>
                <w:szCs w:val="18"/>
                <w:lang w:val="es-AR"/>
              </w:rPr>
            </w:pPr>
            <w:r w:rsidRPr="003F7F6C">
              <w:rPr>
                <w:rFonts w:eastAsia="Calibri" w:cs="Calibri"/>
                <w:sz w:val="18"/>
                <w:szCs w:val="18"/>
                <w:lang w:val="en-GB"/>
              </w:rPr>
              <w:t>National Universities of Cuyo, Jujuy, Buenos Aires and La Plata</w:t>
            </w:r>
          </w:p>
        </w:tc>
        <w:tc>
          <w:tcPr>
            <w:tcW w:w="2966" w:type="pct"/>
            <w:shd w:val="clear" w:color="auto" w:fill="auto"/>
          </w:tcPr>
          <w:p w14:paraId="5A4056E8" w14:textId="77777777" w:rsidR="00D46B62" w:rsidRPr="003F7F6C" w:rsidRDefault="00D46B62" w:rsidP="00D46B62">
            <w:pPr>
              <w:spacing w:after="0"/>
              <w:rPr>
                <w:rFonts w:eastAsia="Calibri" w:cs="Calibri"/>
                <w:sz w:val="18"/>
                <w:szCs w:val="18"/>
              </w:rPr>
            </w:pPr>
            <w:r w:rsidRPr="003F7F6C">
              <w:rPr>
                <w:rFonts w:eastAsia="Calibri" w:cs="Calibri"/>
                <w:sz w:val="18"/>
                <w:szCs w:val="18"/>
                <w:lang w:val="en-GB"/>
              </w:rPr>
              <w:t xml:space="preserve">They will participate in an advisory role, providing technical and scientific knowledge that will lead to the identification of relevant criteria for ELUP. At the same time, they may also facilitate the dissemination of the knowledge arising from the project by incorporating it into university curricula, scholarships, forums, talks and presentations and by coordinating with the departments for continuing education at each university. In the territories, the universities play relevant roles as parts of existing platforms or committees with which the project will work. </w:t>
            </w:r>
          </w:p>
        </w:tc>
        <w:tc>
          <w:tcPr>
            <w:tcW w:w="744" w:type="pct"/>
            <w:shd w:val="clear" w:color="auto" w:fill="auto"/>
          </w:tcPr>
          <w:p w14:paraId="7152DD64" w14:textId="77777777" w:rsidR="00D46B62" w:rsidRPr="003F7F6C" w:rsidRDefault="00D46B62" w:rsidP="00D46B62">
            <w:pPr>
              <w:spacing w:after="0"/>
              <w:jc w:val="left"/>
              <w:rPr>
                <w:rFonts w:eastAsia="Calibri" w:cs="Calibri"/>
                <w:sz w:val="18"/>
                <w:szCs w:val="18"/>
                <w:lang w:val="es-AR"/>
              </w:rPr>
            </w:pPr>
            <w:r w:rsidRPr="003F7F6C">
              <w:rPr>
                <w:rFonts w:eastAsia="Calibri" w:cs="Calibri"/>
                <w:sz w:val="18"/>
                <w:szCs w:val="18"/>
                <w:lang w:val="en-GB"/>
              </w:rPr>
              <w:t>C1, C2, C3</w:t>
            </w:r>
          </w:p>
        </w:tc>
      </w:tr>
      <w:tr w:rsidR="00D46B62" w:rsidRPr="003F7F6C" w14:paraId="44C9E2B6" w14:textId="77777777" w:rsidTr="00553F65">
        <w:trPr>
          <w:trHeight w:val="1575"/>
        </w:trPr>
        <w:tc>
          <w:tcPr>
            <w:tcW w:w="1290" w:type="pct"/>
            <w:shd w:val="clear" w:color="auto" w:fill="auto"/>
          </w:tcPr>
          <w:p w14:paraId="25344C6F"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Provincial Governments</w:t>
            </w:r>
          </w:p>
          <w:p w14:paraId="6264F386"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Mendoza: Ministry of Environment and Land Use Planning of Mendoza - Provincial Land Use Planning Agency</w:t>
            </w:r>
          </w:p>
          <w:p w14:paraId="55DF342B"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 xml:space="preserve">Buenos Aires: Provincial Agency for Sustainable Development </w:t>
            </w:r>
          </w:p>
          <w:p w14:paraId="6EE14350"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Jujuy: Ministry of Environment - Directorate of Environmental Land Use Planning and the Secretariat of Biodiversity.</w:t>
            </w:r>
          </w:p>
        </w:tc>
        <w:tc>
          <w:tcPr>
            <w:tcW w:w="2966" w:type="pct"/>
            <w:shd w:val="clear" w:color="auto" w:fill="auto"/>
          </w:tcPr>
          <w:p w14:paraId="52E05144"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Co-financiers. Members of the Project Board, Technical Committee and Provincial working groups. They will have the role of implementing the project at the provincial level and pilot sites in coordination with MAyDS. They will provide the necessary tools for the management and coordination of project activities with the different provincial agencies as they are incorporated during the course of the project. Members of the provincial dialogue spaces and the sustainable commodities platform.  Replication of experiences and lessons learned at the provincial level.</w:t>
            </w:r>
          </w:p>
          <w:p w14:paraId="029A8BA1" w14:textId="77777777" w:rsidR="00D46B62" w:rsidRPr="003F7F6C" w:rsidRDefault="00D46B62" w:rsidP="00D46B62">
            <w:pPr>
              <w:spacing w:after="0"/>
              <w:jc w:val="left"/>
              <w:rPr>
                <w:rFonts w:eastAsia="Calibri" w:cs="Calibri"/>
                <w:sz w:val="18"/>
                <w:szCs w:val="18"/>
              </w:rPr>
            </w:pPr>
          </w:p>
        </w:tc>
        <w:tc>
          <w:tcPr>
            <w:tcW w:w="744" w:type="pct"/>
            <w:shd w:val="clear" w:color="auto" w:fill="auto"/>
          </w:tcPr>
          <w:p w14:paraId="7DEB3E81" w14:textId="77777777" w:rsidR="00D46B62" w:rsidRPr="003F7F6C" w:rsidRDefault="00D46B62" w:rsidP="00D46B62">
            <w:pPr>
              <w:spacing w:after="0"/>
              <w:jc w:val="left"/>
              <w:rPr>
                <w:rFonts w:eastAsia="Calibri" w:cs="Calibri"/>
                <w:sz w:val="18"/>
                <w:szCs w:val="18"/>
                <w:lang w:val="es-AR"/>
              </w:rPr>
            </w:pPr>
            <w:r w:rsidRPr="003F7F6C">
              <w:rPr>
                <w:rFonts w:eastAsia="Calibri" w:cs="Calibri"/>
                <w:sz w:val="18"/>
                <w:szCs w:val="18"/>
                <w:lang w:val="en-GB"/>
              </w:rPr>
              <w:t>C2</w:t>
            </w:r>
          </w:p>
        </w:tc>
      </w:tr>
      <w:tr w:rsidR="00D46B62" w:rsidRPr="003F7F6C" w14:paraId="0CBABA61" w14:textId="77777777" w:rsidTr="00553F65">
        <w:trPr>
          <w:trHeight w:val="692"/>
        </w:trPr>
        <w:tc>
          <w:tcPr>
            <w:tcW w:w="1290" w:type="pct"/>
            <w:shd w:val="clear" w:color="auto" w:fill="auto"/>
          </w:tcPr>
          <w:p w14:paraId="100B36AA" w14:textId="77777777" w:rsidR="00D46B62" w:rsidRPr="003F7F6C" w:rsidRDefault="00D46B62" w:rsidP="00D46B62">
            <w:pPr>
              <w:spacing w:after="0"/>
              <w:jc w:val="left"/>
              <w:rPr>
                <w:rFonts w:eastAsia="Calibri" w:cs="Calibri"/>
                <w:sz w:val="18"/>
                <w:szCs w:val="18"/>
                <w:lang w:val="es-AR"/>
              </w:rPr>
            </w:pPr>
            <w:r w:rsidRPr="003F7F6C">
              <w:rPr>
                <w:rFonts w:eastAsia="Calibri" w:cs="Calibri"/>
                <w:sz w:val="18"/>
                <w:szCs w:val="18"/>
                <w:lang w:val="es-ES"/>
              </w:rPr>
              <w:t xml:space="preserve">Municipalities: </w:t>
            </w:r>
          </w:p>
          <w:p w14:paraId="193CC35E" w14:textId="77777777" w:rsidR="00D46B62" w:rsidRPr="003F7F6C" w:rsidRDefault="00D46B62" w:rsidP="00D46B62">
            <w:pPr>
              <w:spacing w:after="0"/>
              <w:jc w:val="left"/>
              <w:rPr>
                <w:rFonts w:eastAsia="Calibri" w:cs="Calibri"/>
                <w:sz w:val="18"/>
                <w:szCs w:val="18"/>
                <w:lang w:val="es-AR"/>
              </w:rPr>
            </w:pPr>
            <w:r w:rsidRPr="003F7F6C">
              <w:rPr>
                <w:rFonts w:eastAsia="Calibri" w:cs="Calibri"/>
                <w:sz w:val="18"/>
                <w:szCs w:val="18"/>
                <w:lang w:val="es-ES"/>
              </w:rPr>
              <w:t xml:space="preserve">Mendoza: Malargüe, Mendoza Capital, San Carlos, Las Heras, Tunuyán, Tupungato, Luján de Cuyo, Godoy Cruz. </w:t>
            </w:r>
          </w:p>
          <w:p w14:paraId="4B1FBC0C"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 xml:space="preserve">Jujuy: Departments of Susques, Humahuaca and Valle Grande. </w:t>
            </w:r>
          </w:p>
          <w:p w14:paraId="1B7DFC77" w14:textId="77777777" w:rsidR="00D46B62" w:rsidRPr="003F7F6C" w:rsidRDefault="00D46B62" w:rsidP="00D46B62">
            <w:pPr>
              <w:spacing w:after="0"/>
              <w:jc w:val="left"/>
              <w:rPr>
                <w:rFonts w:eastAsia="Calibri" w:cs="Calibri"/>
                <w:sz w:val="18"/>
                <w:szCs w:val="18"/>
                <w:lang w:val="es-AR"/>
              </w:rPr>
            </w:pPr>
            <w:r w:rsidRPr="003F7F6C">
              <w:rPr>
                <w:rFonts w:eastAsia="Calibri" w:cs="Calibri"/>
                <w:sz w:val="18"/>
                <w:szCs w:val="18"/>
                <w:lang w:val="es-ES"/>
              </w:rPr>
              <w:t>Buenos Aires: Campana, San Fernando, Magdalena, Punta Indio, Chascomús, Lezama, Castelli, Villarino and Carmen de Patagones.</w:t>
            </w:r>
          </w:p>
        </w:tc>
        <w:tc>
          <w:tcPr>
            <w:tcW w:w="2966" w:type="pct"/>
            <w:shd w:val="clear" w:color="auto" w:fill="auto"/>
          </w:tcPr>
          <w:p w14:paraId="4B4B2E7B"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 xml:space="preserve">They will be involved in the teams or multisectoral work spaces at the pilot site level. They will participate in the implementation of the initiative at the local level, fostering communication and participation with the territory´s key actors, and they will also have a consultative role in relation to ELUP actions in the territory, promoting an effective ELUP approach in their jurisdictions, helping to resolve conflicts of use, and facilitating dialogue between the parties. Members of provincial dialogue platforms and (relevant) sustainable commodities platform and members of work teams in pilot sites </w:t>
            </w:r>
          </w:p>
        </w:tc>
        <w:tc>
          <w:tcPr>
            <w:tcW w:w="744" w:type="pct"/>
            <w:shd w:val="clear" w:color="auto" w:fill="auto"/>
          </w:tcPr>
          <w:p w14:paraId="1E4308F1" w14:textId="77777777" w:rsidR="00D46B62" w:rsidRPr="003F7F6C" w:rsidRDefault="00D46B62" w:rsidP="00D46B62">
            <w:pPr>
              <w:spacing w:after="0"/>
              <w:jc w:val="left"/>
              <w:rPr>
                <w:rFonts w:eastAsia="Calibri" w:cs="Calibri"/>
                <w:sz w:val="18"/>
                <w:szCs w:val="18"/>
                <w:lang w:val="es-AR"/>
              </w:rPr>
            </w:pPr>
            <w:r w:rsidRPr="003F7F6C">
              <w:rPr>
                <w:rFonts w:eastAsia="Calibri" w:cs="Calibri"/>
                <w:sz w:val="18"/>
                <w:szCs w:val="18"/>
                <w:lang w:val="en-GB"/>
              </w:rPr>
              <w:t>C2</w:t>
            </w:r>
          </w:p>
        </w:tc>
      </w:tr>
      <w:tr w:rsidR="00D46B62" w:rsidRPr="003F7F6C" w14:paraId="68E932EC" w14:textId="77777777" w:rsidTr="00553F65">
        <w:trPr>
          <w:trHeight w:val="976"/>
        </w:trPr>
        <w:tc>
          <w:tcPr>
            <w:tcW w:w="1290" w:type="pct"/>
            <w:shd w:val="clear" w:color="auto" w:fill="auto"/>
          </w:tcPr>
          <w:p w14:paraId="728CD0E2"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General Department of Irrigation of Mendoza (DGI)</w:t>
            </w:r>
          </w:p>
        </w:tc>
        <w:tc>
          <w:tcPr>
            <w:tcW w:w="2966" w:type="pct"/>
            <w:shd w:val="clear" w:color="auto" w:fill="auto"/>
          </w:tcPr>
          <w:p w14:paraId="1F367067"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It will take on an advisory, consultative role and will also be key in the identification of instruments and actions at the pilot sites level due to the special relevance of water as a resource in the province and the self-sufficient nature of the department. Members of the provincial dialogue spaces</w:t>
            </w:r>
          </w:p>
        </w:tc>
        <w:tc>
          <w:tcPr>
            <w:tcW w:w="744" w:type="pct"/>
            <w:shd w:val="clear" w:color="auto" w:fill="auto"/>
          </w:tcPr>
          <w:p w14:paraId="0682F477" w14:textId="77777777" w:rsidR="00D46B62" w:rsidRPr="003F7F6C" w:rsidRDefault="00D46B62" w:rsidP="00D46B62">
            <w:pPr>
              <w:spacing w:after="0"/>
              <w:jc w:val="left"/>
              <w:rPr>
                <w:rFonts w:eastAsia="Calibri" w:cs="Calibri"/>
                <w:sz w:val="18"/>
                <w:szCs w:val="18"/>
                <w:lang w:val="es-AR"/>
              </w:rPr>
            </w:pPr>
            <w:r w:rsidRPr="003F7F6C">
              <w:rPr>
                <w:rFonts w:eastAsia="Calibri" w:cs="Calibri"/>
                <w:sz w:val="18"/>
                <w:szCs w:val="18"/>
                <w:lang w:val="en-GB"/>
              </w:rPr>
              <w:t>C2</w:t>
            </w:r>
          </w:p>
        </w:tc>
      </w:tr>
      <w:tr w:rsidR="00D46B62" w:rsidRPr="003F7F6C" w14:paraId="0B3FD5C1" w14:textId="77777777" w:rsidTr="00553F65">
        <w:trPr>
          <w:trHeight w:val="38"/>
        </w:trPr>
        <w:tc>
          <w:tcPr>
            <w:tcW w:w="1290" w:type="pct"/>
            <w:shd w:val="clear" w:color="auto" w:fill="auto"/>
          </w:tcPr>
          <w:p w14:paraId="555382B1"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Water Authority in the Ministry of Infrastructure and Public Services of Buenos Aires (ADA)</w:t>
            </w:r>
          </w:p>
          <w:p w14:paraId="7FC99CE9" w14:textId="77777777" w:rsidR="00D46B62" w:rsidRPr="003F7F6C" w:rsidRDefault="00D46B62" w:rsidP="00D46B62">
            <w:pPr>
              <w:spacing w:after="0"/>
              <w:jc w:val="left"/>
              <w:rPr>
                <w:rFonts w:eastAsia="Calibri" w:cs="Calibri"/>
                <w:sz w:val="18"/>
                <w:szCs w:val="18"/>
              </w:rPr>
            </w:pPr>
          </w:p>
        </w:tc>
        <w:tc>
          <w:tcPr>
            <w:tcW w:w="2966" w:type="pct"/>
            <w:shd w:val="clear" w:color="auto" w:fill="auto"/>
          </w:tcPr>
          <w:p w14:paraId="749583F6"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 xml:space="preserve">Its role will be consultative and it will provide information at a local level through the basin advisory committees. They have gathered information about ecosystem services. Member of the provincial dialogue spaces </w:t>
            </w:r>
          </w:p>
        </w:tc>
        <w:tc>
          <w:tcPr>
            <w:tcW w:w="744" w:type="pct"/>
            <w:shd w:val="clear" w:color="auto" w:fill="auto"/>
          </w:tcPr>
          <w:p w14:paraId="26F4752C" w14:textId="77777777" w:rsidR="00D46B62" w:rsidRPr="003F7F6C" w:rsidRDefault="00D46B62" w:rsidP="00D46B62">
            <w:pPr>
              <w:spacing w:after="0"/>
              <w:jc w:val="left"/>
              <w:rPr>
                <w:rFonts w:eastAsia="Calibri" w:cs="Calibri"/>
                <w:sz w:val="18"/>
                <w:szCs w:val="18"/>
                <w:lang w:val="es-AR"/>
              </w:rPr>
            </w:pPr>
            <w:r w:rsidRPr="003F7F6C">
              <w:rPr>
                <w:rFonts w:eastAsia="Calibri" w:cs="Calibri"/>
                <w:sz w:val="18"/>
                <w:szCs w:val="18"/>
                <w:lang w:val="en-GB"/>
              </w:rPr>
              <w:t>C2</w:t>
            </w:r>
          </w:p>
        </w:tc>
      </w:tr>
      <w:tr w:rsidR="00D46B62" w:rsidRPr="003F7F6C" w14:paraId="0A5606CB" w14:textId="77777777" w:rsidTr="00553F65">
        <w:trPr>
          <w:trHeight w:val="1117"/>
        </w:trPr>
        <w:tc>
          <w:tcPr>
            <w:tcW w:w="1290" w:type="pct"/>
            <w:shd w:val="clear" w:color="auto" w:fill="auto"/>
          </w:tcPr>
          <w:p w14:paraId="2AF80C81" w14:textId="77777777" w:rsidR="00D46B62" w:rsidRPr="003F7F6C" w:rsidRDefault="00D46B62" w:rsidP="00D46B62">
            <w:pPr>
              <w:spacing w:after="0"/>
              <w:jc w:val="left"/>
              <w:rPr>
                <w:rFonts w:eastAsia="Calibri" w:cs="Calibri"/>
                <w:sz w:val="18"/>
                <w:szCs w:val="18"/>
                <w:lang w:val="es-AR"/>
              </w:rPr>
            </w:pPr>
            <w:r w:rsidRPr="003F7F6C">
              <w:rPr>
                <w:rFonts w:eastAsia="Calibri" w:cs="Calibri"/>
                <w:sz w:val="18"/>
                <w:szCs w:val="18"/>
                <w:lang w:val="en-GB"/>
              </w:rPr>
              <w:t>Buenos Aires Revenue Agency (ARBA)</w:t>
            </w:r>
          </w:p>
        </w:tc>
        <w:tc>
          <w:tcPr>
            <w:tcW w:w="2966" w:type="pct"/>
            <w:shd w:val="clear" w:color="auto" w:fill="auto"/>
          </w:tcPr>
          <w:p w14:paraId="09047DF8"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 xml:space="preserve">Its role will be consultative given that it has digitized georeferenced information but it will also support field work due to the precise information in its possession and its territorial reach. </w:t>
            </w:r>
          </w:p>
        </w:tc>
        <w:tc>
          <w:tcPr>
            <w:tcW w:w="744" w:type="pct"/>
            <w:shd w:val="clear" w:color="auto" w:fill="auto"/>
          </w:tcPr>
          <w:p w14:paraId="0C61430D"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C2</w:t>
            </w:r>
          </w:p>
        </w:tc>
      </w:tr>
      <w:tr w:rsidR="00D46B62" w:rsidRPr="003F7F6C" w14:paraId="01B33992" w14:textId="77777777" w:rsidTr="00553F65">
        <w:trPr>
          <w:trHeight w:val="883"/>
        </w:trPr>
        <w:tc>
          <w:tcPr>
            <w:tcW w:w="1290" w:type="pct"/>
            <w:shd w:val="clear" w:color="auto" w:fill="auto"/>
          </w:tcPr>
          <w:p w14:paraId="214F4EA6"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Ministry of Infrastructure of the Province of Buenos Aires (MIPBA)</w:t>
            </w:r>
          </w:p>
        </w:tc>
        <w:tc>
          <w:tcPr>
            <w:tcW w:w="2966" w:type="pct"/>
            <w:shd w:val="clear" w:color="auto" w:fill="auto"/>
          </w:tcPr>
          <w:p w14:paraId="7A88F2EB"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Its role will be consultative and one of interinstitutional coordination, in particular through its provincial directorates of Risk Management and Emergencies, and Land and Urban Planning. Member of the platform for provincial dialogue spaces</w:t>
            </w:r>
          </w:p>
        </w:tc>
        <w:tc>
          <w:tcPr>
            <w:tcW w:w="744" w:type="pct"/>
            <w:shd w:val="clear" w:color="auto" w:fill="auto"/>
          </w:tcPr>
          <w:p w14:paraId="72DC1F8C" w14:textId="77777777" w:rsidR="00D46B62" w:rsidRPr="003F7F6C" w:rsidRDefault="00D46B62" w:rsidP="00D46B62">
            <w:pPr>
              <w:spacing w:after="0"/>
              <w:jc w:val="left"/>
              <w:rPr>
                <w:rFonts w:eastAsia="Calibri" w:cs="Calibri"/>
                <w:sz w:val="18"/>
                <w:szCs w:val="18"/>
                <w:lang w:val="es-AR"/>
              </w:rPr>
            </w:pPr>
            <w:r w:rsidRPr="003F7F6C">
              <w:rPr>
                <w:rFonts w:eastAsia="Calibri" w:cs="Calibri"/>
                <w:sz w:val="18"/>
                <w:szCs w:val="18"/>
                <w:lang w:val="en-GB"/>
              </w:rPr>
              <w:t>C2</w:t>
            </w:r>
          </w:p>
        </w:tc>
      </w:tr>
      <w:tr w:rsidR="00D46B62" w:rsidRPr="003F7F6C" w14:paraId="1DDA4F50" w14:textId="77777777" w:rsidTr="00553F65">
        <w:trPr>
          <w:trHeight w:val="1575"/>
        </w:trPr>
        <w:tc>
          <w:tcPr>
            <w:tcW w:w="1290" w:type="pct"/>
            <w:shd w:val="clear" w:color="auto" w:fill="auto"/>
          </w:tcPr>
          <w:p w14:paraId="53B44551"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Territorial Organization of the Mapuche People "Malaweche"</w:t>
            </w:r>
          </w:p>
          <w:p w14:paraId="45D425DF"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and Mapuche Indigenous Communities from Malargüe - Mendoza</w:t>
            </w:r>
          </w:p>
        </w:tc>
        <w:tc>
          <w:tcPr>
            <w:tcW w:w="2966" w:type="pct"/>
            <w:shd w:val="clear" w:color="auto" w:fill="auto"/>
          </w:tcPr>
          <w:p w14:paraId="76BDA6A3" w14:textId="3FAC6521"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Their role in the project is key because they will be leading figures in the preliminary consultations to define ELUP-related actions in their territories. In this regard, they will provide the project with key information on production methods and conditions in the territory, the environmental, economic and social challenges they face and on working with other local actors. In terms of the benefits that the communities that participate in the project will obtain, they will principally benefit from better production conditions, improvements in the ability to work alongside local actors, and participation in the definition of local ELUP policies. Participation in the provincial dialogue platform. Dissemination of experiences and lessons learned to other communities in the province. Participation in local work team or multisector space for the implementation of the project at the pilot site</w:t>
            </w:r>
            <w:r w:rsidR="00951D11" w:rsidRPr="003F7F6C">
              <w:rPr>
                <w:rFonts w:eastAsia="Calibri" w:cs="Calibri"/>
                <w:sz w:val="18"/>
                <w:szCs w:val="18"/>
                <w:lang w:val="en-GB"/>
              </w:rPr>
              <w:t xml:space="preserve">. </w:t>
            </w:r>
            <w:r w:rsidR="00951D11" w:rsidRPr="003F7F6C">
              <w:rPr>
                <w:rFonts w:eastAsia="Calibri" w:cs="Calibri"/>
                <w:sz w:val="18"/>
                <w:szCs w:val="18"/>
              </w:rPr>
              <w:t xml:space="preserve">Will grant consent to project interventions in their territories through </w:t>
            </w:r>
            <w:r w:rsidR="00951D11" w:rsidRPr="003F7F6C">
              <w:rPr>
                <w:sz w:val="18"/>
                <w:szCs w:val="18"/>
              </w:rPr>
              <w:t>prior consultation processes at all times and FPIC in those cases that may affect their rights and interests, lands, resources, territories</w:t>
            </w:r>
          </w:p>
        </w:tc>
        <w:tc>
          <w:tcPr>
            <w:tcW w:w="744" w:type="pct"/>
            <w:shd w:val="clear" w:color="auto" w:fill="auto"/>
          </w:tcPr>
          <w:p w14:paraId="64AEB81E" w14:textId="77777777" w:rsidR="00D46B62" w:rsidRPr="003F7F6C" w:rsidRDefault="00D46B62" w:rsidP="00D46B62">
            <w:pPr>
              <w:spacing w:after="0"/>
              <w:jc w:val="left"/>
              <w:rPr>
                <w:rFonts w:eastAsia="Calibri" w:cs="Calibri"/>
                <w:sz w:val="18"/>
                <w:szCs w:val="18"/>
                <w:lang w:val="es-AR"/>
              </w:rPr>
            </w:pPr>
            <w:r w:rsidRPr="003F7F6C">
              <w:rPr>
                <w:rFonts w:eastAsia="Calibri" w:cs="Calibri"/>
                <w:sz w:val="18"/>
                <w:szCs w:val="18"/>
                <w:lang w:val="en-GB"/>
              </w:rPr>
              <w:t>C2</w:t>
            </w:r>
          </w:p>
        </w:tc>
      </w:tr>
      <w:tr w:rsidR="00D46B62" w:rsidRPr="003F7F6C" w14:paraId="0789628D" w14:textId="77777777" w:rsidTr="00553F65">
        <w:trPr>
          <w:trHeight w:val="864"/>
        </w:trPr>
        <w:tc>
          <w:tcPr>
            <w:tcW w:w="1290" w:type="pct"/>
            <w:shd w:val="clear" w:color="auto" w:fill="auto"/>
          </w:tcPr>
          <w:p w14:paraId="5B215F91"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Association of Bolivian Producers of Mendoza (APBM)</w:t>
            </w:r>
          </w:p>
        </w:tc>
        <w:tc>
          <w:tcPr>
            <w:tcW w:w="2966" w:type="pct"/>
            <w:shd w:val="clear" w:color="auto" w:fill="auto"/>
          </w:tcPr>
          <w:p w14:paraId="2A5C1DA9"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 xml:space="preserve">Their role in the project will be to participate in local dialogue spaces, in training spaces, and eventually in the benefits arising from improvements of practices linked to ELUP. </w:t>
            </w:r>
          </w:p>
        </w:tc>
        <w:tc>
          <w:tcPr>
            <w:tcW w:w="744" w:type="pct"/>
            <w:shd w:val="clear" w:color="auto" w:fill="auto"/>
          </w:tcPr>
          <w:p w14:paraId="2AEAAA06" w14:textId="77777777" w:rsidR="00D46B62" w:rsidRPr="003F7F6C" w:rsidRDefault="00D46B62" w:rsidP="00D46B62">
            <w:pPr>
              <w:spacing w:after="0"/>
              <w:jc w:val="left"/>
              <w:rPr>
                <w:rFonts w:eastAsia="Calibri" w:cs="Calibri"/>
                <w:sz w:val="18"/>
                <w:szCs w:val="18"/>
                <w:lang w:val="es-AR"/>
              </w:rPr>
            </w:pPr>
            <w:r w:rsidRPr="003F7F6C">
              <w:rPr>
                <w:rFonts w:eastAsia="Calibri" w:cs="Calibri"/>
                <w:sz w:val="18"/>
                <w:szCs w:val="18"/>
                <w:lang w:val="en-GB"/>
              </w:rPr>
              <w:t>C2</w:t>
            </w:r>
          </w:p>
        </w:tc>
      </w:tr>
      <w:tr w:rsidR="00D46B62" w:rsidRPr="003F7F6C" w14:paraId="762620CC" w14:textId="77777777" w:rsidTr="00553F65">
        <w:trPr>
          <w:trHeight w:val="1073"/>
        </w:trPr>
        <w:tc>
          <w:tcPr>
            <w:tcW w:w="1290" w:type="pct"/>
            <w:shd w:val="clear" w:color="auto" w:fill="auto"/>
          </w:tcPr>
          <w:p w14:paraId="3C9681CE"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Actors from the wine sector (COVIAR or Bodegas Argentinas A.C.) of Mendoza</w:t>
            </w:r>
          </w:p>
        </w:tc>
        <w:tc>
          <w:tcPr>
            <w:tcW w:w="2966" w:type="pct"/>
            <w:shd w:val="clear" w:color="auto" w:fill="auto"/>
          </w:tcPr>
          <w:p w14:paraId="74FE99B8"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Their role in the project will be to participate in local dialogue spaces, in training spaces and eventually in specific actions related to the restoration of native biodiversity.</w:t>
            </w:r>
          </w:p>
        </w:tc>
        <w:tc>
          <w:tcPr>
            <w:tcW w:w="744" w:type="pct"/>
            <w:shd w:val="clear" w:color="auto" w:fill="auto"/>
          </w:tcPr>
          <w:p w14:paraId="665C1889" w14:textId="77777777" w:rsidR="00D46B62" w:rsidRPr="003F7F6C" w:rsidRDefault="00D46B62" w:rsidP="00D46B62">
            <w:pPr>
              <w:spacing w:after="0"/>
              <w:jc w:val="left"/>
              <w:rPr>
                <w:rFonts w:eastAsia="Calibri" w:cs="Calibri"/>
                <w:sz w:val="18"/>
                <w:szCs w:val="18"/>
                <w:lang w:val="es-AR"/>
              </w:rPr>
            </w:pPr>
            <w:r w:rsidRPr="003F7F6C">
              <w:rPr>
                <w:rFonts w:eastAsia="Calibri" w:cs="Calibri"/>
                <w:sz w:val="18"/>
                <w:szCs w:val="18"/>
                <w:lang w:val="en-GB"/>
              </w:rPr>
              <w:t>C2</w:t>
            </w:r>
          </w:p>
        </w:tc>
      </w:tr>
      <w:tr w:rsidR="00D46B62" w:rsidRPr="003F7F6C" w14:paraId="641A9243" w14:textId="77777777" w:rsidTr="00951D11">
        <w:trPr>
          <w:trHeight w:val="1148"/>
        </w:trPr>
        <w:tc>
          <w:tcPr>
            <w:tcW w:w="1290" w:type="pct"/>
            <w:shd w:val="clear" w:color="auto" w:fill="auto"/>
          </w:tcPr>
          <w:p w14:paraId="2FC53AEE"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Indigenous Communities from the territory in the Province of Jujuy of the Atacama, Omaguaca and Kolla peoples in Jujuy</w:t>
            </w:r>
          </w:p>
        </w:tc>
        <w:tc>
          <w:tcPr>
            <w:tcW w:w="2966" w:type="pct"/>
            <w:shd w:val="clear" w:color="auto" w:fill="auto"/>
          </w:tcPr>
          <w:p w14:paraId="3C728A03" w14:textId="451B24C8"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Their role in the project is key because they will be leading figures in the preliminary consultations to define ELUP-related actions in their territories. In this regard, they will provide the project with key information on production methods and conditions in the territory, the environmental, economic and social challenges they face and on working with other local actors. In terms of the benefits that the communities that participate in the project will obtain, they will principally benefit from better production conditions, improvements in the ability to work alongside local actors, and participation in the definition of local ELUP policies. Participation in the provincial dialogue platform. Dissemination of experiences and lessons learned to other communities in the province. Participation in local work team or multisector space for the implementation of the project at the pilot site</w:t>
            </w:r>
            <w:r w:rsidR="00951D11" w:rsidRPr="003F7F6C">
              <w:rPr>
                <w:rFonts w:eastAsia="Calibri" w:cs="Calibri"/>
                <w:sz w:val="18"/>
                <w:szCs w:val="18"/>
                <w:lang w:val="en-GB"/>
              </w:rPr>
              <w:t xml:space="preserve">. </w:t>
            </w:r>
            <w:r w:rsidR="00951D11" w:rsidRPr="003F7F6C">
              <w:rPr>
                <w:rFonts w:eastAsia="Calibri" w:cs="Calibri"/>
                <w:sz w:val="18"/>
                <w:szCs w:val="18"/>
              </w:rPr>
              <w:t xml:space="preserve">Will grant consent to project interventions in their territories through </w:t>
            </w:r>
            <w:r w:rsidR="00951D11" w:rsidRPr="003F7F6C">
              <w:rPr>
                <w:sz w:val="18"/>
                <w:szCs w:val="18"/>
              </w:rPr>
              <w:t>prior consultation processes at all times and FPIC in those cases that may affect their rights and interests, lands, resources, territories</w:t>
            </w:r>
          </w:p>
        </w:tc>
        <w:tc>
          <w:tcPr>
            <w:tcW w:w="744" w:type="pct"/>
            <w:shd w:val="clear" w:color="auto" w:fill="auto"/>
          </w:tcPr>
          <w:p w14:paraId="11256EDB" w14:textId="77777777" w:rsidR="00D46B62" w:rsidRPr="003F7F6C" w:rsidRDefault="00D46B62" w:rsidP="00D46B62">
            <w:pPr>
              <w:spacing w:after="0"/>
              <w:jc w:val="left"/>
              <w:rPr>
                <w:rFonts w:eastAsia="Calibri" w:cs="Calibri"/>
                <w:sz w:val="18"/>
                <w:szCs w:val="18"/>
                <w:lang w:val="es-AR"/>
              </w:rPr>
            </w:pPr>
            <w:r w:rsidRPr="003F7F6C">
              <w:rPr>
                <w:rFonts w:eastAsia="Calibri" w:cs="Calibri"/>
                <w:sz w:val="18"/>
                <w:szCs w:val="18"/>
                <w:lang w:val="en-GB"/>
              </w:rPr>
              <w:t>C2</w:t>
            </w:r>
          </w:p>
        </w:tc>
      </w:tr>
      <w:tr w:rsidR="00D46B62" w:rsidRPr="003F7F6C" w14:paraId="45D82C95" w14:textId="77777777" w:rsidTr="00553F65">
        <w:trPr>
          <w:trHeight w:val="769"/>
        </w:trPr>
        <w:tc>
          <w:tcPr>
            <w:tcW w:w="1290" w:type="pct"/>
            <w:shd w:val="clear" w:color="auto" w:fill="auto"/>
          </w:tcPr>
          <w:p w14:paraId="6A69F1D9"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Qhapac Ñam Management Unit in Jujuy (UGCÑ)</w:t>
            </w:r>
          </w:p>
        </w:tc>
        <w:tc>
          <w:tcPr>
            <w:tcW w:w="2966" w:type="pct"/>
            <w:shd w:val="clear" w:color="auto" w:fill="auto"/>
          </w:tcPr>
          <w:p w14:paraId="7D70060B"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At the pilot site, this unit will have an advisory role and it will also be crucial for coordinating activities where there is an overlap between the unit´s plans and the project management.  Participation in the provincial dialogue platform. Dissemination of experiences and lessons learned to other communities in the province. Participation in local work team or multisector space for the implementation of the pilot site project</w:t>
            </w:r>
          </w:p>
        </w:tc>
        <w:tc>
          <w:tcPr>
            <w:tcW w:w="744" w:type="pct"/>
            <w:shd w:val="clear" w:color="auto" w:fill="auto"/>
          </w:tcPr>
          <w:p w14:paraId="4DA4C9A2" w14:textId="77777777" w:rsidR="00D46B62" w:rsidRPr="003F7F6C" w:rsidRDefault="00D46B62" w:rsidP="00D46B62">
            <w:pPr>
              <w:spacing w:after="0"/>
              <w:jc w:val="left"/>
              <w:rPr>
                <w:rFonts w:eastAsia="Calibri" w:cs="Calibri"/>
                <w:sz w:val="18"/>
                <w:szCs w:val="18"/>
                <w:lang w:val="es-AR"/>
              </w:rPr>
            </w:pPr>
            <w:r w:rsidRPr="003F7F6C">
              <w:rPr>
                <w:rFonts w:eastAsia="Calibri" w:cs="Calibri"/>
                <w:sz w:val="18"/>
                <w:szCs w:val="18"/>
                <w:lang w:val="en-GB"/>
              </w:rPr>
              <w:t>C2</w:t>
            </w:r>
          </w:p>
        </w:tc>
      </w:tr>
      <w:tr w:rsidR="00D46B62" w:rsidRPr="003F7F6C" w14:paraId="2562B127" w14:textId="77777777" w:rsidTr="00553F65">
        <w:trPr>
          <w:trHeight w:val="642"/>
        </w:trPr>
        <w:tc>
          <w:tcPr>
            <w:tcW w:w="1290" w:type="pct"/>
            <w:shd w:val="clear" w:color="auto" w:fill="auto"/>
          </w:tcPr>
          <w:p w14:paraId="11333D14" w14:textId="77777777" w:rsidR="00D46B62" w:rsidRPr="003F7F6C" w:rsidRDefault="00D46B62" w:rsidP="00D46B62">
            <w:pPr>
              <w:spacing w:after="0"/>
              <w:jc w:val="left"/>
              <w:rPr>
                <w:rFonts w:eastAsia="Calibri" w:cs="Calibri"/>
                <w:sz w:val="18"/>
                <w:szCs w:val="18"/>
                <w:lang w:val="es-AR"/>
              </w:rPr>
            </w:pPr>
            <w:r w:rsidRPr="003F7F6C">
              <w:rPr>
                <w:rFonts w:eastAsia="Calibri" w:cs="Calibri"/>
                <w:sz w:val="18"/>
                <w:szCs w:val="18"/>
                <w:lang w:val="en-GB"/>
              </w:rPr>
              <w:t>Quebrada de Humahuaca Management Unit in Jujuy (UGQH)</w:t>
            </w:r>
          </w:p>
        </w:tc>
        <w:tc>
          <w:tcPr>
            <w:tcW w:w="2966" w:type="pct"/>
            <w:shd w:val="clear" w:color="auto" w:fill="auto"/>
          </w:tcPr>
          <w:p w14:paraId="75BADFC9"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Participation in the provincial dialogue platform. Dissemination of experiences and lessons learned to other communities in the province. Participation in local work team or multisector space for the implementation of the pilot site project</w:t>
            </w:r>
          </w:p>
        </w:tc>
        <w:tc>
          <w:tcPr>
            <w:tcW w:w="744" w:type="pct"/>
            <w:shd w:val="clear" w:color="auto" w:fill="auto"/>
          </w:tcPr>
          <w:p w14:paraId="1D2812B7" w14:textId="77777777" w:rsidR="00D46B62" w:rsidRPr="003F7F6C" w:rsidRDefault="00D46B62" w:rsidP="00D46B62">
            <w:pPr>
              <w:spacing w:after="0"/>
              <w:jc w:val="left"/>
              <w:rPr>
                <w:rFonts w:eastAsia="Calibri" w:cs="Calibri"/>
                <w:sz w:val="18"/>
                <w:szCs w:val="18"/>
                <w:lang w:val="es-AR"/>
              </w:rPr>
            </w:pPr>
            <w:r w:rsidRPr="003F7F6C">
              <w:rPr>
                <w:rFonts w:eastAsia="Calibri" w:cs="Calibri"/>
                <w:sz w:val="18"/>
                <w:szCs w:val="18"/>
                <w:lang w:val="en-GB"/>
              </w:rPr>
              <w:t>C2</w:t>
            </w:r>
          </w:p>
        </w:tc>
      </w:tr>
      <w:tr w:rsidR="00D46B62" w:rsidRPr="003F7F6C" w14:paraId="05B36625" w14:textId="77777777" w:rsidTr="00553F65">
        <w:trPr>
          <w:trHeight w:val="737"/>
        </w:trPr>
        <w:tc>
          <w:tcPr>
            <w:tcW w:w="1290" w:type="pct"/>
            <w:shd w:val="clear" w:color="auto" w:fill="auto"/>
          </w:tcPr>
          <w:p w14:paraId="5632E142" w14:textId="77777777" w:rsidR="00D46B62" w:rsidRPr="003F7F6C" w:rsidRDefault="00D46B62" w:rsidP="00D46B62">
            <w:pPr>
              <w:spacing w:after="0"/>
              <w:jc w:val="left"/>
              <w:rPr>
                <w:rFonts w:eastAsia="Calibri" w:cs="Calibri"/>
                <w:sz w:val="18"/>
                <w:szCs w:val="18"/>
                <w:lang w:val="es-AR"/>
              </w:rPr>
            </w:pPr>
            <w:r w:rsidRPr="003F7F6C">
              <w:rPr>
                <w:rFonts w:eastAsia="Calibri" w:cs="Calibri"/>
                <w:sz w:val="18"/>
                <w:szCs w:val="18"/>
                <w:lang w:val="en-GB"/>
              </w:rPr>
              <w:t>CEBIO - Jujuy</w:t>
            </w:r>
          </w:p>
        </w:tc>
        <w:tc>
          <w:tcPr>
            <w:tcW w:w="2966" w:type="pct"/>
            <w:shd w:val="clear" w:color="auto" w:fill="auto"/>
          </w:tcPr>
          <w:p w14:paraId="78F894BD"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 xml:space="preserve">Their role in the project will be advisory, participating in local dialogue spaces, in training spaces and eventually in working jointly with local actors. Participation in the provincial dialogue platform. </w:t>
            </w:r>
          </w:p>
        </w:tc>
        <w:tc>
          <w:tcPr>
            <w:tcW w:w="744" w:type="pct"/>
            <w:shd w:val="clear" w:color="auto" w:fill="auto"/>
          </w:tcPr>
          <w:p w14:paraId="736F08D9" w14:textId="77777777" w:rsidR="00D46B62" w:rsidRPr="003F7F6C" w:rsidRDefault="00D46B62" w:rsidP="00D46B62">
            <w:pPr>
              <w:spacing w:after="0"/>
              <w:jc w:val="left"/>
              <w:rPr>
                <w:rFonts w:eastAsia="Calibri" w:cs="Calibri"/>
                <w:sz w:val="18"/>
                <w:szCs w:val="18"/>
                <w:lang w:val="es-AR"/>
              </w:rPr>
            </w:pPr>
            <w:r w:rsidRPr="003F7F6C">
              <w:rPr>
                <w:rFonts w:eastAsia="Calibri" w:cs="Calibri"/>
                <w:sz w:val="18"/>
                <w:szCs w:val="18"/>
                <w:lang w:val="en-GB"/>
              </w:rPr>
              <w:t>C2</w:t>
            </w:r>
          </w:p>
        </w:tc>
      </w:tr>
      <w:tr w:rsidR="00D46B62" w:rsidRPr="003F7F6C" w14:paraId="17CDDC4E" w14:textId="77777777" w:rsidTr="00553F65">
        <w:trPr>
          <w:trHeight w:val="709"/>
        </w:trPr>
        <w:tc>
          <w:tcPr>
            <w:tcW w:w="1290" w:type="pct"/>
            <w:shd w:val="clear" w:color="auto" w:fill="auto"/>
          </w:tcPr>
          <w:p w14:paraId="4E624FEA" w14:textId="77777777" w:rsidR="00D46B62" w:rsidRPr="003F7F6C" w:rsidRDefault="00D46B62" w:rsidP="00D46B62">
            <w:pPr>
              <w:spacing w:after="0"/>
              <w:jc w:val="left"/>
              <w:rPr>
                <w:rFonts w:eastAsia="Calibri" w:cs="Calibri"/>
                <w:sz w:val="18"/>
                <w:szCs w:val="18"/>
                <w:lang w:val="es-AR"/>
              </w:rPr>
            </w:pPr>
            <w:r w:rsidRPr="003F7F6C">
              <w:rPr>
                <w:rFonts w:eastAsia="Calibri" w:cs="Calibri"/>
                <w:sz w:val="18"/>
                <w:szCs w:val="18"/>
                <w:lang w:val="en-GB"/>
              </w:rPr>
              <w:t xml:space="preserve">Proyungas Foundation - Jujuy </w:t>
            </w:r>
          </w:p>
        </w:tc>
        <w:tc>
          <w:tcPr>
            <w:tcW w:w="2966" w:type="pct"/>
            <w:shd w:val="clear" w:color="auto" w:fill="auto"/>
          </w:tcPr>
          <w:p w14:paraId="2CA09FDF"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 xml:space="preserve">Their role in the project will be advisory, participating in local dialogue spaces, in training spaces and eventually in working jointly with local actors. Participation in the provincial dialogue platform. </w:t>
            </w:r>
          </w:p>
        </w:tc>
        <w:tc>
          <w:tcPr>
            <w:tcW w:w="744" w:type="pct"/>
            <w:shd w:val="clear" w:color="auto" w:fill="auto"/>
          </w:tcPr>
          <w:p w14:paraId="2921FC04" w14:textId="77777777" w:rsidR="00D46B62" w:rsidRPr="003F7F6C" w:rsidRDefault="00D46B62" w:rsidP="00D46B62">
            <w:pPr>
              <w:spacing w:after="0"/>
              <w:jc w:val="left"/>
              <w:rPr>
                <w:rFonts w:eastAsia="Calibri" w:cs="Calibri"/>
                <w:sz w:val="18"/>
                <w:szCs w:val="18"/>
                <w:lang w:val="es-AR"/>
              </w:rPr>
            </w:pPr>
            <w:r w:rsidRPr="003F7F6C">
              <w:rPr>
                <w:rFonts w:eastAsia="Calibri" w:cs="Calibri"/>
                <w:sz w:val="18"/>
                <w:szCs w:val="18"/>
                <w:lang w:val="en-GB"/>
              </w:rPr>
              <w:t>C2</w:t>
            </w:r>
          </w:p>
        </w:tc>
      </w:tr>
      <w:tr w:rsidR="00D46B62" w:rsidRPr="003F7F6C" w14:paraId="70B0069B" w14:textId="77777777" w:rsidTr="00553F65">
        <w:trPr>
          <w:trHeight w:val="1001"/>
        </w:trPr>
        <w:tc>
          <w:tcPr>
            <w:tcW w:w="1290" w:type="pct"/>
            <w:shd w:val="clear" w:color="auto" w:fill="auto"/>
          </w:tcPr>
          <w:p w14:paraId="4F894E50"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Foundation for the Conservation and Sustainable Use of Wetlands / Wetlands International Argentina- Buenos Aires (FH)</w:t>
            </w:r>
          </w:p>
        </w:tc>
        <w:tc>
          <w:tcPr>
            <w:tcW w:w="2966" w:type="pct"/>
            <w:shd w:val="clear" w:color="auto" w:fill="auto"/>
          </w:tcPr>
          <w:p w14:paraId="618E32D2"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Consultative in relation to participation in provincial dialogue and active in relation to the wetlands at the Buenos Aires pilot site. Participation in the provincial dialogue platform. Participation in local work team or multisector space for the implementation of the pilot site project</w:t>
            </w:r>
          </w:p>
        </w:tc>
        <w:tc>
          <w:tcPr>
            <w:tcW w:w="744" w:type="pct"/>
            <w:shd w:val="clear" w:color="auto" w:fill="auto"/>
          </w:tcPr>
          <w:p w14:paraId="27408160" w14:textId="77777777" w:rsidR="00D46B62" w:rsidRPr="003F7F6C" w:rsidRDefault="00D46B62" w:rsidP="00D46B62">
            <w:pPr>
              <w:spacing w:after="0"/>
              <w:jc w:val="left"/>
              <w:rPr>
                <w:rFonts w:eastAsia="Calibri" w:cs="Calibri"/>
                <w:sz w:val="18"/>
                <w:szCs w:val="18"/>
                <w:lang w:val="es-AR"/>
              </w:rPr>
            </w:pPr>
            <w:r w:rsidRPr="003F7F6C">
              <w:rPr>
                <w:rFonts w:eastAsia="Calibri" w:cs="Calibri"/>
                <w:sz w:val="18"/>
                <w:szCs w:val="18"/>
                <w:lang w:val="en-GB"/>
              </w:rPr>
              <w:t>C2</w:t>
            </w:r>
          </w:p>
        </w:tc>
      </w:tr>
      <w:tr w:rsidR="00D46B62" w:rsidRPr="003F7F6C" w14:paraId="08E1D0E7" w14:textId="77777777" w:rsidTr="00553F65">
        <w:trPr>
          <w:trHeight w:val="737"/>
        </w:trPr>
        <w:tc>
          <w:tcPr>
            <w:tcW w:w="1290" w:type="pct"/>
            <w:shd w:val="clear" w:color="auto" w:fill="auto"/>
          </w:tcPr>
          <w:p w14:paraId="2BFA5422"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Félix de Azara Natural History Foundation (FHNFA)</w:t>
            </w:r>
          </w:p>
        </w:tc>
        <w:tc>
          <w:tcPr>
            <w:tcW w:w="2966" w:type="pct"/>
            <w:shd w:val="clear" w:color="auto" w:fill="auto"/>
          </w:tcPr>
          <w:p w14:paraId="3D7A5E84"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Consultative in relation to participation in provincial dialogue and active in relation to the “Talares” forests at the Buenos Aires pilot site. Participation in the provincial dialogue platform. Participation in local work team or multisector space for the implementation of the pilot site project</w:t>
            </w:r>
          </w:p>
        </w:tc>
        <w:tc>
          <w:tcPr>
            <w:tcW w:w="744" w:type="pct"/>
            <w:shd w:val="clear" w:color="auto" w:fill="auto"/>
          </w:tcPr>
          <w:p w14:paraId="1A88B058" w14:textId="77777777" w:rsidR="00D46B62" w:rsidRPr="003F7F6C" w:rsidRDefault="00D46B62" w:rsidP="00D46B62">
            <w:pPr>
              <w:spacing w:after="0"/>
              <w:jc w:val="left"/>
              <w:rPr>
                <w:rFonts w:eastAsia="Calibri" w:cs="Calibri"/>
                <w:sz w:val="18"/>
                <w:szCs w:val="18"/>
                <w:lang w:val="es-AR"/>
              </w:rPr>
            </w:pPr>
            <w:r w:rsidRPr="003F7F6C">
              <w:rPr>
                <w:rFonts w:eastAsia="Calibri" w:cs="Calibri"/>
                <w:sz w:val="18"/>
                <w:szCs w:val="18"/>
                <w:lang w:val="en-GB"/>
              </w:rPr>
              <w:t>C2</w:t>
            </w:r>
          </w:p>
        </w:tc>
      </w:tr>
      <w:tr w:rsidR="00D46B62" w:rsidRPr="003F7F6C" w14:paraId="799B8AB9" w14:textId="77777777" w:rsidTr="00553F65">
        <w:trPr>
          <w:trHeight w:val="723"/>
        </w:trPr>
        <w:tc>
          <w:tcPr>
            <w:tcW w:w="1290" w:type="pct"/>
            <w:shd w:val="clear" w:color="auto" w:fill="auto"/>
          </w:tcPr>
          <w:p w14:paraId="5A17D27B"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Council of Producers of the Delta (CONPRODEL)</w:t>
            </w:r>
          </w:p>
        </w:tc>
        <w:tc>
          <w:tcPr>
            <w:tcW w:w="2966" w:type="pct"/>
            <w:shd w:val="clear" w:color="auto" w:fill="auto"/>
          </w:tcPr>
          <w:p w14:paraId="5EF2AB19"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Consultative in relation to participation in provincial dialogue and active in relation to the wetlands at the Buenos Aires pilot site.</w:t>
            </w:r>
          </w:p>
          <w:p w14:paraId="1E9AC5EF"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Participation in the provincial dialogue platform. Participation in local work team or multisector space for the implementation of the pilot site project</w:t>
            </w:r>
          </w:p>
        </w:tc>
        <w:tc>
          <w:tcPr>
            <w:tcW w:w="744" w:type="pct"/>
            <w:shd w:val="clear" w:color="auto" w:fill="auto"/>
          </w:tcPr>
          <w:p w14:paraId="32A83239" w14:textId="77777777" w:rsidR="00D46B62" w:rsidRPr="003F7F6C" w:rsidRDefault="00D46B62" w:rsidP="00D46B62">
            <w:pPr>
              <w:spacing w:after="0"/>
              <w:jc w:val="left"/>
              <w:rPr>
                <w:rFonts w:eastAsia="Calibri" w:cs="Calibri"/>
                <w:sz w:val="18"/>
                <w:szCs w:val="18"/>
                <w:lang w:val="es-AR"/>
              </w:rPr>
            </w:pPr>
            <w:r w:rsidRPr="003F7F6C">
              <w:rPr>
                <w:rFonts w:eastAsia="Calibri" w:cs="Calibri"/>
                <w:sz w:val="18"/>
                <w:szCs w:val="18"/>
                <w:lang w:val="en-GB"/>
              </w:rPr>
              <w:t>C2</w:t>
            </w:r>
          </w:p>
        </w:tc>
      </w:tr>
      <w:tr w:rsidR="00D46B62" w:rsidRPr="003F7F6C" w14:paraId="3522B897" w14:textId="77777777" w:rsidTr="00553F65">
        <w:trPr>
          <w:trHeight w:val="919"/>
        </w:trPr>
        <w:tc>
          <w:tcPr>
            <w:tcW w:w="1290" w:type="pct"/>
            <w:shd w:val="clear" w:color="auto" w:fill="auto"/>
          </w:tcPr>
          <w:p w14:paraId="5F25C920"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Argentine Forest Association - Regional Delta (AFOA)</w:t>
            </w:r>
          </w:p>
        </w:tc>
        <w:tc>
          <w:tcPr>
            <w:tcW w:w="2966" w:type="pct"/>
            <w:shd w:val="clear" w:color="auto" w:fill="auto"/>
          </w:tcPr>
          <w:p w14:paraId="47A1BC72"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Their role in the project will be consultative, participating in local dialogue spaces, in training spaces and eventually working in coordination with local actors.</w:t>
            </w:r>
          </w:p>
          <w:p w14:paraId="22C749DE"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Participation in the provincial dialogue platform. Participation in local work team or multisector space for the implementation of the pilot site project</w:t>
            </w:r>
          </w:p>
        </w:tc>
        <w:tc>
          <w:tcPr>
            <w:tcW w:w="744" w:type="pct"/>
            <w:shd w:val="clear" w:color="auto" w:fill="auto"/>
          </w:tcPr>
          <w:p w14:paraId="52698511" w14:textId="77777777" w:rsidR="00D46B62" w:rsidRPr="003F7F6C" w:rsidRDefault="00D46B62" w:rsidP="00D46B62">
            <w:pPr>
              <w:spacing w:after="0"/>
              <w:jc w:val="left"/>
              <w:rPr>
                <w:rFonts w:eastAsia="Calibri" w:cs="Calibri"/>
                <w:sz w:val="18"/>
                <w:szCs w:val="18"/>
                <w:lang w:val="es-AR"/>
              </w:rPr>
            </w:pPr>
            <w:r w:rsidRPr="003F7F6C">
              <w:rPr>
                <w:rFonts w:eastAsia="Calibri" w:cs="Calibri"/>
                <w:sz w:val="18"/>
                <w:szCs w:val="18"/>
                <w:lang w:val="en-GB"/>
              </w:rPr>
              <w:t>C2</w:t>
            </w:r>
          </w:p>
        </w:tc>
      </w:tr>
      <w:tr w:rsidR="00D46B62" w:rsidRPr="003F7F6C" w14:paraId="46FFFFB6" w14:textId="77777777" w:rsidTr="00553F65">
        <w:trPr>
          <w:trHeight w:val="905"/>
        </w:trPr>
        <w:tc>
          <w:tcPr>
            <w:tcW w:w="1290" w:type="pct"/>
            <w:shd w:val="clear" w:color="auto" w:fill="auto"/>
          </w:tcPr>
          <w:p w14:paraId="1010436A"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Other provincial and local grassroots and social organizations</w:t>
            </w:r>
          </w:p>
        </w:tc>
        <w:tc>
          <w:tcPr>
            <w:tcW w:w="2966" w:type="pct"/>
            <w:shd w:val="clear" w:color="auto" w:fill="auto"/>
          </w:tcPr>
          <w:p w14:paraId="5AF6E2B8"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They will participate in activities such as multisector dialogue platforms, the development of SLM practices, as well as practices related to the conservation of ecosystem services and biodiversity, and ELUP practices. Their role will also be important in facilitating the replication of good ELUP practices.</w:t>
            </w:r>
          </w:p>
        </w:tc>
        <w:tc>
          <w:tcPr>
            <w:tcW w:w="744" w:type="pct"/>
            <w:shd w:val="clear" w:color="auto" w:fill="auto"/>
          </w:tcPr>
          <w:p w14:paraId="4C6482F0" w14:textId="77777777" w:rsidR="00D46B62" w:rsidRPr="003F7F6C" w:rsidRDefault="00D46B62" w:rsidP="00D46B62">
            <w:pPr>
              <w:spacing w:after="0"/>
              <w:jc w:val="left"/>
              <w:rPr>
                <w:rFonts w:eastAsia="Calibri" w:cs="Calibri"/>
                <w:sz w:val="18"/>
                <w:szCs w:val="18"/>
                <w:lang w:val="es-AR"/>
              </w:rPr>
            </w:pPr>
            <w:r w:rsidRPr="003F7F6C">
              <w:rPr>
                <w:rFonts w:eastAsia="Calibri" w:cs="Calibri"/>
                <w:sz w:val="18"/>
                <w:szCs w:val="18"/>
                <w:lang w:val="en-GB"/>
              </w:rPr>
              <w:t>C2</w:t>
            </w:r>
          </w:p>
        </w:tc>
      </w:tr>
      <w:tr w:rsidR="00D46B62" w:rsidRPr="003F7F6C" w14:paraId="3F4E17C5" w14:textId="77777777" w:rsidTr="00553F65">
        <w:trPr>
          <w:trHeight w:val="1002"/>
        </w:trPr>
        <w:tc>
          <w:tcPr>
            <w:tcW w:w="1290" w:type="pct"/>
            <w:shd w:val="clear" w:color="auto" w:fill="auto"/>
          </w:tcPr>
          <w:p w14:paraId="6601D0BE"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Provincial Council for Land Use Planning of Mendoza</w:t>
            </w:r>
          </w:p>
        </w:tc>
        <w:tc>
          <w:tcPr>
            <w:tcW w:w="2966" w:type="pct"/>
            <w:shd w:val="clear" w:color="auto" w:fill="auto"/>
          </w:tcPr>
          <w:p w14:paraId="6EB1EAE1" w14:textId="77777777" w:rsidR="00D46B62" w:rsidRPr="003F7F6C" w:rsidRDefault="00D46B62" w:rsidP="00D46B62">
            <w:pPr>
              <w:spacing w:after="0"/>
              <w:jc w:val="left"/>
              <w:rPr>
                <w:rFonts w:eastAsia="Calibri" w:cs="Calibri"/>
                <w:sz w:val="18"/>
                <w:szCs w:val="18"/>
              </w:rPr>
            </w:pPr>
            <w:r w:rsidRPr="003F7F6C">
              <w:rPr>
                <w:rFonts w:eastAsia="Calibri" w:cs="Calibri"/>
                <w:sz w:val="18"/>
                <w:szCs w:val="18"/>
                <w:lang w:val="en-GB"/>
              </w:rPr>
              <w:t>It will have a key role in the coordination of spaces for dialogue and in coordinating the instruments, plans and actions of the ELUP at the provincial level. Its members will also provide relevant information, and they will provide support through their communication and advocacy skills on ELUP matters. It is the basis of the provincial dialogue platform on ELUP.</w:t>
            </w:r>
          </w:p>
        </w:tc>
        <w:tc>
          <w:tcPr>
            <w:tcW w:w="744" w:type="pct"/>
            <w:shd w:val="clear" w:color="auto" w:fill="auto"/>
          </w:tcPr>
          <w:p w14:paraId="3A8C9C1F" w14:textId="77777777" w:rsidR="00D46B62" w:rsidRPr="003F7F6C" w:rsidRDefault="00D46B62" w:rsidP="00D46B62">
            <w:pPr>
              <w:spacing w:after="0"/>
              <w:jc w:val="left"/>
              <w:rPr>
                <w:rFonts w:eastAsia="Calibri" w:cs="Calibri"/>
                <w:sz w:val="18"/>
                <w:szCs w:val="18"/>
                <w:lang w:val="es-AR"/>
              </w:rPr>
            </w:pPr>
            <w:r w:rsidRPr="003F7F6C">
              <w:rPr>
                <w:rFonts w:eastAsia="Calibri" w:cs="Calibri"/>
                <w:sz w:val="18"/>
                <w:szCs w:val="18"/>
                <w:lang w:val="en-GB"/>
              </w:rPr>
              <w:t>C2</w:t>
            </w:r>
          </w:p>
        </w:tc>
      </w:tr>
    </w:tbl>
    <w:p w14:paraId="46FC3816" w14:textId="77777777" w:rsidR="00D46B62" w:rsidRPr="003F7F6C" w:rsidRDefault="00D46B62" w:rsidP="00D46B62">
      <w:pPr>
        <w:spacing w:after="160" w:line="259" w:lineRule="auto"/>
        <w:jc w:val="left"/>
        <w:rPr>
          <w:rFonts w:eastAsia="Calibri"/>
          <w:b/>
          <w:szCs w:val="20"/>
          <w:lang w:eastAsia="es-CL"/>
        </w:rPr>
      </w:pPr>
    </w:p>
    <w:p w14:paraId="3C691AE4" w14:textId="77777777" w:rsidR="00CE41E0" w:rsidRPr="003F7F6C" w:rsidRDefault="00CE41E0" w:rsidP="00D46B62">
      <w:pPr>
        <w:spacing w:after="160" w:line="259" w:lineRule="auto"/>
        <w:rPr>
          <w:rFonts w:eastAsia="Calibri"/>
          <w:b/>
          <w:szCs w:val="20"/>
          <w:u w:val="single"/>
        </w:rPr>
      </w:pPr>
    </w:p>
    <w:p w14:paraId="61A45A23" w14:textId="77777777" w:rsidR="00CE41E0" w:rsidRPr="003F7F6C" w:rsidRDefault="00CE41E0" w:rsidP="00D46B62">
      <w:pPr>
        <w:spacing w:after="160" w:line="259" w:lineRule="auto"/>
        <w:rPr>
          <w:rFonts w:eastAsia="Calibri"/>
          <w:b/>
          <w:szCs w:val="20"/>
          <w:u w:val="single"/>
        </w:rPr>
      </w:pPr>
    </w:p>
    <w:p w14:paraId="4A1A14B8" w14:textId="77777777" w:rsidR="00CE41E0" w:rsidRPr="003F7F6C" w:rsidRDefault="00CE41E0" w:rsidP="00D46B62">
      <w:pPr>
        <w:spacing w:after="160" w:line="259" w:lineRule="auto"/>
        <w:rPr>
          <w:rFonts w:eastAsia="Calibri"/>
          <w:b/>
          <w:szCs w:val="20"/>
          <w:u w:val="single"/>
        </w:rPr>
      </w:pPr>
    </w:p>
    <w:p w14:paraId="55007D75" w14:textId="7922E0E1" w:rsidR="00D46B62" w:rsidRPr="003F7F6C" w:rsidRDefault="00D46B62" w:rsidP="00D46B62">
      <w:pPr>
        <w:spacing w:after="160" w:line="259" w:lineRule="auto"/>
        <w:rPr>
          <w:rFonts w:eastAsia="Calibri" w:cs="Calibri"/>
          <w:b/>
          <w:szCs w:val="20"/>
          <w:u w:val="single"/>
        </w:rPr>
      </w:pPr>
      <w:r w:rsidRPr="003F7F6C">
        <w:rPr>
          <w:rFonts w:eastAsia="Calibri"/>
          <w:b/>
          <w:szCs w:val="20"/>
          <w:u w:val="single"/>
        </w:rPr>
        <w:t>Stakeholder Engagement Mechanisms</w:t>
      </w:r>
    </w:p>
    <w:p w14:paraId="0ED9C6B3" w14:textId="77777777" w:rsidR="00D46B62" w:rsidRPr="003F7F6C" w:rsidRDefault="00D46B62" w:rsidP="00D46B62">
      <w:pPr>
        <w:spacing w:after="160" w:line="259" w:lineRule="auto"/>
        <w:rPr>
          <w:rFonts w:eastAsia="Calibri" w:cs="Calibri"/>
          <w:szCs w:val="20"/>
        </w:rPr>
      </w:pPr>
      <w:r w:rsidRPr="003F7F6C">
        <w:rPr>
          <w:rFonts w:eastAsia="Calibri"/>
          <w:szCs w:val="20"/>
        </w:rPr>
        <w:t xml:space="preserve">In order to engage the relevant project stakeholders, in compliance with the social safeguards and the principles set out above, work will be carried out with the following components, key stakeholders, phases, and programs: </w:t>
      </w:r>
    </w:p>
    <w:p w14:paraId="53A888A8" w14:textId="77777777" w:rsidR="00D46B62" w:rsidRPr="003F7F6C" w:rsidRDefault="00D46B62" w:rsidP="00E91275">
      <w:pPr>
        <w:numPr>
          <w:ilvl w:val="1"/>
          <w:numId w:val="61"/>
        </w:numPr>
        <w:spacing w:after="160" w:line="259" w:lineRule="auto"/>
        <w:contextualSpacing/>
        <w:jc w:val="left"/>
        <w:rPr>
          <w:rFonts w:eastAsia="Calibri" w:cs="Calibri"/>
          <w:b/>
          <w:color w:val="44546A"/>
          <w:szCs w:val="20"/>
        </w:rPr>
      </w:pPr>
      <w:r w:rsidRPr="003F7F6C">
        <w:rPr>
          <w:rFonts w:eastAsia="Calibri"/>
          <w:b/>
          <w:color w:val="44546A"/>
          <w:szCs w:val="20"/>
        </w:rPr>
        <w:t>Communication (Com) and capacity building (Cap) for informed participation</w:t>
      </w:r>
    </w:p>
    <w:p w14:paraId="038F87C0" w14:textId="77777777" w:rsidR="00D46B62" w:rsidRPr="003F7F6C" w:rsidRDefault="00D46B62" w:rsidP="00E91275">
      <w:pPr>
        <w:numPr>
          <w:ilvl w:val="1"/>
          <w:numId w:val="61"/>
        </w:numPr>
        <w:spacing w:after="160" w:line="259" w:lineRule="auto"/>
        <w:contextualSpacing/>
        <w:jc w:val="left"/>
        <w:rPr>
          <w:rFonts w:eastAsia="Calibri" w:cs="Calibri"/>
          <w:b/>
          <w:color w:val="44546A"/>
          <w:szCs w:val="20"/>
        </w:rPr>
      </w:pPr>
      <w:r w:rsidRPr="003F7F6C">
        <w:rPr>
          <w:rFonts w:eastAsia="Calibri"/>
          <w:b/>
          <w:color w:val="44546A"/>
          <w:szCs w:val="20"/>
        </w:rPr>
        <w:t>Creation of dialogue mechanisms (consultation, deliberation, decision making, inter-institutional coordination, and use of existing spaces) (Part)</w:t>
      </w:r>
    </w:p>
    <w:p w14:paraId="345787C0" w14:textId="77777777" w:rsidR="00D46B62" w:rsidRPr="003F7F6C" w:rsidRDefault="00D46B62" w:rsidP="00E91275">
      <w:pPr>
        <w:numPr>
          <w:ilvl w:val="1"/>
          <w:numId w:val="61"/>
        </w:numPr>
        <w:spacing w:after="160" w:line="259" w:lineRule="auto"/>
        <w:contextualSpacing/>
        <w:jc w:val="left"/>
        <w:rPr>
          <w:rFonts w:eastAsia="Calibri" w:cs="Calibri"/>
          <w:b/>
          <w:color w:val="44546A"/>
          <w:szCs w:val="20"/>
        </w:rPr>
      </w:pPr>
      <w:r w:rsidRPr="003F7F6C">
        <w:rPr>
          <w:rFonts w:eastAsia="Calibri"/>
          <w:b/>
          <w:color w:val="44546A"/>
          <w:szCs w:val="20"/>
        </w:rPr>
        <w:t>Creation of conflict prevention and management mechanisms (provision for negotiation, mediation, requests for information, complaints) (PrevCon)</w:t>
      </w:r>
    </w:p>
    <w:p w14:paraId="1CFF90AB" w14:textId="77777777" w:rsidR="00D46B62" w:rsidRPr="003F7F6C" w:rsidRDefault="00D46B62" w:rsidP="00D46B62">
      <w:pPr>
        <w:spacing w:after="160" w:line="259" w:lineRule="auto"/>
        <w:rPr>
          <w:rFonts w:eastAsia="Calibri" w:cs="Calibri"/>
          <w:szCs w:val="20"/>
        </w:rPr>
      </w:pPr>
      <w:r w:rsidRPr="003F7F6C">
        <w:rPr>
          <w:rFonts w:eastAsia="Calibri"/>
          <w:szCs w:val="20"/>
        </w:rPr>
        <w:t xml:space="preserve">Each component or program of stakeholder engagement will be deployed in three differentiated phases: planning, implementation, and assessment. Project </w:t>
      </w:r>
      <w:r w:rsidRPr="003F7F6C">
        <w:rPr>
          <w:rFonts w:eastAsia="Calibri"/>
          <w:b/>
          <w:szCs w:val="20"/>
        </w:rPr>
        <w:t>planning</w:t>
      </w:r>
      <w:r w:rsidRPr="003F7F6C">
        <w:rPr>
          <w:rFonts w:eastAsia="Calibri"/>
          <w:szCs w:val="20"/>
        </w:rPr>
        <w:t xml:space="preserve"> will include annual meetings with key stakeholders from the national, provincial, and local government, the civil society, the local communities (including members of the Project Board). During such meetings, the annual goals for each project component will be outlined. Such annual planning meetings will also specify which activities are to be financed by means of each co-financing source. The project will be </w:t>
      </w:r>
      <w:r w:rsidRPr="003F7F6C">
        <w:rPr>
          <w:rFonts w:eastAsia="Calibri"/>
          <w:b/>
          <w:szCs w:val="20"/>
        </w:rPr>
        <w:t>implemented</w:t>
      </w:r>
      <w:r w:rsidRPr="003F7F6C">
        <w:rPr>
          <w:rFonts w:eastAsia="Calibri"/>
          <w:szCs w:val="20"/>
        </w:rPr>
        <w:t xml:space="preserve"> according to the annual plans to be approved by the Project Board. The SGAyDS will be the Implementing Partner. </w:t>
      </w:r>
    </w:p>
    <w:p w14:paraId="135DA147" w14:textId="77777777" w:rsidR="00D46B62" w:rsidRPr="003F7F6C" w:rsidRDefault="00D46B62" w:rsidP="00D46B62">
      <w:pPr>
        <w:spacing w:after="160" w:line="259" w:lineRule="auto"/>
        <w:rPr>
          <w:rFonts w:eastAsia="Calibri" w:cs="Calibri"/>
          <w:szCs w:val="20"/>
        </w:rPr>
      </w:pPr>
      <w:r w:rsidRPr="003F7F6C">
        <w:rPr>
          <w:rFonts w:eastAsia="Calibri"/>
          <w:szCs w:val="20"/>
        </w:rPr>
        <w:t xml:space="preserve">The Stakeholder Engagement Plan will be implemented by the Project Management Unit or by such local or provincial teams as may be deemed appropriate for it. The above </w:t>
      </w:r>
      <w:r w:rsidRPr="003F7F6C">
        <w:rPr>
          <w:rFonts w:eastAsia="Calibri"/>
          <w:b/>
          <w:szCs w:val="20"/>
        </w:rPr>
        <w:t>programs</w:t>
      </w:r>
      <w:r w:rsidRPr="003F7F6C">
        <w:rPr>
          <w:rFonts w:eastAsia="Calibri"/>
          <w:szCs w:val="20"/>
        </w:rPr>
        <w:t xml:space="preserve"> are set out below: </w:t>
      </w:r>
    </w:p>
    <w:p w14:paraId="0A00DA44" w14:textId="77777777" w:rsidR="00D46B62" w:rsidRPr="003F7F6C" w:rsidRDefault="00D46B62" w:rsidP="00D46B62">
      <w:pPr>
        <w:spacing w:after="160" w:line="259" w:lineRule="auto"/>
        <w:rPr>
          <w:rFonts w:eastAsia="Calibri" w:cs="Calibri"/>
          <w:b/>
          <w:szCs w:val="20"/>
        </w:rPr>
      </w:pPr>
      <w:bookmarkStart w:id="55" w:name="_Toc523149345"/>
      <w:r w:rsidRPr="003F7F6C">
        <w:rPr>
          <w:rFonts w:eastAsia="Times New Roman"/>
          <w:b/>
          <w:color w:val="2F5496"/>
          <w:szCs w:val="20"/>
        </w:rPr>
        <w:t>Communication and Information Program (“PCI” in Spanish)</w:t>
      </w:r>
      <w:bookmarkEnd w:id="55"/>
      <w:r w:rsidRPr="003F7F6C">
        <w:rPr>
          <w:rFonts w:eastAsia="Calibri"/>
          <w:b/>
          <w:szCs w:val="20"/>
        </w:rPr>
        <w:t xml:space="preserve"> (Output 4.2)</w:t>
      </w:r>
    </w:p>
    <w:p w14:paraId="5DC22264" w14:textId="77777777" w:rsidR="00D46B62" w:rsidRPr="003F7F6C" w:rsidRDefault="00D46B62" w:rsidP="00D46B62">
      <w:pPr>
        <w:spacing w:after="160" w:line="259" w:lineRule="auto"/>
        <w:rPr>
          <w:rFonts w:eastAsia="Calibri" w:cs="Calibri"/>
          <w:szCs w:val="20"/>
        </w:rPr>
      </w:pPr>
      <w:r w:rsidRPr="003F7F6C">
        <w:rPr>
          <w:rFonts w:eastAsia="Calibri"/>
          <w:szCs w:val="20"/>
        </w:rPr>
        <w:t xml:space="preserve">The purpose of this program will be to design and develop the Project communication and information policy at the national level, and to coordinate this policy at the local and provincial levels for its general alignment. This program will be coordinated and developed by a Communication Specialist of the SGAyDS, who will work in close coordination with the Project Management Unit, project specialists and provincial peers in implementing any relevant actions. </w:t>
      </w:r>
    </w:p>
    <w:p w14:paraId="7BAE3F4D" w14:textId="77777777" w:rsidR="00D46B62" w:rsidRPr="003F7F6C" w:rsidRDefault="00D46B62" w:rsidP="00D46B62">
      <w:pPr>
        <w:spacing w:after="160" w:line="259" w:lineRule="auto"/>
        <w:rPr>
          <w:rFonts w:eastAsia="Calibri" w:cs="Calibri"/>
          <w:szCs w:val="20"/>
        </w:rPr>
      </w:pPr>
      <w:r w:rsidRPr="003F7F6C">
        <w:rPr>
          <w:rFonts w:eastAsia="Calibri"/>
          <w:szCs w:val="20"/>
        </w:rPr>
        <w:t xml:space="preserve">Three dimensions will be coordinated in this program: a) design and implementation of a project dissemination policy, to raise awareness on ELUP-related matters, to account for project progress and the results of the monitoring activities, among others. The instruments and activities which may be used by this program include, without limitation: development of web sites, brochures, or flyers, videos, radio/TV broadcastings; b) managing technical information regarding ELUP and processing it to develop communication products to provide key stakeholders with information that is reliable, clear and accessible; and c) systematization of the information arising out of the project, in order to manage the knowledge gained, systematize data from the project, and provide inputs for learning and adjustments in the monitoring process. All the dimensions will be implemented in coordination with the program and the jurisdictional level supported.  </w:t>
      </w:r>
    </w:p>
    <w:p w14:paraId="66BF592B" w14:textId="77777777" w:rsidR="00D46B62" w:rsidRPr="003F7F6C" w:rsidRDefault="00D46B62" w:rsidP="00D46B62">
      <w:pPr>
        <w:spacing w:after="85" w:line="216" w:lineRule="atLeast"/>
        <w:ind w:right="42" w:hanging="10"/>
        <w:rPr>
          <w:rFonts w:eastAsia="Times New Roman" w:cs="Calibri"/>
          <w:szCs w:val="20"/>
        </w:rPr>
      </w:pPr>
      <w:r w:rsidRPr="003F7F6C">
        <w:rPr>
          <w:rFonts w:eastAsia="Calibri"/>
          <w:szCs w:val="20"/>
        </w:rPr>
        <w:t>This program will ensure:</w:t>
      </w:r>
    </w:p>
    <w:p w14:paraId="55CCAB8C" w14:textId="77777777" w:rsidR="00D46B62" w:rsidRPr="003F7F6C" w:rsidRDefault="00D46B62" w:rsidP="00D46B62">
      <w:pPr>
        <w:spacing w:after="119" w:line="216" w:lineRule="atLeast"/>
        <w:ind w:left="720" w:right="42" w:hanging="360"/>
        <w:rPr>
          <w:rFonts w:eastAsia="Times New Roman" w:cs="Calibri"/>
          <w:szCs w:val="20"/>
        </w:rPr>
      </w:pPr>
      <w:r w:rsidRPr="003F7F6C">
        <w:rPr>
          <w:rFonts w:eastAsia="Calibri"/>
          <w:szCs w:val="20"/>
        </w:rPr>
        <w:t>•         </w:t>
      </w:r>
      <w:r w:rsidRPr="003F7F6C">
        <w:rPr>
          <w:rFonts w:eastAsia="Calibri"/>
          <w:b/>
          <w:bCs/>
          <w:iCs/>
          <w:szCs w:val="20"/>
        </w:rPr>
        <w:t>Timely dissemination of </w:t>
      </w:r>
      <w:r w:rsidRPr="003F7F6C">
        <w:rPr>
          <w:rFonts w:eastAsia="Calibri"/>
          <w:szCs w:val="20"/>
        </w:rPr>
        <w:t>information on social and environmental implications of the project before decisions are taken.</w:t>
      </w:r>
    </w:p>
    <w:p w14:paraId="27DE0D67" w14:textId="77777777" w:rsidR="00D46B62" w:rsidRPr="003F7F6C" w:rsidRDefault="00D46B62" w:rsidP="00D46B62">
      <w:pPr>
        <w:spacing w:after="88" w:line="216" w:lineRule="atLeast"/>
        <w:ind w:left="720" w:right="42" w:hanging="360"/>
        <w:rPr>
          <w:rFonts w:eastAsia="Times New Roman" w:cs="Calibri"/>
          <w:szCs w:val="20"/>
        </w:rPr>
      </w:pPr>
      <w:r w:rsidRPr="003F7F6C">
        <w:rPr>
          <w:rFonts w:eastAsia="Calibri"/>
          <w:szCs w:val="20"/>
        </w:rPr>
        <w:t>•        </w:t>
      </w:r>
      <w:r w:rsidRPr="003F7F6C">
        <w:rPr>
          <w:rFonts w:eastAsia="Calibri"/>
          <w:b/>
          <w:bCs/>
          <w:iCs/>
          <w:szCs w:val="20"/>
        </w:rPr>
        <w:t xml:space="preserve">Easy access to information </w:t>
      </w:r>
      <w:r w:rsidRPr="003F7F6C">
        <w:rPr>
          <w:rFonts w:eastAsia="Calibri"/>
          <w:bCs/>
          <w:iCs/>
          <w:szCs w:val="20"/>
        </w:rPr>
        <w:t>so that the project stakeholders</w:t>
      </w:r>
      <w:r w:rsidRPr="003F7F6C">
        <w:rPr>
          <w:rFonts w:eastAsia="Calibri"/>
          <w:b/>
          <w:bCs/>
          <w:iCs/>
          <w:szCs w:val="20"/>
        </w:rPr>
        <w:t xml:space="preserve"> </w:t>
      </w:r>
      <w:r w:rsidRPr="003F7F6C">
        <w:rPr>
          <w:rFonts w:eastAsia="Calibri"/>
          <w:szCs w:val="20"/>
        </w:rPr>
        <w:t>may easily access the information related to the project activities. To that effect, the suitable media for each territory will be considered; for instance:  postings on websites, public meetings, local organizations or boards, newspapers, radio and television reports, flyers, exhibitions, direct mail.</w:t>
      </w:r>
    </w:p>
    <w:p w14:paraId="0CB4DF58" w14:textId="77777777" w:rsidR="00D46B62" w:rsidRPr="003F7F6C" w:rsidRDefault="00D46B62" w:rsidP="00D46B62">
      <w:pPr>
        <w:spacing w:after="119" w:line="216" w:lineRule="atLeast"/>
        <w:ind w:left="720" w:right="42" w:hanging="360"/>
        <w:rPr>
          <w:rFonts w:eastAsia="Times New Roman" w:cs="Calibri"/>
          <w:szCs w:val="20"/>
        </w:rPr>
      </w:pPr>
      <w:r w:rsidRPr="003F7F6C">
        <w:rPr>
          <w:rFonts w:eastAsia="Calibri"/>
          <w:szCs w:val="20"/>
        </w:rPr>
        <w:t>•       </w:t>
      </w:r>
      <w:r w:rsidRPr="003F7F6C">
        <w:rPr>
          <w:rFonts w:eastAsia="Calibri"/>
          <w:b/>
          <w:bCs/>
          <w:iCs/>
          <w:szCs w:val="20"/>
        </w:rPr>
        <w:t>Appropriate formats and languages:</w:t>
      </w:r>
      <w:r w:rsidRPr="003F7F6C">
        <w:rPr>
          <w:rFonts w:eastAsia="Calibri"/>
          <w:szCs w:val="20"/>
        </w:rPr>
        <w:t> The information must be made available in a language which may be understandable and accessible for the group in question. To that effect, local information dissemination media and formats will be taken into account.</w:t>
      </w:r>
      <w:bookmarkStart w:id="56" w:name="_ftnref13"/>
      <w:bookmarkStart w:id="57" w:name="_ftnref14"/>
      <w:bookmarkEnd w:id="56"/>
      <w:bookmarkEnd w:id="57"/>
    </w:p>
    <w:p w14:paraId="11E8EBEB" w14:textId="77777777" w:rsidR="00D46B62" w:rsidRPr="003F7F6C" w:rsidRDefault="00D46B62" w:rsidP="00D46B62">
      <w:pPr>
        <w:spacing w:after="160" w:line="259" w:lineRule="auto"/>
        <w:rPr>
          <w:rFonts w:eastAsia="Times New Roman"/>
          <w:b/>
          <w:color w:val="2F5496"/>
          <w:szCs w:val="20"/>
        </w:rPr>
      </w:pPr>
      <w:bookmarkStart w:id="58" w:name="_Toc523149346"/>
    </w:p>
    <w:p w14:paraId="2FAF4BA5" w14:textId="77777777" w:rsidR="00D46B62" w:rsidRPr="003F7F6C" w:rsidRDefault="00D46B62" w:rsidP="00D46B62">
      <w:pPr>
        <w:spacing w:after="160" w:line="259" w:lineRule="auto"/>
        <w:rPr>
          <w:rFonts w:eastAsia="Calibri" w:cs="Calibri"/>
          <w:b/>
          <w:szCs w:val="20"/>
        </w:rPr>
      </w:pPr>
      <w:r w:rsidRPr="003F7F6C">
        <w:rPr>
          <w:rFonts w:eastAsia="Times New Roman"/>
          <w:b/>
          <w:color w:val="2F5496"/>
          <w:szCs w:val="20"/>
        </w:rPr>
        <w:t>Capacity Strengthening Program for ELUP (“PFC” in spanish)</w:t>
      </w:r>
      <w:bookmarkEnd w:id="58"/>
      <w:r w:rsidRPr="003F7F6C">
        <w:rPr>
          <w:rFonts w:eastAsia="Calibri"/>
          <w:b/>
          <w:szCs w:val="20"/>
        </w:rPr>
        <w:t xml:space="preserve"> (Outputs 1.4, 2.2 and 3.2)</w:t>
      </w:r>
    </w:p>
    <w:p w14:paraId="72F5D866" w14:textId="77777777" w:rsidR="00D46B62" w:rsidRPr="003F7F6C" w:rsidRDefault="00D46B62" w:rsidP="00D46B62">
      <w:pPr>
        <w:spacing w:after="160" w:line="259" w:lineRule="auto"/>
        <w:rPr>
          <w:rFonts w:eastAsia="Calibri" w:cs="Calibri"/>
          <w:szCs w:val="20"/>
        </w:rPr>
      </w:pPr>
      <w:r w:rsidRPr="003F7F6C">
        <w:rPr>
          <w:rFonts w:eastAsia="Calibri"/>
          <w:szCs w:val="20"/>
        </w:rPr>
        <w:t>This program will be responsible for cross-sectional coordination of capacity strengthening on different critical issues in furtherance of the success of the project. This entails designing a federal program which will be aimed at strengthening the capacities of state actors (from several local, provincial, and national organizations), of relevant actors from civil society, including academia, the private sector, small local farmers, and indigenous peoples, among others. The Capacity Strengthening Program will outline the curricula of tailor-made capacity strengthening and formation processes, on the basis of the evaluation of needs to be carried out; identify the target audiences in each case; and design suitable devices for such audiences. The activities may include workshops, seminars, online courses, scholarships on existing courses, specific information conferences. The key issues on which the Capacity Strengthening Program must be focused are: ELUP in general as a tool, specific biodiversity issues, SLM, means of subsistence, key aspects of social participation, skills, and tools for conflict resolution and participation. In particular, the Capacity Strengthening Program will ensure that the generation of capacities to work with Indigenous Peoples, the understanding of the legal framework, and the prior consultation processes and free, prior and informed consent are mainstreamed in the project.  The Capacity Strengthening Program will deploy different kinds of activities, based on the needs of the target audiences, the jurisdictional level, or the subject needs. Such activities will include, without limitation:</w:t>
      </w:r>
    </w:p>
    <w:p w14:paraId="5C7BAAA1" w14:textId="77777777" w:rsidR="00D46B62" w:rsidRPr="003F7F6C" w:rsidRDefault="00D46B62" w:rsidP="00D46B62">
      <w:pPr>
        <w:spacing w:after="160" w:line="259" w:lineRule="auto"/>
        <w:rPr>
          <w:rFonts w:eastAsia="Calibri" w:cs="Calibri"/>
          <w:b/>
          <w:szCs w:val="20"/>
        </w:rPr>
      </w:pPr>
      <w:bookmarkStart w:id="59" w:name="_Toc523149347"/>
      <w:r w:rsidRPr="003F7F6C">
        <w:rPr>
          <w:rFonts w:eastAsia="Times New Roman"/>
          <w:b/>
          <w:color w:val="2F5496"/>
          <w:szCs w:val="20"/>
        </w:rPr>
        <w:t xml:space="preserve">Multi-stakeholder Coordination and Dialogue Spaces for ELUP </w:t>
      </w:r>
      <w:bookmarkEnd w:id="59"/>
      <w:r w:rsidRPr="003F7F6C">
        <w:rPr>
          <w:rFonts w:eastAsia="Times New Roman"/>
          <w:b/>
          <w:color w:val="2F5496"/>
          <w:szCs w:val="20"/>
        </w:rPr>
        <w:t>(Outputs 1.4 and 2.2)</w:t>
      </w:r>
    </w:p>
    <w:p w14:paraId="0F4DB9C8" w14:textId="77777777" w:rsidR="00D46B62" w:rsidRPr="003F7F6C" w:rsidRDefault="00D46B62" w:rsidP="00D46B62">
      <w:pPr>
        <w:spacing w:after="160" w:line="259" w:lineRule="auto"/>
        <w:rPr>
          <w:rFonts w:eastAsia="Calibri" w:cs="Calibri"/>
          <w:b/>
          <w:szCs w:val="20"/>
        </w:rPr>
      </w:pPr>
      <w:r w:rsidRPr="003F7F6C">
        <w:rPr>
          <w:rFonts w:eastAsia="Calibri"/>
          <w:szCs w:val="20"/>
        </w:rPr>
        <w:t xml:space="preserve">Spaces will be provided for the creation of multi-sectoral dialogue mechanisms as well as horizontal (among institutions at the same level of government) coordination mechanisms and vertical </w:t>
      </w:r>
      <w:r w:rsidRPr="003F7F6C">
        <w:rPr>
          <w:rFonts w:eastAsia="Calibri"/>
          <w:iCs/>
          <w:szCs w:val="20"/>
          <w:u w:val="single"/>
        </w:rPr>
        <w:t>(</w:t>
      </w:r>
      <w:r w:rsidRPr="003F7F6C">
        <w:rPr>
          <w:rFonts w:eastAsia="Calibri"/>
          <w:iCs/>
          <w:szCs w:val="20"/>
        </w:rPr>
        <w:t xml:space="preserve">among the national, provincial, and municipal levels) </w:t>
      </w:r>
      <w:r w:rsidRPr="003F7F6C">
        <w:rPr>
          <w:rFonts w:eastAsia="Calibri"/>
          <w:szCs w:val="20"/>
        </w:rPr>
        <w:t xml:space="preserve">coordination mechanisms. The creation of participatory dialogue spaces is promoted, which may provide for differentiated decision making, negotiation, and dialogue spaces/processes, depending on the scale, jurisdiction, and responsibilities. Such a structure may generate inter-sectoral and inter-jurisdictional coordination mechanisms to integrate ELUP in sectoral programming, and it may also generate proposals to coordinate several jurisdictions and sectors to prepare and implement plans, programs, and projects related to ELUP, sectoral planning, and integration of provincial ELUP in the federal programs, and multi-sectoral decision making which makes the implementation of ELUP easier. Furthermore, it will generate higher coordination among local communities and governments and will increase their efforts to provide for a broader participation in monitoring and surveillance activities to support sustainable production. </w:t>
      </w:r>
    </w:p>
    <w:p w14:paraId="33DCF896" w14:textId="77777777" w:rsidR="00D46B62" w:rsidRPr="003F7F6C" w:rsidRDefault="00D46B62" w:rsidP="00D46B62">
      <w:pPr>
        <w:spacing w:after="160" w:line="259" w:lineRule="auto"/>
        <w:rPr>
          <w:rFonts w:eastAsia="Calibri" w:cs="Calibri"/>
          <w:szCs w:val="20"/>
        </w:rPr>
      </w:pPr>
      <w:r w:rsidRPr="003F7F6C">
        <w:rPr>
          <w:rFonts w:eastAsia="Calibri"/>
          <w:szCs w:val="20"/>
        </w:rPr>
        <w:t xml:space="preserve">These spaces will make use of the existing mechanisms at the national and provincial levels where appropriate. </w:t>
      </w:r>
      <w:r w:rsidRPr="003F7F6C">
        <w:rPr>
          <w:rFonts w:eastAsia="Calibri" w:cs="Calibri"/>
          <w:szCs w:val="20"/>
        </w:rPr>
        <w:t xml:space="preserve"> </w:t>
      </w:r>
      <w:r w:rsidRPr="003F7F6C">
        <w:rPr>
          <w:rFonts w:eastAsia="Calibri"/>
          <w:szCs w:val="20"/>
        </w:rPr>
        <w:t xml:space="preserve">At the provincial level, the existing experiences will be considered as a starting point to identify coordination spaces: in Mendoza, for example, the dialogue platform may take advantage of the existence of the Provincial Council for Land Use Planning of Mendoza (CPOT), a multi-sectoral consultation space which must be strengthened by an enhanced stakeholder mapping on the basis of this project, or, Cañada Colorada Territorial Land Use Planning, located at a limited portion of the polygon at the pilot site at Malargüe river basin, which has included the Land Use Planning and Environmental Council in its multi-sectoral and local composition implementation plan. In Jujuy there are several local multi-sectoral coordination experiences, such as the </w:t>
      </w:r>
      <w:r w:rsidRPr="003F7F6C">
        <w:rPr>
          <w:rFonts w:eastAsia="Calibri"/>
          <w:i/>
          <w:iCs/>
          <w:szCs w:val="20"/>
        </w:rPr>
        <w:t>Qhapac Ñam</w:t>
      </w:r>
      <w:r w:rsidRPr="003F7F6C">
        <w:rPr>
          <w:rFonts w:eastAsia="Calibri"/>
          <w:szCs w:val="20"/>
        </w:rPr>
        <w:t xml:space="preserve"> Management Unit, or the Local Committees in the </w:t>
      </w:r>
      <w:r w:rsidRPr="003F7F6C">
        <w:rPr>
          <w:rFonts w:eastAsia="Calibri"/>
          <w:i/>
          <w:iCs/>
          <w:szCs w:val="20"/>
        </w:rPr>
        <w:t>Quebrada de Humahuaca</w:t>
      </w:r>
      <w:r w:rsidRPr="003F7F6C">
        <w:rPr>
          <w:rFonts w:eastAsia="Calibri"/>
          <w:szCs w:val="20"/>
        </w:rPr>
        <w:t xml:space="preserve">, even though a specific coordination space will be generated for the province and the pilot sites. In Buenos Aires, there has been a previous experience, consisting of the Inter-sectoral Round Table for Land Use Planning of the Province of Buenos Aires, which was operational until June 2017, with a work history of more than one year and internal operational regulations, a multi-sectoral composition which could be used as previous experience, in spite of the fact that the type of framework which governs its operation entails certain complexity for reactivation. It is suggested that the regulatory framework set by Executive Order No.1496/08, which provides for the creation of a </w:t>
      </w:r>
      <w:r w:rsidRPr="003F7F6C">
        <w:rPr>
          <w:rFonts w:eastAsia="Calibri"/>
          <w:bCs/>
          <w:color w:val="000000"/>
          <w:szCs w:val="20"/>
        </w:rPr>
        <w:t>Commission for Urban and Territorial Land Use Planning of Buenos Aires</w:t>
      </w:r>
      <w:r w:rsidRPr="003F7F6C">
        <w:rPr>
          <w:rFonts w:eastAsia="Calibri"/>
          <w:b/>
          <w:szCs w:val="20"/>
        </w:rPr>
        <w:t xml:space="preserve"> </w:t>
      </w:r>
      <w:r w:rsidRPr="003F7F6C">
        <w:rPr>
          <w:rFonts w:eastAsia="Calibri"/>
          <w:szCs w:val="20"/>
        </w:rPr>
        <w:t>be considered</w:t>
      </w:r>
      <w:r w:rsidRPr="003F7F6C">
        <w:rPr>
          <w:rFonts w:eastAsia="Calibri"/>
          <w:b/>
          <w:szCs w:val="20"/>
        </w:rPr>
        <w:t>.</w:t>
      </w:r>
      <w:r w:rsidRPr="003F7F6C">
        <w:rPr>
          <w:rFonts w:eastAsia="Calibri"/>
          <w:bCs/>
          <w:color w:val="000000"/>
          <w:szCs w:val="20"/>
        </w:rPr>
        <w:t xml:space="preserve"> In view of the characteristics of the instrument, several mechanisms must be identified to extend its composition or outline multi-sectoral spaces to leverage its operation</w:t>
      </w:r>
      <w:r w:rsidRPr="003F7F6C">
        <w:rPr>
          <w:rFonts w:eastAsia="Calibri"/>
          <w:b/>
          <w:bCs/>
          <w:color w:val="000000"/>
          <w:szCs w:val="20"/>
        </w:rPr>
        <w:t>.</w:t>
      </w:r>
      <w:r w:rsidRPr="003F7F6C">
        <w:rPr>
          <w:rFonts w:eastAsia="Calibri"/>
          <w:b/>
          <w:bCs/>
          <w:szCs w:val="20"/>
        </w:rPr>
        <w:t xml:space="preserve"> </w:t>
      </w:r>
      <w:r w:rsidRPr="003F7F6C">
        <w:rPr>
          <w:rFonts w:eastAsia="Calibri"/>
          <w:bCs/>
          <w:szCs w:val="20"/>
        </w:rPr>
        <w:t xml:space="preserve">There has been another experience in Buenos Aires referred to as the Territorial Land Use Planning Process of the Municipality of Balcarce, which was the first territorial land use planning experience in the province, which may be useful to identify and exchange lessons learnt. </w:t>
      </w:r>
      <w:r w:rsidRPr="003F7F6C">
        <w:rPr>
          <w:rFonts w:eastAsia="Calibri"/>
          <w:szCs w:val="20"/>
        </w:rPr>
        <w:t>Dialogue experiences in environmental territorial planning, land use planning, and other experiences which may be useful to identify lessons learned, key stakeholders, and relevant information will also be considered.</w:t>
      </w:r>
    </w:p>
    <w:p w14:paraId="3F395E8B" w14:textId="77777777" w:rsidR="00D46B62" w:rsidRPr="003F7F6C" w:rsidRDefault="00D46B62" w:rsidP="00D46B62">
      <w:pPr>
        <w:spacing w:after="160" w:line="259" w:lineRule="auto"/>
        <w:rPr>
          <w:rFonts w:eastAsia="Calibri" w:cs="Calibri"/>
          <w:szCs w:val="20"/>
        </w:rPr>
      </w:pPr>
      <w:r w:rsidRPr="003F7F6C">
        <w:rPr>
          <w:rFonts w:eastAsia="Calibri"/>
          <w:szCs w:val="20"/>
        </w:rPr>
        <w:t>The activities carried out by the dialogue spaces may be different: ordinary activities include plenary dialogue sessions, based on clear work agendas. The dialogue spaces may also work on technical committees (officers’ committees, scholars committees, sectoral committees, or topic-based committees). All the sessions held must be facilitated by a third party able to implement a detailed agenda containing collaborative work methodologies which may make it possible for working teams to attain the goals set in general and in particular. Irrespective of the regular members who form the dialogue space, on the basis of the dialogue and expression needs of other stakeholders, the development of open activities or extended sessions with other social stakeholders in different formats may be considered (public audiences and exchange sessions with legislative branches of government, among others).</w:t>
      </w:r>
    </w:p>
    <w:p w14:paraId="16ECE259" w14:textId="77777777" w:rsidR="00D46B62" w:rsidRPr="003F7F6C" w:rsidRDefault="00D46B62" w:rsidP="00D46B62">
      <w:pPr>
        <w:spacing w:after="160" w:line="259" w:lineRule="auto"/>
        <w:rPr>
          <w:rFonts w:eastAsia="Times New Roman" w:cs="Calibri"/>
          <w:color w:val="000000"/>
          <w:szCs w:val="20"/>
        </w:rPr>
      </w:pPr>
      <w:r w:rsidRPr="003F7F6C">
        <w:rPr>
          <w:rFonts w:eastAsia="Calibri"/>
          <w:color w:val="000000"/>
          <w:szCs w:val="20"/>
        </w:rPr>
        <w:t>These multi-sectoral participation spaces at the provincial level, and the level of the pilot sites will include the participation of Indigenous Peoples’ representatives. Nevertheless, the necessary consultation processes, whenever they are related to project activities on Indigenous Peoples’ territories must be implemented according to guidelines on Indigenous Peoples below.</w:t>
      </w:r>
      <w:bookmarkStart w:id="60" w:name="_Toc523149348"/>
    </w:p>
    <w:p w14:paraId="18B440BC" w14:textId="77777777" w:rsidR="00D46B62" w:rsidRPr="003F7F6C" w:rsidRDefault="00D46B62" w:rsidP="00D46B62">
      <w:pPr>
        <w:spacing w:after="160" w:line="259" w:lineRule="auto"/>
        <w:rPr>
          <w:rFonts w:eastAsia="Calibri" w:cs="Calibri"/>
          <w:b/>
          <w:szCs w:val="20"/>
        </w:rPr>
      </w:pPr>
      <w:r w:rsidRPr="003F7F6C">
        <w:rPr>
          <w:rFonts w:eastAsia="Times New Roman"/>
          <w:b/>
          <w:color w:val="2F5496"/>
          <w:szCs w:val="20"/>
        </w:rPr>
        <w:t>Sustainable Commodities Platform</w:t>
      </w:r>
      <w:bookmarkEnd w:id="60"/>
      <w:r w:rsidRPr="003F7F6C">
        <w:rPr>
          <w:rFonts w:eastAsia="Times New Roman"/>
          <w:b/>
          <w:color w:val="2F5496"/>
          <w:szCs w:val="20"/>
        </w:rPr>
        <w:t xml:space="preserve"> (beef)</w:t>
      </w:r>
      <w:r w:rsidRPr="003F7F6C">
        <w:rPr>
          <w:rFonts w:eastAsia="Calibri"/>
          <w:b/>
          <w:szCs w:val="20"/>
        </w:rPr>
        <w:t xml:space="preserve"> (Output 2.2)</w:t>
      </w:r>
    </w:p>
    <w:p w14:paraId="56241BF3" w14:textId="77777777" w:rsidR="00D46B62" w:rsidRPr="003F7F6C" w:rsidRDefault="00D46B62" w:rsidP="00D46B62">
      <w:pPr>
        <w:spacing w:after="160" w:line="259" w:lineRule="auto"/>
        <w:rPr>
          <w:rFonts w:eastAsia="Calibri" w:cs="Calibri"/>
          <w:szCs w:val="20"/>
        </w:rPr>
      </w:pPr>
      <w:r w:rsidRPr="003F7F6C">
        <w:rPr>
          <w:rFonts w:eastAsia="Calibri"/>
          <w:szCs w:val="20"/>
        </w:rPr>
        <w:t>The project will foster the creation of a sectoral platform at the provincial level, to call and coordinate the private and public sector actors in order to promote the sustainable production of beef; define prospective policies and approaches to comply with the ELUP in priority areas; and reach an agreement on possible instruments and minimum standards. The sectoral platform will support the promotion of sustainable beef through a differentiated approach to producing in environmentally vulnerable areas. The platform will rely on the UNDP’s experience in developing commodity platforms, by providing guidelines and lessons learned to foster dialogue among multiple interested parties and to provide the experience and the analysis required to expand the action to other areas of the country. Coordination will be based on similar approaches of the supply chain for products backed by GEF</w:t>
      </w:r>
      <w:r w:rsidRPr="003F7F6C">
        <w:rPr>
          <w:rFonts w:eastAsia="Calibri"/>
          <w:color w:val="ED7D31"/>
          <w:szCs w:val="20"/>
        </w:rPr>
        <w:t xml:space="preserve"> </w:t>
      </w:r>
      <w:r w:rsidRPr="003F7F6C">
        <w:rPr>
          <w:rFonts w:eastAsia="Calibri"/>
          <w:szCs w:val="20"/>
        </w:rPr>
        <w:t>funds in other countries of the region, such as Brazil, Paraguay, Peru, and Ecuador. In particular, this platform will generate a a solid dialogue space, sustained in time so that the sector may analyze, debate, and build consensus on alternatives, to develop joint actions to mitigate any negative impact of the reforms to be introduced and identify ways of maximizing production. The platform will prepare an Action Plan for Sustainable Beef Production.</w:t>
      </w:r>
      <w:r w:rsidRPr="003F7F6C">
        <w:rPr>
          <w:rFonts w:eastAsia="Calibri" w:cs="Calibri"/>
          <w:szCs w:val="20"/>
        </w:rPr>
        <w:t xml:space="preserve">  </w:t>
      </w:r>
    </w:p>
    <w:p w14:paraId="7FA7DB8B" w14:textId="55D6F643" w:rsidR="00951D11" w:rsidRPr="003F7F6C" w:rsidRDefault="00951D11" w:rsidP="00D46B62">
      <w:pPr>
        <w:keepNext/>
        <w:keepLines/>
        <w:spacing w:before="40" w:after="0" w:line="259" w:lineRule="auto"/>
        <w:outlineLvl w:val="4"/>
        <w:rPr>
          <w:rFonts w:eastAsia="Times New Roman"/>
          <w:b/>
          <w:color w:val="2F5496"/>
          <w:szCs w:val="20"/>
        </w:rPr>
      </w:pPr>
      <w:bookmarkStart w:id="61" w:name="_Toc523149349"/>
      <w:r w:rsidRPr="003F7F6C">
        <w:rPr>
          <w:rFonts w:eastAsia="Calibri"/>
          <w:b/>
          <w:szCs w:val="20"/>
        </w:rPr>
        <w:t xml:space="preserve">System for Prevention and Management of Consultations and Conflicts </w:t>
      </w:r>
      <w:r w:rsidRPr="003F7F6C">
        <w:rPr>
          <w:rFonts w:eastAsia="Times New Roman"/>
          <w:b/>
          <w:color w:val="2F5496"/>
          <w:szCs w:val="20"/>
        </w:rPr>
        <w:t>(SPCC)</w:t>
      </w:r>
      <w:bookmarkEnd w:id="61"/>
    </w:p>
    <w:p w14:paraId="3E5994E9" w14:textId="65023BEA" w:rsidR="00D46B62" w:rsidRPr="003F7F6C" w:rsidRDefault="00D46B62" w:rsidP="00D46B62">
      <w:pPr>
        <w:spacing w:after="160" w:line="259" w:lineRule="auto"/>
        <w:rPr>
          <w:rFonts w:eastAsia="Calibri" w:cs="Calibri"/>
          <w:szCs w:val="20"/>
        </w:rPr>
      </w:pPr>
      <w:r w:rsidRPr="003F7F6C">
        <w:rPr>
          <w:rFonts w:eastAsia="Calibri" w:cs="Calibri"/>
          <w:szCs w:val="20"/>
        </w:rPr>
        <w:t xml:space="preserve">A </w:t>
      </w:r>
      <w:r w:rsidR="00951D11" w:rsidRPr="003F7F6C">
        <w:rPr>
          <w:rFonts w:eastAsia="Calibri"/>
          <w:b/>
          <w:szCs w:val="20"/>
        </w:rPr>
        <w:t xml:space="preserve">System for Prevention and Management of Consultations and Conflicts </w:t>
      </w:r>
      <w:r w:rsidRPr="003F7F6C">
        <w:rPr>
          <w:rFonts w:eastAsia="Calibri" w:cs="Calibri"/>
          <w:szCs w:val="20"/>
          <w:vertAlign w:val="superscript"/>
          <w:lang w:val="es-US"/>
        </w:rPr>
        <w:footnoteReference w:id="95"/>
      </w:r>
      <w:r w:rsidRPr="003F7F6C">
        <w:rPr>
          <w:rFonts w:eastAsia="Calibri" w:cs="Calibri"/>
          <w:szCs w:val="20"/>
        </w:rPr>
        <w:t xml:space="preserve"> will be developed as an early warning system </w:t>
      </w:r>
      <w:r w:rsidRPr="003F7F6C">
        <w:rPr>
          <w:rFonts w:eastAsia="Calibri"/>
          <w:szCs w:val="20"/>
        </w:rPr>
        <w:t xml:space="preserve">to address discrepancies, consultations or conflicts in connection with project activities. The system will address: 1) inquiries, doubts and/or suggestions regarding project implementation; and 2) a grievance redress mechanism for prevention and management of grievances, problems or conflicts. </w:t>
      </w:r>
    </w:p>
    <w:p w14:paraId="0DB29021" w14:textId="77777777" w:rsidR="00D46B62" w:rsidRPr="003F7F6C" w:rsidRDefault="00D46B62" w:rsidP="00D46B62">
      <w:pPr>
        <w:spacing w:after="160" w:line="259" w:lineRule="auto"/>
        <w:jc w:val="left"/>
        <w:rPr>
          <w:rFonts w:eastAsia="Calibri"/>
          <w:b/>
          <w:szCs w:val="20"/>
          <w:lang w:eastAsia="es-CL"/>
        </w:rPr>
      </w:pPr>
    </w:p>
    <w:p w14:paraId="3E807053" w14:textId="6599AFC8" w:rsidR="00D46B62" w:rsidRPr="003F7F6C" w:rsidRDefault="00D46B62" w:rsidP="00D46B62">
      <w:pPr>
        <w:spacing w:after="160" w:line="259" w:lineRule="auto"/>
        <w:jc w:val="left"/>
        <w:rPr>
          <w:rFonts w:eastAsia="Calibri"/>
          <w:b/>
          <w:szCs w:val="20"/>
          <w:lang w:eastAsia="es-CL"/>
        </w:rPr>
      </w:pPr>
    </w:p>
    <w:p w14:paraId="53F97CCC" w14:textId="56D278A3" w:rsidR="00CE41E0" w:rsidRPr="003F7F6C" w:rsidRDefault="00CE41E0" w:rsidP="00D46B62">
      <w:pPr>
        <w:spacing w:after="160" w:line="259" w:lineRule="auto"/>
        <w:jc w:val="left"/>
        <w:rPr>
          <w:rFonts w:eastAsia="Calibri"/>
          <w:b/>
          <w:szCs w:val="20"/>
          <w:lang w:eastAsia="es-CL"/>
        </w:rPr>
      </w:pPr>
    </w:p>
    <w:p w14:paraId="1CB4D1CD" w14:textId="77777777" w:rsidR="00CE41E0" w:rsidRPr="003F7F6C" w:rsidRDefault="00CE41E0" w:rsidP="00D46B62">
      <w:pPr>
        <w:spacing w:after="160" w:line="259" w:lineRule="auto"/>
        <w:jc w:val="left"/>
        <w:rPr>
          <w:rFonts w:eastAsia="Calibri"/>
          <w:b/>
          <w:szCs w:val="20"/>
          <w:lang w:eastAsia="es-CL"/>
        </w:rPr>
      </w:pPr>
    </w:p>
    <w:p w14:paraId="6061E7B5" w14:textId="77777777" w:rsidR="00D46B62" w:rsidRPr="003F7F6C" w:rsidRDefault="00D46B62" w:rsidP="00D46B62">
      <w:pPr>
        <w:spacing w:after="120" w:line="259" w:lineRule="auto"/>
        <w:jc w:val="center"/>
        <w:rPr>
          <w:rFonts w:eastAsia="Calibri"/>
          <w:b/>
          <w:szCs w:val="20"/>
          <w:lang w:eastAsia="es-CL"/>
        </w:rPr>
      </w:pPr>
      <w:r w:rsidRPr="003F7F6C">
        <w:rPr>
          <w:rFonts w:eastAsia="Calibri"/>
          <w:b/>
          <w:szCs w:val="20"/>
          <w:lang w:eastAsia="es-CL"/>
        </w:rPr>
        <w:t>INDIGENOUS PEOPLES PLAN</w:t>
      </w:r>
    </w:p>
    <w:p w14:paraId="2702F681" w14:textId="77777777" w:rsidR="00D46B62" w:rsidRPr="003F7F6C" w:rsidRDefault="00D46B62" w:rsidP="00D46B62">
      <w:pPr>
        <w:spacing w:after="120" w:line="259" w:lineRule="auto"/>
        <w:jc w:val="left"/>
        <w:rPr>
          <w:rFonts w:eastAsia="Calibri"/>
          <w:b/>
          <w:szCs w:val="20"/>
          <w:lang w:eastAsia="es-CL"/>
        </w:rPr>
      </w:pPr>
    </w:p>
    <w:p w14:paraId="37B76DFC" w14:textId="77777777" w:rsidR="00D46B62" w:rsidRPr="003F7F6C" w:rsidRDefault="00D46B62" w:rsidP="00D46B62">
      <w:pPr>
        <w:spacing w:after="120" w:line="259" w:lineRule="auto"/>
        <w:jc w:val="left"/>
        <w:rPr>
          <w:rFonts w:eastAsia="Calibri"/>
          <w:b/>
          <w:szCs w:val="20"/>
          <w:lang w:eastAsia="es-CL"/>
        </w:rPr>
      </w:pPr>
      <w:r w:rsidRPr="003F7F6C">
        <w:rPr>
          <w:rFonts w:eastAsia="Calibri"/>
          <w:b/>
          <w:szCs w:val="20"/>
          <w:lang w:eastAsia="es-CL"/>
        </w:rPr>
        <w:t>LEGAL FRAMEWORK FOR INDIGENOUS PEOPLES</w:t>
      </w:r>
    </w:p>
    <w:p w14:paraId="13031C17" w14:textId="77777777" w:rsidR="00D46B62" w:rsidRPr="003F7F6C" w:rsidRDefault="00D46B62" w:rsidP="00D46B62">
      <w:pPr>
        <w:spacing w:after="120" w:line="259" w:lineRule="auto"/>
        <w:ind w:left="10"/>
        <w:rPr>
          <w:rFonts w:eastAsia="Calibri" w:cs="Calibri"/>
          <w:color w:val="000000"/>
          <w:szCs w:val="20"/>
          <w:lang w:eastAsia="es-CL"/>
        </w:rPr>
      </w:pPr>
      <w:r w:rsidRPr="003F7F6C">
        <w:rPr>
          <w:rFonts w:eastAsia="Calibri" w:cs="Calibri"/>
          <w:color w:val="000000"/>
          <w:szCs w:val="20"/>
          <w:lang w:eastAsia="es-CL"/>
        </w:rPr>
        <w:t>In order to address the engagement and participation of Indigenous Peoples, the following international and domestic laws and regulations shall be taken into account.</w:t>
      </w:r>
    </w:p>
    <w:p w14:paraId="79595307" w14:textId="77777777" w:rsidR="00D46B62" w:rsidRPr="003F7F6C" w:rsidRDefault="00D46B62" w:rsidP="00D46B62">
      <w:pPr>
        <w:spacing w:after="120" w:line="259" w:lineRule="auto"/>
        <w:ind w:left="10"/>
        <w:rPr>
          <w:rFonts w:eastAsia="Calibri" w:cs="Calibri"/>
          <w:color w:val="000000"/>
          <w:szCs w:val="20"/>
          <w:lang w:eastAsia="es-CL"/>
        </w:rPr>
      </w:pPr>
      <w:r w:rsidRPr="003F7F6C">
        <w:rPr>
          <w:rFonts w:eastAsia="Calibri" w:cs="Calibri"/>
          <w:color w:val="000000"/>
          <w:szCs w:val="20"/>
          <w:lang w:eastAsia="es-CL"/>
        </w:rPr>
        <w:t>The federal legal framework under which the Argentine state protects the human rights of indigenous peoples is made up of the following elements, in  hierarchical order: Argentine Constitution Article 75(17) and related provisions; international human rights declarations and treaties with a constitutional status, particularly international economic, social and cultural rights treaties and civil and political rights treaties, the American Convention on Human Rights and the International Convention on the Elimination of all Forms of Racial Discrimination (Argentine Constitution Article 75(22)); other duly ratified international covenants, ranking below the Constitution but above domestic law (Argentine Constitution Article 75 (22)); particularly the International Labour Organization Convention No. 169 concerning Indigenous and Tribal Peoples in Independent Countries (Argentine Law No. 24,071); specific domestic laws, particularly Law No. 23,302 providing for support to aboriginal communities (1985)</w:t>
      </w:r>
      <w:r w:rsidRPr="003F7F6C">
        <w:rPr>
          <w:rFonts w:eastAsia="Calibri" w:cs="Calibri"/>
          <w:color w:val="000000"/>
          <w:szCs w:val="20"/>
          <w:vertAlign w:val="superscript"/>
          <w:lang w:eastAsia="es-CL"/>
        </w:rPr>
        <w:footnoteReference w:id="96"/>
      </w:r>
      <w:r w:rsidRPr="003F7F6C">
        <w:rPr>
          <w:rFonts w:eastAsia="Calibri" w:cs="Calibri"/>
          <w:color w:val="000000"/>
          <w:szCs w:val="20"/>
          <w:lang w:eastAsia="es-CL"/>
        </w:rPr>
        <w:t>. Under Law No. 26.160/06, extended until 2021, the National Indigenous Peoples Institute (INAI) was instructed to carry out a Technical, Legal and Land Survey of the ownership status of the lands occupied by indigenous communities, and to adopt such measures as are necessary with the Indigenous Engagement Council (</w:t>
      </w:r>
      <w:r w:rsidRPr="003F7F6C">
        <w:rPr>
          <w:rFonts w:eastAsia="Calibri" w:cs="Calibri"/>
          <w:i/>
          <w:color w:val="000000"/>
          <w:szCs w:val="20"/>
          <w:lang w:eastAsia="es-CL"/>
        </w:rPr>
        <w:t>CPI</w:t>
      </w:r>
      <w:r w:rsidRPr="003F7F6C">
        <w:rPr>
          <w:rFonts w:eastAsia="Calibri" w:cs="Calibri"/>
          <w:color w:val="000000"/>
          <w:szCs w:val="20"/>
          <w:lang w:eastAsia="es-CL"/>
        </w:rPr>
        <w:t>); provincial aboriginal institutes; national universities; national, provincial and local bodies; indigenous organizations and non-governmental organizations</w:t>
      </w:r>
      <w:r w:rsidRPr="003F7F6C">
        <w:rPr>
          <w:rFonts w:eastAsia="Calibri" w:cs="Calibri"/>
          <w:color w:val="000000"/>
          <w:szCs w:val="20"/>
          <w:vertAlign w:val="superscript"/>
          <w:lang w:eastAsia="es-CL"/>
        </w:rPr>
        <w:footnoteReference w:id="97"/>
      </w:r>
      <w:r w:rsidRPr="003F7F6C">
        <w:rPr>
          <w:rFonts w:eastAsia="Calibri" w:cs="Calibri"/>
          <w:color w:val="000000"/>
          <w:szCs w:val="20"/>
          <w:lang w:eastAsia="es-CL"/>
        </w:rPr>
        <w:t>. Provinces too may enact legislation as provided for in the final clause of the Argentine Constitution Article 75 (17). This has been interpreted to mean that the provinces may contribute to legally developing the law of the indigenous peoples and communities, provided that the minimum set of rights enshrined by federal legislation are recognized.</w:t>
      </w:r>
    </w:p>
    <w:p w14:paraId="72D327FB" w14:textId="77777777" w:rsidR="00D46B62" w:rsidRPr="003F7F6C" w:rsidRDefault="00D46B62" w:rsidP="00D46B62">
      <w:pPr>
        <w:spacing w:after="160" w:line="259" w:lineRule="auto"/>
        <w:ind w:left="10"/>
        <w:rPr>
          <w:rFonts w:eastAsia="Calibri" w:cs="Calibri"/>
          <w:szCs w:val="20"/>
        </w:rPr>
      </w:pPr>
      <w:r w:rsidRPr="003F7F6C">
        <w:rPr>
          <w:rFonts w:eastAsia="Calibri" w:cs="Calibri"/>
          <w:szCs w:val="20"/>
        </w:rPr>
        <w:t>It should be noted that International Labour Organization Convention No. 169, in a chapter dealing with participation, imposes upon States a duty to consult with the peoples concerned, through appropriate procedures and in particular through their representative institutions, whenever consideration is being given to legislative or administrative measures which may affect them directly. For that purpose, mechanisms should be put in place so that indigenous peoples may participate to the same extent as other sectors of the population (Article 6 (a) and (b)). Additionally, Article 7 provides that indigenous peoples have a right to “decide their own priorities for the process of development as it affects their lives, institutions and spiritual wellbeing and the lands they occupy or otherwise use, and to exercise control over their own economic, social and cultural development.” In addition, the United Nations Universal Declaration on the Rights of Indigenous Peoples</w:t>
      </w:r>
      <w:r w:rsidRPr="003F7F6C">
        <w:rPr>
          <w:rFonts w:eastAsia="Calibri" w:cs="Calibri"/>
          <w:szCs w:val="20"/>
          <w:vertAlign w:val="superscript"/>
        </w:rPr>
        <w:footnoteReference w:id="98"/>
      </w:r>
      <w:r w:rsidRPr="003F7F6C">
        <w:rPr>
          <w:rFonts w:eastAsia="Calibri" w:cs="Calibri"/>
          <w:szCs w:val="20"/>
        </w:rPr>
        <w:t xml:space="preserve"> mentions Free, Prior and Informed Consent (FPIC) and constitutes an integral part of the human rights-based approach. Participation implies going beyond mere consultation and must lead to the concrete appropriation of projects by the indigenous peoples. The declaration specifically requires the specialized bodies and entities of the United Nations system (including the UNDP) to promote respect for, and full application of, the rights enshrined therein.</w:t>
      </w:r>
    </w:p>
    <w:p w14:paraId="29B1AC84" w14:textId="77777777" w:rsidR="00D46B62" w:rsidRPr="003F7F6C" w:rsidRDefault="00D46B62" w:rsidP="00D46B62">
      <w:pPr>
        <w:spacing w:before="120" w:after="0"/>
        <w:rPr>
          <w:rFonts w:eastAsia="Calibri" w:cs="Calibri"/>
          <w:szCs w:val="20"/>
        </w:rPr>
      </w:pPr>
      <w:bookmarkStart w:id="62" w:name="_ftnref2"/>
      <w:bookmarkStart w:id="63" w:name="_ftnref3"/>
      <w:bookmarkStart w:id="64" w:name="_ftnref4"/>
      <w:bookmarkEnd w:id="62"/>
      <w:bookmarkEnd w:id="63"/>
      <w:bookmarkEnd w:id="64"/>
      <w:r w:rsidRPr="003F7F6C">
        <w:rPr>
          <w:rFonts w:eastAsia="Calibri" w:cs="Calibri"/>
          <w:szCs w:val="20"/>
        </w:rPr>
        <w:t>The effective implementation of the indigenous peoples’ right to consultation is relevant for a variety of reasons ranging from a strict respect for the rights established by domestic and international legislation to the construction of a community that respects diversity living in harmony with its environment. Thus, some of the main contributions of the respect of the indigenous peoples’ right to be consulted are the fact that it dignifies indigenous peoples; strengthens our democratic system and contributes to enforcing rights; helps build an inclusive, diversity-friendly citizenry; helps prevent and transform conflicts; and contributes to sustainable development.</w:t>
      </w:r>
    </w:p>
    <w:p w14:paraId="2033FFD3" w14:textId="77777777" w:rsidR="00D46B62" w:rsidRPr="003F7F6C" w:rsidRDefault="00D46B62" w:rsidP="00D46B62">
      <w:pPr>
        <w:spacing w:before="120" w:after="0"/>
        <w:rPr>
          <w:rFonts w:eastAsia="Calibri" w:cs="Calibri"/>
          <w:szCs w:val="20"/>
        </w:rPr>
      </w:pPr>
    </w:p>
    <w:p w14:paraId="05E9FA27" w14:textId="77777777" w:rsidR="00D46B62" w:rsidRPr="003F7F6C" w:rsidRDefault="00D46B62" w:rsidP="006F07A7">
      <w:pPr>
        <w:spacing w:after="120" w:line="259" w:lineRule="auto"/>
        <w:jc w:val="left"/>
        <w:rPr>
          <w:rFonts w:eastAsia="Calibri"/>
          <w:b/>
          <w:szCs w:val="20"/>
          <w:lang w:eastAsia="es-CL"/>
        </w:rPr>
      </w:pPr>
      <w:bookmarkStart w:id="65" w:name="_Toc523149333"/>
      <w:r w:rsidRPr="003F7F6C">
        <w:rPr>
          <w:rFonts w:eastAsia="Calibri"/>
          <w:b/>
          <w:szCs w:val="20"/>
          <w:lang w:eastAsia="es-CL"/>
        </w:rPr>
        <w:t>SOCIAL ASSESSMENT WITH INDIGENOUS PEOPLES AND PROJECT ENGAGEMENT PLAN</w:t>
      </w:r>
    </w:p>
    <w:bookmarkEnd w:id="65"/>
    <w:p w14:paraId="7C2E5BFE" w14:textId="77777777" w:rsidR="00D46B62" w:rsidRPr="003F7F6C" w:rsidRDefault="00D46B62" w:rsidP="00D46B62">
      <w:pPr>
        <w:keepNext/>
        <w:keepLines/>
        <w:spacing w:before="120" w:after="0"/>
        <w:outlineLvl w:val="2"/>
        <w:rPr>
          <w:rFonts w:eastAsia="Times New Roman"/>
          <w:b/>
          <w:smallCaps/>
          <w:szCs w:val="20"/>
          <w:lang w:eastAsia="es-US"/>
        </w:rPr>
      </w:pPr>
    </w:p>
    <w:p w14:paraId="198C1776" w14:textId="77777777" w:rsidR="00D46B62" w:rsidRPr="003F7F6C" w:rsidRDefault="00D46B62" w:rsidP="00D46B62">
      <w:pPr>
        <w:spacing w:after="160" w:line="259" w:lineRule="auto"/>
        <w:rPr>
          <w:rFonts w:eastAsia="Calibri"/>
          <w:szCs w:val="20"/>
          <w:lang w:eastAsia="es-US"/>
        </w:rPr>
      </w:pPr>
      <w:r w:rsidRPr="003F7F6C">
        <w:rPr>
          <w:rFonts w:eastAsia="Calibri"/>
          <w:szCs w:val="20"/>
          <w:lang w:eastAsia="es-US"/>
        </w:rPr>
        <w:t xml:space="preserve">Consultations were carried out in Mendoza with authorities representing the communities and the organization of communities in Mapuche communities of Mendoza living in the Malargüe district. In Jujuy, work was carried out together with the Secretariat of Indigenous Peoples. Since 2016, Jujuy has a </w:t>
      </w:r>
      <w:r w:rsidRPr="003F7F6C">
        <w:rPr>
          <w:rFonts w:eastAsia="Calibri" w:cs="Calibri"/>
          <w:szCs w:val="20"/>
        </w:rPr>
        <w:t>Secretariat of Indigenous Peoples</w:t>
      </w:r>
      <w:r w:rsidRPr="003F7F6C">
        <w:rPr>
          <w:rFonts w:eastAsia="Calibri"/>
          <w:szCs w:val="20"/>
          <w:lang w:eastAsia="es-US"/>
        </w:rPr>
        <w:t xml:space="preserve">, which is responsible for promoting and protecting the rights of the Indigenous Peoples, particularly guaranteeing the right to consultation. The </w:t>
      </w:r>
      <w:r w:rsidRPr="003F7F6C">
        <w:rPr>
          <w:rFonts w:eastAsia="Calibri" w:cs="Calibri"/>
          <w:szCs w:val="20"/>
        </w:rPr>
        <w:t>Secretariat of Indigenous Peoples</w:t>
      </w:r>
      <w:r w:rsidRPr="003F7F6C">
        <w:rPr>
          <w:rFonts w:eastAsia="Calibri"/>
          <w:szCs w:val="20"/>
          <w:lang w:eastAsia="es-US"/>
        </w:rPr>
        <w:t xml:space="preserve"> has come to act as a liaison body between public policies and governmental bodies on the one hand, and the indigenous peoples’ own existing processes, on the other; and has opened dialogue between those bodies and the indigenous peoples. Therefore, for PPG-related activities, requests for information, the identification of communities and the identification of appropriate measures for this and future project implementation stages have been carried out in consultation with the provincial project leaders and the </w:t>
      </w:r>
      <w:r w:rsidRPr="003F7F6C">
        <w:rPr>
          <w:rFonts w:eastAsia="Calibri" w:cs="Calibri"/>
          <w:szCs w:val="20"/>
        </w:rPr>
        <w:t>Secretariat of Indigenous Peoples</w:t>
      </w:r>
      <w:r w:rsidRPr="003F7F6C">
        <w:rPr>
          <w:rFonts w:eastAsia="Calibri"/>
          <w:szCs w:val="20"/>
          <w:lang w:eastAsia="es-US"/>
        </w:rPr>
        <w:t xml:space="preserve">. </w:t>
      </w:r>
    </w:p>
    <w:p w14:paraId="2E6CCAD5" w14:textId="77777777" w:rsidR="00D46B62" w:rsidRPr="003F7F6C" w:rsidRDefault="00D46B62" w:rsidP="00D46B62">
      <w:pPr>
        <w:spacing w:before="120" w:after="120"/>
        <w:rPr>
          <w:rFonts w:eastAsia="Calibri"/>
          <w:szCs w:val="20"/>
          <w:lang w:eastAsia="es-US"/>
        </w:rPr>
      </w:pPr>
      <w:r w:rsidRPr="003F7F6C">
        <w:rPr>
          <w:rFonts w:eastAsia="Calibri"/>
          <w:szCs w:val="20"/>
          <w:lang w:eastAsia="es-US"/>
        </w:rPr>
        <w:t>In all cases, a brief introduction about the framework of the project was provided, as well as the legal framework and the standards governing the project, including the rationale behind the Land Use Planning instrument which constitutes the core of the project. As already explained, the Land Use Planning —and the project itself— contain a participative and collaborative logic. Afterwards, and as information became available, the project was discussed in greater detail, emphasizing the various mechanisms for participation —at the national, provincial and pilot site level— and the specific consultation and participation stages that could be developed jointly with indigenous peoples.</w:t>
      </w:r>
    </w:p>
    <w:p w14:paraId="1EAE135D" w14:textId="77777777" w:rsidR="00D46B62" w:rsidRPr="003F7F6C" w:rsidRDefault="00D46B62" w:rsidP="00D46B62">
      <w:pPr>
        <w:spacing w:before="120" w:after="120"/>
        <w:rPr>
          <w:rFonts w:eastAsia="Calibri"/>
          <w:szCs w:val="20"/>
        </w:rPr>
      </w:pPr>
      <w:r w:rsidRPr="003F7F6C">
        <w:rPr>
          <w:rFonts w:eastAsia="Calibri"/>
          <w:szCs w:val="20"/>
        </w:rPr>
        <w:t>In Mendoza, consultations were held with the “Werken” or spokesman, on behalf of the communities and the organization of the Mapuche communities of Mendoza in the Malargüe target landscape. In Jujuy, the PPG team worked with provincial authorities and the Secretariat of Indigenous Peoples, which is responsible for the promotion and protection of the rights of Indigenous Peoples in the province, and in particular to guarantee the right to Prior Consultation and FPIC. In both cases oral and general agreements with the project were obtained as well as their agreement to jointly develop during project implementation specific consultations before elaborating specific ELUP related interventions in the target landscapes.</w:t>
      </w:r>
    </w:p>
    <w:p w14:paraId="1729A34A" w14:textId="77777777" w:rsidR="00D46B62" w:rsidRPr="003F7F6C" w:rsidRDefault="00D46B62" w:rsidP="00D46B62">
      <w:pPr>
        <w:spacing w:after="160" w:line="259" w:lineRule="auto"/>
        <w:rPr>
          <w:rFonts w:eastAsia="Calibri"/>
          <w:szCs w:val="20"/>
          <w:lang w:eastAsia="es-US"/>
        </w:rPr>
      </w:pPr>
      <w:r w:rsidRPr="003F7F6C">
        <w:rPr>
          <w:rFonts w:eastAsia="Calibri"/>
          <w:szCs w:val="20"/>
          <w:lang w:eastAsia="es-US"/>
        </w:rPr>
        <w:t>Owing to the specific features of the project which require sustained negotiation, coordination and consultation processes as key elements of ELUP, during the initial year of the project, prior to designing specific plans to make the Environmental Land Use Planning operational, the appropriate consultation processes for each indigenous community involved in the specific activities will be designed for each pilot site. This is without prejudice to the information discussed below, which will form the basis for the coordination.</w:t>
      </w:r>
    </w:p>
    <w:p w14:paraId="336A12D1" w14:textId="77777777" w:rsidR="00D46B62" w:rsidRPr="003F7F6C" w:rsidRDefault="00D46B62" w:rsidP="00D46B62">
      <w:pPr>
        <w:spacing w:before="120" w:after="120"/>
        <w:rPr>
          <w:rFonts w:eastAsia="Times New Roman" w:cs="Calibri"/>
          <w:color w:val="000000"/>
          <w:szCs w:val="20"/>
          <w:lang w:eastAsia="es-US"/>
        </w:rPr>
      </w:pPr>
      <w:bookmarkStart w:id="66" w:name="_ftnref12"/>
      <w:bookmarkEnd w:id="66"/>
    </w:p>
    <w:p w14:paraId="0760B9F7" w14:textId="77777777" w:rsidR="00D46B62" w:rsidRPr="003F7F6C" w:rsidRDefault="00D46B62" w:rsidP="00D46B62">
      <w:pPr>
        <w:spacing w:after="160" w:line="259" w:lineRule="auto"/>
        <w:jc w:val="left"/>
        <w:rPr>
          <w:rFonts w:eastAsia="Times New Roman"/>
          <w:b/>
          <w:szCs w:val="20"/>
        </w:rPr>
      </w:pPr>
      <w:bookmarkStart w:id="67" w:name="_Toc523149334"/>
      <w:r w:rsidRPr="003F7F6C">
        <w:rPr>
          <w:rFonts w:eastAsia="Calibri"/>
          <w:b/>
          <w:szCs w:val="20"/>
        </w:rPr>
        <w:t xml:space="preserve">ENGAGEMENT, CONSULTATION AND FPIC PROCESSES IN THE TERRITORY </w:t>
      </w:r>
      <w:bookmarkEnd w:id="67"/>
    </w:p>
    <w:p w14:paraId="24CAEAA2" w14:textId="77777777" w:rsidR="00D46B62" w:rsidRPr="003F7F6C" w:rsidRDefault="00D46B62" w:rsidP="00D46B62">
      <w:pPr>
        <w:spacing w:after="160" w:line="259" w:lineRule="auto"/>
        <w:rPr>
          <w:rFonts w:eastAsia="Calibri" w:cs="Calibri"/>
          <w:color w:val="222222"/>
          <w:szCs w:val="20"/>
          <w:shd w:val="clear" w:color="auto" w:fill="FFFFFF"/>
        </w:rPr>
      </w:pPr>
      <w:r w:rsidRPr="003F7F6C">
        <w:rPr>
          <w:rFonts w:eastAsia="Calibri"/>
          <w:b/>
          <w:iCs/>
          <w:color w:val="000000"/>
          <w:szCs w:val="20"/>
        </w:rPr>
        <w:t>Social and Political Organization of Indigenous Peoples in Mendoza</w:t>
      </w:r>
      <w:r w:rsidRPr="003F7F6C">
        <w:rPr>
          <w:rFonts w:eastAsia="Calibri"/>
          <w:color w:val="222222"/>
          <w:szCs w:val="20"/>
          <w:shd w:val="clear" w:color="auto" w:fill="FFFFFF"/>
        </w:rPr>
        <w:t xml:space="preserve">. In the Mapuche communities in Malargüe decisions are taken by an Assembly of Communities and the Council of Authorities of each Community. The ancestral political Authorities are the “Logko” (head - political authority), “Inan Logko” (Vice-president), “Werken” (messenger - spokesman) and “Kona” (warrior). The communities are grouped into political organizations or councils. In the case of Malargüe, they refer to Malalweche, i.e., the Territorial Organization of the Mapuche People. These communities and their political organization are ruled by a </w:t>
      </w:r>
      <w:r w:rsidRPr="003F7F6C">
        <w:rPr>
          <w:rFonts w:eastAsia="Calibri"/>
          <w:b/>
          <w:color w:val="222222"/>
          <w:szCs w:val="20"/>
          <w:shd w:val="clear" w:color="auto" w:fill="FFFFFF"/>
        </w:rPr>
        <w:t xml:space="preserve">prior consultation protocol developed by </w:t>
      </w:r>
      <w:r w:rsidRPr="003F7F6C">
        <w:rPr>
          <w:rFonts w:eastAsia="Calibri"/>
          <w:b/>
          <w:i/>
          <w:color w:val="222222"/>
          <w:szCs w:val="20"/>
          <w:shd w:val="clear" w:color="auto" w:fill="FFFFFF"/>
        </w:rPr>
        <w:t>Encuentro Nacional de Organizaciones Territoriales de Pueblos Originarios</w:t>
      </w:r>
      <w:r w:rsidRPr="003F7F6C">
        <w:rPr>
          <w:rFonts w:eastAsia="Calibri"/>
          <w:b/>
          <w:color w:val="222222"/>
          <w:szCs w:val="20"/>
          <w:shd w:val="clear" w:color="auto" w:fill="FFFFFF"/>
        </w:rPr>
        <w:t xml:space="preserve"> (ENOTPO, in Spanish).</w:t>
      </w:r>
      <w:r w:rsidRPr="003F7F6C">
        <w:rPr>
          <w:rFonts w:eastAsia="Calibri"/>
          <w:color w:val="222222"/>
          <w:szCs w:val="20"/>
          <w:shd w:val="clear" w:color="auto" w:fill="FFFFFF"/>
        </w:rPr>
        <w:t xml:space="preserve"> The organized Malargüe communities hold several prior consultation processes with the government and other actors. In particular, they have had experience participating in a land-use planning process with the Malargüe Municipality concerning a specific sector of “Cañada Colorada.” Besides, as mentioned above, Mendoza has been working on a land-use planning process for over 20 years, including an engagement element which has been tested, analyzed and improved. This included the implementation of prior consultation processes, which can be considered as experience to improve engagement practices in this project. For these reasons and </w:t>
      </w:r>
      <w:r w:rsidRPr="003F7F6C">
        <w:rPr>
          <w:rFonts w:eastAsia="Calibri"/>
          <w:szCs w:val="20"/>
        </w:rPr>
        <w:t>due to the capacity of the Land-use Planning Agency to liaise with indigenous peoples and actors of the Municipality and other producers, locals are extremely willing to engage.</w:t>
      </w:r>
    </w:p>
    <w:p w14:paraId="179821A5" w14:textId="77777777" w:rsidR="00D46B62" w:rsidRPr="003F7F6C" w:rsidRDefault="00D46B62" w:rsidP="00D46B62">
      <w:pPr>
        <w:spacing w:after="160" w:line="259" w:lineRule="auto"/>
        <w:ind w:left="10"/>
        <w:rPr>
          <w:rFonts w:eastAsia="Calibri" w:cs="Calibri"/>
          <w:color w:val="ED7D31"/>
          <w:szCs w:val="20"/>
        </w:rPr>
      </w:pPr>
      <w:r w:rsidRPr="003F7F6C">
        <w:rPr>
          <w:rFonts w:eastAsia="Calibri"/>
          <w:b/>
          <w:iCs/>
          <w:color w:val="000000"/>
          <w:szCs w:val="20"/>
        </w:rPr>
        <w:t>Social and Political Organization of Indigenous Peoples Communities in Jujuy.</w:t>
      </w:r>
      <w:r w:rsidRPr="003F7F6C">
        <w:rPr>
          <w:rFonts w:eastAsia="Calibri"/>
          <w:i/>
          <w:iCs/>
          <w:color w:val="000000"/>
          <w:szCs w:val="20"/>
        </w:rPr>
        <w:t xml:space="preserve"> </w:t>
      </w:r>
      <w:r w:rsidRPr="003F7F6C">
        <w:rPr>
          <w:rFonts w:eastAsia="Calibri"/>
          <w:color w:val="000000"/>
          <w:szCs w:val="20"/>
        </w:rPr>
        <w:t>The Kolla, Omaguaca, and Atacama peoples have very similar political institutions in each community, such as the Community Council, the Council of the Elderly, and the Assembly. The differences lie in some specific attributes. Moreover, the families form social networks based on family bonds, godfatherhood, and neighborliness which reinforce their relationship system. The </w:t>
      </w:r>
      <w:r w:rsidRPr="003F7F6C">
        <w:rPr>
          <w:rFonts w:eastAsia="Calibri"/>
          <w:i/>
          <w:iCs/>
          <w:color w:val="000000"/>
          <w:szCs w:val="20"/>
        </w:rPr>
        <w:t>minga</w:t>
      </w:r>
      <w:r w:rsidRPr="003F7F6C">
        <w:rPr>
          <w:rFonts w:eastAsia="Calibri"/>
          <w:color w:val="000000"/>
          <w:szCs w:val="20"/>
        </w:rPr>
        <w:t xml:space="preserve">, which originated from a community tradition deeply rooted in the Andean world, is a form of cooperative and voluntary work which gathers several families or neighbors and is based, precisely, on a network system. If the work is performed for a single family, this family is to compensate it with similar work for those who cooperated with them. </w:t>
      </w:r>
    </w:p>
    <w:p w14:paraId="424F73C9" w14:textId="77777777" w:rsidR="00D46B62" w:rsidRPr="003F7F6C" w:rsidRDefault="00D46B62" w:rsidP="00D46B62">
      <w:pPr>
        <w:spacing w:after="160" w:line="259" w:lineRule="auto"/>
        <w:ind w:left="10"/>
        <w:rPr>
          <w:rFonts w:eastAsia="Calibri" w:cs="Calibri"/>
          <w:szCs w:val="20"/>
        </w:rPr>
      </w:pPr>
      <w:r w:rsidRPr="003F7F6C">
        <w:rPr>
          <w:rFonts w:eastAsia="Calibri"/>
          <w:szCs w:val="20"/>
        </w:rPr>
        <w:t xml:space="preserve">According to the information obtained from the Indigenous Peoples Secretariat and other governmental actors working in the territory, even though the communities in the target landscapes of Jujuy do not have their own consultation protocol as do other communities in the province </w:t>
      </w:r>
      <w:r w:rsidRPr="003F7F6C">
        <w:rPr>
          <w:rFonts w:eastAsia="Calibri" w:cs="Calibri"/>
          <w:szCs w:val="20"/>
          <w:vertAlign w:val="superscript"/>
        </w:rPr>
        <w:footnoteReference w:id="99"/>
      </w:r>
      <w:r w:rsidRPr="003F7F6C">
        <w:rPr>
          <w:rFonts w:eastAsia="Calibri"/>
          <w:szCs w:val="20"/>
        </w:rPr>
        <w:t xml:space="preserve">, they do maintain a close liaison with said Secretariat, which provides technical support for designing and developing consultation processes with the communities and FPIC when necessary, working as an intermediary in the dialogue between governmental entities, private actors and communities. The Secretariat has a specific area which provides guidance and support to communities in carrying out consultation processes. </w:t>
      </w:r>
    </w:p>
    <w:p w14:paraId="7D19AC60" w14:textId="77777777" w:rsidR="00D46B62" w:rsidRPr="003F7F6C" w:rsidRDefault="00D46B62" w:rsidP="00D46B62">
      <w:pPr>
        <w:spacing w:after="160" w:line="259" w:lineRule="auto"/>
        <w:rPr>
          <w:rFonts w:eastAsia="Calibri" w:cs="Calibri"/>
          <w:szCs w:val="20"/>
        </w:rPr>
      </w:pPr>
      <w:r w:rsidRPr="003F7F6C">
        <w:rPr>
          <w:rFonts w:eastAsia="Calibri"/>
          <w:szCs w:val="20"/>
        </w:rPr>
        <w:t xml:space="preserve">In these communities, there are internal deliberative practices, sustained stages for liaison with governmental entities and processes for consolidation of the peoples’ capacities. which provide the proper conditions for timely implementation of an initial phase of the project, the processes named Consultation about the Consultation, i.e., adequate processes in each site to identify not only the procedure but also the topics and the number of consultations to be carried out based on the activities to be considered. For example, in Jujuy, a prior consultation process with communities of Quebrada de Humahuaca was conducted for holding a concert in the World Heritage site. In the case of Susques, jujuy, all ten communities involved follow a consolidated tradition of internal deliberation by means of a community assembly and a general assembly of ten communities. They also conduct a deliberation practice with authorities and actors of the private sector within the framework of community assemblies where Secretaries or Ministers are invited to participate, as well as high ranking officers of the company “Sales de Jujuy”, to carry out a dialogue on topics of interest for the communities. These extended assemblies are held once a month and attended by authorities and members of the ten communities. Minutes of such assemblies are drafted reflecting the items discussed and the agreements reached. Based on the experience gained by the consultant in its interaction with these communities, and the reference given by the Indigenous Peoples Secretariat, this dialogue and deliberation system will be an adequate space for developing the first stages of Consultation on the Consultation, when required to identify the proper mechanisms for addressing several issues or projects involving this pilot site. </w:t>
      </w:r>
    </w:p>
    <w:p w14:paraId="5CF6CE38" w14:textId="77777777" w:rsidR="00D46B62" w:rsidRPr="003F7F6C" w:rsidRDefault="00D46B62" w:rsidP="00D46B62">
      <w:pPr>
        <w:spacing w:after="160" w:line="259" w:lineRule="auto"/>
        <w:rPr>
          <w:rFonts w:eastAsia="Calibri" w:cs="Calibri"/>
          <w:szCs w:val="20"/>
        </w:rPr>
      </w:pPr>
      <w:r w:rsidRPr="003F7F6C">
        <w:rPr>
          <w:rFonts w:eastAsia="Calibri"/>
          <w:szCs w:val="20"/>
        </w:rPr>
        <w:t>In any case, in both sites a strong institutional presence is noteworthy in conjunction with a close liaison with local stakeholders, members of the indigenous communities, and other private actors (such as tourism service providers, mining companies, hygiene service providers, among others).</w:t>
      </w:r>
    </w:p>
    <w:p w14:paraId="03521131" w14:textId="77777777" w:rsidR="00D46B62" w:rsidRPr="003F7F6C" w:rsidRDefault="00D46B62" w:rsidP="00D46B62">
      <w:pPr>
        <w:spacing w:after="160" w:line="259" w:lineRule="auto"/>
        <w:rPr>
          <w:rFonts w:eastAsia="Calibri" w:cs="Calibri"/>
          <w:szCs w:val="20"/>
        </w:rPr>
      </w:pPr>
      <w:r w:rsidRPr="003F7F6C">
        <w:rPr>
          <w:rFonts w:eastAsia="Calibri"/>
          <w:szCs w:val="20"/>
        </w:rPr>
        <w:t xml:space="preserve">Additionally, all indigenous communities of the country have two indigenous representatives per People at the provincial level, who are appointed in a process entailing community assemblies convened by INAI, with whom they comprise the Indigenous Participation Council, which is a space for collaborative work and cooperation between the National Government and the indigenous peoples of Argentina. This space has the purpose of </w:t>
      </w:r>
      <w:r w:rsidRPr="003F7F6C">
        <w:rPr>
          <w:rFonts w:eastAsia="Calibri"/>
          <w:szCs w:val="20"/>
          <w:shd w:val="clear" w:color="auto" w:fill="FFFFFF"/>
        </w:rPr>
        <w:t>promoting participation of indigenous communities in the Land Surveying Programme –Law No. 26,160-; guiding communities in formulating development projects with cultural identity; strengthening communities in the organization and registration of their legal identity and participating in several consultation processes concerning public policies that might affect the interests of indigenous peoples.</w:t>
      </w:r>
    </w:p>
    <w:p w14:paraId="7E6A25EA" w14:textId="77777777" w:rsidR="00D46B62" w:rsidRPr="003F7F6C" w:rsidRDefault="00D46B62" w:rsidP="00D46B62">
      <w:pPr>
        <w:spacing w:after="160" w:line="259" w:lineRule="auto"/>
        <w:jc w:val="left"/>
        <w:rPr>
          <w:rFonts w:eastAsia="Calibri"/>
          <w:b/>
          <w:szCs w:val="20"/>
        </w:rPr>
      </w:pPr>
      <w:bookmarkStart w:id="68" w:name="_Toc523149335"/>
      <w:r w:rsidRPr="003F7F6C">
        <w:rPr>
          <w:rFonts w:eastAsia="Calibri"/>
          <w:b/>
          <w:szCs w:val="20"/>
        </w:rPr>
        <w:t>SUPPORT CAPACITY</w:t>
      </w:r>
      <w:bookmarkEnd w:id="68"/>
    </w:p>
    <w:p w14:paraId="493D8D27" w14:textId="77777777" w:rsidR="00D46B62" w:rsidRPr="003F7F6C" w:rsidRDefault="00D46B62" w:rsidP="00D46B62">
      <w:pPr>
        <w:spacing w:before="120" w:after="120"/>
        <w:rPr>
          <w:rFonts w:eastAsia="Times New Roman" w:cs="Calibri"/>
          <w:color w:val="000000"/>
          <w:szCs w:val="20"/>
          <w:lang w:eastAsia="es-US"/>
        </w:rPr>
      </w:pPr>
      <w:r w:rsidRPr="003F7F6C">
        <w:rPr>
          <w:rFonts w:eastAsia="Calibri"/>
          <w:color w:val="000000"/>
          <w:szCs w:val="20"/>
        </w:rPr>
        <w:t xml:space="preserve">As part of the Capacity Strengthening Program to be implemented within the project, several participatory workshops will be carried out to work on enhancing information and strengthening capacities for several actors involved in the project. Some of the topics and practices to be discussed are as follows: Environmental Land Use Planning for government and civil society actors, as well as for indigenous peoples. A discussion will also be held to improve engagement practices and collaborative resolution of any disputes which may arise from discussions and dialogue on the use and regulation of practices involving territories. Moreover, and especially, another topic for discussion will be capacity strengthening for government and civil society actors on human rights and engagement practices, consultation and consent associated with the challenges and opportunities posed by this project. </w:t>
      </w:r>
    </w:p>
    <w:p w14:paraId="595CE769" w14:textId="77777777" w:rsidR="00D46B62" w:rsidRPr="003F7F6C" w:rsidRDefault="00D46B62" w:rsidP="00D46B62">
      <w:pPr>
        <w:spacing w:after="160" w:line="259" w:lineRule="auto"/>
        <w:jc w:val="left"/>
        <w:rPr>
          <w:rFonts w:eastAsia="Times New Roman"/>
          <w:b/>
          <w:szCs w:val="20"/>
        </w:rPr>
      </w:pPr>
      <w:bookmarkStart w:id="69" w:name="_Toc523149336"/>
      <w:r w:rsidRPr="003F7F6C">
        <w:rPr>
          <w:rFonts w:eastAsia="Calibri"/>
          <w:b/>
          <w:szCs w:val="20"/>
        </w:rPr>
        <w:t xml:space="preserve">GRIEVANCE MECHANISM FOR COMPLAINTS </w:t>
      </w:r>
      <w:bookmarkEnd w:id="69"/>
    </w:p>
    <w:p w14:paraId="5C26839B" w14:textId="77777777" w:rsidR="00D46B62" w:rsidRPr="003F7F6C" w:rsidRDefault="00D46B62" w:rsidP="00D46B62">
      <w:pPr>
        <w:spacing w:after="160" w:line="259" w:lineRule="auto"/>
        <w:rPr>
          <w:rFonts w:eastAsia="Calibri"/>
          <w:szCs w:val="20"/>
        </w:rPr>
      </w:pPr>
      <w:r w:rsidRPr="003F7F6C">
        <w:rPr>
          <w:rFonts w:eastAsia="Calibri"/>
          <w:szCs w:val="20"/>
        </w:rPr>
        <w:t>The project will implement a comprehensive system named</w:t>
      </w:r>
      <w:r w:rsidRPr="003F7F6C">
        <w:rPr>
          <w:rFonts w:eastAsia="Calibri"/>
          <w:color w:val="000000"/>
          <w:szCs w:val="20"/>
        </w:rPr>
        <w:t xml:space="preserve"> </w:t>
      </w:r>
      <w:r w:rsidRPr="003F7F6C">
        <w:rPr>
          <w:rFonts w:eastAsia="Calibri"/>
          <w:b/>
          <w:szCs w:val="20"/>
        </w:rPr>
        <w:t xml:space="preserve">System for Prevention and Management of Consultations and Conflicts (SPCC, in Spanish). </w:t>
      </w:r>
      <w:r w:rsidRPr="003F7F6C">
        <w:rPr>
          <w:rFonts w:eastAsia="Calibri"/>
          <w:szCs w:val="20"/>
        </w:rPr>
        <w:t xml:space="preserve">This system will comprise a specific structure for all cases in addition to a specific mechanism entailing adequate practices to address discrepancies, consultations or conflicts involving the Indigenous Peoples in connection with project activities. For these cases the mechanisms used by the communities to address disputes will be considered: for example, the Mapuche communities use a specific assembly method named Kumen Feley for their daily assembly practice and Nor Feley to solve disputes or conflicts and may be convened at the community level or at the community organization level.  In any case, besides primarily opting for managing and inquiring into the disputes concerning indigenous people’s practices, mechanisms will be implemented according to national and international laws related to indigenous peoples.  </w:t>
      </w:r>
    </w:p>
    <w:p w14:paraId="4C93B0B1" w14:textId="77777777" w:rsidR="00D46B62" w:rsidRPr="003F7F6C" w:rsidRDefault="00D46B62" w:rsidP="00D46B62">
      <w:pPr>
        <w:spacing w:after="160" w:line="259" w:lineRule="auto"/>
        <w:jc w:val="left"/>
        <w:rPr>
          <w:rFonts w:eastAsia="Calibri"/>
          <w:b/>
          <w:szCs w:val="20"/>
        </w:rPr>
      </w:pPr>
      <w:bookmarkStart w:id="70" w:name="_Toc523149337"/>
      <w:r w:rsidRPr="003F7F6C">
        <w:rPr>
          <w:rFonts w:eastAsia="Calibri"/>
          <w:b/>
          <w:szCs w:val="20"/>
        </w:rPr>
        <w:t>PLAN FOR INDIGENOUS PEOPLE’S ENGAGEMENT IN P</w:t>
      </w:r>
      <w:bookmarkEnd w:id="70"/>
      <w:r w:rsidRPr="003F7F6C">
        <w:rPr>
          <w:rFonts w:eastAsia="Calibri"/>
          <w:b/>
          <w:szCs w:val="20"/>
        </w:rPr>
        <w:t>ROJECT IMPLEMENTATION</w:t>
      </w:r>
    </w:p>
    <w:p w14:paraId="58EE58E8" w14:textId="77777777" w:rsidR="00D46B62" w:rsidRPr="003F7F6C" w:rsidRDefault="00D46B62" w:rsidP="00D46B62">
      <w:pPr>
        <w:spacing w:after="160" w:line="259" w:lineRule="auto"/>
        <w:rPr>
          <w:rFonts w:eastAsia="Calibri" w:cs="Calibri"/>
          <w:szCs w:val="20"/>
        </w:rPr>
      </w:pPr>
      <w:r w:rsidRPr="003F7F6C">
        <w:rPr>
          <w:rFonts w:eastAsia="Calibri"/>
          <w:szCs w:val="20"/>
        </w:rPr>
        <w:t xml:space="preserve">During the initial phase of project implementation, there will be consultations to discuss the later consultation processes to be carried out, i.e., adequate consultation processes will be implemented in each pilot site where indigenous peoples are identified to establish proper mechanisms for prior consultation and FPIC as applicable. </w:t>
      </w:r>
    </w:p>
    <w:p w14:paraId="4AD5979E" w14:textId="77777777" w:rsidR="00D46B62" w:rsidRPr="003F7F6C" w:rsidRDefault="00D46B62" w:rsidP="00D46B62">
      <w:pPr>
        <w:spacing w:after="160" w:line="259" w:lineRule="auto"/>
        <w:rPr>
          <w:rFonts w:eastAsia="Calibri" w:cs="Calibri"/>
          <w:szCs w:val="20"/>
        </w:rPr>
      </w:pPr>
      <w:r w:rsidRPr="003F7F6C">
        <w:rPr>
          <w:rFonts w:eastAsia="Calibri"/>
          <w:szCs w:val="20"/>
        </w:rPr>
        <w:t xml:space="preserve">In the initial consultations on the consultation processes, meetings with indigenous communities will be held so as to design further consultation processes and at this initial stage the aim will be to identify:  the communities involved by the specific consultation topic, the topics or types of topics involving consultation processes in each project or specific area, decision-making mechanisms to be implemented, and the type of result (Prior Consultation or FPIC), internal or external advisors or technicians, as required, agreed relevant time periods, type of information (format, modality, access) to be considered for the relevant process; and any other matters to be identified and clarified as deemed necessary by the communities at the so-called Consultation on the Consultation stage. </w:t>
      </w:r>
    </w:p>
    <w:p w14:paraId="7F267258" w14:textId="77777777" w:rsidR="00D46B62" w:rsidRPr="003F7F6C" w:rsidRDefault="00D46B62" w:rsidP="00D46B62">
      <w:pPr>
        <w:spacing w:after="160" w:line="259" w:lineRule="auto"/>
        <w:rPr>
          <w:rFonts w:eastAsia="Calibri"/>
          <w:szCs w:val="20"/>
        </w:rPr>
      </w:pPr>
      <w:r w:rsidRPr="003F7F6C">
        <w:rPr>
          <w:rFonts w:eastAsia="Calibri"/>
          <w:szCs w:val="20"/>
        </w:rPr>
        <w:t>In these consultation processes, the following general principles will be followed for engaging indigenous peoples in the project:</w:t>
      </w:r>
    </w:p>
    <w:p w14:paraId="00FD9408" w14:textId="77777777" w:rsidR="00D46B62" w:rsidRPr="003F7F6C" w:rsidRDefault="00D46B62" w:rsidP="00D46B62">
      <w:pPr>
        <w:spacing w:after="160" w:line="259" w:lineRule="auto"/>
        <w:rPr>
          <w:rFonts w:eastAsia="Calibri" w:cs="Calibri"/>
          <w:szCs w:val="20"/>
        </w:rPr>
      </w:pPr>
      <w:r w:rsidRPr="003F7F6C">
        <w:rPr>
          <w:rFonts w:eastAsia="Calibri"/>
          <w:szCs w:val="20"/>
        </w:rPr>
        <w:t xml:space="preserve">The project will seek, as the case may be, to follow the mechanisms established, within the framework of dialogue and in agreement with the communities involved. These rights are as follows: the right to </w:t>
      </w:r>
      <w:r w:rsidRPr="003F7F6C">
        <w:rPr>
          <w:rFonts w:eastAsia="Calibri"/>
          <w:b/>
          <w:szCs w:val="20"/>
        </w:rPr>
        <w:t>engagement</w:t>
      </w:r>
      <w:r w:rsidRPr="003F7F6C">
        <w:rPr>
          <w:rFonts w:eastAsia="Calibri"/>
          <w:szCs w:val="20"/>
        </w:rPr>
        <w:t xml:space="preserve"> throughout the public policy making cycle, to </w:t>
      </w:r>
      <w:r w:rsidRPr="003F7F6C">
        <w:rPr>
          <w:rFonts w:eastAsia="Calibri"/>
          <w:b/>
          <w:szCs w:val="20"/>
        </w:rPr>
        <w:t>prior consultation</w:t>
      </w:r>
      <w:r w:rsidRPr="003F7F6C">
        <w:rPr>
          <w:rFonts w:eastAsia="Calibri"/>
          <w:szCs w:val="20"/>
        </w:rPr>
        <w:t xml:space="preserve"> in regard to concrete legislative or administrative measures, and to </w:t>
      </w:r>
      <w:r w:rsidRPr="003F7F6C">
        <w:rPr>
          <w:rFonts w:eastAsia="Calibri"/>
          <w:b/>
          <w:szCs w:val="20"/>
        </w:rPr>
        <w:t xml:space="preserve">free, prior and informed consent </w:t>
      </w:r>
      <w:r w:rsidRPr="003F7F6C">
        <w:rPr>
          <w:rFonts w:eastAsia="Calibri"/>
          <w:szCs w:val="20"/>
        </w:rPr>
        <w:t>in specific cases which might affect fundamental rights or jeopardize their integrity.</w:t>
      </w:r>
    </w:p>
    <w:p w14:paraId="1B24A657" w14:textId="77777777" w:rsidR="00D46B62" w:rsidRPr="003F7F6C" w:rsidRDefault="00D46B62" w:rsidP="00E91275">
      <w:pPr>
        <w:numPr>
          <w:ilvl w:val="0"/>
          <w:numId w:val="65"/>
        </w:numPr>
        <w:spacing w:after="160" w:line="259" w:lineRule="auto"/>
        <w:contextualSpacing/>
        <w:jc w:val="left"/>
        <w:rPr>
          <w:rFonts w:eastAsia="Calibri" w:cs="Calibri"/>
          <w:szCs w:val="20"/>
        </w:rPr>
      </w:pPr>
      <w:r w:rsidRPr="003F7F6C">
        <w:rPr>
          <w:rFonts w:eastAsia="Calibri"/>
          <w:b/>
          <w:i/>
          <w:szCs w:val="20"/>
        </w:rPr>
        <w:t xml:space="preserve">Engagement. </w:t>
      </w:r>
      <w:r w:rsidRPr="003F7F6C">
        <w:rPr>
          <w:rFonts w:eastAsia="Calibri"/>
          <w:szCs w:val="20"/>
        </w:rPr>
        <w:t>Indigenous peoples’ representatives will take part in the phases of the project preparation, implementation and evaluation cycle, as well as in national, regional and local</w:t>
      </w:r>
      <w:r w:rsidRPr="003F7F6C">
        <w:rPr>
          <w:rFonts w:eastAsia="Calibri"/>
          <w:b/>
          <w:i/>
          <w:szCs w:val="20"/>
        </w:rPr>
        <w:t xml:space="preserve"> plans, policies and development programs</w:t>
      </w:r>
      <w:r w:rsidRPr="003F7F6C">
        <w:rPr>
          <w:rFonts w:eastAsia="Calibri"/>
          <w:szCs w:val="20"/>
        </w:rPr>
        <w:t xml:space="preserve"> resulting from said cycle and which may affect it, in order to ensure that their development priorities are taken into account, that the improvement of their life conditions is prioritized and that their integrity is not affected.  Decisions are made collectively among the indigenous peoples and the State, on the basis of processes for dialogue and understanding.</w:t>
      </w:r>
    </w:p>
    <w:p w14:paraId="680E0A42" w14:textId="77777777" w:rsidR="00D46B62" w:rsidRPr="003F7F6C" w:rsidRDefault="00D46B62" w:rsidP="00D46B62">
      <w:pPr>
        <w:spacing w:after="160" w:line="259" w:lineRule="auto"/>
        <w:ind w:left="360"/>
        <w:contextualSpacing/>
        <w:rPr>
          <w:rFonts w:eastAsia="Calibri" w:cs="Calibri"/>
          <w:szCs w:val="20"/>
        </w:rPr>
      </w:pPr>
    </w:p>
    <w:p w14:paraId="7DAC6339" w14:textId="77777777" w:rsidR="00D46B62" w:rsidRPr="003F7F6C" w:rsidRDefault="00D46B62" w:rsidP="00E91275">
      <w:pPr>
        <w:numPr>
          <w:ilvl w:val="0"/>
          <w:numId w:val="65"/>
        </w:numPr>
        <w:spacing w:after="160" w:line="259" w:lineRule="auto"/>
        <w:contextualSpacing/>
        <w:jc w:val="left"/>
        <w:rPr>
          <w:rFonts w:eastAsia="Calibri" w:cs="Calibri"/>
          <w:szCs w:val="20"/>
        </w:rPr>
      </w:pPr>
      <w:r w:rsidRPr="003F7F6C">
        <w:rPr>
          <w:rFonts w:eastAsia="Calibri"/>
          <w:b/>
          <w:i/>
          <w:szCs w:val="20"/>
        </w:rPr>
        <w:t xml:space="preserve">Prior Consultation. </w:t>
      </w:r>
      <w:r w:rsidRPr="003F7F6C">
        <w:rPr>
          <w:rFonts w:eastAsia="Calibri"/>
          <w:szCs w:val="20"/>
        </w:rPr>
        <w:t xml:space="preserve"> Under the aforesaid Convention No. 169, the State will implement good faith dialogue processes with indigenous communities before adopting </w:t>
      </w:r>
      <w:r w:rsidRPr="003F7F6C">
        <w:rPr>
          <w:rFonts w:eastAsia="Calibri"/>
          <w:b/>
          <w:szCs w:val="20"/>
        </w:rPr>
        <w:t>concrete administrative or legislative measures</w:t>
      </w:r>
      <w:r w:rsidRPr="003F7F6C">
        <w:rPr>
          <w:rFonts w:eastAsia="Calibri"/>
          <w:szCs w:val="20"/>
        </w:rPr>
        <w:t xml:space="preserve"> which might affect them, with the objective of achieving agreement or consent through dialogue. Even though the decision is on the State, it must justify such decision.</w:t>
      </w:r>
    </w:p>
    <w:p w14:paraId="596770C0" w14:textId="77777777" w:rsidR="00D46B62" w:rsidRPr="003F7F6C" w:rsidRDefault="00D46B62" w:rsidP="00D46B62">
      <w:pPr>
        <w:spacing w:after="160" w:line="259" w:lineRule="auto"/>
        <w:ind w:left="720"/>
        <w:contextualSpacing/>
        <w:jc w:val="left"/>
        <w:rPr>
          <w:rFonts w:eastAsia="Calibri"/>
          <w:b/>
          <w:i/>
          <w:szCs w:val="20"/>
        </w:rPr>
      </w:pPr>
    </w:p>
    <w:p w14:paraId="705D5714" w14:textId="77777777" w:rsidR="00D46B62" w:rsidRPr="003F7F6C" w:rsidRDefault="00D46B62" w:rsidP="00E91275">
      <w:pPr>
        <w:numPr>
          <w:ilvl w:val="0"/>
          <w:numId w:val="65"/>
        </w:numPr>
        <w:spacing w:after="160" w:line="259" w:lineRule="auto"/>
        <w:contextualSpacing/>
        <w:jc w:val="left"/>
        <w:rPr>
          <w:rFonts w:eastAsia="Calibri" w:cs="Calibri"/>
          <w:szCs w:val="20"/>
        </w:rPr>
      </w:pPr>
      <w:r w:rsidRPr="003F7F6C">
        <w:rPr>
          <w:rFonts w:eastAsia="Calibri"/>
          <w:b/>
          <w:i/>
          <w:szCs w:val="20"/>
        </w:rPr>
        <w:t>Free, Prior and Informed Consent.</w:t>
      </w:r>
      <w:r w:rsidRPr="003F7F6C">
        <w:rPr>
          <w:rFonts w:eastAsia="Calibri"/>
          <w:szCs w:val="20"/>
        </w:rPr>
        <w:t xml:space="preserve"> However, when their fundamental rights are affected, or the integrity of the peoples is at stake, in addition to the consultation, the state may only adopt the measure with the consent of those affected by it. In these cases, consent is not only the aim but also a requirement for the state to act. </w:t>
      </w:r>
    </w:p>
    <w:p w14:paraId="47E29898" w14:textId="77777777" w:rsidR="00D46B62" w:rsidRPr="003F7F6C" w:rsidRDefault="00D46B62" w:rsidP="00D46B62">
      <w:pPr>
        <w:spacing w:before="120" w:after="160" w:line="259" w:lineRule="auto"/>
        <w:rPr>
          <w:rFonts w:eastAsia="Calibri"/>
          <w:szCs w:val="20"/>
        </w:rPr>
      </w:pPr>
      <w:r w:rsidRPr="003F7F6C">
        <w:rPr>
          <w:rFonts w:eastAsia="Calibri"/>
          <w:szCs w:val="20"/>
        </w:rPr>
        <w:t>Environmental Land Use Planning is essentially a participatory tool, and this principle will prevail in the process of identifying projects and any processes existing as of the date of implementation of the project, as well as existing dialogue processes and platforms and any sustainable production activities to be developed or prioritized.  The action lines outlined in the Project Document will be defined in detail during project implementation. Within this framework, the governmental authorities of the provinces involved will work through prior consultation at all times and free, prior and informed consent mechanisms, in such cases where activities to be implemented might imply: extraction of natural resources such as felling, mining or agricultural activities in their lands or territories; a decision affecting the State or people’s rights to their land/territories, resources or means of support; access to traditional knowledge and practices; commercial use of natural and / or cultural resources in plots of land subject to traditional ownership rights and / or low customary use by indigenous peoples; decisions regarding benefit allocation arrangements, where the benefits are derived from their land, territories or resources (for example, management of natural resources or extractive industries).</w:t>
      </w:r>
    </w:p>
    <w:p w14:paraId="5B04E2A6" w14:textId="77777777" w:rsidR="00D46B62" w:rsidRPr="003F7F6C" w:rsidRDefault="00D46B62" w:rsidP="00D46B62">
      <w:pPr>
        <w:spacing w:after="160" w:line="259" w:lineRule="auto"/>
        <w:rPr>
          <w:rFonts w:eastAsia="Calibri" w:cs="Calibri"/>
          <w:szCs w:val="20"/>
        </w:rPr>
      </w:pPr>
      <w:r w:rsidRPr="003F7F6C">
        <w:rPr>
          <w:rFonts w:eastAsia="Calibri"/>
          <w:szCs w:val="20"/>
        </w:rPr>
        <w:t xml:space="preserve">Within this framework, the Consultation, as well as any other participatory stage involving indigenous peoples must meet the </w:t>
      </w:r>
      <w:r w:rsidRPr="003F7F6C">
        <w:rPr>
          <w:rFonts w:eastAsia="Calibri"/>
          <w:b/>
          <w:szCs w:val="20"/>
        </w:rPr>
        <w:t xml:space="preserve">basic requirements, i.e. It must be free, </w:t>
      </w:r>
      <w:r w:rsidRPr="003F7F6C">
        <w:rPr>
          <w:rFonts w:eastAsia="Calibri"/>
          <w:szCs w:val="20"/>
        </w:rPr>
        <w:t xml:space="preserve">without coercion, intimidation or manipulation; </w:t>
      </w:r>
      <w:r w:rsidRPr="003F7F6C">
        <w:rPr>
          <w:rFonts w:eastAsia="Calibri"/>
          <w:b/>
          <w:szCs w:val="20"/>
        </w:rPr>
        <w:t xml:space="preserve">prior, </w:t>
      </w:r>
      <w:r w:rsidRPr="003F7F6C">
        <w:rPr>
          <w:rFonts w:eastAsia="Calibri"/>
          <w:szCs w:val="20"/>
        </w:rPr>
        <w:t xml:space="preserve">previous to adopting the measure subject to consultation; </w:t>
      </w:r>
      <w:r w:rsidRPr="003F7F6C">
        <w:rPr>
          <w:rFonts w:eastAsia="Calibri"/>
          <w:b/>
          <w:szCs w:val="20"/>
        </w:rPr>
        <w:t>informed,</w:t>
      </w:r>
      <w:r w:rsidRPr="003F7F6C">
        <w:rPr>
          <w:rFonts w:eastAsia="Calibri"/>
          <w:szCs w:val="20"/>
        </w:rPr>
        <w:t xml:space="preserve"> as the State must provide the following information in order to make a decision: nature of the measure, reasons, duration, preliminary evaluation, risks and benefits, among others. The peoples have the right to inform the State about their priorities of life, cultural aspects, among others; </w:t>
      </w:r>
      <w:r w:rsidRPr="003F7F6C">
        <w:rPr>
          <w:rFonts w:eastAsia="Calibri"/>
          <w:b/>
          <w:szCs w:val="20"/>
        </w:rPr>
        <w:t xml:space="preserve">in good faith, </w:t>
      </w:r>
      <w:r w:rsidRPr="003F7F6C">
        <w:rPr>
          <w:rFonts w:eastAsia="Calibri"/>
          <w:szCs w:val="20"/>
        </w:rPr>
        <w:t xml:space="preserve">which implies the parties’ acceptance of the consultation procedure, the creation of a relationship based on trust and mutual respect, with the true objective of holding dialogue, which will allow them to make decisions and reach an agreement; </w:t>
      </w:r>
      <w:r w:rsidRPr="003F7F6C">
        <w:rPr>
          <w:rFonts w:eastAsia="Calibri"/>
          <w:b/>
          <w:szCs w:val="20"/>
        </w:rPr>
        <w:t>through indigenous representative institutions,</w:t>
      </w:r>
      <w:r w:rsidRPr="003F7F6C">
        <w:rPr>
          <w:rFonts w:eastAsia="Calibri"/>
          <w:szCs w:val="20"/>
        </w:rPr>
        <w:t xml:space="preserve"> resulting from the indigenous peoples´ own and internal processes, whether traditional or modern, providing that they have been pre-established, that they are </w:t>
      </w:r>
      <w:r w:rsidRPr="003F7F6C">
        <w:rPr>
          <w:rFonts w:eastAsia="Calibri"/>
          <w:b/>
          <w:szCs w:val="20"/>
        </w:rPr>
        <w:t xml:space="preserve">adequate and accessible, that is to say, </w:t>
      </w:r>
      <w:r w:rsidRPr="003F7F6C">
        <w:rPr>
          <w:rFonts w:eastAsia="Calibri"/>
          <w:szCs w:val="20"/>
        </w:rPr>
        <w:t xml:space="preserve">according to customs and traditional methods for decision making, respecting symbols and images to represent them; moreover, the timing, language and manners inherent to each people must be respected, and the process must be </w:t>
      </w:r>
      <w:r w:rsidRPr="003F7F6C">
        <w:rPr>
          <w:rFonts w:eastAsia="Calibri"/>
          <w:b/>
          <w:szCs w:val="20"/>
        </w:rPr>
        <w:t xml:space="preserve">systematic and transparent: </w:t>
      </w:r>
      <w:r w:rsidRPr="003F7F6C">
        <w:rPr>
          <w:rFonts w:eastAsia="Calibri"/>
          <w:szCs w:val="20"/>
        </w:rPr>
        <w:t>it must be made in a formal and systematic manner -which might be repeated for another issue- and transparent, so that all the people involved are aware of the situation.</w:t>
      </w:r>
    </w:p>
    <w:p w14:paraId="6577D591" w14:textId="77777777" w:rsidR="00D46B62" w:rsidRPr="003F7F6C" w:rsidRDefault="00D46B62" w:rsidP="00D46B62">
      <w:pPr>
        <w:spacing w:after="160" w:line="259" w:lineRule="auto"/>
        <w:jc w:val="left"/>
        <w:rPr>
          <w:rFonts w:eastAsia="Calibri"/>
          <w:szCs w:val="20"/>
        </w:rPr>
      </w:pPr>
    </w:p>
    <w:p w14:paraId="4148FEA8" w14:textId="77777777" w:rsidR="00D46B62" w:rsidRPr="003F7F6C" w:rsidRDefault="00D46B62" w:rsidP="00D46B62">
      <w:pPr>
        <w:spacing w:after="160" w:line="259" w:lineRule="auto"/>
        <w:jc w:val="left"/>
        <w:rPr>
          <w:rFonts w:eastAsia="Calibri"/>
          <w:szCs w:val="20"/>
        </w:rPr>
      </w:pPr>
    </w:p>
    <w:p w14:paraId="285E4AD9" w14:textId="77777777" w:rsidR="00D46B62" w:rsidRPr="003F7F6C" w:rsidRDefault="00D46B62" w:rsidP="00D46B62">
      <w:pPr>
        <w:spacing w:after="160" w:line="259" w:lineRule="auto"/>
        <w:jc w:val="left"/>
        <w:rPr>
          <w:rFonts w:eastAsia="Calibri"/>
          <w:szCs w:val="20"/>
        </w:rPr>
      </w:pPr>
    </w:p>
    <w:p w14:paraId="446A3C2D" w14:textId="77777777" w:rsidR="00D46B62" w:rsidRPr="003F7F6C" w:rsidRDefault="00D46B62" w:rsidP="00D46B62">
      <w:pPr>
        <w:spacing w:after="160" w:line="259" w:lineRule="auto"/>
        <w:jc w:val="left"/>
        <w:rPr>
          <w:rFonts w:eastAsia="Calibri"/>
          <w:szCs w:val="20"/>
        </w:rPr>
      </w:pPr>
    </w:p>
    <w:p w14:paraId="3A935FEB" w14:textId="77777777" w:rsidR="00D46B62" w:rsidRPr="003F7F6C" w:rsidRDefault="00D46B62" w:rsidP="00D46B62">
      <w:pPr>
        <w:spacing w:after="160" w:line="259" w:lineRule="auto"/>
        <w:jc w:val="left"/>
        <w:rPr>
          <w:rFonts w:eastAsia="Calibri"/>
          <w:szCs w:val="20"/>
        </w:rPr>
      </w:pPr>
    </w:p>
    <w:p w14:paraId="42D37E7B" w14:textId="77777777" w:rsidR="00D46B62" w:rsidRPr="003F7F6C" w:rsidRDefault="00D46B62" w:rsidP="00D46B62">
      <w:pPr>
        <w:spacing w:after="119" w:line="216" w:lineRule="atLeast"/>
        <w:ind w:right="42"/>
        <w:jc w:val="center"/>
        <w:rPr>
          <w:rFonts w:eastAsia="Times New Roman" w:cs="Calibri"/>
          <w:b/>
          <w:color w:val="000000"/>
          <w:sz w:val="22"/>
          <w:szCs w:val="22"/>
        </w:rPr>
      </w:pPr>
      <w:r w:rsidRPr="003F7F6C">
        <w:rPr>
          <w:rFonts w:eastAsia="Calibri" w:cs="Calibri"/>
          <w:b/>
          <w:color w:val="000000"/>
          <w:sz w:val="22"/>
          <w:szCs w:val="22"/>
          <w:lang w:val="en-GB"/>
        </w:rPr>
        <w:t>LIST OF PEOPLE CONSULTED DURING THE PPG PHASE</w:t>
      </w:r>
    </w:p>
    <w:tbl>
      <w:tblPr>
        <w:tblStyle w:val="TableGrid4"/>
        <w:tblW w:w="0" w:type="auto"/>
        <w:tblInd w:w="0" w:type="dxa"/>
        <w:tblLook w:val="04A0" w:firstRow="1" w:lastRow="0" w:firstColumn="1" w:lastColumn="0" w:noHBand="0" w:noVBand="1"/>
      </w:tblPr>
      <w:tblGrid>
        <w:gridCol w:w="1838"/>
        <w:gridCol w:w="2977"/>
        <w:gridCol w:w="3673"/>
      </w:tblGrid>
      <w:tr w:rsidR="00D46B62" w:rsidRPr="003F7F6C" w14:paraId="7F3E0FC5" w14:textId="77777777" w:rsidTr="00D46B62">
        <w:trPr>
          <w:tblHeader/>
        </w:trPr>
        <w:tc>
          <w:tcPr>
            <w:tcW w:w="1838" w:type="dxa"/>
            <w:shd w:val="clear" w:color="auto" w:fill="D5DCE4"/>
          </w:tcPr>
          <w:p w14:paraId="46A812CB" w14:textId="77777777" w:rsidR="00D46B62" w:rsidRPr="003F7F6C" w:rsidRDefault="00D46B62" w:rsidP="00D46B62">
            <w:pPr>
              <w:spacing w:after="119" w:line="216" w:lineRule="atLeast"/>
              <w:ind w:right="42"/>
              <w:jc w:val="center"/>
              <w:rPr>
                <w:rFonts w:cs="Calibri"/>
                <w:b/>
                <w:sz w:val="18"/>
                <w:szCs w:val="18"/>
                <w:lang w:val="es-AR"/>
              </w:rPr>
            </w:pPr>
            <w:r w:rsidRPr="003F7F6C">
              <w:rPr>
                <w:rFonts w:cs="Calibri"/>
                <w:b/>
                <w:sz w:val="18"/>
                <w:szCs w:val="18"/>
                <w:lang w:val="es-AR"/>
              </w:rPr>
              <w:t>Name</w:t>
            </w:r>
          </w:p>
        </w:tc>
        <w:tc>
          <w:tcPr>
            <w:tcW w:w="2977" w:type="dxa"/>
            <w:shd w:val="clear" w:color="auto" w:fill="D5DCE4"/>
          </w:tcPr>
          <w:p w14:paraId="38E5D4FB" w14:textId="77777777" w:rsidR="00D46B62" w:rsidRPr="003F7F6C" w:rsidRDefault="00D46B62" w:rsidP="00D46B62">
            <w:pPr>
              <w:spacing w:after="119" w:line="216" w:lineRule="atLeast"/>
              <w:ind w:right="42"/>
              <w:jc w:val="center"/>
              <w:rPr>
                <w:rFonts w:cs="Calibri"/>
                <w:b/>
                <w:sz w:val="18"/>
                <w:szCs w:val="18"/>
                <w:lang w:val="es-AR"/>
              </w:rPr>
            </w:pPr>
            <w:r w:rsidRPr="003F7F6C">
              <w:rPr>
                <w:rFonts w:cs="Calibri"/>
                <w:b/>
                <w:sz w:val="18"/>
                <w:szCs w:val="18"/>
                <w:lang w:val="es-AR"/>
              </w:rPr>
              <w:t>Institution</w:t>
            </w:r>
          </w:p>
        </w:tc>
        <w:tc>
          <w:tcPr>
            <w:tcW w:w="3673" w:type="dxa"/>
            <w:shd w:val="clear" w:color="auto" w:fill="D5DCE4"/>
          </w:tcPr>
          <w:p w14:paraId="642875DA" w14:textId="77777777" w:rsidR="00D46B62" w:rsidRPr="003F7F6C" w:rsidRDefault="00D46B62" w:rsidP="00D46B62">
            <w:pPr>
              <w:spacing w:after="119" w:line="216" w:lineRule="atLeast"/>
              <w:ind w:right="42"/>
              <w:jc w:val="center"/>
              <w:rPr>
                <w:rFonts w:cs="Calibri"/>
                <w:b/>
                <w:sz w:val="18"/>
                <w:szCs w:val="18"/>
                <w:lang w:val="es-AR"/>
              </w:rPr>
            </w:pPr>
            <w:r w:rsidRPr="003F7F6C">
              <w:rPr>
                <w:rFonts w:cs="Calibri"/>
                <w:b/>
                <w:sz w:val="18"/>
                <w:szCs w:val="18"/>
                <w:lang w:val="es-AR"/>
              </w:rPr>
              <w:t>Position</w:t>
            </w:r>
          </w:p>
        </w:tc>
      </w:tr>
      <w:tr w:rsidR="00D46B62" w:rsidRPr="003F7F6C" w14:paraId="71B23903" w14:textId="77777777" w:rsidTr="00553F65">
        <w:tc>
          <w:tcPr>
            <w:tcW w:w="1838" w:type="dxa"/>
          </w:tcPr>
          <w:p w14:paraId="0AF00822"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Moreno, Diego</w:t>
            </w:r>
          </w:p>
        </w:tc>
        <w:tc>
          <w:tcPr>
            <w:tcW w:w="2977" w:type="dxa"/>
          </w:tcPr>
          <w:p w14:paraId="3574B4BA"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SGAyDS</w:t>
            </w:r>
          </w:p>
        </w:tc>
        <w:tc>
          <w:tcPr>
            <w:tcW w:w="3673" w:type="dxa"/>
          </w:tcPr>
          <w:p w14:paraId="59461C22" w14:textId="77777777" w:rsidR="00D46B62" w:rsidRPr="003F7F6C" w:rsidRDefault="00D46B62" w:rsidP="00D46B62">
            <w:pPr>
              <w:spacing w:after="119" w:line="216" w:lineRule="atLeast"/>
              <w:ind w:right="42"/>
              <w:jc w:val="left"/>
              <w:rPr>
                <w:rFonts w:cs="Calibri"/>
                <w:sz w:val="18"/>
                <w:szCs w:val="18"/>
              </w:rPr>
            </w:pPr>
            <w:r w:rsidRPr="003F7F6C">
              <w:rPr>
                <w:rFonts w:cs="Calibri"/>
                <w:sz w:val="18"/>
                <w:szCs w:val="18"/>
              </w:rPr>
              <w:t>Secretary of Environmental Policy in Natural Resources (SPARN)</w:t>
            </w:r>
          </w:p>
        </w:tc>
      </w:tr>
      <w:tr w:rsidR="00D46B62" w:rsidRPr="003F7F6C" w14:paraId="5871D9CD" w14:textId="77777777" w:rsidTr="00553F65">
        <w:tc>
          <w:tcPr>
            <w:tcW w:w="1838" w:type="dxa"/>
          </w:tcPr>
          <w:p w14:paraId="5D42212C"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Duverges, Dolores</w:t>
            </w:r>
          </w:p>
        </w:tc>
        <w:tc>
          <w:tcPr>
            <w:tcW w:w="2977" w:type="dxa"/>
          </w:tcPr>
          <w:p w14:paraId="4CFF8334"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SGAyDS</w:t>
            </w:r>
          </w:p>
        </w:tc>
        <w:tc>
          <w:tcPr>
            <w:tcW w:w="3673" w:type="dxa"/>
            <w:shd w:val="clear" w:color="auto" w:fill="auto"/>
          </w:tcPr>
          <w:p w14:paraId="01594327" w14:textId="77777777" w:rsidR="00D46B62" w:rsidRPr="003F7F6C" w:rsidRDefault="00D46B62" w:rsidP="00D46B62">
            <w:pPr>
              <w:spacing w:after="119" w:line="216" w:lineRule="atLeast"/>
              <w:ind w:right="42"/>
              <w:jc w:val="left"/>
              <w:rPr>
                <w:rFonts w:cs="Calibri"/>
                <w:sz w:val="18"/>
                <w:szCs w:val="18"/>
              </w:rPr>
            </w:pPr>
            <w:r w:rsidRPr="003F7F6C">
              <w:rPr>
                <w:rFonts w:cs="Calibri"/>
                <w:sz w:val="18"/>
                <w:szCs w:val="18"/>
              </w:rPr>
              <w:t>National Director of Environmental Land Use Planning (DNPyOAT) of the SPARN</w:t>
            </w:r>
          </w:p>
        </w:tc>
      </w:tr>
      <w:tr w:rsidR="00D46B62" w:rsidRPr="003F7F6C" w14:paraId="2090BE23" w14:textId="77777777" w:rsidTr="00553F65">
        <w:tc>
          <w:tcPr>
            <w:tcW w:w="1838" w:type="dxa"/>
          </w:tcPr>
          <w:p w14:paraId="22BD74E1"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Corso, María Laura</w:t>
            </w:r>
          </w:p>
        </w:tc>
        <w:tc>
          <w:tcPr>
            <w:tcW w:w="2977" w:type="dxa"/>
          </w:tcPr>
          <w:p w14:paraId="59398DCA"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SGAyDS</w:t>
            </w:r>
          </w:p>
        </w:tc>
        <w:tc>
          <w:tcPr>
            <w:tcW w:w="3673" w:type="dxa"/>
            <w:shd w:val="clear" w:color="auto" w:fill="auto"/>
          </w:tcPr>
          <w:p w14:paraId="1001651D" w14:textId="77777777" w:rsidR="00D46B62" w:rsidRPr="003F7F6C" w:rsidRDefault="00D46B62" w:rsidP="00D46B62">
            <w:pPr>
              <w:spacing w:after="119" w:line="216" w:lineRule="atLeast"/>
              <w:ind w:right="42"/>
              <w:jc w:val="left"/>
              <w:rPr>
                <w:rFonts w:cs="Calibri"/>
                <w:sz w:val="18"/>
                <w:szCs w:val="18"/>
              </w:rPr>
            </w:pPr>
            <w:r w:rsidRPr="003F7F6C">
              <w:rPr>
                <w:rFonts w:cs="Calibri"/>
                <w:sz w:val="18"/>
                <w:szCs w:val="18"/>
              </w:rPr>
              <w:t>Expert on Soil and the Fight against Desertification, DNPyOAT</w:t>
            </w:r>
          </w:p>
        </w:tc>
      </w:tr>
      <w:tr w:rsidR="00D46B62" w:rsidRPr="003F7F6C" w14:paraId="3FD771AF" w14:textId="77777777" w:rsidTr="00553F65">
        <w:tc>
          <w:tcPr>
            <w:tcW w:w="1838" w:type="dxa"/>
          </w:tcPr>
          <w:p w14:paraId="6BDB0BD2"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Pietragalla, Vanina</w:t>
            </w:r>
          </w:p>
        </w:tc>
        <w:tc>
          <w:tcPr>
            <w:tcW w:w="2977" w:type="dxa"/>
          </w:tcPr>
          <w:p w14:paraId="4D615F97"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SGAyDS</w:t>
            </w:r>
          </w:p>
        </w:tc>
        <w:tc>
          <w:tcPr>
            <w:tcW w:w="3673" w:type="dxa"/>
            <w:shd w:val="clear" w:color="auto" w:fill="auto"/>
          </w:tcPr>
          <w:p w14:paraId="2B9CF7B4"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ELUP Expert, DNPyOAT</w:t>
            </w:r>
          </w:p>
        </w:tc>
      </w:tr>
      <w:tr w:rsidR="00D46B62" w:rsidRPr="003F7F6C" w14:paraId="0908A248" w14:textId="77777777" w:rsidTr="00553F65">
        <w:tc>
          <w:tcPr>
            <w:tcW w:w="1838" w:type="dxa"/>
          </w:tcPr>
          <w:p w14:paraId="47311061"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Chiavassa, Silvia</w:t>
            </w:r>
          </w:p>
        </w:tc>
        <w:tc>
          <w:tcPr>
            <w:tcW w:w="2977" w:type="dxa"/>
          </w:tcPr>
          <w:p w14:paraId="404E2FDB"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SGAyDS</w:t>
            </w:r>
          </w:p>
        </w:tc>
        <w:tc>
          <w:tcPr>
            <w:tcW w:w="3673" w:type="dxa"/>
            <w:shd w:val="clear" w:color="auto" w:fill="auto"/>
          </w:tcPr>
          <w:p w14:paraId="128EBD80"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DNPyOAT</w:t>
            </w:r>
          </w:p>
        </w:tc>
      </w:tr>
      <w:tr w:rsidR="00D46B62" w:rsidRPr="003F7F6C" w14:paraId="49DDFE8F" w14:textId="77777777" w:rsidTr="00553F65">
        <w:tc>
          <w:tcPr>
            <w:tcW w:w="1838" w:type="dxa"/>
          </w:tcPr>
          <w:p w14:paraId="2B466246"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Pien, Graciela</w:t>
            </w:r>
          </w:p>
        </w:tc>
        <w:tc>
          <w:tcPr>
            <w:tcW w:w="2977" w:type="dxa"/>
          </w:tcPr>
          <w:p w14:paraId="4634E129"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SGAyDS</w:t>
            </w:r>
          </w:p>
        </w:tc>
        <w:tc>
          <w:tcPr>
            <w:tcW w:w="3673" w:type="dxa"/>
            <w:shd w:val="clear" w:color="auto" w:fill="auto"/>
          </w:tcPr>
          <w:p w14:paraId="75AEB18A"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 xml:space="preserve">Protected Areas Expert, DNPyOAT </w:t>
            </w:r>
          </w:p>
        </w:tc>
      </w:tr>
      <w:tr w:rsidR="00D46B62" w:rsidRPr="003F7F6C" w14:paraId="080AE743" w14:textId="77777777" w:rsidTr="00553F65">
        <w:tc>
          <w:tcPr>
            <w:tcW w:w="1838" w:type="dxa"/>
          </w:tcPr>
          <w:p w14:paraId="647B7E80"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Fabricant, Jorge</w:t>
            </w:r>
          </w:p>
        </w:tc>
        <w:tc>
          <w:tcPr>
            <w:tcW w:w="2977" w:type="dxa"/>
          </w:tcPr>
          <w:p w14:paraId="70B0EA6F"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SGAyDS</w:t>
            </w:r>
          </w:p>
        </w:tc>
        <w:tc>
          <w:tcPr>
            <w:tcW w:w="3673" w:type="dxa"/>
          </w:tcPr>
          <w:p w14:paraId="4E1EA0C8"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DNPyOAT</w:t>
            </w:r>
          </w:p>
        </w:tc>
      </w:tr>
      <w:tr w:rsidR="00D46B62" w:rsidRPr="003F7F6C" w14:paraId="2DF73009" w14:textId="77777777" w:rsidTr="00553F65">
        <w:tc>
          <w:tcPr>
            <w:tcW w:w="1838" w:type="dxa"/>
          </w:tcPr>
          <w:p w14:paraId="25569736"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Heider, Jorge</w:t>
            </w:r>
          </w:p>
        </w:tc>
        <w:tc>
          <w:tcPr>
            <w:tcW w:w="2977" w:type="dxa"/>
          </w:tcPr>
          <w:p w14:paraId="05F3A9FE"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SGAyDS</w:t>
            </w:r>
          </w:p>
        </w:tc>
        <w:tc>
          <w:tcPr>
            <w:tcW w:w="3673" w:type="dxa"/>
          </w:tcPr>
          <w:p w14:paraId="6FCD31AA"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DNPyOAT</w:t>
            </w:r>
          </w:p>
        </w:tc>
      </w:tr>
      <w:tr w:rsidR="00D46B62" w:rsidRPr="003F7F6C" w14:paraId="258D18E7" w14:textId="77777777" w:rsidTr="00553F65">
        <w:tc>
          <w:tcPr>
            <w:tcW w:w="1838" w:type="dxa"/>
          </w:tcPr>
          <w:p w14:paraId="7EFA84AF"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Tonelli, María</w:t>
            </w:r>
          </w:p>
        </w:tc>
        <w:tc>
          <w:tcPr>
            <w:tcW w:w="2977" w:type="dxa"/>
          </w:tcPr>
          <w:p w14:paraId="6BC12F59"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SGAyDS</w:t>
            </w:r>
          </w:p>
        </w:tc>
        <w:tc>
          <w:tcPr>
            <w:tcW w:w="3673" w:type="dxa"/>
          </w:tcPr>
          <w:p w14:paraId="6D425A3F"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DNPyOAT</w:t>
            </w:r>
          </w:p>
        </w:tc>
      </w:tr>
      <w:tr w:rsidR="00D46B62" w:rsidRPr="003F7F6C" w14:paraId="25E61B7F" w14:textId="77777777" w:rsidTr="00553F65">
        <w:tc>
          <w:tcPr>
            <w:tcW w:w="1838" w:type="dxa"/>
          </w:tcPr>
          <w:p w14:paraId="31010CB1"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García García, Fernando</w:t>
            </w:r>
          </w:p>
        </w:tc>
        <w:tc>
          <w:tcPr>
            <w:tcW w:w="2977" w:type="dxa"/>
          </w:tcPr>
          <w:p w14:paraId="1050B3AD"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SGAyDS</w:t>
            </w:r>
          </w:p>
        </w:tc>
        <w:tc>
          <w:tcPr>
            <w:tcW w:w="3673" w:type="dxa"/>
          </w:tcPr>
          <w:p w14:paraId="0309B15E"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DNPyOAT</w:t>
            </w:r>
          </w:p>
        </w:tc>
      </w:tr>
      <w:tr w:rsidR="00D46B62" w:rsidRPr="003F7F6C" w14:paraId="358ED2BE" w14:textId="77777777" w:rsidTr="00553F65">
        <w:tc>
          <w:tcPr>
            <w:tcW w:w="1838" w:type="dxa"/>
          </w:tcPr>
          <w:p w14:paraId="07B9A166"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Martínez, Paula</w:t>
            </w:r>
          </w:p>
        </w:tc>
        <w:tc>
          <w:tcPr>
            <w:tcW w:w="2977" w:type="dxa"/>
          </w:tcPr>
          <w:p w14:paraId="77716A64"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SGAyDS</w:t>
            </w:r>
          </w:p>
        </w:tc>
        <w:tc>
          <w:tcPr>
            <w:tcW w:w="3673" w:type="dxa"/>
          </w:tcPr>
          <w:p w14:paraId="550B8233"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DNPyOAT</w:t>
            </w:r>
          </w:p>
        </w:tc>
      </w:tr>
      <w:tr w:rsidR="00D46B62" w:rsidRPr="003F7F6C" w14:paraId="6DEEC753" w14:textId="77777777" w:rsidTr="00553F65">
        <w:tc>
          <w:tcPr>
            <w:tcW w:w="1838" w:type="dxa"/>
          </w:tcPr>
          <w:p w14:paraId="4337924C"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Etorena, Joaquín</w:t>
            </w:r>
          </w:p>
        </w:tc>
        <w:tc>
          <w:tcPr>
            <w:tcW w:w="2977" w:type="dxa"/>
          </w:tcPr>
          <w:p w14:paraId="45F44E31"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SGAyDS</w:t>
            </w:r>
          </w:p>
        </w:tc>
        <w:tc>
          <w:tcPr>
            <w:tcW w:w="3673" w:type="dxa"/>
          </w:tcPr>
          <w:p w14:paraId="48688CCF" w14:textId="77777777" w:rsidR="00D46B62" w:rsidRPr="003F7F6C" w:rsidRDefault="00D46B62" w:rsidP="00D46B62">
            <w:pPr>
              <w:spacing w:after="119" w:line="216" w:lineRule="atLeast"/>
              <w:ind w:right="42"/>
              <w:jc w:val="left"/>
              <w:rPr>
                <w:rFonts w:cs="Calibri"/>
                <w:sz w:val="18"/>
                <w:szCs w:val="18"/>
              </w:rPr>
            </w:pPr>
            <w:r w:rsidRPr="003F7F6C">
              <w:rPr>
                <w:rFonts w:cs="Calibri"/>
                <w:sz w:val="18"/>
                <w:szCs w:val="18"/>
              </w:rPr>
              <w:t>Coordinator of the World Bank Project, "Increasing Climate Resilience and Enhancing Sustainable Land Management in the Southwest of the Buenos Aires Province"</w:t>
            </w:r>
          </w:p>
        </w:tc>
      </w:tr>
      <w:tr w:rsidR="00D46B62" w:rsidRPr="003F7F6C" w14:paraId="5F55B407" w14:textId="77777777" w:rsidTr="00553F65">
        <w:tc>
          <w:tcPr>
            <w:tcW w:w="1838" w:type="dxa"/>
          </w:tcPr>
          <w:p w14:paraId="7C61AB18"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Gaspes, Ezequiel</w:t>
            </w:r>
          </w:p>
        </w:tc>
        <w:tc>
          <w:tcPr>
            <w:tcW w:w="2977" w:type="dxa"/>
          </w:tcPr>
          <w:p w14:paraId="49ED9FF2" w14:textId="77777777" w:rsidR="00D46B62" w:rsidRPr="003F7F6C" w:rsidRDefault="00D46B62" w:rsidP="00D46B62">
            <w:pPr>
              <w:spacing w:after="119" w:line="216" w:lineRule="atLeast"/>
              <w:ind w:right="42"/>
              <w:jc w:val="center"/>
              <w:rPr>
                <w:rFonts w:cs="Calibri"/>
                <w:sz w:val="18"/>
                <w:szCs w:val="18"/>
                <w:lang w:val="es-AR"/>
              </w:rPr>
            </w:pPr>
          </w:p>
        </w:tc>
        <w:tc>
          <w:tcPr>
            <w:tcW w:w="3673" w:type="dxa"/>
          </w:tcPr>
          <w:p w14:paraId="3C1DD3DE" w14:textId="77777777" w:rsidR="00D46B62" w:rsidRPr="003F7F6C" w:rsidRDefault="00D46B62" w:rsidP="00D46B62">
            <w:pPr>
              <w:spacing w:after="119" w:line="216" w:lineRule="atLeast"/>
              <w:ind w:right="42"/>
              <w:jc w:val="left"/>
              <w:rPr>
                <w:rFonts w:cs="Calibri"/>
                <w:sz w:val="18"/>
                <w:szCs w:val="18"/>
              </w:rPr>
            </w:pPr>
            <w:r w:rsidRPr="003F7F6C">
              <w:rPr>
                <w:rFonts w:cs="Calibri"/>
                <w:sz w:val="18"/>
                <w:szCs w:val="18"/>
              </w:rPr>
              <w:t>World Bank Project, "Increasing Climate Resilience and Enhancing Sustainable Land Management in the Southwest of the Buenos Aires Province"</w:t>
            </w:r>
          </w:p>
        </w:tc>
      </w:tr>
      <w:tr w:rsidR="00D46B62" w:rsidRPr="003F7F6C" w14:paraId="158BCFDA" w14:textId="77777777" w:rsidTr="00553F65">
        <w:tc>
          <w:tcPr>
            <w:tcW w:w="1838" w:type="dxa"/>
          </w:tcPr>
          <w:p w14:paraId="75E85C36"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Sívori, Pablo</w:t>
            </w:r>
          </w:p>
        </w:tc>
        <w:tc>
          <w:tcPr>
            <w:tcW w:w="2977" w:type="dxa"/>
          </w:tcPr>
          <w:p w14:paraId="6E26847E" w14:textId="77777777" w:rsidR="00D46B62" w:rsidRPr="003F7F6C" w:rsidRDefault="00D46B62" w:rsidP="00D46B62">
            <w:pPr>
              <w:spacing w:after="119" w:line="216" w:lineRule="atLeast"/>
              <w:ind w:right="42"/>
              <w:jc w:val="center"/>
              <w:rPr>
                <w:rFonts w:cs="Calibri"/>
                <w:sz w:val="18"/>
                <w:szCs w:val="18"/>
                <w:lang w:val="es-AR"/>
              </w:rPr>
            </w:pPr>
          </w:p>
        </w:tc>
        <w:tc>
          <w:tcPr>
            <w:tcW w:w="3673" w:type="dxa"/>
          </w:tcPr>
          <w:p w14:paraId="56B5BFCC" w14:textId="77777777" w:rsidR="00D46B62" w:rsidRPr="003F7F6C" w:rsidRDefault="00D46B62" w:rsidP="00D46B62">
            <w:pPr>
              <w:spacing w:after="119" w:line="216" w:lineRule="atLeast"/>
              <w:ind w:right="42"/>
              <w:jc w:val="left"/>
              <w:rPr>
                <w:rFonts w:cs="Calibri"/>
                <w:sz w:val="18"/>
                <w:szCs w:val="18"/>
              </w:rPr>
            </w:pPr>
            <w:r w:rsidRPr="003F7F6C">
              <w:rPr>
                <w:rFonts w:cs="Calibri"/>
                <w:sz w:val="18"/>
                <w:szCs w:val="18"/>
              </w:rPr>
              <w:t>World Bank Project, "Increasing Climate Resilience and Enhancing Sustainable Land Management in the Southwest of the Buenos Aires Province"</w:t>
            </w:r>
          </w:p>
        </w:tc>
      </w:tr>
      <w:tr w:rsidR="00D46B62" w:rsidRPr="003F7F6C" w14:paraId="67262083" w14:textId="77777777" w:rsidTr="00553F65">
        <w:tc>
          <w:tcPr>
            <w:tcW w:w="1838" w:type="dxa"/>
          </w:tcPr>
          <w:p w14:paraId="2FB19066"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Iza, Hugo</w:t>
            </w:r>
          </w:p>
        </w:tc>
        <w:tc>
          <w:tcPr>
            <w:tcW w:w="2977" w:type="dxa"/>
          </w:tcPr>
          <w:p w14:paraId="49FD675B"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SGAyDS</w:t>
            </w:r>
          </w:p>
        </w:tc>
        <w:tc>
          <w:tcPr>
            <w:tcW w:w="3673" w:type="dxa"/>
          </w:tcPr>
          <w:p w14:paraId="1972E0C8" w14:textId="77777777" w:rsidR="00D46B62" w:rsidRPr="003F7F6C" w:rsidRDefault="00D46B62" w:rsidP="00D46B62">
            <w:pPr>
              <w:spacing w:after="119" w:line="216" w:lineRule="atLeast"/>
              <w:ind w:right="42"/>
              <w:jc w:val="left"/>
              <w:rPr>
                <w:rFonts w:cs="Calibri"/>
                <w:sz w:val="18"/>
                <w:szCs w:val="18"/>
              </w:rPr>
            </w:pPr>
            <w:r w:rsidRPr="003F7F6C">
              <w:rPr>
                <w:rFonts w:cs="Calibri"/>
                <w:sz w:val="18"/>
                <w:szCs w:val="18"/>
              </w:rPr>
              <w:t>Project Coordinator MST NOA CUYO "Sustainable Land Management in the Dry Regions of the Argentine Northwest" UNDP ARG/14/G55</w:t>
            </w:r>
          </w:p>
        </w:tc>
      </w:tr>
      <w:tr w:rsidR="00D46B62" w:rsidRPr="003F7F6C" w14:paraId="756AB8D2" w14:textId="77777777" w:rsidTr="00553F65">
        <w:tc>
          <w:tcPr>
            <w:tcW w:w="1838" w:type="dxa"/>
          </w:tcPr>
          <w:p w14:paraId="3CBA22D9" w14:textId="77777777" w:rsidR="00D46B62" w:rsidRPr="003F7F6C" w:rsidRDefault="00D46B62" w:rsidP="00D46B62">
            <w:pPr>
              <w:spacing w:after="160" w:line="259" w:lineRule="auto"/>
              <w:jc w:val="left"/>
              <w:rPr>
                <w:rFonts w:cs="Calibri"/>
                <w:sz w:val="18"/>
                <w:szCs w:val="18"/>
                <w:lang w:val="es-ES"/>
              </w:rPr>
            </w:pPr>
            <w:r w:rsidRPr="003F7F6C">
              <w:rPr>
                <w:rFonts w:cs="Calibri"/>
                <w:sz w:val="18"/>
                <w:szCs w:val="18"/>
                <w:lang w:val="es-AR"/>
              </w:rPr>
              <w:t>Buitrago, Nicolás</w:t>
            </w:r>
          </w:p>
        </w:tc>
        <w:tc>
          <w:tcPr>
            <w:tcW w:w="2977" w:type="dxa"/>
          </w:tcPr>
          <w:p w14:paraId="4BD7AFD4" w14:textId="77777777" w:rsidR="00D46B62" w:rsidRPr="003F7F6C" w:rsidRDefault="00D46B62" w:rsidP="00D46B62">
            <w:pPr>
              <w:spacing w:after="119" w:line="216" w:lineRule="atLeast"/>
              <w:ind w:right="42"/>
              <w:jc w:val="center"/>
              <w:rPr>
                <w:rFonts w:cs="Calibri"/>
                <w:sz w:val="18"/>
                <w:szCs w:val="18"/>
                <w:lang w:val="es-AR"/>
              </w:rPr>
            </w:pPr>
          </w:p>
        </w:tc>
        <w:tc>
          <w:tcPr>
            <w:tcW w:w="3673" w:type="dxa"/>
          </w:tcPr>
          <w:p w14:paraId="2C813F6B" w14:textId="77777777" w:rsidR="00D46B62" w:rsidRPr="003F7F6C" w:rsidRDefault="00D46B62" w:rsidP="00D46B62">
            <w:pPr>
              <w:spacing w:after="119" w:line="216" w:lineRule="atLeast"/>
              <w:ind w:right="42"/>
              <w:jc w:val="left"/>
              <w:rPr>
                <w:sz w:val="18"/>
                <w:szCs w:val="18"/>
              </w:rPr>
            </w:pPr>
            <w:r w:rsidRPr="003F7F6C">
              <w:rPr>
                <w:rFonts w:cs="Calibri"/>
                <w:sz w:val="18"/>
                <w:szCs w:val="18"/>
              </w:rPr>
              <w:t>Project MST NOA CUYO "Sustainable Land Management in the Dry Areas of the Argentine Northwest" UNDP ARG/14/G55</w:t>
            </w:r>
          </w:p>
        </w:tc>
      </w:tr>
      <w:tr w:rsidR="00D46B62" w:rsidRPr="003F7F6C" w14:paraId="7C481298" w14:textId="77777777" w:rsidTr="00553F65">
        <w:tc>
          <w:tcPr>
            <w:tcW w:w="1838" w:type="dxa"/>
          </w:tcPr>
          <w:p w14:paraId="1A413F09"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Apellaniz, Melisa</w:t>
            </w:r>
          </w:p>
        </w:tc>
        <w:tc>
          <w:tcPr>
            <w:tcW w:w="2977" w:type="dxa"/>
          </w:tcPr>
          <w:p w14:paraId="541C01BA"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SGAyDS</w:t>
            </w:r>
          </w:p>
        </w:tc>
        <w:tc>
          <w:tcPr>
            <w:tcW w:w="3673" w:type="dxa"/>
          </w:tcPr>
          <w:p w14:paraId="517B2505" w14:textId="77777777" w:rsidR="00D46B62" w:rsidRPr="003F7F6C" w:rsidRDefault="00D46B62" w:rsidP="00D46B62">
            <w:pPr>
              <w:spacing w:after="119" w:line="216" w:lineRule="atLeast"/>
              <w:ind w:right="42"/>
              <w:jc w:val="left"/>
              <w:rPr>
                <w:sz w:val="18"/>
                <w:szCs w:val="18"/>
                <w:lang w:val="es-ES"/>
              </w:rPr>
            </w:pPr>
            <w:r w:rsidRPr="003F7F6C">
              <w:rPr>
                <w:rFonts w:cs="Calibri"/>
                <w:sz w:val="18"/>
                <w:szCs w:val="18"/>
                <w:lang w:val="es-AR"/>
              </w:rPr>
              <w:t xml:space="preserve">National Biodiversity Directorate   </w:t>
            </w:r>
          </w:p>
        </w:tc>
      </w:tr>
      <w:tr w:rsidR="00D46B62" w:rsidRPr="003F7F6C" w14:paraId="3B0AA6EA" w14:textId="77777777" w:rsidTr="00553F65">
        <w:tc>
          <w:tcPr>
            <w:tcW w:w="1838" w:type="dxa"/>
          </w:tcPr>
          <w:p w14:paraId="73FE52FE"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Banchs, Ricardo</w:t>
            </w:r>
          </w:p>
        </w:tc>
        <w:tc>
          <w:tcPr>
            <w:tcW w:w="2977" w:type="dxa"/>
          </w:tcPr>
          <w:p w14:paraId="7EC2CB30"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SGAyDS</w:t>
            </w:r>
          </w:p>
        </w:tc>
        <w:tc>
          <w:tcPr>
            <w:tcW w:w="3673" w:type="dxa"/>
          </w:tcPr>
          <w:p w14:paraId="11F9E674" w14:textId="77777777" w:rsidR="00D46B62" w:rsidRPr="003F7F6C" w:rsidRDefault="00D46B62" w:rsidP="00D46B62">
            <w:pPr>
              <w:spacing w:after="119" w:line="216" w:lineRule="atLeast"/>
              <w:ind w:right="42"/>
              <w:jc w:val="left"/>
              <w:rPr>
                <w:sz w:val="18"/>
                <w:szCs w:val="18"/>
                <w:lang w:val="es-ES"/>
              </w:rPr>
            </w:pPr>
            <w:r w:rsidRPr="003F7F6C">
              <w:rPr>
                <w:rFonts w:cs="Calibri"/>
                <w:sz w:val="18"/>
                <w:szCs w:val="18"/>
                <w:lang w:val="es-AR"/>
              </w:rPr>
              <w:t xml:space="preserve">National Biodiversity Directorate   </w:t>
            </w:r>
          </w:p>
        </w:tc>
      </w:tr>
      <w:tr w:rsidR="00D46B62" w:rsidRPr="003F7F6C" w14:paraId="1B54F62A" w14:textId="77777777" w:rsidTr="00553F65">
        <w:tc>
          <w:tcPr>
            <w:tcW w:w="1838" w:type="dxa"/>
          </w:tcPr>
          <w:p w14:paraId="22B23062"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Marino, Gustavo</w:t>
            </w:r>
          </w:p>
        </w:tc>
        <w:tc>
          <w:tcPr>
            <w:tcW w:w="2977" w:type="dxa"/>
          </w:tcPr>
          <w:p w14:paraId="28F6DD1F"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SGAyDS</w:t>
            </w:r>
          </w:p>
        </w:tc>
        <w:tc>
          <w:tcPr>
            <w:tcW w:w="3673" w:type="dxa"/>
          </w:tcPr>
          <w:p w14:paraId="218DA69C" w14:textId="77777777" w:rsidR="00D46B62" w:rsidRPr="003F7F6C" w:rsidRDefault="00D46B62" w:rsidP="00D46B62">
            <w:pPr>
              <w:spacing w:after="119" w:line="216" w:lineRule="atLeast"/>
              <w:ind w:right="42"/>
              <w:jc w:val="left"/>
              <w:rPr>
                <w:sz w:val="18"/>
                <w:szCs w:val="18"/>
              </w:rPr>
            </w:pPr>
            <w:r w:rsidRPr="003F7F6C">
              <w:rPr>
                <w:rFonts w:cs="Calibri"/>
                <w:sz w:val="18"/>
                <w:szCs w:val="18"/>
              </w:rPr>
              <w:t>Coordinator of the Sustainable Use of Biodiversity Project (USUBI) - UNDP ARG 15/G53</w:t>
            </w:r>
          </w:p>
          <w:p w14:paraId="523D78ED" w14:textId="77777777" w:rsidR="00D46B62" w:rsidRPr="003F7F6C" w:rsidRDefault="00D46B62" w:rsidP="00D46B62">
            <w:pPr>
              <w:spacing w:after="119" w:line="216" w:lineRule="atLeast"/>
              <w:ind w:right="42"/>
              <w:jc w:val="left"/>
              <w:rPr>
                <w:sz w:val="18"/>
                <w:szCs w:val="18"/>
              </w:rPr>
            </w:pPr>
          </w:p>
        </w:tc>
      </w:tr>
      <w:tr w:rsidR="00D46B62" w:rsidRPr="003F7F6C" w14:paraId="69872DD1" w14:textId="77777777" w:rsidTr="00553F65">
        <w:tc>
          <w:tcPr>
            <w:tcW w:w="1838" w:type="dxa"/>
          </w:tcPr>
          <w:p w14:paraId="25746979"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Bonafina, Micaela</w:t>
            </w:r>
          </w:p>
        </w:tc>
        <w:tc>
          <w:tcPr>
            <w:tcW w:w="2977" w:type="dxa"/>
          </w:tcPr>
          <w:p w14:paraId="7DFF13FB"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SGAyDS</w:t>
            </w:r>
          </w:p>
        </w:tc>
        <w:tc>
          <w:tcPr>
            <w:tcW w:w="3673" w:type="dxa"/>
          </w:tcPr>
          <w:p w14:paraId="3DAE79E5" w14:textId="77777777" w:rsidR="00D46B62" w:rsidRPr="003F7F6C" w:rsidRDefault="00D46B62" w:rsidP="00D46B62">
            <w:pPr>
              <w:spacing w:after="119" w:line="216" w:lineRule="atLeast"/>
              <w:ind w:right="42"/>
              <w:jc w:val="left"/>
              <w:rPr>
                <w:sz w:val="18"/>
                <w:szCs w:val="18"/>
              </w:rPr>
            </w:pPr>
            <w:r w:rsidRPr="003F7F6C">
              <w:rPr>
                <w:rFonts w:cs="Calibri"/>
                <w:sz w:val="18"/>
                <w:szCs w:val="18"/>
              </w:rPr>
              <w:t xml:space="preserve">Project Coordinator </w:t>
            </w:r>
            <w:r w:rsidRPr="003F7F6C">
              <w:rPr>
                <w:rFonts w:cs="Calibri"/>
                <w:color w:val="212121"/>
                <w:sz w:val="18"/>
                <w:szCs w:val="18"/>
              </w:rPr>
              <w:t>"Promoting the application of the Nagoya Protocol on ABS in Argentina" - UNDP ARG 16 G54</w:t>
            </w:r>
          </w:p>
        </w:tc>
      </w:tr>
      <w:tr w:rsidR="00D46B62" w:rsidRPr="003F7F6C" w14:paraId="2E239021" w14:textId="77777777" w:rsidTr="00553F65">
        <w:tc>
          <w:tcPr>
            <w:tcW w:w="1838" w:type="dxa"/>
          </w:tcPr>
          <w:p w14:paraId="01F58CC9"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Cano, Juan Pedro</w:t>
            </w:r>
          </w:p>
        </w:tc>
        <w:tc>
          <w:tcPr>
            <w:tcW w:w="2977" w:type="dxa"/>
          </w:tcPr>
          <w:p w14:paraId="4426B70A"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SGAyDS</w:t>
            </w:r>
          </w:p>
        </w:tc>
        <w:tc>
          <w:tcPr>
            <w:tcW w:w="3673" w:type="dxa"/>
          </w:tcPr>
          <w:p w14:paraId="1C48C112" w14:textId="77777777" w:rsidR="00D46B62" w:rsidRPr="003F7F6C" w:rsidRDefault="00D46B62" w:rsidP="00D46B62">
            <w:pPr>
              <w:spacing w:after="119" w:line="216" w:lineRule="atLeast"/>
              <w:ind w:right="42"/>
              <w:jc w:val="left"/>
              <w:rPr>
                <w:sz w:val="18"/>
                <w:szCs w:val="18"/>
                <w:lang w:val="es-ES"/>
              </w:rPr>
            </w:pPr>
            <w:r w:rsidRPr="003F7F6C">
              <w:rPr>
                <w:rFonts w:cs="Calibri"/>
                <w:sz w:val="18"/>
                <w:szCs w:val="18"/>
                <w:lang w:val="es-AR"/>
              </w:rPr>
              <w:t>National Forest Director (DNB)</w:t>
            </w:r>
          </w:p>
        </w:tc>
      </w:tr>
      <w:tr w:rsidR="00D46B62" w:rsidRPr="003F7F6C" w14:paraId="5F7C1A9C" w14:textId="77777777" w:rsidTr="00553F65">
        <w:tc>
          <w:tcPr>
            <w:tcW w:w="1838" w:type="dxa"/>
          </w:tcPr>
          <w:p w14:paraId="255D0B7F"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Fermani, Sebastian</w:t>
            </w:r>
          </w:p>
        </w:tc>
        <w:tc>
          <w:tcPr>
            <w:tcW w:w="2977" w:type="dxa"/>
          </w:tcPr>
          <w:p w14:paraId="7D8EC1E1"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SGAyDS</w:t>
            </w:r>
          </w:p>
        </w:tc>
        <w:tc>
          <w:tcPr>
            <w:tcW w:w="3673" w:type="dxa"/>
          </w:tcPr>
          <w:p w14:paraId="68B0BE29" w14:textId="77777777" w:rsidR="00D46B62" w:rsidRPr="003F7F6C" w:rsidRDefault="00D46B62" w:rsidP="00D46B62">
            <w:pPr>
              <w:spacing w:after="119" w:line="216" w:lineRule="atLeast"/>
              <w:ind w:right="42"/>
              <w:jc w:val="left"/>
              <w:rPr>
                <w:sz w:val="18"/>
                <w:szCs w:val="18"/>
              </w:rPr>
            </w:pPr>
            <w:r w:rsidRPr="003F7F6C">
              <w:rPr>
                <w:rFonts w:cs="Calibri"/>
                <w:sz w:val="18"/>
                <w:szCs w:val="18"/>
              </w:rPr>
              <w:t>National Programme Coordinator for the Protection of Native Forests</w:t>
            </w:r>
          </w:p>
        </w:tc>
      </w:tr>
      <w:tr w:rsidR="00D46B62" w:rsidRPr="003F7F6C" w14:paraId="1F7177EE" w14:textId="77777777" w:rsidTr="00553F65">
        <w:tc>
          <w:tcPr>
            <w:tcW w:w="1838" w:type="dxa"/>
          </w:tcPr>
          <w:p w14:paraId="3715CC35"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Bono, Julieta</w:t>
            </w:r>
          </w:p>
        </w:tc>
        <w:tc>
          <w:tcPr>
            <w:tcW w:w="2977" w:type="dxa"/>
          </w:tcPr>
          <w:p w14:paraId="5A47D88E"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SGAyDS</w:t>
            </w:r>
          </w:p>
        </w:tc>
        <w:tc>
          <w:tcPr>
            <w:tcW w:w="3673" w:type="dxa"/>
          </w:tcPr>
          <w:p w14:paraId="114BAE7C" w14:textId="77777777" w:rsidR="00D46B62" w:rsidRPr="003F7F6C" w:rsidRDefault="00D46B62" w:rsidP="00D46B62">
            <w:pPr>
              <w:spacing w:after="119" w:line="216" w:lineRule="atLeast"/>
              <w:ind w:right="42"/>
              <w:jc w:val="left"/>
              <w:rPr>
                <w:sz w:val="18"/>
                <w:szCs w:val="18"/>
                <w:lang w:val="es-ES"/>
              </w:rPr>
            </w:pPr>
            <w:r w:rsidRPr="003F7F6C">
              <w:rPr>
                <w:rFonts w:cs="Calibri"/>
                <w:sz w:val="18"/>
                <w:szCs w:val="18"/>
                <w:lang w:val="es-AR"/>
              </w:rPr>
              <w:t>DNB</w:t>
            </w:r>
          </w:p>
        </w:tc>
      </w:tr>
      <w:tr w:rsidR="00D46B62" w:rsidRPr="003F7F6C" w14:paraId="525A7BA0" w14:textId="77777777" w:rsidTr="00553F65">
        <w:tc>
          <w:tcPr>
            <w:tcW w:w="1838" w:type="dxa"/>
          </w:tcPr>
          <w:p w14:paraId="5F12B7BB"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Manghi, Eduardo</w:t>
            </w:r>
          </w:p>
        </w:tc>
        <w:tc>
          <w:tcPr>
            <w:tcW w:w="2977" w:type="dxa"/>
          </w:tcPr>
          <w:p w14:paraId="6C1F6BB4"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 xml:space="preserve">SGAyDS </w:t>
            </w:r>
          </w:p>
        </w:tc>
        <w:tc>
          <w:tcPr>
            <w:tcW w:w="3673" w:type="dxa"/>
          </w:tcPr>
          <w:p w14:paraId="0C73D261" w14:textId="77777777" w:rsidR="00D46B62" w:rsidRPr="003F7F6C" w:rsidRDefault="00D46B62" w:rsidP="00D46B62">
            <w:pPr>
              <w:spacing w:after="119" w:line="216" w:lineRule="atLeast"/>
              <w:ind w:right="42"/>
              <w:jc w:val="left"/>
              <w:rPr>
                <w:sz w:val="18"/>
                <w:szCs w:val="18"/>
                <w:lang w:val="es-ES"/>
              </w:rPr>
            </w:pPr>
            <w:r w:rsidRPr="003F7F6C">
              <w:rPr>
                <w:rFonts w:cs="Calibri"/>
                <w:sz w:val="18"/>
                <w:szCs w:val="18"/>
                <w:lang w:val="es-AR"/>
              </w:rPr>
              <w:t>DNB</w:t>
            </w:r>
          </w:p>
        </w:tc>
      </w:tr>
      <w:tr w:rsidR="00D46B62" w:rsidRPr="003F7F6C" w14:paraId="4DD6485C" w14:textId="77777777" w:rsidTr="00553F65">
        <w:tc>
          <w:tcPr>
            <w:tcW w:w="1838" w:type="dxa"/>
          </w:tcPr>
          <w:p w14:paraId="74457F4A"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García Espil, Javier</w:t>
            </w:r>
          </w:p>
        </w:tc>
        <w:tc>
          <w:tcPr>
            <w:tcW w:w="2977" w:type="dxa"/>
          </w:tcPr>
          <w:p w14:paraId="293135BE"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SGAyDS</w:t>
            </w:r>
          </w:p>
        </w:tc>
        <w:tc>
          <w:tcPr>
            <w:tcW w:w="3673" w:type="dxa"/>
          </w:tcPr>
          <w:p w14:paraId="5FE7773D" w14:textId="77777777" w:rsidR="00D46B62" w:rsidRPr="003F7F6C" w:rsidRDefault="00D46B62" w:rsidP="00D46B62">
            <w:pPr>
              <w:spacing w:after="119" w:line="216" w:lineRule="atLeast"/>
              <w:ind w:right="42"/>
              <w:jc w:val="left"/>
              <w:rPr>
                <w:sz w:val="18"/>
                <w:szCs w:val="18"/>
              </w:rPr>
            </w:pPr>
            <w:r w:rsidRPr="003F7F6C">
              <w:rPr>
                <w:rFonts w:cs="Calibri"/>
                <w:sz w:val="18"/>
                <w:szCs w:val="18"/>
              </w:rPr>
              <w:t>National Director of Environmental Management of Water and Aquatic Ecosystems (DNGAAyEA)</w:t>
            </w:r>
          </w:p>
        </w:tc>
      </w:tr>
      <w:tr w:rsidR="00D46B62" w:rsidRPr="003F7F6C" w14:paraId="4BF44E6B" w14:textId="77777777" w:rsidTr="00553F65">
        <w:tc>
          <w:tcPr>
            <w:tcW w:w="1838" w:type="dxa"/>
          </w:tcPr>
          <w:p w14:paraId="30A2CC29"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García Silva, Leandro</w:t>
            </w:r>
          </w:p>
        </w:tc>
        <w:tc>
          <w:tcPr>
            <w:tcW w:w="2977" w:type="dxa"/>
          </w:tcPr>
          <w:p w14:paraId="707F1975"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SGAyDS</w:t>
            </w:r>
          </w:p>
        </w:tc>
        <w:tc>
          <w:tcPr>
            <w:tcW w:w="3673" w:type="dxa"/>
          </w:tcPr>
          <w:p w14:paraId="5700922B" w14:textId="77777777" w:rsidR="00D46B62" w:rsidRPr="003F7F6C" w:rsidRDefault="00D46B62" w:rsidP="00D46B62">
            <w:pPr>
              <w:spacing w:after="119" w:line="216" w:lineRule="atLeast"/>
              <w:ind w:right="42"/>
              <w:jc w:val="left"/>
              <w:rPr>
                <w:sz w:val="18"/>
                <w:szCs w:val="18"/>
                <w:lang w:val="es-ES"/>
              </w:rPr>
            </w:pPr>
            <w:r w:rsidRPr="003F7F6C">
              <w:rPr>
                <w:rFonts w:cs="Calibri"/>
                <w:sz w:val="18"/>
                <w:szCs w:val="18"/>
                <w:lang w:val="es-AR"/>
              </w:rPr>
              <w:t>Water Programme Coordinator DNGAAyEA</w:t>
            </w:r>
          </w:p>
        </w:tc>
      </w:tr>
      <w:tr w:rsidR="00D46B62" w:rsidRPr="003F7F6C" w14:paraId="7BE4594A" w14:textId="77777777" w:rsidTr="00553F65">
        <w:tc>
          <w:tcPr>
            <w:tcW w:w="1838" w:type="dxa"/>
          </w:tcPr>
          <w:p w14:paraId="76712DB1"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D'Alessio, Santiago</w:t>
            </w:r>
          </w:p>
        </w:tc>
        <w:tc>
          <w:tcPr>
            <w:tcW w:w="2977" w:type="dxa"/>
          </w:tcPr>
          <w:p w14:paraId="6EF2E2CC"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SGAyDS</w:t>
            </w:r>
          </w:p>
        </w:tc>
        <w:tc>
          <w:tcPr>
            <w:tcW w:w="3673" w:type="dxa"/>
          </w:tcPr>
          <w:p w14:paraId="76F3A3EB" w14:textId="77777777" w:rsidR="00D46B62" w:rsidRPr="003F7F6C" w:rsidRDefault="00D46B62" w:rsidP="00D46B62">
            <w:pPr>
              <w:spacing w:after="119" w:line="216" w:lineRule="atLeast"/>
              <w:ind w:right="42"/>
              <w:jc w:val="left"/>
              <w:rPr>
                <w:sz w:val="18"/>
                <w:szCs w:val="18"/>
              </w:rPr>
            </w:pPr>
            <w:r w:rsidRPr="003F7F6C">
              <w:rPr>
                <w:rFonts w:cs="Calibri"/>
                <w:sz w:val="18"/>
                <w:szCs w:val="18"/>
              </w:rPr>
              <w:t>Coordinator of Biodiversity Programme associated with water DNGAAyEA</w:t>
            </w:r>
          </w:p>
        </w:tc>
      </w:tr>
      <w:tr w:rsidR="00D46B62" w:rsidRPr="003F7F6C" w14:paraId="29539E03" w14:textId="77777777" w:rsidTr="00553F65">
        <w:tc>
          <w:tcPr>
            <w:tcW w:w="1838" w:type="dxa"/>
          </w:tcPr>
          <w:p w14:paraId="024273E2"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De Nichilo, Antonio</w:t>
            </w:r>
          </w:p>
        </w:tc>
        <w:tc>
          <w:tcPr>
            <w:tcW w:w="2977" w:type="dxa"/>
          </w:tcPr>
          <w:p w14:paraId="4A644C4A"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SGAyDS</w:t>
            </w:r>
          </w:p>
        </w:tc>
        <w:tc>
          <w:tcPr>
            <w:tcW w:w="3673" w:type="dxa"/>
          </w:tcPr>
          <w:p w14:paraId="04CF8CA7" w14:textId="77777777" w:rsidR="00D46B62" w:rsidRPr="003F7F6C" w:rsidRDefault="00D46B62" w:rsidP="00D46B62">
            <w:pPr>
              <w:spacing w:after="119" w:line="216" w:lineRule="atLeast"/>
              <w:ind w:right="42"/>
              <w:jc w:val="left"/>
              <w:rPr>
                <w:sz w:val="18"/>
                <w:szCs w:val="18"/>
              </w:rPr>
            </w:pPr>
            <w:r w:rsidRPr="003F7F6C">
              <w:rPr>
                <w:rFonts w:cs="Calibri"/>
                <w:sz w:val="18"/>
                <w:szCs w:val="18"/>
              </w:rPr>
              <w:t>Coordinator of the Sea and Coasts Programme DNGAAyEA</w:t>
            </w:r>
          </w:p>
        </w:tc>
      </w:tr>
      <w:tr w:rsidR="00D46B62" w:rsidRPr="003F7F6C" w14:paraId="06131BBA" w14:textId="77777777" w:rsidTr="00553F65">
        <w:tc>
          <w:tcPr>
            <w:tcW w:w="1838" w:type="dxa"/>
          </w:tcPr>
          <w:p w14:paraId="07E1AD8A"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Pacific, Nicolás</w:t>
            </w:r>
          </w:p>
        </w:tc>
        <w:tc>
          <w:tcPr>
            <w:tcW w:w="2977" w:type="dxa"/>
          </w:tcPr>
          <w:p w14:paraId="77CB2F71"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SGAyDS</w:t>
            </w:r>
          </w:p>
        </w:tc>
        <w:tc>
          <w:tcPr>
            <w:tcW w:w="3673" w:type="dxa"/>
          </w:tcPr>
          <w:p w14:paraId="48E7F79D" w14:textId="77777777" w:rsidR="00D46B62" w:rsidRPr="003F7F6C" w:rsidRDefault="00D46B62" w:rsidP="00D46B62">
            <w:pPr>
              <w:spacing w:after="119" w:line="216" w:lineRule="atLeast"/>
              <w:ind w:right="42"/>
              <w:jc w:val="left"/>
              <w:rPr>
                <w:sz w:val="18"/>
                <w:szCs w:val="18"/>
                <w:lang w:val="es-ES"/>
              </w:rPr>
            </w:pPr>
            <w:r w:rsidRPr="003F7F6C">
              <w:rPr>
                <w:rFonts w:cs="Calibri"/>
                <w:sz w:val="18"/>
                <w:szCs w:val="18"/>
                <w:lang w:val="es-AR"/>
              </w:rPr>
              <w:t>Chief of Staff DNGAAyEA</w:t>
            </w:r>
          </w:p>
        </w:tc>
      </w:tr>
      <w:tr w:rsidR="00D46B62" w:rsidRPr="003F7F6C" w14:paraId="24E381D6" w14:textId="77777777" w:rsidTr="00553F65">
        <w:tc>
          <w:tcPr>
            <w:tcW w:w="1838" w:type="dxa"/>
          </w:tcPr>
          <w:p w14:paraId="261B724F"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Neme, Javier</w:t>
            </w:r>
          </w:p>
        </w:tc>
        <w:tc>
          <w:tcPr>
            <w:tcW w:w="2977" w:type="dxa"/>
          </w:tcPr>
          <w:p w14:paraId="05FCFBF9"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SGAyDS</w:t>
            </w:r>
          </w:p>
        </w:tc>
        <w:tc>
          <w:tcPr>
            <w:tcW w:w="3673" w:type="dxa"/>
          </w:tcPr>
          <w:p w14:paraId="555B2692" w14:textId="77777777" w:rsidR="00D46B62" w:rsidRPr="003F7F6C" w:rsidRDefault="00D46B62" w:rsidP="00D46B62">
            <w:pPr>
              <w:spacing w:after="119" w:line="216" w:lineRule="atLeast"/>
              <w:ind w:right="42"/>
              <w:jc w:val="left"/>
              <w:rPr>
                <w:sz w:val="18"/>
                <w:szCs w:val="18"/>
                <w:lang w:val="es-ES"/>
              </w:rPr>
            </w:pPr>
            <w:r w:rsidRPr="003F7F6C">
              <w:rPr>
                <w:rFonts w:cs="Calibri"/>
                <w:sz w:val="18"/>
                <w:szCs w:val="18"/>
                <w:lang w:val="es-AR"/>
              </w:rPr>
              <w:t>Environmental Information Coordinator</w:t>
            </w:r>
          </w:p>
        </w:tc>
      </w:tr>
      <w:tr w:rsidR="00D46B62" w:rsidRPr="003F7F6C" w14:paraId="7FBA80B3" w14:textId="77777777" w:rsidTr="00553F65">
        <w:trPr>
          <w:trHeight w:val="772"/>
        </w:trPr>
        <w:tc>
          <w:tcPr>
            <w:tcW w:w="1838" w:type="dxa"/>
          </w:tcPr>
          <w:p w14:paraId="46F8BD91"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Miño, Mariela</w:t>
            </w:r>
          </w:p>
        </w:tc>
        <w:tc>
          <w:tcPr>
            <w:tcW w:w="2977" w:type="dxa"/>
          </w:tcPr>
          <w:p w14:paraId="4F8D40D0"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SGAyDS</w:t>
            </w:r>
          </w:p>
        </w:tc>
        <w:tc>
          <w:tcPr>
            <w:tcW w:w="3673" w:type="dxa"/>
          </w:tcPr>
          <w:p w14:paraId="78FC3CEE" w14:textId="77777777" w:rsidR="00D46B62" w:rsidRPr="003F7F6C" w:rsidRDefault="00D46B62" w:rsidP="00D46B62">
            <w:pPr>
              <w:spacing w:after="119" w:line="216" w:lineRule="atLeast"/>
              <w:ind w:right="42"/>
              <w:jc w:val="left"/>
              <w:rPr>
                <w:sz w:val="18"/>
                <w:szCs w:val="18"/>
              </w:rPr>
            </w:pPr>
            <w:r w:rsidRPr="003F7F6C">
              <w:rPr>
                <w:rFonts w:cs="Calibri"/>
                <w:sz w:val="18"/>
                <w:szCs w:val="18"/>
              </w:rPr>
              <w:t>Expert in GIS Coordination of Environmental Information</w:t>
            </w:r>
          </w:p>
        </w:tc>
      </w:tr>
      <w:tr w:rsidR="00D46B62" w:rsidRPr="003F7F6C" w14:paraId="71510B06" w14:textId="77777777" w:rsidTr="00553F65">
        <w:tc>
          <w:tcPr>
            <w:tcW w:w="1838" w:type="dxa"/>
          </w:tcPr>
          <w:p w14:paraId="30E8582D"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Candia, Indiana</w:t>
            </w:r>
          </w:p>
        </w:tc>
        <w:tc>
          <w:tcPr>
            <w:tcW w:w="2977" w:type="dxa"/>
          </w:tcPr>
          <w:p w14:paraId="5C8B87A5"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SGAyDS</w:t>
            </w:r>
          </w:p>
        </w:tc>
        <w:tc>
          <w:tcPr>
            <w:tcW w:w="3673" w:type="dxa"/>
          </w:tcPr>
          <w:p w14:paraId="6FDFA1DA" w14:textId="77777777" w:rsidR="00D46B62" w:rsidRPr="003F7F6C" w:rsidRDefault="00D46B62" w:rsidP="00D46B62">
            <w:pPr>
              <w:spacing w:after="119" w:line="216" w:lineRule="atLeast"/>
              <w:ind w:right="42"/>
              <w:jc w:val="left"/>
              <w:rPr>
                <w:sz w:val="18"/>
                <w:szCs w:val="18"/>
              </w:rPr>
            </w:pPr>
            <w:r w:rsidRPr="003F7F6C">
              <w:rPr>
                <w:rFonts w:cs="Calibri"/>
                <w:sz w:val="18"/>
                <w:szCs w:val="18"/>
                <w:lang w:val="es-AR"/>
              </w:rPr>
              <w:t xml:space="preserve">SPARN Communication </w:t>
            </w:r>
          </w:p>
        </w:tc>
      </w:tr>
      <w:tr w:rsidR="00D46B62" w:rsidRPr="003F7F6C" w14:paraId="65E04591" w14:textId="77777777" w:rsidTr="00553F65">
        <w:tc>
          <w:tcPr>
            <w:tcW w:w="1838" w:type="dxa"/>
          </w:tcPr>
          <w:p w14:paraId="4D20D57F"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Ferrando, Juan</w:t>
            </w:r>
          </w:p>
        </w:tc>
        <w:tc>
          <w:tcPr>
            <w:tcW w:w="2977" w:type="dxa"/>
          </w:tcPr>
          <w:p w14:paraId="7FAB4DC3"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UN-Environment</w:t>
            </w:r>
          </w:p>
        </w:tc>
        <w:tc>
          <w:tcPr>
            <w:tcW w:w="3673" w:type="dxa"/>
          </w:tcPr>
          <w:p w14:paraId="69D32FDE" w14:textId="77777777" w:rsidR="00D46B62" w:rsidRPr="003F7F6C" w:rsidRDefault="00D46B62" w:rsidP="00D46B62">
            <w:pPr>
              <w:spacing w:after="119" w:line="216" w:lineRule="atLeast"/>
              <w:ind w:right="42"/>
              <w:jc w:val="left"/>
              <w:rPr>
                <w:sz w:val="18"/>
                <w:szCs w:val="18"/>
                <w:lang w:val="es-ES"/>
              </w:rPr>
            </w:pPr>
            <w:r w:rsidRPr="003F7F6C">
              <w:rPr>
                <w:rFonts w:cs="Calibri"/>
                <w:sz w:val="18"/>
                <w:szCs w:val="18"/>
                <w:lang w:val="es-AR"/>
              </w:rPr>
              <w:t>Regional Adviser ONUREDD</w:t>
            </w:r>
          </w:p>
        </w:tc>
      </w:tr>
      <w:tr w:rsidR="00D46B62" w:rsidRPr="003F7F6C" w14:paraId="16C777A4" w14:textId="77777777" w:rsidTr="00553F65">
        <w:tc>
          <w:tcPr>
            <w:tcW w:w="1838" w:type="dxa"/>
          </w:tcPr>
          <w:p w14:paraId="67D9B76C"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De Lamo, Xavier</w:t>
            </w:r>
          </w:p>
        </w:tc>
        <w:tc>
          <w:tcPr>
            <w:tcW w:w="2977" w:type="dxa"/>
          </w:tcPr>
          <w:p w14:paraId="265E8BB8"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UN-Environment</w:t>
            </w:r>
          </w:p>
        </w:tc>
        <w:tc>
          <w:tcPr>
            <w:tcW w:w="3673" w:type="dxa"/>
          </w:tcPr>
          <w:p w14:paraId="1422D163" w14:textId="77777777" w:rsidR="00D46B62" w:rsidRPr="003F7F6C" w:rsidRDefault="00D46B62" w:rsidP="00D46B62">
            <w:pPr>
              <w:spacing w:after="119" w:line="216" w:lineRule="atLeast"/>
              <w:ind w:right="42"/>
              <w:jc w:val="left"/>
              <w:rPr>
                <w:sz w:val="18"/>
                <w:szCs w:val="18"/>
                <w:lang w:val="es-ES"/>
              </w:rPr>
            </w:pPr>
            <w:r w:rsidRPr="003F7F6C">
              <w:rPr>
                <w:rFonts w:cs="Calibri"/>
                <w:sz w:val="18"/>
                <w:szCs w:val="18"/>
                <w:lang w:val="es-AR"/>
              </w:rPr>
              <w:t>Programme Officer</w:t>
            </w:r>
          </w:p>
        </w:tc>
      </w:tr>
      <w:tr w:rsidR="00D46B62" w:rsidRPr="003F7F6C" w14:paraId="0283CDCE" w14:textId="77777777" w:rsidTr="00553F65">
        <w:tc>
          <w:tcPr>
            <w:tcW w:w="1838" w:type="dxa"/>
          </w:tcPr>
          <w:p w14:paraId="7D459CA6"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Walcott, Yudith</w:t>
            </w:r>
          </w:p>
        </w:tc>
        <w:tc>
          <w:tcPr>
            <w:tcW w:w="2977" w:type="dxa"/>
          </w:tcPr>
          <w:p w14:paraId="729796D8"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UN-Environment</w:t>
            </w:r>
          </w:p>
        </w:tc>
        <w:tc>
          <w:tcPr>
            <w:tcW w:w="3673" w:type="dxa"/>
          </w:tcPr>
          <w:p w14:paraId="3C82D720" w14:textId="77777777" w:rsidR="00D46B62" w:rsidRPr="003F7F6C" w:rsidRDefault="00D46B62" w:rsidP="00D46B62">
            <w:pPr>
              <w:spacing w:after="119" w:line="216" w:lineRule="atLeast"/>
              <w:ind w:right="42"/>
              <w:jc w:val="left"/>
              <w:rPr>
                <w:sz w:val="18"/>
                <w:szCs w:val="18"/>
                <w:lang w:val="es-ES"/>
              </w:rPr>
            </w:pPr>
            <w:r w:rsidRPr="003F7F6C">
              <w:rPr>
                <w:rFonts w:cs="Calibri"/>
                <w:sz w:val="18"/>
                <w:szCs w:val="18"/>
                <w:lang w:val="es-AR"/>
              </w:rPr>
              <w:t>Programme Officer</w:t>
            </w:r>
          </w:p>
        </w:tc>
      </w:tr>
      <w:tr w:rsidR="00D46B62" w:rsidRPr="003F7F6C" w14:paraId="41FC88D4" w14:textId="77777777" w:rsidTr="00553F65">
        <w:tc>
          <w:tcPr>
            <w:tcW w:w="1838" w:type="dxa"/>
          </w:tcPr>
          <w:p w14:paraId="157B0FE3"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Lazzari, Lucía</w:t>
            </w:r>
          </w:p>
        </w:tc>
        <w:tc>
          <w:tcPr>
            <w:tcW w:w="2977" w:type="dxa"/>
          </w:tcPr>
          <w:p w14:paraId="2D1D25D9"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UN-REDD National Programme</w:t>
            </w:r>
          </w:p>
        </w:tc>
        <w:tc>
          <w:tcPr>
            <w:tcW w:w="3673" w:type="dxa"/>
          </w:tcPr>
          <w:p w14:paraId="5241D105" w14:textId="77777777" w:rsidR="00D46B62" w:rsidRPr="003F7F6C" w:rsidRDefault="00D46B62" w:rsidP="00D46B62">
            <w:pPr>
              <w:spacing w:after="119" w:line="216" w:lineRule="atLeast"/>
              <w:ind w:right="42"/>
              <w:jc w:val="left"/>
              <w:rPr>
                <w:sz w:val="18"/>
                <w:szCs w:val="18"/>
                <w:lang w:val="es-ES"/>
              </w:rPr>
            </w:pPr>
            <w:r w:rsidRPr="003F7F6C">
              <w:rPr>
                <w:rFonts w:cs="Calibri"/>
                <w:sz w:val="18"/>
                <w:szCs w:val="18"/>
                <w:lang w:val="es-AR"/>
              </w:rPr>
              <w:t xml:space="preserve">Technician </w:t>
            </w:r>
          </w:p>
        </w:tc>
      </w:tr>
      <w:tr w:rsidR="00D46B62" w:rsidRPr="003F7F6C" w14:paraId="42E43B8E" w14:textId="77777777" w:rsidTr="00553F65">
        <w:tc>
          <w:tcPr>
            <w:tcW w:w="1838" w:type="dxa"/>
          </w:tcPr>
          <w:p w14:paraId="101A08F5"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Alcobé, Fernanda</w:t>
            </w:r>
          </w:p>
        </w:tc>
        <w:tc>
          <w:tcPr>
            <w:tcW w:w="2977" w:type="dxa"/>
          </w:tcPr>
          <w:p w14:paraId="51D64D9C"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UN-REDD National Programme</w:t>
            </w:r>
          </w:p>
        </w:tc>
        <w:tc>
          <w:tcPr>
            <w:tcW w:w="3673" w:type="dxa"/>
          </w:tcPr>
          <w:p w14:paraId="256C32C3" w14:textId="77777777" w:rsidR="00D46B62" w:rsidRPr="003F7F6C" w:rsidRDefault="00D46B62" w:rsidP="00D46B62">
            <w:pPr>
              <w:spacing w:after="119" w:line="216" w:lineRule="atLeast"/>
              <w:ind w:right="42"/>
              <w:jc w:val="left"/>
              <w:rPr>
                <w:sz w:val="18"/>
                <w:szCs w:val="18"/>
                <w:lang w:val="es-ES"/>
              </w:rPr>
            </w:pPr>
            <w:r w:rsidRPr="003F7F6C">
              <w:rPr>
                <w:rFonts w:cs="Calibri"/>
                <w:sz w:val="18"/>
                <w:szCs w:val="18"/>
                <w:lang w:val="es-AR"/>
              </w:rPr>
              <w:t>Coordinator</w:t>
            </w:r>
          </w:p>
        </w:tc>
      </w:tr>
      <w:tr w:rsidR="00D46B62" w:rsidRPr="003F7F6C" w14:paraId="6A673C37" w14:textId="77777777" w:rsidTr="00553F65">
        <w:tc>
          <w:tcPr>
            <w:tcW w:w="1838" w:type="dxa"/>
          </w:tcPr>
          <w:p w14:paraId="48CD92D3"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Lapalma, Laura</w:t>
            </w:r>
          </w:p>
        </w:tc>
        <w:tc>
          <w:tcPr>
            <w:tcW w:w="2977" w:type="dxa"/>
          </w:tcPr>
          <w:p w14:paraId="11867322"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UN-REDD National Programme</w:t>
            </w:r>
          </w:p>
        </w:tc>
        <w:tc>
          <w:tcPr>
            <w:tcW w:w="3673" w:type="dxa"/>
          </w:tcPr>
          <w:p w14:paraId="6DFBA7F4" w14:textId="77777777" w:rsidR="00D46B62" w:rsidRPr="003F7F6C" w:rsidRDefault="00D46B62" w:rsidP="00D46B62">
            <w:pPr>
              <w:spacing w:after="119" w:line="216" w:lineRule="atLeast"/>
              <w:ind w:right="42"/>
              <w:jc w:val="left"/>
              <w:rPr>
                <w:sz w:val="18"/>
                <w:szCs w:val="18"/>
                <w:lang w:val="es-ES"/>
              </w:rPr>
            </w:pPr>
            <w:r w:rsidRPr="003F7F6C">
              <w:rPr>
                <w:rFonts w:cs="Calibri"/>
                <w:sz w:val="18"/>
                <w:szCs w:val="18"/>
                <w:lang w:val="es-AR"/>
              </w:rPr>
              <w:t xml:space="preserve">Operative Unit </w:t>
            </w:r>
          </w:p>
        </w:tc>
      </w:tr>
      <w:tr w:rsidR="00D46B62" w:rsidRPr="003F7F6C" w14:paraId="4FD446E3" w14:textId="77777777" w:rsidTr="00553F65">
        <w:tc>
          <w:tcPr>
            <w:tcW w:w="1838" w:type="dxa"/>
            <w:vAlign w:val="center"/>
          </w:tcPr>
          <w:p w14:paraId="157DFE7F"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Yasky, Marcelo</w:t>
            </w:r>
          </w:p>
        </w:tc>
        <w:tc>
          <w:tcPr>
            <w:tcW w:w="2977" w:type="dxa"/>
            <w:vAlign w:val="center"/>
          </w:tcPr>
          <w:p w14:paraId="1D9912EC" w14:textId="77777777" w:rsidR="00D46B62" w:rsidRPr="003F7F6C" w:rsidRDefault="00D46B62" w:rsidP="00D46B62">
            <w:pPr>
              <w:spacing w:after="119" w:line="216" w:lineRule="atLeast"/>
              <w:ind w:right="42"/>
              <w:jc w:val="center"/>
              <w:rPr>
                <w:rFonts w:cs="Calibri"/>
                <w:sz w:val="18"/>
                <w:szCs w:val="18"/>
              </w:rPr>
            </w:pPr>
            <w:r w:rsidRPr="003F7F6C">
              <w:rPr>
                <w:rFonts w:cs="Calibri"/>
                <w:sz w:val="18"/>
                <w:szCs w:val="18"/>
              </w:rPr>
              <w:t>Provincial Agency for Sustainable Development (OPDS) of the Province of Buenos Aires</w:t>
            </w:r>
          </w:p>
        </w:tc>
        <w:tc>
          <w:tcPr>
            <w:tcW w:w="3673" w:type="dxa"/>
            <w:vAlign w:val="center"/>
          </w:tcPr>
          <w:p w14:paraId="1477B7D6" w14:textId="77777777" w:rsidR="00D46B62" w:rsidRPr="003F7F6C" w:rsidRDefault="00D46B62" w:rsidP="00D46B62">
            <w:pPr>
              <w:spacing w:after="119" w:line="216" w:lineRule="atLeast"/>
              <w:ind w:right="42"/>
              <w:jc w:val="left"/>
              <w:rPr>
                <w:rFonts w:cs="Calibri"/>
                <w:sz w:val="18"/>
                <w:szCs w:val="18"/>
              </w:rPr>
            </w:pPr>
            <w:r w:rsidRPr="003F7F6C">
              <w:rPr>
                <w:rFonts w:cs="Calibri"/>
                <w:sz w:val="18"/>
                <w:szCs w:val="18"/>
              </w:rPr>
              <w:t>Provincial Director of Natural Resources</w:t>
            </w:r>
          </w:p>
        </w:tc>
      </w:tr>
      <w:tr w:rsidR="00D46B62" w:rsidRPr="003F7F6C" w14:paraId="635E2441" w14:textId="77777777" w:rsidTr="00553F65">
        <w:tc>
          <w:tcPr>
            <w:tcW w:w="1838" w:type="dxa"/>
            <w:vAlign w:val="center"/>
          </w:tcPr>
          <w:p w14:paraId="1DB04A82"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Canciani, Marcos</w:t>
            </w:r>
          </w:p>
        </w:tc>
        <w:tc>
          <w:tcPr>
            <w:tcW w:w="2977" w:type="dxa"/>
            <w:vAlign w:val="center"/>
          </w:tcPr>
          <w:p w14:paraId="0F27211D" w14:textId="77777777" w:rsidR="00D46B62" w:rsidRPr="003F7F6C" w:rsidRDefault="00D46B62" w:rsidP="00D46B62">
            <w:pPr>
              <w:spacing w:after="119" w:line="216" w:lineRule="atLeast"/>
              <w:ind w:right="42"/>
              <w:jc w:val="center"/>
              <w:rPr>
                <w:rFonts w:cs="Calibri"/>
                <w:sz w:val="18"/>
                <w:szCs w:val="18"/>
              </w:rPr>
            </w:pPr>
            <w:r w:rsidRPr="003F7F6C">
              <w:rPr>
                <w:rFonts w:cs="Calibri"/>
                <w:sz w:val="18"/>
                <w:szCs w:val="18"/>
              </w:rPr>
              <w:t>Provincial Agency for Sustainable Development (OPDS) of the Province of Buenos Aires</w:t>
            </w:r>
          </w:p>
        </w:tc>
        <w:tc>
          <w:tcPr>
            <w:tcW w:w="3673" w:type="dxa"/>
            <w:vAlign w:val="center"/>
          </w:tcPr>
          <w:p w14:paraId="6B2E1EBD" w14:textId="77777777" w:rsidR="00D46B62" w:rsidRPr="003F7F6C" w:rsidRDefault="00D46B62" w:rsidP="00D46B62">
            <w:pPr>
              <w:spacing w:after="119" w:line="216" w:lineRule="atLeast"/>
              <w:ind w:right="42"/>
              <w:jc w:val="left"/>
              <w:rPr>
                <w:rFonts w:cs="Calibri"/>
                <w:sz w:val="18"/>
                <w:szCs w:val="18"/>
              </w:rPr>
            </w:pPr>
            <w:r w:rsidRPr="003F7F6C">
              <w:rPr>
                <w:rFonts w:cs="Calibri"/>
                <w:sz w:val="18"/>
                <w:szCs w:val="18"/>
              </w:rPr>
              <w:t>Technician for Provincial Office of Natural Resources and Environmental Land Use Planning</w:t>
            </w:r>
          </w:p>
        </w:tc>
      </w:tr>
      <w:tr w:rsidR="00D46B62" w:rsidRPr="003F7F6C" w14:paraId="4C7A4BA6" w14:textId="77777777" w:rsidTr="00553F65">
        <w:tc>
          <w:tcPr>
            <w:tcW w:w="1838" w:type="dxa"/>
            <w:vAlign w:val="center"/>
          </w:tcPr>
          <w:p w14:paraId="2DA1CB86"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Achinelli, Moira</w:t>
            </w:r>
          </w:p>
        </w:tc>
        <w:tc>
          <w:tcPr>
            <w:tcW w:w="2977" w:type="dxa"/>
            <w:vAlign w:val="center"/>
          </w:tcPr>
          <w:p w14:paraId="33099B76" w14:textId="77777777" w:rsidR="00D46B62" w:rsidRPr="003F7F6C" w:rsidRDefault="00D46B62" w:rsidP="00D46B62">
            <w:pPr>
              <w:spacing w:after="119" w:line="216" w:lineRule="atLeast"/>
              <w:ind w:right="42"/>
              <w:jc w:val="center"/>
              <w:rPr>
                <w:rFonts w:cs="Calibri"/>
                <w:sz w:val="18"/>
                <w:szCs w:val="18"/>
              </w:rPr>
            </w:pPr>
            <w:r w:rsidRPr="003F7F6C">
              <w:rPr>
                <w:rFonts w:cs="Calibri"/>
                <w:sz w:val="18"/>
                <w:szCs w:val="18"/>
              </w:rPr>
              <w:t>Provincial Agency for Sustainable Development (OPDS) of the Province of Buenos Aires</w:t>
            </w:r>
          </w:p>
        </w:tc>
        <w:tc>
          <w:tcPr>
            <w:tcW w:w="3673" w:type="dxa"/>
            <w:vAlign w:val="center"/>
          </w:tcPr>
          <w:p w14:paraId="129DD829" w14:textId="77777777" w:rsidR="00D46B62" w:rsidRPr="003F7F6C" w:rsidRDefault="00D46B62" w:rsidP="00D46B62">
            <w:pPr>
              <w:spacing w:after="119" w:line="216" w:lineRule="atLeast"/>
              <w:ind w:right="42"/>
              <w:jc w:val="left"/>
              <w:rPr>
                <w:rFonts w:cs="Calibri"/>
                <w:sz w:val="18"/>
                <w:szCs w:val="18"/>
              </w:rPr>
            </w:pPr>
            <w:r w:rsidRPr="003F7F6C">
              <w:rPr>
                <w:rFonts w:cs="Calibri"/>
                <w:sz w:val="18"/>
                <w:szCs w:val="18"/>
              </w:rPr>
              <w:t>Technician for Directorate of Sustainable Development and Climate Change</w:t>
            </w:r>
          </w:p>
        </w:tc>
      </w:tr>
      <w:tr w:rsidR="00D46B62" w:rsidRPr="003F7F6C" w14:paraId="48512502" w14:textId="77777777" w:rsidTr="00553F65">
        <w:tc>
          <w:tcPr>
            <w:tcW w:w="1838" w:type="dxa"/>
            <w:vAlign w:val="center"/>
          </w:tcPr>
          <w:p w14:paraId="0AB50656"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Mariano, Guillermo</w:t>
            </w:r>
          </w:p>
        </w:tc>
        <w:tc>
          <w:tcPr>
            <w:tcW w:w="2977" w:type="dxa"/>
            <w:vAlign w:val="center"/>
          </w:tcPr>
          <w:p w14:paraId="5DC0BB5A" w14:textId="77777777" w:rsidR="00D46B62" w:rsidRPr="003F7F6C" w:rsidRDefault="00D46B62" w:rsidP="00D46B62">
            <w:pPr>
              <w:spacing w:after="119" w:line="216" w:lineRule="atLeast"/>
              <w:ind w:right="42"/>
              <w:jc w:val="center"/>
              <w:rPr>
                <w:rFonts w:cs="Calibri"/>
                <w:sz w:val="18"/>
                <w:szCs w:val="18"/>
              </w:rPr>
            </w:pPr>
            <w:r w:rsidRPr="003F7F6C">
              <w:rPr>
                <w:rFonts w:cs="Calibri"/>
                <w:sz w:val="18"/>
                <w:szCs w:val="18"/>
              </w:rPr>
              <w:t>Provincial Agency for Sustainable Development (OPDS) of the Province of Buenos Aires</w:t>
            </w:r>
          </w:p>
        </w:tc>
        <w:tc>
          <w:tcPr>
            <w:tcW w:w="3673" w:type="dxa"/>
            <w:vAlign w:val="center"/>
          </w:tcPr>
          <w:p w14:paraId="45E048AE" w14:textId="77777777" w:rsidR="00D46B62" w:rsidRPr="003F7F6C" w:rsidRDefault="00D46B62" w:rsidP="00D46B62">
            <w:pPr>
              <w:spacing w:after="119" w:line="216" w:lineRule="atLeast"/>
              <w:ind w:right="42"/>
              <w:jc w:val="left"/>
              <w:rPr>
                <w:rFonts w:cs="Calibri"/>
                <w:sz w:val="18"/>
                <w:szCs w:val="18"/>
              </w:rPr>
            </w:pPr>
            <w:r w:rsidRPr="003F7F6C">
              <w:rPr>
                <w:rFonts w:cs="Calibri"/>
                <w:sz w:val="18"/>
                <w:szCs w:val="18"/>
              </w:rPr>
              <w:t>Technician for Provincial Office of Natural Resources and Environmental Land Use Planning</w:t>
            </w:r>
          </w:p>
        </w:tc>
      </w:tr>
      <w:tr w:rsidR="00D46B62" w:rsidRPr="003F7F6C" w14:paraId="2DF7AAA6" w14:textId="77777777" w:rsidTr="00553F65">
        <w:tc>
          <w:tcPr>
            <w:tcW w:w="1838" w:type="dxa"/>
            <w:vAlign w:val="center"/>
          </w:tcPr>
          <w:p w14:paraId="6C05A9D9"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Mingorance, Humberto</w:t>
            </w:r>
          </w:p>
        </w:tc>
        <w:tc>
          <w:tcPr>
            <w:tcW w:w="2977" w:type="dxa"/>
            <w:vAlign w:val="center"/>
          </w:tcPr>
          <w:p w14:paraId="3051C7CB" w14:textId="77777777" w:rsidR="00D46B62" w:rsidRPr="003F7F6C" w:rsidRDefault="00D46B62" w:rsidP="00D46B62">
            <w:pPr>
              <w:spacing w:after="119" w:line="216" w:lineRule="atLeast"/>
              <w:ind w:right="42"/>
              <w:jc w:val="center"/>
              <w:rPr>
                <w:rFonts w:cs="Calibri"/>
                <w:sz w:val="18"/>
                <w:szCs w:val="18"/>
              </w:rPr>
            </w:pPr>
            <w:r w:rsidRPr="003F7F6C">
              <w:rPr>
                <w:rFonts w:cs="Calibri"/>
                <w:sz w:val="18"/>
                <w:szCs w:val="18"/>
              </w:rPr>
              <w:t>Ministry of Environment and Land Use Planning of the Province of Mendoza (SAOT)</w:t>
            </w:r>
          </w:p>
        </w:tc>
        <w:tc>
          <w:tcPr>
            <w:tcW w:w="3673" w:type="dxa"/>
            <w:vAlign w:val="center"/>
          </w:tcPr>
          <w:p w14:paraId="4C6A8831" w14:textId="77777777" w:rsidR="00D46B62" w:rsidRPr="003F7F6C" w:rsidRDefault="00D46B62" w:rsidP="00D46B62">
            <w:pPr>
              <w:spacing w:after="119" w:line="216" w:lineRule="atLeast"/>
              <w:ind w:right="42"/>
              <w:jc w:val="left"/>
              <w:rPr>
                <w:rFonts w:cs="Calibri"/>
                <w:sz w:val="18"/>
                <w:szCs w:val="18"/>
              </w:rPr>
            </w:pPr>
            <w:r w:rsidRPr="003F7F6C">
              <w:rPr>
                <w:rFonts w:cs="Calibri"/>
                <w:sz w:val="18"/>
                <w:szCs w:val="18"/>
              </w:rPr>
              <w:t>Environment and Land Use Planning Secretary</w:t>
            </w:r>
          </w:p>
        </w:tc>
      </w:tr>
      <w:tr w:rsidR="00D46B62" w:rsidRPr="003F7F6C" w14:paraId="0D68B25B" w14:textId="77777777" w:rsidTr="00553F65">
        <w:tc>
          <w:tcPr>
            <w:tcW w:w="1838" w:type="dxa"/>
            <w:vAlign w:val="center"/>
          </w:tcPr>
          <w:p w14:paraId="115A7CE5"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Rapali, Nadia</w:t>
            </w:r>
          </w:p>
        </w:tc>
        <w:tc>
          <w:tcPr>
            <w:tcW w:w="2977" w:type="dxa"/>
            <w:vAlign w:val="center"/>
          </w:tcPr>
          <w:p w14:paraId="577627D2"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SAOT</w:t>
            </w:r>
          </w:p>
        </w:tc>
        <w:tc>
          <w:tcPr>
            <w:tcW w:w="3673" w:type="dxa"/>
            <w:vAlign w:val="center"/>
          </w:tcPr>
          <w:p w14:paraId="6AE279D4" w14:textId="77777777" w:rsidR="00D46B62" w:rsidRPr="003F7F6C" w:rsidRDefault="00D46B62" w:rsidP="00D46B62">
            <w:pPr>
              <w:spacing w:after="119" w:line="216" w:lineRule="atLeast"/>
              <w:ind w:right="42"/>
              <w:jc w:val="left"/>
              <w:rPr>
                <w:rFonts w:cs="Calibri"/>
                <w:sz w:val="18"/>
                <w:szCs w:val="18"/>
              </w:rPr>
            </w:pPr>
            <w:r w:rsidRPr="003F7F6C">
              <w:rPr>
                <w:rFonts w:cs="Calibri"/>
                <w:sz w:val="18"/>
                <w:szCs w:val="18"/>
              </w:rPr>
              <w:t xml:space="preserve">Land Use Planning Agency under the Ministry of Environment and Land Use Planning </w:t>
            </w:r>
          </w:p>
        </w:tc>
      </w:tr>
      <w:tr w:rsidR="00D46B62" w:rsidRPr="003F7F6C" w14:paraId="27612928" w14:textId="77777777" w:rsidTr="00553F65">
        <w:tc>
          <w:tcPr>
            <w:tcW w:w="1838" w:type="dxa"/>
            <w:vAlign w:val="center"/>
          </w:tcPr>
          <w:p w14:paraId="048EF5C0"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Fenoy, Laura</w:t>
            </w:r>
          </w:p>
        </w:tc>
        <w:tc>
          <w:tcPr>
            <w:tcW w:w="2977" w:type="dxa"/>
            <w:vAlign w:val="center"/>
          </w:tcPr>
          <w:p w14:paraId="7B766C10"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 xml:space="preserve">SAOT </w:t>
            </w:r>
          </w:p>
        </w:tc>
        <w:tc>
          <w:tcPr>
            <w:tcW w:w="3673" w:type="dxa"/>
            <w:vAlign w:val="center"/>
          </w:tcPr>
          <w:p w14:paraId="091C8D30" w14:textId="77777777" w:rsidR="00D46B62" w:rsidRPr="003F7F6C" w:rsidRDefault="00D46B62" w:rsidP="00D46B62">
            <w:pPr>
              <w:spacing w:after="119" w:line="216" w:lineRule="atLeast"/>
              <w:ind w:right="42"/>
              <w:jc w:val="left"/>
              <w:rPr>
                <w:rFonts w:cs="Calibri"/>
                <w:sz w:val="18"/>
                <w:szCs w:val="18"/>
              </w:rPr>
            </w:pPr>
            <w:r w:rsidRPr="003F7F6C">
              <w:rPr>
                <w:rFonts w:cs="Calibri"/>
                <w:sz w:val="18"/>
                <w:szCs w:val="18"/>
              </w:rPr>
              <w:t>Technician for Ministry of Environment and Land Use Planning</w:t>
            </w:r>
          </w:p>
        </w:tc>
      </w:tr>
      <w:tr w:rsidR="00D46B62" w:rsidRPr="003F7F6C" w14:paraId="5E25123C" w14:textId="77777777" w:rsidTr="00553F65">
        <w:tc>
          <w:tcPr>
            <w:tcW w:w="1838" w:type="dxa"/>
            <w:vAlign w:val="center"/>
          </w:tcPr>
          <w:p w14:paraId="55749848"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Sorli, Laura</w:t>
            </w:r>
          </w:p>
        </w:tc>
        <w:tc>
          <w:tcPr>
            <w:tcW w:w="2977" w:type="dxa"/>
            <w:vAlign w:val="center"/>
          </w:tcPr>
          <w:p w14:paraId="7502D732"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SAOT</w:t>
            </w:r>
          </w:p>
        </w:tc>
        <w:tc>
          <w:tcPr>
            <w:tcW w:w="3673" w:type="dxa"/>
            <w:vAlign w:val="center"/>
          </w:tcPr>
          <w:p w14:paraId="09069F97" w14:textId="77777777" w:rsidR="00D46B62" w:rsidRPr="003F7F6C" w:rsidRDefault="00D46B62" w:rsidP="00D46B62">
            <w:pPr>
              <w:spacing w:after="119" w:line="216" w:lineRule="atLeast"/>
              <w:ind w:right="42"/>
              <w:jc w:val="left"/>
              <w:rPr>
                <w:rFonts w:cs="Calibri"/>
                <w:sz w:val="18"/>
                <w:szCs w:val="18"/>
              </w:rPr>
            </w:pPr>
            <w:r w:rsidRPr="003F7F6C">
              <w:rPr>
                <w:rFonts w:cs="Calibri"/>
                <w:sz w:val="18"/>
                <w:szCs w:val="18"/>
              </w:rPr>
              <w:t>Technician for Ministry of Environment and Land Use Planning</w:t>
            </w:r>
          </w:p>
        </w:tc>
      </w:tr>
      <w:tr w:rsidR="00D46B62" w:rsidRPr="003F7F6C" w14:paraId="33665900" w14:textId="77777777" w:rsidTr="00553F65">
        <w:tc>
          <w:tcPr>
            <w:tcW w:w="1838" w:type="dxa"/>
            <w:vAlign w:val="center"/>
          </w:tcPr>
          <w:p w14:paraId="4F397258"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Castaño, Ana Rosa</w:t>
            </w:r>
          </w:p>
        </w:tc>
        <w:tc>
          <w:tcPr>
            <w:tcW w:w="2977" w:type="dxa"/>
            <w:vAlign w:val="center"/>
          </w:tcPr>
          <w:p w14:paraId="69E47F0B"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ICES CNEA</w:t>
            </w:r>
          </w:p>
        </w:tc>
        <w:tc>
          <w:tcPr>
            <w:tcW w:w="3673" w:type="dxa"/>
            <w:vAlign w:val="center"/>
          </w:tcPr>
          <w:p w14:paraId="7DEACA78"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 xml:space="preserve">Regional ICES </w:t>
            </w:r>
          </w:p>
        </w:tc>
      </w:tr>
      <w:tr w:rsidR="00D46B62" w:rsidRPr="003F7F6C" w14:paraId="61402E92" w14:textId="77777777" w:rsidTr="00553F65">
        <w:tc>
          <w:tcPr>
            <w:tcW w:w="1838" w:type="dxa"/>
            <w:vAlign w:val="center"/>
          </w:tcPr>
          <w:p w14:paraId="78713521"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Pachecho, Facundo</w:t>
            </w:r>
          </w:p>
        </w:tc>
        <w:tc>
          <w:tcPr>
            <w:tcW w:w="2977" w:type="dxa"/>
            <w:vAlign w:val="center"/>
          </w:tcPr>
          <w:p w14:paraId="2A1034EA" w14:textId="77777777" w:rsidR="00D46B62" w:rsidRPr="003F7F6C" w:rsidRDefault="00D46B62" w:rsidP="00D46B62">
            <w:pPr>
              <w:spacing w:after="119" w:line="216" w:lineRule="atLeast"/>
              <w:ind w:right="42"/>
              <w:jc w:val="center"/>
              <w:rPr>
                <w:rFonts w:cs="Calibri"/>
                <w:sz w:val="18"/>
                <w:szCs w:val="18"/>
              </w:rPr>
            </w:pPr>
            <w:r w:rsidRPr="003F7F6C">
              <w:rPr>
                <w:rFonts w:cs="Calibri"/>
                <w:sz w:val="18"/>
                <w:szCs w:val="18"/>
              </w:rPr>
              <w:t xml:space="preserve">Municipality of Malargüe Tourism Office  </w:t>
            </w:r>
          </w:p>
        </w:tc>
        <w:tc>
          <w:tcPr>
            <w:tcW w:w="3673" w:type="dxa"/>
            <w:vAlign w:val="center"/>
          </w:tcPr>
          <w:p w14:paraId="4ACACDA6" w14:textId="77777777" w:rsidR="00D46B62" w:rsidRPr="003F7F6C" w:rsidRDefault="00D46B62" w:rsidP="00D46B62">
            <w:pPr>
              <w:spacing w:after="119" w:line="216" w:lineRule="atLeast"/>
              <w:ind w:right="42"/>
              <w:jc w:val="left"/>
              <w:rPr>
                <w:rFonts w:cs="Calibri"/>
                <w:sz w:val="18"/>
                <w:szCs w:val="18"/>
              </w:rPr>
            </w:pPr>
            <w:r w:rsidRPr="003F7F6C">
              <w:rPr>
                <w:rFonts w:cs="Calibri"/>
                <w:sz w:val="18"/>
                <w:szCs w:val="18"/>
              </w:rPr>
              <w:t xml:space="preserve">Technician for Municipality of Malargüe Tourism Office </w:t>
            </w:r>
          </w:p>
        </w:tc>
      </w:tr>
      <w:tr w:rsidR="00D46B62" w:rsidRPr="003F7F6C" w14:paraId="351EA166" w14:textId="77777777" w:rsidTr="00553F65">
        <w:tc>
          <w:tcPr>
            <w:tcW w:w="1838" w:type="dxa"/>
            <w:vAlign w:val="center"/>
          </w:tcPr>
          <w:p w14:paraId="76478C00"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López, José Luis</w:t>
            </w:r>
          </w:p>
        </w:tc>
        <w:tc>
          <w:tcPr>
            <w:tcW w:w="2977" w:type="dxa"/>
            <w:vAlign w:val="center"/>
          </w:tcPr>
          <w:p w14:paraId="31D2CA98"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Malargüe Strategic Plan</w:t>
            </w:r>
          </w:p>
        </w:tc>
        <w:tc>
          <w:tcPr>
            <w:tcW w:w="3673" w:type="dxa"/>
            <w:vAlign w:val="center"/>
          </w:tcPr>
          <w:p w14:paraId="7EB306F3" w14:textId="77777777" w:rsidR="00D46B62" w:rsidRPr="003F7F6C" w:rsidRDefault="00D46B62" w:rsidP="00D46B62">
            <w:pPr>
              <w:spacing w:after="119" w:line="216" w:lineRule="atLeast"/>
              <w:ind w:right="42"/>
              <w:jc w:val="left"/>
              <w:rPr>
                <w:rFonts w:cs="Calibri"/>
                <w:sz w:val="18"/>
                <w:szCs w:val="18"/>
              </w:rPr>
            </w:pPr>
            <w:r w:rsidRPr="003F7F6C">
              <w:rPr>
                <w:rFonts w:cs="Calibri"/>
                <w:sz w:val="18"/>
                <w:szCs w:val="18"/>
              </w:rPr>
              <w:t>Director of the Malargüe Strategic Plan</w:t>
            </w:r>
          </w:p>
        </w:tc>
      </w:tr>
      <w:tr w:rsidR="00D46B62" w:rsidRPr="003F7F6C" w14:paraId="3DEAC52C" w14:textId="77777777" w:rsidTr="00553F65">
        <w:tc>
          <w:tcPr>
            <w:tcW w:w="1838" w:type="dxa"/>
            <w:vAlign w:val="center"/>
          </w:tcPr>
          <w:p w14:paraId="7322891D"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Elissonde, Arturo</w:t>
            </w:r>
          </w:p>
        </w:tc>
        <w:tc>
          <w:tcPr>
            <w:tcW w:w="2977" w:type="dxa"/>
            <w:vAlign w:val="center"/>
          </w:tcPr>
          <w:p w14:paraId="0EF30D2F" w14:textId="77777777" w:rsidR="00D46B62" w:rsidRPr="003F7F6C" w:rsidRDefault="00D46B62" w:rsidP="00D46B62">
            <w:pPr>
              <w:spacing w:after="119" w:line="216" w:lineRule="atLeast"/>
              <w:ind w:right="42"/>
              <w:jc w:val="center"/>
              <w:rPr>
                <w:rFonts w:cs="Calibri"/>
                <w:sz w:val="18"/>
                <w:szCs w:val="18"/>
              </w:rPr>
            </w:pPr>
            <w:r w:rsidRPr="003F7F6C">
              <w:rPr>
                <w:rFonts w:cs="Calibri"/>
                <w:sz w:val="18"/>
                <w:szCs w:val="18"/>
              </w:rPr>
              <w:t xml:space="preserve">Cañada Colorada Land Use Planning Management and the Llancanelo Upper Basin </w:t>
            </w:r>
          </w:p>
        </w:tc>
        <w:tc>
          <w:tcPr>
            <w:tcW w:w="3673" w:type="dxa"/>
            <w:vAlign w:val="center"/>
          </w:tcPr>
          <w:p w14:paraId="1D4D6A11" w14:textId="77777777" w:rsidR="00D46B62" w:rsidRPr="003F7F6C" w:rsidRDefault="00D46B62" w:rsidP="00D46B62">
            <w:pPr>
              <w:spacing w:after="119" w:line="216" w:lineRule="atLeast"/>
              <w:ind w:right="42"/>
              <w:jc w:val="left"/>
              <w:rPr>
                <w:rFonts w:cs="Calibri"/>
                <w:sz w:val="18"/>
                <w:szCs w:val="18"/>
              </w:rPr>
            </w:pPr>
            <w:r w:rsidRPr="003F7F6C">
              <w:rPr>
                <w:rFonts w:cs="Calibri"/>
                <w:sz w:val="18"/>
                <w:szCs w:val="18"/>
              </w:rPr>
              <w:t>Land Use Planning Management of Cañada Colorada and the Upper Basin of Llancanelo</w:t>
            </w:r>
          </w:p>
        </w:tc>
      </w:tr>
      <w:tr w:rsidR="00D46B62" w:rsidRPr="003F7F6C" w14:paraId="08CE2362" w14:textId="77777777" w:rsidTr="00553F65">
        <w:tc>
          <w:tcPr>
            <w:tcW w:w="1838" w:type="dxa"/>
            <w:vAlign w:val="center"/>
          </w:tcPr>
          <w:p w14:paraId="729B0F42"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Jofré, Gabriel</w:t>
            </w:r>
          </w:p>
        </w:tc>
        <w:tc>
          <w:tcPr>
            <w:tcW w:w="2977" w:type="dxa"/>
            <w:vAlign w:val="center"/>
          </w:tcPr>
          <w:p w14:paraId="41A554DB" w14:textId="77777777" w:rsidR="00D46B62" w:rsidRPr="003F7F6C" w:rsidRDefault="00D46B62" w:rsidP="00D46B62">
            <w:pPr>
              <w:spacing w:after="119" w:line="216" w:lineRule="atLeast"/>
              <w:ind w:right="42"/>
              <w:jc w:val="center"/>
              <w:rPr>
                <w:rFonts w:cs="Calibri"/>
                <w:sz w:val="18"/>
                <w:szCs w:val="18"/>
              </w:rPr>
            </w:pPr>
            <w:r w:rsidRPr="003F7F6C">
              <w:rPr>
                <w:rFonts w:cs="Calibri"/>
                <w:sz w:val="18"/>
                <w:szCs w:val="18"/>
              </w:rPr>
              <w:t>Malalweche Mapuche Land Use Planning Organization</w:t>
            </w:r>
          </w:p>
        </w:tc>
        <w:tc>
          <w:tcPr>
            <w:tcW w:w="3673" w:type="dxa"/>
            <w:vAlign w:val="center"/>
          </w:tcPr>
          <w:p w14:paraId="7EB53563"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Malalweche Werken Organization</w:t>
            </w:r>
          </w:p>
        </w:tc>
      </w:tr>
      <w:tr w:rsidR="00D46B62" w:rsidRPr="003F7F6C" w14:paraId="7DC9475A" w14:textId="77777777" w:rsidTr="00553F65">
        <w:tc>
          <w:tcPr>
            <w:tcW w:w="1838" w:type="dxa"/>
            <w:vAlign w:val="center"/>
          </w:tcPr>
          <w:p w14:paraId="6730295C"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 xml:space="preserve">Bouille, Vanesa </w:t>
            </w:r>
          </w:p>
        </w:tc>
        <w:tc>
          <w:tcPr>
            <w:tcW w:w="2977" w:type="dxa"/>
            <w:vAlign w:val="center"/>
          </w:tcPr>
          <w:p w14:paraId="3DAFA88E" w14:textId="77777777" w:rsidR="00D46B62" w:rsidRPr="003F7F6C" w:rsidRDefault="00D46B62" w:rsidP="00D46B62">
            <w:pPr>
              <w:spacing w:after="119" w:line="216" w:lineRule="atLeast"/>
              <w:ind w:right="42"/>
              <w:jc w:val="center"/>
              <w:rPr>
                <w:rFonts w:cs="Calibri"/>
                <w:sz w:val="18"/>
                <w:szCs w:val="18"/>
              </w:rPr>
            </w:pPr>
            <w:r w:rsidRPr="003F7F6C">
              <w:rPr>
                <w:rFonts w:cs="Calibri"/>
                <w:sz w:val="18"/>
                <w:szCs w:val="18"/>
              </w:rPr>
              <w:t>Malalweche Mapuche Land Use Planning Organization</w:t>
            </w:r>
          </w:p>
        </w:tc>
        <w:tc>
          <w:tcPr>
            <w:tcW w:w="3673" w:type="dxa"/>
            <w:vAlign w:val="center"/>
          </w:tcPr>
          <w:p w14:paraId="16E22C46" w14:textId="77777777" w:rsidR="00D46B62" w:rsidRPr="003F7F6C" w:rsidRDefault="00D46B62" w:rsidP="00D46B62">
            <w:pPr>
              <w:spacing w:after="119" w:line="216" w:lineRule="atLeast"/>
              <w:ind w:right="42"/>
              <w:jc w:val="left"/>
              <w:rPr>
                <w:rFonts w:cs="Calibri"/>
                <w:sz w:val="18"/>
                <w:szCs w:val="18"/>
              </w:rPr>
            </w:pPr>
            <w:r w:rsidRPr="003F7F6C">
              <w:rPr>
                <w:rFonts w:cs="Calibri"/>
                <w:sz w:val="18"/>
                <w:szCs w:val="18"/>
              </w:rPr>
              <w:t>Malalweche Mapuche Land Use Planning Organization</w:t>
            </w:r>
          </w:p>
        </w:tc>
      </w:tr>
      <w:tr w:rsidR="00D46B62" w:rsidRPr="003F7F6C" w14:paraId="25B2B341" w14:textId="77777777" w:rsidTr="00553F65">
        <w:tc>
          <w:tcPr>
            <w:tcW w:w="1838" w:type="dxa"/>
            <w:vAlign w:val="center"/>
          </w:tcPr>
          <w:p w14:paraId="2DC3444D"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Zigarán, María Inés</w:t>
            </w:r>
          </w:p>
        </w:tc>
        <w:tc>
          <w:tcPr>
            <w:tcW w:w="2977" w:type="dxa"/>
            <w:vAlign w:val="center"/>
          </w:tcPr>
          <w:p w14:paraId="37201A83" w14:textId="77777777" w:rsidR="00D46B62" w:rsidRPr="003F7F6C" w:rsidRDefault="00D46B62" w:rsidP="00D46B62">
            <w:pPr>
              <w:spacing w:after="119" w:line="216" w:lineRule="atLeast"/>
              <w:ind w:right="42"/>
              <w:jc w:val="center"/>
              <w:rPr>
                <w:rFonts w:cs="Calibri"/>
                <w:sz w:val="18"/>
                <w:szCs w:val="18"/>
              </w:rPr>
            </w:pPr>
            <w:r w:rsidRPr="003F7F6C">
              <w:rPr>
                <w:rFonts w:cs="Calibri"/>
                <w:sz w:val="18"/>
                <w:szCs w:val="18"/>
              </w:rPr>
              <w:t>Ministry of Environment of the Province of Jujuy</w:t>
            </w:r>
          </w:p>
        </w:tc>
        <w:tc>
          <w:tcPr>
            <w:tcW w:w="3673" w:type="dxa"/>
            <w:vAlign w:val="center"/>
          </w:tcPr>
          <w:p w14:paraId="65A5D394" w14:textId="77777777" w:rsidR="00D46B62" w:rsidRPr="003F7F6C" w:rsidRDefault="00D46B62" w:rsidP="00D46B62">
            <w:pPr>
              <w:spacing w:after="119" w:line="216" w:lineRule="atLeast"/>
              <w:ind w:right="42"/>
              <w:jc w:val="left"/>
              <w:rPr>
                <w:rFonts w:cs="Calibri"/>
                <w:sz w:val="18"/>
                <w:szCs w:val="18"/>
              </w:rPr>
            </w:pPr>
            <w:r w:rsidRPr="003F7F6C">
              <w:rPr>
                <w:rFonts w:cs="Calibri"/>
                <w:sz w:val="18"/>
                <w:szCs w:val="18"/>
              </w:rPr>
              <w:t>Minister of the Ministry of Environment of the Province of Jujuy</w:t>
            </w:r>
          </w:p>
        </w:tc>
      </w:tr>
      <w:tr w:rsidR="00D46B62" w:rsidRPr="003F7F6C" w14:paraId="0F49611F" w14:textId="77777777" w:rsidTr="00553F65">
        <w:tc>
          <w:tcPr>
            <w:tcW w:w="1838" w:type="dxa"/>
            <w:vAlign w:val="center"/>
          </w:tcPr>
          <w:p w14:paraId="539379F6"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Amador, Susana</w:t>
            </w:r>
          </w:p>
        </w:tc>
        <w:tc>
          <w:tcPr>
            <w:tcW w:w="2977" w:type="dxa"/>
            <w:vAlign w:val="center"/>
          </w:tcPr>
          <w:p w14:paraId="5BBAB8CB" w14:textId="77777777" w:rsidR="00D46B62" w:rsidRPr="003F7F6C" w:rsidRDefault="00D46B62" w:rsidP="00D46B62">
            <w:pPr>
              <w:spacing w:after="119" w:line="216" w:lineRule="atLeast"/>
              <w:ind w:right="42"/>
              <w:jc w:val="center"/>
              <w:rPr>
                <w:rFonts w:cs="Calibri"/>
                <w:sz w:val="18"/>
                <w:szCs w:val="18"/>
              </w:rPr>
            </w:pPr>
            <w:r w:rsidRPr="003F7F6C">
              <w:rPr>
                <w:rFonts w:cs="Calibri"/>
                <w:sz w:val="18"/>
                <w:szCs w:val="18"/>
              </w:rPr>
              <w:t>Ministry of Environment of the Province of Jujuy</w:t>
            </w:r>
          </w:p>
        </w:tc>
        <w:tc>
          <w:tcPr>
            <w:tcW w:w="3673" w:type="dxa"/>
            <w:vAlign w:val="center"/>
          </w:tcPr>
          <w:p w14:paraId="25502933" w14:textId="77777777" w:rsidR="00D46B62" w:rsidRPr="003F7F6C" w:rsidRDefault="00D46B62" w:rsidP="00D46B62">
            <w:pPr>
              <w:spacing w:after="119" w:line="216" w:lineRule="atLeast"/>
              <w:ind w:right="42"/>
              <w:jc w:val="left"/>
              <w:rPr>
                <w:sz w:val="18"/>
                <w:szCs w:val="18"/>
              </w:rPr>
            </w:pPr>
            <w:r w:rsidRPr="003F7F6C">
              <w:rPr>
                <w:rFonts w:cs="Calibri"/>
                <w:sz w:val="18"/>
                <w:szCs w:val="18"/>
              </w:rPr>
              <w:t>Director of Land Use Planning</w:t>
            </w:r>
          </w:p>
        </w:tc>
      </w:tr>
      <w:tr w:rsidR="00D46B62" w:rsidRPr="003F7F6C" w14:paraId="4620035F" w14:textId="77777777" w:rsidTr="00553F65">
        <w:tc>
          <w:tcPr>
            <w:tcW w:w="1838" w:type="dxa"/>
            <w:vAlign w:val="center"/>
          </w:tcPr>
          <w:p w14:paraId="0D1FA2B4"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Mogni, Paula</w:t>
            </w:r>
          </w:p>
        </w:tc>
        <w:tc>
          <w:tcPr>
            <w:tcW w:w="2977" w:type="dxa"/>
            <w:vAlign w:val="center"/>
          </w:tcPr>
          <w:p w14:paraId="11B18EF6" w14:textId="77777777" w:rsidR="00D46B62" w:rsidRPr="003F7F6C" w:rsidRDefault="00D46B62" w:rsidP="00D46B62">
            <w:pPr>
              <w:spacing w:after="119" w:line="216" w:lineRule="atLeast"/>
              <w:ind w:right="42"/>
              <w:jc w:val="center"/>
              <w:rPr>
                <w:rFonts w:cs="Calibri"/>
                <w:sz w:val="18"/>
                <w:szCs w:val="18"/>
              </w:rPr>
            </w:pPr>
            <w:r w:rsidRPr="003F7F6C">
              <w:rPr>
                <w:rFonts w:cs="Calibri"/>
                <w:sz w:val="18"/>
                <w:szCs w:val="18"/>
              </w:rPr>
              <w:t>Ministry of Environment of the Province of Jujuy</w:t>
            </w:r>
          </w:p>
        </w:tc>
        <w:tc>
          <w:tcPr>
            <w:tcW w:w="3673" w:type="dxa"/>
            <w:vAlign w:val="center"/>
          </w:tcPr>
          <w:p w14:paraId="63C6365A" w14:textId="77777777" w:rsidR="00D46B62" w:rsidRPr="003F7F6C" w:rsidRDefault="00D46B62" w:rsidP="00D46B62">
            <w:pPr>
              <w:spacing w:after="119" w:line="216" w:lineRule="atLeast"/>
              <w:ind w:right="42"/>
              <w:jc w:val="left"/>
              <w:rPr>
                <w:sz w:val="18"/>
                <w:szCs w:val="18"/>
              </w:rPr>
            </w:pPr>
            <w:r w:rsidRPr="003F7F6C">
              <w:rPr>
                <w:rFonts w:cs="Calibri"/>
                <w:sz w:val="18"/>
                <w:szCs w:val="18"/>
              </w:rPr>
              <w:t>Deputy Director of Land Use Planning</w:t>
            </w:r>
          </w:p>
        </w:tc>
      </w:tr>
      <w:tr w:rsidR="00D46B62" w:rsidRPr="003F7F6C" w14:paraId="09D4A49C" w14:textId="77777777" w:rsidTr="00553F65">
        <w:tc>
          <w:tcPr>
            <w:tcW w:w="1838" w:type="dxa"/>
            <w:vAlign w:val="center"/>
          </w:tcPr>
          <w:p w14:paraId="552E23D5"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Cabezas, Ivana</w:t>
            </w:r>
          </w:p>
        </w:tc>
        <w:tc>
          <w:tcPr>
            <w:tcW w:w="2977" w:type="dxa"/>
            <w:vAlign w:val="center"/>
          </w:tcPr>
          <w:p w14:paraId="662197CA" w14:textId="77777777" w:rsidR="00D46B62" w:rsidRPr="003F7F6C" w:rsidRDefault="00D46B62" w:rsidP="00D46B62">
            <w:pPr>
              <w:spacing w:after="119" w:line="216" w:lineRule="atLeast"/>
              <w:ind w:right="42"/>
              <w:jc w:val="center"/>
              <w:rPr>
                <w:rFonts w:cs="Calibri"/>
                <w:sz w:val="18"/>
                <w:szCs w:val="18"/>
              </w:rPr>
            </w:pPr>
            <w:r w:rsidRPr="003F7F6C">
              <w:rPr>
                <w:rFonts w:cs="Calibri"/>
                <w:sz w:val="18"/>
                <w:szCs w:val="18"/>
              </w:rPr>
              <w:t>Ministry of Environment of the Province of Jujuy</w:t>
            </w:r>
          </w:p>
        </w:tc>
        <w:tc>
          <w:tcPr>
            <w:tcW w:w="3673" w:type="dxa"/>
            <w:vAlign w:val="center"/>
          </w:tcPr>
          <w:p w14:paraId="31C9126D" w14:textId="77777777" w:rsidR="00D46B62" w:rsidRPr="003F7F6C" w:rsidRDefault="00D46B62" w:rsidP="00D46B62">
            <w:pPr>
              <w:spacing w:after="119" w:line="216" w:lineRule="atLeast"/>
              <w:ind w:right="42"/>
              <w:jc w:val="left"/>
              <w:rPr>
                <w:sz w:val="18"/>
                <w:szCs w:val="18"/>
              </w:rPr>
            </w:pPr>
            <w:r w:rsidRPr="003F7F6C">
              <w:rPr>
                <w:rFonts w:cs="Calibri"/>
                <w:sz w:val="18"/>
                <w:szCs w:val="18"/>
              </w:rPr>
              <w:t xml:space="preserve">Technician for Land Use Planning Office </w:t>
            </w:r>
          </w:p>
        </w:tc>
      </w:tr>
      <w:tr w:rsidR="00D46B62" w:rsidRPr="003F7F6C" w14:paraId="70F1E28D" w14:textId="77777777" w:rsidTr="00553F65">
        <w:tc>
          <w:tcPr>
            <w:tcW w:w="1838" w:type="dxa"/>
            <w:vAlign w:val="center"/>
          </w:tcPr>
          <w:p w14:paraId="3DBBB350"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Valera Prieto, Llanos</w:t>
            </w:r>
          </w:p>
        </w:tc>
        <w:tc>
          <w:tcPr>
            <w:tcW w:w="2977" w:type="dxa"/>
            <w:vAlign w:val="center"/>
          </w:tcPr>
          <w:p w14:paraId="64DAD834" w14:textId="77777777" w:rsidR="00D46B62" w:rsidRPr="003F7F6C" w:rsidRDefault="00D46B62" w:rsidP="00D46B62">
            <w:pPr>
              <w:spacing w:after="119" w:line="216" w:lineRule="atLeast"/>
              <w:ind w:right="42"/>
              <w:jc w:val="center"/>
              <w:rPr>
                <w:rFonts w:cs="Calibri"/>
                <w:sz w:val="18"/>
                <w:szCs w:val="18"/>
              </w:rPr>
            </w:pPr>
            <w:r w:rsidRPr="003F7F6C">
              <w:rPr>
                <w:rFonts w:cs="Calibri"/>
                <w:sz w:val="18"/>
                <w:szCs w:val="18"/>
              </w:rPr>
              <w:t>Ministry of Environment of the Province of Jujuy</w:t>
            </w:r>
          </w:p>
        </w:tc>
        <w:tc>
          <w:tcPr>
            <w:tcW w:w="3673" w:type="dxa"/>
            <w:vAlign w:val="center"/>
          </w:tcPr>
          <w:p w14:paraId="3AA5426B" w14:textId="77777777" w:rsidR="00D46B62" w:rsidRPr="003F7F6C" w:rsidRDefault="00D46B62" w:rsidP="00D46B62">
            <w:pPr>
              <w:spacing w:after="119" w:line="216" w:lineRule="atLeast"/>
              <w:ind w:right="42"/>
              <w:jc w:val="left"/>
              <w:rPr>
                <w:sz w:val="18"/>
                <w:szCs w:val="18"/>
              </w:rPr>
            </w:pPr>
            <w:r w:rsidRPr="003F7F6C">
              <w:rPr>
                <w:rFonts w:cs="Calibri"/>
                <w:sz w:val="18"/>
                <w:szCs w:val="18"/>
              </w:rPr>
              <w:t xml:space="preserve">GIS Technician for Land Use Planning Office </w:t>
            </w:r>
          </w:p>
        </w:tc>
      </w:tr>
      <w:tr w:rsidR="00D46B62" w:rsidRPr="003F7F6C" w14:paraId="2C585811" w14:textId="77777777" w:rsidTr="00553F65">
        <w:tc>
          <w:tcPr>
            <w:tcW w:w="1838" w:type="dxa"/>
            <w:vAlign w:val="center"/>
          </w:tcPr>
          <w:p w14:paraId="0A8D39B5"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Zamorano, Mercedes</w:t>
            </w:r>
          </w:p>
        </w:tc>
        <w:tc>
          <w:tcPr>
            <w:tcW w:w="2977" w:type="dxa"/>
            <w:vAlign w:val="center"/>
          </w:tcPr>
          <w:p w14:paraId="66EB793E" w14:textId="77777777" w:rsidR="00D46B62" w:rsidRPr="003F7F6C" w:rsidRDefault="00D46B62" w:rsidP="00D46B62">
            <w:pPr>
              <w:spacing w:after="119" w:line="216" w:lineRule="atLeast"/>
              <w:ind w:right="42"/>
              <w:jc w:val="center"/>
              <w:rPr>
                <w:rFonts w:cs="Calibri"/>
                <w:sz w:val="18"/>
                <w:szCs w:val="18"/>
              </w:rPr>
            </w:pPr>
            <w:r w:rsidRPr="003F7F6C">
              <w:rPr>
                <w:rFonts w:cs="Calibri"/>
                <w:sz w:val="18"/>
                <w:szCs w:val="18"/>
              </w:rPr>
              <w:t>Ministry of Environment of the Province of Jujuy</w:t>
            </w:r>
          </w:p>
        </w:tc>
        <w:tc>
          <w:tcPr>
            <w:tcW w:w="3673" w:type="dxa"/>
            <w:vAlign w:val="center"/>
          </w:tcPr>
          <w:p w14:paraId="72972AF8" w14:textId="77777777" w:rsidR="00D46B62" w:rsidRPr="003F7F6C" w:rsidRDefault="00D46B62" w:rsidP="00D46B62">
            <w:pPr>
              <w:spacing w:after="119" w:line="216" w:lineRule="atLeast"/>
              <w:ind w:right="42"/>
              <w:jc w:val="left"/>
              <w:rPr>
                <w:sz w:val="18"/>
                <w:szCs w:val="18"/>
                <w:lang w:val="es-ES"/>
              </w:rPr>
            </w:pPr>
            <w:r w:rsidRPr="003F7F6C">
              <w:rPr>
                <w:rFonts w:cs="Calibri"/>
                <w:sz w:val="18"/>
                <w:szCs w:val="18"/>
                <w:lang w:val="es-AR"/>
              </w:rPr>
              <w:t>Director of Protected Areas</w:t>
            </w:r>
          </w:p>
        </w:tc>
      </w:tr>
      <w:tr w:rsidR="00D46B62" w:rsidRPr="003F7F6C" w14:paraId="3D407752" w14:textId="77777777" w:rsidTr="00553F65">
        <w:tc>
          <w:tcPr>
            <w:tcW w:w="1838" w:type="dxa"/>
            <w:vAlign w:val="center"/>
          </w:tcPr>
          <w:p w14:paraId="54375446"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Gronda, Javier</w:t>
            </w:r>
          </w:p>
        </w:tc>
        <w:tc>
          <w:tcPr>
            <w:tcW w:w="2977" w:type="dxa"/>
            <w:vAlign w:val="center"/>
          </w:tcPr>
          <w:p w14:paraId="69A8E1EF" w14:textId="77777777" w:rsidR="00D46B62" w:rsidRPr="003F7F6C" w:rsidRDefault="00D46B62" w:rsidP="00D46B62">
            <w:pPr>
              <w:spacing w:after="119" w:line="216" w:lineRule="atLeast"/>
              <w:ind w:right="42"/>
              <w:jc w:val="center"/>
              <w:rPr>
                <w:rFonts w:cs="Calibri"/>
                <w:sz w:val="18"/>
                <w:szCs w:val="18"/>
              </w:rPr>
            </w:pPr>
            <w:r w:rsidRPr="003F7F6C">
              <w:rPr>
                <w:rFonts w:cs="Calibri"/>
                <w:sz w:val="18"/>
                <w:szCs w:val="18"/>
              </w:rPr>
              <w:t>Ministry of Environment of the Province of Jujuy</w:t>
            </w:r>
          </w:p>
        </w:tc>
        <w:tc>
          <w:tcPr>
            <w:tcW w:w="3673" w:type="dxa"/>
            <w:vAlign w:val="center"/>
          </w:tcPr>
          <w:p w14:paraId="0EF08C3B" w14:textId="77777777" w:rsidR="00D46B62" w:rsidRPr="003F7F6C" w:rsidRDefault="00D46B62" w:rsidP="00D46B62">
            <w:pPr>
              <w:spacing w:after="119" w:line="216" w:lineRule="atLeast"/>
              <w:ind w:right="42"/>
              <w:jc w:val="left"/>
              <w:rPr>
                <w:sz w:val="18"/>
                <w:szCs w:val="18"/>
                <w:lang w:val="es-ES"/>
              </w:rPr>
            </w:pPr>
            <w:r w:rsidRPr="003F7F6C">
              <w:rPr>
                <w:rFonts w:cs="Calibri"/>
                <w:sz w:val="18"/>
                <w:szCs w:val="18"/>
                <w:lang w:val="es-AR"/>
              </w:rPr>
              <w:t>Secretary of Biodiversity</w:t>
            </w:r>
          </w:p>
        </w:tc>
      </w:tr>
      <w:tr w:rsidR="00D46B62" w:rsidRPr="003F7F6C" w14:paraId="60884FBB" w14:textId="77777777" w:rsidTr="00553F65">
        <w:tc>
          <w:tcPr>
            <w:tcW w:w="1838" w:type="dxa"/>
            <w:vAlign w:val="center"/>
          </w:tcPr>
          <w:p w14:paraId="6D2E4DFE"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Zenón, Daniel</w:t>
            </w:r>
          </w:p>
        </w:tc>
        <w:tc>
          <w:tcPr>
            <w:tcW w:w="2977" w:type="dxa"/>
            <w:vAlign w:val="center"/>
          </w:tcPr>
          <w:p w14:paraId="2472F4DF" w14:textId="77777777" w:rsidR="00D46B62" w:rsidRPr="003F7F6C" w:rsidRDefault="00D46B62" w:rsidP="00D46B62">
            <w:pPr>
              <w:spacing w:after="119" w:line="216" w:lineRule="atLeast"/>
              <w:ind w:right="42"/>
              <w:jc w:val="center"/>
              <w:rPr>
                <w:rFonts w:cs="Calibri"/>
                <w:sz w:val="18"/>
                <w:szCs w:val="18"/>
              </w:rPr>
            </w:pPr>
            <w:r w:rsidRPr="003F7F6C">
              <w:rPr>
                <w:rFonts w:cs="Calibri"/>
                <w:sz w:val="18"/>
                <w:szCs w:val="18"/>
              </w:rPr>
              <w:t>Ministry of Environment of the Province of Jujuy</w:t>
            </w:r>
          </w:p>
        </w:tc>
        <w:tc>
          <w:tcPr>
            <w:tcW w:w="3673" w:type="dxa"/>
            <w:vAlign w:val="center"/>
          </w:tcPr>
          <w:p w14:paraId="6928E28E" w14:textId="77777777" w:rsidR="00D46B62" w:rsidRPr="003F7F6C" w:rsidRDefault="00D46B62" w:rsidP="00D46B62">
            <w:pPr>
              <w:spacing w:after="119" w:line="216" w:lineRule="atLeast"/>
              <w:ind w:right="42"/>
              <w:jc w:val="left"/>
              <w:rPr>
                <w:sz w:val="18"/>
                <w:szCs w:val="18"/>
              </w:rPr>
            </w:pPr>
            <w:r w:rsidRPr="003F7F6C">
              <w:rPr>
                <w:rFonts w:cs="Calibri"/>
                <w:sz w:val="18"/>
                <w:szCs w:val="18"/>
              </w:rPr>
              <w:t xml:space="preserve">Director of Changes in Land Use </w:t>
            </w:r>
          </w:p>
        </w:tc>
      </w:tr>
      <w:tr w:rsidR="00D46B62" w:rsidRPr="003F7F6C" w14:paraId="7C75D88F" w14:textId="77777777" w:rsidTr="00553F65">
        <w:tc>
          <w:tcPr>
            <w:tcW w:w="1838" w:type="dxa"/>
            <w:vAlign w:val="center"/>
          </w:tcPr>
          <w:p w14:paraId="68679338"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Olmos, Sandra</w:t>
            </w:r>
          </w:p>
        </w:tc>
        <w:tc>
          <w:tcPr>
            <w:tcW w:w="2977" w:type="dxa"/>
            <w:vAlign w:val="center"/>
          </w:tcPr>
          <w:p w14:paraId="6887C6D3" w14:textId="77777777" w:rsidR="00D46B62" w:rsidRPr="003F7F6C" w:rsidRDefault="00D46B62" w:rsidP="00D46B62">
            <w:pPr>
              <w:spacing w:after="119" w:line="216" w:lineRule="atLeast"/>
              <w:ind w:right="42"/>
              <w:jc w:val="center"/>
              <w:rPr>
                <w:rFonts w:cs="Calibri"/>
                <w:sz w:val="18"/>
                <w:szCs w:val="18"/>
              </w:rPr>
            </w:pPr>
            <w:r w:rsidRPr="003F7F6C">
              <w:rPr>
                <w:rFonts w:cs="Calibri"/>
                <w:sz w:val="18"/>
                <w:szCs w:val="18"/>
              </w:rPr>
              <w:t>Ministry of Environment of the Province of Jujuy</w:t>
            </w:r>
          </w:p>
        </w:tc>
        <w:tc>
          <w:tcPr>
            <w:tcW w:w="3673" w:type="dxa"/>
            <w:vAlign w:val="center"/>
          </w:tcPr>
          <w:p w14:paraId="3BE373AE" w14:textId="77777777" w:rsidR="00D46B62" w:rsidRPr="003F7F6C" w:rsidRDefault="00D46B62" w:rsidP="00D46B62">
            <w:pPr>
              <w:spacing w:after="160" w:line="259" w:lineRule="auto"/>
              <w:jc w:val="left"/>
              <w:rPr>
                <w:sz w:val="18"/>
                <w:szCs w:val="18"/>
              </w:rPr>
            </w:pPr>
            <w:r w:rsidRPr="003F7F6C">
              <w:rPr>
                <w:rFonts w:cs="Calibri"/>
                <w:sz w:val="18"/>
                <w:szCs w:val="18"/>
              </w:rPr>
              <w:t>Tourism Management Office under the Tourism Management Secretariat.</w:t>
            </w:r>
          </w:p>
          <w:p w14:paraId="1FD9AAB0" w14:textId="77777777" w:rsidR="00D46B62" w:rsidRPr="003F7F6C" w:rsidRDefault="00D46B62" w:rsidP="00D46B62">
            <w:pPr>
              <w:spacing w:after="119" w:line="216" w:lineRule="atLeast"/>
              <w:ind w:right="42"/>
              <w:jc w:val="left"/>
              <w:rPr>
                <w:sz w:val="18"/>
                <w:szCs w:val="18"/>
              </w:rPr>
            </w:pPr>
          </w:p>
        </w:tc>
      </w:tr>
      <w:tr w:rsidR="00D46B62" w:rsidRPr="003F7F6C" w14:paraId="0E0885E3" w14:textId="77777777" w:rsidTr="00553F65">
        <w:tc>
          <w:tcPr>
            <w:tcW w:w="1838" w:type="dxa"/>
            <w:vAlign w:val="center"/>
          </w:tcPr>
          <w:p w14:paraId="5001CFBF"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Deiana, María Emilia</w:t>
            </w:r>
          </w:p>
        </w:tc>
        <w:tc>
          <w:tcPr>
            <w:tcW w:w="2977" w:type="dxa"/>
            <w:vAlign w:val="center"/>
          </w:tcPr>
          <w:p w14:paraId="708BBE81" w14:textId="77777777" w:rsidR="00D46B62" w:rsidRPr="003F7F6C" w:rsidRDefault="00D46B62" w:rsidP="00D46B62">
            <w:pPr>
              <w:spacing w:after="119" w:line="216" w:lineRule="atLeast"/>
              <w:ind w:right="42"/>
              <w:jc w:val="center"/>
              <w:rPr>
                <w:rFonts w:cs="Calibri"/>
                <w:sz w:val="18"/>
                <w:szCs w:val="18"/>
              </w:rPr>
            </w:pPr>
            <w:r w:rsidRPr="003F7F6C">
              <w:rPr>
                <w:rFonts w:cs="Calibri"/>
                <w:sz w:val="18"/>
                <w:szCs w:val="18"/>
              </w:rPr>
              <w:t>Ministry of Production - Province of Jujuy</w:t>
            </w:r>
          </w:p>
        </w:tc>
        <w:tc>
          <w:tcPr>
            <w:tcW w:w="3673" w:type="dxa"/>
            <w:vAlign w:val="center"/>
          </w:tcPr>
          <w:p w14:paraId="3C185F30" w14:textId="77777777" w:rsidR="00D46B62" w:rsidRPr="003F7F6C" w:rsidRDefault="00D46B62" w:rsidP="00D46B62">
            <w:pPr>
              <w:spacing w:after="160" w:line="259" w:lineRule="auto"/>
              <w:jc w:val="left"/>
              <w:rPr>
                <w:sz w:val="18"/>
                <w:szCs w:val="18"/>
                <w:lang w:val="es-ES"/>
              </w:rPr>
            </w:pPr>
            <w:r w:rsidRPr="003F7F6C">
              <w:rPr>
                <w:rFonts w:cs="Calibri"/>
                <w:sz w:val="18"/>
                <w:szCs w:val="18"/>
                <w:lang w:val="es-AR"/>
              </w:rPr>
              <w:t xml:space="preserve">Secretariat of Production Development </w:t>
            </w:r>
          </w:p>
        </w:tc>
      </w:tr>
      <w:tr w:rsidR="00D46B62" w:rsidRPr="003F7F6C" w14:paraId="15A725D9" w14:textId="77777777" w:rsidTr="00553F65">
        <w:tc>
          <w:tcPr>
            <w:tcW w:w="1838" w:type="dxa"/>
            <w:vAlign w:val="center"/>
          </w:tcPr>
          <w:p w14:paraId="780519F2"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Bisgarra, Sergio</w:t>
            </w:r>
          </w:p>
        </w:tc>
        <w:tc>
          <w:tcPr>
            <w:tcW w:w="2977" w:type="dxa"/>
            <w:vAlign w:val="center"/>
          </w:tcPr>
          <w:p w14:paraId="76C159DD"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Secretariat of Family Agriculture - Jujuy</w:t>
            </w:r>
          </w:p>
          <w:p w14:paraId="72A16459" w14:textId="77777777" w:rsidR="00D46B62" w:rsidRPr="003F7F6C" w:rsidRDefault="00D46B62" w:rsidP="00D46B62">
            <w:pPr>
              <w:spacing w:after="119" w:line="216" w:lineRule="atLeast"/>
              <w:ind w:right="42"/>
              <w:jc w:val="center"/>
              <w:rPr>
                <w:rFonts w:cs="Calibri"/>
                <w:sz w:val="18"/>
                <w:szCs w:val="18"/>
                <w:lang w:val="es-AR"/>
              </w:rPr>
            </w:pPr>
          </w:p>
        </w:tc>
        <w:tc>
          <w:tcPr>
            <w:tcW w:w="3673" w:type="dxa"/>
            <w:vAlign w:val="center"/>
          </w:tcPr>
          <w:p w14:paraId="3493AE48" w14:textId="77777777" w:rsidR="00D46B62" w:rsidRPr="003F7F6C" w:rsidRDefault="00D46B62" w:rsidP="00D46B62">
            <w:pPr>
              <w:spacing w:after="160" w:line="259" w:lineRule="auto"/>
              <w:jc w:val="left"/>
              <w:rPr>
                <w:sz w:val="18"/>
                <w:szCs w:val="18"/>
                <w:lang w:val="es-ES"/>
              </w:rPr>
            </w:pPr>
            <w:r w:rsidRPr="003F7F6C">
              <w:rPr>
                <w:rFonts w:cs="Calibri"/>
                <w:sz w:val="18"/>
                <w:szCs w:val="18"/>
                <w:lang w:val="es-AR"/>
              </w:rPr>
              <w:t xml:space="preserve">Secretariat of Family Agriculture </w:t>
            </w:r>
          </w:p>
          <w:p w14:paraId="2091D50D" w14:textId="77777777" w:rsidR="00D46B62" w:rsidRPr="003F7F6C" w:rsidRDefault="00D46B62" w:rsidP="00D46B62">
            <w:pPr>
              <w:spacing w:after="160" w:line="259" w:lineRule="auto"/>
              <w:jc w:val="left"/>
              <w:rPr>
                <w:sz w:val="18"/>
                <w:szCs w:val="18"/>
                <w:lang w:val="es-ES"/>
              </w:rPr>
            </w:pPr>
          </w:p>
        </w:tc>
      </w:tr>
      <w:tr w:rsidR="00D46B62" w:rsidRPr="003F7F6C" w14:paraId="606ECA41" w14:textId="77777777" w:rsidTr="00553F65">
        <w:tc>
          <w:tcPr>
            <w:tcW w:w="1838" w:type="dxa"/>
            <w:vAlign w:val="center"/>
          </w:tcPr>
          <w:p w14:paraId="4863AC4E"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Pérez, Carolina</w:t>
            </w:r>
          </w:p>
        </w:tc>
        <w:tc>
          <w:tcPr>
            <w:tcW w:w="2977" w:type="dxa"/>
            <w:vAlign w:val="center"/>
          </w:tcPr>
          <w:p w14:paraId="32D60833" w14:textId="77777777" w:rsidR="00D46B62" w:rsidRPr="003F7F6C" w:rsidRDefault="00D46B62" w:rsidP="00D46B62">
            <w:pPr>
              <w:spacing w:after="119" w:line="216" w:lineRule="atLeast"/>
              <w:ind w:right="42"/>
              <w:jc w:val="center"/>
              <w:rPr>
                <w:rFonts w:cs="Calibri"/>
                <w:sz w:val="18"/>
                <w:szCs w:val="18"/>
              </w:rPr>
            </w:pPr>
            <w:r w:rsidRPr="003F7F6C">
              <w:rPr>
                <w:rFonts w:cs="Calibri"/>
                <w:sz w:val="18"/>
                <w:szCs w:val="18"/>
              </w:rPr>
              <w:t>Secretariat of Indigenous Peoples - Jujuy Province</w:t>
            </w:r>
          </w:p>
        </w:tc>
        <w:tc>
          <w:tcPr>
            <w:tcW w:w="3673" w:type="dxa"/>
            <w:vAlign w:val="center"/>
          </w:tcPr>
          <w:p w14:paraId="58055A87" w14:textId="77777777" w:rsidR="00D46B62" w:rsidRPr="003F7F6C" w:rsidRDefault="00D46B62" w:rsidP="00D46B62">
            <w:pPr>
              <w:spacing w:after="160" w:line="259" w:lineRule="auto"/>
              <w:jc w:val="left"/>
              <w:rPr>
                <w:sz w:val="18"/>
                <w:szCs w:val="18"/>
              </w:rPr>
            </w:pPr>
            <w:r w:rsidRPr="003F7F6C">
              <w:rPr>
                <w:rFonts w:cs="Calibri"/>
                <w:sz w:val="18"/>
                <w:szCs w:val="18"/>
              </w:rPr>
              <w:t>Head of Department of Legal Affairs and Legal Defence</w:t>
            </w:r>
          </w:p>
        </w:tc>
      </w:tr>
      <w:tr w:rsidR="00D46B62" w:rsidRPr="003F7F6C" w14:paraId="144F76D0" w14:textId="77777777" w:rsidTr="00553F65">
        <w:tc>
          <w:tcPr>
            <w:tcW w:w="1838" w:type="dxa"/>
            <w:vAlign w:val="center"/>
          </w:tcPr>
          <w:p w14:paraId="1551F7F5"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Augusto de Haro</w:t>
            </w:r>
          </w:p>
        </w:tc>
        <w:tc>
          <w:tcPr>
            <w:tcW w:w="2977" w:type="dxa"/>
            <w:vAlign w:val="center"/>
          </w:tcPr>
          <w:p w14:paraId="04A22B67"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INTA</w:t>
            </w:r>
          </w:p>
        </w:tc>
        <w:tc>
          <w:tcPr>
            <w:tcW w:w="3673" w:type="dxa"/>
            <w:vAlign w:val="center"/>
          </w:tcPr>
          <w:p w14:paraId="5C67C723" w14:textId="77777777" w:rsidR="00D46B62" w:rsidRPr="003F7F6C" w:rsidRDefault="00D46B62" w:rsidP="00D46B62">
            <w:pPr>
              <w:spacing w:after="160" w:line="259" w:lineRule="auto"/>
              <w:jc w:val="left"/>
              <w:rPr>
                <w:sz w:val="18"/>
                <w:szCs w:val="18"/>
              </w:rPr>
            </w:pPr>
            <w:r w:rsidRPr="003F7F6C">
              <w:rPr>
                <w:rFonts w:cs="Calibri"/>
                <w:sz w:val="18"/>
                <w:szCs w:val="18"/>
              </w:rPr>
              <w:t>National Coordination of Transfer and Extension/Expansion</w:t>
            </w:r>
          </w:p>
        </w:tc>
      </w:tr>
      <w:tr w:rsidR="00D46B62" w:rsidRPr="003F7F6C" w14:paraId="566AED75" w14:textId="77777777" w:rsidTr="00553F65">
        <w:tc>
          <w:tcPr>
            <w:tcW w:w="1838" w:type="dxa"/>
            <w:vAlign w:val="center"/>
          </w:tcPr>
          <w:p w14:paraId="478DCF05"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Silva Colomer, Jorge</w:t>
            </w:r>
          </w:p>
        </w:tc>
        <w:tc>
          <w:tcPr>
            <w:tcW w:w="2977" w:type="dxa"/>
            <w:vAlign w:val="center"/>
          </w:tcPr>
          <w:p w14:paraId="264BDB45"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INTA</w:t>
            </w:r>
          </w:p>
        </w:tc>
        <w:tc>
          <w:tcPr>
            <w:tcW w:w="3673" w:type="dxa"/>
            <w:vAlign w:val="center"/>
          </w:tcPr>
          <w:p w14:paraId="4727A17C" w14:textId="77777777" w:rsidR="00D46B62" w:rsidRPr="003F7F6C" w:rsidRDefault="00D46B62" w:rsidP="00D46B62">
            <w:pPr>
              <w:spacing w:after="160" w:line="259" w:lineRule="auto"/>
              <w:jc w:val="left"/>
              <w:rPr>
                <w:sz w:val="18"/>
                <w:szCs w:val="18"/>
                <w:lang w:val="es-ES"/>
              </w:rPr>
            </w:pPr>
            <w:r w:rsidRPr="003F7F6C">
              <w:rPr>
                <w:rFonts w:cs="Calibri"/>
                <w:sz w:val="18"/>
                <w:szCs w:val="18"/>
                <w:lang w:val="es-AR"/>
              </w:rPr>
              <w:t>EEA Mendoza</w:t>
            </w:r>
          </w:p>
        </w:tc>
      </w:tr>
      <w:tr w:rsidR="00D46B62" w:rsidRPr="003F7F6C" w14:paraId="7398E2C5" w14:textId="77777777" w:rsidTr="00553F65">
        <w:tc>
          <w:tcPr>
            <w:tcW w:w="1838" w:type="dxa"/>
            <w:vAlign w:val="center"/>
          </w:tcPr>
          <w:p w14:paraId="5F24926B" w14:textId="77777777" w:rsidR="00D46B62" w:rsidRPr="003F7F6C" w:rsidRDefault="00D46B62" w:rsidP="00D46B62">
            <w:pPr>
              <w:spacing w:after="119" w:line="216" w:lineRule="atLeast"/>
              <w:ind w:right="42"/>
              <w:jc w:val="left"/>
              <w:rPr>
                <w:rFonts w:cs="Calibri"/>
                <w:sz w:val="18"/>
                <w:szCs w:val="18"/>
                <w:lang w:val="es-ES"/>
              </w:rPr>
            </w:pPr>
            <w:r w:rsidRPr="003F7F6C">
              <w:rPr>
                <w:rFonts w:cs="Calibri"/>
                <w:color w:val="212121"/>
                <w:sz w:val="18"/>
                <w:szCs w:val="18"/>
                <w:lang w:val="es-ES" w:eastAsia="es-ES_tradnl"/>
              </w:rPr>
              <w:t>Van den Bosch, María Eugenia</w:t>
            </w:r>
          </w:p>
        </w:tc>
        <w:tc>
          <w:tcPr>
            <w:tcW w:w="2977" w:type="dxa"/>
            <w:vAlign w:val="center"/>
          </w:tcPr>
          <w:p w14:paraId="191208D0"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INTA</w:t>
            </w:r>
          </w:p>
        </w:tc>
        <w:tc>
          <w:tcPr>
            <w:tcW w:w="3673" w:type="dxa"/>
            <w:vAlign w:val="center"/>
          </w:tcPr>
          <w:p w14:paraId="63E8C34A" w14:textId="77777777" w:rsidR="00D46B62" w:rsidRPr="003F7F6C" w:rsidRDefault="00D46B62" w:rsidP="00D46B62">
            <w:pPr>
              <w:spacing w:after="160" w:line="259" w:lineRule="auto"/>
              <w:jc w:val="left"/>
              <w:rPr>
                <w:sz w:val="18"/>
                <w:szCs w:val="18"/>
                <w:lang w:val="es-ES"/>
              </w:rPr>
            </w:pPr>
            <w:r w:rsidRPr="003F7F6C">
              <w:rPr>
                <w:rFonts w:cs="Calibri"/>
                <w:sz w:val="18"/>
                <w:szCs w:val="18"/>
                <w:lang w:val="es-AR"/>
              </w:rPr>
              <w:t>EEA Mendoza</w:t>
            </w:r>
          </w:p>
        </w:tc>
      </w:tr>
      <w:tr w:rsidR="00D46B62" w:rsidRPr="003F7F6C" w14:paraId="6B20E9D4" w14:textId="77777777" w:rsidTr="00553F65">
        <w:tc>
          <w:tcPr>
            <w:tcW w:w="1838" w:type="dxa"/>
            <w:vAlign w:val="center"/>
          </w:tcPr>
          <w:p w14:paraId="4B408731" w14:textId="77777777" w:rsidR="00D46B62" w:rsidRPr="003F7F6C" w:rsidRDefault="00D46B62" w:rsidP="00D46B62">
            <w:pPr>
              <w:spacing w:after="119" w:line="216" w:lineRule="atLeast"/>
              <w:ind w:right="42"/>
              <w:jc w:val="left"/>
              <w:rPr>
                <w:color w:val="212121"/>
                <w:sz w:val="18"/>
                <w:szCs w:val="18"/>
                <w:lang w:val="es-ES" w:eastAsia="es-ES_tradnl"/>
              </w:rPr>
            </w:pPr>
            <w:r w:rsidRPr="003F7F6C">
              <w:rPr>
                <w:rFonts w:cs="Calibri"/>
                <w:color w:val="212121"/>
                <w:sz w:val="18"/>
                <w:szCs w:val="18"/>
                <w:lang w:val="es-AR" w:eastAsia="es-ES_tradnl"/>
              </w:rPr>
              <w:t>Gudiño, José</w:t>
            </w:r>
          </w:p>
        </w:tc>
        <w:tc>
          <w:tcPr>
            <w:tcW w:w="2977" w:type="dxa"/>
            <w:vAlign w:val="center"/>
          </w:tcPr>
          <w:p w14:paraId="058F44BC"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INTA</w:t>
            </w:r>
          </w:p>
        </w:tc>
        <w:tc>
          <w:tcPr>
            <w:tcW w:w="3673" w:type="dxa"/>
            <w:vAlign w:val="center"/>
          </w:tcPr>
          <w:p w14:paraId="644CA348" w14:textId="77777777" w:rsidR="00D46B62" w:rsidRPr="003F7F6C" w:rsidRDefault="00D46B62" w:rsidP="00D46B62">
            <w:pPr>
              <w:spacing w:after="160" w:line="259" w:lineRule="auto"/>
              <w:jc w:val="left"/>
              <w:rPr>
                <w:sz w:val="18"/>
                <w:szCs w:val="18"/>
              </w:rPr>
            </w:pPr>
            <w:r w:rsidRPr="003F7F6C">
              <w:rPr>
                <w:rFonts w:cs="Calibri"/>
                <w:sz w:val="18"/>
                <w:szCs w:val="18"/>
                <w:lang w:val="es-AR"/>
              </w:rPr>
              <w:t>Director of the Mendoza-San Juan Regional Centre - INTA</w:t>
            </w:r>
          </w:p>
        </w:tc>
      </w:tr>
      <w:tr w:rsidR="00D46B62" w:rsidRPr="003F7F6C" w14:paraId="360A44F2" w14:textId="77777777" w:rsidTr="00553F65">
        <w:tc>
          <w:tcPr>
            <w:tcW w:w="1838" w:type="dxa"/>
            <w:vAlign w:val="center"/>
          </w:tcPr>
          <w:p w14:paraId="68B760B3" w14:textId="77777777" w:rsidR="00D46B62" w:rsidRPr="003F7F6C" w:rsidRDefault="00D46B62" w:rsidP="00D46B62">
            <w:pPr>
              <w:spacing w:after="119" w:line="216" w:lineRule="atLeast"/>
              <w:ind w:right="42"/>
              <w:jc w:val="left"/>
              <w:rPr>
                <w:color w:val="212121"/>
                <w:sz w:val="18"/>
                <w:szCs w:val="18"/>
                <w:lang w:val="es-ES" w:eastAsia="es-ES_tradnl"/>
              </w:rPr>
            </w:pPr>
            <w:r w:rsidRPr="003F7F6C">
              <w:rPr>
                <w:rFonts w:cs="Calibri"/>
                <w:color w:val="212121"/>
                <w:sz w:val="18"/>
                <w:szCs w:val="18"/>
                <w:lang w:val="es-AR" w:eastAsia="es-ES_tradnl"/>
              </w:rPr>
              <w:t>Vitale, Javier</w:t>
            </w:r>
          </w:p>
        </w:tc>
        <w:tc>
          <w:tcPr>
            <w:tcW w:w="2977" w:type="dxa"/>
            <w:vAlign w:val="center"/>
          </w:tcPr>
          <w:p w14:paraId="5E05A870"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INTA</w:t>
            </w:r>
          </w:p>
        </w:tc>
        <w:tc>
          <w:tcPr>
            <w:tcW w:w="3673" w:type="dxa"/>
            <w:vAlign w:val="center"/>
          </w:tcPr>
          <w:p w14:paraId="1A1BC2BB" w14:textId="77777777" w:rsidR="00D46B62" w:rsidRPr="003F7F6C" w:rsidRDefault="00D46B62" w:rsidP="00D46B62">
            <w:pPr>
              <w:spacing w:after="160" w:line="259" w:lineRule="auto"/>
              <w:jc w:val="left"/>
              <w:rPr>
                <w:sz w:val="18"/>
                <w:szCs w:val="18"/>
                <w:lang w:val="es-ES"/>
              </w:rPr>
            </w:pPr>
            <w:r w:rsidRPr="003F7F6C">
              <w:rPr>
                <w:rFonts w:cs="Calibri"/>
                <w:sz w:val="18"/>
                <w:szCs w:val="18"/>
                <w:lang w:val="es-AR"/>
              </w:rPr>
              <w:t>EEA Mendoza</w:t>
            </w:r>
          </w:p>
        </w:tc>
      </w:tr>
      <w:tr w:rsidR="00D46B62" w:rsidRPr="003F7F6C" w14:paraId="61FC62C4" w14:textId="77777777" w:rsidTr="00553F65">
        <w:tc>
          <w:tcPr>
            <w:tcW w:w="1838" w:type="dxa"/>
            <w:vAlign w:val="center"/>
          </w:tcPr>
          <w:p w14:paraId="4303B68E" w14:textId="77777777" w:rsidR="00D46B62" w:rsidRPr="003F7F6C" w:rsidRDefault="00D46B62" w:rsidP="00D46B62">
            <w:pPr>
              <w:spacing w:after="119" w:line="216" w:lineRule="atLeast"/>
              <w:ind w:right="42"/>
              <w:jc w:val="left"/>
              <w:rPr>
                <w:color w:val="212121"/>
                <w:sz w:val="18"/>
                <w:szCs w:val="18"/>
                <w:lang w:val="es-ES" w:eastAsia="es-ES_tradnl"/>
              </w:rPr>
            </w:pPr>
            <w:r w:rsidRPr="003F7F6C">
              <w:rPr>
                <w:rFonts w:cs="Calibri"/>
                <w:color w:val="212121"/>
                <w:sz w:val="18"/>
                <w:szCs w:val="18"/>
                <w:lang w:val="es-AR" w:eastAsia="es-ES_tradnl"/>
              </w:rPr>
              <w:t>Pérez, Martín</w:t>
            </w:r>
          </w:p>
        </w:tc>
        <w:tc>
          <w:tcPr>
            <w:tcW w:w="2977" w:type="dxa"/>
            <w:vAlign w:val="center"/>
          </w:tcPr>
          <w:p w14:paraId="007F39BC"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INTA</w:t>
            </w:r>
          </w:p>
        </w:tc>
        <w:tc>
          <w:tcPr>
            <w:tcW w:w="3673" w:type="dxa"/>
            <w:vAlign w:val="center"/>
          </w:tcPr>
          <w:p w14:paraId="2BD6941A" w14:textId="77777777" w:rsidR="00D46B62" w:rsidRPr="003F7F6C" w:rsidRDefault="00D46B62" w:rsidP="00D46B62">
            <w:pPr>
              <w:spacing w:after="160" w:line="259" w:lineRule="auto"/>
              <w:jc w:val="left"/>
              <w:rPr>
                <w:sz w:val="18"/>
                <w:szCs w:val="18"/>
                <w:lang w:val="es-ES"/>
              </w:rPr>
            </w:pPr>
            <w:r w:rsidRPr="003F7F6C">
              <w:rPr>
                <w:rFonts w:cs="Calibri"/>
                <w:sz w:val="18"/>
                <w:szCs w:val="18"/>
                <w:lang w:val="es-AR"/>
              </w:rPr>
              <w:t>EEA Mendoza</w:t>
            </w:r>
          </w:p>
        </w:tc>
      </w:tr>
      <w:tr w:rsidR="00D46B62" w:rsidRPr="003F7F6C" w14:paraId="645FA054" w14:textId="77777777" w:rsidTr="00553F65">
        <w:tc>
          <w:tcPr>
            <w:tcW w:w="1838" w:type="dxa"/>
            <w:vAlign w:val="center"/>
          </w:tcPr>
          <w:p w14:paraId="2A65DCD2" w14:textId="77777777" w:rsidR="00D46B62" w:rsidRPr="003F7F6C" w:rsidRDefault="00D46B62" w:rsidP="00D46B62">
            <w:pPr>
              <w:spacing w:after="119" w:line="216" w:lineRule="atLeast"/>
              <w:ind w:right="42"/>
              <w:jc w:val="left"/>
              <w:rPr>
                <w:color w:val="212121"/>
                <w:sz w:val="18"/>
                <w:szCs w:val="18"/>
                <w:lang w:val="es-ES" w:eastAsia="es-ES_tradnl"/>
              </w:rPr>
            </w:pPr>
            <w:r w:rsidRPr="003F7F6C">
              <w:rPr>
                <w:rFonts w:cs="Calibri"/>
                <w:color w:val="212121"/>
                <w:sz w:val="18"/>
                <w:szCs w:val="18"/>
                <w:lang w:val="es-AR" w:eastAsia="es-ES_tradnl"/>
              </w:rPr>
              <w:t>Portela, José</w:t>
            </w:r>
          </w:p>
        </w:tc>
        <w:tc>
          <w:tcPr>
            <w:tcW w:w="2977" w:type="dxa"/>
            <w:vAlign w:val="center"/>
          </w:tcPr>
          <w:p w14:paraId="20D53DC1"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INTA</w:t>
            </w:r>
          </w:p>
        </w:tc>
        <w:tc>
          <w:tcPr>
            <w:tcW w:w="3673" w:type="dxa"/>
            <w:vAlign w:val="center"/>
          </w:tcPr>
          <w:p w14:paraId="2FAEEA4F" w14:textId="77777777" w:rsidR="00D46B62" w:rsidRPr="003F7F6C" w:rsidRDefault="00D46B62" w:rsidP="00D46B62">
            <w:pPr>
              <w:spacing w:after="160" w:line="259" w:lineRule="auto"/>
              <w:jc w:val="left"/>
              <w:rPr>
                <w:sz w:val="18"/>
                <w:szCs w:val="18"/>
                <w:lang w:val="es-ES"/>
              </w:rPr>
            </w:pPr>
            <w:r w:rsidRPr="003F7F6C">
              <w:rPr>
                <w:rFonts w:cs="Calibri"/>
                <w:sz w:val="18"/>
                <w:szCs w:val="18"/>
                <w:lang w:val="es-AR"/>
              </w:rPr>
              <w:t>EEA La Consulta</w:t>
            </w:r>
          </w:p>
        </w:tc>
      </w:tr>
      <w:tr w:rsidR="00D46B62" w:rsidRPr="003F7F6C" w14:paraId="3BCC147F" w14:textId="77777777" w:rsidTr="00553F65">
        <w:tc>
          <w:tcPr>
            <w:tcW w:w="1838" w:type="dxa"/>
            <w:vAlign w:val="center"/>
          </w:tcPr>
          <w:p w14:paraId="4396A93B" w14:textId="77777777" w:rsidR="00D46B62" w:rsidRPr="003F7F6C" w:rsidRDefault="00D46B62" w:rsidP="00D46B62">
            <w:pPr>
              <w:spacing w:after="119" w:line="216" w:lineRule="atLeast"/>
              <w:ind w:right="42"/>
              <w:jc w:val="left"/>
              <w:rPr>
                <w:color w:val="212121"/>
                <w:sz w:val="18"/>
                <w:szCs w:val="18"/>
                <w:lang w:val="es-ES" w:eastAsia="es-ES_tradnl"/>
              </w:rPr>
            </w:pPr>
            <w:r w:rsidRPr="003F7F6C">
              <w:rPr>
                <w:rFonts w:cs="Calibri"/>
                <w:color w:val="212121"/>
                <w:sz w:val="18"/>
                <w:szCs w:val="18"/>
                <w:lang w:val="es-AR" w:eastAsia="es-ES_tradnl"/>
              </w:rPr>
              <w:t>Macario, Javier</w:t>
            </w:r>
          </w:p>
        </w:tc>
        <w:tc>
          <w:tcPr>
            <w:tcW w:w="2977" w:type="dxa"/>
            <w:vAlign w:val="center"/>
          </w:tcPr>
          <w:p w14:paraId="05E719CC"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INTA</w:t>
            </w:r>
          </w:p>
        </w:tc>
        <w:tc>
          <w:tcPr>
            <w:tcW w:w="3673" w:type="dxa"/>
            <w:vAlign w:val="center"/>
          </w:tcPr>
          <w:p w14:paraId="0DD56707" w14:textId="77777777" w:rsidR="00D46B62" w:rsidRPr="003F7F6C" w:rsidRDefault="00D46B62" w:rsidP="00D46B62">
            <w:pPr>
              <w:spacing w:after="160" w:line="259" w:lineRule="auto"/>
              <w:jc w:val="left"/>
              <w:rPr>
                <w:rFonts w:cs="Calibri"/>
                <w:sz w:val="18"/>
                <w:szCs w:val="18"/>
              </w:rPr>
            </w:pPr>
            <w:r w:rsidRPr="003F7F6C">
              <w:rPr>
                <w:rFonts w:cs="Calibri"/>
                <w:sz w:val="18"/>
                <w:szCs w:val="18"/>
              </w:rPr>
              <w:t xml:space="preserve">Head of </w:t>
            </w:r>
            <w:r w:rsidRPr="003F7F6C">
              <w:rPr>
                <w:sz w:val="18"/>
                <w:szCs w:val="18"/>
                <w:lang w:val="es-AR"/>
              </w:rPr>
              <w:fldChar w:fldCharType="begin"/>
            </w:r>
            <w:r w:rsidRPr="003F7F6C">
              <w:rPr>
                <w:sz w:val="18"/>
                <w:szCs w:val="18"/>
              </w:rPr>
              <w:instrText xml:space="preserve"> HYPERLINK "https://inta.gob.ar/unidades/513002" </w:instrText>
            </w:r>
            <w:r w:rsidRPr="003F7F6C">
              <w:rPr>
                <w:sz w:val="18"/>
                <w:szCs w:val="18"/>
                <w:lang w:val="es-AR"/>
              </w:rPr>
              <w:fldChar w:fldCharType="separate"/>
            </w:r>
            <w:r w:rsidRPr="003F7F6C">
              <w:rPr>
                <w:rFonts w:cs="Calibri"/>
                <w:sz w:val="18"/>
                <w:szCs w:val="18"/>
              </w:rPr>
              <w:t xml:space="preserve">Rural Extension/Expansion Agency  </w:t>
            </w:r>
          </w:p>
          <w:p w14:paraId="4EDE28B2" w14:textId="77777777" w:rsidR="00D46B62" w:rsidRPr="003F7F6C" w:rsidRDefault="00D46B62" w:rsidP="00D46B62">
            <w:pPr>
              <w:spacing w:after="160" w:line="259" w:lineRule="auto"/>
              <w:jc w:val="left"/>
              <w:rPr>
                <w:rFonts w:cs="Calibri"/>
                <w:sz w:val="18"/>
                <w:szCs w:val="18"/>
                <w:lang w:val="es-AR"/>
              </w:rPr>
            </w:pPr>
            <w:r w:rsidRPr="003F7F6C">
              <w:rPr>
                <w:rFonts w:cs="Calibri"/>
                <w:sz w:val="18"/>
                <w:szCs w:val="18"/>
                <w:lang w:val="es-AR"/>
              </w:rPr>
              <w:t xml:space="preserve">Malargue </w:t>
            </w:r>
            <w:r w:rsidRPr="003F7F6C">
              <w:rPr>
                <w:sz w:val="18"/>
                <w:szCs w:val="18"/>
                <w:lang w:val="es-AR"/>
              </w:rPr>
              <w:fldChar w:fldCharType="end"/>
            </w:r>
          </w:p>
        </w:tc>
      </w:tr>
      <w:tr w:rsidR="00D46B62" w:rsidRPr="003F7F6C" w14:paraId="46A55A89" w14:textId="77777777" w:rsidTr="00553F65">
        <w:tc>
          <w:tcPr>
            <w:tcW w:w="1838" w:type="dxa"/>
            <w:vAlign w:val="center"/>
          </w:tcPr>
          <w:p w14:paraId="1F3B3231" w14:textId="77777777" w:rsidR="00D46B62" w:rsidRPr="003F7F6C" w:rsidRDefault="00D46B62" w:rsidP="00D46B62">
            <w:pPr>
              <w:spacing w:after="119" w:line="216" w:lineRule="atLeast"/>
              <w:ind w:right="42"/>
              <w:jc w:val="left"/>
              <w:rPr>
                <w:color w:val="212121"/>
                <w:sz w:val="18"/>
                <w:szCs w:val="18"/>
                <w:lang w:val="es-ES" w:eastAsia="es-ES_tradnl"/>
              </w:rPr>
            </w:pPr>
            <w:r w:rsidRPr="003F7F6C">
              <w:rPr>
                <w:rFonts w:cs="Calibri"/>
                <w:color w:val="212121"/>
                <w:sz w:val="18"/>
                <w:szCs w:val="18"/>
                <w:lang w:val="es-AR" w:eastAsia="es-ES_tradnl"/>
              </w:rPr>
              <w:t>Daniele, Martín</w:t>
            </w:r>
          </w:p>
        </w:tc>
        <w:tc>
          <w:tcPr>
            <w:tcW w:w="2977" w:type="dxa"/>
            <w:vAlign w:val="center"/>
          </w:tcPr>
          <w:p w14:paraId="3D01446A"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INTA</w:t>
            </w:r>
          </w:p>
        </w:tc>
        <w:tc>
          <w:tcPr>
            <w:tcW w:w="3673" w:type="dxa"/>
            <w:vAlign w:val="center"/>
          </w:tcPr>
          <w:p w14:paraId="74AA5C57" w14:textId="77777777" w:rsidR="00D46B62" w:rsidRPr="003F7F6C" w:rsidRDefault="00D46B62" w:rsidP="00D46B62">
            <w:pPr>
              <w:spacing w:after="160" w:line="259" w:lineRule="auto"/>
              <w:jc w:val="left"/>
              <w:rPr>
                <w:sz w:val="18"/>
                <w:szCs w:val="18"/>
                <w:lang w:val="es-ES"/>
              </w:rPr>
            </w:pPr>
            <w:r w:rsidRPr="003F7F6C">
              <w:rPr>
                <w:rFonts w:cs="Calibri"/>
                <w:sz w:val="18"/>
                <w:szCs w:val="18"/>
                <w:lang w:val="es-AR"/>
              </w:rPr>
              <w:t>EEA Director Rama Caída</w:t>
            </w:r>
          </w:p>
        </w:tc>
      </w:tr>
      <w:tr w:rsidR="00D46B62" w:rsidRPr="003F7F6C" w14:paraId="7FC9DB94" w14:textId="77777777" w:rsidTr="00553F65">
        <w:tc>
          <w:tcPr>
            <w:tcW w:w="1838" w:type="dxa"/>
            <w:vAlign w:val="center"/>
          </w:tcPr>
          <w:p w14:paraId="508F0705" w14:textId="77777777" w:rsidR="00D46B62" w:rsidRPr="003F7F6C" w:rsidRDefault="00D46B62" w:rsidP="00D46B62">
            <w:pPr>
              <w:spacing w:after="119" w:line="216" w:lineRule="atLeast"/>
              <w:ind w:right="42"/>
              <w:jc w:val="left"/>
              <w:rPr>
                <w:color w:val="212121"/>
                <w:sz w:val="18"/>
                <w:szCs w:val="18"/>
                <w:lang w:val="es-ES" w:eastAsia="es-ES_tradnl"/>
              </w:rPr>
            </w:pPr>
            <w:r w:rsidRPr="003F7F6C">
              <w:rPr>
                <w:rFonts w:cs="Calibri"/>
                <w:color w:val="212121"/>
                <w:sz w:val="18"/>
                <w:szCs w:val="18"/>
                <w:lang w:val="es-AR" w:eastAsia="es-ES_tradnl"/>
              </w:rPr>
              <w:t>Picca, Cecilia</w:t>
            </w:r>
          </w:p>
        </w:tc>
        <w:tc>
          <w:tcPr>
            <w:tcW w:w="2977" w:type="dxa"/>
            <w:vAlign w:val="center"/>
          </w:tcPr>
          <w:p w14:paraId="1A0D2F13"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INTA</w:t>
            </w:r>
          </w:p>
        </w:tc>
        <w:tc>
          <w:tcPr>
            <w:tcW w:w="3673" w:type="dxa"/>
            <w:vAlign w:val="center"/>
          </w:tcPr>
          <w:p w14:paraId="06D3A0BB" w14:textId="77777777" w:rsidR="00D46B62" w:rsidRPr="003F7F6C" w:rsidRDefault="00D46B62" w:rsidP="00D46B62">
            <w:pPr>
              <w:spacing w:after="160" w:line="259" w:lineRule="auto"/>
              <w:jc w:val="left"/>
              <w:rPr>
                <w:sz w:val="18"/>
                <w:szCs w:val="18"/>
                <w:lang w:val="es-ES"/>
              </w:rPr>
            </w:pPr>
            <w:r w:rsidRPr="003F7F6C">
              <w:rPr>
                <w:rFonts w:cs="Calibri"/>
                <w:sz w:val="18"/>
                <w:szCs w:val="18"/>
                <w:lang w:val="es-AR"/>
              </w:rPr>
              <w:t>EEA Rama Caída</w:t>
            </w:r>
          </w:p>
        </w:tc>
      </w:tr>
      <w:tr w:rsidR="00D46B62" w:rsidRPr="003F7F6C" w14:paraId="12B9BBF6" w14:textId="77777777" w:rsidTr="00553F65">
        <w:tc>
          <w:tcPr>
            <w:tcW w:w="1838" w:type="dxa"/>
            <w:vAlign w:val="center"/>
          </w:tcPr>
          <w:p w14:paraId="7DF9BF10" w14:textId="77777777" w:rsidR="00D46B62" w:rsidRPr="003F7F6C" w:rsidRDefault="00D46B62" w:rsidP="00D46B62">
            <w:pPr>
              <w:spacing w:after="119" w:line="216" w:lineRule="atLeast"/>
              <w:ind w:right="42"/>
              <w:jc w:val="left"/>
              <w:rPr>
                <w:color w:val="212121"/>
                <w:sz w:val="18"/>
                <w:szCs w:val="18"/>
                <w:lang w:val="es-ES" w:eastAsia="es-ES_tradnl"/>
              </w:rPr>
            </w:pPr>
            <w:r w:rsidRPr="003F7F6C">
              <w:rPr>
                <w:rFonts w:cs="Calibri"/>
                <w:color w:val="212121"/>
                <w:sz w:val="18"/>
                <w:szCs w:val="18"/>
                <w:lang w:val="es-AR" w:eastAsia="es-ES_tradnl"/>
              </w:rPr>
              <w:t>Goites, Enrique</w:t>
            </w:r>
          </w:p>
        </w:tc>
        <w:tc>
          <w:tcPr>
            <w:tcW w:w="2977" w:type="dxa"/>
            <w:vAlign w:val="center"/>
          </w:tcPr>
          <w:p w14:paraId="7123C437"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INTA</w:t>
            </w:r>
          </w:p>
        </w:tc>
        <w:tc>
          <w:tcPr>
            <w:tcW w:w="3673" w:type="dxa"/>
            <w:vAlign w:val="center"/>
          </w:tcPr>
          <w:p w14:paraId="042B787B" w14:textId="77777777" w:rsidR="00D46B62" w:rsidRPr="003F7F6C" w:rsidRDefault="003434CB" w:rsidP="00D46B62">
            <w:pPr>
              <w:spacing w:after="160" w:line="259" w:lineRule="auto"/>
              <w:jc w:val="left"/>
              <w:rPr>
                <w:rFonts w:cs="Calibri"/>
                <w:sz w:val="18"/>
                <w:szCs w:val="18"/>
              </w:rPr>
            </w:pPr>
            <w:hyperlink r:id="rId37" w:history="1">
              <w:r w:rsidR="00D46B62" w:rsidRPr="003F7F6C">
                <w:rPr>
                  <w:rFonts w:cs="Calibri"/>
                  <w:sz w:val="18"/>
                  <w:szCs w:val="18"/>
                </w:rPr>
                <w:t>Research Institute Research and Technological Development for Family Agriculture - Pampas Region</w:t>
              </w:r>
            </w:hyperlink>
          </w:p>
        </w:tc>
      </w:tr>
      <w:tr w:rsidR="00D46B62" w:rsidRPr="003F7F6C" w14:paraId="7492D9E5" w14:textId="77777777" w:rsidTr="00553F65">
        <w:tc>
          <w:tcPr>
            <w:tcW w:w="1838" w:type="dxa"/>
            <w:vAlign w:val="center"/>
          </w:tcPr>
          <w:p w14:paraId="7A6C8576" w14:textId="77777777" w:rsidR="00D46B62" w:rsidRPr="003F7F6C" w:rsidRDefault="00D46B62" w:rsidP="00D46B62">
            <w:pPr>
              <w:spacing w:after="119" w:line="216" w:lineRule="atLeast"/>
              <w:ind w:right="42"/>
              <w:jc w:val="left"/>
              <w:rPr>
                <w:color w:val="212121"/>
                <w:sz w:val="18"/>
                <w:szCs w:val="18"/>
                <w:lang w:val="es-ES" w:eastAsia="es-ES_tradnl"/>
              </w:rPr>
            </w:pPr>
            <w:r w:rsidRPr="003F7F6C">
              <w:rPr>
                <w:rFonts w:cs="Calibri"/>
                <w:color w:val="212121"/>
                <w:sz w:val="18"/>
                <w:szCs w:val="18"/>
                <w:lang w:val="es-AR" w:eastAsia="es-ES_tradnl"/>
              </w:rPr>
              <w:t>Zelarayan, Ana</w:t>
            </w:r>
          </w:p>
        </w:tc>
        <w:tc>
          <w:tcPr>
            <w:tcW w:w="2977" w:type="dxa"/>
            <w:vAlign w:val="center"/>
          </w:tcPr>
          <w:p w14:paraId="3048E971"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INTA</w:t>
            </w:r>
          </w:p>
        </w:tc>
        <w:tc>
          <w:tcPr>
            <w:tcW w:w="3673" w:type="dxa"/>
            <w:vAlign w:val="center"/>
          </w:tcPr>
          <w:p w14:paraId="78306B57" w14:textId="77777777" w:rsidR="00D46B62" w:rsidRPr="003F7F6C" w:rsidRDefault="00D46B62" w:rsidP="00D46B62">
            <w:pPr>
              <w:spacing w:after="160" w:line="259" w:lineRule="auto"/>
              <w:jc w:val="left"/>
              <w:rPr>
                <w:sz w:val="18"/>
                <w:szCs w:val="18"/>
                <w:lang w:val="es-ES"/>
              </w:rPr>
            </w:pPr>
            <w:r w:rsidRPr="003F7F6C">
              <w:rPr>
                <w:rFonts w:cs="Calibri"/>
                <w:sz w:val="18"/>
                <w:szCs w:val="18"/>
                <w:lang w:val="es-AR"/>
              </w:rPr>
              <w:t>EEA Salta</w:t>
            </w:r>
          </w:p>
        </w:tc>
      </w:tr>
      <w:tr w:rsidR="00D46B62" w:rsidRPr="003F7F6C" w14:paraId="188EA828" w14:textId="77777777" w:rsidTr="00553F65">
        <w:tc>
          <w:tcPr>
            <w:tcW w:w="1838" w:type="dxa"/>
            <w:vAlign w:val="center"/>
          </w:tcPr>
          <w:p w14:paraId="40BE189B" w14:textId="77777777" w:rsidR="00D46B62" w:rsidRPr="003F7F6C" w:rsidRDefault="00D46B62" w:rsidP="00D46B62">
            <w:pPr>
              <w:spacing w:after="119" w:line="216" w:lineRule="atLeast"/>
              <w:ind w:right="42"/>
              <w:jc w:val="left"/>
              <w:rPr>
                <w:color w:val="212121"/>
                <w:sz w:val="18"/>
                <w:szCs w:val="18"/>
                <w:lang w:val="es-ES" w:eastAsia="es-ES_tradnl"/>
              </w:rPr>
            </w:pPr>
            <w:r w:rsidRPr="003F7F6C">
              <w:rPr>
                <w:rFonts w:cs="Calibri"/>
                <w:color w:val="212121"/>
                <w:sz w:val="18"/>
                <w:szCs w:val="18"/>
                <w:lang w:val="es-AR" w:eastAsia="es-ES_tradnl"/>
              </w:rPr>
              <w:t>Pedersen, Leif</w:t>
            </w:r>
          </w:p>
        </w:tc>
        <w:tc>
          <w:tcPr>
            <w:tcW w:w="2977" w:type="dxa"/>
            <w:vAlign w:val="center"/>
          </w:tcPr>
          <w:p w14:paraId="57C2DA3C"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UNDP Green Commodities Programme</w:t>
            </w:r>
          </w:p>
        </w:tc>
        <w:tc>
          <w:tcPr>
            <w:tcW w:w="3673" w:type="dxa"/>
            <w:vAlign w:val="center"/>
          </w:tcPr>
          <w:p w14:paraId="693B0729"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Senior Commodities Adviser</w:t>
            </w:r>
          </w:p>
        </w:tc>
      </w:tr>
      <w:tr w:rsidR="00D46B62" w:rsidRPr="003F7F6C" w14:paraId="3EB2F4FF" w14:textId="77777777" w:rsidTr="00553F65">
        <w:tc>
          <w:tcPr>
            <w:tcW w:w="1838" w:type="dxa"/>
            <w:vAlign w:val="center"/>
          </w:tcPr>
          <w:p w14:paraId="33D5CE77" w14:textId="77777777" w:rsidR="00D46B62" w:rsidRPr="003F7F6C" w:rsidRDefault="00D46B62" w:rsidP="00D46B62">
            <w:pPr>
              <w:spacing w:after="119" w:line="216" w:lineRule="atLeast"/>
              <w:ind w:right="42"/>
              <w:jc w:val="left"/>
              <w:rPr>
                <w:color w:val="212121"/>
                <w:sz w:val="18"/>
                <w:szCs w:val="18"/>
                <w:lang w:val="es-ES" w:eastAsia="es-ES_tradnl"/>
              </w:rPr>
            </w:pPr>
            <w:r w:rsidRPr="003F7F6C">
              <w:rPr>
                <w:rFonts w:cs="Calibri"/>
                <w:color w:val="212121"/>
                <w:sz w:val="18"/>
                <w:szCs w:val="18"/>
                <w:lang w:val="es-AR" w:eastAsia="es-ES_tradnl"/>
              </w:rPr>
              <w:t>Jaramillo, Manuel</w:t>
            </w:r>
          </w:p>
        </w:tc>
        <w:tc>
          <w:tcPr>
            <w:tcW w:w="2977" w:type="dxa"/>
            <w:vAlign w:val="center"/>
          </w:tcPr>
          <w:p w14:paraId="2C5E6D18"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 xml:space="preserve">Argentine Wildlife Foundation </w:t>
            </w:r>
          </w:p>
        </w:tc>
        <w:tc>
          <w:tcPr>
            <w:tcW w:w="3673" w:type="dxa"/>
            <w:vAlign w:val="center"/>
          </w:tcPr>
          <w:p w14:paraId="3D8BFE98" w14:textId="77777777" w:rsidR="00D46B62" w:rsidRPr="003F7F6C" w:rsidRDefault="00D46B62" w:rsidP="00D46B62">
            <w:pPr>
              <w:spacing w:after="160" w:line="259" w:lineRule="auto"/>
              <w:jc w:val="left"/>
              <w:rPr>
                <w:sz w:val="18"/>
                <w:szCs w:val="18"/>
                <w:lang w:val="es-ES"/>
              </w:rPr>
            </w:pPr>
            <w:r w:rsidRPr="003F7F6C">
              <w:rPr>
                <w:rFonts w:cs="Calibri"/>
                <w:sz w:val="18"/>
                <w:szCs w:val="18"/>
                <w:lang w:val="es-AR"/>
              </w:rPr>
              <w:t>Managing Director</w:t>
            </w:r>
          </w:p>
        </w:tc>
      </w:tr>
      <w:tr w:rsidR="00D46B62" w:rsidRPr="003F7F6C" w14:paraId="6D995585" w14:textId="77777777" w:rsidTr="00553F65">
        <w:tc>
          <w:tcPr>
            <w:tcW w:w="1838" w:type="dxa"/>
            <w:vAlign w:val="center"/>
          </w:tcPr>
          <w:p w14:paraId="726DA410" w14:textId="77777777" w:rsidR="00D46B62" w:rsidRPr="003F7F6C" w:rsidRDefault="00D46B62" w:rsidP="00D46B62">
            <w:pPr>
              <w:spacing w:after="119" w:line="216" w:lineRule="atLeast"/>
              <w:ind w:right="42"/>
              <w:jc w:val="left"/>
              <w:rPr>
                <w:color w:val="212121"/>
                <w:sz w:val="18"/>
                <w:szCs w:val="18"/>
                <w:lang w:val="es-ES" w:eastAsia="es-ES_tradnl"/>
              </w:rPr>
            </w:pPr>
            <w:r w:rsidRPr="003F7F6C">
              <w:rPr>
                <w:rFonts w:cs="Calibri"/>
                <w:color w:val="212121"/>
                <w:sz w:val="18"/>
                <w:szCs w:val="18"/>
                <w:lang w:val="es-AR" w:eastAsia="es-ES_tradnl"/>
              </w:rPr>
              <w:t>Miñarro, Fernando</w:t>
            </w:r>
          </w:p>
        </w:tc>
        <w:tc>
          <w:tcPr>
            <w:tcW w:w="2977" w:type="dxa"/>
            <w:vAlign w:val="center"/>
          </w:tcPr>
          <w:p w14:paraId="733BFA50"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 xml:space="preserve">Argentine Wildlife Foundation </w:t>
            </w:r>
          </w:p>
        </w:tc>
        <w:tc>
          <w:tcPr>
            <w:tcW w:w="3673" w:type="dxa"/>
            <w:vAlign w:val="center"/>
          </w:tcPr>
          <w:p w14:paraId="5EFEBCAE" w14:textId="77777777" w:rsidR="00D46B62" w:rsidRPr="003F7F6C" w:rsidRDefault="00D46B62" w:rsidP="00D46B62">
            <w:pPr>
              <w:spacing w:after="160" w:line="259" w:lineRule="auto"/>
              <w:jc w:val="left"/>
              <w:rPr>
                <w:sz w:val="18"/>
                <w:szCs w:val="18"/>
              </w:rPr>
            </w:pPr>
            <w:r w:rsidRPr="003F7F6C">
              <w:rPr>
                <w:rFonts w:cs="Calibri"/>
                <w:sz w:val="18"/>
                <w:szCs w:val="18"/>
              </w:rPr>
              <w:t>Pampas and Gran Chaco Programmes Coordinator</w:t>
            </w:r>
          </w:p>
        </w:tc>
      </w:tr>
      <w:tr w:rsidR="00D46B62" w:rsidRPr="003F7F6C" w14:paraId="53CCA14F" w14:textId="77777777" w:rsidTr="00553F65">
        <w:tc>
          <w:tcPr>
            <w:tcW w:w="1838" w:type="dxa"/>
            <w:vAlign w:val="center"/>
          </w:tcPr>
          <w:p w14:paraId="2E72C841" w14:textId="77777777" w:rsidR="00D46B62" w:rsidRPr="003F7F6C" w:rsidRDefault="00D46B62" w:rsidP="00D46B62">
            <w:pPr>
              <w:spacing w:after="119" w:line="216" w:lineRule="atLeast"/>
              <w:ind w:right="42"/>
              <w:jc w:val="left"/>
              <w:rPr>
                <w:color w:val="212121"/>
                <w:sz w:val="18"/>
                <w:szCs w:val="18"/>
                <w:lang w:val="es-ES" w:eastAsia="es-ES_tradnl"/>
              </w:rPr>
            </w:pPr>
            <w:r w:rsidRPr="003F7F6C">
              <w:rPr>
                <w:rFonts w:cs="Calibri"/>
                <w:color w:val="212121"/>
                <w:sz w:val="18"/>
                <w:szCs w:val="18"/>
                <w:lang w:val="es-AR" w:eastAsia="es-ES_tradnl"/>
              </w:rPr>
              <w:t>Democratic Change Foundation</w:t>
            </w:r>
          </w:p>
        </w:tc>
        <w:tc>
          <w:tcPr>
            <w:tcW w:w="2977" w:type="dxa"/>
            <w:vAlign w:val="center"/>
          </w:tcPr>
          <w:p w14:paraId="04791FB0" w14:textId="77777777" w:rsidR="00D46B62" w:rsidRPr="003F7F6C" w:rsidRDefault="00D46B62" w:rsidP="00D46B62">
            <w:pPr>
              <w:spacing w:after="119" w:line="216" w:lineRule="atLeast"/>
              <w:ind w:right="42"/>
              <w:jc w:val="center"/>
              <w:rPr>
                <w:rFonts w:cs="Calibri"/>
                <w:sz w:val="18"/>
                <w:szCs w:val="18"/>
                <w:lang w:val="es-AR"/>
              </w:rPr>
            </w:pPr>
          </w:p>
        </w:tc>
        <w:tc>
          <w:tcPr>
            <w:tcW w:w="3673" w:type="dxa"/>
            <w:vAlign w:val="center"/>
          </w:tcPr>
          <w:p w14:paraId="35C14DA6" w14:textId="77777777" w:rsidR="00D46B62" w:rsidRPr="003F7F6C" w:rsidRDefault="00D46B62" w:rsidP="00D46B62">
            <w:pPr>
              <w:spacing w:after="160" w:line="259" w:lineRule="auto"/>
              <w:jc w:val="left"/>
              <w:rPr>
                <w:sz w:val="18"/>
                <w:szCs w:val="18"/>
                <w:lang w:val="es-ES"/>
              </w:rPr>
            </w:pPr>
          </w:p>
        </w:tc>
      </w:tr>
      <w:tr w:rsidR="00D46B62" w:rsidRPr="003F7F6C" w14:paraId="2C2118F5" w14:textId="77777777" w:rsidTr="00553F65">
        <w:tc>
          <w:tcPr>
            <w:tcW w:w="1838" w:type="dxa"/>
            <w:vAlign w:val="center"/>
          </w:tcPr>
          <w:p w14:paraId="6C5542E4" w14:textId="77777777" w:rsidR="00D46B62" w:rsidRPr="003F7F6C" w:rsidRDefault="00D46B62" w:rsidP="00D46B62">
            <w:pPr>
              <w:spacing w:after="119" w:line="216" w:lineRule="atLeast"/>
              <w:ind w:right="42"/>
              <w:jc w:val="left"/>
              <w:rPr>
                <w:color w:val="212121"/>
                <w:sz w:val="18"/>
                <w:szCs w:val="18"/>
                <w:lang w:eastAsia="es-ES_tradnl"/>
              </w:rPr>
            </w:pPr>
            <w:r w:rsidRPr="003F7F6C">
              <w:rPr>
                <w:rFonts w:cs="Calibri"/>
                <w:color w:val="212121"/>
                <w:sz w:val="18"/>
                <w:szCs w:val="18"/>
                <w:lang w:val="es-AR" w:eastAsia="es-ES_tradnl"/>
              </w:rPr>
              <w:t>Wetlands Foundation</w:t>
            </w:r>
          </w:p>
        </w:tc>
        <w:tc>
          <w:tcPr>
            <w:tcW w:w="2977" w:type="dxa"/>
            <w:vAlign w:val="center"/>
          </w:tcPr>
          <w:p w14:paraId="1DF413F3" w14:textId="77777777" w:rsidR="00D46B62" w:rsidRPr="003F7F6C" w:rsidRDefault="00D46B62" w:rsidP="00D46B62">
            <w:pPr>
              <w:spacing w:after="119" w:line="216" w:lineRule="atLeast"/>
              <w:ind w:right="42"/>
              <w:jc w:val="center"/>
              <w:rPr>
                <w:rFonts w:cs="Calibri"/>
                <w:sz w:val="18"/>
                <w:szCs w:val="18"/>
                <w:lang w:val="es-AR"/>
              </w:rPr>
            </w:pPr>
          </w:p>
        </w:tc>
        <w:tc>
          <w:tcPr>
            <w:tcW w:w="3673" w:type="dxa"/>
            <w:vAlign w:val="center"/>
          </w:tcPr>
          <w:p w14:paraId="37AE1324" w14:textId="77777777" w:rsidR="00D46B62" w:rsidRPr="003F7F6C" w:rsidRDefault="00D46B62" w:rsidP="00D46B62">
            <w:pPr>
              <w:spacing w:after="160" w:line="259" w:lineRule="auto"/>
              <w:jc w:val="left"/>
              <w:rPr>
                <w:sz w:val="18"/>
                <w:szCs w:val="18"/>
              </w:rPr>
            </w:pPr>
          </w:p>
        </w:tc>
      </w:tr>
      <w:tr w:rsidR="00D46B62" w:rsidRPr="003F7F6C" w14:paraId="3DD445B8" w14:textId="77777777" w:rsidTr="00553F65">
        <w:tc>
          <w:tcPr>
            <w:tcW w:w="1838" w:type="dxa"/>
            <w:vAlign w:val="center"/>
          </w:tcPr>
          <w:p w14:paraId="0CC7306B" w14:textId="77777777" w:rsidR="00D46B62" w:rsidRPr="003F7F6C" w:rsidRDefault="00D46B62" w:rsidP="00D46B62">
            <w:pPr>
              <w:spacing w:after="119" w:line="216" w:lineRule="atLeast"/>
              <w:ind w:right="42"/>
              <w:jc w:val="left"/>
              <w:rPr>
                <w:color w:val="212121"/>
                <w:sz w:val="18"/>
                <w:szCs w:val="18"/>
                <w:lang w:val="es-ES" w:eastAsia="es-ES_tradnl"/>
              </w:rPr>
            </w:pPr>
            <w:r w:rsidRPr="003F7F6C">
              <w:rPr>
                <w:rFonts w:cs="Calibri"/>
                <w:color w:val="212121"/>
                <w:sz w:val="18"/>
                <w:szCs w:val="18"/>
                <w:lang w:val="es-AR" w:eastAsia="es-ES_tradnl"/>
              </w:rPr>
              <w:t>Gorleri, Constance</w:t>
            </w:r>
          </w:p>
        </w:tc>
        <w:tc>
          <w:tcPr>
            <w:tcW w:w="2977" w:type="dxa"/>
            <w:vAlign w:val="center"/>
          </w:tcPr>
          <w:p w14:paraId="5099424D"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 xml:space="preserve">ADEBA Sustainable Finance Committee / Banco Galicia </w:t>
            </w:r>
          </w:p>
        </w:tc>
        <w:tc>
          <w:tcPr>
            <w:tcW w:w="3673" w:type="dxa"/>
            <w:vAlign w:val="center"/>
          </w:tcPr>
          <w:p w14:paraId="22915E1D" w14:textId="77777777" w:rsidR="00D46B62" w:rsidRPr="003F7F6C" w:rsidRDefault="00D46B62" w:rsidP="00D46B62">
            <w:pPr>
              <w:spacing w:after="160" w:line="259" w:lineRule="auto"/>
              <w:jc w:val="left"/>
              <w:rPr>
                <w:sz w:val="18"/>
                <w:szCs w:val="18"/>
                <w:lang w:val="es-ES"/>
              </w:rPr>
            </w:pPr>
            <w:r w:rsidRPr="003F7F6C">
              <w:rPr>
                <w:rFonts w:cs="Calibri"/>
                <w:sz w:val="18"/>
                <w:szCs w:val="18"/>
                <w:lang w:val="es-AR"/>
              </w:rPr>
              <w:t xml:space="preserve">ADEBA Secretary Coordinator / Banco Galicia Sustainability Manager </w:t>
            </w:r>
          </w:p>
        </w:tc>
      </w:tr>
      <w:tr w:rsidR="00D46B62" w:rsidRPr="003F7F6C" w14:paraId="53CD9A31" w14:textId="77777777" w:rsidTr="00553F65">
        <w:tc>
          <w:tcPr>
            <w:tcW w:w="1838" w:type="dxa"/>
            <w:vAlign w:val="center"/>
          </w:tcPr>
          <w:p w14:paraId="13836CC1" w14:textId="77777777" w:rsidR="00D46B62" w:rsidRPr="003F7F6C" w:rsidRDefault="00D46B62" w:rsidP="00D46B62">
            <w:pPr>
              <w:spacing w:after="119" w:line="216" w:lineRule="atLeast"/>
              <w:ind w:right="42"/>
              <w:jc w:val="left"/>
              <w:rPr>
                <w:color w:val="212121"/>
                <w:sz w:val="18"/>
                <w:szCs w:val="18"/>
                <w:lang w:val="es-ES" w:eastAsia="es-ES_tradnl"/>
              </w:rPr>
            </w:pPr>
            <w:r w:rsidRPr="003F7F6C">
              <w:rPr>
                <w:rFonts w:cs="Calibri"/>
                <w:color w:val="212121"/>
                <w:sz w:val="18"/>
                <w:szCs w:val="18"/>
                <w:lang w:val="es-AR" w:eastAsia="es-ES_tradnl"/>
              </w:rPr>
              <w:t xml:space="preserve"> Busch, Hernan</w:t>
            </w:r>
          </w:p>
        </w:tc>
        <w:tc>
          <w:tcPr>
            <w:tcW w:w="2977" w:type="dxa"/>
            <w:vAlign w:val="center"/>
          </w:tcPr>
          <w:p w14:paraId="33EFD17A"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Banco Galicia</w:t>
            </w:r>
          </w:p>
        </w:tc>
        <w:tc>
          <w:tcPr>
            <w:tcW w:w="3673" w:type="dxa"/>
            <w:vAlign w:val="center"/>
          </w:tcPr>
          <w:p w14:paraId="1243F2FD" w14:textId="77777777" w:rsidR="00D46B62" w:rsidRPr="003F7F6C" w:rsidRDefault="00D46B62" w:rsidP="00D46B62">
            <w:pPr>
              <w:spacing w:after="160" w:line="259" w:lineRule="auto"/>
              <w:jc w:val="left"/>
              <w:rPr>
                <w:sz w:val="18"/>
                <w:szCs w:val="18"/>
                <w:lang w:val="es-ES"/>
              </w:rPr>
            </w:pPr>
            <w:r w:rsidRPr="003F7F6C">
              <w:rPr>
                <w:rFonts w:cs="Calibri"/>
                <w:sz w:val="18"/>
                <w:szCs w:val="18"/>
                <w:lang w:val="es-AR"/>
              </w:rPr>
              <w:t>Agribusiness Commercial Manager</w:t>
            </w:r>
          </w:p>
        </w:tc>
      </w:tr>
      <w:tr w:rsidR="00D46B62" w:rsidRPr="003F7F6C" w14:paraId="222BD538" w14:textId="77777777" w:rsidTr="00553F65">
        <w:tc>
          <w:tcPr>
            <w:tcW w:w="1838" w:type="dxa"/>
            <w:vAlign w:val="center"/>
          </w:tcPr>
          <w:p w14:paraId="11A1322E" w14:textId="77777777" w:rsidR="00D46B62" w:rsidRPr="003F7F6C" w:rsidRDefault="00D46B62" w:rsidP="00D46B62">
            <w:pPr>
              <w:spacing w:after="119" w:line="216" w:lineRule="atLeast"/>
              <w:ind w:right="42"/>
              <w:jc w:val="left"/>
              <w:rPr>
                <w:color w:val="212121"/>
                <w:sz w:val="18"/>
                <w:szCs w:val="18"/>
                <w:lang w:val="es-ES" w:eastAsia="es-ES_tradnl"/>
              </w:rPr>
            </w:pPr>
            <w:r w:rsidRPr="003F7F6C">
              <w:rPr>
                <w:rFonts w:cs="Calibri"/>
                <w:color w:val="212121"/>
                <w:sz w:val="18"/>
                <w:szCs w:val="18"/>
                <w:lang w:val="es-AR" w:eastAsia="es-ES_tradnl"/>
              </w:rPr>
              <w:t>Furmanski, Martín</w:t>
            </w:r>
          </w:p>
        </w:tc>
        <w:tc>
          <w:tcPr>
            <w:tcW w:w="2977" w:type="dxa"/>
            <w:vAlign w:val="center"/>
          </w:tcPr>
          <w:p w14:paraId="700EC328" w14:textId="77777777" w:rsidR="00D46B62" w:rsidRPr="003F7F6C" w:rsidRDefault="00D46B62" w:rsidP="00D46B62">
            <w:pPr>
              <w:spacing w:after="119" w:line="216" w:lineRule="atLeast"/>
              <w:ind w:right="42"/>
              <w:jc w:val="center"/>
              <w:rPr>
                <w:rFonts w:cs="Calibri"/>
                <w:sz w:val="18"/>
                <w:szCs w:val="18"/>
                <w:lang w:val="es-AR"/>
              </w:rPr>
            </w:pPr>
            <w:r w:rsidRPr="003F7F6C">
              <w:rPr>
                <w:rFonts w:cs="Calibri"/>
                <w:sz w:val="18"/>
                <w:szCs w:val="18"/>
                <w:lang w:val="es-AR"/>
              </w:rPr>
              <w:t>Banco Galicia</w:t>
            </w:r>
          </w:p>
        </w:tc>
        <w:tc>
          <w:tcPr>
            <w:tcW w:w="3673" w:type="dxa"/>
            <w:vAlign w:val="center"/>
          </w:tcPr>
          <w:p w14:paraId="0161DB6F" w14:textId="77777777" w:rsidR="00D46B62" w:rsidRPr="003F7F6C" w:rsidRDefault="00D46B62" w:rsidP="00D46B62">
            <w:pPr>
              <w:spacing w:after="160" w:line="259" w:lineRule="auto"/>
              <w:jc w:val="left"/>
              <w:rPr>
                <w:sz w:val="18"/>
                <w:szCs w:val="18"/>
              </w:rPr>
            </w:pPr>
            <w:r w:rsidRPr="003F7F6C">
              <w:rPr>
                <w:rFonts w:cs="Calibri"/>
                <w:sz w:val="18"/>
                <w:szCs w:val="18"/>
              </w:rPr>
              <w:t xml:space="preserve">Leader of Loans and Wholesale Banking Investment Projects  </w:t>
            </w:r>
          </w:p>
        </w:tc>
      </w:tr>
      <w:tr w:rsidR="00D46B62" w:rsidRPr="003F7F6C" w14:paraId="23E21687" w14:textId="77777777" w:rsidTr="00553F65">
        <w:tc>
          <w:tcPr>
            <w:tcW w:w="1838" w:type="dxa"/>
            <w:vAlign w:val="center"/>
          </w:tcPr>
          <w:p w14:paraId="069F790D" w14:textId="77777777" w:rsidR="00D46B62" w:rsidRPr="003F7F6C" w:rsidRDefault="00D46B62" w:rsidP="00D46B62">
            <w:pPr>
              <w:spacing w:after="119" w:line="216" w:lineRule="atLeast"/>
              <w:ind w:right="42"/>
              <w:rPr>
                <w:rFonts w:cs="Calibri"/>
                <w:sz w:val="18"/>
                <w:szCs w:val="18"/>
                <w:lang w:val="es-AR"/>
              </w:rPr>
            </w:pPr>
            <w:r w:rsidRPr="003F7F6C">
              <w:rPr>
                <w:rFonts w:cs="Calibri"/>
                <w:sz w:val="18"/>
                <w:szCs w:val="18"/>
                <w:lang w:val="es-AR"/>
              </w:rPr>
              <w:t>Vaccaro, Victoria</w:t>
            </w:r>
          </w:p>
        </w:tc>
        <w:tc>
          <w:tcPr>
            <w:tcW w:w="2977" w:type="dxa"/>
            <w:vAlign w:val="center"/>
          </w:tcPr>
          <w:p w14:paraId="2EF38D13" w14:textId="77777777" w:rsidR="00D46B62" w:rsidRPr="003F7F6C" w:rsidRDefault="00D46B62" w:rsidP="00D46B62">
            <w:pPr>
              <w:spacing w:after="119" w:line="216" w:lineRule="atLeast"/>
              <w:ind w:right="42"/>
              <w:jc w:val="left"/>
              <w:rPr>
                <w:rFonts w:cs="Calibri"/>
                <w:sz w:val="18"/>
                <w:szCs w:val="18"/>
              </w:rPr>
            </w:pPr>
            <w:r w:rsidRPr="003F7F6C">
              <w:rPr>
                <w:rFonts w:cs="Calibri"/>
                <w:sz w:val="18"/>
                <w:szCs w:val="18"/>
              </w:rPr>
              <w:t>Provincial Gender and Sexual Diversity Institute of the Province of Buenos Aires</w:t>
            </w:r>
          </w:p>
        </w:tc>
        <w:tc>
          <w:tcPr>
            <w:tcW w:w="3673" w:type="dxa"/>
            <w:vAlign w:val="center"/>
          </w:tcPr>
          <w:p w14:paraId="5077ED94" w14:textId="77777777" w:rsidR="00D46B62" w:rsidRPr="003F7F6C" w:rsidRDefault="00D46B62" w:rsidP="00D46B62">
            <w:pPr>
              <w:spacing w:after="160" w:line="259" w:lineRule="auto"/>
              <w:jc w:val="left"/>
              <w:rPr>
                <w:rFonts w:cs="Calibri"/>
                <w:sz w:val="18"/>
                <w:szCs w:val="18"/>
              </w:rPr>
            </w:pPr>
            <w:r w:rsidRPr="003F7F6C">
              <w:rPr>
                <w:rFonts w:cs="Calibri"/>
                <w:sz w:val="18"/>
                <w:szCs w:val="18"/>
              </w:rPr>
              <w:t>Advisor to the President and Gender Specialist</w:t>
            </w:r>
          </w:p>
        </w:tc>
      </w:tr>
      <w:tr w:rsidR="00D46B62" w:rsidRPr="003F7F6C" w14:paraId="16144B37" w14:textId="77777777" w:rsidTr="00553F65">
        <w:tc>
          <w:tcPr>
            <w:tcW w:w="1838" w:type="dxa"/>
            <w:vAlign w:val="center"/>
          </w:tcPr>
          <w:p w14:paraId="33870D6A" w14:textId="77777777" w:rsidR="00D46B62" w:rsidRPr="003F7F6C" w:rsidRDefault="00D46B62" w:rsidP="00D46B62">
            <w:pPr>
              <w:spacing w:after="119" w:line="216" w:lineRule="atLeast"/>
              <w:ind w:right="42"/>
              <w:rPr>
                <w:rFonts w:cs="Calibri"/>
                <w:sz w:val="18"/>
                <w:szCs w:val="18"/>
                <w:lang w:val="es-AR"/>
              </w:rPr>
            </w:pPr>
            <w:r w:rsidRPr="003F7F6C">
              <w:rPr>
                <w:rFonts w:cs="Calibri"/>
                <w:sz w:val="18"/>
                <w:szCs w:val="18"/>
                <w:lang w:val="es-AR"/>
              </w:rPr>
              <w:t>Barrios, Natalia</w:t>
            </w:r>
          </w:p>
        </w:tc>
        <w:tc>
          <w:tcPr>
            <w:tcW w:w="2977" w:type="dxa"/>
            <w:vAlign w:val="center"/>
          </w:tcPr>
          <w:p w14:paraId="5F1A6336" w14:textId="77777777" w:rsidR="00D46B62" w:rsidRPr="003F7F6C" w:rsidRDefault="00D46B62" w:rsidP="00D46B62">
            <w:pPr>
              <w:spacing w:after="119" w:line="216" w:lineRule="atLeast"/>
              <w:ind w:right="42"/>
              <w:jc w:val="left"/>
              <w:rPr>
                <w:rFonts w:cs="Calibri"/>
                <w:sz w:val="18"/>
                <w:szCs w:val="18"/>
                <w:lang w:val="es-AR"/>
              </w:rPr>
            </w:pPr>
            <w:r w:rsidRPr="003F7F6C">
              <w:rPr>
                <w:rFonts w:cs="Calibri"/>
                <w:sz w:val="18"/>
                <w:szCs w:val="18"/>
                <w:lang w:val="es-AR"/>
              </w:rPr>
              <w:t>National Women´s Institute</w:t>
            </w:r>
          </w:p>
        </w:tc>
        <w:tc>
          <w:tcPr>
            <w:tcW w:w="3673" w:type="dxa"/>
            <w:vAlign w:val="center"/>
          </w:tcPr>
          <w:p w14:paraId="125D084E" w14:textId="77777777" w:rsidR="00D46B62" w:rsidRPr="003F7F6C" w:rsidRDefault="00D46B62" w:rsidP="00D46B62">
            <w:pPr>
              <w:spacing w:after="160" w:line="259" w:lineRule="auto"/>
              <w:jc w:val="left"/>
              <w:rPr>
                <w:rFonts w:cs="Calibri"/>
                <w:sz w:val="18"/>
                <w:szCs w:val="18"/>
                <w:lang w:val="es-AR"/>
              </w:rPr>
            </w:pPr>
            <w:r w:rsidRPr="003F7F6C">
              <w:rPr>
                <w:rFonts w:cs="Calibri"/>
                <w:sz w:val="18"/>
                <w:szCs w:val="18"/>
                <w:lang w:val="es-AR"/>
              </w:rPr>
              <w:t>Chief of Cabinet</w:t>
            </w:r>
          </w:p>
        </w:tc>
      </w:tr>
      <w:tr w:rsidR="00D46B62" w:rsidRPr="003F7F6C" w14:paraId="7E60288E" w14:textId="77777777" w:rsidTr="00553F65">
        <w:tc>
          <w:tcPr>
            <w:tcW w:w="1838" w:type="dxa"/>
            <w:vAlign w:val="center"/>
          </w:tcPr>
          <w:p w14:paraId="23963D45" w14:textId="77777777" w:rsidR="00D46B62" w:rsidRPr="003F7F6C" w:rsidRDefault="00D46B62" w:rsidP="00D46B62">
            <w:pPr>
              <w:spacing w:after="119" w:line="216" w:lineRule="atLeast"/>
              <w:ind w:right="42"/>
              <w:rPr>
                <w:rFonts w:cs="Calibri"/>
                <w:sz w:val="18"/>
                <w:szCs w:val="18"/>
                <w:lang w:val="es-AR"/>
              </w:rPr>
            </w:pPr>
            <w:r w:rsidRPr="003F7F6C">
              <w:rPr>
                <w:rFonts w:cs="Calibri"/>
                <w:sz w:val="18"/>
                <w:szCs w:val="18"/>
                <w:lang w:val="es-AR"/>
              </w:rPr>
              <w:t>Piñol, Verónica</w:t>
            </w:r>
          </w:p>
        </w:tc>
        <w:tc>
          <w:tcPr>
            <w:tcW w:w="2977" w:type="dxa"/>
            <w:vAlign w:val="center"/>
          </w:tcPr>
          <w:p w14:paraId="55B9540F" w14:textId="77777777" w:rsidR="00D46B62" w:rsidRPr="003F7F6C" w:rsidRDefault="00D46B62" w:rsidP="00D46B62">
            <w:pPr>
              <w:spacing w:after="119" w:line="216" w:lineRule="atLeast"/>
              <w:ind w:right="42"/>
              <w:jc w:val="left"/>
              <w:rPr>
                <w:rFonts w:cs="Calibri"/>
                <w:sz w:val="18"/>
                <w:szCs w:val="18"/>
              </w:rPr>
            </w:pPr>
            <w:r w:rsidRPr="003F7F6C">
              <w:rPr>
                <w:rFonts w:cs="Calibri"/>
                <w:sz w:val="18"/>
                <w:szCs w:val="18"/>
              </w:rPr>
              <w:t>Provincial Directorate for Gender and Diversity of the Province of Mendoza</w:t>
            </w:r>
          </w:p>
        </w:tc>
        <w:tc>
          <w:tcPr>
            <w:tcW w:w="3673" w:type="dxa"/>
            <w:vAlign w:val="center"/>
          </w:tcPr>
          <w:p w14:paraId="41DAB50A" w14:textId="77777777" w:rsidR="00D46B62" w:rsidRPr="003F7F6C" w:rsidRDefault="00D46B62" w:rsidP="00D46B62">
            <w:pPr>
              <w:spacing w:after="160" w:line="259" w:lineRule="auto"/>
              <w:jc w:val="left"/>
              <w:rPr>
                <w:rFonts w:cs="Calibri"/>
                <w:sz w:val="18"/>
                <w:szCs w:val="18"/>
                <w:lang w:val="es-AR"/>
              </w:rPr>
            </w:pPr>
            <w:r w:rsidRPr="003F7F6C">
              <w:rPr>
                <w:rFonts w:cs="Calibri"/>
                <w:sz w:val="18"/>
                <w:szCs w:val="18"/>
                <w:lang w:val="es-AR"/>
              </w:rPr>
              <w:t>Advisor, Observatory Area</w:t>
            </w:r>
          </w:p>
        </w:tc>
      </w:tr>
    </w:tbl>
    <w:p w14:paraId="0CCD39BD" w14:textId="77777777" w:rsidR="00D46B62" w:rsidRPr="003F7F6C" w:rsidRDefault="00D46B62" w:rsidP="003B6502">
      <w:pPr>
        <w:pStyle w:val="Heading2"/>
        <w:ind w:left="0"/>
        <w:rPr>
          <w:rFonts w:ascii="Calibri" w:hAnsi="Calibri"/>
        </w:rPr>
      </w:pPr>
    </w:p>
    <w:p w14:paraId="290DE8A1" w14:textId="77777777" w:rsidR="00D46B62" w:rsidRPr="003F7F6C" w:rsidRDefault="00D46B62" w:rsidP="003B6502">
      <w:pPr>
        <w:pStyle w:val="Heading2"/>
        <w:ind w:left="0"/>
        <w:rPr>
          <w:rFonts w:ascii="Calibri" w:hAnsi="Calibri"/>
        </w:rPr>
        <w:sectPr w:rsidR="00D46B62" w:rsidRPr="003F7F6C" w:rsidSect="0096798B">
          <w:pgSz w:w="12240" w:h="15840" w:code="1"/>
          <w:pgMar w:top="1440" w:right="1440" w:bottom="1440" w:left="1440" w:header="720" w:footer="720" w:gutter="0"/>
          <w:cols w:space="720"/>
          <w:docGrid w:linePitch="360"/>
        </w:sectPr>
      </w:pPr>
    </w:p>
    <w:p w14:paraId="767684EB" w14:textId="4F8AFFCD" w:rsidR="003B6502" w:rsidRPr="003F7F6C" w:rsidRDefault="003B6502" w:rsidP="003B6502">
      <w:pPr>
        <w:pStyle w:val="Heading2"/>
        <w:ind w:left="0"/>
        <w:rPr>
          <w:rFonts w:ascii="Calibri" w:hAnsi="Calibri"/>
        </w:rPr>
      </w:pPr>
      <w:bookmarkStart w:id="71" w:name="_Toc529891428"/>
      <w:r w:rsidRPr="003F7F6C">
        <w:rPr>
          <w:rFonts w:ascii="Calibri" w:hAnsi="Calibri"/>
        </w:rPr>
        <w:t>Annex G: Gender</w:t>
      </w:r>
      <w:r w:rsidR="00553F65" w:rsidRPr="003F7F6C">
        <w:rPr>
          <w:rFonts w:ascii="Calibri" w:hAnsi="Calibri"/>
        </w:rPr>
        <w:t xml:space="preserve"> and Ethnic</w:t>
      </w:r>
      <w:r w:rsidRPr="003F7F6C">
        <w:rPr>
          <w:rFonts w:ascii="Calibri" w:hAnsi="Calibri"/>
        </w:rPr>
        <w:t xml:space="preserve"> Analysis and Action Plan</w:t>
      </w:r>
      <w:bookmarkEnd w:id="71"/>
    </w:p>
    <w:p w14:paraId="3BD63264" w14:textId="77777777" w:rsidR="003B6502" w:rsidRPr="003F7F6C" w:rsidRDefault="003B6502" w:rsidP="003B6502"/>
    <w:p w14:paraId="352CF203" w14:textId="77777777" w:rsidR="009A4B59" w:rsidRPr="003F7F6C" w:rsidRDefault="009A4B59" w:rsidP="009A4B59">
      <w:pPr>
        <w:tabs>
          <w:tab w:val="left" w:pos="432"/>
        </w:tabs>
        <w:spacing w:after="240"/>
        <w:rPr>
          <w:b/>
          <w:szCs w:val="20"/>
        </w:rPr>
      </w:pPr>
      <w:r w:rsidRPr="003F7F6C">
        <w:rPr>
          <w:b/>
          <w:szCs w:val="20"/>
        </w:rPr>
        <w:t>A. Summary of the Main Findings of the Gender and ethnic analysis carried out during the PPG</w:t>
      </w:r>
    </w:p>
    <w:p w14:paraId="184D1D3B" w14:textId="77777777" w:rsidR="009A4B59" w:rsidRPr="003F7F6C" w:rsidRDefault="009A4B59" w:rsidP="009A4B59">
      <w:pPr>
        <w:tabs>
          <w:tab w:val="left" w:pos="432"/>
        </w:tabs>
        <w:spacing w:after="240"/>
        <w:rPr>
          <w:szCs w:val="20"/>
        </w:rPr>
      </w:pPr>
      <w:r w:rsidRPr="003F7F6C">
        <w:rPr>
          <w:b/>
          <w:szCs w:val="20"/>
        </w:rPr>
        <w:t xml:space="preserve">1. </w:t>
      </w:r>
      <w:r w:rsidRPr="003F7F6C">
        <w:rPr>
          <w:szCs w:val="20"/>
        </w:rPr>
        <w:t xml:space="preserve">In Argentina the causes of gender inequality and discrimination are mainly explained by the prevalence of traditional patriarchal structures and norms and gender roles, particularly in remote, rural and agricultural areas. </w:t>
      </w:r>
    </w:p>
    <w:p w14:paraId="6167267D" w14:textId="77777777" w:rsidR="009A4B59" w:rsidRPr="003F7F6C" w:rsidRDefault="009A4B59" w:rsidP="009A4B59">
      <w:pPr>
        <w:tabs>
          <w:tab w:val="left" w:pos="432"/>
        </w:tabs>
        <w:spacing w:after="240"/>
        <w:rPr>
          <w:szCs w:val="20"/>
        </w:rPr>
      </w:pPr>
      <w:r w:rsidRPr="003F7F6C">
        <w:rPr>
          <w:b/>
          <w:szCs w:val="20"/>
        </w:rPr>
        <w:t>2.</w:t>
      </w:r>
      <w:r w:rsidRPr="003F7F6C">
        <w:rPr>
          <w:szCs w:val="20"/>
        </w:rPr>
        <w:t xml:space="preserve"> Young, poor, rural and indigenous women represent around 40% of the agricultural labor force. Although there are no legal instruments that prevent women from owning property, such as land, in Argentina 80% of men have such ownership (FAO, 2010). Men are the ones who mostly make decisions related to access, use and management of ecosystem resources; therefore, most women cannot enjoy the benefits of profitable land, access credit and/or productive resources derived from land. While women are not as active as men in the agricultural labor force, women take on major roles in sustainable forest management. As caregivers they are highly dependent on forests and are the primary users of forest products. However, they are often excluded from forestry-related decision-making. This bears the risk/concern that women’s valuable knowledge remains underutilized.</w:t>
      </w:r>
    </w:p>
    <w:p w14:paraId="4D3C833E" w14:textId="77777777" w:rsidR="009A4B59" w:rsidRPr="003F7F6C" w:rsidRDefault="009A4B59" w:rsidP="009A4B59">
      <w:pPr>
        <w:tabs>
          <w:tab w:val="left" w:pos="432"/>
        </w:tabs>
        <w:spacing w:after="240"/>
        <w:rPr>
          <w:szCs w:val="20"/>
        </w:rPr>
      </w:pPr>
      <w:r w:rsidRPr="003F7F6C">
        <w:rPr>
          <w:b/>
          <w:szCs w:val="20"/>
        </w:rPr>
        <w:t>3.</w:t>
      </w:r>
      <w:r w:rsidRPr="003F7F6C">
        <w:rPr>
          <w:szCs w:val="20"/>
        </w:rPr>
        <w:t xml:space="preserve"> In Argentina, there are more women (52%) than men (48%). The number of women 46 years and older is higher, while the ratio is reversed in younger ages (from 0 to 35 years), with the exception of the age bracket 14 to 15 years. This distribution of the population by sex and age groups is conserved without statistically significant differences in the three prioritized areas (52.0% women and 48.0% men in Buenos Aires; 51.5% women and 48.5% men in Jujuy and 52.2% women and 47.8% men in Mendoza (INDEC, 2017). </w:t>
      </w:r>
    </w:p>
    <w:p w14:paraId="2583C8B4" w14:textId="77777777" w:rsidR="009A4B59" w:rsidRPr="003F7F6C" w:rsidRDefault="009A4B59" w:rsidP="009A4B59">
      <w:pPr>
        <w:tabs>
          <w:tab w:val="left" w:pos="432"/>
        </w:tabs>
        <w:spacing w:after="240"/>
        <w:rPr>
          <w:szCs w:val="20"/>
        </w:rPr>
      </w:pPr>
      <w:r w:rsidRPr="003F7F6C">
        <w:rPr>
          <w:b/>
          <w:szCs w:val="20"/>
        </w:rPr>
        <w:t>4.</w:t>
      </w:r>
      <w:r w:rsidRPr="003F7F6C">
        <w:rPr>
          <w:szCs w:val="20"/>
        </w:rPr>
        <w:t xml:space="preserve"> 91% of the Argentine population lives in urban areas and the remaining 9% in rural areas. Of the three prioritized provinces, Mendoza has the largest number of inhabitants in rural areas (19.1%), followed by Jujuy (12.5%) and then Buenos Aires (3%). The distribution of rural population disaggregated by sex in the province of Jujuy is 51.7% men and 48.3% women (DIPEC, 2012). So far, information disaggregated by sex in rural areas is not available in Mendoza or Buenos Aires.</w:t>
      </w:r>
    </w:p>
    <w:p w14:paraId="4BB75970" w14:textId="77777777" w:rsidR="009A4B59" w:rsidRPr="003F7F6C" w:rsidRDefault="009A4B59" w:rsidP="009A4B59">
      <w:pPr>
        <w:tabs>
          <w:tab w:val="left" w:pos="432"/>
        </w:tabs>
        <w:spacing w:after="240"/>
        <w:rPr>
          <w:szCs w:val="20"/>
        </w:rPr>
      </w:pPr>
      <w:r w:rsidRPr="003F7F6C">
        <w:rPr>
          <w:b/>
          <w:szCs w:val="20"/>
        </w:rPr>
        <w:t>5.</w:t>
      </w:r>
      <w:r w:rsidRPr="003F7F6C">
        <w:rPr>
          <w:szCs w:val="20"/>
        </w:rPr>
        <w:t xml:space="preserve"> The proportion of indigenous peoples with respect to the total population of each jurisdiction is variable: 2.38% at the national level, 1.92% in Buenos Aires; 2.4% in Mendoza and 7.8% in Jujuy with respect to provincial totals. Jujuy has the largest indigenous population in relative terms (8%). The distribution of the indigenous population according to sex presents a fairly homogeneous behavior within each jurisdiction and in the country as a whole (50% men and 50% women). The proportion of the Afro-descendant population is less than 1% in the three prioritized areas. </w:t>
      </w:r>
    </w:p>
    <w:p w14:paraId="53EEF26E" w14:textId="0D4F2E1D" w:rsidR="009A4B59" w:rsidRPr="003F7F6C" w:rsidRDefault="009A4B59" w:rsidP="009A4B59">
      <w:pPr>
        <w:shd w:val="clear" w:color="auto" w:fill="FFFFFF"/>
        <w:spacing w:after="240"/>
        <w:rPr>
          <w:rFonts w:ascii="Arial" w:eastAsia="Times New Roman" w:hAnsi="Arial" w:cs="Arial"/>
          <w:color w:val="777777"/>
          <w:szCs w:val="20"/>
          <w:lang w:eastAsia="es-ES"/>
        </w:rPr>
      </w:pPr>
      <w:r w:rsidRPr="003F7F6C">
        <w:rPr>
          <w:b/>
          <w:szCs w:val="20"/>
        </w:rPr>
        <w:t>6.</w:t>
      </w:r>
      <w:r w:rsidRPr="003F7F6C">
        <w:rPr>
          <w:szCs w:val="20"/>
        </w:rPr>
        <w:t xml:space="preserve"> Regarding the heads of household, of every 10 people who claim to be head of the household at the national level, 4 are women and 6 are men (41.2% and 58.8%, respectively). This proportion is consistent in each priority area. In relation to the age of women who are heads of household both at the country level and in the priority areas, 6 out of 10 women heads of household are 50 years old and over, and they are more affected by the double burden of domestic and paid work that falls on them alone. Note:</w:t>
      </w:r>
      <w:r w:rsidRPr="003F7F6C">
        <w:rPr>
          <w:rFonts w:ascii="Arial" w:eastAsia="Times New Roman" w:hAnsi="Arial" w:cs="Arial"/>
          <w:color w:val="777777"/>
          <w:szCs w:val="20"/>
          <w:lang w:eastAsia="es-ES"/>
        </w:rPr>
        <w:t xml:space="preserve"> </w:t>
      </w:r>
      <w:r w:rsidRPr="003F7F6C">
        <w:rPr>
          <w:szCs w:val="20"/>
        </w:rPr>
        <w:t>A head of household is</w:t>
      </w:r>
      <w:r w:rsidRPr="003F7F6C">
        <w:rPr>
          <w:rFonts w:ascii="Arial" w:eastAsia="Times New Roman" w:hAnsi="Arial" w:cs="Arial"/>
          <w:color w:val="777777"/>
          <w:szCs w:val="20"/>
          <w:lang w:eastAsia="es-ES"/>
        </w:rPr>
        <w:t xml:space="preserve"> </w:t>
      </w:r>
      <w:r w:rsidRPr="003F7F6C">
        <w:rPr>
          <w:szCs w:val="20"/>
        </w:rPr>
        <w:t>“the person, either a man or a woman, or both, recognized as such by the other members of the household”. (Source: INDEC, Situation and Social Evolution-Synthesis N ° 4. 2016).</w:t>
      </w:r>
    </w:p>
    <w:p w14:paraId="10D75083" w14:textId="77777777" w:rsidR="009A4B59" w:rsidRPr="003F7F6C" w:rsidRDefault="009A4B59" w:rsidP="009A4B59">
      <w:pPr>
        <w:tabs>
          <w:tab w:val="left" w:pos="432"/>
        </w:tabs>
        <w:spacing w:after="240"/>
        <w:rPr>
          <w:szCs w:val="20"/>
        </w:rPr>
      </w:pPr>
      <w:r w:rsidRPr="003F7F6C">
        <w:rPr>
          <w:b/>
          <w:szCs w:val="20"/>
        </w:rPr>
        <w:t xml:space="preserve">7. </w:t>
      </w:r>
      <w:r w:rsidRPr="003F7F6C">
        <w:rPr>
          <w:szCs w:val="20"/>
        </w:rPr>
        <w:t>Regarding socio-economic indicators, at the country level, approximately 40% of women up to 29 years old participate in the labor market against almost 60% of men in the same age group. Only in Jujuy is there a marked decrease in the proportion of men who participate in the economy (38.8%) compared to the national percentage, although the rate of men in the labor market still exceeds that of women in the labor market in that province (29.2%). In Mendoza, the male activity rate is also lower than the national rate for that same age group (52.0%) and also exceeds that of women (39.1%). The employment rate is higher for men than for women (65.7% and 43.5%, respectively), a trend that, although there are nuances, is reproduced inside the prioritized areas. Men earn 26% more than women (WEF, 2017).</w:t>
      </w:r>
    </w:p>
    <w:p w14:paraId="2F38704E" w14:textId="77777777" w:rsidR="009A4B59" w:rsidRPr="003F7F6C" w:rsidRDefault="009A4B59" w:rsidP="009A4B59">
      <w:pPr>
        <w:tabs>
          <w:tab w:val="left" w:pos="432"/>
        </w:tabs>
        <w:spacing w:after="240"/>
        <w:rPr>
          <w:szCs w:val="20"/>
        </w:rPr>
      </w:pPr>
      <w:r w:rsidRPr="003F7F6C">
        <w:rPr>
          <w:b/>
          <w:szCs w:val="20"/>
        </w:rPr>
        <w:t>8.</w:t>
      </w:r>
      <w:r w:rsidRPr="003F7F6C">
        <w:rPr>
          <w:szCs w:val="20"/>
        </w:rPr>
        <w:t xml:space="preserve"> The unemployment rates follow an inverse pattern, registering a higher percentage of unemployed women at the country level than men in the same situation (8.7% and 6.1%, respectively). In Jujuy and Mendoza the percentage variations are smaller. Within the age group up to 29 years, there is a marked gap between the unemployment of men and women. The difference at the national level is 7.4 percentage points, to the detriment of women, a trend that is exacerbated in Mendoza and Buenos Aires, with 7.55 and 11.1 percentage points, respectively. The trend softens in the case of Jujuy, where the difference is only 1.8 percentage points. </w:t>
      </w:r>
    </w:p>
    <w:p w14:paraId="23393B73" w14:textId="77777777" w:rsidR="009A4B59" w:rsidRPr="003F7F6C" w:rsidRDefault="009A4B59" w:rsidP="009A4B59">
      <w:pPr>
        <w:tabs>
          <w:tab w:val="left" w:pos="432"/>
        </w:tabs>
        <w:spacing w:after="240"/>
        <w:rPr>
          <w:szCs w:val="20"/>
        </w:rPr>
      </w:pPr>
      <w:r w:rsidRPr="003F7F6C">
        <w:rPr>
          <w:b/>
          <w:szCs w:val="20"/>
        </w:rPr>
        <w:t>9.</w:t>
      </w:r>
      <w:r w:rsidRPr="003F7F6C">
        <w:rPr>
          <w:szCs w:val="20"/>
        </w:rPr>
        <w:t xml:space="preserve"> According to the World Economic Forum's Global Gender Gap Index (WEF, 2017), Argentina stands out in terms of access to education for men and women, obtaining a score of 0.998 out of 1, which indicates parity between men and women. This proportion holds true in each priority area.</w:t>
      </w:r>
    </w:p>
    <w:p w14:paraId="65AA7FD2" w14:textId="77777777" w:rsidR="009A4B59" w:rsidRPr="003F7F6C" w:rsidRDefault="009A4B59" w:rsidP="009A4B59">
      <w:pPr>
        <w:tabs>
          <w:tab w:val="left" w:pos="432"/>
        </w:tabs>
        <w:spacing w:after="240"/>
        <w:rPr>
          <w:szCs w:val="20"/>
        </w:rPr>
      </w:pPr>
      <w:r w:rsidRPr="003F7F6C">
        <w:rPr>
          <w:b/>
          <w:szCs w:val="20"/>
        </w:rPr>
        <w:t>10.</w:t>
      </w:r>
      <w:r w:rsidRPr="003F7F6C">
        <w:rPr>
          <w:szCs w:val="20"/>
        </w:rPr>
        <w:t xml:space="preserve"> Regarding the level of poverty and indigence, in the second half of 2017 the percentage of households below the poverty line was 17.9%; these comprise 25.7% of people. In the three prioritized areas, the differences are not statistically significant, except for Buenos Aires where the percentage of households and people below the poverty line exceeds the national average (21.3% of households and 29.5% of people respectively) and the same situation is observed in terms of the indigence analysis, where the values ​​exceed the percentage at the country level (4.6% of households that comprise 6.2% of the population in this prioritized area). </w:t>
      </w:r>
    </w:p>
    <w:p w14:paraId="58F67B59" w14:textId="77777777" w:rsidR="009A4B59" w:rsidRPr="003F7F6C" w:rsidRDefault="009A4B59" w:rsidP="009A4B59">
      <w:pPr>
        <w:spacing w:after="240"/>
        <w:rPr>
          <w:szCs w:val="20"/>
        </w:rPr>
      </w:pPr>
      <w:r w:rsidRPr="003F7F6C">
        <w:rPr>
          <w:b/>
          <w:szCs w:val="20"/>
        </w:rPr>
        <w:t>11.</w:t>
      </w:r>
      <w:r w:rsidRPr="003F7F6C">
        <w:rPr>
          <w:szCs w:val="20"/>
        </w:rPr>
        <w:t xml:space="preserve"> The amount of average weekly hours that women devote to unpaid work is much higher than that of men, and as the age of children increases, women’s participation in the labor market increases, too. This is unlike what happens with men, whose participation remains stable. In the country as a whole, women spend, on average, 76.4% of their time on unpaid domestic work, while men spend, on average, only 23.6% of their time on the same activity (EAHU, 2013). That is, women spend 3.3 times more of their time on unpaid domestic work than men. This proportion is evident in each priority area.</w:t>
      </w:r>
    </w:p>
    <w:p w14:paraId="6EECF852" w14:textId="77777777" w:rsidR="009A4B59" w:rsidRPr="003F7F6C" w:rsidRDefault="009A4B59" w:rsidP="009A4B59">
      <w:pPr>
        <w:spacing w:after="240"/>
        <w:rPr>
          <w:b/>
          <w:szCs w:val="20"/>
        </w:rPr>
      </w:pPr>
      <w:r w:rsidRPr="003F7F6C">
        <w:rPr>
          <w:b/>
          <w:szCs w:val="20"/>
        </w:rPr>
        <w:t>B.  Gender Mainstreaming Strategies</w:t>
      </w:r>
    </w:p>
    <w:p w14:paraId="13FF6537" w14:textId="77777777" w:rsidR="009A4B59" w:rsidRPr="003F7F6C" w:rsidRDefault="009A4B59" w:rsidP="009A4B59">
      <w:pPr>
        <w:tabs>
          <w:tab w:val="left" w:pos="426"/>
        </w:tabs>
        <w:spacing w:after="240"/>
        <w:rPr>
          <w:rFonts w:cs="Segoe UI"/>
          <w:color w:val="000000"/>
          <w:szCs w:val="20"/>
        </w:rPr>
      </w:pPr>
      <w:r w:rsidRPr="003F7F6C">
        <w:rPr>
          <w:rFonts w:cs="Calibri"/>
          <w:b/>
          <w:szCs w:val="20"/>
        </w:rPr>
        <w:t xml:space="preserve">B.1 Main Strategies Mainstreaming the Gender Approach within the Project´s Intervention Strategy </w:t>
      </w:r>
    </w:p>
    <w:p w14:paraId="47DAB989" w14:textId="77777777" w:rsidR="009A4B59" w:rsidRPr="003F7F6C" w:rsidRDefault="009A4B59" w:rsidP="00E91275">
      <w:pPr>
        <w:numPr>
          <w:ilvl w:val="0"/>
          <w:numId w:val="37"/>
        </w:numPr>
        <w:tabs>
          <w:tab w:val="left" w:pos="426"/>
        </w:tabs>
        <w:spacing w:after="240"/>
        <w:rPr>
          <w:rFonts w:cs="Segoe UI"/>
          <w:color w:val="000000"/>
          <w:szCs w:val="20"/>
        </w:rPr>
      </w:pPr>
      <w:r w:rsidRPr="003F7F6C">
        <w:rPr>
          <w:rFonts w:cs="Calibri"/>
          <w:szCs w:val="20"/>
        </w:rPr>
        <w:t xml:space="preserve">Gender balance will be taken into account in engaging the project team, the Project Board and multi-sectoral, multi-stakeholder dialogue spaces. </w:t>
      </w:r>
      <w:r w:rsidRPr="003F7F6C">
        <w:rPr>
          <w:szCs w:val="20"/>
        </w:rPr>
        <w:t xml:space="preserve">The recruitment processes that will be undertaken as part of the project will aim at ensuring workforce diversity, including in terms of gender. This will be achieved through a variety of measures, including ensuring that ToRs target men and women as potential candidates (“He/She”) equally, provisions that women are encouraged to apply, and requesting basic understanding, skills, experience and commitment to work in a gender-sensitive and multicultural-sensitive manner. Where applicable, strong candidates will be assessed as part of written tests and/or behavioral interviews held as part of recruitment processes (e.g., through adding one or more gender-related and multicultural-based questions).  In the multi-stakeholder dialogue spaces, the project will work through political dialogue </w:t>
      </w:r>
      <w:r w:rsidRPr="003F7F6C">
        <w:rPr>
          <w:rFonts w:cs="Calibri"/>
          <w:szCs w:val="20"/>
        </w:rPr>
        <w:t>at the federal level to ensure the participation of women in these spaces and other project processes.</w:t>
      </w:r>
    </w:p>
    <w:p w14:paraId="2D0C8C58" w14:textId="77777777" w:rsidR="009A4B59" w:rsidRPr="003F7F6C" w:rsidRDefault="009A4B59" w:rsidP="00E91275">
      <w:pPr>
        <w:numPr>
          <w:ilvl w:val="0"/>
          <w:numId w:val="37"/>
        </w:numPr>
        <w:tabs>
          <w:tab w:val="left" w:pos="426"/>
        </w:tabs>
        <w:spacing w:after="240"/>
        <w:rPr>
          <w:rFonts w:cs="Segoe UI"/>
          <w:color w:val="000000"/>
          <w:szCs w:val="20"/>
        </w:rPr>
      </w:pPr>
      <w:r w:rsidRPr="003F7F6C">
        <w:rPr>
          <w:rFonts w:cs="Calibri"/>
          <w:szCs w:val="20"/>
        </w:rPr>
        <w:t xml:space="preserve">Including gender and ethnicity disaggregated data collected from official sources in the development of policy, economic, financial and technical instruments and governance mechanisms for ELUP. </w:t>
      </w:r>
      <w:r w:rsidRPr="003F7F6C">
        <w:rPr>
          <w:szCs w:val="20"/>
        </w:rPr>
        <w:t>All data reviewed and prepared for entry to the system of policy, economic, financial and technical instruments and governance mechanisms for ELUP will be looked at through a gender and inter-cultural lens, and will reference gender and ethnicity if and where needed (i.e., who owns, controls, uses land areas in question, how will planned measures affect women and men both indigenous and non-indigenous, etc.). If no official sources are available, a specific survey will be conducted including specific questions that reveal relevant gender and multicultural dimensions (e.g., gender dimensions in the use of BD and ecosystem resources management; economic impact of land degradation on women/men, both indigenous and non-indigenous).</w:t>
      </w:r>
    </w:p>
    <w:p w14:paraId="5570E20F" w14:textId="77777777" w:rsidR="009A4B59" w:rsidRPr="003F7F6C" w:rsidRDefault="009A4B59" w:rsidP="00E91275">
      <w:pPr>
        <w:numPr>
          <w:ilvl w:val="0"/>
          <w:numId w:val="37"/>
        </w:numPr>
        <w:tabs>
          <w:tab w:val="left" w:pos="426"/>
        </w:tabs>
        <w:spacing w:after="240"/>
        <w:rPr>
          <w:rFonts w:cs="Segoe UI"/>
          <w:color w:val="000000"/>
          <w:szCs w:val="20"/>
        </w:rPr>
      </w:pPr>
      <w:r w:rsidRPr="003F7F6C">
        <w:rPr>
          <w:rFonts w:cs="Calibri"/>
          <w:szCs w:val="20"/>
        </w:rPr>
        <w:t xml:space="preserve">Development of a capacity building program aimed at public officials and/or technical teams to raise awareness on the importance of engaging both women and men in decision-making processes and addressing gender issues. </w:t>
      </w:r>
      <w:r w:rsidRPr="003F7F6C">
        <w:rPr>
          <w:szCs w:val="20"/>
        </w:rPr>
        <w:t>Gender and intercultural approaches will be integrated into capacity-building initiatives through distinct gender sessions, workshop or training sessions aimed at public officials and/or technical teams (e.g., pointing out the gender division of labor or use of time in the prioritized areas by presenting data disaggregated by sex). It is also key to ensure that both women and men have access to capacity-building initiatives, and that obstacles, which usually prevent women from benefitting from these activities, are addressed (e.g., in places and at times where women have the chance to participate). It is also important to identify suitable female participants and invite these women and explain the benefits of enhancing women and men’s capacities equally, including for target communities as a whole, to authorities/decision-makers.</w:t>
      </w:r>
    </w:p>
    <w:p w14:paraId="669D4E56" w14:textId="77777777" w:rsidR="009A4B59" w:rsidRPr="003F7F6C" w:rsidRDefault="009A4B59" w:rsidP="00E91275">
      <w:pPr>
        <w:numPr>
          <w:ilvl w:val="0"/>
          <w:numId w:val="37"/>
        </w:numPr>
        <w:tabs>
          <w:tab w:val="left" w:pos="426"/>
        </w:tabs>
        <w:spacing w:after="240"/>
        <w:rPr>
          <w:rFonts w:cs="Segoe UI"/>
          <w:color w:val="000000"/>
          <w:szCs w:val="20"/>
        </w:rPr>
      </w:pPr>
      <w:r w:rsidRPr="003F7F6C">
        <w:rPr>
          <w:rFonts w:cs="Calibri"/>
          <w:szCs w:val="20"/>
        </w:rPr>
        <w:t xml:space="preserve">Gender mainstreaming in the promotion of dialogue mechanisms, making the most of existing spaces and structures for consultation, deliberation, decision-making and inter-institutional coordination at the national, provincial and pilot levels, by fostering equal participation of women and men and indigenous populations in agenda-setting, decision-making and/or policy-making processes. This will include undertaking consultations with </w:t>
      </w:r>
      <w:r w:rsidRPr="003F7F6C">
        <w:rPr>
          <w:szCs w:val="20"/>
        </w:rPr>
        <w:t xml:space="preserve">women and men from target sites as well as with institutions (e.g., the National Institute of Women-INAM- and </w:t>
      </w:r>
      <w:r w:rsidRPr="003F7F6C">
        <w:rPr>
          <w:rFonts w:eastAsiaTheme="minorEastAsia" w:cs="Calibri"/>
          <w:szCs w:val="20"/>
        </w:rPr>
        <w:t>National Indigenous Peoples Institute</w:t>
      </w:r>
      <w:r w:rsidRPr="003F7F6C">
        <w:rPr>
          <w:rFonts w:eastAsia="Times New Roman" w:cs="Arial"/>
          <w:bCs/>
          <w:sz w:val="18"/>
          <w:szCs w:val="18"/>
        </w:rPr>
        <w:t xml:space="preserve">- </w:t>
      </w:r>
      <w:r w:rsidRPr="003F7F6C">
        <w:rPr>
          <w:szCs w:val="20"/>
        </w:rPr>
        <w:t>INAI- at the national level and the gender and ethnicity agencies in each of the provincial levels). When designing the contents, methodologies and approaches, the project will ensure that women and men’s knowledge and interests are considered and that women are included in decision-making processes (e.g., through highlighting the benefits of their involvement and ensuring consultations and dialogue spaces are held at a time and place where both women and men can participate).</w:t>
      </w:r>
    </w:p>
    <w:p w14:paraId="3BD320DE" w14:textId="77777777" w:rsidR="009A4B59" w:rsidRPr="003F7F6C" w:rsidRDefault="009A4B59" w:rsidP="00E91275">
      <w:pPr>
        <w:numPr>
          <w:ilvl w:val="0"/>
          <w:numId w:val="37"/>
        </w:numPr>
        <w:tabs>
          <w:tab w:val="left" w:pos="432"/>
        </w:tabs>
        <w:spacing w:after="240"/>
        <w:rPr>
          <w:szCs w:val="20"/>
        </w:rPr>
      </w:pPr>
      <w:r w:rsidRPr="003F7F6C">
        <w:rPr>
          <w:rFonts w:cs="Calibri"/>
          <w:szCs w:val="20"/>
        </w:rPr>
        <w:t xml:space="preserve"> Development of a capacity building program aimed at women beneficiaries (indigenous and non-indigenous) in the three prioritized areas and target landscapes. The project will coordinate with the INAM, the Federal Council of Women and the INAI and with the three provincial gender mechanisms and indigenous affairs bureaus (Buenos Aires: the Provincial Council of Women under the Secretariat of Gender and Sexual Diversity of the Secretariat for Human Rights of the Province of Buenos Aires and the Provincial Council for Indigenous Affairs; Mendoza: the Directorate of Women, Gender and Diversity under the Ministry of Social Development and Human Rights and in Jujuy, the Gender Parity Secretariat under the Ministry of Human Development and the Secretariat of Indigenous Peoples. </w:t>
      </w:r>
      <w:r w:rsidRPr="003F7F6C">
        <w:rPr>
          <w:szCs w:val="20"/>
        </w:rPr>
        <w:t>The project will enhance collaboration with civil society organizations with support of each of the above entities in the three prioritized areas to ensure women and men are equally included in capacity building programs. The project will ensure consultation of women and men working in agriculture and identify female-headed households to facilitate their engagement in project activities (i.e., ensure that participation is possible given their particularly tight schedules). Additionally, the project will collaborate with stakeholders working on gender equality, women’s empowerment and other relevant actors in the tourism sector (e.g., Ministry of Tourism, women working in the tourism sector and those interested in getting engaged) to find out about suitable business opportunities.</w:t>
      </w:r>
    </w:p>
    <w:p w14:paraId="0126AEFD" w14:textId="77777777" w:rsidR="009A4B59" w:rsidRPr="003F7F6C" w:rsidRDefault="009A4B59" w:rsidP="00E91275">
      <w:pPr>
        <w:numPr>
          <w:ilvl w:val="0"/>
          <w:numId w:val="37"/>
        </w:numPr>
        <w:tabs>
          <w:tab w:val="left" w:pos="432"/>
        </w:tabs>
        <w:spacing w:after="240"/>
        <w:rPr>
          <w:szCs w:val="20"/>
        </w:rPr>
      </w:pPr>
      <w:r w:rsidRPr="003F7F6C">
        <w:rPr>
          <w:rFonts w:cs="Calibri"/>
          <w:szCs w:val="20"/>
        </w:rPr>
        <w:t xml:space="preserve">Enhance knowledge management and dissemination by systematizing, assessing, replicating and/or scaling up lessons learned, case studies, and promising and/or best practices on gender mainstreaming in BD/SLM and ELUP and on women’s participation in dialogue platforms and/or mechanisms in the three prioritized areas. </w:t>
      </w:r>
      <w:r w:rsidRPr="003F7F6C">
        <w:rPr>
          <w:szCs w:val="20"/>
        </w:rPr>
        <w:t>The documentation and dissemination of results will consider gender and the multicultural approach, too. To achieve this, knowledge products prepared under the project will reflect on gender and ethnicity to the extent possible, for instance through the presentation of data disaggregated by sex and ethnicity and the inclusion of sections that analyze the respective gender and ethnic dimensions. Gender and ethnicity will also be considered in the dissemination of research results, knowledge and information. For instance, when circulating knowledge products, the project will ensure the inclusion of various stakeholders that work on gender equality, women’s empowerment and ethnicity, both from civil society and public entities and both at the national level and in the three prioritized areas and pilot sites.</w:t>
      </w:r>
    </w:p>
    <w:p w14:paraId="79DEC8E2" w14:textId="387971B1" w:rsidR="009A4B59" w:rsidRPr="003F7F6C" w:rsidRDefault="00CE41E0" w:rsidP="00CE41E0">
      <w:pPr>
        <w:spacing w:after="0"/>
        <w:jc w:val="left"/>
        <w:rPr>
          <w:szCs w:val="20"/>
        </w:rPr>
      </w:pPr>
      <w:r w:rsidRPr="003F7F6C">
        <w:rPr>
          <w:szCs w:val="20"/>
        </w:rPr>
        <w:br w:type="page"/>
      </w:r>
    </w:p>
    <w:p w14:paraId="50C5FA2B" w14:textId="77777777" w:rsidR="00CE41E0" w:rsidRPr="003F7F6C" w:rsidRDefault="00CE41E0" w:rsidP="00CE41E0">
      <w:pPr>
        <w:rPr>
          <w:b/>
          <w:szCs w:val="20"/>
        </w:rPr>
        <w:sectPr w:rsidR="00CE41E0" w:rsidRPr="003F7F6C" w:rsidSect="00CD63DB">
          <w:pgSz w:w="12240" w:h="15840"/>
          <w:pgMar w:top="1418" w:right="1701" w:bottom="1418" w:left="1701" w:header="709" w:footer="709" w:gutter="0"/>
          <w:cols w:space="708"/>
          <w:docGrid w:linePitch="360"/>
        </w:sectPr>
      </w:pPr>
    </w:p>
    <w:p w14:paraId="24ADA29E" w14:textId="72CD8075" w:rsidR="00CE41E0" w:rsidRPr="003F7F6C" w:rsidRDefault="00CE41E0" w:rsidP="00CE41E0">
      <w:pPr>
        <w:rPr>
          <w:b/>
          <w:szCs w:val="20"/>
        </w:rPr>
      </w:pPr>
      <w:r w:rsidRPr="003F7F6C">
        <w:rPr>
          <w:b/>
          <w:szCs w:val="20"/>
        </w:rPr>
        <w:t>B.2.  Specific Strategies to Mainstream the Gender Approach within the Project´s Outcome Framework</w:t>
      </w:r>
    </w:p>
    <w:tbl>
      <w:tblPr>
        <w:tblStyle w:val="TableGrid"/>
        <w:tblW w:w="0" w:type="auto"/>
        <w:tblLook w:val="04A0" w:firstRow="1" w:lastRow="0" w:firstColumn="1" w:lastColumn="0" w:noHBand="0" w:noVBand="1"/>
      </w:tblPr>
      <w:tblGrid>
        <w:gridCol w:w="1980"/>
        <w:gridCol w:w="1276"/>
        <w:gridCol w:w="9740"/>
      </w:tblGrid>
      <w:tr w:rsidR="00CE41E0" w:rsidRPr="003F7F6C" w14:paraId="7B05ED67" w14:textId="77777777" w:rsidTr="00CD63DB">
        <w:trPr>
          <w:tblHeader/>
        </w:trPr>
        <w:tc>
          <w:tcPr>
            <w:tcW w:w="1980" w:type="dxa"/>
            <w:shd w:val="clear" w:color="auto" w:fill="D9D9D9" w:themeFill="background1" w:themeFillShade="D9"/>
          </w:tcPr>
          <w:p w14:paraId="344456C0" w14:textId="77777777" w:rsidR="00CE41E0" w:rsidRPr="003F7F6C" w:rsidRDefault="00CE41E0" w:rsidP="00CD63DB">
            <w:pPr>
              <w:spacing w:after="120"/>
              <w:rPr>
                <w:b/>
                <w:sz w:val="18"/>
                <w:szCs w:val="18"/>
              </w:rPr>
            </w:pPr>
            <w:r w:rsidRPr="003F7F6C">
              <w:rPr>
                <w:b/>
                <w:sz w:val="18"/>
                <w:szCs w:val="18"/>
              </w:rPr>
              <w:t>Project Outcomes/ Outputs</w:t>
            </w:r>
          </w:p>
        </w:tc>
        <w:tc>
          <w:tcPr>
            <w:tcW w:w="1276" w:type="dxa"/>
            <w:shd w:val="clear" w:color="auto" w:fill="D9D9D9" w:themeFill="background1" w:themeFillShade="D9"/>
          </w:tcPr>
          <w:p w14:paraId="3CC0C4F0" w14:textId="77777777" w:rsidR="00CE41E0" w:rsidRPr="003F7F6C" w:rsidRDefault="00CE41E0" w:rsidP="00CD63DB">
            <w:pPr>
              <w:spacing w:after="120"/>
              <w:rPr>
                <w:b/>
                <w:sz w:val="18"/>
                <w:szCs w:val="18"/>
              </w:rPr>
            </w:pPr>
            <w:r w:rsidRPr="003F7F6C">
              <w:rPr>
                <w:b/>
                <w:sz w:val="18"/>
                <w:szCs w:val="18"/>
              </w:rPr>
              <w:t>Responsible Party</w:t>
            </w:r>
          </w:p>
        </w:tc>
        <w:tc>
          <w:tcPr>
            <w:tcW w:w="9740" w:type="dxa"/>
            <w:shd w:val="clear" w:color="auto" w:fill="D9D9D9" w:themeFill="background1" w:themeFillShade="D9"/>
          </w:tcPr>
          <w:p w14:paraId="4A500613" w14:textId="77777777" w:rsidR="00CE41E0" w:rsidRPr="003F7F6C" w:rsidRDefault="00CE41E0" w:rsidP="00CD63DB">
            <w:pPr>
              <w:spacing w:after="120"/>
              <w:rPr>
                <w:b/>
                <w:sz w:val="18"/>
                <w:szCs w:val="18"/>
              </w:rPr>
            </w:pPr>
            <w:r w:rsidRPr="003F7F6C">
              <w:rPr>
                <w:b/>
                <w:sz w:val="18"/>
                <w:szCs w:val="18"/>
              </w:rPr>
              <w:t>Specific activities with a gender approach</w:t>
            </w:r>
          </w:p>
        </w:tc>
      </w:tr>
      <w:tr w:rsidR="00CE41E0" w:rsidRPr="003F7F6C" w14:paraId="749C2FA6" w14:textId="77777777" w:rsidTr="00CD63DB">
        <w:tc>
          <w:tcPr>
            <w:tcW w:w="12996" w:type="dxa"/>
            <w:gridSpan w:val="3"/>
          </w:tcPr>
          <w:p w14:paraId="2D7174D7" w14:textId="77777777" w:rsidR="00CE41E0" w:rsidRPr="003F7F6C" w:rsidRDefault="00CE41E0" w:rsidP="00CD63DB">
            <w:pPr>
              <w:spacing w:after="120"/>
              <w:rPr>
                <w:rFonts w:cs="Calibri"/>
                <w:b/>
                <w:bCs/>
                <w:sz w:val="18"/>
                <w:szCs w:val="18"/>
              </w:rPr>
            </w:pPr>
            <w:r w:rsidRPr="003F7F6C">
              <w:rPr>
                <w:rFonts w:cs="Calibri"/>
                <w:b/>
                <w:bCs/>
                <w:sz w:val="18"/>
                <w:szCs w:val="18"/>
              </w:rPr>
              <w:t xml:space="preserve">Outcome 1: </w:t>
            </w:r>
            <w:r w:rsidRPr="003F7F6C">
              <w:rPr>
                <w:rFonts w:cs="Calibri"/>
                <w:sz w:val="18"/>
                <w:szCs w:val="18"/>
              </w:rPr>
              <w:t>Federal</w:t>
            </w:r>
            <w:r w:rsidRPr="003F7F6C">
              <w:rPr>
                <w:rFonts w:cs="Calibri"/>
                <w:b/>
                <w:sz w:val="18"/>
                <w:szCs w:val="18"/>
              </w:rPr>
              <w:t xml:space="preserve"> </w:t>
            </w:r>
            <w:r w:rsidRPr="003F7F6C">
              <w:rPr>
                <w:rFonts w:cs="Calibri"/>
                <w:sz w:val="18"/>
                <w:szCs w:val="18"/>
              </w:rPr>
              <w:t>enabling</w:t>
            </w:r>
            <w:r w:rsidRPr="003F7F6C">
              <w:rPr>
                <w:rFonts w:cs="Calibri"/>
                <w:b/>
                <w:sz w:val="18"/>
                <w:szCs w:val="18"/>
              </w:rPr>
              <w:t xml:space="preserve"> </w:t>
            </w:r>
            <w:r w:rsidRPr="003F7F6C">
              <w:rPr>
                <w:rFonts w:cs="Calibri"/>
                <w:sz w:val="18"/>
                <w:szCs w:val="18"/>
              </w:rPr>
              <w:t>framework and</w:t>
            </w:r>
            <w:r w:rsidRPr="003F7F6C">
              <w:rPr>
                <w:rFonts w:cs="Calibri"/>
                <w:b/>
                <w:sz w:val="18"/>
                <w:szCs w:val="18"/>
              </w:rPr>
              <w:t xml:space="preserve"> </w:t>
            </w:r>
            <w:r w:rsidRPr="003F7F6C">
              <w:rPr>
                <w:rFonts w:cs="Calibri"/>
                <w:sz w:val="18"/>
                <w:szCs w:val="18"/>
              </w:rPr>
              <w:t>strategies to</w:t>
            </w:r>
            <w:r w:rsidRPr="003F7F6C">
              <w:rPr>
                <w:rFonts w:cs="Calibri"/>
                <w:b/>
                <w:sz w:val="18"/>
                <w:szCs w:val="18"/>
              </w:rPr>
              <w:t xml:space="preserve"> </w:t>
            </w:r>
            <w:r w:rsidRPr="003F7F6C">
              <w:rPr>
                <w:rFonts w:cs="Calibri"/>
                <w:sz w:val="18"/>
                <w:szCs w:val="18"/>
              </w:rPr>
              <w:t>reinforce</w:t>
            </w:r>
            <w:r w:rsidRPr="003F7F6C">
              <w:rPr>
                <w:rFonts w:cs="Calibri"/>
                <w:b/>
                <w:sz w:val="18"/>
                <w:szCs w:val="18"/>
              </w:rPr>
              <w:t xml:space="preserve"> </w:t>
            </w:r>
            <w:r w:rsidRPr="003F7F6C">
              <w:rPr>
                <w:rFonts w:cs="Calibri"/>
                <w:sz w:val="18"/>
                <w:szCs w:val="18"/>
              </w:rPr>
              <w:t>ELUP, and</w:t>
            </w:r>
            <w:r w:rsidRPr="003F7F6C">
              <w:rPr>
                <w:rFonts w:cs="Calibri"/>
                <w:b/>
                <w:sz w:val="18"/>
                <w:szCs w:val="18"/>
              </w:rPr>
              <w:t xml:space="preserve"> </w:t>
            </w:r>
            <w:r w:rsidRPr="003F7F6C">
              <w:rPr>
                <w:rFonts w:cs="Calibri"/>
                <w:sz w:val="18"/>
                <w:szCs w:val="18"/>
              </w:rPr>
              <w:t>underpin</w:t>
            </w:r>
            <w:r w:rsidRPr="003F7F6C">
              <w:rPr>
                <w:rFonts w:cs="Calibri"/>
                <w:b/>
                <w:sz w:val="18"/>
                <w:szCs w:val="18"/>
              </w:rPr>
              <w:t xml:space="preserve"> </w:t>
            </w:r>
            <w:r w:rsidRPr="003F7F6C">
              <w:rPr>
                <w:rFonts w:cs="Calibri"/>
                <w:sz w:val="18"/>
                <w:szCs w:val="18"/>
              </w:rPr>
              <w:t>implementation</w:t>
            </w:r>
            <w:r w:rsidRPr="003F7F6C">
              <w:rPr>
                <w:rFonts w:cs="Calibri"/>
                <w:b/>
                <w:sz w:val="18"/>
                <w:szCs w:val="18"/>
              </w:rPr>
              <w:t xml:space="preserve"> </w:t>
            </w:r>
            <w:r w:rsidRPr="003F7F6C">
              <w:rPr>
                <w:rFonts w:cs="Calibri"/>
                <w:sz w:val="18"/>
                <w:szCs w:val="18"/>
              </w:rPr>
              <w:t>in priority</w:t>
            </w:r>
            <w:r w:rsidRPr="003F7F6C">
              <w:rPr>
                <w:rFonts w:cs="Calibri"/>
                <w:b/>
                <w:sz w:val="18"/>
                <w:szCs w:val="18"/>
              </w:rPr>
              <w:t xml:space="preserve"> </w:t>
            </w:r>
            <w:r w:rsidRPr="003F7F6C">
              <w:rPr>
                <w:rFonts w:cs="Calibri"/>
                <w:sz w:val="18"/>
                <w:szCs w:val="18"/>
              </w:rPr>
              <w:t>ecosystems and</w:t>
            </w:r>
            <w:r w:rsidRPr="003F7F6C">
              <w:rPr>
                <w:rFonts w:cs="Calibri"/>
                <w:b/>
                <w:sz w:val="18"/>
                <w:szCs w:val="18"/>
              </w:rPr>
              <w:t xml:space="preserve"> </w:t>
            </w:r>
            <w:r w:rsidRPr="003F7F6C">
              <w:rPr>
                <w:rFonts w:cs="Calibri"/>
                <w:sz w:val="18"/>
                <w:szCs w:val="18"/>
              </w:rPr>
              <w:t>habitats to</w:t>
            </w:r>
            <w:r w:rsidRPr="003F7F6C">
              <w:rPr>
                <w:rFonts w:cs="Calibri"/>
                <w:b/>
                <w:sz w:val="18"/>
                <w:szCs w:val="18"/>
              </w:rPr>
              <w:t xml:space="preserve"> </w:t>
            </w:r>
            <w:r w:rsidRPr="003F7F6C">
              <w:rPr>
                <w:rFonts w:cs="Calibri"/>
                <w:sz w:val="18"/>
                <w:szCs w:val="18"/>
              </w:rPr>
              <w:t>reduce</w:t>
            </w:r>
            <w:r w:rsidRPr="003F7F6C">
              <w:rPr>
                <w:rFonts w:cs="Calibri"/>
                <w:b/>
                <w:sz w:val="18"/>
                <w:szCs w:val="18"/>
              </w:rPr>
              <w:t xml:space="preserve"> </w:t>
            </w:r>
            <w:r w:rsidRPr="003F7F6C">
              <w:rPr>
                <w:rFonts w:cs="Calibri"/>
                <w:sz w:val="18"/>
                <w:szCs w:val="18"/>
              </w:rPr>
              <w:t>pressure from</w:t>
            </w:r>
            <w:r w:rsidRPr="003F7F6C">
              <w:rPr>
                <w:rFonts w:cs="Calibri"/>
                <w:b/>
                <w:sz w:val="18"/>
                <w:szCs w:val="18"/>
              </w:rPr>
              <w:t xml:space="preserve"> </w:t>
            </w:r>
            <w:r w:rsidRPr="003F7F6C">
              <w:rPr>
                <w:rFonts w:cs="Calibri"/>
                <w:sz w:val="18"/>
                <w:szCs w:val="18"/>
              </w:rPr>
              <w:t>key production</w:t>
            </w:r>
            <w:r w:rsidRPr="003F7F6C">
              <w:rPr>
                <w:rFonts w:cs="Calibri"/>
                <w:b/>
                <w:sz w:val="18"/>
                <w:szCs w:val="18"/>
              </w:rPr>
              <w:t xml:space="preserve"> </w:t>
            </w:r>
            <w:r w:rsidRPr="003F7F6C">
              <w:rPr>
                <w:rFonts w:cs="Calibri"/>
                <w:sz w:val="18"/>
                <w:szCs w:val="18"/>
              </w:rPr>
              <w:t>sectors.</w:t>
            </w:r>
            <w:r w:rsidRPr="003F7F6C">
              <w:rPr>
                <w:rFonts w:cs="Calibri"/>
                <w:b/>
                <w:sz w:val="18"/>
                <w:szCs w:val="18"/>
              </w:rPr>
              <w:t xml:space="preserve"> </w:t>
            </w:r>
            <w:r w:rsidRPr="003F7F6C">
              <w:rPr>
                <w:rFonts w:cs="Calibri"/>
                <w:w w:val="74"/>
                <w:sz w:val="18"/>
                <w:szCs w:val="18"/>
              </w:rPr>
              <w:t>(</w:t>
            </w:r>
            <w:r w:rsidRPr="003F7F6C">
              <w:rPr>
                <w:rFonts w:cs="Calibri"/>
                <w:w w:val="98"/>
                <w:sz w:val="18"/>
                <w:szCs w:val="18"/>
              </w:rPr>
              <w:t>target sectors:</w:t>
            </w:r>
            <w:r w:rsidRPr="003F7F6C">
              <w:rPr>
                <w:rFonts w:cs="Calibri"/>
                <w:b/>
                <w:sz w:val="18"/>
                <w:szCs w:val="18"/>
              </w:rPr>
              <w:t xml:space="preserve"> </w:t>
            </w:r>
            <w:r w:rsidRPr="003F7F6C">
              <w:rPr>
                <w:rFonts w:cs="Calibri"/>
                <w:sz w:val="18"/>
                <w:szCs w:val="18"/>
              </w:rPr>
              <w:t>agriculture &amp;</w:t>
            </w:r>
            <w:r w:rsidRPr="003F7F6C">
              <w:rPr>
                <w:rFonts w:cs="Calibri"/>
                <w:b/>
                <w:sz w:val="18"/>
                <w:szCs w:val="18"/>
              </w:rPr>
              <w:t xml:space="preserve"> </w:t>
            </w:r>
            <w:r w:rsidRPr="003F7F6C">
              <w:rPr>
                <w:rFonts w:cs="Calibri"/>
                <w:sz w:val="18"/>
                <w:szCs w:val="18"/>
              </w:rPr>
              <w:t xml:space="preserve">livestock; mining and peri-urban infrastructure, tourism) </w:t>
            </w:r>
          </w:p>
        </w:tc>
      </w:tr>
      <w:tr w:rsidR="00CE41E0" w:rsidRPr="003F7F6C" w14:paraId="131C7DC9" w14:textId="77777777" w:rsidTr="00CD63DB">
        <w:tc>
          <w:tcPr>
            <w:tcW w:w="1980" w:type="dxa"/>
          </w:tcPr>
          <w:p w14:paraId="26DCE173" w14:textId="77777777" w:rsidR="00CE41E0" w:rsidRPr="003F7F6C" w:rsidRDefault="00CE41E0" w:rsidP="00CD63DB">
            <w:pPr>
              <w:spacing w:after="120"/>
              <w:rPr>
                <w:i/>
                <w:sz w:val="18"/>
                <w:szCs w:val="18"/>
              </w:rPr>
            </w:pPr>
            <w:r w:rsidRPr="003F7F6C">
              <w:rPr>
                <w:rFonts w:cs="Calibri"/>
                <w:bCs/>
                <w:i/>
                <w:sz w:val="18"/>
                <w:szCs w:val="18"/>
              </w:rPr>
              <w:t xml:space="preserve">Output 1.1: </w:t>
            </w:r>
            <w:r w:rsidRPr="003F7F6C">
              <w:rPr>
                <w:rFonts w:eastAsia="Times New Roman" w:cs="Calibri"/>
                <w:bCs/>
                <w:i/>
                <w:sz w:val="18"/>
                <w:szCs w:val="18"/>
                <w:lang w:eastAsia="es-ES_tradnl"/>
              </w:rPr>
              <w:t xml:space="preserve">Environmental information system updated and standardized to support the ELUP process </w:t>
            </w:r>
            <w:r w:rsidRPr="003F7F6C">
              <w:rPr>
                <w:rFonts w:eastAsia="Times New Roman" w:cs="Calibri"/>
                <w:i/>
                <w:sz w:val="18"/>
                <w:szCs w:val="18"/>
                <w:lang w:eastAsia="es-ES_tradnl"/>
              </w:rPr>
              <w:t xml:space="preserve">&amp; </w:t>
            </w:r>
            <w:r w:rsidRPr="003F7F6C">
              <w:rPr>
                <w:rFonts w:eastAsia="Times New Roman" w:cs="Calibri"/>
                <w:bCs/>
                <w:i/>
                <w:sz w:val="18"/>
                <w:szCs w:val="18"/>
                <w:lang w:eastAsia="es-ES_tradnl"/>
              </w:rPr>
              <w:t>decision- making</w:t>
            </w:r>
          </w:p>
        </w:tc>
        <w:tc>
          <w:tcPr>
            <w:tcW w:w="1276" w:type="dxa"/>
          </w:tcPr>
          <w:p w14:paraId="02C1D338" w14:textId="77777777" w:rsidR="00CE41E0" w:rsidRPr="003F7F6C" w:rsidRDefault="00CE41E0" w:rsidP="00CD63DB">
            <w:pPr>
              <w:spacing w:after="120"/>
              <w:rPr>
                <w:sz w:val="18"/>
                <w:szCs w:val="18"/>
              </w:rPr>
            </w:pPr>
            <w:r w:rsidRPr="003F7F6C">
              <w:rPr>
                <w:sz w:val="18"/>
                <w:szCs w:val="18"/>
              </w:rPr>
              <w:t>SGAyDS</w:t>
            </w:r>
          </w:p>
        </w:tc>
        <w:tc>
          <w:tcPr>
            <w:tcW w:w="9740" w:type="dxa"/>
          </w:tcPr>
          <w:p w14:paraId="60D0C809" w14:textId="77777777" w:rsidR="00CE41E0" w:rsidRPr="003F7F6C" w:rsidRDefault="00CE41E0" w:rsidP="00CD63DB">
            <w:pPr>
              <w:widowControl w:val="0"/>
              <w:autoSpaceDE w:val="0"/>
              <w:autoSpaceDN w:val="0"/>
              <w:adjustRightInd w:val="0"/>
              <w:spacing w:after="120"/>
              <w:rPr>
                <w:bCs/>
                <w:sz w:val="18"/>
                <w:szCs w:val="18"/>
              </w:rPr>
            </w:pPr>
            <w:r w:rsidRPr="003F7F6C">
              <w:rPr>
                <w:b/>
                <w:bCs/>
                <w:sz w:val="18"/>
                <w:szCs w:val="18"/>
              </w:rPr>
              <w:t>1.</w:t>
            </w:r>
            <w:r w:rsidRPr="003F7F6C">
              <w:rPr>
                <w:bCs/>
                <w:sz w:val="18"/>
                <w:szCs w:val="18"/>
              </w:rPr>
              <w:t xml:space="preserve"> Include data disaggregated by sex and ethnicity in the development of the environmental information system so that decision-making within ELUP at a national, provincial and local level incorporates the gender and ethnicity perspective in order to bridge inequality gaps. </w:t>
            </w:r>
          </w:p>
          <w:p w14:paraId="4496E00E" w14:textId="77777777" w:rsidR="00CE41E0" w:rsidRPr="003F7F6C" w:rsidRDefault="00CE41E0" w:rsidP="00CD63DB">
            <w:pPr>
              <w:spacing w:after="120"/>
              <w:rPr>
                <w:rFonts w:eastAsia="Times New Roman"/>
                <w:iCs/>
                <w:color w:val="000000"/>
                <w:sz w:val="18"/>
                <w:szCs w:val="18"/>
                <w:lang w:eastAsia="es-AR"/>
              </w:rPr>
            </w:pPr>
            <w:r w:rsidRPr="003F7F6C">
              <w:rPr>
                <w:b/>
                <w:bCs/>
                <w:sz w:val="18"/>
                <w:szCs w:val="18"/>
              </w:rPr>
              <w:t>2.</w:t>
            </w:r>
            <w:r w:rsidRPr="003F7F6C">
              <w:rPr>
                <w:rFonts w:eastAsia="Times New Roman"/>
                <w:color w:val="000000"/>
                <w:sz w:val="18"/>
                <w:szCs w:val="18"/>
                <w:lang w:eastAsia="es-AR"/>
              </w:rPr>
              <w:t xml:space="preserve"> In developing criteria for defining Priority Areas for ELUP include specific criteria with a gender and ethnicity approach (multiculturalism). </w:t>
            </w:r>
          </w:p>
          <w:p w14:paraId="6B1E614F" w14:textId="77777777" w:rsidR="00CE41E0" w:rsidRPr="003F7F6C" w:rsidRDefault="00CE41E0" w:rsidP="00CD63DB">
            <w:pPr>
              <w:widowControl w:val="0"/>
              <w:autoSpaceDE w:val="0"/>
              <w:autoSpaceDN w:val="0"/>
              <w:adjustRightInd w:val="0"/>
              <w:spacing w:after="120"/>
              <w:rPr>
                <w:bCs/>
                <w:sz w:val="18"/>
                <w:szCs w:val="18"/>
              </w:rPr>
            </w:pPr>
            <w:r w:rsidRPr="003F7F6C">
              <w:rPr>
                <w:b/>
                <w:bCs/>
                <w:sz w:val="18"/>
                <w:szCs w:val="18"/>
              </w:rPr>
              <w:t>3.</w:t>
            </w:r>
            <w:r w:rsidRPr="003F7F6C">
              <w:rPr>
                <w:rFonts w:eastAsia="Times New Roman"/>
                <w:iCs/>
                <w:color w:val="000000"/>
                <w:sz w:val="18"/>
                <w:szCs w:val="18"/>
                <w:lang w:eastAsia="es-AR"/>
              </w:rPr>
              <w:t xml:space="preserve"> Carry out a quali-quantitative analysis of the degree to which the main land issues identified affect men and women differently, both from indigenous and non-indigenous peoples.</w:t>
            </w:r>
          </w:p>
          <w:p w14:paraId="078806F1" w14:textId="77777777" w:rsidR="00CE41E0" w:rsidRPr="003F7F6C" w:rsidRDefault="00CE41E0" w:rsidP="00CD63DB">
            <w:pPr>
              <w:widowControl w:val="0"/>
              <w:autoSpaceDE w:val="0"/>
              <w:autoSpaceDN w:val="0"/>
              <w:adjustRightInd w:val="0"/>
              <w:spacing w:after="120"/>
              <w:rPr>
                <w:bCs/>
                <w:sz w:val="18"/>
                <w:szCs w:val="18"/>
              </w:rPr>
            </w:pPr>
            <w:r w:rsidRPr="003F7F6C">
              <w:rPr>
                <w:b/>
                <w:bCs/>
                <w:sz w:val="18"/>
                <w:szCs w:val="18"/>
              </w:rPr>
              <w:t>4.</w:t>
            </w:r>
            <w:r w:rsidRPr="003F7F6C">
              <w:rPr>
                <w:rFonts w:eastAsia="Times New Roman"/>
                <w:color w:val="000000"/>
                <w:sz w:val="18"/>
                <w:szCs w:val="18"/>
                <w:lang w:eastAsia="es-AR"/>
              </w:rPr>
              <w:t xml:space="preserve"> Assess, in developing and validating the maps of priority areas of environmental value for ELUP, whether access, use and control over the ecosystemic resources and services is equitable between men and women and to what extent they affect indigenous peoples</w:t>
            </w:r>
          </w:p>
          <w:p w14:paraId="087F0D1E" w14:textId="77777777" w:rsidR="00CE41E0" w:rsidRPr="003F7F6C" w:rsidRDefault="00CE41E0" w:rsidP="00CD63DB">
            <w:pPr>
              <w:widowControl w:val="0"/>
              <w:autoSpaceDE w:val="0"/>
              <w:autoSpaceDN w:val="0"/>
              <w:adjustRightInd w:val="0"/>
              <w:spacing w:after="120"/>
              <w:rPr>
                <w:bCs/>
                <w:sz w:val="18"/>
                <w:szCs w:val="18"/>
              </w:rPr>
            </w:pPr>
            <w:r w:rsidRPr="003F7F6C">
              <w:rPr>
                <w:b/>
                <w:bCs/>
                <w:sz w:val="18"/>
                <w:szCs w:val="18"/>
              </w:rPr>
              <w:t>5.</w:t>
            </w:r>
            <w:r w:rsidRPr="003F7F6C">
              <w:rPr>
                <w:rFonts w:eastAsia="Times New Roman"/>
                <w:color w:val="000000"/>
                <w:sz w:val="18"/>
                <w:szCs w:val="18"/>
                <w:lang w:eastAsia="es-AR"/>
              </w:rPr>
              <w:t xml:space="preserve"> Assess, in developing and validating the maps of priority areas of environmental value  for ELUP, whether costs and benefits of accessing, using and controlling ecosystemic resources in each priority areas of environmental value are shared equitably between men and women (both indigenous and non-indigenous).</w:t>
            </w:r>
          </w:p>
          <w:p w14:paraId="0D26E8E8" w14:textId="77777777" w:rsidR="00CE41E0" w:rsidRPr="003F7F6C" w:rsidRDefault="00CE41E0" w:rsidP="00CD63DB">
            <w:pPr>
              <w:spacing w:after="120"/>
              <w:rPr>
                <w:rFonts w:eastAsia="Times New Roman"/>
                <w:color w:val="000000"/>
                <w:sz w:val="18"/>
                <w:szCs w:val="18"/>
                <w:lang w:eastAsia="es-AR"/>
              </w:rPr>
            </w:pPr>
            <w:r w:rsidRPr="003F7F6C">
              <w:rPr>
                <w:b/>
                <w:bCs/>
                <w:sz w:val="18"/>
                <w:szCs w:val="18"/>
              </w:rPr>
              <w:t>6.</w:t>
            </w:r>
            <w:r w:rsidRPr="003F7F6C">
              <w:rPr>
                <w:rFonts w:eastAsia="Times New Roman"/>
                <w:color w:val="000000"/>
                <w:sz w:val="18"/>
                <w:szCs w:val="18"/>
                <w:lang w:eastAsia="es-AR"/>
              </w:rPr>
              <w:t xml:space="preserve"> Guarantee actual participation of male and female expert users and indigenous peoples in the validation of the maps.</w:t>
            </w:r>
          </w:p>
          <w:p w14:paraId="28C1B7D1" w14:textId="77777777" w:rsidR="00CE41E0" w:rsidRPr="003F7F6C" w:rsidRDefault="00CE41E0" w:rsidP="00CD63DB">
            <w:pPr>
              <w:widowControl w:val="0"/>
              <w:autoSpaceDE w:val="0"/>
              <w:autoSpaceDN w:val="0"/>
              <w:adjustRightInd w:val="0"/>
              <w:spacing w:after="120"/>
              <w:rPr>
                <w:bCs/>
                <w:sz w:val="18"/>
                <w:szCs w:val="18"/>
              </w:rPr>
            </w:pPr>
            <w:r w:rsidRPr="003F7F6C">
              <w:rPr>
                <w:b/>
                <w:bCs/>
                <w:sz w:val="18"/>
                <w:szCs w:val="18"/>
              </w:rPr>
              <w:t>7.</w:t>
            </w:r>
            <w:r w:rsidRPr="003F7F6C">
              <w:rPr>
                <w:rFonts w:eastAsia="Times New Roman"/>
                <w:iCs/>
                <w:color w:val="000000"/>
                <w:sz w:val="18"/>
                <w:szCs w:val="18"/>
                <w:lang w:eastAsia="es-AR"/>
              </w:rPr>
              <w:t xml:space="preserve"> Incorporate the gender and ethnicity approach in the development of indicators for monitoring ELUP.</w:t>
            </w:r>
          </w:p>
          <w:p w14:paraId="2AB594DC" w14:textId="77777777" w:rsidR="00CE41E0" w:rsidRPr="003F7F6C" w:rsidRDefault="00CE41E0" w:rsidP="00CD63DB">
            <w:pPr>
              <w:spacing w:after="120"/>
              <w:rPr>
                <w:sz w:val="18"/>
                <w:szCs w:val="18"/>
              </w:rPr>
            </w:pPr>
            <w:r w:rsidRPr="003F7F6C">
              <w:rPr>
                <w:b/>
                <w:bCs/>
                <w:sz w:val="18"/>
                <w:szCs w:val="18"/>
              </w:rPr>
              <w:t>8.</w:t>
            </w:r>
            <w:r w:rsidRPr="003F7F6C">
              <w:rPr>
                <w:rFonts w:eastAsia="Times New Roman" w:cs="Arial"/>
                <w:bCs/>
                <w:sz w:val="18"/>
                <w:szCs w:val="18"/>
              </w:rPr>
              <w:t xml:space="preserve"> Include the participation of the National Institute of Women (INAM, in Spanish) and the National Indigenous Peoples Institute (INAI, in Spanish) in the dissemination of information generated through the environmental information system.</w:t>
            </w:r>
          </w:p>
        </w:tc>
      </w:tr>
      <w:tr w:rsidR="00CE41E0" w:rsidRPr="003F7F6C" w14:paraId="74ADE5E6" w14:textId="77777777" w:rsidTr="00CD63DB">
        <w:tc>
          <w:tcPr>
            <w:tcW w:w="1980" w:type="dxa"/>
          </w:tcPr>
          <w:p w14:paraId="471254E5" w14:textId="77777777" w:rsidR="00CE41E0" w:rsidRPr="003F7F6C" w:rsidRDefault="00CE41E0" w:rsidP="00CD63DB">
            <w:pPr>
              <w:spacing w:after="120"/>
              <w:rPr>
                <w:sz w:val="18"/>
                <w:szCs w:val="18"/>
              </w:rPr>
            </w:pPr>
            <w:r w:rsidRPr="003F7F6C">
              <w:rPr>
                <w:rFonts w:eastAsia="Times New Roman" w:cs="Calibri"/>
                <w:bCs/>
                <w:i/>
                <w:sz w:val="18"/>
                <w:szCs w:val="18"/>
                <w:lang w:eastAsia="es-ES_tradnl"/>
              </w:rPr>
              <w:t>Output 1.2: Federal level ELUP criteria agreed upon</w:t>
            </w:r>
          </w:p>
        </w:tc>
        <w:tc>
          <w:tcPr>
            <w:tcW w:w="1276" w:type="dxa"/>
          </w:tcPr>
          <w:p w14:paraId="254FBCF8" w14:textId="77777777" w:rsidR="00CE41E0" w:rsidRPr="003F7F6C" w:rsidRDefault="00CE41E0" w:rsidP="00CD63DB">
            <w:pPr>
              <w:spacing w:after="120"/>
              <w:rPr>
                <w:sz w:val="18"/>
                <w:szCs w:val="18"/>
              </w:rPr>
            </w:pPr>
            <w:r w:rsidRPr="003F7F6C">
              <w:rPr>
                <w:sz w:val="18"/>
                <w:szCs w:val="18"/>
              </w:rPr>
              <w:t>SGAyDS</w:t>
            </w:r>
          </w:p>
          <w:p w14:paraId="7F113F85" w14:textId="77777777" w:rsidR="00CE41E0" w:rsidRPr="003F7F6C" w:rsidRDefault="00CE41E0" w:rsidP="00CD63DB">
            <w:pPr>
              <w:spacing w:after="120"/>
              <w:rPr>
                <w:sz w:val="18"/>
                <w:szCs w:val="18"/>
              </w:rPr>
            </w:pPr>
          </w:p>
        </w:tc>
        <w:tc>
          <w:tcPr>
            <w:tcW w:w="9740" w:type="dxa"/>
          </w:tcPr>
          <w:p w14:paraId="53BED1D1" w14:textId="77777777" w:rsidR="00CE41E0" w:rsidRPr="003F7F6C" w:rsidRDefault="00CE41E0" w:rsidP="00CD63DB">
            <w:pPr>
              <w:spacing w:after="120"/>
              <w:rPr>
                <w:bCs/>
                <w:sz w:val="18"/>
                <w:szCs w:val="18"/>
              </w:rPr>
            </w:pPr>
            <w:r w:rsidRPr="003F7F6C">
              <w:rPr>
                <w:b/>
                <w:bCs/>
                <w:sz w:val="18"/>
                <w:szCs w:val="18"/>
              </w:rPr>
              <w:t>1.</w:t>
            </w:r>
            <w:r w:rsidRPr="003F7F6C">
              <w:rPr>
                <w:bCs/>
                <w:sz w:val="18"/>
                <w:szCs w:val="18"/>
              </w:rPr>
              <w:t xml:space="preserve"> Facilitate the participation of INAM and INAI in participatory workshops to: </w:t>
            </w:r>
          </w:p>
          <w:p w14:paraId="5A842C8B" w14:textId="77777777" w:rsidR="00CE41E0" w:rsidRPr="003F7F6C" w:rsidRDefault="00CE41E0" w:rsidP="00E91275">
            <w:pPr>
              <w:pStyle w:val="ListParagraph"/>
              <w:numPr>
                <w:ilvl w:val="0"/>
                <w:numId w:val="66"/>
              </w:numPr>
              <w:spacing w:after="120"/>
              <w:contextualSpacing w:val="0"/>
              <w:rPr>
                <w:rFonts w:asciiTheme="minorHAnsi" w:hAnsiTheme="minorHAnsi"/>
                <w:bCs/>
                <w:sz w:val="18"/>
                <w:szCs w:val="18"/>
              </w:rPr>
            </w:pPr>
            <w:r w:rsidRPr="003F7F6C">
              <w:rPr>
                <w:rFonts w:asciiTheme="minorHAnsi" w:hAnsiTheme="minorHAnsi"/>
                <w:bCs/>
                <w:sz w:val="18"/>
                <w:szCs w:val="18"/>
              </w:rPr>
              <w:t>Define the criteria for assessing ecosystem services, biodiversity conservation and sustainable land management practices with a view to incorporating the gender and multicultural approaches into the agreed criteria.</w:t>
            </w:r>
          </w:p>
          <w:p w14:paraId="1BADC6BC" w14:textId="77777777" w:rsidR="00CE41E0" w:rsidRPr="003F7F6C" w:rsidRDefault="00CE41E0" w:rsidP="00E91275">
            <w:pPr>
              <w:pStyle w:val="ListParagraph"/>
              <w:numPr>
                <w:ilvl w:val="0"/>
                <w:numId w:val="66"/>
              </w:numPr>
              <w:spacing w:after="120"/>
              <w:contextualSpacing w:val="0"/>
              <w:rPr>
                <w:rFonts w:asciiTheme="minorHAnsi" w:hAnsiTheme="minorHAnsi"/>
                <w:bCs/>
                <w:sz w:val="18"/>
                <w:szCs w:val="18"/>
              </w:rPr>
            </w:pPr>
            <w:r w:rsidRPr="003F7F6C">
              <w:rPr>
                <w:rFonts w:asciiTheme="minorHAnsi" w:hAnsiTheme="minorHAnsi"/>
                <w:bCs/>
                <w:sz w:val="18"/>
                <w:szCs w:val="18"/>
              </w:rPr>
              <w:t>Incorporation of gender and multicultural approaches in preparing, validating and drafting a document discussing strategies for promoting conservation and restoration areas with compensation schemes for implementing ELUP.</w:t>
            </w:r>
          </w:p>
        </w:tc>
      </w:tr>
      <w:tr w:rsidR="00CE41E0" w:rsidRPr="003F7F6C" w14:paraId="47F79230" w14:textId="77777777" w:rsidTr="00CD63DB">
        <w:tc>
          <w:tcPr>
            <w:tcW w:w="1980" w:type="dxa"/>
          </w:tcPr>
          <w:p w14:paraId="4E598CF5" w14:textId="77777777" w:rsidR="00CE41E0" w:rsidRPr="003F7F6C" w:rsidRDefault="00CE41E0" w:rsidP="00CD63DB">
            <w:pPr>
              <w:pStyle w:val="ListParagraph"/>
              <w:tabs>
                <w:tab w:val="left" w:pos="426"/>
              </w:tabs>
              <w:spacing w:after="120"/>
              <w:ind w:left="0"/>
              <w:contextualSpacing w:val="0"/>
              <w:rPr>
                <w:rFonts w:asciiTheme="minorHAnsi" w:hAnsiTheme="minorHAnsi" w:cs="Calibri"/>
                <w:bCs/>
                <w:sz w:val="18"/>
                <w:szCs w:val="18"/>
              </w:rPr>
            </w:pPr>
            <w:r w:rsidRPr="003F7F6C">
              <w:rPr>
                <w:rFonts w:asciiTheme="minorHAnsi" w:eastAsia="Times New Roman" w:hAnsiTheme="minorHAnsi" w:cs="Calibri"/>
                <w:i/>
                <w:sz w:val="18"/>
                <w:szCs w:val="18"/>
                <w:lang w:eastAsia="es-ES_tradnl"/>
              </w:rPr>
              <w:t xml:space="preserve">Output 1.3: </w:t>
            </w:r>
            <w:r w:rsidRPr="003F7F6C">
              <w:rPr>
                <w:rFonts w:asciiTheme="minorHAnsi" w:eastAsia="Times New Roman" w:hAnsiTheme="minorHAnsi" w:cs="Calibri"/>
                <w:bCs/>
                <w:i/>
                <w:sz w:val="18"/>
                <w:szCs w:val="18"/>
                <w:lang w:eastAsia="es-ES_tradnl"/>
              </w:rPr>
              <w:t>Standardized instruments for implementing ELUP for targeted sectors</w:t>
            </w:r>
          </w:p>
        </w:tc>
        <w:tc>
          <w:tcPr>
            <w:tcW w:w="1276" w:type="dxa"/>
          </w:tcPr>
          <w:p w14:paraId="5C817C20" w14:textId="77777777" w:rsidR="00CE41E0" w:rsidRPr="003F7F6C" w:rsidRDefault="00CE41E0" w:rsidP="00CD63DB">
            <w:pPr>
              <w:spacing w:after="120"/>
              <w:rPr>
                <w:sz w:val="18"/>
                <w:szCs w:val="18"/>
              </w:rPr>
            </w:pPr>
            <w:r w:rsidRPr="003F7F6C">
              <w:rPr>
                <w:sz w:val="18"/>
                <w:szCs w:val="18"/>
              </w:rPr>
              <w:t>SGAyDS</w:t>
            </w:r>
          </w:p>
        </w:tc>
        <w:tc>
          <w:tcPr>
            <w:tcW w:w="9740" w:type="dxa"/>
          </w:tcPr>
          <w:p w14:paraId="6E83D1C1" w14:textId="77777777" w:rsidR="00CE41E0" w:rsidRPr="003F7F6C" w:rsidRDefault="00CE41E0" w:rsidP="00CD63DB">
            <w:pPr>
              <w:spacing w:after="120"/>
              <w:rPr>
                <w:bCs/>
                <w:sz w:val="18"/>
                <w:szCs w:val="18"/>
              </w:rPr>
            </w:pPr>
            <w:r w:rsidRPr="003F7F6C">
              <w:rPr>
                <w:b/>
                <w:bCs/>
                <w:sz w:val="18"/>
                <w:szCs w:val="18"/>
              </w:rPr>
              <w:t>1.</w:t>
            </w:r>
            <w:r w:rsidRPr="003F7F6C">
              <w:rPr>
                <w:bCs/>
                <w:sz w:val="18"/>
                <w:szCs w:val="18"/>
              </w:rPr>
              <w:t xml:space="preserve"> Facilitate the participation of INAM and INAI in:</w:t>
            </w:r>
          </w:p>
          <w:p w14:paraId="5212DC29" w14:textId="77777777" w:rsidR="00CE41E0" w:rsidRPr="003F7F6C" w:rsidRDefault="00CE41E0" w:rsidP="00E91275">
            <w:pPr>
              <w:pStyle w:val="ListParagraph"/>
              <w:numPr>
                <w:ilvl w:val="0"/>
                <w:numId w:val="67"/>
              </w:numPr>
              <w:spacing w:after="120"/>
              <w:contextualSpacing w:val="0"/>
              <w:rPr>
                <w:rFonts w:asciiTheme="minorHAnsi" w:hAnsiTheme="minorHAnsi"/>
                <w:bCs/>
                <w:sz w:val="18"/>
                <w:szCs w:val="18"/>
              </w:rPr>
            </w:pPr>
            <w:r w:rsidRPr="003F7F6C">
              <w:rPr>
                <w:rFonts w:asciiTheme="minorHAnsi" w:hAnsiTheme="minorHAnsi"/>
                <w:bCs/>
                <w:sz w:val="18"/>
                <w:szCs w:val="18"/>
              </w:rPr>
              <w:t>Mainstreaming the gender and ethnicity approaches in the incorporation of ELUP criteria in economic instruments that favor men and women equitably and enhance women’s economic independence.</w:t>
            </w:r>
          </w:p>
          <w:p w14:paraId="38950542" w14:textId="77777777" w:rsidR="00CE41E0" w:rsidRPr="003F7F6C" w:rsidRDefault="00CE41E0" w:rsidP="00E91275">
            <w:pPr>
              <w:pStyle w:val="ListParagraph"/>
              <w:numPr>
                <w:ilvl w:val="0"/>
                <w:numId w:val="67"/>
              </w:numPr>
              <w:spacing w:after="120"/>
              <w:contextualSpacing w:val="0"/>
              <w:rPr>
                <w:rFonts w:asciiTheme="minorHAnsi" w:hAnsiTheme="minorHAnsi"/>
                <w:bCs/>
                <w:sz w:val="18"/>
                <w:szCs w:val="18"/>
              </w:rPr>
            </w:pPr>
            <w:r w:rsidRPr="003F7F6C">
              <w:rPr>
                <w:rFonts w:asciiTheme="minorHAnsi" w:hAnsiTheme="minorHAnsi"/>
                <w:bCs/>
                <w:sz w:val="18"/>
                <w:szCs w:val="18"/>
              </w:rPr>
              <w:t>Discussions and development of the proposal for a federal minimum standards regulation on ELUP</w:t>
            </w:r>
          </w:p>
        </w:tc>
      </w:tr>
      <w:tr w:rsidR="00CE41E0" w:rsidRPr="003F7F6C" w14:paraId="46D48353" w14:textId="77777777" w:rsidTr="00CD63DB">
        <w:tc>
          <w:tcPr>
            <w:tcW w:w="1980" w:type="dxa"/>
          </w:tcPr>
          <w:p w14:paraId="7FB013C6" w14:textId="77777777" w:rsidR="00CE41E0" w:rsidRPr="003F7F6C" w:rsidRDefault="00CE41E0" w:rsidP="00CD63DB">
            <w:pPr>
              <w:spacing w:after="120"/>
              <w:rPr>
                <w:rFonts w:eastAsia="Times New Roman" w:cs="Calibri"/>
                <w:bCs/>
                <w:i/>
                <w:sz w:val="18"/>
                <w:szCs w:val="18"/>
                <w:lang w:eastAsia="es-ES_tradnl"/>
              </w:rPr>
            </w:pPr>
            <w:r w:rsidRPr="003F7F6C">
              <w:rPr>
                <w:rFonts w:eastAsia="Times New Roman" w:cs="Calibri"/>
                <w:i/>
                <w:sz w:val="18"/>
                <w:szCs w:val="18"/>
                <w:lang w:eastAsia="es-ES_tradnl"/>
              </w:rPr>
              <w:t xml:space="preserve">Output 1.4 </w:t>
            </w:r>
            <w:r w:rsidRPr="003F7F6C">
              <w:rPr>
                <w:rFonts w:eastAsia="Times New Roman" w:cs="Calibri"/>
                <w:bCs/>
                <w:i/>
                <w:sz w:val="18"/>
                <w:szCs w:val="18"/>
                <w:lang w:eastAsia="es-ES_tradnl"/>
              </w:rPr>
              <w:t>Inter-sectoral and inter jurisdictional co-ordination mechanisms</w:t>
            </w:r>
          </w:p>
        </w:tc>
        <w:tc>
          <w:tcPr>
            <w:tcW w:w="1276" w:type="dxa"/>
          </w:tcPr>
          <w:p w14:paraId="20F3990E" w14:textId="77777777" w:rsidR="00CE41E0" w:rsidRPr="003F7F6C" w:rsidRDefault="00CE41E0" w:rsidP="00CD63DB">
            <w:pPr>
              <w:spacing w:after="120"/>
              <w:rPr>
                <w:sz w:val="18"/>
                <w:szCs w:val="18"/>
              </w:rPr>
            </w:pPr>
          </w:p>
        </w:tc>
        <w:tc>
          <w:tcPr>
            <w:tcW w:w="9740" w:type="dxa"/>
          </w:tcPr>
          <w:p w14:paraId="3C4366F5" w14:textId="77777777" w:rsidR="00CE41E0" w:rsidRPr="003F7F6C" w:rsidRDefault="00CE41E0" w:rsidP="00CD63DB">
            <w:pPr>
              <w:tabs>
                <w:tab w:val="left" w:pos="284"/>
              </w:tabs>
              <w:spacing w:after="120"/>
              <w:rPr>
                <w:sz w:val="18"/>
                <w:szCs w:val="18"/>
              </w:rPr>
            </w:pPr>
            <w:r w:rsidRPr="003F7F6C">
              <w:rPr>
                <w:sz w:val="18"/>
                <w:szCs w:val="18"/>
              </w:rPr>
              <w:t>1. Incorporate INAM and INAI as members of the inter-institutional and inter-sectoral dialogue and coordination spaces.</w:t>
            </w:r>
          </w:p>
          <w:p w14:paraId="00D199AD" w14:textId="77777777" w:rsidR="00CE41E0" w:rsidRPr="003F7F6C" w:rsidRDefault="00CE41E0" w:rsidP="00CD63DB">
            <w:pPr>
              <w:spacing w:after="120"/>
              <w:rPr>
                <w:color w:val="000000"/>
                <w:sz w:val="18"/>
                <w:szCs w:val="18"/>
              </w:rPr>
            </w:pPr>
            <w:r w:rsidRPr="003F7F6C">
              <w:rPr>
                <w:color w:val="000000"/>
                <w:sz w:val="18"/>
                <w:szCs w:val="18"/>
              </w:rPr>
              <w:t>2. Ensure space for open dialogue placing special focus on the gender-sensitive forms of interaction of the stakeholders which actively acknowledges the concerns of all legitimate stakeholders, men and women, and considering their interests in decision-making and operations.</w:t>
            </w:r>
          </w:p>
          <w:p w14:paraId="04013F11" w14:textId="77777777" w:rsidR="00CE41E0" w:rsidRPr="003F7F6C" w:rsidRDefault="00CE41E0" w:rsidP="00CD63DB">
            <w:pPr>
              <w:spacing w:after="120"/>
              <w:rPr>
                <w:color w:val="000000"/>
                <w:sz w:val="18"/>
                <w:szCs w:val="18"/>
              </w:rPr>
            </w:pPr>
            <w:r w:rsidRPr="003F7F6C">
              <w:rPr>
                <w:b/>
                <w:color w:val="000000"/>
                <w:sz w:val="18"/>
                <w:szCs w:val="18"/>
              </w:rPr>
              <w:t>3.</w:t>
            </w:r>
            <w:r w:rsidRPr="003F7F6C">
              <w:rPr>
                <w:color w:val="000000"/>
                <w:sz w:val="18"/>
                <w:szCs w:val="18"/>
              </w:rPr>
              <w:t xml:space="preserve"> Develop training and awareness raising programs on gender and mainstreaming of the gender approach with the participation of INAM targeting the technical teams of the national institutions</w:t>
            </w:r>
            <w:r w:rsidRPr="003F7F6C">
              <w:rPr>
                <w:sz w:val="18"/>
                <w:szCs w:val="18"/>
              </w:rPr>
              <w:t>.</w:t>
            </w:r>
          </w:p>
          <w:p w14:paraId="3EDD3203" w14:textId="77777777" w:rsidR="00CE41E0" w:rsidRPr="003F7F6C" w:rsidRDefault="00CE41E0" w:rsidP="00CD63DB">
            <w:pPr>
              <w:tabs>
                <w:tab w:val="left" w:pos="284"/>
              </w:tabs>
              <w:spacing w:after="120"/>
              <w:rPr>
                <w:sz w:val="18"/>
                <w:szCs w:val="18"/>
              </w:rPr>
            </w:pPr>
            <w:r w:rsidRPr="003F7F6C">
              <w:rPr>
                <w:b/>
                <w:color w:val="000000"/>
                <w:sz w:val="18"/>
                <w:szCs w:val="18"/>
              </w:rPr>
              <w:t>4.</w:t>
            </w:r>
            <w:r w:rsidRPr="003F7F6C">
              <w:rPr>
                <w:color w:val="000000"/>
                <w:sz w:val="18"/>
                <w:szCs w:val="18"/>
              </w:rPr>
              <w:t xml:space="preserve"> Develop training and awareness raising programs on multi-cultural issues given by the National Indigenous Peoples Institute (INAI) and targeted at the participating national institutions.</w:t>
            </w:r>
          </w:p>
        </w:tc>
      </w:tr>
      <w:tr w:rsidR="00CE41E0" w:rsidRPr="003F7F6C" w14:paraId="73A797FC" w14:textId="77777777" w:rsidTr="00CD63DB">
        <w:tc>
          <w:tcPr>
            <w:tcW w:w="12996" w:type="dxa"/>
            <w:gridSpan w:val="3"/>
          </w:tcPr>
          <w:p w14:paraId="61BEE6C2" w14:textId="77777777" w:rsidR="00CE41E0" w:rsidRPr="003F7F6C" w:rsidRDefault="00CE41E0" w:rsidP="00CD63DB">
            <w:pPr>
              <w:spacing w:after="120"/>
              <w:rPr>
                <w:rFonts w:cs="Calibri"/>
                <w:b/>
                <w:bCs/>
                <w:sz w:val="18"/>
                <w:szCs w:val="18"/>
              </w:rPr>
            </w:pPr>
            <w:r w:rsidRPr="003F7F6C">
              <w:rPr>
                <w:rFonts w:cs="Calibri"/>
                <w:b/>
                <w:bCs/>
                <w:sz w:val="18"/>
                <w:szCs w:val="18"/>
              </w:rPr>
              <w:t xml:space="preserve">Outcome 2: </w:t>
            </w:r>
            <w:r w:rsidRPr="003F7F6C">
              <w:rPr>
                <w:rFonts w:cs="Calibri"/>
                <w:sz w:val="18"/>
                <w:szCs w:val="18"/>
              </w:rPr>
              <w:t>Application of ELUP procedures and instruments in pilot Provinces with targeted ecoregions and production sector land uses.</w:t>
            </w:r>
          </w:p>
        </w:tc>
      </w:tr>
      <w:tr w:rsidR="00CE41E0" w:rsidRPr="003F7F6C" w14:paraId="3C941CDC" w14:textId="77777777" w:rsidTr="00CD63DB">
        <w:tc>
          <w:tcPr>
            <w:tcW w:w="1980" w:type="dxa"/>
          </w:tcPr>
          <w:p w14:paraId="7F7E93E2" w14:textId="77777777" w:rsidR="00CE41E0" w:rsidRPr="003F7F6C" w:rsidRDefault="00CE41E0" w:rsidP="00CD63DB">
            <w:pPr>
              <w:spacing w:after="120"/>
              <w:rPr>
                <w:rFonts w:eastAsia="Times New Roman" w:cs="Calibri"/>
                <w:bCs/>
                <w:i/>
                <w:sz w:val="18"/>
                <w:szCs w:val="18"/>
                <w:lang w:eastAsia="es-ES_tradnl"/>
              </w:rPr>
            </w:pPr>
            <w:r w:rsidRPr="003F7F6C">
              <w:rPr>
                <w:rFonts w:eastAsia="Times New Roman" w:cs="Calibri"/>
                <w:bCs/>
                <w:i/>
                <w:sz w:val="18"/>
                <w:szCs w:val="18"/>
                <w:lang w:eastAsia="es-ES_tradnl"/>
              </w:rPr>
              <w:t>Output 2.1. Provincial Regulatory Framework for ELUP strengthened</w:t>
            </w:r>
          </w:p>
        </w:tc>
        <w:tc>
          <w:tcPr>
            <w:tcW w:w="1276" w:type="dxa"/>
          </w:tcPr>
          <w:p w14:paraId="35FC3053" w14:textId="77777777" w:rsidR="00CE41E0" w:rsidRPr="003F7F6C" w:rsidRDefault="00CE41E0" w:rsidP="00CD63DB">
            <w:pPr>
              <w:spacing w:after="120"/>
              <w:rPr>
                <w:sz w:val="18"/>
                <w:szCs w:val="18"/>
              </w:rPr>
            </w:pPr>
            <w:r w:rsidRPr="003F7F6C">
              <w:rPr>
                <w:sz w:val="18"/>
                <w:szCs w:val="18"/>
              </w:rPr>
              <w:t>OPDS</w:t>
            </w:r>
          </w:p>
          <w:p w14:paraId="26D6B74C" w14:textId="77777777" w:rsidR="00CE41E0" w:rsidRPr="003F7F6C" w:rsidRDefault="00CE41E0" w:rsidP="00CD63DB">
            <w:pPr>
              <w:spacing w:after="120"/>
              <w:rPr>
                <w:sz w:val="18"/>
                <w:szCs w:val="18"/>
              </w:rPr>
            </w:pPr>
            <w:r w:rsidRPr="003F7F6C">
              <w:rPr>
                <w:sz w:val="18"/>
                <w:szCs w:val="18"/>
              </w:rPr>
              <w:t>SAOT</w:t>
            </w:r>
          </w:p>
          <w:p w14:paraId="16429B9B" w14:textId="77777777" w:rsidR="00CE41E0" w:rsidRPr="003F7F6C" w:rsidRDefault="00CE41E0" w:rsidP="00CD63DB">
            <w:pPr>
              <w:spacing w:after="120"/>
              <w:rPr>
                <w:sz w:val="18"/>
                <w:szCs w:val="18"/>
              </w:rPr>
            </w:pPr>
            <w:r w:rsidRPr="003F7F6C">
              <w:rPr>
                <w:sz w:val="18"/>
                <w:szCs w:val="18"/>
              </w:rPr>
              <w:t>Ministry of Environment of Jujuy</w:t>
            </w:r>
          </w:p>
        </w:tc>
        <w:tc>
          <w:tcPr>
            <w:tcW w:w="9740" w:type="dxa"/>
          </w:tcPr>
          <w:p w14:paraId="1458373E" w14:textId="77777777" w:rsidR="00CE41E0" w:rsidRPr="003F7F6C" w:rsidRDefault="00CE41E0" w:rsidP="00CD63DB">
            <w:pPr>
              <w:spacing w:after="120"/>
              <w:rPr>
                <w:color w:val="000000"/>
                <w:sz w:val="18"/>
                <w:szCs w:val="18"/>
                <w:lang w:eastAsia="es-AR"/>
              </w:rPr>
            </w:pPr>
            <w:r w:rsidRPr="003F7F6C">
              <w:rPr>
                <w:b/>
                <w:color w:val="000000"/>
                <w:sz w:val="18"/>
                <w:szCs w:val="18"/>
                <w:lang w:eastAsia="es-AR"/>
              </w:rPr>
              <w:t>1.</w:t>
            </w:r>
            <w:r w:rsidRPr="003F7F6C">
              <w:rPr>
                <w:color w:val="000000"/>
                <w:sz w:val="18"/>
                <w:szCs w:val="18"/>
                <w:lang w:eastAsia="es-AR"/>
              </w:rPr>
              <w:t xml:space="preserve"> Coordinate the participation of provincial government agencies and civil society organizations with a gender and indigenous peoples mandate to incorporate the gender and ethnicity perspectives in formulating the provincial regulatory proposals regarding ELUP by strengthening and harmonizing existing legislation and in ELUP criteria to be applied to existing regulatory instruments: </w:t>
            </w:r>
          </w:p>
          <w:p w14:paraId="174C0644" w14:textId="77777777" w:rsidR="00CE41E0" w:rsidRPr="003F7F6C" w:rsidRDefault="00CE41E0" w:rsidP="00CD63DB">
            <w:pPr>
              <w:spacing w:after="120"/>
              <w:rPr>
                <w:color w:val="000000"/>
                <w:sz w:val="18"/>
                <w:szCs w:val="18"/>
                <w:u w:val="single"/>
                <w:lang w:eastAsia="es-AR"/>
              </w:rPr>
            </w:pPr>
            <w:r w:rsidRPr="003F7F6C">
              <w:rPr>
                <w:color w:val="000000"/>
                <w:sz w:val="18"/>
                <w:szCs w:val="18"/>
                <w:u w:val="single"/>
                <w:lang w:eastAsia="es-AR"/>
              </w:rPr>
              <w:t>Buenos Aires:</w:t>
            </w:r>
          </w:p>
          <w:p w14:paraId="5A990FC8" w14:textId="77777777" w:rsidR="00CE41E0" w:rsidRPr="003F7F6C" w:rsidRDefault="00CE41E0" w:rsidP="00E91275">
            <w:pPr>
              <w:pStyle w:val="ListParagraph"/>
              <w:numPr>
                <w:ilvl w:val="0"/>
                <w:numId w:val="68"/>
              </w:numPr>
              <w:spacing w:after="120"/>
              <w:contextualSpacing w:val="0"/>
              <w:rPr>
                <w:rFonts w:asciiTheme="minorHAnsi" w:hAnsiTheme="minorHAnsi"/>
                <w:color w:val="000000"/>
                <w:sz w:val="18"/>
                <w:szCs w:val="18"/>
                <w:lang w:eastAsia="es-AR"/>
              </w:rPr>
            </w:pPr>
            <w:r w:rsidRPr="003F7F6C">
              <w:rPr>
                <w:rFonts w:asciiTheme="minorHAnsi" w:hAnsiTheme="minorHAnsi"/>
                <w:color w:val="000000"/>
                <w:sz w:val="18"/>
                <w:szCs w:val="18"/>
                <w:lang w:eastAsia="es-AR"/>
              </w:rPr>
              <w:t>The Undersecretariat of Human Rights and the Provincial   Institute for Gender and Sexual Diversity, both under the</w:t>
            </w:r>
            <w:r w:rsidRPr="003F7F6C">
              <w:rPr>
                <w:rFonts w:asciiTheme="minorHAnsi" w:hAnsiTheme="minorHAnsi"/>
                <w:sz w:val="18"/>
                <w:szCs w:val="18"/>
              </w:rPr>
              <w:t xml:space="preserve"> </w:t>
            </w:r>
            <w:r w:rsidRPr="003F7F6C">
              <w:rPr>
                <w:rFonts w:asciiTheme="minorHAnsi" w:hAnsiTheme="minorHAnsi"/>
                <w:color w:val="000000"/>
                <w:sz w:val="18"/>
                <w:szCs w:val="18"/>
                <w:lang w:eastAsia="es-AR"/>
              </w:rPr>
              <w:t>Secretariat for Human Rights of the Province of Buenos Aires.</w:t>
            </w:r>
          </w:p>
          <w:p w14:paraId="3CFF4486" w14:textId="77777777" w:rsidR="00CE41E0" w:rsidRPr="003F7F6C" w:rsidRDefault="00CE41E0" w:rsidP="00E91275">
            <w:pPr>
              <w:pStyle w:val="ListParagraph"/>
              <w:numPr>
                <w:ilvl w:val="0"/>
                <w:numId w:val="68"/>
              </w:numPr>
              <w:spacing w:after="120"/>
              <w:contextualSpacing w:val="0"/>
              <w:rPr>
                <w:rFonts w:asciiTheme="minorHAnsi" w:hAnsiTheme="minorHAnsi"/>
                <w:color w:val="000000"/>
                <w:sz w:val="18"/>
                <w:szCs w:val="18"/>
                <w:lang w:eastAsia="es-AR"/>
              </w:rPr>
            </w:pPr>
            <w:r w:rsidRPr="003F7F6C">
              <w:rPr>
                <w:rFonts w:asciiTheme="minorHAnsi" w:hAnsiTheme="minorHAnsi"/>
                <w:color w:val="000000"/>
                <w:sz w:val="18"/>
                <w:szCs w:val="18"/>
                <w:lang w:eastAsia="es-AR"/>
              </w:rPr>
              <w:t>The Council of Women of the Province of Buenos Aires.</w:t>
            </w:r>
          </w:p>
          <w:p w14:paraId="27F48C7E" w14:textId="77777777" w:rsidR="00CE41E0" w:rsidRPr="003F7F6C" w:rsidRDefault="00CE41E0" w:rsidP="00E91275">
            <w:pPr>
              <w:pStyle w:val="ListParagraph"/>
              <w:numPr>
                <w:ilvl w:val="0"/>
                <w:numId w:val="68"/>
              </w:numPr>
              <w:spacing w:after="120"/>
              <w:contextualSpacing w:val="0"/>
              <w:rPr>
                <w:rFonts w:asciiTheme="minorHAnsi" w:hAnsiTheme="minorHAnsi"/>
                <w:color w:val="000000"/>
                <w:sz w:val="18"/>
                <w:szCs w:val="18"/>
                <w:lang w:eastAsia="es-AR"/>
              </w:rPr>
            </w:pPr>
            <w:r w:rsidRPr="003F7F6C">
              <w:rPr>
                <w:rFonts w:asciiTheme="minorHAnsi" w:hAnsiTheme="minorHAnsi"/>
                <w:color w:val="000000"/>
                <w:sz w:val="18"/>
                <w:szCs w:val="18"/>
                <w:lang w:eastAsia="es-AR"/>
              </w:rPr>
              <w:t>The Provincial Council for Indigenous Affairs (CPAI, in Spanish).</w:t>
            </w:r>
          </w:p>
          <w:p w14:paraId="6BBE8002" w14:textId="77777777" w:rsidR="00CE41E0" w:rsidRPr="003F7F6C" w:rsidRDefault="00CE41E0" w:rsidP="00E91275">
            <w:pPr>
              <w:pStyle w:val="ListParagraph"/>
              <w:numPr>
                <w:ilvl w:val="0"/>
                <w:numId w:val="68"/>
              </w:numPr>
              <w:spacing w:after="120"/>
              <w:contextualSpacing w:val="0"/>
              <w:rPr>
                <w:rFonts w:asciiTheme="minorHAnsi" w:hAnsiTheme="minorHAnsi"/>
                <w:color w:val="000000"/>
                <w:sz w:val="18"/>
                <w:szCs w:val="18"/>
                <w:lang w:eastAsia="es-AR"/>
              </w:rPr>
            </w:pPr>
            <w:r w:rsidRPr="003F7F6C">
              <w:rPr>
                <w:rFonts w:asciiTheme="minorHAnsi" w:hAnsiTheme="minorHAnsi"/>
                <w:color w:val="000000"/>
                <w:sz w:val="18"/>
                <w:szCs w:val="18"/>
                <w:lang w:eastAsia="es-AR"/>
              </w:rPr>
              <w:t>Social Undersecretariat for Land, Urban Planning and Housing</w:t>
            </w:r>
          </w:p>
          <w:p w14:paraId="0641BC73" w14:textId="77777777" w:rsidR="00CE41E0" w:rsidRPr="003F7F6C" w:rsidRDefault="00CE41E0" w:rsidP="00CD63DB">
            <w:pPr>
              <w:spacing w:after="120"/>
              <w:rPr>
                <w:sz w:val="18"/>
                <w:szCs w:val="18"/>
                <w:u w:val="single"/>
              </w:rPr>
            </w:pPr>
            <w:r w:rsidRPr="003F7F6C">
              <w:rPr>
                <w:sz w:val="18"/>
                <w:szCs w:val="18"/>
                <w:u w:val="single"/>
              </w:rPr>
              <w:t>Mendoza:</w:t>
            </w:r>
          </w:p>
          <w:p w14:paraId="22E734A9" w14:textId="77777777" w:rsidR="00CE41E0" w:rsidRPr="003F7F6C" w:rsidRDefault="00CE41E0" w:rsidP="00E91275">
            <w:pPr>
              <w:pStyle w:val="ListParagraph"/>
              <w:numPr>
                <w:ilvl w:val="0"/>
                <w:numId w:val="69"/>
              </w:numPr>
              <w:spacing w:after="120"/>
              <w:contextualSpacing w:val="0"/>
              <w:rPr>
                <w:rFonts w:asciiTheme="minorHAnsi" w:hAnsiTheme="minorHAnsi"/>
                <w:sz w:val="18"/>
                <w:szCs w:val="18"/>
              </w:rPr>
            </w:pPr>
            <w:r w:rsidRPr="003F7F6C">
              <w:rPr>
                <w:rFonts w:asciiTheme="minorHAnsi" w:hAnsiTheme="minorHAnsi"/>
                <w:color w:val="000000"/>
                <w:sz w:val="18"/>
                <w:szCs w:val="18"/>
              </w:rPr>
              <w:t>Directorate of Gender and Diversity which falls under the Undersecretariat of Social Development of the Ministry of Health, Social Development and Sports of the Province of Mendoza</w:t>
            </w:r>
          </w:p>
          <w:p w14:paraId="1ADC09AB" w14:textId="77777777" w:rsidR="00CE41E0" w:rsidRPr="003F7F6C" w:rsidRDefault="00CE41E0" w:rsidP="00E91275">
            <w:pPr>
              <w:pStyle w:val="ListParagraph"/>
              <w:numPr>
                <w:ilvl w:val="0"/>
                <w:numId w:val="69"/>
              </w:numPr>
              <w:spacing w:after="120"/>
              <w:contextualSpacing w:val="0"/>
              <w:rPr>
                <w:rFonts w:asciiTheme="minorHAnsi" w:hAnsiTheme="minorHAnsi"/>
                <w:sz w:val="18"/>
                <w:szCs w:val="18"/>
              </w:rPr>
            </w:pPr>
            <w:r w:rsidRPr="003F7F6C">
              <w:rPr>
                <w:rFonts w:asciiTheme="minorHAnsi" w:hAnsiTheme="minorHAnsi"/>
                <w:color w:val="000000"/>
                <w:sz w:val="18"/>
                <w:szCs w:val="18"/>
              </w:rPr>
              <w:t>Municipal Women Areas of the Municipalities of Malargüe, Luján de Cuyo, Godoy Cruz, Las Heras, Mendoza Capital City, Tunuyán, San Carlos and Tupungato and Maipú, whose pilot sites are directly affected by the project</w:t>
            </w:r>
          </w:p>
          <w:p w14:paraId="066BA989" w14:textId="77777777" w:rsidR="00CE41E0" w:rsidRPr="003F7F6C" w:rsidRDefault="00CE41E0" w:rsidP="00E91275">
            <w:pPr>
              <w:pStyle w:val="ListParagraph"/>
              <w:numPr>
                <w:ilvl w:val="0"/>
                <w:numId w:val="69"/>
              </w:numPr>
              <w:spacing w:after="120"/>
              <w:contextualSpacing w:val="0"/>
              <w:rPr>
                <w:rFonts w:asciiTheme="minorHAnsi" w:hAnsiTheme="minorHAnsi"/>
                <w:sz w:val="18"/>
                <w:szCs w:val="18"/>
              </w:rPr>
            </w:pPr>
            <w:r w:rsidRPr="003F7F6C">
              <w:rPr>
                <w:rFonts w:asciiTheme="minorHAnsi" w:hAnsiTheme="minorHAnsi"/>
                <w:color w:val="000000"/>
                <w:sz w:val="18"/>
                <w:szCs w:val="18"/>
              </w:rPr>
              <w:t>Indigenous Participation Council (Mendoza representation) under the INAI</w:t>
            </w:r>
          </w:p>
          <w:p w14:paraId="6B539A06" w14:textId="77777777" w:rsidR="00CE41E0" w:rsidRPr="003F7F6C" w:rsidRDefault="00CE41E0" w:rsidP="00CD63DB">
            <w:pPr>
              <w:spacing w:after="120"/>
              <w:rPr>
                <w:sz w:val="18"/>
                <w:szCs w:val="18"/>
              </w:rPr>
            </w:pPr>
            <w:r w:rsidRPr="003F7F6C">
              <w:rPr>
                <w:sz w:val="18"/>
                <w:szCs w:val="18"/>
                <w:u w:val="single"/>
              </w:rPr>
              <w:t>Jujuy</w:t>
            </w:r>
            <w:r w:rsidRPr="003F7F6C">
              <w:rPr>
                <w:sz w:val="18"/>
                <w:szCs w:val="18"/>
              </w:rPr>
              <w:t>:</w:t>
            </w:r>
          </w:p>
          <w:p w14:paraId="0148CD4C" w14:textId="77777777" w:rsidR="00CE41E0" w:rsidRPr="003F7F6C" w:rsidRDefault="00CE41E0" w:rsidP="00E91275">
            <w:pPr>
              <w:pStyle w:val="ListParagraph"/>
              <w:numPr>
                <w:ilvl w:val="0"/>
                <w:numId w:val="70"/>
              </w:numPr>
              <w:spacing w:after="120"/>
              <w:contextualSpacing w:val="0"/>
              <w:rPr>
                <w:rFonts w:asciiTheme="minorHAnsi" w:hAnsiTheme="minorHAnsi"/>
                <w:sz w:val="18"/>
                <w:szCs w:val="18"/>
              </w:rPr>
            </w:pPr>
            <w:r w:rsidRPr="003F7F6C">
              <w:rPr>
                <w:rFonts w:asciiTheme="minorHAnsi" w:hAnsiTheme="minorHAnsi"/>
                <w:color w:val="000000"/>
                <w:sz w:val="18"/>
                <w:szCs w:val="18"/>
                <w:lang w:eastAsia="es-AR"/>
              </w:rPr>
              <w:t>Gender Parity Secretariat under the Ministry of Human Development of the Province of Jujuy.</w:t>
            </w:r>
          </w:p>
          <w:p w14:paraId="60F88C7D" w14:textId="77777777" w:rsidR="00CE41E0" w:rsidRPr="003F7F6C" w:rsidRDefault="00CE41E0" w:rsidP="00E91275">
            <w:pPr>
              <w:pStyle w:val="ListParagraph"/>
              <w:numPr>
                <w:ilvl w:val="0"/>
                <w:numId w:val="70"/>
              </w:numPr>
              <w:spacing w:after="120"/>
              <w:contextualSpacing w:val="0"/>
              <w:rPr>
                <w:rFonts w:asciiTheme="minorHAnsi" w:hAnsiTheme="minorHAnsi"/>
                <w:sz w:val="18"/>
                <w:szCs w:val="18"/>
              </w:rPr>
            </w:pPr>
            <w:r w:rsidRPr="003F7F6C">
              <w:rPr>
                <w:rFonts w:asciiTheme="minorHAnsi" w:hAnsiTheme="minorHAnsi"/>
                <w:color w:val="000000"/>
                <w:sz w:val="18"/>
                <w:szCs w:val="18"/>
                <w:lang w:eastAsia="es-AR"/>
              </w:rPr>
              <w:t>Secretariat of Indigenous Peoples and the Indigenous Participation Council (Jujuy representatives) under the INAI</w:t>
            </w:r>
          </w:p>
          <w:p w14:paraId="3A3273E0" w14:textId="77777777" w:rsidR="00CE41E0" w:rsidRPr="003F7F6C" w:rsidRDefault="00CE41E0" w:rsidP="00CD63DB">
            <w:pPr>
              <w:spacing w:after="120"/>
              <w:rPr>
                <w:sz w:val="18"/>
                <w:szCs w:val="18"/>
              </w:rPr>
            </w:pPr>
            <w:r w:rsidRPr="003F7F6C">
              <w:rPr>
                <w:b/>
                <w:color w:val="000000"/>
                <w:sz w:val="18"/>
                <w:szCs w:val="18"/>
                <w:lang w:eastAsia="es-AR"/>
              </w:rPr>
              <w:t>2.</w:t>
            </w:r>
            <w:r w:rsidRPr="003F7F6C">
              <w:rPr>
                <w:color w:val="000000"/>
                <w:sz w:val="18"/>
                <w:szCs w:val="18"/>
                <w:lang w:eastAsia="es-AR"/>
              </w:rPr>
              <w:t xml:space="preserve"> </w:t>
            </w:r>
            <w:r w:rsidRPr="003F7F6C">
              <w:rPr>
                <w:color w:val="000000"/>
                <w:sz w:val="18"/>
                <w:szCs w:val="18"/>
              </w:rPr>
              <w:t>Explicitly incorporate the ethnicity and gender perspective in drafting the proposals for provincial regulations and standards on ELUP ensuring parity between indigenous and non-indigenous men and women in the lawmaking process and in the development and content of</w:t>
            </w:r>
            <w:r w:rsidRPr="003F7F6C">
              <w:rPr>
                <w:sz w:val="18"/>
                <w:szCs w:val="18"/>
              </w:rPr>
              <w:t xml:space="preserve"> specific regulations to put into practice the mandates set forth within the general regulatory framework at the provincial level and the drafting of protocols, methodological guides, strategic plans, economic, tax, and/or financial instruments, among others </w:t>
            </w:r>
          </w:p>
        </w:tc>
      </w:tr>
      <w:tr w:rsidR="00CE41E0" w:rsidRPr="003F7F6C" w14:paraId="6F0FF2E0" w14:textId="77777777" w:rsidTr="00CD63DB">
        <w:tc>
          <w:tcPr>
            <w:tcW w:w="1980" w:type="dxa"/>
          </w:tcPr>
          <w:p w14:paraId="1923FE83" w14:textId="77777777" w:rsidR="00CE41E0" w:rsidRPr="003F7F6C" w:rsidRDefault="00CE41E0" w:rsidP="00CD63DB">
            <w:pPr>
              <w:spacing w:after="120"/>
              <w:rPr>
                <w:rFonts w:eastAsia="Times New Roman" w:cs="Calibri"/>
                <w:bCs/>
                <w:i/>
                <w:sz w:val="18"/>
                <w:szCs w:val="18"/>
                <w:lang w:eastAsia="es-ES_tradnl"/>
              </w:rPr>
            </w:pPr>
            <w:r w:rsidRPr="003F7F6C">
              <w:rPr>
                <w:rFonts w:eastAsia="Times New Roman" w:cs="Calibri"/>
                <w:bCs/>
                <w:i/>
                <w:sz w:val="18"/>
                <w:szCs w:val="18"/>
                <w:lang w:eastAsia="es-ES_tradnl"/>
              </w:rPr>
              <w:t>Output 2.2 Provincial Governance Framework for participatory ELUP &amp; sector consensus building</w:t>
            </w:r>
          </w:p>
        </w:tc>
        <w:tc>
          <w:tcPr>
            <w:tcW w:w="1276" w:type="dxa"/>
          </w:tcPr>
          <w:p w14:paraId="14E7B239" w14:textId="77777777" w:rsidR="00CE41E0" w:rsidRPr="003F7F6C" w:rsidRDefault="00CE41E0" w:rsidP="00CD63DB">
            <w:pPr>
              <w:spacing w:after="120"/>
              <w:rPr>
                <w:sz w:val="18"/>
                <w:szCs w:val="18"/>
              </w:rPr>
            </w:pPr>
            <w:r w:rsidRPr="003F7F6C">
              <w:rPr>
                <w:sz w:val="18"/>
                <w:szCs w:val="18"/>
              </w:rPr>
              <w:t>OPDS</w:t>
            </w:r>
          </w:p>
          <w:p w14:paraId="17ACE4E4" w14:textId="77777777" w:rsidR="00CE41E0" w:rsidRPr="003F7F6C" w:rsidRDefault="00CE41E0" w:rsidP="00CD63DB">
            <w:pPr>
              <w:spacing w:after="120"/>
              <w:rPr>
                <w:sz w:val="18"/>
                <w:szCs w:val="18"/>
              </w:rPr>
            </w:pPr>
            <w:r w:rsidRPr="003F7F6C">
              <w:rPr>
                <w:sz w:val="18"/>
                <w:szCs w:val="18"/>
              </w:rPr>
              <w:t>SAOT</w:t>
            </w:r>
          </w:p>
          <w:p w14:paraId="5ED5AA6F" w14:textId="77777777" w:rsidR="00CE41E0" w:rsidRPr="003F7F6C" w:rsidRDefault="00CE41E0" w:rsidP="00CD63DB">
            <w:pPr>
              <w:spacing w:after="120"/>
              <w:rPr>
                <w:sz w:val="18"/>
                <w:szCs w:val="18"/>
              </w:rPr>
            </w:pPr>
            <w:r w:rsidRPr="003F7F6C">
              <w:rPr>
                <w:sz w:val="18"/>
                <w:szCs w:val="18"/>
              </w:rPr>
              <w:t>Ministry of Environment of Jujuy</w:t>
            </w:r>
          </w:p>
        </w:tc>
        <w:tc>
          <w:tcPr>
            <w:tcW w:w="9740" w:type="dxa"/>
          </w:tcPr>
          <w:p w14:paraId="45F85996" w14:textId="77777777" w:rsidR="00CE41E0" w:rsidRPr="003F7F6C" w:rsidRDefault="00CE41E0" w:rsidP="00CD63DB">
            <w:pPr>
              <w:spacing w:after="120"/>
              <w:rPr>
                <w:color w:val="000000"/>
                <w:sz w:val="18"/>
                <w:szCs w:val="18"/>
              </w:rPr>
            </w:pPr>
            <w:r w:rsidRPr="003F7F6C">
              <w:rPr>
                <w:color w:val="000000"/>
                <w:sz w:val="18"/>
                <w:szCs w:val="18"/>
              </w:rPr>
              <w:t>1. Ensure the engagement of the above-mentioned institutions with gender mandates in the development and implementation of the provincial multi-stakeholder dialogue and coordination spaces in each province and the sustainable beef platform in Buenos Aires.</w:t>
            </w:r>
          </w:p>
          <w:p w14:paraId="6391B398" w14:textId="77777777" w:rsidR="00CE41E0" w:rsidRPr="003F7F6C" w:rsidRDefault="00CE41E0" w:rsidP="00CD63DB">
            <w:pPr>
              <w:spacing w:after="120"/>
              <w:rPr>
                <w:sz w:val="18"/>
                <w:szCs w:val="18"/>
              </w:rPr>
            </w:pPr>
            <w:r w:rsidRPr="003F7F6C">
              <w:rPr>
                <w:sz w:val="18"/>
                <w:szCs w:val="18"/>
              </w:rPr>
              <w:t xml:space="preserve">2. Update the stakeholder mapping </w:t>
            </w:r>
            <w:r w:rsidRPr="003F7F6C">
              <w:rPr>
                <w:color w:val="000000"/>
                <w:sz w:val="18"/>
                <w:szCs w:val="18"/>
              </w:rPr>
              <w:t xml:space="preserve">with gender-sensitive forms of interaction (civil society organizations, cooperatives, women’s collaborative spaces, etc.) at the local and provincial level who may be </w:t>
            </w:r>
            <w:r w:rsidRPr="003F7F6C">
              <w:rPr>
                <w:sz w:val="18"/>
                <w:szCs w:val="18"/>
              </w:rPr>
              <w:t>willing to participate</w:t>
            </w:r>
          </w:p>
          <w:p w14:paraId="67A3C1D5" w14:textId="77777777" w:rsidR="00CE41E0" w:rsidRPr="003F7F6C" w:rsidRDefault="00CE41E0" w:rsidP="00CD63DB">
            <w:pPr>
              <w:spacing w:after="120"/>
              <w:rPr>
                <w:sz w:val="18"/>
                <w:szCs w:val="18"/>
              </w:rPr>
            </w:pPr>
            <w:r w:rsidRPr="003F7F6C">
              <w:rPr>
                <w:color w:val="000000"/>
                <w:sz w:val="18"/>
                <w:szCs w:val="18"/>
              </w:rPr>
              <w:t>3. Promote women’s engagement and capacity development to increase participation in dialogue spaces.</w:t>
            </w:r>
          </w:p>
          <w:p w14:paraId="104FECA3" w14:textId="77777777" w:rsidR="00CE41E0" w:rsidRPr="003F7F6C" w:rsidRDefault="00CE41E0" w:rsidP="00CD63DB">
            <w:pPr>
              <w:spacing w:after="120"/>
              <w:rPr>
                <w:color w:val="000000"/>
                <w:sz w:val="18"/>
                <w:szCs w:val="18"/>
              </w:rPr>
            </w:pPr>
            <w:r w:rsidRPr="003F7F6C">
              <w:rPr>
                <w:color w:val="000000"/>
                <w:sz w:val="18"/>
                <w:szCs w:val="18"/>
              </w:rPr>
              <w:t>4. Ensure space for open dialogue placing special focus on the gender-sensitive forms of interaction of the stakeholders which actively acknowledge the concerns of all legitimate stakeholders, men and women, and considering their interests in decision-making and operations.</w:t>
            </w:r>
          </w:p>
          <w:p w14:paraId="6535DE0A" w14:textId="77777777" w:rsidR="00CE41E0" w:rsidRPr="003F7F6C" w:rsidRDefault="00CE41E0" w:rsidP="00CD63DB">
            <w:pPr>
              <w:spacing w:after="120"/>
              <w:rPr>
                <w:color w:val="000000"/>
                <w:sz w:val="18"/>
                <w:szCs w:val="18"/>
              </w:rPr>
            </w:pPr>
            <w:r w:rsidRPr="003F7F6C">
              <w:rPr>
                <w:b/>
                <w:color w:val="000000"/>
                <w:sz w:val="18"/>
                <w:szCs w:val="18"/>
              </w:rPr>
              <w:t>5.</w:t>
            </w:r>
            <w:r w:rsidRPr="003F7F6C">
              <w:rPr>
                <w:color w:val="000000"/>
                <w:sz w:val="18"/>
                <w:szCs w:val="18"/>
              </w:rPr>
              <w:t xml:space="preserve"> Develop training and/or awareness raising programs on gender and mainstreaming of the gender approach with the participation of the provincial institutions with gender mandates; targeting the technical teams of the provincial institutions responsible for drafting</w:t>
            </w:r>
            <w:r w:rsidRPr="003F7F6C">
              <w:rPr>
                <w:sz w:val="18"/>
                <w:szCs w:val="18"/>
              </w:rPr>
              <w:t xml:space="preserve"> specific regulations to put into practice the mandates set forth within the general regulatory frameworks at the provincial level and the drafting of protocols, methodological guides, strategic plans, economic, tax, and/or financial instruments, among others.</w:t>
            </w:r>
          </w:p>
          <w:p w14:paraId="5E9401A5" w14:textId="77777777" w:rsidR="00CE41E0" w:rsidRPr="003F7F6C" w:rsidRDefault="00CE41E0" w:rsidP="00CD63DB">
            <w:pPr>
              <w:spacing w:after="120"/>
              <w:rPr>
                <w:sz w:val="18"/>
                <w:szCs w:val="18"/>
              </w:rPr>
            </w:pPr>
            <w:r w:rsidRPr="003F7F6C">
              <w:rPr>
                <w:b/>
                <w:color w:val="000000"/>
                <w:sz w:val="18"/>
                <w:szCs w:val="18"/>
              </w:rPr>
              <w:t>6.</w:t>
            </w:r>
            <w:r w:rsidRPr="003F7F6C">
              <w:rPr>
                <w:color w:val="000000"/>
                <w:sz w:val="18"/>
                <w:szCs w:val="18"/>
              </w:rPr>
              <w:t xml:space="preserve"> Develop training and/or awareness raising programs on multi-cultural issues given by the National Indigenous Peoples Institute (INAI) and targeted at the participating institutions responsible for drafting</w:t>
            </w:r>
            <w:r w:rsidRPr="003F7F6C">
              <w:rPr>
                <w:sz w:val="18"/>
                <w:szCs w:val="18"/>
              </w:rPr>
              <w:t xml:space="preserve"> specific regulations to put into practice the mandates set forth within the general regulatory framework at the provincial level and the drafting of protocols, methodological guides, strategic plans, economic, tax, and/or financial instruments, among others.</w:t>
            </w:r>
          </w:p>
        </w:tc>
      </w:tr>
      <w:tr w:rsidR="00CE41E0" w:rsidRPr="003F7F6C" w14:paraId="55564397" w14:textId="77777777" w:rsidTr="00CD63DB">
        <w:tc>
          <w:tcPr>
            <w:tcW w:w="1980" w:type="dxa"/>
          </w:tcPr>
          <w:p w14:paraId="51E576B5" w14:textId="77777777" w:rsidR="00CE41E0" w:rsidRPr="003F7F6C" w:rsidRDefault="00CE41E0" w:rsidP="00CD63DB">
            <w:pPr>
              <w:spacing w:after="120"/>
              <w:rPr>
                <w:sz w:val="18"/>
                <w:szCs w:val="18"/>
              </w:rPr>
            </w:pPr>
            <w:r w:rsidRPr="003F7F6C">
              <w:rPr>
                <w:rFonts w:eastAsia="Times New Roman" w:cs="Calibri"/>
                <w:bCs/>
                <w:i/>
                <w:sz w:val="18"/>
                <w:szCs w:val="18"/>
                <w:lang w:eastAsia="es-ES_tradnl"/>
              </w:rPr>
              <w:t>Output 2.3. Set of instruments validated in pilot landscapes for defining and implementing ELUP</w:t>
            </w:r>
          </w:p>
        </w:tc>
        <w:tc>
          <w:tcPr>
            <w:tcW w:w="1276" w:type="dxa"/>
          </w:tcPr>
          <w:p w14:paraId="6B07D6FE" w14:textId="77777777" w:rsidR="00CE41E0" w:rsidRPr="003F7F6C" w:rsidRDefault="00CE41E0" w:rsidP="00CD63DB">
            <w:pPr>
              <w:spacing w:after="120"/>
              <w:rPr>
                <w:sz w:val="18"/>
                <w:szCs w:val="18"/>
              </w:rPr>
            </w:pPr>
            <w:r w:rsidRPr="003F7F6C">
              <w:rPr>
                <w:sz w:val="18"/>
                <w:szCs w:val="18"/>
              </w:rPr>
              <w:t>OPDS</w:t>
            </w:r>
          </w:p>
          <w:p w14:paraId="26CFB4ED" w14:textId="77777777" w:rsidR="00CE41E0" w:rsidRPr="003F7F6C" w:rsidRDefault="00CE41E0" w:rsidP="00CD63DB">
            <w:pPr>
              <w:spacing w:after="120"/>
              <w:rPr>
                <w:sz w:val="18"/>
                <w:szCs w:val="18"/>
              </w:rPr>
            </w:pPr>
            <w:r w:rsidRPr="003F7F6C">
              <w:rPr>
                <w:sz w:val="18"/>
                <w:szCs w:val="18"/>
              </w:rPr>
              <w:t>SAOT</w:t>
            </w:r>
          </w:p>
          <w:p w14:paraId="095CBC3F" w14:textId="77777777" w:rsidR="00CE41E0" w:rsidRPr="003F7F6C" w:rsidRDefault="00CE41E0" w:rsidP="00CD63DB">
            <w:pPr>
              <w:spacing w:after="120"/>
              <w:rPr>
                <w:sz w:val="18"/>
                <w:szCs w:val="18"/>
              </w:rPr>
            </w:pPr>
            <w:r w:rsidRPr="003F7F6C">
              <w:rPr>
                <w:sz w:val="18"/>
                <w:szCs w:val="18"/>
              </w:rPr>
              <w:t>Ministry of Environment of Jujuy</w:t>
            </w:r>
          </w:p>
        </w:tc>
        <w:tc>
          <w:tcPr>
            <w:tcW w:w="9740" w:type="dxa"/>
          </w:tcPr>
          <w:p w14:paraId="45AE6FB0" w14:textId="77777777" w:rsidR="00CE41E0" w:rsidRPr="003F7F6C" w:rsidRDefault="00CE41E0" w:rsidP="00CD63DB">
            <w:pPr>
              <w:spacing w:after="120"/>
              <w:rPr>
                <w:sz w:val="18"/>
                <w:szCs w:val="18"/>
              </w:rPr>
            </w:pPr>
            <w:r w:rsidRPr="003F7F6C">
              <w:rPr>
                <w:b/>
                <w:color w:val="000000"/>
                <w:sz w:val="18"/>
                <w:szCs w:val="18"/>
                <w:lang w:eastAsia="es-AR"/>
              </w:rPr>
              <w:t xml:space="preserve">1. </w:t>
            </w:r>
            <w:r w:rsidRPr="003F7F6C">
              <w:rPr>
                <w:rFonts w:eastAsia="Times New Roman"/>
                <w:color w:val="000000"/>
                <w:sz w:val="18"/>
                <w:szCs w:val="18"/>
                <w:lang w:eastAsia="es-AR"/>
              </w:rPr>
              <w:t xml:space="preserve">Mainstream the gender and ethnicity approach into the analysis and design of </w:t>
            </w:r>
            <w:r w:rsidRPr="003F7F6C">
              <w:rPr>
                <w:sz w:val="18"/>
                <w:szCs w:val="18"/>
              </w:rPr>
              <w:t>ES valuation mechanisms so as to value the different uses and management of environmental services by men and women.</w:t>
            </w:r>
          </w:p>
          <w:p w14:paraId="4FFF929F" w14:textId="77777777" w:rsidR="00CE41E0" w:rsidRPr="003F7F6C" w:rsidRDefault="00CE41E0" w:rsidP="00CD63DB">
            <w:pPr>
              <w:spacing w:after="120"/>
              <w:rPr>
                <w:color w:val="000000"/>
                <w:sz w:val="18"/>
                <w:szCs w:val="18"/>
                <w:lang w:eastAsia="es-AR"/>
              </w:rPr>
            </w:pPr>
            <w:r w:rsidRPr="003F7F6C">
              <w:rPr>
                <w:color w:val="000000"/>
                <w:sz w:val="18"/>
                <w:szCs w:val="18"/>
                <w:lang w:eastAsia="es-AR"/>
              </w:rPr>
              <w:t>2. Mainstream the gender approach into the design of compensation schemes in order to boost women’s economic autonomy by creating positive economic incentives that broaden their employment opportunities and production activities (by individuals or organizations).</w:t>
            </w:r>
          </w:p>
          <w:p w14:paraId="1AA8B5E1" w14:textId="77777777" w:rsidR="00CE41E0" w:rsidRPr="003F7F6C" w:rsidRDefault="00CE41E0" w:rsidP="00CD63DB">
            <w:pPr>
              <w:spacing w:after="120"/>
              <w:rPr>
                <w:color w:val="000000"/>
                <w:sz w:val="18"/>
                <w:szCs w:val="18"/>
                <w:lang w:eastAsia="es-AR"/>
              </w:rPr>
            </w:pPr>
            <w:r w:rsidRPr="003F7F6C">
              <w:rPr>
                <w:rFonts w:eastAsia="Times New Roman"/>
                <w:color w:val="000000"/>
                <w:sz w:val="18"/>
                <w:szCs w:val="18"/>
                <w:lang w:eastAsia="es-AR"/>
              </w:rPr>
              <w:t xml:space="preserve">3. Mainstream the gender and ethnicity approach into the establishment of </w:t>
            </w:r>
            <w:r w:rsidRPr="003F7F6C">
              <w:rPr>
                <w:sz w:val="18"/>
                <w:szCs w:val="18"/>
              </w:rPr>
              <w:t>comprehensive socioeconomic and environmental strategies intended for the conservation of biodiversity, soils and landscapes</w:t>
            </w:r>
            <w:r w:rsidRPr="003F7F6C">
              <w:rPr>
                <w:rFonts w:eastAsia="Times New Roman"/>
                <w:color w:val="000000"/>
                <w:sz w:val="18"/>
                <w:szCs w:val="18"/>
                <w:lang w:eastAsia="es-AR"/>
              </w:rPr>
              <w:t xml:space="preserve"> in order to design specific strategies to promote</w:t>
            </w:r>
            <w:r w:rsidRPr="003F7F6C">
              <w:rPr>
                <w:sz w:val="18"/>
                <w:szCs w:val="18"/>
              </w:rPr>
              <w:t xml:space="preserve"> the economic empowerment of women (indigenous and non-indigenous).</w:t>
            </w:r>
          </w:p>
        </w:tc>
      </w:tr>
      <w:tr w:rsidR="00CE41E0" w:rsidRPr="003F7F6C" w14:paraId="37854DB2" w14:textId="77777777" w:rsidTr="00CD63DB">
        <w:tc>
          <w:tcPr>
            <w:tcW w:w="1980" w:type="dxa"/>
          </w:tcPr>
          <w:p w14:paraId="696BE34D" w14:textId="77777777" w:rsidR="00CE41E0" w:rsidRPr="003F7F6C" w:rsidRDefault="00CE41E0" w:rsidP="00CD63DB">
            <w:pPr>
              <w:pStyle w:val="ListParagraph"/>
              <w:tabs>
                <w:tab w:val="left" w:pos="426"/>
              </w:tabs>
              <w:spacing w:after="120"/>
              <w:ind w:left="0"/>
              <w:contextualSpacing w:val="0"/>
              <w:rPr>
                <w:rFonts w:asciiTheme="minorHAnsi" w:hAnsiTheme="minorHAnsi" w:cs="Calibri"/>
                <w:bCs/>
                <w:sz w:val="18"/>
                <w:szCs w:val="18"/>
              </w:rPr>
            </w:pPr>
            <w:r w:rsidRPr="003F7F6C">
              <w:rPr>
                <w:rFonts w:asciiTheme="minorHAnsi" w:eastAsia="Times New Roman" w:hAnsiTheme="minorHAnsi" w:cs="Calibri"/>
                <w:bCs/>
                <w:i/>
                <w:sz w:val="18"/>
                <w:szCs w:val="18"/>
                <w:lang w:eastAsia="es-ES_tradnl"/>
              </w:rPr>
              <w:t xml:space="preserve">Output 2.4 SLM and biodiversity-friendly production practices validated for different ELUP land use zones </w:t>
            </w:r>
          </w:p>
        </w:tc>
        <w:tc>
          <w:tcPr>
            <w:tcW w:w="1276" w:type="dxa"/>
          </w:tcPr>
          <w:p w14:paraId="6AFBECF1" w14:textId="77777777" w:rsidR="00CE41E0" w:rsidRPr="003F7F6C" w:rsidRDefault="00CE41E0" w:rsidP="00CD63DB">
            <w:pPr>
              <w:spacing w:after="120"/>
              <w:rPr>
                <w:sz w:val="18"/>
                <w:szCs w:val="18"/>
              </w:rPr>
            </w:pPr>
            <w:r w:rsidRPr="003F7F6C">
              <w:rPr>
                <w:sz w:val="18"/>
                <w:szCs w:val="18"/>
              </w:rPr>
              <w:t>OPDS</w:t>
            </w:r>
          </w:p>
          <w:p w14:paraId="5DBDCFF0" w14:textId="77777777" w:rsidR="00CE41E0" w:rsidRPr="003F7F6C" w:rsidRDefault="00CE41E0" w:rsidP="00CD63DB">
            <w:pPr>
              <w:spacing w:after="120"/>
              <w:rPr>
                <w:sz w:val="18"/>
                <w:szCs w:val="18"/>
              </w:rPr>
            </w:pPr>
            <w:r w:rsidRPr="003F7F6C">
              <w:rPr>
                <w:sz w:val="18"/>
                <w:szCs w:val="18"/>
              </w:rPr>
              <w:t>SAOT</w:t>
            </w:r>
          </w:p>
          <w:p w14:paraId="55DF03BA" w14:textId="77777777" w:rsidR="00CE41E0" w:rsidRPr="003F7F6C" w:rsidRDefault="00CE41E0" w:rsidP="00CD63DB">
            <w:pPr>
              <w:spacing w:after="120"/>
              <w:rPr>
                <w:sz w:val="18"/>
                <w:szCs w:val="18"/>
              </w:rPr>
            </w:pPr>
            <w:r w:rsidRPr="003F7F6C">
              <w:rPr>
                <w:sz w:val="18"/>
                <w:szCs w:val="18"/>
              </w:rPr>
              <w:t>Ministry of Environment of Jujuy</w:t>
            </w:r>
          </w:p>
        </w:tc>
        <w:tc>
          <w:tcPr>
            <w:tcW w:w="9740" w:type="dxa"/>
          </w:tcPr>
          <w:p w14:paraId="679ED2BB" w14:textId="77777777" w:rsidR="00CE41E0" w:rsidRPr="003F7F6C" w:rsidRDefault="00CE41E0" w:rsidP="00CD63DB">
            <w:pPr>
              <w:spacing w:after="120"/>
              <w:rPr>
                <w:rFonts w:eastAsia="Calibri"/>
                <w:sz w:val="18"/>
                <w:szCs w:val="18"/>
              </w:rPr>
            </w:pPr>
            <w:r w:rsidRPr="003F7F6C">
              <w:rPr>
                <w:rFonts w:eastAsia="Calibri"/>
                <w:b/>
                <w:sz w:val="18"/>
                <w:szCs w:val="18"/>
              </w:rPr>
              <w:t>1.</w:t>
            </w:r>
            <w:r w:rsidRPr="003F7F6C">
              <w:rPr>
                <w:rFonts w:eastAsia="Calibri"/>
                <w:sz w:val="18"/>
                <w:szCs w:val="18"/>
              </w:rPr>
              <w:t xml:space="preserve"> Establish dialogue and consultation mechanisms amongst the provincial environmental authorities and gender and indigenous peoples authorities to: </w:t>
            </w:r>
          </w:p>
          <w:p w14:paraId="530739CE" w14:textId="77777777" w:rsidR="00CE41E0" w:rsidRPr="003F7F6C" w:rsidRDefault="00CE41E0" w:rsidP="00E91275">
            <w:pPr>
              <w:pStyle w:val="ListParagraph"/>
              <w:numPr>
                <w:ilvl w:val="0"/>
                <w:numId w:val="71"/>
              </w:numPr>
              <w:spacing w:after="120"/>
              <w:contextualSpacing w:val="0"/>
              <w:rPr>
                <w:rFonts w:asciiTheme="minorHAnsi" w:hAnsiTheme="minorHAnsi"/>
                <w:sz w:val="18"/>
                <w:szCs w:val="18"/>
              </w:rPr>
            </w:pPr>
            <w:r w:rsidRPr="003F7F6C">
              <w:rPr>
                <w:rFonts w:asciiTheme="minorHAnsi" w:eastAsia="Calibri" w:hAnsiTheme="minorHAnsi"/>
                <w:sz w:val="18"/>
                <w:szCs w:val="18"/>
              </w:rPr>
              <w:t xml:space="preserve">Gather information on the relevant stakeholders in each target landscape, paying special attention to </w:t>
            </w:r>
            <w:r w:rsidRPr="003F7F6C">
              <w:rPr>
                <w:rFonts w:asciiTheme="minorHAnsi" w:hAnsiTheme="minorHAnsi"/>
                <w:sz w:val="18"/>
                <w:szCs w:val="18"/>
              </w:rPr>
              <w:t>indigenous communities and women’s organizations of the region.</w:t>
            </w:r>
          </w:p>
          <w:p w14:paraId="574186ED" w14:textId="77777777" w:rsidR="00CE41E0" w:rsidRPr="003F7F6C" w:rsidRDefault="00CE41E0" w:rsidP="00E91275">
            <w:pPr>
              <w:pStyle w:val="ListParagraph"/>
              <w:numPr>
                <w:ilvl w:val="0"/>
                <w:numId w:val="71"/>
              </w:numPr>
              <w:spacing w:after="120"/>
              <w:contextualSpacing w:val="0"/>
              <w:rPr>
                <w:rFonts w:asciiTheme="minorHAnsi" w:hAnsiTheme="minorHAnsi"/>
                <w:sz w:val="18"/>
                <w:szCs w:val="18"/>
              </w:rPr>
            </w:pPr>
            <w:r w:rsidRPr="003F7F6C">
              <w:rPr>
                <w:rFonts w:asciiTheme="minorHAnsi" w:eastAsia="Calibri" w:hAnsiTheme="minorHAnsi"/>
                <w:sz w:val="18"/>
                <w:szCs w:val="18"/>
              </w:rPr>
              <w:t>Gather information disaggregated by sex and ethnicity</w:t>
            </w:r>
          </w:p>
          <w:p w14:paraId="07E20BF1" w14:textId="77777777" w:rsidR="00CE41E0" w:rsidRPr="003F7F6C" w:rsidRDefault="00CE41E0" w:rsidP="00E91275">
            <w:pPr>
              <w:pStyle w:val="ListParagraph"/>
              <w:numPr>
                <w:ilvl w:val="0"/>
                <w:numId w:val="71"/>
              </w:numPr>
              <w:spacing w:after="120"/>
              <w:contextualSpacing w:val="0"/>
              <w:rPr>
                <w:rFonts w:asciiTheme="minorHAnsi" w:hAnsiTheme="minorHAnsi"/>
                <w:sz w:val="18"/>
                <w:szCs w:val="18"/>
              </w:rPr>
            </w:pPr>
            <w:r w:rsidRPr="003F7F6C">
              <w:rPr>
                <w:rFonts w:asciiTheme="minorHAnsi" w:eastAsia="Calibri" w:hAnsiTheme="minorHAnsi"/>
                <w:sz w:val="18"/>
                <w:szCs w:val="18"/>
              </w:rPr>
              <w:t xml:space="preserve">Identify </w:t>
            </w:r>
            <w:r w:rsidRPr="003F7F6C">
              <w:rPr>
                <w:rFonts w:asciiTheme="minorHAnsi" w:hAnsiTheme="minorHAnsi"/>
                <w:sz w:val="18"/>
                <w:szCs w:val="18"/>
              </w:rPr>
              <w:t xml:space="preserve">the main economic activities </w:t>
            </w:r>
            <w:r w:rsidRPr="003F7F6C">
              <w:rPr>
                <w:rFonts w:asciiTheme="minorHAnsi" w:eastAsia="Calibri" w:hAnsiTheme="minorHAnsi"/>
                <w:sz w:val="18"/>
                <w:szCs w:val="18"/>
              </w:rPr>
              <w:t>mainstreaming the gender and ethnicity approach</w:t>
            </w:r>
            <w:r w:rsidRPr="003F7F6C">
              <w:rPr>
                <w:rFonts w:asciiTheme="minorHAnsi" w:hAnsiTheme="minorHAnsi"/>
                <w:sz w:val="18"/>
                <w:szCs w:val="18"/>
              </w:rPr>
              <w:t xml:space="preserve"> (i.e., percentage of men and women, indigenous and non-indigenous, taking part in economic activities, by type of activity).</w:t>
            </w:r>
          </w:p>
          <w:p w14:paraId="05F0C7DD" w14:textId="77777777" w:rsidR="00CE41E0" w:rsidRPr="003F7F6C" w:rsidRDefault="00CE41E0" w:rsidP="00E91275">
            <w:pPr>
              <w:pStyle w:val="ListParagraph"/>
              <w:numPr>
                <w:ilvl w:val="0"/>
                <w:numId w:val="71"/>
              </w:numPr>
              <w:spacing w:after="120"/>
              <w:contextualSpacing w:val="0"/>
              <w:rPr>
                <w:rFonts w:asciiTheme="minorHAnsi" w:hAnsiTheme="minorHAnsi"/>
                <w:sz w:val="18"/>
                <w:szCs w:val="18"/>
              </w:rPr>
            </w:pPr>
            <w:r w:rsidRPr="003F7F6C">
              <w:rPr>
                <w:rFonts w:asciiTheme="minorHAnsi" w:eastAsia="Times New Roman" w:hAnsiTheme="minorHAnsi"/>
                <w:color w:val="000000"/>
                <w:sz w:val="18"/>
                <w:szCs w:val="18"/>
                <w:lang w:eastAsia="es-AR"/>
              </w:rPr>
              <w:t xml:space="preserve">Identify practices in which women’s participation </w:t>
            </w:r>
            <w:r w:rsidRPr="003F7F6C">
              <w:rPr>
                <w:rFonts w:asciiTheme="minorHAnsi" w:hAnsiTheme="minorHAnsi"/>
                <w:sz w:val="18"/>
                <w:szCs w:val="18"/>
              </w:rPr>
              <w:t>(indigenous and non-indigenous) represents an added value</w:t>
            </w:r>
          </w:p>
          <w:p w14:paraId="01301C51" w14:textId="77777777" w:rsidR="00CE41E0" w:rsidRPr="003F7F6C" w:rsidRDefault="00CE41E0" w:rsidP="00CD63DB">
            <w:pPr>
              <w:spacing w:after="120"/>
              <w:rPr>
                <w:sz w:val="18"/>
                <w:szCs w:val="18"/>
              </w:rPr>
            </w:pPr>
            <w:r w:rsidRPr="003F7F6C">
              <w:rPr>
                <w:rFonts w:eastAsia="Times New Roman"/>
                <w:color w:val="000000"/>
                <w:sz w:val="18"/>
                <w:szCs w:val="18"/>
                <w:lang w:eastAsia="es-AR"/>
              </w:rPr>
              <w:t>2. Mainstream the gender and ethnicity approach into the development and implementation of</w:t>
            </w:r>
            <w:r w:rsidRPr="003F7F6C">
              <w:rPr>
                <w:sz w:val="18"/>
                <w:szCs w:val="18"/>
              </w:rPr>
              <w:t xml:space="preserve"> specific environmentally-friendly and sustainable practices in each target landscape.</w:t>
            </w:r>
          </w:p>
          <w:p w14:paraId="2DBAF74A" w14:textId="77777777" w:rsidR="00CE41E0" w:rsidRPr="003F7F6C" w:rsidRDefault="00CE41E0" w:rsidP="00CD63DB">
            <w:pPr>
              <w:spacing w:after="120"/>
              <w:rPr>
                <w:rFonts w:eastAsia="Calibri"/>
                <w:sz w:val="18"/>
                <w:szCs w:val="18"/>
              </w:rPr>
            </w:pPr>
            <w:r w:rsidRPr="003F7F6C">
              <w:rPr>
                <w:rFonts w:cs="Calibri"/>
                <w:sz w:val="18"/>
                <w:szCs w:val="18"/>
                <w:lang w:eastAsia="es-EC"/>
              </w:rPr>
              <w:t>3. When developing technical assistance and training consider the work schedules of producers and their families, and communities, for minimum interference with the daily chores of men and women in order to ensure their participation in the activities organized by the project.</w:t>
            </w:r>
          </w:p>
          <w:p w14:paraId="78AD9DA2" w14:textId="77777777" w:rsidR="00CE41E0" w:rsidRPr="003F7F6C" w:rsidRDefault="00CE41E0" w:rsidP="00CD63DB">
            <w:pPr>
              <w:spacing w:after="120"/>
              <w:rPr>
                <w:sz w:val="18"/>
                <w:szCs w:val="18"/>
              </w:rPr>
            </w:pPr>
            <w:r w:rsidRPr="003F7F6C">
              <w:rPr>
                <w:rFonts w:cs="Calibri"/>
                <w:sz w:val="18"/>
                <w:szCs w:val="18"/>
                <w:lang w:eastAsia="es-EC"/>
              </w:rPr>
              <w:t xml:space="preserve">4. Develop specific training targeting </w:t>
            </w:r>
            <w:r w:rsidRPr="003F7F6C">
              <w:rPr>
                <w:rFonts w:cs="Calibri"/>
                <w:sz w:val="18"/>
                <w:szCs w:val="18"/>
              </w:rPr>
              <w:t xml:space="preserve">women beneficiaries (indigenous and non-indigenous) in the target landscapes to: i) promote gender equality in the management, use and conservation of biodiversity; and ii) </w:t>
            </w:r>
            <w:r w:rsidRPr="003F7F6C">
              <w:rPr>
                <w:sz w:val="18"/>
                <w:szCs w:val="18"/>
              </w:rPr>
              <w:t>ensure that both women and men´s needs are addressed through the project interventions</w:t>
            </w:r>
          </w:p>
        </w:tc>
      </w:tr>
      <w:tr w:rsidR="00CE41E0" w:rsidRPr="003F7F6C" w14:paraId="4864263F" w14:textId="77777777" w:rsidTr="00CD63DB">
        <w:tc>
          <w:tcPr>
            <w:tcW w:w="12996" w:type="dxa"/>
            <w:gridSpan w:val="3"/>
          </w:tcPr>
          <w:p w14:paraId="10026EDF" w14:textId="77777777" w:rsidR="00CE41E0" w:rsidRPr="003F7F6C" w:rsidRDefault="00CE41E0" w:rsidP="00CD63DB">
            <w:pPr>
              <w:spacing w:after="120"/>
              <w:rPr>
                <w:rFonts w:cs="Calibri"/>
                <w:b/>
                <w:bCs/>
                <w:sz w:val="18"/>
                <w:szCs w:val="18"/>
              </w:rPr>
            </w:pPr>
            <w:r w:rsidRPr="003F7F6C">
              <w:rPr>
                <w:rFonts w:cs="Calibri"/>
                <w:b/>
                <w:bCs/>
                <w:sz w:val="18"/>
                <w:szCs w:val="18"/>
              </w:rPr>
              <w:t xml:space="preserve">Outcome 3: </w:t>
            </w:r>
            <w:r w:rsidRPr="003F7F6C">
              <w:rPr>
                <w:rFonts w:cs="Calibri"/>
                <w:bCs/>
                <w:sz w:val="18"/>
                <w:szCs w:val="18"/>
              </w:rPr>
              <w:t>Replicability framework for ELUP uptake in all Argentine provinces</w:t>
            </w:r>
          </w:p>
        </w:tc>
      </w:tr>
      <w:tr w:rsidR="00CE41E0" w:rsidRPr="003F7F6C" w14:paraId="41657D0F" w14:textId="77777777" w:rsidTr="00CD63DB">
        <w:tc>
          <w:tcPr>
            <w:tcW w:w="1980" w:type="dxa"/>
          </w:tcPr>
          <w:p w14:paraId="451C126F" w14:textId="77777777" w:rsidR="00CE41E0" w:rsidRPr="003F7F6C" w:rsidRDefault="00CE41E0" w:rsidP="00CD63DB">
            <w:pPr>
              <w:pStyle w:val="ListParagraph"/>
              <w:tabs>
                <w:tab w:val="left" w:pos="426"/>
              </w:tabs>
              <w:spacing w:after="120"/>
              <w:ind w:left="0"/>
              <w:contextualSpacing w:val="0"/>
              <w:rPr>
                <w:rFonts w:asciiTheme="minorHAnsi" w:eastAsia="Times New Roman" w:hAnsiTheme="minorHAnsi" w:cs="Calibri"/>
                <w:i/>
                <w:sz w:val="18"/>
                <w:szCs w:val="18"/>
                <w:lang w:eastAsia="es-ES_tradnl"/>
              </w:rPr>
            </w:pPr>
            <w:r w:rsidRPr="003F7F6C">
              <w:rPr>
                <w:rFonts w:asciiTheme="minorHAnsi" w:eastAsia="Times New Roman" w:hAnsiTheme="minorHAnsi" w:cs="Calibri"/>
                <w:i/>
                <w:sz w:val="18"/>
                <w:szCs w:val="18"/>
                <w:lang w:eastAsia="es-ES_tradnl"/>
              </w:rPr>
              <w:t xml:space="preserve">Output 3.1 </w:t>
            </w:r>
            <w:r w:rsidRPr="003F7F6C">
              <w:rPr>
                <w:rFonts w:asciiTheme="minorHAnsi" w:eastAsia="Times New Roman" w:hAnsiTheme="minorHAnsi" w:cs="Calibri"/>
                <w:bCs/>
                <w:i/>
                <w:sz w:val="18"/>
                <w:szCs w:val="18"/>
                <w:lang w:eastAsia="es-ES_tradnl"/>
              </w:rPr>
              <w:t xml:space="preserve">Nationwide ELUP experiences and related instruments evaluated </w:t>
            </w:r>
            <w:r w:rsidRPr="003F7F6C">
              <w:rPr>
                <w:rFonts w:asciiTheme="minorHAnsi" w:eastAsia="Times New Roman" w:hAnsiTheme="minorHAnsi" w:cs="Calibri"/>
                <w:i/>
                <w:sz w:val="18"/>
                <w:szCs w:val="18"/>
                <w:lang w:eastAsia="es-ES_tradnl"/>
              </w:rPr>
              <w:t>as an input to determine the best mix of instruments for different productive sectors and ecoregions</w:t>
            </w:r>
          </w:p>
        </w:tc>
        <w:tc>
          <w:tcPr>
            <w:tcW w:w="1276" w:type="dxa"/>
          </w:tcPr>
          <w:p w14:paraId="60FBF41B" w14:textId="77777777" w:rsidR="00CE41E0" w:rsidRPr="003F7F6C" w:rsidRDefault="00CE41E0" w:rsidP="00CD63DB">
            <w:pPr>
              <w:spacing w:after="120"/>
              <w:rPr>
                <w:sz w:val="18"/>
                <w:szCs w:val="18"/>
              </w:rPr>
            </w:pPr>
            <w:r w:rsidRPr="003F7F6C">
              <w:rPr>
                <w:sz w:val="18"/>
                <w:szCs w:val="18"/>
              </w:rPr>
              <w:t>SGAyDS</w:t>
            </w:r>
          </w:p>
        </w:tc>
        <w:tc>
          <w:tcPr>
            <w:tcW w:w="9740" w:type="dxa"/>
          </w:tcPr>
          <w:p w14:paraId="3CD08A19" w14:textId="77777777" w:rsidR="00CE41E0" w:rsidRPr="003F7F6C" w:rsidRDefault="00CE41E0" w:rsidP="00CD63DB">
            <w:pPr>
              <w:spacing w:after="120"/>
              <w:rPr>
                <w:bCs/>
                <w:sz w:val="18"/>
                <w:szCs w:val="18"/>
              </w:rPr>
            </w:pPr>
            <w:r w:rsidRPr="003F7F6C">
              <w:rPr>
                <w:sz w:val="18"/>
                <w:szCs w:val="18"/>
              </w:rPr>
              <w:t xml:space="preserve">1. Coordinate with INAM and INAI </w:t>
            </w:r>
            <w:r w:rsidRPr="003F7F6C">
              <w:rPr>
                <w:bCs/>
                <w:sz w:val="18"/>
                <w:szCs w:val="18"/>
              </w:rPr>
              <w:t>their participation within the framework of inter-sectorial and inter-jurisdictional coordination in order to agree on guidelines that incorporate gender and multicultural approaches in the process of creating a database of validated instruments to implement ELUP at national, provincial and local levels, for each ecoregion and sector.</w:t>
            </w:r>
          </w:p>
          <w:p w14:paraId="274EB634" w14:textId="77777777" w:rsidR="00CE41E0" w:rsidRPr="003F7F6C" w:rsidRDefault="00CE41E0" w:rsidP="00CD63DB">
            <w:pPr>
              <w:spacing w:after="120"/>
              <w:rPr>
                <w:sz w:val="18"/>
                <w:szCs w:val="18"/>
              </w:rPr>
            </w:pPr>
            <w:r w:rsidRPr="003F7F6C">
              <w:rPr>
                <w:b/>
                <w:bCs/>
                <w:sz w:val="18"/>
                <w:szCs w:val="18"/>
              </w:rPr>
              <w:t>2.</w:t>
            </w:r>
            <w:r w:rsidRPr="003F7F6C">
              <w:rPr>
                <w:sz w:val="18"/>
                <w:szCs w:val="18"/>
              </w:rPr>
              <w:t xml:space="preserve"> Incorporating differential gender, ethnicity and inter-sectional approaches into the assessment and evaluation of instruments, plans, programs and projects linked to biodiversity, land degradation, SLM and ELUP implemented in provinces not covered by the project. This activity will be carried out through consultations with the provincial and/or local gender mechanisms in order to identify and assess cases in which an integration of gender issues exists according to the various types of actors and the various groups of men and women that are part of the population and who benefit from ecosystemic resources differently according to their social background, physical abilities, age, age groups, sexual diversity, ethnicity, poverty conditions, etc.</w:t>
            </w:r>
          </w:p>
          <w:p w14:paraId="11B0A98F" w14:textId="77777777" w:rsidR="00CE41E0" w:rsidRPr="003F7F6C" w:rsidRDefault="00CE41E0" w:rsidP="00CD63DB">
            <w:pPr>
              <w:spacing w:after="120"/>
              <w:rPr>
                <w:rFonts w:eastAsia="Times New Roman" w:cs="Arial"/>
                <w:bCs/>
                <w:sz w:val="18"/>
                <w:szCs w:val="18"/>
              </w:rPr>
            </w:pPr>
            <w:r w:rsidRPr="003F7F6C">
              <w:rPr>
                <w:b/>
                <w:bCs/>
                <w:sz w:val="18"/>
                <w:szCs w:val="18"/>
              </w:rPr>
              <w:t>3.</w:t>
            </w:r>
            <w:r w:rsidRPr="003F7F6C">
              <w:rPr>
                <w:rFonts w:eastAsia="Times New Roman" w:cs="Arial"/>
                <w:bCs/>
                <w:sz w:val="18"/>
                <w:szCs w:val="18"/>
              </w:rPr>
              <w:t xml:space="preserve"> Incorporating a differential gender and ethnicity approach in systematizing the information obtained, emphasizing the differential participation of men and women in the cases assessed in connection with biodiversity, land degradation, SLM and ELUP and how these affect (e.g., impact) men, women and indigenous peoples differently.</w:t>
            </w:r>
          </w:p>
        </w:tc>
      </w:tr>
      <w:tr w:rsidR="00CE41E0" w:rsidRPr="003F7F6C" w14:paraId="5CE3BF8F" w14:textId="77777777" w:rsidTr="00CD63DB">
        <w:tc>
          <w:tcPr>
            <w:tcW w:w="1980" w:type="dxa"/>
          </w:tcPr>
          <w:p w14:paraId="6D7B856F" w14:textId="77777777" w:rsidR="00CE41E0" w:rsidRPr="003F7F6C" w:rsidRDefault="00CE41E0" w:rsidP="00CD63DB">
            <w:pPr>
              <w:spacing w:after="120"/>
              <w:rPr>
                <w:sz w:val="18"/>
                <w:szCs w:val="18"/>
              </w:rPr>
            </w:pPr>
            <w:r w:rsidRPr="003F7F6C">
              <w:rPr>
                <w:rFonts w:eastAsia="Times New Roman" w:cs="Calibri"/>
                <w:i/>
                <w:sz w:val="18"/>
                <w:szCs w:val="18"/>
                <w:lang w:eastAsia="es-ES_tradnl"/>
              </w:rPr>
              <w:t xml:space="preserve">Output 3.2. </w:t>
            </w:r>
            <w:r w:rsidRPr="003F7F6C">
              <w:rPr>
                <w:rFonts w:eastAsia="Times New Roman" w:cs="Calibri"/>
                <w:bCs/>
                <w:i/>
                <w:sz w:val="18"/>
                <w:szCs w:val="18"/>
                <w:lang w:eastAsia="es-ES_tradnl"/>
              </w:rPr>
              <w:t>Nationwide ELUP Capacity Strengthening Programme for all Provincial Authorities</w:t>
            </w:r>
          </w:p>
        </w:tc>
        <w:tc>
          <w:tcPr>
            <w:tcW w:w="1276" w:type="dxa"/>
          </w:tcPr>
          <w:p w14:paraId="36BADD20" w14:textId="77777777" w:rsidR="00CE41E0" w:rsidRPr="003F7F6C" w:rsidRDefault="00CE41E0" w:rsidP="00CD63DB">
            <w:pPr>
              <w:spacing w:after="120"/>
              <w:rPr>
                <w:sz w:val="18"/>
                <w:szCs w:val="18"/>
              </w:rPr>
            </w:pPr>
            <w:r w:rsidRPr="003F7F6C">
              <w:rPr>
                <w:sz w:val="18"/>
                <w:szCs w:val="18"/>
              </w:rPr>
              <w:t>SGAyDS</w:t>
            </w:r>
          </w:p>
        </w:tc>
        <w:tc>
          <w:tcPr>
            <w:tcW w:w="9740" w:type="dxa"/>
          </w:tcPr>
          <w:p w14:paraId="39C1DA62" w14:textId="77777777" w:rsidR="00CE41E0" w:rsidRPr="003F7F6C" w:rsidRDefault="00CE41E0" w:rsidP="00CD63DB">
            <w:pPr>
              <w:tabs>
                <w:tab w:val="left" w:pos="284"/>
              </w:tabs>
              <w:spacing w:after="120"/>
              <w:rPr>
                <w:bCs/>
                <w:sz w:val="18"/>
                <w:szCs w:val="18"/>
              </w:rPr>
            </w:pPr>
            <w:r w:rsidRPr="003F7F6C">
              <w:rPr>
                <w:sz w:val="18"/>
                <w:szCs w:val="18"/>
              </w:rPr>
              <w:t xml:space="preserve">1. Coordinate with INAM and INAI their participation in the development of a capacity strengthening program to enable provinces </w:t>
            </w:r>
            <w:r w:rsidRPr="003F7F6C">
              <w:rPr>
                <w:bCs/>
                <w:sz w:val="18"/>
                <w:szCs w:val="18"/>
              </w:rPr>
              <w:t>to mainstream the differential gender and multiculturalism approaches into the design and implementation of ELUP in their territories. This will include developing capacities for: identifying and assessing the targeted practices; how these will be implemented; who they are targeted at, whether men, women or both (both indigenous and non-indigenous); what changes in men and women are expected to be promoted through these practices; the number of beneficiaries (minimum percentage of indigenous and non-indigenous women); the number of hectares to be covered; management practices; and number of beneficiaries of the training activities (minimum percentage of indigenous and non-indigenous women).</w:t>
            </w:r>
          </w:p>
        </w:tc>
      </w:tr>
      <w:tr w:rsidR="00CE41E0" w:rsidRPr="003F7F6C" w14:paraId="41D9123F" w14:textId="77777777" w:rsidTr="00CD63DB">
        <w:tc>
          <w:tcPr>
            <w:tcW w:w="1980" w:type="dxa"/>
          </w:tcPr>
          <w:p w14:paraId="2838C89D" w14:textId="77777777" w:rsidR="00CE41E0" w:rsidRPr="003F7F6C" w:rsidRDefault="00CE41E0" w:rsidP="00CD63DB">
            <w:pPr>
              <w:spacing w:after="120"/>
              <w:rPr>
                <w:sz w:val="18"/>
                <w:szCs w:val="18"/>
              </w:rPr>
            </w:pPr>
            <w:r w:rsidRPr="003F7F6C">
              <w:rPr>
                <w:rFonts w:eastAsia="Times New Roman" w:cs="Calibri"/>
                <w:i/>
                <w:sz w:val="18"/>
                <w:szCs w:val="18"/>
                <w:lang w:eastAsia="es-ES_tradnl"/>
              </w:rPr>
              <w:t xml:space="preserve">Output 3.3. </w:t>
            </w:r>
            <w:r w:rsidRPr="003F7F6C">
              <w:rPr>
                <w:rFonts w:eastAsia="Times New Roman" w:cs="Calibri"/>
                <w:bCs/>
                <w:i/>
                <w:sz w:val="18"/>
                <w:szCs w:val="18"/>
                <w:lang w:eastAsia="es-ES_tradnl"/>
              </w:rPr>
              <w:t>System to Monitor ELUP implementation nationwide established</w:t>
            </w:r>
          </w:p>
        </w:tc>
        <w:tc>
          <w:tcPr>
            <w:tcW w:w="1276" w:type="dxa"/>
          </w:tcPr>
          <w:p w14:paraId="2574E596" w14:textId="77777777" w:rsidR="00CE41E0" w:rsidRPr="003F7F6C" w:rsidRDefault="00CE41E0" w:rsidP="00CD63DB">
            <w:pPr>
              <w:spacing w:after="120"/>
              <w:rPr>
                <w:sz w:val="18"/>
                <w:szCs w:val="18"/>
              </w:rPr>
            </w:pPr>
            <w:r w:rsidRPr="003F7F6C">
              <w:rPr>
                <w:sz w:val="18"/>
                <w:szCs w:val="18"/>
              </w:rPr>
              <w:t>SGAyDS</w:t>
            </w:r>
          </w:p>
        </w:tc>
        <w:tc>
          <w:tcPr>
            <w:tcW w:w="9740" w:type="dxa"/>
          </w:tcPr>
          <w:p w14:paraId="109867F6" w14:textId="77777777" w:rsidR="00CE41E0" w:rsidRPr="003F7F6C" w:rsidRDefault="00CE41E0" w:rsidP="00CD63DB">
            <w:pPr>
              <w:spacing w:after="120"/>
              <w:rPr>
                <w:sz w:val="18"/>
                <w:szCs w:val="18"/>
              </w:rPr>
            </w:pPr>
            <w:r w:rsidRPr="003F7F6C">
              <w:rPr>
                <w:sz w:val="18"/>
                <w:szCs w:val="18"/>
              </w:rPr>
              <w:t xml:space="preserve">1. Coordinate with INAM and INAI their participation </w:t>
            </w:r>
            <w:r w:rsidRPr="003F7F6C">
              <w:rPr>
                <w:bCs/>
                <w:sz w:val="18"/>
                <w:szCs w:val="18"/>
              </w:rPr>
              <w:t>with a view to mainstreaming the differential gender and multiculturalism approaches into designing and implementing an assessment and monitoring system that coordinates the sectors at various scales, for the purpose of planning, monitoring and integrating ELUP at the national, provincial and local levels.</w:t>
            </w:r>
          </w:p>
        </w:tc>
      </w:tr>
      <w:tr w:rsidR="00CE41E0" w:rsidRPr="003F7F6C" w14:paraId="25866EC7" w14:textId="77777777" w:rsidTr="00CD63DB">
        <w:tc>
          <w:tcPr>
            <w:tcW w:w="12996" w:type="dxa"/>
            <w:gridSpan w:val="3"/>
          </w:tcPr>
          <w:p w14:paraId="3F9DD879" w14:textId="77777777" w:rsidR="00CE41E0" w:rsidRPr="003F7F6C" w:rsidRDefault="00CE41E0" w:rsidP="00CD63DB">
            <w:pPr>
              <w:spacing w:after="120"/>
              <w:rPr>
                <w:rFonts w:cs="Calibri"/>
                <w:b/>
                <w:bCs/>
                <w:sz w:val="18"/>
                <w:szCs w:val="18"/>
              </w:rPr>
            </w:pPr>
            <w:r w:rsidRPr="003F7F6C">
              <w:rPr>
                <w:rFonts w:cs="Calibri"/>
                <w:b/>
                <w:bCs/>
                <w:sz w:val="18"/>
                <w:szCs w:val="18"/>
              </w:rPr>
              <w:t xml:space="preserve">Outcome 4: </w:t>
            </w:r>
            <w:r w:rsidRPr="003F7F6C">
              <w:rPr>
                <w:rFonts w:cs="Calibri"/>
                <w:bCs/>
                <w:sz w:val="18"/>
                <w:szCs w:val="18"/>
              </w:rPr>
              <w:t>Dissemination of lessons learned and monitoring and evaluation</w:t>
            </w:r>
          </w:p>
        </w:tc>
      </w:tr>
      <w:tr w:rsidR="00CE41E0" w:rsidRPr="003F7F6C" w14:paraId="65C37621" w14:textId="77777777" w:rsidTr="00CD63DB">
        <w:tc>
          <w:tcPr>
            <w:tcW w:w="1980" w:type="dxa"/>
          </w:tcPr>
          <w:p w14:paraId="31549373" w14:textId="77777777" w:rsidR="00CE41E0" w:rsidRPr="003F7F6C" w:rsidRDefault="00CE41E0" w:rsidP="00CD63DB">
            <w:pPr>
              <w:spacing w:after="120"/>
              <w:rPr>
                <w:sz w:val="18"/>
                <w:szCs w:val="18"/>
              </w:rPr>
            </w:pPr>
            <w:r w:rsidRPr="003F7F6C">
              <w:rPr>
                <w:rFonts w:eastAsia="Times New Roman" w:cs="Calibri"/>
                <w:i/>
                <w:sz w:val="18"/>
                <w:szCs w:val="18"/>
                <w:lang w:eastAsia="es-ES_tradnl"/>
              </w:rPr>
              <w:t xml:space="preserve">Output 4.1: </w:t>
            </w:r>
            <w:r w:rsidRPr="003F7F6C">
              <w:rPr>
                <w:bCs/>
                <w:i/>
                <w:sz w:val="18"/>
                <w:szCs w:val="18"/>
              </w:rPr>
              <w:t>Project M&amp;E system operational and generating periodic report</w:t>
            </w:r>
          </w:p>
        </w:tc>
        <w:tc>
          <w:tcPr>
            <w:tcW w:w="1276" w:type="dxa"/>
          </w:tcPr>
          <w:p w14:paraId="14A95D60" w14:textId="77777777" w:rsidR="00CE41E0" w:rsidRPr="003F7F6C" w:rsidRDefault="00CE41E0" w:rsidP="00CD63DB">
            <w:pPr>
              <w:spacing w:after="120"/>
              <w:rPr>
                <w:sz w:val="18"/>
                <w:szCs w:val="18"/>
              </w:rPr>
            </w:pPr>
            <w:r w:rsidRPr="003F7F6C">
              <w:rPr>
                <w:sz w:val="18"/>
                <w:szCs w:val="18"/>
              </w:rPr>
              <w:t>SGAyDS</w:t>
            </w:r>
          </w:p>
          <w:p w14:paraId="406FE100" w14:textId="77777777" w:rsidR="00CE41E0" w:rsidRPr="003F7F6C" w:rsidRDefault="00CE41E0" w:rsidP="00CD63DB">
            <w:pPr>
              <w:spacing w:after="120"/>
              <w:rPr>
                <w:sz w:val="18"/>
                <w:szCs w:val="18"/>
              </w:rPr>
            </w:pPr>
            <w:r w:rsidRPr="003F7F6C">
              <w:rPr>
                <w:sz w:val="18"/>
                <w:szCs w:val="18"/>
              </w:rPr>
              <w:t>Project Management Unit</w:t>
            </w:r>
          </w:p>
        </w:tc>
        <w:tc>
          <w:tcPr>
            <w:tcW w:w="9740" w:type="dxa"/>
          </w:tcPr>
          <w:p w14:paraId="1F178E86" w14:textId="77777777" w:rsidR="00CE41E0" w:rsidRPr="003F7F6C" w:rsidRDefault="00CE41E0" w:rsidP="00CD63DB">
            <w:pPr>
              <w:spacing w:after="120"/>
              <w:rPr>
                <w:sz w:val="18"/>
                <w:szCs w:val="18"/>
              </w:rPr>
            </w:pPr>
            <w:r w:rsidRPr="003F7F6C">
              <w:rPr>
                <w:rFonts w:cs="Calibri"/>
                <w:sz w:val="18"/>
                <w:szCs w:val="18"/>
              </w:rPr>
              <w:t>1. Collect sex-disaggregated and multi-cultural data related to governance and regulatory frameworks, participation, access to economic and financial incentives, and sustainable production, among others.  As part of project M&amp;E, the nature, extent and effectiveness of gender mainstreaming actions will be assessed periodically.</w:t>
            </w:r>
          </w:p>
        </w:tc>
      </w:tr>
      <w:tr w:rsidR="00CE41E0" w:rsidRPr="003F7F6C" w14:paraId="7D1FEB93" w14:textId="77777777" w:rsidTr="00CD63DB">
        <w:tc>
          <w:tcPr>
            <w:tcW w:w="1980" w:type="dxa"/>
          </w:tcPr>
          <w:p w14:paraId="1697CCD2" w14:textId="77777777" w:rsidR="00CE41E0" w:rsidRPr="003F7F6C" w:rsidRDefault="00CE41E0" w:rsidP="00CD63DB">
            <w:pPr>
              <w:spacing w:after="120"/>
              <w:rPr>
                <w:sz w:val="18"/>
                <w:szCs w:val="18"/>
              </w:rPr>
            </w:pPr>
            <w:r w:rsidRPr="003F7F6C">
              <w:rPr>
                <w:rFonts w:eastAsia="Times New Roman" w:cs="Calibri"/>
                <w:i/>
                <w:sz w:val="18"/>
                <w:szCs w:val="18"/>
                <w:lang w:eastAsia="es-ES_tradnl"/>
              </w:rPr>
              <w:t xml:space="preserve">Output 4.2: </w:t>
            </w:r>
            <w:r w:rsidRPr="003F7F6C">
              <w:rPr>
                <w:rFonts w:eastAsia="Times New Roman" w:cs="Calibri"/>
                <w:bCs/>
                <w:i/>
                <w:sz w:val="18"/>
                <w:szCs w:val="18"/>
                <w:lang w:eastAsia="es-ES_tradnl"/>
              </w:rPr>
              <w:t xml:space="preserve">Knowledge management system </w:t>
            </w:r>
            <w:r w:rsidRPr="003F7F6C">
              <w:rPr>
                <w:rFonts w:eastAsia="Times New Roman" w:cs="Calibri"/>
                <w:i/>
                <w:sz w:val="18"/>
                <w:szCs w:val="18"/>
                <w:lang w:eastAsia="es-ES_tradnl"/>
              </w:rPr>
              <w:t>set up to disseminate good practices and lessons learned</w:t>
            </w:r>
          </w:p>
        </w:tc>
        <w:tc>
          <w:tcPr>
            <w:tcW w:w="1276" w:type="dxa"/>
          </w:tcPr>
          <w:p w14:paraId="58995F4B" w14:textId="77777777" w:rsidR="00CE41E0" w:rsidRPr="003F7F6C" w:rsidRDefault="00CE41E0" w:rsidP="00CD63DB">
            <w:pPr>
              <w:spacing w:after="120"/>
              <w:rPr>
                <w:sz w:val="18"/>
                <w:szCs w:val="18"/>
              </w:rPr>
            </w:pPr>
            <w:r w:rsidRPr="003F7F6C">
              <w:rPr>
                <w:sz w:val="18"/>
                <w:szCs w:val="18"/>
              </w:rPr>
              <w:t>SGAyDS</w:t>
            </w:r>
          </w:p>
          <w:p w14:paraId="0EE99345" w14:textId="77777777" w:rsidR="00CE41E0" w:rsidRPr="003F7F6C" w:rsidRDefault="00CE41E0" w:rsidP="00CD63DB">
            <w:pPr>
              <w:spacing w:after="120"/>
              <w:rPr>
                <w:sz w:val="18"/>
                <w:szCs w:val="18"/>
              </w:rPr>
            </w:pPr>
            <w:r w:rsidRPr="003F7F6C">
              <w:rPr>
                <w:sz w:val="18"/>
                <w:szCs w:val="18"/>
              </w:rPr>
              <w:t>Project Management Unit</w:t>
            </w:r>
          </w:p>
        </w:tc>
        <w:tc>
          <w:tcPr>
            <w:tcW w:w="9740" w:type="dxa"/>
          </w:tcPr>
          <w:p w14:paraId="31C37B6F" w14:textId="77777777" w:rsidR="00CE41E0" w:rsidRPr="003F7F6C" w:rsidRDefault="00CE41E0" w:rsidP="00CD63DB">
            <w:pPr>
              <w:spacing w:after="120"/>
              <w:rPr>
                <w:bCs/>
                <w:sz w:val="18"/>
                <w:szCs w:val="18"/>
              </w:rPr>
            </w:pPr>
            <w:r w:rsidRPr="003F7F6C">
              <w:rPr>
                <w:bCs/>
                <w:sz w:val="18"/>
                <w:szCs w:val="18"/>
              </w:rPr>
              <w:t>1. In assessing project lessons and best practices and developing knowledge products expressly identify the differential contributions of men and women in all knowledge outputs (i.e., project publications and communication outputs).</w:t>
            </w:r>
          </w:p>
          <w:p w14:paraId="33632219" w14:textId="77777777" w:rsidR="00CE41E0" w:rsidRPr="003F7F6C" w:rsidRDefault="00CE41E0" w:rsidP="00CD63DB">
            <w:pPr>
              <w:spacing w:after="120"/>
              <w:rPr>
                <w:bCs/>
                <w:sz w:val="18"/>
                <w:szCs w:val="18"/>
              </w:rPr>
            </w:pPr>
            <w:r w:rsidRPr="003F7F6C">
              <w:rPr>
                <w:bCs/>
                <w:sz w:val="18"/>
                <w:szCs w:val="18"/>
              </w:rPr>
              <w:t>2. Prepare and disseminate at least one publication on gender mainstreaming.</w:t>
            </w:r>
          </w:p>
        </w:tc>
      </w:tr>
    </w:tbl>
    <w:p w14:paraId="4C9D6614" w14:textId="77777777" w:rsidR="00CE41E0" w:rsidRPr="003F7F6C" w:rsidRDefault="00CE41E0" w:rsidP="00CE41E0"/>
    <w:p w14:paraId="4D61FAE3" w14:textId="77777777" w:rsidR="00CE41E0" w:rsidRPr="003F7F6C" w:rsidRDefault="00CE41E0" w:rsidP="00CE41E0"/>
    <w:p w14:paraId="42E2A657" w14:textId="77777777" w:rsidR="00CE41E0" w:rsidRPr="003F7F6C" w:rsidRDefault="00CE41E0" w:rsidP="00CE41E0"/>
    <w:p w14:paraId="0C142336" w14:textId="77777777" w:rsidR="00CE41E0" w:rsidRPr="003F7F6C" w:rsidRDefault="00CE41E0" w:rsidP="00CE41E0"/>
    <w:p w14:paraId="7B978CA8" w14:textId="77777777" w:rsidR="00CE41E0" w:rsidRPr="003F7F6C" w:rsidRDefault="00CE41E0" w:rsidP="00CE41E0"/>
    <w:p w14:paraId="7FFBF227" w14:textId="77777777" w:rsidR="00CE41E0" w:rsidRPr="003F7F6C" w:rsidRDefault="00CE41E0" w:rsidP="00CE41E0"/>
    <w:p w14:paraId="7F85BC5F" w14:textId="77777777" w:rsidR="00CE41E0" w:rsidRPr="003F7F6C" w:rsidRDefault="00CE41E0" w:rsidP="00CE41E0"/>
    <w:p w14:paraId="4898929B" w14:textId="77777777" w:rsidR="00CE41E0" w:rsidRPr="003F7F6C" w:rsidRDefault="00CE41E0" w:rsidP="00CE41E0">
      <w:pPr>
        <w:rPr>
          <w:b/>
          <w:szCs w:val="20"/>
        </w:rPr>
      </w:pPr>
      <w:r w:rsidRPr="003F7F6C">
        <w:rPr>
          <w:b/>
          <w:szCs w:val="20"/>
        </w:rPr>
        <w:t>B.3 Gender Indicators in the Project´s Results Framework</w:t>
      </w:r>
    </w:p>
    <w:tbl>
      <w:tblPr>
        <w:tblW w:w="130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56"/>
        <w:gridCol w:w="2976"/>
        <w:gridCol w:w="1985"/>
        <w:gridCol w:w="2268"/>
        <w:gridCol w:w="2551"/>
      </w:tblGrid>
      <w:tr w:rsidR="00CE41E0" w:rsidRPr="003F7F6C" w14:paraId="6F951295" w14:textId="77777777" w:rsidTr="00CD63DB">
        <w:trPr>
          <w:trHeight w:val="544"/>
          <w:tblHeader/>
        </w:trPr>
        <w:tc>
          <w:tcPr>
            <w:tcW w:w="3256" w:type="dxa"/>
            <w:shd w:val="pct12" w:color="auto" w:fill="auto"/>
          </w:tcPr>
          <w:p w14:paraId="203D1529" w14:textId="77777777" w:rsidR="00CE41E0" w:rsidRPr="003F7F6C" w:rsidRDefault="00CE41E0" w:rsidP="00CD63DB">
            <w:pPr>
              <w:jc w:val="center"/>
              <w:rPr>
                <w:rFonts w:cs="Calibri"/>
                <w:b/>
                <w:bCs/>
                <w:sz w:val="18"/>
                <w:szCs w:val="18"/>
              </w:rPr>
            </w:pPr>
          </w:p>
        </w:tc>
        <w:tc>
          <w:tcPr>
            <w:tcW w:w="2976" w:type="dxa"/>
            <w:shd w:val="clear" w:color="auto" w:fill="D9D9D9" w:themeFill="background1" w:themeFillShade="D9"/>
          </w:tcPr>
          <w:p w14:paraId="626178FE" w14:textId="77777777" w:rsidR="00CE41E0" w:rsidRPr="003F7F6C" w:rsidRDefault="00CE41E0" w:rsidP="00CD63DB">
            <w:pPr>
              <w:jc w:val="center"/>
              <w:rPr>
                <w:rFonts w:cs="Calibri"/>
                <w:b/>
                <w:bCs/>
                <w:sz w:val="18"/>
                <w:szCs w:val="18"/>
              </w:rPr>
            </w:pPr>
            <w:r w:rsidRPr="003F7F6C">
              <w:rPr>
                <w:rFonts w:cs="Calibri"/>
                <w:b/>
                <w:bCs/>
                <w:sz w:val="18"/>
                <w:szCs w:val="18"/>
              </w:rPr>
              <w:t>Objective and Outcome Indicators</w:t>
            </w:r>
          </w:p>
          <w:p w14:paraId="506BA3D4" w14:textId="77777777" w:rsidR="00CE41E0" w:rsidRPr="003F7F6C" w:rsidRDefault="00CE41E0" w:rsidP="00CD63DB">
            <w:pPr>
              <w:jc w:val="center"/>
              <w:rPr>
                <w:rFonts w:cs="Calibri"/>
                <w:b/>
                <w:bCs/>
                <w:sz w:val="18"/>
                <w:szCs w:val="18"/>
              </w:rPr>
            </w:pPr>
          </w:p>
        </w:tc>
        <w:tc>
          <w:tcPr>
            <w:tcW w:w="1985" w:type="dxa"/>
            <w:shd w:val="clear" w:color="auto" w:fill="D9D9D9" w:themeFill="background1" w:themeFillShade="D9"/>
          </w:tcPr>
          <w:p w14:paraId="4C78EA03" w14:textId="77777777" w:rsidR="00CE41E0" w:rsidRPr="003F7F6C" w:rsidRDefault="00CE41E0" w:rsidP="00CD63DB">
            <w:pPr>
              <w:jc w:val="center"/>
              <w:rPr>
                <w:rFonts w:cs="Calibri"/>
                <w:b/>
                <w:bCs/>
                <w:sz w:val="18"/>
                <w:szCs w:val="18"/>
              </w:rPr>
            </w:pPr>
            <w:r w:rsidRPr="003F7F6C">
              <w:rPr>
                <w:rFonts w:cs="Calibri"/>
                <w:b/>
                <w:bCs/>
                <w:sz w:val="18"/>
                <w:szCs w:val="18"/>
              </w:rPr>
              <w:t>Baseline Value</w:t>
            </w:r>
          </w:p>
        </w:tc>
        <w:tc>
          <w:tcPr>
            <w:tcW w:w="2268" w:type="dxa"/>
            <w:shd w:val="pct12" w:color="auto" w:fill="auto"/>
          </w:tcPr>
          <w:p w14:paraId="55B64171" w14:textId="77777777" w:rsidR="00CE41E0" w:rsidRPr="003F7F6C" w:rsidRDefault="00CE41E0" w:rsidP="00CD63DB">
            <w:pPr>
              <w:jc w:val="center"/>
              <w:rPr>
                <w:rFonts w:cs="Calibri"/>
                <w:b/>
                <w:bCs/>
                <w:sz w:val="18"/>
                <w:szCs w:val="18"/>
              </w:rPr>
            </w:pPr>
            <w:r w:rsidRPr="003F7F6C">
              <w:rPr>
                <w:rFonts w:cs="Calibri"/>
                <w:b/>
                <w:bCs/>
                <w:sz w:val="18"/>
                <w:szCs w:val="18"/>
              </w:rPr>
              <w:t>Mid-term Target</w:t>
            </w:r>
          </w:p>
          <w:p w14:paraId="4BF96969" w14:textId="77777777" w:rsidR="00CE41E0" w:rsidRPr="003F7F6C" w:rsidRDefault="00CE41E0" w:rsidP="00CD63DB">
            <w:pPr>
              <w:jc w:val="center"/>
              <w:rPr>
                <w:rFonts w:cs="Calibri"/>
                <w:b/>
                <w:bCs/>
                <w:sz w:val="18"/>
                <w:szCs w:val="18"/>
              </w:rPr>
            </w:pPr>
          </w:p>
        </w:tc>
        <w:tc>
          <w:tcPr>
            <w:tcW w:w="2551" w:type="dxa"/>
            <w:shd w:val="pct12" w:color="auto" w:fill="auto"/>
          </w:tcPr>
          <w:p w14:paraId="3A4DC76C" w14:textId="77777777" w:rsidR="00CE41E0" w:rsidRPr="003F7F6C" w:rsidRDefault="00CE41E0" w:rsidP="00CD63DB">
            <w:pPr>
              <w:jc w:val="center"/>
              <w:rPr>
                <w:rFonts w:cs="Calibri"/>
                <w:b/>
                <w:bCs/>
                <w:sz w:val="18"/>
                <w:szCs w:val="18"/>
              </w:rPr>
            </w:pPr>
            <w:r w:rsidRPr="003F7F6C">
              <w:rPr>
                <w:rFonts w:cs="Calibri"/>
                <w:b/>
                <w:bCs/>
                <w:sz w:val="18"/>
                <w:szCs w:val="18"/>
              </w:rPr>
              <w:t>End of Project Target</w:t>
            </w:r>
          </w:p>
          <w:p w14:paraId="54E851C0" w14:textId="77777777" w:rsidR="00CE41E0" w:rsidRPr="003F7F6C" w:rsidRDefault="00CE41E0" w:rsidP="00CD63DB">
            <w:pPr>
              <w:jc w:val="center"/>
              <w:rPr>
                <w:rFonts w:cs="Calibri"/>
                <w:b/>
                <w:bCs/>
                <w:sz w:val="18"/>
                <w:szCs w:val="18"/>
              </w:rPr>
            </w:pPr>
          </w:p>
        </w:tc>
      </w:tr>
      <w:tr w:rsidR="00CE41E0" w:rsidRPr="003F7F6C" w14:paraId="158C39CF" w14:textId="77777777" w:rsidTr="00CD63DB">
        <w:trPr>
          <w:trHeight w:val="256"/>
        </w:trPr>
        <w:tc>
          <w:tcPr>
            <w:tcW w:w="3256" w:type="dxa"/>
            <w:shd w:val="clear" w:color="auto" w:fill="auto"/>
          </w:tcPr>
          <w:p w14:paraId="44F6C42E" w14:textId="77777777" w:rsidR="00CE41E0" w:rsidRPr="003F7F6C" w:rsidRDefault="00CE41E0" w:rsidP="00CD63DB">
            <w:pPr>
              <w:rPr>
                <w:rFonts w:cs="Calibri"/>
                <w:b/>
                <w:bCs/>
                <w:sz w:val="18"/>
                <w:szCs w:val="18"/>
              </w:rPr>
            </w:pPr>
            <w:r w:rsidRPr="003F7F6C">
              <w:rPr>
                <w:rFonts w:cs="Calibri"/>
                <w:b/>
                <w:bCs/>
                <w:sz w:val="18"/>
                <w:szCs w:val="18"/>
              </w:rPr>
              <w:t>Project Objective:</w:t>
            </w:r>
          </w:p>
          <w:p w14:paraId="49D101D6" w14:textId="77777777" w:rsidR="00CE41E0" w:rsidRPr="003F7F6C" w:rsidRDefault="00CE41E0" w:rsidP="00CD63DB">
            <w:pPr>
              <w:rPr>
                <w:rFonts w:cs="Calibri"/>
                <w:bCs/>
                <w:sz w:val="18"/>
                <w:szCs w:val="18"/>
              </w:rPr>
            </w:pPr>
            <w:r w:rsidRPr="003F7F6C">
              <w:rPr>
                <w:rFonts w:cs="Calibri"/>
                <w:bCs/>
                <w:sz w:val="18"/>
                <w:szCs w:val="18"/>
              </w:rPr>
              <w:t>Generate multiple biodiversity and land degradation benefits by developing a system of policy, economic, financial and technical instruments and governance mechanisms for environmental land use planning (ELUP) to mainstream socioeconomic and environmental evaluation of ecosystem goods and services (ES&amp;G) in decision making at different government levels and sectors</w:t>
            </w:r>
          </w:p>
        </w:tc>
        <w:tc>
          <w:tcPr>
            <w:tcW w:w="2976" w:type="dxa"/>
            <w:shd w:val="clear" w:color="auto" w:fill="auto"/>
          </w:tcPr>
          <w:p w14:paraId="72404282" w14:textId="77777777" w:rsidR="00CE41E0" w:rsidRPr="003F7F6C" w:rsidRDefault="00CE41E0" w:rsidP="00CD63DB">
            <w:pPr>
              <w:rPr>
                <w:rFonts w:cs="Calibri"/>
                <w:b/>
                <w:bCs/>
                <w:sz w:val="18"/>
                <w:szCs w:val="18"/>
              </w:rPr>
            </w:pPr>
            <w:r w:rsidRPr="003F7F6C">
              <w:rPr>
                <w:rFonts w:cs="Calibri"/>
                <w:bCs/>
                <w:sz w:val="18"/>
                <w:szCs w:val="18"/>
              </w:rPr>
              <w:t>Number of direct project beneficiaries (by gender and ethnicity) that improve their livelihoods through environmentally- friendly natural resource management and sustainable production</w:t>
            </w:r>
          </w:p>
        </w:tc>
        <w:tc>
          <w:tcPr>
            <w:tcW w:w="1985" w:type="dxa"/>
          </w:tcPr>
          <w:p w14:paraId="26447847" w14:textId="77777777" w:rsidR="00CE41E0" w:rsidRPr="003F7F6C" w:rsidRDefault="00CE41E0" w:rsidP="00CD63DB">
            <w:pPr>
              <w:rPr>
                <w:rFonts w:cs="Calibri"/>
                <w:bCs/>
                <w:sz w:val="18"/>
                <w:szCs w:val="18"/>
              </w:rPr>
            </w:pPr>
            <w:r w:rsidRPr="003F7F6C">
              <w:rPr>
                <w:rFonts w:cs="Calibri"/>
                <w:bCs/>
                <w:sz w:val="18"/>
                <w:szCs w:val="18"/>
              </w:rPr>
              <w:t>0</w:t>
            </w:r>
          </w:p>
        </w:tc>
        <w:tc>
          <w:tcPr>
            <w:tcW w:w="2268" w:type="dxa"/>
            <w:shd w:val="clear" w:color="auto" w:fill="auto"/>
          </w:tcPr>
          <w:p w14:paraId="2BC709CB" w14:textId="77777777" w:rsidR="00CE41E0" w:rsidRPr="003F7F6C" w:rsidRDefault="00CE41E0" w:rsidP="00CD63DB">
            <w:pPr>
              <w:rPr>
                <w:rFonts w:cs="Calibri"/>
                <w:bCs/>
                <w:sz w:val="18"/>
                <w:szCs w:val="18"/>
              </w:rPr>
            </w:pPr>
            <w:r w:rsidRPr="003F7F6C">
              <w:rPr>
                <w:rFonts w:cs="Calibri"/>
                <w:bCs/>
                <w:sz w:val="18"/>
                <w:szCs w:val="18"/>
              </w:rPr>
              <w:t xml:space="preserve">3,400 </w:t>
            </w:r>
          </w:p>
          <w:p w14:paraId="0DCF8DF6" w14:textId="77777777" w:rsidR="00CE41E0" w:rsidRPr="003F7F6C" w:rsidRDefault="00CE41E0" w:rsidP="00CD63DB">
            <w:pPr>
              <w:rPr>
                <w:rFonts w:cs="Calibri"/>
                <w:b/>
                <w:bCs/>
                <w:sz w:val="18"/>
                <w:szCs w:val="18"/>
              </w:rPr>
            </w:pPr>
            <w:r w:rsidRPr="003F7F6C">
              <w:rPr>
                <w:rFonts w:cs="Calibri"/>
                <w:bCs/>
                <w:sz w:val="18"/>
                <w:szCs w:val="18"/>
              </w:rPr>
              <w:t>(40% are women; 10% belong to indigenous groups)</w:t>
            </w:r>
          </w:p>
        </w:tc>
        <w:tc>
          <w:tcPr>
            <w:tcW w:w="2551" w:type="dxa"/>
            <w:shd w:val="clear" w:color="auto" w:fill="auto"/>
          </w:tcPr>
          <w:p w14:paraId="6E85C858" w14:textId="77777777" w:rsidR="00CE41E0" w:rsidRPr="003F7F6C" w:rsidRDefault="00CE41E0" w:rsidP="00CD63DB">
            <w:pPr>
              <w:rPr>
                <w:rFonts w:cs="Calibri"/>
                <w:bCs/>
                <w:sz w:val="18"/>
                <w:szCs w:val="18"/>
              </w:rPr>
            </w:pPr>
            <w:r w:rsidRPr="003F7F6C">
              <w:rPr>
                <w:rFonts w:cs="Calibri"/>
                <w:bCs/>
                <w:sz w:val="18"/>
                <w:szCs w:val="18"/>
              </w:rPr>
              <w:t xml:space="preserve">11,665 </w:t>
            </w:r>
          </w:p>
          <w:p w14:paraId="1D63B7BB" w14:textId="77777777" w:rsidR="00CE41E0" w:rsidRPr="003F7F6C" w:rsidRDefault="00CE41E0" w:rsidP="00CD63DB">
            <w:pPr>
              <w:rPr>
                <w:rFonts w:cs="Calibri"/>
                <w:b/>
                <w:bCs/>
                <w:sz w:val="18"/>
                <w:szCs w:val="18"/>
              </w:rPr>
            </w:pPr>
            <w:r w:rsidRPr="003F7F6C">
              <w:rPr>
                <w:rFonts w:cs="Calibri"/>
                <w:bCs/>
                <w:sz w:val="18"/>
                <w:szCs w:val="18"/>
              </w:rPr>
              <w:t>At least 40% are women; 10% belong to indigenous groups</w:t>
            </w:r>
          </w:p>
        </w:tc>
      </w:tr>
      <w:tr w:rsidR="00CE41E0" w:rsidRPr="003F7F6C" w14:paraId="670D3010" w14:textId="77777777" w:rsidTr="00CD63DB">
        <w:trPr>
          <w:trHeight w:val="256"/>
        </w:trPr>
        <w:tc>
          <w:tcPr>
            <w:tcW w:w="3256" w:type="dxa"/>
            <w:shd w:val="clear" w:color="auto" w:fill="auto"/>
          </w:tcPr>
          <w:p w14:paraId="3F926881" w14:textId="77777777" w:rsidR="00CE41E0" w:rsidRPr="003F7F6C" w:rsidRDefault="00CE41E0" w:rsidP="00CD63DB">
            <w:pPr>
              <w:rPr>
                <w:rFonts w:cs="Calibri"/>
                <w:b/>
                <w:bCs/>
                <w:sz w:val="18"/>
                <w:szCs w:val="18"/>
              </w:rPr>
            </w:pPr>
            <w:r w:rsidRPr="003F7F6C">
              <w:rPr>
                <w:rFonts w:cs="Calibri"/>
                <w:b/>
                <w:bCs/>
                <w:sz w:val="18"/>
                <w:szCs w:val="18"/>
              </w:rPr>
              <w:t>Outcome 1</w:t>
            </w:r>
          </w:p>
          <w:p w14:paraId="6EC00071" w14:textId="77777777" w:rsidR="00CE41E0" w:rsidRPr="003F7F6C" w:rsidRDefault="00CE41E0" w:rsidP="00CD63DB">
            <w:pPr>
              <w:rPr>
                <w:rFonts w:cs="Calibri"/>
                <w:b/>
                <w:sz w:val="18"/>
                <w:szCs w:val="18"/>
              </w:rPr>
            </w:pPr>
            <w:r w:rsidRPr="003F7F6C">
              <w:rPr>
                <w:rFonts w:cs="Calibri"/>
                <w:sz w:val="18"/>
                <w:szCs w:val="18"/>
              </w:rPr>
              <w:t>Federal</w:t>
            </w:r>
            <w:r w:rsidRPr="003F7F6C">
              <w:rPr>
                <w:rFonts w:cs="Calibri"/>
                <w:b/>
                <w:sz w:val="18"/>
                <w:szCs w:val="18"/>
              </w:rPr>
              <w:t xml:space="preserve"> </w:t>
            </w:r>
            <w:r w:rsidRPr="003F7F6C">
              <w:rPr>
                <w:rFonts w:cs="Calibri"/>
                <w:sz w:val="18"/>
                <w:szCs w:val="18"/>
              </w:rPr>
              <w:t>enabling</w:t>
            </w:r>
            <w:r w:rsidRPr="003F7F6C">
              <w:rPr>
                <w:rFonts w:cs="Calibri"/>
                <w:b/>
                <w:sz w:val="18"/>
                <w:szCs w:val="18"/>
              </w:rPr>
              <w:t xml:space="preserve"> </w:t>
            </w:r>
            <w:r w:rsidRPr="003F7F6C">
              <w:rPr>
                <w:rFonts w:cs="Calibri"/>
                <w:sz w:val="18"/>
                <w:szCs w:val="18"/>
              </w:rPr>
              <w:t>framework and</w:t>
            </w:r>
            <w:r w:rsidRPr="003F7F6C">
              <w:rPr>
                <w:rFonts w:cs="Calibri"/>
                <w:b/>
                <w:sz w:val="18"/>
                <w:szCs w:val="18"/>
              </w:rPr>
              <w:t xml:space="preserve"> </w:t>
            </w:r>
            <w:r w:rsidRPr="003F7F6C">
              <w:rPr>
                <w:rFonts w:cs="Calibri"/>
                <w:sz w:val="18"/>
                <w:szCs w:val="18"/>
              </w:rPr>
              <w:t>strategies to</w:t>
            </w:r>
            <w:r w:rsidRPr="003F7F6C">
              <w:rPr>
                <w:rFonts w:cs="Calibri"/>
                <w:b/>
                <w:sz w:val="18"/>
                <w:szCs w:val="18"/>
              </w:rPr>
              <w:t xml:space="preserve"> </w:t>
            </w:r>
            <w:r w:rsidRPr="003F7F6C">
              <w:rPr>
                <w:rFonts w:cs="Calibri"/>
                <w:sz w:val="18"/>
                <w:szCs w:val="18"/>
              </w:rPr>
              <w:t>reinforce</w:t>
            </w:r>
            <w:r w:rsidRPr="003F7F6C">
              <w:rPr>
                <w:rFonts w:cs="Calibri"/>
                <w:b/>
                <w:sz w:val="18"/>
                <w:szCs w:val="18"/>
              </w:rPr>
              <w:t xml:space="preserve"> </w:t>
            </w:r>
            <w:r w:rsidRPr="003F7F6C">
              <w:rPr>
                <w:rFonts w:cs="Calibri"/>
                <w:sz w:val="18"/>
                <w:szCs w:val="18"/>
              </w:rPr>
              <w:t>ELUP, and</w:t>
            </w:r>
            <w:r w:rsidRPr="003F7F6C">
              <w:rPr>
                <w:rFonts w:cs="Calibri"/>
                <w:b/>
                <w:sz w:val="18"/>
                <w:szCs w:val="18"/>
              </w:rPr>
              <w:t xml:space="preserve"> </w:t>
            </w:r>
            <w:r w:rsidRPr="003F7F6C">
              <w:rPr>
                <w:rFonts w:cs="Calibri"/>
                <w:sz w:val="18"/>
                <w:szCs w:val="18"/>
              </w:rPr>
              <w:t>underpin</w:t>
            </w:r>
            <w:r w:rsidRPr="003F7F6C">
              <w:rPr>
                <w:rFonts w:cs="Calibri"/>
                <w:b/>
                <w:sz w:val="18"/>
                <w:szCs w:val="18"/>
              </w:rPr>
              <w:t xml:space="preserve"> </w:t>
            </w:r>
            <w:r w:rsidRPr="003F7F6C">
              <w:rPr>
                <w:rFonts w:cs="Calibri"/>
                <w:sz w:val="18"/>
                <w:szCs w:val="18"/>
              </w:rPr>
              <w:t>implementation</w:t>
            </w:r>
            <w:r w:rsidRPr="003F7F6C">
              <w:rPr>
                <w:rFonts w:cs="Calibri"/>
                <w:b/>
                <w:sz w:val="18"/>
                <w:szCs w:val="18"/>
              </w:rPr>
              <w:t xml:space="preserve"> </w:t>
            </w:r>
            <w:r w:rsidRPr="003F7F6C">
              <w:rPr>
                <w:rFonts w:cs="Calibri"/>
                <w:sz w:val="18"/>
                <w:szCs w:val="18"/>
              </w:rPr>
              <w:t>in priority</w:t>
            </w:r>
            <w:r w:rsidRPr="003F7F6C">
              <w:rPr>
                <w:rFonts w:cs="Calibri"/>
                <w:b/>
                <w:sz w:val="18"/>
                <w:szCs w:val="18"/>
              </w:rPr>
              <w:t xml:space="preserve"> </w:t>
            </w:r>
            <w:r w:rsidRPr="003F7F6C">
              <w:rPr>
                <w:rFonts w:cs="Calibri"/>
                <w:sz w:val="18"/>
                <w:szCs w:val="18"/>
              </w:rPr>
              <w:t>ecosystems and</w:t>
            </w:r>
            <w:r w:rsidRPr="003F7F6C">
              <w:rPr>
                <w:rFonts w:cs="Calibri"/>
                <w:b/>
                <w:sz w:val="18"/>
                <w:szCs w:val="18"/>
              </w:rPr>
              <w:t xml:space="preserve"> </w:t>
            </w:r>
            <w:r w:rsidRPr="003F7F6C">
              <w:rPr>
                <w:rFonts w:cs="Calibri"/>
                <w:sz w:val="18"/>
                <w:szCs w:val="18"/>
              </w:rPr>
              <w:t>habitats to</w:t>
            </w:r>
            <w:r w:rsidRPr="003F7F6C">
              <w:rPr>
                <w:rFonts w:cs="Calibri"/>
                <w:b/>
                <w:sz w:val="18"/>
                <w:szCs w:val="18"/>
              </w:rPr>
              <w:t xml:space="preserve"> </w:t>
            </w:r>
            <w:r w:rsidRPr="003F7F6C">
              <w:rPr>
                <w:rFonts w:cs="Calibri"/>
                <w:sz w:val="18"/>
                <w:szCs w:val="18"/>
              </w:rPr>
              <w:t>reduce</w:t>
            </w:r>
            <w:r w:rsidRPr="003F7F6C">
              <w:rPr>
                <w:rFonts w:cs="Calibri"/>
                <w:b/>
                <w:sz w:val="18"/>
                <w:szCs w:val="18"/>
              </w:rPr>
              <w:t xml:space="preserve"> </w:t>
            </w:r>
            <w:r w:rsidRPr="003F7F6C">
              <w:rPr>
                <w:rFonts w:cs="Calibri"/>
                <w:sz w:val="18"/>
                <w:szCs w:val="18"/>
              </w:rPr>
              <w:t>pressure from</w:t>
            </w:r>
            <w:r w:rsidRPr="003F7F6C">
              <w:rPr>
                <w:rFonts w:cs="Calibri"/>
                <w:b/>
                <w:sz w:val="18"/>
                <w:szCs w:val="18"/>
              </w:rPr>
              <w:t xml:space="preserve"> </w:t>
            </w:r>
            <w:r w:rsidRPr="003F7F6C">
              <w:rPr>
                <w:rFonts w:cs="Calibri"/>
                <w:sz w:val="18"/>
                <w:szCs w:val="18"/>
              </w:rPr>
              <w:t>key production</w:t>
            </w:r>
            <w:r w:rsidRPr="003F7F6C">
              <w:rPr>
                <w:rFonts w:cs="Calibri"/>
                <w:b/>
                <w:sz w:val="18"/>
                <w:szCs w:val="18"/>
              </w:rPr>
              <w:t xml:space="preserve"> </w:t>
            </w:r>
            <w:r w:rsidRPr="003F7F6C">
              <w:rPr>
                <w:rFonts w:cs="Calibri"/>
                <w:sz w:val="18"/>
                <w:szCs w:val="18"/>
              </w:rPr>
              <w:t>sectors.</w:t>
            </w:r>
            <w:r w:rsidRPr="003F7F6C">
              <w:rPr>
                <w:rFonts w:cs="Calibri"/>
                <w:b/>
                <w:sz w:val="18"/>
                <w:szCs w:val="18"/>
              </w:rPr>
              <w:t xml:space="preserve"> </w:t>
            </w:r>
            <w:r w:rsidRPr="003F7F6C">
              <w:rPr>
                <w:rFonts w:cs="Calibri"/>
                <w:w w:val="74"/>
                <w:sz w:val="18"/>
                <w:szCs w:val="18"/>
              </w:rPr>
              <w:t>(</w:t>
            </w:r>
            <w:r w:rsidRPr="003F7F6C">
              <w:rPr>
                <w:rFonts w:cs="Calibri"/>
                <w:w w:val="98"/>
                <w:sz w:val="18"/>
                <w:szCs w:val="18"/>
              </w:rPr>
              <w:t>target sectors:</w:t>
            </w:r>
            <w:r w:rsidRPr="003F7F6C">
              <w:rPr>
                <w:rFonts w:cs="Calibri"/>
                <w:b/>
                <w:sz w:val="18"/>
                <w:szCs w:val="18"/>
              </w:rPr>
              <w:t xml:space="preserve"> </w:t>
            </w:r>
            <w:r w:rsidRPr="003F7F6C">
              <w:rPr>
                <w:rFonts w:cs="Calibri"/>
                <w:sz w:val="18"/>
                <w:szCs w:val="18"/>
              </w:rPr>
              <w:t>agriculture &amp;</w:t>
            </w:r>
            <w:r w:rsidRPr="003F7F6C">
              <w:rPr>
                <w:rFonts w:cs="Calibri"/>
                <w:b/>
                <w:sz w:val="18"/>
                <w:szCs w:val="18"/>
              </w:rPr>
              <w:t xml:space="preserve"> </w:t>
            </w:r>
            <w:r w:rsidRPr="003F7F6C">
              <w:rPr>
                <w:rFonts w:cs="Calibri"/>
                <w:sz w:val="18"/>
                <w:szCs w:val="18"/>
              </w:rPr>
              <w:t xml:space="preserve">livestock; mining and peri-urban infrastructure, tourism) </w:t>
            </w:r>
          </w:p>
          <w:p w14:paraId="56DDD840" w14:textId="77777777" w:rsidR="00CE41E0" w:rsidRPr="003F7F6C" w:rsidRDefault="00CE41E0" w:rsidP="00CD63DB">
            <w:pPr>
              <w:rPr>
                <w:rFonts w:cs="Calibri"/>
                <w:b/>
                <w:bCs/>
                <w:sz w:val="18"/>
                <w:szCs w:val="18"/>
              </w:rPr>
            </w:pPr>
          </w:p>
        </w:tc>
        <w:tc>
          <w:tcPr>
            <w:tcW w:w="2976" w:type="dxa"/>
            <w:shd w:val="clear" w:color="auto" w:fill="auto"/>
          </w:tcPr>
          <w:p w14:paraId="17BDE9FE" w14:textId="77777777" w:rsidR="00CE41E0" w:rsidRPr="003F7F6C" w:rsidRDefault="00CE41E0" w:rsidP="00CD63DB">
            <w:pPr>
              <w:rPr>
                <w:rFonts w:cs="Calibri"/>
                <w:bCs/>
                <w:sz w:val="18"/>
                <w:szCs w:val="18"/>
              </w:rPr>
            </w:pPr>
            <w:r w:rsidRPr="003F7F6C">
              <w:rPr>
                <w:rFonts w:cs="Calibri"/>
                <w:bCs/>
                <w:sz w:val="18"/>
                <w:szCs w:val="18"/>
              </w:rPr>
              <w:t>Indicator 6: Number and type of new partnership mechanisms at federal level for dialogue to mainstream BD and ELUP in sectoral programming and finance decisions (including level of direct participation of women and indigenous peoples).</w:t>
            </w:r>
          </w:p>
        </w:tc>
        <w:tc>
          <w:tcPr>
            <w:tcW w:w="1985" w:type="dxa"/>
          </w:tcPr>
          <w:p w14:paraId="6BC66779" w14:textId="77777777" w:rsidR="00CE41E0" w:rsidRPr="003F7F6C" w:rsidRDefault="00CE41E0" w:rsidP="00CD63DB">
            <w:pPr>
              <w:rPr>
                <w:rFonts w:cs="Calibri"/>
                <w:bCs/>
                <w:sz w:val="18"/>
                <w:szCs w:val="18"/>
              </w:rPr>
            </w:pPr>
            <w:r w:rsidRPr="003F7F6C">
              <w:rPr>
                <w:rFonts w:cs="Calibri"/>
                <w:bCs/>
                <w:sz w:val="18"/>
                <w:szCs w:val="18"/>
              </w:rPr>
              <w:t>There are several federal level spaces that deal with different subjects, e.g., COFEMA, CONADIBIO, ONDTyD but none specifically addressing ELUP</w:t>
            </w:r>
          </w:p>
        </w:tc>
        <w:tc>
          <w:tcPr>
            <w:tcW w:w="2268" w:type="dxa"/>
            <w:shd w:val="clear" w:color="auto" w:fill="auto"/>
          </w:tcPr>
          <w:p w14:paraId="357C819F" w14:textId="77777777" w:rsidR="00CE41E0" w:rsidRPr="003F7F6C" w:rsidRDefault="00CE41E0" w:rsidP="00CD63DB">
            <w:pPr>
              <w:rPr>
                <w:rFonts w:cs="Calibri"/>
                <w:bCs/>
                <w:sz w:val="18"/>
                <w:szCs w:val="18"/>
              </w:rPr>
            </w:pPr>
            <w:r w:rsidRPr="003F7F6C">
              <w:rPr>
                <w:rFonts w:cs="Calibri"/>
                <w:bCs/>
                <w:sz w:val="18"/>
                <w:szCs w:val="18"/>
              </w:rPr>
              <w:t>1 inter-institutional and inter-sectoral dialogue space established (with at least 40% female membership and including indigenous peoples).</w:t>
            </w:r>
          </w:p>
          <w:p w14:paraId="04858390" w14:textId="77777777" w:rsidR="00CE41E0" w:rsidRPr="003F7F6C" w:rsidRDefault="00CE41E0" w:rsidP="00CD63DB">
            <w:pPr>
              <w:rPr>
                <w:rFonts w:cs="Calibri"/>
                <w:bCs/>
                <w:i/>
                <w:sz w:val="18"/>
                <w:szCs w:val="18"/>
              </w:rPr>
            </w:pPr>
          </w:p>
        </w:tc>
        <w:tc>
          <w:tcPr>
            <w:tcW w:w="2551" w:type="dxa"/>
            <w:shd w:val="clear" w:color="auto" w:fill="auto"/>
          </w:tcPr>
          <w:p w14:paraId="1114D3C7" w14:textId="77777777" w:rsidR="00CE41E0" w:rsidRPr="003F7F6C" w:rsidRDefault="00CE41E0" w:rsidP="00CD63DB">
            <w:pPr>
              <w:rPr>
                <w:rFonts w:cs="Calibri"/>
                <w:bCs/>
                <w:sz w:val="18"/>
                <w:szCs w:val="18"/>
              </w:rPr>
            </w:pPr>
            <w:r w:rsidRPr="003F7F6C">
              <w:rPr>
                <w:rFonts w:cs="Calibri"/>
                <w:bCs/>
                <w:sz w:val="18"/>
                <w:szCs w:val="18"/>
              </w:rPr>
              <w:t>1 inter-institutional and inter-sectoral dialogue space to mainstream BD and ELUP in sectoral programming and finance decisions functioning with work plans and budget (with at least 40% female membership and including indigenous peoples).</w:t>
            </w:r>
          </w:p>
        </w:tc>
      </w:tr>
      <w:tr w:rsidR="00CE41E0" w:rsidRPr="003F7F6C" w14:paraId="78EF758D" w14:textId="77777777" w:rsidTr="00CD63DB">
        <w:trPr>
          <w:trHeight w:val="256"/>
        </w:trPr>
        <w:tc>
          <w:tcPr>
            <w:tcW w:w="3256" w:type="dxa"/>
            <w:vMerge w:val="restart"/>
            <w:shd w:val="clear" w:color="auto" w:fill="auto"/>
          </w:tcPr>
          <w:p w14:paraId="7FF9CD8B" w14:textId="77777777" w:rsidR="00CE41E0" w:rsidRPr="003F7F6C" w:rsidRDefault="00CE41E0" w:rsidP="00CD63DB">
            <w:pPr>
              <w:rPr>
                <w:rFonts w:cs="Calibri"/>
                <w:b/>
                <w:bCs/>
                <w:sz w:val="18"/>
                <w:szCs w:val="18"/>
              </w:rPr>
            </w:pPr>
            <w:r w:rsidRPr="003F7F6C">
              <w:rPr>
                <w:rFonts w:cs="Calibri"/>
                <w:b/>
                <w:bCs/>
                <w:sz w:val="18"/>
                <w:szCs w:val="18"/>
              </w:rPr>
              <w:t>Outcome 2</w:t>
            </w:r>
          </w:p>
          <w:p w14:paraId="2D4F57BE" w14:textId="77777777" w:rsidR="00CE41E0" w:rsidRPr="003F7F6C" w:rsidRDefault="00CE41E0" w:rsidP="00CD63DB">
            <w:pPr>
              <w:spacing w:line="203" w:lineRule="exact"/>
              <w:rPr>
                <w:rFonts w:cs="Calibri"/>
                <w:sz w:val="18"/>
                <w:szCs w:val="18"/>
              </w:rPr>
            </w:pPr>
            <w:r w:rsidRPr="003F7F6C">
              <w:rPr>
                <w:rFonts w:cs="Calibri"/>
                <w:sz w:val="18"/>
                <w:szCs w:val="18"/>
              </w:rPr>
              <w:t>Application of ELUP procedures and instruments in pilot Provinces with targeted ecoregions and production sector land uses.</w:t>
            </w:r>
          </w:p>
          <w:p w14:paraId="57E5CC71" w14:textId="77777777" w:rsidR="00CE41E0" w:rsidRPr="003F7F6C" w:rsidRDefault="00CE41E0" w:rsidP="00CD63DB">
            <w:pPr>
              <w:rPr>
                <w:rFonts w:cs="Calibri"/>
                <w:b/>
                <w:bCs/>
                <w:sz w:val="18"/>
                <w:szCs w:val="18"/>
              </w:rPr>
            </w:pPr>
          </w:p>
        </w:tc>
        <w:tc>
          <w:tcPr>
            <w:tcW w:w="2976" w:type="dxa"/>
            <w:shd w:val="clear" w:color="auto" w:fill="auto"/>
          </w:tcPr>
          <w:p w14:paraId="25E102A3" w14:textId="77777777" w:rsidR="00CE41E0" w:rsidRPr="003F7F6C" w:rsidRDefault="00CE41E0" w:rsidP="00CD63DB">
            <w:pPr>
              <w:rPr>
                <w:rFonts w:cs="Calibri"/>
                <w:b/>
                <w:bCs/>
                <w:sz w:val="18"/>
                <w:szCs w:val="18"/>
              </w:rPr>
            </w:pPr>
            <w:r w:rsidRPr="003F7F6C">
              <w:rPr>
                <w:rFonts w:cs="Calibri"/>
                <w:bCs/>
                <w:sz w:val="18"/>
                <w:szCs w:val="18"/>
              </w:rPr>
              <w:t>Number and type of new partnership mechanisms at provincial level for participatory ELUP and consensus building (including level of direct participation of women and indigenous peoples)</w:t>
            </w:r>
          </w:p>
        </w:tc>
        <w:tc>
          <w:tcPr>
            <w:tcW w:w="1985" w:type="dxa"/>
          </w:tcPr>
          <w:p w14:paraId="442EFD28" w14:textId="77777777" w:rsidR="00CE41E0" w:rsidRPr="003F7F6C" w:rsidRDefault="00CE41E0" w:rsidP="00CD63DB">
            <w:pPr>
              <w:rPr>
                <w:rFonts w:cs="Calibri"/>
                <w:bCs/>
                <w:sz w:val="18"/>
                <w:szCs w:val="18"/>
              </w:rPr>
            </w:pPr>
            <w:r w:rsidRPr="003F7F6C">
              <w:rPr>
                <w:rFonts w:cs="Calibri"/>
                <w:bCs/>
                <w:sz w:val="18"/>
                <w:szCs w:val="18"/>
              </w:rPr>
              <w:t>Mendoza has a Land Use Planning Provincial Council which will serve as a dialogue space. Jujuy and Buenos Aires do not have participatory mechanisms for ELUP.</w:t>
            </w:r>
          </w:p>
          <w:p w14:paraId="59B2CE7B" w14:textId="77777777" w:rsidR="00CE41E0" w:rsidRPr="003F7F6C" w:rsidRDefault="00CE41E0" w:rsidP="00CD63DB">
            <w:pPr>
              <w:rPr>
                <w:rFonts w:cs="Calibri"/>
                <w:bCs/>
                <w:sz w:val="18"/>
                <w:szCs w:val="18"/>
              </w:rPr>
            </w:pPr>
          </w:p>
        </w:tc>
        <w:tc>
          <w:tcPr>
            <w:tcW w:w="2268" w:type="dxa"/>
            <w:shd w:val="clear" w:color="auto" w:fill="auto"/>
          </w:tcPr>
          <w:p w14:paraId="3BA8348D" w14:textId="77777777" w:rsidR="00CE41E0" w:rsidRPr="003F7F6C" w:rsidRDefault="00CE41E0" w:rsidP="00CD63DB">
            <w:pPr>
              <w:rPr>
                <w:rFonts w:cs="Calibri"/>
                <w:bCs/>
                <w:sz w:val="18"/>
                <w:szCs w:val="18"/>
              </w:rPr>
            </w:pPr>
            <w:r w:rsidRPr="003F7F6C">
              <w:rPr>
                <w:rFonts w:cs="Calibri"/>
                <w:bCs/>
                <w:sz w:val="18"/>
                <w:szCs w:val="18"/>
              </w:rPr>
              <w:t xml:space="preserve">1 multi-stakeholder space strengthened with new members (Mendoza) </w:t>
            </w:r>
          </w:p>
          <w:p w14:paraId="3EF4E655" w14:textId="77777777" w:rsidR="00CE41E0" w:rsidRPr="003F7F6C" w:rsidRDefault="00CE41E0" w:rsidP="00CD63DB">
            <w:pPr>
              <w:rPr>
                <w:rFonts w:cs="Calibri"/>
                <w:bCs/>
                <w:sz w:val="18"/>
                <w:szCs w:val="18"/>
              </w:rPr>
            </w:pPr>
            <w:r w:rsidRPr="003F7F6C">
              <w:rPr>
                <w:rFonts w:cs="Calibri"/>
                <w:bCs/>
                <w:sz w:val="18"/>
                <w:szCs w:val="18"/>
              </w:rPr>
              <w:t xml:space="preserve">2 multi-stakeholder spaces (Buenos Aires and Jujuy) and 1 sustainable commodities platform (Buenos Aires) designed and stakeholders identified </w:t>
            </w:r>
          </w:p>
        </w:tc>
        <w:tc>
          <w:tcPr>
            <w:tcW w:w="2551" w:type="dxa"/>
            <w:shd w:val="clear" w:color="auto" w:fill="auto"/>
          </w:tcPr>
          <w:p w14:paraId="54350DF0" w14:textId="77777777" w:rsidR="00CE41E0" w:rsidRPr="003F7F6C" w:rsidRDefault="00CE41E0" w:rsidP="00CD63DB">
            <w:pPr>
              <w:rPr>
                <w:rFonts w:cs="Calibri"/>
                <w:bCs/>
                <w:sz w:val="18"/>
                <w:szCs w:val="18"/>
              </w:rPr>
            </w:pPr>
            <w:r w:rsidRPr="003F7F6C">
              <w:rPr>
                <w:rFonts w:cs="Calibri"/>
                <w:bCs/>
                <w:sz w:val="18"/>
                <w:szCs w:val="18"/>
              </w:rPr>
              <w:t>3 provincial multi-stakeholder spaces functioning with work plans and budgets (at least 40% female membership and including indigenous peoples)</w:t>
            </w:r>
          </w:p>
          <w:p w14:paraId="12649FD5" w14:textId="77777777" w:rsidR="00CE41E0" w:rsidRPr="003F7F6C" w:rsidRDefault="00CE41E0" w:rsidP="00CD63DB">
            <w:pPr>
              <w:rPr>
                <w:rFonts w:cs="Calibri"/>
                <w:bCs/>
                <w:sz w:val="18"/>
                <w:szCs w:val="18"/>
              </w:rPr>
            </w:pPr>
          </w:p>
          <w:p w14:paraId="39547A95" w14:textId="77777777" w:rsidR="00CE41E0" w:rsidRPr="003F7F6C" w:rsidRDefault="00CE41E0" w:rsidP="00CD63DB">
            <w:pPr>
              <w:rPr>
                <w:rFonts w:cs="Calibri"/>
                <w:bCs/>
                <w:sz w:val="18"/>
                <w:szCs w:val="18"/>
              </w:rPr>
            </w:pPr>
          </w:p>
        </w:tc>
      </w:tr>
      <w:tr w:rsidR="00CE41E0" w:rsidRPr="003F7F6C" w14:paraId="68F69358" w14:textId="77777777" w:rsidTr="00CD63DB">
        <w:trPr>
          <w:trHeight w:val="256"/>
        </w:trPr>
        <w:tc>
          <w:tcPr>
            <w:tcW w:w="3256" w:type="dxa"/>
            <w:vMerge/>
            <w:shd w:val="clear" w:color="auto" w:fill="auto"/>
          </w:tcPr>
          <w:p w14:paraId="157D90BF" w14:textId="77777777" w:rsidR="00CE41E0" w:rsidRPr="003F7F6C" w:rsidRDefault="00CE41E0" w:rsidP="00CD63DB">
            <w:pPr>
              <w:rPr>
                <w:rFonts w:cs="Calibri"/>
                <w:b/>
                <w:bCs/>
                <w:sz w:val="18"/>
                <w:szCs w:val="18"/>
              </w:rPr>
            </w:pPr>
          </w:p>
        </w:tc>
        <w:tc>
          <w:tcPr>
            <w:tcW w:w="2976" w:type="dxa"/>
            <w:shd w:val="clear" w:color="auto" w:fill="auto"/>
          </w:tcPr>
          <w:p w14:paraId="0D269FDE" w14:textId="77777777" w:rsidR="00CE41E0" w:rsidRPr="003F7F6C" w:rsidRDefault="00CE41E0" w:rsidP="00CD63DB">
            <w:pPr>
              <w:rPr>
                <w:rFonts w:cs="Calibri"/>
                <w:bCs/>
                <w:color w:val="FF0000"/>
                <w:sz w:val="18"/>
                <w:szCs w:val="18"/>
              </w:rPr>
            </w:pPr>
            <w:r w:rsidRPr="003F7F6C">
              <w:rPr>
                <w:rFonts w:cs="Calibri"/>
                <w:bCs/>
                <w:sz w:val="18"/>
                <w:szCs w:val="18"/>
              </w:rPr>
              <w:t xml:space="preserve">Level of improvement in livelihoods of beneficiaries in target landscapes differentiated by gender and ethnicity, measured through the Land Degradation Assessment in Drylands (LADA) Livelihood Index which measures 5 capitals: social, productive, human, physical and natural </w:t>
            </w:r>
          </w:p>
        </w:tc>
        <w:tc>
          <w:tcPr>
            <w:tcW w:w="1985" w:type="dxa"/>
          </w:tcPr>
          <w:p w14:paraId="1DCFCF22" w14:textId="77777777" w:rsidR="00CE41E0" w:rsidRPr="003F7F6C" w:rsidRDefault="00CE41E0" w:rsidP="00CD63DB">
            <w:pPr>
              <w:rPr>
                <w:rFonts w:cs="Calibri"/>
                <w:bCs/>
                <w:sz w:val="18"/>
                <w:szCs w:val="18"/>
              </w:rPr>
            </w:pPr>
            <w:r w:rsidRPr="003F7F6C">
              <w:rPr>
                <w:rFonts w:cs="Calibri"/>
                <w:bCs/>
                <w:sz w:val="18"/>
                <w:szCs w:val="18"/>
              </w:rPr>
              <w:t>Index baseline values to be determined in PY1 for each target landscape (Index ranges from 1 (low) to 5 (high).</w:t>
            </w:r>
          </w:p>
          <w:p w14:paraId="484A09C4" w14:textId="77777777" w:rsidR="00CE41E0" w:rsidRPr="003F7F6C" w:rsidRDefault="00CE41E0" w:rsidP="00CD63DB">
            <w:pPr>
              <w:rPr>
                <w:rFonts w:cs="Calibri"/>
                <w:bCs/>
                <w:sz w:val="18"/>
                <w:szCs w:val="18"/>
              </w:rPr>
            </w:pPr>
          </w:p>
        </w:tc>
        <w:tc>
          <w:tcPr>
            <w:tcW w:w="2268" w:type="dxa"/>
            <w:shd w:val="clear" w:color="auto" w:fill="auto"/>
          </w:tcPr>
          <w:p w14:paraId="5B6589CE" w14:textId="77777777" w:rsidR="00CE41E0" w:rsidRPr="003F7F6C" w:rsidRDefault="00CE41E0" w:rsidP="00CD63DB">
            <w:pPr>
              <w:rPr>
                <w:rFonts w:cs="Calibri"/>
                <w:bCs/>
                <w:strike/>
                <w:sz w:val="18"/>
                <w:szCs w:val="18"/>
              </w:rPr>
            </w:pPr>
          </w:p>
        </w:tc>
        <w:tc>
          <w:tcPr>
            <w:tcW w:w="2551" w:type="dxa"/>
            <w:shd w:val="clear" w:color="auto" w:fill="auto"/>
          </w:tcPr>
          <w:p w14:paraId="6164895D" w14:textId="77777777" w:rsidR="00CE41E0" w:rsidRPr="003F7F6C" w:rsidRDefault="00CE41E0" w:rsidP="00CD63DB">
            <w:pPr>
              <w:rPr>
                <w:rFonts w:cs="Calibri"/>
                <w:bCs/>
                <w:sz w:val="18"/>
                <w:szCs w:val="18"/>
              </w:rPr>
            </w:pPr>
            <w:r w:rsidRPr="003F7F6C">
              <w:rPr>
                <w:rFonts w:cs="Calibri"/>
                <w:bCs/>
                <w:sz w:val="18"/>
                <w:szCs w:val="18"/>
              </w:rPr>
              <w:t>20% improvement in the Livelihood Index</w:t>
            </w:r>
          </w:p>
        </w:tc>
      </w:tr>
      <w:tr w:rsidR="00CE41E0" w:rsidRPr="003F7F6C" w14:paraId="7491BB8D" w14:textId="77777777" w:rsidTr="00CD63DB">
        <w:trPr>
          <w:trHeight w:val="256"/>
        </w:trPr>
        <w:tc>
          <w:tcPr>
            <w:tcW w:w="3256" w:type="dxa"/>
            <w:shd w:val="clear" w:color="auto" w:fill="auto"/>
          </w:tcPr>
          <w:p w14:paraId="567F79A6" w14:textId="77777777" w:rsidR="00CE41E0" w:rsidRPr="003F7F6C" w:rsidRDefault="00CE41E0" w:rsidP="00CD63DB">
            <w:pPr>
              <w:rPr>
                <w:rFonts w:cs="Calibri"/>
                <w:b/>
                <w:bCs/>
                <w:sz w:val="18"/>
                <w:szCs w:val="18"/>
              </w:rPr>
            </w:pPr>
            <w:r w:rsidRPr="003F7F6C">
              <w:rPr>
                <w:rFonts w:cs="Calibri"/>
                <w:b/>
                <w:bCs/>
                <w:sz w:val="18"/>
                <w:szCs w:val="18"/>
              </w:rPr>
              <w:t>Outcome 3</w:t>
            </w:r>
          </w:p>
          <w:p w14:paraId="736AB79C" w14:textId="77777777" w:rsidR="00CE41E0" w:rsidRPr="003F7F6C" w:rsidRDefault="00CE41E0" w:rsidP="00CD63DB">
            <w:pPr>
              <w:rPr>
                <w:rFonts w:cs="Calibri"/>
                <w:bCs/>
                <w:sz w:val="18"/>
                <w:szCs w:val="18"/>
              </w:rPr>
            </w:pPr>
            <w:r w:rsidRPr="003F7F6C">
              <w:rPr>
                <w:rFonts w:cs="Calibri"/>
                <w:bCs/>
                <w:sz w:val="18"/>
                <w:szCs w:val="18"/>
              </w:rPr>
              <w:t>Replicability framework for ELUP uptake in all Argentine provinces</w:t>
            </w:r>
          </w:p>
          <w:p w14:paraId="6012C17F" w14:textId="77777777" w:rsidR="00CE41E0" w:rsidRPr="003F7F6C" w:rsidRDefault="00CE41E0" w:rsidP="00CD63DB">
            <w:pPr>
              <w:rPr>
                <w:rFonts w:cs="Calibri"/>
                <w:b/>
                <w:bCs/>
                <w:sz w:val="18"/>
                <w:szCs w:val="18"/>
              </w:rPr>
            </w:pPr>
          </w:p>
        </w:tc>
        <w:tc>
          <w:tcPr>
            <w:tcW w:w="2976" w:type="dxa"/>
            <w:shd w:val="clear" w:color="auto" w:fill="auto"/>
          </w:tcPr>
          <w:p w14:paraId="4A961FA5" w14:textId="77777777" w:rsidR="00CE41E0" w:rsidRPr="003F7F6C" w:rsidRDefault="00CE41E0" w:rsidP="00CD63DB">
            <w:pPr>
              <w:rPr>
                <w:rFonts w:cs="Calibri"/>
                <w:bCs/>
                <w:sz w:val="18"/>
                <w:szCs w:val="18"/>
              </w:rPr>
            </w:pPr>
            <w:r w:rsidRPr="003F7F6C">
              <w:rPr>
                <w:rFonts w:cs="Calibri"/>
                <w:sz w:val="18"/>
                <w:szCs w:val="18"/>
              </w:rPr>
              <w:t>Level of improvement in knowledge, aptitudes and practices (KAP) in ELUP, ES, sustainable production and other key issues at national and provincial levels measured through surveys in Year 1 and Year 6 (including gender disaggregated data) as a result of capacity building programs on ELUP</w:t>
            </w:r>
          </w:p>
        </w:tc>
        <w:tc>
          <w:tcPr>
            <w:tcW w:w="1985" w:type="dxa"/>
          </w:tcPr>
          <w:p w14:paraId="7C48D61A" w14:textId="77777777" w:rsidR="00CE41E0" w:rsidRPr="003F7F6C" w:rsidRDefault="00CE41E0" w:rsidP="00CD63DB">
            <w:pPr>
              <w:rPr>
                <w:rFonts w:cs="Calibri"/>
                <w:bCs/>
                <w:sz w:val="18"/>
                <w:szCs w:val="18"/>
              </w:rPr>
            </w:pPr>
            <w:r w:rsidRPr="003F7F6C">
              <w:rPr>
                <w:rFonts w:cs="Calibri"/>
                <w:bCs/>
                <w:sz w:val="18"/>
                <w:szCs w:val="18"/>
              </w:rPr>
              <w:t>KAP survey in PY1. Baseline and targets to be established.</w:t>
            </w:r>
          </w:p>
        </w:tc>
        <w:tc>
          <w:tcPr>
            <w:tcW w:w="2268" w:type="dxa"/>
            <w:shd w:val="clear" w:color="auto" w:fill="auto"/>
          </w:tcPr>
          <w:p w14:paraId="114AA97F" w14:textId="77777777" w:rsidR="00CE41E0" w:rsidRPr="003F7F6C" w:rsidRDefault="00CE41E0" w:rsidP="00CD63DB">
            <w:pPr>
              <w:rPr>
                <w:rFonts w:cs="Calibri"/>
                <w:bCs/>
                <w:i/>
                <w:sz w:val="18"/>
                <w:szCs w:val="18"/>
              </w:rPr>
            </w:pPr>
          </w:p>
        </w:tc>
        <w:tc>
          <w:tcPr>
            <w:tcW w:w="2551" w:type="dxa"/>
            <w:shd w:val="clear" w:color="auto" w:fill="auto"/>
          </w:tcPr>
          <w:p w14:paraId="78551EF6" w14:textId="77777777" w:rsidR="00CE41E0" w:rsidRPr="003F7F6C" w:rsidRDefault="00CE41E0" w:rsidP="00CD63DB">
            <w:pPr>
              <w:rPr>
                <w:rFonts w:cs="Calibri"/>
                <w:bCs/>
                <w:sz w:val="18"/>
                <w:szCs w:val="18"/>
              </w:rPr>
            </w:pPr>
            <w:r w:rsidRPr="003F7F6C">
              <w:rPr>
                <w:rFonts w:cs="Calibri"/>
                <w:bCs/>
                <w:sz w:val="18"/>
                <w:szCs w:val="18"/>
              </w:rPr>
              <w:t>KAP survey (target in terms of improved knowledge to be determined in PY1)</w:t>
            </w:r>
          </w:p>
        </w:tc>
      </w:tr>
      <w:tr w:rsidR="00CE41E0" w:rsidRPr="003F7F6C" w14:paraId="0A60B919" w14:textId="77777777" w:rsidTr="00CD63DB">
        <w:trPr>
          <w:trHeight w:val="256"/>
        </w:trPr>
        <w:tc>
          <w:tcPr>
            <w:tcW w:w="3256" w:type="dxa"/>
            <w:shd w:val="clear" w:color="auto" w:fill="auto"/>
          </w:tcPr>
          <w:p w14:paraId="15D4F78D" w14:textId="77777777" w:rsidR="00CE41E0" w:rsidRPr="003F7F6C" w:rsidRDefault="00CE41E0" w:rsidP="00CD63DB">
            <w:pPr>
              <w:rPr>
                <w:rFonts w:cs="Calibri"/>
                <w:b/>
                <w:bCs/>
                <w:sz w:val="18"/>
                <w:szCs w:val="18"/>
              </w:rPr>
            </w:pPr>
            <w:r w:rsidRPr="003F7F6C">
              <w:rPr>
                <w:rFonts w:cs="Calibri"/>
                <w:b/>
                <w:bCs/>
                <w:sz w:val="18"/>
                <w:szCs w:val="18"/>
              </w:rPr>
              <w:t>Outcome 4</w:t>
            </w:r>
          </w:p>
          <w:p w14:paraId="2629A248" w14:textId="77777777" w:rsidR="00CE41E0" w:rsidRPr="003F7F6C" w:rsidRDefault="00CE41E0" w:rsidP="00CD63DB">
            <w:pPr>
              <w:rPr>
                <w:rFonts w:cs="Calibri"/>
                <w:b/>
                <w:bCs/>
                <w:sz w:val="18"/>
                <w:szCs w:val="18"/>
              </w:rPr>
            </w:pPr>
            <w:r w:rsidRPr="003F7F6C">
              <w:rPr>
                <w:rFonts w:cs="Calibri"/>
                <w:bCs/>
                <w:sz w:val="18"/>
                <w:szCs w:val="18"/>
              </w:rPr>
              <w:t>Dissemination of lessons learned and monitoring and evaluation</w:t>
            </w:r>
          </w:p>
        </w:tc>
        <w:tc>
          <w:tcPr>
            <w:tcW w:w="2976" w:type="dxa"/>
            <w:shd w:val="clear" w:color="auto" w:fill="auto"/>
          </w:tcPr>
          <w:p w14:paraId="264377A1" w14:textId="77777777" w:rsidR="00CE41E0" w:rsidRPr="003F7F6C" w:rsidRDefault="00CE41E0" w:rsidP="00CD63DB">
            <w:pPr>
              <w:rPr>
                <w:rFonts w:cs="Calibri"/>
                <w:sz w:val="18"/>
                <w:szCs w:val="18"/>
              </w:rPr>
            </w:pPr>
            <w:r w:rsidRPr="003F7F6C">
              <w:rPr>
                <w:rFonts w:cs="Calibri"/>
                <w:sz w:val="18"/>
                <w:szCs w:val="18"/>
              </w:rPr>
              <w:t xml:space="preserve">Number and type of project </w:t>
            </w:r>
            <w:r w:rsidRPr="003F7F6C">
              <w:rPr>
                <w:rFonts w:cs="Calibri"/>
                <w:bCs/>
                <w:sz w:val="18"/>
                <w:szCs w:val="18"/>
              </w:rPr>
              <w:t>knowledge products and publications on best practices and lessons learned</w:t>
            </w:r>
            <w:r w:rsidRPr="003F7F6C">
              <w:rPr>
                <w:rFonts w:cs="Calibri"/>
                <w:sz w:val="18"/>
                <w:szCs w:val="18"/>
              </w:rPr>
              <w:t xml:space="preserve"> (at least 1 on gender) disseminated</w:t>
            </w:r>
          </w:p>
        </w:tc>
        <w:tc>
          <w:tcPr>
            <w:tcW w:w="1985" w:type="dxa"/>
          </w:tcPr>
          <w:p w14:paraId="05511C4E" w14:textId="77777777" w:rsidR="00CE41E0" w:rsidRPr="003F7F6C" w:rsidRDefault="00CE41E0" w:rsidP="00CD63DB">
            <w:pPr>
              <w:rPr>
                <w:rFonts w:cs="Calibri"/>
                <w:bCs/>
                <w:sz w:val="18"/>
                <w:szCs w:val="18"/>
              </w:rPr>
            </w:pPr>
            <w:r w:rsidRPr="003F7F6C">
              <w:rPr>
                <w:rFonts w:cs="Calibri"/>
                <w:bCs/>
                <w:sz w:val="18"/>
                <w:szCs w:val="18"/>
              </w:rPr>
              <w:t>0</w:t>
            </w:r>
          </w:p>
        </w:tc>
        <w:tc>
          <w:tcPr>
            <w:tcW w:w="2268" w:type="dxa"/>
            <w:shd w:val="clear" w:color="auto" w:fill="auto"/>
          </w:tcPr>
          <w:p w14:paraId="13B79463" w14:textId="77777777" w:rsidR="00CE41E0" w:rsidRPr="003F7F6C" w:rsidRDefault="00CE41E0" w:rsidP="00CD63DB">
            <w:pPr>
              <w:rPr>
                <w:rFonts w:cs="Calibri"/>
                <w:bCs/>
                <w:i/>
                <w:sz w:val="18"/>
                <w:szCs w:val="18"/>
              </w:rPr>
            </w:pPr>
          </w:p>
        </w:tc>
        <w:tc>
          <w:tcPr>
            <w:tcW w:w="2551" w:type="dxa"/>
            <w:shd w:val="clear" w:color="auto" w:fill="auto"/>
          </w:tcPr>
          <w:p w14:paraId="04C44859" w14:textId="77777777" w:rsidR="00CE41E0" w:rsidRPr="003F7F6C" w:rsidRDefault="00CE41E0" w:rsidP="00CD63DB">
            <w:pPr>
              <w:rPr>
                <w:rFonts w:cs="Calibri"/>
                <w:bCs/>
                <w:sz w:val="18"/>
                <w:szCs w:val="18"/>
              </w:rPr>
            </w:pPr>
            <w:r w:rsidRPr="003F7F6C">
              <w:rPr>
                <w:rFonts w:cs="Calibri"/>
                <w:bCs/>
                <w:sz w:val="18"/>
                <w:szCs w:val="18"/>
              </w:rPr>
              <w:t xml:space="preserve">15, with at least 1 on gender </w:t>
            </w:r>
          </w:p>
          <w:p w14:paraId="79184283" w14:textId="77777777" w:rsidR="00CE41E0" w:rsidRPr="003F7F6C" w:rsidRDefault="00CE41E0" w:rsidP="00CD63DB">
            <w:pPr>
              <w:rPr>
                <w:rFonts w:cs="Calibri"/>
                <w:bCs/>
                <w:sz w:val="18"/>
                <w:szCs w:val="18"/>
              </w:rPr>
            </w:pPr>
            <w:r w:rsidRPr="003F7F6C">
              <w:rPr>
                <w:rFonts w:cs="Calibri"/>
                <w:bCs/>
                <w:sz w:val="18"/>
                <w:szCs w:val="18"/>
              </w:rPr>
              <w:t>(e.g. i) annual reports, newsletters; ii) lessons/case studies on: best BD/SLM practices, ELUP in provinces, gender mainstreaming, dialogue platforms and participation; iii) ELUP methodological guidelines at national and provincial levels)</w:t>
            </w:r>
          </w:p>
          <w:p w14:paraId="32BCA708" w14:textId="77777777" w:rsidR="00CE41E0" w:rsidRPr="003F7F6C" w:rsidRDefault="00CE41E0" w:rsidP="00CD63DB">
            <w:pPr>
              <w:rPr>
                <w:rFonts w:cs="Calibri"/>
                <w:bCs/>
                <w:sz w:val="18"/>
                <w:szCs w:val="18"/>
              </w:rPr>
            </w:pPr>
          </w:p>
        </w:tc>
      </w:tr>
    </w:tbl>
    <w:p w14:paraId="6C70A511" w14:textId="77777777" w:rsidR="00CE41E0" w:rsidRPr="003F7F6C" w:rsidRDefault="00CE41E0" w:rsidP="009A4B59">
      <w:pPr>
        <w:tabs>
          <w:tab w:val="left" w:pos="432"/>
        </w:tabs>
        <w:spacing w:after="240"/>
        <w:rPr>
          <w:szCs w:val="20"/>
        </w:rPr>
        <w:sectPr w:rsidR="00CE41E0" w:rsidRPr="003F7F6C" w:rsidSect="00CE41E0">
          <w:pgSz w:w="15840" w:h="12240" w:orient="landscape"/>
          <w:pgMar w:top="1701" w:right="1418" w:bottom="1701" w:left="1418" w:header="709" w:footer="709" w:gutter="0"/>
          <w:cols w:space="708"/>
          <w:docGrid w:linePitch="360"/>
        </w:sectPr>
      </w:pPr>
    </w:p>
    <w:p w14:paraId="23580C75" w14:textId="77777777" w:rsidR="00AE2CE9" w:rsidRPr="003F7F6C" w:rsidRDefault="00AE2CE9" w:rsidP="009B7002">
      <w:pPr>
        <w:pStyle w:val="Heading2"/>
        <w:ind w:left="0"/>
      </w:pPr>
    </w:p>
    <w:p w14:paraId="0B5B35B2" w14:textId="2C60E0A9" w:rsidR="009B7002" w:rsidRPr="003F7F6C" w:rsidRDefault="009B7002" w:rsidP="009B7002">
      <w:pPr>
        <w:pStyle w:val="Heading2"/>
        <w:ind w:left="0"/>
        <w:rPr>
          <w:rFonts w:ascii="Calibri" w:hAnsi="Calibri"/>
        </w:rPr>
      </w:pPr>
      <w:bookmarkStart w:id="72" w:name="_Toc529891429"/>
      <w:r w:rsidRPr="003F7F6C">
        <w:rPr>
          <w:rFonts w:ascii="Calibri" w:hAnsi="Calibri"/>
        </w:rPr>
        <w:t>Annex H:  UNDP Risk Log</w:t>
      </w:r>
      <w:bookmarkEnd w:id="72"/>
      <w:r w:rsidRPr="003F7F6C">
        <w:rPr>
          <w:rFonts w:ascii="Calibri" w:hAnsi="Calibri"/>
        </w:rPr>
        <w:t xml:space="preserve"> </w:t>
      </w:r>
    </w:p>
    <w:p w14:paraId="4527B752" w14:textId="77777777" w:rsidR="00AE2CE9" w:rsidRPr="003F7F6C" w:rsidRDefault="00AE2CE9" w:rsidP="009B7002">
      <w:pPr>
        <w:pStyle w:val="Heading2"/>
        <w:ind w:left="0"/>
      </w:pPr>
    </w:p>
    <w:tbl>
      <w:tblPr>
        <w:tblW w:w="13631"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37"/>
        <w:gridCol w:w="1417"/>
        <w:gridCol w:w="2693"/>
        <w:gridCol w:w="5529"/>
        <w:gridCol w:w="992"/>
        <w:gridCol w:w="963"/>
      </w:tblGrid>
      <w:tr w:rsidR="00A0732B" w:rsidRPr="003F7F6C" w14:paraId="533015C6" w14:textId="77777777" w:rsidTr="00A0732B">
        <w:trPr>
          <w:tblHeader/>
        </w:trPr>
        <w:tc>
          <w:tcPr>
            <w:tcW w:w="13631" w:type="dxa"/>
            <w:gridSpan w:val="6"/>
            <w:shd w:val="clear" w:color="auto" w:fill="FFCC00"/>
          </w:tcPr>
          <w:p w14:paraId="1FB08D79" w14:textId="77777777" w:rsidR="00A0732B" w:rsidRPr="003F7F6C" w:rsidRDefault="00A0732B" w:rsidP="00A0732B">
            <w:pPr>
              <w:jc w:val="center"/>
              <w:rPr>
                <w:rFonts w:cs="Calibri"/>
                <w:b/>
                <w:sz w:val="18"/>
                <w:szCs w:val="18"/>
              </w:rPr>
            </w:pPr>
            <w:r w:rsidRPr="003F7F6C">
              <w:rPr>
                <w:rFonts w:cs="Calibri"/>
                <w:b/>
                <w:sz w:val="18"/>
                <w:szCs w:val="18"/>
              </w:rPr>
              <w:t>Project risks</w:t>
            </w:r>
          </w:p>
        </w:tc>
      </w:tr>
      <w:tr w:rsidR="00A0732B" w:rsidRPr="003F7F6C" w14:paraId="5CFEBB66" w14:textId="77777777" w:rsidTr="00A0732B">
        <w:trPr>
          <w:tblHeader/>
        </w:trPr>
        <w:tc>
          <w:tcPr>
            <w:tcW w:w="2037" w:type="dxa"/>
            <w:shd w:val="clear" w:color="auto" w:fill="FFCC00"/>
          </w:tcPr>
          <w:p w14:paraId="76C03D52" w14:textId="77777777" w:rsidR="00A0732B" w:rsidRPr="003F7F6C" w:rsidRDefault="00A0732B" w:rsidP="00A0732B">
            <w:pPr>
              <w:rPr>
                <w:rFonts w:cs="Calibri"/>
                <w:b/>
                <w:sz w:val="18"/>
                <w:szCs w:val="18"/>
              </w:rPr>
            </w:pPr>
            <w:r w:rsidRPr="003F7F6C">
              <w:rPr>
                <w:rFonts w:cs="Calibri"/>
                <w:b/>
                <w:sz w:val="18"/>
                <w:szCs w:val="18"/>
              </w:rPr>
              <w:t>Description</w:t>
            </w:r>
          </w:p>
        </w:tc>
        <w:tc>
          <w:tcPr>
            <w:tcW w:w="1417" w:type="dxa"/>
            <w:shd w:val="clear" w:color="auto" w:fill="FFCC00"/>
          </w:tcPr>
          <w:p w14:paraId="47FD5E50" w14:textId="77777777" w:rsidR="00A0732B" w:rsidRPr="003F7F6C" w:rsidRDefault="00A0732B" w:rsidP="00A0732B">
            <w:pPr>
              <w:rPr>
                <w:rFonts w:cs="Calibri"/>
                <w:b/>
                <w:sz w:val="18"/>
                <w:szCs w:val="18"/>
              </w:rPr>
            </w:pPr>
            <w:r w:rsidRPr="003F7F6C">
              <w:rPr>
                <w:rFonts w:cs="Calibri"/>
                <w:b/>
                <w:sz w:val="18"/>
                <w:szCs w:val="18"/>
              </w:rPr>
              <w:t>Type</w:t>
            </w:r>
          </w:p>
        </w:tc>
        <w:tc>
          <w:tcPr>
            <w:tcW w:w="2693" w:type="dxa"/>
            <w:shd w:val="clear" w:color="auto" w:fill="FFCC00"/>
          </w:tcPr>
          <w:p w14:paraId="5E17EFB6" w14:textId="77777777" w:rsidR="00A0732B" w:rsidRPr="003F7F6C" w:rsidRDefault="00A0732B" w:rsidP="00A0732B">
            <w:pPr>
              <w:rPr>
                <w:rFonts w:cs="Calibri"/>
                <w:b/>
                <w:sz w:val="18"/>
                <w:szCs w:val="18"/>
              </w:rPr>
            </w:pPr>
            <w:r w:rsidRPr="003F7F6C">
              <w:rPr>
                <w:rFonts w:cs="Calibri"/>
                <w:b/>
                <w:sz w:val="18"/>
                <w:szCs w:val="18"/>
              </w:rPr>
              <w:t>Impact &amp;</w:t>
            </w:r>
          </w:p>
          <w:p w14:paraId="5754125A" w14:textId="77777777" w:rsidR="00A0732B" w:rsidRPr="003F7F6C" w:rsidRDefault="00A0732B" w:rsidP="00A0732B">
            <w:pPr>
              <w:rPr>
                <w:rFonts w:cs="Calibri"/>
                <w:b/>
                <w:sz w:val="18"/>
                <w:szCs w:val="18"/>
              </w:rPr>
            </w:pPr>
            <w:r w:rsidRPr="003F7F6C">
              <w:rPr>
                <w:rFonts w:cs="Calibri"/>
                <w:b/>
                <w:sz w:val="18"/>
                <w:szCs w:val="18"/>
              </w:rPr>
              <w:t>Probability</w:t>
            </w:r>
          </w:p>
        </w:tc>
        <w:tc>
          <w:tcPr>
            <w:tcW w:w="5529" w:type="dxa"/>
            <w:shd w:val="clear" w:color="auto" w:fill="FFCC00"/>
          </w:tcPr>
          <w:p w14:paraId="4F50DC7D" w14:textId="77777777" w:rsidR="00A0732B" w:rsidRPr="003F7F6C" w:rsidRDefault="00A0732B" w:rsidP="00A0732B">
            <w:pPr>
              <w:rPr>
                <w:rFonts w:cs="Calibri"/>
                <w:b/>
                <w:sz w:val="18"/>
                <w:szCs w:val="18"/>
              </w:rPr>
            </w:pPr>
            <w:r w:rsidRPr="003F7F6C">
              <w:rPr>
                <w:rFonts w:cs="Calibri"/>
                <w:b/>
                <w:sz w:val="18"/>
                <w:szCs w:val="18"/>
              </w:rPr>
              <w:t>Mitigation Measures</w:t>
            </w:r>
          </w:p>
        </w:tc>
        <w:tc>
          <w:tcPr>
            <w:tcW w:w="992" w:type="dxa"/>
            <w:shd w:val="clear" w:color="auto" w:fill="FFCC00"/>
          </w:tcPr>
          <w:p w14:paraId="6C27806C" w14:textId="77777777" w:rsidR="00A0732B" w:rsidRPr="003F7F6C" w:rsidRDefault="00A0732B" w:rsidP="00A0732B">
            <w:pPr>
              <w:rPr>
                <w:rFonts w:cs="Calibri"/>
                <w:b/>
                <w:sz w:val="18"/>
                <w:szCs w:val="18"/>
              </w:rPr>
            </w:pPr>
            <w:r w:rsidRPr="003F7F6C">
              <w:rPr>
                <w:rFonts w:cs="Calibri"/>
                <w:b/>
                <w:sz w:val="18"/>
                <w:szCs w:val="18"/>
              </w:rPr>
              <w:t>Owner</w:t>
            </w:r>
          </w:p>
        </w:tc>
        <w:tc>
          <w:tcPr>
            <w:tcW w:w="963" w:type="dxa"/>
            <w:shd w:val="clear" w:color="auto" w:fill="FFCC00"/>
          </w:tcPr>
          <w:p w14:paraId="4276A758" w14:textId="77777777" w:rsidR="00A0732B" w:rsidRPr="003F7F6C" w:rsidRDefault="00A0732B" w:rsidP="00A0732B">
            <w:pPr>
              <w:rPr>
                <w:rFonts w:cs="Calibri"/>
                <w:b/>
                <w:sz w:val="18"/>
                <w:szCs w:val="18"/>
              </w:rPr>
            </w:pPr>
            <w:r w:rsidRPr="003F7F6C">
              <w:rPr>
                <w:rFonts w:cs="Calibri"/>
                <w:b/>
                <w:sz w:val="18"/>
                <w:szCs w:val="18"/>
              </w:rPr>
              <w:t>Status</w:t>
            </w:r>
          </w:p>
        </w:tc>
      </w:tr>
      <w:tr w:rsidR="00A0732B" w:rsidRPr="003F7F6C" w14:paraId="2E040594" w14:textId="77777777" w:rsidTr="00A0732B">
        <w:trPr>
          <w:trHeight w:val="1155"/>
        </w:trPr>
        <w:tc>
          <w:tcPr>
            <w:tcW w:w="2037" w:type="dxa"/>
          </w:tcPr>
          <w:p w14:paraId="33682F7E" w14:textId="485F2A45" w:rsidR="00A0732B" w:rsidRPr="003F7F6C" w:rsidRDefault="00A0732B" w:rsidP="00A0732B">
            <w:pPr>
              <w:rPr>
                <w:rFonts w:cs="Calibri"/>
                <w:sz w:val="18"/>
                <w:szCs w:val="18"/>
              </w:rPr>
            </w:pPr>
            <w:r w:rsidRPr="003F7F6C">
              <w:rPr>
                <w:rFonts w:cs="Calibri"/>
                <w:sz w:val="18"/>
                <w:szCs w:val="18"/>
              </w:rPr>
              <w:t>Lack of political will and commitment of institutional stakeholders for inter-institutional and inter-sectorial coordination for ELUP result</w:t>
            </w:r>
            <w:r w:rsidR="00FB6D2D" w:rsidRPr="003F7F6C">
              <w:rPr>
                <w:rFonts w:cs="Calibri"/>
                <w:sz w:val="18"/>
                <w:szCs w:val="18"/>
              </w:rPr>
              <w:t>s</w:t>
            </w:r>
            <w:r w:rsidRPr="003F7F6C">
              <w:rPr>
                <w:rFonts w:cs="Calibri"/>
                <w:sz w:val="18"/>
                <w:szCs w:val="18"/>
              </w:rPr>
              <w:t xml:space="preserve"> in reduced effectiveness of ELUP implementation</w:t>
            </w:r>
          </w:p>
          <w:p w14:paraId="3EF2BCC8" w14:textId="77777777" w:rsidR="00A0732B" w:rsidRPr="003F7F6C" w:rsidRDefault="00A0732B" w:rsidP="00A0732B">
            <w:pPr>
              <w:rPr>
                <w:rFonts w:cs="Calibri"/>
                <w:i/>
                <w:sz w:val="18"/>
                <w:szCs w:val="18"/>
              </w:rPr>
            </w:pPr>
          </w:p>
        </w:tc>
        <w:tc>
          <w:tcPr>
            <w:tcW w:w="1417" w:type="dxa"/>
          </w:tcPr>
          <w:p w14:paraId="01410D7E" w14:textId="77777777" w:rsidR="00A0732B" w:rsidRPr="003F7F6C" w:rsidRDefault="00A0732B" w:rsidP="00A0732B">
            <w:pPr>
              <w:rPr>
                <w:rFonts w:cs="Calibri"/>
                <w:sz w:val="18"/>
                <w:szCs w:val="18"/>
              </w:rPr>
            </w:pPr>
            <w:r w:rsidRPr="003F7F6C">
              <w:rPr>
                <w:rFonts w:cs="Calibri"/>
                <w:sz w:val="18"/>
                <w:szCs w:val="18"/>
              </w:rPr>
              <w:t>Institutional</w:t>
            </w:r>
          </w:p>
        </w:tc>
        <w:tc>
          <w:tcPr>
            <w:tcW w:w="2693" w:type="dxa"/>
          </w:tcPr>
          <w:p w14:paraId="37AF3D2B" w14:textId="77777777" w:rsidR="00A0732B" w:rsidRPr="003F7F6C" w:rsidRDefault="00A0732B" w:rsidP="00A0732B">
            <w:pPr>
              <w:rPr>
                <w:rFonts w:cs="Calibri"/>
                <w:sz w:val="18"/>
                <w:szCs w:val="18"/>
              </w:rPr>
            </w:pPr>
            <w:r w:rsidRPr="003F7F6C">
              <w:rPr>
                <w:rFonts w:cs="Calibri"/>
                <w:sz w:val="18"/>
                <w:szCs w:val="18"/>
              </w:rPr>
              <w:t>P= 3</w:t>
            </w:r>
          </w:p>
          <w:p w14:paraId="58CA5C68" w14:textId="77777777" w:rsidR="00A0732B" w:rsidRPr="003F7F6C" w:rsidRDefault="00A0732B" w:rsidP="00A0732B">
            <w:pPr>
              <w:rPr>
                <w:rFonts w:cs="Calibri"/>
                <w:sz w:val="18"/>
                <w:szCs w:val="18"/>
              </w:rPr>
            </w:pPr>
            <w:r w:rsidRPr="003F7F6C">
              <w:rPr>
                <w:rFonts w:cs="Calibri"/>
                <w:sz w:val="18"/>
                <w:szCs w:val="18"/>
              </w:rPr>
              <w:t xml:space="preserve">I= 4 </w:t>
            </w:r>
          </w:p>
          <w:p w14:paraId="6647F984" w14:textId="77777777" w:rsidR="00A0732B" w:rsidRPr="003F7F6C" w:rsidRDefault="00A0732B" w:rsidP="00A0732B">
            <w:pPr>
              <w:rPr>
                <w:rFonts w:cs="Calibri"/>
                <w:sz w:val="18"/>
                <w:szCs w:val="18"/>
              </w:rPr>
            </w:pPr>
            <w:r w:rsidRPr="003F7F6C">
              <w:rPr>
                <w:rFonts w:cs="Calibri"/>
                <w:sz w:val="18"/>
                <w:szCs w:val="18"/>
              </w:rPr>
              <w:t>Significance: Moderate</w:t>
            </w:r>
          </w:p>
          <w:p w14:paraId="723C20D4" w14:textId="77777777" w:rsidR="00A0732B" w:rsidRPr="003F7F6C" w:rsidRDefault="00A0732B" w:rsidP="00A0732B">
            <w:pPr>
              <w:rPr>
                <w:rFonts w:cs="Calibri"/>
                <w:sz w:val="18"/>
                <w:szCs w:val="18"/>
              </w:rPr>
            </w:pPr>
          </w:p>
          <w:p w14:paraId="07C46A18" w14:textId="77777777" w:rsidR="00A0732B" w:rsidRPr="003F7F6C" w:rsidRDefault="00A0732B" w:rsidP="00A0732B">
            <w:pPr>
              <w:rPr>
                <w:rFonts w:cs="Calibri"/>
                <w:sz w:val="18"/>
                <w:szCs w:val="18"/>
              </w:rPr>
            </w:pPr>
            <w:r w:rsidRPr="003F7F6C">
              <w:rPr>
                <w:rFonts w:cs="Calibri"/>
                <w:sz w:val="18"/>
                <w:szCs w:val="18"/>
                <w:u w:val="single"/>
              </w:rPr>
              <w:t>Potential impacts</w:t>
            </w:r>
            <w:r w:rsidRPr="003F7F6C">
              <w:rPr>
                <w:rFonts w:cs="Calibri"/>
                <w:sz w:val="18"/>
                <w:szCs w:val="18"/>
              </w:rPr>
              <w:t>:</w:t>
            </w:r>
          </w:p>
          <w:p w14:paraId="1526BE9D" w14:textId="77777777" w:rsidR="00A0732B" w:rsidRPr="003F7F6C" w:rsidRDefault="00A0732B" w:rsidP="00A0732B">
            <w:pPr>
              <w:rPr>
                <w:rFonts w:cs="Calibri"/>
                <w:sz w:val="18"/>
                <w:szCs w:val="18"/>
              </w:rPr>
            </w:pPr>
            <w:r w:rsidRPr="003F7F6C">
              <w:rPr>
                <w:rFonts w:cs="Calibri"/>
                <w:sz w:val="18"/>
                <w:szCs w:val="18"/>
              </w:rPr>
              <w:t>Key institutional stakeholders will continue interventions based on a sectoral approach with little or no coordination. Lack of mainstreaming of ELUP will continue to weaken coordinated planning efforts. ELUP is not sufficient to halt environmental problems.</w:t>
            </w:r>
          </w:p>
          <w:p w14:paraId="0A6B40BD" w14:textId="77777777" w:rsidR="00A0732B" w:rsidRPr="003F7F6C" w:rsidRDefault="00A0732B" w:rsidP="00A0732B">
            <w:pPr>
              <w:rPr>
                <w:rFonts w:cs="Calibri"/>
                <w:sz w:val="18"/>
                <w:szCs w:val="18"/>
              </w:rPr>
            </w:pPr>
          </w:p>
          <w:p w14:paraId="4F9F52E0" w14:textId="77777777" w:rsidR="00A0732B" w:rsidRPr="003F7F6C" w:rsidRDefault="00A0732B" w:rsidP="00A0732B">
            <w:pPr>
              <w:rPr>
                <w:rFonts w:cs="Calibri"/>
                <w:sz w:val="18"/>
                <w:szCs w:val="18"/>
              </w:rPr>
            </w:pPr>
          </w:p>
        </w:tc>
        <w:tc>
          <w:tcPr>
            <w:tcW w:w="5529" w:type="dxa"/>
          </w:tcPr>
          <w:p w14:paraId="2E3B2867" w14:textId="3CAEF826" w:rsidR="00A0732B" w:rsidRPr="003F7F6C" w:rsidRDefault="00A0732B" w:rsidP="00A0732B">
            <w:pPr>
              <w:rPr>
                <w:rFonts w:cs="Calibri"/>
                <w:sz w:val="18"/>
                <w:szCs w:val="18"/>
              </w:rPr>
            </w:pPr>
            <w:r w:rsidRPr="003F7F6C">
              <w:rPr>
                <w:rFonts w:cs="Calibri"/>
                <w:sz w:val="18"/>
                <w:szCs w:val="18"/>
              </w:rPr>
              <w:t xml:space="preserve">The General Law of the Environment charges the SGAyDS with the role of leading mainstreaming and implementation of ELUP.  The project will support SGAyDS in leading this process and fulfilling its mandate.  The three pilot provinces will be part of the Project Board thus ensuring political dialogue for implementation of ELUP. Key sector institutions will be invited to participate in the Project´s Technical Committee (see Section VIII on implementation arrangements). This will ensure dialogue at </w:t>
            </w:r>
            <w:r w:rsidR="00397F04" w:rsidRPr="003F7F6C">
              <w:rPr>
                <w:rFonts w:cs="Calibri"/>
                <w:sz w:val="18"/>
                <w:szCs w:val="18"/>
              </w:rPr>
              <w:t xml:space="preserve">the </w:t>
            </w:r>
            <w:r w:rsidRPr="003F7F6C">
              <w:rPr>
                <w:rFonts w:cs="Calibri"/>
                <w:sz w:val="18"/>
                <w:szCs w:val="18"/>
              </w:rPr>
              <w:t xml:space="preserve">managerial and technical level as well as coherence in planning and implementation of </w:t>
            </w:r>
            <w:r w:rsidR="00397F04" w:rsidRPr="003F7F6C">
              <w:rPr>
                <w:rFonts w:cs="Calibri"/>
                <w:sz w:val="18"/>
                <w:szCs w:val="18"/>
              </w:rPr>
              <w:t>p</w:t>
            </w:r>
            <w:r w:rsidRPr="003F7F6C">
              <w:rPr>
                <w:rFonts w:cs="Calibri"/>
                <w:sz w:val="18"/>
                <w:szCs w:val="18"/>
              </w:rPr>
              <w:t xml:space="preserve">roject interventions.  </w:t>
            </w:r>
          </w:p>
          <w:p w14:paraId="2E89C6C5" w14:textId="5F4CC487" w:rsidR="00A0732B" w:rsidRPr="003F7F6C" w:rsidRDefault="00A0732B" w:rsidP="00A0732B">
            <w:pPr>
              <w:rPr>
                <w:rFonts w:cs="Calibri"/>
                <w:sz w:val="18"/>
                <w:szCs w:val="18"/>
              </w:rPr>
            </w:pPr>
            <w:r w:rsidRPr="003F7F6C">
              <w:rPr>
                <w:rFonts w:cs="Calibri"/>
                <w:sz w:val="18"/>
                <w:szCs w:val="18"/>
              </w:rPr>
              <w:t>The project will also promote inter-institutional and inter-sectoral coordination through several interventions: i) strengthening dialogue at national and provincial level</w:t>
            </w:r>
            <w:r w:rsidR="00397F04" w:rsidRPr="003F7F6C">
              <w:rPr>
                <w:rFonts w:cs="Calibri"/>
                <w:sz w:val="18"/>
                <w:szCs w:val="18"/>
              </w:rPr>
              <w:t>s</w:t>
            </w:r>
            <w:r w:rsidRPr="003F7F6C">
              <w:rPr>
                <w:rFonts w:cs="Calibri"/>
                <w:sz w:val="18"/>
                <w:szCs w:val="18"/>
              </w:rPr>
              <w:t xml:space="preserve">; ii) participatory and joint development of standards and regulations will reinforce coordination between sector institutions and jurisdictions; iii) multi-stakeholder coordination mechanisms will serve as a long term space where the different national and provincial sectors can align, take ownership and develop joint concrete actions. The national and provincial dialogue spaces will promote coordination for ELUP, while the sustainable </w:t>
            </w:r>
            <w:r w:rsidR="00793578" w:rsidRPr="003F7F6C">
              <w:rPr>
                <w:rFonts w:cs="Calibri"/>
                <w:sz w:val="18"/>
                <w:szCs w:val="18"/>
              </w:rPr>
              <w:t xml:space="preserve">beef </w:t>
            </w:r>
            <w:r w:rsidRPr="003F7F6C">
              <w:rPr>
                <w:rFonts w:cs="Calibri"/>
                <w:sz w:val="18"/>
                <w:szCs w:val="18"/>
              </w:rPr>
              <w:t xml:space="preserve">platform will engage the productive sectors to agree on sustainable production policies and market access for sustainable production within </w:t>
            </w:r>
            <w:r w:rsidR="00793578" w:rsidRPr="003F7F6C">
              <w:rPr>
                <w:rFonts w:cs="Calibri"/>
                <w:sz w:val="18"/>
                <w:szCs w:val="18"/>
              </w:rPr>
              <w:t>the</w:t>
            </w:r>
            <w:r w:rsidRPr="003F7F6C">
              <w:rPr>
                <w:rFonts w:cs="Calibri"/>
                <w:sz w:val="18"/>
                <w:szCs w:val="18"/>
              </w:rPr>
              <w:t xml:space="preserve"> framework of ELUP. Different government institutions will be involved in the project, thus reinforcing their commitment and participation; and iv) training will serve to raise awareness and build capacities at different levels for ELUP implementation. </w:t>
            </w:r>
          </w:p>
        </w:tc>
        <w:tc>
          <w:tcPr>
            <w:tcW w:w="992" w:type="dxa"/>
            <w:shd w:val="clear" w:color="auto" w:fill="auto"/>
          </w:tcPr>
          <w:p w14:paraId="769B34C0" w14:textId="77777777" w:rsidR="00A0732B" w:rsidRPr="003F7F6C" w:rsidRDefault="00A0732B" w:rsidP="00A0732B">
            <w:pPr>
              <w:rPr>
                <w:rFonts w:cs="Calibri"/>
                <w:sz w:val="18"/>
                <w:szCs w:val="18"/>
              </w:rPr>
            </w:pPr>
            <w:r w:rsidRPr="003F7F6C">
              <w:rPr>
                <w:rFonts w:cs="Calibri"/>
                <w:sz w:val="18"/>
                <w:szCs w:val="18"/>
              </w:rPr>
              <w:t>UNDP CO</w:t>
            </w:r>
          </w:p>
        </w:tc>
        <w:tc>
          <w:tcPr>
            <w:tcW w:w="963" w:type="dxa"/>
            <w:shd w:val="clear" w:color="auto" w:fill="auto"/>
          </w:tcPr>
          <w:p w14:paraId="3B43AB00" w14:textId="77777777" w:rsidR="00A0732B" w:rsidRPr="003F7F6C" w:rsidRDefault="00A0732B" w:rsidP="00A0732B">
            <w:pPr>
              <w:rPr>
                <w:rFonts w:cs="Calibri"/>
                <w:sz w:val="18"/>
                <w:szCs w:val="18"/>
              </w:rPr>
            </w:pPr>
            <w:r w:rsidRPr="003F7F6C">
              <w:rPr>
                <w:rFonts w:cs="Calibri"/>
                <w:sz w:val="18"/>
                <w:szCs w:val="18"/>
              </w:rPr>
              <w:t>Identified risk</w:t>
            </w:r>
          </w:p>
        </w:tc>
      </w:tr>
      <w:tr w:rsidR="00A0732B" w:rsidRPr="003F7F6C" w14:paraId="38963640" w14:textId="77777777" w:rsidTr="00A0732B">
        <w:tc>
          <w:tcPr>
            <w:tcW w:w="2037" w:type="dxa"/>
          </w:tcPr>
          <w:p w14:paraId="6B56CBCA" w14:textId="5AC295B3" w:rsidR="00A0732B" w:rsidRPr="003F7F6C" w:rsidRDefault="00A0732B" w:rsidP="00A0732B">
            <w:pPr>
              <w:rPr>
                <w:rFonts w:cs="Calibri"/>
                <w:color w:val="000000"/>
                <w:sz w:val="18"/>
                <w:szCs w:val="18"/>
              </w:rPr>
            </w:pPr>
            <w:r w:rsidRPr="003F7F6C">
              <w:rPr>
                <w:rFonts w:cs="Calibri"/>
                <w:color w:val="000000"/>
                <w:sz w:val="18"/>
                <w:szCs w:val="18"/>
              </w:rPr>
              <w:t>High staff turnover (authorities and technical personnel) of implementing partner and key institutions at national, provincial and municipal levels delay</w:t>
            </w:r>
            <w:r w:rsidR="00793578" w:rsidRPr="003F7F6C">
              <w:rPr>
                <w:rFonts w:cs="Calibri"/>
                <w:color w:val="000000"/>
                <w:sz w:val="18"/>
                <w:szCs w:val="18"/>
              </w:rPr>
              <w:t>s</w:t>
            </w:r>
            <w:r w:rsidRPr="003F7F6C">
              <w:rPr>
                <w:rFonts w:cs="Calibri"/>
                <w:color w:val="000000"/>
                <w:sz w:val="18"/>
                <w:szCs w:val="18"/>
              </w:rPr>
              <w:t xml:space="preserve"> project implementation and reduces uptaking of ELUP</w:t>
            </w:r>
          </w:p>
          <w:p w14:paraId="7BD4FA18" w14:textId="77777777" w:rsidR="00A0732B" w:rsidRPr="003F7F6C" w:rsidRDefault="00A0732B" w:rsidP="00A0732B">
            <w:pPr>
              <w:rPr>
                <w:rFonts w:cs="Calibri"/>
                <w:color w:val="000000"/>
                <w:sz w:val="18"/>
                <w:szCs w:val="18"/>
              </w:rPr>
            </w:pPr>
          </w:p>
          <w:p w14:paraId="348B5258" w14:textId="77777777" w:rsidR="00A0732B" w:rsidRPr="003F7F6C" w:rsidRDefault="00A0732B" w:rsidP="00A0732B">
            <w:pPr>
              <w:rPr>
                <w:rFonts w:cs="Calibri"/>
                <w:bCs/>
                <w:sz w:val="18"/>
                <w:szCs w:val="18"/>
              </w:rPr>
            </w:pPr>
          </w:p>
        </w:tc>
        <w:tc>
          <w:tcPr>
            <w:tcW w:w="1417" w:type="dxa"/>
          </w:tcPr>
          <w:p w14:paraId="5FE2DBE6" w14:textId="77777777" w:rsidR="00A0732B" w:rsidRPr="003F7F6C" w:rsidRDefault="00A0732B" w:rsidP="00A0732B">
            <w:pPr>
              <w:rPr>
                <w:rFonts w:cs="Calibri"/>
                <w:b/>
                <w:i/>
                <w:sz w:val="18"/>
                <w:szCs w:val="18"/>
              </w:rPr>
            </w:pPr>
            <w:r w:rsidRPr="003F7F6C">
              <w:rPr>
                <w:rFonts w:cs="Calibri"/>
                <w:sz w:val="18"/>
                <w:szCs w:val="18"/>
              </w:rPr>
              <w:t>Institutional</w:t>
            </w:r>
          </w:p>
        </w:tc>
        <w:tc>
          <w:tcPr>
            <w:tcW w:w="2693" w:type="dxa"/>
          </w:tcPr>
          <w:p w14:paraId="1D1AEFE8" w14:textId="77777777" w:rsidR="00A0732B" w:rsidRPr="003F7F6C" w:rsidRDefault="00A0732B" w:rsidP="00A0732B">
            <w:pPr>
              <w:rPr>
                <w:rFonts w:cs="Calibri"/>
                <w:sz w:val="18"/>
                <w:szCs w:val="18"/>
              </w:rPr>
            </w:pPr>
            <w:r w:rsidRPr="003F7F6C">
              <w:rPr>
                <w:rFonts w:cs="Calibri"/>
                <w:sz w:val="18"/>
                <w:szCs w:val="18"/>
              </w:rPr>
              <w:t>P= 4</w:t>
            </w:r>
          </w:p>
          <w:p w14:paraId="2D725998" w14:textId="77777777" w:rsidR="00A0732B" w:rsidRPr="003F7F6C" w:rsidRDefault="00A0732B" w:rsidP="00A0732B">
            <w:pPr>
              <w:rPr>
                <w:rFonts w:cs="Calibri"/>
                <w:sz w:val="18"/>
                <w:szCs w:val="18"/>
              </w:rPr>
            </w:pPr>
            <w:r w:rsidRPr="003F7F6C">
              <w:rPr>
                <w:rFonts w:cs="Calibri"/>
                <w:sz w:val="18"/>
                <w:szCs w:val="18"/>
              </w:rPr>
              <w:t>I= 3</w:t>
            </w:r>
          </w:p>
          <w:p w14:paraId="16E3EC8B" w14:textId="77777777" w:rsidR="00A0732B" w:rsidRPr="003F7F6C" w:rsidRDefault="00A0732B" w:rsidP="00A0732B">
            <w:pPr>
              <w:rPr>
                <w:rFonts w:cs="Calibri"/>
                <w:sz w:val="18"/>
                <w:szCs w:val="18"/>
              </w:rPr>
            </w:pPr>
            <w:r w:rsidRPr="003F7F6C">
              <w:rPr>
                <w:rFonts w:cs="Calibri"/>
                <w:sz w:val="18"/>
                <w:szCs w:val="18"/>
              </w:rPr>
              <w:t>Significance: Moderate</w:t>
            </w:r>
          </w:p>
          <w:p w14:paraId="40F65F8C" w14:textId="77777777" w:rsidR="00A0732B" w:rsidRPr="003F7F6C" w:rsidRDefault="00A0732B" w:rsidP="00A0732B">
            <w:pPr>
              <w:rPr>
                <w:rFonts w:cs="Calibri"/>
                <w:sz w:val="18"/>
                <w:szCs w:val="18"/>
              </w:rPr>
            </w:pPr>
          </w:p>
          <w:p w14:paraId="46BC4989" w14:textId="77777777" w:rsidR="00A0732B" w:rsidRPr="003F7F6C" w:rsidRDefault="00A0732B" w:rsidP="00A0732B">
            <w:pPr>
              <w:rPr>
                <w:rFonts w:cs="Calibri"/>
                <w:sz w:val="18"/>
                <w:szCs w:val="18"/>
              </w:rPr>
            </w:pPr>
            <w:r w:rsidRPr="003F7F6C">
              <w:rPr>
                <w:rFonts w:cs="Calibri"/>
                <w:sz w:val="18"/>
                <w:szCs w:val="18"/>
                <w:u w:val="single"/>
              </w:rPr>
              <w:t>Potential impacts</w:t>
            </w:r>
            <w:r w:rsidRPr="003F7F6C">
              <w:rPr>
                <w:rFonts w:cs="Calibri"/>
                <w:sz w:val="18"/>
                <w:szCs w:val="18"/>
              </w:rPr>
              <w:t>:</w:t>
            </w:r>
          </w:p>
          <w:p w14:paraId="405DF824" w14:textId="27E92DE7" w:rsidR="00A0732B" w:rsidRPr="003F7F6C" w:rsidRDefault="00A0732B" w:rsidP="000D5B4E">
            <w:pPr>
              <w:jc w:val="left"/>
              <w:rPr>
                <w:rFonts w:cs="Calibri"/>
                <w:sz w:val="18"/>
                <w:szCs w:val="18"/>
              </w:rPr>
            </w:pPr>
            <w:r w:rsidRPr="003F7F6C">
              <w:rPr>
                <w:rFonts w:cs="Calibri"/>
                <w:sz w:val="18"/>
                <w:szCs w:val="18"/>
              </w:rPr>
              <w:t xml:space="preserve">Periodic rotation of </w:t>
            </w:r>
            <w:r w:rsidR="008776A1" w:rsidRPr="003F7F6C">
              <w:rPr>
                <w:rFonts w:cs="Calibri"/>
                <w:sz w:val="18"/>
                <w:szCs w:val="18"/>
              </w:rPr>
              <w:t xml:space="preserve">the </w:t>
            </w:r>
            <w:r w:rsidRPr="003F7F6C">
              <w:rPr>
                <w:rFonts w:cs="Calibri"/>
                <w:sz w:val="18"/>
                <w:szCs w:val="18"/>
              </w:rPr>
              <w:t>staff of public institutions. New staff may replace trained technical staff without knowledge o</w:t>
            </w:r>
            <w:r w:rsidR="008776A1" w:rsidRPr="003F7F6C">
              <w:rPr>
                <w:rFonts w:cs="Calibri"/>
                <w:sz w:val="18"/>
                <w:szCs w:val="18"/>
              </w:rPr>
              <w:t>f</w:t>
            </w:r>
            <w:r w:rsidRPr="003F7F6C">
              <w:rPr>
                <w:rFonts w:cs="Calibri"/>
                <w:sz w:val="18"/>
                <w:szCs w:val="18"/>
              </w:rPr>
              <w:t xml:space="preserve"> </w:t>
            </w:r>
            <w:r w:rsidR="008776A1" w:rsidRPr="003F7F6C">
              <w:rPr>
                <w:rFonts w:cs="Calibri"/>
                <w:sz w:val="18"/>
                <w:szCs w:val="18"/>
              </w:rPr>
              <w:t>p</w:t>
            </w:r>
            <w:r w:rsidRPr="003F7F6C">
              <w:rPr>
                <w:rFonts w:cs="Calibri"/>
                <w:sz w:val="18"/>
                <w:szCs w:val="18"/>
              </w:rPr>
              <w:t>roject themes (e.g.</w:t>
            </w:r>
            <w:r w:rsidR="008776A1" w:rsidRPr="003F7F6C">
              <w:rPr>
                <w:rFonts w:cs="Calibri"/>
                <w:sz w:val="18"/>
                <w:szCs w:val="18"/>
              </w:rPr>
              <w:t>,</w:t>
            </w:r>
            <w:r w:rsidRPr="003F7F6C">
              <w:rPr>
                <w:rFonts w:cs="Calibri"/>
                <w:sz w:val="18"/>
                <w:szCs w:val="18"/>
              </w:rPr>
              <w:t xml:space="preserve"> ELUP, sustainable production) hence delaying capacity development and project activities. Implementation arrangements between SGAyDS and provinces may encounter difficulties due to changes in authorities.</w:t>
            </w:r>
          </w:p>
        </w:tc>
        <w:tc>
          <w:tcPr>
            <w:tcW w:w="5529" w:type="dxa"/>
          </w:tcPr>
          <w:p w14:paraId="70056214" w14:textId="7437B4AD" w:rsidR="00A0732B" w:rsidRPr="003F7F6C" w:rsidRDefault="00A0732B" w:rsidP="00A0732B">
            <w:pPr>
              <w:rPr>
                <w:rFonts w:cs="Calibri"/>
                <w:sz w:val="18"/>
                <w:szCs w:val="18"/>
              </w:rPr>
            </w:pPr>
            <w:r w:rsidRPr="003F7F6C">
              <w:rPr>
                <w:rFonts w:cs="Calibri"/>
                <w:sz w:val="18"/>
                <w:szCs w:val="18"/>
              </w:rPr>
              <w:t>The participating institutions will sign inter-institutional agreements for coordination and implementation of project interventions (e.g.</w:t>
            </w:r>
            <w:r w:rsidR="00793578" w:rsidRPr="003F7F6C">
              <w:rPr>
                <w:rFonts w:cs="Calibri"/>
                <w:sz w:val="18"/>
                <w:szCs w:val="18"/>
              </w:rPr>
              <w:t>,</w:t>
            </w:r>
            <w:r w:rsidRPr="003F7F6C">
              <w:rPr>
                <w:rFonts w:cs="Calibri"/>
                <w:sz w:val="18"/>
                <w:szCs w:val="18"/>
              </w:rPr>
              <w:t xml:space="preserve"> SGAyDS and provinces, and with sectoral institutions). The project will promote adequate coordination at all levels amongst all institutions and stakeholders, with clearly defined roles and responsibilities and decision-making channels.  In case of significant changes that may affect project implementation</w:t>
            </w:r>
            <w:r w:rsidR="00793578" w:rsidRPr="003F7F6C">
              <w:rPr>
                <w:rFonts w:cs="Calibri"/>
                <w:sz w:val="18"/>
                <w:szCs w:val="18"/>
              </w:rPr>
              <w:t>,</w:t>
            </w:r>
            <w:r w:rsidRPr="003F7F6C">
              <w:rPr>
                <w:rFonts w:cs="Calibri"/>
                <w:sz w:val="18"/>
                <w:szCs w:val="18"/>
              </w:rPr>
              <w:t xml:space="preserve"> the Project Board and the Project Coordinator will promote high level and/or technical meetings and prepare information materials to inform and raise awareness on the value of the project for ELUP mainstreaming and compliance with the General Law of the Environment.  UNDP as implementing agency will provide a neutral space for project implementation and promoting dialogue in case of changes of authorities to inform and raise awareness on the importance of the project.  </w:t>
            </w:r>
          </w:p>
          <w:p w14:paraId="199093C7" w14:textId="77777777" w:rsidR="00A0732B" w:rsidRPr="003F7F6C" w:rsidRDefault="00A0732B" w:rsidP="00A0732B">
            <w:pPr>
              <w:rPr>
                <w:rFonts w:cs="Calibri"/>
                <w:sz w:val="18"/>
                <w:szCs w:val="18"/>
              </w:rPr>
            </w:pPr>
            <w:r w:rsidRPr="003F7F6C">
              <w:rPr>
                <w:rFonts w:cs="Calibri"/>
                <w:sz w:val="18"/>
                <w:szCs w:val="18"/>
              </w:rPr>
              <w:t>The project will support building a policy and regulatory framework agreed upon by consensus between SGAyDS and provincial governments that will aid in continuity of actions in case of changes.</w:t>
            </w:r>
          </w:p>
          <w:p w14:paraId="5A81EC2B" w14:textId="1D83F309" w:rsidR="00A0732B" w:rsidRPr="003F7F6C" w:rsidRDefault="00A0732B" w:rsidP="00A0732B">
            <w:pPr>
              <w:pStyle w:val="NormalWeb"/>
              <w:spacing w:before="0" w:beforeAutospacing="0" w:after="0" w:afterAutospacing="0"/>
              <w:rPr>
                <w:rFonts w:ascii="Calibri" w:hAnsi="Calibri" w:cs="Calibri"/>
                <w:sz w:val="18"/>
                <w:szCs w:val="18"/>
              </w:rPr>
            </w:pPr>
            <w:r w:rsidRPr="003F7F6C">
              <w:rPr>
                <w:rFonts w:ascii="Calibri" w:hAnsi="Calibri" w:cs="Calibri"/>
                <w:sz w:val="18"/>
                <w:szCs w:val="18"/>
              </w:rPr>
              <w:t>The multi-stakeholder dialogue spaces will serve to reinforce dialogue and dissemination of project</w:t>
            </w:r>
            <w:r w:rsidR="00793578" w:rsidRPr="003F7F6C">
              <w:rPr>
                <w:rFonts w:ascii="Calibri" w:hAnsi="Calibri" w:cs="Calibri"/>
                <w:sz w:val="18"/>
                <w:szCs w:val="18"/>
              </w:rPr>
              <w:t>-</w:t>
            </w:r>
            <w:r w:rsidRPr="003F7F6C">
              <w:rPr>
                <w:rFonts w:ascii="Calibri" w:hAnsi="Calibri" w:cs="Calibri"/>
                <w:sz w:val="18"/>
                <w:szCs w:val="18"/>
              </w:rPr>
              <w:t>related information to new authorities and staff</w:t>
            </w:r>
            <w:r w:rsidR="007334D5" w:rsidRPr="003F7F6C">
              <w:rPr>
                <w:rFonts w:ascii="Calibri" w:hAnsi="Calibri" w:cs="Calibri"/>
                <w:sz w:val="18"/>
                <w:szCs w:val="18"/>
              </w:rPr>
              <w:t xml:space="preserve"> member</w:t>
            </w:r>
            <w:r w:rsidRPr="003F7F6C">
              <w:rPr>
                <w:rFonts w:ascii="Calibri" w:hAnsi="Calibri" w:cs="Calibri"/>
                <w:sz w:val="18"/>
                <w:szCs w:val="18"/>
              </w:rPr>
              <w:t>s. These spaces will also serve to ensure the relevance of ELUP decisions and their consistency with local priorities</w:t>
            </w:r>
            <w:r w:rsidR="007334D5" w:rsidRPr="003F7F6C">
              <w:rPr>
                <w:rFonts w:ascii="Calibri" w:hAnsi="Calibri" w:cs="Calibri"/>
                <w:sz w:val="18"/>
                <w:szCs w:val="18"/>
              </w:rPr>
              <w:t>,</w:t>
            </w:r>
            <w:r w:rsidRPr="003F7F6C">
              <w:rPr>
                <w:rFonts w:ascii="Calibri" w:hAnsi="Calibri" w:cs="Calibri"/>
                <w:sz w:val="18"/>
                <w:szCs w:val="18"/>
              </w:rPr>
              <w:t xml:space="preserve"> there</w:t>
            </w:r>
            <w:r w:rsidR="007334D5" w:rsidRPr="003F7F6C">
              <w:rPr>
                <w:rFonts w:ascii="Calibri" w:hAnsi="Calibri" w:cs="Calibri"/>
                <w:sz w:val="18"/>
                <w:szCs w:val="18"/>
              </w:rPr>
              <w:t>by</w:t>
            </w:r>
            <w:r w:rsidRPr="003F7F6C">
              <w:rPr>
                <w:rFonts w:ascii="Calibri" w:hAnsi="Calibri" w:cs="Calibri"/>
                <w:sz w:val="18"/>
                <w:szCs w:val="18"/>
              </w:rPr>
              <w:t xml:space="preserve"> facilitating continuity. Ensuring the commitment of the private sector (particularly in the sustainable </w:t>
            </w:r>
            <w:r w:rsidR="008776A1" w:rsidRPr="003F7F6C">
              <w:rPr>
                <w:rFonts w:ascii="Calibri" w:hAnsi="Calibri" w:cs="Calibri"/>
                <w:sz w:val="18"/>
                <w:szCs w:val="18"/>
              </w:rPr>
              <w:t xml:space="preserve">beef </w:t>
            </w:r>
            <w:r w:rsidRPr="003F7F6C">
              <w:rPr>
                <w:rFonts w:ascii="Calibri" w:hAnsi="Calibri" w:cs="Calibri"/>
                <w:sz w:val="18"/>
                <w:szCs w:val="18"/>
              </w:rPr>
              <w:t>platform) will survive any changes in the public sector when there is a change in administration.</w:t>
            </w:r>
          </w:p>
          <w:p w14:paraId="454E1446" w14:textId="3937EC60" w:rsidR="00A0732B" w:rsidRPr="003F7F6C" w:rsidRDefault="00A0732B" w:rsidP="00A0732B">
            <w:pPr>
              <w:pStyle w:val="NormalWeb"/>
              <w:spacing w:before="0" w:beforeAutospacing="0" w:after="0" w:afterAutospacing="0"/>
              <w:rPr>
                <w:rFonts w:ascii="Calibri" w:hAnsi="Calibri" w:cs="Calibri"/>
                <w:sz w:val="18"/>
                <w:szCs w:val="18"/>
              </w:rPr>
            </w:pPr>
            <w:r w:rsidRPr="003F7F6C">
              <w:rPr>
                <w:rFonts w:ascii="Calibri" w:hAnsi="Calibri" w:cs="Calibri"/>
                <w:sz w:val="18"/>
                <w:szCs w:val="18"/>
              </w:rPr>
              <w:t>The project will incorporate new staff</w:t>
            </w:r>
            <w:r w:rsidR="008776A1" w:rsidRPr="003F7F6C">
              <w:rPr>
                <w:rFonts w:ascii="Calibri" w:hAnsi="Calibri" w:cs="Calibri"/>
                <w:sz w:val="18"/>
                <w:szCs w:val="18"/>
              </w:rPr>
              <w:t xml:space="preserve"> member</w:t>
            </w:r>
            <w:r w:rsidRPr="003F7F6C">
              <w:rPr>
                <w:rFonts w:ascii="Calibri" w:hAnsi="Calibri" w:cs="Calibri"/>
                <w:sz w:val="18"/>
                <w:szCs w:val="18"/>
              </w:rPr>
              <w:t>s in the training programs to continue raising awareness and building capacities in ELUP.</w:t>
            </w:r>
          </w:p>
          <w:p w14:paraId="5F6C956C" w14:textId="77777777" w:rsidR="00A0732B" w:rsidRPr="003F7F6C" w:rsidRDefault="00A0732B" w:rsidP="00A0732B">
            <w:pPr>
              <w:rPr>
                <w:rFonts w:cs="Calibri"/>
                <w:sz w:val="18"/>
                <w:szCs w:val="18"/>
              </w:rPr>
            </w:pPr>
            <w:r w:rsidRPr="003F7F6C">
              <w:rPr>
                <w:rFonts w:cs="Calibri"/>
                <w:sz w:val="18"/>
                <w:szCs w:val="18"/>
              </w:rPr>
              <w:t>The project´s communication strategy will also contribute to awareness raising when there is a change in administration.</w:t>
            </w:r>
          </w:p>
        </w:tc>
        <w:tc>
          <w:tcPr>
            <w:tcW w:w="992" w:type="dxa"/>
            <w:shd w:val="clear" w:color="auto" w:fill="auto"/>
          </w:tcPr>
          <w:p w14:paraId="63AD41D3" w14:textId="77777777" w:rsidR="00A0732B" w:rsidRPr="003F7F6C" w:rsidRDefault="00A0732B" w:rsidP="00A0732B">
            <w:pPr>
              <w:rPr>
                <w:rFonts w:cs="Calibri"/>
                <w:sz w:val="18"/>
                <w:szCs w:val="18"/>
              </w:rPr>
            </w:pPr>
            <w:r w:rsidRPr="003F7F6C">
              <w:rPr>
                <w:rFonts w:cs="Calibri"/>
                <w:sz w:val="18"/>
                <w:szCs w:val="18"/>
              </w:rPr>
              <w:t>UNDP CO</w:t>
            </w:r>
          </w:p>
        </w:tc>
        <w:tc>
          <w:tcPr>
            <w:tcW w:w="963" w:type="dxa"/>
            <w:shd w:val="clear" w:color="auto" w:fill="auto"/>
          </w:tcPr>
          <w:p w14:paraId="08C32395" w14:textId="77777777" w:rsidR="00A0732B" w:rsidRPr="003F7F6C" w:rsidRDefault="00A0732B" w:rsidP="00A0732B">
            <w:pPr>
              <w:rPr>
                <w:rFonts w:cs="Calibri"/>
                <w:sz w:val="18"/>
                <w:szCs w:val="18"/>
              </w:rPr>
            </w:pPr>
            <w:r w:rsidRPr="003F7F6C">
              <w:rPr>
                <w:rFonts w:cs="Calibri"/>
                <w:sz w:val="18"/>
                <w:szCs w:val="18"/>
              </w:rPr>
              <w:t>Identified risk</w:t>
            </w:r>
          </w:p>
          <w:p w14:paraId="4138BC22" w14:textId="77777777" w:rsidR="00A0732B" w:rsidRPr="003F7F6C" w:rsidRDefault="00A0732B" w:rsidP="00A0732B">
            <w:pPr>
              <w:rPr>
                <w:rFonts w:cs="Calibri"/>
                <w:sz w:val="18"/>
                <w:szCs w:val="18"/>
              </w:rPr>
            </w:pPr>
          </w:p>
        </w:tc>
      </w:tr>
      <w:tr w:rsidR="00A0732B" w:rsidRPr="003F7F6C" w14:paraId="4EDF9471" w14:textId="77777777" w:rsidTr="00A0732B">
        <w:tc>
          <w:tcPr>
            <w:tcW w:w="2037" w:type="dxa"/>
          </w:tcPr>
          <w:p w14:paraId="75ABFD2E" w14:textId="2937C358" w:rsidR="00A0732B" w:rsidRPr="003F7F6C" w:rsidRDefault="00A0732B" w:rsidP="00A0732B">
            <w:pPr>
              <w:widowControl w:val="0"/>
              <w:autoSpaceDE w:val="0"/>
              <w:autoSpaceDN w:val="0"/>
              <w:adjustRightInd w:val="0"/>
              <w:rPr>
                <w:rFonts w:eastAsia="MS Mincho" w:cs="Calibri"/>
                <w:color w:val="1A1A1A"/>
                <w:sz w:val="18"/>
                <w:szCs w:val="18"/>
                <w:lang w:eastAsia="es-ES"/>
              </w:rPr>
            </w:pPr>
            <w:r w:rsidRPr="003F7F6C">
              <w:rPr>
                <w:rFonts w:eastAsia="MS Mincho" w:cs="Calibri"/>
                <w:color w:val="1A1A1A"/>
                <w:sz w:val="18"/>
                <w:szCs w:val="18"/>
                <w:lang w:eastAsia="es-ES"/>
              </w:rPr>
              <w:t xml:space="preserve">Argentina´s financial crisis may affect </w:t>
            </w:r>
            <w:r w:rsidR="008776A1" w:rsidRPr="003F7F6C">
              <w:rPr>
                <w:rFonts w:eastAsia="MS Mincho" w:cs="Calibri"/>
                <w:color w:val="1A1A1A"/>
                <w:sz w:val="18"/>
                <w:szCs w:val="18"/>
                <w:lang w:eastAsia="es-ES"/>
              </w:rPr>
              <w:t xml:space="preserve">timely </w:t>
            </w:r>
            <w:r w:rsidRPr="003F7F6C">
              <w:rPr>
                <w:rFonts w:eastAsia="MS Mincho" w:cs="Calibri"/>
                <w:color w:val="1A1A1A"/>
                <w:sz w:val="18"/>
                <w:szCs w:val="18"/>
                <w:lang w:eastAsia="es-ES"/>
              </w:rPr>
              <w:t xml:space="preserve">availability of co-financing for project implementation or may </w:t>
            </w:r>
            <w:r w:rsidR="008776A1" w:rsidRPr="003F7F6C">
              <w:rPr>
                <w:rFonts w:eastAsia="MS Mincho" w:cs="Calibri"/>
                <w:color w:val="1A1A1A"/>
                <w:sz w:val="18"/>
                <w:szCs w:val="18"/>
                <w:lang w:eastAsia="es-ES"/>
              </w:rPr>
              <w:t xml:space="preserve">reduce the co-financing </w:t>
            </w:r>
            <w:r w:rsidRPr="003F7F6C">
              <w:rPr>
                <w:rFonts w:eastAsia="MS Mincho" w:cs="Calibri"/>
                <w:color w:val="1A1A1A"/>
                <w:sz w:val="18"/>
                <w:szCs w:val="18"/>
                <w:lang w:eastAsia="es-ES"/>
              </w:rPr>
              <w:t xml:space="preserve">due to budgetary restrictions </w:t>
            </w:r>
          </w:p>
          <w:p w14:paraId="621CB5EF" w14:textId="77777777" w:rsidR="00A0732B" w:rsidRPr="003F7F6C" w:rsidRDefault="00A0732B" w:rsidP="00A0732B">
            <w:pPr>
              <w:rPr>
                <w:rFonts w:cs="Calibri"/>
                <w:color w:val="000000"/>
                <w:sz w:val="18"/>
                <w:szCs w:val="18"/>
              </w:rPr>
            </w:pPr>
          </w:p>
          <w:p w14:paraId="027C8525" w14:textId="77777777" w:rsidR="00A0732B" w:rsidRPr="003F7F6C" w:rsidRDefault="00A0732B" w:rsidP="00A0732B">
            <w:pPr>
              <w:rPr>
                <w:rFonts w:cs="Calibri"/>
                <w:color w:val="000000"/>
                <w:sz w:val="18"/>
                <w:szCs w:val="18"/>
              </w:rPr>
            </w:pPr>
          </w:p>
          <w:p w14:paraId="7E0C7E75" w14:textId="77777777" w:rsidR="00A0732B" w:rsidRPr="003F7F6C" w:rsidRDefault="00A0732B" w:rsidP="00A0732B">
            <w:pPr>
              <w:rPr>
                <w:rFonts w:cs="Calibri"/>
                <w:color w:val="000000"/>
                <w:sz w:val="18"/>
                <w:szCs w:val="18"/>
                <w:lang w:eastAsia="es-EC"/>
              </w:rPr>
            </w:pPr>
          </w:p>
          <w:p w14:paraId="405C3A2E" w14:textId="77777777" w:rsidR="00A0732B" w:rsidRPr="003F7F6C" w:rsidRDefault="00A0732B" w:rsidP="00A0732B">
            <w:pPr>
              <w:rPr>
                <w:rFonts w:cs="Calibri"/>
                <w:bCs/>
                <w:sz w:val="18"/>
                <w:szCs w:val="18"/>
              </w:rPr>
            </w:pPr>
          </w:p>
        </w:tc>
        <w:tc>
          <w:tcPr>
            <w:tcW w:w="1417" w:type="dxa"/>
          </w:tcPr>
          <w:p w14:paraId="2D30C1DE" w14:textId="77777777" w:rsidR="00A0732B" w:rsidRPr="003F7F6C" w:rsidRDefault="00A0732B" w:rsidP="00A0732B">
            <w:pPr>
              <w:rPr>
                <w:rFonts w:cs="Calibri"/>
                <w:sz w:val="18"/>
                <w:szCs w:val="18"/>
              </w:rPr>
            </w:pPr>
            <w:r w:rsidRPr="003F7F6C">
              <w:rPr>
                <w:rFonts w:cs="Calibri"/>
                <w:sz w:val="18"/>
                <w:szCs w:val="18"/>
              </w:rPr>
              <w:t>Financial</w:t>
            </w:r>
          </w:p>
        </w:tc>
        <w:tc>
          <w:tcPr>
            <w:tcW w:w="2693" w:type="dxa"/>
          </w:tcPr>
          <w:p w14:paraId="428A1C3E" w14:textId="77777777" w:rsidR="00A0732B" w:rsidRPr="003F7F6C" w:rsidRDefault="00A0732B" w:rsidP="00A0732B">
            <w:pPr>
              <w:rPr>
                <w:rFonts w:cs="Calibri"/>
                <w:sz w:val="18"/>
                <w:szCs w:val="18"/>
              </w:rPr>
            </w:pPr>
            <w:r w:rsidRPr="003F7F6C">
              <w:rPr>
                <w:rFonts w:cs="Calibri"/>
                <w:sz w:val="18"/>
                <w:szCs w:val="18"/>
              </w:rPr>
              <w:t xml:space="preserve">P= </w:t>
            </w:r>
            <w:r w:rsidR="002A027E" w:rsidRPr="003F7F6C">
              <w:rPr>
                <w:rFonts w:cs="Calibri"/>
                <w:sz w:val="18"/>
                <w:szCs w:val="18"/>
              </w:rPr>
              <w:t>3</w:t>
            </w:r>
          </w:p>
          <w:p w14:paraId="476A5203" w14:textId="77777777" w:rsidR="00A0732B" w:rsidRPr="003F7F6C" w:rsidRDefault="00A0732B" w:rsidP="00A0732B">
            <w:pPr>
              <w:rPr>
                <w:rFonts w:cs="Calibri"/>
                <w:sz w:val="18"/>
                <w:szCs w:val="18"/>
              </w:rPr>
            </w:pPr>
            <w:r w:rsidRPr="003F7F6C">
              <w:rPr>
                <w:rFonts w:cs="Calibri"/>
                <w:sz w:val="18"/>
                <w:szCs w:val="18"/>
              </w:rPr>
              <w:t xml:space="preserve">I= </w:t>
            </w:r>
            <w:r w:rsidR="00530190" w:rsidRPr="003F7F6C">
              <w:rPr>
                <w:rFonts w:cs="Calibri"/>
                <w:sz w:val="18"/>
                <w:szCs w:val="18"/>
              </w:rPr>
              <w:t>5</w:t>
            </w:r>
          </w:p>
          <w:p w14:paraId="54D90E9C" w14:textId="77777777" w:rsidR="00A0732B" w:rsidRPr="003F7F6C" w:rsidRDefault="00A0732B" w:rsidP="00A0732B">
            <w:pPr>
              <w:rPr>
                <w:rFonts w:cs="Calibri"/>
                <w:sz w:val="18"/>
                <w:szCs w:val="18"/>
              </w:rPr>
            </w:pPr>
            <w:r w:rsidRPr="003F7F6C">
              <w:rPr>
                <w:rFonts w:cs="Calibri"/>
                <w:sz w:val="18"/>
                <w:szCs w:val="18"/>
              </w:rPr>
              <w:t xml:space="preserve">Significance: </w:t>
            </w:r>
            <w:r w:rsidR="00530190" w:rsidRPr="003F7F6C">
              <w:rPr>
                <w:rFonts w:cs="Calibri"/>
                <w:sz w:val="18"/>
                <w:szCs w:val="18"/>
              </w:rPr>
              <w:t>High</w:t>
            </w:r>
          </w:p>
          <w:p w14:paraId="2612687D" w14:textId="77777777" w:rsidR="00A0732B" w:rsidRPr="003F7F6C" w:rsidRDefault="00A0732B" w:rsidP="00A0732B">
            <w:pPr>
              <w:rPr>
                <w:rFonts w:cs="Calibri"/>
                <w:sz w:val="18"/>
                <w:szCs w:val="18"/>
              </w:rPr>
            </w:pPr>
          </w:p>
          <w:p w14:paraId="2B3F59E1" w14:textId="77777777" w:rsidR="00A0732B" w:rsidRPr="003F7F6C" w:rsidRDefault="00A0732B" w:rsidP="00A0732B">
            <w:pPr>
              <w:rPr>
                <w:rFonts w:cs="Calibri"/>
                <w:sz w:val="18"/>
                <w:szCs w:val="18"/>
              </w:rPr>
            </w:pPr>
            <w:r w:rsidRPr="003F7F6C">
              <w:rPr>
                <w:rFonts w:cs="Calibri"/>
                <w:sz w:val="18"/>
                <w:szCs w:val="18"/>
                <w:u w:val="single"/>
              </w:rPr>
              <w:t>Potential impacts</w:t>
            </w:r>
            <w:r w:rsidRPr="003F7F6C">
              <w:rPr>
                <w:rFonts w:cs="Calibri"/>
                <w:sz w:val="18"/>
                <w:szCs w:val="18"/>
              </w:rPr>
              <w:t>:</w:t>
            </w:r>
          </w:p>
          <w:p w14:paraId="3867D7BE" w14:textId="41C131E1" w:rsidR="00A0732B" w:rsidRPr="003F7F6C" w:rsidRDefault="00A0732B" w:rsidP="00185105">
            <w:pPr>
              <w:jc w:val="left"/>
              <w:rPr>
                <w:rFonts w:cs="Calibri"/>
                <w:sz w:val="18"/>
                <w:szCs w:val="18"/>
              </w:rPr>
            </w:pPr>
            <w:r w:rsidRPr="003F7F6C">
              <w:rPr>
                <w:rFonts w:cs="Calibri"/>
                <w:sz w:val="18"/>
                <w:szCs w:val="18"/>
              </w:rPr>
              <w:t xml:space="preserve">Budgetary restrictions especially at </w:t>
            </w:r>
            <w:r w:rsidR="008776A1" w:rsidRPr="003F7F6C">
              <w:rPr>
                <w:rFonts w:cs="Calibri"/>
                <w:sz w:val="18"/>
                <w:szCs w:val="18"/>
              </w:rPr>
              <w:t xml:space="preserve">the </w:t>
            </w:r>
            <w:r w:rsidRPr="003F7F6C">
              <w:rPr>
                <w:rFonts w:cs="Calibri"/>
                <w:sz w:val="18"/>
                <w:szCs w:val="18"/>
              </w:rPr>
              <w:t xml:space="preserve">provincial level may affect the operational budgets of the provinces and other government partners. Ongoing cofinancing programs could receive less funding. </w:t>
            </w:r>
          </w:p>
        </w:tc>
        <w:tc>
          <w:tcPr>
            <w:tcW w:w="5529" w:type="dxa"/>
          </w:tcPr>
          <w:p w14:paraId="02CC670C" w14:textId="3126872A" w:rsidR="00A0732B" w:rsidRPr="003F7F6C" w:rsidRDefault="00A0732B" w:rsidP="00A0732B">
            <w:pPr>
              <w:rPr>
                <w:rFonts w:cs="Calibri"/>
                <w:sz w:val="18"/>
                <w:szCs w:val="18"/>
              </w:rPr>
            </w:pPr>
            <w:r w:rsidRPr="003F7F6C">
              <w:rPr>
                <w:rFonts w:cs="Calibri"/>
                <w:sz w:val="18"/>
                <w:szCs w:val="18"/>
              </w:rPr>
              <w:t xml:space="preserve">The project will prioritize key strategic interventions. The UNDP CO will monitor </w:t>
            </w:r>
            <w:r w:rsidRPr="003F7F6C">
              <w:rPr>
                <w:rFonts w:cs="Calibri"/>
                <w:color w:val="000000"/>
                <w:sz w:val="18"/>
                <w:szCs w:val="18"/>
                <w:lang w:eastAsia="es-ES"/>
              </w:rPr>
              <w:t>the co-financing contributions to the project. UNDP, SGAyDS</w:t>
            </w:r>
            <w:r w:rsidR="0043560D" w:rsidRPr="003F7F6C">
              <w:rPr>
                <w:rFonts w:cs="Calibri"/>
                <w:color w:val="000000"/>
                <w:sz w:val="18"/>
                <w:szCs w:val="18"/>
                <w:lang w:eastAsia="es-ES"/>
              </w:rPr>
              <w:t>,</w:t>
            </w:r>
            <w:r w:rsidRPr="003F7F6C">
              <w:rPr>
                <w:rFonts w:cs="Calibri"/>
                <w:color w:val="000000"/>
                <w:sz w:val="18"/>
                <w:szCs w:val="18"/>
                <w:lang w:eastAsia="es-ES"/>
              </w:rPr>
              <w:t xml:space="preserve"> provincial governments</w:t>
            </w:r>
            <w:r w:rsidR="0043560D" w:rsidRPr="003F7F6C">
              <w:rPr>
                <w:rFonts w:cs="Calibri"/>
                <w:color w:val="000000"/>
                <w:sz w:val="18"/>
                <w:szCs w:val="18"/>
                <w:lang w:eastAsia="es-ES"/>
              </w:rPr>
              <w:t xml:space="preserve"> and INTA</w:t>
            </w:r>
            <w:r w:rsidRPr="003F7F6C">
              <w:rPr>
                <w:rFonts w:cs="Calibri"/>
                <w:color w:val="000000"/>
                <w:sz w:val="18"/>
                <w:szCs w:val="18"/>
                <w:lang w:eastAsia="es-ES"/>
              </w:rPr>
              <w:t xml:space="preserve"> are the Project Board members and will hold regular dialogues at the highest political level on cofinancing issues and will seek to develop alternative strategies </w:t>
            </w:r>
            <w:r w:rsidR="00FF1FAA" w:rsidRPr="003F7F6C">
              <w:rPr>
                <w:rFonts w:cs="Calibri"/>
                <w:color w:val="000000"/>
                <w:sz w:val="18"/>
                <w:szCs w:val="18"/>
                <w:lang w:eastAsia="es-ES"/>
              </w:rPr>
              <w:t xml:space="preserve">(.e.g </w:t>
            </w:r>
            <w:r w:rsidR="0043560D" w:rsidRPr="003F7F6C">
              <w:rPr>
                <w:rFonts w:cs="Calibri"/>
                <w:color w:val="000000"/>
                <w:sz w:val="18"/>
                <w:szCs w:val="18"/>
                <w:lang w:eastAsia="es-ES"/>
              </w:rPr>
              <w:t>partnerships</w:t>
            </w:r>
            <w:r w:rsidR="00FF1FAA" w:rsidRPr="003F7F6C">
              <w:rPr>
                <w:rFonts w:cs="Calibri"/>
                <w:color w:val="000000"/>
                <w:sz w:val="18"/>
                <w:szCs w:val="18"/>
                <w:lang w:eastAsia="es-ES"/>
              </w:rPr>
              <w:t xml:space="preserve"> with private sector </w:t>
            </w:r>
            <w:r w:rsidR="0043560D" w:rsidRPr="003F7F6C">
              <w:rPr>
                <w:rFonts w:cs="Calibri"/>
                <w:color w:val="000000"/>
                <w:sz w:val="18"/>
                <w:szCs w:val="18"/>
                <w:lang w:eastAsia="es-ES"/>
              </w:rPr>
              <w:t>or other stakeholders working in the target landscapes to mobilize additional resources</w:t>
            </w:r>
            <w:r w:rsidR="00FF1FAA" w:rsidRPr="003F7F6C">
              <w:rPr>
                <w:rFonts w:cs="Calibri"/>
                <w:color w:val="000000"/>
                <w:sz w:val="18"/>
                <w:szCs w:val="18"/>
                <w:lang w:eastAsia="es-ES"/>
              </w:rPr>
              <w:t xml:space="preserve">) </w:t>
            </w:r>
            <w:r w:rsidRPr="003F7F6C">
              <w:rPr>
                <w:rFonts w:cs="Calibri"/>
                <w:color w:val="000000"/>
                <w:sz w:val="18"/>
                <w:szCs w:val="18"/>
                <w:lang w:eastAsia="es-ES"/>
              </w:rPr>
              <w:t xml:space="preserve">to reduce impacts on the </w:t>
            </w:r>
            <w:r w:rsidR="008776A1" w:rsidRPr="003F7F6C">
              <w:rPr>
                <w:rFonts w:cs="Calibri"/>
                <w:color w:val="000000"/>
                <w:sz w:val="18"/>
                <w:szCs w:val="18"/>
                <w:lang w:eastAsia="es-ES"/>
              </w:rPr>
              <w:t>p</w:t>
            </w:r>
            <w:r w:rsidRPr="003F7F6C">
              <w:rPr>
                <w:rFonts w:cs="Calibri"/>
                <w:color w:val="000000"/>
                <w:sz w:val="18"/>
                <w:szCs w:val="18"/>
                <w:lang w:eastAsia="es-ES"/>
              </w:rPr>
              <w:t xml:space="preserve">roject interventions in case the cofinancing contributions are affected. </w:t>
            </w:r>
            <w:r w:rsidR="00765E88" w:rsidRPr="003F7F6C">
              <w:rPr>
                <w:rFonts w:cs="Calibri"/>
                <w:color w:val="000000"/>
                <w:sz w:val="18"/>
                <w:szCs w:val="18"/>
                <w:lang w:eastAsia="es-ES"/>
              </w:rPr>
              <w:t xml:space="preserve"> The stakeholder mapping will be updated in PY1 so new potential partners and co-financiers may be identified.</w:t>
            </w:r>
          </w:p>
          <w:p w14:paraId="7699F4B9" w14:textId="77777777" w:rsidR="00A0732B" w:rsidRPr="003F7F6C" w:rsidRDefault="00A0732B" w:rsidP="00A0732B">
            <w:pPr>
              <w:rPr>
                <w:rFonts w:cs="Calibri"/>
                <w:sz w:val="18"/>
                <w:szCs w:val="18"/>
              </w:rPr>
            </w:pPr>
          </w:p>
          <w:p w14:paraId="0B4E5459" w14:textId="77777777" w:rsidR="00A0732B" w:rsidRPr="003F7F6C" w:rsidRDefault="00A0732B" w:rsidP="00A0732B">
            <w:pPr>
              <w:rPr>
                <w:rFonts w:cs="Calibri"/>
                <w:sz w:val="18"/>
                <w:szCs w:val="18"/>
              </w:rPr>
            </w:pPr>
          </w:p>
        </w:tc>
        <w:tc>
          <w:tcPr>
            <w:tcW w:w="992" w:type="dxa"/>
            <w:shd w:val="clear" w:color="auto" w:fill="auto"/>
          </w:tcPr>
          <w:p w14:paraId="57069D8B" w14:textId="77777777" w:rsidR="00A0732B" w:rsidRPr="003F7F6C" w:rsidRDefault="00A0732B" w:rsidP="00A0732B">
            <w:pPr>
              <w:rPr>
                <w:rFonts w:cs="Calibri"/>
                <w:sz w:val="18"/>
                <w:szCs w:val="18"/>
              </w:rPr>
            </w:pPr>
            <w:r w:rsidRPr="003F7F6C">
              <w:rPr>
                <w:rFonts w:cs="Calibri"/>
                <w:sz w:val="18"/>
                <w:szCs w:val="18"/>
              </w:rPr>
              <w:t>UNDP CO</w:t>
            </w:r>
          </w:p>
        </w:tc>
        <w:tc>
          <w:tcPr>
            <w:tcW w:w="963" w:type="dxa"/>
            <w:shd w:val="clear" w:color="auto" w:fill="auto"/>
          </w:tcPr>
          <w:p w14:paraId="33D6B4B7" w14:textId="77777777" w:rsidR="00A0732B" w:rsidRPr="003F7F6C" w:rsidRDefault="00A0732B" w:rsidP="00A0732B">
            <w:pPr>
              <w:rPr>
                <w:rFonts w:cs="Calibri"/>
                <w:sz w:val="18"/>
                <w:szCs w:val="18"/>
              </w:rPr>
            </w:pPr>
            <w:r w:rsidRPr="003F7F6C">
              <w:rPr>
                <w:rFonts w:cs="Calibri"/>
                <w:sz w:val="18"/>
                <w:szCs w:val="18"/>
              </w:rPr>
              <w:t>Identified risk</w:t>
            </w:r>
          </w:p>
        </w:tc>
      </w:tr>
      <w:tr w:rsidR="00A0732B" w:rsidRPr="003F7F6C" w14:paraId="2A1D9D78" w14:textId="77777777" w:rsidTr="00A0732B">
        <w:tc>
          <w:tcPr>
            <w:tcW w:w="2037" w:type="dxa"/>
          </w:tcPr>
          <w:p w14:paraId="724E8339" w14:textId="77777777" w:rsidR="00A0732B" w:rsidRPr="003F7F6C" w:rsidRDefault="00A0732B" w:rsidP="00A0732B">
            <w:pPr>
              <w:pStyle w:val="NormalWeb"/>
              <w:rPr>
                <w:rFonts w:ascii="Calibri" w:hAnsi="Calibri" w:cs="Calibri"/>
                <w:sz w:val="18"/>
                <w:szCs w:val="18"/>
              </w:rPr>
            </w:pPr>
            <w:r w:rsidRPr="003F7F6C">
              <w:rPr>
                <w:rFonts w:ascii="Calibri" w:hAnsi="Calibri" w:cs="Calibri"/>
                <w:sz w:val="18"/>
                <w:szCs w:val="18"/>
              </w:rPr>
              <w:t xml:space="preserve">Difficulties to keep ELUP in place including the sustainable use of ecosystems due to favorable market prices of commodities and prioritization of </w:t>
            </w:r>
            <w:r w:rsidRPr="003F7F6C">
              <w:rPr>
                <w:rFonts w:ascii="Calibri" w:hAnsi="Calibri" w:cs="Calibri"/>
                <w:color w:val="000000"/>
                <w:sz w:val="18"/>
                <w:szCs w:val="18"/>
                <w:shd w:val="clear" w:color="auto" w:fill="FFFFFF"/>
              </w:rPr>
              <w:t>short-term economic growth and social delivery over conservation and sustainable use</w:t>
            </w:r>
          </w:p>
          <w:p w14:paraId="490D092F" w14:textId="77777777" w:rsidR="00A0732B" w:rsidRPr="003F7F6C" w:rsidRDefault="00A0732B" w:rsidP="00A0732B">
            <w:pPr>
              <w:rPr>
                <w:rFonts w:cs="Calibri"/>
                <w:bCs/>
                <w:sz w:val="18"/>
                <w:szCs w:val="18"/>
              </w:rPr>
            </w:pPr>
          </w:p>
          <w:p w14:paraId="14262412" w14:textId="77777777" w:rsidR="00A0732B" w:rsidRPr="003F7F6C" w:rsidRDefault="00A0732B" w:rsidP="00A0732B">
            <w:pPr>
              <w:rPr>
                <w:rFonts w:cs="Calibri"/>
                <w:bCs/>
                <w:sz w:val="18"/>
                <w:szCs w:val="18"/>
              </w:rPr>
            </w:pPr>
          </w:p>
        </w:tc>
        <w:tc>
          <w:tcPr>
            <w:tcW w:w="1417" w:type="dxa"/>
          </w:tcPr>
          <w:p w14:paraId="164291C5" w14:textId="77777777" w:rsidR="00A0732B" w:rsidRPr="003F7F6C" w:rsidRDefault="00A0732B" w:rsidP="00A0732B">
            <w:pPr>
              <w:rPr>
                <w:rFonts w:cs="Calibri"/>
                <w:sz w:val="18"/>
                <w:szCs w:val="18"/>
              </w:rPr>
            </w:pPr>
            <w:r w:rsidRPr="003F7F6C">
              <w:rPr>
                <w:rFonts w:cs="Calibri"/>
                <w:sz w:val="18"/>
                <w:szCs w:val="18"/>
              </w:rPr>
              <w:t>Economic</w:t>
            </w:r>
          </w:p>
        </w:tc>
        <w:tc>
          <w:tcPr>
            <w:tcW w:w="2693" w:type="dxa"/>
          </w:tcPr>
          <w:p w14:paraId="12DEF422" w14:textId="77777777" w:rsidR="00A0732B" w:rsidRPr="003F7F6C" w:rsidRDefault="00A0732B" w:rsidP="00A0732B">
            <w:pPr>
              <w:rPr>
                <w:rFonts w:cs="Calibri"/>
                <w:sz w:val="18"/>
                <w:szCs w:val="18"/>
              </w:rPr>
            </w:pPr>
            <w:r w:rsidRPr="003F7F6C">
              <w:rPr>
                <w:rFonts w:cs="Calibri"/>
                <w:sz w:val="18"/>
                <w:szCs w:val="18"/>
              </w:rPr>
              <w:t>P= 3</w:t>
            </w:r>
          </w:p>
          <w:p w14:paraId="0E486D5C" w14:textId="77777777" w:rsidR="00A0732B" w:rsidRPr="003F7F6C" w:rsidRDefault="00A0732B" w:rsidP="00A0732B">
            <w:pPr>
              <w:rPr>
                <w:rFonts w:cs="Calibri"/>
                <w:sz w:val="18"/>
                <w:szCs w:val="18"/>
              </w:rPr>
            </w:pPr>
            <w:r w:rsidRPr="003F7F6C">
              <w:rPr>
                <w:rFonts w:cs="Calibri"/>
                <w:sz w:val="18"/>
                <w:szCs w:val="18"/>
              </w:rPr>
              <w:t>I= 3</w:t>
            </w:r>
          </w:p>
          <w:p w14:paraId="0B980DF5" w14:textId="77777777" w:rsidR="00A0732B" w:rsidRPr="003F7F6C" w:rsidRDefault="00A0732B" w:rsidP="00A0732B">
            <w:pPr>
              <w:rPr>
                <w:rFonts w:cs="Calibri"/>
                <w:sz w:val="18"/>
                <w:szCs w:val="18"/>
              </w:rPr>
            </w:pPr>
            <w:r w:rsidRPr="003F7F6C">
              <w:rPr>
                <w:rFonts w:cs="Calibri"/>
                <w:sz w:val="18"/>
                <w:szCs w:val="18"/>
              </w:rPr>
              <w:t>Significance: Moderate</w:t>
            </w:r>
          </w:p>
          <w:p w14:paraId="635C37EF" w14:textId="77777777" w:rsidR="00A0732B" w:rsidRPr="003F7F6C" w:rsidRDefault="00A0732B" w:rsidP="00A0732B">
            <w:pPr>
              <w:rPr>
                <w:rFonts w:cs="Calibri"/>
                <w:b/>
                <w:sz w:val="18"/>
                <w:szCs w:val="18"/>
              </w:rPr>
            </w:pPr>
          </w:p>
          <w:p w14:paraId="63DAB40C" w14:textId="77777777" w:rsidR="00A0732B" w:rsidRPr="003F7F6C" w:rsidRDefault="00A0732B" w:rsidP="00A0732B">
            <w:pPr>
              <w:rPr>
                <w:rFonts w:cs="Calibri"/>
                <w:sz w:val="18"/>
                <w:szCs w:val="18"/>
              </w:rPr>
            </w:pPr>
            <w:r w:rsidRPr="003F7F6C">
              <w:rPr>
                <w:rFonts w:cs="Calibri"/>
                <w:sz w:val="18"/>
                <w:szCs w:val="18"/>
                <w:u w:val="single"/>
              </w:rPr>
              <w:t>Potential impacts</w:t>
            </w:r>
            <w:r w:rsidRPr="003F7F6C">
              <w:rPr>
                <w:rFonts w:cs="Calibri"/>
                <w:sz w:val="18"/>
                <w:szCs w:val="18"/>
              </w:rPr>
              <w:t>:</w:t>
            </w:r>
          </w:p>
          <w:p w14:paraId="583A2399" w14:textId="6562F271" w:rsidR="00A0732B" w:rsidRPr="003F7F6C" w:rsidRDefault="00A0732B" w:rsidP="00A0732B">
            <w:pPr>
              <w:rPr>
                <w:rFonts w:cs="Calibri"/>
                <w:sz w:val="18"/>
                <w:szCs w:val="18"/>
              </w:rPr>
            </w:pPr>
            <w:r w:rsidRPr="003F7F6C">
              <w:rPr>
                <w:rFonts w:cs="Calibri"/>
                <w:sz w:val="18"/>
                <w:szCs w:val="18"/>
              </w:rPr>
              <w:t>Variation</w:t>
            </w:r>
            <w:r w:rsidR="008776A1" w:rsidRPr="003F7F6C">
              <w:rPr>
                <w:rFonts w:cs="Calibri"/>
                <w:sz w:val="18"/>
                <w:szCs w:val="18"/>
              </w:rPr>
              <w:t>s</w:t>
            </w:r>
            <w:r w:rsidRPr="003F7F6C">
              <w:rPr>
                <w:rFonts w:cs="Calibri"/>
                <w:sz w:val="18"/>
                <w:szCs w:val="18"/>
              </w:rPr>
              <w:t xml:space="preserve"> in prices could </w:t>
            </w:r>
            <w:r w:rsidR="008776A1" w:rsidRPr="003F7F6C">
              <w:rPr>
                <w:rFonts w:cs="Calibri"/>
                <w:sz w:val="18"/>
                <w:szCs w:val="18"/>
              </w:rPr>
              <w:t xml:space="preserve">influence </w:t>
            </w:r>
            <w:r w:rsidRPr="003F7F6C">
              <w:rPr>
                <w:rFonts w:cs="Calibri"/>
                <w:sz w:val="18"/>
                <w:szCs w:val="18"/>
              </w:rPr>
              <w:t>land use decisions</w:t>
            </w:r>
            <w:r w:rsidR="008776A1" w:rsidRPr="003F7F6C">
              <w:rPr>
                <w:rFonts w:cs="Calibri"/>
                <w:sz w:val="18"/>
                <w:szCs w:val="18"/>
              </w:rPr>
              <w:t>,</w:t>
            </w:r>
            <w:r w:rsidRPr="003F7F6C">
              <w:rPr>
                <w:rFonts w:cs="Calibri"/>
                <w:sz w:val="18"/>
                <w:szCs w:val="18"/>
              </w:rPr>
              <w:t xml:space="preserve"> e.g.</w:t>
            </w:r>
            <w:r w:rsidR="008776A1" w:rsidRPr="003F7F6C">
              <w:rPr>
                <w:rFonts w:cs="Calibri"/>
                <w:sz w:val="18"/>
                <w:szCs w:val="18"/>
              </w:rPr>
              <w:t>,</w:t>
            </w:r>
            <w:r w:rsidRPr="003F7F6C">
              <w:rPr>
                <w:rFonts w:cs="Calibri"/>
                <w:sz w:val="18"/>
                <w:szCs w:val="18"/>
              </w:rPr>
              <w:t xml:space="preserve"> current or increased prices could favor continued expansion of </w:t>
            </w:r>
            <w:r w:rsidR="008776A1" w:rsidRPr="003F7F6C">
              <w:rPr>
                <w:rFonts w:cs="Calibri"/>
                <w:sz w:val="18"/>
                <w:szCs w:val="18"/>
              </w:rPr>
              <w:t xml:space="preserve">the </w:t>
            </w:r>
            <w:r w:rsidRPr="003F7F6C">
              <w:rPr>
                <w:rFonts w:cs="Calibri"/>
                <w:sz w:val="18"/>
                <w:szCs w:val="18"/>
              </w:rPr>
              <w:t xml:space="preserve">agricultural frontier.  </w:t>
            </w:r>
            <w:r w:rsidRPr="003F7F6C">
              <w:rPr>
                <w:rFonts w:cs="Calibri"/>
                <w:color w:val="000000"/>
                <w:sz w:val="18"/>
                <w:szCs w:val="18"/>
                <w:shd w:val="clear" w:color="auto" w:fill="FFFFFF"/>
              </w:rPr>
              <w:t xml:space="preserve">Ecosystems will continue to be degraded especially in urbanizing areas and other areas where economic activities are being undertaken or new areas where activities may be expanded. </w:t>
            </w:r>
            <w:r w:rsidRPr="003F7F6C">
              <w:rPr>
                <w:rFonts w:cs="Calibri"/>
                <w:sz w:val="18"/>
                <w:szCs w:val="18"/>
              </w:rPr>
              <w:t>Proposed environmental benefits are not fully accrued.</w:t>
            </w:r>
          </w:p>
          <w:p w14:paraId="49748C5C" w14:textId="77777777" w:rsidR="00A0732B" w:rsidRPr="003F7F6C" w:rsidRDefault="00A0732B" w:rsidP="00A0732B">
            <w:pPr>
              <w:rPr>
                <w:rFonts w:cs="Calibri"/>
                <w:sz w:val="18"/>
                <w:szCs w:val="18"/>
              </w:rPr>
            </w:pPr>
          </w:p>
        </w:tc>
        <w:tc>
          <w:tcPr>
            <w:tcW w:w="5529" w:type="dxa"/>
          </w:tcPr>
          <w:p w14:paraId="17396EDB" w14:textId="6A79704B" w:rsidR="00A0732B" w:rsidRPr="003F7F6C" w:rsidRDefault="00A0732B" w:rsidP="00A0732B">
            <w:pPr>
              <w:pStyle w:val="NormalWeb"/>
              <w:rPr>
                <w:rFonts w:ascii="Calibri" w:hAnsi="Calibri" w:cs="Calibri"/>
                <w:bCs/>
                <w:sz w:val="18"/>
                <w:szCs w:val="18"/>
              </w:rPr>
            </w:pPr>
            <w:r w:rsidRPr="003F7F6C">
              <w:rPr>
                <w:rFonts w:ascii="Calibri" w:hAnsi="Calibri" w:cs="Calibri"/>
                <w:sz w:val="18"/>
                <w:szCs w:val="18"/>
              </w:rPr>
              <w:t xml:space="preserve">Potential pressure of future land use changes in response to changes in economic and trade contexts (for instance, changes in commodity prices) could be offset based on: a) use of dialogue spaces to </w:t>
            </w:r>
            <w:r w:rsidR="000A6844" w:rsidRPr="003F7F6C">
              <w:rPr>
                <w:rFonts w:ascii="Calibri" w:hAnsi="Calibri" w:cs="Calibri"/>
                <w:sz w:val="18"/>
                <w:szCs w:val="18"/>
              </w:rPr>
              <w:t xml:space="preserve">ensure that the </w:t>
            </w:r>
            <w:r w:rsidRPr="003F7F6C">
              <w:rPr>
                <w:rFonts w:ascii="Calibri" w:hAnsi="Calibri" w:cs="Calibri"/>
                <w:sz w:val="18"/>
                <w:szCs w:val="18"/>
              </w:rPr>
              <w:t>new production interests and demands</w:t>
            </w:r>
            <w:r w:rsidR="000A6844" w:rsidRPr="003F7F6C">
              <w:rPr>
                <w:rFonts w:ascii="Calibri" w:hAnsi="Calibri" w:cs="Calibri"/>
                <w:sz w:val="18"/>
                <w:szCs w:val="18"/>
              </w:rPr>
              <w:t xml:space="preserve"> are met in a sustainable fashion</w:t>
            </w:r>
            <w:r w:rsidRPr="003F7F6C">
              <w:rPr>
                <w:rFonts w:ascii="Calibri" w:hAnsi="Calibri" w:cs="Calibri"/>
                <w:sz w:val="18"/>
                <w:szCs w:val="18"/>
              </w:rPr>
              <w:t>; b) facilitation and incentives to maintain sustainable and compatibles uses, through applying the economic and financial instruments; c) support of the responsible authorities to keep the achieved ELUP in place or seek  new ELUP based on the new contextual conditions; and d) valuation studies of ecosystem goods and services to demonstrate the most favorable scenarios for land use and raise awareness to ensure sustainable interventions.</w:t>
            </w:r>
          </w:p>
          <w:p w14:paraId="115E7B56" w14:textId="77777777" w:rsidR="00A0732B" w:rsidRPr="003F7F6C" w:rsidRDefault="00A0732B" w:rsidP="00A0732B">
            <w:pPr>
              <w:rPr>
                <w:rFonts w:cs="Calibri"/>
                <w:bCs/>
                <w:sz w:val="18"/>
                <w:szCs w:val="18"/>
              </w:rPr>
            </w:pPr>
          </w:p>
          <w:p w14:paraId="70AE596C" w14:textId="77777777" w:rsidR="00A0732B" w:rsidRPr="003F7F6C" w:rsidRDefault="00A0732B" w:rsidP="00A0732B">
            <w:pPr>
              <w:rPr>
                <w:rFonts w:cs="Calibri"/>
                <w:sz w:val="18"/>
                <w:szCs w:val="18"/>
              </w:rPr>
            </w:pPr>
          </w:p>
        </w:tc>
        <w:tc>
          <w:tcPr>
            <w:tcW w:w="992" w:type="dxa"/>
            <w:shd w:val="clear" w:color="auto" w:fill="auto"/>
          </w:tcPr>
          <w:p w14:paraId="6BA97380" w14:textId="77777777" w:rsidR="00A0732B" w:rsidRPr="003F7F6C" w:rsidRDefault="00A0732B" w:rsidP="00A0732B">
            <w:pPr>
              <w:rPr>
                <w:rFonts w:cs="Calibri"/>
                <w:sz w:val="18"/>
                <w:szCs w:val="18"/>
              </w:rPr>
            </w:pPr>
            <w:r w:rsidRPr="003F7F6C">
              <w:rPr>
                <w:rFonts w:cs="Calibri"/>
                <w:sz w:val="18"/>
                <w:szCs w:val="18"/>
              </w:rPr>
              <w:t>UNDP CO</w:t>
            </w:r>
          </w:p>
        </w:tc>
        <w:tc>
          <w:tcPr>
            <w:tcW w:w="963" w:type="dxa"/>
            <w:shd w:val="clear" w:color="auto" w:fill="auto"/>
          </w:tcPr>
          <w:p w14:paraId="5EC0EBA9" w14:textId="77777777" w:rsidR="00A0732B" w:rsidRPr="003F7F6C" w:rsidRDefault="00A0732B" w:rsidP="00A0732B">
            <w:pPr>
              <w:rPr>
                <w:rFonts w:cs="Calibri"/>
                <w:sz w:val="18"/>
                <w:szCs w:val="18"/>
              </w:rPr>
            </w:pPr>
            <w:r w:rsidRPr="003F7F6C">
              <w:rPr>
                <w:rFonts w:cs="Calibri"/>
                <w:sz w:val="18"/>
                <w:szCs w:val="18"/>
              </w:rPr>
              <w:t>Identified risk</w:t>
            </w:r>
          </w:p>
        </w:tc>
      </w:tr>
      <w:tr w:rsidR="00A0732B" w:rsidRPr="003F7F6C" w14:paraId="3208B0A5" w14:textId="77777777" w:rsidTr="00A0732B">
        <w:tc>
          <w:tcPr>
            <w:tcW w:w="2037" w:type="dxa"/>
          </w:tcPr>
          <w:p w14:paraId="4D2ECDB9" w14:textId="77777777" w:rsidR="00A0732B" w:rsidRPr="003F7F6C" w:rsidRDefault="00A0732B" w:rsidP="00A0732B">
            <w:pPr>
              <w:rPr>
                <w:rFonts w:cs="Calibri"/>
                <w:spacing w:val="-1"/>
                <w:sz w:val="18"/>
                <w:szCs w:val="18"/>
              </w:rPr>
            </w:pPr>
            <w:r w:rsidRPr="003F7F6C">
              <w:rPr>
                <w:rFonts w:cs="Calibri"/>
                <w:spacing w:val="-1"/>
                <w:sz w:val="18"/>
                <w:szCs w:val="18"/>
              </w:rPr>
              <w:t xml:space="preserve">Landowners and communities are not aware </w:t>
            </w:r>
            <w:r w:rsidRPr="003F7F6C">
              <w:rPr>
                <w:rFonts w:cs="Calibri"/>
                <w:bCs/>
                <w:sz w:val="18"/>
                <w:szCs w:val="18"/>
              </w:rPr>
              <w:t>of the need to adopt sustainable and environmentally-friendly best practices and their advantages to help improve production, productivity and livelihoods, and are reluctant to engage and adopt best practices</w:t>
            </w:r>
          </w:p>
        </w:tc>
        <w:tc>
          <w:tcPr>
            <w:tcW w:w="1417" w:type="dxa"/>
          </w:tcPr>
          <w:p w14:paraId="179716D7" w14:textId="77777777" w:rsidR="00A0732B" w:rsidRPr="003F7F6C" w:rsidRDefault="00A0732B" w:rsidP="00A0732B">
            <w:pPr>
              <w:rPr>
                <w:rFonts w:cs="Calibri"/>
                <w:sz w:val="18"/>
                <w:szCs w:val="18"/>
              </w:rPr>
            </w:pPr>
            <w:r w:rsidRPr="003F7F6C">
              <w:rPr>
                <w:rFonts w:cs="Calibri"/>
                <w:sz w:val="18"/>
                <w:szCs w:val="18"/>
              </w:rPr>
              <w:t>Socio-economic</w:t>
            </w:r>
          </w:p>
        </w:tc>
        <w:tc>
          <w:tcPr>
            <w:tcW w:w="2693" w:type="dxa"/>
          </w:tcPr>
          <w:p w14:paraId="1A53E769" w14:textId="77777777" w:rsidR="00A0732B" w:rsidRPr="003F7F6C" w:rsidRDefault="00A0732B" w:rsidP="00A0732B">
            <w:pPr>
              <w:rPr>
                <w:rFonts w:cs="Calibri"/>
                <w:sz w:val="18"/>
                <w:szCs w:val="18"/>
              </w:rPr>
            </w:pPr>
            <w:r w:rsidRPr="003F7F6C">
              <w:rPr>
                <w:rFonts w:cs="Calibri"/>
                <w:sz w:val="18"/>
                <w:szCs w:val="18"/>
              </w:rPr>
              <w:t>P= 3</w:t>
            </w:r>
          </w:p>
          <w:p w14:paraId="1FE16E8E" w14:textId="77777777" w:rsidR="00A0732B" w:rsidRPr="003F7F6C" w:rsidRDefault="00A0732B" w:rsidP="00A0732B">
            <w:pPr>
              <w:rPr>
                <w:rFonts w:cs="Calibri"/>
                <w:sz w:val="18"/>
                <w:szCs w:val="18"/>
              </w:rPr>
            </w:pPr>
            <w:r w:rsidRPr="003F7F6C">
              <w:rPr>
                <w:rFonts w:cs="Calibri"/>
                <w:sz w:val="18"/>
                <w:szCs w:val="18"/>
              </w:rPr>
              <w:t>I= 3</w:t>
            </w:r>
          </w:p>
          <w:p w14:paraId="265AF509" w14:textId="77777777" w:rsidR="00A0732B" w:rsidRPr="003F7F6C" w:rsidRDefault="00A0732B" w:rsidP="00A0732B">
            <w:pPr>
              <w:rPr>
                <w:rFonts w:cs="Calibri"/>
                <w:sz w:val="18"/>
                <w:szCs w:val="18"/>
              </w:rPr>
            </w:pPr>
            <w:r w:rsidRPr="003F7F6C">
              <w:rPr>
                <w:rFonts w:cs="Calibri"/>
                <w:sz w:val="18"/>
                <w:szCs w:val="18"/>
              </w:rPr>
              <w:t>Significance: Moderate</w:t>
            </w:r>
          </w:p>
          <w:p w14:paraId="0A771DA2" w14:textId="77777777" w:rsidR="00A0732B" w:rsidRPr="003F7F6C" w:rsidRDefault="00A0732B" w:rsidP="00A0732B">
            <w:pPr>
              <w:rPr>
                <w:rFonts w:cs="Calibri"/>
                <w:sz w:val="18"/>
                <w:szCs w:val="18"/>
              </w:rPr>
            </w:pPr>
          </w:p>
          <w:p w14:paraId="16B88EA5" w14:textId="77777777" w:rsidR="00A0732B" w:rsidRPr="003F7F6C" w:rsidRDefault="00A0732B" w:rsidP="00A0732B">
            <w:pPr>
              <w:rPr>
                <w:rFonts w:cs="Calibri"/>
                <w:sz w:val="18"/>
                <w:szCs w:val="18"/>
              </w:rPr>
            </w:pPr>
            <w:r w:rsidRPr="003F7F6C">
              <w:rPr>
                <w:rFonts w:cs="Calibri"/>
                <w:sz w:val="18"/>
                <w:szCs w:val="18"/>
                <w:u w:val="single"/>
              </w:rPr>
              <w:t>Potential impacts</w:t>
            </w:r>
            <w:r w:rsidRPr="003F7F6C">
              <w:rPr>
                <w:rFonts w:cs="Calibri"/>
                <w:sz w:val="18"/>
                <w:szCs w:val="18"/>
              </w:rPr>
              <w:t>:</w:t>
            </w:r>
          </w:p>
          <w:p w14:paraId="41450BA9" w14:textId="63B9D4C8" w:rsidR="00A0732B" w:rsidRPr="003F7F6C" w:rsidRDefault="00A0732B" w:rsidP="00A0732B">
            <w:pPr>
              <w:rPr>
                <w:rFonts w:cs="Calibri"/>
                <w:sz w:val="18"/>
                <w:szCs w:val="18"/>
              </w:rPr>
            </w:pPr>
            <w:r w:rsidRPr="003F7F6C">
              <w:rPr>
                <w:rFonts w:cs="Calibri"/>
                <w:sz w:val="18"/>
                <w:szCs w:val="18"/>
              </w:rPr>
              <w:t>Delay in uptak</w:t>
            </w:r>
            <w:r w:rsidR="00A54E69" w:rsidRPr="003F7F6C">
              <w:rPr>
                <w:rFonts w:cs="Calibri"/>
                <w:sz w:val="18"/>
                <w:szCs w:val="18"/>
              </w:rPr>
              <w:t>e</w:t>
            </w:r>
            <w:r w:rsidRPr="003F7F6C">
              <w:rPr>
                <w:rFonts w:cs="Calibri"/>
                <w:sz w:val="18"/>
                <w:szCs w:val="18"/>
              </w:rPr>
              <w:t xml:space="preserve"> of </w:t>
            </w:r>
            <w:r w:rsidRPr="003F7F6C">
              <w:rPr>
                <w:rFonts w:cs="Calibri"/>
                <w:bCs/>
                <w:sz w:val="18"/>
                <w:szCs w:val="18"/>
              </w:rPr>
              <w:t>sustainable and environmentally-friendly best practice</w:t>
            </w:r>
            <w:r w:rsidR="00A54E69" w:rsidRPr="003F7F6C">
              <w:rPr>
                <w:rFonts w:cs="Calibri"/>
                <w:bCs/>
                <w:sz w:val="18"/>
                <w:szCs w:val="18"/>
              </w:rPr>
              <w:t>s</w:t>
            </w:r>
            <w:r w:rsidRPr="003F7F6C">
              <w:rPr>
                <w:rFonts w:cs="Calibri"/>
                <w:bCs/>
                <w:sz w:val="18"/>
                <w:szCs w:val="18"/>
              </w:rPr>
              <w:t xml:space="preserve"> </w:t>
            </w:r>
            <w:r w:rsidRPr="003F7F6C">
              <w:rPr>
                <w:rFonts w:cs="Calibri"/>
                <w:sz w:val="18"/>
                <w:szCs w:val="18"/>
              </w:rPr>
              <w:t>and the proposed environmental benefits are not fully accrued.</w:t>
            </w:r>
          </w:p>
        </w:tc>
        <w:tc>
          <w:tcPr>
            <w:tcW w:w="5529" w:type="dxa"/>
          </w:tcPr>
          <w:p w14:paraId="10DD2352" w14:textId="398CF7DE" w:rsidR="00A0732B" w:rsidRPr="003F7F6C" w:rsidRDefault="00A0732B" w:rsidP="00A0732B">
            <w:pPr>
              <w:rPr>
                <w:rFonts w:cs="Calibri"/>
                <w:sz w:val="18"/>
                <w:szCs w:val="18"/>
              </w:rPr>
            </w:pPr>
            <w:r w:rsidRPr="003F7F6C">
              <w:rPr>
                <w:rFonts w:cs="Calibri"/>
                <w:sz w:val="18"/>
                <w:szCs w:val="18"/>
              </w:rPr>
              <w:t xml:space="preserve">ELUP approach will serve to determine the best land uses and options of best practices for each target landscape. Valuation studies will serve to demonstrate the most favorable scenarios for land uses in the provinces and raise awareness of these stakeholders on the subject.  Dialogue mechanisms will contribute to raise awareness on the need for sustainable and environmentally friendly productive interventions. The economic and financial instruments will contribute to adoption of best practices.  Strengthening of value chains and improved market access for sustainable </w:t>
            </w:r>
            <w:r w:rsidR="00A54E69" w:rsidRPr="003F7F6C">
              <w:rPr>
                <w:rFonts w:cs="Calibri"/>
                <w:sz w:val="18"/>
                <w:szCs w:val="18"/>
              </w:rPr>
              <w:t xml:space="preserve">beef </w:t>
            </w:r>
            <w:r w:rsidRPr="003F7F6C">
              <w:rPr>
                <w:rFonts w:cs="Calibri"/>
                <w:sz w:val="18"/>
                <w:szCs w:val="18"/>
              </w:rPr>
              <w:t xml:space="preserve">will help encourage producers </w:t>
            </w:r>
            <w:r w:rsidR="00A54E69" w:rsidRPr="003F7F6C">
              <w:rPr>
                <w:rFonts w:cs="Calibri"/>
                <w:sz w:val="18"/>
                <w:szCs w:val="18"/>
              </w:rPr>
              <w:t xml:space="preserve">by </w:t>
            </w:r>
            <w:r w:rsidRPr="003F7F6C">
              <w:rPr>
                <w:rFonts w:cs="Calibri"/>
                <w:sz w:val="18"/>
                <w:szCs w:val="18"/>
              </w:rPr>
              <w:t>improving their incomes.  Gender and multi-cultural mainstreaming throughout project activities in the target landscapes will also help facilitate adoption.  The project´s training and communication strategies will reinforce the project´s messages on the advantages of adopting best practices.</w:t>
            </w:r>
          </w:p>
        </w:tc>
        <w:tc>
          <w:tcPr>
            <w:tcW w:w="992" w:type="dxa"/>
            <w:shd w:val="clear" w:color="auto" w:fill="auto"/>
          </w:tcPr>
          <w:p w14:paraId="0EA0BADD" w14:textId="77777777" w:rsidR="00A0732B" w:rsidRPr="003F7F6C" w:rsidRDefault="00A0732B" w:rsidP="00A0732B">
            <w:pPr>
              <w:rPr>
                <w:rFonts w:cs="Calibri"/>
                <w:sz w:val="18"/>
                <w:szCs w:val="18"/>
              </w:rPr>
            </w:pPr>
            <w:r w:rsidRPr="003F7F6C">
              <w:rPr>
                <w:rFonts w:cs="Calibri"/>
                <w:sz w:val="18"/>
                <w:szCs w:val="18"/>
              </w:rPr>
              <w:t>UNDP CO</w:t>
            </w:r>
          </w:p>
        </w:tc>
        <w:tc>
          <w:tcPr>
            <w:tcW w:w="963" w:type="dxa"/>
            <w:shd w:val="clear" w:color="auto" w:fill="auto"/>
          </w:tcPr>
          <w:p w14:paraId="472D5AFF" w14:textId="77777777" w:rsidR="00A0732B" w:rsidRPr="003F7F6C" w:rsidRDefault="00A0732B" w:rsidP="00A0732B">
            <w:pPr>
              <w:rPr>
                <w:rFonts w:cs="Calibri"/>
                <w:sz w:val="18"/>
                <w:szCs w:val="18"/>
              </w:rPr>
            </w:pPr>
            <w:r w:rsidRPr="003F7F6C">
              <w:rPr>
                <w:rFonts w:cs="Calibri"/>
                <w:sz w:val="18"/>
                <w:szCs w:val="18"/>
              </w:rPr>
              <w:t>Identified risk</w:t>
            </w:r>
          </w:p>
        </w:tc>
      </w:tr>
      <w:tr w:rsidR="0070218D" w:rsidRPr="003F7F6C" w14:paraId="4A697283" w14:textId="77777777" w:rsidTr="00A0732B">
        <w:tc>
          <w:tcPr>
            <w:tcW w:w="2037" w:type="dxa"/>
          </w:tcPr>
          <w:p w14:paraId="7AEF4B19" w14:textId="2489F963" w:rsidR="0070218D" w:rsidRPr="003F7F6C" w:rsidRDefault="0070218D" w:rsidP="0070218D">
            <w:pPr>
              <w:rPr>
                <w:rFonts w:cs="Calibri"/>
                <w:spacing w:val="-1"/>
                <w:sz w:val="18"/>
                <w:szCs w:val="18"/>
              </w:rPr>
            </w:pPr>
            <w:r w:rsidRPr="003F7F6C">
              <w:rPr>
                <w:sz w:val="18"/>
                <w:szCs w:val="18"/>
              </w:rPr>
              <w:t xml:space="preserve">The project </w:t>
            </w:r>
            <w:r w:rsidRPr="003F7F6C">
              <w:rPr>
                <w:rFonts w:eastAsia="Times New Roman"/>
                <w:bCs/>
                <w:sz w:val="18"/>
                <w:szCs w:val="18"/>
              </w:rPr>
              <w:t>activities will take place within and adjacent to critical habitats and/or environmentally sensitive areas, including legally protected areas and indigenous people’s lands</w:t>
            </w:r>
            <w:r w:rsidRPr="003F7F6C">
              <w:rPr>
                <w:sz w:val="18"/>
                <w:szCs w:val="18"/>
              </w:rPr>
              <w:t>. The risk is that unless proposed land uses take into account ecosystem structure and function limitations, it may adversely affect conservation values of these areas.</w:t>
            </w:r>
          </w:p>
        </w:tc>
        <w:tc>
          <w:tcPr>
            <w:tcW w:w="1417" w:type="dxa"/>
          </w:tcPr>
          <w:p w14:paraId="4920F152" w14:textId="5C310A94" w:rsidR="0070218D" w:rsidRPr="003F7F6C" w:rsidRDefault="0070218D" w:rsidP="0070218D">
            <w:pPr>
              <w:rPr>
                <w:rFonts w:cs="Calibri"/>
                <w:sz w:val="18"/>
                <w:szCs w:val="18"/>
              </w:rPr>
            </w:pPr>
            <w:r w:rsidRPr="003F7F6C">
              <w:rPr>
                <w:rFonts w:cs="Calibri"/>
                <w:sz w:val="18"/>
                <w:szCs w:val="18"/>
              </w:rPr>
              <w:t>Socio-economic</w:t>
            </w:r>
          </w:p>
        </w:tc>
        <w:tc>
          <w:tcPr>
            <w:tcW w:w="2693" w:type="dxa"/>
          </w:tcPr>
          <w:p w14:paraId="606FB1C5" w14:textId="77777777" w:rsidR="0070218D" w:rsidRPr="003F7F6C" w:rsidRDefault="0070218D" w:rsidP="0070218D">
            <w:pPr>
              <w:rPr>
                <w:rFonts w:cs="Calibri"/>
                <w:sz w:val="18"/>
                <w:szCs w:val="18"/>
              </w:rPr>
            </w:pPr>
            <w:r w:rsidRPr="003F7F6C">
              <w:rPr>
                <w:rFonts w:cs="Calibri"/>
                <w:sz w:val="18"/>
                <w:szCs w:val="18"/>
              </w:rPr>
              <w:t>P= 3</w:t>
            </w:r>
          </w:p>
          <w:p w14:paraId="3803C2E2" w14:textId="77777777" w:rsidR="0070218D" w:rsidRPr="003F7F6C" w:rsidRDefault="0070218D" w:rsidP="0070218D">
            <w:pPr>
              <w:rPr>
                <w:rFonts w:cs="Calibri"/>
                <w:sz w:val="18"/>
                <w:szCs w:val="18"/>
              </w:rPr>
            </w:pPr>
            <w:r w:rsidRPr="003F7F6C">
              <w:rPr>
                <w:rFonts w:cs="Calibri"/>
                <w:sz w:val="18"/>
                <w:szCs w:val="18"/>
              </w:rPr>
              <w:t>I= 1</w:t>
            </w:r>
          </w:p>
          <w:p w14:paraId="03583CA9" w14:textId="77777777" w:rsidR="0070218D" w:rsidRPr="003F7F6C" w:rsidRDefault="0070218D" w:rsidP="0070218D">
            <w:pPr>
              <w:rPr>
                <w:rFonts w:cs="Calibri"/>
                <w:sz w:val="18"/>
                <w:szCs w:val="18"/>
              </w:rPr>
            </w:pPr>
          </w:p>
          <w:p w14:paraId="6B1BC9BA" w14:textId="77777777" w:rsidR="0070218D" w:rsidRPr="003F7F6C" w:rsidRDefault="0070218D" w:rsidP="0070218D">
            <w:pPr>
              <w:rPr>
                <w:rFonts w:cs="Calibri"/>
                <w:sz w:val="18"/>
                <w:szCs w:val="18"/>
              </w:rPr>
            </w:pPr>
            <w:r w:rsidRPr="003F7F6C">
              <w:rPr>
                <w:rFonts w:cs="Calibri"/>
                <w:sz w:val="18"/>
                <w:szCs w:val="18"/>
              </w:rPr>
              <w:t>Significance: Low</w:t>
            </w:r>
          </w:p>
          <w:p w14:paraId="2416D677" w14:textId="77777777" w:rsidR="0070218D" w:rsidRPr="003F7F6C" w:rsidRDefault="0070218D" w:rsidP="0070218D">
            <w:pPr>
              <w:rPr>
                <w:rFonts w:cs="Calibri"/>
                <w:sz w:val="18"/>
                <w:szCs w:val="18"/>
              </w:rPr>
            </w:pPr>
          </w:p>
          <w:p w14:paraId="1B2E4A4E" w14:textId="77777777" w:rsidR="0070218D" w:rsidRPr="003F7F6C" w:rsidRDefault="0070218D" w:rsidP="0070218D">
            <w:pPr>
              <w:rPr>
                <w:rFonts w:cs="Calibri"/>
                <w:sz w:val="18"/>
                <w:szCs w:val="18"/>
              </w:rPr>
            </w:pPr>
            <w:r w:rsidRPr="003F7F6C">
              <w:rPr>
                <w:rFonts w:cs="Calibri"/>
                <w:sz w:val="18"/>
                <w:szCs w:val="18"/>
                <w:u w:val="single"/>
              </w:rPr>
              <w:t>Potential impacts</w:t>
            </w:r>
            <w:r w:rsidRPr="003F7F6C">
              <w:rPr>
                <w:rFonts w:cs="Calibri"/>
                <w:sz w:val="18"/>
                <w:szCs w:val="18"/>
              </w:rPr>
              <w:t>:</w:t>
            </w:r>
          </w:p>
          <w:p w14:paraId="59E55938" w14:textId="77777777" w:rsidR="0070218D" w:rsidRPr="003F7F6C" w:rsidRDefault="0070218D" w:rsidP="0070218D">
            <w:pPr>
              <w:rPr>
                <w:rFonts w:cs="Calibri"/>
                <w:sz w:val="18"/>
                <w:szCs w:val="18"/>
              </w:rPr>
            </w:pPr>
            <w:r w:rsidRPr="003F7F6C">
              <w:rPr>
                <w:rFonts w:cs="Calibri"/>
                <w:sz w:val="18"/>
                <w:szCs w:val="18"/>
              </w:rPr>
              <w:t>Negative impacts on conservation values of critical habitats and/or environmentally sensitive areas</w:t>
            </w:r>
          </w:p>
          <w:p w14:paraId="0FD6BEB8" w14:textId="77777777" w:rsidR="0070218D" w:rsidRPr="003F7F6C" w:rsidRDefault="0070218D" w:rsidP="0070218D">
            <w:pPr>
              <w:rPr>
                <w:rFonts w:cs="Calibri"/>
                <w:sz w:val="18"/>
                <w:szCs w:val="18"/>
              </w:rPr>
            </w:pPr>
          </w:p>
        </w:tc>
        <w:tc>
          <w:tcPr>
            <w:tcW w:w="5529" w:type="dxa"/>
          </w:tcPr>
          <w:p w14:paraId="4E9C8CBD" w14:textId="77777777" w:rsidR="0070218D" w:rsidRPr="003F7F6C" w:rsidRDefault="0070218D" w:rsidP="0070218D">
            <w:pPr>
              <w:rPr>
                <w:sz w:val="18"/>
                <w:szCs w:val="18"/>
              </w:rPr>
            </w:pPr>
            <w:r w:rsidRPr="003F7F6C">
              <w:rPr>
                <w:sz w:val="18"/>
                <w:szCs w:val="18"/>
              </w:rPr>
              <w:t>The focus of the project is precisely on maintaining areas that are identified as being priorities for their high biodiversity conservation value; or that are identified as vulnerable to land degradation, and in turn, loss of ecosystem goods and services that are important for livelihoods and production sectors.</w:t>
            </w:r>
          </w:p>
          <w:p w14:paraId="3C5F49D9" w14:textId="66D00EDE" w:rsidR="0070218D" w:rsidRPr="003F7F6C" w:rsidRDefault="0070218D" w:rsidP="0070218D">
            <w:pPr>
              <w:rPr>
                <w:rFonts w:cs="Calibri"/>
                <w:sz w:val="18"/>
                <w:szCs w:val="18"/>
              </w:rPr>
            </w:pPr>
            <w:r w:rsidRPr="003F7F6C">
              <w:rPr>
                <w:sz w:val="18"/>
                <w:szCs w:val="18"/>
              </w:rPr>
              <w:t xml:space="preserve">The project will foster land use planning, governance and management that harmonize national, provincial and local priorities that will guide land use to those activities and practices that do not harm ecosystem goods and services.  </w:t>
            </w:r>
          </w:p>
        </w:tc>
        <w:tc>
          <w:tcPr>
            <w:tcW w:w="992" w:type="dxa"/>
            <w:shd w:val="clear" w:color="auto" w:fill="auto"/>
          </w:tcPr>
          <w:p w14:paraId="2EA0DBBB" w14:textId="56D73D2E" w:rsidR="0070218D" w:rsidRPr="003F7F6C" w:rsidRDefault="0070218D" w:rsidP="0070218D">
            <w:pPr>
              <w:rPr>
                <w:rFonts w:cs="Calibri"/>
                <w:sz w:val="18"/>
                <w:szCs w:val="18"/>
              </w:rPr>
            </w:pPr>
            <w:r w:rsidRPr="003F7F6C">
              <w:rPr>
                <w:rFonts w:cs="Calibri"/>
                <w:sz w:val="18"/>
                <w:szCs w:val="18"/>
              </w:rPr>
              <w:t>UNDP CO</w:t>
            </w:r>
          </w:p>
        </w:tc>
        <w:tc>
          <w:tcPr>
            <w:tcW w:w="963" w:type="dxa"/>
            <w:shd w:val="clear" w:color="auto" w:fill="auto"/>
          </w:tcPr>
          <w:p w14:paraId="6C1A5CDD" w14:textId="1A52E215" w:rsidR="0070218D" w:rsidRPr="003F7F6C" w:rsidRDefault="0070218D" w:rsidP="0070218D">
            <w:pPr>
              <w:rPr>
                <w:rFonts w:cs="Calibri"/>
                <w:sz w:val="18"/>
                <w:szCs w:val="18"/>
              </w:rPr>
            </w:pPr>
            <w:r w:rsidRPr="003F7F6C">
              <w:rPr>
                <w:rFonts w:cs="Calibri"/>
                <w:sz w:val="18"/>
                <w:szCs w:val="18"/>
              </w:rPr>
              <w:t>Identified risk</w:t>
            </w:r>
          </w:p>
        </w:tc>
      </w:tr>
      <w:tr w:rsidR="00A0732B" w:rsidRPr="003F7F6C" w14:paraId="6D194655" w14:textId="77777777" w:rsidTr="00A0732B">
        <w:tc>
          <w:tcPr>
            <w:tcW w:w="2037" w:type="dxa"/>
          </w:tcPr>
          <w:p w14:paraId="27D4CA5F" w14:textId="77777777" w:rsidR="0070218D" w:rsidRPr="003F7F6C" w:rsidRDefault="0070218D" w:rsidP="0070218D">
            <w:pPr>
              <w:rPr>
                <w:sz w:val="18"/>
                <w:szCs w:val="18"/>
              </w:rPr>
            </w:pPr>
            <w:r w:rsidRPr="003F7F6C">
              <w:rPr>
                <w:sz w:val="18"/>
                <w:szCs w:val="18"/>
              </w:rPr>
              <w:t xml:space="preserve">The project will support land use planning and regulation in sensitive areas where economic activity could potentially impact the ecosystem. This may result in economic displacement (e.g., loss of access to resources due to land use restrictions) and could have an opportunity cost to small-scale producers although there will be no loss of access to land or physical relocation. </w:t>
            </w:r>
          </w:p>
          <w:p w14:paraId="126D72C6" w14:textId="46F33459" w:rsidR="00A0732B" w:rsidRPr="003F7F6C" w:rsidRDefault="00A0732B" w:rsidP="00A0732B">
            <w:pPr>
              <w:pStyle w:val="NormalWeb"/>
              <w:rPr>
                <w:rFonts w:ascii="Calibri" w:hAnsi="Calibri" w:cs="Calibri"/>
                <w:sz w:val="18"/>
                <w:szCs w:val="18"/>
              </w:rPr>
            </w:pPr>
          </w:p>
        </w:tc>
        <w:tc>
          <w:tcPr>
            <w:tcW w:w="1417" w:type="dxa"/>
          </w:tcPr>
          <w:p w14:paraId="0BD8DEB0" w14:textId="77777777" w:rsidR="00A0732B" w:rsidRPr="003F7F6C" w:rsidRDefault="00A0732B" w:rsidP="00A0732B">
            <w:pPr>
              <w:rPr>
                <w:rFonts w:cs="Calibri"/>
                <w:sz w:val="18"/>
                <w:szCs w:val="18"/>
              </w:rPr>
            </w:pPr>
            <w:r w:rsidRPr="003F7F6C">
              <w:rPr>
                <w:rFonts w:cs="Calibri"/>
                <w:sz w:val="18"/>
                <w:szCs w:val="18"/>
              </w:rPr>
              <w:t>Socio-economic</w:t>
            </w:r>
          </w:p>
        </w:tc>
        <w:tc>
          <w:tcPr>
            <w:tcW w:w="2693" w:type="dxa"/>
          </w:tcPr>
          <w:p w14:paraId="19E3C7BA" w14:textId="1AAF9512" w:rsidR="00A0732B" w:rsidRPr="003F7F6C" w:rsidRDefault="00A0732B" w:rsidP="00A0732B">
            <w:pPr>
              <w:rPr>
                <w:rFonts w:cs="Calibri"/>
                <w:sz w:val="18"/>
                <w:szCs w:val="18"/>
              </w:rPr>
            </w:pPr>
            <w:r w:rsidRPr="003F7F6C">
              <w:rPr>
                <w:rFonts w:cs="Calibri"/>
                <w:sz w:val="18"/>
                <w:szCs w:val="18"/>
              </w:rPr>
              <w:t xml:space="preserve">P= </w:t>
            </w:r>
            <w:r w:rsidR="0070218D" w:rsidRPr="003F7F6C">
              <w:rPr>
                <w:rFonts w:cs="Calibri"/>
                <w:sz w:val="18"/>
                <w:szCs w:val="18"/>
              </w:rPr>
              <w:t>3</w:t>
            </w:r>
          </w:p>
          <w:p w14:paraId="5271F07A" w14:textId="5CF697F3" w:rsidR="00A0732B" w:rsidRPr="003F7F6C" w:rsidRDefault="00A0732B" w:rsidP="00A0732B">
            <w:pPr>
              <w:rPr>
                <w:rFonts w:cs="Calibri"/>
                <w:sz w:val="18"/>
                <w:szCs w:val="18"/>
              </w:rPr>
            </w:pPr>
            <w:r w:rsidRPr="003F7F6C">
              <w:rPr>
                <w:rFonts w:cs="Calibri"/>
                <w:sz w:val="18"/>
                <w:szCs w:val="18"/>
              </w:rPr>
              <w:t xml:space="preserve">I= </w:t>
            </w:r>
            <w:r w:rsidR="0070218D" w:rsidRPr="003F7F6C">
              <w:rPr>
                <w:rFonts w:cs="Calibri"/>
                <w:sz w:val="18"/>
                <w:szCs w:val="18"/>
              </w:rPr>
              <w:t>3</w:t>
            </w:r>
          </w:p>
          <w:p w14:paraId="78236437" w14:textId="7B302FE6" w:rsidR="00A0732B" w:rsidRPr="003F7F6C" w:rsidRDefault="00A0732B" w:rsidP="00A0732B">
            <w:pPr>
              <w:rPr>
                <w:rFonts w:cs="Calibri"/>
                <w:sz w:val="18"/>
                <w:szCs w:val="18"/>
              </w:rPr>
            </w:pPr>
            <w:r w:rsidRPr="003F7F6C">
              <w:rPr>
                <w:rFonts w:cs="Calibri"/>
                <w:sz w:val="18"/>
                <w:szCs w:val="18"/>
              </w:rPr>
              <w:t xml:space="preserve">Significance: </w:t>
            </w:r>
            <w:r w:rsidR="0070218D" w:rsidRPr="003F7F6C">
              <w:rPr>
                <w:rFonts w:cs="Calibri"/>
                <w:sz w:val="18"/>
                <w:szCs w:val="18"/>
              </w:rPr>
              <w:t>Moderate</w:t>
            </w:r>
          </w:p>
          <w:p w14:paraId="00C88167" w14:textId="77777777" w:rsidR="00A0732B" w:rsidRPr="003F7F6C" w:rsidRDefault="00A0732B" w:rsidP="00A0732B">
            <w:pPr>
              <w:rPr>
                <w:rFonts w:cs="Calibri"/>
                <w:sz w:val="18"/>
                <w:szCs w:val="18"/>
              </w:rPr>
            </w:pPr>
          </w:p>
          <w:p w14:paraId="271903CB" w14:textId="77777777" w:rsidR="00A0732B" w:rsidRPr="003F7F6C" w:rsidRDefault="00A0732B" w:rsidP="00A0732B">
            <w:pPr>
              <w:rPr>
                <w:rFonts w:cs="Calibri"/>
                <w:sz w:val="18"/>
                <w:szCs w:val="18"/>
              </w:rPr>
            </w:pPr>
            <w:r w:rsidRPr="003F7F6C">
              <w:rPr>
                <w:rFonts w:cs="Calibri"/>
                <w:sz w:val="18"/>
                <w:szCs w:val="18"/>
                <w:u w:val="single"/>
              </w:rPr>
              <w:t>Potential impacts</w:t>
            </w:r>
            <w:r w:rsidRPr="003F7F6C">
              <w:rPr>
                <w:rFonts w:cs="Calibri"/>
                <w:sz w:val="18"/>
                <w:szCs w:val="18"/>
              </w:rPr>
              <w:t>:</w:t>
            </w:r>
          </w:p>
          <w:p w14:paraId="05B33F25" w14:textId="77777777" w:rsidR="00A0732B" w:rsidRPr="003F7F6C" w:rsidRDefault="00A0732B" w:rsidP="000A6844">
            <w:pPr>
              <w:jc w:val="left"/>
              <w:rPr>
                <w:rFonts w:cs="Calibri"/>
                <w:sz w:val="18"/>
                <w:szCs w:val="18"/>
              </w:rPr>
            </w:pPr>
            <w:r w:rsidRPr="003F7F6C">
              <w:rPr>
                <w:rFonts w:cs="Calibri"/>
                <w:sz w:val="18"/>
                <w:szCs w:val="18"/>
              </w:rPr>
              <w:t>Conflicts between small scale producers and indigenous peoples and government agencies over land uses. Lack of alternatives for these stakeholders may result in displacement, increased poverty and rural exodus.</w:t>
            </w:r>
          </w:p>
        </w:tc>
        <w:tc>
          <w:tcPr>
            <w:tcW w:w="5529" w:type="dxa"/>
          </w:tcPr>
          <w:p w14:paraId="488A167E" w14:textId="379F15DB" w:rsidR="00A0732B" w:rsidRPr="003F7F6C" w:rsidRDefault="0070218D" w:rsidP="00A0732B">
            <w:pPr>
              <w:pStyle w:val="NormalWeb"/>
              <w:rPr>
                <w:rFonts w:ascii="Calibri" w:hAnsi="Calibri" w:cs="Calibri"/>
                <w:sz w:val="18"/>
                <w:szCs w:val="18"/>
              </w:rPr>
            </w:pPr>
            <w:r w:rsidRPr="003F7F6C">
              <w:rPr>
                <w:rFonts w:asciiTheme="minorHAnsi" w:hAnsiTheme="minorHAnsi"/>
                <w:sz w:val="18"/>
                <w:szCs w:val="18"/>
              </w:rPr>
              <w:t>The project strategy has been designed to compensate any potential opportunity costs in the short term by testing a range of incentives and compensation mechanisms</w:t>
            </w:r>
            <w:r w:rsidRPr="003F7F6C">
              <w:rPr>
                <w:rFonts w:asciiTheme="minorHAnsi" w:hAnsiTheme="minorHAnsi"/>
                <w:sz w:val="18"/>
                <w:szCs w:val="18"/>
                <w:lang w:val="en-GB"/>
              </w:rPr>
              <w:t xml:space="preserve">. In parallel it will work through sectoral programmes and </w:t>
            </w:r>
            <w:r w:rsidRPr="003F7F6C">
              <w:rPr>
                <w:rFonts w:asciiTheme="minorHAnsi" w:hAnsiTheme="minorHAnsi"/>
                <w:sz w:val="18"/>
                <w:szCs w:val="18"/>
              </w:rPr>
              <w:t xml:space="preserve">facilitate access to markets or credit </w:t>
            </w:r>
            <w:r w:rsidRPr="003F7F6C">
              <w:rPr>
                <w:rFonts w:asciiTheme="minorHAnsi" w:hAnsiTheme="minorHAnsi"/>
                <w:sz w:val="18"/>
                <w:szCs w:val="18"/>
                <w:lang w:val="en-GB"/>
              </w:rPr>
              <w:t xml:space="preserve">to increase financial flows in the medium term to transition to new production or provide continued support for private conservation. Potential pressure of future land use changes in response to changes in economic and trade contexts (for instance, changes in commodity prices) would also be offset based on: a) use of multi-stakeholder dialogue platforms/sustainable commodities platform to coordinate new production interests and demands; b) testing of economic and financial instruments to maintain sustainable and compatibles uses.  The main focus of the project strategy is to promote sustainable uses that guarantee the preservation and improvement of the ecosystems and their services as well as livelihoods, particularly of Indigenous Peoples. </w:t>
            </w:r>
            <w:r w:rsidRPr="003F7F6C">
              <w:rPr>
                <w:rFonts w:asciiTheme="minorHAnsi" w:hAnsiTheme="minorHAnsi"/>
                <w:sz w:val="18"/>
                <w:szCs w:val="18"/>
              </w:rPr>
              <w:t>Decisions regarding the territories inhabited by Indigenous Peoples will be taken in accordance with the regulatory framework on Indigenous Peoples’ Human Rights, undertaking prior consultation in all cases and FPIC when required. The draft Indigenous Peoples Plan, which is included in the Project Document, will be further developed during the first year of implementation into a fully detailed Plan</w:t>
            </w:r>
            <w:r w:rsidRPr="003F7F6C">
              <w:rPr>
                <w:rFonts w:asciiTheme="minorHAnsi" w:hAnsiTheme="minorHAnsi" w:cs="Calibri"/>
                <w:sz w:val="18"/>
                <w:szCs w:val="18"/>
              </w:rPr>
              <w:t>.</w:t>
            </w:r>
          </w:p>
        </w:tc>
        <w:tc>
          <w:tcPr>
            <w:tcW w:w="992" w:type="dxa"/>
            <w:shd w:val="clear" w:color="auto" w:fill="auto"/>
          </w:tcPr>
          <w:p w14:paraId="748DA9C3" w14:textId="75E42385" w:rsidR="00A0732B" w:rsidRPr="003F7F6C" w:rsidRDefault="00855FB3" w:rsidP="00A0732B">
            <w:pPr>
              <w:rPr>
                <w:rFonts w:cs="Calibri"/>
                <w:sz w:val="18"/>
                <w:szCs w:val="18"/>
              </w:rPr>
            </w:pPr>
            <w:r w:rsidRPr="003F7F6C">
              <w:rPr>
                <w:rFonts w:cs="Calibri"/>
                <w:sz w:val="18"/>
                <w:szCs w:val="18"/>
              </w:rPr>
              <w:t>UNDP CO</w:t>
            </w:r>
          </w:p>
        </w:tc>
        <w:tc>
          <w:tcPr>
            <w:tcW w:w="963" w:type="dxa"/>
            <w:shd w:val="clear" w:color="auto" w:fill="auto"/>
          </w:tcPr>
          <w:p w14:paraId="79B69905" w14:textId="7310BD64" w:rsidR="00A0732B" w:rsidRPr="003F7F6C" w:rsidRDefault="00855FB3" w:rsidP="00A0732B">
            <w:pPr>
              <w:rPr>
                <w:rFonts w:cs="Calibri"/>
                <w:sz w:val="18"/>
                <w:szCs w:val="18"/>
              </w:rPr>
            </w:pPr>
            <w:r w:rsidRPr="003F7F6C">
              <w:rPr>
                <w:rFonts w:cs="Calibri"/>
                <w:sz w:val="18"/>
                <w:szCs w:val="18"/>
              </w:rPr>
              <w:t>Identified risk</w:t>
            </w:r>
          </w:p>
        </w:tc>
      </w:tr>
      <w:tr w:rsidR="00A0732B" w:rsidRPr="003F7F6C" w14:paraId="41E2A6EC" w14:textId="77777777" w:rsidTr="00A0732B">
        <w:tc>
          <w:tcPr>
            <w:tcW w:w="2037" w:type="dxa"/>
          </w:tcPr>
          <w:p w14:paraId="7DAC0BE8" w14:textId="6F1C5925" w:rsidR="00A0732B" w:rsidRPr="003F7F6C" w:rsidRDefault="0070218D" w:rsidP="00A0732B">
            <w:pPr>
              <w:rPr>
                <w:rFonts w:cs="Calibri"/>
                <w:bCs/>
                <w:sz w:val="18"/>
                <w:szCs w:val="18"/>
              </w:rPr>
            </w:pPr>
            <w:r w:rsidRPr="003F7F6C">
              <w:rPr>
                <w:sz w:val="18"/>
                <w:szCs w:val="18"/>
                <w:lang w:val="en-GB"/>
              </w:rPr>
              <w:t xml:space="preserve">Indigenous peoples are present in the selected pilot sites of the provinces of Mendoza and Jujuy. Some of the environmentally sensitive areas may be located in their lands and unless the </w:t>
            </w:r>
            <w:r w:rsidRPr="003F7F6C">
              <w:rPr>
                <w:sz w:val="18"/>
                <w:szCs w:val="18"/>
              </w:rPr>
              <w:t>culturally appropriate consultations are carried out with the objective of achieving FPIC, the land use planning in these areas may affect the rights and interests, lands, resources, territories and traditional livelihoods of the indigenous peoples concerned</w:t>
            </w:r>
          </w:p>
        </w:tc>
        <w:tc>
          <w:tcPr>
            <w:tcW w:w="1417" w:type="dxa"/>
          </w:tcPr>
          <w:p w14:paraId="4C51CC2D" w14:textId="77777777" w:rsidR="00A0732B" w:rsidRPr="003F7F6C" w:rsidRDefault="00A0732B" w:rsidP="00A0732B">
            <w:pPr>
              <w:rPr>
                <w:rFonts w:cs="Calibri"/>
                <w:sz w:val="18"/>
                <w:szCs w:val="18"/>
              </w:rPr>
            </w:pPr>
            <w:r w:rsidRPr="003F7F6C">
              <w:rPr>
                <w:rFonts w:cs="Calibri"/>
                <w:sz w:val="18"/>
                <w:szCs w:val="18"/>
              </w:rPr>
              <w:t>Socio-economic</w:t>
            </w:r>
          </w:p>
        </w:tc>
        <w:tc>
          <w:tcPr>
            <w:tcW w:w="2693" w:type="dxa"/>
          </w:tcPr>
          <w:p w14:paraId="7912AECA" w14:textId="2D94D57B" w:rsidR="00A0732B" w:rsidRPr="003F7F6C" w:rsidRDefault="00A0732B" w:rsidP="00A0732B">
            <w:pPr>
              <w:rPr>
                <w:rFonts w:cs="Calibri"/>
                <w:sz w:val="18"/>
                <w:szCs w:val="18"/>
              </w:rPr>
            </w:pPr>
            <w:r w:rsidRPr="003F7F6C">
              <w:rPr>
                <w:rFonts w:cs="Calibri"/>
                <w:sz w:val="18"/>
                <w:szCs w:val="18"/>
              </w:rPr>
              <w:t xml:space="preserve">P= </w:t>
            </w:r>
            <w:r w:rsidR="0070218D" w:rsidRPr="003F7F6C">
              <w:rPr>
                <w:rFonts w:cs="Calibri"/>
                <w:sz w:val="18"/>
                <w:szCs w:val="18"/>
              </w:rPr>
              <w:t>4</w:t>
            </w:r>
          </w:p>
          <w:p w14:paraId="5CC8706B" w14:textId="41CE9F08" w:rsidR="00A0732B" w:rsidRPr="003F7F6C" w:rsidRDefault="00A0732B" w:rsidP="00A0732B">
            <w:pPr>
              <w:rPr>
                <w:rFonts w:cs="Calibri"/>
                <w:sz w:val="18"/>
                <w:szCs w:val="18"/>
              </w:rPr>
            </w:pPr>
            <w:r w:rsidRPr="003F7F6C">
              <w:rPr>
                <w:rFonts w:cs="Calibri"/>
                <w:sz w:val="18"/>
                <w:szCs w:val="18"/>
              </w:rPr>
              <w:t xml:space="preserve">I= </w:t>
            </w:r>
            <w:r w:rsidR="0070218D" w:rsidRPr="003F7F6C">
              <w:rPr>
                <w:rFonts w:cs="Calibri"/>
                <w:sz w:val="18"/>
                <w:szCs w:val="18"/>
              </w:rPr>
              <w:t>2</w:t>
            </w:r>
          </w:p>
          <w:p w14:paraId="108DAE96" w14:textId="77777777" w:rsidR="00A0732B" w:rsidRPr="003F7F6C" w:rsidRDefault="00A0732B" w:rsidP="00A0732B">
            <w:pPr>
              <w:rPr>
                <w:rFonts w:cs="Calibri"/>
                <w:sz w:val="18"/>
                <w:szCs w:val="18"/>
              </w:rPr>
            </w:pPr>
            <w:r w:rsidRPr="003F7F6C">
              <w:rPr>
                <w:rFonts w:cs="Calibri"/>
                <w:sz w:val="18"/>
                <w:szCs w:val="18"/>
              </w:rPr>
              <w:t>Significance: Moderate</w:t>
            </w:r>
          </w:p>
          <w:p w14:paraId="266F71AF" w14:textId="77777777" w:rsidR="00A0732B" w:rsidRPr="003F7F6C" w:rsidRDefault="00A0732B" w:rsidP="00A0732B">
            <w:pPr>
              <w:rPr>
                <w:rFonts w:cs="Calibri"/>
                <w:sz w:val="18"/>
                <w:szCs w:val="18"/>
              </w:rPr>
            </w:pPr>
          </w:p>
          <w:p w14:paraId="1C68FB1A" w14:textId="77777777" w:rsidR="00A0732B" w:rsidRPr="003F7F6C" w:rsidRDefault="00A0732B" w:rsidP="00A0732B">
            <w:pPr>
              <w:rPr>
                <w:rFonts w:cs="Calibri"/>
                <w:sz w:val="18"/>
                <w:szCs w:val="18"/>
              </w:rPr>
            </w:pPr>
            <w:r w:rsidRPr="003F7F6C">
              <w:rPr>
                <w:rFonts w:cs="Calibri"/>
                <w:sz w:val="18"/>
                <w:szCs w:val="18"/>
                <w:u w:val="single"/>
              </w:rPr>
              <w:t>Potential impacts</w:t>
            </w:r>
            <w:r w:rsidRPr="003F7F6C">
              <w:rPr>
                <w:rFonts w:cs="Calibri"/>
                <w:sz w:val="18"/>
                <w:szCs w:val="18"/>
              </w:rPr>
              <w:t>:</w:t>
            </w:r>
          </w:p>
          <w:p w14:paraId="0275D497" w14:textId="2EB7DD75" w:rsidR="00A0732B" w:rsidRPr="003F7F6C" w:rsidRDefault="00A0732B" w:rsidP="00A0732B">
            <w:pPr>
              <w:rPr>
                <w:rFonts w:cs="Calibri"/>
                <w:sz w:val="18"/>
                <w:szCs w:val="18"/>
              </w:rPr>
            </w:pPr>
            <w:r w:rsidRPr="003F7F6C">
              <w:rPr>
                <w:rFonts w:cs="Calibri"/>
                <w:sz w:val="18"/>
                <w:szCs w:val="18"/>
              </w:rPr>
              <w:t xml:space="preserve">Weakened participation of indigenous peoples could create resistance of communities toward the </w:t>
            </w:r>
            <w:r w:rsidR="00855FB3" w:rsidRPr="003F7F6C">
              <w:rPr>
                <w:rFonts w:cs="Calibri"/>
                <w:sz w:val="18"/>
                <w:szCs w:val="18"/>
              </w:rPr>
              <w:t>p</w:t>
            </w:r>
            <w:r w:rsidRPr="003F7F6C">
              <w:rPr>
                <w:rFonts w:cs="Calibri"/>
                <w:sz w:val="18"/>
                <w:szCs w:val="18"/>
              </w:rPr>
              <w:t xml:space="preserve">roject. Communities could decide not to work with the </w:t>
            </w:r>
            <w:r w:rsidR="00855FB3" w:rsidRPr="003F7F6C">
              <w:rPr>
                <w:rFonts w:cs="Calibri"/>
                <w:sz w:val="18"/>
                <w:szCs w:val="18"/>
              </w:rPr>
              <w:t>p</w:t>
            </w:r>
            <w:r w:rsidRPr="003F7F6C">
              <w:rPr>
                <w:rFonts w:cs="Calibri"/>
                <w:sz w:val="18"/>
                <w:szCs w:val="18"/>
              </w:rPr>
              <w:t>roject. Reduced adoption of environmentally friendly and sustainable practices</w:t>
            </w:r>
            <w:r w:rsidR="003C3494" w:rsidRPr="003F7F6C">
              <w:rPr>
                <w:rFonts w:cs="Calibri"/>
                <w:sz w:val="18"/>
                <w:szCs w:val="18"/>
              </w:rPr>
              <w:t xml:space="preserve"> </w:t>
            </w:r>
          </w:p>
        </w:tc>
        <w:tc>
          <w:tcPr>
            <w:tcW w:w="5529" w:type="dxa"/>
          </w:tcPr>
          <w:p w14:paraId="1CEEF040" w14:textId="77777777" w:rsidR="0070218D" w:rsidRPr="003F7F6C" w:rsidRDefault="0070218D" w:rsidP="0070218D">
            <w:pPr>
              <w:spacing w:before="120"/>
              <w:rPr>
                <w:sz w:val="18"/>
                <w:szCs w:val="18"/>
              </w:rPr>
            </w:pPr>
            <w:r w:rsidRPr="003F7F6C">
              <w:rPr>
                <w:sz w:val="18"/>
                <w:szCs w:val="18"/>
              </w:rPr>
              <w:t>Environmental Land Use Planning is essentially a participatory tool, and this principle will prevail during project implementation. To this effect a project Stakeholder Engagement Plan (Project Document Annex F) and a draft IPP (Annex E-1) have been developed that include several participatory mechanisms and specific provisions and measures. This draft IPP will be developed in detail during project year 1. At target landscape level the action lines outlined in the Project Document will be defined in detail during project implementation. For this the project will apply prior consultations at all times and FPIC will be ensured on any matters that may affect the rights and interests, lands, resources, territories, namely extraction of natural resources such as felling, mining or agricultural activities in their lands or territories; a decision affecting the status or people’s rights to their land/territories, resources or means of support; access to traditional knowledge and practices; commercial use of natural and / or cultural resources in plots of land subject to traditional ownership rights and / or traditional use by indigenous peoples; decisions regarding benefit sharing arrangements, where the benefits are derived from their land, territories or resources (eg., management of natural resources or extractive industries).</w:t>
            </w:r>
          </w:p>
          <w:p w14:paraId="158384B2" w14:textId="77777777" w:rsidR="0070218D" w:rsidRPr="003F7F6C" w:rsidRDefault="0070218D" w:rsidP="0070218D">
            <w:pPr>
              <w:spacing w:before="120"/>
              <w:rPr>
                <w:sz w:val="18"/>
                <w:szCs w:val="18"/>
              </w:rPr>
            </w:pPr>
            <w:r w:rsidRPr="003F7F6C">
              <w:rPr>
                <w:sz w:val="18"/>
                <w:szCs w:val="18"/>
              </w:rPr>
              <w:t xml:space="preserve">The project will take advantage of the existing institutional experience in consultation processes in Mendoza and Jujuy, as well as the existing community structures and organizations, and protocols and processes that have already proven successful with the indigenous communities that will participate in project interventions. </w:t>
            </w:r>
          </w:p>
          <w:p w14:paraId="7186520A" w14:textId="77777777" w:rsidR="0070218D" w:rsidRPr="003F7F6C" w:rsidRDefault="0070218D" w:rsidP="0070218D">
            <w:pPr>
              <w:pStyle w:val="Default"/>
              <w:jc w:val="both"/>
              <w:rPr>
                <w:rFonts w:ascii="Calibri" w:hAnsi="Calibri"/>
                <w:color w:val="FF0000"/>
                <w:sz w:val="18"/>
                <w:szCs w:val="18"/>
              </w:rPr>
            </w:pPr>
            <w:r w:rsidRPr="003F7F6C">
              <w:rPr>
                <w:rFonts w:ascii="Calibri" w:hAnsi="Calibri"/>
                <w:sz w:val="18"/>
                <w:szCs w:val="18"/>
              </w:rPr>
              <w:t>In addition, at provincial level participation of indigenous peoples will fostered in two spaces. One of them will be the the multi-stakeholder dialogue spaces (Output 2.2) which will engage stakeholders with different levels of power and use of resources in participatory land use planning. Another space will be a Provincial Project Working Group, which will include key stakeholders involved in project implementation and will be in charge of providing strategic guidance in each pilot province.</w:t>
            </w:r>
          </w:p>
          <w:p w14:paraId="49063E5F" w14:textId="77777777" w:rsidR="0070218D" w:rsidRPr="003F7F6C" w:rsidRDefault="0070218D" w:rsidP="0070218D">
            <w:pPr>
              <w:rPr>
                <w:sz w:val="18"/>
                <w:szCs w:val="18"/>
              </w:rPr>
            </w:pPr>
            <w:r w:rsidRPr="003F7F6C">
              <w:rPr>
                <w:sz w:val="18"/>
                <w:szCs w:val="18"/>
              </w:rPr>
              <w:t xml:space="preserve">Furthermore, these mechanisms will be strengthened through communication and capacity building for informed consent that will be implemented at provincial level within the dialogue platforms (Output 2.2) and at pilot site level within the consultation processes for planning and implementing field interventions (Output 2.4).  </w:t>
            </w:r>
          </w:p>
          <w:p w14:paraId="6B8F8C8D" w14:textId="569D6444" w:rsidR="00A0732B" w:rsidRPr="003F7F6C" w:rsidRDefault="0070218D" w:rsidP="00A0732B">
            <w:pPr>
              <w:rPr>
                <w:rFonts w:cs="Calibri"/>
                <w:sz w:val="18"/>
                <w:szCs w:val="18"/>
              </w:rPr>
            </w:pPr>
            <w:r w:rsidRPr="003F7F6C">
              <w:rPr>
                <w:sz w:val="18"/>
                <w:szCs w:val="18"/>
              </w:rPr>
              <w:t xml:space="preserve">A </w:t>
            </w:r>
            <w:r w:rsidRPr="003F7F6C">
              <w:rPr>
                <w:rFonts w:eastAsia="Calibri"/>
                <w:sz w:val="18"/>
                <w:szCs w:val="18"/>
              </w:rPr>
              <w:t>System for Prevention and Management of Consultations and Conflicts</w:t>
            </w:r>
            <w:r w:rsidRPr="003F7F6C">
              <w:rPr>
                <w:rFonts w:eastAsia="Calibri"/>
                <w:b/>
                <w:szCs w:val="20"/>
              </w:rPr>
              <w:t xml:space="preserve"> </w:t>
            </w:r>
            <w:r w:rsidRPr="003F7F6C">
              <w:rPr>
                <w:sz w:val="18"/>
                <w:szCs w:val="18"/>
              </w:rPr>
              <w:t>(project-level grievance redress mechanism) will be put in place to prevent potential conflicts, manage conflicts that may arise and to serve as a grievance mechanism.</w:t>
            </w:r>
          </w:p>
        </w:tc>
        <w:tc>
          <w:tcPr>
            <w:tcW w:w="992" w:type="dxa"/>
            <w:shd w:val="clear" w:color="auto" w:fill="auto"/>
          </w:tcPr>
          <w:p w14:paraId="7D0FFFE5" w14:textId="77777777" w:rsidR="00A0732B" w:rsidRPr="003F7F6C" w:rsidRDefault="00A0732B" w:rsidP="00A0732B">
            <w:pPr>
              <w:rPr>
                <w:rFonts w:cs="Calibri"/>
                <w:sz w:val="18"/>
                <w:szCs w:val="18"/>
              </w:rPr>
            </w:pPr>
            <w:r w:rsidRPr="003F7F6C">
              <w:rPr>
                <w:rFonts w:cs="Calibri"/>
                <w:sz w:val="18"/>
                <w:szCs w:val="18"/>
              </w:rPr>
              <w:t>UNDP CO</w:t>
            </w:r>
          </w:p>
        </w:tc>
        <w:tc>
          <w:tcPr>
            <w:tcW w:w="963" w:type="dxa"/>
            <w:shd w:val="clear" w:color="auto" w:fill="auto"/>
          </w:tcPr>
          <w:p w14:paraId="69D8EC00" w14:textId="77777777" w:rsidR="00A0732B" w:rsidRPr="003F7F6C" w:rsidRDefault="00A0732B" w:rsidP="00A0732B">
            <w:pPr>
              <w:rPr>
                <w:rFonts w:cs="Calibri"/>
                <w:sz w:val="18"/>
                <w:szCs w:val="18"/>
              </w:rPr>
            </w:pPr>
            <w:r w:rsidRPr="003F7F6C">
              <w:rPr>
                <w:rFonts w:cs="Calibri"/>
                <w:sz w:val="18"/>
                <w:szCs w:val="18"/>
              </w:rPr>
              <w:t>Identified risk</w:t>
            </w:r>
          </w:p>
        </w:tc>
      </w:tr>
      <w:tr w:rsidR="0070218D" w:rsidRPr="003F7F6C" w14:paraId="7A19232E" w14:textId="77777777" w:rsidTr="00A0732B">
        <w:tc>
          <w:tcPr>
            <w:tcW w:w="2037" w:type="dxa"/>
          </w:tcPr>
          <w:p w14:paraId="7DBD486C" w14:textId="77777777" w:rsidR="0070218D" w:rsidRPr="003F7F6C" w:rsidRDefault="0070218D" w:rsidP="0070218D">
            <w:pPr>
              <w:rPr>
                <w:sz w:val="18"/>
                <w:szCs w:val="18"/>
                <w:lang w:val="en-GB"/>
              </w:rPr>
            </w:pPr>
            <w:r w:rsidRPr="003F7F6C">
              <w:rPr>
                <w:rFonts w:eastAsia="Times New Roman"/>
                <w:sz w:val="18"/>
                <w:szCs w:val="18"/>
                <w:lang w:val="en-GB"/>
              </w:rPr>
              <w:t xml:space="preserve">The </w:t>
            </w:r>
            <w:r w:rsidRPr="003F7F6C">
              <w:rPr>
                <w:rFonts w:eastAsia="Times New Roman"/>
                <w:sz w:val="18"/>
                <w:szCs w:val="18"/>
              </w:rPr>
              <w:t>project could potentially limit women’s ability to use, develop and protect natural resources, taking into account the different roles and positions of women and men in accessing environmental goods and services</w:t>
            </w:r>
          </w:p>
          <w:p w14:paraId="06D4C601" w14:textId="77777777" w:rsidR="0070218D" w:rsidRPr="003F7F6C" w:rsidRDefault="0070218D" w:rsidP="0070218D">
            <w:pPr>
              <w:rPr>
                <w:sz w:val="18"/>
                <w:szCs w:val="18"/>
                <w:lang w:val="en-GB"/>
              </w:rPr>
            </w:pPr>
          </w:p>
        </w:tc>
        <w:tc>
          <w:tcPr>
            <w:tcW w:w="1417" w:type="dxa"/>
          </w:tcPr>
          <w:p w14:paraId="2BBCD88D" w14:textId="6190460D" w:rsidR="0070218D" w:rsidRPr="003F7F6C" w:rsidRDefault="0070218D" w:rsidP="0070218D">
            <w:pPr>
              <w:rPr>
                <w:rFonts w:cs="Calibri"/>
                <w:sz w:val="18"/>
                <w:szCs w:val="18"/>
              </w:rPr>
            </w:pPr>
            <w:r w:rsidRPr="003F7F6C">
              <w:rPr>
                <w:rFonts w:cs="Calibri"/>
                <w:sz w:val="18"/>
                <w:szCs w:val="18"/>
              </w:rPr>
              <w:t>Socio-economic</w:t>
            </w:r>
          </w:p>
        </w:tc>
        <w:tc>
          <w:tcPr>
            <w:tcW w:w="2693" w:type="dxa"/>
          </w:tcPr>
          <w:p w14:paraId="76DC536F" w14:textId="77777777" w:rsidR="0070218D" w:rsidRPr="003F7F6C" w:rsidRDefault="0070218D" w:rsidP="0070218D">
            <w:pPr>
              <w:rPr>
                <w:rFonts w:cs="Minion Pro"/>
                <w:sz w:val="18"/>
                <w:szCs w:val="18"/>
              </w:rPr>
            </w:pPr>
            <w:r w:rsidRPr="003F7F6C">
              <w:rPr>
                <w:rFonts w:cs="Minion Pro"/>
                <w:sz w:val="18"/>
                <w:szCs w:val="18"/>
              </w:rPr>
              <w:t>I = 3</w:t>
            </w:r>
          </w:p>
          <w:p w14:paraId="7D79CD0B" w14:textId="77777777" w:rsidR="0070218D" w:rsidRPr="003F7F6C" w:rsidRDefault="0070218D" w:rsidP="0070218D">
            <w:pPr>
              <w:rPr>
                <w:rFonts w:cs="Minion Pro"/>
                <w:sz w:val="18"/>
                <w:szCs w:val="18"/>
              </w:rPr>
            </w:pPr>
            <w:r w:rsidRPr="003F7F6C">
              <w:rPr>
                <w:rFonts w:cs="Minion Pro"/>
                <w:sz w:val="18"/>
                <w:szCs w:val="18"/>
              </w:rPr>
              <w:t>P = 3</w:t>
            </w:r>
          </w:p>
          <w:p w14:paraId="44BC2BC9" w14:textId="77777777" w:rsidR="0070218D" w:rsidRPr="003F7F6C" w:rsidRDefault="0070218D" w:rsidP="0070218D">
            <w:pPr>
              <w:rPr>
                <w:rFonts w:cs="Minion Pro"/>
                <w:sz w:val="18"/>
                <w:szCs w:val="18"/>
              </w:rPr>
            </w:pPr>
          </w:p>
          <w:p w14:paraId="01E8A38D" w14:textId="77777777" w:rsidR="0070218D" w:rsidRPr="003F7F6C" w:rsidRDefault="0070218D" w:rsidP="0070218D">
            <w:pPr>
              <w:rPr>
                <w:rFonts w:cs="Calibri"/>
                <w:sz w:val="18"/>
                <w:szCs w:val="18"/>
              </w:rPr>
            </w:pPr>
            <w:r w:rsidRPr="003F7F6C">
              <w:rPr>
                <w:rFonts w:cs="Calibri"/>
                <w:sz w:val="18"/>
                <w:szCs w:val="18"/>
              </w:rPr>
              <w:t>Significance: Moderate</w:t>
            </w:r>
          </w:p>
          <w:p w14:paraId="54D7106B" w14:textId="77777777" w:rsidR="0070218D" w:rsidRPr="003F7F6C" w:rsidRDefault="0070218D" w:rsidP="0070218D">
            <w:pPr>
              <w:rPr>
                <w:rFonts w:cs="Calibri"/>
                <w:sz w:val="18"/>
                <w:szCs w:val="18"/>
              </w:rPr>
            </w:pPr>
          </w:p>
          <w:p w14:paraId="599DBB8E" w14:textId="77777777" w:rsidR="0070218D" w:rsidRPr="003F7F6C" w:rsidRDefault="0070218D" w:rsidP="0070218D">
            <w:pPr>
              <w:rPr>
                <w:rFonts w:cs="Calibri"/>
                <w:sz w:val="18"/>
                <w:szCs w:val="18"/>
              </w:rPr>
            </w:pPr>
            <w:r w:rsidRPr="003F7F6C">
              <w:rPr>
                <w:rFonts w:cs="Calibri"/>
                <w:sz w:val="18"/>
                <w:szCs w:val="18"/>
                <w:u w:val="single"/>
              </w:rPr>
              <w:t>Potential impacts</w:t>
            </w:r>
            <w:r w:rsidRPr="003F7F6C">
              <w:rPr>
                <w:rFonts w:cs="Calibri"/>
                <w:sz w:val="18"/>
                <w:szCs w:val="18"/>
              </w:rPr>
              <w:t>:</w:t>
            </w:r>
          </w:p>
          <w:p w14:paraId="06CC57F1" w14:textId="1222302F" w:rsidR="0070218D" w:rsidRPr="003F7F6C" w:rsidRDefault="0070218D" w:rsidP="0070218D">
            <w:pPr>
              <w:rPr>
                <w:rFonts w:cs="Calibri"/>
                <w:sz w:val="18"/>
                <w:szCs w:val="18"/>
              </w:rPr>
            </w:pPr>
            <w:r w:rsidRPr="003F7F6C">
              <w:rPr>
                <w:rFonts w:cs="Calibri"/>
                <w:sz w:val="18"/>
                <w:szCs w:val="18"/>
              </w:rPr>
              <w:t>Weakened participation of women could create resistance of communities toward the project. Communities could decide not to work with the project. Reduced adoption of environmentally friendly and sustainable practices</w:t>
            </w:r>
          </w:p>
        </w:tc>
        <w:tc>
          <w:tcPr>
            <w:tcW w:w="5529" w:type="dxa"/>
          </w:tcPr>
          <w:p w14:paraId="68566D4C" w14:textId="5B47832B" w:rsidR="0070218D" w:rsidRPr="003F7F6C" w:rsidRDefault="0070218D" w:rsidP="0070218D">
            <w:pPr>
              <w:spacing w:before="120"/>
              <w:rPr>
                <w:sz w:val="18"/>
                <w:szCs w:val="18"/>
              </w:rPr>
            </w:pPr>
            <w:r w:rsidRPr="003F7F6C">
              <w:rPr>
                <w:sz w:val="18"/>
                <w:szCs w:val="18"/>
              </w:rPr>
              <w:t xml:space="preserve">A gender analysis was undertaken during the PPG. The findings were used to develop a Gender Analysis and Action Plan, which will be implemented throughout the project.  (See Annex G of the Project Document). Key strategies include: 1) All data, reports and inputs for the development of the policy, economic, financial and technical instruments and governance mechanisms for ELUP will be looked at through a gender and intercultural view. 2) The project will develop a capacity building program aimed at public officials and/or technical teams to raise awareness on the importance of engaging both women and men in decision-making processes and addressing gender issues, such as how the </w:t>
            </w:r>
            <w:r w:rsidRPr="003F7F6C">
              <w:rPr>
                <w:rFonts w:eastAsia="Times New Roman"/>
                <w:sz w:val="18"/>
                <w:szCs w:val="18"/>
              </w:rPr>
              <w:t>different roles and positions of women and men affect the use, development and protection of environmental goods and services</w:t>
            </w:r>
            <w:r w:rsidRPr="003F7F6C">
              <w:rPr>
                <w:sz w:val="18"/>
                <w:szCs w:val="18"/>
              </w:rPr>
              <w:t xml:space="preserve">. 3) Gender and ethnicity will be mainstreamed in the dialogue mechanisms by fostering equal participation of women and men and indigenous populations in agenda-setting, decision-making and/or policy-making processes. 4) The project will develop a capacity building program aimed at women beneficiaries (indigenous and non-indigenous) in the three prioritized areas and target landscapes to: i) promote gender equality in the management, use and conservation of biodiversity; ii) ensure that both women and men´s needs are addressed through the project interventions; iii) engaging men and women equally in order to ensure their participation in multi-sectoral and multi-stakeholder dialogue spaces. 5) The project will enhance knowledge management by systematizing, assessing, replicating and/or scaling up lessons learned, case studies, and promising and/or best practices on gender mainstreaming and the multicultural approach in BD/SLM and ELUP. </w:t>
            </w:r>
          </w:p>
        </w:tc>
        <w:tc>
          <w:tcPr>
            <w:tcW w:w="992" w:type="dxa"/>
            <w:shd w:val="clear" w:color="auto" w:fill="auto"/>
          </w:tcPr>
          <w:p w14:paraId="56ABF804" w14:textId="617FDD83" w:rsidR="0070218D" w:rsidRPr="003F7F6C" w:rsidRDefault="0070218D" w:rsidP="0070218D">
            <w:pPr>
              <w:rPr>
                <w:rFonts w:cs="Calibri"/>
                <w:sz w:val="18"/>
                <w:szCs w:val="18"/>
              </w:rPr>
            </w:pPr>
            <w:r w:rsidRPr="003F7F6C">
              <w:rPr>
                <w:rFonts w:cs="Calibri"/>
                <w:sz w:val="18"/>
                <w:szCs w:val="18"/>
              </w:rPr>
              <w:t>UNDP CO</w:t>
            </w:r>
          </w:p>
        </w:tc>
        <w:tc>
          <w:tcPr>
            <w:tcW w:w="963" w:type="dxa"/>
            <w:shd w:val="clear" w:color="auto" w:fill="auto"/>
          </w:tcPr>
          <w:p w14:paraId="1E569183" w14:textId="0161E314" w:rsidR="0070218D" w:rsidRPr="003F7F6C" w:rsidRDefault="0070218D" w:rsidP="0070218D">
            <w:pPr>
              <w:rPr>
                <w:rFonts w:cs="Calibri"/>
                <w:sz w:val="18"/>
                <w:szCs w:val="18"/>
              </w:rPr>
            </w:pPr>
            <w:r w:rsidRPr="003F7F6C">
              <w:rPr>
                <w:rFonts w:cs="Calibri"/>
                <w:sz w:val="18"/>
                <w:szCs w:val="18"/>
              </w:rPr>
              <w:t>Identified risk</w:t>
            </w:r>
          </w:p>
        </w:tc>
      </w:tr>
      <w:tr w:rsidR="00A0732B" w:rsidRPr="003F7F6C" w14:paraId="31427BC0" w14:textId="77777777" w:rsidTr="00A0732B">
        <w:tc>
          <w:tcPr>
            <w:tcW w:w="2037" w:type="dxa"/>
          </w:tcPr>
          <w:p w14:paraId="0E7B3CC2" w14:textId="78DE9875" w:rsidR="00A0732B" w:rsidRPr="003F7F6C" w:rsidRDefault="00A0732B" w:rsidP="00A0732B">
            <w:pPr>
              <w:rPr>
                <w:rFonts w:cs="Calibri"/>
                <w:bCs/>
                <w:sz w:val="18"/>
                <w:szCs w:val="18"/>
              </w:rPr>
            </w:pPr>
            <w:r w:rsidRPr="003F7F6C">
              <w:rPr>
                <w:rFonts w:cs="Calibri"/>
                <w:sz w:val="18"/>
                <w:szCs w:val="18"/>
              </w:rPr>
              <w:t>Impacts of climate change</w:t>
            </w:r>
            <w:r w:rsidR="0070218D" w:rsidRPr="003F7F6C">
              <w:rPr>
                <w:rFonts w:cs="Calibri"/>
                <w:sz w:val="18"/>
                <w:szCs w:val="18"/>
              </w:rPr>
              <w:t>:</w:t>
            </w:r>
            <w:r w:rsidRPr="003F7F6C">
              <w:rPr>
                <w:rFonts w:cs="Calibri"/>
                <w:sz w:val="18"/>
                <w:szCs w:val="18"/>
              </w:rPr>
              <w:t xml:space="preserve"> </w:t>
            </w:r>
            <w:r w:rsidR="0070218D" w:rsidRPr="003F7F6C">
              <w:rPr>
                <w:rFonts w:asciiTheme="minorHAnsi" w:hAnsiTheme="minorHAnsi"/>
                <w:sz w:val="18"/>
                <w:szCs w:val="18"/>
                <w:lang w:val="en-GB"/>
              </w:rPr>
              <w:t xml:space="preserve">Land use suitability could change due to climate change, making </w:t>
            </w:r>
            <w:r w:rsidR="0070218D" w:rsidRPr="003F7F6C">
              <w:rPr>
                <w:rFonts w:asciiTheme="minorHAnsi" w:eastAsia="Times New Roman" w:hAnsiTheme="minorHAnsi"/>
                <w:sz w:val="18"/>
                <w:szCs w:val="18"/>
              </w:rPr>
              <w:t xml:space="preserve">potential outcomes of the project sensitive or vulnerable to potential impacts of </w:t>
            </w:r>
            <w:r w:rsidR="0070218D" w:rsidRPr="003F7F6C">
              <w:rPr>
                <w:rFonts w:asciiTheme="minorHAnsi" w:eastAsia="Times New Roman" w:hAnsiTheme="minorHAnsi"/>
                <w:bCs/>
                <w:color w:val="000000"/>
                <w:sz w:val="18"/>
                <w:szCs w:val="18"/>
              </w:rPr>
              <w:t>climate</w:t>
            </w:r>
            <w:r w:rsidR="0070218D" w:rsidRPr="003F7F6C">
              <w:rPr>
                <w:rFonts w:asciiTheme="minorHAnsi" w:eastAsia="Times New Roman" w:hAnsiTheme="minorHAnsi"/>
                <w:sz w:val="18"/>
                <w:szCs w:val="18"/>
              </w:rPr>
              <w:t xml:space="preserve"> change</w:t>
            </w:r>
            <w:r w:rsidR="0070218D" w:rsidRPr="003F7F6C" w:rsidDel="0070218D">
              <w:rPr>
                <w:rFonts w:cs="Calibri"/>
                <w:sz w:val="18"/>
                <w:szCs w:val="18"/>
              </w:rPr>
              <w:t xml:space="preserve"> </w:t>
            </w:r>
          </w:p>
        </w:tc>
        <w:tc>
          <w:tcPr>
            <w:tcW w:w="1417" w:type="dxa"/>
          </w:tcPr>
          <w:p w14:paraId="28D68F08" w14:textId="77777777" w:rsidR="00A0732B" w:rsidRPr="003F7F6C" w:rsidRDefault="00A0732B" w:rsidP="00A0732B">
            <w:pPr>
              <w:rPr>
                <w:rFonts w:cs="Calibri"/>
                <w:sz w:val="18"/>
                <w:szCs w:val="18"/>
              </w:rPr>
            </w:pPr>
            <w:r w:rsidRPr="003F7F6C">
              <w:rPr>
                <w:rFonts w:cs="Calibri"/>
                <w:sz w:val="18"/>
                <w:szCs w:val="18"/>
              </w:rPr>
              <w:t>Environmental</w:t>
            </w:r>
          </w:p>
        </w:tc>
        <w:tc>
          <w:tcPr>
            <w:tcW w:w="2693" w:type="dxa"/>
          </w:tcPr>
          <w:p w14:paraId="4A39F45B" w14:textId="77777777" w:rsidR="00A0732B" w:rsidRPr="003F7F6C" w:rsidRDefault="00A0732B" w:rsidP="00A0732B">
            <w:pPr>
              <w:rPr>
                <w:rFonts w:cs="Calibri"/>
                <w:sz w:val="18"/>
                <w:szCs w:val="18"/>
              </w:rPr>
            </w:pPr>
            <w:r w:rsidRPr="003F7F6C">
              <w:rPr>
                <w:rFonts w:cs="Calibri"/>
                <w:sz w:val="18"/>
                <w:szCs w:val="18"/>
              </w:rPr>
              <w:t>P= 3</w:t>
            </w:r>
          </w:p>
          <w:p w14:paraId="2C6027B8" w14:textId="77777777" w:rsidR="00A0732B" w:rsidRPr="003F7F6C" w:rsidRDefault="00A0732B" w:rsidP="00A0732B">
            <w:pPr>
              <w:rPr>
                <w:rFonts w:cs="Calibri"/>
                <w:sz w:val="18"/>
                <w:szCs w:val="18"/>
              </w:rPr>
            </w:pPr>
            <w:r w:rsidRPr="003F7F6C">
              <w:rPr>
                <w:rFonts w:cs="Calibri"/>
                <w:sz w:val="18"/>
                <w:szCs w:val="18"/>
              </w:rPr>
              <w:t>I= 3</w:t>
            </w:r>
          </w:p>
          <w:p w14:paraId="7FE07D74" w14:textId="77777777" w:rsidR="00A0732B" w:rsidRPr="003F7F6C" w:rsidRDefault="00A0732B" w:rsidP="00A0732B">
            <w:pPr>
              <w:rPr>
                <w:rFonts w:cs="Calibri"/>
                <w:sz w:val="18"/>
                <w:szCs w:val="18"/>
              </w:rPr>
            </w:pPr>
            <w:r w:rsidRPr="003F7F6C">
              <w:rPr>
                <w:rFonts w:cs="Calibri"/>
                <w:sz w:val="18"/>
                <w:szCs w:val="18"/>
              </w:rPr>
              <w:t>Significance: Moderate</w:t>
            </w:r>
          </w:p>
          <w:p w14:paraId="6239D382" w14:textId="77777777" w:rsidR="00A0732B" w:rsidRPr="003F7F6C" w:rsidRDefault="00A0732B" w:rsidP="00A0732B">
            <w:pPr>
              <w:rPr>
                <w:rFonts w:cs="Calibri"/>
                <w:sz w:val="18"/>
                <w:szCs w:val="18"/>
              </w:rPr>
            </w:pPr>
          </w:p>
          <w:p w14:paraId="5F74128B" w14:textId="77777777" w:rsidR="00A0732B" w:rsidRPr="003F7F6C" w:rsidRDefault="00A0732B" w:rsidP="00A0732B">
            <w:pPr>
              <w:rPr>
                <w:rFonts w:cs="Calibri"/>
                <w:sz w:val="18"/>
                <w:szCs w:val="18"/>
              </w:rPr>
            </w:pPr>
            <w:r w:rsidRPr="003F7F6C">
              <w:rPr>
                <w:rFonts w:cs="Calibri"/>
                <w:sz w:val="18"/>
                <w:szCs w:val="18"/>
                <w:u w:val="single"/>
              </w:rPr>
              <w:t>Potential impacts</w:t>
            </w:r>
            <w:r w:rsidRPr="003F7F6C">
              <w:rPr>
                <w:rFonts w:cs="Calibri"/>
                <w:sz w:val="18"/>
                <w:szCs w:val="18"/>
              </w:rPr>
              <w:t>:</w:t>
            </w:r>
          </w:p>
          <w:p w14:paraId="02F8430E" w14:textId="5DBF9CEC" w:rsidR="00A0732B" w:rsidRPr="003F7F6C" w:rsidRDefault="00A0732B" w:rsidP="00A0732B">
            <w:pPr>
              <w:rPr>
                <w:rFonts w:cs="Calibri"/>
                <w:iCs/>
                <w:sz w:val="18"/>
                <w:szCs w:val="18"/>
              </w:rPr>
            </w:pPr>
            <w:r w:rsidRPr="003F7F6C">
              <w:rPr>
                <w:rFonts w:cs="Calibri"/>
                <w:iCs/>
                <w:sz w:val="18"/>
                <w:szCs w:val="18"/>
              </w:rPr>
              <w:t>Displacement of current production areas to new areas may generate</w:t>
            </w:r>
            <w:r w:rsidR="00E342AF" w:rsidRPr="003F7F6C">
              <w:rPr>
                <w:rFonts w:cs="Calibri"/>
                <w:iCs/>
                <w:sz w:val="18"/>
                <w:szCs w:val="18"/>
              </w:rPr>
              <w:t xml:space="preserve"> land</w:t>
            </w:r>
            <w:r w:rsidRPr="003F7F6C">
              <w:rPr>
                <w:rFonts w:cs="Calibri"/>
                <w:iCs/>
                <w:sz w:val="18"/>
                <w:szCs w:val="18"/>
              </w:rPr>
              <w:t xml:space="preserve"> use conflicts. ELUP frameworks may change at slow rates and </w:t>
            </w:r>
            <w:r w:rsidR="00DC49E4" w:rsidRPr="003F7F6C">
              <w:rPr>
                <w:rFonts w:cs="Calibri"/>
                <w:iCs/>
                <w:sz w:val="18"/>
                <w:szCs w:val="18"/>
              </w:rPr>
              <w:t xml:space="preserve">may </w:t>
            </w:r>
            <w:r w:rsidRPr="003F7F6C">
              <w:rPr>
                <w:rFonts w:cs="Calibri"/>
                <w:iCs/>
                <w:sz w:val="18"/>
                <w:szCs w:val="18"/>
              </w:rPr>
              <w:t>not adapt to changing local realities.  Producers, especially small scale poor producers, may not have the capacities to access and undertake new investments to reduce potential risks, increasing rural exodus. This may influence uptak</w:t>
            </w:r>
            <w:r w:rsidR="00DC49E4" w:rsidRPr="003F7F6C">
              <w:rPr>
                <w:rFonts w:cs="Calibri"/>
                <w:iCs/>
                <w:sz w:val="18"/>
                <w:szCs w:val="18"/>
              </w:rPr>
              <w:t>e</w:t>
            </w:r>
            <w:r w:rsidRPr="003F7F6C">
              <w:rPr>
                <w:rFonts w:cs="Calibri"/>
                <w:iCs/>
                <w:sz w:val="18"/>
                <w:szCs w:val="18"/>
              </w:rPr>
              <w:t xml:space="preserve"> of sustainable practices. </w:t>
            </w:r>
          </w:p>
        </w:tc>
        <w:tc>
          <w:tcPr>
            <w:tcW w:w="5529" w:type="dxa"/>
          </w:tcPr>
          <w:p w14:paraId="09311A6D" w14:textId="66D669D7" w:rsidR="00A0732B" w:rsidRPr="003F7F6C" w:rsidRDefault="00A0732B" w:rsidP="00A0732B">
            <w:pPr>
              <w:pStyle w:val="NormalWeb"/>
              <w:spacing w:before="0" w:beforeAutospacing="0" w:after="0" w:afterAutospacing="0"/>
              <w:rPr>
                <w:rFonts w:ascii="Calibri" w:hAnsi="Calibri" w:cs="Calibri"/>
                <w:sz w:val="18"/>
                <w:szCs w:val="18"/>
              </w:rPr>
            </w:pPr>
            <w:r w:rsidRPr="003F7F6C">
              <w:rPr>
                <w:rFonts w:ascii="Calibri" w:hAnsi="Calibri" w:cs="Calibri"/>
                <w:sz w:val="18"/>
                <w:szCs w:val="18"/>
              </w:rPr>
              <w:t xml:space="preserve">Permanent monitoring of ecosystem services and different related land uses, together with reinforced, more efficient institutions will lead to a flexible and adjustable ELUP management model that will help to increase resilience to climate change. </w:t>
            </w:r>
          </w:p>
          <w:p w14:paraId="1E57BBC3" w14:textId="77777777" w:rsidR="00185105" w:rsidRPr="003F7F6C" w:rsidRDefault="00185105" w:rsidP="00185105">
            <w:pPr>
              <w:spacing w:after="0"/>
              <w:rPr>
                <w:rFonts w:asciiTheme="minorHAnsi" w:hAnsiTheme="minorHAnsi"/>
                <w:color w:val="000000"/>
                <w:sz w:val="18"/>
                <w:szCs w:val="18"/>
              </w:rPr>
            </w:pPr>
            <w:r w:rsidRPr="003F7F6C">
              <w:rPr>
                <w:rFonts w:asciiTheme="minorHAnsi" w:eastAsia="Times New Roman" w:hAnsiTheme="minorHAnsi"/>
                <w:sz w:val="18"/>
                <w:szCs w:val="18"/>
                <w:lang w:eastAsia="es-EC"/>
              </w:rPr>
              <w:t xml:space="preserve">Coordination with ongoing projects that share intervention areas to exchange experiences and lessons, in particular </w:t>
            </w:r>
            <w:r w:rsidRPr="003F7F6C">
              <w:rPr>
                <w:rFonts w:asciiTheme="minorHAnsi" w:hAnsiTheme="minorHAnsi"/>
                <w:color w:val="000000"/>
                <w:sz w:val="18"/>
                <w:szCs w:val="18"/>
              </w:rPr>
              <w:t xml:space="preserve">the GEF-UNDP Project 5044 “Sustainable Land Use Management in the Drylands of North-west Argentina” and the Adaptation Fund Project “Increasing climate resilience and improving sustainable land management in the South-west of the Province of Buenos Aires. </w:t>
            </w:r>
          </w:p>
          <w:p w14:paraId="4AA74914" w14:textId="6D7F026D" w:rsidR="00185105" w:rsidRPr="003F7F6C" w:rsidRDefault="00185105" w:rsidP="002A3FBF">
            <w:pPr>
              <w:spacing w:after="0"/>
              <w:rPr>
                <w:rFonts w:asciiTheme="minorHAnsi" w:hAnsiTheme="minorHAnsi"/>
                <w:color w:val="000000"/>
                <w:sz w:val="18"/>
                <w:szCs w:val="18"/>
              </w:rPr>
            </w:pPr>
            <w:r w:rsidRPr="003F7F6C">
              <w:rPr>
                <w:rFonts w:asciiTheme="minorHAnsi" w:eastAsia="Times New Roman" w:hAnsiTheme="minorHAnsi"/>
                <w:sz w:val="18"/>
                <w:szCs w:val="18"/>
                <w:lang w:eastAsia="es-EC"/>
              </w:rPr>
              <w:t>As part of the multi-stakeholder coordination under Outcome 1 the project will participate in the roundtables of the National Climate Change Cabinet</w:t>
            </w:r>
            <w:r w:rsidRPr="003F7F6C">
              <w:rPr>
                <w:rStyle w:val="FootnoteReference"/>
                <w:rFonts w:asciiTheme="minorHAnsi" w:eastAsia="Times New Roman" w:hAnsiTheme="minorHAnsi"/>
                <w:szCs w:val="18"/>
                <w:lang w:eastAsia="es-EC"/>
              </w:rPr>
              <w:footnoteReference w:id="100"/>
            </w:r>
            <w:r w:rsidRPr="003F7F6C">
              <w:rPr>
                <w:rFonts w:asciiTheme="minorHAnsi" w:eastAsia="Times New Roman" w:hAnsiTheme="minorHAnsi"/>
                <w:sz w:val="18"/>
                <w:szCs w:val="18"/>
                <w:lang w:eastAsia="es-EC"/>
              </w:rPr>
              <w:t xml:space="preserve"> and in turn the institutions that comprise this cabinet will be invited to participate in the dialogue spaces for participatory ELUP where the proposals for regulations and instruments will be discussed and validated. Climate change considerations will be mainstreamed in these processes through these participatory spaces. Discussions on climate change and its potential impacts will also be a part of the participatory dialogue spaces at provincial level under Outcome 2.</w:t>
            </w:r>
          </w:p>
          <w:p w14:paraId="3BCF6CC4" w14:textId="348A9EB9" w:rsidR="00A0732B" w:rsidRPr="003F7F6C" w:rsidRDefault="00A0732B" w:rsidP="00A0732B">
            <w:pPr>
              <w:pStyle w:val="NormalWeb"/>
              <w:spacing w:before="0" w:beforeAutospacing="0" w:after="0" w:afterAutospacing="0"/>
              <w:rPr>
                <w:rFonts w:ascii="Calibri" w:hAnsi="Calibri" w:cs="Calibri"/>
                <w:sz w:val="18"/>
                <w:szCs w:val="18"/>
              </w:rPr>
            </w:pPr>
            <w:r w:rsidRPr="003F7F6C">
              <w:rPr>
                <w:rFonts w:ascii="Calibri" w:hAnsi="Calibri" w:cs="Calibri"/>
                <w:sz w:val="18"/>
                <w:szCs w:val="18"/>
              </w:rPr>
              <w:t xml:space="preserve">The </w:t>
            </w:r>
            <w:r w:rsidR="003C3494" w:rsidRPr="003F7F6C">
              <w:rPr>
                <w:rFonts w:ascii="Calibri" w:hAnsi="Calibri" w:cs="Calibri"/>
                <w:sz w:val="18"/>
                <w:szCs w:val="18"/>
              </w:rPr>
              <w:t>p</w:t>
            </w:r>
            <w:r w:rsidRPr="003F7F6C">
              <w:rPr>
                <w:rFonts w:ascii="Calibri" w:hAnsi="Calibri" w:cs="Calibri"/>
                <w:sz w:val="18"/>
                <w:szCs w:val="18"/>
              </w:rPr>
              <w:t>roject will promote environmentally friendly and sustainable practices</w:t>
            </w:r>
            <w:r w:rsidR="00185105" w:rsidRPr="003F7F6C">
              <w:rPr>
                <w:rFonts w:ascii="Calibri" w:hAnsi="Calibri" w:cs="Calibri"/>
                <w:sz w:val="18"/>
                <w:szCs w:val="18"/>
              </w:rPr>
              <w:t xml:space="preserve"> (Outcome 2)</w:t>
            </w:r>
            <w:r w:rsidRPr="003F7F6C">
              <w:rPr>
                <w:rFonts w:ascii="Calibri" w:hAnsi="Calibri" w:cs="Calibri"/>
                <w:sz w:val="18"/>
                <w:szCs w:val="18"/>
              </w:rPr>
              <w:t>. Selection of best practices will take into account the vulnerabilities and impacts of climate change identified for the different regions of Argentina and adaptation needs. The adoption of SLM practices that favor adequate management of soils and water in productive systems (e.g.</w:t>
            </w:r>
            <w:r w:rsidR="00417324" w:rsidRPr="003F7F6C">
              <w:rPr>
                <w:rFonts w:ascii="Calibri" w:hAnsi="Calibri" w:cs="Calibri"/>
                <w:sz w:val="18"/>
                <w:szCs w:val="18"/>
              </w:rPr>
              <w:t>,</w:t>
            </w:r>
            <w:r w:rsidRPr="003F7F6C">
              <w:rPr>
                <w:rFonts w:ascii="Calibri" w:hAnsi="Calibri" w:cs="Calibri"/>
                <w:sz w:val="18"/>
                <w:szCs w:val="18"/>
              </w:rPr>
              <w:t xml:space="preserve"> silvo-pastoral systems, live fences, restoration of lands and forests, zero tilling, crop rotation) will serve to minimize the impacts of climate variability and favor adaptation.</w:t>
            </w:r>
          </w:p>
          <w:p w14:paraId="1F8C6945" w14:textId="02DFAA7C" w:rsidR="00A0732B" w:rsidRPr="003F7F6C" w:rsidRDefault="00A0732B" w:rsidP="00A0732B">
            <w:pPr>
              <w:rPr>
                <w:rFonts w:cs="Calibri"/>
                <w:sz w:val="18"/>
                <w:szCs w:val="18"/>
              </w:rPr>
            </w:pPr>
            <w:r w:rsidRPr="003F7F6C">
              <w:rPr>
                <w:rFonts w:cs="Calibri"/>
                <w:sz w:val="18"/>
                <w:szCs w:val="18"/>
              </w:rPr>
              <w:t>The development of economic and financial incentives</w:t>
            </w:r>
            <w:r w:rsidR="00185105" w:rsidRPr="003F7F6C">
              <w:rPr>
                <w:rFonts w:cs="Calibri"/>
                <w:sz w:val="18"/>
                <w:szCs w:val="18"/>
              </w:rPr>
              <w:t xml:space="preserve"> (Outcomes 1 and 2)</w:t>
            </w:r>
            <w:r w:rsidRPr="003F7F6C">
              <w:rPr>
                <w:rFonts w:cs="Calibri"/>
                <w:sz w:val="18"/>
                <w:szCs w:val="18"/>
              </w:rPr>
              <w:t xml:space="preserve"> will take into account the potential effects of climate change and will incorporate this consideration (e.g.</w:t>
            </w:r>
            <w:r w:rsidR="00DC49E4" w:rsidRPr="003F7F6C">
              <w:rPr>
                <w:rFonts w:cs="Calibri"/>
                <w:sz w:val="18"/>
                <w:szCs w:val="18"/>
              </w:rPr>
              <w:t>,</w:t>
            </w:r>
            <w:r w:rsidRPr="003F7F6C">
              <w:rPr>
                <w:rFonts w:cs="Calibri"/>
                <w:sz w:val="18"/>
                <w:szCs w:val="18"/>
              </w:rPr>
              <w:t xml:space="preserve"> incentives for practices that favor adaptation)</w:t>
            </w:r>
            <w:r w:rsidR="00185105" w:rsidRPr="003F7F6C">
              <w:rPr>
                <w:rFonts w:cs="Calibri"/>
                <w:sz w:val="18"/>
                <w:szCs w:val="18"/>
              </w:rPr>
              <w:t>.</w:t>
            </w:r>
          </w:p>
          <w:p w14:paraId="2C17B367" w14:textId="3B687BA2" w:rsidR="00185105" w:rsidRPr="003F7F6C" w:rsidRDefault="00185105" w:rsidP="00A0732B">
            <w:pPr>
              <w:rPr>
                <w:rFonts w:asciiTheme="minorHAnsi" w:hAnsiTheme="minorHAnsi" w:cs="Calibri"/>
                <w:sz w:val="18"/>
                <w:szCs w:val="18"/>
              </w:rPr>
            </w:pPr>
            <w:r w:rsidRPr="003F7F6C">
              <w:rPr>
                <w:rFonts w:asciiTheme="minorHAnsi" w:hAnsiTheme="minorHAnsi"/>
                <w:color w:val="000000"/>
                <w:sz w:val="18"/>
                <w:szCs w:val="18"/>
              </w:rPr>
              <w:t xml:space="preserve">The </w:t>
            </w:r>
            <w:r w:rsidRPr="003F7F6C">
              <w:rPr>
                <w:rFonts w:asciiTheme="minorHAnsi" w:eastAsia="Times New Roman" w:hAnsiTheme="minorHAnsi"/>
                <w:sz w:val="18"/>
                <w:szCs w:val="18"/>
                <w:lang w:eastAsia="es-EC"/>
              </w:rPr>
              <w:t>assessment of experiences and lessons acquired through programs and projects under Outcome 3 will also take into account knowledge generated by these initiatives in regard to climate change</w:t>
            </w:r>
          </w:p>
          <w:p w14:paraId="68AF50F5" w14:textId="4334D0CA" w:rsidR="00A0732B" w:rsidRPr="003F7F6C" w:rsidRDefault="00DC49E4" w:rsidP="00A0732B">
            <w:pPr>
              <w:rPr>
                <w:rFonts w:cs="Calibri"/>
                <w:sz w:val="18"/>
                <w:szCs w:val="18"/>
              </w:rPr>
            </w:pPr>
            <w:r w:rsidRPr="003F7F6C">
              <w:rPr>
                <w:rFonts w:cs="Calibri"/>
                <w:sz w:val="18"/>
                <w:szCs w:val="18"/>
              </w:rPr>
              <w:t>The project will also include a</w:t>
            </w:r>
            <w:r w:rsidR="00A0732B" w:rsidRPr="003F7F6C">
              <w:rPr>
                <w:rFonts w:cs="Calibri"/>
                <w:sz w:val="18"/>
                <w:szCs w:val="18"/>
              </w:rPr>
              <w:t>wareness raising and training of landowners and communities for a better understanding of vulnerability and climate change impacts.</w:t>
            </w:r>
          </w:p>
        </w:tc>
        <w:tc>
          <w:tcPr>
            <w:tcW w:w="992" w:type="dxa"/>
            <w:shd w:val="clear" w:color="auto" w:fill="auto"/>
          </w:tcPr>
          <w:p w14:paraId="28C1BF7E" w14:textId="77777777" w:rsidR="00A0732B" w:rsidRPr="003F7F6C" w:rsidRDefault="00A0732B" w:rsidP="00A0732B">
            <w:pPr>
              <w:rPr>
                <w:rFonts w:cs="Calibri"/>
                <w:sz w:val="18"/>
                <w:szCs w:val="18"/>
              </w:rPr>
            </w:pPr>
            <w:r w:rsidRPr="003F7F6C">
              <w:rPr>
                <w:rFonts w:cs="Calibri"/>
                <w:sz w:val="18"/>
                <w:szCs w:val="18"/>
              </w:rPr>
              <w:t>UNDP CO</w:t>
            </w:r>
          </w:p>
        </w:tc>
        <w:tc>
          <w:tcPr>
            <w:tcW w:w="963" w:type="dxa"/>
            <w:shd w:val="clear" w:color="auto" w:fill="auto"/>
          </w:tcPr>
          <w:p w14:paraId="2BDBFB3F" w14:textId="77777777" w:rsidR="00A0732B" w:rsidRPr="003F7F6C" w:rsidRDefault="00A0732B" w:rsidP="00A0732B">
            <w:pPr>
              <w:rPr>
                <w:rFonts w:cs="Calibri"/>
                <w:sz w:val="18"/>
                <w:szCs w:val="18"/>
              </w:rPr>
            </w:pPr>
            <w:r w:rsidRPr="003F7F6C">
              <w:rPr>
                <w:rFonts w:cs="Calibri"/>
                <w:sz w:val="18"/>
                <w:szCs w:val="18"/>
              </w:rPr>
              <w:t>Identified risk</w:t>
            </w:r>
          </w:p>
        </w:tc>
      </w:tr>
    </w:tbl>
    <w:p w14:paraId="2C179CF6" w14:textId="77777777" w:rsidR="00AE2CE9" w:rsidRPr="003F7F6C" w:rsidRDefault="00AE2CE9" w:rsidP="009B7002">
      <w:pPr>
        <w:pStyle w:val="Heading2"/>
        <w:ind w:left="0"/>
        <w:sectPr w:rsidR="00AE2CE9" w:rsidRPr="003F7F6C" w:rsidSect="00AE2CE9">
          <w:pgSz w:w="15840" w:h="12240" w:orient="landscape" w:code="1"/>
          <w:pgMar w:top="1440" w:right="1440" w:bottom="1440" w:left="1440" w:header="720" w:footer="720" w:gutter="0"/>
          <w:cols w:space="720"/>
          <w:docGrid w:linePitch="360"/>
        </w:sectPr>
      </w:pPr>
    </w:p>
    <w:p w14:paraId="20ED61B6" w14:textId="2B4379F4" w:rsidR="009B7002" w:rsidRPr="003F7F6C" w:rsidRDefault="009B7002" w:rsidP="009B7002">
      <w:pPr>
        <w:pStyle w:val="Heading2"/>
        <w:ind w:left="0"/>
        <w:rPr>
          <w:rFonts w:ascii="Calibri" w:hAnsi="Calibri"/>
        </w:rPr>
      </w:pPr>
      <w:bookmarkStart w:id="73" w:name="_Toc529891430"/>
      <w:r w:rsidRPr="003F7F6C">
        <w:rPr>
          <w:rFonts w:ascii="Calibri" w:hAnsi="Calibri"/>
        </w:rPr>
        <w:t>Annex I:  Results of the capacity assessment of the project implementing partner</w:t>
      </w:r>
      <w:bookmarkEnd w:id="73"/>
      <w:r w:rsidRPr="003F7F6C">
        <w:rPr>
          <w:rFonts w:ascii="Calibri" w:hAnsi="Calibri"/>
        </w:rPr>
        <w:t xml:space="preserve">  </w:t>
      </w:r>
    </w:p>
    <w:p w14:paraId="4DCA3C83" w14:textId="77777777" w:rsidR="00126F7F" w:rsidRPr="003F7F6C" w:rsidRDefault="00126F7F" w:rsidP="00E8442F"/>
    <w:p w14:paraId="62804CAC" w14:textId="77777777" w:rsidR="00590B71" w:rsidRPr="003F7F6C" w:rsidRDefault="00590B71" w:rsidP="00590B71">
      <w:pPr>
        <w:spacing w:after="0"/>
        <w:rPr>
          <w:rFonts w:ascii="Times New Roman" w:eastAsia="Calibri" w:hAnsi="Times New Roman"/>
          <w:b/>
          <w:i/>
        </w:rPr>
      </w:pPr>
      <w:r w:rsidRPr="003F7F6C">
        <w:rPr>
          <w:rFonts w:ascii="Times New Roman" w:eastAsia="Calibri" w:hAnsi="Times New Roman"/>
          <w:b/>
          <w:i/>
        </w:rPr>
        <w:t>Province of Buenos Aires</w:t>
      </w:r>
    </w:p>
    <w:tbl>
      <w:tblPr>
        <w:tblW w:w="14104" w:type="dxa"/>
        <w:tblCellMar>
          <w:left w:w="70" w:type="dxa"/>
          <w:right w:w="70" w:type="dxa"/>
        </w:tblCellMar>
        <w:tblLook w:val="04A0" w:firstRow="1" w:lastRow="0" w:firstColumn="1" w:lastColumn="0" w:noHBand="0" w:noVBand="1"/>
      </w:tblPr>
      <w:tblGrid>
        <w:gridCol w:w="1978"/>
        <w:gridCol w:w="4517"/>
        <w:gridCol w:w="808"/>
        <w:gridCol w:w="819"/>
        <w:gridCol w:w="2690"/>
        <w:gridCol w:w="2083"/>
        <w:gridCol w:w="1209"/>
      </w:tblGrid>
      <w:tr w:rsidR="00590B71" w:rsidRPr="003F7F6C" w14:paraId="19382462" w14:textId="77777777" w:rsidTr="003A428B">
        <w:trPr>
          <w:trHeight w:val="600"/>
        </w:trPr>
        <w:tc>
          <w:tcPr>
            <w:tcW w:w="1978" w:type="dxa"/>
            <w:tcBorders>
              <w:top w:val="single" w:sz="4" w:space="0" w:color="auto"/>
              <w:left w:val="single" w:sz="4" w:space="0" w:color="auto"/>
              <w:bottom w:val="single" w:sz="4" w:space="0" w:color="auto"/>
              <w:right w:val="single" w:sz="4" w:space="0" w:color="auto"/>
            </w:tcBorders>
            <w:shd w:val="clear" w:color="000000" w:fill="B4C6E7"/>
            <w:vAlign w:val="center"/>
            <w:hideMark/>
          </w:tcPr>
          <w:p w14:paraId="6F0A4F94" w14:textId="77777777" w:rsidR="00590B71" w:rsidRPr="003F7F6C" w:rsidRDefault="00590B71" w:rsidP="00590B71">
            <w:pPr>
              <w:spacing w:after="0"/>
              <w:jc w:val="center"/>
              <w:rPr>
                <w:rFonts w:eastAsia="Times New Roman" w:cs="Calibri"/>
                <w:b/>
                <w:bCs/>
                <w:color w:val="000000"/>
                <w:sz w:val="18"/>
                <w:szCs w:val="18"/>
                <w:lang w:eastAsia="es-ES"/>
              </w:rPr>
            </w:pPr>
            <w:r w:rsidRPr="003F7F6C">
              <w:rPr>
                <w:rFonts w:eastAsia="Times New Roman" w:cs="Calibri"/>
                <w:b/>
                <w:bCs/>
                <w:color w:val="000000"/>
                <w:sz w:val="18"/>
                <w:szCs w:val="18"/>
                <w:lang w:eastAsia="es-ES"/>
              </w:rPr>
              <w:t>Capacity Result / Indicator</w:t>
            </w:r>
          </w:p>
        </w:tc>
        <w:tc>
          <w:tcPr>
            <w:tcW w:w="4517" w:type="dxa"/>
            <w:tcBorders>
              <w:top w:val="single" w:sz="4" w:space="0" w:color="auto"/>
              <w:left w:val="nil"/>
              <w:bottom w:val="single" w:sz="4" w:space="0" w:color="auto"/>
              <w:right w:val="single" w:sz="4" w:space="0" w:color="auto"/>
            </w:tcBorders>
            <w:shd w:val="clear" w:color="000000" w:fill="B4C6E7"/>
            <w:vAlign w:val="center"/>
            <w:hideMark/>
          </w:tcPr>
          <w:p w14:paraId="799BCC96" w14:textId="77777777" w:rsidR="00590B71" w:rsidRPr="003F7F6C" w:rsidRDefault="00590B71" w:rsidP="00590B71">
            <w:pPr>
              <w:spacing w:after="0"/>
              <w:jc w:val="center"/>
              <w:rPr>
                <w:rFonts w:eastAsia="Times New Roman" w:cs="Calibri"/>
                <w:b/>
                <w:bCs/>
                <w:color w:val="000000"/>
                <w:sz w:val="18"/>
                <w:szCs w:val="18"/>
                <w:lang w:eastAsia="es-ES"/>
              </w:rPr>
            </w:pPr>
            <w:r w:rsidRPr="003F7F6C">
              <w:rPr>
                <w:rFonts w:eastAsia="Times New Roman" w:cs="Calibri"/>
                <w:b/>
                <w:bCs/>
                <w:color w:val="000000"/>
                <w:sz w:val="18"/>
                <w:szCs w:val="18"/>
                <w:lang w:eastAsia="es-ES"/>
              </w:rPr>
              <w:t>Staged Indicators</w:t>
            </w:r>
          </w:p>
        </w:tc>
        <w:tc>
          <w:tcPr>
            <w:tcW w:w="808" w:type="dxa"/>
            <w:tcBorders>
              <w:top w:val="single" w:sz="4" w:space="0" w:color="auto"/>
              <w:left w:val="nil"/>
              <w:bottom w:val="single" w:sz="4" w:space="0" w:color="auto"/>
              <w:right w:val="single" w:sz="4" w:space="0" w:color="auto"/>
            </w:tcBorders>
            <w:shd w:val="clear" w:color="000000" w:fill="B4C6E7"/>
            <w:vAlign w:val="center"/>
            <w:hideMark/>
          </w:tcPr>
          <w:p w14:paraId="69047F04" w14:textId="77777777" w:rsidR="00590B71" w:rsidRPr="003F7F6C" w:rsidRDefault="00590B71" w:rsidP="00590B71">
            <w:pPr>
              <w:spacing w:after="0"/>
              <w:jc w:val="center"/>
              <w:rPr>
                <w:rFonts w:eastAsia="Times New Roman" w:cs="Calibri"/>
                <w:b/>
                <w:bCs/>
                <w:color w:val="000000"/>
                <w:sz w:val="18"/>
                <w:szCs w:val="18"/>
                <w:lang w:eastAsia="es-ES"/>
              </w:rPr>
            </w:pPr>
            <w:r w:rsidRPr="003F7F6C">
              <w:rPr>
                <w:rFonts w:eastAsia="Times New Roman" w:cs="Calibri"/>
                <w:b/>
                <w:bCs/>
                <w:color w:val="000000"/>
                <w:sz w:val="18"/>
                <w:szCs w:val="18"/>
                <w:lang w:eastAsia="es-ES"/>
              </w:rPr>
              <w:t>Rating</w:t>
            </w:r>
          </w:p>
        </w:tc>
        <w:tc>
          <w:tcPr>
            <w:tcW w:w="819" w:type="dxa"/>
            <w:tcBorders>
              <w:top w:val="single" w:sz="4" w:space="0" w:color="auto"/>
              <w:left w:val="nil"/>
              <w:bottom w:val="single" w:sz="4" w:space="0" w:color="auto"/>
              <w:right w:val="single" w:sz="4" w:space="0" w:color="auto"/>
            </w:tcBorders>
            <w:shd w:val="clear" w:color="000000" w:fill="B4C6E7"/>
            <w:vAlign w:val="center"/>
            <w:hideMark/>
          </w:tcPr>
          <w:p w14:paraId="6C89A547" w14:textId="77777777" w:rsidR="00590B71" w:rsidRPr="003F7F6C" w:rsidRDefault="00590B71" w:rsidP="00590B71">
            <w:pPr>
              <w:spacing w:after="0"/>
              <w:jc w:val="center"/>
              <w:rPr>
                <w:rFonts w:eastAsia="Times New Roman" w:cs="Calibri"/>
                <w:b/>
                <w:bCs/>
                <w:color w:val="000000"/>
                <w:sz w:val="18"/>
                <w:szCs w:val="18"/>
                <w:lang w:eastAsia="es-ES"/>
              </w:rPr>
            </w:pPr>
            <w:r w:rsidRPr="003F7F6C">
              <w:rPr>
                <w:rFonts w:eastAsia="Times New Roman" w:cs="Calibri"/>
                <w:b/>
                <w:bCs/>
                <w:color w:val="000000"/>
                <w:sz w:val="18"/>
                <w:szCs w:val="18"/>
                <w:lang w:eastAsia="es-ES"/>
              </w:rPr>
              <w:t>Score</w:t>
            </w:r>
          </w:p>
        </w:tc>
        <w:tc>
          <w:tcPr>
            <w:tcW w:w="2690" w:type="dxa"/>
            <w:tcBorders>
              <w:top w:val="single" w:sz="4" w:space="0" w:color="auto"/>
              <w:left w:val="nil"/>
              <w:bottom w:val="single" w:sz="4" w:space="0" w:color="auto"/>
              <w:right w:val="single" w:sz="4" w:space="0" w:color="auto"/>
            </w:tcBorders>
            <w:shd w:val="clear" w:color="000000" w:fill="B4C6E7"/>
            <w:vAlign w:val="center"/>
            <w:hideMark/>
          </w:tcPr>
          <w:p w14:paraId="7796730D" w14:textId="77777777" w:rsidR="00590B71" w:rsidRPr="003F7F6C" w:rsidRDefault="00590B71" w:rsidP="00590B71">
            <w:pPr>
              <w:spacing w:after="0"/>
              <w:jc w:val="center"/>
              <w:rPr>
                <w:rFonts w:eastAsia="Times New Roman" w:cs="Calibri"/>
                <w:b/>
                <w:bCs/>
                <w:color w:val="000000"/>
                <w:sz w:val="18"/>
                <w:szCs w:val="18"/>
                <w:lang w:eastAsia="es-ES"/>
              </w:rPr>
            </w:pPr>
            <w:r w:rsidRPr="003F7F6C">
              <w:rPr>
                <w:rFonts w:eastAsia="Times New Roman" w:cs="Calibri"/>
                <w:b/>
                <w:bCs/>
                <w:color w:val="000000"/>
                <w:sz w:val="18"/>
                <w:szCs w:val="18"/>
                <w:lang w:eastAsia="es-ES"/>
              </w:rPr>
              <w:t>Comments</w:t>
            </w:r>
          </w:p>
        </w:tc>
        <w:tc>
          <w:tcPr>
            <w:tcW w:w="2083" w:type="dxa"/>
            <w:tcBorders>
              <w:top w:val="single" w:sz="4" w:space="0" w:color="auto"/>
              <w:left w:val="nil"/>
              <w:bottom w:val="single" w:sz="4" w:space="0" w:color="auto"/>
              <w:right w:val="single" w:sz="4" w:space="0" w:color="auto"/>
            </w:tcBorders>
            <w:shd w:val="clear" w:color="000000" w:fill="B4C6E7"/>
            <w:vAlign w:val="center"/>
            <w:hideMark/>
          </w:tcPr>
          <w:p w14:paraId="61C8A70B" w14:textId="77777777" w:rsidR="00590B71" w:rsidRPr="003F7F6C" w:rsidRDefault="00590B71" w:rsidP="00590B71">
            <w:pPr>
              <w:spacing w:after="0"/>
              <w:jc w:val="center"/>
              <w:rPr>
                <w:rFonts w:eastAsia="Times New Roman" w:cs="Calibri"/>
                <w:b/>
                <w:bCs/>
                <w:color w:val="000000"/>
                <w:sz w:val="18"/>
                <w:szCs w:val="18"/>
                <w:lang w:eastAsia="es-ES"/>
              </w:rPr>
            </w:pPr>
            <w:r w:rsidRPr="003F7F6C">
              <w:rPr>
                <w:rFonts w:eastAsia="Times New Roman" w:cs="Calibri"/>
                <w:b/>
                <w:bCs/>
                <w:color w:val="000000"/>
                <w:sz w:val="18"/>
                <w:szCs w:val="18"/>
                <w:lang w:eastAsia="es-ES"/>
              </w:rPr>
              <w:t>Next Steps</w:t>
            </w:r>
          </w:p>
        </w:tc>
        <w:tc>
          <w:tcPr>
            <w:tcW w:w="1209" w:type="dxa"/>
            <w:tcBorders>
              <w:top w:val="single" w:sz="4" w:space="0" w:color="auto"/>
              <w:left w:val="nil"/>
              <w:bottom w:val="single" w:sz="4" w:space="0" w:color="auto"/>
              <w:right w:val="single" w:sz="4" w:space="0" w:color="auto"/>
            </w:tcBorders>
            <w:shd w:val="clear" w:color="000000" w:fill="B4C6E7"/>
            <w:vAlign w:val="center"/>
            <w:hideMark/>
          </w:tcPr>
          <w:p w14:paraId="69BD2B6F" w14:textId="77777777" w:rsidR="00590B71" w:rsidRPr="003F7F6C" w:rsidRDefault="00590B71" w:rsidP="00590B71">
            <w:pPr>
              <w:spacing w:after="0"/>
              <w:jc w:val="center"/>
              <w:rPr>
                <w:rFonts w:eastAsia="Times New Roman" w:cs="Calibri"/>
                <w:b/>
                <w:bCs/>
                <w:color w:val="000000"/>
                <w:sz w:val="18"/>
                <w:szCs w:val="18"/>
                <w:lang w:eastAsia="es-ES"/>
              </w:rPr>
            </w:pPr>
            <w:r w:rsidRPr="003F7F6C">
              <w:rPr>
                <w:rFonts w:eastAsia="Times New Roman" w:cs="Calibri"/>
                <w:b/>
                <w:bCs/>
                <w:color w:val="000000"/>
                <w:sz w:val="18"/>
                <w:szCs w:val="18"/>
                <w:lang w:eastAsia="es-ES"/>
              </w:rPr>
              <w:t>Contribution to which outcome</w:t>
            </w:r>
          </w:p>
        </w:tc>
      </w:tr>
      <w:tr w:rsidR="00590B71" w:rsidRPr="003F7F6C" w14:paraId="211AC367" w14:textId="77777777" w:rsidTr="003A428B">
        <w:trPr>
          <w:trHeight w:val="300"/>
        </w:trPr>
        <w:tc>
          <w:tcPr>
            <w:tcW w:w="14104" w:type="dxa"/>
            <w:gridSpan w:val="7"/>
            <w:tcBorders>
              <w:top w:val="single" w:sz="4" w:space="0" w:color="auto"/>
              <w:left w:val="single" w:sz="4" w:space="0" w:color="auto"/>
              <w:bottom w:val="single" w:sz="4" w:space="0" w:color="auto"/>
              <w:right w:val="single" w:sz="4" w:space="0" w:color="auto"/>
            </w:tcBorders>
            <w:shd w:val="clear" w:color="000000" w:fill="D9D9D9"/>
            <w:vAlign w:val="center"/>
            <w:hideMark/>
          </w:tcPr>
          <w:p w14:paraId="19D87C06"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 xml:space="preserve">CR 1: Capacities for Engagement </w:t>
            </w:r>
          </w:p>
        </w:tc>
      </w:tr>
      <w:tr w:rsidR="00590B71" w:rsidRPr="003F7F6C" w14:paraId="0DDD60BA" w14:textId="77777777" w:rsidTr="003A428B">
        <w:trPr>
          <w:trHeight w:val="705"/>
        </w:trPr>
        <w:tc>
          <w:tcPr>
            <w:tcW w:w="19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C71C5D"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Indicator 1: Degree of legitimacy/mandate of lead environmental organizations</w:t>
            </w:r>
          </w:p>
        </w:tc>
        <w:tc>
          <w:tcPr>
            <w:tcW w:w="4517" w:type="dxa"/>
            <w:tcBorders>
              <w:top w:val="single" w:sz="4" w:space="0" w:color="auto"/>
              <w:left w:val="nil"/>
              <w:bottom w:val="single" w:sz="4" w:space="0" w:color="auto"/>
              <w:right w:val="single" w:sz="4" w:space="0" w:color="auto"/>
            </w:tcBorders>
            <w:shd w:val="clear" w:color="auto" w:fill="auto"/>
            <w:vAlign w:val="center"/>
          </w:tcPr>
          <w:p w14:paraId="6397DC5F"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Organizational responsibilities for environmental</w:t>
            </w:r>
          </w:p>
          <w:p w14:paraId="53EE1861"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management are not clearly defined</w:t>
            </w:r>
          </w:p>
        </w:tc>
        <w:tc>
          <w:tcPr>
            <w:tcW w:w="808" w:type="dxa"/>
            <w:tcBorders>
              <w:top w:val="single" w:sz="4" w:space="0" w:color="auto"/>
              <w:left w:val="nil"/>
              <w:bottom w:val="single" w:sz="4" w:space="0" w:color="auto"/>
              <w:right w:val="single" w:sz="4" w:space="0" w:color="auto"/>
            </w:tcBorders>
            <w:shd w:val="clear" w:color="auto" w:fill="auto"/>
            <w:vAlign w:val="center"/>
          </w:tcPr>
          <w:p w14:paraId="702A2258"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0</w:t>
            </w:r>
          </w:p>
        </w:tc>
        <w:tc>
          <w:tcPr>
            <w:tcW w:w="819" w:type="dxa"/>
            <w:tcBorders>
              <w:top w:val="single" w:sz="4" w:space="0" w:color="auto"/>
              <w:left w:val="nil"/>
              <w:bottom w:val="single" w:sz="4" w:space="0" w:color="auto"/>
              <w:right w:val="single" w:sz="4" w:space="0" w:color="auto"/>
            </w:tcBorders>
            <w:shd w:val="clear" w:color="auto" w:fill="auto"/>
            <w:vAlign w:val="center"/>
            <w:hideMark/>
          </w:tcPr>
          <w:p w14:paraId="1B747365"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690" w:type="dxa"/>
            <w:tcBorders>
              <w:top w:val="single" w:sz="4" w:space="0" w:color="auto"/>
              <w:left w:val="nil"/>
              <w:bottom w:val="single" w:sz="4" w:space="0" w:color="auto"/>
              <w:right w:val="single" w:sz="4" w:space="0" w:color="auto"/>
            </w:tcBorders>
            <w:shd w:val="clear" w:color="auto" w:fill="auto"/>
            <w:vAlign w:val="center"/>
            <w:hideMark/>
          </w:tcPr>
          <w:p w14:paraId="5D7BB30B"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083" w:type="dxa"/>
            <w:tcBorders>
              <w:top w:val="single" w:sz="4" w:space="0" w:color="auto"/>
              <w:left w:val="nil"/>
              <w:bottom w:val="single" w:sz="4" w:space="0" w:color="auto"/>
              <w:right w:val="single" w:sz="4" w:space="0" w:color="auto"/>
            </w:tcBorders>
            <w:shd w:val="clear" w:color="auto" w:fill="auto"/>
            <w:vAlign w:val="center"/>
            <w:hideMark/>
          </w:tcPr>
          <w:p w14:paraId="6D90A687"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209" w:type="dxa"/>
            <w:tcBorders>
              <w:top w:val="single" w:sz="4" w:space="0" w:color="auto"/>
              <w:left w:val="nil"/>
              <w:bottom w:val="single" w:sz="4" w:space="0" w:color="auto"/>
              <w:right w:val="single" w:sz="4" w:space="0" w:color="auto"/>
            </w:tcBorders>
            <w:shd w:val="clear" w:color="auto" w:fill="auto"/>
            <w:vAlign w:val="center"/>
            <w:hideMark/>
          </w:tcPr>
          <w:p w14:paraId="61517AB5"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590B71" w:rsidRPr="003F7F6C" w14:paraId="1D806572" w14:textId="77777777" w:rsidTr="003A428B">
        <w:trPr>
          <w:trHeight w:val="687"/>
        </w:trPr>
        <w:tc>
          <w:tcPr>
            <w:tcW w:w="197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0D4736D" w14:textId="77777777" w:rsidR="00590B71" w:rsidRPr="003F7F6C" w:rsidRDefault="00590B71" w:rsidP="00590B71">
            <w:pPr>
              <w:autoSpaceDE w:val="0"/>
              <w:autoSpaceDN w:val="0"/>
              <w:adjustRightInd w:val="0"/>
              <w:spacing w:after="0"/>
              <w:rPr>
                <w:rFonts w:cs="Calibri"/>
                <w:sz w:val="18"/>
                <w:szCs w:val="18"/>
              </w:rPr>
            </w:pPr>
          </w:p>
        </w:tc>
        <w:tc>
          <w:tcPr>
            <w:tcW w:w="4517" w:type="dxa"/>
            <w:tcBorders>
              <w:top w:val="single" w:sz="4" w:space="0" w:color="auto"/>
              <w:left w:val="nil"/>
              <w:bottom w:val="single" w:sz="4" w:space="0" w:color="auto"/>
              <w:right w:val="single" w:sz="4" w:space="0" w:color="auto"/>
            </w:tcBorders>
            <w:shd w:val="clear" w:color="auto" w:fill="auto"/>
            <w:vAlign w:val="center"/>
          </w:tcPr>
          <w:p w14:paraId="715CC462"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Organizational responsibilities for environmental</w:t>
            </w:r>
          </w:p>
          <w:p w14:paraId="0EE6CEC1"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management are identified</w:t>
            </w:r>
          </w:p>
        </w:tc>
        <w:tc>
          <w:tcPr>
            <w:tcW w:w="808" w:type="dxa"/>
            <w:tcBorders>
              <w:top w:val="single" w:sz="4" w:space="0" w:color="auto"/>
              <w:left w:val="nil"/>
              <w:bottom w:val="single" w:sz="4" w:space="0" w:color="auto"/>
              <w:right w:val="single" w:sz="4" w:space="0" w:color="auto"/>
            </w:tcBorders>
            <w:shd w:val="clear" w:color="auto" w:fill="auto"/>
            <w:vAlign w:val="center"/>
          </w:tcPr>
          <w:p w14:paraId="47967763"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1</w:t>
            </w:r>
          </w:p>
        </w:tc>
        <w:tc>
          <w:tcPr>
            <w:tcW w:w="819" w:type="dxa"/>
            <w:tcBorders>
              <w:top w:val="single" w:sz="4" w:space="0" w:color="auto"/>
              <w:left w:val="nil"/>
              <w:bottom w:val="single" w:sz="4" w:space="0" w:color="auto"/>
              <w:right w:val="single" w:sz="4" w:space="0" w:color="auto"/>
            </w:tcBorders>
            <w:shd w:val="clear" w:color="auto" w:fill="auto"/>
            <w:vAlign w:val="center"/>
          </w:tcPr>
          <w:p w14:paraId="726EF06C" w14:textId="77777777" w:rsidR="00590B71" w:rsidRPr="003F7F6C" w:rsidRDefault="00590B71" w:rsidP="00590B71">
            <w:pPr>
              <w:spacing w:after="0"/>
              <w:jc w:val="center"/>
              <w:rPr>
                <w:rFonts w:eastAsia="Times New Roman" w:cs="Calibri"/>
                <w:color w:val="000000"/>
                <w:sz w:val="18"/>
                <w:szCs w:val="18"/>
                <w:lang w:eastAsia="es-ES"/>
              </w:rPr>
            </w:pPr>
          </w:p>
        </w:tc>
        <w:tc>
          <w:tcPr>
            <w:tcW w:w="2690" w:type="dxa"/>
            <w:tcBorders>
              <w:top w:val="single" w:sz="4" w:space="0" w:color="auto"/>
              <w:left w:val="nil"/>
              <w:bottom w:val="single" w:sz="4" w:space="0" w:color="auto"/>
              <w:right w:val="single" w:sz="4" w:space="0" w:color="auto"/>
            </w:tcBorders>
            <w:shd w:val="clear" w:color="auto" w:fill="auto"/>
            <w:vAlign w:val="center"/>
          </w:tcPr>
          <w:p w14:paraId="250A48CF" w14:textId="77777777" w:rsidR="00590B71" w:rsidRPr="003F7F6C" w:rsidRDefault="00590B71" w:rsidP="00590B71">
            <w:pPr>
              <w:spacing w:after="0"/>
              <w:rPr>
                <w:rFonts w:eastAsia="Times New Roman" w:cs="Calibri"/>
                <w:color w:val="000000"/>
                <w:sz w:val="18"/>
                <w:szCs w:val="18"/>
                <w:lang w:eastAsia="es-ES"/>
              </w:rPr>
            </w:pPr>
          </w:p>
        </w:tc>
        <w:tc>
          <w:tcPr>
            <w:tcW w:w="2083" w:type="dxa"/>
            <w:tcBorders>
              <w:top w:val="single" w:sz="4" w:space="0" w:color="auto"/>
              <w:left w:val="nil"/>
              <w:bottom w:val="single" w:sz="4" w:space="0" w:color="auto"/>
              <w:right w:val="single" w:sz="4" w:space="0" w:color="auto"/>
            </w:tcBorders>
            <w:shd w:val="clear" w:color="auto" w:fill="auto"/>
            <w:vAlign w:val="center"/>
          </w:tcPr>
          <w:p w14:paraId="1698047E" w14:textId="77777777" w:rsidR="00590B71" w:rsidRPr="003F7F6C" w:rsidRDefault="00590B71" w:rsidP="00590B71">
            <w:pPr>
              <w:spacing w:after="0"/>
              <w:rPr>
                <w:rFonts w:eastAsia="Times New Roman" w:cs="Calibri"/>
                <w:color w:val="000000"/>
                <w:sz w:val="18"/>
                <w:szCs w:val="18"/>
                <w:lang w:eastAsia="es-ES"/>
              </w:rPr>
            </w:pPr>
          </w:p>
        </w:tc>
        <w:tc>
          <w:tcPr>
            <w:tcW w:w="1209" w:type="dxa"/>
            <w:tcBorders>
              <w:top w:val="single" w:sz="4" w:space="0" w:color="auto"/>
              <w:left w:val="nil"/>
              <w:bottom w:val="single" w:sz="4" w:space="0" w:color="auto"/>
              <w:right w:val="single" w:sz="4" w:space="0" w:color="auto"/>
            </w:tcBorders>
            <w:shd w:val="clear" w:color="auto" w:fill="auto"/>
            <w:vAlign w:val="center"/>
          </w:tcPr>
          <w:p w14:paraId="60F120B3" w14:textId="77777777" w:rsidR="00590B71" w:rsidRPr="003F7F6C" w:rsidRDefault="00590B71" w:rsidP="00590B71">
            <w:pPr>
              <w:spacing w:after="0"/>
              <w:rPr>
                <w:rFonts w:eastAsia="Times New Roman" w:cs="Calibri"/>
                <w:color w:val="000000"/>
                <w:sz w:val="18"/>
                <w:szCs w:val="18"/>
                <w:lang w:eastAsia="es-ES"/>
              </w:rPr>
            </w:pPr>
          </w:p>
        </w:tc>
      </w:tr>
      <w:tr w:rsidR="00590B71" w:rsidRPr="003F7F6C" w14:paraId="4ED395E8" w14:textId="77777777" w:rsidTr="003A428B">
        <w:trPr>
          <w:trHeight w:val="569"/>
        </w:trPr>
        <w:tc>
          <w:tcPr>
            <w:tcW w:w="197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1C087E6" w14:textId="77777777" w:rsidR="00590B71" w:rsidRPr="003F7F6C" w:rsidRDefault="00590B71" w:rsidP="00590B71">
            <w:pPr>
              <w:autoSpaceDE w:val="0"/>
              <w:autoSpaceDN w:val="0"/>
              <w:adjustRightInd w:val="0"/>
              <w:spacing w:after="0"/>
              <w:rPr>
                <w:rFonts w:cs="Calibri"/>
                <w:sz w:val="18"/>
                <w:szCs w:val="18"/>
              </w:rPr>
            </w:pPr>
          </w:p>
        </w:tc>
        <w:tc>
          <w:tcPr>
            <w:tcW w:w="4517" w:type="dxa"/>
            <w:tcBorders>
              <w:top w:val="single" w:sz="4" w:space="0" w:color="auto"/>
              <w:left w:val="nil"/>
              <w:bottom w:val="single" w:sz="4" w:space="0" w:color="auto"/>
              <w:right w:val="single" w:sz="4" w:space="0" w:color="auto"/>
            </w:tcBorders>
            <w:shd w:val="clear" w:color="auto" w:fill="auto"/>
            <w:vAlign w:val="center"/>
          </w:tcPr>
          <w:p w14:paraId="322A7951"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Authority and legitimacy of all lead organizations</w:t>
            </w:r>
          </w:p>
          <w:p w14:paraId="227CEE72"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responsible for environmental management are</w:t>
            </w:r>
          </w:p>
          <w:p w14:paraId="2DD452F9"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partially recognized by stakeholders</w:t>
            </w:r>
          </w:p>
        </w:tc>
        <w:tc>
          <w:tcPr>
            <w:tcW w:w="808" w:type="dxa"/>
            <w:tcBorders>
              <w:top w:val="single" w:sz="4" w:space="0" w:color="auto"/>
              <w:left w:val="nil"/>
              <w:bottom w:val="single" w:sz="4" w:space="0" w:color="auto"/>
              <w:right w:val="single" w:sz="4" w:space="0" w:color="auto"/>
            </w:tcBorders>
            <w:shd w:val="clear" w:color="auto" w:fill="auto"/>
            <w:vAlign w:val="center"/>
          </w:tcPr>
          <w:p w14:paraId="457FDFD7"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2</w:t>
            </w:r>
          </w:p>
        </w:tc>
        <w:tc>
          <w:tcPr>
            <w:tcW w:w="819" w:type="dxa"/>
            <w:tcBorders>
              <w:top w:val="single" w:sz="4" w:space="0" w:color="auto"/>
              <w:left w:val="nil"/>
              <w:bottom w:val="single" w:sz="4" w:space="0" w:color="auto"/>
              <w:right w:val="single" w:sz="4" w:space="0" w:color="auto"/>
            </w:tcBorders>
            <w:shd w:val="clear" w:color="auto" w:fill="auto"/>
            <w:vAlign w:val="center"/>
          </w:tcPr>
          <w:p w14:paraId="55BB1C96"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2</w:t>
            </w:r>
          </w:p>
        </w:tc>
        <w:tc>
          <w:tcPr>
            <w:tcW w:w="2690" w:type="dxa"/>
            <w:tcBorders>
              <w:top w:val="single" w:sz="4" w:space="0" w:color="auto"/>
              <w:left w:val="nil"/>
              <w:bottom w:val="single" w:sz="4" w:space="0" w:color="auto"/>
              <w:right w:val="single" w:sz="4" w:space="0" w:color="auto"/>
            </w:tcBorders>
            <w:shd w:val="clear" w:color="auto" w:fill="auto"/>
            <w:vAlign w:val="center"/>
          </w:tcPr>
          <w:p w14:paraId="06448C66" w14:textId="77777777" w:rsidR="00590B71" w:rsidRPr="003F7F6C" w:rsidRDefault="00590B71" w:rsidP="00590B71">
            <w:pPr>
              <w:spacing w:after="0"/>
              <w:rPr>
                <w:rFonts w:eastAsia="Times New Roman" w:cs="Calibri"/>
                <w:color w:val="000000"/>
                <w:sz w:val="18"/>
                <w:szCs w:val="18"/>
                <w:lang w:eastAsia="es-ES"/>
              </w:rPr>
            </w:pPr>
          </w:p>
        </w:tc>
        <w:tc>
          <w:tcPr>
            <w:tcW w:w="2083" w:type="dxa"/>
            <w:tcBorders>
              <w:top w:val="single" w:sz="4" w:space="0" w:color="auto"/>
              <w:left w:val="nil"/>
              <w:bottom w:val="single" w:sz="4" w:space="0" w:color="auto"/>
              <w:right w:val="single" w:sz="4" w:space="0" w:color="auto"/>
            </w:tcBorders>
            <w:shd w:val="clear" w:color="auto" w:fill="auto"/>
            <w:vAlign w:val="center"/>
          </w:tcPr>
          <w:p w14:paraId="0ECAD9BC" w14:textId="77777777" w:rsidR="00590B71" w:rsidRPr="003F7F6C" w:rsidRDefault="00590B71" w:rsidP="00590B71">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Promote OPDS as leader in the provincial ELUP process</w:t>
            </w:r>
          </w:p>
        </w:tc>
        <w:tc>
          <w:tcPr>
            <w:tcW w:w="1209" w:type="dxa"/>
            <w:tcBorders>
              <w:top w:val="single" w:sz="4" w:space="0" w:color="auto"/>
              <w:left w:val="nil"/>
              <w:bottom w:val="single" w:sz="4" w:space="0" w:color="auto"/>
              <w:right w:val="single" w:sz="4" w:space="0" w:color="auto"/>
            </w:tcBorders>
            <w:shd w:val="clear" w:color="auto" w:fill="auto"/>
            <w:vAlign w:val="center"/>
          </w:tcPr>
          <w:p w14:paraId="170FA903"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2</w:t>
            </w:r>
          </w:p>
        </w:tc>
      </w:tr>
      <w:tr w:rsidR="00590B71" w:rsidRPr="003F7F6C" w14:paraId="25A82729" w14:textId="77777777" w:rsidTr="003A428B">
        <w:trPr>
          <w:trHeight w:val="833"/>
        </w:trPr>
        <w:tc>
          <w:tcPr>
            <w:tcW w:w="197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62AB981" w14:textId="77777777" w:rsidR="00590B71" w:rsidRPr="003F7F6C" w:rsidRDefault="00590B71" w:rsidP="00590B71">
            <w:pPr>
              <w:autoSpaceDE w:val="0"/>
              <w:autoSpaceDN w:val="0"/>
              <w:adjustRightInd w:val="0"/>
              <w:spacing w:after="0"/>
              <w:rPr>
                <w:rFonts w:cs="Calibri"/>
                <w:sz w:val="18"/>
                <w:szCs w:val="18"/>
              </w:rPr>
            </w:pPr>
          </w:p>
        </w:tc>
        <w:tc>
          <w:tcPr>
            <w:tcW w:w="4517" w:type="dxa"/>
            <w:tcBorders>
              <w:top w:val="single" w:sz="4" w:space="0" w:color="auto"/>
              <w:left w:val="nil"/>
              <w:bottom w:val="single" w:sz="4" w:space="0" w:color="auto"/>
              <w:right w:val="single" w:sz="4" w:space="0" w:color="auto"/>
            </w:tcBorders>
            <w:shd w:val="clear" w:color="auto" w:fill="auto"/>
            <w:vAlign w:val="center"/>
          </w:tcPr>
          <w:p w14:paraId="501B43A2"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Authority and legitimacy of all lead organizations</w:t>
            </w:r>
          </w:p>
          <w:p w14:paraId="40FE796A"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responsible for environmental management</w:t>
            </w:r>
          </w:p>
          <w:p w14:paraId="7D84AFFF"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recognized by stakeholders</w:t>
            </w:r>
          </w:p>
        </w:tc>
        <w:tc>
          <w:tcPr>
            <w:tcW w:w="808" w:type="dxa"/>
            <w:tcBorders>
              <w:top w:val="single" w:sz="4" w:space="0" w:color="auto"/>
              <w:left w:val="nil"/>
              <w:bottom w:val="single" w:sz="4" w:space="0" w:color="auto"/>
              <w:right w:val="single" w:sz="4" w:space="0" w:color="auto"/>
            </w:tcBorders>
            <w:shd w:val="clear" w:color="auto" w:fill="auto"/>
            <w:vAlign w:val="center"/>
          </w:tcPr>
          <w:p w14:paraId="6660B754"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3</w:t>
            </w:r>
          </w:p>
        </w:tc>
        <w:tc>
          <w:tcPr>
            <w:tcW w:w="819" w:type="dxa"/>
            <w:tcBorders>
              <w:top w:val="single" w:sz="4" w:space="0" w:color="auto"/>
              <w:left w:val="nil"/>
              <w:bottom w:val="single" w:sz="4" w:space="0" w:color="auto"/>
              <w:right w:val="single" w:sz="4" w:space="0" w:color="auto"/>
            </w:tcBorders>
            <w:shd w:val="clear" w:color="auto" w:fill="auto"/>
            <w:vAlign w:val="center"/>
          </w:tcPr>
          <w:p w14:paraId="27660EB9" w14:textId="77777777" w:rsidR="00590B71" w:rsidRPr="003F7F6C" w:rsidRDefault="00590B71" w:rsidP="00590B71">
            <w:pPr>
              <w:spacing w:after="0"/>
              <w:jc w:val="center"/>
              <w:rPr>
                <w:rFonts w:eastAsia="Times New Roman" w:cs="Calibri"/>
                <w:color w:val="000000"/>
                <w:sz w:val="18"/>
                <w:szCs w:val="18"/>
                <w:lang w:eastAsia="es-ES"/>
              </w:rPr>
            </w:pPr>
          </w:p>
        </w:tc>
        <w:tc>
          <w:tcPr>
            <w:tcW w:w="2690" w:type="dxa"/>
            <w:tcBorders>
              <w:top w:val="single" w:sz="4" w:space="0" w:color="auto"/>
              <w:left w:val="nil"/>
              <w:bottom w:val="single" w:sz="4" w:space="0" w:color="auto"/>
              <w:right w:val="single" w:sz="4" w:space="0" w:color="auto"/>
            </w:tcBorders>
            <w:shd w:val="clear" w:color="auto" w:fill="auto"/>
            <w:vAlign w:val="center"/>
          </w:tcPr>
          <w:p w14:paraId="114F96B1" w14:textId="77777777" w:rsidR="00590B71" w:rsidRPr="003F7F6C" w:rsidRDefault="00590B71" w:rsidP="00590B71">
            <w:pPr>
              <w:spacing w:after="0"/>
              <w:rPr>
                <w:rFonts w:eastAsia="Times New Roman" w:cs="Calibri"/>
                <w:color w:val="000000"/>
                <w:sz w:val="18"/>
                <w:szCs w:val="18"/>
                <w:lang w:eastAsia="es-ES"/>
              </w:rPr>
            </w:pPr>
          </w:p>
        </w:tc>
        <w:tc>
          <w:tcPr>
            <w:tcW w:w="2083" w:type="dxa"/>
            <w:tcBorders>
              <w:top w:val="single" w:sz="4" w:space="0" w:color="auto"/>
              <w:left w:val="nil"/>
              <w:bottom w:val="single" w:sz="4" w:space="0" w:color="auto"/>
              <w:right w:val="single" w:sz="4" w:space="0" w:color="auto"/>
            </w:tcBorders>
            <w:shd w:val="clear" w:color="auto" w:fill="auto"/>
            <w:vAlign w:val="center"/>
          </w:tcPr>
          <w:p w14:paraId="3554C2B8" w14:textId="77777777" w:rsidR="00590B71" w:rsidRPr="003F7F6C" w:rsidRDefault="00590B71" w:rsidP="00590B71">
            <w:pPr>
              <w:spacing w:after="0"/>
              <w:rPr>
                <w:rFonts w:eastAsia="Times New Roman" w:cs="Calibri"/>
                <w:color w:val="000000"/>
                <w:sz w:val="18"/>
                <w:szCs w:val="18"/>
                <w:lang w:eastAsia="es-ES"/>
              </w:rPr>
            </w:pPr>
          </w:p>
        </w:tc>
        <w:tc>
          <w:tcPr>
            <w:tcW w:w="1209" w:type="dxa"/>
            <w:tcBorders>
              <w:top w:val="single" w:sz="4" w:space="0" w:color="auto"/>
              <w:left w:val="nil"/>
              <w:bottom w:val="single" w:sz="4" w:space="0" w:color="auto"/>
              <w:right w:val="single" w:sz="4" w:space="0" w:color="auto"/>
            </w:tcBorders>
            <w:shd w:val="clear" w:color="auto" w:fill="auto"/>
            <w:vAlign w:val="center"/>
          </w:tcPr>
          <w:p w14:paraId="0FBECC16" w14:textId="77777777" w:rsidR="00590B71" w:rsidRPr="003F7F6C" w:rsidRDefault="00590B71" w:rsidP="00590B71">
            <w:pPr>
              <w:spacing w:after="0"/>
              <w:rPr>
                <w:rFonts w:eastAsia="Times New Roman" w:cs="Calibri"/>
                <w:color w:val="000000"/>
                <w:sz w:val="18"/>
                <w:szCs w:val="18"/>
                <w:lang w:eastAsia="es-ES"/>
              </w:rPr>
            </w:pPr>
          </w:p>
        </w:tc>
      </w:tr>
      <w:tr w:rsidR="00590B71" w:rsidRPr="003F7F6C" w14:paraId="3DD50702" w14:textId="77777777" w:rsidTr="003A428B">
        <w:trPr>
          <w:trHeight w:val="707"/>
        </w:trPr>
        <w:tc>
          <w:tcPr>
            <w:tcW w:w="19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EF30817"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Indicator 2: Existence of operational co-management mechanisms</w:t>
            </w:r>
          </w:p>
        </w:tc>
        <w:tc>
          <w:tcPr>
            <w:tcW w:w="4517" w:type="dxa"/>
            <w:tcBorders>
              <w:top w:val="single" w:sz="4" w:space="0" w:color="auto"/>
              <w:left w:val="nil"/>
              <w:bottom w:val="single" w:sz="4" w:space="0" w:color="auto"/>
              <w:right w:val="single" w:sz="4" w:space="0" w:color="auto"/>
            </w:tcBorders>
            <w:shd w:val="clear" w:color="auto" w:fill="auto"/>
            <w:vAlign w:val="center"/>
            <w:hideMark/>
          </w:tcPr>
          <w:p w14:paraId="0C8A3D0A"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Some co-management mechanisms are formally</w:t>
            </w:r>
            <w:r w:rsidRPr="003F7F6C">
              <w:rPr>
                <w:rFonts w:cs="Calibri"/>
                <w:sz w:val="18"/>
                <w:szCs w:val="18"/>
              </w:rPr>
              <w:br/>
              <w:t>established through agreements, MOUs, etc.</w:t>
            </w:r>
          </w:p>
        </w:tc>
        <w:tc>
          <w:tcPr>
            <w:tcW w:w="808" w:type="dxa"/>
            <w:tcBorders>
              <w:top w:val="single" w:sz="4" w:space="0" w:color="auto"/>
              <w:left w:val="nil"/>
              <w:bottom w:val="single" w:sz="4" w:space="0" w:color="auto"/>
              <w:right w:val="single" w:sz="4" w:space="0" w:color="auto"/>
            </w:tcBorders>
            <w:shd w:val="clear" w:color="auto" w:fill="auto"/>
            <w:vAlign w:val="center"/>
            <w:hideMark/>
          </w:tcPr>
          <w:p w14:paraId="2E546494"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0</w:t>
            </w:r>
          </w:p>
        </w:tc>
        <w:tc>
          <w:tcPr>
            <w:tcW w:w="819" w:type="dxa"/>
            <w:tcBorders>
              <w:top w:val="single" w:sz="4" w:space="0" w:color="auto"/>
              <w:left w:val="nil"/>
              <w:bottom w:val="single" w:sz="4" w:space="0" w:color="auto"/>
              <w:right w:val="single" w:sz="4" w:space="0" w:color="auto"/>
            </w:tcBorders>
            <w:shd w:val="clear" w:color="auto" w:fill="auto"/>
            <w:vAlign w:val="center"/>
            <w:hideMark/>
          </w:tcPr>
          <w:p w14:paraId="76A3413A"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690" w:type="dxa"/>
            <w:tcBorders>
              <w:top w:val="single" w:sz="4" w:space="0" w:color="auto"/>
              <w:left w:val="nil"/>
              <w:bottom w:val="single" w:sz="4" w:space="0" w:color="auto"/>
              <w:right w:val="single" w:sz="4" w:space="0" w:color="auto"/>
            </w:tcBorders>
            <w:shd w:val="clear" w:color="auto" w:fill="auto"/>
            <w:vAlign w:val="center"/>
            <w:hideMark/>
          </w:tcPr>
          <w:p w14:paraId="700A4880"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083" w:type="dxa"/>
            <w:tcBorders>
              <w:top w:val="single" w:sz="4" w:space="0" w:color="auto"/>
              <w:left w:val="nil"/>
              <w:bottom w:val="single" w:sz="4" w:space="0" w:color="auto"/>
              <w:right w:val="single" w:sz="4" w:space="0" w:color="auto"/>
            </w:tcBorders>
            <w:shd w:val="clear" w:color="auto" w:fill="auto"/>
            <w:vAlign w:val="center"/>
            <w:hideMark/>
          </w:tcPr>
          <w:p w14:paraId="558C4F35"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209" w:type="dxa"/>
            <w:tcBorders>
              <w:top w:val="single" w:sz="4" w:space="0" w:color="auto"/>
              <w:left w:val="nil"/>
              <w:bottom w:val="single" w:sz="4" w:space="0" w:color="auto"/>
              <w:right w:val="single" w:sz="4" w:space="0" w:color="auto"/>
            </w:tcBorders>
            <w:shd w:val="clear" w:color="auto" w:fill="auto"/>
            <w:vAlign w:val="center"/>
            <w:hideMark/>
          </w:tcPr>
          <w:p w14:paraId="02C79613"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590B71" w:rsidRPr="003F7F6C" w14:paraId="27E09056" w14:textId="77777777" w:rsidTr="003A428B">
        <w:trPr>
          <w:trHeight w:val="415"/>
        </w:trPr>
        <w:tc>
          <w:tcPr>
            <w:tcW w:w="197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07AA2BC" w14:textId="77777777" w:rsidR="00590B71" w:rsidRPr="003F7F6C" w:rsidRDefault="00590B71" w:rsidP="00590B71">
            <w:pPr>
              <w:spacing w:after="0"/>
              <w:jc w:val="center"/>
              <w:rPr>
                <w:rFonts w:eastAsia="Times New Roman" w:cs="Calibri"/>
                <w:color w:val="000000"/>
                <w:sz w:val="18"/>
                <w:szCs w:val="18"/>
                <w:lang w:eastAsia="es-ES"/>
              </w:rPr>
            </w:pPr>
          </w:p>
        </w:tc>
        <w:tc>
          <w:tcPr>
            <w:tcW w:w="4517" w:type="dxa"/>
            <w:tcBorders>
              <w:top w:val="single" w:sz="4" w:space="0" w:color="auto"/>
              <w:left w:val="single" w:sz="4" w:space="0" w:color="auto"/>
              <w:bottom w:val="single" w:sz="4" w:space="0" w:color="auto"/>
              <w:right w:val="single" w:sz="4" w:space="0" w:color="auto"/>
            </w:tcBorders>
            <w:shd w:val="clear" w:color="auto" w:fill="auto"/>
            <w:vAlign w:val="center"/>
          </w:tcPr>
          <w:p w14:paraId="6BC1C9F4" w14:textId="77777777" w:rsidR="00590B71" w:rsidRPr="003F7F6C" w:rsidRDefault="00590B71" w:rsidP="00590B71">
            <w:pPr>
              <w:autoSpaceDE w:val="0"/>
              <w:autoSpaceDN w:val="0"/>
              <w:adjustRightInd w:val="0"/>
              <w:spacing w:after="0"/>
              <w:rPr>
                <w:rFonts w:eastAsia="Times New Roman" w:cs="Calibri"/>
                <w:color w:val="000000"/>
                <w:sz w:val="18"/>
                <w:szCs w:val="18"/>
                <w:lang w:eastAsia="es-ES"/>
              </w:rPr>
            </w:pPr>
            <w:r w:rsidRPr="003F7F6C">
              <w:rPr>
                <w:rFonts w:cs="Calibri"/>
                <w:sz w:val="18"/>
                <w:szCs w:val="18"/>
              </w:rPr>
              <w:t>Some co-management mechanisms are in place and operational</w:t>
            </w:r>
          </w:p>
        </w:tc>
        <w:tc>
          <w:tcPr>
            <w:tcW w:w="808" w:type="dxa"/>
            <w:tcBorders>
              <w:top w:val="single" w:sz="4" w:space="0" w:color="auto"/>
              <w:left w:val="single" w:sz="4" w:space="0" w:color="auto"/>
              <w:bottom w:val="single" w:sz="4" w:space="0" w:color="auto"/>
              <w:right w:val="single" w:sz="4" w:space="0" w:color="auto"/>
            </w:tcBorders>
            <w:shd w:val="clear" w:color="auto" w:fill="auto"/>
            <w:vAlign w:val="center"/>
          </w:tcPr>
          <w:p w14:paraId="046D96AC"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1</w:t>
            </w:r>
          </w:p>
        </w:tc>
        <w:tc>
          <w:tcPr>
            <w:tcW w:w="819" w:type="dxa"/>
            <w:tcBorders>
              <w:top w:val="single" w:sz="4" w:space="0" w:color="auto"/>
              <w:left w:val="single" w:sz="4" w:space="0" w:color="auto"/>
              <w:bottom w:val="single" w:sz="4" w:space="0" w:color="auto"/>
              <w:right w:val="single" w:sz="4" w:space="0" w:color="auto"/>
            </w:tcBorders>
            <w:shd w:val="clear" w:color="auto" w:fill="auto"/>
            <w:vAlign w:val="center"/>
          </w:tcPr>
          <w:p w14:paraId="7B39EFDD" w14:textId="77777777" w:rsidR="00590B71" w:rsidRPr="003F7F6C" w:rsidRDefault="00590B71" w:rsidP="00590B71">
            <w:pPr>
              <w:spacing w:after="0"/>
              <w:jc w:val="center"/>
              <w:rPr>
                <w:rFonts w:eastAsia="Times New Roman" w:cs="Calibri"/>
                <w:color w:val="000000"/>
                <w:sz w:val="18"/>
                <w:szCs w:val="18"/>
                <w:lang w:eastAsia="es-ES"/>
              </w:rPr>
            </w:pPr>
          </w:p>
        </w:tc>
        <w:tc>
          <w:tcPr>
            <w:tcW w:w="2690" w:type="dxa"/>
            <w:tcBorders>
              <w:top w:val="single" w:sz="4" w:space="0" w:color="auto"/>
              <w:left w:val="single" w:sz="4" w:space="0" w:color="auto"/>
              <w:bottom w:val="single" w:sz="4" w:space="0" w:color="auto"/>
              <w:right w:val="single" w:sz="4" w:space="0" w:color="auto"/>
            </w:tcBorders>
            <w:shd w:val="clear" w:color="auto" w:fill="auto"/>
            <w:vAlign w:val="center"/>
          </w:tcPr>
          <w:p w14:paraId="78B3F801" w14:textId="77777777" w:rsidR="00590B71" w:rsidRPr="003F7F6C" w:rsidRDefault="00590B71" w:rsidP="00590B71">
            <w:pPr>
              <w:autoSpaceDE w:val="0"/>
              <w:autoSpaceDN w:val="0"/>
              <w:adjustRightInd w:val="0"/>
              <w:spacing w:after="0"/>
              <w:rPr>
                <w:rFonts w:cs="Calibri"/>
                <w:sz w:val="18"/>
                <w:szCs w:val="18"/>
              </w:rPr>
            </w:pPr>
          </w:p>
        </w:tc>
        <w:tc>
          <w:tcPr>
            <w:tcW w:w="2083" w:type="dxa"/>
            <w:tcBorders>
              <w:top w:val="single" w:sz="4" w:space="0" w:color="auto"/>
              <w:left w:val="single" w:sz="4" w:space="0" w:color="auto"/>
              <w:bottom w:val="single" w:sz="4" w:space="0" w:color="auto"/>
              <w:right w:val="single" w:sz="4" w:space="0" w:color="auto"/>
            </w:tcBorders>
            <w:shd w:val="clear" w:color="auto" w:fill="auto"/>
            <w:vAlign w:val="center"/>
          </w:tcPr>
          <w:p w14:paraId="2B3E2EFB" w14:textId="77777777" w:rsidR="00590B71" w:rsidRPr="003F7F6C" w:rsidRDefault="00590B71" w:rsidP="00590B71">
            <w:pPr>
              <w:autoSpaceDE w:val="0"/>
              <w:autoSpaceDN w:val="0"/>
              <w:adjustRightInd w:val="0"/>
              <w:spacing w:after="0"/>
              <w:rPr>
                <w:rFonts w:cs="Calibri"/>
                <w:sz w:val="18"/>
                <w:szCs w:val="18"/>
              </w:rPr>
            </w:pP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14:paraId="0B9D2D53" w14:textId="77777777" w:rsidR="00590B71" w:rsidRPr="003F7F6C" w:rsidRDefault="00590B71" w:rsidP="00590B71">
            <w:pPr>
              <w:spacing w:after="0"/>
              <w:rPr>
                <w:rFonts w:eastAsia="Times New Roman" w:cs="Calibri"/>
                <w:color w:val="000000"/>
                <w:sz w:val="18"/>
                <w:szCs w:val="18"/>
                <w:lang w:eastAsia="es-ES"/>
              </w:rPr>
            </w:pPr>
          </w:p>
        </w:tc>
      </w:tr>
      <w:tr w:rsidR="00590B71" w:rsidRPr="003F7F6C" w14:paraId="7437B831" w14:textId="77777777" w:rsidTr="003A428B">
        <w:trPr>
          <w:trHeight w:val="691"/>
        </w:trPr>
        <w:tc>
          <w:tcPr>
            <w:tcW w:w="197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D0DFC25" w14:textId="77777777" w:rsidR="00590B71" w:rsidRPr="003F7F6C" w:rsidRDefault="00590B71" w:rsidP="00590B71">
            <w:pPr>
              <w:spacing w:after="0"/>
              <w:jc w:val="center"/>
              <w:rPr>
                <w:rFonts w:eastAsia="Times New Roman" w:cs="Calibri"/>
                <w:color w:val="000000"/>
                <w:sz w:val="18"/>
                <w:szCs w:val="18"/>
                <w:lang w:eastAsia="es-ES"/>
              </w:rPr>
            </w:pPr>
          </w:p>
        </w:tc>
        <w:tc>
          <w:tcPr>
            <w:tcW w:w="4517" w:type="dxa"/>
            <w:tcBorders>
              <w:top w:val="single" w:sz="4" w:space="0" w:color="auto"/>
              <w:left w:val="nil"/>
              <w:bottom w:val="single" w:sz="4" w:space="0" w:color="auto"/>
              <w:right w:val="single" w:sz="4" w:space="0" w:color="auto"/>
            </w:tcBorders>
            <w:shd w:val="clear" w:color="auto" w:fill="auto"/>
            <w:vAlign w:val="center"/>
          </w:tcPr>
          <w:p w14:paraId="4C8F0D87"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Some co-management mechanisms are formally</w:t>
            </w:r>
          </w:p>
          <w:p w14:paraId="2706D813" w14:textId="77777777" w:rsidR="00590B71" w:rsidRPr="003F7F6C" w:rsidRDefault="00590B71" w:rsidP="00590B71">
            <w:pPr>
              <w:spacing w:after="0"/>
              <w:rPr>
                <w:rFonts w:eastAsia="Times New Roman" w:cs="Calibri"/>
                <w:color w:val="000000"/>
                <w:sz w:val="18"/>
                <w:szCs w:val="18"/>
                <w:lang w:eastAsia="es-ES"/>
              </w:rPr>
            </w:pPr>
            <w:r w:rsidRPr="003F7F6C">
              <w:rPr>
                <w:rFonts w:cs="Calibri"/>
                <w:sz w:val="18"/>
                <w:szCs w:val="18"/>
              </w:rPr>
              <w:t>established through agreements, MOUs, etc.</w:t>
            </w:r>
          </w:p>
        </w:tc>
        <w:tc>
          <w:tcPr>
            <w:tcW w:w="808" w:type="dxa"/>
            <w:tcBorders>
              <w:top w:val="single" w:sz="4" w:space="0" w:color="auto"/>
              <w:left w:val="nil"/>
              <w:bottom w:val="single" w:sz="4" w:space="0" w:color="auto"/>
              <w:right w:val="single" w:sz="4" w:space="0" w:color="auto"/>
            </w:tcBorders>
            <w:shd w:val="clear" w:color="auto" w:fill="auto"/>
            <w:vAlign w:val="center"/>
          </w:tcPr>
          <w:p w14:paraId="4C9C172F"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2</w:t>
            </w:r>
          </w:p>
        </w:tc>
        <w:tc>
          <w:tcPr>
            <w:tcW w:w="819" w:type="dxa"/>
            <w:tcBorders>
              <w:top w:val="single" w:sz="4" w:space="0" w:color="auto"/>
              <w:left w:val="nil"/>
              <w:bottom w:val="single" w:sz="4" w:space="0" w:color="auto"/>
              <w:right w:val="single" w:sz="4" w:space="0" w:color="auto"/>
            </w:tcBorders>
            <w:shd w:val="clear" w:color="auto" w:fill="auto"/>
            <w:vAlign w:val="center"/>
          </w:tcPr>
          <w:p w14:paraId="1B324E74"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2</w:t>
            </w:r>
          </w:p>
        </w:tc>
        <w:tc>
          <w:tcPr>
            <w:tcW w:w="2690" w:type="dxa"/>
            <w:tcBorders>
              <w:top w:val="single" w:sz="4" w:space="0" w:color="auto"/>
              <w:left w:val="nil"/>
              <w:bottom w:val="single" w:sz="4" w:space="0" w:color="auto"/>
              <w:right w:val="single" w:sz="4" w:space="0" w:color="auto"/>
            </w:tcBorders>
            <w:shd w:val="clear" w:color="auto" w:fill="auto"/>
            <w:vAlign w:val="center"/>
          </w:tcPr>
          <w:p w14:paraId="73F86C96"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There are mechanisms through agreements</w:t>
            </w:r>
          </w:p>
        </w:tc>
        <w:tc>
          <w:tcPr>
            <w:tcW w:w="2083" w:type="dxa"/>
            <w:tcBorders>
              <w:top w:val="single" w:sz="4" w:space="0" w:color="auto"/>
              <w:left w:val="nil"/>
              <w:bottom w:val="single" w:sz="4" w:space="0" w:color="auto"/>
              <w:right w:val="single" w:sz="4" w:space="0" w:color="auto"/>
            </w:tcBorders>
            <w:shd w:val="clear" w:color="auto" w:fill="auto"/>
            <w:vAlign w:val="center"/>
          </w:tcPr>
          <w:p w14:paraId="1C6ABC64" w14:textId="77777777" w:rsidR="00590B71" w:rsidRPr="003F7F6C" w:rsidRDefault="00590B71" w:rsidP="00590B71">
            <w:pPr>
              <w:autoSpaceDE w:val="0"/>
              <w:autoSpaceDN w:val="0"/>
              <w:adjustRightInd w:val="0"/>
              <w:spacing w:after="0"/>
              <w:rPr>
                <w:rFonts w:cs="Calibri"/>
                <w:sz w:val="18"/>
                <w:szCs w:val="18"/>
              </w:rPr>
            </w:pPr>
          </w:p>
        </w:tc>
        <w:tc>
          <w:tcPr>
            <w:tcW w:w="1209" w:type="dxa"/>
            <w:tcBorders>
              <w:top w:val="single" w:sz="4" w:space="0" w:color="auto"/>
              <w:left w:val="nil"/>
              <w:bottom w:val="single" w:sz="4" w:space="0" w:color="auto"/>
              <w:right w:val="single" w:sz="4" w:space="0" w:color="auto"/>
            </w:tcBorders>
            <w:shd w:val="clear" w:color="auto" w:fill="auto"/>
            <w:vAlign w:val="center"/>
          </w:tcPr>
          <w:p w14:paraId="45CA1295" w14:textId="77777777" w:rsidR="00590B71" w:rsidRPr="003F7F6C" w:rsidRDefault="00590B71" w:rsidP="00590B71">
            <w:pPr>
              <w:spacing w:after="0"/>
              <w:rPr>
                <w:rFonts w:eastAsia="Times New Roman" w:cs="Calibri"/>
                <w:color w:val="000000"/>
                <w:sz w:val="18"/>
                <w:szCs w:val="18"/>
                <w:lang w:eastAsia="es-ES"/>
              </w:rPr>
            </w:pPr>
          </w:p>
        </w:tc>
      </w:tr>
      <w:tr w:rsidR="00590B71" w:rsidRPr="003F7F6C" w14:paraId="597D325B" w14:textId="77777777" w:rsidTr="003A428B">
        <w:trPr>
          <w:trHeight w:val="70"/>
        </w:trPr>
        <w:tc>
          <w:tcPr>
            <w:tcW w:w="197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8A21661" w14:textId="77777777" w:rsidR="00590B71" w:rsidRPr="003F7F6C" w:rsidRDefault="00590B71" w:rsidP="00590B71">
            <w:pPr>
              <w:spacing w:after="0"/>
              <w:jc w:val="center"/>
              <w:rPr>
                <w:rFonts w:eastAsia="Times New Roman" w:cs="Calibri"/>
                <w:color w:val="000000"/>
                <w:sz w:val="18"/>
                <w:szCs w:val="18"/>
                <w:lang w:eastAsia="es-ES"/>
              </w:rPr>
            </w:pPr>
          </w:p>
        </w:tc>
        <w:tc>
          <w:tcPr>
            <w:tcW w:w="4517" w:type="dxa"/>
            <w:tcBorders>
              <w:top w:val="single" w:sz="4" w:space="0" w:color="auto"/>
              <w:left w:val="nil"/>
              <w:bottom w:val="single" w:sz="4" w:space="0" w:color="auto"/>
              <w:right w:val="single" w:sz="4" w:space="0" w:color="auto"/>
            </w:tcBorders>
            <w:shd w:val="clear" w:color="auto" w:fill="auto"/>
            <w:vAlign w:val="center"/>
          </w:tcPr>
          <w:p w14:paraId="1D415458"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Comprehensive co-management mechanisms are</w:t>
            </w:r>
          </w:p>
          <w:p w14:paraId="6E4D63EC" w14:textId="77777777" w:rsidR="00590B71" w:rsidRPr="003F7F6C" w:rsidRDefault="00590B71" w:rsidP="00590B71">
            <w:pPr>
              <w:spacing w:after="0"/>
              <w:rPr>
                <w:rFonts w:eastAsia="Times New Roman" w:cs="Calibri"/>
                <w:color w:val="000000"/>
                <w:sz w:val="18"/>
                <w:szCs w:val="18"/>
                <w:lang w:eastAsia="es-ES"/>
              </w:rPr>
            </w:pPr>
            <w:r w:rsidRPr="003F7F6C">
              <w:rPr>
                <w:rFonts w:cs="Calibri"/>
                <w:sz w:val="18"/>
                <w:szCs w:val="18"/>
              </w:rPr>
              <w:t>formally established and are operational/functional</w:t>
            </w:r>
          </w:p>
        </w:tc>
        <w:tc>
          <w:tcPr>
            <w:tcW w:w="808" w:type="dxa"/>
            <w:tcBorders>
              <w:top w:val="single" w:sz="4" w:space="0" w:color="auto"/>
              <w:left w:val="nil"/>
              <w:bottom w:val="single" w:sz="4" w:space="0" w:color="auto"/>
              <w:right w:val="single" w:sz="4" w:space="0" w:color="auto"/>
            </w:tcBorders>
            <w:shd w:val="clear" w:color="auto" w:fill="auto"/>
            <w:vAlign w:val="center"/>
          </w:tcPr>
          <w:p w14:paraId="29FF382A"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3</w:t>
            </w:r>
          </w:p>
        </w:tc>
        <w:tc>
          <w:tcPr>
            <w:tcW w:w="819" w:type="dxa"/>
            <w:tcBorders>
              <w:top w:val="single" w:sz="4" w:space="0" w:color="auto"/>
              <w:left w:val="nil"/>
              <w:bottom w:val="single" w:sz="4" w:space="0" w:color="auto"/>
              <w:right w:val="single" w:sz="4" w:space="0" w:color="auto"/>
            </w:tcBorders>
            <w:shd w:val="clear" w:color="auto" w:fill="auto"/>
            <w:vAlign w:val="center"/>
          </w:tcPr>
          <w:p w14:paraId="3F1A7E99" w14:textId="77777777" w:rsidR="00590B71" w:rsidRPr="003F7F6C" w:rsidRDefault="00590B71" w:rsidP="00590B71">
            <w:pPr>
              <w:spacing w:after="0"/>
              <w:jc w:val="center"/>
              <w:rPr>
                <w:rFonts w:eastAsia="Times New Roman" w:cs="Calibri"/>
                <w:color w:val="000000"/>
                <w:sz w:val="18"/>
                <w:szCs w:val="18"/>
                <w:lang w:eastAsia="es-ES"/>
              </w:rPr>
            </w:pPr>
          </w:p>
        </w:tc>
        <w:tc>
          <w:tcPr>
            <w:tcW w:w="2690" w:type="dxa"/>
            <w:tcBorders>
              <w:top w:val="single" w:sz="4" w:space="0" w:color="auto"/>
              <w:left w:val="nil"/>
              <w:bottom w:val="single" w:sz="4" w:space="0" w:color="auto"/>
              <w:right w:val="single" w:sz="4" w:space="0" w:color="auto"/>
            </w:tcBorders>
            <w:shd w:val="clear" w:color="auto" w:fill="auto"/>
            <w:vAlign w:val="center"/>
          </w:tcPr>
          <w:p w14:paraId="7677772A" w14:textId="77777777" w:rsidR="00590B71" w:rsidRPr="003F7F6C" w:rsidRDefault="00590B71" w:rsidP="00590B71">
            <w:pPr>
              <w:spacing w:after="0"/>
              <w:rPr>
                <w:rFonts w:eastAsia="Times New Roman" w:cs="Calibri"/>
                <w:color w:val="000000"/>
                <w:sz w:val="18"/>
                <w:szCs w:val="18"/>
                <w:lang w:eastAsia="es-ES"/>
              </w:rPr>
            </w:pPr>
          </w:p>
        </w:tc>
        <w:tc>
          <w:tcPr>
            <w:tcW w:w="2083" w:type="dxa"/>
            <w:tcBorders>
              <w:top w:val="single" w:sz="4" w:space="0" w:color="auto"/>
              <w:left w:val="nil"/>
              <w:bottom w:val="single" w:sz="4" w:space="0" w:color="auto"/>
              <w:right w:val="single" w:sz="4" w:space="0" w:color="auto"/>
            </w:tcBorders>
            <w:shd w:val="clear" w:color="auto" w:fill="auto"/>
            <w:vAlign w:val="center"/>
          </w:tcPr>
          <w:p w14:paraId="60238050" w14:textId="77777777" w:rsidR="00590B71" w:rsidRPr="003F7F6C" w:rsidRDefault="00590B71" w:rsidP="00590B71">
            <w:pPr>
              <w:spacing w:after="0"/>
              <w:rPr>
                <w:rFonts w:eastAsia="Times New Roman" w:cs="Calibri"/>
                <w:color w:val="000000"/>
                <w:sz w:val="18"/>
                <w:szCs w:val="18"/>
                <w:lang w:eastAsia="es-ES"/>
              </w:rPr>
            </w:pPr>
          </w:p>
        </w:tc>
        <w:tc>
          <w:tcPr>
            <w:tcW w:w="1209" w:type="dxa"/>
            <w:tcBorders>
              <w:top w:val="single" w:sz="4" w:space="0" w:color="auto"/>
              <w:left w:val="nil"/>
              <w:bottom w:val="single" w:sz="4" w:space="0" w:color="auto"/>
              <w:right w:val="single" w:sz="4" w:space="0" w:color="auto"/>
            </w:tcBorders>
            <w:shd w:val="clear" w:color="auto" w:fill="auto"/>
            <w:vAlign w:val="center"/>
          </w:tcPr>
          <w:p w14:paraId="4CFE7938" w14:textId="77777777" w:rsidR="00590B71" w:rsidRPr="003F7F6C" w:rsidRDefault="00590B71" w:rsidP="00590B71">
            <w:pPr>
              <w:spacing w:after="0"/>
              <w:rPr>
                <w:rFonts w:eastAsia="Times New Roman" w:cs="Calibri"/>
                <w:color w:val="000000"/>
                <w:sz w:val="18"/>
                <w:szCs w:val="18"/>
                <w:lang w:eastAsia="es-ES"/>
              </w:rPr>
            </w:pPr>
          </w:p>
        </w:tc>
      </w:tr>
      <w:tr w:rsidR="00590B71" w:rsidRPr="003F7F6C" w14:paraId="39777165" w14:textId="77777777" w:rsidTr="003A428B">
        <w:trPr>
          <w:trHeight w:val="845"/>
        </w:trPr>
        <w:tc>
          <w:tcPr>
            <w:tcW w:w="19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301C52B"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Indicator 3: Existence of cooperation with stakeholder groups</w:t>
            </w:r>
          </w:p>
        </w:tc>
        <w:tc>
          <w:tcPr>
            <w:tcW w:w="4517" w:type="dxa"/>
            <w:tcBorders>
              <w:top w:val="single" w:sz="4" w:space="0" w:color="auto"/>
              <w:left w:val="nil"/>
              <w:bottom w:val="single" w:sz="4" w:space="0" w:color="auto"/>
              <w:right w:val="single" w:sz="4" w:space="0" w:color="auto"/>
            </w:tcBorders>
            <w:shd w:val="clear" w:color="auto" w:fill="auto"/>
            <w:vAlign w:val="center"/>
          </w:tcPr>
          <w:p w14:paraId="65F5E2FA"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Identification of stakeholders and their</w:t>
            </w:r>
          </w:p>
          <w:p w14:paraId="2511814A"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participation/involvement in decision-making is poor</w:t>
            </w:r>
          </w:p>
        </w:tc>
        <w:tc>
          <w:tcPr>
            <w:tcW w:w="808" w:type="dxa"/>
            <w:tcBorders>
              <w:top w:val="single" w:sz="4" w:space="0" w:color="auto"/>
              <w:left w:val="single" w:sz="4" w:space="0" w:color="auto"/>
              <w:bottom w:val="single" w:sz="4" w:space="0" w:color="auto"/>
              <w:right w:val="single" w:sz="4" w:space="0" w:color="auto"/>
            </w:tcBorders>
            <w:shd w:val="clear" w:color="auto" w:fill="auto"/>
            <w:vAlign w:val="center"/>
          </w:tcPr>
          <w:p w14:paraId="2B99C003"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0</w:t>
            </w:r>
          </w:p>
        </w:tc>
        <w:tc>
          <w:tcPr>
            <w:tcW w:w="8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67FB8C"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6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429F622"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0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8D4731C"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950BD35"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590B71" w:rsidRPr="003F7F6C" w14:paraId="0FF38ABB" w14:textId="77777777" w:rsidTr="003A428B">
        <w:trPr>
          <w:trHeight w:val="561"/>
        </w:trPr>
        <w:tc>
          <w:tcPr>
            <w:tcW w:w="197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646130C" w14:textId="77777777" w:rsidR="00590B71" w:rsidRPr="003F7F6C" w:rsidRDefault="00590B71" w:rsidP="00590B71">
            <w:pPr>
              <w:autoSpaceDE w:val="0"/>
              <w:autoSpaceDN w:val="0"/>
              <w:adjustRightInd w:val="0"/>
              <w:spacing w:after="0"/>
              <w:rPr>
                <w:rFonts w:cs="Calibri"/>
                <w:sz w:val="18"/>
                <w:szCs w:val="18"/>
              </w:rPr>
            </w:pPr>
          </w:p>
        </w:tc>
        <w:tc>
          <w:tcPr>
            <w:tcW w:w="4517" w:type="dxa"/>
            <w:tcBorders>
              <w:top w:val="single" w:sz="4" w:space="0" w:color="auto"/>
              <w:left w:val="nil"/>
              <w:bottom w:val="single" w:sz="4" w:space="0" w:color="auto"/>
              <w:right w:val="single" w:sz="4" w:space="0" w:color="auto"/>
            </w:tcBorders>
            <w:shd w:val="clear" w:color="auto" w:fill="auto"/>
            <w:vAlign w:val="center"/>
          </w:tcPr>
          <w:p w14:paraId="395587A8"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Stakeholders are identified but their participation in decision-making is limited</w:t>
            </w:r>
          </w:p>
        </w:tc>
        <w:tc>
          <w:tcPr>
            <w:tcW w:w="808" w:type="dxa"/>
            <w:tcBorders>
              <w:top w:val="single" w:sz="4" w:space="0" w:color="auto"/>
              <w:left w:val="nil"/>
              <w:bottom w:val="single" w:sz="4" w:space="0" w:color="auto"/>
              <w:right w:val="single" w:sz="4" w:space="0" w:color="auto"/>
            </w:tcBorders>
            <w:shd w:val="clear" w:color="auto" w:fill="auto"/>
            <w:vAlign w:val="center"/>
          </w:tcPr>
          <w:p w14:paraId="2141F8C6"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1</w:t>
            </w:r>
          </w:p>
        </w:tc>
        <w:tc>
          <w:tcPr>
            <w:tcW w:w="819" w:type="dxa"/>
            <w:tcBorders>
              <w:top w:val="single" w:sz="4" w:space="0" w:color="auto"/>
              <w:left w:val="nil"/>
              <w:bottom w:val="single" w:sz="4" w:space="0" w:color="auto"/>
              <w:right w:val="single" w:sz="4" w:space="0" w:color="auto"/>
            </w:tcBorders>
            <w:shd w:val="clear" w:color="auto" w:fill="auto"/>
            <w:vAlign w:val="center"/>
          </w:tcPr>
          <w:p w14:paraId="7AF17501" w14:textId="77777777" w:rsidR="00590B71" w:rsidRPr="003F7F6C" w:rsidRDefault="00590B71" w:rsidP="00590B71">
            <w:pPr>
              <w:spacing w:after="0"/>
              <w:jc w:val="center"/>
              <w:rPr>
                <w:rFonts w:eastAsia="Times New Roman" w:cs="Calibri"/>
                <w:color w:val="000000"/>
                <w:sz w:val="18"/>
                <w:szCs w:val="18"/>
                <w:lang w:eastAsia="es-ES"/>
              </w:rPr>
            </w:pPr>
          </w:p>
        </w:tc>
        <w:tc>
          <w:tcPr>
            <w:tcW w:w="2690" w:type="dxa"/>
            <w:tcBorders>
              <w:top w:val="single" w:sz="4" w:space="0" w:color="auto"/>
              <w:left w:val="nil"/>
              <w:bottom w:val="single" w:sz="4" w:space="0" w:color="auto"/>
              <w:right w:val="single" w:sz="4" w:space="0" w:color="auto"/>
            </w:tcBorders>
            <w:shd w:val="clear" w:color="auto" w:fill="auto"/>
            <w:vAlign w:val="center"/>
          </w:tcPr>
          <w:p w14:paraId="1C22A698" w14:textId="77777777" w:rsidR="00590B71" w:rsidRPr="003F7F6C" w:rsidRDefault="00590B71" w:rsidP="00590B71">
            <w:pPr>
              <w:spacing w:after="0"/>
              <w:rPr>
                <w:rFonts w:eastAsia="Times New Roman" w:cs="Calibri"/>
                <w:color w:val="000000"/>
                <w:sz w:val="18"/>
                <w:szCs w:val="18"/>
                <w:lang w:eastAsia="es-ES"/>
              </w:rPr>
            </w:pPr>
          </w:p>
        </w:tc>
        <w:tc>
          <w:tcPr>
            <w:tcW w:w="2083" w:type="dxa"/>
            <w:tcBorders>
              <w:top w:val="single" w:sz="4" w:space="0" w:color="auto"/>
              <w:left w:val="nil"/>
              <w:bottom w:val="single" w:sz="4" w:space="0" w:color="auto"/>
              <w:right w:val="single" w:sz="4" w:space="0" w:color="auto"/>
            </w:tcBorders>
            <w:shd w:val="clear" w:color="auto" w:fill="auto"/>
            <w:vAlign w:val="center"/>
          </w:tcPr>
          <w:p w14:paraId="785DD92D" w14:textId="77777777" w:rsidR="00590B71" w:rsidRPr="003F7F6C" w:rsidRDefault="00590B71" w:rsidP="00590B71">
            <w:pPr>
              <w:spacing w:after="0"/>
              <w:rPr>
                <w:rFonts w:eastAsia="Times New Roman" w:cs="Calibri"/>
                <w:color w:val="000000"/>
                <w:sz w:val="18"/>
                <w:szCs w:val="18"/>
                <w:lang w:eastAsia="es-ES"/>
              </w:rPr>
            </w:pPr>
          </w:p>
        </w:tc>
        <w:tc>
          <w:tcPr>
            <w:tcW w:w="1209" w:type="dxa"/>
            <w:tcBorders>
              <w:top w:val="single" w:sz="4" w:space="0" w:color="auto"/>
              <w:left w:val="nil"/>
              <w:bottom w:val="single" w:sz="4" w:space="0" w:color="auto"/>
              <w:right w:val="single" w:sz="4" w:space="0" w:color="auto"/>
            </w:tcBorders>
            <w:shd w:val="clear" w:color="auto" w:fill="auto"/>
            <w:vAlign w:val="center"/>
          </w:tcPr>
          <w:p w14:paraId="436189E2" w14:textId="77777777" w:rsidR="00590B71" w:rsidRPr="003F7F6C" w:rsidRDefault="00590B71" w:rsidP="00590B71">
            <w:pPr>
              <w:spacing w:after="0"/>
              <w:rPr>
                <w:rFonts w:eastAsia="Times New Roman" w:cs="Calibri"/>
                <w:color w:val="000000"/>
                <w:sz w:val="18"/>
                <w:szCs w:val="18"/>
                <w:lang w:eastAsia="es-ES"/>
              </w:rPr>
            </w:pPr>
          </w:p>
        </w:tc>
      </w:tr>
      <w:tr w:rsidR="00590B71" w:rsidRPr="003F7F6C" w14:paraId="0925DACB" w14:textId="77777777" w:rsidTr="003A428B">
        <w:trPr>
          <w:trHeight w:val="1095"/>
        </w:trPr>
        <w:tc>
          <w:tcPr>
            <w:tcW w:w="197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D1DE36E" w14:textId="77777777" w:rsidR="00590B71" w:rsidRPr="003F7F6C" w:rsidRDefault="00590B71" w:rsidP="00590B71">
            <w:pPr>
              <w:spacing w:after="0"/>
              <w:jc w:val="center"/>
              <w:rPr>
                <w:rFonts w:eastAsia="Times New Roman" w:cs="Calibri"/>
                <w:color w:val="000000"/>
                <w:sz w:val="18"/>
                <w:szCs w:val="18"/>
                <w:lang w:eastAsia="es-ES"/>
              </w:rPr>
            </w:pPr>
          </w:p>
        </w:tc>
        <w:tc>
          <w:tcPr>
            <w:tcW w:w="4517" w:type="dxa"/>
            <w:tcBorders>
              <w:top w:val="single" w:sz="4" w:space="0" w:color="auto"/>
              <w:left w:val="nil"/>
              <w:bottom w:val="single" w:sz="4" w:space="0" w:color="auto"/>
              <w:right w:val="single" w:sz="4" w:space="0" w:color="auto"/>
            </w:tcBorders>
            <w:shd w:val="clear" w:color="auto" w:fill="auto"/>
            <w:vAlign w:val="center"/>
          </w:tcPr>
          <w:p w14:paraId="4EAAAEFA" w14:textId="77777777" w:rsidR="00590B71" w:rsidRPr="003F7F6C" w:rsidRDefault="00590B71" w:rsidP="00590B71">
            <w:pPr>
              <w:autoSpaceDE w:val="0"/>
              <w:autoSpaceDN w:val="0"/>
              <w:adjustRightInd w:val="0"/>
              <w:spacing w:after="0"/>
              <w:rPr>
                <w:rFonts w:eastAsia="Times New Roman" w:cs="Calibri"/>
                <w:color w:val="000000"/>
                <w:sz w:val="18"/>
                <w:szCs w:val="18"/>
                <w:lang w:eastAsia="es-ES"/>
              </w:rPr>
            </w:pPr>
            <w:r w:rsidRPr="003F7F6C">
              <w:rPr>
                <w:rFonts w:cs="Calibri"/>
                <w:sz w:val="18"/>
                <w:szCs w:val="18"/>
              </w:rPr>
              <w:t>Stakeholders are identified and regular consultations mechanisms are established</w:t>
            </w:r>
          </w:p>
        </w:tc>
        <w:tc>
          <w:tcPr>
            <w:tcW w:w="808" w:type="dxa"/>
            <w:tcBorders>
              <w:top w:val="single" w:sz="4" w:space="0" w:color="auto"/>
              <w:left w:val="nil"/>
              <w:bottom w:val="single" w:sz="4" w:space="0" w:color="auto"/>
              <w:right w:val="single" w:sz="4" w:space="0" w:color="auto"/>
            </w:tcBorders>
            <w:shd w:val="clear" w:color="auto" w:fill="auto"/>
            <w:vAlign w:val="center"/>
          </w:tcPr>
          <w:p w14:paraId="0507999F"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2</w:t>
            </w:r>
          </w:p>
        </w:tc>
        <w:tc>
          <w:tcPr>
            <w:tcW w:w="819" w:type="dxa"/>
            <w:tcBorders>
              <w:top w:val="single" w:sz="4" w:space="0" w:color="auto"/>
              <w:left w:val="nil"/>
              <w:bottom w:val="single" w:sz="4" w:space="0" w:color="auto"/>
              <w:right w:val="single" w:sz="4" w:space="0" w:color="auto"/>
            </w:tcBorders>
            <w:shd w:val="clear" w:color="auto" w:fill="auto"/>
            <w:vAlign w:val="center"/>
          </w:tcPr>
          <w:p w14:paraId="0F9D125A"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2</w:t>
            </w:r>
          </w:p>
        </w:tc>
        <w:tc>
          <w:tcPr>
            <w:tcW w:w="2690" w:type="dxa"/>
            <w:tcBorders>
              <w:top w:val="single" w:sz="4" w:space="0" w:color="auto"/>
              <w:left w:val="nil"/>
              <w:bottom w:val="single" w:sz="4" w:space="0" w:color="auto"/>
              <w:right w:val="single" w:sz="4" w:space="0" w:color="auto"/>
            </w:tcBorders>
            <w:shd w:val="clear" w:color="auto" w:fill="auto"/>
            <w:vAlign w:val="center"/>
          </w:tcPr>
          <w:p w14:paraId="17D5B2E8"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Consultation mechanisms and processes in place</w:t>
            </w:r>
          </w:p>
        </w:tc>
        <w:tc>
          <w:tcPr>
            <w:tcW w:w="2083" w:type="dxa"/>
            <w:tcBorders>
              <w:top w:val="single" w:sz="4" w:space="0" w:color="auto"/>
              <w:left w:val="nil"/>
              <w:bottom w:val="single" w:sz="4" w:space="0" w:color="auto"/>
              <w:right w:val="single" w:sz="4" w:space="0" w:color="auto"/>
            </w:tcBorders>
            <w:shd w:val="clear" w:color="auto" w:fill="auto"/>
            <w:vAlign w:val="center"/>
          </w:tcPr>
          <w:p w14:paraId="7C3D2833"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Consultation mechanisms are not specific to ELUP. Build on existing mechanisms to improve them for ELUP</w:t>
            </w:r>
          </w:p>
        </w:tc>
        <w:tc>
          <w:tcPr>
            <w:tcW w:w="1209" w:type="dxa"/>
            <w:tcBorders>
              <w:top w:val="single" w:sz="4" w:space="0" w:color="auto"/>
              <w:left w:val="nil"/>
              <w:bottom w:val="single" w:sz="4" w:space="0" w:color="auto"/>
              <w:right w:val="single" w:sz="4" w:space="0" w:color="auto"/>
            </w:tcBorders>
            <w:shd w:val="clear" w:color="auto" w:fill="auto"/>
            <w:vAlign w:val="center"/>
          </w:tcPr>
          <w:p w14:paraId="513C1607" w14:textId="77777777" w:rsidR="00590B71" w:rsidRPr="003F7F6C" w:rsidRDefault="00590B71" w:rsidP="00590B71">
            <w:pPr>
              <w:spacing w:after="0"/>
              <w:rPr>
                <w:rFonts w:eastAsia="Times New Roman" w:cs="Calibri"/>
                <w:color w:val="000000"/>
                <w:sz w:val="18"/>
                <w:szCs w:val="18"/>
                <w:lang w:eastAsia="es-ES"/>
              </w:rPr>
            </w:pPr>
          </w:p>
        </w:tc>
      </w:tr>
      <w:tr w:rsidR="00590B71" w:rsidRPr="003F7F6C" w14:paraId="29A16C15" w14:textId="77777777" w:rsidTr="003A428B">
        <w:trPr>
          <w:trHeight w:val="669"/>
        </w:trPr>
        <w:tc>
          <w:tcPr>
            <w:tcW w:w="197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C4765D5" w14:textId="77777777" w:rsidR="00590B71" w:rsidRPr="003F7F6C" w:rsidRDefault="00590B71" w:rsidP="00590B71">
            <w:pPr>
              <w:spacing w:after="0"/>
              <w:jc w:val="center"/>
              <w:rPr>
                <w:rFonts w:eastAsia="Times New Roman" w:cs="Calibri"/>
                <w:color w:val="000000"/>
                <w:sz w:val="18"/>
                <w:szCs w:val="18"/>
                <w:lang w:eastAsia="es-ES"/>
              </w:rPr>
            </w:pPr>
          </w:p>
        </w:tc>
        <w:tc>
          <w:tcPr>
            <w:tcW w:w="4517" w:type="dxa"/>
            <w:tcBorders>
              <w:top w:val="single" w:sz="4" w:space="0" w:color="auto"/>
              <w:left w:val="nil"/>
              <w:bottom w:val="single" w:sz="4" w:space="0" w:color="auto"/>
              <w:right w:val="single" w:sz="4" w:space="0" w:color="auto"/>
            </w:tcBorders>
            <w:shd w:val="clear" w:color="auto" w:fill="auto"/>
            <w:vAlign w:val="center"/>
          </w:tcPr>
          <w:p w14:paraId="2A1A45D1"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Stakeholders are identified and they actively</w:t>
            </w:r>
          </w:p>
          <w:p w14:paraId="4CF5278F" w14:textId="77777777" w:rsidR="00590B71" w:rsidRPr="003F7F6C" w:rsidRDefault="00590B71" w:rsidP="00590B71">
            <w:pPr>
              <w:autoSpaceDE w:val="0"/>
              <w:autoSpaceDN w:val="0"/>
              <w:adjustRightInd w:val="0"/>
              <w:spacing w:after="0"/>
              <w:rPr>
                <w:rFonts w:eastAsia="Times New Roman" w:cs="Calibri"/>
                <w:color w:val="000000"/>
                <w:sz w:val="18"/>
                <w:szCs w:val="18"/>
                <w:lang w:eastAsia="es-ES"/>
              </w:rPr>
            </w:pPr>
            <w:r w:rsidRPr="003F7F6C">
              <w:rPr>
                <w:rFonts w:cs="Calibri"/>
                <w:sz w:val="18"/>
                <w:szCs w:val="18"/>
              </w:rPr>
              <w:t>contribute to established participative decision making processes</w:t>
            </w:r>
          </w:p>
        </w:tc>
        <w:tc>
          <w:tcPr>
            <w:tcW w:w="808" w:type="dxa"/>
            <w:tcBorders>
              <w:top w:val="single" w:sz="4" w:space="0" w:color="auto"/>
              <w:left w:val="nil"/>
              <w:bottom w:val="single" w:sz="4" w:space="0" w:color="auto"/>
              <w:right w:val="single" w:sz="4" w:space="0" w:color="auto"/>
            </w:tcBorders>
            <w:shd w:val="clear" w:color="auto" w:fill="auto"/>
            <w:vAlign w:val="center"/>
          </w:tcPr>
          <w:p w14:paraId="73FB8179"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3</w:t>
            </w:r>
          </w:p>
        </w:tc>
        <w:tc>
          <w:tcPr>
            <w:tcW w:w="819" w:type="dxa"/>
            <w:tcBorders>
              <w:top w:val="single" w:sz="4" w:space="0" w:color="auto"/>
              <w:left w:val="nil"/>
              <w:bottom w:val="single" w:sz="4" w:space="0" w:color="auto"/>
              <w:right w:val="single" w:sz="4" w:space="0" w:color="auto"/>
            </w:tcBorders>
            <w:shd w:val="clear" w:color="auto" w:fill="auto"/>
            <w:vAlign w:val="center"/>
          </w:tcPr>
          <w:p w14:paraId="12A2E7B6" w14:textId="77777777" w:rsidR="00590B71" w:rsidRPr="003F7F6C" w:rsidRDefault="00590B71" w:rsidP="00590B71">
            <w:pPr>
              <w:spacing w:after="0"/>
              <w:jc w:val="center"/>
              <w:rPr>
                <w:rFonts w:eastAsia="Times New Roman" w:cs="Calibri"/>
                <w:color w:val="000000"/>
                <w:sz w:val="18"/>
                <w:szCs w:val="18"/>
                <w:lang w:eastAsia="es-ES"/>
              </w:rPr>
            </w:pPr>
          </w:p>
        </w:tc>
        <w:tc>
          <w:tcPr>
            <w:tcW w:w="2690" w:type="dxa"/>
            <w:tcBorders>
              <w:top w:val="single" w:sz="4" w:space="0" w:color="auto"/>
              <w:left w:val="nil"/>
              <w:bottom w:val="single" w:sz="4" w:space="0" w:color="auto"/>
              <w:right w:val="single" w:sz="4" w:space="0" w:color="auto"/>
            </w:tcBorders>
            <w:shd w:val="clear" w:color="auto" w:fill="auto"/>
            <w:vAlign w:val="center"/>
          </w:tcPr>
          <w:p w14:paraId="0E9FE233" w14:textId="77777777" w:rsidR="00590B71" w:rsidRPr="003F7F6C" w:rsidRDefault="00590B71" w:rsidP="00590B71">
            <w:pPr>
              <w:spacing w:after="0"/>
              <w:rPr>
                <w:rFonts w:eastAsia="Times New Roman" w:cs="Calibri"/>
                <w:color w:val="000000"/>
                <w:sz w:val="18"/>
                <w:szCs w:val="18"/>
                <w:lang w:eastAsia="es-ES"/>
              </w:rPr>
            </w:pPr>
          </w:p>
        </w:tc>
        <w:tc>
          <w:tcPr>
            <w:tcW w:w="2083" w:type="dxa"/>
            <w:tcBorders>
              <w:top w:val="single" w:sz="4" w:space="0" w:color="auto"/>
              <w:left w:val="nil"/>
              <w:bottom w:val="single" w:sz="4" w:space="0" w:color="auto"/>
              <w:right w:val="single" w:sz="4" w:space="0" w:color="auto"/>
            </w:tcBorders>
            <w:shd w:val="clear" w:color="auto" w:fill="auto"/>
            <w:vAlign w:val="center"/>
          </w:tcPr>
          <w:p w14:paraId="26B57108" w14:textId="77777777" w:rsidR="00590B71" w:rsidRPr="003F7F6C" w:rsidRDefault="00590B71" w:rsidP="00590B71">
            <w:pPr>
              <w:spacing w:after="0"/>
              <w:rPr>
                <w:rFonts w:eastAsia="Times New Roman" w:cs="Calibri"/>
                <w:color w:val="000000"/>
                <w:sz w:val="18"/>
                <w:szCs w:val="18"/>
                <w:lang w:eastAsia="es-ES"/>
              </w:rPr>
            </w:pPr>
          </w:p>
        </w:tc>
        <w:tc>
          <w:tcPr>
            <w:tcW w:w="1209" w:type="dxa"/>
            <w:tcBorders>
              <w:top w:val="single" w:sz="4" w:space="0" w:color="auto"/>
              <w:left w:val="nil"/>
              <w:bottom w:val="single" w:sz="4" w:space="0" w:color="auto"/>
              <w:right w:val="single" w:sz="4" w:space="0" w:color="auto"/>
            </w:tcBorders>
            <w:shd w:val="clear" w:color="auto" w:fill="auto"/>
            <w:vAlign w:val="center"/>
          </w:tcPr>
          <w:p w14:paraId="19BE03B8" w14:textId="77777777" w:rsidR="00590B71" w:rsidRPr="003F7F6C" w:rsidRDefault="00590B71" w:rsidP="00590B71">
            <w:pPr>
              <w:spacing w:after="0"/>
              <w:rPr>
                <w:rFonts w:eastAsia="Times New Roman" w:cs="Calibri"/>
                <w:color w:val="000000"/>
                <w:sz w:val="18"/>
                <w:szCs w:val="18"/>
                <w:lang w:eastAsia="es-ES"/>
              </w:rPr>
            </w:pPr>
          </w:p>
        </w:tc>
      </w:tr>
      <w:tr w:rsidR="00590B71" w:rsidRPr="003F7F6C" w14:paraId="62427B2A" w14:textId="77777777" w:rsidTr="003A428B">
        <w:trPr>
          <w:trHeight w:val="367"/>
        </w:trPr>
        <w:tc>
          <w:tcPr>
            <w:tcW w:w="1978" w:type="dxa"/>
            <w:tcBorders>
              <w:top w:val="single" w:sz="4" w:space="0" w:color="auto"/>
              <w:left w:val="single" w:sz="4" w:space="0" w:color="auto"/>
              <w:bottom w:val="single" w:sz="4" w:space="0" w:color="auto"/>
              <w:right w:val="single" w:sz="4" w:space="0" w:color="auto"/>
            </w:tcBorders>
            <w:shd w:val="clear" w:color="auto" w:fill="auto"/>
            <w:vAlign w:val="center"/>
          </w:tcPr>
          <w:p w14:paraId="30BC2AFC" w14:textId="77777777" w:rsidR="00590B71" w:rsidRPr="003F7F6C" w:rsidRDefault="00590B71" w:rsidP="00590B71">
            <w:pPr>
              <w:spacing w:after="0"/>
              <w:jc w:val="center"/>
              <w:rPr>
                <w:rFonts w:eastAsia="Times New Roman" w:cs="Calibri"/>
                <w:color w:val="000000"/>
                <w:sz w:val="18"/>
                <w:szCs w:val="18"/>
                <w:lang w:eastAsia="es-ES"/>
              </w:rPr>
            </w:pPr>
          </w:p>
        </w:tc>
        <w:tc>
          <w:tcPr>
            <w:tcW w:w="4517" w:type="dxa"/>
            <w:tcBorders>
              <w:top w:val="single" w:sz="4" w:space="0" w:color="auto"/>
              <w:left w:val="nil"/>
              <w:bottom w:val="single" w:sz="4" w:space="0" w:color="auto"/>
              <w:right w:val="single" w:sz="4" w:space="0" w:color="auto"/>
            </w:tcBorders>
            <w:shd w:val="clear" w:color="auto" w:fill="auto"/>
            <w:vAlign w:val="center"/>
          </w:tcPr>
          <w:p w14:paraId="3DC9D8B8" w14:textId="77777777" w:rsidR="00590B71" w:rsidRPr="003F7F6C" w:rsidRDefault="00590B71" w:rsidP="00590B71">
            <w:pPr>
              <w:autoSpaceDE w:val="0"/>
              <w:autoSpaceDN w:val="0"/>
              <w:adjustRightInd w:val="0"/>
              <w:spacing w:after="0"/>
              <w:rPr>
                <w:rFonts w:cs="Calibri"/>
                <w:sz w:val="18"/>
                <w:szCs w:val="18"/>
              </w:rPr>
            </w:pPr>
          </w:p>
        </w:tc>
        <w:tc>
          <w:tcPr>
            <w:tcW w:w="808" w:type="dxa"/>
            <w:tcBorders>
              <w:top w:val="single" w:sz="4" w:space="0" w:color="auto"/>
              <w:left w:val="nil"/>
              <w:bottom w:val="single" w:sz="4" w:space="0" w:color="auto"/>
              <w:right w:val="single" w:sz="4" w:space="0" w:color="auto"/>
            </w:tcBorders>
            <w:shd w:val="clear" w:color="auto" w:fill="auto"/>
            <w:vAlign w:val="center"/>
          </w:tcPr>
          <w:p w14:paraId="038BD627"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9</w:t>
            </w:r>
          </w:p>
        </w:tc>
        <w:tc>
          <w:tcPr>
            <w:tcW w:w="819" w:type="dxa"/>
            <w:tcBorders>
              <w:top w:val="single" w:sz="4" w:space="0" w:color="auto"/>
              <w:left w:val="nil"/>
              <w:bottom w:val="single" w:sz="4" w:space="0" w:color="auto"/>
              <w:right w:val="single" w:sz="4" w:space="0" w:color="auto"/>
            </w:tcBorders>
            <w:shd w:val="clear" w:color="auto" w:fill="auto"/>
            <w:vAlign w:val="center"/>
          </w:tcPr>
          <w:p w14:paraId="26A33856"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6</w:t>
            </w:r>
          </w:p>
        </w:tc>
        <w:tc>
          <w:tcPr>
            <w:tcW w:w="2690" w:type="dxa"/>
            <w:tcBorders>
              <w:top w:val="single" w:sz="4" w:space="0" w:color="auto"/>
              <w:left w:val="nil"/>
              <w:bottom w:val="single" w:sz="4" w:space="0" w:color="auto"/>
              <w:right w:val="single" w:sz="4" w:space="0" w:color="auto"/>
            </w:tcBorders>
            <w:shd w:val="clear" w:color="auto" w:fill="auto"/>
            <w:vAlign w:val="center"/>
          </w:tcPr>
          <w:p w14:paraId="5EB50E7C" w14:textId="77777777" w:rsidR="00590B71" w:rsidRPr="003F7F6C" w:rsidRDefault="00590B71" w:rsidP="00590B71">
            <w:pPr>
              <w:spacing w:after="0"/>
              <w:rPr>
                <w:rFonts w:eastAsia="Times New Roman" w:cs="Calibri"/>
                <w:color w:val="000000"/>
                <w:sz w:val="18"/>
                <w:szCs w:val="18"/>
                <w:lang w:eastAsia="es-ES"/>
              </w:rPr>
            </w:pPr>
          </w:p>
        </w:tc>
        <w:tc>
          <w:tcPr>
            <w:tcW w:w="2083" w:type="dxa"/>
            <w:tcBorders>
              <w:top w:val="single" w:sz="4" w:space="0" w:color="auto"/>
              <w:left w:val="nil"/>
              <w:bottom w:val="single" w:sz="4" w:space="0" w:color="auto"/>
              <w:right w:val="single" w:sz="4" w:space="0" w:color="auto"/>
            </w:tcBorders>
            <w:shd w:val="clear" w:color="auto" w:fill="auto"/>
            <w:vAlign w:val="center"/>
          </w:tcPr>
          <w:p w14:paraId="62F9A3AE" w14:textId="77777777" w:rsidR="00590B71" w:rsidRPr="003F7F6C" w:rsidRDefault="00590B71" w:rsidP="00590B71">
            <w:pPr>
              <w:spacing w:after="0"/>
              <w:rPr>
                <w:rFonts w:eastAsia="Times New Roman" w:cs="Calibri"/>
                <w:color w:val="000000"/>
                <w:sz w:val="18"/>
                <w:szCs w:val="18"/>
                <w:lang w:eastAsia="es-ES"/>
              </w:rPr>
            </w:pPr>
          </w:p>
        </w:tc>
        <w:tc>
          <w:tcPr>
            <w:tcW w:w="1209" w:type="dxa"/>
            <w:tcBorders>
              <w:top w:val="single" w:sz="4" w:space="0" w:color="auto"/>
              <w:left w:val="nil"/>
              <w:bottom w:val="single" w:sz="4" w:space="0" w:color="auto"/>
              <w:right w:val="single" w:sz="4" w:space="0" w:color="auto"/>
            </w:tcBorders>
            <w:shd w:val="clear" w:color="auto" w:fill="auto"/>
            <w:vAlign w:val="center"/>
          </w:tcPr>
          <w:p w14:paraId="1E0934FC" w14:textId="77777777" w:rsidR="00590B71" w:rsidRPr="003F7F6C" w:rsidRDefault="00590B71" w:rsidP="00590B71">
            <w:pPr>
              <w:spacing w:after="0"/>
              <w:rPr>
                <w:rFonts w:eastAsia="Times New Roman" w:cs="Calibri"/>
                <w:color w:val="000000"/>
                <w:sz w:val="18"/>
                <w:szCs w:val="18"/>
                <w:lang w:eastAsia="es-ES"/>
              </w:rPr>
            </w:pPr>
          </w:p>
        </w:tc>
      </w:tr>
      <w:tr w:rsidR="00590B71" w:rsidRPr="003F7F6C" w14:paraId="69562A77" w14:textId="77777777" w:rsidTr="003A428B">
        <w:trPr>
          <w:trHeight w:val="259"/>
        </w:trPr>
        <w:tc>
          <w:tcPr>
            <w:tcW w:w="1978" w:type="dxa"/>
            <w:tcBorders>
              <w:top w:val="single" w:sz="4" w:space="0" w:color="auto"/>
              <w:left w:val="single" w:sz="4" w:space="0" w:color="auto"/>
              <w:bottom w:val="single" w:sz="4" w:space="0" w:color="auto"/>
              <w:right w:val="single" w:sz="4" w:space="0" w:color="auto"/>
            </w:tcBorders>
            <w:shd w:val="clear" w:color="auto" w:fill="auto"/>
            <w:vAlign w:val="center"/>
          </w:tcPr>
          <w:p w14:paraId="2B7BEF5F" w14:textId="77777777" w:rsidR="00590B71" w:rsidRPr="003F7F6C" w:rsidRDefault="00590B71" w:rsidP="00590B71">
            <w:pPr>
              <w:spacing w:after="0"/>
              <w:jc w:val="center"/>
              <w:rPr>
                <w:rFonts w:eastAsia="Times New Roman" w:cs="Calibri"/>
                <w:color w:val="000000"/>
                <w:sz w:val="18"/>
                <w:szCs w:val="18"/>
                <w:lang w:eastAsia="es-ES"/>
              </w:rPr>
            </w:pPr>
          </w:p>
        </w:tc>
        <w:tc>
          <w:tcPr>
            <w:tcW w:w="4517" w:type="dxa"/>
            <w:tcBorders>
              <w:top w:val="single" w:sz="4" w:space="0" w:color="auto"/>
              <w:left w:val="nil"/>
              <w:bottom w:val="single" w:sz="4" w:space="0" w:color="auto"/>
              <w:right w:val="single" w:sz="4" w:space="0" w:color="auto"/>
            </w:tcBorders>
            <w:shd w:val="clear" w:color="auto" w:fill="auto"/>
            <w:vAlign w:val="center"/>
          </w:tcPr>
          <w:p w14:paraId="4C9AE5AE" w14:textId="77777777" w:rsidR="00590B71" w:rsidRPr="003F7F6C" w:rsidRDefault="00590B71" w:rsidP="00590B71">
            <w:pPr>
              <w:autoSpaceDE w:val="0"/>
              <w:autoSpaceDN w:val="0"/>
              <w:adjustRightInd w:val="0"/>
              <w:spacing w:after="0"/>
              <w:rPr>
                <w:rFonts w:cs="Calibri"/>
                <w:sz w:val="18"/>
                <w:szCs w:val="18"/>
              </w:rPr>
            </w:pPr>
          </w:p>
        </w:tc>
        <w:tc>
          <w:tcPr>
            <w:tcW w:w="808" w:type="dxa"/>
            <w:tcBorders>
              <w:top w:val="single" w:sz="4" w:space="0" w:color="auto"/>
              <w:left w:val="nil"/>
              <w:bottom w:val="single" w:sz="4" w:space="0" w:color="auto"/>
              <w:right w:val="single" w:sz="4" w:space="0" w:color="auto"/>
            </w:tcBorders>
            <w:shd w:val="clear" w:color="auto" w:fill="auto"/>
            <w:vAlign w:val="center"/>
          </w:tcPr>
          <w:p w14:paraId="6D6A19B4" w14:textId="77777777" w:rsidR="00590B71" w:rsidRPr="003F7F6C" w:rsidRDefault="00590B71" w:rsidP="00590B71">
            <w:pPr>
              <w:spacing w:after="0"/>
              <w:jc w:val="center"/>
              <w:rPr>
                <w:rFonts w:eastAsia="Times New Roman" w:cs="Calibri"/>
                <w:color w:val="000000"/>
                <w:sz w:val="18"/>
                <w:szCs w:val="18"/>
                <w:lang w:eastAsia="es-ES"/>
              </w:rPr>
            </w:pPr>
          </w:p>
        </w:tc>
        <w:tc>
          <w:tcPr>
            <w:tcW w:w="819" w:type="dxa"/>
            <w:tcBorders>
              <w:top w:val="single" w:sz="4" w:space="0" w:color="auto"/>
              <w:left w:val="nil"/>
              <w:bottom w:val="single" w:sz="4" w:space="0" w:color="auto"/>
              <w:right w:val="single" w:sz="4" w:space="0" w:color="auto"/>
            </w:tcBorders>
            <w:shd w:val="clear" w:color="auto" w:fill="auto"/>
            <w:vAlign w:val="center"/>
          </w:tcPr>
          <w:p w14:paraId="1A68F1E6"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66,6%</w:t>
            </w:r>
          </w:p>
        </w:tc>
        <w:tc>
          <w:tcPr>
            <w:tcW w:w="2690" w:type="dxa"/>
            <w:tcBorders>
              <w:top w:val="single" w:sz="4" w:space="0" w:color="auto"/>
              <w:left w:val="nil"/>
              <w:bottom w:val="single" w:sz="4" w:space="0" w:color="auto"/>
              <w:right w:val="single" w:sz="4" w:space="0" w:color="auto"/>
            </w:tcBorders>
            <w:shd w:val="clear" w:color="auto" w:fill="auto"/>
            <w:vAlign w:val="center"/>
          </w:tcPr>
          <w:p w14:paraId="4714C06C" w14:textId="77777777" w:rsidR="00590B71" w:rsidRPr="003F7F6C" w:rsidRDefault="00590B71" w:rsidP="00590B71">
            <w:pPr>
              <w:spacing w:after="0"/>
              <w:rPr>
                <w:rFonts w:eastAsia="Times New Roman" w:cs="Calibri"/>
                <w:color w:val="000000"/>
                <w:sz w:val="18"/>
                <w:szCs w:val="18"/>
                <w:lang w:eastAsia="es-ES"/>
              </w:rPr>
            </w:pPr>
          </w:p>
        </w:tc>
        <w:tc>
          <w:tcPr>
            <w:tcW w:w="2083" w:type="dxa"/>
            <w:tcBorders>
              <w:top w:val="single" w:sz="4" w:space="0" w:color="auto"/>
              <w:left w:val="nil"/>
              <w:bottom w:val="single" w:sz="4" w:space="0" w:color="auto"/>
              <w:right w:val="single" w:sz="4" w:space="0" w:color="auto"/>
            </w:tcBorders>
            <w:shd w:val="clear" w:color="auto" w:fill="auto"/>
            <w:vAlign w:val="center"/>
          </w:tcPr>
          <w:p w14:paraId="0226CE19" w14:textId="77777777" w:rsidR="00590B71" w:rsidRPr="003F7F6C" w:rsidRDefault="00590B71" w:rsidP="00590B71">
            <w:pPr>
              <w:spacing w:after="0"/>
              <w:rPr>
                <w:rFonts w:eastAsia="Times New Roman" w:cs="Calibri"/>
                <w:color w:val="000000"/>
                <w:sz w:val="18"/>
                <w:szCs w:val="18"/>
                <w:lang w:eastAsia="es-ES"/>
              </w:rPr>
            </w:pPr>
          </w:p>
        </w:tc>
        <w:tc>
          <w:tcPr>
            <w:tcW w:w="1209" w:type="dxa"/>
            <w:tcBorders>
              <w:top w:val="single" w:sz="4" w:space="0" w:color="auto"/>
              <w:left w:val="nil"/>
              <w:bottom w:val="single" w:sz="4" w:space="0" w:color="auto"/>
              <w:right w:val="single" w:sz="4" w:space="0" w:color="auto"/>
            </w:tcBorders>
            <w:shd w:val="clear" w:color="auto" w:fill="auto"/>
            <w:vAlign w:val="center"/>
          </w:tcPr>
          <w:p w14:paraId="25BD46E9" w14:textId="77777777" w:rsidR="00590B71" w:rsidRPr="003F7F6C" w:rsidRDefault="00590B71" w:rsidP="00590B71">
            <w:pPr>
              <w:spacing w:after="0"/>
              <w:rPr>
                <w:rFonts w:eastAsia="Times New Roman" w:cs="Calibri"/>
                <w:color w:val="000000"/>
                <w:sz w:val="18"/>
                <w:szCs w:val="18"/>
                <w:lang w:eastAsia="es-ES"/>
              </w:rPr>
            </w:pPr>
          </w:p>
        </w:tc>
      </w:tr>
      <w:tr w:rsidR="00590B71" w:rsidRPr="003F7F6C" w14:paraId="304FF23B" w14:textId="77777777" w:rsidTr="003A428B">
        <w:trPr>
          <w:trHeight w:val="300"/>
        </w:trPr>
        <w:tc>
          <w:tcPr>
            <w:tcW w:w="14104" w:type="dxa"/>
            <w:gridSpan w:val="7"/>
            <w:tcBorders>
              <w:top w:val="single" w:sz="4" w:space="0" w:color="auto"/>
              <w:left w:val="single" w:sz="4" w:space="0" w:color="auto"/>
              <w:bottom w:val="single" w:sz="4" w:space="0" w:color="auto"/>
              <w:right w:val="single" w:sz="4" w:space="0" w:color="auto"/>
            </w:tcBorders>
            <w:shd w:val="clear" w:color="000000" w:fill="D9D9D9"/>
            <w:vAlign w:val="center"/>
            <w:hideMark/>
          </w:tcPr>
          <w:p w14:paraId="29A81590"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 xml:space="preserve">CR 2: Capacities to Generate, Access and Use Information and Knowledge </w:t>
            </w:r>
          </w:p>
        </w:tc>
      </w:tr>
      <w:tr w:rsidR="00590B71" w:rsidRPr="003F7F6C" w14:paraId="73E3A2A9" w14:textId="77777777" w:rsidTr="003A428B">
        <w:trPr>
          <w:trHeight w:val="515"/>
        </w:trPr>
        <w:tc>
          <w:tcPr>
            <w:tcW w:w="19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60C8EC3" w14:textId="77777777" w:rsidR="00590B71" w:rsidRPr="003F7F6C" w:rsidRDefault="00590B71" w:rsidP="00590B71">
            <w:pPr>
              <w:autoSpaceDE w:val="0"/>
              <w:autoSpaceDN w:val="0"/>
              <w:adjustRightInd w:val="0"/>
              <w:spacing w:after="0"/>
              <w:rPr>
                <w:rFonts w:eastAsia="Times New Roman" w:cs="Calibri"/>
                <w:color w:val="000000"/>
                <w:sz w:val="18"/>
                <w:szCs w:val="18"/>
                <w:lang w:eastAsia="es-ES"/>
              </w:rPr>
            </w:pPr>
            <w:r w:rsidRPr="003F7F6C">
              <w:rPr>
                <w:rFonts w:cs="Calibri"/>
                <w:sz w:val="18"/>
                <w:szCs w:val="18"/>
              </w:rPr>
              <w:t>Indicator 4: Degree of environmental awareness of stakeholders</w:t>
            </w:r>
          </w:p>
        </w:tc>
        <w:tc>
          <w:tcPr>
            <w:tcW w:w="4517" w:type="dxa"/>
            <w:tcBorders>
              <w:top w:val="single" w:sz="4" w:space="0" w:color="auto"/>
              <w:left w:val="nil"/>
              <w:bottom w:val="single" w:sz="4" w:space="0" w:color="auto"/>
              <w:right w:val="single" w:sz="4" w:space="0" w:color="auto"/>
            </w:tcBorders>
            <w:shd w:val="clear" w:color="auto" w:fill="auto"/>
            <w:vAlign w:val="center"/>
            <w:hideMark/>
          </w:tcPr>
          <w:p w14:paraId="2ACD93B3"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Stakeholders are not aware about global</w:t>
            </w:r>
          </w:p>
          <w:p w14:paraId="2BA81118"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environmental issues and their related possible</w:t>
            </w:r>
          </w:p>
          <w:p w14:paraId="69A4A21A" w14:textId="77777777" w:rsidR="00590B71" w:rsidRPr="003F7F6C" w:rsidRDefault="00590B71" w:rsidP="00590B71">
            <w:pPr>
              <w:spacing w:after="0"/>
              <w:rPr>
                <w:rFonts w:eastAsia="Times New Roman" w:cs="Calibri"/>
                <w:color w:val="000000"/>
                <w:sz w:val="18"/>
                <w:szCs w:val="18"/>
                <w:lang w:eastAsia="es-ES"/>
              </w:rPr>
            </w:pPr>
            <w:r w:rsidRPr="003F7F6C">
              <w:rPr>
                <w:rFonts w:cs="Calibri"/>
                <w:sz w:val="18"/>
                <w:szCs w:val="18"/>
              </w:rPr>
              <w:t>solutions (MEAs)</w:t>
            </w:r>
          </w:p>
        </w:tc>
        <w:tc>
          <w:tcPr>
            <w:tcW w:w="808" w:type="dxa"/>
            <w:tcBorders>
              <w:top w:val="single" w:sz="4" w:space="0" w:color="auto"/>
              <w:left w:val="nil"/>
              <w:bottom w:val="single" w:sz="4" w:space="0" w:color="auto"/>
              <w:right w:val="single" w:sz="4" w:space="0" w:color="auto"/>
            </w:tcBorders>
            <w:shd w:val="clear" w:color="auto" w:fill="auto"/>
            <w:vAlign w:val="center"/>
            <w:hideMark/>
          </w:tcPr>
          <w:p w14:paraId="6BEBBE39"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0</w:t>
            </w:r>
          </w:p>
        </w:tc>
        <w:tc>
          <w:tcPr>
            <w:tcW w:w="819" w:type="dxa"/>
            <w:tcBorders>
              <w:top w:val="single" w:sz="4" w:space="0" w:color="auto"/>
              <w:left w:val="nil"/>
              <w:bottom w:val="single" w:sz="4" w:space="0" w:color="auto"/>
              <w:right w:val="single" w:sz="4" w:space="0" w:color="auto"/>
            </w:tcBorders>
            <w:shd w:val="clear" w:color="auto" w:fill="auto"/>
            <w:vAlign w:val="center"/>
            <w:hideMark/>
          </w:tcPr>
          <w:p w14:paraId="4DED776F"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690" w:type="dxa"/>
            <w:tcBorders>
              <w:top w:val="single" w:sz="4" w:space="0" w:color="auto"/>
              <w:left w:val="nil"/>
              <w:bottom w:val="single" w:sz="4" w:space="0" w:color="auto"/>
              <w:right w:val="single" w:sz="4" w:space="0" w:color="auto"/>
            </w:tcBorders>
            <w:shd w:val="clear" w:color="auto" w:fill="auto"/>
            <w:vAlign w:val="center"/>
            <w:hideMark/>
          </w:tcPr>
          <w:p w14:paraId="2A0BB85D"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083" w:type="dxa"/>
            <w:tcBorders>
              <w:top w:val="single" w:sz="4" w:space="0" w:color="auto"/>
              <w:left w:val="nil"/>
              <w:bottom w:val="single" w:sz="4" w:space="0" w:color="auto"/>
              <w:right w:val="single" w:sz="4" w:space="0" w:color="auto"/>
            </w:tcBorders>
            <w:shd w:val="clear" w:color="auto" w:fill="auto"/>
            <w:vAlign w:val="center"/>
            <w:hideMark/>
          </w:tcPr>
          <w:p w14:paraId="1EAC95DD"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209" w:type="dxa"/>
            <w:tcBorders>
              <w:top w:val="single" w:sz="4" w:space="0" w:color="auto"/>
              <w:left w:val="nil"/>
              <w:bottom w:val="single" w:sz="4" w:space="0" w:color="auto"/>
              <w:right w:val="single" w:sz="4" w:space="0" w:color="auto"/>
            </w:tcBorders>
            <w:shd w:val="clear" w:color="auto" w:fill="auto"/>
            <w:vAlign w:val="center"/>
            <w:hideMark/>
          </w:tcPr>
          <w:p w14:paraId="5DFDFD19"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590B71" w:rsidRPr="003F7F6C" w14:paraId="5ED9E28E" w14:textId="77777777" w:rsidTr="003A428B">
        <w:trPr>
          <w:trHeight w:val="544"/>
        </w:trPr>
        <w:tc>
          <w:tcPr>
            <w:tcW w:w="197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EE433E3" w14:textId="77777777" w:rsidR="00590B71" w:rsidRPr="003F7F6C" w:rsidRDefault="00590B71" w:rsidP="00590B71">
            <w:pPr>
              <w:spacing w:after="0"/>
              <w:jc w:val="center"/>
              <w:rPr>
                <w:rFonts w:eastAsia="Times New Roman" w:cs="Calibri"/>
                <w:color w:val="000000"/>
                <w:sz w:val="18"/>
                <w:szCs w:val="18"/>
                <w:lang w:eastAsia="es-ES"/>
              </w:rPr>
            </w:pPr>
          </w:p>
        </w:tc>
        <w:tc>
          <w:tcPr>
            <w:tcW w:w="4517" w:type="dxa"/>
            <w:tcBorders>
              <w:top w:val="single" w:sz="4" w:space="0" w:color="auto"/>
              <w:left w:val="single" w:sz="4" w:space="0" w:color="auto"/>
              <w:bottom w:val="single" w:sz="4" w:space="0" w:color="auto"/>
              <w:right w:val="single" w:sz="4" w:space="0" w:color="auto"/>
            </w:tcBorders>
            <w:shd w:val="clear" w:color="auto" w:fill="auto"/>
            <w:vAlign w:val="center"/>
          </w:tcPr>
          <w:p w14:paraId="13A78D78"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Stakeholders are aware about global environmental issues but not about the possible solutions (MEAs)</w:t>
            </w:r>
          </w:p>
        </w:tc>
        <w:tc>
          <w:tcPr>
            <w:tcW w:w="808" w:type="dxa"/>
            <w:tcBorders>
              <w:top w:val="single" w:sz="4" w:space="0" w:color="auto"/>
              <w:left w:val="single" w:sz="4" w:space="0" w:color="auto"/>
              <w:bottom w:val="single" w:sz="4" w:space="0" w:color="auto"/>
              <w:right w:val="single" w:sz="4" w:space="0" w:color="auto"/>
            </w:tcBorders>
            <w:shd w:val="clear" w:color="auto" w:fill="auto"/>
            <w:vAlign w:val="center"/>
          </w:tcPr>
          <w:p w14:paraId="1DEAEDC4" w14:textId="77777777" w:rsidR="00590B71" w:rsidRPr="003F7F6C" w:rsidRDefault="00590B71" w:rsidP="00590B71">
            <w:pPr>
              <w:spacing w:after="0"/>
              <w:jc w:val="center"/>
              <w:rPr>
                <w:rFonts w:cs="Calibri"/>
                <w:sz w:val="18"/>
                <w:szCs w:val="18"/>
              </w:rPr>
            </w:pPr>
            <w:r w:rsidRPr="003F7F6C">
              <w:rPr>
                <w:rFonts w:cs="Calibri"/>
                <w:sz w:val="18"/>
                <w:szCs w:val="18"/>
              </w:rPr>
              <w:t>1</w:t>
            </w:r>
          </w:p>
        </w:tc>
        <w:tc>
          <w:tcPr>
            <w:tcW w:w="819" w:type="dxa"/>
            <w:tcBorders>
              <w:top w:val="single" w:sz="4" w:space="0" w:color="auto"/>
              <w:left w:val="single" w:sz="4" w:space="0" w:color="auto"/>
              <w:bottom w:val="single" w:sz="4" w:space="0" w:color="auto"/>
              <w:right w:val="single" w:sz="4" w:space="0" w:color="auto"/>
            </w:tcBorders>
            <w:shd w:val="clear" w:color="auto" w:fill="auto"/>
            <w:vAlign w:val="center"/>
          </w:tcPr>
          <w:p w14:paraId="58B04262" w14:textId="77777777" w:rsidR="00590B71" w:rsidRPr="003F7F6C" w:rsidRDefault="00590B71" w:rsidP="00590B71">
            <w:pPr>
              <w:spacing w:after="0"/>
              <w:rPr>
                <w:rFonts w:cs="Calibri"/>
                <w:sz w:val="18"/>
                <w:szCs w:val="18"/>
              </w:rPr>
            </w:pPr>
          </w:p>
        </w:tc>
        <w:tc>
          <w:tcPr>
            <w:tcW w:w="2690" w:type="dxa"/>
            <w:tcBorders>
              <w:top w:val="single" w:sz="4" w:space="0" w:color="auto"/>
              <w:left w:val="single" w:sz="4" w:space="0" w:color="auto"/>
              <w:bottom w:val="single" w:sz="4" w:space="0" w:color="auto"/>
              <w:right w:val="single" w:sz="4" w:space="0" w:color="auto"/>
            </w:tcBorders>
            <w:shd w:val="clear" w:color="auto" w:fill="auto"/>
            <w:vAlign w:val="center"/>
          </w:tcPr>
          <w:p w14:paraId="7CEF7CB2" w14:textId="77777777" w:rsidR="00590B71" w:rsidRPr="003F7F6C" w:rsidRDefault="00590B71" w:rsidP="00590B71">
            <w:pPr>
              <w:spacing w:after="0"/>
              <w:rPr>
                <w:rFonts w:cs="Calibri"/>
                <w:sz w:val="18"/>
                <w:szCs w:val="18"/>
              </w:rPr>
            </w:pPr>
          </w:p>
        </w:tc>
        <w:tc>
          <w:tcPr>
            <w:tcW w:w="2083" w:type="dxa"/>
            <w:tcBorders>
              <w:top w:val="single" w:sz="4" w:space="0" w:color="auto"/>
              <w:left w:val="single" w:sz="4" w:space="0" w:color="auto"/>
              <w:bottom w:val="single" w:sz="4" w:space="0" w:color="auto"/>
              <w:right w:val="single" w:sz="4" w:space="0" w:color="auto"/>
            </w:tcBorders>
            <w:shd w:val="clear" w:color="auto" w:fill="auto"/>
            <w:vAlign w:val="center"/>
          </w:tcPr>
          <w:p w14:paraId="0A8FA35E" w14:textId="77777777" w:rsidR="00590B71" w:rsidRPr="003F7F6C" w:rsidRDefault="00590B71" w:rsidP="00590B71">
            <w:pPr>
              <w:spacing w:after="0"/>
              <w:rPr>
                <w:rFonts w:cs="Calibri"/>
                <w:sz w:val="18"/>
                <w:szCs w:val="18"/>
              </w:rPr>
            </w:pP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14:paraId="437AF370" w14:textId="77777777" w:rsidR="00590B71" w:rsidRPr="003F7F6C" w:rsidRDefault="00590B71" w:rsidP="00590B71">
            <w:pPr>
              <w:spacing w:after="0"/>
              <w:rPr>
                <w:rFonts w:eastAsia="Times New Roman" w:cs="Calibri"/>
                <w:color w:val="000000"/>
                <w:sz w:val="18"/>
                <w:szCs w:val="18"/>
                <w:lang w:eastAsia="es-ES"/>
              </w:rPr>
            </w:pPr>
          </w:p>
        </w:tc>
      </w:tr>
      <w:tr w:rsidR="00590B71" w:rsidRPr="003F7F6C" w14:paraId="047DBA48" w14:textId="77777777" w:rsidTr="003A428B">
        <w:trPr>
          <w:trHeight w:val="70"/>
        </w:trPr>
        <w:tc>
          <w:tcPr>
            <w:tcW w:w="197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7D55DBD" w14:textId="77777777" w:rsidR="00590B71" w:rsidRPr="003F7F6C" w:rsidRDefault="00590B71" w:rsidP="00590B71">
            <w:pPr>
              <w:spacing w:after="0"/>
              <w:jc w:val="center"/>
              <w:rPr>
                <w:rFonts w:eastAsia="Times New Roman" w:cs="Calibri"/>
                <w:color w:val="000000"/>
                <w:sz w:val="18"/>
                <w:szCs w:val="18"/>
                <w:lang w:eastAsia="es-ES"/>
              </w:rPr>
            </w:pPr>
          </w:p>
        </w:tc>
        <w:tc>
          <w:tcPr>
            <w:tcW w:w="4517" w:type="dxa"/>
            <w:tcBorders>
              <w:top w:val="single" w:sz="4" w:space="0" w:color="auto"/>
              <w:left w:val="nil"/>
              <w:bottom w:val="single" w:sz="4" w:space="0" w:color="auto"/>
              <w:right w:val="single" w:sz="4" w:space="0" w:color="auto"/>
            </w:tcBorders>
            <w:shd w:val="clear" w:color="auto" w:fill="auto"/>
            <w:vAlign w:val="center"/>
          </w:tcPr>
          <w:p w14:paraId="7F7A1B09" w14:textId="77777777" w:rsidR="00590B71" w:rsidRPr="003F7F6C" w:rsidRDefault="00590B71" w:rsidP="00590B71">
            <w:pPr>
              <w:autoSpaceDE w:val="0"/>
              <w:autoSpaceDN w:val="0"/>
              <w:adjustRightInd w:val="0"/>
              <w:spacing w:after="0"/>
              <w:rPr>
                <w:rFonts w:eastAsia="Times New Roman" w:cs="Calibri"/>
                <w:color w:val="000000"/>
                <w:sz w:val="18"/>
                <w:szCs w:val="18"/>
                <w:lang w:eastAsia="es-ES"/>
              </w:rPr>
            </w:pPr>
            <w:r w:rsidRPr="003F7F6C">
              <w:rPr>
                <w:rFonts w:cs="Calibri"/>
                <w:sz w:val="18"/>
                <w:szCs w:val="18"/>
              </w:rPr>
              <w:t>Stakeholders are aware about global environmental issues and the possible solutions but do not know how to participate</w:t>
            </w:r>
          </w:p>
        </w:tc>
        <w:tc>
          <w:tcPr>
            <w:tcW w:w="808" w:type="dxa"/>
            <w:tcBorders>
              <w:top w:val="single" w:sz="4" w:space="0" w:color="auto"/>
              <w:left w:val="nil"/>
              <w:bottom w:val="single" w:sz="4" w:space="0" w:color="auto"/>
              <w:right w:val="single" w:sz="4" w:space="0" w:color="auto"/>
            </w:tcBorders>
            <w:shd w:val="clear" w:color="auto" w:fill="auto"/>
            <w:vAlign w:val="center"/>
          </w:tcPr>
          <w:p w14:paraId="0A6C2062"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2</w:t>
            </w:r>
          </w:p>
        </w:tc>
        <w:tc>
          <w:tcPr>
            <w:tcW w:w="819" w:type="dxa"/>
            <w:tcBorders>
              <w:top w:val="single" w:sz="4" w:space="0" w:color="auto"/>
              <w:left w:val="nil"/>
              <w:bottom w:val="single" w:sz="4" w:space="0" w:color="auto"/>
              <w:right w:val="single" w:sz="4" w:space="0" w:color="auto"/>
            </w:tcBorders>
            <w:shd w:val="clear" w:color="auto" w:fill="auto"/>
            <w:vAlign w:val="center"/>
          </w:tcPr>
          <w:p w14:paraId="712309AB"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2</w:t>
            </w:r>
          </w:p>
        </w:tc>
        <w:tc>
          <w:tcPr>
            <w:tcW w:w="2690" w:type="dxa"/>
            <w:tcBorders>
              <w:top w:val="single" w:sz="4" w:space="0" w:color="auto"/>
              <w:left w:val="nil"/>
              <w:bottom w:val="single" w:sz="4" w:space="0" w:color="auto"/>
              <w:right w:val="single" w:sz="4" w:space="0" w:color="auto"/>
            </w:tcBorders>
            <w:shd w:val="clear" w:color="auto" w:fill="auto"/>
            <w:vAlign w:val="center"/>
          </w:tcPr>
          <w:p w14:paraId="6836DC8E"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Although key stakeholders are aware of ELUP, there are neither coordination spaces nor specific regulations to define their participation in ELUP</w:t>
            </w:r>
          </w:p>
        </w:tc>
        <w:tc>
          <w:tcPr>
            <w:tcW w:w="2083" w:type="dxa"/>
            <w:tcBorders>
              <w:top w:val="single" w:sz="4" w:space="0" w:color="auto"/>
              <w:left w:val="nil"/>
              <w:bottom w:val="single" w:sz="4" w:space="0" w:color="auto"/>
              <w:right w:val="single" w:sz="4" w:space="0" w:color="auto"/>
            </w:tcBorders>
            <w:shd w:val="clear" w:color="auto" w:fill="auto"/>
            <w:vAlign w:val="center"/>
          </w:tcPr>
          <w:p w14:paraId="1BB8221C"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Consolidation of participatory spaces for ELUP with key stakeholders</w:t>
            </w:r>
          </w:p>
        </w:tc>
        <w:tc>
          <w:tcPr>
            <w:tcW w:w="1209" w:type="dxa"/>
            <w:tcBorders>
              <w:top w:val="single" w:sz="4" w:space="0" w:color="auto"/>
              <w:left w:val="nil"/>
              <w:bottom w:val="single" w:sz="4" w:space="0" w:color="auto"/>
              <w:right w:val="single" w:sz="4" w:space="0" w:color="auto"/>
            </w:tcBorders>
            <w:shd w:val="clear" w:color="auto" w:fill="auto"/>
            <w:vAlign w:val="center"/>
          </w:tcPr>
          <w:p w14:paraId="02013C94"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2</w:t>
            </w:r>
          </w:p>
        </w:tc>
      </w:tr>
      <w:tr w:rsidR="00590B71" w:rsidRPr="003F7F6C" w14:paraId="6652775D" w14:textId="77777777" w:rsidTr="003A428B">
        <w:trPr>
          <w:trHeight w:val="510"/>
        </w:trPr>
        <w:tc>
          <w:tcPr>
            <w:tcW w:w="197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6601EB1" w14:textId="77777777" w:rsidR="00590B71" w:rsidRPr="003F7F6C" w:rsidRDefault="00590B71" w:rsidP="00590B71">
            <w:pPr>
              <w:spacing w:after="0"/>
              <w:jc w:val="center"/>
              <w:rPr>
                <w:rFonts w:eastAsia="Times New Roman" w:cs="Calibri"/>
                <w:color w:val="000000"/>
                <w:sz w:val="18"/>
                <w:szCs w:val="18"/>
                <w:lang w:eastAsia="es-ES"/>
              </w:rPr>
            </w:pPr>
          </w:p>
        </w:tc>
        <w:tc>
          <w:tcPr>
            <w:tcW w:w="4517" w:type="dxa"/>
            <w:tcBorders>
              <w:top w:val="single" w:sz="4" w:space="0" w:color="auto"/>
              <w:left w:val="single" w:sz="4" w:space="0" w:color="auto"/>
              <w:bottom w:val="single" w:sz="4" w:space="0" w:color="auto"/>
              <w:right w:val="single" w:sz="4" w:space="0" w:color="auto"/>
            </w:tcBorders>
            <w:shd w:val="clear" w:color="auto" w:fill="auto"/>
            <w:vAlign w:val="center"/>
          </w:tcPr>
          <w:p w14:paraId="10866887"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Stakeholders are aware about global environmental issues and are actively participating in the implementation of related solutions</w:t>
            </w:r>
          </w:p>
        </w:tc>
        <w:tc>
          <w:tcPr>
            <w:tcW w:w="808" w:type="dxa"/>
            <w:tcBorders>
              <w:top w:val="single" w:sz="4" w:space="0" w:color="auto"/>
              <w:left w:val="single" w:sz="4" w:space="0" w:color="auto"/>
              <w:bottom w:val="single" w:sz="4" w:space="0" w:color="auto"/>
              <w:right w:val="single" w:sz="4" w:space="0" w:color="auto"/>
            </w:tcBorders>
            <w:shd w:val="clear" w:color="auto" w:fill="auto"/>
            <w:vAlign w:val="center"/>
          </w:tcPr>
          <w:p w14:paraId="0F64AD61"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3</w:t>
            </w:r>
          </w:p>
        </w:tc>
        <w:tc>
          <w:tcPr>
            <w:tcW w:w="819" w:type="dxa"/>
            <w:tcBorders>
              <w:top w:val="single" w:sz="4" w:space="0" w:color="auto"/>
              <w:left w:val="single" w:sz="4" w:space="0" w:color="auto"/>
              <w:bottom w:val="single" w:sz="4" w:space="0" w:color="auto"/>
              <w:right w:val="single" w:sz="4" w:space="0" w:color="auto"/>
            </w:tcBorders>
            <w:shd w:val="clear" w:color="auto" w:fill="auto"/>
            <w:vAlign w:val="center"/>
          </w:tcPr>
          <w:p w14:paraId="245C2DC5" w14:textId="77777777" w:rsidR="00590B71" w:rsidRPr="003F7F6C" w:rsidRDefault="00590B71" w:rsidP="00590B71">
            <w:pPr>
              <w:spacing w:after="0"/>
              <w:rPr>
                <w:rFonts w:eastAsia="Times New Roman" w:cs="Calibri"/>
                <w:color w:val="000000"/>
                <w:sz w:val="18"/>
                <w:szCs w:val="18"/>
                <w:lang w:eastAsia="es-ES"/>
              </w:rPr>
            </w:pPr>
          </w:p>
        </w:tc>
        <w:tc>
          <w:tcPr>
            <w:tcW w:w="2690" w:type="dxa"/>
            <w:tcBorders>
              <w:top w:val="single" w:sz="4" w:space="0" w:color="auto"/>
              <w:left w:val="single" w:sz="4" w:space="0" w:color="auto"/>
              <w:bottom w:val="single" w:sz="4" w:space="0" w:color="auto"/>
              <w:right w:val="single" w:sz="4" w:space="0" w:color="auto"/>
            </w:tcBorders>
            <w:shd w:val="clear" w:color="auto" w:fill="auto"/>
            <w:vAlign w:val="center"/>
          </w:tcPr>
          <w:p w14:paraId="7F5495A3" w14:textId="77777777" w:rsidR="00590B71" w:rsidRPr="003F7F6C" w:rsidRDefault="00590B71" w:rsidP="00590B71">
            <w:pPr>
              <w:spacing w:after="0"/>
              <w:rPr>
                <w:rFonts w:eastAsia="Times New Roman" w:cs="Calibri"/>
                <w:color w:val="000000"/>
                <w:sz w:val="18"/>
                <w:szCs w:val="18"/>
                <w:lang w:eastAsia="es-ES"/>
              </w:rPr>
            </w:pPr>
          </w:p>
        </w:tc>
        <w:tc>
          <w:tcPr>
            <w:tcW w:w="2083" w:type="dxa"/>
            <w:tcBorders>
              <w:top w:val="single" w:sz="4" w:space="0" w:color="auto"/>
              <w:left w:val="single" w:sz="4" w:space="0" w:color="auto"/>
              <w:bottom w:val="single" w:sz="4" w:space="0" w:color="auto"/>
              <w:right w:val="single" w:sz="4" w:space="0" w:color="auto"/>
            </w:tcBorders>
            <w:shd w:val="clear" w:color="auto" w:fill="auto"/>
            <w:vAlign w:val="center"/>
          </w:tcPr>
          <w:p w14:paraId="6AFD7B75" w14:textId="77777777" w:rsidR="00590B71" w:rsidRPr="003F7F6C" w:rsidRDefault="00590B71" w:rsidP="00590B71">
            <w:pPr>
              <w:spacing w:after="0"/>
              <w:rPr>
                <w:rFonts w:eastAsia="Times New Roman" w:cs="Calibri"/>
                <w:color w:val="000000"/>
                <w:sz w:val="18"/>
                <w:szCs w:val="18"/>
                <w:lang w:eastAsia="es-ES"/>
              </w:rPr>
            </w:pP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14:paraId="1976316A" w14:textId="77777777" w:rsidR="00590B71" w:rsidRPr="003F7F6C" w:rsidRDefault="00590B71" w:rsidP="00590B71">
            <w:pPr>
              <w:spacing w:after="0"/>
              <w:rPr>
                <w:rFonts w:eastAsia="Times New Roman" w:cs="Calibri"/>
                <w:color w:val="000000"/>
                <w:sz w:val="18"/>
                <w:szCs w:val="18"/>
                <w:lang w:eastAsia="es-ES"/>
              </w:rPr>
            </w:pPr>
          </w:p>
        </w:tc>
      </w:tr>
      <w:tr w:rsidR="00590B71" w:rsidRPr="003F7F6C" w14:paraId="1891A9DF" w14:textId="77777777" w:rsidTr="003A428B">
        <w:trPr>
          <w:trHeight w:val="300"/>
        </w:trPr>
        <w:tc>
          <w:tcPr>
            <w:tcW w:w="19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4BA0C0C" w14:textId="77777777" w:rsidR="00590B71" w:rsidRPr="003F7F6C" w:rsidRDefault="00590B71" w:rsidP="00590B71">
            <w:pPr>
              <w:autoSpaceDE w:val="0"/>
              <w:autoSpaceDN w:val="0"/>
              <w:adjustRightInd w:val="0"/>
              <w:spacing w:after="0"/>
              <w:rPr>
                <w:rFonts w:eastAsia="Times New Roman" w:cs="Calibri"/>
                <w:color w:val="000000"/>
                <w:sz w:val="18"/>
                <w:szCs w:val="18"/>
                <w:lang w:eastAsia="es-ES"/>
              </w:rPr>
            </w:pPr>
            <w:r w:rsidRPr="003F7F6C">
              <w:rPr>
                <w:rFonts w:cs="Calibri"/>
                <w:sz w:val="18"/>
                <w:szCs w:val="18"/>
              </w:rPr>
              <w:t>Indicator 5: Access and sharing of environmental information by stakeholders</w:t>
            </w:r>
          </w:p>
        </w:tc>
        <w:tc>
          <w:tcPr>
            <w:tcW w:w="45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6CD2FE" w14:textId="77777777" w:rsidR="00590B71" w:rsidRPr="003F7F6C" w:rsidRDefault="00590B71" w:rsidP="00590B71">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The environmental information needs are not</w:t>
            </w:r>
          </w:p>
          <w:p w14:paraId="19E741AD"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identified and the information management</w:t>
            </w:r>
          </w:p>
          <w:p w14:paraId="57CF56CC" w14:textId="77777777" w:rsidR="00590B71" w:rsidRPr="003F7F6C" w:rsidRDefault="00590B71" w:rsidP="00590B71">
            <w:pPr>
              <w:spacing w:after="0"/>
              <w:rPr>
                <w:rFonts w:eastAsia="Times New Roman" w:cs="Calibri"/>
                <w:color w:val="000000"/>
                <w:sz w:val="18"/>
                <w:szCs w:val="18"/>
                <w:lang w:eastAsia="es-ES"/>
              </w:rPr>
            </w:pPr>
            <w:r w:rsidRPr="003F7F6C">
              <w:rPr>
                <w:rFonts w:cs="Calibri"/>
                <w:sz w:val="18"/>
                <w:szCs w:val="18"/>
              </w:rPr>
              <w:t>infrastructure is inadequate</w:t>
            </w:r>
          </w:p>
        </w:tc>
        <w:tc>
          <w:tcPr>
            <w:tcW w:w="8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841BEDA"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0</w:t>
            </w:r>
          </w:p>
        </w:tc>
        <w:tc>
          <w:tcPr>
            <w:tcW w:w="819" w:type="dxa"/>
            <w:tcBorders>
              <w:top w:val="single" w:sz="4" w:space="0" w:color="auto"/>
              <w:left w:val="single" w:sz="4" w:space="0" w:color="auto"/>
              <w:bottom w:val="single" w:sz="4" w:space="0" w:color="auto"/>
              <w:right w:val="single" w:sz="4" w:space="0" w:color="auto"/>
            </w:tcBorders>
            <w:shd w:val="clear" w:color="auto" w:fill="auto"/>
            <w:vAlign w:val="center"/>
          </w:tcPr>
          <w:p w14:paraId="1D439CDF" w14:textId="77777777" w:rsidR="00590B71" w:rsidRPr="003F7F6C" w:rsidRDefault="00590B71" w:rsidP="00590B71">
            <w:pPr>
              <w:spacing w:after="0"/>
              <w:rPr>
                <w:rFonts w:eastAsia="Times New Roman" w:cs="Calibri"/>
                <w:color w:val="000000"/>
                <w:sz w:val="18"/>
                <w:szCs w:val="18"/>
                <w:lang w:eastAsia="es-ES"/>
              </w:rPr>
            </w:pPr>
          </w:p>
        </w:tc>
        <w:tc>
          <w:tcPr>
            <w:tcW w:w="2690" w:type="dxa"/>
            <w:tcBorders>
              <w:top w:val="single" w:sz="4" w:space="0" w:color="auto"/>
              <w:left w:val="single" w:sz="4" w:space="0" w:color="auto"/>
              <w:bottom w:val="single" w:sz="4" w:space="0" w:color="auto"/>
              <w:right w:val="single" w:sz="4" w:space="0" w:color="auto"/>
            </w:tcBorders>
            <w:shd w:val="clear" w:color="auto" w:fill="auto"/>
            <w:vAlign w:val="center"/>
          </w:tcPr>
          <w:p w14:paraId="45E5CB29" w14:textId="77777777" w:rsidR="00590B71" w:rsidRPr="003F7F6C" w:rsidRDefault="00590B71" w:rsidP="00590B71">
            <w:pPr>
              <w:spacing w:after="0"/>
              <w:rPr>
                <w:rFonts w:eastAsia="Times New Roman" w:cs="Calibri"/>
                <w:color w:val="000000"/>
                <w:sz w:val="18"/>
                <w:szCs w:val="18"/>
                <w:lang w:eastAsia="es-ES"/>
              </w:rPr>
            </w:pPr>
          </w:p>
        </w:tc>
        <w:tc>
          <w:tcPr>
            <w:tcW w:w="2083" w:type="dxa"/>
            <w:tcBorders>
              <w:top w:val="single" w:sz="4" w:space="0" w:color="auto"/>
              <w:left w:val="single" w:sz="4" w:space="0" w:color="auto"/>
              <w:bottom w:val="single" w:sz="4" w:space="0" w:color="auto"/>
              <w:right w:val="single" w:sz="4" w:space="0" w:color="auto"/>
            </w:tcBorders>
            <w:shd w:val="clear" w:color="auto" w:fill="auto"/>
            <w:vAlign w:val="center"/>
          </w:tcPr>
          <w:p w14:paraId="1BAFCDEC" w14:textId="77777777" w:rsidR="00590B71" w:rsidRPr="003F7F6C" w:rsidRDefault="00590B71" w:rsidP="00590B71">
            <w:pPr>
              <w:spacing w:after="0"/>
              <w:rPr>
                <w:rFonts w:eastAsia="Times New Roman" w:cs="Calibri"/>
                <w:color w:val="000000"/>
                <w:sz w:val="18"/>
                <w:szCs w:val="18"/>
                <w:lang w:eastAsia="es-ES"/>
              </w:rPr>
            </w:pP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27B8B09"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590B71" w:rsidRPr="003F7F6C" w14:paraId="2905ADA6" w14:textId="77777777" w:rsidTr="003A428B">
        <w:trPr>
          <w:trHeight w:val="300"/>
        </w:trPr>
        <w:tc>
          <w:tcPr>
            <w:tcW w:w="1978" w:type="dxa"/>
            <w:vMerge/>
            <w:tcBorders>
              <w:top w:val="single" w:sz="4" w:space="0" w:color="auto"/>
              <w:left w:val="single" w:sz="4" w:space="0" w:color="auto"/>
              <w:bottom w:val="single" w:sz="4" w:space="0" w:color="auto"/>
              <w:right w:val="single" w:sz="4" w:space="0" w:color="auto"/>
            </w:tcBorders>
            <w:vAlign w:val="center"/>
            <w:hideMark/>
          </w:tcPr>
          <w:p w14:paraId="272E7C12" w14:textId="77777777" w:rsidR="00590B71" w:rsidRPr="003F7F6C" w:rsidRDefault="00590B71" w:rsidP="00590B71">
            <w:pPr>
              <w:spacing w:after="0"/>
              <w:rPr>
                <w:rFonts w:eastAsia="Times New Roman" w:cs="Calibri"/>
                <w:color w:val="000000"/>
                <w:sz w:val="18"/>
                <w:szCs w:val="18"/>
                <w:lang w:eastAsia="es-ES"/>
              </w:rPr>
            </w:pPr>
          </w:p>
        </w:tc>
        <w:tc>
          <w:tcPr>
            <w:tcW w:w="45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D5A90E3" w14:textId="77777777" w:rsidR="00590B71" w:rsidRPr="003F7F6C" w:rsidRDefault="00590B71" w:rsidP="00590B71">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The environmental information needs are identified but the information management infrastructure is inadequate</w:t>
            </w:r>
          </w:p>
        </w:tc>
        <w:tc>
          <w:tcPr>
            <w:tcW w:w="8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6751FD7"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1</w:t>
            </w:r>
          </w:p>
        </w:tc>
        <w:tc>
          <w:tcPr>
            <w:tcW w:w="819" w:type="dxa"/>
            <w:tcBorders>
              <w:top w:val="single" w:sz="4" w:space="0" w:color="auto"/>
              <w:left w:val="single" w:sz="4" w:space="0" w:color="auto"/>
              <w:bottom w:val="single" w:sz="4" w:space="0" w:color="auto"/>
              <w:right w:val="single" w:sz="4" w:space="0" w:color="auto"/>
            </w:tcBorders>
            <w:shd w:val="clear" w:color="auto" w:fill="auto"/>
            <w:vAlign w:val="center"/>
          </w:tcPr>
          <w:p w14:paraId="665370F7"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1</w:t>
            </w:r>
          </w:p>
        </w:tc>
        <w:tc>
          <w:tcPr>
            <w:tcW w:w="2690" w:type="dxa"/>
            <w:tcBorders>
              <w:top w:val="single" w:sz="4" w:space="0" w:color="auto"/>
              <w:left w:val="single" w:sz="4" w:space="0" w:color="auto"/>
              <w:bottom w:val="single" w:sz="4" w:space="0" w:color="auto"/>
              <w:right w:val="single" w:sz="4" w:space="0" w:color="auto"/>
            </w:tcBorders>
            <w:shd w:val="clear" w:color="auto" w:fill="auto"/>
            <w:vAlign w:val="center"/>
          </w:tcPr>
          <w:p w14:paraId="2A21A938" w14:textId="77777777" w:rsidR="00590B71" w:rsidRPr="003F7F6C" w:rsidRDefault="00590B71" w:rsidP="00590B71">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Needs are identified, but infrastructure is not adequate since information is disperse and must be systematized</w:t>
            </w:r>
          </w:p>
          <w:p w14:paraId="68659BFD" w14:textId="77777777" w:rsidR="00590B71" w:rsidRPr="003F7F6C" w:rsidRDefault="00590B71" w:rsidP="00590B71">
            <w:pPr>
              <w:autoSpaceDE w:val="0"/>
              <w:autoSpaceDN w:val="0"/>
              <w:adjustRightInd w:val="0"/>
              <w:spacing w:after="0"/>
              <w:rPr>
                <w:rFonts w:eastAsia="Times New Roman" w:cs="Calibri"/>
                <w:color w:val="000000"/>
                <w:sz w:val="18"/>
                <w:szCs w:val="18"/>
                <w:lang w:eastAsia="es-ES"/>
              </w:rPr>
            </w:pPr>
          </w:p>
          <w:p w14:paraId="1D1E202A" w14:textId="77777777" w:rsidR="00590B71" w:rsidRPr="003F7F6C" w:rsidRDefault="00590B71" w:rsidP="00590B71">
            <w:pPr>
              <w:autoSpaceDE w:val="0"/>
              <w:autoSpaceDN w:val="0"/>
              <w:adjustRightInd w:val="0"/>
              <w:spacing w:after="0"/>
              <w:rPr>
                <w:rFonts w:eastAsia="Times New Roman" w:cs="Calibri"/>
                <w:color w:val="000000"/>
                <w:sz w:val="18"/>
                <w:szCs w:val="18"/>
                <w:lang w:eastAsia="es-ES"/>
              </w:rPr>
            </w:pPr>
          </w:p>
        </w:tc>
        <w:tc>
          <w:tcPr>
            <w:tcW w:w="2083" w:type="dxa"/>
            <w:tcBorders>
              <w:top w:val="single" w:sz="4" w:space="0" w:color="auto"/>
              <w:left w:val="single" w:sz="4" w:space="0" w:color="auto"/>
              <w:bottom w:val="single" w:sz="4" w:space="0" w:color="auto"/>
              <w:right w:val="single" w:sz="4" w:space="0" w:color="auto"/>
            </w:tcBorders>
            <w:shd w:val="clear" w:color="auto" w:fill="auto"/>
            <w:vAlign w:val="center"/>
          </w:tcPr>
          <w:p w14:paraId="27C4AA46"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Strengthening of information platforms to concentrate information and disseminate to stakeholders</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C5100E"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590B71" w:rsidRPr="003F7F6C" w14:paraId="077B44D7" w14:textId="77777777" w:rsidTr="003A428B">
        <w:trPr>
          <w:trHeight w:val="300"/>
        </w:trPr>
        <w:tc>
          <w:tcPr>
            <w:tcW w:w="1978" w:type="dxa"/>
            <w:vMerge/>
            <w:tcBorders>
              <w:top w:val="nil"/>
              <w:left w:val="single" w:sz="4" w:space="0" w:color="auto"/>
              <w:bottom w:val="single" w:sz="4" w:space="0" w:color="auto"/>
              <w:right w:val="single" w:sz="4" w:space="0" w:color="auto"/>
            </w:tcBorders>
            <w:vAlign w:val="center"/>
            <w:hideMark/>
          </w:tcPr>
          <w:p w14:paraId="59E3747F" w14:textId="77777777" w:rsidR="00590B71" w:rsidRPr="003F7F6C" w:rsidRDefault="00590B71" w:rsidP="00590B71">
            <w:pPr>
              <w:spacing w:after="0"/>
              <w:rPr>
                <w:rFonts w:eastAsia="Times New Roman" w:cs="Calibri"/>
                <w:color w:val="000000"/>
                <w:sz w:val="18"/>
                <w:szCs w:val="18"/>
                <w:lang w:eastAsia="es-ES"/>
              </w:rPr>
            </w:pPr>
          </w:p>
        </w:tc>
        <w:tc>
          <w:tcPr>
            <w:tcW w:w="4517" w:type="dxa"/>
            <w:tcBorders>
              <w:top w:val="single" w:sz="4" w:space="0" w:color="auto"/>
              <w:left w:val="nil"/>
              <w:bottom w:val="single" w:sz="4" w:space="0" w:color="auto"/>
              <w:right w:val="single" w:sz="4" w:space="0" w:color="auto"/>
            </w:tcBorders>
            <w:shd w:val="clear" w:color="auto" w:fill="auto"/>
            <w:vAlign w:val="center"/>
            <w:hideMark/>
          </w:tcPr>
          <w:p w14:paraId="05F91903" w14:textId="77777777" w:rsidR="00590B71" w:rsidRPr="003F7F6C" w:rsidRDefault="00590B71" w:rsidP="00590B71">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The environmental information is partially available and shared among stakeholders but is not covering all focal areas and/or the information management infrastructure to manage and give information access to the public is limited</w:t>
            </w:r>
          </w:p>
        </w:tc>
        <w:tc>
          <w:tcPr>
            <w:tcW w:w="808" w:type="dxa"/>
            <w:tcBorders>
              <w:top w:val="single" w:sz="4" w:space="0" w:color="auto"/>
              <w:left w:val="nil"/>
              <w:bottom w:val="single" w:sz="4" w:space="0" w:color="auto"/>
              <w:right w:val="single" w:sz="4" w:space="0" w:color="auto"/>
            </w:tcBorders>
            <w:shd w:val="clear" w:color="auto" w:fill="auto"/>
            <w:vAlign w:val="center"/>
            <w:hideMark/>
          </w:tcPr>
          <w:p w14:paraId="404138A5"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2</w:t>
            </w:r>
          </w:p>
        </w:tc>
        <w:tc>
          <w:tcPr>
            <w:tcW w:w="819" w:type="dxa"/>
            <w:tcBorders>
              <w:top w:val="single" w:sz="4" w:space="0" w:color="auto"/>
              <w:left w:val="nil"/>
              <w:bottom w:val="single" w:sz="4" w:space="0" w:color="auto"/>
              <w:right w:val="single" w:sz="4" w:space="0" w:color="auto"/>
            </w:tcBorders>
            <w:shd w:val="clear" w:color="auto" w:fill="auto"/>
            <w:vAlign w:val="center"/>
            <w:hideMark/>
          </w:tcPr>
          <w:p w14:paraId="2126E065"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690" w:type="dxa"/>
            <w:tcBorders>
              <w:top w:val="single" w:sz="4" w:space="0" w:color="auto"/>
              <w:left w:val="nil"/>
              <w:bottom w:val="single" w:sz="4" w:space="0" w:color="auto"/>
              <w:right w:val="single" w:sz="4" w:space="0" w:color="auto"/>
            </w:tcBorders>
            <w:shd w:val="clear" w:color="auto" w:fill="auto"/>
            <w:vAlign w:val="center"/>
            <w:hideMark/>
          </w:tcPr>
          <w:p w14:paraId="6B7B3CFC"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083" w:type="dxa"/>
            <w:tcBorders>
              <w:top w:val="single" w:sz="4" w:space="0" w:color="auto"/>
              <w:left w:val="nil"/>
              <w:bottom w:val="single" w:sz="4" w:space="0" w:color="auto"/>
              <w:right w:val="single" w:sz="4" w:space="0" w:color="auto"/>
            </w:tcBorders>
            <w:shd w:val="clear" w:color="auto" w:fill="auto"/>
            <w:vAlign w:val="center"/>
            <w:hideMark/>
          </w:tcPr>
          <w:p w14:paraId="71DF7586"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209" w:type="dxa"/>
            <w:tcBorders>
              <w:top w:val="single" w:sz="4" w:space="0" w:color="auto"/>
              <w:left w:val="nil"/>
              <w:bottom w:val="single" w:sz="4" w:space="0" w:color="auto"/>
              <w:right w:val="single" w:sz="4" w:space="0" w:color="auto"/>
            </w:tcBorders>
            <w:shd w:val="clear" w:color="auto" w:fill="auto"/>
            <w:vAlign w:val="center"/>
            <w:hideMark/>
          </w:tcPr>
          <w:p w14:paraId="24AC77C3"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590B71" w:rsidRPr="003F7F6C" w14:paraId="61BD29E8" w14:textId="77777777" w:rsidTr="003A428B">
        <w:trPr>
          <w:trHeight w:val="300"/>
        </w:trPr>
        <w:tc>
          <w:tcPr>
            <w:tcW w:w="1978" w:type="dxa"/>
            <w:vMerge/>
            <w:tcBorders>
              <w:top w:val="nil"/>
              <w:left w:val="single" w:sz="4" w:space="0" w:color="auto"/>
              <w:bottom w:val="single" w:sz="4" w:space="0" w:color="auto"/>
              <w:right w:val="single" w:sz="4" w:space="0" w:color="auto"/>
            </w:tcBorders>
            <w:vAlign w:val="center"/>
            <w:hideMark/>
          </w:tcPr>
          <w:p w14:paraId="1F0CAD25" w14:textId="77777777" w:rsidR="00590B71" w:rsidRPr="003F7F6C" w:rsidRDefault="00590B71" w:rsidP="00590B71">
            <w:pPr>
              <w:spacing w:after="0"/>
              <w:rPr>
                <w:rFonts w:eastAsia="Times New Roman" w:cs="Calibri"/>
                <w:color w:val="000000"/>
                <w:sz w:val="18"/>
                <w:szCs w:val="18"/>
                <w:lang w:eastAsia="es-ES"/>
              </w:rPr>
            </w:pPr>
          </w:p>
        </w:tc>
        <w:tc>
          <w:tcPr>
            <w:tcW w:w="4517" w:type="dxa"/>
            <w:tcBorders>
              <w:top w:val="nil"/>
              <w:left w:val="nil"/>
              <w:bottom w:val="single" w:sz="4" w:space="0" w:color="auto"/>
              <w:right w:val="single" w:sz="4" w:space="0" w:color="auto"/>
            </w:tcBorders>
            <w:shd w:val="clear" w:color="auto" w:fill="auto"/>
            <w:vAlign w:val="center"/>
            <w:hideMark/>
          </w:tcPr>
          <w:p w14:paraId="445B3165" w14:textId="77777777" w:rsidR="00590B71" w:rsidRPr="003F7F6C" w:rsidRDefault="00590B71" w:rsidP="00590B71">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Comprehensive environmental information is</w:t>
            </w:r>
          </w:p>
          <w:p w14:paraId="7982B812" w14:textId="77777777" w:rsidR="00590B71" w:rsidRPr="003F7F6C" w:rsidRDefault="00590B71" w:rsidP="00590B71">
            <w:pPr>
              <w:autoSpaceDE w:val="0"/>
              <w:autoSpaceDN w:val="0"/>
              <w:adjustRightInd w:val="0"/>
              <w:spacing w:after="0"/>
              <w:rPr>
                <w:rFonts w:eastAsia="Times New Roman" w:cs="Calibri"/>
                <w:color w:val="000000"/>
                <w:sz w:val="18"/>
                <w:szCs w:val="18"/>
                <w:lang w:eastAsia="es-ES"/>
              </w:rPr>
            </w:pPr>
            <w:r w:rsidRPr="003F7F6C">
              <w:rPr>
                <w:rFonts w:cs="Calibri"/>
                <w:sz w:val="18"/>
                <w:szCs w:val="18"/>
              </w:rPr>
              <w:t>available and shared through an adequate information management infrastructure</w:t>
            </w:r>
          </w:p>
        </w:tc>
        <w:tc>
          <w:tcPr>
            <w:tcW w:w="808" w:type="dxa"/>
            <w:tcBorders>
              <w:top w:val="nil"/>
              <w:left w:val="nil"/>
              <w:bottom w:val="single" w:sz="4" w:space="0" w:color="auto"/>
              <w:right w:val="single" w:sz="4" w:space="0" w:color="auto"/>
            </w:tcBorders>
            <w:shd w:val="clear" w:color="auto" w:fill="auto"/>
            <w:vAlign w:val="center"/>
            <w:hideMark/>
          </w:tcPr>
          <w:p w14:paraId="26DC7636"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3</w:t>
            </w:r>
          </w:p>
        </w:tc>
        <w:tc>
          <w:tcPr>
            <w:tcW w:w="819" w:type="dxa"/>
            <w:tcBorders>
              <w:top w:val="nil"/>
              <w:left w:val="nil"/>
              <w:bottom w:val="single" w:sz="4" w:space="0" w:color="auto"/>
              <w:right w:val="single" w:sz="4" w:space="0" w:color="auto"/>
            </w:tcBorders>
            <w:shd w:val="clear" w:color="auto" w:fill="auto"/>
            <w:vAlign w:val="center"/>
            <w:hideMark/>
          </w:tcPr>
          <w:p w14:paraId="72AFD034"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690" w:type="dxa"/>
            <w:tcBorders>
              <w:top w:val="nil"/>
              <w:left w:val="nil"/>
              <w:bottom w:val="single" w:sz="4" w:space="0" w:color="auto"/>
              <w:right w:val="single" w:sz="4" w:space="0" w:color="auto"/>
            </w:tcBorders>
            <w:shd w:val="clear" w:color="auto" w:fill="auto"/>
            <w:vAlign w:val="center"/>
            <w:hideMark/>
          </w:tcPr>
          <w:p w14:paraId="5DD34BE2"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083" w:type="dxa"/>
            <w:tcBorders>
              <w:top w:val="nil"/>
              <w:left w:val="nil"/>
              <w:bottom w:val="single" w:sz="4" w:space="0" w:color="auto"/>
              <w:right w:val="single" w:sz="4" w:space="0" w:color="auto"/>
            </w:tcBorders>
            <w:shd w:val="clear" w:color="auto" w:fill="auto"/>
            <w:vAlign w:val="center"/>
            <w:hideMark/>
          </w:tcPr>
          <w:p w14:paraId="0E12F3A6"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209" w:type="dxa"/>
            <w:tcBorders>
              <w:top w:val="nil"/>
              <w:left w:val="nil"/>
              <w:bottom w:val="single" w:sz="4" w:space="0" w:color="auto"/>
              <w:right w:val="single" w:sz="4" w:space="0" w:color="auto"/>
            </w:tcBorders>
            <w:shd w:val="clear" w:color="auto" w:fill="auto"/>
            <w:vAlign w:val="center"/>
            <w:hideMark/>
          </w:tcPr>
          <w:p w14:paraId="0819D2EB"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590B71" w:rsidRPr="003F7F6C" w14:paraId="4C160A6A" w14:textId="77777777" w:rsidTr="003A428B">
        <w:trPr>
          <w:trHeight w:val="300"/>
        </w:trPr>
        <w:tc>
          <w:tcPr>
            <w:tcW w:w="19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FD8D63"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Indicator 6: Existence of environmental education programmes</w:t>
            </w:r>
          </w:p>
        </w:tc>
        <w:tc>
          <w:tcPr>
            <w:tcW w:w="45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A25DC38"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No environmental education programmes are in place</w:t>
            </w:r>
          </w:p>
        </w:tc>
        <w:tc>
          <w:tcPr>
            <w:tcW w:w="8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97E0E3B"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0</w:t>
            </w:r>
          </w:p>
        </w:tc>
        <w:tc>
          <w:tcPr>
            <w:tcW w:w="8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F4EEFD"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6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811590"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0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124EAE3"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53DB70"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590B71" w:rsidRPr="003F7F6C" w14:paraId="79C216C8" w14:textId="77777777" w:rsidTr="003A428B">
        <w:trPr>
          <w:trHeight w:val="300"/>
        </w:trPr>
        <w:tc>
          <w:tcPr>
            <w:tcW w:w="1978" w:type="dxa"/>
            <w:vMerge/>
            <w:tcBorders>
              <w:top w:val="single" w:sz="4" w:space="0" w:color="auto"/>
              <w:left w:val="single" w:sz="4" w:space="0" w:color="auto"/>
              <w:bottom w:val="single" w:sz="4" w:space="0" w:color="auto"/>
              <w:right w:val="single" w:sz="4" w:space="0" w:color="auto"/>
            </w:tcBorders>
            <w:vAlign w:val="center"/>
            <w:hideMark/>
          </w:tcPr>
          <w:p w14:paraId="049A5D3A" w14:textId="77777777" w:rsidR="00590B71" w:rsidRPr="003F7F6C" w:rsidRDefault="00590B71" w:rsidP="00590B71">
            <w:pPr>
              <w:spacing w:after="0"/>
              <w:jc w:val="center"/>
              <w:rPr>
                <w:rFonts w:eastAsia="Times New Roman" w:cs="Calibri"/>
                <w:color w:val="000000"/>
                <w:sz w:val="18"/>
                <w:szCs w:val="18"/>
                <w:lang w:eastAsia="es-ES"/>
              </w:rPr>
            </w:pPr>
          </w:p>
        </w:tc>
        <w:tc>
          <w:tcPr>
            <w:tcW w:w="45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0F72FF2" w14:textId="77777777" w:rsidR="00590B71" w:rsidRPr="003F7F6C" w:rsidRDefault="00590B71" w:rsidP="00590B71">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Environmental education programmes are partially</w:t>
            </w:r>
          </w:p>
          <w:p w14:paraId="15F72165" w14:textId="77777777" w:rsidR="00590B71" w:rsidRPr="003F7F6C" w:rsidRDefault="00590B71" w:rsidP="00590B71">
            <w:pPr>
              <w:spacing w:after="0"/>
              <w:rPr>
                <w:rFonts w:eastAsia="Times New Roman" w:cs="Calibri"/>
                <w:color w:val="000000"/>
                <w:sz w:val="18"/>
                <w:szCs w:val="18"/>
                <w:lang w:eastAsia="es-ES"/>
              </w:rPr>
            </w:pPr>
            <w:r w:rsidRPr="003F7F6C">
              <w:rPr>
                <w:rFonts w:cs="Calibri"/>
                <w:sz w:val="18"/>
                <w:szCs w:val="18"/>
              </w:rPr>
              <w:t>developed and partially delivered</w:t>
            </w:r>
          </w:p>
        </w:tc>
        <w:tc>
          <w:tcPr>
            <w:tcW w:w="8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C8E84C"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1</w:t>
            </w:r>
          </w:p>
        </w:tc>
        <w:tc>
          <w:tcPr>
            <w:tcW w:w="8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A8485D2"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1</w:t>
            </w:r>
          </w:p>
        </w:tc>
        <w:tc>
          <w:tcPr>
            <w:tcW w:w="26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90EBDCD"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 There are educational programs addressing different sectors but none specific to ELUP</w:t>
            </w:r>
          </w:p>
          <w:p w14:paraId="45944C9F" w14:textId="77777777" w:rsidR="00590B71" w:rsidRPr="003F7F6C" w:rsidRDefault="00590B71" w:rsidP="00590B71">
            <w:pPr>
              <w:autoSpaceDE w:val="0"/>
              <w:autoSpaceDN w:val="0"/>
              <w:adjustRightInd w:val="0"/>
              <w:spacing w:after="0"/>
              <w:rPr>
                <w:rFonts w:cs="Calibri"/>
                <w:sz w:val="18"/>
                <w:szCs w:val="18"/>
              </w:rPr>
            </w:pPr>
          </w:p>
        </w:tc>
        <w:tc>
          <w:tcPr>
            <w:tcW w:w="20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54C4002"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Develop training programs on ELUP and participation </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9407B2C"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590B71" w:rsidRPr="003F7F6C" w14:paraId="22A99C00" w14:textId="77777777" w:rsidTr="003A428B">
        <w:trPr>
          <w:trHeight w:val="300"/>
        </w:trPr>
        <w:tc>
          <w:tcPr>
            <w:tcW w:w="1978" w:type="dxa"/>
            <w:vMerge/>
            <w:tcBorders>
              <w:top w:val="single" w:sz="4" w:space="0" w:color="auto"/>
              <w:left w:val="single" w:sz="4" w:space="0" w:color="auto"/>
              <w:bottom w:val="single" w:sz="4" w:space="0" w:color="auto"/>
              <w:right w:val="single" w:sz="4" w:space="0" w:color="auto"/>
            </w:tcBorders>
            <w:vAlign w:val="center"/>
            <w:hideMark/>
          </w:tcPr>
          <w:p w14:paraId="25F0E1A8" w14:textId="77777777" w:rsidR="00590B71" w:rsidRPr="003F7F6C" w:rsidRDefault="00590B71" w:rsidP="00590B71">
            <w:pPr>
              <w:spacing w:after="0"/>
              <w:jc w:val="center"/>
              <w:rPr>
                <w:rFonts w:eastAsia="Times New Roman" w:cs="Calibri"/>
                <w:color w:val="000000"/>
                <w:sz w:val="18"/>
                <w:szCs w:val="18"/>
                <w:lang w:eastAsia="es-ES"/>
              </w:rPr>
            </w:pPr>
          </w:p>
        </w:tc>
        <w:tc>
          <w:tcPr>
            <w:tcW w:w="45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50DAC32" w14:textId="77777777" w:rsidR="00590B71" w:rsidRPr="003F7F6C" w:rsidRDefault="00590B71" w:rsidP="00590B71">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Environmental education programmes are fully</w:t>
            </w:r>
          </w:p>
          <w:p w14:paraId="1893BC8E" w14:textId="77777777" w:rsidR="00590B71" w:rsidRPr="003F7F6C" w:rsidRDefault="00590B71" w:rsidP="00590B71">
            <w:pPr>
              <w:spacing w:after="0"/>
              <w:rPr>
                <w:rFonts w:eastAsia="Times New Roman" w:cs="Calibri"/>
                <w:color w:val="000000"/>
                <w:sz w:val="18"/>
                <w:szCs w:val="18"/>
                <w:lang w:eastAsia="es-ES"/>
              </w:rPr>
            </w:pPr>
            <w:r w:rsidRPr="003F7F6C">
              <w:rPr>
                <w:rFonts w:cs="Calibri"/>
                <w:sz w:val="18"/>
                <w:szCs w:val="18"/>
              </w:rPr>
              <w:t>developed but partially delivered</w:t>
            </w:r>
          </w:p>
        </w:tc>
        <w:tc>
          <w:tcPr>
            <w:tcW w:w="8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B54483"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2</w:t>
            </w:r>
          </w:p>
        </w:tc>
        <w:tc>
          <w:tcPr>
            <w:tcW w:w="8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1246E2"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6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361828"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0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9497805"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28E2838"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590B71" w:rsidRPr="003F7F6C" w14:paraId="36B8C4D8" w14:textId="77777777" w:rsidTr="003A428B">
        <w:trPr>
          <w:trHeight w:val="300"/>
        </w:trPr>
        <w:tc>
          <w:tcPr>
            <w:tcW w:w="1978" w:type="dxa"/>
            <w:vMerge/>
            <w:tcBorders>
              <w:top w:val="single" w:sz="4" w:space="0" w:color="auto"/>
              <w:left w:val="single" w:sz="4" w:space="0" w:color="auto"/>
              <w:bottom w:val="single" w:sz="4" w:space="0" w:color="auto"/>
              <w:right w:val="single" w:sz="4" w:space="0" w:color="auto"/>
            </w:tcBorders>
            <w:vAlign w:val="center"/>
            <w:hideMark/>
          </w:tcPr>
          <w:p w14:paraId="5FD2738F" w14:textId="77777777" w:rsidR="00590B71" w:rsidRPr="003F7F6C" w:rsidRDefault="00590B71" w:rsidP="00590B71">
            <w:pPr>
              <w:spacing w:after="0"/>
              <w:jc w:val="center"/>
              <w:rPr>
                <w:rFonts w:eastAsia="Times New Roman" w:cs="Calibri"/>
                <w:color w:val="000000"/>
                <w:sz w:val="18"/>
                <w:szCs w:val="18"/>
                <w:lang w:eastAsia="es-ES"/>
              </w:rPr>
            </w:pPr>
          </w:p>
        </w:tc>
        <w:tc>
          <w:tcPr>
            <w:tcW w:w="45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A81156" w14:textId="77777777" w:rsidR="00590B71" w:rsidRPr="003F7F6C" w:rsidRDefault="00590B71" w:rsidP="00590B71">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Comprehensive environmental education programmes</w:t>
            </w:r>
          </w:p>
          <w:p w14:paraId="75ADE8A8" w14:textId="77777777" w:rsidR="00590B71" w:rsidRPr="003F7F6C" w:rsidRDefault="00590B71" w:rsidP="00590B71">
            <w:pPr>
              <w:spacing w:after="0"/>
              <w:rPr>
                <w:rFonts w:eastAsia="Times New Roman" w:cs="Calibri"/>
                <w:color w:val="000000"/>
                <w:sz w:val="18"/>
                <w:szCs w:val="18"/>
                <w:lang w:eastAsia="es-ES"/>
              </w:rPr>
            </w:pPr>
            <w:r w:rsidRPr="003F7F6C">
              <w:rPr>
                <w:rFonts w:cs="Calibri"/>
                <w:sz w:val="18"/>
                <w:szCs w:val="18"/>
              </w:rPr>
              <w:t>exist and are being delivered</w:t>
            </w:r>
          </w:p>
        </w:tc>
        <w:tc>
          <w:tcPr>
            <w:tcW w:w="8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C35BC2"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3</w:t>
            </w:r>
          </w:p>
        </w:tc>
        <w:tc>
          <w:tcPr>
            <w:tcW w:w="8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0A3FC85"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6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E1B2208"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0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1F54AB9"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A407AEE"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590B71" w:rsidRPr="003F7F6C" w14:paraId="01BCED54" w14:textId="77777777" w:rsidTr="003A428B">
        <w:trPr>
          <w:trHeight w:val="300"/>
        </w:trPr>
        <w:tc>
          <w:tcPr>
            <w:tcW w:w="19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96457C6" w14:textId="6D5B0FFA"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Indicator 7: Exten</w:t>
            </w:r>
            <w:r w:rsidR="00FB6D2D" w:rsidRPr="003F7F6C">
              <w:rPr>
                <w:rFonts w:eastAsia="Times New Roman" w:cs="Calibri"/>
                <w:color w:val="000000"/>
                <w:sz w:val="18"/>
                <w:szCs w:val="18"/>
                <w:lang w:eastAsia="es-ES"/>
              </w:rPr>
              <w:t>t</w:t>
            </w:r>
            <w:r w:rsidRPr="003F7F6C">
              <w:rPr>
                <w:rFonts w:eastAsia="Times New Roman" w:cs="Calibri"/>
                <w:color w:val="000000"/>
                <w:sz w:val="18"/>
                <w:szCs w:val="18"/>
                <w:lang w:eastAsia="es-ES"/>
              </w:rPr>
              <w:t xml:space="preserve"> of the</w:t>
            </w:r>
          </w:p>
          <w:p w14:paraId="498847CE"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linkage between environmental</w:t>
            </w:r>
          </w:p>
          <w:p w14:paraId="0C3793DD"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research/science and policy</w:t>
            </w:r>
          </w:p>
          <w:p w14:paraId="4B303996"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development</w:t>
            </w:r>
          </w:p>
        </w:tc>
        <w:tc>
          <w:tcPr>
            <w:tcW w:w="45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41E0118" w14:textId="77777777" w:rsidR="00590B71" w:rsidRPr="003F7F6C" w:rsidRDefault="00590B71" w:rsidP="00590B71">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No linkage exist between environmental policy</w:t>
            </w:r>
          </w:p>
          <w:p w14:paraId="5E1CA1C6"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development and science/research strategies and</w:t>
            </w:r>
          </w:p>
          <w:p w14:paraId="0B7721A5" w14:textId="77777777" w:rsidR="00590B71" w:rsidRPr="003F7F6C" w:rsidRDefault="00590B71" w:rsidP="00590B71">
            <w:pPr>
              <w:spacing w:after="0"/>
              <w:rPr>
                <w:rFonts w:eastAsia="Times New Roman" w:cs="Calibri"/>
                <w:color w:val="000000"/>
                <w:sz w:val="18"/>
                <w:szCs w:val="18"/>
                <w:lang w:eastAsia="es-ES"/>
              </w:rPr>
            </w:pPr>
            <w:r w:rsidRPr="003F7F6C">
              <w:rPr>
                <w:rFonts w:cs="Calibri"/>
                <w:sz w:val="18"/>
                <w:szCs w:val="18"/>
              </w:rPr>
              <w:t>programmes</w:t>
            </w:r>
          </w:p>
        </w:tc>
        <w:tc>
          <w:tcPr>
            <w:tcW w:w="8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4525BF4"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0</w:t>
            </w:r>
          </w:p>
        </w:tc>
        <w:tc>
          <w:tcPr>
            <w:tcW w:w="8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9E9581"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6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DA4510"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0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C98506D"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5248BA"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590B71" w:rsidRPr="003F7F6C" w14:paraId="7BA7E533" w14:textId="77777777" w:rsidTr="003A428B">
        <w:trPr>
          <w:trHeight w:val="300"/>
        </w:trPr>
        <w:tc>
          <w:tcPr>
            <w:tcW w:w="1978" w:type="dxa"/>
            <w:vMerge/>
            <w:tcBorders>
              <w:top w:val="single" w:sz="4" w:space="0" w:color="auto"/>
              <w:left w:val="single" w:sz="4" w:space="0" w:color="auto"/>
              <w:bottom w:val="single" w:sz="4" w:space="0" w:color="auto"/>
              <w:right w:val="single" w:sz="4" w:space="0" w:color="auto"/>
            </w:tcBorders>
            <w:vAlign w:val="center"/>
            <w:hideMark/>
          </w:tcPr>
          <w:p w14:paraId="47E95641" w14:textId="77777777" w:rsidR="00590B71" w:rsidRPr="003F7F6C" w:rsidRDefault="00590B71" w:rsidP="00590B71">
            <w:pPr>
              <w:spacing w:after="0"/>
              <w:rPr>
                <w:rFonts w:eastAsia="Times New Roman" w:cs="Calibri"/>
                <w:color w:val="000000"/>
                <w:sz w:val="18"/>
                <w:szCs w:val="18"/>
                <w:lang w:eastAsia="es-ES"/>
              </w:rPr>
            </w:pPr>
          </w:p>
        </w:tc>
        <w:tc>
          <w:tcPr>
            <w:tcW w:w="4517" w:type="dxa"/>
            <w:tcBorders>
              <w:top w:val="single" w:sz="4" w:space="0" w:color="auto"/>
              <w:left w:val="nil"/>
              <w:bottom w:val="single" w:sz="4" w:space="0" w:color="auto"/>
              <w:right w:val="single" w:sz="4" w:space="0" w:color="auto"/>
            </w:tcBorders>
            <w:shd w:val="clear" w:color="auto" w:fill="auto"/>
            <w:vAlign w:val="center"/>
            <w:hideMark/>
          </w:tcPr>
          <w:p w14:paraId="5D9ED1EE" w14:textId="77777777" w:rsidR="00590B71" w:rsidRPr="003F7F6C" w:rsidRDefault="00590B71" w:rsidP="00590B71">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Research needs for environmental policy development</w:t>
            </w:r>
          </w:p>
          <w:p w14:paraId="30E891E5"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are identified but are not translated into relevant</w:t>
            </w:r>
          </w:p>
          <w:p w14:paraId="6531D063" w14:textId="77777777" w:rsidR="00590B71" w:rsidRPr="003F7F6C" w:rsidRDefault="00590B71" w:rsidP="00590B71">
            <w:pPr>
              <w:spacing w:after="0"/>
              <w:rPr>
                <w:rFonts w:eastAsia="Times New Roman" w:cs="Calibri"/>
                <w:color w:val="000000"/>
                <w:sz w:val="18"/>
                <w:szCs w:val="18"/>
                <w:lang w:eastAsia="es-ES"/>
              </w:rPr>
            </w:pPr>
            <w:r w:rsidRPr="003F7F6C">
              <w:rPr>
                <w:rFonts w:cs="Calibri"/>
                <w:sz w:val="18"/>
                <w:szCs w:val="18"/>
              </w:rPr>
              <w:t>research strategies and programmes</w:t>
            </w:r>
          </w:p>
        </w:tc>
        <w:tc>
          <w:tcPr>
            <w:tcW w:w="808" w:type="dxa"/>
            <w:tcBorders>
              <w:top w:val="single" w:sz="4" w:space="0" w:color="auto"/>
              <w:left w:val="nil"/>
              <w:bottom w:val="single" w:sz="4" w:space="0" w:color="auto"/>
              <w:right w:val="single" w:sz="4" w:space="0" w:color="auto"/>
            </w:tcBorders>
            <w:shd w:val="clear" w:color="auto" w:fill="auto"/>
            <w:vAlign w:val="center"/>
            <w:hideMark/>
          </w:tcPr>
          <w:p w14:paraId="431449C5"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1</w:t>
            </w:r>
          </w:p>
        </w:tc>
        <w:tc>
          <w:tcPr>
            <w:tcW w:w="819" w:type="dxa"/>
            <w:tcBorders>
              <w:top w:val="single" w:sz="4" w:space="0" w:color="auto"/>
              <w:left w:val="nil"/>
              <w:bottom w:val="single" w:sz="4" w:space="0" w:color="auto"/>
              <w:right w:val="single" w:sz="4" w:space="0" w:color="auto"/>
            </w:tcBorders>
            <w:shd w:val="clear" w:color="auto" w:fill="auto"/>
            <w:vAlign w:val="center"/>
            <w:hideMark/>
          </w:tcPr>
          <w:p w14:paraId="7C5EE24E"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690" w:type="dxa"/>
            <w:tcBorders>
              <w:top w:val="single" w:sz="4" w:space="0" w:color="auto"/>
              <w:left w:val="nil"/>
              <w:bottom w:val="single" w:sz="4" w:space="0" w:color="auto"/>
              <w:right w:val="single" w:sz="4" w:space="0" w:color="auto"/>
            </w:tcBorders>
            <w:shd w:val="clear" w:color="auto" w:fill="auto"/>
            <w:vAlign w:val="center"/>
            <w:hideMark/>
          </w:tcPr>
          <w:p w14:paraId="5F1CBF13"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083" w:type="dxa"/>
            <w:tcBorders>
              <w:top w:val="single" w:sz="4" w:space="0" w:color="auto"/>
              <w:left w:val="nil"/>
              <w:bottom w:val="single" w:sz="4" w:space="0" w:color="auto"/>
              <w:right w:val="single" w:sz="4" w:space="0" w:color="auto"/>
            </w:tcBorders>
            <w:shd w:val="clear" w:color="auto" w:fill="auto"/>
            <w:vAlign w:val="center"/>
            <w:hideMark/>
          </w:tcPr>
          <w:p w14:paraId="6CDB15BD"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209" w:type="dxa"/>
            <w:tcBorders>
              <w:top w:val="single" w:sz="4" w:space="0" w:color="auto"/>
              <w:left w:val="nil"/>
              <w:bottom w:val="single" w:sz="4" w:space="0" w:color="auto"/>
              <w:right w:val="single" w:sz="4" w:space="0" w:color="auto"/>
            </w:tcBorders>
            <w:shd w:val="clear" w:color="auto" w:fill="auto"/>
            <w:vAlign w:val="center"/>
            <w:hideMark/>
          </w:tcPr>
          <w:p w14:paraId="2BDDEBB2"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590B71" w:rsidRPr="003F7F6C" w14:paraId="7ABA34F6" w14:textId="77777777" w:rsidTr="003A428B">
        <w:trPr>
          <w:trHeight w:val="300"/>
        </w:trPr>
        <w:tc>
          <w:tcPr>
            <w:tcW w:w="1978" w:type="dxa"/>
            <w:vMerge/>
            <w:tcBorders>
              <w:top w:val="single" w:sz="4" w:space="0" w:color="auto"/>
              <w:left w:val="single" w:sz="4" w:space="0" w:color="auto"/>
              <w:bottom w:val="single" w:sz="4" w:space="0" w:color="auto"/>
              <w:right w:val="single" w:sz="4" w:space="0" w:color="auto"/>
            </w:tcBorders>
            <w:vAlign w:val="center"/>
            <w:hideMark/>
          </w:tcPr>
          <w:p w14:paraId="7310D80D" w14:textId="77777777" w:rsidR="00590B71" w:rsidRPr="003F7F6C" w:rsidRDefault="00590B71" w:rsidP="00590B71">
            <w:pPr>
              <w:spacing w:after="0"/>
              <w:rPr>
                <w:rFonts w:eastAsia="Times New Roman" w:cs="Calibri"/>
                <w:color w:val="000000"/>
                <w:sz w:val="18"/>
                <w:szCs w:val="18"/>
                <w:lang w:eastAsia="es-ES"/>
              </w:rPr>
            </w:pPr>
          </w:p>
        </w:tc>
        <w:tc>
          <w:tcPr>
            <w:tcW w:w="4517" w:type="dxa"/>
            <w:tcBorders>
              <w:top w:val="single" w:sz="4" w:space="0" w:color="auto"/>
              <w:left w:val="nil"/>
              <w:bottom w:val="single" w:sz="4" w:space="0" w:color="auto"/>
              <w:right w:val="single" w:sz="4" w:space="0" w:color="auto"/>
            </w:tcBorders>
            <w:shd w:val="clear" w:color="auto" w:fill="auto"/>
            <w:vAlign w:val="center"/>
            <w:hideMark/>
          </w:tcPr>
          <w:p w14:paraId="683D54BE" w14:textId="77777777" w:rsidR="00590B71" w:rsidRPr="003F7F6C" w:rsidRDefault="00590B71" w:rsidP="00590B71">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Relevant research strategies and programmes for environmental policy development exist but the research information is not responding fully to the</w:t>
            </w:r>
          </w:p>
          <w:p w14:paraId="13E8FE21" w14:textId="77777777" w:rsidR="00590B71" w:rsidRPr="003F7F6C" w:rsidRDefault="00590B71" w:rsidP="00590B71">
            <w:pPr>
              <w:spacing w:after="0"/>
              <w:rPr>
                <w:rFonts w:eastAsia="Times New Roman" w:cs="Calibri"/>
                <w:color w:val="000000"/>
                <w:sz w:val="18"/>
                <w:szCs w:val="18"/>
                <w:lang w:eastAsia="es-ES"/>
              </w:rPr>
            </w:pPr>
            <w:r w:rsidRPr="003F7F6C">
              <w:rPr>
                <w:rFonts w:cs="Calibri"/>
                <w:sz w:val="18"/>
                <w:szCs w:val="18"/>
              </w:rPr>
              <w:t>policy research needs</w:t>
            </w:r>
          </w:p>
        </w:tc>
        <w:tc>
          <w:tcPr>
            <w:tcW w:w="808" w:type="dxa"/>
            <w:tcBorders>
              <w:top w:val="single" w:sz="4" w:space="0" w:color="auto"/>
              <w:left w:val="nil"/>
              <w:bottom w:val="single" w:sz="4" w:space="0" w:color="auto"/>
              <w:right w:val="single" w:sz="4" w:space="0" w:color="auto"/>
            </w:tcBorders>
            <w:shd w:val="clear" w:color="auto" w:fill="auto"/>
            <w:vAlign w:val="center"/>
            <w:hideMark/>
          </w:tcPr>
          <w:p w14:paraId="6C69EA30"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2</w:t>
            </w:r>
          </w:p>
        </w:tc>
        <w:tc>
          <w:tcPr>
            <w:tcW w:w="819" w:type="dxa"/>
            <w:tcBorders>
              <w:top w:val="single" w:sz="4" w:space="0" w:color="auto"/>
              <w:left w:val="nil"/>
              <w:bottom w:val="single" w:sz="4" w:space="0" w:color="auto"/>
              <w:right w:val="single" w:sz="4" w:space="0" w:color="auto"/>
            </w:tcBorders>
            <w:shd w:val="clear" w:color="auto" w:fill="auto"/>
            <w:vAlign w:val="center"/>
            <w:hideMark/>
          </w:tcPr>
          <w:p w14:paraId="364A281A"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c>
          <w:tcPr>
            <w:tcW w:w="2690" w:type="dxa"/>
            <w:tcBorders>
              <w:top w:val="single" w:sz="4" w:space="0" w:color="auto"/>
              <w:left w:val="nil"/>
              <w:bottom w:val="single" w:sz="4" w:space="0" w:color="auto"/>
              <w:right w:val="single" w:sz="4" w:space="0" w:color="auto"/>
            </w:tcBorders>
            <w:shd w:val="clear" w:color="auto" w:fill="auto"/>
            <w:vAlign w:val="center"/>
            <w:hideMark/>
          </w:tcPr>
          <w:p w14:paraId="55F1403D" w14:textId="77777777" w:rsidR="00590B71" w:rsidRPr="003F7F6C" w:rsidRDefault="00590B71" w:rsidP="00590B71">
            <w:pPr>
              <w:spacing w:after="0"/>
              <w:rPr>
                <w:rFonts w:eastAsia="Times New Roman" w:cs="Calibri"/>
                <w:color w:val="000000"/>
                <w:sz w:val="18"/>
                <w:szCs w:val="18"/>
                <w:lang w:eastAsia="es-ES"/>
              </w:rPr>
            </w:pPr>
          </w:p>
        </w:tc>
        <w:tc>
          <w:tcPr>
            <w:tcW w:w="2083" w:type="dxa"/>
            <w:tcBorders>
              <w:top w:val="single" w:sz="4" w:space="0" w:color="auto"/>
              <w:left w:val="nil"/>
              <w:bottom w:val="single" w:sz="4" w:space="0" w:color="auto"/>
              <w:right w:val="single" w:sz="4" w:space="0" w:color="auto"/>
            </w:tcBorders>
            <w:shd w:val="clear" w:color="auto" w:fill="auto"/>
            <w:vAlign w:val="center"/>
            <w:hideMark/>
          </w:tcPr>
          <w:p w14:paraId="233A595A"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Incorporation of academic and scientific contributions to discussion and proposals for ELUP </w:t>
            </w:r>
          </w:p>
        </w:tc>
        <w:tc>
          <w:tcPr>
            <w:tcW w:w="1209" w:type="dxa"/>
            <w:tcBorders>
              <w:top w:val="single" w:sz="4" w:space="0" w:color="auto"/>
              <w:left w:val="nil"/>
              <w:bottom w:val="single" w:sz="4" w:space="0" w:color="auto"/>
              <w:right w:val="single" w:sz="4" w:space="0" w:color="auto"/>
            </w:tcBorders>
            <w:shd w:val="clear" w:color="auto" w:fill="auto"/>
            <w:vAlign w:val="center"/>
            <w:hideMark/>
          </w:tcPr>
          <w:p w14:paraId="10828879"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r>
      <w:tr w:rsidR="00590B71" w:rsidRPr="003F7F6C" w14:paraId="1497A714" w14:textId="77777777" w:rsidTr="003A428B">
        <w:trPr>
          <w:trHeight w:val="649"/>
        </w:trPr>
        <w:tc>
          <w:tcPr>
            <w:tcW w:w="1978" w:type="dxa"/>
            <w:vMerge/>
            <w:tcBorders>
              <w:top w:val="single" w:sz="4" w:space="0" w:color="auto"/>
              <w:left w:val="single" w:sz="4" w:space="0" w:color="auto"/>
              <w:bottom w:val="single" w:sz="4" w:space="0" w:color="auto"/>
              <w:right w:val="single" w:sz="4" w:space="0" w:color="auto"/>
            </w:tcBorders>
            <w:vAlign w:val="center"/>
            <w:hideMark/>
          </w:tcPr>
          <w:p w14:paraId="548ECB9C" w14:textId="77777777" w:rsidR="00590B71" w:rsidRPr="003F7F6C" w:rsidRDefault="00590B71" w:rsidP="00590B71">
            <w:pPr>
              <w:spacing w:after="0"/>
              <w:rPr>
                <w:rFonts w:eastAsia="Times New Roman" w:cs="Calibri"/>
                <w:color w:val="000000"/>
                <w:sz w:val="18"/>
                <w:szCs w:val="18"/>
                <w:lang w:eastAsia="es-ES"/>
              </w:rPr>
            </w:pPr>
          </w:p>
        </w:tc>
        <w:tc>
          <w:tcPr>
            <w:tcW w:w="4517" w:type="dxa"/>
            <w:tcBorders>
              <w:top w:val="single" w:sz="4" w:space="0" w:color="auto"/>
              <w:left w:val="nil"/>
              <w:bottom w:val="single" w:sz="4" w:space="0" w:color="auto"/>
              <w:right w:val="single" w:sz="4" w:space="0" w:color="auto"/>
            </w:tcBorders>
            <w:shd w:val="clear" w:color="auto" w:fill="auto"/>
            <w:vAlign w:val="center"/>
            <w:hideMark/>
          </w:tcPr>
          <w:p w14:paraId="0525FE76" w14:textId="77777777" w:rsidR="00590B71" w:rsidRPr="003F7F6C" w:rsidRDefault="00590B71" w:rsidP="00590B71">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Relevant research results are available for</w:t>
            </w:r>
          </w:p>
          <w:p w14:paraId="1D9F9FBB" w14:textId="77777777" w:rsidR="00590B71" w:rsidRPr="003F7F6C" w:rsidRDefault="00590B71" w:rsidP="00590B71">
            <w:pPr>
              <w:spacing w:after="0"/>
              <w:rPr>
                <w:rFonts w:cs="Calibri"/>
                <w:sz w:val="18"/>
                <w:szCs w:val="18"/>
              </w:rPr>
            </w:pPr>
            <w:r w:rsidRPr="003F7F6C">
              <w:rPr>
                <w:rFonts w:cs="Calibri"/>
                <w:sz w:val="18"/>
                <w:szCs w:val="18"/>
              </w:rPr>
              <w:t>environmental policy development</w:t>
            </w:r>
          </w:p>
        </w:tc>
        <w:tc>
          <w:tcPr>
            <w:tcW w:w="808" w:type="dxa"/>
            <w:tcBorders>
              <w:top w:val="single" w:sz="4" w:space="0" w:color="auto"/>
              <w:left w:val="nil"/>
              <w:bottom w:val="single" w:sz="4" w:space="0" w:color="auto"/>
              <w:right w:val="single" w:sz="4" w:space="0" w:color="auto"/>
            </w:tcBorders>
            <w:shd w:val="clear" w:color="auto" w:fill="auto"/>
            <w:vAlign w:val="center"/>
            <w:hideMark/>
          </w:tcPr>
          <w:p w14:paraId="0FBF7884"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3</w:t>
            </w:r>
          </w:p>
        </w:tc>
        <w:tc>
          <w:tcPr>
            <w:tcW w:w="819" w:type="dxa"/>
            <w:tcBorders>
              <w:top w:val="single" w:sz="4" w:space="0" w:color="auto"/>
              <w:left w:val="nil"/>
              <w:bottom w:val="single" w:sz="4" w:space="0" w:color="auto"/>
              <w:right w:val="single" w:sz="4" w:space="0" w:color="auto"/>
            </w:tcBorders>
            <w:shd w:val="clear" w:color="auto" w:fill="auto"/>
            <w:vAlign w:val="center"/>
            <w:hideMark/>
          </w:tcPr>
          <w:p w14:paraId="3F7F208B"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690" w:type="dxa"/>
            <w:tcBorders>
              <w:top w:val="single" w:sz="4" w:space="0" w:color="auto"/>
              <w:left w:val="nil"/>
              <w:bottom w:val="single" w:sz="4" w:space="0" w:color="auto"/>
              <w:right w:val="single" w:sz="4" w:space="0" w:color="auto"/>
            </w:tcBorders>
            <w:shd w:val="clear" w:color="auto" w:fill="auto"/>
            <w:vAlign w:val="center"/>
            <w:hideMark/>
          </w:tcPr>
          <w:p w14:paraId="0B103E01"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083" w:type="dxa"/>
            <w:tcBorders>
              <w:top w:val="single" w:sz="4" w:space="0" w:color="auto"/>
              <w:left w:val="nil"/>
              <w:bottom w:val="single" w:sz="4" w:space="0" w:color="auto"/>
              <w:right w:val="single" w:sz="4" w:space="0" w:color="auto"/>
            </w:tcBorders>
            <w:shd w:val="clear" w:color="auto" w:fill="auto"/>
            <w:vAlign w:val="center"/>
            <w:hideMark/>
          </w:tcPr>
          <w:p w14:paraId="0927671C"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209" w:type="dxa"/>
            <w:tcBorders>
              <w:top w:val="single" w:sz="4" w:space="0" w:color="auto"/>
              <w:left w:val="nil"/>
              <w:bottom w:val="single" w:sz="4" w:space="0" w:color="auto"/>
              <w:right w:val="single" w:sz="4" w:space="0" w:color="auto"/>
            </w:tcBorders>
            <w:shd w:val="clear" w:color="auto" w:fill="auto"/>
            <w:vAlign w:val="center"/>
            <w:hideMark/>
          </w:tcPr>
          <w:p w14:paraId="47AB603C"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590B71" w:rsidRPr="003F7F6C" w14:paraId="0DD7E177" w14:textId="77777777" w:rsidTr="003A428B">
        <w:trPr>
          <w:trHeight w:val="300"/>
        </w:trPr>
        <w:tc>
          <w:tcPr>
            <w:tcW w:w="19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8F17678" w14:textId="5980D98A" w:rsidR="00590B71" w:rsidRPr="003F7F6C" w:rsidRDefault="00590B71" w:rsidP="00590B71">
            <w:pPr>
              <w:spacing w:after="0"/>
              <w:jc w:val="center"/>
              <w:rPr>
                <w:rFonts w:cs="Calibri"/>
                <w:sz w:val="18"/>
                <w:szCs w:val="18"/>
              </w:rPr>
            </w:pPr>
            <w:r w:rsidRPr="003F7F6C">
              <w:rPr>
                <w:rFonts w:cs="Calibri"/>
                <w:sz w:val="18"/>
                <w:szCs w:val="18"/>
              </w:rPr>
              <w:t>Indicator 8: Exten</w:t>
            </w:r>
            <w:r w:rsidR="00FB6D2D" w:rsidRPr="003F7F6C">
              <w:rPr>
                <w:rFonts w:cs="Calibri"/>
                <w:sz w:val="18"/>
                <w:szCs w:val="18"/>
              </w:rPr>
              <w:t>t</w:t>
            </w:r>
            <w:r w:rsidRPr="003F7F6C">
              <w:rPr>
                <w:rFonts w:cs="Calibri"/>
                <w:sz w:val="18"/>
                <w:szCs w:val="18"/>
              </w:rPr>
              <w:t xml:space="preserve"> of</w:t>
            </w:r>
          </w:p>
          <w:p w14:paraId="025AA906" w14:textId="77777777" w:rsidR="00590B71" w:rsidRPr="003F7F6C" w:rsidRDefault="00590B71" w:rsidP="00590B71">
            <w:pPr>
              <w:spacing w:after="0"/>
              <w:jc w:val="center"/>
              <w:rPr>
                <w:rFonts w:cs="Calibri"/>
                <w:sz w:val="18"/>
                <w:szCs w:val="18"/>
              </w:rPr>
            </w:pPr>
            <w:r w:rsidRPr="003F7F6C">
              <w:rPr>
                <w:rFonts w:cs="Calibri"/>
                <w:sz w:val="18"/>
                <w:szCs w:val="18"/>
              </w:rPr>
              <w:t>inclusion/use of traditional knowledge in environmental</w:t>
            </w:r>
          </w:p>
          <w:p w14:paraId="6B12ECF8"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cs="Calibri"/>
                <w:sz w:val="18"/>
                <w:szCs w:val="18"/>
              </w:rPr>
              <w:t>decision-making</w:t>
            </w:r>
          </w:p>
        </w:tc>
        <w:tc>
          <w:tcPr>
            <w:tcW w:w="4517" w:type="dxa"/>
            <w:tcBorders>
              <w:top w:val="single" w:sz="4" w:space="0" w:color="auto"/>
              <w:left w:val="nil"/>
              <w:bottom w:val="single" w:sz="4" w:space="0" w:color="auto"/>
              <w:right w:val="single" w:sz="4" w:space="0" w:color="auto"/>
            </w:tcBorders>
            <w:shd w:val="clear" w:color="auto" w:fill="auto"/>
            <w:vAlign w:val="center"/>
            <w:hideMark/>
          </w:tcPr>
          <w:p w14:paraId="5019E33A" w14:textId="77777777" w:rsidR="00590B71" w:rsidRPr="003F7F6C" w:rsidRDefault="00590B71" w:rsidP="00590B71">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Traditional knowledge is ignored and not taken into</w:t>
            </w:r>
          </w:p>
          <w:p w14:paraId="0C2EFFAA" w14:textId="77777777" w:rsidR="00590B71" w:rsidRPr="003F7F6C" w:rsidRDefault="00590B71" w:rsidP="00590B71">
            <w:pPr>
              <w:spacing w:after="0"/>
              <w:rPr>
                <w:rFonts w:eastAsia="Times New Roman" w:cs="Calibri"/>
                <w:color w:val="000000"/>
                <w:sz w:val="18"/>
                <w:szCs w:val="18"/>
                <w:lang w:eastAsia="es-ES"/>
              </w:rPr>
            </w:pPr>
            <w:r w:rsidRPr="003F7F6C">
              <w:rPr>
                <w:rFonts w:cs="Calibri"/>
                <w:sz w:val="18"/>
                <w:szCs w:val="18"/>
              </w:rPr>
              <w:t>account into relevant participative decision-making processes</w:t>
            </w:r>
          </w:p>
        </w:tc>
        <w:tc>
          <w:tcPr>
            <w:tcW w:w="808" w:type="dxa"/>
            <w:tcBorders>
              <w:top w:val="single" w:sz="4" w:space="0" w:color="auto"/>
              <w:left w:val="nil"/>
              <w:bottom w:val="single" w:sz="4" w:space="0" w:color="auto"/>
              <w:right w:val="single" w:sz="4" w:space="0" w:color="auto"/>
            </w:tcBorders>
            <w:shd w:val="clear" w:color="auto" w:fill="auto"/>
            <w:vAlign w:val="center"/>
            <w:hideMark/>
          </w:tcPr>
          <w:p w14:paraId="0212DD33"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0</w:t>
            </w:r>
          </w:p>
        </w:tc>
        <w:tc>
          <w:tcPr>
            <w:tcW w:w="819" w:type="dxa"/>
            <w:vMerge w:val="restart"/>
            <w:tcBorders>
              <w:top w:val="single" w:sz="4" w:space="0" w:color="auto"/>
              <w:left w:val="nil"/>
              <w:bottom w:val="single" w:sz="4" w:space="0" w:color="auto"/>
              <w:right w:val="single" w:sz="4" w:space="0" w:color="auto"/>
            </w:tcBorders>
            <w:shd w:val="clear" w:color="auto" w:fill="auto"/>
            <w:vAlign w:val="center"/>
            <w:hideMark/>
          </w:tcPr>
          <w:p w14:paraId="28BCA919"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N/A</w:t>
            </w:r>
          </w:p>
          <w:p w14:paraId="68AFE711"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p w14:paraId="3F4076DB"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p w14:paraId="271C76D1"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690" w:type="dxa"/>
            <w:tcBorders>
              <w:top w:val="single" w:sz="4" w:space="0" w:color="auto"/>
              <w:left w:val="nil"/>
              <w:bottom w:val="single" w:sz="4" w:space="0" w:color="auto"/>
              <w:right w:val="single" w:sz="4" w:space="0" w:color="auto"/>
            </w:tcBorders>
            <w:shd w:val="clear" w:color="auto" w:fill="auto"/>
            <w:vAlign w:val="center"/>
            <w:hideMark/>
          </w:tcPr>
          <w:p w14:paraId="0A06FFCE"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083" w:type="dxa"/>
            <w:tcBorders>
              <w:top w:val="single" w:sz="4" w:space="0" w:color="auto"/>
              <w:left w:val="nil"/>
              <w:bottom w:val="single" w:sz="4" w:space="0" w:color="auto"/>
              <w:right w:val="single" w:sz="4" w:space="0" w:color="auto"/>
            </w:tcBorders>
            <w:shd w:val="clear" w:color="auto" w:fill="auto"/>
            <w:vAlign w:val="center"/>
            <w:hideMark/>
          </w:tcPr>
          <w:p w14:paraId="49902713"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209" w:type="dxa"/>
            <w:tcBorders>
              <w:top w:val="single" w:sz="4" w:space="0" w:color="auto"/>
              <w:left w:val="nil"/>
              <w:bottom w:val="single" w:sz="4" w:space="0" w:color="auto"/>
              <w:right w:val="single" w:sz="4" w:space="0" w:color="auto"/>
            </w:tcBorders>
            <w:shd w:val="clear" w:color="auto" w:fill="auto"/>
            <w:vAlign w:val="center"/>
            <w:hideMark/>
          </w:tcPr>
          <w:p w14:paraId="3A37E84F"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590B71" w:rsidRPr="003F7F6C" w14:paraId="1CBE9BD9" w14:textId="77777777" w:rsidTr="003A428B">
        <w:trPr>
          <w:trHeight w:val="735"/>
        </w:trPr>
        <w:tc>
          <w:tcPr>
            <w:tcW w:w="1978" w:type="dxa"/>
            <w:vMerge/>
            <w:tcBorders>
              <w:top w:val="single" w:sz="4" w:space="0" w:color="auto"/>
              <w:left w:val="single" w:sz="4" w:space="0" w:color="auto"/>
              <w:bottom w:val="single" w:sz="4" w:space="0" w:color="auto"/>
              <w:right w:val="single" w:sz="4" w:space="0" w:color="auto"/>
            </w:tcBorders>
            <w:vAlign w:val="center"/>
            <w:hideMark/>
          </w:tcPr>
          <w:p w14:paraId="2DF13FA3" w14:textId="77777777" w:rsidR="00590B71" w:rsidRPr="003F7F6C" w:rsidRDefault="00590B71" w:rsidP="00590B71">
            <w:pPr>
              <w:spacing w:after="0"/>
              <w:rPr>
                <w:rFonts w:eastAsia="Times New Roman" w:cs="Calibri"/>
                <w:color w:val="000000"/>
                <w:sz w:val="18"/>
                <w:szCs w:val="18"/>
                <w:lang w:eastAsia="es-ES"/>
              </w:rPr>
            </w:pPr>
          </w:p>
        </w:tc>
        <w:tc>
          <w:tcPr>
            <w:tcW w:w="4517" w:type="dxa"/>
            <w:tcBorders>
              <w:top w:val="single" w:sz="4" w:space="0" w:color="auto"/>
              <w:left w:val="nil"/>
              <w:bottom w:val="single" w:sz="4" w:space="0" w:color="auto"/>
              <w:right w:val="single" w:sz="4" w:space="0" w:color="auto"/>
            </w:tcBorders>
            <w:shd w:val="clear" w:color="auto" w:fill="auto"/>
            <w:vAlign w:val="center"/>
            <w:hideMark/>
          </w:tcPr>
          <w:p w14:paraId="1B232CE7" w14:textId="77777777" w:rsidR="00590B71" w:rsidRPr="003F7F6C" w:rsidRDefault="00590B71" w:rsidP="00590B71">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Traditional knowledge is identified and recognized as</w:t>
            </w:r>
          </w:p>
          <w:p w14:paraId="2F7E67D8"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important but is not collected and used in relevant</w:t>
            </w:r>
          </w:p>
          <w:p w14:paraId="1F629FB7" w14:textId="77777777" w:rsidR="00590B71" w:rsidRPr="003F7F6C" w:rsidRDefault="00590B71" w:rsidP="00590B71">
            <w:pPr>
              <w:spacing w:after="0"/>
              <w:rPr>
                <w:rFonts w:eastAsia="Times New Roman" w:cs="Calibri"/>
                <w:color w:val="000000"/>
                <w:sz w:val="18"/>
                <w:szCs w:val="18"/>
                <w:lang w:eastAsia="es-ES"/>
              </w:rPr>
            </w:pPr>
            <w:r w:rsidRPr="003F7F6C">
              <w:rPr>
                <w:rFonts w:cs="Calibri"/>
                <w:sz w:val="18"/>
                <w:szCs w:val="18"/>
              </w:rPr>
              <w:t>participative decision-making processes</w:t>
            </w:r>
          </w:p>
        </w:tc>
        <w:tc>
          <w:tcPr>
            <w:tcW w:w="808" w:type="dxa"/>
            <w:tcBorders>
              <w:top w:val="single" w:sz="4" w:space="0" w:color="auto"/>
              <w:left w:val="nil"/>
              <w:bottom w:val="single" w:sz="4" w:space="0" w:color="auto"/>
              <w:right w:val="single" w:sz="4" w:space="0" w:color="auto"/>
            </w:tcBorders>
            <w:shd w:val="clear" w:color="auto" w:fill="auto"/>
            <w:vAlign w:val="center"/>
            <w:hideMark/>
          </w:tcPr>
          <w:p w14:paraId="2595E595"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1</w:t>
            </w:r>
          </w:p>
        </w:tc>
        <w:tc>
          <w:tcPr>
            <w:tcW w:w="819" w:type="dxa"/>
            <w:vMerge/>
            <w:tcBorders>
              <w:top w:val="single" w:sz="4" w:space="0" w:color="auto"/>
              <w:left w:val="nil"/>
              <w:bottom w:val="single" w:sz="4" w:space="0" w:color="auto"/>
              <w:right w:val="single" w:sz="4" w:space="0" w:color="auto"/>
            </w:tcBorders>
            <w:shd w:val="clear" w:color="auto" w:fill="auto"/>
            <w:vAlign w:val="center"/>
            <w:hideMark/>
          </w:tcPr>
          <w:p w14:paraId="02953E27" w14:textId="77777777" w:rsidR="00590B71" w:rsidRPr="003F7F6C" w:rsidRDefault="00590B71" w:rsidP="00590B71">
            <w:pPr>
              <w:spacing w:after="0"/>
              <w:rPr>
                <w:rFonts w:eastAsia="Times New Roman" w:cs="Calibri"/>
                <w:color w:val="000000"/>
                <w:sz w:val="18"/>
                <w:szCs w:val="18"/>
                <w:lang w:eastAsia="es-ES"/>
              </w:rPr>
            </w:pPr>
          </w:p>
        </w:tc>
        <w:tc>
          <w:tcPr>
            <w:tcW w:w="2690" w:type="dxa"/>
            <w:tcBorders>
              <w:top w:val="single" w:sz="4" w:space="0" w:color="auto"/>
              <w:left w:val="nil"/>
              <w:bottom w:val="single" w:sz="4" w:space="0" w:color="auto"/>
              <w:right w:val="single" w:sz="4" w:space="0" w:color="auto"/>
            </w:tcBorders>
            <w:shd w:val="clear" w:color="auto" w:fill="auto"/>
            <w:vAlign w:val="center"/>
            <w:hideMark/>
          </w:tcPr>
          <w:p w14:paraId="327E1A69"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083" w:type="dxa"/>
            <w:tcBorders>
              <w:top w:val="single" w:sz="4" w:space="0" w:color="auto"/>
              <w:left w:val="nil"/>
              <w:bottom w:val="single" w:sz="4" w:space="0" w:color="auto"/>
              <w:right w:val="single" w:sz="4" w:space="0" w:color="auto"/>
            </w:tcBorders>
            <w:shd w:val="clear" w:color="auto" w:fill="auto"/>
            <w:vAlign w:val="center"/>
            <w:hideMark/>
          </w:tcPr>
          <w:p w14:paraId="2AC8097C"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209" w:type="dxa"/>
            <w:tcBorders>
              <w:top w:val="single" w:sz="4" w:space="0" w:color="auto"/>
              <w:left w:val="nil"/>
              <w:bottom w:val="single" w:sz="4" w:space="0" w:color="auto"/>
              <w:right w:val="single" w:sz="4" w:space="0" w:color="auto"/>
            </w:tcBorders>
            <w:shd w:val="clear" w:color="auto" w:fill="auto"/>
            <w:vAlign w:val="center"/>
            <w:hideMark/>
          </w:tcPr>
          <w:p w14:paraId="5720B4A2"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590B71" w:rsidRPr="003F7F6C" w14:paraId="1FCE2956" w14:textId="77777777" w:rsidTr="003A428B">
        <w:trPr>
          <w:trHeight w:val="300"/>
        </w:trPr>
        <w:tc>
          <w:tcPr>
            <w:tcW w:w="1978" w:type="dxa"/>
            <w:vMerge/>
            <w:tcBorders>
              <w:top w:val="single" w:sz="4" w:space="0" w:color="auto"/>
              <w:left w:val="single" w:sz="4" w:space="0" w:color="auto"/>
              <w:bottom w:val="single" w:sz="4" w:space="0" w:color="auto"/>
              <w:right w:val="single" w:sz="4" w:space="0" w:color="auto"/>
            </w:tcBorders>
            <w:vAlign w:val="center"/>
            <w:hideMark/>
          </w:tcPr>
          <w:p w14:paraId="576D8403" w14:textId="77777777" w:rsidR="00590B71" w:rsidRPr="003F7F6C" w:rsidRDefault="00590B71" w:rsidP="00590B71">
            <w:pPr>
              <w:spacing w:after="0"/>
              <w:rPr>
                <w:rFonts w:eastAsia="Times New Roman" w:cs="Calibri"/>
                <w:color w:val="000000"/>
                <w:sz w:val="18"/>
                <w:szCs w:val="18"/>
                <w:lang w:eastAsia="es-ES"/>
              </w:rPr>
            </w:pPr>
          </w:p>
        </w:tc>
        <w:tc>
          <w:tcPr>
            <w:tcW w:w="4517" w:type="dxa"/>
            <w:tcBorders>
              <w:top w:val="single" w:sz="4" w:space="0" w:color="auto"/>
              <w:left w:val="nil"/>
              <w:bottom w:val="single" w:sz="4" w:space="0" w:color="auto"/>
              <w:right w:val="single" w:sz="4" w:space="0" w:color="auto"/>
            </w:tcBorders>
            <w:shd w:val="clear" w:color="auto" w:fill="auto"/>
            <w:vAlign w:val="center"/>
            <w:hideMark/>
          </w:tcPr>
          <w:p w14:paraId="1F6E3910" w14:textId="77777777" w:rsidR="00590B71" w:rsidRPr="003F7F6C" w:rsidRDefault="00590B71" w:rsidP="00590B71">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Traditional knowledge is collected but is not used</w:t>
            </w:r>
          </w:p>
          <w:p w14:paraId="628FE9B6"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systematically into relevant participative decisionmaking</w:t>
            </w:r>
          </w:p>
          <w:p w14:paraId="4605CF39" w14:textId="77777777" w:rsidR="00590B71" w:rsidRPr="003F7F6C" w:rsidRDefault="00590B71" w:rsidP="00590B71">
            <w:pPr>
              <w:spacing w:after="0"/>
              <w:rPr>
                <w:rFonts w:eastAsia="Times New Roman" w:cs="Calibri"/>
                <w:color w:val="000000"/>
                <w:sz w:val="18"/>
                <w:szCs w:val="18"/>
                <w:lang w:eastAsia="es-ES"/>
              </w:rPr>
            </w:pPr>
            <w:r w:rsidRPr="003F7F6C">
              <w:rPr>
                <w:rFonts w:cs="Calibri"/>
                <w:sz w:val="18"/>
                <w:szCs w:val="18"/>
              </w:rPr>
              <w:t>processes</w:t>
            </w:r>
          </w:p>
        </w:tc>
        <w:tc>
          <w:tcPr>
            <w:tcW w:w="808" w:type="dxa"/>
            <w:tcBorders>
              <w:top w:val="single" w:sz="4" w:space="0" w:color="auto"/>
              <w:left w:val="nil"/>
              <w:bottom w:val="single" w:sz="4" w:space="0" w:color="auto"/>
              <w:right w:val="single" w:sz="4" w:space="0" w:color="auto"/>
            </w:tcBorders>
            <w:shd w:val="clear" w:color="auto" w:fill="auto"/>
            <w:vAlign w:val="center"/>
            <w:hideMark/>
          </w:tcPr>
          <w:p w14:paraId="67EB8AF5"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2</w:t>
            </w:r>
          </w:p>
        </w:tc>
        <w:tc>
          <w:tcPr>
            <w:tcW w:w="819" w:type="dxa"/>
            <w:vMerge/>
            <w:tcBorders>
              <w:top w:val="single" w:sz="4" w:space="0" w:color="auto"/>
              <w:left w:val="nil"/>
              <w:bottom w:val="single" w:sz="4" w:space="0" w:color="auto"/>
              <w:right w:val="single" w:sz="4" w:space="0" w:color="auto"/>
            </w:tcBorders>
            <w:shd w:val="clear" w:color="auto" w:fill="auto"/>
            <w:vAlign w:val="center"/>
            <w:hideMark/>
          </w:tcPr>
          <w:p w14:paraId="523EBD42" w14:textId="77777777" w:rsidR="00590B71" w:rsidRPr="003F7F6C" w:rsidRDefault="00590B71" w:rsidP="00590B71">
            <w:pPr>
              <w:spacing w:after="0"/>
              <w:rPr>
                <w:rFonts w:eastAsia="Times New Roman" w:cs="Calibri"/>
                <w:color w:val="000000"/>
                <w:sz w:val="18"/>
                <w:szCs w:val="18"/>
                <w:lang w:eastAsia="es-ES"/>
              </w:rPr>
            </w:pPr>
          </w:p>
        </w:tc>
        <w:tc>
          <w:tcPr>
            <w:tcW w:w="2690" w:type="dxa"/>
            <w:tcBorders>
              <w:top w:val="single" w:sz="4" w:space="0" w:color="auto"/>
              <w:left w:val="nil"/>
              <w:bottom w:val="single" w:sz="4" w:space="0" w:color="auto"/>
              <w:right w:val="single" w:sz="4" w:space="0" w:color="auto"/>
            </w:tcBorders>
            <w:shd w:val="clear" w:color="auto" w:fill="auto"/>
            <w:vAlign w:val="center"/>
            <w:hideMark/>
          </w:tcPr>
          <w:p w14:paraId="4BEF682A"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083" w:type="dxa"/>
            <w:tcBorders>
              <w:top w:val="single" w:sz="4" w:space="0" w:color="auto"/>
              <w:left w:val="nil"/>
              <w:bottom w:val="single" w:sz="4" w:space="0" w:color="auto"/>
              <w:right w:val="single" w:sz="4" w:space="0" w:color="auto"/>
            </w:tcBorders>
            <w:shd w:val="clear" w:color="auto" w:fill="auto"/>
            <w:vAlign w:val="center"/>
            <w:hideMark/>
          </w:tcPr>
          <w:p w14:paraId="3A7BEF45"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209" w:type="dxa"/>
            <w:tcBorders>
              <w:top w:val="single" w:sz="4" w:space="0" w:color="auto"/>
              <w:left w:val="nil"/>
              <w:bottom w:val="single" w:sz="4" w:space="0" w:color="auto"/>
              <w:right w:val="single" w:sz="4" w:space="0" w:color="auto"/>
            </w:tcBorders>
            <w:shd w:val="clear" w:color="auto" w:fill="auto"/>
            <w:vAlign w:val="center"/>
            <w:hideMark/>
          </w:tcPr>
          <w:p w14:paraId="3F970601"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590B71" w:rsidRPr="003F7F6C" w14:paraId="3DA9B91C" w14:textId="77777777" w:rsidTr="003A428B">
        <w:trPr>
          <w:trHeight w:val="300"/>
        </w:trPr>
        <w:tc>
          <w:tcPr>
            <w:tcW w:w="1978" w:type="dxa"/>
            <w:vMerge/>
            <w:tcBorders>
              <w:top w:val="single" w:sz="4" w:space="0" w:color="auto"/>
              <w:left w:val="single" w:sz="4" w:space="0" w:color="auto"/>
              <w:bottom w:val="single" w:sz="4" w:space="0" w:color="auto"/>
              <w:right w:val="single" w:sz="4" w:space="0" w:color="auto"/>
            </w:tcBorders>
            <w:vAlign w:val="center"/>
            <w:hideMark/>
          </w:tcPr>
          <w:p w14:paraId="43147AF8" w14:textId="77777777" w:rsidR="00590B71" w:rsidRPr="003F7F6C" w:rsidRDefault="00590B71" w:rsidP="00590B71">
            <w:pPr>
              <w:spacing w:after="0"/>
              <w:rPr>
                <w:rFonts w:eastAsia="Times New Roman" w:cs="Calibri"/>
                <w:color w:val="000000"/>
                <w:sz w:val="18"/>
                <w:szCs w:val="18"/>
                <w:lang w:eastAsia="es-ES"/>
              </w:rPr>
            </w:pPr>
          </w:p>
        </w:tc>
        <w:tc>
          <w:tcPr>
            <w:tcW w:w="4517" w:type="dxa"/>
            <w:tcBorders>
              <w:top w:val="single" w:sz="4" w:space="0" w:color="auto"/>
              <w:left w:val="nil"/>
              <w:bottom w:val="single" w:sz="4" w:space="0" w:color="auto"/>
              <w:right w:val="single" w:sz="4" w:space="0" w:color="auto"/>
            </w:tcBorders>
            <w:shd w:val="clear" w:color="auto" w:fill="auto"/>
            <w:vAlign w:val="center"/>
            <w:hideMark/>
          </w:tcPr>
          <w:p w14:paraId="03BE54D0" w14:textId="77777777" w:rsidR="00590B71" w:rsidRPr="003F7F6C" w:rsidRDefault="00590B71" w:rsidP="00590B71">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Traditional knowledge is collected, used and shared</w:t>
            </w:r>
          </w:p>
          <w:p w14:paraId="37C86570" w14:textId="77777777" w:rsidR="00590B71" w:rsidRPr="003F7F6C" w:rsidRDefault="00590B71" w:rsidP="00590B71">
            <w:pPr>
              <w:spacing w:after="0"/>
              <w:rPr>
                <w:rFonts w:eastAsia="Times New Roman" w:cs="Calibri"/>
                <w:color w:val="000000"/>
                <w:sz w:val="18"/>
                <w:szCs w:val="18"/>
                <w:lang w:eastAsia="es-ES"/>
              </w:rPr>
            </w:pPr>
            <w:r w:rsidRPr="003F7F6C">
              <w:rPr>
                <w:rFonts w:cs="Calibri"/>
                <w:sz w:val="18"/>
                <w:szCs w:val="18"/>
              </w:rPr>
              <w:t>for effective participative decision-making processes</w:t>
            </w:r>
          </w:p>
        </w:tc>
        <w:tc>
          <w:tcPr>
            <w:tcW w:w="808" w:type="dxa"/>
            <w:tcBorders>
              <w:top w:val="single" w:sz="4" w:space="0" w:color="auto"/>
              <w:left w:val="nil"/>
              <w:bottom w:val="single" w:sz="4" w:space="0" w:color="auto"/>
              <w:right w:val="single" w:sz="4" w:space="0" w:color="auto"/>
            </w:tcBorders>
            <w:shd w:val="clear" w:color="auto" w:fill="auto"/>
            <w:vAlign w:val="center"/>
            <w:hideMark/>
          </w:tcPr>
          <w:p w14:paraId="1DE8442B"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3</w:t>
            </w:r>
          </w:p>
        </w:tc>
        <w:tc>
          <w:tcPr>
            <w:tcW w:w="819" w:type="dxa"/>
            <w:vMerge/>
            <w:tcBorders>
              <w:top w:val="single" w:sz="4" w:space="0" w:color="auto"/>
              <w:left w:val="nil"/>
              <w:bottom w:val="single" w:sz="4" w:space="0" w:color="auto"/>
              <w:right w:val="single" w:sz="4" w:space="0" w:color="auto"/>
            </w:tcBorders>
            <w:shd w:val="clear" w:color="auto" w:fill="auto"/>
            <w:vAlign w:val="center"/>
            <w:hideMark/>
          </w:tcPr>
          <w:p w14:paraId="728BEE39" w14:textId="77777777" w:rsidR="00590B71" w:rsidRPr="003F7F6C" w:rsidRDefault="00590B71" w:rsidP="00590B71">
            <w:pPr>
              <w:spacing w:after="0"/>
              <w:rPr>
                <w:rFonts w:eastAsia="Times New Roman" w:cs="Calibri"/>
                <w:color w:val="000000"/>
                <w:sz w:val="18"/>
                <w:szCs w:val="18"/>
                <w:lang w:eastAsia="es-ES"/>
              </w:rPr>
            </w:pPr>
          </w:p>
        </w:tc>
        <w:tc>
          <w:tcPr>
            <w:tcW w:w="2690" w:type="dxa"/>
            <w:tcBorders>
              <w:top w:val="single" w:sz="4" w:space="0" w:color="auto"/>
              <w:left w:val="nil"/>
              <w:bottom w:val="single" w:sz="4" w:space="0" w:color="auto"/>
              <w:right w:val="single" w:sz="4" w:space="0" w:color="auto"/>
            </w:tcBorders>
            <w:shd w:val="clear" w:color="auto" w:fill="auto"/>
            <w:vAlign w:val="center"/>
            <w:hideMark/>
          </w:tcPr>
          <w:p w14:paraId="7D3F0148"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083" w:type="dxa"/>
            <w:tcBorders>
              <w:top w:val="single" w:sz="4" w:space="0" w:color="auto"/>
              <w:left w:val="nil"/>
              <w:bottom w:val="single" w:sz="4" w:space="0" w:color="auto"/>
              <w:right w:val="single" w:sz="4" w:space="0" w:color="auto"/>
            </w:tcBorders>
            <w:shd w:val="clear" w:color="auto" w:fill="auto"/>
            <w:vAlign w:val="center"/>
            <w:hideMark/>
          </w:tcPr>
          <w:p w14:paraId="75211BAB"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209" w:type="dxa"/>
            <w:tcBorders>
              <w:top w:val="single" w:sz="4" w:space="0" w:color="auto"/>
              <w:left w:val="nil"/>
              <w:bottom w:val="single" w:sz="4" w:space="0" w:color="auto"/>
              <w:right w:val="single" w:sz="4" w:space="0" w:color="auto"/>
            </w:tcBorders>
            <w:shd w:val="clear" w:color="auto" w:fill="auto"/>
            <w:vAlign w:val="center"/>
            <w:hideMark/>
          </w:tcPr>
          <w:p w14:paraId="122F5A59"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590B71" w:rsidRPr="003F7F6C" w14:paraId="5B2738E2" w14:textId="77777777" w:rsidTr="003A428B">
        <w:trPr>
          <w:trHeight w:val="300"/>
        </w:trPr>
        <w:tc>
          <w:tcPr>
            <w:tcW w:w="1978" w:type="dxa"/>
            <w:tcBorders>
              <w:top w:val="nil"/>
              <w:left w:val="single" w:sz="4" w:space="0" w:color="auto"/>
              <w:bottom w:val="single" w:sz="4" w:space="0" w:color="auto"/>
              <w:right w:val="single" w:sz="4" w:space="0" w:color="auto"/>
            </w:tcBorders>
            <w:vAlign w:val="center"/>
          </w:tcPr>
          <w:p w14:paraId="332F4A87" w14:textId="77777777" w:rsidR="00590B71" w:rsidRPr="003F7F6C" w:rsidRDefault="00590B71" w:rsidP="00590B71">
            <w:pPr>
              <w:spacing w:after="0"/>
              <w:rPr>
                <w:rFonts w:eastAsia="Times New Roman" w:cs="Calibri"/>
                <w:color w:val="000000"/>
                <w:sz w:val="18"/>
                <w:szCs w:val="18"/>
                <w:lang w:eastAsia="es-ES"/>
              </w:rPr>
            </w:pPr>
          </w:p>
        </w:tc>
        <w:tc>
          <w:tcPr>
            <w:tcW w:w="4517" w:type="dxa"/>
            <w:tcBorders>
              <w:top w:val="nil"/>
              <w:left w:val="nil"/>
              <w:bottom w:val="single" w:sz="4" w:space="0" w:color="auto"/>
              <w:right w:val="single" w:sz="4" w:space="0" w:color="auto"/>
            </w:tcBorders>
            <w:shd w:val="clear" w:color="auto" w:fill="auto"/>
            <w:vAlign w:val="center"/>
          </w:tcPr>
          <w:p w14:paraId="384AF157" w14:textId="77777777" w:rsidR="00590B71" w:rsidRPr="003F7F6C" w:rsidRDefault="00590B71" w:rsidP="00590B71">
            <w:pPr>
              <w:autoSpaceDE w:val="0"/>
              <w:autoSpaceDN w:val="0"/>
              <w:adjustRightInd w:val="0"/>
              <w:spacing w:after="0"/>
              <w:rPr>
                <w:rFonts w:eastAsia="Times New Roman" w:cs="Calibri"/>
                <w:color w:val="000000"/>
                <w:sz w:val="18"/>
                <w:szCs w:val="18"/>
                <w:lang w:eastAsia="es-ES"/>
              </w:rPr>
            </w:pPr>
          </w:p>
        </w:tc>
        <w:tc>
          <w:tcPr>
            <w:tcW w:w="808" w:type="dxa"/>
            <w:tcBorders>
              <w:top w:val="nil"/>
              <w:left w:val="nil"/>
              <w:bottom w:val="single" w:sz="4" w:space="0" w:color="auto"/>
              <w:right w:val="single" w:sz="4" w:space="0" w:color="auto"/>
            </w:tcBorders>
            <w:shd w:val="clear" w:color="auto" w:fill="auto"/>
            <w:vAlign w:val="center"/>
          </w:tcPr>
          <w:p w14:paraId="2E195758"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12</w:t>
            </w:r>
          </w:p>
        </w:tc>
        <w:tc>
          <w:tcPr>
            <w:tcW w:w="819" w:type="dxa"/>
            <w:tcBorders>
              <w:left w:val="nil"/>
              <w:bottom w:val="single" w:sz="4" w:space="0" w:color="auto"/>
              <w:right w:val="single" w:sz="4" w:space="0" w:color="auto"/>
            </w:tcBorders>
            <w:shd w:val="clear" w:color="auto" w:fill="auto"/>
            <w:vAlign w:val="center"/>
          </w:tcPr>
          <w:p w14:paraId="1D38A26A"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6</w:t>
            </w:r>
          </w:p>
        </w:tc>
        <w:tc>
          <w:tcPr>
            <w:tcW w:w="2690" w:type="dxa"/>
            <w:tcBorders>
              <w:top w:val="nil"/>
              <w:left w:val="nil"/>
              <w:bottom w:val="single" w:sz="4" w:space="0" w:color="auto"/>
              <w:right w:val="single" w:sz="4" w:space="0" w:color="auto"/>
            </w:tcBorders>
            <w:shd w:val="clear" w:color="auto" w:fill="auto"/>
            <w:vAlign w:val="center"/>
          </w:tcPr>
          <w:p w14:paraId="20BB6F03" w14:textId="77777777" w:rsidR="00590B71" w:rsidRPr="003F7F6C" w:rsidRDefault="00590B71" w:rsidP="00590B71">
            <w:pPr>
              <w:spacing w:after="0"/>
              <w:rPr>
                <w:rFonts w:eastAsia="Times New Roman" w:cs="Calibri"/>
                <w:color w:val="000000"/>
                <w:sz w:val="18"/>
                <w:szCs w:val="18"/>
                <w:lang w:eastAsia="es-ES"/>
              </w:rPr>
            </w:pPr>
          </w:p>
        </w:tc>
        <w:tc>
          <w:tcPr>
            <w:tcW w:w="2083" w:type="dxa"/>
            <w:tcBorders>
              <w:top w:val="nil"/>
              <w:left w:val="nil"/>
              <w:bottom w:val="single" w:sz="4" w:space="0" w:color="auto"/>
              <w:right w:val="single" w:sz="4" w:space="0" w:color="auto"/>
            </w:tcBorders>
            <w:shd w:val="clear" w:color="auto" w:fill="auto"/>
            <w:vAlign w:val="center"/>
          </w:tcPr>
          <w:p w14:paraId="519E89E6" w14:textId="77777777" w:rsidR="00590B71" w:rsidRPr="003F7F6C" w:rsidRDefault="00590B71" w:rsidP="00590B71">
            <w:pPr>
              <w:spacing w:after="0"/>
              <w:rPr>
                <w:rFonts w:eastAsia="Times New Roman" w:cs="Calibri"/>
                <w:color w:val="000000"/>
                <w:sz w:val="18"/>
                <w:szCs w:val="18"/>
                <w:lang w:eastAsia="es-ES"/>
              </w:rPr>
            </w:pPr>
          </w:p>
        </w:tc>
        <w:tc>
          <w:tcPr>
            <w:tcW w:w="1209" w:type="dxa"/>
            <w:tcBorders>
              <w:top w:val="nil"/>
              <w:left w:val="nil"/>
              <w:bottom w:val="single" w:sz="4" w:space="0" w:color="auto"/>
              <w:right w:val="single" w:sz="4" w:space="0" w:color="auto"/>
            </w:tcBorders>
            <w:shd w:val="clear" w:color="auto" w:fill="auto"/>
            <w:vAlign w:val="center"/>
          </w:tcPr>
          <w:p w14:paraId="4A1D2527" w14:textId="77777777" w:rsidR="00590B71" w:rsidRPr="003F7F6C" w:rsidRDefault="00590B71" w:rsidP="00590B71">
            <w:pPr>
              <w:spacing w:after="0"/>
              <w:rPr>
                <w:rFonts w:eastAsia="Times New Roman" w:cs="Calibri"/>
                <w:color w:val="000000"/>
                <w:sz w:val="18"/>
                <w:szCs w:val="18"/>
                <w:lang w:eastAsia="es-ES"/>
              </w:rPr>
            </w:pPr>
          </w:p>
        </w:tc>
      </w:tr>
      <w:tr w:rsidR="00590B71" w:rsidRPr="003F7F6C" w14:paraId="5766696E" w14:textId="77777777" w:rsidTr="003A428B">
        <w:trPr>
          <w:trHeight w:val="300"/>
        </w:trPr>
        <w:tc>
          <w:tcPr>
            <w:tcW w:w="1978" w:type="dxa"/>
            <w:tcBorders>
              <w:top w:val="nil"/>
              <w:left w:val="single" w:sz="4" w:space="0" w:color="auto"/>
              <w:bottom w:val="single" w:sz="4" w:space="0" w:color="auto"/>
              <w:right w:val="single" w:sz="4" w:space="0" w:color="auto"/>
            </w:tcBorders>
            <w:vAlign w:val="center"/>
          </w:tcPr>
          <w:p w14:paraId="0ABE2FA4" w14:textId="77777777" w:rsidR="00590B71" w:rsidRPr="003F7F6C" w:rsidRDefault="00590B71" w:rsidP="00590B71">
            <w:pPr>
              <w:spacing w:after="0"/>
              <w:rPr>
                <w:rFonts w:eastAsia="Times New Roman" w:cs="Calibri"/>
                <w:color w:val="000000"/>
                <w:sz w:val="18"/>
                <w:szCs w:val="18"/>
                <w:lang w:eastAsia="es-ES"/>
              </w:rPr>
            </w:pPr>
          </w:p>
        </w:tc>
        <w:tc>
          <w:tcPr>
            <w:tcW w:w="4517" w:type="dxa"/>
            <w:tcBorders>
              <w:top w:val="nil"/>
              <w:left w:val="nil"/>
              <w:bottom w:val="single" w:sz="4" w:space="0" w:color="auto"/>
              <w:right w:val="single" w:sz="4" w:space="0" w:color="auto"/>
            </w:tcBorders>
            <w:shd w:val="clear" w:color="auto" w:fill="auto"/>
            <w:vAlign w:val="center"/>
          </w:tcPr>
          <w:p w14:paraId="3D364B85" w14:textId="77777777" w:rsidR="00590B71" w:rsidRPr="003F7F6C" w:rsidRDefault="00590B71" w:rsidP="00590B71">
            <w:pPr>
              <w:autoSpaceDE w:val="0"/>
              <w:autoSpaceDN w:val="0"/>
              <w:adjustRightInd w:val="0"/>
              <w:spacing w:after="0"/>
              <w:rPr>
                <w:rFonts w:eastAsia="Times New Roman" w:cs="Calibri"/>
                <w:color w:val="000000"/>
                <w:sz w:val="18"/>
                <w:szCs w:val="18"/>
                <w:lang w:eastAsia="es-ES"/>
              </w:rPr>
            </w:pPr>
          </w:p>
        </w:tc>
        <w:tc>
          <w:tcPr>
            <w:tcW w:w="808" w:type="dxa"/>
            <w:tcBorders>
              <w:top w:val="nil"/>
              <w:left w:val="nil"/>
              <w:bottom w:val="single" w:sz="4" w:space="0" w:color="auto"/>
              <w:right w:val="single" w:sz="4" w:space="0" w:color="auto"/>
            </w:tcBorders>
            <w:shd w:val="clear" w:color="auto" w:fill="auto"/>
            <w:vAlign w:val="center"/>
          </w:tcPr>
          <w:p w14:paraId="66FBF5D8" w14:textId="77777777" w:rsidR="00590B71" w:rsidRPr="003F7F6C" w:rsidRDefault="00590B71" w:rsidP="00590B71">
            <w:pPr>
              <w:spacing w:after="0"/>
              <w:jc w:val="center"/>
              <w:rPr>
                <w:rFonts w:eastAsia="Times New Roman" w:cs="Calibri"/>
                <w:color w:val="000000"/>
                <w:sz w:val="18"/>
                <w:szCs w:val="18"/>
                <w:lang w:eastAsia="es-ES"/>
              </w:rPr>
            </w:pPr>
          </w:p>
        </w:tc>
        <w:tc>
          <w:tcPr>
            <w:tcW w:w="819" w:type="dxa"/>
            <w:tcBorders>
              <w:left w:val="nil"/>
              <w:bottom w:val="single" w:sz="4" w:space="0" w:color="auto"/>
              <w:right w:val="single" w:sz="4" w:space="0" w:color="auto"/>
            </w:tcBorders>
            <w:shd w:val="clear" w:color="auto" w:fill="auto"/>
            <w:vAlign w:val="center"/>
          </w:tcPr>
          <w:p w14:paraId="6B135913"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50%</w:t>
            </w:r>
          </w:p>
        </w:tc>
        <w:tc>
          <w:tcPr>
            <w:tcW w:w="2690" w:type="dxa"/>
            <w:tcBorders>
              <w:top w:val="nil"/>
              <w:left w:val="nil"/>
              <w:bottom w:val="single" w:sz="4" w:space="0" w:color="auto"/>
              <w:right w:val="single" w:sz="4" w:space="0" w:color="auto"/>
            </w:tcBorders>
            <w:shd w:val="clear" w:color="auto" w:fill="auto"/>
            <w:vAlign w:val="center"/>
          </w:tcPr>
          <w:p w14:paraId="604D2689" w14:textId="77777777" w:rsidR="00590B71" w:rsidRPr="003F7F6C" w:rsidRDefault="00590B71" w:rsidP="00590B71">
            <w:pPr>
              <w:spacing w:after="0"/>
              <w:rPr>
                <w:rFonts w:eastAsia="Times New Roman" w:cs="Calibri"/>
                <w:color w:val="000000"/>
                <w:sz w:val="18"/>
                <w:szCs w:val="18"/>
                <w:lang w:eastAsia="es-ES"/>
              </w:rPr>
            </w:pPr>
          </w:p>
        </w:tc>
        <w:tc>
          <w:tcPr>
            <w:tcW w:w="2083" w:type="dxa"/>
            <w:tcBorders>
              <w:top w:val="nil"/>
              <w:left w:val="nil"/>
              <w:bottom w:val="single" w:sz="4" w:space="0" w:color="auto"/>
              <w:right w:val="single" w:sz="4" w:space="0" w:color="auto"/>
            </w:tcBorders>
            <w:shd w:val="clear" w:color="auto" w:fill="auto"/>
            <w:vAlign w:val="center"/>
          </w:tcPr>
          <w:p w14:paraId="0ACC40B2" w14:textId="77777777" w:rsidR="00590B71" w:rsidRPr="003F7F6C" w:rsidRDefault="00590B71" w:rsidP="00590B71">
            <w:pPr>
              <w:spacing w:after="0"/>
              <w:rPr>
                <w:rFonts w:eastAsia="Times New Roman" w:cs="Calibri"/>
                <w:color w:val="000000"/>
                <w:sz w:val="18"/>
                <w:szCs w:val="18"/>
                <w:lang w:eastAsia="es-ES"/>
              </w:rPr>
            </w:pPr>
          </w:p>
        </w:tc>
        <w:tc>
          <w:tcPr>
            <w:tcW w:w="1209" w:type="dxa"/>
            <w:tcBorders>
              <w:top w:val="nil"/>
              <w:left w:val="nil"/>
              <w:bottom w:val="single" w:sz="4" w:space="0" w:color="auto"/>
              <w:right w:val="single" w:sz="4" w:space="0" w:color="auto"/>
            </w:tcBorders>
            <w:shd w:val="clear" w:color="auto" w:fill="auto"/>
            <w:vAlign w:val="center"/>
          </w:tcPr>
          <w:p w14:paraId="58DAA7DB" w14:textId="77777777" w:rsidR="00590B71" w:rsidRPr="003F7F6C" w:rsidRDefault="00590B71" w:rsidP="00590B71">
            <w:pPr>
              <w:spacing w:after="0"/>
              <w:rPr>
                <w:rFonts w:eastAsia="Times New Roman" w:cs="Calibri"/>
                <w:color w:val="000000"/>
                <w:sz w:val="18"/>
                <w:szCs w:val="18"/>
                <w:lang w:eastAsia="es-ES"/>
              </w:rPr>
            </w:pPr>
          </w:p>
        </w:tc>
      </w:tr>
      <w:tr w:rsidR="00590B71" w:rsidRPr="003F7F6C" w14:paraId="60EEC130" w14:textId="77777777" w:rsidTr="003A428B">
        <w:trPr>
          <w:trHeight w:val="300"/>
        </w:trPr>
        <w:tc>
          <w:tcPr>
            <w:tcW w:w="14104" w:type="dxa"/>
            <w:gridSpan w:val="7"/>
            <w:tcBorders>
              <w:top w:val="single" w:sz="4" w:space="0" w:color="auto"/>
              <w:left w:val="single" w:sz="4" w:space="0" w:color="auto"/>
              <w:bottom w:val="single" w:sz="4" w:space="0" w:color="auto"/>
              <w:right w:val="single" w:sz="4" w:space="0" w:color="auto"/>
            </w:tcBorders>
            <w:shd w:val="clear" w:color="000000" w:fill="D9D9D9"/>
            <w:vAlign w:val="center"/>
            <w:hideMark/>
          </w:tcPr>
          <w:p w14:paraId="0EE777E2"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 xml:space="preserve">CR 3: Capacities for Strategy, Policy and Legislation Development  </w:t>
            </w:r>
          </w:p>
        </w:tc>
      </w:tr>
      <w:tr w:rsidR="00590B71" w:rsidRPr="003F7F6C" w14:paraId="50072247" w14:textId="77777777" w:rsidTr="003A428B">
        <w:trPr>
          <w:trHeight w:val="300"/>
        </w:trPr>
        <w:tc>
          <w:tcPr>
            <w:tcW w:w="19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2762F18" w14:textId="77777777" w:rsidR="00590B71" w:rsidRPr="003F7F6C" w:rsidRDefault="00590B71" w:rsidP="00590B71">
            <w:pPr>
              <w:spacing w:after="0"/>
              <w:jc w:val="center"/>
              <w:rPr>
                <w:rFonts w:cs="Calibri"/>
                <w:sz w:val="18"/>
                <w:szCs w:val="18"/>
              </w:rPr>
            </w:pPr>
          </w:p>
          <w:p w14:paraId="4AF991B2"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cs="Calibri"/>
                <w:sz w:val="18"/>
                <w:szCs w:val="18"/>
              </w:rPr>
              <w:t>Indicator 9: Extent of the environmental planning and strategy development process</w:t>
            </w:r>
          </w:p>
        </w:tc>
        <w:tc>
          <w:tcPr>
            <w:tcW w:w="45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3573BAB" w14:textId="77777777" w:rsidR="00590B71" w:rsidRPr="003F7F6C" w:rsidRDefault="00590B71" w:rsidP="00590B71">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The environmental planning and strategy</w:t>
            </w:r>
          </w:p>
          <w:p w14:paraId="2498FF71"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development process is not coordinated and does not</w:t>
            </w:r>
          </w:p>
          <w:p w14:paraId="1C8C503E" w14:textId="77777777" w:rsidR="00590B71" w:rsidRPr="003F7F6C" w:rsidRDefault="00590B71" w:rsidP="00590B71">
            <w:pPr>
              <w:spacing w:after="0"/>
              <w:rPr>
                <w:rFonts w:eastAsia="Times New Roman" w:cs="Calibri"/>
                <w:color w:val="000000"/>
                <w:sz w:val="18"/>
                <w:szCs w:val="18"/>
                <w:lang w:eastAsia="es-ES"/>
              </w:rPr>
            </w:pPr>
            <w:r w:rsidRPr="003F7F6C">
              <w:rPr>
                <w:rFonts w:cs="Calibri"/>
                <w:sz w:val="18"/>
                <w:szCs w:val="18"/>
              </w:rPr>
              <w:t>produce adequate environmental plans and strategies</w:t>
            </w:r>
          </w:p>
        </w:tc>
        <w:tc>
          <w:tcPr>
            <w:tcW w:w="8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EF2B38"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0</w:t>
            </w:r>
          </w:p>
        </w:tc>
        <w:tc>
          <w:tcPr>
            <w:tcW w:w="8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B59F53C"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6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521DC3B"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0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F0AB0C1"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82BB68D"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590B71" w:rsidRPr="003F7F6C" w14:paraId="078AF500" w14:textId="77777777" w:rsidTr="003A428B">
        <w:trPr>
          <w:trHeight w:val="300"/>
        </w:trPr>
        <w:tc>
          <w:tcPr>
            <w:tcW w:w="1978" w:type="dxa"/>
            <w:vMerge/>
            <w:tcBorders>
              <w:top w:val="single" w:sz="4" w:space="0" w:color="auto"/>
              <w:left w:val="single" w:sz="4" w:space="0" w:color="auto"/>
              <w:bottom w:val="single" w:sz="4" w:space="0" w:color="auto"/>
              <w:right w:val="single" w:sz="4" w:space="0" w:color="auto"/>
            </w:tcBorders>
            <w:vAlign w:val="center"/>
            <w:hideMark/>
          </w:tcPr>
          <w:p w14:paraId="3CBADC94" w14:textId="77777777" w:rsidR="00590B71" w:rsidRPr="003F7F6C" w:rsidRDefault="00590B71" w:rsidP="00590B71">
            <w:pPr>
              <w:spacing w:after="0"/>
              <w:rPr>
                <w:rFonts w:eastAsia="Times New Roman" w:cs="Calibri"/>
                <w:color w:val="000000"/>
                <w:sz w:val="18"/>
                <w:szCs w:val="18"/>
                <w:lang w:eastAsia="es-ES"/>
              </w:rPr>
            </w:pPr>
          </w:p>
        </w:tc>
        <w:tc>
          <w:tcPr>
            <w:tcW w:w="45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7ACEAFC" w14:textId="77777777" w:rsidR="00590B71" w:rsidRPr="003F7F6C" w:rsidRDefault="00590B71" w:rsidP="00590B71">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The environmental planning and strategy</w:t>
            </w:r>
          </w:p>
          <w:p w14:paraId="6FBFC1DA"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development process does produce adequate</w:t>
            </w:r>
          </w:p>
          <w:p w14:paraId="2A7CAF26" w14:textId="77777777" w:rsidR="00590B71" w:rsidRPr="003F7F6C" w:rsidRDefault="00590B71" w:rsidP="00590B71">
            <w:pPr>
              <w:autoSpaceDE w:val="0"/>
              <w:autoSpaceDN w:val="0"/>
              <w:adjustRightInd w:val="0"/>
              <w:spacing w:after="0"/>
              <w:rPr>
                <w:rFonts w:eastAsia="Times New Roman" w:cs="Calibri"/>
                <w:color w:val="000000"/>
                <w:sz w:val="18"/>
                <w:szCs w:val="18"/>
                <w:lang w:eastAsia="es-ES"/>
              </w:rPr>
            </w:pPr>
            <w:r w:rsidRPr="003F7F6C">
              <w:rPr>
                <w:rFonts w:cs="Calibri"/>
                <w:sz w:val="18"/>
                <w:szCs w:val="18"/>
              </w:rPr>
              <w:t>environmental plans and strategies but there are not implemented/used</w:t>
            </w:r>
          </w:p>
        </w:tc>
        <w:tc>
          <w:tcPr>
            <w:tcW w:w="8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C580E76"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1</w:t>
            </w:r>
          </w:p>
        </w:tc>
        <w:tc>
          <w:tcPr>
            <w:tcW w:w="8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92F8D8D"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1</w:t>
            </w:r>
          </w:p>
        </w:tc>
        <w:tc>
          <w:tcPr>
            <w:tcW w:w="26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56150B"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There are ELUP planning strategies but have not been implemented</w:t>
            </w:r>
          </w:p>
        </w:tc>
        <w:tc>
          <w:tcPr>
            <w:tcW w:w="20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1721107"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Incorporation of ELUP strategies in planning processes</w:t>
            </w:r>
          </w:p>
          <w:p w14:paraId="3003FEB4" w14:textId="77777777" w:rsidR="00590B71" w:rsidRPr="003F7F6C" w:rsidRDefault="00590B71" w:rsidP="00590B71">
            <w:pPr>
              <w:spacing w:after="0"/>
              <w:rPr>
                <w:rFonts w:eastAsia="Times New Roman" w:cs="Calibri"/>
                <w:color w:val="000000"/>
                <w:sz w:val="18"/>
                <w:szCs w:val="18"/>
                <w:lang w:eastAsia="es-ES"/>
              </w:rPr>
            </w:pP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4F0BF8"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590B71" w:rsidRPr="003F7F6C" w14:paraId="3D5FC78A" w14:textId="77777777" w:rsidTr="003A428B">
        <w:trPr>
          <w:trHeight w:val="300"/>
        </w:trPr>
        <w:tc>
          <w:tcPr>
            <w:tcW w:w="1978" w:type="dxa"/>
            <w:vMerge/>
            <w:tcBorders>
              <w:top w:val="single" w:sz="4" w:space="0" w:color="auto"/>
              <w:left w:val="single" w:sz="4" w:space="0" w:color="auto"/>
              <w:bottom w:val="single" w:sz="4" w:space="0" w:color="auto"/>
              <w:right w:val="single" w:sz="4" w:space="0" w:color="auto"/>
            </w:tcBorders>
            <w:vAlign w:val="center"/>
            <w:hideMark/>
          </w:tcPr>
          <w:p w14:paraId="78E5B48C" w14:textId="77777777" w:rsidR="00590B71" w:rsidRPr="003F7F6C" w:rsidRDefault="00590B71" w:rsidP="00590B71">
            <w:pPr>
              <w:spacing w:after="0"/>
              <w:rPr>
                <w:rFonts w:eastAsia="Times New Roman" w:cs="Calibri"/>
                <w:color w:val="000000"/>
                <w:sz w:val="18"/>
                <w:szCs w:val="18"/>
                <w:lang w:eastAsia="es-ES"/>
              </w:rPr>
            </w:pPr>
          </w:p>
        </w:tc>
        <w:tc>
          <w:tcPr>
            <w:tcW w:w="45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F4C5DDD" w14:textId="77777777" w:rsidR="00590B71" w:rsidRPr="003F7F6C" w:rsidRDefault="00590B71" w:rsidP="00590B71">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Adequate environmental plans and strategies are</w:t>
            </w:r>
          </w:p>
          <w:p w14:paraId="4FB9BCA1"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produced but there are only partially implemented</w:t>
            </w:r>
          </w:p>
          <w:p w14:paraId="2386420F" w14:textId="77777777" w:rsidR="00590B71" w:rsidRPr="003F7F6C" w:rsidRDefault="00590B71" w:rsidP="00590B71">
            <w:pPr>
              <w:spacing w:after="0"/>
              <w:rPr>
                <w:rFonts w:eastAsia="Times New Roman" w:cs="Calibri"/>
                <w:color w:val="000000"/>
                <w:sz w:val="18"/>
                <w:szCs w:val="18"/>
                <w:lang w:eastAsia="es-ES"/>
              </w:rPr>
            </w:pPr>
            <w:r w:rsidRPr="003F7F6C">
              <w:rPr>
                <w:rFonts w:cs="Calibri"/>
                <w:sz w:val="18"/>
                <w:szCs w:val="18"/>
              </w:rPr>
              <w:t>because of funding constraints and/or other problems</w:t>
            </w:r>
          </w:p>
        </w:tc>
        <w:tc>
          <w:tcPr>
            <w:tcW w:w="8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A0FD8E"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c>
          <w:tcPr>
            <w:tcW w:w="8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B2C350F"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6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FC5FB0"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0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1EF9152"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A6BAF9"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590B71" w:rsidRPr="003F7F6C" w14:paraId="7F91446F" w14:textId="77777777" w:rsidTr="003A428B">
        <w:trPr>
          <w:trHeight w:val="300"/>
        </w:trPr>
        <w:tc>
          <w:tcPr>
            <w:tcW w:w="1978" w:type="dxa"/>
            <w:vMerge/>
            <w:tcBorders>
              <w:top w:val="single" w:sz="4" w:space="0" w:color="auto"/>
              <w:left w:val="single" w:sz="4" w:space="0" w:color="auto"/>
              <w:bottom w:val="single" w:sz="4" w:space="0" w:color="auto"/>
              <w:right w:val="single" w:sz="4" w:space="0" w:color="auto"/>
            </w:tcBorders>
            <w:vAlign w:val="center"/>
            <w:hideMark/>
          </w:tcPr>
          <w:p w14:paraId="1E76C4E3" w14:textId="77777777" w:rsidR="00590B71" w:rsidRPr="003F7F6C" w:rsidRDefault="00590B71" w:rsidP="00590B71">
            <w:pPr>
              <w:spacing w:after="0"/>
              <w:rPr>
                <w:rFonts w:eastAsia="Times New Roman" w:cs="Calibri"/>
                <w:color w:val="000000"/>
                <w:sz w:val="18"/>
                <w:szCs w:val="18"/>
                <w:lang w:eastAsia="es-ES"/>
              </w:rPr>
            </w:pPr>
          </w:p>
        </w:tc>
        <w:tc>
          <w:tcPr>
            <w:tcW w:w="45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6C0471" w14:textId="77777777" w:rsidR="00590B71" w:rsidRPr="003F7F6C" w:rsidRDefault="00590B71" w:rsidP="00590B71">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The environmental planning and strategy</w:t>
            </w:r>
          </w:p>
          <w:p w14:paraId="43F343EF"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development process is well coordinated by the lead</w:t>
            </w:r>
          </w:p>
          <w:p w14:paraId="6681FC57"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environmental organizations and produces the</w:t>
            </w:r>
          </w:p>
          <w:p w14:paraId="23BA919D"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required environmental plans and strategies; which</w:t>
            </w:r>
          </w:p>
          <w:p w14:paraId="4770FF1D" w14:textId="77777777" w:rsidR="00590B71" w:rsidRPr="003F7F6C" w:rsidRDefault="00590B71" w:rsidP="00590B71">
            <w:pPr>
              <w:spacing w:after="0"/>
              <w:rPr>
                <w:rFonts w:eastAsia="Times New Roman" w:cs="Calibri"/>
                <w:color w:val="000000"/>
                <w:sz w:val="18"/>
                <w:szCs w:val="18"/>
                <w:lang w:eastAsia="es-ES"/>
              </w:rPr>
            </w:pPr>
            <w:r w:rsidRPr="003F7F6C">
              <w:rPr>
                <w:rFonts w:cs="Calibri"/>
                <w:sz w:val="18"/>
                <w:szCs w:val="18"/>
              </w:rPr>
              <w:t>are being implemented</w:t>
            </w:r>
          </w:p>
        </w:tc>
        <w:tc>
          <w:tcPr>
            <w:tcW w:w="8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F7D586"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3</w:t>
            </w:r>
          </w:p>
        </w:tc>
        <w:tc>
          <w:tcPr>
            <w:tcW w:w="8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2C7554A"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6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41FC907"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0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27006E3"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EC4D0F7"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590B71" w:rsidRPr="003F7F6C" w14:paraId="69DB534D" w14:textId="77777777" w:rsidTr="003A428B">
        <w:trPr>
          <w:trHeight w:val="300"/>
        </w:trPr>
        <w:tc>
          <w:tcPr>
            <w:tcW w:w="19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2FB49B8"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Indicator 10: Existence of adequate environmental policy and regulatory frameworks</w:t>
            </w:r>
          </w:p>
        </w:tc>
        <w:tc>
          <w:tcPr>
            <w:tcW w:w="45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D47C0D3" w14:textId="77777777" w:rsidR="00590B71" w:rsidRPr="003F7F6C" w:rsidRDefault="00590B71" w:rsidP="00590B71">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The environmental policy and regulatory frameworks</w:t>
            </w:r>
          </w:p>
          <w:p w14:paraId="44BD6C92"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are insufficient; they do not provide an enabling</w:t>
            </w:r>
          </w:p>
          <w:p w14:paraId="31FAE8A5" w14:textId="77777777" w:rsidR="00590B71" w:rsidRPr="003F7F6C" w:rsidRDefault="00590B71" w:rsidP="00590B71">
            <w:pPr>
              <w:spacing w:after="0"/>
              <w:rPr>
                <w:rFonts w:eastAsia="Times New Roman" w:cs="Calibri"/>
                <w:color w:val="000000"/>
                <w:sz w:val="18"/>
                <w:szCs w:val="18"/>
                <w:lang w:eastAsia="es-ES"/>
              </w:rPr>
            </w:pPr>
            <w:r w:rsidRPr="003F7F6C">
              <w:rPr>
                <w:rFonts w:cs="Calibri"/>
                <w:sz w:val="18"/>
                <w:szCs w:val="18"/>
              </w:rPr>
              <w:t>environment</w:t>
            </w:r>
          </w:p>
        </w:tc>
        <w:tc>
          <w:tcPr>
            <w:tcW w:w="8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1BBBFFC"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0</w:t>
            </w:r>
          </w:p>
        </w:tc>
        <w:tc>
          <w:tcPr>
            <w:tcW w:w="8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AC0E950"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6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5C34F78"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0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CCA248"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57A8F61"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590B71" w:rsidRPr="003F7F6C" w14:paraId="5EDBAB49" w14:textId="77777777" w:rsidTr="003A428B">
        <w:trPr>
          <w:trHeight w:val="300"/>
        </w:trPr>
        <w:tc>
          <w:tcPr>
            <w:tcW w:w="1978" w:type="dxa"/>
            <w:vMerge/>
            <w:tcBorders>
              <w:top w:val="single" w:sz="4" w:space="0" w:color="auto"/>
              <w:left w:val="single" w:sz="4" w:space="0" w:color="auto"/>
              <w:bottom w:val="single" w:sz="4" w:space="0" w:color="auto"/>
              <w:right w:val="single" w:sz="4" w:space="0" w:color="auto"/>
            </w:tcBorders>
            <w:vAlign w:val="center"/>
            <w:hideMark/>
          </w:tcPr>
          <w:p w14:paraId="1E17B3BA" w14:textId="77777777" w:rsidR="00590B71" w:rsidRPr="003F7F6C" w:rsidRDefault="00590B71" w:rsidP="00590B71">
            <w:pPr>
              <w:spacing w:after="0"/>
              <w:rPr>
                <w:rFonts w:eastAsia="Times New Roman" w:cs="Calibri"/>
                <w:color w:val="000000"/>
                <w:sz w:val="18"/>
                <w:szCs w:val="18"/>
                <w:lang w:eastAsia="es-ES"/>
              </w:rPr>
            </w:pPr>
          </w:p>
        </w:tc>
        <w:tc>
          <w:tcPr>
            <w:tcW w:w="45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5698A0" w14:textId="77777777" w:rsidR="00590B71" w:rsidRPr="003F7F6C" w:rsidRDefault="00590B71" w:rsidP="00590B71">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Some relevant environmental policies and laws exist</w:t>
            </w:r>
          </w:p>
          <w:p w14:paraId="2B29F27D" w14:textId="77777777" w:rsidR="00590B71" w:rsidRPr="003F7F6C" w:rsidRDefault="00590B71" w:rsidP="00590B71">
            <w:pPr>
              <w:spacing w:after="0"/>
              <w:rPr>
                <w:rFonts w:eastAsia="Times New Roman" w:cs="Calibri"/>
                <w:color w:val="000000"/>
                <w:sz w:val="18"/>
                <w:szCs w:val="18"/>
                <w:lang w:eastAsia="es-ES"/>
              </w:rPr>
            </w:pPr>
            <w:r w:rsidRPr="003F7F6C">
              <w:rPr>
                <w:rFonts w:cs="Calibri"/>
                <w:sz w:val="18"/>
                <w:szCs w:val="18"/>
              </w:rPr>
              <w:t>but few are implemented and enforced</w:t>
            </w:r>
          </w:p>
        </w:tc>
        <w:tc>
          <w:tcPr>
            <w:tcW w:w="8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3488061"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1</w:t>
            </w:r>
          </w:p>
        </w:tc>
        <w:tc>
          <w:tcPr>
            <w:tcW w:w="8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71A9FC"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6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92EA7D"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0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D3A81E6"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9608C7"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590B71" w:rsidRPr="003F7F6C" w14:paraId="700C25B7" w14:textId="77777777" w:rsidTr="003A428B">
        <w:trPr>
          <w:trHeight w:val="300"/>
        </w:trPr>
        <w:tc>
          <w:tcPr>
            <w:tcW w:w="1978" w:type="dxa"/>
            <w:vMerge/>
            <w:tcBorders>
              <w:top w:val="single" w:sz="4" w:space="0" w:color="auto"/>
              <w:left w:val="single" w:sz="4" w:space="0" w:color="auto"/>
              <w:bottom w:val="single" w:sz="4" w:space="0" w:color="auto"/>
              <w:right w:val="single" w:sz="4" w:space="0" w:color="auto"/>
            </w:tcBorders>
            <w:vAlign w:val="center"/>
            <w:hideMark/>
          </w:tcPr>
          <w:p w14:paraId="2C46E610" w14:textId="77777777" w:rsidR="00590B71" w:rsidRPr="003F7F6C" w:rsidRDefault="00590B71" w:rsidP="00590B71">
            <w:pPr>
              <w:spacing w:after="0"/>
              <w:rPr>
                <w:rFonts w:eastAsia="Times New Roman" w:cs="Calibri"/>
                <w:color w:val="000000"/>
                <w:sz w:val="18"/>
                <w:szCs w:val="18"/>
                <w:lang w:eastAsia="es-ES"/>
              </w:rPr>
            </w:pPr>
          </w:p>
        </w:tc>
        <w:tc>
          <w:tcPr>
            <w:tcW w:w="45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F4C5C9" w14:textId="77777777" w:rsidR="00590B71" w:rsidRPr="003F7F6C" w:rsidRDefault="00590B71" w:rsidP="00590B71">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Adequate environmental policy and legislation</w:t>
            </w:r>
          </w:p>
          <w:p w14:paraId="67547EEB"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frameworks exist but there are problems in</w:t>
            </w:r>
          </w:p>
          <w:p w14:paraId="2F95E17A" w14:textId="77777777" w:rsidR="00590B71" w:rsidRPr="003F7F6C" w:rsidRDefault="00590B71" w:rsidP="00590B71">
            <w:pPr>
              <w:spacing w:after="0"/>
              <w:rPr>
                <w:rFonts w:eastAsia="Times New Roman" w:cs="Calibri"/>
                <w:color w:val="000000"/>
                <w:sz w:val="18"/>
                <w:szCs w:val="18"/>
                <w:lang w:eastAsia="es-ES"/>
              </w:rPr>
            </w:pPr>
            <w:r w:rsidRPr="003F7F6C">
              <w:rPr>
                <w:rFonts w:cs="Calibri"/>
                <w:sz w:val="18"/>
                <w:szCs w:val="18"/>
              </w:rPr>
              <w:t>implementing and enforcing them</w:t>
            </w:r>
          </w:p>
        </w:tc>
        <w:tc>
          <w:tcPr>
            <w:tcW w:w="8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F7D293"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c>
          <w:tcPr>
            <w:tcW w:w="8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5560F4A"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c>
          <w:tcPr>
            <w:tcW w:w="26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1958B70"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There are sectoral policies and regulations but none specific to ELUP </w:t>
            </w:r>
          </w:p>
          <w:p w14:paraId="6112FD69" w14:textId="77777777" w:rsidR="00590B71" w:rsidRPr="003F7F6C" w:rsidRDefault="00590B71" w:rsidP="00590B71">
            <w:pPr>
              <w:spacing w:after="0"/>
              <w:rPr>
                <w:rFonts w:eastAsia="Times New Roman" w:cs="Calibri"/>
                <w:color w:val="000000"/>
                <w:sz w:val="18"/>
                <w:szCs w:val="18"/>
                <w:lang w:eastAsia="es-ES"/>
              </w:rPr>
            </w:pPr>
          </w:p>
        </w:tc>
        <w:tc>
          <w:tcPr>
            <w:tcW w:w="20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090880D" w14:textId="77777777" w:rsidR="00590B71" w:rsidRPr="003F7F6C" w:rsidRDefault="00590B71" w:rsidP="00590B71">
            <w:pPr>
              <w:spacing w:after="0"/>
              <w:rPr>
                <w:rFonts w:eastAsia="Times New Roman" w:cs="Calibri"/>
                <w:color w:val="000000"/>
                <w:sz w:val="18"/>
                <w:szCs w:val="18"/>
                <w:lang w:val="es-PY" w:eastAsia="es-ES"/>
              </w:rPr>
            </w:pPr>
            <w:r w:rsidRPr="003F7F6C">
              <w:rPr>
                <w:rFonts w:eastAsia="Times New Roman" w:cs="Calibri"/>
                <w:color w:val="000000"/>
                <w:sz w:val="18"/>
                <w:szCs w:val="18"/>
                <w:lang w:val="es-PY" w:eastAsia="es-ES"/>
              </w:rPr>
              <w:t>Develop specific ELUP strategies</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C03709" w14:textId="77777777" w:rsidR="00590B71" w:rsidRPr="003F7F6C" w:rsidRDefault="00590B71" w:rsidP="00590B71">
            <w:pPr>
              <w:spacing w:after="0"/>
              <w:rPr>
                <w:rFonts w:eastAsia="Times New Roman" w:cs="Calibri"/>
                <w:color w:val="000000"/>
                <w:sz w:val="18"/>
                <w:szCs w:val="18"/>
                <w:lang w:val="es-PY" w:eastAsia="es-ES"/>
              </w:rPr>
            </w:pPr>
            <w:r w:rsidRPr="003F7F6C">
              <w:rPr>
                <w:rFonts w:eastAsia="Times New Roman" w:cs="Calibri"/>
                <w:color w:val="000000"/>
                <w:sz w:val="18"/>
                <w:szCs w:val="18"/>
                <w:lang w:val="es-PY" w:eastAsia="es-ES"/>
              </w:rPr>
              <w:t> </w:t>
            </w:r>
          </w:p>
        </w:tc>
      </w:tr>
      <w:tr w:rsidR="00590B71" w:rsidRPr="003F7F6C" w14:paraId="3501688A" w14:textId="77777777" w:rsidTr="003A428B">
        <w:trPr>
          <w:trHeight w:val="300"/>
        </w:trPr>
        <w:tc>
          <w:tcPr>
            <w:tcW w:w="1978" w:type="dxa"/>
            <w:vMerge/>
            <w:tcBorders>
              <w:top w:val="single" w:sz="4" w:space="0" w:color="auto"/>
              <w:left w:val="single" w:sz="4" w:space="0" w:color="auto"/>
              <w:bottom w:val="single" w:sz="4" w:space="0" w:color="auto"/>
              <w:right w:val="single" w:sz="4" w:space="0" w:color="auto"/>
            </w:tcBorders>
            <w:vAlign w:val="center"/>
            <w:hideMark/>
          </w:tcPr>
          <w:p w14:paraId="1D0FC855" w14:textId="77777777" w:rsidR="00590B71" w:rsidRPr="003F7F6C" w:rsidRDefault="00590B71" w:rsidP="00590B71">
            <w:pPr>
              <w:spacing w:after="0"/>
              <w:rPr>
                <w:rFonts w:eastAsia="Times New Roman" w:cs="Calibri"/>
                <w:color w:val="000000"/>
                <w:sz w:val="18"/>
                <w:szCs w:val="18"/>
                <w:lang w:val="es-PY" w:eastAsia="es-ES"/>
              </w:rPr>
            </w:pPr>
          </w:p>
        </w:tc>
        <w:tc>
          <w:tcPr>
            <w:tcW w:w="4517" w:type="dxa"/>
            <w:tcBorders>
              <w:top w:val="single" w:sz="4" w:space="0" w:color="auto"/>
              <w:left w:val="nil"/>
              <w:bottom w:val="single" w:sz="4" w:space="0" w:color="auto"/>
              <w:right w:val="single" w:sz="4" w:space="0" w:color="auto"/>
            </w:tcBorders>
            <w:shd w:val="clear" w:color="auto" w:fill="auto"/>
            <w:vAlign w:val="center"/>
            <w:hideMark/>
          </w:tcPr>
          <w:p w14:paraId="01851942" w14:textId="77777777" w:rsidR="00590B71" w:rsidRPr="003F7F6C" w:rsidRDefault="00590B71" w:rsidP="00590B71">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Adequate policy and legislation frameworks are</w:t>
            </w:r>
          </w:p>
          <w:p w14:paraId="6A26AB2D"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implemented and provide an adequate enabling</w:t>
            </w:r>
          </w:p>
          <w:p w14:paraId="6881D203"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environment; a compliance and enforcement</w:t>
            </w:r>
          </w:p>
          <w:p w14:paraId="57629B46" w14:textId="77777777" w:rsidR="00590B71" w:rsidRPr="003F7F6C" w:rsidRDefault="00590B71" w:rsidP="00590B71">
            <w:pPr>
              <w:spacing w:after="0"/>
              <w:rPr>
                <w:rFonts w:eastAsia="Times New Roman" w:cs="Calibri"/>
                <w:color w:val="000000"/>
                <w:sz w:val="18"/>
                <w:szCs w:val="18"/>
                <w:lang w:eastAsia="es-ES"/>
              </w:rPr>
            </w:pPr>
            <w:r w:rsidRPr="003F7F6C">
              <w:rPr>
                <w:rFonts w:cs="Calibri"/>
                <w:sz w:val="18"/>
                <w:szCs w:val="18"/>
              </w:rPr>
              <w:t>mechanism is established and functions</w:t>
            </w:r>
          </w:p>
        </w:tc>
        <w:tc>
          <w:tcPr>
            <w:tcW w:w="808" w:type="dxa"/>
            <w:tcBorders>
              <w:top w:val="single" w:sz="4" w:space="0" w:color="auto"/>
              <w:left w:val="nil"/>
              <w:bottom w:val="single" w:sz="4" w:space="0" w:color="auto"/>
              <w:right w:val="single" w:sz="4" w:space="0" w:color="auto"/>
            </w:tcBorders>
            <w:shd w:val="clear" w:color="auto" w:fill="auto"/>
            <w:vAlign w:val="center"/>
            <w:hideMark/>
          </w:tcPr>
          <w:p w14:paraId="7CEBB2A1"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3</w:t>
            </w:r>
          </w:p>
        </w:tc>
        <w:tc>
          <w:tcPr>
            <w:tcW w:w="819" w:type="dxa"/>
            <w:tcBorders>
              <w:top w:val="single" w:sz="4" w:space="0" w:color="auto"/>
              <w:left w:val="nil"/>
              <w:bottom w:val="single" w:sz="4" w:space="0" w:color="auto"/>
              <w:right w:val="single" w:sz="4" w:space="0" w:color="auto"/>
            </w:tcBorders>
            <w:shd w:val="clear" w:color="auto" w:fill="auto"/>
            <w:vAlign w:val="center"/>
            <w:hideMark/>
          </w:tcPr>
          <w:p w14:paraId="7930C165"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690" w:type="dxa"/>
            <w:tcBorders>
              <w:top w:val="single" w:sz="4" w:space="0" w:color="auto"/>
              <w:left w:val="nil"/>
              <w:bottom w:val="single" w:sz="4" w:space="0" w:color="auto"/>
              <w:right w:val="single" w:sz="4" w:space="0" w:color="auto"/>
            </w:tcBorders>
            <w:shd w:val="clear" w:color="auto" w:fill="auto"/>
            <w:vAlign w:val="center"/>
            <w:hideMark/>
          </w:tcPr>
          <w:p w14:paraId="5E784A15"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083" w:type="dxa"/>
            <w:tcBorders>
              <w:top w:val="single" w:sz="4" w:space="0" w:color="auto"/>
              <w:left w:val="nil"/>
              <w:bottom w:val="single" w:sz="4" w:space="0" w:color="auto"/>
              <w:right w:val="single" w:sz="4" w:space="0" w:color="auto"/>
            </w:tcBorders>
            <w:shd w:val="clear" w:color="auto" w:fill="auto"/>
            <w:vAlign w:val="center"/>
            <w:hideMark/>
          </w:tcPr>
          <w:p w14:paraId="47BEF45A"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209" w:type="dxa"/>
            <w:tcBorders>
              <w:top w:val="single" w:sz="4" w:space="0" w:color="auto"/>
              <w:left w:val="nil"/>
              <w:bottom w:val="single" w:sz="4" w:space="0" w:color="auto"/>
              <w:right w:val="single" w:sz="4" w:space="0" w:color="auto"/>
            </w:tcBorders>
            <w:shd w:val="clear" w:color="auto" w:fill="auto"/>
            <w:vAlign w:val="center"/>
            <w:hideMark/>
          </w:tcPr>
          <w:p w14:paraId="03B0E9AE"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590B71" w:rsidRPr="003F7F6C" w14:paraId="20E1C07B" w14:textId="77777777" w:rsidTr="003A428B">
        <w:trPr>
          <w:trHeight w:val="300"/>
        </w:trPr>
        <w:tc>
          <w:tcPr>
            <w:tcW w:w="19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214560B"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Indicator 11: Adequacy of the environmental information available for decision-making</w:t>
            </w:r>
          </w:p>
        </w:tc>
        <w:tc>
          <w:tcPr>
            <w:tcW w:w="45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35AAA8" w14:textId="77777777" w:rsidR="00590B71" w:rsidRPr="003F7F6C" w:rsidRDefault="00590B71" w:rsidP="00590B71">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The availability of environmental information for</w:t>
            </w:r>
          </w:p>
          <w:p w14:paraId="72E0AD85" w14:textId="77777777" w:rsidR="00590B71" w:rsidRPr="003F7F6C" w:rsidRDefault="00590B71" w:rsidP="00590B71">
            <w:pPr>
              <w:spacing w:after="0"/>
              <w:rPr>
                <w:rFonts w:eastAsia="Times New Roman" w:cs="Calibri"/>
                <w:color w:val="000000"/>
                <w:sz w:val="18"/>
                <w:szCs w:val="18"/>
                <w:lang w:eastAsia="es-ES"/>
              </w:rPr>
            </w:pPr>
            <w:r w:rsidRPr="003F7F6C">
              <w:rPr>
                <w:rFonts w:cs="Calibri"/>
                <w:sz w:val="18"/>
                <w:szCs w:val="18"/>
              </w:rPr>
              <w:t>decision-making is lacking</w:t>
            </w:r>
          </w:p>
        </w:tc>
        <w:tc>
          <w:tcPr>
            <w:tcW w:w="8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06DB3E4"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0</w:t>
            </w:r>
          </w:p>
        </w:tc>
        <w:tc>
          <w:tcPr>
            <w:tcW w:w="8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9AECF1"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6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180E5D2"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0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8FD5DF7"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B0A9ACF"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590B71" w:rsidRPr="003F7F6C" w14:paraId="1F4AAFA8" w14:textId="77777777" w:rsidTr="003A428B">
        <w:trPr>
          <w:trHeight w:val="300"/>
        </w:trPr>
        <w:tc>
          <w:tcPr>
            <w:tcW w:w="1978" w:type="dxa"/>
            <w:vMerge/>
            <w:tcBorders>
              <w:top w:val="single" w:sz="4" w:space="0" w:color="auto"/>
              <w:left w:val="single" w:sz="4" w:space="0" w:color="auto"/>
              <w:bottom w:val="single" w:sz="4" w:space="0" w:color="auto"/>
              <w:right w:val="single" w:sz="4" w:space="0" w:color="auto"/>
            </w:tcBorders>
            <w:vAlign w:val="center"/>
            <w:hideMark/>
          </w:tcPr>
          <w:p w14:paraId="0FA1FAE4" w14:textId="77777777" w:rsidR="00590B71" w:rsidRPr="003F7F6C" w:rsidRDefault="00590B71" w:rsidP="00590B71">
            <w:pPr>
              <w:spacing w:after="0"/>
              <w:rPr>
                <w:rFonts w:eastAsia="Times New Roman" w:cs="Calibri"/>
                <w:color w:val="000000"/>
                <w:sz w:val="18"/>
                <w:szCs w:val="18"/>
                <w:lang w:eastAsia="es-ES"/>
              </w:rPr>
            </w:pPr>
          </w:p>
        </w:tc>
        <w:tc>
          <w:tcPr>
            <w:tcW w:w="45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22A5E3" w14:textId="77777777" w:rsidR="00590B71" w:rsidRPr="003F7F6C" w:rsidRDefault="00590B71" w:rsidP="00590B71">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Some environmental information exists but it is not</w:t>
            </w:r>
          </w:p>
          <w:p w14:paraId="5042E3FC" w14:textId="77777777" w:rsidR="00590B71" w:rsidRPr="003F7F6C" w:rsidRDefault="00590B71" w:rsidP="00590B71">
            <w:pPr>
              <w:spacing w:after="0"/>
              <w:rPr>
                <w:rFonts w:eastAsia="Times New Roman" w:cs="Calibri"/>
                <w:color w:val="000000"/>
                <w:sz w:val="18"/>
                <w:szCs w:val="18"/>
                <w:lang w:eastAsia="es-ES"/>
              </w:rPr>
            </w:pPr>
            <w:r w:rsidRPr="003F7F6C">
              <w:rPr>
                <w:rFonts w:cs="Calibri"/>
                <w:sz w:val="18"/>
                <w:szCs w:val="18"/>
              </w:rPr>
              <w:t>sufficient to support environmental decision-making processes</w:t>
            </w:r>
          </w:p>
        </w:tc>
        <w:tc>
          <w:tcPr>
            <w:tcW w:w="8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311151"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1</w:t>
            </w:r>
          </w:p>
        </w:tc>
        <w:tc>
          <w:tcPr>
            <w:tcW w:w="8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27210F0"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1</w:t>
            </w:r>
          </w:p>
        </w:tc>
        <w:tc>
          <w:tcPr>
            <w:tcW w:w="26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D00B017"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Information partially incorporated but there is still relevant information that must be generated. </w:t>
            </w:r>
          </w:p>
        </w:tc>
        <w:tc>
          <w:tcPr>
            <w:tcW w:w="20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702139"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Information generation for ELUP and dissemination to stakeholders </w:t>
            </w:r>
          </w:p>
          <w:p w14:paraId="7EB74A64" w14:textId="77777777" w:rsidR="00590B71" w:rsidRPr="003F7F6C" w:rsidRDefault="00590B71" w:rsidP="00590B71">
            <w:pPr>
              <w:spacing w:after="0"/>
              <w:rPr>
                <w:rFonts w:eastAsia="Times New Roman" w:cs="Calibri"/>
                <w:color w:val="000000"/>
                <w:sz w:val="18"/>
                <w:szCs w:val="18"/>
                <w:lang w:eastAsia="es-ES"/>
              </w:rPr>
            </w:pP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ADD17E"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r>
      <w:tr w:rsidR="00590B71" w:rsidRPr="003F7F6C" w14:paraId="2DF4A829" w14:textId="77777777" w:rsidTr="003A428B">
        <w:trPr>
          <w:trHeight w:val="300"/>
        </w:trPr>
        <w:tc>
          <w:tcPr>
            <w:tcW w:w="1978" w:type="dxa"/>
            <w:vMerge/>
            <w:tcBorders>
              <w:top w:val="single" w:sz="4" w:space="0" w:color="auto"/>
              <w:left w:val="single" w:sz="4" w:space="0" w:color="auto"/>
              <w:bottom w:val="single" w:sz="4" w:space="0" w:color="auto"/>
              <w:right w:val="single" w:sz="4" w:space="0" w:color="auto"/>
            </w:tcBorders>
            <w:vAlign w:val="center"/>
            <w:hideMark/>
          </w:tcPr>
          <w:p w14:paraId="0F41948E" w14:textId="77777777" w:rsidR="00590B71" w:rsidRPr="003F7F6C" w:rsidRDefault="00590B71" w:rsidP="00590B71">
            <w:pPr>
              <w:spacing w:after="0"/>
              <w:rPr>
                <w:rFonts w:eastAsia="Times New Roman" w:cs="Calibri"/>
                <w:color w:val="000000"/>
                <w:sz w:val="18"/>
                <w:szCs w:val="18"/>
                <w:lang w:eastAsia="es-ES"/>
              </w:rPr>
            </w:pPr>
          </w:p>
        </w:tc>
        <w:tc>
          <w:tcPr>
            <w:tcW w:w="45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1ECBADD" w14:textId="77777777" w:rsidR="00590B71" w:rsidRPr="003F7F6C" w:rsidRDefault="00590B71" w:rsidP="00590B71">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Relevant environmental information is made available to environmental decision-makers but the process to update this information is not functioning properly</w:t>
            </w:r>
          </w:p>
        </w:tc>
        <w:tc>
          <w:tcPr>
            <w:tcW w:w="8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1C9A1BA"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c>
          <w:tcPr>
            <w:tcW w:w="8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F4E368F"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6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8FEB8F"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0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A4C9E19"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859F40E"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590B71" w:rsidRPr="003F7F6C" w14:paraId="5334265D" w14:textId="77777777" w:rsidTr="003A428B">
        <w:trPr>
          <w:trHeight w:val="703"/>
        </w:trPr>
        <w:tc>
          <w:tcPr>
            <w:tcW w:w="1978" w:type="dxa"/>
            <w:vMerge/>
            <w:tcBorders>
              <w:top w:val="single" w:sz="4" w:space="0" w:color="auto"/>
              <w:left w:val="single" w:sz="4" w:space="0" w:color="auto"/>
              <w:bottom w:val="single" w:sz="4" w:space="0" w:color="auto"/>
              <w:right w:val="single" w:sz="4" w:space="0" w:color="auto"/>
            </w:tcBorders>
            <w:vAlign w:val="center"/>
            <w:hideMark/>
          </w:tcPr>
          <w:p w14:paraId="1DE3F61A" w14:textId="77777777" w:rsidR="00590B71" w:rsidRPr="003F7F6C" w:rsidRDefault="00590B71" w:rsidP="00590B71">
            <w:pPr>
              <w:spacing w:after="0"/>
              <w:rPr>
                <w:rFonts w:eastAsia="Times New Roman" w:cs="Calibri"/>
                <w:color w:val="000000"/>
                <w:sz w:val="18"/>
                <w:szCs w:val="18"/>
                <w:lang w:eastAsia="es-ES"/>
              </w:rPr>
            </w:pPr>
          </w:p>
        </w:tc>
        <w:tc>
          <w:tcPr>
            <w:tcW w:w="45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6508AE" w14:textId="77777777" w:rsidR="00590B71" w:rsidRPr="003F7F6C" w:rsidRDefault="00590B71" w:rsidP="00590B71">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Political and administrative decision-makers obtain and use updated environmental information to make environmental decisions</w:t>
            </w:r>
          </w:p>
        </w:tc>
        <w:tc>
          <w:tcPr>
            <w:tcW w:w="8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80ACEC2"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3</w:t>
            </w:r>
          </w:p>
          <w:p w14:paraId="11AAB043" w14:textId="77777777" w:rsidR="00590B71" w:rsidRPr="003F7F6C" w:rsidRDefault="00590B71" w:rsidP="00590B71">
            <w:pPr>
              <w:spacing w:after="0"/>
              <w:rPr>
                <w:rFonts w:eastAsia="Times New Roman" w:cs="Calibri"/>
                <w:color w:val="000000"/>
                <w:sz w:val="18"/>
                <w:szCs w:val="18"/>
                <w:lang w:eastAsia="es-ES"/>
              </w:rPr>
            </w:pPr>
          </w:p>
          <w:p w14:paraId="5C38AE44" w14:textId="77777777" w:rsidR="00590B71" w:rsidRPr="003F7F6C" w:rsidRDefault="00590B71" w:rsidP="00590B71">
            <w:pPr>
              <w:spacing w:after="0"/>
              <w:rPr>
                <w:rFonts w:eastAsia="Times New Roman" w:cs="Calibri"/>
                <w:color w:val="000000"/>
                <w:sz w:val="18"/>
                <w:szCs w:val="18"/>
                <w:lang w:eastAsia="es-ES"/>
              </w:rPr>
            </w:pPr>
          </w:p>
          <w:p w14:paraId="05823BD3" w14:textId="77777777" w:rsidR="00590B71" w:rsidRPr="003F7F6C" w:rsidRDefault="00590B71" w:rsidP="00590B71">
            <w:pPr>
              <w:spacing w:after="0"/>
              <w:rPr>
                <w:rFonts w:eastAsia="Times New Roman" w:cs="Calibri"/>
                <w:color w:val="000000"/>
                <w:sz w:val="18"/>
                <w:szCs w:val="18"/>
                <w:lang w:eastAsia="es-ES"/>
              </w:rPr>
            </w:pPr>
          </w:p>
        </w:tc>
        <w:tc>
          <w:tcPr>
            <w:tcW w:w="8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3DCE50"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6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20C9E7"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0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AEE59B1"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F3ACAC"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590B71" w:rsidRPr="003F7F6C" w14:paraId="6031E5AE" w14:textId="77777777" w:rsidTr="003A428B">
        <w:trPr>
          <w:trHeight w:val="330"/>
        </w:trPr>
        <w:tc>
          <w:tcPr>
            <w:tcW w:w="1978" w:type="dxa"/>
            <w:tcBorders>
              <w:top w:val="single" w:sz="4" w:space="0" w:color="auto"/>
              <w:left w:val="single" w:sz="4" w:space="0" w:color="auto"/>
              <w:bottom w:val="single" w:sz="4" w:space="0" w:color="auto"/>
              <w:right w:val="single" w:sz="4" w:space="0" w:color="auto"/>
            </w:tcBorders>
            <w:vAlign w:val="center"/>
          </w:tcPr>
          <w:p w14:paraId="12B09C7F" w14:textId="77777777" w:rsidR="00590B71" w:rsidRPr="003F7F6C" w:rsidRDefault="00590B71" w:rsidP="00590B71">
            <w:pPr>
              <w:spacing w:after="0"/>
              <w:rPr>
                <w:rFonts w:eastAsia="Times New Roman" w:cs="Calibri"/>
                <w:color w:val="000000"/>
                <w:sz w:val="18"/>
                <w:szCs w:val="18"/>
                <w:lang w:eastAsia="es-ES"/>
              </w:rPr>
            </w:pPr>
          </w:p>
        </w:tc>
        <w:tc>
          <w:tcPr>
            <w:tcW w:w="4517" w:type="dxa"/>
            <w:tcBorders>
              <w:top w:val="single" w:sz="4" w:space="0" w:color="auto"/>
              <w:left w:val="single" w:sz="4" w:space="0" w:color="auto"/>
              <w:bottom w:val="single" w:sz="4" w:space="0" w:color="auto"/>
              <w:right w:val="single" w:sz="4" w:space="0" w:color="auto"/>
            </w:tcBorders>
            <w:shd w:val="clear" w:color="auto" w:fill="auto"/>
            <w:vAlign w:val="center"/>
          </w:tcPr>
          <w:p w14:paraId="1C707E65" w14:textId="77777777" w:rsidR="00590B71" w:rsidRPr="003F7F6C" w:rsidRDefault="00590B71" w:rsidP="00590B71">
            <w:pPr>
              <w:autoSpaceDE w:val="0"/>
              <w:autoSpaceDN w:val="0"/>
              <w:adjustRightInd w:val="0"/>
              <w:spacing w:after="0"/>
              <w:rPr>
                <w:rFonts w:eastAsia="Times New Roman" w:cs="Calibri"/>
                <w:color w:val="000000"/>
                <w:sz w:val="18"/>
                <w:szCs w:val="18"/>
                <w:lang w:eastAsia="es-ES"/>
              </w:rPr>
            </w:pPr>
          </w:p>
        </w:tc>
        <w:tc>
          <w:tcPr>
            <w:tcW w:w="808" w:type="dxa"/>
            <w:tcBorders>
              <w:top w:val="single" w:sz="4" w:space="0" w:color="auto"/>
              <w:left w:val="single" w:sz="4" w:space="0" w:color="auto"/>
              <w:bottom w:val="single" w:sz="4" w:space="0" w:color="auto"/>
              <w:right w:val="single" w:sz="4" w:space="0" w:color="auto"/>
            </w:tcBorders>
            <w:shd w:val="clear" w:color="auto" w:fill="auto"/>
            <w:vAlign w:val="center"/>
          </w:tcPr>
          <w:p w14:paraId="22AD9C65"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9</w:t>
            </w:r>
          </w:p>
        </w:tc>
        <w:tc>
          <w:tcPr>
            <w:tcW w:w="819" w:type="dxa"/>
            <w:tcBorders>
              <w:top w:val="single" w:sz="4" w:space="0" w:color="auto"/>
              <w:left w:val="single" w:sz="4" w:space="0" w:color="auto"/>
              <w:bottom w:val="single" w:sz="4" w:space="0" w:color="auto"/>
              <w:right w:val="single" w:sz="4" w:space="0" w:color="auto"/>
            </w:tcBorders>
            <w:shd w:val="clear" w:color="auto" w:fill="auto"/>
            <w:vAlign w:val="center"/>
          </w:tcPr>
          <w:p w14:paraId="79558EE7"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4</w:t>
            </w:r>
          </w:p>
        </w:tc>
        <w:tc>
          <w:tcPr>
            <w:tcW w:w="2690" w:type="dxa"/>
            <w:tcBorders>
              <w:top w:val="single" w:sz="4" w:space="0" w:color="auto"/>
              <w:left w:val="single" w:sz="4" w:space="0" w:color="auto"/>
              <w:bottom w:val="single" w:sz="4" w:space="0" w:color="auto"/>
              <w:right w:val="single" w:sz="4" w:space="0" w:color="auto"/>
            </w:tcBorders>
            <w:shd w:val="clear" w:color="auto" w:fill="auto"/>
            <w:vAlign w:val="center"/>
          </w:tcPr>
          <w:p w14:paraId="6258274E" w14:textId="77777777" w:rsidR="00590B71" w:rsidRPr="003F7F6C" w:rsidRDefault="00590B71" w:rsidP="00590B71">
            <w:pPr>
              <w:spacing w:after="0"/>
              <w:rPr>
                <w:rFonts w:eastAsia="Times New Roman" w:cs="Calibri"/>
                <w:color w:val="000000"/>
                <w:sz w:val="18"/>
                <w:szCs w:val="18"/>
                <w:lang w:eastAsia="es-ES"/>
              </w:rPr>
            </w:pPr>
          </w:p>
        </w:tc>
        <w:tc>
          <w:tcPr>
            <w:tcW w:w="2083" w:type="dxa"/>
            <w:tcBorders>
              <w:top w:val="single" w:sz="4" w:space="0" w:color="auto"/>
              <w:left w:val="single" w:sz="4" w:space="0" w:color="auto"/>
              <w:bottom w:val="single" w:sz="4" w:space="0" w:color="auto"/>
              <w:right w:val="single" w:sz="4" w:space="0" w:color="auto"/>
            </w:tcBorders>
            <w:shd w:val="clear" w:color="auto" w:fill="auto"/>
            <w:vAlign w:val="center"/>
          </w:tcPr>
          <w:p w14:paraId="6AE8D10C" w14:textId="77777777" w:rsidR="00590B71" w:rsidRPr="003F7F6C" w:rsidRDefault="00590B71" w:rsidP="00590B71">
            <w:pPr>
              <w:spacing w:after="0"/>
              <w:rPr>
                <w:rFonts w:eastAsia="Times New Roman" w:cs="Calibri"/>
                <w:color w:val="000000"/>
                <w:sz w:val="18"/>
                <w:szCs w:val="18"/>
                <w:lang w:eastAsia="es-ES"/>
              </w:rPr>
            </w:pP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14:paraId="00A8A0EA" w14:textId="77777777" w:rsidR="00590B71" w:rsidRPr="003F7F6C" w:rsidRDefault="00590B71" w:rsidP="00590B71">
            <w:pPr>
              <w:spacing w:after="0"/>
              <w:rPr>
                <w:rFonts w:eastAsia="Times New Roman" w:cs="Calibri"/>
                <w:color w:val="000000"/>
                <w:sz w:val="18"/>
                <w:szCs w:val="18"/>
                <w:lang w:eastAsia="es-ES"/>
              </w:rPr>
            </w:pPr>
          </w:p>
        </w:tc>
      </w:tr>
      <w:tr w:rsidR="00590B71" w:rsidRPr="003F7F6C" w14:paraId="027F7BC6" w14:textId="77777777" w:rsidTr="003A428B">
        <w:trPr>
          <w:trHeight w:val="300"/>
        </w:trPr>
        <w:tc>
          <w:tcPr>
            <w:tcW w:w="1978" w:type="dxa"/>
            <w:tcBorders>
              <w:top w:val="single" w:sz="4" w:space="0" w:color="auto"/>
              <w:left w:val="single" w:sz="4" w:space="0" w:color="auto"/>
              <w:bottom w:val="single" w:sz="4" w:space="0" w:color="auto"/>
              <w:right w:val="single" w:sz="4" w:space="0" w:color="auto"/>
            </w:tcBorders>
            <w:vAlign w:val="center"/>
          </w:tcPr>
          <w:p w14:paraId="754538A6" w14:textId="77777777" w:rsidR="00590B71" w:rsidRPr="003F7F6C" w:rsidRDefault="00590B71" w:rsidP="00590B71">
            <w:pPr>
              <w:spacing w:after="0"/>
              <w:rPr>
                <w:rFonts w:eastAsia="Times New Roman" w:cs="Calibri"/>
                <w:color w:val="000000"/>
                <w:sz w:val="18"/>
                <w:szCs w:val="18"/>
                <w:lang w:eastAsia="es-ES"/>
              </w:rPr>
            </w:pPr>
          </w:p>
        </w:tc>
        <w:tc>
          <w:tcPr>
            <w:tcW w:w="4517" w:type="dxa"/>
            <w:tcBorders>
              <w:top w:val="single" w:sz="4" w:space="0" w:color="auto"/>
              <w:left w:val="single" w:sz="4" w:space="0" w:color="auto"/>
              <w:bottom w:val="single" w:sz="4" w:space="0" w:color="auto"/>
              <w:right w:val="single" w:sz="4" w:space="0" w:color="auto"/>
            </w:tcBorders>
            <w:shd w:val="clear" w:color="auto" w:fill="auto"/>
            <w:vAlign w:val="center"/>
          </w:tcPr>
          <w:p w14:paraId="7B9B27F2" w14:textId="77777777" w:rsidR="00590B71" w:rsidRPr="003F7F6C" w:rsidRDefault="00590B71" w:rsidP="00590B71">
            <w:pPr>
              <w:autoSpaceDE w:val="0"/>
              <w:autoSpaceDN w:val="0"/>
              <w:adjustRightInd w:val="0"/>
              <w:spacing w:after="0"/>
              <w:rPr>
                <w:rFonts w:eastAsia="Times New Roman" w:cs="Calibri"/>
                <w:color w:val="000000"/>
                <w:sz w:val="18"/>
                <w:szCs w:val="18"/>
                <w:lang w:eastAsia="es-ES"/>
              </w:rPr>
            </w:pPr>
          </w:p>
        </w:tc>
        <w:tc>
          <w:tcPr>
            <w:tcW w:w="808" w:type="dxa"/>
            <w:tcBorders>
              <w:top w:val="single" w:sz="4" w:space="0" w:color="auto"/>
              <w:left w:val="single" w:sz="4" w:space="0" w:color="auto"/>
              <w:bottom w:val="single" w:sz="4" w:space="0" w:color="auto"/>
              <w:right w:val="single" w:sz="4" w:space="0" w:color="auto"/>
            </w:tcBorders>
            <w:shd w:val="clear" w:color="auto" w:fill="auto"/>
            <w:vAlign w:val="center"/>
          </w:tcPr>
          <w:p w14:paraId="0A5861A2" w14:textId="77777777" w:rsidR="00590B71" w:rsidRPr="003F7F6C" w:rsidRDefault="00590B71" w:rsidP="00590B71">
            <w:pPr>
              <w:spacing w:after="0"/>
              <w:rPr>
                <w:rFonts w:eastAsia="Times New Roman" w:cs="Calibri"/>
                <w:color w:val="000000"/>
                <w:sz w:val="18"/>
                <w:szCs w:val="18"/>
                <w:lang w:eastAsia="es-ES"/>
              </w:rPr>
            </w:pPr>
          </w:p>
        </w:tc>
        <w:tc>
          <w:tcPr>
            <w:tcW w:w="819" w:type="dxa"/>
            <w:tcBorders>
              <w:top w:val="single" w:sz="4" w:space="0" w:color="auto"/>
              <w:left w:val="single" w:sz="4" w:space="0" w:color="auto"/>
              <w:bottom w:val="single" w:sz="4" w:space="0" w:color="auto"/>
              <w:right w:val="single" w:sz="4" w:space="0" w:color="auto"/>
            </w:tcBorders>
            <w:shd w:val="clear" w:color="auto" w:fill="auto"/>
            <w:vAlign w:val="center"/>
          </w:tcPr>
          <w:p w14:paraId="7BA63AEC" w14:textId="3F265661"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44</w:t>
            </w:r>
            <w:r w:rsidR="00FB6D2D" w:rsidRPr="003F7F6C">
              <w:rPr>
                <w:rFonts w:eastAsia="Times New Roman" w:cs="Calibri"/>
                <w:color w:val="000000"/>
                <w:sz w:val="18"/>
                <w:szCs w:val="18"/>
                <w:lang w:eastAsia="es-ES"/>
              </w:rPr>
              <w:t>.</w:t>
            </w:r>
            <w:r w:rsidRPr="003F7F6C">
              <w:rPr>
                <w:rFonts w:eastAsia="Times New Roman" w:cs="Calibri"/>
                <w:color w:val="000000"/>
                <w:sz w:val="18"/>
                <w:szCs w:val="18"/>
                <w:lang w:eastAsia="es-ES"/>
              </w:rPr>
              <w:t>4%</w:t>
            </w:r>
          </w:p>
        </w:tc>
        <w:tc>
          <w:tcPr>
            <w:tcW w:w="2690" w:type="dxa"/>
            <w:tcBorders>
              <w:top w:val="single" w:sz="4" w:space="0" w:color="auto"/>
              <w:left w:val="single" w:sz="4" w:space="0" w:color="auto"/>
              <w:bottom w:val="single" w:sz="4" w:space="0" w:color="auto"/>
              <w:right w:val="single" w:sz="4" w:space="0" w:color="auto"/>
            </w:tcBorders>
            <w:shd w:val="clear" w:color="auto" w:fill="auto"/>
            <w:vAlign w:val="center"/>
          </w:tcPr>
          <w:p w14:paraId="332F5CFB" w14:textId="77777777" w:rsidR="00590B71" w:rsidRPr="003F7F6C" w:rsidRDefault="00590B71" w:rsidP="00590B71">
            <w:pPr>
              <w:spacing w:after="0"/>
              <w:rPr>
                <w:rFonts w:eastAsia="Times New Roman" w:cs="Calibri"/>
                <w:color w:val="000000"/>
                <w:sz w:val="18"/>
                <w:szCs w:val="18"/>
                <w:lang w:eastAsia="es-ES"/>
              </w:rPr>
            </w:pPr>
          </w:p>
        </w:tc>
        <w:tc>
          <w:tcPr>
            <w:tcW w:w="2083" w:type="dxa"/>
            <w:tcBorders>
              <w:top w:val="single" w:sz="4" w:space="0" w:color="auto"/>
              <w:left w:val="single" w:sz="4" w:space="0" w:color="auto"/>
              <w:bottom w:val="single" w:sz="4" w:space="0" w:color="auto"/>
              <w:right w:val="single" w:sz="4" w:space="0" w:color="auto"/>
            </w:tcBorders>
            <w:shd w:val="clear" w:color="auto" w:fill="auto"/>
            <w:vAlign w:val="center"/>
          </w:tcPr>
          <w:p w14:paraId="3B0EDCBB" w14:textId="77777777" w:rsidR="00590B71" w:rsidRPr="003F7F6C" w:rsidRDefault="00590B71" w:rsidP="00590B71">
            <w:pPr>
              <w:spacing w:after="0"/>
              <w:rPr>
                <w:rFonts w:eastAsia="Times New Roman" w:cs="Calibri"/>
                <w:color w:val="000000"/>
                <w:sz w:val="18"/>
                <w:szCs w:val="18"/>
                <w:lang w:eastAsia="es-ES"/>
              </w:rPr>
            </w:pP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14:paraId="4436B9B7" w14:textId="77777777" w:rsidR="00590B71" w:rsidRPr="003F7F6C" w:rsidRDefault="00590B71" w:rsidP="00590B71">
            <w:pPr>
              <w:spacing w:after="0"/>
              <w:rPr>
                <w:rFonts w:eastAsia="Times New Roman" w:cs="Calibri"/>
                <w:color w:val="000000"/>
                <w:sz w:val="18"/>
                <w:szCs w:val="18"/>
                <w:lang w:eastAsia="es-ES"/>
              </w:rPr>
            </w:pPr>
          </w:p>
        </w:tc>
      </w:tr>
      <w:tr w:rsidR="00590B71" w:rsidRPr="003F7F6C" w14:paraId="1BCC659B" w14:textId="77777777" w:rsidTr="003A428B">
        <w:trPr>
          <w:trHeight w:val="300"/>
        </w:trPr>
        <w:tc>
          <w:tcPr>
            <w:tcW w:w="14104" w:type="dxa"/>
            <w:gridSpan w:val="7"/>
            <w:tcBorders>
              <w:top w:val="single" w:sz="4" w:space="0" w:color="auto"/>
              <w:left w:val="single" w:sz="4" w:space="0" w:color="auto"/>
              <w:bottom w:val="single" w:sz="4" w:space="0" w:color="auto"/>
              <w:right w:val="single" w:sz="4" w:space="0" w:color="auto"/>
            </w:tcBorders>
            <w:shd w:val="clear" w:color="000000" w:fill="D9D9D9"/>
            <w:vAlign w:val="center"/>
            <w:hideMark/>
          </w:tcPr>
          <w:p w14:paraId="6FBC09AF"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CR 4: Capacities for Management and Implementation</w:t>
            </w:r>
          </w:p>
        </w:tc>
      </w:tr>
      <w:tr w:rsidR="00590B71" w:rsidRPr="003F7F6C" w14:paraId="2AAC2AE7" w14:textId="77777777" w:rsidTr="003A428B">
        <w:trPr>
          <w:trHeight w:val="300"/>
        </w:trPr>
        <w:tc>
          <w:tcPr>
            <w:tcW w:w="19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B62AC6D"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 xml:space="preserve">Indicator 12: Existence and mobilization of resources </w:t>
            </w:r>
          </w:p>
        </w:tc>
        <w:tc>
          <w:tcPr>
            <w:tcW w:w="45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37D7F27" w14:textId="77777777" w:rsidR="00590B71" w:rsidRPr="003F7F6C" w:rsidRDefault="00590B71" w:rsidP="00590B71">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The environmental organizations don’t have adequate resources for their programmes and projects and the requirements have not been assessed</w:t>
            </w:r>
          </w:p>
        </w:tc>
        <w:tc>
          <w:tcPr>
            <w:tcW w:w="8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83E5CA"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0</w:t>
            </w:r>
          </w:p>
        </w:tc>
        <w:tc>
          <w:tcPr>
            <w:tcW w:w="8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F13626E"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6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5B3ECF3"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0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296220F"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4A575FD"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590B71" w:rsidRPr="003F7F6C" w14:paraId="79DF787E" w14:textId="77777777" w:rsidTr="003A428B">
        <w:trPr>
          <w:trHeight w:val="300"/>
        </w:trPr>
        <w:tc>
          <w:tcPr>
            <w:tcW w:w="1978" w:type="dxa"/>
            <w:vMerge/>
            <w:tcBorders>
              <w:top w:val="single" w:sz="4" w:space="0" w:color="auto"/>
              <w:left w:val="single" w:sz="4" w:space="0" w:color="auto"/>
              <w:bottom w:val="single" w:sz="4" w:space="0" w:color="auto"/>
              <w:right w:val="single" w:sz="4" w:space="0" w:color="auto"/>
            </w:tcBorders>
            <w:vAlign w:val="center"/>
            <w:hideMark/>
          </w:tcPr>
          <w:p w14:paraId="29F6980A" w14:textId="77777777" w:rsidR="00590B71" w:rsidRPr="003F7F6C" w:rsidRDefault="00590B71" w:rsidP="00590B71">
            <w:pPr>
              <w:spacing w:after="0"/>
              <w:rPr>
                <w:rFonts w:eastAsia="Times New Roman" w:cs="Calibri"/>
                <w:color w:val="000000"/>
                <w:sz w:val="18"/>
                <w:szCs w:val="18"/>
                <w:lang w:eastAsia="es-ES"/>
              </w:rPr>
            </w:pPr>
          </w:p>
        </w:tc>
        <w:tc>
          <w:tcPr>
            <w:tcW w:w="4517" w:type="dxa"/>
            <w:tcBorders>
              <w:top w:val="single" w:sz="4" w:space="0" w:color="auto"/>
              <w:left w:val="nil"/>
              <w:bottom w:val="single" w:sz="4" w:space="0" w:color="auto"/>
              <w:right w:val="single" w:sz="4" w:space="0" w:color="auto"/>
            </w:tcBorders>
            <w:shd w:val="clear" w:color="auto" w:fill="auto"/>
            <w:vAlign w:val="center"/>
            <w:hideMark/>
          </w:tcPr>
          <w:p w14:paraId="74339358" w14:textId="77777777" w:rsidR="00590B71" w:rsidRPr="003F7F6C" w:rsidRDefault="00590B71" w:rsidP="00590B71">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The resource requirements are known but are not being addressed</w:t>
            </w:r>
          </w:p>
        </w:tc>
        <w:tc>
          <w:tcPr>
            <w:tcW w:w="808" w:type="dxa"/>
            <w:tcBorders>
              <w:top w:val="single" w:sz="4" w:space="0" w:color="auto"/>
              <w:left w:val="nil"/>
              <w:bottom w:val="single" w:sz="4" w:space="0" w:color="auto"/>
              <w:right w:val="single" w:sz="4" w:space="0" w:color="auto"/>
            </w:tcBorders>
            <w:shd w:val="clear" w:color="auto" w:fill="auto"/>
            <w:vAlign w:val="center"/>
            <w:hideMark/>
          </w:tcPr>
          <w:p w14:paraId="79A87D64"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1</w:t>
            </w:r>
          </w:p>
        </w:tc>
        <w:tc>
          <w:tcPr>
            <w:tcW w:w="819" w:type="dxa"/>
            <w:tcBorders>
              <w:top w:val="single" w:sz="4" w:space="0" w:color="auto"/>
              <w:left w:val="nil"/>
              <w:bottom w:val="single" w:sz="4" w:space="0" w:color="auto"/>
              <w:right w:val="single" w:sz="4" w:space="0" w:color="auto"/>
            </w:tcBorders>
            <w:shd w:val="clear" w:color="auto" w:fill="auto"/>
            <w:vAlign w:val="center"/>
            <w:hideMark/>
          </w:tcPr>
          <w:p w14:paraId="4FDF7138"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690" w:type="dxa"/>
            <w:tcBorders>
              <w:top w:val="single" w:sz="4" w:space="0" w:color="auto"/>
              <w:left w:val="nil"/>
              <w:bottom w:val="single" w:sz="4" w:space="0" w:color="auto"/>
              <w:right w:val="single" w:sz="4" w:space="0" w:color="auto"/>
            </w:tcBorders>
            <w:shd w:val="clear" w:color="auto" w:fill="auto"/>
            <w:vAlign w:val="center"/>
            <w:hideMark/>
          </w:tcPr>
          <w:p w14:paraId="4A074FFA"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083" w:type="dxa"/>
            <w:tcBorders>
              <w:top w:val="single" w:sz="4" w:space="0" w:color="auto"/>
              <w:left w:val="nil"/>
              <w:bottom w:val="single" w:sz="4" w:space="0" w:color="auto"/>
              <w:right w:val="single" w:sz="4" w:space="0" w:color="auto"/>
            </w:tcBorders>
            <w:shd w:val="clear" w:color="auto" w:fill="auto"/>
            <w:vAlign w:val="center"/>
            <w:hideMark/>
          </w:tcPr>
          <w:p w14:paraId="15941379"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209" w:type="dxa"/>
            <w:tcBorders>
              <w:top w:val="single" w:sz="4" w:space="0" w:color="auto"/>
              <w:left w:val="nil"/>
              <w:bottom w:val="single" w:sz="4" w:space="0" w:color="auto"/>
              <w:right w:val="single" w:sz="4" w:space="0" w:color="auto"/>
            </w:tcBorders>
            <w:shd w:val="clear" w:color="auto" w:fill="auto"/>
            <w:vAlign w:val="center"/>
            <w:hideMark/>
          </w:tcPr>
          <w:p w14:paraId="6CBBC0C7"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590B71" w:rsidRPr="003F7F6C" w14:paraId="63A199D9" w14:textId="77777777" w:rsidTr="003A428B">
        <w:trPr>
          <w:trHeight w:val="300"/>
        </w:trPr>
        <w:tc>
          <w:tcPr>
            <w:tcW w:w="1978" w:type="dxa"/>
            <w:vMerge/>
            <w:tcBorders>
              <w:top w:val="single" w:sz="4" w:space="0" w:color="auto"/>
              <w:left w:val="single" w:sz="4" w:space="0" w:color="auto"/>
              <w:bottom w:val="single" w:sz="4" w:space="0" w:color="auto"/>
              <w:right w:val="single" w:sz="4" w:space="0" w:color="auto"/>
            </w:tcBorders>
            <w:vAlign w:val="center"/>
            <w:hideMark/>
          </w:tcPr>
          <w:p w14:paraId="0D1E70B0" w14:textId="77777777" w:rsidR="00590B71" w:rsidRPr="003F7F6C" w:rsidRDefault="00590B71" w:rsidP="00590B71">
            <w:pPr>
              <w:spacing w:after="0"/>
              <w:rPr>
                <w:rFonts w:eastAsia="Times New Roman" w:cs="Calibri"/>
                <w:color w:val="000000"/>
                <w:sz w:val="18"/>
                <w:szCs w:val="18"/>
                <w:lang w:eastAsia="es-ES"/>
              </w:rPr>
            </w:pPr>
          </w:p>
        </w:tc>
        <w:tc>
          <w:tcPr>
            <w:tcW w:w="4517" w:type="dxa"/>
            <w:tcBorders>
              <w:top w:val="single" w:sz="4" w:space="0" w:color="auto"/>
              <w:left w:val="nil"/>
              <w:bottom w:val="single" w:sz="4" w:space="0" w:color="auto"/>
              <w:right w:val="single" w:sz="4" w:space="0" w:color="auto"/>
            </w:tcBorders>
            <w:shd w:val="clear" w:color="auto" w:fill="auto"/>
            <w:vAlign w:val="center"/>
            <w:hideMark/>
          </w:tcPr>
          <w:p w14:paraId="63D5CD9A" w14:textId="77777777" w:rsidR="00590B71" w:rsidRPr="003F7F6C" w:rsidRDefault="00590B71" w:rsidP="00590B71">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The funding sources for these resource requirements</w:t>
            </w:r>
          </w:p>
          <w:p w14:paraId="1C3D7998"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are partially identified and the resource requirements</w:t>
            </w:r>
          </w:p>
          <w:p w14:paraId="7D6E7E3A" w14:textId="77777777" w:rsidR="00590B71" w:rsidRPr="003F7F6C" w:rsidRDefault="00590B71" w:rsidP="00590B71">
            <w:pPr>
              <w:spacing w:after="0"/>
              <w:rPr>
                <w:rFonts w:eastAsia="Times New Roman" w:cs="Calibri"/>
                <w:color w:val="000000"/>
                <w:sz w:val="18"/>
                <w:szCs w:val="18"/>
                <w:lang w:eastAsia="es-ES"/>
              </w:rPr>
            </w:pPr>
            <w:r w:rsidRPr="003F7F6C">
              <w:rPr>
                <w:rFonts w:cs="Calibri"/>
                <w:sz w:val="18"/>
                <w:szCs w:val="18"/>
              </w:rPr>
              <w:t>are partially addressed</w:t>
            </w:r>
          </w:p>
        </w:tc>
        <w:tc>
          <w:tcPr>
            <w:tcW w:w="808" w:type="dxa"/>
            <w:tcBorders>
              <w:top w:val="single" w:sz="4" w:space="0" w:color="auto"/>
              <w:left w:val="nil"/>
              <w:bottom w:val="single" w:sz="4" w:space="0" w:color="auto"/>
              <w:right w:val="single" w:sz="4" w:space="0" w:color="auto"/>
            </w:tcBorders>
            <w:shd w:val="clear" w:color="auto" w:fill="auto"/>
            <w:vAlign w:val="center"/>
            <w:hideMark/>
          </w:tcPr>
          <w:p w14:paraId="12ED7840"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c>
          <w:tcPr>
            <w:tcW w:w="819" w:type="dxa"/>
            <w:tcBorders>
              <w:top w:val="single" w:sz="4" w:space="0" w:color="auto"/>
              <w:left w:val="nil"/>
              <w:bottom w:val="single" w:sz="4" w:space="0" w:color="auto"/>
              <w:right w:val="single" w:sz="4" w:space="0" w:color="auto"/>
            </w:tcBorders>
            <w:shd w:val="clear" w:color="auto" w:fill="auto"/>
            <w:vAlign w:val="center"/>
            <w:hideMark/>
          </w:tcPr>
          <w:p w14:paraId="3B2AE86C"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c>
          <w:tcPr>
            <w:tcW w:w="2690" w:type="dxa"/>
            <w:tcBorders>
              <w:top w:val="single" w:sz="4" w:space="0" w:color="auto"/>
              <w:left w:val="nil"/>
              <w:bottom w:val="single" w:sz="4" w:space="0" w:color="auto"/>
              <w:right w:val="single" w:sz="4" w:space="0" w:color="auto"/>
            </w:tcBorders>
            <w:shd w:val="clear" w:color="auto" w:fill="auto"/>
            <w:vAlign w:val="center"/>
            <w:hideMark/>
          </w:tcPr>
          <w:p w14:paraId="78234169"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Needs partially identified but not all resources required available for development of ELUP</w:t>
            </w:r>
          </w:p>
          <w:p w14:paraId="7B91529A" w14:textId="77777777" w:rsidR="00590B71" w:rsidRPr="003F7F6C" w:rsidRDefault="00590B71" w:rsidP="00590B71">
            <w:pPr>
              <w:spacing w:after="0"/>
              <w:rPr>
                <w:rFonts w:eastAsia="Times New Roman" w:cs="Calibri"/>
                <w:color w:val="000000"/>
                <w:sz w:val="18"/>
                <w:szCs w:val="18"/>
                <w:lang w:eastAsia="es-ES"/>
              </w:rPr>
            </w:pPr>
          </w:p>
        </w:tc>
        <w:tc>
          <w:tcPr>
            <w:tcW w:w="2083" w:type="dxa"/>
            <w:tcBorders>
              <w:top w:val="single" w:sz="4" w:space="0" w:color="auto"/>
              <w:left w:val="nil"/>
              <w:bottom w:val="single" w:sz="4" w:space="0" w:color="auto"/>
              <w:right w:val="single" w:sz="4" w:space="0" w:color="auto"/>
            </w:tcBorders>
            <w:shd w:val="clear" w:color="auto" w:fill="auto"/>
            <w:vAlign w:val="center"/>
            <w:hideMark/>
          </w:tcPr>
          <w:p w14:paraId="111AC8B9"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Strengthening access to necessary resources for ELUP </w:t>
            </w:r>
          </w:p>
        </w:tc>
        <w:tc>
          <w:tcPr>
            <w:tcW w:w="1209" w:type="dxa"/>
            <w:tcBorders>
              <w:top w:val="single" w:sz="4" w:space="0" w:color="auto"/>
              <w:left w:val="nil"/>
              <w:bottom w:val="single" w:sz="4" w:space="0" w:color="auto"/>
              <w:right w:val="single" w:sz="4" w:space="0" w:color="auto"/>
            </w:tcBorders>
            <w:shd w:val="clear" w:color="auto" w:fill="auto"/>
            <w:vAlign w:val="center"/>
            <w:hideMark/>
          </w:tcPr>
          <w:p w14:paraId="4B930E8A"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r>
      <w:tr w:rsidR="00590B71" w:rsidRPr="003F7F6C" w14:paraId="01B051A2" w14:textId="77777777" w:rsidTr="003A428B">
        <w:trPr>
          <w:trHeight w:val="300"/>
        </w:trPr>
        <w:tc>
          <w:tcPr>
            <w:tcW w:w="1978" w:type="dxa"/>
            <w:vMerge/>
            <w:tcBorders>
              <w:top w:val="nil"/>
              <w:left w:val="single" w:sz="4" w:space="0" w:color="auto"/>
              <w:bottom w:val="single" w:sz="4" w:space="0" w:color="auto"/>
              <w:right w:val="single" w:sz="4" w:space="0" w:color="auto"/>
            </w:tcBorders>
            <w:vAlign w:val="center"/>
            <w:hideMark/>
          </w:tcPr>
          <w:p w14:paraId="4998123E" w14:textId="77777777" w:rsidR="00590B71" w:rsidRPr="003F7F6C" w:rsidRDefault="00590B71" w:rsidP="00590B71">
            <w:pPr>
              <w:spacing w:after="0"/>
              <w:rPr>
                <w:rFonts w:eastAsia="Times New Roman" w:cs="Calibri"/>
                <w:color w:val="000000"/>
                <w:sz w:val="18"/>
                <w:szCs w:val="18"/>
                <w:lang w:eastAsia="es-ES"/>
              </w:rPr>
            </w:pPr>
          </w:p>
        </w:tc>
        <w:tc>
          <w:tcPr>
            <w:tcW w:w="4517" w:type="dxa"/>
            <w:tcBorders>
              <w:top w:val="nil"/>
              <w:left w:val="nil"/>
              <w:bottom w:val="single" w:sz="4" w:space="0" w:color="auto"/>
              <w:right w:val="single" w:sz="4" w:space="0" w:color="auto"/>
            </w:tcBorders>
            <w:shd w:val="clear" w:color="auto" w:fill="auto"/>
            <w:vAlign w:val="center"/>
            <w:hideMark/>
          </w:tcPr>
          <w:p w14:paraId="6A00AA64" w14:textId="77777777" w:rsidR="00590B71" w:rsidRPr="003F7F6C" w:rsidRDefault="00590B71" w:rsidP="00590B71">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Adequate resources are mobilized and available for</w:t>
            </w:r>
          </w:p>
          <w:p w14:paraId="36959E50"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the functioning of the lead environmental</w:t>
            </w:r>
          </w:p>
          <w:p w14:paraId="24E730B1" w14:textId="77777777" w:rsidR="00590B71" w:rsidRPr="003F7F6C" w:rsidRDefault="00590B71" w:rsidP="00590B71">
            <w:pPr>
              <w:spacing w:after="0"/>
              <w:rPr>
                <w:rFonts w:eastAsia="Times New Roman" w:cs="Calibri"/>
                <w:color w:val="000000"/>
                <w:sz w:val="18"/>
                <w:szCs w:val="18"/>
                <w:lang w:eastAsia="es-ES"/>
              </w:rPr>
            </w:pPr>
            <w:r w:rsidRPr="003F7F6C">
              <w:rPr>
                <w:rFonts w:cs="Calibri"/>
                <w:sz w:val="18"/>
                <w:szCs w:val="18"/>
              </w:rPr>
              <w:t>organizations</w:t>
            </w:r>
          </w:p>
        </w:tc>
        <w:tc>
          <w:tcPr>
            <w:tcW w:w="808" w:type="dxa"/>
            <w:tcBorders>
              <w:top w:val="nil"/>
              <w:left w:val="nil"/>
              <w:bottom w:val="single" w:sz="4" w:space="0" w:color="auto"/>
              <w:right w:val="single" w:sz="4" w:space="0" w:color="auto"/>
            </w:tcBorders>
            <w:shd w:val="clear" w:color="auto" w:fill="auto"/>
            <w:vAlign w:val="center"/>
            <w:hideMark/>
          </w:tcPr>
          <w:p w14:paraId="5443B0AB"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3</w:t>
            </w:r>
          </w:p>
        </w:tc>
        <w:tc>
          <w:tcPr>
            <w:tcW w:w="819" w:type="dxa"/>
            <w:tcBorders>
              <w:top w:val="nil"/>
              <w:left w:val="nil"/>
              <w:bottom w:val="single" w:sz="4" w:space="0" w:color="auto"/>
              <w:right w:val="single" w:sz="4" w:space="0" w:color="auto"/>
            </w:tcBorders>
            <w:shd w:val="clear" w:color="auto" w:fill="auto"/>
            <w:vAlign w:val="center"/>
            <w:hideMark/>
          </w:tcPr>
          <w:p w14:paraId="43DD7D11"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690" w:type="dxa"/>
            <w:tcBorders>
              <w:top w:val="nil"/>
              <w:left w:val="nil"/>
              <w:bottom w:val="single" w:sz="4" w:space="0" w:color="auto"/>
              <w:right w:val="single" w:sz="4" w:space="0" w:color="auto"/>
            </w:tcBorders>
            <w:shd w:val="clear" w:color="auto" w:fill="auto"/>
            <w:vAlign w:val="center"/>
            <w:hideMark/>
          </w:tcPr>
          <w:p w14:paraId="2313D310"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083" w:type="dxa"/>
            <w:tcBorders>
              <w:top w:val="nil"/>
              <w:left w:val="nil"/>
              <w:bottom w:val="single" w:sz="4" w:space="0" w:color="auto"/>
              <w:right w:val="single" w:sz="4" w:space="0" w:color="auto"/>
            </w:tcBorders>
            <w:shd w:val="clear" w:color="auto" w:fill="auto"/>
            <w:vAlign w:val="center"/>
            <w:hideMark/>
          </w:tcPr>
          <w:p w14:paraId="4A94D724"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209" w:type="dxa"/>
            <w:tcBorders>
              <w:top w:val="nil"/>
              <w:left w:val="nil"/>
              <w:bottom w:val="single" w:sz="4" w:space="0" w:color="auto"/>
              <w:right w:val="single" w:sz="4" w:space="0" w:color="auto"/>
            </w:tcBorders>
            <w:shd w:val="clear" w:color="auto" w:fill="auto"/>
            <w:vAlign w:val="center"/>
            <w:hideMark/>
          </w:tcPr>
          <w:p w14:paraId="4B0E611C"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590B71" w:rsidRPr="003F7F6C" w14:paraId="728C0D3A" w14:textId="77777777" w:rsidTr="003A428B">
        <w:trPr>
          <w:trHeight w:val="300"/>
        </w:trPr>
        <w:tc>
          <w:tcPr>
            <w:tcW w:w="19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4385AE3"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Indicator 13: Availability of required technical skills and technology transfer</w:t>
            </w:r>
          </w:p>
        </w:tc>
        <w:tc>
          <w:tcPr>
            <w:tcW w:w="45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103A8A8" w14:textId="77777777" w:rsidR="00590B71" w:rsidRPr="003F7F6C" w:rsidRDefault="00590B71" w:rsidP="00590B71">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The necessary required skills and technology are not</w:t>
            </w:r>
          </w:p>
          <w:p w14:paraId="646A1EFA" w14:textId="77777777" w:rsidR="00590B71" w:rsidRPr="003F7F6C" w:rsidRDefault="00590B71" w:rsidP="00590B71">
            <w:pPr>
              <w:spacing w:after="0"/>
              <w:rPr>
                <w:rFonts w:eastAsia="Times New Roman" w:cs="Calibri"/>
                <w:color w:val="000000"/>
                <w:sz w:val="18"/>
                <w:szCs w:val="18"/>
                <w:lang w:eastAsia="es-ES"/>
              </w:rPr>
            </w:pPr>
            <w:r w:rsidRPr="003F7F6C">
              <w:rPr>
                <w:rFonts w:cs="Calibri"/>
                <w:sz w:val="18"/>
                <w:szCs w:val="18"/>
              </w:rPr>
              <w:t>available and the needs are not identified</w:t>
            </w:r>
          </w:p>
        </w:tc>
        <w:tc>
          <w:tcPr>
            <w:tcW w:w="8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63356E1"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0</w:t>
            </w:r>
          </w:p>
        </w:tc>
        <w:tc>
          <w:tcPr>
            <w:tcW w:w="8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A98CB76"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6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2C2198D"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0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B5B0C18"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EBAE57"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590B71" w:rsidRPr="003F7F6C" w14:paraId="0053FCD5" w14:textId="77777777" w:rsidTr="003A428B">
        <w:trPr>
          <w:trHeight w:val="300"/>
        </w:trPr>
        <w:tc>
          <w:tcPr>
            <w:tcW w:w="1978" w:type="dxa"/>
            <w:vMerge/>
            <w:tcBorders>
              <w:top w:val="single" w:sz="4" w:space="0" w:color="auto"/>
              <w:left w:val="single" w:sz="4" w:space="0" w:color="auto"/>
              <w:bottom w:val="single" w:sz="4" w:space="0" w:color="auto"/>
              <w:right w:val="single" w:sz="4" w:space="0" w:color="auto"/>
            </w:tcBorders>
            <w:vAlign w:val="center"/>
            <w:hideMark/>
          </w:tcPr>
          <w:p w14:paraId="01E4712C" w14:textId="77777777" w:rsidR="00590B71" w:rsidRPr="003F7F6C" w:rsidRDefault="00590B71" w:rsidP="00590B71">
            <w:pPr>
              <w:spacing w:after="0"/>
              <w:rPr>
                <w:rFonts w:eastAsia="Times New Roman" w:cs="Calibri"/>
                <w:color w:val="000000"/>
                <w:sz w:val="18"/>
                <w:szCs w:val="18"/>
                <w:lang w:eastAsia="es-ES"/>
              </w:rPr>
            </w:pPr>
          </w:p>
        </w:tc>
        <w:tc>
          <w:tcPr>
            <w:tcW w:w="45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D64548" w14:textId="77777777" w:rsidR="00590B71" w:rsidRPr="003F7F6C" w:rsidRDefault="00590B71" w:rsidP="00590B71">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The required skills and technologies needs are</w:t>
            </w:r>
          </w:p>
          <w:p w14:paraId="3E2C99A6" w14:textId="77777777" w:rsidR="00590B71" w:rsidRPr="003F7F6C" w:rsidRDefault="00590B71" w:rsidP="00590B71">
            <w:pPr>
              <w:spacing w:after="0"/>
              <w:rPr>
                <w:rFonts w:eastAsia="Times New Roman" w:cs="Calibri"/>
                <w:color w:val="000000"/>
                <w:sz w:val="18"/>
                <w:szCs w:val="18"/>
                <w:lang w:eastAsia="es-ES"/>
              </w:rPr>
            </w:pPr>
            <w:r w:rsidRPr="003F7F6C">
              <w:rPr>
                <w:rFonts w:cs="Calibri"/>
                <w:sz w:val="18"/>
                <w:szCs w:val="18"/>
              </w:rPr>
              <w:t>identified as well as their sources</w:t>
            </w:r>
          </w:p>
        </w:tc>
        <w:tc>
          <w:tcPr>
            <w:tcW w:w="8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0F5284"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1</w:t>
            </w:r>
          </w:p>
        </w:tc>
        <w:tc>
          <w:tcPr>
            <w:tcW w:w="8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DD6A4A"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6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439F02"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0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37C898"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F176A40"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590B71" w:rsidRPr="003F7F6C" w14:paraId="16DCB95F" w14:textId="77777777" w:rsidTr="003A428B">
        <w:trPr>
          <w:trHeight w:val="300"/>
        </w:trPr>
        <w:tc>
          <w:tcPr>
            <w:tcW w:w="1978" w:type="dxa"/>
            <w:vMerge/>
            <w:tcBorders>
              <w:top w:val="single" w:sz="4" w:space="0" w:color="auto"/>
              <w:left w:val="single" w:sz="4" w:space="0" w:color="auto"/>
              <w:bottom w:val="single" w:sz="4" w:space="0" w:color="auto"/>
              <w:right w:val="single" w:sz="4" w:space="0" w:color="auto"/>
            </w:tcBorders>
            <w:vAlign w:val="center"/>
            <w:hideMark/>
          </w:tcPr>
          <w:p w14:paraId="31173A37" w14:textId="77777777" w:rsidR="00590B71" w:rsidRPr="003F7F6C" w:rsidRDefault="00590B71" w:rsidP="00590B71">
            <w:pPr>
              <w:spacing w:after="0"/>
              <w:rPr>
                <w:rFonts w:eastAsia="Times New Roman" w:cs="Calibri"/>
                <w:color w:val="000000"/>
                <w:sz w:val="18"/>
                <w:szCs w:val="18"/>
                <w:lang w:eastAsia="es-ES"/>
              </w:rPr>
            </w:pPr>
          </w:p>
        </w:tc>
        <w:tc>
          <w:tcPr>
            <w:tcW w:w="45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3212AB8" w14:textId="77777777" w:rsidR="00590B71" w:rsidRPr="003F7F6C" w:rsidRDefault="00590B71" w:rsidP="00590B71">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The required skills and technologies are obtained but</w:t>
            </w:r>
          </w:p>
          <w:p w14:paraId="0A70BBCC" w14:textId="77777777" w:rsidR="00590B71" w:rsidRPr="003F7F6C" w:rsidRDefault="00590B71" w:rsidP="00590B71">
            <w:pPr>
              <w:spacing w:after="0"/>
              <w:rPr>
                <w:rFonts w:eastAsia="Times New Roman" w:cs="Calibri"/>
                <w:color w:val="000000"/>
                <w:sz w:val="18"/>
                <w:szCs w:val="18"/>
                <w:lang w:eastAsia="es-ES"/>
              </w:rPr>
            </w:pPr>
            <w:r w:rsidRPr="003F7F6C">
              <w:rPr>
                <w:rFonts w:cs="Calibri"/>
                <w:sz w:val="18"/>
                <w:szCs w:val="18"/>
              </w:rPr>
              <w:t>their access depend on foreign sources</w:t>
            </w:r>
          </w:p>
        </w:tc>
        <w:tc>
          <w:tcPr>
            <w:tcW w:w="8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1E14A9E"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c>
          <w:tcPr>
            <w:tcW w:w="8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AF84A24"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c>
          <w:tcPr>
            <w:tcW w:w="26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2413082"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Technical capacity at national level which must be updated and made sustainable at policy level. ELUP depends on foreign sources. </w:t>
            </w:r>
          </w:p>
        </w:tc>
        <w:tc>
          <w:tcPr>
            <w:tcW w:w="20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EE8E25"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Exchange of information and improvement of ELUP in each territory; capacity building</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FCFEDA5"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590B71" w:rsidRPr="003F7F6C" w14:paraId="21763661" w14:textId="77777777" w:rsidTr="003A428B">
        <w:trPr>
          <w:trHeight w:val="735"/>
        </w:trPr>
        <w:tc>
          <w:tcPr>
            <w:tcW w:w="1978" w:type="dxa"/>
            <w:vMerge/>
            <w:tcBorders>
              <w:top w:val="single" w:sz="4" w:space="0" w:color="auto"/>
              <w:left w:val="single" w:sz="4" w:space="0" w:color="auto"/>
              <w:bottom w:val="single" w:sz="4" w:space="0" w:color="auto"/>
              <w:right w:val="single" w:sz="4" w:space="0" w:color="auto"/>
            </w:tcBorders>
            <w:vAlign w:val="center"/>
            <w:hideMark/>
          </w:tcPr>
          <w:p w14:paraId="2CC030AE" w14:textId="77777777" w:rsidR="00590B71" w:rsidRPr="003F7F6C" w:rsidRDefault="00590B71" w:rsidP="00590B71">
            <w:pPr>
              <w:spacing w:after="0"/>
              <w:rPr>
                <w:rFonts w:eastAsia="Times New Roman" w:cs="Calibri"/>
                <w:color w:val="000000"/>
                <w:sz w:val="18"/>
                <w:szCs w:val="18"/>
                <w:lang w:eastAsia="es-ES"/>
              </w:rPr>
            </w:pPr>
          </w:p>
        </w:tc>
        <w:tc>
          <w:tcPr>
            <w:tcW w:w="45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4183B68" w14:textId="77777777" w:rsidR="00590B71" w:rsidRPr="003F7F6C" w:rsidRDefault="00590B71" w:rsidP="00590B71">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The required skills and technologies are available and</w:t>
            </w:r>
          </w:p>
          <w:p w14:paraId="10ABE777"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there is a national-based mechanism for updating the</w:t>
            </w:r>
          </w:p>
          <w:p w14:paraId="2DDB7C2D" w14:textId="77777777" w:rsidR="00590B71" w:rsidRPr="003F7F6C" w:rsidRDefault="00590B71" w:rsidP="00590B71">
            <w:pPr>
              <w:spacing w:after="0"/>
              <w:rPr>
                <w:rFonts w:eastAsia="Times New Roman" w:cs="Calibri"/>
                <w:color w:val="000000"/>
                <w:sz w:val="18"/>
                <w:szCs w:val="18"/>
                <w:lang w:eastAsia="es-ES"/>
              </w:rPr>
            </w:pPr>
            <w:r w:rsidRPr="003F7F6C">
              <w:rPr>
                <w:rFonts w:cs="Calibri"/>
                <w:sz w:val="18"/>
                <w:szCs w:val="18"/>
              </w:rPr>
              <w:t>required skills and for upgrading the technologies</w:t>
            </w:r>
          </w:p>
        </w:tc>
        <w:tc>
          <w:tcPr>
            <w:tcW w:w="8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3789D0"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3</w:t>
            </w:r>
          </w:p>
        </w:tc>
        <w:tc>
          <w:tcPr>
            <w:tcW w:w="8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5AEC4A1"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6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BA4D0B"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0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2AA92B"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9A88801"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590B71" w:rsidRPr="003F7F6C" w14:paraId="1E313DA6" w14:textId="77777777" w:rsidTr="003A428B">
        <w:trPr>
          <w:trHeight w:val="329"/>
        </w:trPr>
        <w:tc>
          <w:tcPr>
            <w:tcW w:w="1978" w:type="dxa"/>
            <w:tcBorders>
              <w:top w:val="single" w:sz="4" w:space="0" w:color="auto"/>
              <w:left w:val="single" w:sz="4" w:space="0" w:color="auto"/>
              <w:bottom w:val="single" w:sz="4" w:space="0" w:color="auto"/>
              <w:right w:val="single" w:sz="4" w:space="0" w:color="auto"/>
            </w:tcBorders>
            <w:vAlign w:val="center"/>
          </w:tcPr>
          <w:p w14:paraId="4F10DA90" w14:textId="77777777" w:rsidR="00590B71" w:rsidRPr="003F7F6C" w:rsidRDefault="00590B71" w:rsidP="00590B71">
            <w:pPr>
              <w:spacing w:after="0"/>
              <w:rPr>
                <w:rFonts w:eastAsia="Times New Roman" w:cs="Calibri"/>
                <w:color w:val="000000"/>
                <w:sz w:val="18"/>
                <w:szCs w:val="18"/>
                <w:lang w:eastAsia="es-ES"/>
              </w:rPr>
            </w:pPr>
          </w:p>
        </w:tc>
        <w:tc>
          <w:tcPr>
            <w:tcW w:w="4517" w:type="dxa"/>
            <w:tcBorders>
              <w:top w:val="single" w:sz="4" w:space="0" w:color="auto"/>
              <w:left w:val="nil"/>
              <w:bottom w:val="single" w:sz="4" w:space="0" w:color="auto"/>
              <w:right w:val="single" w:sz="4" w:space="0" w:color="auto"/>
            </w:tcBorders>
            <w:shd w:val="clear" w:color="auto" w:fill="auto"/>
            <w:vAlign w:val="center"/>
          </w:tcPr>
          <w:p w14:paraId="549DB069" w14:textId="77777777" w:rsidR="00590B71" w:rsidRPr="003F7F6C" w:rsidRDefault="00590B71" w:rsidP="00590B71">
            <w:pPr>
              <w:autoSpaceDE w:val="0"/>
              <w:autoSpaceDN w:val="0"/>
              <w:adjustRightInd w:val="0"/>
              <w:spacing w:after="0"/>
              <w:rPr>
                <w:rFonts w:eastAsia="Times New Roman" w:cs="Calibri"/>
                <w:color w:val="000000"/>
                <w:sz w:val="18"/>
                <w:szCs w:val="18"/>
                <w:lang w:eastAsia="es-ES"/>
              </w:rPr>
            </w:pPr>
          </w:p>
        </w:tc>
        <w:tc>
          <w:tcPr>
            <w:tcW w:w="808" w:type="dxa"/>
            <w:tcBorders>
              <w:top w:val="single" w:sz="4" w:space="0" w:color="auto"/>
              <w:left w:val="nil"/>
              <w:bottom w:val="single" w:sz="4" w:space="0" w:color="auto"/>
              <w:right w:val="single" w:sz="4" w:space="0" w:color="auto"/>
            </w:tcBorders>
            <w:shd w:val="clear" w:color="auto" w:fill="auto"/>
            <w:vAlign w:val="center"/>
          </w:tcPr>
          <w:p w14:paraId="40858DC7"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6</w:t>
            </w:r>
          </w:p>
        </w:tc>
        <w:tc>
          <w:tcPr>
            <w:tcW w:w="819" w:type="dxa"/>
            <w:tcBorders>
              <w:top w:val="single" w:sz="4" w:space="0" w:color="auto"/>
              <w:left w:val="nil"/>
              <w:bottom w:val="single" w:sz="4" w:space="0" w:color="auto"/>
              <w:right w:val="single" w:sz="4" w:space="0" w:color="auto"/>
            </w:tcBorders>
            <w:shd w:val="clear" w:color="auto" w:fill="auto"/>
            <w:vAlign w:val="center"/>
          </w:tcPr>
          <w:p w14:paraId="5E9CD8C4"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4</w:t>
            </w:r>
          </w:p>
        </w:tc>
        <w:tc>
          <w:tcPr>
            <w:tcW w:w="2690" w:type="dxa"/>
            <w:tcBorders>
              <w:top w:val="single" w:sz="4" w:space="0" w:color="auto"/>
              <w:left w:val="nil"/>
              <w:bottom w:val="single" w:sz="4" w:space="0" w:color="auto"/>
              <w:right w:val="single" w:sz="4" w:space="0" w:color="auto"/>
            </w:tcBorders>
            <w:shd w:val="clear" w:color="auto" w:fill="auto"/>
            <w:vAlign w:val="center"/>
          </w:tcPr>
          <w:p w14:paraId="4234D05D" w14:textId="77777777" w:rsidR="00590B71" w:rsidRPr="003F7F6C" w:rsidRDefault="00590B71" w:rsidP="00590B71">
            <w:pPr>
              <w:spacing w:after="0"/>
              <w:rPr>
                <w:rFonts w:eastAsia="Times New Roman" w:cs="Calibri"/>
                <w:color w:val="000000"/>
                <w:sz w:val="18"/>
                <w:szCs w:val="18"/>
                <w:lang w:eastAsia="es-ES"/>
              </w:rPr>
            </w:pPr>
          </w:p>
        </w:tc>
        <w:tc>
          <w:tcPr>
            <w:tcW w:w="2083" w:type="dxa"/>
            <w:tcBorders>
              <w:top w:val="single" w:sz="4" w:space="0" w:color="auto"/>
              <w:left w:val="nil"/>
              <w:bottom w:val="single" w:sz="4" w:space="0" w:color="auto"/>
              <w:right w:val="single" w:sz="4" w:space="0" w:color="auto"/>
            </w:tcBorders>
            <w:shd w:val="clear" w:color="auto" w:fill="auto"/>
            <w:vAlign w:val="center"/>
          </w:tcPr>
          <w:p w14:paraId="7F2A4E9B" w14:textId="77777777" w:rsidR="00590B71" w:rsidRPr="003F7F6C" w:rsidRDefault="00590B71" w:rsidP="00590B71">
            <w:pPr>
              <w:spacing w:after="0"/>
              <w:rPr>
                <w:rFonts w:eastAsia="Times New Roman" w:cs="Calibri"/>
                <w:color w:val="000000"/>
                <w:sz w:val="18"/>
                <w:szCs w:val="18"/>
                <w:lang w:eastAsia="es-ES"/>
              </w:rPr>
            </w:pPr>
          </w:p>
        </w:tc>
        <w:tc>
          <w:tcPr>
            <w:tcW w:w="1209" w:type="dxa"/>
            <w:tcBorders>
              <w:top w:val="single" w:sz="4" w:space="0" w:color="auto"/>
              <w:left w:val="nil"/>
              <w:bottom w:val="single" w:sz="4" w:space="0" w:color="auto"/>
              <w:right w:val="single" w:sz="4" w:space="0" w:color="auto"/>
            </w:tcBorders>
            <w:shd w:val="clear" w:color="auto" w:fill="auto"/>
            <w:vAlign w:val="center"/>
          </w:tcPr>
          <w:p w14:paraId="151693D0" w14:textId="77777777" w:rsidR="00590B71" w:rsidRPr="003F7F6C" w:rsidRDefault="00590B71" w:rsidP="00590B71">
            <w:pPr>
              <w:spacing w:after="0"/>
              <w:rPr>
                <w:rFonts w:eastAsia="Times New Roman" w:cs="Calibri"/>
                <w:color w:val="000000"/>
                <w:sz w:val="18"/>
                <w:szCs w:val="18"/>
                <w:lang w:eastAsia="es-ES"/>
              </w:rPr>
            </w:pPr>
          </w:p>
        </w:tc>
      </w:tr>
      <w:tr w:rsidR="00590B71" w:rsidRPr="003F7F6C" w14:paraId="64F8973A" w14:textId="77777777" w:rsidTr="003A428B">
        <w:trPr>
          <w:trHeight w:val="300"/>
        </w:trPr>
        <w:tc>
          <w:tcPr>
            <w:tcW w:w="1978" w:type="dxa"/>
            <w:tcBorders>
              <w:top w:val="nil"/>
              <w:left w:val="single" w:sz="4" w:space="0" w:color="auto"/>
              <w:bottom w:val="single" w:sz="4" w:space="0" w:color="auto"/>
              <w:right w:val="single" w:sz="4" w:space="0" w:color="auto"/>
            </w:tcBorders>
            <w:vAlign w:val="center"/>
          </w:tcPr>
          <w:p w14:paraId="6216CDCA" w14:textId="77777777" w:rsidR="00590B71" w:rsidRPr="003F7F6C" w:rsidRDefault="00590B71" w:rsidP="00590B71">
            <w:pPr>
              <w:spacing w:after="0"/>
              <w:rPr>
                <w:rFonts w:eastAsia="Times New Roman" w:cs="Calibri"/>
                <w:color w:val="000000"/>
                <w:sz w:val="18"/>
                <w:szCs w:val="18"/>
                <w:lang w:eastAsia="es-ES"/>
              </w:rPr>
            </w:pPr>
          </w:p>
        </w:tc>
        <w:tc>
          <w:tcPr>
            <w:tcW w:w="4517" w:type="dxa"/>
            <w:tcBorders>
              <w:top w:val="nil"/>
              <w:left w:val="nil"/>
              <w:bottom w:val="single" w:sz="4" w:space="0" w:color="auto"/>
              <w:right w:val="single" w:sz="4" w:space="0" w:color="auto"/>
            </w:tcBorders>
            <w:shd w:val="clear" w:color="auto" w:fill="auto"/>
            <w:vAlign w:val="center"/>
          </w:tcPr>
          <w:p w14:paraId="1FE198F9" w14:textId="77777777" w:rsidR="00590B71" w:rsidRPr="003F7F6C" w:rsidRDefault="00590B71" w:rsidP="00590B71">
            <w:pPr>
              <w:autoSpaceDE w:val="0"/>
              <w:autoSpaceDN w:val="0"/>
              <w:adjustRightInd w:val="0"/>
              <w:spacing w:after="0"/>
              <w:rPr>
                <w:rFonts w:eastAsia="Times New Roman" w:cs="Calibri"/>
                <w:color w:val="000000"/>
                <w:sz w:val="18"/>
                <w:szCs w:val="18"/>
                <w:lang w:eastAsia="es-ES"/>
              </w:rPr>
            </w:pPr>
          </w:p>
        </w:tc>
        <w:tc>
          <w:tcPr>
            <w:tcW w:w="808" w:type="dxa"/>
            <w:tcBorders>
              <w:top w:val="nil"/>
              <w:left w:val="nil"/>
              <w:bottom w:val="single" w:sz="4" w:space="0" w:color="auto"/>
              <w:right w:val="single" w:sz="4" w:space="0" w:color="auto"/>
            </w:tcBorders>
            <w:shd w:val="clear" w:color="auto" w:fill="auto"/>
            <w:vAlign w:val="center"/>
          </w:tcPr>
          <w:p w14:paraId="2CB65316" w14:textId="77777777" w:rsidR="00590B71" w:rsidRPr="003F7F6C" w:rsidRDefault="00590B71" w:rsidP="00590B71">
            <w:pPr>
              <w:spacing w:after="0"/>
              <w:rPr>
                <w:rFonts w:eastAsia="Times New Roman" w:cs="Calibri"/>
                <w:color w:val="000000"/>
                <w:sz w:val="18"/>
                <w:szCs w:val="18"/>
                <w:lang w:eastAsia="es-ES"/>
              </w:rPr>
            </w:pPr>
          </w:p>
        </w:tc>
        <w:tc>
          <w:tcPr>
            <w:tcW w:w="819" w:type="dxa"/>
            <w:tcBorders>
              <w:top w:val="nil"/>
              <w:left w:val="nil"/>
              <w:bottom w:val="single" w:sz="4" w:space="0" w:color="auto"/>
              <w:right w:val="single" w:sz="4" w:space="0" w:color="auto"/>
            </w:tcBorders>
            <w:shd w:val="clear" w:color="auto" w:fill="auto"/>
            <w:vAlign w:val="center"/>
          </w:tcPr>
          <w:p w14:paraId="699E4988" w14:textId="3CCC9983"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66</w:t>
            </w:r>
            <w:r w:rsidR="00FB6D2D" w:rsidRPr="003F7F6C">
              <w:rPr>
                <w:rFonts w:eastAsia="Times New Roman" w:cs="Calibri"/>
                <w:color w:val="000000"/>
                <w:sz w:val="18"/>
                <w:szCs w:val="18"/>
                <w:lang w:eastAsia="es-ES"/>
              </w:rPr>
              <w:t>.</w:t>
            </w:r>
            <w:r w:rsidRPr="003F7F6C">
              <w:rPr>
                <w:rFonts w:eastAsia="Times New Roman" w:cs="Calibri"/>
                <w:color w:val="000000"/>
                <w:sz w:val="18"/>
                <w:szCs w:val="18"/>
                <w:lang w:eastAsia="es-ES"/>
              </w:rPr>
              <w:t>6%</w:t>
            </w:r>
          </w:p>
        </w:tc>
        <w:tc>
          <w:tcPr>
            <w:tcW w:w="2690" w:type="dxa"/>
            <w:tcBorders>
              <w:top w:val="nil"/>
              <w:left w:val="nil"/>
              <w:bottom w:val="single" w:sz="4" w:space="0" w:color="auto"/>
              <w:right w:val="single" w:sz="4" w:space="0" w:color="auto"/>
            </w:tcBorders>
            <w:shd w:val="clear" w:color="auto" w:fill="auto"/>
            <w:vAlign w:val="center"/>
          </w:tcPr>
          <w:p w14:paraId="7877DEBD" w14:textId="77777777" w:rsidR="00590B71" w:rsidRPr="003F7F6C" w:rsidRDefault="00590B71" w:rsidP="00590B71">
            <w:pPr>
              <w:spacing w:after="0"/>
              <w:rPr>
                <w:rFonts w:eastAsia="Times New Roman" w:cs="Calibri"/>
                <w:color w:val="000000"/>
                <w:sz w:val="18"/>
                <w:szCs w:val="18"/>
                <w:lang w:eastAsia="es-ES"/>
              </w:rPr>
            </w:pPr>
          </w:p>
        </w:tc>
        <w:tc>
          <w:tcPr>
            <w:tcW w:w="2083" w:type="dxa"/>
            <w:tcBorders>
              <w:top w:val="nil"/>
              <w:left w:val="nil"/>
              <w:bottom w:val="single" w:sz="4" w:space="0" w:color="auto"/>
              <w:right w:val="single" w:sz="4" w:space="0" w:color="auto"/>
            </w:tcBorders>
            <w:shd w:val="clear" w:color="auto" w:fill="auto"/>
            <w:vAlign w:val="center"/>
          </w:tcPr>
          <w:p w14:paraId="29A8EDED" w14:textId="77777777" w:rsidR="00590B71" w:rsidRPr="003F7F6C" w:rsidRDefault="00590B71" w:rsidP="00590B71">
            <w:pPr>
              <w:spacing w:after="0"/>
              <w:rPr>
                <w:rFonts w:eastAsia="Times New Roman" w:cs="Calibri"/>
                <w:color w:val="000000"/>
                <w:sz w:val="18"/>
                <w:szCs w:val="18"/>
                <w:lang w:eastAsia="es-ES"/>
              </w:rPr>
            </w:pPr>
          </w:p>
        </w:tc>
        <w:tc>
          <w:tcPr>
            <w:tcW w:w="1209" w:type="dxa"/>
            <w:tcBorders>
              <w:top w:val="nil"/>
              <w:left w:val="nil"/>
              <w:bottom w:val="single" w:sz="4" w:space="0" w:color="auto"/>
              <w:right w:val="single" w:sz="4" w:space="0" w:color="auto"/>
            </w:tcBorders>
            <w:shd w:val="clear" w:color="auto" w:fill="auto"/>
            <w:vAlign w:val="center"/>
          </w:tcPr>
          <w:p w14:paraId="50BC5AEA" w14:textId="77777777" w:rsidR="00590B71" w:rsidRPr="003F7F6C" w:rsidRDefault="00590B71" w:rsidP="00590B71">
            <w:pPr>
              <w:spacing w:after="0"/>
              <w:rPr>
                <w:rFonts w:eastAsia="Times New Roman" w:cs="Calibri"/>
                <w:color w:val="000000"/>
                <w:sz w:val="18"/>
                <w:szCs w:val="18"/>
                <w:lang w:eastAsia="es-ES"/>
              </w:rPr>
            </w:pPr>
          </w:p>
        </w:tc>
      </w:tr>
      <w:tr w:rsidR="00590B71" w:rsidRPr="003F7F6C" w14:paraId="1D19E275" w14:textId="77777777" w:rsidTr="003A428B">
        <w:trPr>
          <w:trHeight w:val="300"/>
        </w:trPr>
        <w:tc>
          <w:tcPr>
            <w:tcW w:w="14104" w:type="dxa"/>
            <w:gridSpan w:val="7"/>
            <w:tcBorders>
              <w:top w:val="single" w:sz="4" w:space="0" w:color="auto"/>
              <w:left w:val="single" w:sz="4" w:space="0" w:color="auto"/>
              <w:bottom w:val="single" w:sz="4" w:space="0" w:color="auto"/>
              <w:right w:val="single" w:sz="4" w:space="0" w:color="auto"/>
            </w:tcBorders>
            <w:shd w:val="clear" w:color="000000" w:fill="D9D9D9"/>
            <w:vAlign w:val="center"/>
            <w:hideMark/>
          </w:tcPr>
          <w:p w14:paraId="2FCE6C34"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CR 5: Capacities to Monitor and Evaluate</w:t>
            </w:r>
          </w:p>
        </w:tc>
      </w:tr>
      <w:tr w:rsidR="00590B71" w:rsidRPr="003F7F6C" w14:paraId="7E36F7AC" w14:textId="77777777" w:rsidTr="003A428B">
        <w:trPr>
          <w:trHeight w:val="300"/>
        </w:trPr>
        <w:tc>
          <w:tcPr>
            <w:tcW w:w="19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1154A3"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Indicator 14: Adequacy of the project/programme monitoring process</w:t>
            </w:r>
          </w:p>
        </w:tc>
        <w:tc>
          <w:tcPr>
            <w:tcW w:w="45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4E89230" w14:textId="77777777" w:rsidR="00590B71" w:rsidRPr="003F7F6C" w:rsidRDefault="00590B71" w:rsidP="00590B71">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Irregular project monitoring is being done without an</w:t>
            </w:r>
          </w:p>
          <w:p w14:paraId="693CEBEA"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adequate monitoring framework detailing what and</w:t>
            </w:r>
          </w:p>
          <w:p w14:paraId="61335DDA" w14:textId="77777777" w:rsidR="00590B71" w:rsidRPr="003F7F6C" w:rsidRDefault="00590B71" w:rsidP="00590B71">
            <w:pPr>
              <w:spacing w:after="0"/>
              <w:rPr>
                <w:rFonts w:eastAsia="Times New Roman" w:cs="Calibri"/>
                <w:color w:val="000000"/>
                <w:sz w:val="18"/>
                <w:szCs w:val="18"/>
                <w:lang w:eastAsia="es-ES"/>
              </w:rPr>
            </w:pPr>
            <w:r w:rsidRPr="003F7F6C">
              <w:rPr>
                <w:rFonts w:cs="Calibri"/>
                <w:sz w:val="18"/>
                <w:szCs w:val="18"/>
              </w:rPr>
              <w:t>how to monitor the particular project or programme</w:t>
            </w:r>
          </w:p>
        </w:tc>
        <w:tc>
          <w:tcPr>
            <w:tcW w:w="8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AA458FA"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0</w:t>
            </w:r>
          </w:p>
        </w:tc>
        <w:tc>
          <w:tcPr>
            <w:tcW w:w="8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F62E0F"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6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851DAFA"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083" w:type="dxa"/>
            <w:tcBorders>
              <w:top w:val="nil"/>
              <w:left w:val="single" w:sz="4" w:space="0" w:color="auto"/>
              <w:bottom w:val="single" w:sz="4" w:space="0" w:color="auto"/>
              <w:right w:val="single" w:sz="4" w:space="0" w:color="auto"/>
            </w:tcBorders>
            <w:shd w:val="clear" w:color="auto" w:fill="auto"/>
            <w:vAlign w:val="center"/>
            <w:hideMark/>
          </w:tcPr>
          <w:p w14:paraId="074A8762"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209" w:type="dxa"/>
            <w:tcBorders>
              <w:top w:val="nil"/>
              <w:left w:val="nil"/>
              <w:bottom w:val="single" w:sz="4" w:space="0" w:color="auto"/>
              <w:right w:val="single" w:sz="4" w:space="0" w:color="auto"/>
            </w:tcBorders>
            <w:shd w:val="clear" w:color="auto" w:fill="auto"/>
            <w:vAlign w:val="center"/>
            <w:hideMark/>
          </w:tcPr>
          <w:p w14:paraId="513876EB"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590B71" w:rsidRPr="003F7F6C" w14:paraId="41E020B0" w14:textId="77777777" w:rsidTr="003A428B">
        <w:trPr>
          <w:trHeight w:val="300"/>
        </w:trPr>
        <w:tc>
          <w:tcPr>
            <w:tcW w:w="1978" w:type="dxa"/>
            <w:vMerge/>
            <w:tcBorders>
              <w:top w:val="single" w:sz="4" w:space="0" w:color="auto"/>
              <w:left w:val="single" w:sz="4" w:space="0" w:color="auto"/>
              <w:bottom w:val="single" w:sz="4" w:space="0" w:color="auto"/>
              <w:right w:val="single" w:sz="4" w:space="0" w:color="auto"/>
            </w:tcBorders>
            <w:vAlign w:val="center"/>
            <w:hideMark/>
          </w:tcPr>
          <w:p w14:paraId="1DC88DAD" w14:textId="77777777" w:rsidR="00590B71" w:rsidRPr="003F7F6C" w:rsidRDefault="00590B71" w:rsidP="00590B71">
            <w:pPr>
              <w:spacing w:after="0"/>
              <w:rPr>
                <w:rFonts w:eastAsia="Times New Roman" w:cs="Calibri"/>
                <w:color w:val="000000"/>
                <w:sz w:val="18"/>
                <w:szCs w:val="18"/>
                <w:lang w:eastAsia="es-ES"/>
              </w:rPr>
            </w:pPr>
          </w:p>
        </w:tc>
        <w:tc>
          <w:tcPr>
            <w:tcW w:w="45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EFF9FE" w14:textId="77777777" w:rsidR="00590B71" w:rsidRPr="003F7F6C" w:rsidRDefault="00590B71" w:rsidP="00590B71">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An adequate resourced monitoring framework is in</w:t>
            </w:r>
          </w:p>
          <w:p w14:paraId="5E565E70" w14:textId="77777777" w:rsidR="00590B71" w:rsidRPr="003F7F6C" w:rsidRDefault="00590B71" w:rsidP="00590B71">
            <w:pPr>
              <w:spacing w:after="0"/>
              <w:rPr>
                <w:rFonts w:eastAsia="Times New Roman" w:cs="Calibri"/>
                <w:color w:val="000000"/>
                <w:sz w:val="18"/>
                <w:szCs w:val="18"/>
                <w:lang w:eastAsia="es-ES"/>
              </w:rPr>
            </w:pPr>
            <w:r w:rsidRPr="003F7F6C">
              <w:rPr>
                <w:rFonts w:cs="Calibri"/>
                <w:sz w:val="18"/>
                <w:szCs w:val="18"/>
              </w:rPr>
              <w:t>place but project monitoring is irregularly conducted</w:t>
            </w:r>
          </w:p>
        </w:tc>
        <w:tc>
          <w:tcPr>
            <w:tcW w:w="8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271CE5F"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1</w:t>
            </w:r>
          </w:p>
        </w:tc>
        <w:tc>
          <w:tcPr>
            <w:tcW w:w="8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306EAA0"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1</w:t>
            </w:r>
          </w:p>
        </w:tc>
        <w:tc>
          <w:tcPr>
            <w:tcW w:w="26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B63ED57"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Monitoring frameworks exist but are irregularly conducted, without participation of key stakeholders </w:t>
            </w:r>
          </w:p>
        </w:tc>
        <w:tc>
          <w:tcPr>
            <w:tcW w:w="20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3950E0D" w14:textId="77777777" w:rsidR="00590B71" w:rsidRPr="003F7F6C" w:rsidRDefault="00590B71" w:rsidP="00590B71">
            <w:pPr>
              <w:spacing w:after="0"/>
              <w:rPr>
                <w:rFonts w:eastAsia="Times New Roman" w:cs="Calibri"/>
                <w:color w:val="000000"/>
                <w:sz w:val="18"/>
                <w:szCs w:val="18"/>
                <w:lang w:val="es-PY" w:eastAsia="es-ES"/>
              </w:rPr>
            </w:pPr>
            <w:r w:rsidRPr="003F7F6C">
              <w:rPr>
                <w:rFonts w:eastAsia="Times New Roman" w:cs="Calibri"/>
                <w:color w:val="000000"/>
                <w:sz w:val="18"/>
                <w:szCs w:val="18"/>
                <w:lang w:eastAsia="es-ES"/>
              </w:rPr>
              <w:t>Develop participatory monitoring system</w:t>
            </w:r>
            <w:r w:rsidRPr="003F7F6C">
              <w:rPr>
                <w:rFonts w:eastAsia="Times New Roman" w:cs="Calibri"/>
                <w:color w:val="000000"/>
                <w:sz w:val="18"/>
                <w:szCs w:val="18"/>
                <w:lang w:val="es-PY" w:eastAsia="es-ES"/>
              </w:rPr>
              <w:t> </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848F4B2" w14:textId="77777777" w:rsidR="00590B71" w:rsidRPr="003F7F6C" w:rsidRDefault="00590B71" w:rsidP="00590B71">
            <w:pPr>
              <w:spacing w:after="0"/>
              <w:rPr>
                <w:rFonts w:eastAsia="Times New Roman" w:cs="Calibri"/>
                <w:color w:val="000000"/>
                <w:sz w:val="18"/>
                <w:szCs w:val="18"/>
                <w:lang w:val="es-PY" w:eastAsia="es-ES"/>
              </w:rPr>
            </w:pPr>
            <w:r w:rsidRPr="003F7F6C">
              <w:rPr>
                <w:rFonts w:eastAsia="Times New Roman" w:cs="Calibri"/>
                <w:color w:val="000000"/>
                <w:sz w:val="18"/>
                <w:szCs w:val="18"/>
                <w:lang w:val="es-PY" w:eastAsia="es-ES"/>
              </w:rPr>
              <w:t> </w:t>
            </w:r>
          </w:p>
        </w:tc>
      </w:tr>
      <w:tr w:rsidR="00590B71" w:rsidRPr="003F7F6C" w14:paraId="0E3EA105" w14:textId="77777777" w:rsidTr="003A428B">
        <w:trPr>
          <w:trHeight w:val="300"/>
        </w:trPr>
        <w:tc>
          <w:tcPr>
            <w:tcW w:w="1978" w:type="dxa"/>
            <w:vMerge/>
            <w:tcBorders>
              <w:top w:val="single" w:sz="4" w:space="0" w:color="auto"/>
              <w:left w:val="single" w:sz="4" w:space="0" w:color="auto"/>
              <w:bottom w:val="single" w:sz="4" w:space="0" w:color="auto"/>
              <w:right w:val="single" w:sz="4" w:space="0" w:color="auto"/>
            </w:tcBorders>
            <w:vAlign w:val="center"/>
            <w:hideMark/>
          </w:tcPr>
          <w:p w14:paraId="4E52D97A" w14:textId="77777777" w:rsidR="00590B71" w:rsidRPr="003F7F6C" w:rsidRDefault="00590B71" w:rsidP="00590B71">
            <w:pPr>
              <w:spacing w:after="0"/>
              <w:rPr>
                <w:rFonts w:eastAsia="Times New Roman" w:cs="Calibri"/>
                <w:color w:val="000000"/>
                <w:sz w:val="18"/>
                <w:szCs w:val="18"/>
                <w:lang w:val="es-PY" w:eastAsia="es-ES"/>
              </w:rPr>
            </w:pPr>
          </w:p>
        </w:tc>
        <w:tc>
          <w:tcPr>
            <w:tcW w:w="45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B6DF97B" w14:textId="77777777" w:rsidR="00590B71" w:rsidRPr="003F7F6C" w:rsidRDefault="00590B71" w:rsidP="00590B71">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Regular participative monitoring of results in being</w:t>
            </w:r>
          </w:p>
          <w:p w14:paraId="2508CD8F"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conducted but this information is only partially used</w:t>
            </w:r>
          </w:p>
          <w:p w14:paraId="5DC2B3AD" w14:textId="77777777" w:rsidR="00590B71" w:rsidRPr="003F7F6C" w:rsidRDefault="00590B71" w:rsidP="00590B71">
            <w:pPr>
              <w:spacing w:after="0"/>
              <w:rPr>
                <w:rFonts w:eastAsia="Times New Roman" w:cs="Calibri"/>
                <w:color w:val="000000"/>
                <w:sz w:val="18"/>
                <w:szCs w:val="18"/>
                <w:lang w:eastAsia="es-ES"/>
              </w:rPr>
            </w:pPr>
            <w:r w:rsidRPr="003F7F6C">
              <w:rPr>
                <w:rFonts w:cs="Calibri"/>
                <w:sz w:val="18"/>
                <w:szCs w:val="18"/>
              </w:rPr>
              <w:t>by the project/programme implementation team</w:t>
            </w:r>
          </w:p>
        </w:tc>
        <w:tc>
          <w:tcPr>
            <w:tcW w:w="8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173CDB1"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c>
          <w:tcPr>
            <w:tcW w:w="8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2A6AA9D"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6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EEBFC0F"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0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E31C009"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5A10B64"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590B71" w:rsidRPr="003F7F6C" w14:paraId="5E1FF9A4" w14:textId="77777777" w:rsidTr="003A428B">
        <w:trPr>
          <w:trHeight w:val="300"/>
        </w:trPr>
        <w:tc>
          <w:tcPr>
            <w:tcW w:w="1978" w:type="dxa"/>
            <w:vMerge/>
            <w:tcBorders>
              <w:top w:val="single" w:sz="4" w:space="0" w:color="auto"/>
              <w:left w:val="single" w:sz="4" w:space="0" w:color="auto"/>
              <w:bottom w:val="single" w:sz="4" w:space="0" w:color="auto"/>
              <w:right w:val="single" w:sz="4" w:space="0" w:color="auto"/>
            </w:tcBorders>
            <w:vAlign w:val="center"/>
            <w:hideMark/>
          </w:tcPr>
          <w:p w14:paraId="13B3FE4F" w14:textId="77777777" w:rsidR="00590B71" w:rsidRPr="003F7F6C" w:rsidRDefault="00590B71" w:rsidP="00590B71">
            <w:pPr>
              <w:spacing w:after="0"/>
              <w:rPr>
                <w:rFonts w:eastAsia="Times New Roman" w:cs="Calibri"/>
                <w:color w:val="000000"/>
                <w:sz w:val="18"/>
                <w:szCs w:val="18"/>
                <w:lang w:eastAsia="es-ES"/>
              </w:rPr>
            </w:pPr>
          </w:p>
        </w:tc>
        <w:tc>
          <w:tcPr>
            <w:tcW w:w="4517" w:type="dxa"/>
            <w:tcBorders>
              <w:top w:val="single" w:sz="4" w:space="0" w:color="auto"/>
              <w:left w:val="nil"/>
              <w:bottom w:val="single" w:sz="4" w:space="0" w:color="auto"/>
              <w:right w:val="single" w:sz="4" w:space="0" w:color="auto"/>
            </w:tcBorders>
            <w:shd w:val="clear" w:color="auto" w:fill="auto"/>
            <w:vAlign w:val="center"/>
            <w:hideMark/>
          </w:tcPr>
          <w:p w14:paraId="7B2FC6BB" w14:textId="77777777" w:rsidR="00590B71" w:rsidRPr="003F7F6C" w:rsidRDefault="00590B71" w:rsidP="00590B71">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Monitoring information is produced timely and accurately and is used by the implementation team to</w:t>
            </w:r>
          </w:p>
          <w:p w14:paraId="72E7F050" w14:textId="77777777" w:rsidR="00590B71" w:rsidRPr="003F7F6C" w:rsidRDefault="00590B71" w:rsidP="00590B71">
            <w:pPr>
              <w:spacing w:after="0"/>
              <w:rPr>
                <w:rFonts w:eastAsia="Times New Roman" w:cs="Calibri"/>
                <w:color w:val="000000"/>
                <w:sz w:val="18"/>
                <w:szCs w:val="18"/>
                <w:lang w:eastAsia="es-ES"/>
              </w:rPr>
            </w:pPr>
            <w:r w:rsidRPr="003F7F6C">
              <w:rPr>
                <w:rFonts w:cs="Calibri"/>
                <w:sz w:val="18"/>
                <w:szCs w:val="18"/>
              </w:rPr>
              <w:t>learn and possibly to change the course of action</w:t>
            </w:r>
          </w:p>
        </w:tc>
        <w:tc>
          <w:tcPr>
            <w:tcW w:w="808" w:type="dxa"/>
            <w:tcBorders>
              <w:top w:val="single" w:sz="4" w:space="0" w:color="auto"/>
              <w:left w:val="nil"/>
              <w:bottom w:val="single" w:sz="4" w:space="0" w:color="auto"/>
              <w:right w:val="single" w:sz="4" w:space="0" w:color="auto"/>
            </w:tcBorders>
            <w:shd w:val="clear" w:color="auto" w:fill="auto"/>
            <w:vAlign w:val="center"/>
            <w:hideMark/>
          </w:tcPr>
          <w:p w14:paraId="46FB1AFB"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3</w:t>
            </w:r>
          </w:p>
          <w:p w14:paraId="2A46FB02" w14:textId="77777777" w:rsidR="00590B71" w:rsidRPr="003F7F6C" w:rsidRDefault="00590B71" w:rsidP="00590B71">
            <w:pPr>
              <w:spacing w:after="0"/>
              <w:rPr>
                <w:rFonts w:eastAsia="Times New Roman" w:cs="Calibri"/>
                <w:color w:val="000000"/>
                <w:sz w:val="18"/>
                <w:szCs w:val="18"/>
                <w:lang w:eastAsia="es-ES"/>
              </w:rPr>
            </w:pPr>
          </w:p>
        </w:tc>
        <w:tc>
          <w:tcPr>
            <w:tcW w:w="819" w:type="dxa"/>
            <w:tcBorders>
              <w:top w:val="single" w:sz="4" w:space="0" w:color="auto"/>
              <w:left w:val="nil"/>
              <w:bottom w:val="single" w:sz="4" w:space="0" w:color="auto"/>
              <w:right w:val="single" w:sz="4" w:space="0" w:color="auto"/>
            </w:tcBorders>
            <w:shd w:val="clear" w:color="auto" w:fill="auto"/>
            <w:vAlign w:val="center"/>
            <w:hideMark/>
          </w:tcPr>
          <w:p w14:paraId="00183DD1"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690" w:type="dxa"/>
            <w:tcBorders>
              <w:top w:val="single" w:sz="4" w:space="0" w:color="auto"/>
              <w:left w:val="nil"/>
              <w:bottom w:val="single" w:sz="4" w:space="0" w:color="auto"/>
              <w:right w:val="single" w:sz="4" w:space="0" w:color="auto"/>
            </w:tcBorders>
            <w:shd w:val="clear" w:color="auto" w:fill="auto"/>
            <w:vAlign w:val="center"/>
            <w:hideMark/>
          </w:tcPr>
          <w:p w14:paraId="3D083658"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083" w:type="dxa"/>
            <w:tcBorders>
              <w:top w:val="single" w:sz="4" w:space="0" w:color="auto"/>
              <w:left w:val="nil"/>
              <w:bottom w:val="single" w:sz="4" w:space="0" w:color="auto"/>
              <w:right w:val="single" w:sz="4" w:space="0" w:color="auto"/>
            </w:tcBorders>
            <w:shd w:val="clear" w:color="auto" w:fill="auto"/>
            <w:vAlign w:val="center"/>
            <w:hideMark/>
          </w:tcPr>
          <w:p w14:paraId="7F19A961"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209" w:type="dxa"/>
            <w:tcBorders>
              <w:top w:val="single" w:sz="4" w:space="0" w:color="auto"/>
              <w:left w:val="nil"/>
              <w:bottom w:val="single" w:sz="4" w:space="0" w:color="auto"/>
              <w:right w:val="single" w:sz="4" w:space="0" w:color="auto"/>
            </w:tcBorders>
            <w:shd w:val="clear" w:color="auto" w:fill="auto"/>
            <w:vAlign w:val="center"/>
            <w:hideMark/>
          </w:tcPr>
          <w:p w14:paraId="1683ECCC"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590B71" w:rsidRPr="003F7F6C" w14:paraId="491278B5" w14:textId="77777777" w:rsidTr="003A428B">
        <w:trPr>
          <w:trHeight w:val="300"/>
        </w:trPr>
        <w:tc>
          <w:tcPr>
            <w:tcW w:w="19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BB8F6E0" w14:textId="77777777" w:rsidR="00590B71" w:rsidRPr="003F7F6C" w:rsidRDefault="00590B71" w:rsidP="00590B71">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Indicator 15: Adequacy of the project/programme evaluation process</w:t>
            </w:r>
          </w:p>
        </w:tc>
        <w:tc>
          <w:tcPr>
            <w:tcW w:w="45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1E3B13C" w14:textId="77777777" w:rsidR="00590B71" w:rsidRPr="003F7F6C" w:rsidRDefault="00590B71" w:rsidP="00590B71">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None or ineffective evaluations are being conducted</w:t>
            </w:r>
          </w:p>
          <w:p w14:paraId="27133E0A"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without an adequate evaluation plan; including the</w:t>
            </w:r>
          </w:p>
          <w:p w14:paraId="283FC70C" w14:textId="77777777" w:rsidR="00590B71" w:rsidRPr="003F7F6C" w:rsidRDefault="00590B71" w:rsidP="00590B71">
            <w:pPr>
              <w:spacing w:after="0"/>
              <w:rPr>
                <w:rFonts w:eastAsia="Times New Roman" w:cs="Calibri"/>
                <w:color w:val="000000"/>
                <w:sz w:val="18"/>
                <w:szCs w:val="18"/>
                <w:lang w:eastAsia="es-ES"/>
              </w:rPr>
            </w:pPr>
            <w:r w:rsidRPr="003F7F6C">
              <w:rPr>
                <w:rFonts w:cs="Calibri"/>
                <w:sz w:val="18"/>
                <w:szCs w:val="18"/>
              </w:rPr>
              <w:t>necessary resources</w:t>
            </w:r>
          </w:p>
        </w:tc>
        <w:tc>
          <w:tcPr>
            <w:tcW w:w="8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C3E0CA"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0</w:t>
            </w:r>
          </w:p>
        </w:tc>
        <w:tc>
          <w:tcPr>
            <w:tcW w:w="8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2937F86"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6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F8FFEDD"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0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2312D31"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39F8086"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590B71" w:rsidRPr="003F7F6C" w14:paraId="3A2CF6BD" w14:textId="77777777" w:rsidTr="003A428B">
        <w:trPr>
          <w:trHeight w:val="539"/>
        </w:trPr>
        <w:tc>
          <w:tcPr>
            <w:tcW w:w="1978" w:type="dxa"/>
            <w:vMerge/>
            <w:tcBorders>
              <w:top w:val="single" w:sz="4" w:space="0" w:color="auto"/>
              <w:left w:val="single" w:sz="4" w:space="0" w:color="auto"/>
              <w:bottom w:val="single" w:sz="4" w:space="0" w:color="auto"/>
              <w:right w:val="single" w:sz="4" w:space="0" w:color="auto"/>
            </w:tcBorders>
            <w:vAlign w:val="center"/>
            <w:hideMark/>
          </w:tcPr>
          <w:p w14:paraId="64ADA479" w14:textId="77777777" w:rsidR="00590B71" w:rsidRPr="003F7F6C" w:rsidRDefault="00590B71" w:rsidP="00590B71">
            <w:pPr>
              <w:spacing w:after="0"/>
              <w:rPr>
                <w:rFonts w:eastAsia="Times New Roman" w:cs="Calibri"/>
                <w:color w:val="000000"/>
                <w:sz w:val="18"/>
                <w:szCs w:val="18"/>
                <w:lang w:eastAsia="es-ES"/>
              </w:rPr>
            </w:pPr>
          </w:p>
        </w:tc>
        <w:tc>
          <w:tcPr>
            <w:tcW w:w="45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48BA54C" w14:textId="77777777" w:rsidR="00590B71" w:rsidRPr="003F7F6C" w:rsidRDefault="00590B71" w:rsidP="00590B71">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An adequate evaluation plan is in place but evaluation activities are irregularly conducted</w:t>
            </w:r>
          </w:p>
        </w:tc>
        <w:tc>
          <w:tcPr>
            <w:tcW w:w="8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C5151AB"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1</w:t>
            </w:r>
          </w:p>
        </w:tc>
        <w:tc>
          <w:tcPr>
            <w:tcW w:w="8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6B6C6BE"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1</w:t>
            </w:r>
          </w:p>
        </w:tc>
        <w:tc>
          <w:tcPr>
            <w:tcW w:w="26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F334A6"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There are evaluation plans but irregularly conducted without participation of key stakeholders </w:t>
            </w:r>
          </w:p>
        </w:tc>
        <w:tc>
          <w:tcPr>
            <w:tcW w:w="20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937A509" w14:textId="77777777" w:rsidR="00590B71" w:rsidRPr="003F7F6C" w:rsidRDefault="00590B71" w:rsidP="00590B71">
            <w:pPr>
              <w:spacing w:after="0"/>
              <w:rPr>
                <w:rFonts w:eastAsia="Times New Roman" w:cs="Calibri"/>
                <w:color w:val="000000"/>
                <w:sz w:val="18"/>
                <w:szCs w:val="18"/>
                <w:lang w:val="es-PY" w:eastAsia="es-ES"/>
              </w:rPr>
            </w:pPr>
            <w:r w:rsidRPr="003F7F6C">
              <w:rPr>
                <w:rFonts w:eastAsia="Times New Roman" w:cs="Calibri"/>
                <w:color w:val="000000"/>
                <w:sz w:val="18"/>
                <w:szCs w:val="18"/>
                <w:lang w:val="es-AR" w:eastAsia="es-ES"/>
              </w:rPr>
              <w:t xml:space="preserve">Develop participatory evaluation system </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C3374A" w14:textId="77777777" w:rsidR="00590B71" w:rsidRPr="003F7F6C" w:rsidRDefault="00590B71" w:rsidP="00590B71">
            <w:pPr>
              <w:spacing w:after="0"/>
              <w:rPr>
                <w:rFonts w:eastAsia="Times New Roman" w:cs="Calibri"/>
                <w:color w:val="000000"/>
                <w:sz w:val="18"/>
                <w:szCs w:val="18"/>
                <w:lang w:val="es-PY" w:eastAsia="es-ES"/>
              </w:rPr>
            </w:pPr>
            <w:r w:rsidRPr="003F7F6C">
              <w:rPr>
                <w:rFonts w:eastAsia="Times New Roman" w:cs="Calibri"/>
                <w:color w:val="000000"/>
                <w:sz w:val="18"/>
                <w:szCs w:val="18"/>
                <w:lang w:val="es-PY" w:eastAsia="es-ES"/>
              </w:rPr>
              <w:t> </w:t>
            </w:r>
          </w:p>
        </w:tc>
      </w:tr>
      <w:tr w:rsidR="00590B71" w:rsidRPr="003F7F6C" w14:paraId="780EE0BC" w14:textId="77777777" w:rsidTr="003A428B">
        <w:trPr>
          <w:trHeight w:val="300"/>
        </w:trPr>
        <w:tc>
          <w:tcPr>
            <w:tcW w:w="1978" w:type="dxa"/>
            <w:vMerge/>
            <w:tcBorders>
              <w:top w:val="single" w:sz="4" w:space="0" w:color="auto"/>
              <w:left w:val="single" w:sz="4" w:space="0" w:color="auto"/>
              <w:bottom w:val="single" w:sz="4" w:space="0" w:color="auto"/>
              <w:right w:val="single" w:sz="4" w:space="0" w:color="auto"/>
            </w:tcBorders>
            <w:vAlign w:val="center"/>
            <w:hideMark/>
          </w:tcPr>
          <w:p w14:paraId="6A027704" w14:textId="77777777" w:rsidR="00590B71" w:rsidRPr="003F7F6C" w:rsidRDefault="00590B71" w:rsidP="00590B71">
            <w:pPr>
              <w:spacing w:after="0"/>
              <w:rPr>
                <w:rFonts w:eastAsia="Times New Roman" w:cs="Calibri"/>
                <w:color w:val="000000"/>
                <w:sz w:val="18"/>
                <w:szCs w:val="18"/>
                <w:lang w:val="es-PY" w:eastAsia="es-ES"/>
              </w:rPr>
            </w:pPr>
          </w:p>
        </w:tc>
        <w:tc>
          <w:tcPr>
            <w:tcW w:w="45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9CC3CB" w14:textId="77777777" w:rsidR="00590B71" w:rsidRPr="003F7F6C" w:rsidRDefault="00590B71" w:rsidP="00590B71">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Evaluations are being conducted as per an adequate</w:t>
            </w:r>
          </w:p>
          <w:p w14:paraId="48103FCD"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evaluation plan but the evaluation results are only</w:t>
            </w:r>
          </w:p>
          <w:p w14:paraId="326C7B75"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partially used by the project/programme</w:t>
            </w:r>
          </w:p>
          <w:p w14:paraId="06C90522" w14:textId="77777777" w:rsidR="00590B71" w:rsidRPr="003F7F6C" w:rsidRDefault="00590B71" w:rsidP="00590B71">
            <w:pPr>
              <w:spacing w:after="0"/>
              <w:rPr>
                <w:rFonts w:eastAsia="Times New Roman" w:cs="Calibri"/>
                <w:color w:val="000000"/>
                <w:sz w:val="18"/>
                <w:szCs w:val="18"/>
                <w:lang w:eastAsia="es-ES"/>
              </w:rPr>
            </w:pPr>
            <w:r w:rsidRPr="003F7F6C">
              <w:rPr>
                <w:rFonts w:cs="Calibri"/>
                <w:sz w:val="18"/>
                <w:szCs w:val="18"/>
              </w:rPr>
              <w:t>implementation team</w:t>
            </w:r>
          </w:p>
        </w:tc>
        <w:tc>
          <w:tcPr>
            <w:tcW w:w="8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D6A3B8"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c>
          <w:tcPr>
            <w:tcW w:w="8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D53B6CB"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6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F984144"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0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F0CBE65"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6F109B9"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590B71" w:rsidRPr="003F7F6C" w14:paraId="10B595FB" w14:textId="77777777" w:rsidTr="003A428B">
        <w:trPr>
          <w:trHeight w:val="300"/>
        </w:trPr>
        <w:tc>
          <w:tcPr>
            <w:tcW w:w="1978" w:type="dxa"/>
            <w:vMerge/>
            <w:tcBorders>
              <w:top w:val="single" w:sz="4" w:space="0" w:color="auto"/>
              <w:left w:val="single" w:sz="4" w:space="0" w:color="auto"/>
              <w:bottom w:val="single" w:sz="4" w:space="0" w:color="auto"/>
              <w:right w:val="single" w:sz="4" w:space="0" w:color="auto"/>
            </w:tcBorders>
            <w:vAlign w:val="center"/>
            <w:hideMark/>
          </w:tcPr>
          <w:p w14:paraId="6DD08707" w14:textId="77777777" w:rsidR="00590B71" w:rsidRPr="003F7F6C" w:rsidRDefault="00590B71" w:rsidP="00590B71">
            <w:pPr>
              <w:spacing w:after="0"/>
              <w:rPr>
                <w:rFonts w:eastAsia="Times New Roman" w:cs="Calibri"/>
                <w:color w:val="000000"/>
                <w:sz w:val="18"/>
                <w:szCs w:val="18"/>
                <w:lang w:eastAsia="es-ES"/>
              </w:rPr>
            </w:pPr>
          </w:p>
        </w:tc>
        <w:tc>
          <w:tcPr>
            <w:tcW w:w="4517" w:type="dxa"/>
            <w:tcBorders>
              <w:top w:val="single" w:sz="4" w:space="0" w:color="auto"/>
              <w:left w:val="nil"/>
              <w:bottom w:val="single" w:sz="4" w:space="0" w:color="auto"/>
              <w:right w:val="single" w:sz="4" w:space="0" w:color="auto"/>
            </w:tcBorders>
            <w:shd w:val="clear" w:color="auto" w:fill="auto"/>
            <w:vAlign w:val="center"/>
            <w:hideMark/>
          </w:tcPr>
          <w:p w14:paraId="73D905C2" w14:textId="77777777" w:rsidR="00590B71" w:rsidRPr="003F7F6C" w:rsidRDefault="00590B71" w:rsidP="00590B71">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Effective evaluations are conducted timely and</w:t>
            </w:r>
          </w:p>
          <w:p w14:paraId="67BEEB2B"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accurately and are used by the implementation team</w:t>
            </w:r>
          </w:p>
          <w:p w14:paraId="2250CF07"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and the Agencies and GEF Staff to correct the course</w:t>
            </w:r>
          </w:p>
          <w:p w14:paraId="1123036E" w14:textId="77777777" w:rsidR="00590B71" w:rsidRPr="003F7F6C" w:rsidRDefault="00590B71" w:rsidP="00590B71">
            <w:pPr>
              <w:autoSpaceDE w:val="0"/>
              <w:autoSpaceDN w:val="0"/>
              <w:adjustRightInd w:val="0"/>
              <w:spacing w:after="0"/>
              <w:rPr>
                <w:rFonts w:cs="Calibri"/>
                <w:sz w:val="18"/>
                <w:szCs w:val="18"/>
              </w:rPr>
            </w:pPr>
            <w:r w:rsidRPr="003F7F6C">
              <w:rPr>
                <w:rFonts w:cs="Calibri"/>
                <w:sz w:val="18"/>
                <w:szCs w:val="18"/>
              </w:rPr>
              <w:t>of action if needed and to learn for further planning</w:t>
            </w:r>
          </w:p>
          <w:p w14:paraId="07475C2B" w14:textId="77777777" w:rsidR="00590B71" w:rsidRPr="003F7F6C" w:rsidRDefault="00590B71" w:rsidP="00590B71">
            <w:pPr>
              <w:spacing w:after="0"/>
              <w:rPr>
                <w:rFonts w:eastAsia="Times New Roman" w:cs="Calibri"/>
                <w:color w:val="000000"/>
                <w:sz w:val="18"/>
                <w:szCs w:val="18"/>
                <w:lang w:eastAsia="es-ES"/>
              </w:rPr>
            </w:pPr>
            <w:r w:rsidRPr="003F7F6C">
              <w:rPr>
                <w:rFonts w:cs="Calibri"/>
                <w:sz w:val="18"/>
                <w:szCs w:val="18"/>
              </w:rPr>
              <w:t>activities</w:t>
            </w:r>
          </w:p>
        </w:tc>
        <w:tc>
          <w:tcPr>
            <w:tcW w:w="808" w:type="dxa"/>
            <w:tcBorders>
              <w:top w:val="single" w:sz="4" w:space="0" w:color="auto"/>
              <w:left w:val="nil"/>
              <w:bottom w:val="single" w:sz="4" w:space="0" w:color="auto"/>
              <w:right w:val="single" w:sz="4" w:space="0" w:color="auto"/>
            </w:tcBorders>
            <w:shd w:val="clear" w:color="auto" w:fill="auto"/>
            <w:vAlign w:val="center"/>
            <w:hideMark/>
          </w:tcPr>
          <w:p w14:paraId="57A7A2DB"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3</w:t>
            </w:r>
          </w:p>
        </w:tc>
        <w:tc>
          <w:tcPr>
            <w:tcW w:w="819" w:type="dxa"/>
            <w:tcBorders>
              <w:top w:val="single" w:sz="4" w:space="0" w:color="auto"/>
              <w:left w:val="nil"/>
              <w:bottom w:val="single" w:sz="4" w:space="0" w:color="auto"/>
              <w:right w:val="single" w:sz="4" w:space="0" w:color="auto"/>
            </w:tcBorders>
            <w:shd w:val="clear" w:color="auto" w:fill="auto"/>
            <w:vAlign w:val="center"/>
            <w:hideMark/>
          </w:tcPr>
          <w:p w14:paraId="551F7F1A"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690" w:type="dxa"/>
            <w:tcBorders>
              <w:top w:val="single" w:sz="4" w:space="0" w:color="auto"/>
              <w:left w:val="nil"/>
              <w:bottom w:val="single" w:sz="4" w:space="0" w:color="auto"/>
              <w:right w:val="single" w:sz="4" w:space="0" w:color="auto"/>
            </w:tcBorders>
            <w:shd w:val="clear" w:color="auto" w:fill="auto"/>
            <w:vAlign w:val="center"/>
            <w:hideMark/>
          </w:tcPr>
          <w:p w14:paraId="345BF697"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083" w:type="dxa"/>
            <w:tcBorders>
              <w:top w:val="single" w:sz="4" w:space="0" w:color="auto"/>
              <w:left w:val="nil"/>
              <w:bottom w:val="single" w:sz="4" w:space="0" w:color="auto"/>
              <w:right w:val="single" w:sz="4" w:space="0" w:color="auto"/>
            </w:tcBorders>
            <w:shd w:val="clear" w:color="auto" w:fill="auto"/>
            <w:vAlign w:val="center"/>
            <w:hideMark/>
          </w:tcPr>
          <w:p w14:paraId="470FD925"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209" w:type="dxa"/>
            <w:tcBorders>
              <w:top w:val="single" w:sz="4" w:space="0" w:color="auto"/>
              <w:left w:val="nil"/>
              <w:bottom w:val="single" w:sz="4" w:space="0" w:color="auto"/>
              <w:right w:val="single" w:sz="4" w:space="0" w:color="auto"/>
            </w:tcBorders>
            <w:shd w:val="clear" w:color="auto" w:fill="auto"/>
            <w:vAlign w:val="center"/>
            <w:hideMark/>
          </w:tcPr>
          <w:p w14:paraId="460A358F"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590B71" w:rsidRPr="003F7F6C" w14:paraId="63048828" w14:textId="77777777" w:rsidTr="003A428B">
        <w:trPr>
          <w:trHeight w:val="358"/>
        </w:trPr>
        <w:tc>
          <w:tcPr>
            <w:tcW w:w="1978" w:type="dxa"/>
            <w:tcBorders>
              <w:top w:val="single" w:sz="4" w:space="0" w:color="auto"/>
              <w:left w:val="single" w:sz="4" w:space="0" w:color="auto"/>
              <w:bottom w:val="single" w:sz="4" w:space="0" w:color="auto"/>
              <w:right w:val="single" w:sz="4" w:space="0" w:color="auto"/>
            </w:tcBorders>
            <w:vAlign w:val="center"/>
          </w:tcPr>
          <w:p w14:paraId="2147684C" w14:textId="77777777" w:rsidR="00590B71" w:rsidRPr="003F7F6C" w:rsidRDefault="00590B71" w:rsidP="00590B71">
            <w:pPr>
              <w:spacing w:after="0"/>
              <w:rPr>
                <w:rFonts w:eastAsia="Times New Roman" w:cs="Calibri"/>
                <w:color w:val="000000"/>
                <w:sz w:val="18"/>
                <w:szCs w:val="18"/>
                <w:lang w:eastAsia="es-ES"/>
              </w:rPr>
            </w:pPr>
          </w:p>
        </w:tc>
        <w:tc>
          <w:tcPr>
            <w:tcW w:w="4517" w:type="dxa"/>
            <w:tcBorders>
              <w:top w:val="single" w:sz="4" w:space="0" w:color="auto"/>
              <w:left w:val="nil"/>
              <w:bottom w:val="single" w:sz="4" w:space="0" w:color="auto"/>
              <w:right w:val="single" w:sz="4" w:space="0" w:color="auto"/>
            </w:tcBorders>
            <w:shd w:val="clear" w:color="auto" w:fill="auto"/>
            <w:vAlign w:val="center"/>
          </w:tcPr>
          <w:p w14:paraId="4B78E23B" w14:textId="77777777" w:rsidR="00590B71" w:rsidRPr="003F7F6C" w:rsidRDefault="00590B71" w:rsidP="00590B71">
            <w:pPr>
              <w:autoSpaceDE w:val="0"/>
              <w:autoSpaceDN w:val="0"/>
              <w:adjustRightInd w:val="0"/>
              <w:spacing w:after="0"/>
              <w:rPr>
                <w:rFonts w:eastAsia="Times New Roman" w:cs="Calibri"/>
                <w:color w:val="000000"/>
                <w:sz w:val="18"/>
                <w:szCs w:val="18"/>
                <w:lang w:eastAsia="es-ES"/>
              </w:rPr>
            </w:pPr>
          </w:p>
        </w:tc>
        <w:tc>
          <w:tcPr>
            <w:tcW w:w="808" w:type="dxa"/>
            <w:tcBorders>
              <w:top w:val="single" w:sz="4" w:space="0" w:color="auto"/>
              <w:left w:val="nil"/>
              <w:bottom w:val="single" w:sz="4" w:space="0" w:color="auto"/>
              <w:right w:val="single" w:sz="4" w:space="0" w:color="auto"/>
            </w:tcBorders>
            <w:shd w:val="clear" w:color="auto" w:fill="auto"/>
            <w:vAlign w:val="center"/>
          </w:tcPr>
          <w:p w14:paraId="778BDB3B"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6</w:t>
            </w:r>
          </w:p>
        </w:tc>
        <w:tc>
          <w:tcPr>
            <w:tcW w:w="819" w:type="dxa"/>
            <w:tcBorders>
              <w:top w:val="single" w:sz="4" w:space="0" w:color="auto"/>
              <w:left w:val="nil"/>
              <w:bottom w:val="single" w:sz="4" w:space="0" w:color="auto"/>
              <w:right w:val="single" w:sz="4" w:space="0" w:color="auto"/>
            </w:tcBorders>
            <w:shd w:val="clear" w:color="auto" w:fill="auto"/>
            <w:vAlign w:val="center"/>
          </w:tcPr>
          <w:p w14:paraId="4B66528E" w14:textId="7777777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2</w:t>
            </w:r>
          </w:p>
        </w:tc>
        <w:tc>
          <w:tcPr>
            <w:tcW w:w="2690" w:type="dxa"/>
            <w:tcBorders>
              <w:top w:val="single" w:sz="4" w:space="0" w:color="auto"/>
              <w:left w:val="nil"/>
              <w:bottom w:val="single" w:sz="4" w:space="0" w:color="auto"/>
              <w:right w:val="single" w:sz="4" w:space="0" w:color="auto"/>
            </w:tcBorders>
            <w:shd w:val="clear" w:color="auto" w:fill="auto"/>
            <w:vAlign w:val="center"/>
          </w:tcPr>
          <w:p w14:paraId="2F79EF9F" w14:textId="77777777" w:rsidR="00590B71" w:rsidRPr="003F7F6C" w:rsidRDefault="00590B71" w:rsidP="00590B71">
            <w:pPr>
              <w:spacing w:after="0"/>
              <w:rPr>
                <w:rFonts w:eastAsia="Times New Roman" w:cs="Calibri"/>
                <w:color w:val="000000"/>
                <w:sz w:val="18"/>
                <w:szCs w:val="18"/>
                <w:lang w:eastAsia="es-ES"/>
              </w:rPr>
            </w:pPr>
          </w:p>
        </w:tc>
        <w:tc>
          <w:tcPr>
            <w:tcW w:w="2083" w:type="dxa"/>
            <w:tcBorders>
              <w:top w:val="single" w:sz="4" w:space="0" w:color="auto"/>
              <w:left w:val="nil"/>
              <w:bottom w:val="single" w:sz="4" w:space="0" w:color="auto"/>
              <w:right w:val="single" w:sz="4" w:space="0" w:color="auto"/>
            </w:tcBorders>
            <w:shd w:val="clear" w:color="auto" w:fill="auto"/>
            <w:vAlign w:val="center"/>
          </w:tcPr>
          <w:p w14:paraId="73EA7F06" w14:textId="77777777" w:rsidR="00590B71" w:rsidRPr="003F7F6C" w:rsidRDefault="00590B71" w:rsidP="00590B71">
            <w:pPr>
              <w:spacing w:after="0"/>
              <w:rPr>
                <w:rFonts w:eastAsia="Times New Roman" w:cs="Calibri"/>
                <w:color w:val="000000"/>
                <w:sz w:val="18"/>
                <w:szCs w:val="18"/>
                <w:lang w:eastAsia="es-ES"/>
              </w:rPr>
            </w:pPr>
          </w:p>
        </w:tc>
        <w:tc>
          <w:tcPr>
            <w:tcW w:w="1209" w:type="dxa"/>
            <w:tcBorders>
              <w:top w:val="single" w:sz="4" w:space="0" w:color="auto"/>
              <w:left w:val="nil"/>
              <w:bottom w:val="single" w:sz="4" w:space="0" w:color="auto"/>
              <w:right w:val="single" w:sz="4" w:space="0" w:color="auto"/>
            </w:tcBorders>
            <w:shd w:val="clear" w:color="auto" w:fill="auto"/>
            <w:vAlign w:val="center"/>
          </w:tcPr>
          <w:p w14:paraId="06180856" w14:textId="77777777" w:rsidR="00590B71" w:rsidRPr="003F7F6C" w:rsidRDefault="00590B71" w:rsidP="00590B71">
            <w:pPr>
              <w:spacing w:after="0"/>
              <w:rPr>
                <w:rFonts w:eastAsia="Times New Roman" w:cs="Calibri"/>
                <w:color w:val="000000"/>
                <w:sz w:val="18"/>
                <w:szCs w:val="18"/>
                <w:lang w:eastAsia="es-ES"/>
              </w:rPr>
            </w:pPr>
          </w:p>
        </w:tc>
      </w:tr>
      <w:tr w:rsidR="00590B71" w:rsidRPr="003F7F6C" w14:paraId="440D8AC3" w14:textId="77777777" w:rsidTr="003A428B">
        <w:trPr>
          <w:trHeight w:val="300"/>
        </w:trPr>
        <w:tc>
          <w:tcPr>
            <w:tcW w:w="1978" w:type="dxa"/>
            <w:tcBorders>
              <w:top w:val="single" w:sz="4" w:space="0" w:color="auto"/>
              <w:left w:val="single" w:sz="4" w:space="0" w:color="auto"/>
              <w:bottom w:val="single" w:sz="4" w:space="0" w:color="auto"/>
              <w:right w:val="single" w:sz="4" w:space="0" w:color="auto"/>
            </w:tcBorders>
            <w:vAlign w:val="center"/>
          </w:tcPr>
          <w:p w14:paraId="3FE85A39" w14:textId="77777777" w:rsidR="00590B71" w:rsidRPr="003F7F6C" w:rsidRDefault="00590B71" w:rsidP="00590B71">
            <w:pPr>
              <w:spacing w:after="0"/>
              <w:rPr>
                <w:rFonts w:eastAsia="Times New Roman" w:cs="Calibri"/>
                <w:color w:val="000000"/>
                <w:sz w:val="18"/>
                <w:szCs w:val="18"/>
                <w:lang w:eastAsia="es-ES"/>
              </w:rPr>
            </w:pPr>
          </w:p>
        </w:tc>
        <w:tc>
          <w:tcPr>
            <w:tcW w:w="4517" w:type="dxa"/>
            <w:tcBorders>
              <w:top w:val="single" w:sz="4" w:space="0" w:color="auto"/>
              <w:left w:val="nil"/>
              <w:bottom w:val="single" w:sz="4" w:space="0" w:color="auto"/>
              <w:right w:val="single" w:sz="4" w:space="0" w:color="auto"/>
            </w:tcBorders>
            <w:shd w:val="clear" w:color="auto" w:fill="auto"/>
            <w:vAlign w:val="center"/>
          </w:tcPr>
          <w:p w14:paraId="4FDA0191" w14:textId="77777777" w:rsidR="00590B71" w:rsidRPr="003F7F6C" w:rsidRDefault="00590B71" w:rsidP="00590B71">
            <w:pPr>
              <w:autoSpaceDE w:val="0"/>
              <w:autoSpaceDN w:val="0"/>
              <w:adjustRightInd w:val="0"/>
              <w:spacing w:after="0"/>
              <w:rPr>
                <w:rFonts w:eastAsia="Times New Roman" w:cs="Calibri"/>
                <w:color w:val="000000"/>
                <w:sz w:val="18"/>
                <w:szCs w:val="18"/>
                <w:lang w:eastAsia="es-ES"/>
              </w:rPr>
            </w:pPr>
          </w:p>
        </w:tc>
        <w:tc>
          <w:tcPr>
            <w:tcW w:w="808" w:type="dxa"/>
            <w:tcBorders>
              <w:top w:val="single" w:sz="4" w:space="0" w:color="auto"/>
              <w:left w:val="nil"/>
              <w:bottom w:val="single" w:sz="4" w:space="0" w:color="auto"/>
              <w:right w:val="single" w:sz="4" w:space="0" w:color="auto"/>
            </w:tcBorders>
            <w:shd w:val="clear" w:color="auto" w:fill="auto"/>
            <w:vAlign w:val="center"/>
          </w:tcPr>
          <w:p w14:paraId="797AEEBD" w14:textId="77777777" w:rsidR="00590B71" w:rsidRPr="003F7F6C" w:rsidRDefault="00590B71" w:rsidP="00590B71">
            <w:pPr>
              <w:spacing w:after="0"/>
              <w:rPr>
                <w:rFonts w:eastAsia="Times New Roman" w:cs="Calibri"/>
                <w:color w:val="000000"/>
                <w:sz w:val="18"/>
                <w:szCs w:val="18"/>
                <w:lang w:eastAsia="es-ES"/>
              </w:rPr>
            </w:pPr>
          </w:p>
        </w:tc>
        <w:tc>
          <w:tcPr>
            <w:tcW w:w="819" w:type="dxa"/>
            <w:tcBorders>
              <w:top w:val="single" w:sz="4" w:space="0" w:color="auto"/>
              <w:left w:val="nil"/>
              <w:bottom w:val="single" w:sz="4" w:space="0" w:color="auto"/>
              <w:right w:val="single" w:sz="4" w:space="0" w:color="auto"/>
            </w:tcBorders>
            <w:shd w:val="clear" w:color="auto" w:fill="auto"/>
            <w:vAlign w:val="center"/>
          </w:tcPr>
          <w:p w14:paraId="7C25CB68" w14:textId="3F1FB827"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33</w:t>
            </w:r>
            <w:r w:rsidR="00FB6D2D" w:rsidRPr="003F7F6C">
              <w:rPr>
                <w:rFonts w:eastAsia="Times New Roman" w:cs="Calibri"/>
                <w:color w:val="000000"/>
                <w:sz w:val="18"/>
                <w:szCs w:val="18"/>
                <w:lang w:eastAsia="es-ES"/>
              </w:rPr>
              <w:t>.</w:t>
            </w:r>
            <w:r w:rsidRPr="003F7F6C">
              <w:rPr>
                <w:rFonts w:eastAsia="Times New Roman" w:cs="Calibri"/>
                <w:color w:val="000000"/>
                <w:sz w:val="18"/>
                <w:szCs w:val="18"/>
                <w:lang w:eastAsia="es-ES"/>
              </w:rPr>
              <w:t>3%</w:t>
            </w:r>
          </w:p>
        </w:tc>
        <w:tc>
          <w:tcPr>
            <w:tcW w:w="2690" w:type="dxa"/>
            <w:tcBorders>
              <w:top w:val="single" w:sz="4" w:space="0" w:color="auto"/>
              <w:left w:val="nil"/>
              <w:bottom w:val="single" w:sz="4" w:space="0" w:color="auto"/>
              <w:right w:val="single" w:sz="4" w:space="0" w:color="auto"/>
            </w:tcBorders>
            <w:shd w:val="clear" w:color="auto" w:fill="auto"/>
            <w:vAlign w:val="center"/>
          </w:tcPr>
          <w:p w14:paraId="50F953A2" w14:textId="77777777" w:rsidR="00590B71" w:rsidRPr="003F7F6C" w:rsidRDefault="00590B71" w:rsidP="00590B71">
            <w:pPr>
              <w:spacing w:after="0"/>
              <w:rPr>
                <w:rFonts w:eastAsia="Times New Roman" w:cs="Calibri"/>
                <w:color w:val="000000"/>
                <w:sz w:val="18"/>
                <w:szCs w:val="18"/>
                <w:lang w:eastAsia="es-ES"/>
              </w:rPr>
            </w:pPr>
          </w:p>
        </w:tc>
        <w:tc>
          <w:tcPr>
            <w:tcW w:w="2083" w:type="dxa"/>
            <w:tcBorders>
              <w:top w:val="single" w:sz="4" w:space="0" w:color="auto"/>
              <w:left w:val="nil"/>
              <w:bottom w:val="single" w:sz="4" w:space="0" w:color="auto"/>
              <w:right w:val="single" w:sz="4" w:space="0" w:color="auto"/>
            </w:tcBorders>
            <w:shd w:val="clear" w:color="auto" w:fill="auto"/>
            <w:vAlign w:val="center"/>
          </w:tcPr>
          <w:p w14:paraId="080A5BA0" w14:textId="77777777" w:rsidR="00590B71" w:rsidRPr="003F7F6C" w:rsidRDefault="00590B71" w:rsidP="00590B71">
            <w:pPr>
              <w:spacing w:after="0"/>
              <w:rPr>
                <w:rFonts w:eastAsia="Times New Roman" w:cs="Calibri"/>
                <w:color w:val="000000"/>
                <w:sz w:val="18"/>
                <w:szCs w:val="18"/>
                <w:lang w:eastAsia="es-ES"/>
              </w:rPr>
            </w:pPr>
          </w:p>
        </w:tc>
        <w:tc>
          <w:tcPr>
            <w:tcW w:w="1209" w:type="dxa"/>
            <w:tcBorders>
              <w:top w:val="single" w:sz="4" w:space="0" w:color="auto"/>
              <w:left w:val="nil"/>
              <w:bottom w:val="single" w:sz="4" w:space="0" w:color="auto"/>
              <w:right w:val="single" w:sz="4" w:space="0" w:color="auto"/>
            </w:tcBorders>
            <w:shd w:val="clear" w:color="auto" w:fill="auto"/>
            <w:vAlign w:val="center"/>
          </w:tcPr>
          <w:p w14:paraId="1069C093" w14:textId="77777777" w:rsidR="00590B71" w:rsidRPr="003F7F6C" w:rsidRDefault="00590B71" w:rsidP="00590B71">
            <w:pPr>
              <w:spacing w:after="0"/>
              <w:rPr>
                <w:rFonts w:eastAsia="Times New Roman" w:cs="Calibri"/>
                <w:color w:val="000000"/>
                <w:sz w:val="18"/>
                <w:szCs w:val="18"/>
                <w:lang w:eastAsia="es-ES"/>
              </w:rPr>
            </w:pPr>
          </w:p>
        </w:tc>
      </w:tr>
      <w:tr w:rsidR="00590B71" w:rsidRPr="003F7F6C" w14:paraId="1AE704DA" w14:textId="77777777" w:rsidTr="003A428B">
        <w:trPr>
          <w:trHeight w:val="300"/>
        </w:trPr>
        <w:tc>
          <w:tcPr>
            <w:tcW w:w="1978" w:type="dxa"/>
            <w:tcBorders>
              <w:top w:val="single" w:sz="4" w:space="0" w:color="auto"/>
              <w:left w:val="single" w:sz="4" w:space="0" w:color="auto"/>
              <w:bottom w:val="single" w:sz="4" w:space="0" w:color="auto"/>
              <w:right w:val="single" w:sz="4" w:space="0" w:color="auto"/>
            </w:tcBorders>
            <w:vAlign w:val="center"/>
          </w:tcPr>
          <w:p w14:paraId="56913FFE" w14:textId="77777777" w:rsidR="00590B71" w:rsidRPr="003F7F6C" w:rsidRDefault="00590B71" w:rsidP="00590B71">
            <w:pPr>
              <w:spacing w:after="0"/>
              <w:rPr>
                <w:rFonts w:eastAsia="Times New Roman" w:cs="Calibri"/>
                <w:b/>
                <w:color w:val="000000"/>
                <w:sz w:val="18"/>
                <w:szCs w:val="18"/>
                <w:lang w:eastAsia="es-ES"/>
              </w:rPr>
            </w:pPr>
            <w:r w:rsidRPr="003F7F6C">
              <w:rPr>
                <w:rFonts w:eastAsia="Times New Roman" w:cs="Calibri"/>
                <w:b/>
                <w:color w:val="000000"/>
                <w:sz w:val="18"/>
                <w:szCs w:val="18"/>
                <w:lang w:eastAsia="es-ES"/>
              </w:rPr>
              <w:t>Total</w:t>
            </w:r>
          </w:p>
        </w:tc>
        <w:tc>
          <w:tcPr>
            <w:tcW w:w="4517" w:type="dxa"/>
            <w:tcBorders>
              <w:top w:val="single" w:sz="4" w:space="0" w:color="auto"/>
              <w:left w:val="nil"/>
              <w:bottom w:val="single" w:sz="4" w:space="0" w:color="auto"/>
              <w:right w:val="single" w:sz="4" w:space="0" w:color="auto"/>
            </w:tcBorders>
            <w:shd w:val="clear" w:color="auto" w:fill="auto"/>
            <w:vAlign w:val="center"/>
          </w:tcPr>
          <w:p w14:paraId="1D50D55B" w14:textId="77777777" w:rsidR="00590B71" w:rsidRPr="003F7F6C" w:rsidRDefault="00590B71" w:rsidP="00590B71">
            <w:pPr>
              <w:autoSpaceDE w:val="0"/>
              <w:autoSpaceDN w:val="0"/>
              <w:adjustRightInd w:val="0"/>
              <w:spacing w:after="0"/>
              <w:rPr>
                <w:rFonts w:eastAsia="Times New Roman" w:cs="Calibri"/>
                <w:color w:val="000000"/>
                <w:sz w:val="18"/>
                <w:szCs w:val="18"/>
                <w:lang w:eastAsia="es-ES"/>
              </w:rPr>
            </w:pPr>
          </w:p>
        </w:tc>
        <w:tc>
          <w:tcPr>
            <w:tcW w:w="808" w:type="dxa"/>
            <w:tcBorders>
              <w:top w:val="single" w:sz="4" w:space="0" w:color="auto"/>
              <w:left w:val="nil"/>
              <w:bottom w:val="single" w:sz="4" w:space="0" w:color="auto"/>
              <w:right w:val="single" w:sz="4" w:space="0" w:color="auto"/>
            </w:tcBorders>
            <w:shd w:val="clear" w:color="auto" w:fill="auto"/>
            <w:vAlign w:val="center"/>
          </w:tcPr>
          <w:p w14:paraId="4115D4FB" w14:textId="77777777" w:rsidR="00590B71" w:rsidRPr="003F7F6C" w:rsidRDefault="00590B71" w:rsidP="00590B71">
            <w:pPr>
              <w:spacing w:after="0"/>
              <w:rPr>
                <w:rFonts w:eastAsia="Times New Roman" w:cs="Calibri"/>
                <w:color w:val="000000"/>
                <w:sz w:val="18"/>
                <w:szCs w:val="18"/>
                <w:lang w:eastAsia="es-ES"/>
              </w:rPr>
            </w:pPr>
          </w:p>
        </w:tc>
        <w:tc>
          <w:tcPr>
            <w:tcW w:w="819" w:type="dxa"/>
            <w:tcBorders>
              <w:top w:val="single" w:sz="4" w:space="0" w:color="auto"/>
              <w:left w:val="nil"/>
              <w:bottom w:val="single" w:sz="4" w:space="0" w:color="auto"/>
              <w:right w:val="single" w:sz="4" w:space="0" w:color="auto"/>
            </w:tcBorders>
            <w:shd w:val="clear" w:color="auto" w:fill="auto"/>
            <w:vAlign w:val="center"/>
          </w:tcPr>
          <w:p w14:paraId="7D98819D" w14:textId="6FB8C140" w:rsidR="00590B71" w:rsidRPr="003F7F6C" w:rsidRDefault="00590B71" w:rsidP="00590B71">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48</w:t>
            </w:r>
            <w:r w:rsidR="00FB6D2D" w:rsidRPr="003F7F6C">
              <w:rPr>
                <w:rFonts w:eastAsia="Times New Roman" w:cs="Calibri"/>
                <w:color w:val="000000"/>
                <w:sz w:val="18"/>
                <w:szCs w:val="18"/>
                <w:lang w:eastAsia="es-ES"/>
              </w:rPr>
              <w:t>.</w:t>
            </w:r>
            <w:r w:rsidRPr="003F7F6C">
              <w:rPr>
                <w:rFonts w:eastAsia="Times New Roman" w:cs="Calibri"/>
                <w:color w:val="000000"/>
                <w:sz w:val="18"/>
                <w:szCs w:val="18"/>
                <w:lang w:eastAsia="es-ES"/>
              </w:rPr>
              <w:t>88%</w:t>
            </w:r>
          </w:p>
        </w:tc>
        <w:tc>
          <w:tcPr>
            <w:tcW w:w="2690" w:type="dxa"/>
            <w:tcBorders>
              <w:top w:val="single" w:sz="4" w:space="0" w:color="auto"/>
              <w:left w:val="nil"/>
              <w:bottom w:val="single" w:sz="4" w:space="0" w:color="auto"/>
              <w:right w:val="single" w:sz="4" w:space="0" w:color="auto"/>
            </w:tcBorders>
            <w:shd w:val="clear" w:color="auto" w:fill="auto"/>
            <w:vAlign w:val="center"/>
          </w:tcPr>
          <w:p w14:paraId="5EB15B78" w14:textId="77777777" w:rsidR="00590B71" w:rsidRPr="003F7F6C" w:rsidRDefault="00590B71" w:rsidP="00590B71">
            <w:pPr>
              <w:spacing w:after="0"/>
              <w:rPr>
                <w:rFonts w:eastAsia="Times New Roman" w:cs="Calibri"/>
                <w:color w:val="000000"/>
                <w:sz w:val="18"/>
                <w:szCs w:val="18"/>
                <w:lang w:eastAsia="es-ES"/>
              </w:rPr>
            </w:pPr>
          </w:p>
        </w:tc>
        <w:tc>
          <w:tcPr>
            <w:tcW w:w="2083" w:type="dxa"/>
            <w:tcBorders>
              <w:top w:val="single" w:sz="4" w:space="0" w:color="auto"/>
              <w:left w:val="nil"/>
              <w:bottom w:val="single" w:sz="4" w:space="0" w:color="auto"/>
              <w:right w:val="single" w:sz="4" w:space="0" w:color="auto"/>
            </w:tcBorders>
            <w:shd w:val="clear" w:color="auto" w:fill="auto"/>
            <w:vAlign w:val="center"/>
          </w:tcPr>
          <w:p w14:paraId="550EF91D" w14:textId="77777777" w:rsidR="00590B71" w:rsidRPr="003F7F6C" w:rsidRDefault="00590B71" w:rsidP="00590B71">
            <w:pPr>
              <w:spacing w:after="0"/>
              <w:rPr>
                <w:rFonts w:eastAsia="Times New Roman" w:cs="Calibri"/>
                <w:color w:val="000000"/>
                <w:sz w:val="18"/>
                <w:szCs w:val="18"/>
                <w:lang w:eastAsia="es-ES"/>
              </w:rPr>
            </w:pPr>
          </w:p>
        </w:tc>
        <w:tc>
          <w:tcPr>
            <w:tcW w:w="1209" w:type="dxa"/>
            <w:tcBorders>
              <w:top w:val="single" w:sz="4" w:space="0" w:color="auto"/>
              <w:left w:val="nil"/>
              <w:bottom w:val="single" w:sz="4" w:space="0" w:color="auto"/>
              <w:right w:val="single" w:sz="4" w:space="0" w:color="auto"/>
            </w:tcBorders>
            <w:shd w:val="clear" w:color="auto" w:fill="auto"/>
            <w:vAlign w:val="center"/>
          </w:tcPr>
          <w:p w14:paraId="3A77A44E" w14:textId="77777777" w:rsidR="00590B71" w:rsidRPr="003F7F6C" w:rsidRDefault="00590B71" w:rsidP="00590B71">
            <w:pPr>
              <w:spacing w:after="0"/>
              <w:rPr>
                <w:rFonts w:eastAsia="Times New Roman" w:cs="Calibri"/>
                <w:color w:val="000000"/>
                <w:sz w:val="18"/>
                <w:szCs w:val="18"/>
                <w:lang w:eastAsia="es-ES"/>
              </w:rPr>
            </w:pPr>
          </w:p>
        </w:tc>
      </w:tr>
    </w:tbl>
    <w:p w14:paraId="2BB1E1BC" w14:textId="77777777" w:rsidR="00E8442F" w:rsidRPr="003F7F6C" w:rsidRDefault="00E8442F" w:rsidP="00E8442F"/>
    <w:p w14:paraId="622DA829" w14:textId="77777777" w:rsidR="00E8442F" w:rsidRPr="003F7F6C" w:rsidRDefault="00E8442F" w:rsidP="00E8442F"/>
    <w:p w14:paraId="0C9915F3" w14:textId="77777777" w:rsidR="00E8442F" w:rsidRPr="003F7F6C" w:rsidRDefault="00E8442F" w:rsidP="00E8442F"/>
    <w:p w14:paraId="67EBB1B7" w14:textId="77777777" w:rsidR="00E8442F" w:rsidRPr="003F7F6C" w:rsidRDefault="00E8442F" w:rsidP="00E8442F"/>
    <w:p w14:paraId="580D9A49" w14:textId="77777777" w:rsidR="00590B71" w:rsidRPr="003F7F6C" w:rsidRDefault="00590B71" w:rsidP="003E69A5"/>
    <w:p w14:paraId="1CE4D670" w14:textId="77777777" w:rsidR="003E69A5" w:rsidRPr="003F7F6C" w:rsidRDefault="003E69A5" w:rsidP="003E69A5"/>
    <w:p w14:paraId="12033A17" w14:textId="77777777" w:rsidR="003E69A5" w:rsidRPr="003F7F6C" w:rsidRDefault="003E69A5" w:rsidP="003E69A5"/>
    <w:p w14:paraId="20D84F10" w14:textId="77777777" w:rsidR="003E69A5" w:rsidRPr="003F7F6C" w:rsidRDefault="003E69A5" w:rsidP="003E69A5"/>
    <w:p w14:paraId="255DCFF6" w14:textId="77777777" w:rsidR="003E69A5" w:rsidRPr="003F7F6C" w:rsidRDefault="003E69A5" w:rsidP="003E69A5"/>
    <w:p w14:paraId="1AFFDE38" w14:textId="77777777" w:rsidR="003E69A5" w:rsidRPr="003F7F6C" w:rsidRDefault="003E69A5" w:rsidP="003E69A5"/>
    <w:p w14:paraId="64FCD99E" w14:textId="77777777" w:rsidR="003E69A5" w:rsidRPr="003F7F6C" w:rsidRDefault="003E69A5" w:rsidP="003E69A5"/>
    <w:p w14:paraId="533562FB" w14:textId="77777777" w:rsidR="003E69A5" w:rsidRPr="003F7F6C" w:rsidRDefault="003E69A5" w:rsidP="003E69A5"/>
    <w:p w14:paraId="42231631" w14:textId="77777777" w:rsidR="003E69A5" w:rsidRPr="003F7F6C" w:rsidRDefault="003E69A5" w:rsidP="003E69A5"/>
    <w:p w14:paraId="57173BED" w14:textId="77777777" w:rsidR="003E69A5" w:rsidRPr="003F7F6C" w:rsidRDefault="003E69A5" w:rsidP="003E69A5"/>
    <w:p w14:paraId="3162E30B" w14:textId="0FB6BF5F" w:rsidR="003E69A5" w:rsidRPr="003F7F6C" w:rsidRDefault="003E69A5" w:rsidP="003E69A5"/>
    <w:p w14:paraId="70D84E90" w14:textId="354AED37" w:rsidR="00E75DC7" w:rsidRPr="003F7F6C" w:rsidRDefault="00E75DC7" w:rsidP="003E69A5"/>
    <w:p w14:paraId="167B170C" w14:textId="0B2FE674" w:rsidR="00E75DC7" w:rsidRPr="003F7F6C" w:rsidRDefault="00E75DC7" w:rsidP="003E69A5"/>
    <w:p w14:paraId="47A8A15E" w14:textId="77777777" w:rsidR="00E75DC7" w:rsidRPr="003F7F6C" w:rsidRDefault="00E75DC7" w:rsidP="003E69A5"/>
    <w:p w14:paraId="73F7281A" w14:textId="77777777" w:rsidR="003E69A5" w:rsidRPr="003F7F6C" w:rsidRDefault="003E69A5" w:rsidP="003E69A5"/>
    <w:p w14:paraId="6BCA5C7D" w14:textId="77777777" w:rsidR="003E69A5" w:rsidRPr="003F7F6C" w:rsidRDefault="003E69A5" w:rsidP="003E69A5">
      <w:pPr>
        <w:spacing w:after="0"/>
        <w:rPr>
          <w:rFonts w:ascii="Times New Roman" w:eastAsia="Calibri" w:hAnsi="Times New Roman"/>
          <w:b/>
          <w:i/>
          <w:szCs w:val="20"/>
        </w:rPr>
      </w:pPr>
      <w:r w:rsidRPr="003F7F6C">
        <w:rPr>
          <w:rFonts w:ascii="Times New Roman" w:eastAsia="Calibri" w:hAnsi="Times New Roman"/>
          <w:b/>
          <w:i/>
          <w:szCs w:val="20"/>
        </w:rPr>
        <w:t>Province of Jujuy</w:t>
      </w:r>
    </w:p>
    <w:tbl>
      <w:tblPr>
        <w:tblW w:w="14440" w:type="dxa"/>
        <w:jc w:val="center"/>
        <w:tblCellMar>
          <w:left w:w="70" w:type="dxa"/>
          <w:right w:w="70" w:type="dxa"/>
        </w:tblCellMar>
        <w:tblLook w:val="04A0" w:firstRow="1" w:lastRow="0" w:firstColumn="1" w:lastColumn="0" w:noHBand="0" w:noVBand="1"/>
      </w:tblPr>
      <w:tblGrid>
        <w:gridCol w:w="1837"/>
        <w:gridCol w:w="4771"/>
        <w:gridCol w:w="753"/>
        <w:gridCol w:w="709"/>
        <w:gridCol w:w="2408"/>
        <w:gridCol w:w="2869"/>
        <w:gridCol w:w="1093"/>
      </w:tblGrid>
      <w:tr w:rsidR="003E69A5" w:rsidRPr="003F7F6C" w14:paraId="03AE5420" w14:textId="77777777" w:rsidTr="003E69A5">
        <w:trPr>
          <w:trHeight w:val="600"/>
          <w:jc w:val="center"/>
        </w:trPr>
        <w:tc>
          <w:tcPr>
            <w:tcW w:w="1838" w:type="dxa"/>
            <w:tcBorders>
              <w:top w:val="single" w:sz="4" w:space="0" w:color="auto"/>
              <w:left w:val="single" w:sz="4" w:space="0" w:color="auto"/>
              <w:bottom w:val="single" w:sz="4" w:space="0" w:color="auto"/>
              <w:right w:val="single" w:sz="4" w:space="0" w:color="auto"/>
            </w:tcBorders>
            <w:shd w:val="clear" w:color="000000" w:fill="B4C6E7"/>
            <w:vAlign w:val="center"/>
            <w:hideMark/>
          </w:tcPr>
          <w:p w14:paraId="4D4B08BE" w14:textId="77777777" w:rsidR="003E69A5" w:rsidRPr="003F7F6C" w:rsidRDefault="003E69A5" w:rsidP="00D25E0D">
            <w:pPr>
              <w:spacing w:after="0"/>
              <w:jc w:val="center"/>
              <w:rPr>
                <w:rFonts w:eastAsia="Times New Roman" w:cs="Calibri"/>
                <w:b/>
                <w:bCs/>
                <w:color w:val="000000"/>
                <w:sz w:val="18"/>
                <w:szCs w:val="18"/>
                <w:lang w:eastAsia="es-ES"/>
              </w:rPr>
            </w:pPr>
            <w:r w:rsidRPr="003F7F6C">
              <w:rPr>
                <w:rFonts w:eastAsia="Times New Roman" w:cs="Calibri"/>
                <w:b/>
                <w:bCs/>
                <w:color w:val="000000"/>
                <w:sz w:val="18"/>
                <w:szCs w:val="18"/>
                <w:lang w:eastAsia="es-ES"/>
              </w:rPr>
              <w:t>Capacity Result / Indicator</w:t>
            </w:r>
          </w:p>
        </w:tc>
        <w:tc>
          <w:tcPr>
            <w:tcW w:w="4775" w:type="dxa"/>
            <w:tcBorders>
              <w:top w:val="single" w:sz="4" w:space="0" w:color="auto"/>
              <w:left w:val="nil"/>
              <w:bottom w:val="single" w:sz="4" w:space="0" w:color="auto"/>
              <w:right w:val="single" w:sz="4" w:space="0" w:color="auto"/>
            </w:tcBorders>
            <w:shd w:val="clear" w:color="000000" w:fill="B4C6E7"/>
            <w:vAlign w:val="center"/>
            <w:hideMark/>
          </w:tcPr>
          <w:p w14:paraId="529B3910" w14:textId="77777777" w:rsidR="003E69A5" w:rsidRPr="003F7F6C" w:rsidRDefault="003E69A5" w:rsidP="00D25E0D">
            <w:pPr>
              <w:spacing w:after="0"/>
              <w:jc w:val="center"/>
              <w:rPr>
                <w:rFonts w:eastAsia="Times New Roman" w:cs="Calibri"/>
                <w:b/>
                <w:bCs/>
                <w:color w:val="000000"/>
                <w:sz w:val="18"/>
                <w:szCs w:val="18"/>
                <w:lang w:eastAsia="es-ES"/>
              </w:rPr>
            </w:pPr>
            <w:r w:rsidRPr="003F7F6C">
              <w:rPr>
                <w:rFonts w:eastAsia="Times New Roman" w:cs="Calibri"/>
                <w:b/>
                <w:bCs/>
                <w:color w:val="000000"/>
                <w:sz w:val="18"/>
                <w:szCs w:val="18"/>
                <w:lang w:eastAsia="es-ES"/>
              </w:rPr>
              <w:t>Staged Indicators</w:t>
            </w:r>
          </w:p>
        </w:tc>
        <w:tc>
          <w:tcPr>
            <w:tcW w:w="753" w:type="dxa"/>
            <w:tcBorders>
              <w:top w:val="single" w:sz="4" w:space="0" w:color="auto"/>
              <w:left w:val="nil"/>
              <w:bottom w:val="single" w:sz="4" w:space="0" w:color="auto"/>
              <w:right w:val="single" w:sz="4" w:space="0" w:color="auto"/>
            </w:tcBorders>
            <w:shd w:val="clear" w:color="000000" w:fill="B4C6E7"/>
            <w:vAlign w:val="center"/>
            <w:hideMark/>
          </w:tcPr>
          <w:p w14:paraId="27E90510" w14:textId="77777777" w:rsidR="003E69A5" w:rsidRPr="003F7F6C" w:rsidRDefault="003E69A5" w:rsidP="00D25E0D">
            <w:pPr>
              <w:spacing w:after="0"/>
              <w:jc w:val="center"/>
              <w:rPr>
                <w:rFonts w:eastAsia="Times New Roman" w:cs="Calibri"/>
                <w:b/>
                <w:bCs/>
                <w:color w:val="000000"/>
                <w:sz w:val="18"/>
                <w:szCs w:val="18"/>
                <w:lang w:eastAsia="es-ES"/>
              </w:rPr>
            </w:pPr>
            <w:r w:rsidRPr="003F7F6C">
              <w:rPr>
                <w:rFonts w:eastAsia="Times New Roman" w:cs="Calibri"/>
                <w:b/>
                <w:bCs/>
                <w:color w:val="000000"/>
                <w:sz w:val="18"/>
                <w:szCs w:val="18"/>
                <w:lang w:eastAsia="es-ES"/>
              </w:rPr>
              <w:t>Rating</w:t>
            </w:r>
          </w:p>
        </w:tc>
        <w:tc>
          <w:tcPr>
            <w:tcW w:w="709" w:type="dxa"/>
            <w:tcBorders>
              <w:top w:val="single" w:sz="4" w:space="0" w:color="auto"/>
              <w:left w:val="nil"/>
              <w:bottom w:val="single" w:sz="4" w:space="0" w:color="auto"/>
              <w:right w:val="single" w:sz="4" w:space="0" w:color="auto"/>
            </w:tcBorders>
            <w:shd w:val="clear" w:color="000000" w:fill="B4C6E7"/>
            <w:vAlign w:val="center"/>
            <w:hideMark/>
          </w:tcPr>
          <w:p w14:paraId="31740005" w14:textId="77777777" w:rsidR="003E69A5" w:rsidRPr="003F7F6C" w:rsidRDefault="003E69A5" w:rsidP="00D25E0D">
            <w:pPr>
              <w:spacing w:after="0"/>
              <w:jc w:val="center"/>
              <w:rPr>
                <w:rFonts w:eastAsia="Times New Roman" w:cs="Calibri"/>
                <w:b/>
                <w:bCs/>
                <w:color w:val="000000"/>
                <w:sz w:val="18"/>
                <w:szCs w:val="18"/>
                <w:lang w:eastAsia="es-ES"/>
              </w:rPr>
            </w:pPr>
            <w:r w:rsidRPr="003F7F6C">
              <w:rPr>
                <w:rFonts w:eastAsia="Times New Roman" w:cs="Calibri"/>
                <w:b/>
                <w:bCs/>
                <w:color w:val="000000"/>
                <w:sz w:val="18"/>
                <w:szCs w:val="18"/>
                <w:lang w:eastAsia="es-ES"/>
              </w:rPr>
              <w:t>Score</w:t>
            </w:r>
          </w:p>
        </w:tc>
        <w:tc>
          <w:tcPr>
            <w:tcW w:w="2410" w:type="dxa"/>
            <w:tcBorders>
              <w:top w:val="single" w:sz="4" w:space="0" w:color="auto"/>
              <w:left w:val="nil"/>
              <w:bottom w:val="single" w:sz="4" w:space="0" w:color="auto"/>
              <w:right w:val="single" w:sz="4" w:space="0" w:color="auto"/>
            </w:tcBorders>
            <w:shd w:val="clear" w:color="000000" w:fill="B4C6E7"/>
            <w:vAlign w:val="center"/>
            <w:hideMark/>
          </w:tcPr>
          <w:p w14:paraId="4A31850D" w14:textId="77777777" w:rsidR="003E69A5" w:rsidRPr="003F7F6C" w:rsidRDefault="003E69A5" w:rsidP="00D25E0D">
            <w:pPr>
              <w:spacing w:after="0"/>
              <w:jc w:val="center"/>
              <w:rPr>
                <w:rFonts w:eastAsia="Times New Roman" w:cs="Calibri"/>
                <w:b/>
                <w:bCs/>
                <w:color w:val="000000"/>
                <w:sz w:val="18"/>
                <w:szCs w:val="18"/>
                <w:lang w:eastAsia="es-ES"/>
              </w:rPr>
            </w:pPr>
            <w:r w:rsidRPr="003F7F6C">
              <w:rPr>
                <w:rFonts w:eastAsia="Times New Roman" w:cs="Calibri"/>
                <w:b/>
                <w:bCs/>
                <w:color w:val="000000"/>
                <w:sz w:val="18"/>
                <w:szCs w:val="18"/>
                <w:lang w:eastAsia="es-ES"/>
              </w:rPr>
              <w:t>Comments</w:t>
            </w:r>
          </w:p>
        </w:tc>
        <w:tc>
          <w:tcPr>
            <w:tcW w:w="2871" w:type="dxa"/>
            <w:tcBorders>
              <w:top w:val="single" w:sz="4" w:space="0" w:color="auto"/>
              <w:left w:val="nil"/>
              <w:bottom w:val="single" w:sz="4" w:space="0" w:color="auto"/>
              <w:right w:val="single" w:sz="4" w:space="0" w:color="auto"/>
            </w:tcBorders>
            <w:shd w:val="clear" w:color="000000" w:fill="B4C6E7"/>
            <w:vAlign w:val="center"/>
            <w:hideMark/>
          </w:tcPr>
          <w:p w14:paraId="68CA1744" w14:textId="77777777" w:rsidR="003E69A5" w:rsidRPr="003F7F6C" w:rsidRDefault="003E69A5" w:rsidP="00D25E0D">
            <w:pPr>
              <w:spacing w:after="0"/>
              <w:jc w:val="center"/>
              <w:rPr>
                <w:rFonts w:eastAsia="Times New Roman" w:cs="Calibri"/>
                <w:b/>
                <w:bCs/>
                <w:color w:val="000000"/>
                <w:sz w:val="18"/>
                <w:szCs w:val="18"/>
                <w:lang w:eastAsia="es-ES"/>
              </w:rPr>
            </w:pPr>
            <w:r w:rsidRPr="003F7F6C">
              <w:rPr>
                <w:rFonts w:eastAsia="Times New Roman" w:cs="Calibri"/>
                <w:b/>
                <w:bCs/>
                <w:color w:val="000000"/>
                <w:sz w:val="18"/>
                <w:szCs w:val="18"/>
                <w:lang w:eastAsia="es-ES"/>
              </w:rPr>
              <w:t>Next Steps</w:t>
            </w:r>
          </w:p>
        </w:tc>
        <w:tc>
          <w:tcPr>
            <w:tcW w:w="1084" w:type="dxa"/>
            <w:tcBorders>
              <w:top w:val="single" w:sz="4" w:space="0" w:color="auto"/>
              <w:left w:val="nil"/>
              <w:bottom w:val="single" w:sz="4" w:space="0" w:color="auto"/>
              <w:right w:val="single" w:sz="4" w:space="0" w:color="auto"/>
            </w:tcBorders>
            <w:shd w:val="clear" w:color="000000" w:fill="B4C6E7"/>
            <w:vAlign w:val="center"/>
            <w:hideMark/>
          </w:tcPr>
          <w:p w14:paraId="2BEB79D9" w14:textId="77777777" w:rsidR="003E69A5" w:rsidRPr="003F7F6C" w:rsidRDefault="003E69A5" w:rsidP="00D25E0D">
            <w:pPr>
              <w:spacing w:after="0"/>
              <w:jc w:val="center"/>
              <w:rPr>
                <w:rFonts w:eastAsia="Times New Roman" w:cs="Calibri"/>
                <w:b/>
                <w:bCs/>
                <w:color w:val="000000"/>
                <w:sz w:val="18"/>
                <w:szCs w:val="18"/>
                <w:lang w:eastAsia="es-ES"/>
              </w:rPr>
            </w:pPr>
            <w:r w:rsidRPr="003F7F6C">
              <w:rPr>
                <w:rFonts w:eastAsia="Times New Roman" w:cs="Calibri"/>
                <w:b/>
                <w:bCs/>
                <w:color w:val="000000"/>
                <w:sz w:val="18"/>
                <w:szCs w:val="18"/>
                <w:lang w:eastAsia="es-ES"/>
              </w:rPr>
              <w:t>Contribution to which outcome</w:t>
            </w:r>
          </w:p>
        </w:tc>
      </w:tr>
      <w:tr w:rsidR="003E69A5" w:rsidRPr="003F7F6C" w14:paraId="4C74B644" w14:textId="77777777" w:rsidTr="00D25E0D">
        <w:trPr>
          <w:trHeight w:val="300"/>
          <w:jc w:val="center"/>
        </w:trPr>
        <w:tc>
          <w:tcPr>
            <w:tcW w:w="14440" w:type="dxa"/>
            <w:gridSpan w:val="7"/>
            <w:tcBorders>
              <w:top w:val="single" w:sz="4" w:space="0" w:color="auto"/>
              <w:left w:val="single" w:sz="4" w:space="0" w:color="auto"/>
              <w:bottom w:val="single" w:sz="4" w:space="0" w:color="auto"/>
              <w:right w:val="single" w:sz="4" w:space="0" w:color="auto"/>
            </w:tcBorders>
            <w:shd w:val="clear" w:color="000000" w:fill="D9D9D9"/>
            <w:vAlign w:val="center"/>
            <w:hideMark/>
          </w:tcPr>
          <w:p w14:paraId="51DDFE61"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 xml:space="preserve">CR 1: Capacities for Engagement </w:t>
            </w:r>
          </w:p>
        </w:tc>
      </w:tr>
      <w:tr w:rsidR="003E69A5" w:rsidRPr="003F7F6C" w14:paraId="75715730" w14:textId="77777777" w:rsidTr="003E69A5">
        <w:trPr>
          <w:trHeight w:val="705"/>
          <w:jc w:val="center"/>
        </w:trPr>
        <w:tc>
          <w:tcPr>
            <w:tcW w:w="183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4811F2D"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Indicator 1: Degree of legitimacy/mandate of lead environmental organizations</w:t>
            </w:r>
          </w:p>
        </w:tc>
        <w:tc>
          <w:tcPr>
            <w:tcW w:w="4775" w:type="dxa"/>
            <w:tcBorders>
              <w:top w:val="single" w:sz="4" w:space="0" w:color="auto"/>
              <w:left w:val="nil"/>
              <w:bottom w:val="single" w:sz="4" w:space="0" w:color="auto"/>
              <w:right w:val="single" w:sz="4" w:space="0" w:color="auto"/>
            </w:tcBorders>
            <w:shd w:val="clear" w:color="auto" w:fill="auto"/>
            <w:vAlign w:val="center"/>
          </w:tcPr>
          <w:p w14:paraId="5895DE55"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Organizational responsibilities for environmental</w:t>
            </w:r>
          </w:p>
          <w:p w14:paraId="087F4CAE"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management are not clearly defined</w:t>
            </w:r>
          </w:p>
        </w:tc>
        <w:tc>
          <w:tcPr>
            <w:tcW w:w="753" w:type="dxa"/>
            <w:tcBorders>
              <w:top w:val="single" w:sz="4" w:space="0" w:color="auto"/>
              <w:left w:val="nil"/>
              <w:bottom w:val="single" w:sz="4" w:space="0" w:color="auto"/>
              <w:right w:val="single" w:sz="4" w:space="0" w:color="auto"/>
            </w:tcBorders>
            <w:shd w:val="clear" w:color="auto" w:fill="auto"/>
            <w:vAlign w:val="center"/>
          </w:tcPr>
          <w:p w14:paraId="16AD74F9"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0</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176D2C0E"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14:paraId="523FE662"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871" w:type="dxa"/>
            <w:tcBorders>
              <w:top w:val="single" w:sz="4" w:space="0" w:color="auto"/>
              <w:left w:val="nil"/>
              <w:bottom w:val="single" w:sz="4" w:space="0" w:color="auto"/>
              <w:right w:val="single" w:sz="4" w:space="0" w:color="auto"/>
            </w:tcBorders>
            <w:shd w:val="clear" w:color="auto" w:fill="auto"/>
            <w:vAlign w:val="center"/>
            <w:hideMark/>
          </w:tcPr>
          <w:p w14:paraId="78761A82"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084" w:type="dxa"/>
            <w:tcBorders>
              <w:top w:val="single" w:sz="4" w:space="0" w:color="auto"/>
              <w:left w:val="nil"/>
              <w:bottom w:val="single" w:sz="4" w:space="0" w:color="auto"/>
              <w:right w:val="single" w:sz="4" w:space="0" w:color="auto"/>
            </w:tcBorders>
            <w:shd w:val="clear" w:color="auto" w:fill="auto"/>
            <w:vAlign w:val="center"/>
            <w:hideMark/>
          </w:tcPr>
          <w:p w14:paraId="65E3F66B"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36DBF617" w14:textId="77777777" w:rsidTr="003E69A5">
        <w:trPr>
          <w:trHeight w:val="687"/>
          <w:jc w:val="center"/>
        </w:trPr>
        <w:tc>
          <w:tcPr>
            <w:tcW w:w="183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82AB0FE" w14:textId="77777777" w:rsidR="003E69A5" w:rsidRPr="003F7F6C" w:rsidRDefault="003E69A5" w:rsidP="00D25E0D">
            <w:pPr>
              <w:autoSpaceDE w:val="0"/>
              <w:autoSpaceDN w:val="0"/>
              <w:adjustRightInd w:val="0"/>
              <w:spacing w:after="0"/>
              <w:rPr>
                <w:rFonts w:cs="Calibri"/>
                <w:sz w:val="18"/>
                <w:szCs w:val="18"/>
              </w:rPr>
            </w:pPr>
          </w:p>
        </w:tc>
        <w:tc>
          <w:tcPr>
            <w:tcW w:w="4775" w:type="dxa"/>
            <w:tcBorders>
              <w:top w:val="single" w:sz="4" w:space="0" w:color="auto"/>
              <w:left w:val="nil"/>
              <w:bottom w:val="single" w:sz="4" w:space="0" w:color="auto"/>
              <w:right w:val="single" w:sz="4" w:space="0" w:color="auto"/>
            </w:tcBorders>
            <w:shd w:val="clear" w:color="auto" w:fill="auto"/>
            <w:vAlign w:val="center"/>
          </w:tcPr>
          <w:p w14:paraId="38D4D11F"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Organizational responsibilities for environmental</w:t>
            </w:r>
          </w:p>
          <w:p w14:paraId="57676BBA"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management are identified</w:t>
            </w:r>
          </w:p>
        </w:tc>
        <w:tc>
          <w:tcPr>
            <w:tcW w:w="753" w:type="dxa"/>
            <w:tcBorders>
              <w:top w:val="single" w:sz="4" w:space="0" w:color="auto"/>
              <w:left w:val="nil"/>
              <w:bottom w:val="single" w:sz="4" w:space="0" w:color="auto"/>
              <w:right w:val="single" w:sz="4" w:space="0" w:color="auto"/>
            </w:tcBorders>
            <w:shd w:val="clear" w:color="auto" w:fill="auto"/>
            <w:vAlign w:val="center"/>
          </w:tcPr>
          <w:p w14:paraId="359C93C4"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1</w:t>
            </w:r>
          </w:p>
        </w:tc>
        <w:tc>
          <w:tcPr>
            <w:tcW w:w="709" w:type="dxa"/>
            <w:tcBorders>
              <w:top w:val="single" w:sz="4" w:space="0" w:color="auto"/>
              <w:left w:val="nil"/>
              <w:bottom w:val="single" w:sz="4" w:space="0" w:color="auto"/>
              <w:right w:val="single" w:sz="4" w:space="0" w:color="auto"/>
            </w:tcBorders>
            <w:shd w:val="clear" w:color="auto" w:fill="auto"/>
            <w:vAlign w:val="center"/>
          </w:tcPr>
          <w:p w14:paraId="52DD8DD5" w14:textId="77777777" w:rsidR="003E69A5" w:rsidRPr="003F7F6C" w:rsidRDefault="003E69A5" w:rsidP="00D25E0D">
            <w:pPr>
              <w:spacing w:after="0"/>
              <w:jc w:val="center"/>
              <w:rPr>
                <w:rFonts w:eastAsia="Times New Roman" w:cs="Calibri"/>
                <w:color w:val="000000"/>
                <w:sz w:val="18"/>
                <w:szCs w:val="18"/>
                <w:lang w:eastAsia="es-ES"/>
              </w:rPr>
            </w:pPr>
          </w:p>
        </w:tc>
        <w:tc>
          <w:tcPr>
            <w:tcW w:w="2410" w:type="dxa"/>
            <w:tcBorders>
              <w:top w:val="single" w:sz="4" w:space="0" w:color="auto"/>
              <w:left w:val="nil"/>
              <w:bottom w:val="single" w:sz="4" w:space="0" w:color="auto"/>
              <w:right w:val="single" w:sz="4" w:space="0" w:color="auto"/>
            </w:tcBorders>
            <w:shd w:val="clear" w:color="auto" w:fill="auto"/>
            <w:vAlign w:val="center"/>
          </w:tcPr>
          <w:p w14:paraId="18971719" w14:textId="77777777" w:rsidR="003E69A5" w:rsidRPr="003F7F6C" w:rsidRDefault="003E69A5" w:rsidP="00D25E0D">
            <w:pPr>
              <w:spacing w:after="0"/>
              <w:rPr>
                <w:rFonts w:eastAsia="Times New Roman" w:cs="Calibri"/>
                <w:color w:val="000000"/>
                <w:sz w:val="18"/>
                <w:szCs w:val="18"/>
                <w:lang w:eastAsia="es-ES"/>
              </w:rPr>
            </w:pPr>
          </w:p>
        </w:tc>
        <w:tc>
          <w:tcPr>
            <w:tcW w:w="2871" w:type="dxa"/>
            <w:tcBorders>
              <w:top w:val="single" w:sz="4" w:space="0" w:color="auto"/>
              <w:left w:val="nil"/>
              <w:bottom w:val="single" w:sz="4" w:space="0" w:color="auto"/>
              <w:right w:val="single" w:sz="4" w:space="0" w:color="auto"/>
            </w:tcBorders>
            <w:shd w:val="clear" w:color="auto" w:fill="auto"/>
            <w:vAlign w:val="center"/>
          </w:tcPr>
          <w:p w14:paraId="775DD114" w14:textId="77777777" w:rsidR="003E69A5" w:rsidRPr="003F7F6C" w:rsidRDefault="003E69A5" w:rsidP="00D25E0D">
            <w:pPr>
              <w:spacing w:after="0"/>
              <w:rPr>
                <w:rFonts w:eastAsia="Times New Roman" w:cs="Calibri"/>
                <w:color w:val="000000"/>
                <w:sz w:val="18"/>
                <w:szCs w:val="18"/>
                <w:lang w:eastAsia="es-ES"/>
              </w:rPr>
            </w:pPr>
          </w:p>
        </w:tc>
        <w:tc>
          <w:tcPr>
            <w:tcW w:w="1084" w:type="dxa"/>
            <w:tcBorders>
              <w:top w:val="single" w:sz="4" w:space="0" w:color="auto"/>
              <w:left w:val="nil"/>
              <w:bottom w:val="single" w:sz="4" w:space="0" w:color="auto"/>
              <w:right w:val="single" w:sz="4" w:space="0" w:color="auto"/>
            </w:tcBorders>
            <w:shd w:val="clear" w:color="auto" w:fill="auto"/>
            <w:vAlign w:val="center"/>
          </w:tcPr>
          <w:p w14:paraId="652AD28A"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7EA159EC" w14:textId="77777777" w:rsidTr="003E69A5">
        <w:trPr>
          <w:trHeight w:val="951"/>
          <w:jc w:val="center"/>
        </w:trPr>
        <w:tc>
          <w:tcPr>
            <w:tcW w:w="183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F7C90CC" w14:textId="77777777" w:rsidR="003E69A5" w:rsidRPr="003F7F6C" w:rsidRDefault="003E69A5" w:rsidP="00D25E0D">
            <w:pPr>
              <w:autoSpaceDE w:val="0"/>
              <w:autoSpaceDN w:val="0"/>
              <w:adjustRightInd w:val="0"/>
              <w:spacing w:after="0"/>
              <w:rPr>
                <w:rFonts w:cs="Calibri"/>
                <w:sz w:val="18"/>
                <w:szCs w:val="18"/>
              </w:rPr>
            </w:pPr>
          </w:p>
        </w:tc>
        <w:tc>
          <w:tcPr>
            <w:tcW w:w="4775" w:type="dxa"/>
            <w:tcBorders>
              <w:top w:val="single" w:sz="4" w:space="0" w:color="auto"/>
              <w:left w:val="nil"/>
              <w:bottom w:val="single" w:sz="4" w:space="0" w:color="auto"/>
              <w:right w:val="single" w:sz="4" w:space="0" w:color="auto"/>
            </w:tcBorders>
            <w:shd w:val="clear" w:color="auto" w:fill="auto"/>
            <w:vAlign w:val="center"/>
          </w:tcPr>
          <w:p w14:paraId="58CB9DAD"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Authority and legitimacy of all lead organizations</w:t>
            </w:r>
          </w:p>
          <w:p w14:paraId="166CDF33"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responsible for environmental management are</w:t>
            </w:r>
          </w:p>
          <w:p w14:paraId="69BB69D6"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partially recognized by stakeholders</w:t>
            </w:r>
          </w:p>
        </w:tc>
        <w:tc>
          <w:tcPr>
            <w:tcW w:w="753" w:type="dxa"/>
            <w:tcBorders>
              <w:top w:val="single" w:sz="4" w:space="0" w:color="auto"/>
              <w:left w:val="nil"/>
              <w:bottom w:val="single" w:sz="4" w:space="0" w:color="auto"/>
              <w:right w:val="single" w:sz="4" w:space="0" w:color="auto"/>
            </w:tcBorders>
            <w:shd w:val="clear" w:color="auto" w:fill="auto"/>
            <w:vAlign w:val="center"/>
          </w:tcPr>
          <w:p w14:paraId="55D82D6D"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2</w:t>
            </w:r>
          </w:p>
        </w:tc>
        <w:tc>
          <w:tcPr>
            <w:tcW w:w="709" w:type="dxa"/>
            <w:tcBorders>
              <w:top w:val="single" w:sz="4" w:space="0" w:color="auto"/>
              <w:left w:val="nil"/>
              <w:bottom w:val="single" w:sz="4" w:space="0" w:color="auto"/>
              <w:right w:val="single" w:sz="4" w:space="0" w:color="auto"/>
            </w:tcBorders>
            <w:shd w:val="clear" w:color="auto" w:fill="auto"/>
            <w:vAlign w:val="center"/>
          </w:tcPr>
          <w:p w14:paraId="6153A402"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2</w:t>
            </w:r>
          </w:p>
        </w:tc>
        <w:tc>
          <w:tcPr>
            <w:tcW w:w="2410" w:type="dxa"/>
            <w:tcBorders>
              <w:top w:val="single" w:sz="4" w:space="0" w:color="auto"/>
              <w:left w:val="nil"/>
              <w:bottom w:val="single" w:sz="4" w:space="0" w:color="auto"/>
              <w:right w:val="single" w:sz="4" w:space="0" w:color="auto"/>
            </w:tcBorders>
            <w:shd w:val="clear" w:color="auto" w:fill="auto"/>
            <w:vAlign w:val="center"/>
          </w:tcPr>
          <w:p w14:paraId="60C7D2C4" w14:textId="77777777" w:rsidR="003E69A5" w:rsidRPr="003F7F6C" w:rsidRDefault="003E69A5" w:rsidP="00D25E0D">
            <w:pPr>
              <w:spacing w:after="0"/>
              <w:rPr>
                <w:rFonts w:eastAsia="Times New Roman" w:cs="Calibri"/>
                <w:color w:val="000000"/>
                <w:sz w:val="18"/>
                <w:szCs w:val="18"/>
                <w:lang w:eastAsia="es-ES"/>
              </w:rPr>
            </w:pPr>
          </w:p>
        </w:tc>
        <w:tc>
          <w:tcPr>
            <w:tcW w:w="2871" w:type="dxa"/>
            <w:tcBorders>
              <w:top w:val="single" w:sz="4" w:space="0" w:color="auto"/>
              <w:left w:val="nil"/>
              <w:bottom w:val="single" w:sz="4" w:space="0" w:color="auto"/>
              <w:right w:val="single" w:sz="4" w:space="0" w:color="auto"/>
            </w:tcBorders>
            <w:shd w:val="clear" w:color="auto" w:fill="auto"/>
            <w:vAlign w:val="center"/>
          </w:tcPr>
          <w:p w14:paraId="6CED9493"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Strengthening of capacities of the Ministry of Environment and coordination with other government stakeholders</w:t>
            </w:r>
          </w:p>
        </w:tc>
        <w:tc>
          <w:tcPr>
            <w:tcW w:w="1084" w:type="dxa"/>
            <w:tcBorders>
              <w:top w:val="single" w:sz="4" w:space="0" w:color="auto"/>
              <w:left w:val="nil"/>
              <w:bottom w:val="single" w:sz="4" w:space="0" w:color="auto"/>
              <w:right w:val="single" w:sz="4" w:space="0" w:color="auto"/>
            </w:tcBorders>
            <w:shd w:val="clear" w:color="auto" w:fill="auto"/>
            <w:vAlign w:val="center"/>
          </w:tcPr>
          <w:p w14:paraId="7169B067"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r>
      <w:tr w:rsidR="003E69A5" w:rsidRPr="003F7F6C" w14:paraId="02F9B5DD" w14:textId="77777777" w:rsidTr="003E69A5">
        <w:trPr>
          <w:trHeight w:val="833"/>
          <w:jc w:val="center"/>
        </w:trPr>
        <w:tc>
          <w:tcPr>
            <w:tcW w:w="183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F03B257" w14:textId="77777777" w:rsidR="003E69A5" w:rsidRPr="003F7F6C" w:rsidRDefault="003E69A5" w:rsidP="00D25E0D">
            <w:pPr>
              <w:autoSpaceDE w:val="0"/>
              <w:autoSpaceDN w:val="0"/>
              <w:adjustRightInd w:val="0"/>
              <w:spacing w:after="0"/>
              <w:rPr>
                <w:rFonts w:cs="Calibri"/>
                <w:sz w:val="18"/>
                <w:szCs w:val="18"/>
              </w:rPr>
            </w:pPr>
          </w:p>
        </w:tc>
        <w:tc>
          <w:tcPr>
            <w:tcW w:w="4775" w:type="dxa"/>
            <w:tcBorders>
              <w:top w:val="single" w:sz="4" w:space="0" w:color="auto"/>
              <w:left w:val="nil"/>
              <w:bottom w:val="single" w:sz="4" w:space="0" w:color="auto"/>
              <w:right w:val="single" w:sz="4" w:space="0" w:color="auto"/>
            </w:tcBorders>
            <w:shd w:val="clear" w:color="auto" w:fill="auto"/>
            <w:vAlign w:val="center"/>
          </w:tcPr>
          <w:p w14:paraId="1BDD73F9"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Authority and legitimacy of all lead organizations</w:t>
            </w:r>
          </w:p>
          <w:p w14:paraId="19B6CC0F"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responsible for environmental management</w:t>
            </w:r>
          </w:p>
          <w:p w14:paraId="14BF228F"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recognized by stakeholders</w:t>
            </w:r>
          </w:p>
        </w:tc>
        <w:tc>
          <w:tcPr>
            <w:tcW w:w="753" w:type="dxa"/>
            <w:tcBorders>
              <w:top w:val="single" w:sz="4" w:space="0" w:color="auto"/>
              <w:left w:val="nil"/>
              <w:bottom w:val="single" w:sz="4" w:space="0" w:color="auto"/>
              <w:right w:val="single" w:sz="4" w:space="0" w:color="auto"/>
            </w:tcBorders>
            <w:shd w:val="clear" w:color="auto" w:fill="auto"/>
            <w:vAlign w:val="center"/>
          </w:tcPr>
          <w:p w14:paraId="039D89E4"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3</w:t>
            </w:r>
          </w:p>
        </w:tc>
        <w:tc>
          <w:tcPr>
            <w:tcW w:w="709" w:type="dxa"/>
            <w:tcBorders>
              <w:top w:val="single" w:sz="4" w:space="0" w:color="auto"/>
              <w:left w:val="nil"/>
              <w:bottom w:val="single" w:sz="4" w:space="0" w:color="auto"/>
              <w:right w:val="single" w:sz="4" w:space="0" w:color="auto"/>
            </w:tcBorders>
            <w:shd w:val="clear" w:color="auto" w:fill="auto"/>
            <w:vAlign w:val="center"/>
          </w:tcPr>
          <w:p w14:paraId="4DBF9D4F" w14:textId="77777777" w:rsidR="003E69A5" w:rsidRPr="003F7F6C" w:rsidRDefault="003E69A5" w:rsidP="00D25E0D">
            <w:pPr>
              <w:spacing w:after="0"/>
              <w:jc w:val="center"/>
              <w:rPr>
                <w:rFonts w:eastAsia="Times New Roman" w:cs="Calibri"/>
                <w:color w:val="000000"/>
                <w:sz w:val="18"/>
                <w:szCs w:val="18"/>
                <w:lang w:eastAsia="es-ES"/>
              </w:rPr>
            </w:pPr>
          </w:p>
        </w:tc>
        <w:tc>
          <w:tcPr>
            <w:tcW w:w="2410" w:type="dxa"/>
            <w:tcBorders>
              <w:top w:val="single" w:sz="4" w:space="0" w:color="auto"/>
              <w:left w:val="nil"/>
              <w:bottom w:val="single" w:sz="4" w:space="0" w:color="auto"/>
              <w:right w:val="single" w:sz="4" w:space="0" w:color="auto"/>
            </w:tcBorders>
            <w:shd w:val="clear" w:color="auto" w:fill="auto"/>
            <w:vAlign w:val="center"/>
          </w:tcPr>
          <w:p w14:paraId="4B02C35A" w14:textId="77777777" w:rsidR="003E69A5" w:rsidRPr="003F7F6C" w:rsidRDefault="003E69A5" w:rsidP="00D25E0D">
            <w:pPr>
              <w:spacing w:after="0"/>
              <w:rPr>
                <w:rFonts w:eastAsia="Times New Roman" w:cs="Calibri"/>
                <w:color w:val="000000"/>
                <w:sz w:val="18"/>
                <w:szCs w:val="18"/>
                <w:lang w:eastAsia="es-ES"/>
              </w:rPr>
            </w:pPr>
          </w:p>
        </w:tc>
        <w:tc>
          <w:tcPr>
            <w:tcW w:w="2871" w:type="dxa"/>
            <w:tcBorders>
              <w:top w:val="single" w:sz="4" w:space="0" w:color="auto"/>
              <w:left w:val="nil"/>
              <w:bottom w:val="single" w:sz="4" w:space="0" w:color="auto"/>
              <w:right w:val="single" w:sz="4" w:space="0" w:color="auto"/>
            </w:tcBorders>
            <w:shd w:val="clear" w:color="auto" w:fill="auto"/>
            <w:vAlign w:val="center"/>
          </w:tcPr>
          <w:p w14:paraId="440D43DD" w14:textId="77777777" w:rsidR="003E69A5" w:rsidRPr="003F7F6C" w:rsidRDefault="003E69A5" w:rsidP="00D25E0D">
            <w:pPr>
              <w:spacing w:after="0"/>
              <w:rPr>
                <w:rFonts w:eastAsia="Times New Roman" w:cs="Calibri"/>
                <w:color w:val="000000"/>
                <w:sz w:val="18"/>
                <w:szCs w:val="18"/>
                <w:lang w:eastAsia="es-ES"/>
              </w:rPr>
            </w:pPr>
          </w:p>
        </w:tc>
        <w:tc>
          <w:tcPr>
            <w:tcW w:w="1084" w:type="dxa"/>
            <w:tcBorders>
              <w:top w:val="single" w:sz="4" w:space="0" w:color="auto"/>
              <w:left w:val="nil"/>
              <w:bottom w:val="single" w:sz="4" w:space="0" w:color="auto"/>
              <w:right w:val="single" w:sz="4" w:space="0" w:color="auto"/>
            </w:tcBorders>
            <w:shd w:val="clear" w:color="auto" w:fill="auto"/>
            <w:vAlign w:val="center"/>
          </w:tcPr>
          <w:p w14:paraId="4BF14BE7"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6F448252" w14:textId="77777777" w:rsidTr="003E69A5">
        <w:trPr>
          <w:trHeight w:val="646"/>
          <w:jc w:val="center"/>
        </w:trPr>
        <w:tc>
          <w:tcPr>
            <w:tcW w:w="183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0C283B3"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Indicator 2: Existence of operational co-management mechanisms</w:t>
            </w:r>
          </w:p>
        </w:tc>
        <w:tc>
          <w:tcPr>
            <w:tcW w:w="4775" w:type="dxa"/>
            <w:tcBorders>
              <w:top w:val="single" w:sz="4" w:space="0" w:color="auto"/>
              <w:left w:val="nil"/>
              <w:bottom w:val="single" w:sz="4" w:space="0" w:color="auto"/>
              <w:right w:val="single" w:sz="4" w:space="0" w:color="auto"/>
            </w:tcBorders>
            <w:shd w:val="clear" w:color="auto" w:fill="auto"/>
            <w:vAlign w:val="center"/>
            <w:hideMark/>
          </w:tcPr>
          <w:p w14:paraId="01434E83"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Some co-management mechanisms are formally</w:t>
            </w:r>
            <w:r w:rsidRPr="003F7F6C">
              <w:rPr>
                <w:rFonts w:cs="Calibri"/>
                <w:sz w:val="18"/>
                <w:szCs w:val="18"/>
              </w:rPr>
              <w:br/>
              <w:t>established through agreements, MOUs, etc.</w:t>
            </w:r>
          </w:p>
        </w:tc>
        <w:tc>
          <w:tcPr>
            <w:tcW w:w="753" w:type="dxa"/>
            <w:tcBorders>
              <w:top w:val="single" w:sz="4" w:space="0" w:color="auto"/>
              <w:left w:val="nil"/>
              <w:bottom w:val="single" w:sz="4" w:space="0" w:color="auto"/>
              <w:right w:val="single" w:sz="4" w:space="0" w:color="auto"/>
            </w:tcBorders>
            <w:shd w:val="clear" w:color="auto" w:fill="auto"/>
            <w:vAlign w:val="center"/>
            <w:hideMark/>
          </w:tcPr>
          <w:p w14:paraId="0E27B1F6"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0</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23E2F0F4"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14:paraId="544283AA"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871" w:type="dxa"/>
            <w:tcBorders>
              <w:top w:val="single" w:sz="4" w:space="0" w:color="auto"/>
              <w:left w:val="nil"/>
              <w:bottom w:val="single" w:sz="4" w:space="0" w:color="auto"/>
              <w:right w:val="single" w:sz="4" w:space="0" w:color="auto"/>
            </w:tcBorders>
            <w:shd w:val="clear" w:color="auto" w:fill="auto"/>
            <w:vAlign w:val="center"/>
            <w:hideMark/>
          </w:tcPr>
          <w:p w14:paraId="16C1E9BD"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084" w:type="dxa"/>
            <w:tcBorders>
              <w:top w:val="single" w:sz="4" w:space="0" w:color="auto"/>
              <w:left w:val="nil"/>
              <w:bottom w:val="single" w:sz="4" w:space="0" w:color="auto"/>
              <w:right w:val="single" w:sz="4" w:space="0" w:color="auto"/>
            </w:tcBorders>
            <w:shd w:val="clear" w:color="auto" w:fill="auto"/>
            <w:vAlign w:val="center"/>
            <w:hideMark/>
          </w:tcPr>
          <w:p w14:paraId="2830B2B5"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4F20D918" w14:textId="77777777" w:rsidTr="003E69A5">
        <w:trPr>
          <w:trHeight w:val="415"/>
          <w:jc w:val="center"/>
        </w:trPr>
        <w:tc>
          <w:tcPr>
            <w:tcW w:w="183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2488950" w14:textId="77777777" w:rsidR="003E69A5" w:rsidRPr="003F7F6C" w:rsidRDefault="003E69A5" w:rsidP="00D25E0D">
            <w:pPr>
              <w:spacing w:after="0"/>
              <w:jc w:val="center"/>
              <w:rPr>
                <w:rFonts w:eastAsia="Times New Roman" w:cs="Calibri"/>
                <w:color w:val="000000"/>
                <w:sz w:val="18"/>
                <w:szCs w:val="18"/>
                <w:lang w:eastAsia="es-ES"/>
              </w:rPr>
            </w:pPr>
          </w:p>
        </w:tc>
        <w:tc>
          <w:tcPr>
            <w:tcW w:w="4775" w:type="dxa"/>
            <w:tcBorders>
              <w:top w:val="single" w:sz="4" w:space="0" w:color="auto"/>
              <w:left w:val="single" w:sz="4" w:space="0" w:color="auto"/>
              <w:bottom w:val="single" w:sz="4" w:space="0" w:color="auto"/>
              <w:right w:val="single" w:sz="4" w:space="0" w:color="auto"/>
            </w:tcBorders>
            <w:shd w:val="clear" w:color="auto" w:fill="auto"/>
            <w:vAlign w:val="center"/>
          </w:tcPr>
          <w:p w14:paraId="23C88FEA"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cs="Calibri"/>
                <w:sz w:val="18"/>
                <w:szCs w:val="18"/>
              </w:rPr>
              <w:t>Some co-management mechanisms are in place and operational</w:t>
            </w:r>
          </w:p>
        </w:tc>
        <w:tc>
          <w:tcPr>
            <w:tcW w:w="753" w:type="dxa"/>
            <w:tcBorders>
              <w:top w:val="single" w:sz="4" w:space="0" w:color="auto"/>
              <w:left w:val="single" w:sz="4" w:space="0" w:color="auto"/>
              <w:bottom w:val="single" w:sz="4" w:space="0" w:color="auto"/>
              <w:right w:val="single" w:sz="4" w:space="0" w:color="auto"/>
            </w:tcBorders>
            <w:shd w:val="clear" w:color="auto" w:fill="auto"/>
            <w:vAlign w:val="center"/>
          </w:tcPr>
          <w:p w14:paraId="6045D348"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71C751BC"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1</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14:paraId="06979EAC"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There are specific mechanisms but not in relation to ELUP</w:t>
            </w:r>
          </w:p>
        </w:tc>
        <w:tc>
          <w:tcPr>
            <w:tcW w:w="2871" w:type="dxa"/>
            <w:tcBorders>
              <w:top w:val="single" w:sz="4" w:space="0" w:color="auto"/>
              <w:left w:val="single" w:sz="4" w:space="0" w:color="auto"/>
              <w:bottom w:val="single" w:sz="4" w:space="0" w:color="auto"/>
              <w:right w:val="single" w:sz="4" w:space="0" w:color="auto"/>
            </w:tcBorders>
            <w:shd w:val="clear" w:color="auto" w:fill="auto"/>
            <w:vAlign w:val="center"/>
          </w:tcPr>
          <w:p w14:paraId="01AEEC41"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Development of inter-institutional coordination mechanisms for target landscapes and upscaling to province level</w:t>
            </w:r>
          </w:p>
        </w:tc>
        <w:tc>
          <w:tcPr>
            <w:tcW w:w="1084" w:type="dxa"/>
            <w:tcBorders>
              <w:top w:val="single" w:sz="4" w:space="0" w:color="auto"/>
              <w:left w:val="single" w:sz="4" w:space="0" w:color="auto"/>
              <w:bottom w:val="single" w:sz="4" w:space="0" w:color="auto"/>
              <w:right w:val="single" w:sz="4" w:space="0" w:color="auto"/>
            </w:tcBorders>
            <w:shd w:val="clear" w:color="auto" w:fill="auto"/>
            <w:vAlign w:val="center"/>
          </w:tcPr>
          <w:p w14:paraId="2EAA1CD5"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r>
      <w:tr w:rsidR="003E69A5" w:rsidRPr="003F7F6C" w14:paraId="3CC5BFDF" w14:textId="77777777" w:rsidTr="003E69A5">
        <w:trPr>
          <w:trHeight w:val="691"/>
          <w:jc w:val="center"/>
        </w:trPr>
        <w:tc>
          <w:tcPr>
            <w:tcW w:w="183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A3543AA" w14:textId="77777777" w:rsidR="003E69A5" w:rsidRPr="003F7F6C" w:rsidRDefault="003E69A5" w:rsidP="00D25E0D">
            <w:pPr>
              <w:spacing w:after="0"/>
              <w:jc w:val="center"/>
              <w:rPr>
                <w:rFonts w:eastAsia="Times New Roman" w:cs="Calibri"/>
                <w:color w:val="000000"/>
                <w:sz w:val="18"/>
                <w:szCs w:val="18"/>
                <w:lang w:eastAsia="es-ES"/>
              </w:rPr>
            </w:pPr>
          </w:p>
        </w:tc>
        <w:tc>
          <w:tcPr>
            <w:tcW w:w="4775" w:type="dxa"/>
            <w:tcBorders>
              <w:top w:val="single" w:sz="4" w:space="0" w:color="auto"/>
              <w:left w:val="nil"/>
              <w:bottom w:val="single" w:sz="4" w:space="0" w:color="auto"/>
              <w:right w:val="single" w:sz="4" w:space="0" w:color="auto"/>
            </w:tcBorders>
            <w:shd w:val="clear" w:color="auto" w:fill="auto"/>
            <w:vAlign w:val="center"/>
          </w:tcPr>
          <w:p w14:paraId="28719159"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Some co-management mechanisms are formally</w:t>
            </w:r>
          </w:p>
          <w:p w14:paraId="27E1CCD7" w14:textId="77777777" w:rsidR="003E69A5" w:rsidRPr="003F7F6C" w:rsidRDefault="003E69A5" w:rsidP="00D25E0D">
            <w:pPr>
              <w:spacing w:after="0"/>
              <w:rPr>
                <w:rFonts w:eastAsia="Times New Roman" w:cs="Calibri"/>
                <w:color w:val="000000"/>
                <w:sz w:val="18"/>
                <w:szCs w:val="18"/>
                <w:lang w:eastAsia="es-ES"/>
              </w:rPr>
            </w:pPr>
            <w:r w:rsidRPr="003F7F6C">
              <w:rPr>
                <w:rFonts w:cs="Calibri"/>
                <w:sz w:val="18"/>
                <w:szCs w:val="18"/>
              </w:rPr>
              <w:t>established through agreements, MOUs, etc.</w:t>
            </w:r>
          </w:p>
        </w:tc>
        <w:tc>
          <w:tcPr>
            <w:tcW w:w="753" w:type="dxa"/>
            <w:tcBorders>
              <w:top w:val="single" w:sz="4" w:space="0" w:color="auto"/>
              <w:left w:val="nil"/>
              <w:bottom w:val="single" w:sz="4" w:space="0" w:color="auto"/>
              <w:right w:val="single" w:sz="4" w:space="0" w:color="auto"/>
            </w:tcBorders>
            <w:shd w:val="clear" w:color="auto" w:fill="auto"/>
            <w:vAlign w:val="center"/>
          </w:tcPr>
          <w:p w14:paraId="1C7C0EDA"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2</w:t>
            </w:r>
          </w:p>
        </w:tc>
        <w:tc>
          <w:tcPr>
            <w:tcW w:w="709" w:type="dxa"/>
            <w:tcBorders>
              <w:top w:val="single" w:sz="4" w:space="0" w:color="auto"/>
              <w:left w:val="nil"/>
              <w:bottom w:val="single" w:sz="4" w:space="0" w:color="auto"/>
              <w:right w:val="single" w:sz="4" w:space="0" w:color="auto"/>
            </w:tcBorders>
            <w:shd w:val="clear" w:color="auto" w:fill="auto"/>
            <w:vAlign w:val="center"/>
          </w:tcPr>
          <w:p w14:paraId="5E528441" w14:textId="77777777" w:rsidR="003E69A5" w:rsidRPr="003F7F6C" w:rsidRDefault="003E69A5" w:rsidP="00D25E0D">
            <w:pPr>
              <w:spacing w:after="0"/>
              <w:jc w:val="center"/>
              <w:rPr>
                <w:rFonts w:eastAsia="Times New Roman" w:cs="Calibri"/>
                <w:color w:val="000000"/>
                <w:sz w:val="18"/>
                <w:szCs w:val="18"/>
                <w:lang w:eastAsia="es-ES"/>
              </w:rPr>
            </w:pPr>
          </w:p>
        </w:tc>
        <w:tc>
          <w:tcPr>
            <w:tcW w:w="2410" w:type="dxa"/>
            <w:tcBorders>
              <w:top w:val="single" w:sz="4" w:space="0" w:color="auto"/>
              <w:left w:val="nil"/>
              <w:bottom w:val="single" w:sz="4" w:space="0" w:color="auto"/>
              <w:right w:val="single" w:sz="4" w:space="0" w:color="auto"/>
            </w:tcBorders>
            <w:shd w:val="clear" w:color="auto" w:fill="auto"/>
            <w:vAlign w:val="center"/>
          </w:tcPr>
          <w:p w14:paraId="1EA8A142" w14:textId="77777777" w:rsidR="003E69A5" w:rsidRPr="003F7F6C" w:rsidRDefault="003E69A5" w:rsidP="00D25E0D">
            <w:pPr>
              <w:autoSpaceDE w:val="0"/>
              <w:autoSpaceDN w:val="0"/>
              <w:adjustRightInd w:val="0"/>
              <w:spacing w:after="0"/>
              <w:rPr>
                <w:rFonts w:cs="Calibri"/>
                <w:sz w:val="18"/>
                <w:szCs w:val="18"/>
              </w:rPr>
            </w:pPr>
          </w:p>
        </w:tc>
        <w:tc>
          <w:tcPr>
            <w:tcW w:w="2871" w:type="dxa"/>
            <w:tcBorders>
              <w:top w:val="single" w:sz="4" w:space="0" w:color="auto"/>
              <w:left w:val="nil"/>
              <w:bottom w:val="single" w:sz="4" w:space="0" w:color="auto"/>
              <w:right w:val="single" w:sz="4" w:space="0" w:color="auto"/>
            </w:tcBorders>
            <w:shd w:val="clear" w:color="auto" w:fill="auto"/>
            <w:vAlign w:val="center"/>
          </w:tcPr>
          <w:p w14:paraId="463F2D2E" w14:textId="77777777" w:rsidR="003E69A5" w:rsidRPr="003F7F6C" w:rsidRDefault="003E69A5" w:rsidP="00D25E0D">
            <w:pPr>
              <w:autoSpaceDE w:val="0"/>
              <w:autoSpaceDN w:val="0"/>
              <w:adjustRightInd w:val="0"/>
              <w:spacing w:after="0"/>
              <w:rPr>
                <w:rFonts w:cs="Calibri"/>
                <w:sz w:val="18"/>
                <w:szCs w:val="18"/>
              </w:rPr>
            </w:pPr>
          </w:p>
        </w:tc>
        <w:tc>
          <w:tcPr>
            <w:tcW w:w="1084" w:type="dxa"/>
            <w:tcBorders>
              <w:top w:val="single" w:sz="4" w:space="0" w:color="auto"/>
              <w:left w:val="nil"/>
              <w:bottom w:val="single" w:sz="4" w:space="0" w:color="auto"/>
              <w:right w:val="single" w:sz="4" w:space="0" w:color="auto"/>
            </w:tcBorders>
            <w:shd w:val="clear" w:color="auto" w:fill="auto"/>
            <w:vAlign w:val="center"/>
          </w:tcPr>
          <w:p w14:paraId="00B50D24"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6679D00C" w14:textId="77777777" w:rsidTr="003E69A5">
        <w:trPr>
          <w:trHeight w:val="498"/>
          <w:jc w:val="center"/>
        </w:trPr>
        <w:tc>
          <w:tcPr>
            <w:tcW w:w="183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95EA4C9" w14:textId="77777777" w:rsidR="003E69A5" w:rsidRPr="003F7F6C" w:rsidRDefault="003E69A5" w:rsidP="00D25E0D">
            <w:pPr>
              <w:spacing w:after="0"/>
              <w:jc w:val="center"/>
              <w:rPr>
                <w:rFonts w:eastAsia="Times New Roman" w:cs="Calibri"/>
                <w:color w:val="000000"/>
                <w:sz w:val="18"/>
                <w:szCs w:val="18"/>
                <w:lang w:eastAsia="es-ES"/>
              </w:rPr>
            </w:pPr>
          </w:p>
        </w:tc>
        <w:tc>
          <w:tcPr>
            <w:tcW w:w="4775" w:type="dxa"/>
            <w:tcBorders>
              <w:top w:val="single" w:sz="4" w:space="0" w:color="auto"/>
              <w:left w:val="nil"/>
              <w:bottom w:val="single" w:sz="4" w:space="0" w:color="auto"/>
              <w:right w:val="single" w:sz="4" w:space="0" w:color="auto"/>
            </w:tcBorders>
            <w:shd w:val="clear" w:color="auto" w:fill="auto"/>
            <w:vAlign w:val="center"/>
          </w:tcPr>
          <w:p w14:paraId="0EE458A3"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Comprehensive co-management mechanisms are</w:t>
            </w:r>
          </w:p>
          <w:p w14:paraId="69291FBB" w14:textId="77777777" w:rsidR="003E69A5" w:rsidRPr="003F7F6C" w:rsidRDefault="003E69A5" w:rsidP="00D25E0D">
            <w:pPr>
              <w:spacing w:after="0"/>
              <w:rPr>
                <w:rFonts w:eastAsia="Times New Roman" w:cs="Calibri"/>
                <w:color w:val="000000"/>
                <w:sz w:val="18"/>
                <w:szCs w:val="18"/>
                <w:lang w:eastAsia="es-ES"/>
              </w:rPr>
            </w:pPr>
            <w:r w:rsidRPr="003F7F6C">
              <w:rPr>
                <w:rFonts w:cs="Calibri"/>
                <w:sz w:val="18"/>
                <w:szCs w:val="18"/>
              </w:rPr>
              <w:t>formally established and are operational/functional</w:t>
            </w:r>
          </w:p>
        </w:tc>
        <w:tc>
          <w:tcPr>
            <w:tcW w:w="753" w:type="dxa"/>
            <w:tcBorders>
              <w:top w:val="single" w:sz="4" w:space="0" w:color="auto"/>
              <w:left w:val="nil"/>
              <w:bottom w:val="single" w:sz="4" w:space="0" w:color="auto"/>
              <w:right w:val="single" w:sz="4" w:space="0" w:color="auto"/>
            </w:tcBorders>
            <w:shd w:val="clear" w:color="auto" w:fill="auto"/>
            <w:vAlign w:val="center"/>
          </w:tcPr>
          <w:p w14:paraId="69B343D0"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3</w:t>
            </w:r>
          </w:p>
        </w:tc>
        <w:tc>
          <w:tcPr>
            <w:tcW w:w="709" w:type="dxa"/>
            <w:tcBorders>
              <w:top w:val="single" w:sz="4" w:space="0" w:color="auto"/>
              <w:left w:val="nil"/>
              <w:bottom w:val="single" w:sz="4" w:space="0" w:color="auto"/>
              <w:right w:val="single" w:sz="4" w:space="0" w:color="auto"/>
            </w:tcBorders>
            <w:shd w:val="clear" w:color="auto" w:fill="auto"/>
            <w:vAlign w:val="center"/>
          </w:tcPr>
          <w:p w14:paraId="1D3D7E92" w14:textId="77777777" w:rsidR="003E69A5" w:rsidRPr="003F7F6C" w:rsidRDefault="003E69A5" w:rsidP="00D25E0D">
            <w:pPr>
              <w:spacing w:after="0"/>
              <w:jc w:val="center"/>
              <w:rPr>
                <w:rFonts w:eastAsia="Times New Roman" w:cs="Calibri"/>
                <w:color w:val="000000"/>
                <w:sz w:val="18"/>
                <w:szCs w:val="18"/>
                <w:lang w:eastAsia="es-ES"/>
              </w:rPr>
            </w:pPr>
          </w:p>
        </w:tc>
        <w:tc>
          <w:tcPr>
            <w:tcW w:w="2410" w:type="dxa"/>
            <w:tcBorders>
              <w:top w:val="single" w:sz="4" w:space="0" w:color="auto"/>
              <w:left w:val="nil"/>
              <w:bottom w:val="single" w:sz="4" w:space="0" w:color="auto"/>
              <w:right w:val="single" w:sz="4" w:space="0" w:color="auto"/>
            </w:tcBorders>
            <w:shd w:val="clear" w:color="auto" w:fill="auto"/>
            <w:vAlign w:val="center"/>
          </w:tcPr>
          <w:p w14:paraId="5B2D721E" w14:textId="77777777" w:rsidR="003E69A5" w:rsidRPr="003F7F6C" w:rsidRDefault="003E69A5" w:rsidP="00D25E0D">
            <w:pPr>
              <w:spacing w:after="0"/>
              <w:rPr>
                <w:rFonts w:eastAsia="Times New Roman" w:cs="Calibri"/>
                <w:color w:val="000000"/>
                <w:sz w:val="18"/>
                <w:szCs w:val="18"/>
                <w:lang w:eastAsia="es-ES"/>
              </w:rPr>
            </w:pPr>
          </w:p>
        </w:tc>
        <w:tc>
          <w:tcPr>
            <w:tcW w:w="2871" w:type="dxa"/>
            <w:tcBorders>
              <w:top w:val="single" w:sz="4" w:space="0" w:color="auto"/>
              <w:left w:val="nil"/>
              <w:bottom w:val="single" w:sz="4" w:space="0" w:color="auto"/>
              <w:right w:val="single" w:sz="4" w:space="0" w:color="auto"/>
            </w:tcBorders>
            <w:shd w:val="clear" w:color="auto" w:fill="auto"/>
            <w:vAlign w:val="center"/>
          </w:tcPr>
          <w:p w14:paraId="797FC2E2" w14:textId="77777777" w:rsidR="003E69A5" w:rsidRPr="003F7F6C" w:rsidRDefault="003E69A5" w:rsidP="00D25E0D">
            <w:pPr>
              <w:spacing w:after="0"/>
              <w:rPr>
                <w:rFonts w:eastAsia="Times New Roman" w:cs="Calibri"/>
                <w:color w:val="000000"/>
                <w:sz w:val="18"/>
                <w:szCs w:val="18"/>
                <w:lang w:eastAsia="es-ES"/>
              </w:rPr>
            </w:pPr>
          </w:p>
        </w:tc>
        <w:tc>
          <w:tcPr>
            <w:tcW w:w="1084" w:type="dxa"/>
            <w:tcBorders>
              <w:top w:val="single" w:sz="4" w:space="0" w:color="auto"/>
              <w:left w:val="nil"/>
              <w:bottom w:val="single" w:sz="4" w:space="0" w:color="auto"/>
              <w:right w:val="single" w:sz="4" w:space="0" w:color="auto"/>
            </w:tcBorders>
            <w:shd w:val="clear" w:color="auto" w:fill="auto"/>
            <w:vAlign w:val="center"/>
          </w:tcPr>
          <w:p w14:paraId="35645E13"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6BA89C10" w14:textId="77777777" w:rsidTr="003E69A5">
        <w:trPr>
          <w:trHeight w:val="626"/>
          <w:jc w:val="center"/>
        </w:trPr>
        <w:tc>
          <w:tcPr>
            <w:tcW w:w="183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2F51B2"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Indicator 3: Existence of cooperation with stakeholder groups</w:t>
            </w:r>
          </w:p>
        </w:tc>
        <w:tc>
          <w:tcPr>
            <w:tcW w:w="4775" w:type="dxa"/>
            <w:tcBorders>
              <w:top w:val="single" w:sz="4" w:space="0" w:color="auto"/>
              <w:left w:val="nil"/>
              <w:bottom w:val="single" w:sz="4" w:space="0" w:color="auto"/>
              <w:right w:val="single" w:sz="4" w:space="0" w:color="auto"/>
            </w:tcBorders>
            <w:shd w:val="clear" w:color="auto" w:fill="auto"/>
            <w:vAlign w:val="center"/>
          </w:tcPr>
          <w:p w14:paraId="345E04BD"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Identification of stakeholders and their</w:t>
            </w:r>
          </w:p>
          <w:p w14:paraId="15E88FCB"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participation/involvement in decision-making is poor</w:t>
            </w:r>
          </w:p>
        </w:tc>
        <w:tc>
          <w:tcPr>
            <w:tcW w:w="753" w:type="dxa"/>
            <w:tcBorders>
              <w:top w:val="single" w:sz="4" w:space="0" w:color="auto"/>
              <w:left w:val="single" w:sz="4" w:space="0" w:color="auto"/>
              <w:bottom w:val="single" w:sz="4" w:space="0" w:color="auto"/>
              <w:right w:val="single" w:sz="4" w:space="0" w:color="auto"/>
            </w:tcBorders>
            <w:shd w:val="clear" w:color="auto" w:fill="auto"/>
            <w:vAlign w:val="center"/>
          </w:tcPr>
          <w:p w14:paraId="15E11D04"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0</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822D3C1"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B2280E2"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8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5B73BFD"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0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1852351"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2B3BEA6F" w14:textId="77777777" w:rsidTr="003E69A5">
        <w:trPr>
          <w:trHeight w:val="550"/>
          <w:jc w:val="center"/>
        </w:trPr>
        <w:tc>
          <w:tcPr>
            <w:tcW w:w="183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E77F026" w14:textId="77777777" w:rsidR="003E69A5" w:rsidRPr="003F7F6C" w:rsidRDefault="003E69A5" w:rsidP="00D25E0D">
            <w:pPr>
              <w:autoSpaceDE w:val="0"/>
              <w:autoSpaceDN w:val="0"/>
              <w:adjustRightInd w:val="0"/>
              <w:spacing w:after="0"/>
              <w:rPr>
                <w:rFonts w:cs="Calibri"/>
                <w:sz w:val="18"/>
                <w:szCs w:val="18"/>
              </w:rPr>
            </w:pPr>
          </w:p>
        </w:tc>
        <w:tc>
          <w:tcPr>
            <w:tcW w:w="4775" w:type="dxa"/>
            <w:tcBorders>
              <w:top w:val="single" w:sz="4" w:space="0" w:color="auto"/>
              <w:left w:val="nil"/>
              <w:bottom w:val="single" w:sz="4" w:space="0" w:color="auto"/>
              <w:right w:val="single" w:sz="4" w:space="0" w:color="auto"/>
            </w:tcBorders>
            <w:shd w:val="clear" w:color="auto" w:fill="auto"/>
            <w:vAlign w:val="center"/>
          </w:tcPr>
          <w:p w14:paraId="1A44BB32"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Stakeholders are identified but their participation in decision-making is limited</w:t>
            </w:r>
          </w:p>
        </w:tc>
        <w:tc>
          <w:tcPr>
            <w:tcW w:w="753" w:type="dxa"/>
            <w:tcBorders>
              <w:top w:val="single" w:sz="4" w:space="0" w:color="auto"/>
              <w:left w:val="nil"/>
              <w:bottom w:val="single" w:sz="4" w:space="0" w:color="auto"/>
              <w:right w:val="single" w:sz="4" w:space="0" w:color="auto"/>
            </w:tcBorders>
            <w:shd w:val="clear" w:color="auto" w:fill="auto"/>
            <w:vAlign w:val="center"/>
          </w:tcPr>
          <w:p w14:paraId="59CE3B63"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1</w:t>
            </w:r>
          </w:p>
        </w:tc>
        <w:tc>
          <w:tcPr>
            <w:tcW w:w="709" w:type="dxa"/>
            <w:tcBorders>
              <w:top w:val="single" w:sz="4" w:space="0" w:color="auto"/>
              <w:left w:val="nil"/>
              <w:bottom w:val="single" w:sz="4" w:space="0" w:color="auto"/>
              <w:right w:val="single" w:sz="4" w:space="0" w:color="auto"/>
            </w:tcBorders>
            <w:shd w:val="clear" w:color="auto" w:fill="auto"/>
            <w:vAlign w:val="center"/>
          </w:tcPr>
          <w:p w14:paraId="57C93714" w14:textId="77777777" w:rsidR="003E69A5" w:rsidRPr="003F7F6C" w:rsidRDefault="003E69A5" w:rsidP="00D25E0D">
            <w:pPr>
              <w:spacing w:after="0"/>
              <w:jc w:val="center"/>
              <w:rPr>
                <w:rFonts w:eastAsia="Times New Roman" w:cs="Calibri"/>
                <w:color w:val="000000"/>
                <w:sz w:val="18"/>
                <w:szCs w:val="18"/>
                <w:lang w:eastAsia="es-ES"/>
              </w:rPr>
            </w:pPr>
          </w:p>
        </w:tc>
        <w:tc>
          <w:tcPr>
            <w:tcW w:w="2410" w:type="dxa"/>
            <w:tcBorders>
              <w:top w:val="single" w:sz="4" w:space="0" w:color="auto"/>
              <w:left w:val="nil"/>
              <w:bottom w:val="single" w:sz="4" w:space="0" w:color="auto"/>
              <w:right w:val="single" w:sz="4" w:space="0" w:color="auto"/>
            </w:tcBorders>
            <w:shd w:val="clear" w:color="auto" w:fill="auto"/>
            <w:vAlign w:val="center"/>
          </w:tcPr>
          <w:p w14:paraId="5D52EC9B" w14:textId="77777777" w:rsidR="003E69A5" w:rsidRPr="003F7F6C" w:rsidRDefault="003E69A5" w:rsidP="00D25E0D">
            <w:pPr>
              <w:spacing w:after="0"/>
              <w:rPr>
                <w:rFonts w:eastAsia="Times New Roman" w:cs="Calibri"/>
                <w:color w:val="000000"/>
                <w:sz w:val="18"/>
                <w:szCs w:val="18"/>
                <w:lang w:eastAsia="es-ES"/>
              </w:rPr>
            </w:pPr>
          </w:p>
        </w:tc>
        <w:tc>
          <w:tcPr>
            <w:tcW w:w="2871" w:type="dxa"/>
            <w:tcBorders>
              <w:top w:val="single" w:sz="4" w:space="0" w:color="auto"/>
              <w:left w:val="nil"/>
              <w:bottom w:val="single" w:sz="4" w:space="0" w:color="auto"/>
              <w:right w:val="single" w:sz="4" w:space="0" w:color="auto"/>
            </w:tcBorders>
            <w:shd w:val="clear" w:color="auto" w:fill="auto"/>
            <w:vAlign w:val="center"/>
          </w:tcPr>
          <w:p w14:paraId="514BD731" w14:textId="77777777" w:rsidR="003E69A5" w:rsidRPr="003F7F6C" w:rsidRDefault="003E69A5" w:rsidP="00D25E0D">
            <w:pPr>
              <w:spacing w:after="0"/>
              <w:rPr>
                <w:rFonts w:eastAsia="Times New Roman" w:cs="Calibri"/>
                <w:color w:val="000000"/>
                <w:sz w:val="18"/>
                <w:szCs w:val="18"/>
                <w:lang w:eastAsia="es-ES"/>
              </w:rPr>
            </w:pPr>
          </w:p>
        </w:tc>
        <w:tc>
          <w:tcPr>
            <w:tcW w:w="1084" w:type="dxa"/>
            <w:tcBorders>
              <w:top w:val="single" w:sz="4" w:space="0" w:color="auto"/>
              <w:left w:val="nil"/>
              <w:bottom w:val="single" w:sz="4" w:space="0" w:color="auto"/>
              <w:right w:val="single" w:sz="4" w:space="0" w:color="auto"/>
            </w:tcBorders>
            <w:shd w:val="clear" w:color="auto" w:fill="auto"/>
            <w:vAlign w:val="center"/>
          </w:tcPr>
          <w:p w14:paraId="658B4751"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0F2EC4CA" w14:textId="77777777" w:rsidTr="003E69A5">
        <w:trPr>
          <w:trHeight w:val="1095"/>
          <w:jc w:val="center"/>
        </w:trPr>
        <w:tc>
          <w:tcPr>
            <w:tcW w:w="183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49D6F67" w14:textId="77777777" w:rsidR="003E69A5" w:rsidRPr="003F7F6C" w:rsidRDefault="003E69A5" w:rsidP="00D25E0D">
            <w:pPr>
              <w:spacing w:after="0"/>
              <w:jc w:val="center"/>
              <w:rPr>
                <w:rFonts w:eastAsia="Times New Roman" w:cs="Calibri"/>
                <w:color w:val="000000"/>
                <w:sz w:val="18"/>
                <w:szCs w:val="18"/>
                <w:lang w:eastAsia="es-ES"/>
              </w:rPr>
            </w:pPr>
          </w:p>
        </w:tc>
        <w:tc>
          <w:tcPr>
            <w:tcW w:w="4775" w:type="dxa"/>
            <w:tcBorders>
              <w:top w:val="single" w:sz="4" w:space="0" w:color="auto"/>
              <w:left w:val="nil"/>
              <w:bottom w:val="single" w:sz="4" w:space="0" w:color="auto"/>
              <w:right w:val="single" w:sz="4" w:space="0" w:color="auto"/>
            </w:tcBorders>
            <w:shd w:val="clear" w:color="auto" w:fill="auto"/>
            <w:vAlign w:val="center"/>
          </w:tcPr>
          <w:p w14:paraId="16C79C69"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cs="Calibri"/>
                <w:sz w:val="18"/>
                <w:szCs w:val="18"/>
              </w:rPr>
              <w:t>Stakeholders are identified and regular consultations mechanisms are established</w:t>
            </w:r>
          </w:p>
        </w:tc>
        <w:tc>
          <w:tcPr>
            <w:tcW w:w="753" w:type="dxa"/>
            <w:tcBorders>
              <w:top w:val="single" w:sz="4" w:space="0" w:color="auto"/>
              <w:left w:val="nil"/>
              <w:bottom w:val="single" w:sz="4" w:space="0" w:color="auto"/>
              <w:right w:val="single" w:sz="4" w:space="0" w:color="auto"/>
            </w:tcBorders>
            <w:shd w:val="clear" w:color="auto" w:fill="auto"/>
            <w:vAlign w:val="center"/>
          </w:tcPr>
          <w:p w14:paraId="02C82165"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2</w:t>
            </w:r>
          </w:p>
        </w:tc>
        <w:tc>
          <w:tcPr>
            <w:tcW w:w="709" w:type="dxa"/>
            <w:tcBorders>
              <w:top w:val="single" w:sz="4" w:space="0" w:color="auto"/>
              <w:left w:val="nil"/>
              <w:bottom w:val="single" w:sz="4" w:space="0" w:color="auto"/>
              <w:right w:val="single" w:sz="4" w:space="0" w:color="auto"/>
            </w:tcBorders>
            <w:shd w:val="clear" w:color="auto" w:fill="auto"/>
            <w:vAlign w:val="center"/>
          </w:tcPr>
          <w:p w14:paraId="52B5CA7A"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2</w:t>
            </w:r>
          </w:p>
        </w:tc>
        <w:tc>
          <w:tcPr>
            <w:tcW w:w="2410" w:type="dxa"/>
            <w:tcBorders>
              <w:top w:val="single" w:sz="4" w:space="0" w:color="auto"/>
              <w:left w:val="nil"/>
              <w:bottom w:val="single" w:sz="4" w:space="0" w:color="auto"/>
              <w:right w:val="single" w:sz="4" w:space="0" w:color="auto"/>
            </w:tcBorders>
            <w:shd w:val="clear" w:color="auto" w:fill="auto"/>
            <w:vAlign w:val="center"/>
          </w:tcPr>
          <w:p w14:paraId="2325794D"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Key stakeholders are clearly identified. There are consultation processes in place to address policy development but mostly sector oriented (e.g. tourism, mining)</w:t>
            </w:r>
          </w:p>
        </w:tc>
        <w:tc>
          <w:tcPr>
            <w:tcW w:w="2871" w:type="dxa"/>
            <w:tcBorders>
              <w:top w:val="single" w:sz="4" w:space="0" w:color="auto"/>
              <w:left w:val="nil"/>
              <w:bottom w:val="single" w:sz="4" w:space="0" w:color="auto"/>
              <w:right w:val="single" w:sz="4" w:space="0" w:color="auto"/>
            </w:tcBorders>
            <w:shd w:val="clear" w:color="auto" w:fill="auto"/>
            <w:vAlign w:val="center"/>
          </w:tcPr>
          <w:p w14:paraId="6FAB3452"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Improvement of coordination capacity between productive stakeholders and communities</w:t>
            </w:r>
          </w:p>
          <w:p w14:paraId="16031438" w14:textId="77777777" w:rsidR="003E69A5" w:rsidRPr="003F7F6C" w:rsidRDefault="003E69A5" w:rsidP="00D25E0D">
            <w:pPr>
              <w:autoSpaceDE w:val="0"/>
              <w:autoSpaceDN w:val="0"/>
              <w:adjustRightInd w:val="0"/>
              <w:spacing w:after="0"/>
              <w:rPr>
                <w:rFonts w:cs="Calibri"/>
                <w:sz w:val="18"/>
                <w:szCs w:val="18"/>
              </w:rPr>
            </w:pPr>
          </w:p>
        </w:tc>
        <w:tc>
          <w:tcPr>
            <w:tcW w:w="1084" w:type="dxa"/>
            <w:tcBorders>
              <w:top w:val="single" w:sz="4" w:space="0" w:color="auto"/>
              <w:left w:val="nil"/>
              <w:bottom w:val="single" w:sz="4" w:space="0" w:color="auto"/>
              <w:right w:val="single" w:sz="4" w:space="0" w:color="auto"/>
            </w:tcBorders>
            <w:shd w:val="clear" w:color="auto" w:fill="auto"/>
            <w:vAlign w:val="center"/>
          </w:tcPr>
          <w:p w14:paraId="0F2B6783"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r>
      <w:tr w:rsidR="003E69A5" w:rsidRPr="003F7F6C" w14:paraId="438E86ED" w14:textId="77777777" w:rsidTr="003E69A5">
        <w:trPr>
          <w:trHeight w:val="681"/>
          <w:jc w:val="center"/>
        </w:trPr>
        <w:tc>
          <w:tcPr>
            <w:tcW w:w="183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04035B4" w14:textId="77777777" w:rsidR="003E69A5" w:rsidRPr="003F7F6C" w:rsidRDefault="003E69A5" w:rsidP="00D25E0D">
            <w:pPr>
              <w:spacing w:after="0"/>
              <w:jc w:val="center"/>
              <w:rPr>
                <w:rFonts w:eastAsia="Times New Roman" w:cs="Calibri"/>
                <w:color w:val="000000"/>
                <w:sz w:val="18"/>
                <w:szCs w:val="18"/>
                <w:lang w:eastAsia="es-ES"/>
              </w:rPr>
            </w:pPr>
          </w:p>
        </w:tc>
        <w:tc>
          <w:tcPr>
            <w:tcW w:w="4775" w:type="dxa"/>
            <w:tcBorders>
              <w:top w:val="nil"/>
              <w:left w:val="nil"/>
              <w:bottom w:val="single" w:sz="4" w:space="0" w:color="auto"/>
              <w:right w:val="single" w:sz="4" w:space="0" w:color="auto"/>
            </w:tcBorders>
            <w:shd w:val="clear" w:color="auto" w:fill="auto"/>
            <w:vAlign w:val="center"/>
          </w:tcPr>
          <w:p w14:paraId="0A58F656"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Stakeholders are identified and they actively</w:t>
            </w:r>
          </w:p>
          <w:p w14:paraId="11EF00B6"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cs="Calibri"/>
                <w:sz w:val="18"/>
                <w:szCs w:val="18"/>
              </w:rPr>
              <w:t>contribute to established participative decision making processes</w:t>
            </w:r>
          </w:p>
        </w:tc>
        <w:tc>
          <w:tcPr>
            <w:tcW w:w="753" w:type="dxa"/>
            <w:tcBorders>
              <w:top w:val="nil"/>
              <w:left w:val="nil"/>
              <w:bottom w:val="single" w:sz="4" w:space="0" w:color="auto"/>
              <w:right w:val="single" w:sz="4" w:space="0" w:color="auto"/>
            </w:tcBorders>
            <w:shd w:val="clear" w:color="auto" w:fill="auto"/>
            <w:vAlign w:val="center"/>
          </w:tcPr>
          <w:p w14:paraId="18FAF3D3"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3</w:t>
            </w:r>
          </w:p>
        </w:tc>
        <w:tc>
          <w:tcPr>
            <w:tcW w:w="709" w:type="dxa"/>
            <w:tcBorders>
              <w:top w:val="nil"/>
              <w:left w:val="nil"/>
              <w:bottom w:val="single" w:sz="4" w:space="0" w:color="auto"/>
              <w:right w:val="single" w:sz="4" w:space="0" w:color="auto"/>
            </w:tcBorders>
            <w:shd w:val="clear" w:color="auto" w:fill="auto"/>
            <w:vAlign w:val="center"/>
          </w:tcPr>
          <w:p w14:paraId="6E68B7D9" w14:textId="77777777" w:rsidR="003E69A5" w:rsidRPr="003F7F6C" w:rsidRDefault="003E69A5" w:rsidP="00D25E0D">
            <w:pPr>
              <w:spacing w:after="0"/>
              <w:jc w:val="center"/>
              <w:rPr>
                <w:rFonts w:eastAsia="Times New Roman" w:cs="Calibri"/>
                <w:color w:val="000000"/>
                <w:sz w:val="18"/>
                <w:szCs w:val="18"/>
                <w:lang w:eastAsia="es-ES"/>
              </w:rPr>
            </w:pPr>
          </w:p>
        </w:tc>
        <w:tc>
          <w:tcPr>
            <w:tcW w:w="2410" w:type="dxa"/>
            <w:tcBorders>
              <w:top w:val="nil"/>
              <w:left w:val="nil"/>
              <w:bottom w:val="single" w:sz="4" w:space="0" w:color="auto"/>
              <w:right w:val="single" w:sz="4" w:space="0" w:color="auto"/>
            </w:tcBorders>
            <w:shd w:val="clear" w:color="auto" w:fill="auto"/>
            <w:vAlign w:val="center"/>
          </w:tcPr>
          <w:p w14:paraId="4261E3A3" w14:textId="77777777" w:rsidR="003E69A5" w:rsidRPr="003F7F6C" w:rsidRDefault="003E69A5" w:rsidP="00D25E0D">
            <w:pPr>
              <w:spacing w:after="0"/>
              <w:rPr>
                <w:rFonts w:eastAsia="Times New Roman" w:cs="Calibri"/>
                <w:color w:val="000000"/>
                <w:sz w:val="18"/>
                <w:szCs w:val="18"/>
                <w:lang w:eastAsia="es-ES"/>
              </w:rPr>
            </w:pPr>
          </w:p>
        </w:tc>
        <w:tc>
          <w:tcPr>
            <w:tcW w:w="2871" w:type="dxa"/>
            <w:tcBorders>
              <w:top w:val="nil"/>
              <w:left w:val="nil"/>
              <w:bottom w:val="single" w:sz="4" w:space="0" w:color="auto"/>
              <w:right w:val="single" w:sz="4" w:space="0" w:color="auto"/>
            </w:tcBorders>
            <w:shd w:val="clear" w:color="auto" w:fill="auto"/>
            <w:vAlign w:val="center"/>
          </w:tcPr>
          <w:p w14:paraId="4066BBF5" w14:textId="77777777" w:rsidR="003E69A5" w:rsidRPr="003F7F6C" w:rsidRDefault="003E69A5" w:rsidP="00D25E0D">
            <w:pPr>
              <w:spacing w:after="0"/>
              <w:rPr>
                <w:rFonts w:eastAsia="Times New Roman" w:cs="Calibri"/>
                <w:color w:val="000000"/>
                <w:sz w:val="18"/>
                <w:szCs w:val="18"/>
                <w:lang w:eastAsia="es-ES"/>
              </w:rPr>
            </w:pPr>
          </w:p>
        </w:tc>
        <w:tc>
          <w:tcPr>
            <w:tcW w:w="1084" w:type="dxa"/>
            <w:tcBorders>
              <w:top w:val="nil"/>
              <w:left w:val="nil"/>
              <w:bottom w:val="single" w:sz="4" w:space="0" w:color="auto"/>
              <w:right w:val="single" w:sz="4" w:space="0" w:color="auto"/>
            </w:tcBorders>
            <w:shd w:val="clear" w:color="auto" w:fill="auto"/>
            <w:vAlign w:val="center"/>
          </w:tcPr>
          <w:p w14:paraId="40457461"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5DE0CC68" w14:textId="77777777" w:rsidTr="003E69A5">
        <w:trPr>
          <w:trHeight w:val="365"/>
          <w:jc w:val="center"/>
        </w:trPr>
        <w:tc>
          <w:tcPr>
            <w:tcW w:w="1838" w:type="dxa"/>
            <w:tcBorders>
              <w:top w:val="single" w:sz="4" w:space="0" w:color="auto"/>
              <w:left w:val="single" w:sz="4" w:space="0" w:color="auto"/>
              <w:bottom w:val="single" w:sz="4" w:space="0" w:color="auto"/>
              <w:right w:val="single" w:sz="4" w:space="0" w:color="auto"/>
            </w:tcBorders>
            <w:shd w:val="clear" w:color="auto" w:fill="auto"/>
            <w:vAlign w:val="center"/>
          </w:tcPr>
          <w:p w14:paraId="4DDB1C32" w14:textId="77777777" w:rsidR="003E69A5" w:rsidRPr="003F7F6C" w:rsidRDefault="003E69A5" w:rsidP="00D25E0D">
            <w:pPr>
              <w:spacing w:after="0"/>
              <w:jc w:val="center"/>
              <w:rPr>
                <w:rFonts w:eastAsia="Times New Roman" w:cs="Calibri"/>
                <w:color w:val="000000"/>
                <w:sz w:val="18"/>
                <w:szCs w:val="18"/>
                <w:lang w:eastAsia="es-ES"/>
              </w:rPr>
            </w:pPr>
          </w:p>
        </w:tc>
        <w:tc>
          <w:tcPr>
            <w:tcW w:w="4775" w:type="dxa"/>
            <w:tcBorders>
              <w:top w:val="nil"/>
              <w:left w:val="nil"/>
              <w:bottom w:val="single" w:sz="4" w:space="0" w:color="auto"/>
              <w:right w:val="single" w:sz="4" w:space="0" w:color="auto"/>
            </w:tcBorders>
            <w:shd w:val="clear" w:color="auto" w:fill="auto"/>
            <w:vAlign w:val="center"/>
          </w:tcPr>
          <w:p w14:paraId="69D58BCB" w14:textId="77777777" w:rsidR="003E69A5" w:rsidRPr="003F7F6C" w:rsidRDefault="003E69A5" w:rsidP="00D25E0D">
            <w:pPr>
              <w:autoSpaceDE w:val="0"/>
              <w:autoSpaceDN w:val="0"/>
              <w:adjustRightInd w:val="0"/>
              <w:spacing w:after="0"/>
              <w:rPr>
                <w:rFonts w:cs="Calibri"/>
                <w:sz w:val="18"/>
                <w:szCs w:val="18"/>
              </w:rPr>
            </w:pPr>
          </w:p>
        </w:tc>
        <w:tc>
          <w:tcPr>
            <w:tcW w:w="753" w:type="dxa"/>
            <w:tcBorders>
              <w:top w:val="nil"/>
              <w:left w:val="nil"/>
              <w:bottom w:val="single" w:sz="4" w:space="0" w:color="auto"/>
              <w:right w:val="single" w:sz="4" w:space="0" w:color="auto"/>
            </w:tcBorders>
            <w:shd w:val="clear" w:color="auto" w:fill="auto"/>
            <w:vAlign w:val="center"/>
          </w:tcPr>
          <w:p w14:paraId="4060DE96"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9</w:t>
            </w:r>
          </w:p>
        </w:tc>
        <w:tc>
          <w:tcPr>
            <w:tcW w:w="709" w:type="dxa"/>
            <w:tcBorders>
              <w:top w:val="nil"/>
              <w:left w:val="nil"/>
              <w:bottom w:val="single" w:sz="4" w:space="0" w:color="auto"/>
              <w:right w:val="single" w:sz="4" w:space="0" w:color="auto"/>
            </w:tcBorders>
            <w:shd w:val="clear" w:color="auto" w:fill="auto"/>
            <w:vAlign w:val="center"/>
          </w:tcPr>
          <w:p w14:paraId="5F47F349"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5</w:t>
            </w:r>
          </w:p>
        </w:tc>
        <w:tc>
          <w:tcPr>
            <w:tcW w:w="2410" w:type="dxa"/>
            <w:tcBorders>
              <w:top w:val="nil"/>
              <w:left w:val="nil"/>
              <w:bottom w:val="single" w:sz="4" w:space="0" w:color="auto"/>
              <w:right w:val="single" w:sz="4" w:space="0" w:color="auto"/>
            </w:tcBorders>
            <w:shd w:val="clear" w:color="auto" w:fill="auto"/>
            <w:vAlign w:val="center"/>
          </w:tcPr>
          <w:p w14:paraId="664D2CB5" w14:textId="77777777" w:rsidR="003E69A5" w:rsidRPr="003F7F6C" w:rsidRDefault="003E69A5" w:rsidP="00D25E0D">
            <w:pPr>
              <w:spacing w:after="0"/>
              <w:rPr>
                <w:rFonts w:eastAsia="Times New Roman" w:cs="Calibri"/>
                <w:color w:val="000000"/>
                <w:sz w:val="18"/>
                <w:szCs w:val="18"/>
                <w:lang w:eastAsia="es-ES"/>
              </w:rPr>
            </w:pPr>
          </w:p>
        </w:tc>
        <w:tc>
          <w:tcPr>
            <w:tcW w:w="2871" w:type="dxa"/>
            <w:tcBorders>
              <w:top w:val="nil"/>
              <w:left w:val="nil"/>
              <w:bottom w:val="single" w:sz="4" w:space="0" w:color="auto"/>
              <w:right w:val="single" w:sz="4" w:space="0" w:color="auto"/>
            </w:tcBorders>
            <w:shd w:val="clear" w:color="auto" w:fill="auto"/>
            <w:vAlign w:val="center"/>
          </w:tcPr>
          <w:p w14:paraId="39B8F8E4" w14:textId="77777777" w:rsidR="003E69A5" w:rsidRPr="003F7F6C" w:rsidRDefault="003E69A5" w:rsidP="00D25E0D">
            <w:pPr>
              <w:spacing w:after="0"/>
              <w:rPr>
                <w:rFonts w:eastAsia="Times New Roman" w:cs="Calibri"/>
                <w:color w:val="000000"/>
                <w:sz w:val="18"/>
                <w:szCs w:val="18"/>
                <w:lang w:eastAsia="es-ES"/>
              </w:rPr>
            </w:pPr>
          </w:p>
        </w:tc>
        <w:tc>
          <w:tcPr>
            <w:tcW w:w="1084" w:type="dxa"/>
            <w:tcBorders>
              <w:top w:val="nil"/>
              <w:left w:val="nil"/>
              <w:bottom w:val="single" w:sz="4" w:space="0" w:color="auto"/>
              <w:right w:val="single" w:sz="4" w:space="0" w:color="auto"/>
            </w:tcBorders>
            <w:shd w:val="clear" w:color="auto" w:fill="auto"/>
            <w:vAlign w:val="center"/>
          </w:tcPr>
          <w:p w14:paraId="08311434"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51B29A73" w14:textId="77777777" w:rsidTr="003E69A5">
        <w:trPr>
          <w:trHeight w:val="414"/>
          <w:jc w:val="center"/>
        </w:trPr>
        <w:tc>
          <w:tcPr>
            <w:tcW w:w="1838" w:type="dxa"/>
            <w:tcBorders>
              <w:top w:val="single" w:sz="4" w:space="0" w:color="auto"/>
              <w:left w:val="single" w:sz="4" w:space="0" w:color="auto"/>
              <w:bottom w:val="single" w:sz="4" w:space="0" w:color="auto"/>
              <w:right w:val="single" w:sz="4" w:space="0" w:color="auto"/>
            </w:tcBorders>
            <w:shd w:val="clear" w:color="auto" w:fill="auto"/>
            <w:vAlign w:val="center"/>
          </w:tcPr>
          <w:p w14:paraId="140E907E" w14:textId="77777777" w:rsidR="003E69A5" w:rsidRPr="003F7F6C" w:rsidRDefault="003E69A5" w:rsidP="00D25E0D">
            <w:pPr>
              <w:spacing w:after="0"/>
              <w:jc w:val="center"/>
              <w:rPr>
                <w:rFonts w:eastAsia="Times New Roman" w:cs="Calibri"/>
                <w:color w:val="000000"/>
                <w:sz w:val="18"/>
                <w:szCs w:val="18"/>
                <w:lang w:eastAsia="es-ES"/>
              </w:rPr>
            </w:pPr>
          </w:p>
        </w:tc>
        <w:tc>
          <w:tcPr>
            <w:tcW w:w="4775" w:type="dxa"/>
            <w:tcBorders>
              <w:top w:val="nil"/>
              <w:left w:val="nil"/>
              <w:bottom w:val="single" w:sz="4" w:space="0" w:color="auto"/>
              <w:right w:val="single" w:sz="4" w:space="0" w:color="auto"/>
            </w:tcBorders>
            <w:shd w:val="clear" w:color="auto" w:fill="auto"/>
            <w:vAlign w:val="center"/>
          </w:tcPr>
          <w:p w14:paraId="0DC9FC08" w14:textId="77777777" w:rsidR="003E69A5" w:rsidRPr="003F7F6C" w:rsidRDefault="003E69A5" w:rsidP="00D25E0D">
            <w:pPr>
              <w:autoSpaceDE w:val="0"/>
              <w:autoSpaceDN w:val="0"/>
              <w:adjustRightInd w:val="0"/>
              <w:spacing w:after="0"/>
              <w:rPr>
                <w:rFonts w:cs="Calibri"/>
                <w:sz w:val="18"/>
                <w:szCs w:val="18"/>
              </w:rPr>
            </w:pPr>
          </w:p>
        </w:tc>
        <w:tc>
          <w:tcPr>
            <w:tcW w:w="753" w:type="dxa"/>
            <w:tcBorders>
              <w:top w:val="nil"/>
              <w:left w:val="nil"/>
              <w:bottom w:val="single" w:sz="4" w:space="0" w:color="auto"/>
              <w:right w:val="single" w:sz="4" w:space="0" w:color="auto"/>
            </w:tcBorders>
            <w:shd w:val="clear" w:color="auto" w:fill="auto"/>
            <w:vAlign w:val="center"/>
          </w:tcPr>
          <w:p w14:paraId="18D6729C" w14:textId="77777777" w:rsidR="003E69A5" w:rsidRPr="003F7F6C" w:rsidRDefault="003E69A5" w:rsidP="00D25E0D">
            <w:pPr>
              <w:spacing w:after="0"/>
              <w:jc w:val="center"/>
              <w:rPr>
                <w:rFonts w:eastAsia="Times New Roman" w:cs="Calibri"/>
                <w:color w:val="000000"/>
                <w:sz w:val="18"/>
                <w:szCs w:val="18"/>
                <w:lang w:eastAsia="es-ES"/>
              </w:rPr>
            </w:pPr>
          </w:p>
        </w:tc>
        <w:tc>
          <w:tcPr>
            <w:tcW w:w="709" w:type="dxa"/>
            <w:tcBorders>
              <w:top w:val="nil"/>
              <w:left w:val="nil"/>
              <w:bottom w:val="single" w:sz="4" w:space="0" w:color="auto"/>
              <w:right w:val="single" w:sz="4" w:space="0" w:color="auto"/>
            </w:tcBorders>
            <w:shd w:val="clear" w:color="auto" w:fill="auto"/>
            <w:vAlign w:val="center"/>
          </w:tcPr>
          <w:p w14:paraId="75F78AE2" w14:textId="3DE7F53A"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55</w:t>
            </w:r>
            <w:r w:rsidR="00FB6D2D" w:rsidRPr="003F7F6C">
              <w:rPr>
                <w:rFonts w:eastAsia="Times New Roman" w:cs="Calibri"/>
                <w:color w:val="000000"/>
                <w:sz w:val="18"/>
                <w:szCs w:val="18"/>
                <w:lang w:eastAsia="es-ES"/>
              </w:rPr>
              <w:t>.</w:t>
            </w:r>
            <w:r w:rsidRPr="003F7F6C">
              <w:rPr>
                <w:rFonts w:eastAsia="Times New Roman" w:cs="Calibri"/>
                <w:color w:val="000000"/>
                <w:sz w:val="18"/>
                <w:szCs w:val="18"/>
                <w:lang w:eastAsia="es-ES"/>
              </w:rPr>
              <w:t>5%</w:t>
            </w:r>
          </w:p>
        </w:tc>
        <w:tc>
          <w:tcPr>
            <w:tcW w:w="2410" w:type="dxa"/>
            <w:tcBorders>
              <w:top w:val="nil"/>
              <w:left w:val="nil"/>
              <w:bottom w:val="single" w:sz="4" w:space="0" w:color="auto"/>
              <w:right w:val="single" w:sz="4" w:space="0" w:color="auto"/>
            </w:tcBorders>
            <w:shd w:val="clear" w:color="auto" w:fill="auto"/>
            <w:vAlign w:val="center"/>
          </w:tcPr>
          <w:p w14:paraId="3497F37E" w14:textId="77777777" w:rsidR="003E69A5" w:rsidRPr="003F7F6C" w:rsidRDefault="003E69A5" w:rsidP="00D25E0D">
            <w:pPr>
              <w:spacing w:after="0"/>
              <w:rPr>
                <w:rFonts w:eastAsia="Times New Roman" w:cs="Calibri"/>
                <w:color w:val="000000"/>
                <w:sz w:val="18"/>
                <w:szCs w:val="18"/>
                <w:lang w:eastAsia="es-ES"/>
              </w:rPr>
            </w:pPr>
          </w:p>
        </w:tc>
        <w:tc>
          <w:tcPr>
            <w:tcW w:w="2871" w:type="dxa"/>
            <w:tcBorders>
              <w:top w:val="nil"/>
              <w:left w:val="nil"/>
              <w:bottom w:val="single" w:sz="4" w:space="0" w:color="auto"/>
              <w:right w:val="single" w:sz="4" w:space="0" w:color="auto"/>
            </w:tcBorders>
            <w:shd w:val="clear" w:color="auto" w:fill="auto"/>
            <w:vAlign w:val="center"/>
          </w:tcPr>
          <w:p w14:paraId="4464F81F" w14:textId="77777777" w:rsidR="003E69A5" w:rsidRPr="003F7F6C" w:rsidRDefault="003E69A5" w:rsidP="00D25E0D">
            <w:pPr>
              <w:spacing w:after="0"/>
              <w:rPr>
                <w:rFonts w:eastAsia="Times New Roman" w:cs="Calibri"/>
                <w:color w:val="000000"/>
                <w:sz w:val="18"/>
                <w:szCs w:val="18"/>
                <w:lang w:eastAsia="es-ES"/>
              </w:rPr>
            </w:pPr>
          </w:p>
        </w:tc>
        <w:tc>
          <w:tcPr>
            <w:tcW w:w="1084" w:type="dxa"/>
            <w:tcBorders>
              <w:top w:val="nil"/>
              <w:left w:val="nil"/>
              <w:bottom w:val="single" w:sz="4" w:space="0" w:color="auto"/>
              <w:right w:val="single" w:sz="4" w:space="0" w:color="auto"/>
            </w:tcBorders>
            <w:shd w:val="clear" w:color="auto" w:fill="auto"/>
            <w:vAlign w:val="center"/>
          </w:tcPr>
          <w:p w14:paraId="708FA4CF"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5505B415" w14:textId="77777777" w:rsidTr="00D25E0D">
        <w:trPr>
          <w:trHeight w:val="300"/>
          <w:jc w:val="center"/>
        </w:trPr>
        <w:tc>
          <w:tcPr>
            <w:tcW w:w="14440" w:type="dxa"/>
            <w:gridSpan w:val="7"/>
            <w:tcBorders>
              <w:top w:val="single" w:sz="4" w:space="0" w:color="auto"/>
              <w:left w:val="single" w:sz="4" w:space="0" w:color="auto"/>
              <w:bottom w:val="single" w:sz="4" w:space="0" w:color="auto"/>
              <w:right w:val="single" w:sz="4" w:space="0" w:color="auto"/>
            </w:tcBorders>
            <w:shd w:val="clear" w:color="000000" w:fill="D9D9D9"/>
            <w:vAlign w:val="center"/>
            <w:hideMark/>
          </w:tcPr>
          <w:p w14:paraId="4BDC145B"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 xml:space="preserve">CR 2: Capacities to Generate, Access and Use Information and Knowledge </w:t>
            </w:r>
          </w:p>
        </w:tc>
      </w:tr>
      <w:tr w:rsidR="003E69A5" w:rsidRPr="003F7F6C" w14:paraId="6A3C516B" w14:textId="77777777" w:rsidTr="003E69A5">
        <w:trPr>
          <w:trHeight w:val="515"/>
          <w:jc w:val="center"/>
        </w:trPr>
        <w:tc>
          <w:tcPr>
            <w:tcW w:w="183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6DA7F57"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cs="Calibri"/>
                <w:sz w:val="18"/>
                <w:szCs w:val="18"/>
              </w:rPr>
              <w:t>Indicator 4: Degree of environmental awareness of stakeholders</w:t>
            </w:r>
          </w:p>
        </w:tc>
        <w:tc>
          <w:tcPr>
            <w:tcW w:w="4775" w:type="dxa"/>
            <w:tcBorders>
              <w:top w:val="single" w:sz="4" w:space="0" w:color="auto"/>
              <w:left w:val="nil"/>
              <w:bottom w:val="single" w:sz="4" w:space="0" w:color="auto"/>
              <w:right w:val="single" w:sz="4" w:space="0" w:color="auto"/>
            </w:tcBorders>
            <w:shd w:val="clear" w:color="auto" w:fill="auto"/>
            <w:vAlign w:val="center"/>
            <w:hideMark/>
          </w:tcPr>
          <w:p w14:paraId="17541429"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Stakeholders are not aware about global</w:t>
            </w:r>
          </w:p>
          <w:p w14:paraId="0F961D6C"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environmental issues and their related possible</w:t>
            </w:r>
          </w:p>
          <w:p w14:paraId="0CF37860" w14:textId="77777777" w:rsidR="003E69A5" w:rsidRPr="003F7F6C" w:rsidRDefault="003E69A5" w:rsidP="00D25E0D">
            <w:pPr>
              <w:spacing w:after="0"/>
              <w:rPr>
                <w:rFonts w:eastAsia="Times New Roman" w:cs="Calibri"/>
                <w:color w:val="000000"/>
                <w:sz w:val="18"/>
                <w:szCs w:val="18"/>
                <w:lang w:eastAsia="es-ES"/>
              </w:rPr>
            </w:pPr>
            <w:r w:rsidRPr="003F7F6C">
              <w:rPr>
                <w:rFonts w:cs="Calibri"/>
                <w:sz w:val="18"/>
                <w:szCs w:val="18"/>
              </w:rPr>
              <w:t>solutions (MEAs)</w:t>
            </w:r>
          </w:p>
        </w:tc>
        <w:tc>
          <w:tcPr>
            <w:tcW w:w="753" w:type="dxa"/>
            <w:tcBorders>
              <w:top w:val="single" w:sz="4" w:space="0" w:color="auto"/>
              <w:left w:val="nil"/>
              <w:bottom w:val="single" w:sz="4" w:space="0" w:color="auto"/>
              <w:right w:val="single" w:sz="4" w:space="0" w:color="auto"/>
            </w:tcBorders>
            <w:shd w:val="clear" w:color="auto" w:fill="auto"/>
            <w:vAlign w:val="center"/>
            <w:hideMark/>
          </w:tcPr>
          <w:p w14:paraId="735DC0EE"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0</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6EBF644B"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14:paraId="3F777893"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871" w:type="dxa"/>
            <w:tcBorders>
              <w:top w:val="single" w:sz="4" w:space="0" w:color="auto"/>
              <w:left w:val="nil"/>
              <w:bottom w:val="single" w:sz="4" w:space="0" w:color="auto"/>
              <w:right w:val="single" w:sz="4" w:space="0" w:color="auto"/>
            </w:tcBorders>
            <w:shd w:val="clear" w:color="auto" w:fill="auto"/>
            <w:vAlign w:val="center"/>
            <w:hideMark/>
          </w:tcPr>
          <w:p w14:paraId="65596575"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084" w:type="dxa"/>
            <w:tcBorders>
              <w:top w:val="single" w:sz="4" w:space="0" w:color="auto"/>
              <w:left w:val="nil"/>
              <w:bottom w:val="single" w:sz="4" w:space="0" w:color="auto"/>
              <w:right w:val="single" w:sz="4" w:space="0" w:color="auto"/>
            </w:tcBorders>
            <w:shd w:val="clear" w:color="auto" w:fill="auto"/>
            <w:vAlign w:val="center"/>
            <w:hideMark/>
          </w:tcPr>
          <w:p w14:paraId="31963357"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3E4AF584" w14:textId="77777777" w:rsidTr="003E69A5">
        <w:trPr>
          <w:trHeight w:val="544"/>
          <w:jc w:val="center"/>
        </w:trPr>
        <w:tc>
          <w:tcPr>
            <w:tcW w:w="183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70C5448" w14:textId="77777777" w:rsidR="003E69A5" w:rsidRPr="003F7F6C" w:rsidRDefault="003E69A5" w:rsidP="00D25E0D">
            <w:pPr>
              <w:spacing w:after="0"/>
              <w:jc w:val="center"/>
              <w:rPr>
                <w:rFonts w:eastAsia="Times New Roman" w:cs="Calibri"/>
                <w:color w:val="000000"/>
                <w:sz w:val="18"/>
                <w:szCs w:val="18"/>
                <w:lang w:eastAsia="es-ES"/>
              </w:rPr>
            </w:pPr>
          </w:p>
        </w:tc>
        <w:tc>
          <w:tcPr>
            <w:tcW w:w="4775" w:type="dxa"/>
            <w:tcBorders>
              <w:top w:val="single" w:sz="4" w:space="0" w:color="auto"/>
              <w:left w:val="single" w:sz="4" w:space="0" w:color="auto"/>
              <w:bottom w:val="single" w:sz="4" w:space="0" w:color="auto"/>
              <w:right w:val="single" w:sz="4" w:space="0" w:color="auto"/>
            </w:tcBorders>
            <w:shd w:val="clear" w:color="auto" w:fill="auto"/>
            <w:vAlign w:val="center"/>
          </w:tcPr>
          <w:p w14:paraId="1F0A22E7"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Stakeholders are aware about global environmental issues but not about the possible solutions (MEAs)</w:t>
            </w:r>
          </w:p>
        </w:tc>
        <w:tc>
          <w:tcPr>
            <w:tcW w:w="753" w:type="dxa"/>
            <w:tcBorders>
              <w:top w:val="single" w:sz="4" w:space="0" w:color="auto"/>
              <w:left w:val="single" w:sz="4" w:space="0" w:color="auto"/>
              <w:bottom w:val="single" w:sz="4" w:space="0" w:color="auto"/>
              <w:right w:val="single" w:sz="4" w:space="0" w:color="auto"/>
            </w:tcBorders>
            <w:shd w:val="clear" w:color="auto" w:fill="auto"/>
            <w:vAlign w:val="center"/>
          </w:tcPr>
          <w:p w14:paraId="62E9BC1A" w14:textId="77777777" w:rsidR="003E69A5" w:rsidRPr="003F7F6C" w:rsidRDefault="003E69A5" w:rsidP="00D25E0D">
            <w:pPr>
              <w:spacing w:after="0"/>
              <w:jc w:val="center"/>
              <w:rPr>
                <w:rFonts w:cs="Calibri"/>
                <w:sz w:val="18"/>
                <w:szCs w:val="18"/>
              </w:rPr>
            </w:pPr>
            <w:r w:rsidRPr="003F7F6C">
              <w:rPr>
                <w:rFonts w:cs="Calibri"/>
                <w:sz w:val="18"/>
                <w:szCs w:val="18"/>
              </w:rPr>
              <w:t>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3BE21686" w14:textId="77777777" w:rsidR="003E69A5" w:rsidRPr="003F7F6C" w:rsidRDefault="003E69A5" w:rsidP="00D25E0D">
            <w:pPr>
              <w:spacing w:after="0"/>
              <w:jc w:val="center"/>
              <w:rPr>
                <w:rFonts w:cs="Calibri"/>
                <w:sz w:val="18"/>
                <w:szCs w:val="18"/>
              </w:rPr>
            </w:pPr>
            <w:r w:rsidRPr="003F7F6C">
              <w:rPr>
                <w:rFonts w:cs="Calibri"/>
                <w:sz w:val="18"/>
                <w:szCs w:val="18"/>
              </w:rPr>
              <w:t>1</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14:paraId="6B86EDCA" w14:textId="77777777" w:rsidR="003E69A5" w:rsidRPr="003F7F6C" w:rsidRDefault="003E69A5" w:rsidP="00D25E0D">
            <w:pPr>
              <w:spacing w:after="0"/>
              <w:rPr>
                <w:rFonts w:cs="Calibri"/>
                <w:sz w:val="18"/>
                <w:szCs w:val="18"/>
              </w:rPr>
            </w:pPr>
            <w:r w:rsidRPr="003F7F6C">
              <w:rPr>
                <w:rFonts w:cs="Calibri"/>
                <w:sz w:val="18"/>
                <w:szCs w:val="18"/>
              </w:rPr>
              <w:t>Provincial institutions (INTA, Ministry of Environment) work under an ELUP approach</w:t>
            </w:r>
          </w:p>
        </w:tc>
        <w:tc>
          <w:tcPr>
            <w:tcW w:w="2871" w:type="dxa"/>
            <w:tcBorders>
              <w:top w:val="single" w:sz="4" w:space="0" w:color="auto"/>
              <w:left w:val="single" w:sz="4" w:space="0" w:color="auto"/>
              <w:bottom w:val="single" w:sz="4" w:space="0" w:color="auto"/>
              <w:right w:val="single" w:sz="4" w:space="0" w:color="auto"/>
            </w:tcBorders>
            <w:shd w:val="clear" w:color="auto" w:fill="auto"/>
            <w:vAlign w:val="center"/>
          </w:tcPr>
          <w:p w14:paraId="325D59CA" w14:textId="77777777" w:rsidR="003E69A5" w:rsidRPr="003F7F6C" w:rsidRDefault="003E69A5" w:rsidP="00D25E0D">
            <w:pPr>
              <w:spacing w:after="0"/>
              <w:rPr>
                <w:rFonts w:cs="Calibri"/>
                <w:sz w:val="18"/>
                <w:szCs w:val="18"/>
              </w:rPr>
            </w:pPr>
            <w:r w:rsidRPr="003F7F6C">
              <w:rPr>
                <w:rFonts w:cs="Calibri"/>
                <w:sz w:val="18"/>
                <w:szCs w:val="18"/>
              </w:rPr>
              <w:t>Strengthening of knowledge and work approaches with other stakeholders</w:t>
            </w:r>
          </w:p>
        </w:tc>
        <w:tc>
          <w:tcPr>
            <w:tcW w:w="1084" w:type="dxa"/>
            <w:tcBorders>
              <w:top w:val="single" w:sz="4" w:space="0" w:color="auto"/>
              <w:left w:val="single" w:sz="4" w:space="0" w:color="auto"/>
              <w:bottom w:val="single" w:sz="4" w:space="0" w:color="auto"/>
              <w:right w:val="single" w:sz="4" w:space="0" w:color="auto"/>
            </w:tcBorders>
            <w:shd w:val="clear" w:color="auto" w:fill="auto"/>
            <w:vAlign w:val="center"/>
          </w:tcPr>
          <w:p w14:paraId="424A7A84"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2</w:t>
            </w:r>
          </w:p>
        </w:tc>
      </w:tr>
      <w:tr w:rsidR="003E69A5" w:rsidRPr="003F7F6C" w14:paraId="5FCD0471" w14:textId="77777777" w:rsidTr="003E69A5">
        <w:trPr>
          <w:trHeight w:val="70"/>
          <w:jc w:val="center"/>
        </w:trPr>
        <w:tc>
          <w:tcPr>
            <w:tcW w:w="183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CB9A171" w14:textId="77777777" w:rsidR="003E69A5" w:rsidRPr="003F7F6C" w:rsidRDefault="003E69A5" w:rsidP="00D25E0D">
            <w:pPr>
              <w:spacing w:after="0"/>
              <w:jc w:val="center"/>
              <w:rPr>
                <w:rFonts w:eastAsia="Times New Roman" w:cs="Calibri"/>
                <w:color w:val="000000"/>
                <w:sz w:val="18"/>
                <w:szCs w:val="18"/>
                <w:lang w:eastAsia="es-ES"/>
              </w:rPr>
            </w:pPr>
          </w:p>
        </w:tc>
        <w:tc>
          <w:tcPr>
            <w:tcW w:w="4775" w:type="dxa"/>
            <w:tcBorders>
              <w:top w:val="single" w:sz="4" w:space="0" w:color="auto"/>
              <w:left w:val="nil"/>
              <w:bottom w:val="single" w:sz="4" w:space="0" w:color="auto"/>
              <w:right w:val="single" w:sz="4" w:space="0" w:color="auto"/>
            </w:tcBorders>
            <w:shd w:val="clear" w:color="auto" w:fill="auto"/>
            <w:vAlign w:val="center"/>
          </w:tcPr>
          <w:p w14:paraId="587359BF"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cs="Calibri"/>
                <w:sz w:val="18"/>
                <w:szCs w:val="18"/>
              </w:rPr>
              <w:t>Stakeholders are aware about global environmental issues and the possible solutions but do not know how to participate</w:t>
            </w:r>
          </w:p>
        </w:tc>
        <w:tc>
          <w:tcPr>
            <w:tcW w:w="753" w:type="dxa"/>
            <w:tcBorders>
              <w:top w:val="single" w:sz="4" w:space="0" w:color="auto"/>
              <w:left w:val="nil"/>
              <w:bottom w:val="single" w:sz="4" w:space="0" w:color="auto"/>
              <w:right w:val="single" w:sz="4" w:space="0" w:color="auto"/>
            </w:tcBorders>
            <w:shd w:val="clear" w:color="auto" w:fill="auto"/>
            <w:vAlign w:val="center"/>
          </w:tcPr>
          <w:p w14:paraId="5C46CB3A"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2</w:t>
            </w:r>
          </w:p>
        </w:tc>
        <w:tc>
          <w:tcPr>
            <w:tcW w:w="709" w:type="dxa"/>
            <w:tcBorders>
              <w:top w:val="single" w:sz="4" w:space="0" w:color="auto"/>
              <w:left w:val="nil"/>
              <w:bottom w:val="single" w:sz="4" w:space="0" w:color="auto"/>
              <w:right w:val="single" w:sz="4" w:space="0" w:color="auto"/>
            </w:tcBorders>
            <w:shd w:val="clear" w:color="auto" w:fill="auto"/>
            <w:vAlign w:val="center"/>
          </w:tcPr>
          <w:p w14:paraId="22EF5DEB" w14:textId="77777777" w:rsidR="003E69A5" w:rsidRPr="003F7F6C" w:rsidRDefault="003E69A5" w:rsidP="00D25E0D">
            <w:pPr>
              <w:spacing w:after="0"/>
              <w:rPr>
                <w:rFonts w:eastAsia="Times New Roman" w:cs="Calibri"/>
                <w:color w:val="000000"/>
                <w:sz w:val="18"/>
                <w:szCs w:val="18"/>
                <w:lang w:eastAsia="es-ES"/>
              </w:rPr>
            </w:pPr>
          </w:p>
        </w:tc>
        <w:tc>
          <w:tcPr>
            <w:tcW w:w="2410" w:type="dxa"/>
            <w:tcBorders>
              <w:top w:val="single" w:sz="4" w:space="0" w:color="auto"/>
              <w:left w:val="nil"/>
              <w:bottom w:val="single" w:sz="4" w:space="0" w:color="auto"/>
              <w:right w:val="single" w:sz="4" w:space="0" w:color="auto"/>
            </w:tcBorders>
            <w:shd w:val="clear" w:color="auto" w:fill="auto"/>
            <w:vAlign w:val="center"/>
          </w:tcPr>
          <w:p w14:paraId="53F2BEC9" w14:textId="77777777" w:rsidR="003E69A5" w:rsidRPr="003F7F6C" w:rsidRDefault="003E69A5" w:rsidP="00D25E0D">
            <w:pPr>
              <w:spacing w:after="0"/>
              <w:rPr>
                <w:rFonts w:eastAsia="Times New Roman" w:cs="Calibri"/>
                <w:color w:val="000000"/>
                <w:sz w:val="18"/>
                <w:szCs w:val="18"/>
                <w:lang w:eastAsia="es-ES"/>
              </w:rPr>
            </w:pPr>
          </w:p>
        </w:tc>
        <w:tc>
          <w:tcPr>
            <w:tcW w:w="2871" w:type="dxa"/>
            <w:tcBorders>
              <w:top w:val="single" w:sz="4" w:space="0" w:color="auto"/>
              <w:left w:val="nil"/>
              <w:bottom w:val="single" w:sz="4" w:space="0" w:color="auto"/>
              <w:right w:val="single" w:sz="4" w:space="0" w:color="auto"/>
            </w:tcBorders>
            <w:shd w:val="clear" w:color="auto" w:fill="auto"/>
            <w:vAlign w:val="center"/>
          </w:tcPr>
          <w:p w14:paraId="228E0AA0" w14:textId="77777777" w:rsidR="003E69A5" w:rsidRPr="003F7F6C" w:rsidRDefault="003E69A5" w:rsidP="00D25E0D">
            <w:pPr>
              <w:spacing w:after="0"/>
              <w:rPr>
                <w:rFonts w:eastAsia="Times New Roman" w:cs="Calibri"/>
                <w:color w:val="000000"/>
                <w:sz w:val="18"/>
                <w:szCs w:val="18"/>
                <w:lang w:eastAsia="es-ES"/>
              </w:rPr>
            </w:pPr>
          </w:p>
        </w:tc>
        <w:tc>
          <w:tcPr>
            <w:tcW w:w="1084" w:type="dxa"/>
            <w:tcBorders>
              <w:top w:val="single" w:sz="4" w:space="0" w:color="auto"/>
              <w:left w:val="nil"/>
              <w:bottom w:val="single" w:sz="4" w:space="0" w:color="auto"/>
              <w:right w:val="single" w:sz="4" w:space="0" w:color="auto"/>
            </w:tcBorders>
            <w:shd w:val="clear" w:color="auto" w:fill="auto"/>
            <w:vAlign w:val="center"/>
          </w:tcPr>
          <w:p w14:paraId="3E3A5B4A"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798A1467" w14:textId="77777777" w:rsidTr="003E69A5">
        <w:trPr>
          <w:trHeight w:val="57"/>
          <w:jc w:val="center"/>
        </w:trPr>
        <w:tc>
          <w:tcPr>
            <w:tcW w:w="183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73045BB" w14:textId="77777777" w:rsidR="003E69A5" w:rsidRPr="003F7F6C" w:rsidRDefault="003E69A5" w:rsidP="00D25E0D">
            <w:pPr>
              <w:spacing w:after="0"/>
              <w:jc w:val="center"/>
              <w:rPr>
                <w:rFonts w:eastAsia="Times New Roman" w:cs="Calibri"/>
                <w:color w:val="000000"/>
                <w:sz w:val="18"/>
                <w:szCs w:val="18"/>
                <w:lang w:eastAsia="es-ES"/>
              </w:rPr>
            </w:pPr>
          </w:p>
        </w:tc>
        <w:tc>
          <w:tcPr>
            <w:tcW w:w="4775" w:type="dxa"/>
            <w:tcBorders>
              <w:top w:val="single" w:sz="4" w:space="0" w:color="auto"/>
              <w:left w:val="nil"/>
              <w:bottom w:val="single" w:sz="4" w:space="0" w:color="auto"/>
              <w:right w:val="single" w:sz="4" w:space="0" w:color="auto"/>
            </w:tcBorders>
            <w:shd w:val="clear" w:color="auto" w:fill="auto"/>
            <w:vAlign w:val="center"/>
          </w:tcPr>
          <w:p w14:paraId="71EFF93D"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Stakeholders are aware about global environmental issues and are actively participating in the implementation of related solutions</w:t>
            </w:r>
          </w:p>
        </w:tc>
        <w:tc>
          <w:tcPr>
            <w:tcW w:w="753" w:type="dxa"/>
            <w:tcBorders>
              <w:top w:val="single" w:sz="4" w:space="0" w:color="auto"/>
              <w:left w:val="nil"/>
              <w:bottom w:val="single" w:sz="4" w:space="0" w:color="auto"/>
              <w:right w:val="single" w:sz="4" w:space="0" w:color="auto"/>
            </w:tcBorders>
            <w:shd w:val="clear" w:color="auto" w:fill="auto"/>
            <w:vAlign w:val="center"/>
          </w:tcPr>
          <w:p w14:paraId="1E397EFD"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3</w:t>
            </w:r>
          </w:p>
        </w:tc>
        <w:tc>
          <w:tcPr>
            <w:tcW w:w="709" w:type="dxa"/>
            <w:tcBorders>
              <w:top w:val="single" w:sz="4" w:space="0" w:color="auto"/>
              <w:left w:val="nil"/>
              <w:bottom w:val="single" w:sz="4" w:space="0" w:color="auto"/>
              <w:right w:val="single" w:sz="4" w:space="0" w:color="auto"/>
            </w:tcBorders>
            <w:shd w:val="clear" w:color="auto" w:fill="auto"/>
            <w:vAlign w:val="center"/>
          </w:tcPr>
          <w:p w14:paraId="1EC9840F" w14:textId="77777777" w:rsidR="003E69A5" w:rsidRPr="003F7F6C" w:rsidRDefault="003E69A5" w:rsidP="00D25E0D">
            <w:pPr>
              <w:spacing w:after="0"/>
              <w:rPr>
                <w:rFonts w:eastAsia="Times New Roman" w:cs="Calibri"/>
                <w:color w:val="000000"/>
                <w:sz w:val="18"/>
                <w:szCs w:val="18"/>
                <w:lang w:eastAsia="es-ES"/>
              </w:rPr>
            </w:pPr>
          </w:p>
        </w:tc>
        <w:tc>
          <w:tcPr>
            <w:tcW w:w="2410" w:type="dxa"/>
            <w:tcBorders>
              <w:top w:val="single" w:sz="4" w:space="0" w:color="auto"/>
              <w:left w:val="nil"/>
              <w:bottom w:val="single" w:sz="4" w:space="0" w:color="auto"/>
              <w:right w:val="single" w:sz="4" w:space="0" w:color="auto"/>
            </w:tcBorders>
            <w:shd w:val="clear" w:color="auto" w:fill="auto"/>
            <w:vAlign w:val="center"/>
          </w:tcPr>
          <w:p w14:paraId="33DBE640" w14:textId="77777777" w:rsidR="003E69A5" w:rsidRPr="003F7F6C" w:rsidRDefault="003E69A5" w:rsidP="00D25E0D">
            <w:pPr>
              <w:spacing w:after="0"/>
              <w:rPr>
                <w:rFonts w:eastAsia="Times New Roman" w:cs="Calibri"/>
                <w:color w:val="000000"/>
                <w:sz w:val="18"/>
                <w:szCs w:val="18"/>
                <w:lang w:eastAsia="es-ES"/>
              </w:rPr>
            </w:pPr>
          </w:p>
        </w:tc>
        <w:tc>
          <w:tcPr>
            <w:tcW w:w="2871" w:type="dxa"/>
            <w:tcBorders>
              <w:top w:val="single" w:sz="4" w:space="0" w:color="auto"/>
              <w:left w:val="nil"/>
              <w:bottom w:val="single" w:sz="4" w:space="0" w:color="auto"/>
              <w:right w:val="single" w:sz="4" w:space="0" w:color="auto"/>
            </w:tcBorders>
            <w:shd w:val="clear" w:color="auto" w:fill="auto"/>
            <w:vAlign w:val="center"/>
          </w:tcPr>
          <w:p w14:paraId="161D04F0" w14:textId="77777777" w:rsidR="003E69A5" w:rsidRPr="003F7F6C" w:rsidRDefault="003E69A5" w:rsidP="00D25E0D">
            <w:pPr>
              <w:spacing w:after="0"/>
              <w:rPr>
                <w:rFonts w:eastAsia="Times New Roman" w:cs="Calibri"/>
                <w:color w:val="000000"/>
                <w:sz w:val="18"/>
                <w:szCs w:val="18"/>
                <w:lang w:eastAsia="es-ES"/>
              </w:rPr>
            </w:pPr>
          </w:p>
        </w:tc>
        <w:tc>
          <w:tcPr>
            <w:tcW w:w="1084" w:type="dxa"/>
            <w:tcBorders>
              <w:top w:val="single" w:sz="4" w:space="0" w:color="auto"/>
              <w:left w:val="nil"/>
              <w:bottom w:val="single" w:sz="4" w:space="0" w:color="auto"/>
              <w:right w:val="single" w:sz="4" w:space="0" w:color="auto"/>
            </w:tcBorders>
            <w:shd w:val="clear" w:color="auto" w:fill="auto"/>
            <w:vAlign w:val="center"/>
          </w:tcPr>
          <w:p w14:paraId="72531CF0"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67886434" w14:textId="77777777" w:rsidTr="003E69A5">
        <w:trPr>
          <w:trHeight w:val="300"/>
          <w:jc w:val="center"/>
        </w:trPr>
        <w:tc>
          <w:tcPr>
            <w:tcW w:w="183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13D9EF1"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cs="Calibri"/>
                <w:sz w:val="18"/>
                <w:szCs w:val="18"/>
              </w:rPr>
              <w:t>Indicator 5: Access and sharing of environmental information by stakeholders</w:t>
            </w:r>
          </w:p>
        </w:tc>
        <w:tc>
          <w:tcPr>
            <w:tcW w:w="47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4075033"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The environmental information needs are not</w:t>
            </w:r>
          </w:p>
          <w:p w14:paraId="579CADC3"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identified and the information management</w:t>
            </w:r>
          </w:p>
          <w:p w14:paraId="30C2E7C9" w14:textId="77777777" w:rsidR="003E69A5" w:rsidRPr="003F7F6C" w:rsidRDefault="003E69A5" w:rsidP="00D25E0D">
            <w:pPr>
              <w:spacing w:after="0"/>
              <w:rPr>
                <w:rFonts w:eastAsia="Times New Roman" w:cs="Calibri"/>
                <w:color w:val="000000"/>
                <w:sz w:val="18"/>
                <w:szCs w:val="18"/>
                <w:lang w:eastAsia="es-ES"/>
              </w:rPr>
            </w:pPr>
            <w:r w:rsidRPr="003F7F6C">
              <w:rPr>
                <w:rFonts w:cs="Calibri"/>
                <w:sz w:val="18"/>
                <w:szCs w:val="18"/>
              </w:rPr>
              <w:t>infrastructure is inadequate</w:t>
            </w:r>
          </w:p>
        </w:tc>
        <w:tc>
          <w:tcPr>
            <w:tcW w:w="75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42CA9C"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0</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638C2D"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F057B74"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8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5DFA91"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0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6255F4"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5D5B810B" w14:textId="77777777" w:rsidTr="003E69A5">
        <w:trPr>
          <w:trHeight w:val="300"/>
          <w:jc w:val="center"/>
        </w:trPr>
        <w:tc>
          <w:tcPr>
            <w:tcW w:w="1838" w:type="dxa"/>
            <w:vMerge/>
            <w:tcBorders>
              <w:top w:val="single" w:sz="4" w:space="0" w:color="auto"/>
              <w:left w:val="single" w:sz="4" w:space="0" w:color="auto"/>
              <w:bottom w:val="single" w:sz="4" w:space="0" w:color="auto"/>
              <w:right w:val="single" w:sz="4" w:space="0" w:color="auto"/>
            </w:tcBorders>
            <w:vAlign w:val="center"/>
            <w:hideMark/>
          </w:tcPr>
          <w:p w14:paraId="767914AD" w14:textId="77777777" w:rsidR="003E69A5" w:rsidRPr="003F7F6C" w:rsidRDefault="003E69A5" w:rsidP="00D25E0D">
            <w:pPr>
              <w:spacing w:after="0"/>
              <w:rPr>
                <w:rFonts w:eastAsia="Times New Roman" w:cs="Calibri"/>
                <w:color w:val="000000"/>
                <w:sz w:val="18"/>
                <w:szCs w:val="18"/>
                <w:lang w:eastAsia="es-ES"/>
              </w:rPr>
            </w:pPr>
          </w:p>
        </w:tc>
        <w:tc>
          <w:tcPr>
            <w:tcW w:w="4775" w:type="dxa"/>
            <w:tcBorders>
              <w:top w:val="single" w:sz="4" w:space="0" w:color="auto"/>
              <w:left w:val="nil"/>
              <w:bottom w:val="single" w:sz="4" w:space="0" w:color="auto"/>
              <w:right w:val="single" w:sz="4" w:space="0" w:color="auto"/>
            </w:tcBorders>
            <w:shd w:val="clear" w:color="auto" w:fill="auto"/>
            <w:vAlign w:val="center"/>
            <w:hideMark/>
          </w:tcPr>
          <w:p w14:paraId="1E1B1F5F"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The environmental information needs are identified but the information management infrastructure is inadequate</w:t>
            </w:r>
          </w:p>
        </w:tc>
        <w:tc>
          <w:tcPr>
            <w:tcW w:w="753" w:type="dxa"/>
            <w:tcBorders>
              <w:top w:val="single" w:sz="4" w:space="0" w:color="auto"/>
              <w:left w:val="nil"/>
              <w:bottom w:val="single" w:sz="4" w:space="0" w:color="auto"/>
              <w:right w:val="single" w:sz="4" w:space="0" w:color="auto"/>
            </w:tcBorders>
            <w:shd w:val="clear" w:color="auto" w:fill="auto"/>
            <w:vAlign w:val="center"/>
            <w:hideMark/>
          </w:tcPr>
          <w:p w14:paraId="118F2FFE"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1</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3D30EAC1"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14:paraId="18AAD2E5"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p>
        </w:tc>
        <w:tc>
          <w:tcPr>
            <w:tcW w:w="2871" w:type="dxa"/>
            <w:tcBorders>
              <w:top w:val="single" w:sz="4" w:space="0" w:color="auto"/>
              <w:left w:val="nil"/>
              <w:bottom w:val="single" w:sz="4" w:space="0" w:color="auto"/>
              <w:right w:val="single" w:sz="4" w:space="0" w:color="auto"/>
            </w:tcBorders>
            <w:shd w:val="clear" w:color="auto" w:fill="auto"/>
            <w:vAlign w:val="center"/>
            <w:hideMark/>
          </w:tcPr>
          <w:p w14:paraId="6C695A6E"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084" w:type="dxa"/>
            <w:tcBorders>
              <w:top w:val="single" w:sz="4" w:space="0" w:color="auto"/>
              <w:left w:val="nil"/>
              <w:bottom w:val="single" w:sz="4" w:space="0" w:color="auto"/>
              <w:right w:val="single" w:sz="4" w:space="0" w:color="auto"/>
            </w:tcBorders>
            <w:shd w:val="clear" w:color="auto" w:fill="auto"/>
            <w:vAlign w:val="center"/>
            <w:hideMark/>
          </w:tcPr>
          <w:p w14:paraId="20BF137E"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3B702FAB" w14:textId="77777777" w:rsidTr="003E69A5">
        <w:trPr>
          <w:trHeight w:val="300"/>
          <w:jc w:val="center"/>
        </w:trPr>
        <w:tc>
          <w:tcPr>
            <w:tcW w:w="1838" w:type="dxa"/>
            <w:vMerge/>
            <w:tcBorders>
              <w:top w:val="nil"/>
              <w:left w:val="single" w:sz="4" w:space="0" w:color="auto"/>
              <w:bottom w:val="single" w:sz="4" w:space="0" w:color="auto"/>
              <w:right w:val="single" w:sz="4" w:space="0" w:color="auto"/>
            </w:tcBorders>
            <w:vAlign w:val="center"/>
            <w:hideMark/>
          </w:tcPr>
          <w:p w14:paraId="1A726CA6" w14:textId="77777777" w:rsidR="003E69A5" w:rsidRPr="003F7F6C" w:rsidRDefault="003E69A5" w:rsidP="00D25E0D">
            <w:pPr>
              <w:spacing w:after="0"/>
              <w:rPr>
                <w:rFonts w:eastAsia="Times New Roman" w:cs="Calibri"/>
                <w:color w:val="000000"/>
                <w:sz w:val="18"/>
                <w:szCs w:val="18"/>
                <w:lang w:eastAsia="es-ES"/>
              </w:rPr>
            </w:pPr>
          </w:p>
        </w:tc>
        <w:tc>
          <w:tcPr>
            <w:tcW w:w="4775" w:type="dxa"/>
            <w:tcBorders>
              <w:top w:val="nil"/>
              <w:left w:val="nil"/>
              <w:bottom w:val="single" w:sz="4" w:space="0" w:color="auto"/>
              <w:right w:val="single" w:sz="4" w:space="0" w:color="auto"/>
            </w:tcBorders>
            <w:shd w:val="clear" w:color="auto" w:fill="auto"/>
            <w:vAlign w:val="center"/>
            <w:hideMark/>
          </w:tcPr>
          <w:p w14:paraId="32BED421"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 The environmental information is partially available and shared among stakeholders but is not covering all focal areas and/or the information management infrastructure to manage and give information access to the public is limited</w:t>
            </w:r>
          </w:p>
        </w:tc>
        <w:tc>
          <w:tcPr>
            <w:tcW w:w="753" w:type="dxa"/>
            <w:tcBorders>
              <w:top w:val="nil"/>
              <w:left w:val="nil"/>
              <w:bottom w:val="single" w:sz="4" w:space="0" w:color="auto"/>
              <w:right w:val="single" w:sz="4" w:space="0" w:color="auto"/>
            </w:tcBorders>
            <w:shd w:val="clear" w:color="auto" w:fill="auto"/>
            <w:vAlign w:val="center"/>
            <w:hideMark/>
          </w:tcPr>
          <w:p w14:paraId="5DDCB5D3" w14:textId="77777777" w:rsidR="003E69A5" w:rsidRPr="003F7F6C" w:rsidRDefault="003E69A5" w:rsidP="00D25E0D">
            <w:pPr>
              <w:spacing w:after="0"/>
              <w:jc w:val="center"/>
              <w:rPr>
                <w:rFonts w:cs="Calibri"/>
                <w:sz w:val="18"/>
                <w:szCs w:val="18"/>
              </w:rPr>
            </w:pPr>
            <w:r w:rsidRPr="003F7F6C">
              <w:rPr>
                <w:rFonts w:cs="Calibri"/>
                <w:sz w:val="18"/>
                <w:szCs w:val="18"/>
              </w:rPr>
              <w:t>2</w:t>
            </w:r>
          </w:p>
        </w:tc>
        <w:tc>
          <w:tcPr>
            <w:tcW w:w="709" w:type="dxa"/>
            <w:tcBorders>
              <w:top w:val="nil"/>
              <w:left w:val="nil"/>
              <w:bottom w:val="single" w:sz="4" w:space="0" w:color="auto"/>
              <w:right w:val="single" w:sz="4" w:space="0" w:color="auto"/>
            </w:tcBorders>
            <w:shd w:val="clear" w:color="auto" w:fill="auto"/>
            <w:vAlign w:val="center"/>
            <w:hideMark/>
          </w:tcPr>
          <w:p w14:paraId="7738568F" w14:textId="77777777" w:rsidR="003E69A5" w:rsidRPr="003F7F6C" w:rsidRDefault="003E69A5" w:rsidP="00D25E0D">
            <w:pPr>
              <w:spacing w:after="0"/>
              <w:rPr>
                <w:rFonts w:cs="Calibri"/>
                <w:sz w:val="18"/>
                <w:szCs w:val="18"/>
              </w:rPr>
            </w:pPr>
            <w:r w:rsidRPr="003F7F6C">
              <w:rPr>
                <w:rFonts w:cs="Calibri"/>
                <w:sz w:val="18"/>
                <w:szCs w:val="18"/>
              </w:rPr>
              <w:t> 2</w:t>
            </w:r>
          </w:p>
        </w:tc>
        <w:tc>
          <w:tcPr>
            <w:tcW w:w="2410" w:type="dxa"/>
            <w:tcBorders>
              <w:top w:val="nil"/>
              <w:left w:val="nil"/>
              <w:bottom w:val="single" w:sz="4" w:space="0" w:color="auto"/>
              <w:right w:val="single" w:sz="4" w:space="0" w:color="auto"/>
            </w:tcBorders>
            <w:shd w:val="clear" w:color="auto" w:fill="auto"/>
            <w:vAlign w:val="center"/>
            <w:hideMark/>
          </w:tcPr>
          <w:p w14:paraId="475DB644"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There is information available; need to generate more information</w:t>
            </w:r>
          </w:p>
        </w:tc>
        <w:tc>
          <w:tcPr>
            <w:tcW w:w="2871" w:type="dxa"/>
            <w:tcBorders>
              <w:top w:val="nil"/>
              <w:left w:val="nil"/>
              <w:bottom w:val="single" w:sz="4" w:space="0" w:color="auto"/>
              <w:right w:val="single" w:sz="4" w:space="0" w:color="auto"/>
            </w:tcBorders>
            <w:shd w:val="clear" w:color="auto" w:fill="auto"/>
            <w:vAlign w:val="center"/>
            <w:hideMark/>
          </w:tcPr>
          <w:p w14:paraId="71263487" w14:textId="77777777" w:rsidR="003E69A5" w:rsidRPr="003F7F6C" w:rsidRDefault="003E69A5" w:rsidP="00D25E0D">
            <w:pPr>
              <w:autoSpaceDE w:val="0"/>
              <w:autoSpaceDN w:val="0"/>
              <w:adjustRightInd w:val="0"/>
              <w:spacing w:after="0"/>
              <w:rPr>
                <w:rFonts w:cs="Calibri"/>
                <w:sz w:val="18"/>
                <w:szCs w:val="18"/>
              </w:rPr>
            </w:pPr>
          </w:p>
        </w:tc>
        <w:tc>
          <w:tcPr>
            <w:tcW w:w="1084" w:type="dxa"/>
            <w:tcBorders>
              <w:top w:val="nil"/>
              <w:left w:val="nil"/>
              <w:bottom w:val="single" w:sz="4" w:space="0" w:color="auto"/>
              <w:right w:val="single" w:sz="4" w:space="0" w:color="auto"/>
            </w:tcBorders>
            <w:shd w:val="clear" w:color="auto" w:fill="auto"/>
            <w:vAlign w:val="center"/>
            <w:hideMark/>
          </w:tcPr>
          <w:p w14:paraId="61BA1979"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r>
      <w:tr w:rsidR="003E69A5" w:rsidRPr="003F7F6C" w14:paraId="1F97260C" w14:textId="77777777" w:rsidTr="003E69A5">
        <w:trPr>
          <w:trHeight w:val="300"/>
          <w:jc w:val="center"/>
        </w:trPr>
        <w:tc>
          <w:tcPr>
            <w:tcW w:w="1838" w:type="dxa"/>
            <w:vMerge/>
            <w:tcBorders>
              <w:top w:val="nil"/>
              <w:left w:val="single" w:sz="4" w:space="0" w:color="auto"/>
              <w:bottom w:val="single" w:sz="4" w:space="0" w:color="auto"/>
              <w:right w:val="single" w:sz="4" w:space="0" w:color="auto"/>
            </w:tcBorders>
            <w:vAlign w:val="center"/>
            <w:hideMark/>
          </w:tcPr>
          <w:p w14:paraId="59E17E7F" w14:textId="77777777" w:rsidR="003E69A5" w:rsidRPr="003F7F6C" w:rsidRDefault="003E69A5" w:rsidP="00D25E0D">
            <w:pPr>
              <w:spacing w:after="0"/>
              <w:rPr>
                <w:rFonts w:eastAsia="Times New Roman" w:cs="Calibri"/>
                <w:color w:val="000000"/>
                <w:sz w:val="18"/>
                <w:szCs w:val="18"/>
                <w:lang w:eastAsia="es-ES"/>
              </w:rPr>
            </w:pPr>
          </w:p>
        </w:tc>
        <w:tc>
          <w:tcPr>
            <w:tcW w:w="4775" w:type="dxa"/>
            <w:tcBorders>
              <w:top w:val="nil"/>
              <w:left w:val="nil"/>
              <w:bottom w:val="single" w:sz="4" w:space="0" w:color="auto"/>
              <w:right w:val="single" w:sz="4" w:space="0" w:color="auto"/>
            </w:tcBorders>
            <w:shd w:val="clear" w:color="auto" w:fill="auto"/>
            <w:vAlign w:val="center"/>
            <w:hideMark/>
          </w:tcPr>
          <w:p w14:paraId="3ABEC400"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Comprehensive environmental information is</w:t>
            </w:r>
          </w:p>
          <w:p w14:paraId="43720320"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cs="Calibri"/>
                <w:sz w:val="18"/>
                <w:szCs w:val="18"/>
              </w:rPr>
              <w:t>available and shared through an adequate information management infrastructure</w:t>
            </w:r>
          </w:p>
        </w:tc>
        <w:tc>
          <w:tcPr>
            <w:tcW w:w="753" w:type="dxa"/>
            <w:tcBorders>
              <w:top w:val="nil"/>
              <w:left w:val="nil"/>
              <w:bottom w:val="single" w:sz="4" w:space="0" w:color="auto"/>
              <w:right w:val="single" w:sz="4" w:space="0" w:color="auto"/>
            </w:tcBorders>
            <w:shd w:val="clear" w:color="auto" w:fill="auto"/>
            <w:vAlign w:val="center"/>
            <w:hideMark/>
          </w:tcPr>
          <w:p w14:paraId="07EEB546"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3</w:t>
            </w:r>
          </w:p>
        </w:tc>
        <w:tc>
          <w:tcPr>
            <w:tcW w:w="709" w:type="dxa"/>
            <w:tcBorders>
              <w:top w:val="nil"/>
              <w:left w:val="nil"/>
              <w:bottom w:val="single" w:sz="4" w:space="0" w:color="auto"/>
              <w:right w:val="single" w:sz="4" w:space="0" w:color="auto"/>
            </w:tcBorders>
            <w:shd w:val="clear" w:color="auto" w:fill="auto"/>
            <w:vAlign w:val="center"/>
            <w:hideMark/>
          </w:tcPr>
          <w:p w14:paraId="6BACFF51"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410" w:type="dxa"/>
            <w:tcBorders>
              <w:top w:val="nil"/>
              <w:left w:val="nil"/>
              <w:bottom w:val="single" w:sz="4" w:space="0" w:color="auto"/>
              <w:right w:val="single" w:sz="4" w:space="0" w:color="auto"/>
            </w:tcBorders>
            <w:shd w:val="clear" w:color="auto" w:fill="auto"/>
            <w:vAlign w:val="center"/>
            <w:hideMark/>
          </w:tcPr>
          <w:p w14:paraId="66CBABCD"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 </w:t>
            </w:r>
          </w:p>
        </w:tc>
        <w:tc>
          <w:tcPr>
            <w:tcW w:w="2871" w:type="dxa"/>
            <w:tcBorders>
              <w:top w:val="nil"/>
              <w:left w:val="nil"/>
              <w:bottom w:val="single" w:sz="4" w:space="0" w:color="auto"/>
              <w:right w:val="single" w:sz="4" w:space="0" w:color="auto"/>
            </w:tcBorders>
            <w:shd w:val="clear" w:color="auto" w:fill="auto"/>
            <w:vAlign w:val="center"/>
            <w:hideMark/>
          </w:tcPr>
          <w:p w14:paraId="2E8ACE89"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 </w:t>
            </w:r>
          </w:p>
        </w:tc>
        <w:tc>
          <w:tcPr>
            <w:tcW w:w="1084" w:type="dxa"/>
            <w:tcBorders>
              <w:top w:val="nil"/>
              <w:left w:val="nil"/>
              <w:bottom w:val="single" w:sz="4" w:space="0" w:color="auto"/>
              <w:right w:val="single" w:sz="4" w:space="0" w:color="auto"/>
            </w:tcBorders>
            <w:shd w:val="clear" w:color="auto" w:fill="auto"/>
            <w:vAlign w:val="center"/>
            <w:hideMark/>
          </w:tcPr>
          <w:p w14:paraId="1E22294D"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4CDADD3F" w14:textId="77777777" w:rsidTr="003E69A5">
        <w:trPr>
          <w:trHeight w:val="300"/>
          <w:jc w:val="center"/>
        </w:trPr>
        <w:tc>
          <w:tcPr>
            <w:tcW w:w="1838" w:type="dxa"/>
            <w:vMerge w:val="restart"/>
            <w:tcBorders>
              <w:top w:val="nil"/>
              <w:left w:val="single" w:sz="4" w:space="0" w:color="auto"/>
              <w:bottom w:val="single" w:sz="4" w:space="0" w:color="auto"/>
              <w:right w:val="single" w:sz="4" w:space="0" w:color="auto"/>
            </w:tcBorders>
            <w:shd w:val="clear" w:color="auto" w:fill="auto"/>
            <w:vAlign w:val="center"/>
            <w:hideMark/>
          </w:tcPr>
          <w:p w14:paraId="049B613F"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Indicator 6: Existence of environmental education programmes</w:t>
            </w:r>
          </w:p>
        </w:tc>
        <w:tc>
          <w:tcPr>
            <w:tcW w:w="4775" w:type="dxa"/>
            <w:tcBorders>
              <w:top w:val="nil"/>
              <w:left w:val="nil"/>
              <w:bottom w:val="single" w:sz="4" w:space="0" w:color="auto"/>
              <w:right w:val="single" w:sz="4" w:space="0" w:color="auto"/>
            </w:tcBorders>
            <w:shd w:val="clear" w:color="auto" w:fill="auto"/>
            <w:vAlign w:val="center"/>
            <w:hideMark/>
          </w:tcPr>
          <w:p w14:paraId="57EE5AEB"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 No environmental education programmes are in place</w:t>
            </w:r>
          </w:p>
        </w:tc>
        <w:tc>
          <w:tcPr>
            <w:tcW w:w="753" w:type="dxa"/>
            <w:tcBorders>
              <w:top w:val="nil"/>
              <w:left w:val="nil"/>
              <w:bottom w:val="single" w:sz="4" w:space="0" w:color="auto"/>
              <w:right w:val="single" w:sz="4" w:space="0" w:color="auto"/>
            </w:tcBorders>
            <w:shd w:val="clear" w:color="auto" w:fill="auto"/>
            <w:vAlign w:val="center"/>
            <w:hideMark/>
          </w:tcPr>
          <w:p w14:paraId="6E22C994"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0</w:t>
            </w:r>
          </w:p>
        </w:tc>
        <w:tc>
          <w:tcPr>
            <w:tcW w:w="709" w:type="dxa"/>
            <w:tcBorders>
              <w:top w:val="nil"/>
              <w:left w:val="nil"/>
              <w:bottom w:val="single" w:sz="4" w:space="0" w:color="auto"/>
              <w:right w:val="single" w:sz="4" w:space="0" w:color="auto"/>
            </w:tcBorders>
            <w:shd w:val="clear" w:color="auto" w:fill="auto"/>
            <w:vAlign w:val="center"/>
            <w:hideMark/>
          </w:tcPr>
          <w:p w14:paraId="479C154C"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410" w:type="dxa"/>
            <w:tcBorders>
              <w:top w:val="nil"/>
              <w:left w:val="nil"/>
              <w:bottom w:val="single" w:sz="4" w:space="0" w:color="auto"/>
              <w:right w:val="single" w:sz="4" w:space="0" w:color="auto"/>
            </w:tcBorders>
            <w:shd w:val="clear" w:color="auto" w:fill="auto"/>
            <w:vAlign w:val="center"/>
            <w:hideMark/>
          </w:tcPr>
          <w:p w14:paraId="49E9D90E"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 </w:t>
            </w:r>
          </w:p>
        </w:tc>
        <w:tc>
          <w:tcPr>
            <w:tcW w:w="2871" w:type="dxa"/>
            <w:tcBorders>
              <w:top w:val="nil"/>
              <w:left w:val="nil"/>
              <w:bottom w:val="single" w:sz="4" w:space="0" w:color="auto"/>
              <w:right w:val="single" w:sz="4" w:space="0" w:color="auto"/>
            </w:tcBorders>
            <w:shd w:val="clear" w:color="auto" w:fill="auto"/>
            <w:vAlign w:val="center"/>
            <w:hideMark/>
          </w:tcPr>
          <w:p w14:paraId="2B38BCC3"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 </w:t>
            </w:r>
          </w:p>
        </w:tc>
        <w:tc>
          <w:tcPr>
            <w:tcW w:w="1084" w:type="dxa"/>
            <w:tcBorders>
              <w:top w:val="nil"/>
              <w:left w:val="nil"/>
              <w:bottom w:val="single" w:sz="4" w:space="0" w:color="auto"/>
              <w:right w:val="single" w:sz="4" w:space="0" w:color="auto"/>
            </w:tcBorders>
            <w:shd w:val="clear" w:color="auto" w:fill="auto"/>
            <w:vAlign w:val="center"/>
            <w:hideMark/>
          </w:tcPr>
          <w:p w14:paraId="3AAE540A"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2481784C" w14:textId="77777777" w:rsidTr="003E69A5">
        <w:trPr>
          <w:trHeight w:val="300"/>
          <w:jc w:val="center"/>
        </w:trPr>
        <w:tc>
          <w:tcPr>
            <w:tcW w:w="1838" w:type="dxa"/>
            <w:vMerge/>
            <w:tcBorders>
              <w:top w:val="nil"/>
              <w:left w:val="single" w:sz="4" w:space="0" w:color="auto"/>
              <w:bottom w:val="single" w:sz="4" w:space="0" w:color="auto"/>
              <w:right w:val="single" w:sz="4" w:space="0" w:color="auto"/>
            </w:tcBorders>
            <w:vAlign w:val="center"/>
            <w:hideMark/>
          </w:tcPr>
          <w:p w14:paraId="03669D05" w14:textId="77777777" w:rsidR="003E69A5" w:rsidRPr="003F7F6C" w:rsidRDefault="003E69A5" w:rsidP="00D25E0D">
            <w:pPr>
              <w:autoSpaceDE w:val="0"/>
              <w:autoSpaceDN w:val="0"/>
              <w:adjustRightInd w:val="0"/>
              <w:spacing w:after="0"/>
              <w:rPr>
                <w:rFonts w:cs="Calibri"/>
                <w:sz w:val="18"/>
                <w:szCs w:val="18"/>
              </w:rPr>
            </w:pPr>
          </w:p>
        </w:tc>
        <w:tc>
          <w:tcPr>
            <w:tcW w:w="4775" w:type="dxa"/>
            <w:tcBorders>
              <w:top w:val="nil"/>
              <w:left w:val="nil"/>
              <w:bottom w:val="single" w:sz="4" w:space="0" w:color="auto"/>
              <w:right w:val="single" w:sz="4" w:space="0" w:color="auto"/>
            </w:tcBorders>
            <w:shd w:val="clear" w:color="auto" w:fill="auto"/>
            <w:vAlign w:val="center"/>
            <w:hideMark/>
          </w:tcPr>
          <w:p w14:paraId="12A28835"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 Environmental education programmes are partially</w:t>
            </w:r>
          </w:p>
          <w:p w14:paraId="0050265C"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developed and partially delivered</w:t>
            </w:r>
          </w:p>
        </w:tc>
        <w:tc>
          <w:tcPr>
            <w:tcW w:w="753" w:type="dxa"/>
            <w:tcBorders>
              <w:top w:val="nil"/>
              <w:left w:val="nil"/>
              <w:bottom w:val="single" w:sz="4" w:space="0" w:color="auto"/>
              <w:right w:val="single" w:sz="4" w:space="0" w:color="auto"/>
            </w:tcBorders>
            <w:shd w:val="clear" w:color="auto" w:fill="auto"/>
            <w:vAlign w:val="center"/>
            <w:hideMark/>
          </w:tcPr>
          <w:p w14:paraId="1DDC4761"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1</w:t>
            </w:r>
          </w:p>
        </w:tc>
        <w:tc>
          <w:tcPr>
            <w:tcW w:w="709" w:type="dxa"/>
            <w:tcBorders>
              <w:top w:val="nil"/>
              <w:left w:val="nil"/>
              <w:bottom w:val="single" w:sz="4" w:space="0" w:color="auto"/>
              <w:right w:val="single" w:sz="4" w:space="0" w:color="auto"/>
            </w:tcBorders>
            <w:shd w:val="clear" w:color="auto" w:fill="auto"/>
            <w:vAlign w:val="center"/>
            <w:hideMark/>
          </w:tcPr>
          <w:p w14:paraId="26AB114F"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1</w:t>
            </w:r>
          </w:p>
        </w:tc>
        <w:tc>
          <w:tcPr>
            <w:tcW w:w="2410" w:type="dxa"/>
            <w:tcBorders>
              <w:top w:val="nil"/>
              <w:left w:val="nil"/>
              <w:bottom w:val="single" w:sz="4" w:space="0" w:color="auto"/>
              <w:right w:val="single" w:sz="4" w:space="0" w:color="auto"/>
            </w:tcBorders>
            <w:shd w:val="clear" w:color="auto" w:fill="auto"/>
            <w:vAlign w:val="center"/>
            <w:hideMark/>
          </w:tcPr>
          <w:p w14:paraId="0BC3C6FD"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The Ministry has educational programs </w:t>
            </w:r>
          </w:p>
          <w:p w14:paraId="70B58FBB" w14:textId="77777777" w:rsidR="003E69A5" w:rsidRPr="003F7F6C" w:rsidRDefault="003E69A5" w:rsidP="00D25E0D">
            <w:pPr>
              <w:autoSpaceDE w:val="0"/>
              <w:autoSpaceDN w:val="0"/>
              <w:adjustRightInd w:val="0"/>
              <w:spacing w:after="0"/>
              <w:rPr>
                <w:rFonts w:cs="Calibri"/>
                <w:sz w:val="18"/>
                <w:szCs w:val="18"/>
              </w:rPr>
            </w:pPr>
          </w:p>
        </w:tc>
        <w:tc>
          <w:tcPr>
            <w:tcW w:w="2871" w:type="dxa"/>
            <w:tcBorders>
              <w:top w:val="nil"/>
              <w:left w:val="nil"/>
              <w:bottom w:val="single" w:sz="4" w:space="0" w:color="auto"/>
              <w:right w:val="single" w:sz="4" w:space="0" w:color="auto"/>
            </w:tcBorders>
            <w:shd w:val="clear" w:color="auto" w:fill="auto"/>
            <w:vAlign w:val="center"/>
            <w:hideMark/>
          </w:tcPr>
          <w:p w14:paraId="0057DF24"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Development of ELUP related training programs and specific subjects e.g. participation and indigenous peoples </w:t>
            </w:r>
          </w:p>
        </w:tc>
        <w:tc>
          <w:tcPr>
            <w:tcW w:w="1084" w:type="dxa"/>
            <w:tcBorders>
              <w:top w:val="nil"/>
              <w:left w:val="nil"/>
              <w:bottom w:val="single" w:sz="4" w:space="0" w:color="auto"/>
              <w:right w:val="single" w:sz="4" w:space="0" w:color="auto"/>
            </w:tcBorders>
            <w:shd w:val="clear" w:color="auto" w:fill="auto"/>
            <w:vAlign w:val="center"/>
            <w:hideMark/>
          </w:tcPr>
          <w:p w14:paraId="46181243"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2</w:t>
            </w:r>
          </w:p>
        </w:tc>
      </w:tr>
      <w:tr w:rsidR="003E69A5" w:rsidRPr="003F7F6C" w14:paraId="25CBAA01" w14:textId="77777777" w:rsidTr="003E69A5">
        <w:trPr>
          <w:trHeight w:val="300"/>
          <w:jc w:val="center"/>
        </w:trPr>
        <w:tc>
          <w:tcPr>
            <w:tcW w:w="1838" w:type="dxa"/>
            <w:vMerge/>
            <w:tcBorders>
              <w:top w:val="nil"/>
              <w:left w:val="single" w:sz="4" w:space="0" w:color="auto"/>
              <w:bottom w:val="single" w:sz="4" w:space="0" w:color="auto"/>
              <w:right w:val="single" w:sz="4" w:space="0" w:color="auto"/>
            </w:tcBorders>
            <w:vAlign w:val="center"/>
            <w:hideMark/>
          </w:tcPr>
          <w:p w14:paraId="15F0C950" w14:textId="77777777" w:rsidR="003E69A5" w:rsidRPr="003F7F6C" w:rsidRDefault="003E69A5" w:rsidP="00D25E0D">
            <w:pPr>
              <w:autoSpaceDE w:val="0"/>
              <w:autoSpaceDN w:val="0"/>
              <w:adjustRightInd w:val="0"/>
              <w:spacing w:after="0"/>
              <w:rPr>
                <w:rFonts w:cs="Calibri"/>
                <w:sz w:val="18"/>
                <w:szCs w:val="18"/>
              </w:rPr>
            </w:pPr>
          </w:p>
        </w:tc>
        <w:tc>
          <w:tcPr>
            <w:tcW w:w="4775" w:type="dxa"/>
            <w:tcBorders>
              <w:top w:val="nil"/>
              <w:left w:val="nil"/>
              <w:bottom w:val="single" w:sz="4" w:space="0" w:color="auto"/>
              <w:right w:val="single" w:sz="4" w:space="0" w:color="auto"/>
            </w:tcBorders>
            <w:shd w:val="clear" w:color="auto" w:fill="auto"/>
            <w:vAlign w:val="center"/>
            <w:hideMark/>
          </w:tcPr>
          <w:p w14:paraId="5167C366"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 Environmental education programmes are fully</w:t>
            </w:r>
          </w:p>
          <w:p w14:paraId="14C008E2"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developed but partially delivered</w:t>
            </w:r>
          </w:p>
        </w:tc>
        <w:tc>
          <w:tcPr>
            <w:tcW w:w="753" w:type="dxa"/>
            <w:tcBorders>
              <w:top w:val="nil"/>
              <w:left w:val="nil"/>
              <w:bottom w:val="single" w:sz="4" w:space="0" w:color="auto"/>
              <w:right w:val="single" w:sz="4" w:space="0" w:color="auto"/>
            </w:tcBorders>
            <w:shd w:val="clear" w:color="auto" w:fill="auto"/>
            <w:vAlign w:val="center"/>
            <w:hideMark/>
          </w:tcPr>
          <w:p w14:paraId="26217E00"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2</w:t>
            </w:r>
          </w:p>
        </w:tc>
        <w:tc>
          <w:tcPr>
            <w:tcW w:w="709" w:type="dxa"/>
            <w:tcBorders>
              <w:top w:val="nil"/>
              <w:left w:val="nil"/>
              <w:bottom w:val="single" w:sz="4" w:space="0" w:color="auto"/>
              <w:right w:val="single" w:sz="4" w:space="0" w:color="auto"/>
            </w:tcBorders>
            <w:shd w:val="clear" w:color="auto" w:fill="auto"/>
            <w:vAlign w:val="center"/>
            <w:hideMark/>
          </w:tcPr>
          <w:p w14:paraId="6DEB8CCE"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410" w:type="dxa"/>
            <w:tcBorders>
              <w:top w:val="nil"/>
              <w:left w:val="nil"/>
              <w:bottom w:val="single" w:sz="4" w:space="0" w:color="auto"/>
              <w:right w:val="single" w:sz="4" w:space="0" w:color="auto"/>
            </w:tcBorders>
            <w:shd w:val="clear" w:color="auto" w:fill="auto"/>
            <w:vAlign w:val="center"/>
            <w:hideMark/>
          </w:tcPr>
          <w:p w14:paraId="0085ADA1"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871" w:type="dxa"/>
            <w:tcBorders>
              <w:top w:val="nil"/>
              <w:left w:val="nil"/>
              <w:bottom w:val="single" w:sz="4" w:space="0" w:color="auto"/>
              <w:right w:val="single" w:sz="4" w:space="0" w:color="auto"/>
            </w:tcBorders>
            <w:shd w:val="clear" w:color="auto" w:fill="auto"/>
            <w:vAlign w:val="center"/>
            <w:hideMark/>
          </w:tcPr>
          <w:p w14:paraId="2362B775"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084" w:type="dxa"/>
            <w:tcBorders>
              <w:top w:val="nil"/>
              <w:left w:val="nil"/>
              <w:bottom w:val="single" w:sz="4" w:space="0" w:color="auto"/>
              <w:right w:val="single" w:sz="4" w:space="0" w:color="auto"/>
            </w:tcBorders>
            <w:shd w:val="clear" w:color="auto" w:fill="auto"/>
            <w:vAlign w:val="center"/>
            <w:hideMark/>
          </w:tcPr>
          <w:p w14:paraId="1D24BF4D"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57C629FD" w14:textId="77777777" w:rsidTr="003E69A5">
        <w:trPr>
          <w:trHeight w:val="300"/>
          <w:jc w:val="center"/>
        </w:trPr>
        <w:tc>
          <w:tcPr>
            <w:tcW w:w="1838" w:type="dxa"/>
            <w:vMerge/>
            <w:tcBorders>
              <w:top w:val="nil"/>
              <w:left w:val="single" w:sz="4" w:space="0" w:color="auto"/>
              <w:bottom w:val="single" w:sz="4" w:space="0" w:color="auto"/>
              <w:right w:val="single" w:sz="4" w:space="0" w:color="auto"/>
            </w:tcBorders>
            <w:vAlign w:val="center"/>
            <w:hideMark/>
          </w:tcPr>
          <w:p w14:paraId="1145ACF7" w14:textId="77777777" w:rsidR="003E69A5" w:rsidRPr="003F7F6C" w:rsidRDefault="003E69A5" w:rsidP="00D25E0D">
            <w:pPr>
              <w:autoSpaceDE w:val="0"/>
              <w:autoSpaceDN w:val="0"/>
              <w:adjustRightInd w:val="0"/>
              <w:spacing w:after="0"/>
              <w:rPr>
                <w:rFonts w:cs="Calibri"/>
                <w:sz w:val="18"/>
                <w:szCs w:val="18"/>
              </w:rPr>
            </w:pPr>
          </w:p>
        </w:tc>
        <w:tc>
          <w:tcPr>
            <w:tcW w:w="4775" w:type="dxa"/>
            <w:tcBorders>
              <w:top w:val="nil"/>
              <w:left w:val="nil"/>
              <w:bottom w:val="single" w:sz="4" w:space="0" w:color="auto"/>
              <w:right w:val="single" w:sz="4" w:space="0" w:color="auto"/>
            </w:tcBorders>
            <w:shd w:val="clear" w:color="auto" w:fill="auto"/>
            <w:vAlign w:val="center"/>
            <w:hideMark/>
          </w:tcPr>
          <w:p w14:paraId="39092B3A"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 Comprehensive environmental education programmes</w:t>
            </w:r>
          </w:p>
          <w:p w14:paraId="2FCC27B3"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exist and are being delivered</w:t>
            </w:r>
          </w:p>
        </w:tc>
        <w:tc>
          <w:tcPr>
            <w:tcW w:w="753" w:type="dxa"/>
            <w:tcBorders>
              <w:top w:val="nil"/>
              <w:left w:val="nil"/>
              <w:bottom w:val="single" w:sz="4" w:space="0" w:color="auto"/>
              <w:right w:val="single" w:sz="4" w:space="0" w:color="auto"/>
            </w:tcBorders>
            <w:shd w:val="clear" w:color="auto" w:fill="auto"/>
            <w:vAlign w:val="center"/>
            <w:hideMark/>
          </w:tcPr>
          <w:p w14:paraId="461BD518"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3</w:t>
            </w:r>
          </w:p>
        </w:tc>
        <w:tc>
          <w:tcPr>
            <w:tcW w:w="709" w:type="dxa"/>
            <w:tcBorders>
              <w:top w:val="nil"/>
              <w:left w:val="nil"/>
              <w:bottom w:val="single" w:sz="4" w:space="0" w:color="auto"/>
              <w:right w:val="single" w:sz="4" w:space="0" w:color="auto"/>
            </w:tcBorders>
            <w:shd w:val="clear" w:color="auto" w:fill="auto"/>
            <w:vAlign w:val="center"/>
            <w:hideMark/>
          </w:tcPr>
          <w:p w14:paraId="34CAD61B"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410" w:type="dxa"/>
            <w:tcBorders>
              <w:top w:val="nil"/>
              <w:left w:val="nil"/>
              <w:bottom w:val="single" w:sz="4" w:space="0" w:color="auto"/>
              <w:right w:val="single" w:sz="4" w:space="0" w:color="auto"/>
            </w:tcBorders>
            <w:shd w:val="clear" w:color="auto" w:fill="auto"/>
            <w:vAlign w:val="center"/>
            <w:hideMark/>
          </w:tcPr>
          <w:p w14:paraId="6484A239"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871" w:type="dxa"/>
            <w:tcBorders>
              <w:top w:val="nil"/>
              <w:left w:val="nil"/>
              <w:bottom w:val="single" w:sz="4" w:space="0" w:color="auto"/>
              <w:right w:val="single" w:sz="4" w:space="0" w:color="auto"/>
            </w:tcBorders>
            <w:shd w:val="clear" w:color="auto" w:fill="auto"/>
            <w:vAlign w:val="center"/>
            <w:hideMark/>
          </w:tcPr>
          <w:p w14:paraId="4F504B6F"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084" w:type="dxa"/>
            <w:tcBorders>
              <w:top w:val="nil"/>
              <w:left w:val="nil"/>
              <w:bottom w:val="single" w:sz="4" w:space="0" w:color="auto"/>
              <w:right w:val="single" w:sz="4" w:space="0" w:color="auto"/>
            </w:tcBorders>
            <w:shd w:val="clear" w:color="auto" w:fill="auto"/>
            <w:vAlign w:val="center"/>
            <w:hideMark/>
          </w:tcPr>
          <w:p w14:paraId="566ABC49"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2F635BAE" w14:textId="77777777" w:rsidTr="003E69A5">
        <w:trPr>
          <w:trHeight w:val="300"/>
          <w:jc w:val="center"/>
        </w:trPr>
        <w:tc>
          <w:tcPr>
            <w:tcW w:w="1838" w:type="dxa"/>
            <w:vMerge w:val="restart"/>
            <w:tcBorders>
              <w:top w:val="nil"/>
              <w:left w:val="single" w:sz="4" w:space="0" w:color="auto"/>
              <w:bottom w:val="single" w:sz="4" w:space="0" w:color="auto"/>
              <w:right w:val="single" w:sz="4" w:space="0" w:color="auto"/>
            </w:tcBorders>
            <w:shd w:val="clear" w:color="auto" w:fill="auto"/>
            <w:vAlign w:val="center"/>
            <w:hideMark/>
          </w:tcPr>
          <w:p w14:paraId="6845B735" w14:textId="233B31F4"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Indicator 7: Exten</w:t>
            </w:r>
            <w:r w:rsidR="00FB6D2D" w:rsidRPr="003F7F6C">
              <w:rPr>
                <w:rFonts w:cs="Calibri"/>
                <w:sz w:val="18"/>
                <w:szCs w:val="18"/>
              </w:rPr>
              <w:t>t</w:t>
            </w:r>
            <w:r w:rsidRPr="003F7F6C">
              <w:rPr>
                <w:rFonts w:cs="Calibri"/>
                <w:sz w:val="18"/>
                <w:szCs w:val="18"/>
              </w:rPr>
              <w:t xml:space="preserve"> of the</w:t>
            </w:r>
          </w:p>
          <w:p w14:paraId="55926676"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linkage between environmental</w:t>
            </w:r>
          </w:p>
          <w:p w14:paraId="6C71A085"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research/science and policy</w:t>
            </w:r>
          </w:p>
          <w:p w14:paraId="5E27FE7C"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development</w:t>
            </w:r>
          </w:p>
        </w:tc>
        <w:tc>
          <w:tcPr>
            <w:tcW w:w="4775" w:type="dxa"/>
            <w:tcBorders>
              <w:top w:val="nil"/>
              <w:left w:val="nil"/>
              <w:bottom w:val="single" w:sz="4" w:space="0" w:color="auto"/>
              <w:right w:val="single" w:sz="4" w:space="0" w:color="auto"/>
            </w:tcBorders>
            <w:shd w:val="clear" w:color="auto" w:fill="auto"/>
            <w:vAlign w:val="center"/>
            <w:hideMark/>
          </w:tcPr>
          <w:p w14:paraId="3F5AB1BD"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 No linkage exist between environmental policy</w:t>
            </w:r>
          </w:p>
          <w:p w14:paraId="15617F92"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development and science/research strategies and</w:t>
            </w:r>
          </w:p>
          <w:p w14:paraId="5867CAB2"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programmes</w:t>
            </w:r>
          </w:p>
        </w:tc>
        <w:tc>
          <w:tcPr>
            <w:tcW w:w="753" w:type="dxa"/>
            <w:tcBorders>
              <w:top w:val="nil"/>
              <w:left w:val="nil"/>
              <w:bottom w:val="single" w:sz="4" w:space="0" w:color="auto"/>
              <w:right w:val="single" w:sz="4" w:space="0" w:color="auto"/>
            </w:tcBorders>
            <w:shd w:val="clear" w:color="auto" w:fill="auto"/>
            <w:vAlign w:val="center"/>
            <w:hideMark/>
          </w:tcPr>
          <w:p w14:paraId="20D7F385"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0</w:t>
            </w:r>
          </w:p>
        </w:tc>
        <w:tc>
          <w:tcPr>
            <w:tcW w:w="709" w:type="dxa"/>
            <w:tcBorders>
              <w:top w:val="nil"/>
              <w:left w:val="nil"/>
              <w:bottom w:val="single" w:sz="4" w:space="0" w:color="auto"/>
              <w:right w:val="single" w:sz="4" w:space="0" w:color="auto"/>
            </w:tcBorders>
            <w:shd w:val="clear" w:color="auto" w:fill="auto"/>
            <w:vAlign w:val="center"/>
            <w:hideMark/>
          </w:tcPr>
          <w:p w14:paraId="17A5FB87"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410" w:type="dxa"/>
            <w:tcBorders>
              <w:top w:val="nil"/>
              <w:left w:val="nil"/>
              <w:bottom w:val="single" w:sz="4" w:space="0" w:color="auto"/>
              <w:right w:val="single" w:sz="4" w:space="0" w:color="auto"/>
            </w:tcBorders>
            <w:shd w:val="clear" w:color="auto" w:fill="auto"/>
            <w:vAlign w:val="center"/>
            <w:hideMark/>
          </w:tcPr>
          <w:p w14:paraId="55AF2516"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871" w:type="dxa"/>
            <w:tcBorders>
              <w:top w:val="nil"/>
              <w:left w:val="nil"/>
              <w:bottom w:val="single" w:sz="4" w:space="0" w:color="auto"/>
              <w:right w:val="single" w:sz="4" w:space="0" w:color="auto"/>
            </w:tcBorders>
            <w:shd w:val="clear" w:color="auto" w:fill="auto"/>
            <w:vAlign w:val="center"/>
            <w:hideMark/>
          </w:tcPr>
          <w:p w14:paraId="3B2E9BED"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084" w:type="dxa"/>
            <w:tcBorders>
              <w:top w:val="nil"/>
              <w:left w:val="nil"/>
              <w:bottom w:val="single" w:sz="4" w:space="0" w:color="auto"/>
              <w:right w:val="single" w:sz="4" w:space="0" w:color="auto"/>
            </w:tcBorders>
            <w:shd w:val="clear" w:color="auto" w:fill="auto"/>
            <w:vAlign w:val="center"/>
            <w:hideMark/>
          </w:tcPr>
          <w:p w14:paraId="0620B243"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648DEF90" w14:textId="77777777" w:rsidTr="003E69A5">
        <w:trPr>
          <w:trHeight w:val="300"/>
          <w:jc w:val="center"/>
        </w:trPr>
        <w:tc>
          <w:tcPr>
            <w:tcW w:w="1838" w:type="dxa"/>
            <w:vMerge/>
            <w:tcBorders>
              <w:top w:val="nil"/>
              <w:left w:val="single" w:sz="4" w:space="0" w:color="auto"/>
              <w:bottom w:val="single" w:sz="4" w:space="0" w:color="auto"/>
              <w:right w:val="single" w:sz="4" w:space="0" w:color="auto"/>
            </w:tcBorders>
            <w:vAlign w:val="center"/>
            <w:hideMark/>
          </w:tcPr>
          <w:p w14:paraId="11C0E38D" w14:textId="77777777" w:rsidR="003E69A5" w:rsidRPr="003F7F6C" w:rsidRDefault="003E69A5" w:rsidP="00D25E0D">
            <w:pPr>
              <w:autoSpaceDE w:val="0"/>
              <w:autoSpaceDN w:val="0"/>
              <w:adjustRightInd w:val="0"/>
              <w:spacing w:after="0"/>
              <w:rPr>
                <w:rFonts w:cs="Calibri"/>
                <w:sz w:val="18"/>
                <w:szCs w:val="18"/>
              </w:rPr>
            </w:pPr>
          </w:p>
        </w:tc>
        <w:tc>
          <w:tcPr>
            <w:tcW w:w="4775" w:type="dxa"/>
            <w:tcBorders>
              <w:top w:val="nil"/>
              <w:left w:val="nil"/>
              <w:bottom w:val="single" w:sz="4" w:space="0" w:color="auto"/>
              <w:right w:val="single" w:sz="4" w:space="0" w:color="auto"/>
            </w:tcBorders>
            <w:shd w:val="clear" w:color="auto" w:fill="auto"/>
            <w:vAlign w:val="center"/>
            <w:hideMark/>
          </w:tcPr>
          <w:p w14:paraId="2FE65AAF"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 Research needs for environmental policy development</w:t>
            </w:r>
          </w:p>
          <w:p w14:paraId="3331C9D6"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are identified but are not translated into relevant</w:t>
            </w:r>
          </w:p>
          <w:p w14:paraId="1818DD8D"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research strategies and programmes</w:t>
            </w:r>
          </w:p>
        </w:tc>
        <w:tc>
          <w:tcPr>
            <w:tcW w:w="753" w:type="dxa"/>
            <w:tcBorders>
              <w:top w:val="nil"/>
              <w:left w:val="nil"/>
              <w:bottom w:val="single" w:sz="4" w:space="0" w:color="auto"/>
              <w:right w:val="single" w:sz="4" w:space="0" w:color="auto"/>
            </w:tcBorders>
            <w:shd w:val="clear" w:color="auto" w:fill="auto"/>
            <w:vAlign w:val="center"/>
            <w:hideMark/>
          </w:tcPr>
          <w:p w14:paraId="0CF836A7"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1</w:t>
            </w:r>
          </w:p>
        </w:tc>
        <w:tc>
          <w:tcPr>
            <w:tcW w:w="709" w:type="dxa"/>
            <w:tcBorders>
              <w:top w:val="nil"/>
              <w:left w:val="nil"/>
              <w:bottom w:val="single" w:sz="4" w:space="0" w:color="auto"/>
              <w:right w:val="single" w:sz="4" w:space="0" w:color="auto"/>
            </w:tcBorders>
            <w:shd w:val="clear" w:color="auto" w:fill="auto"/>
            <w:vAlign w:val="center"/>
            <w:hideMark/>
          </w:tcPr>
          <w:p w14:paraId="295562A3"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1</w:t>
            </w:r>
          </w:p>
        </w:tc>
        <w:tc>
          <w:tcPr>
            <w:tcW w:w="2410" w:type="dxa"/>
            <w:tcBorders>
              <w:top w:val="nil"/>
              <w:left w:val="nil"/>
              <w:bottom w:val="single" w:sz="4" w:space="0" w:color="auto"/>
              <w:right w:val="single" w:sz="4" w:space="0" w:color="auto"/>
            </w:tcBorders>
            <w:shd w:val="clear" w:color="auto" w:fill="auto"/>
            <w:vAlign w:val="center"/>
            <w:hideMark/>
          </w:tcPr>
          <w:p w14:paraId="4BB5C302"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INTA and government programs e.g. Family Agriculture have generated information</w:t>
            </w:r>
          </w:p>
        </w:tc>
        <w:tc>
          <w:tcPr>
            <w:tcW w:w="2871" w:type="dxa"/>
            <w:tcBorders>
              <w:top w:val="nil"/>
              <w:left w:val="nil"/>
              <w:bottom w:val="single" w:sz="4" w:space="0" w:color="auto"/>
              <w:right w:val="single" w:sz="4" w:space="0" w:color="auto"/>
            </w:tcBorders>
            <w:shd w:val="clear" w:color="auto" w:fill="auto"/>
            <w:vAlign w:val="center"/>
            <w:hideMark/>
          </w:tcPr>
          <w:p w14:paraId="1706FB9F"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Strengthening of strategies and programs related to science and technology working with INTA</w:t>
            </w:r>
          </w:p>
        </w:tc>
        <w:tc>
          <w:tcPr>
            <w:tcW w:w="1084" w:type="dxa"/>
            <w:tcBorders>
              <w:top w:val="nil"/>
              <w:left w:val="nil"/>
              <w:bottom w:val="single" w:sz="4" w:space="0" w:color="auto"/>
              <w:right w:val="single" w:sz="4" w:space="0" w:color="auto"/>
            </w:tcBorders>
            <w:shd w:val="clear" w:color="auto" w:fill="auto"/>
            <w:vAlign w:val="center"/>
            <w:hideMark/>
          </w:tcPr>
          <w:p w14:paraId="01EFB8B7"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r>
      <w:tr w:rsidR="003E69A5" w:rsidRPr="003F7F6C" w14:paraId="1B347B62" w14:textId="77777777" w:rsidTr="003E69A5">
        <w:trPr>
          <w:trHeight w:val="300"/>
          <w:jc w:val="center"/>
        </w:trPr>
        <w:tc>
          <w:tcPr>
            <w:tcW w:w="1838" w:type="dxa"/>
            <w:vMerge/>
            <w:tcBorders>
              <w:top w:val="nil"/>
              <w:left w:val="single" w:sz="4" w:space="0" w:color="auto"/>
              <w:bottom w:val="single" w:sz="4" w:space="0" w:color="auto"/>
              <w:right w:val="single" w:sz="4" w:space="0" w:color="auto"/>
            </w:tcBorders>
            <w:vAlign w:val="center"/>
            <w:hideMark/>
          </w:tcPr>
          <w:p w14:paraId="342C522A" w14:textId="77777777" w:rsidR="003E69A5" w:rsidRPr="003F7F6C" w:rsidRDefault="003E69A5" w:rsidP="00D25E0D">
            <w:pPr>
              <w:autoSpaceDE w:val="0"/>
              <w:autoSpaceDN w:val="0"/>
              <w:adjustRightInd w:val="0"/>
              <w:spacing w:after="0"/>
              <w:rPr>
                <w:rFonts w:cs="Calibri"/>
                <w:sz w:val="18"/>
                <w:szCs w:val="18"/>
              </w:rPr>
            </w:pPr>
          </w:p>
        </w:tc>
        <w:tc>
          <w:tcPr>
            <w:tcW w:w="4775" w:type="dxa"/>
            <w:tcBorders>
              <w:top w:val="nil"/>
              <w:left w:val="nil"/>
              <w:bottom w:val="single" w:sz="4" w:space="0" w:color="auto"/>
              <w:right w:val="single" w:sz="4" w:space="0" w:color="auto"/>
            </w:tcBorders>
            <w:shd w:val="clear" w:color="auto" w:fill="auto"/>
            <w:vAlign w:val="center"/>
            <w:hideMark/>
          </w:tcPr>
          <w:p w14:paraId="2358E07D"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 Relevant research strategies and programmes for</w:t>
            </w:r>
          </w:p>
          <w:p w14:paraId="23A8DCF9"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environmental policy development exist but the</w:t>
            </w:r>
          </w:p>
          <w:p w14:paraId="203213D3"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research information is not responding fully to the</w:t>
            </w:r>
          </w:p>
          <w:p w14:paraId="3C2F578D"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policy research needs</w:t>
            </w:r>
          </w:p>
        </w:tc>
        <w:tc>
          <w:tcPr>
            <w:tcW w:w="753" w:type="dxa"/>
            <w:tcBorders>
              <w:top w:val="nil"/>
              <w:left w:val="nil"/>
              <w:bottom w:val="single" w:sz="4" w:space="0" w:color="auto"/>
              <w:right w:val="single" w:sz="4" w:space="0" w:color="auto"/>
            </w:tcBorders>
            <w:shd w:val="clear" w:color="auto" w:fill="auto"/>
            <w:vAlign w:val="center"/>
            <w:hideMark/>
          </w:tcPr>
          <w:p w14:paraId="7F3E8426"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2</w:t>
            </w:r>
          </w:p>
        </w:tc>
        <w:tc>
          <w:tcPr>
            <w:tcW w:w="709" w:type="dxa"/>
            <w:tcBorders>
              <w:top w:val="nil"/>
              <w:left w:val="nil"/>
              <w:bottom w:val="single" w:sz="4" w:space="0" w:color="auto"/>
              <w:right w:val="single" w:sz="4" w:space="0" w:color="auto"/>
            </w:tcBorders>
            <w:shd w:val="clear" w:color="auto" w:fill="auto"/>
            <w:vAlign w:val="center"/>
            <w:hideMark/>
          </w:tcPr>
          <w:p w14:paraId="1C60B465"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410" w:type="dxa"/>
            <w:tcBorders>
              <w:top w:val="nil"/>
              <w:left w:val="nil"/>
              <w:bottom w:val="single" w:sz="4" w:space="0" w:color="auto"/>
              <w:right w:val="single" w:sz="4" w:space="0" w:color="auto"/>
            </w:tcBorders>
            <w:shd w:val="clear" w:color="auto" w:fill="auto"/>
            <w:vAlign w:val="center"/>
            <w:hideMark/>
          </w:tcPr>
          <w:p w14:paraId="44F553A5"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871" w:type="dxa"/>
            <w:tcBorders>
              <w:top w:val="nil"/>
              <w:left w:val="nil"/>
              <w:bottom w:val="single" w:sz="4" w:space="0" w:color="auto"/>
              <w:right w:val="single" w:sz="4" w:space="0" w:color="auto"/>
            </w:tcBorders>
            <w:shd w:val="clear" w:color="auto" w:fill="auto"/>
            <w:vAlign w:val="center"/>
            <w:hideMark/>
          </w:tcPr>
          <w:p w14:paraId="1296A953"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084" w:type="dxa"/>
            <w:tcBorders>
              <w:top w:val="nil"/>
              <w:left w:val="nil"/>
              <w:bottom w:val="single" w:sz="4" w:space="0" w:color="auto"/>
              <w:right w:val="single" w:sz="4" w:space="0" w:color="auto"/>
            </w:tcBorders>
            <w:shd w:val="clear" w:color="auto" w:fill="auto"/>
            <w:vAlign w:val="center"/>
            <w:hideMark/>
          </w:tcPr>
          <w:p w14:paraId="38EA9A76"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5967BB1D" w14:textId="77777777" w:rsidTr="003E69A5">
        <w:trPr>
          <w:trHeight w:val="300"/>
          <w:jc w:val="center"/>
        </w:trPr>
        <w:tc>
          <w:tcPr>
            <w:tcW w:w="1838" w:type="dxa"/>
            <w:vMerge/>
            <w:tcBorders>
              <w:top w:val="nil"/>
              <w:left w:val="single" w:sz="4" w:space="0" w:color="auto"/>
              <w:bottom w:val="single" w:sz="4" w:space="0" w:color="auto"/>
              <w:right w:val="single" w:sz="4" w:space="0" w:color="auto"/>
            </w:tcBorders>
            <w:vAlign w:val="center"/>
            <w:hideMark/>
          </w:tcPr>
          <w:p w14:paraId="476E2243" w14:textId="77777777" w:rsidR="003E69A5" w:rsidRPr="003F7F6C" w:rsidRDefault="003E69A5" w:rsidP="00D25E0D">
            <w:pPr>
              <w:autoSpaceDE w:val="0"/>
              <w:autoSpaceDN w:val="0"/>
              <w:adjustRightInd w:val="0"/>
              <w:spacing w:after="0"/>
              <w:rPr>
                <w:rFonts w:cs="Calibri"/>
                <w:sz w:val="18"/>
                <w:szCs w:val="18"/>
              </w:rPr>
            </w:pPr>
          </w:p>
        </w:tc>
        <w:tc>
          <w:tcPr>
            <w:tcW w:w="4775" w:type="dxa"/>
            <w:tcBorders>
              <w:top w:val="nil"/>
              <w:left w:val="nil"/>
              <w:bottom w:val="single" w:sz="4" w:space="0" w:color="auto"/>
              <w:right w:val="single" w:sz="4" w:space="0" w:color="auto"/>
            </w:tcBorders>
            <w:shd w:val="clear" w:color="auto" w:fill="auto"/>
            <w:vAlign w:val="center"/>
            <w:hideMark/>
          </w:tcPr>
          <w:p w14:paraId="67253F00"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 Relevant research results are available for</w:t>
            </w:r>
          </w:p>
          <w:p w14:paraId="1AEEDAF6"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environmental policy development</w:t>
            </w:r>
          </w:p>
        </w:tc>
        <w:tc>
          <w:tcPr>
            <w:tcW w:w="753" w:type="dxa"/>
            <w:tcBorders>
              <w:top w:val="nil"/>
              <w:left w:val="nil"/>
              <w:bottom w:val="single" w:sz="4" w:space="0" w:color="auto"/>
              <w:right w:val="single" w:sz="4" w:space="0" w:color="auto"/>
            </w:tcBorders>
            <w:shd w:val="clear" w:color="auto" w:fill="auto"/>
            <w:vAlign w:val="center"/>
            <w:hideMark/>
          </w:tcPr>
          <w:p w14:paraId="5852E1CA"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3</w:t>
            </w:r>
          </w:p>
        </w:tc>
        <w:tc>
          <w:tcPr>
            <w:tcW w:w="709" w:type="dxa"/>
            <w:tcBorders>
              <w:top w:val="nil"/>
              <w:left w:val="nil"/>
              <w:bottom w:val="single" w:sz="4" w:space="0" w:color="auto"/>
              <w:right w:val="single" w:sz="4" w:space="0" w:color="auto"/>
            </w:tcBorders>
            <w:shd w:val="clear" w:color="auto" w:fill="auto"/>
            <w:vAlign w:val="center"/>
            <w:hideMark/>
          </w:tcPr>
          <w:p w14:paraId="7EACD4BA"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410" w:type="dxa"/>
            <w:tcBorders>
              <w:top w:val="nil"/>
              <w:left w:val="nil"/>
              <w:bottom w:val="single" w:sz="4" w:space="0" w:color="auto"/>
              <w:right w:val="single" w:sz="4" w:space="0" w:color="auto"/>
            </w:tcBorders>
            <w:shd w:val="clear" w:color="auto" w:fill="auto"/>
            <w:vAlign w:val="center"/>
            <w:hideMark/>
          </w:tcPr>
          <w:p w14:paraId="4769D550"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871" w:type="dxa"/>
            <w:tcBorders>
              <w:top w:val="nil"/>
              <w:left w:val="nil"/>
              <w:bottom w:val="single" w:sz="4" w:space="0" w:color="auto"/>
              <w:right w:val="single" w:sz="4" w:space="0" w:color="auto"/>
            </w:tcBorders>
            <w:shd w:val="clear" w:color="auto" w:fill="auto"/>
            <w:vAlign w:val="center"/>
            <w:hideMark/>
          </w:tcPr>
          <w:p w14:paraId="42292DB6"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084" w:type="dxa"/>
            <w:tcBorders>
              <w:top w:val="nil"/>
              <w:left w:val="nil"/>
              <w:bottom w:val="single" w:sz="4" w:space="0" w:color="auto"/>
              <w:right w:val="single" w:sz="4" w:space="0" w:color="auto"/>
            </w:tcBorders>
            <w:shd w:val="clear" w:color="auto" w:fill="auto"/>
            <w:vAlign w:val="center"/>
            <w:hideMark/>
          </w:tcPr>
          <w:p w14:paraId="40CB7C2E"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0CD1C91A" w14:textId="77777777" w:rsidTr="003E69A5">
        <w:trPr>
          <w:trHeight w:val="300"/>
          <w:jc w:val="center"/>
        </w:trPr>
        <w:tc>
          <w:tcPr>
            <w:tcW w:w="1838" w:type="dxa"/>
            <w:vMerge w:val="restart"/>
            <w:tcBorders>
              <w:top w:val="nil"/>
              <w:left w:val="single" w:sz="4" w:space="0" w:color="auto"/>
              <w:bottom w:val="single" w:sz="4" w:space="0" w:color="auto"/>
              <w:right w:val="single" w:sz="4" w:space="0" w:color="auto"/>
            </w:tcBorders>
            <w:shd w:val="clear" w:color="auto" w:fill="auto"/>
            <w:vAlign w:val="center"/>
            <w:hideMark/>
          </w:tcPr>
          <w:p w14:paraId="7B822F88" w14:textId="08709A30"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Indicator 8: Exten</w:t>
            </w:r>
            <w:r w:rsidR="00FB6D2D" w:rsidRPr="003F7F6C">
              <w:rPr>
                <w:rFonts w:cs="Calibri"/>
                <w:sz w:val="18"/>
                <w:szCs w:val="18"/>
              </w:rPr>
              <w:t>t</w:t>
            </w:r>
            <w:r w:rsidRPr="003F7F6C">
              <w:rPr>
                <w:rFonts w:cs="Calibri"/>
                <w:sz w:val="18"/>
                <w:szCs w:val="18"/>
              </w:rPr>
              <w:t xml:space="preserve"> of</w:t>
            </w:r>
          </w:p>
          <w:p w14:paraId="4C66791B"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inclusion/use of traditional knowledge in environmental decision-making</w:t>
            </w:r>
          </w:p>
        </w:tc>
        <w:tc>
          <w:tcPr>
            <w:tcW w:w="4775" w:type="dxa"/>
            <w:tcBorders>
              <w:top w:val="nil"/>
              <w:left w:val="nil"/>
              <w:bottom w:val="single" w:sz="4" w:space="0" w:color="auto"/>
              <w:right w:val="single" w:sz="4" w:space="0" w:color="auto"/>
            </w:tcBorders>
            <w:shd w:val="clear" w:color="auto" w:fill="auto"/>
            <w:vAlign w:val="center"/>
            <w:hideMark/>
          </w:tcPr>
          <w:p w14:paraId="1240CEAA"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Traditional knowledge is ignored and not taken into</w:t>
            </w:r>
          </w:p>
          <w:p w14:paraId="5B44F8AB" w14:textId="77777777" w:rsidR="003E69A5" w:rsidRPr="003F7F6C" w:rsidRDefault="003E69A5" w:rsidP="00D25E0D">
            <w:pPr>
              <w:spacing w:after="0"/>
              <w:rPr>
                <w:rFonts w:eastAsia="Times New Roman" w:cs="Calibri"/>
                <w:color w:val="000000"/>
                <w:sz w:val="18"/>
                <w:szCs w:val="18"/>
                <w:lang w:eastAsia="es-ES"/>
              </w:rPr>
            </w:pPr>
            <w:r w:rsidRPr="003F7F6C">
              <w:rPr>
                <w:rFonts w:cs="Calibri"/>
                <w:sz w:val="18"/>
                <w:szCs w:val="18"/>
              </w:rPr>
              <w:t>account into relevant participative decision-making processes</w:t>
            </w:r>
          </w:p>
        </w:tc>
        <w:tc>
          <w:tcPr>
            <w:tcW w:w="753" w:type="dxa"/>
            <w:tcBorders>
              <w:top w:val="nil"/>
              <w:left w:val="nil"/>
              <w:bottom w:val="single" w:sz="4" w:space="0" w:color="auto"/>
              <w:right w:val="single" w:sz="4" w:space="0" w:color="auto"/>
            </w:tcBorders>
            <w:shd w:val="clear" w:color="auto" w:fill="auto"/>
            <w:vAlign w:val="center"/>
            <w:hideMark/>
          </w:tcPr>
          <w:p w14:paraId="000498B5"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0</w:t>
            </w:r>
          </w:p>
        </w:tc>
        <w:tc>
          <w:tcPr>
            <w:tcW w:w="709" w:type="dxa"/>
            <w:tcBorders>
              <w:top w:val="nil"/>
              <w:left w:val="nil"/>
              <w:bottom w:val="single" w:sz="4" w:space="0" w:color="auto"/>
              <w:right w:val="single" w:sz="4" w:space="0" w:color="auto"/>
            </w:tcBorders>
            <w:shd w:val="clear" w:color="auto" w:fill="auto"/>
            <w:vAlign w:val="center"/>
            <w:hideMark/>
          </w:tcPr>
          <w:p w14:paraId="4B631066"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410" w:type="dxa"/>
            <w:tcBorders>
              <w:top w:val="nil"/>
              <w:left w:val="nil"/>
              <w:bottom w:val="single" w:sz="4" w:space="0" w:color="auto"/>
              <w:right w:val="single" w:sz="4" w:space="0" w:color="auto"/>
            </w:tcBorders>
            <w:shd w:val="clear" w:color="auto" w:fill="auto"/>
            <w:vAlign w:val="center"/>
            <w:hideMark/>
          </w:tcPr>
          <w:p w14:paraId="3278FF2F"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871" w:type="dxa"/>
            <w:tcBorders>
              <w:top w:val="nil"/>
              <w:left w:val="nil"/>
              <w:bottom w:val="single" w:sz="4" w:space="0" w:color="auto"/>
              <w:right w:val="single" w:sz="4" w:space="0" w:color="auto"/>
            </w:tcBorders>
            <w:shd w:val="clear" w:color="auto" w:fill="auto"/>
            <w:vAlign w:val="center"/>
            <w:hideMark/>
          </w:tcPr>
          <w:p w14:paraId="66E28583"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084" w:type="dxa"/>
            <w:tcBorders>
              <w:top w:val="nil"/>
              <w:left w:val="nil"/>
              <w:bottom w:val="single" w:sz="4" w:space="0" w:color="auto"/>
              <w:right w:val="single" w:sz="4" w:space="0" w:color="auto"/>
            </w:tcBorders>
            <w:shd w:val="clear" w:color="auto" w:fill="auto"/>
            <w:vAlign w:val="center"/>
            <w:hideMark/>
          </w:tcPr>
          <w:p w14:paraId="1B28F1D2"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6323EA90" w14:textId="77777777" w:rsidTr="003E69A5">
        <w:trPr>
          <w:trHeight w:val="300"/>
          <w:jc w:val="center"/>
        </w:trPr>
        <w:tc>
          <w:tcPr>
            <w:tcW w:w="1838" w:type="dxa"/>
            <w:vMerge/>
            <w:tcBorders>
              <w:top w:val="nil"/>
              <w:left w:val="single" w:sz="4" w:space="0" w:color="auto"/>
              <w:bottom w:val="single" w:sz="4" w:space="0" w:color="auto"/>
              <w:right w:val="single" w:sz="4" w:space="0" w:color="auto"/>
            </w:tcBorders>
            <w:vAlign w:val="center"/>
            <w:hideMark/>
          </w:tcPr>
          <w:p w14:paraId="671CACAE" w14:textId="77777777" w:rsidR="003E69A5" w:rsidRPr="003F7F6C" w:rsidRDefault="003E69A5" w:rsidP="00D25E0D">
            <w:pPr>
              <w:spacing w:after="0"/>
              <w:rPr>
                <w:rFonts w:eastAsia="Times New Roman" w:cs="Calibri"/>
                <w:color w:val="000000"/>
                <w:sz w:val="18"/>
                <w:szCs w:val="18"/>
                <w:lang w:eastAsia="es-ES"/>
              </w:rPr>
            </w:pPr>
          </w:p>
        </w:tc>
        <w:tc>
          <w:tcPr>
            <w:tcW w:w="4775" w:type="dxa"/>
            <w:tcBorders>
              <w:top w:val="nil"/>
              <w:left w:val="nil"/>
              <w:bottom w:val="single" w:sz="4" w:space="0" w:color="auto"/>
              <w:right w:val="single" w:sz="4" w:space="0" w:color="auto"/>
            </w:tcBorders>
            <w:shd w:val="clear" w:color="auto" w:fill="auto"/>
            <w:vAlign w:val="center"/>
            <w:hideMark/>
          </w:tcPr>
          <w:p w14:paraId="52197EEE"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Traditional knowledge is identified and recognized as</w:t>
            </w:r>
          </w:p>
          <w:p w14:paraId="372743A2"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important but is not collected and used in relevant</w:t>
            </w:r>
          </w:p>
          <w:p w14:paraId="785A6927" w14:textId="77777777" w:rsidR="003E69A5" w:rsidRPr="003F7F6C" w:rsidRDefault="003E69A5" w:rsidP="00D25E0D">
            <w:pPr>
              <w:spacing w:after="0"/>
              <w:rPr>
                <w:rFonts w:eastAsia="Times New Roman" w:cs="Calibri"/>
                <w:color w:val="000000"/>
                <w:sz w:val="18"/>
                <w:szCs w:val="18"/>
                <w:lang w:eastAsia="es-ES"/>
              </w:rPr>
            </w:pPr>
            <w:r w:rsidRPr="003F7F6C">
              <w:rPr>
                <w:rFonts w:cs="Calibri"/>
                <w:sz w:val="18"/>
                <w:szCs w:val="18"/>
              </w:rPr>
              <w:t>participative decision-making processes</w:t>
            </w:r>
          </w:p>
        </w:tc>
        <w:tc>
          <w:tcPr>
            <w:tcW w:w="753" w:type="dxa"/>
            <w:tcBorders>
              <w:top w:val="nil"/>
              <w:left w:val="nil"/>
              <w:bottom w:val="single" w:sz="4" w:space="0" w:color="auto"/>
              <w:right w:val="single" w:sz="4" w:space="0" w:color="auto"/>
            </w:tcBorders>
            <w:shd w:val="clear" w:color="auto" w:fill="auto"/>
            <w:vAlign w:val="center"/>
            <w:hideMark/>
          </w:tcPr>
          <w:p w14:paraId="3F80EC10"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1</w:t>
            </w:r>
          </w:p>
        </w:tc>
        <w:tc>
          <w:tcPr>
            <w:tcW w:w="709" w:type="dxa"/>
            <w:tcBorders>
              <w:top w:val="nil"/>
              <w:left w:val="nil"/>
              <w:bottom w:val="single" w:sz="4" w:space="0" w:color="auto"/>
              <w:right w:val="single" w:sz="4" w:space="0" w:color="auto"/>
            </w:tcBorders>
            <w:shd w:val="clear" w:color="auto" w:fill="auto"/>
            <w:vAlign w:val="center"/>
            <w:hideMark/>
          </w:tcPr>
          <w:p w14:paraId="4FECF50F"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410" w:type="dxa"/>
            <w:tcBorders>
              <w:top w:val="nil"/>
              <w:left w:val="nil"/>
              <w:bottom w:val="single" w:sz="4" w:space="0" w:color="auto"/>
              <w:right w:val="single" w:sz="4" w:space="0" w:color="auto"/>
            </w:tcBorders>
            <w:shd w:val="clear" w:color="auto" w:fill="auto"/>
            <w:vAlign w:val="center"/>
            <w:hideMark/>
          </w:tcPr>
          <w:p w14:paraId="508212B8"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871" w:type="dxa"/>
            <w:tcBorders>
              <w:top w:val="nil"/>
              <w:left w:val="nil"/>
              <w:bottom w:val="single" w:sz="4" w:space="0" w:color="auto"/>
              <w:right w:val="single" w:sz="4" w:space="0" w:color="auto"/>
            </w:tcBorders>
            <w:shd w:val="clear" w:color="auto" w:fill="auto"/>
            <w:vAlign w:val="center"/>
            <w:hideMark/>
          </w:tcPr>
          <w:p w14:paraId="2915079E"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084" w:type="dxa"/>
            <w:tcBorders>
              <w:top w:val="nil"/>
              <w:left w:val="nil"/>
              <w:bottom w:val="single" w:sz="4" w:space="0" w:color="auto"/>
              <w:right w:val="single" w:sz="4" w:space="0" w:color="auto"/>
            </w:tcBorders>
            <w:shd w:val="clear" w:color="auto" w:fill="auto"/>
            <w:vAlign w:val="center"/>
            <w:hideMark/>
          </w:tcPr>
          <w:p w14:paraId="26D20C05"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20E247DB" w14:textId="77777777" w:rsidTr="003E69A5">
        <w:trPr>
          <w:trHeight w:val="300"/>
          <w:jc w:val="center"/>
        </w:trPr>
        <w:tc>
          <w:tcPr>
            <w:tcW w:w="1838" w:type="dxa"/>
            <w:vMerge/>
            <w:tcBorders>
              <w:top w:val="nil"/>
              <w:left w:val="single" w:sz="4" w:space="0" w:color="auto"/>
              <w:bottom w:val="single" w:sz="4" w:space="0" w:color="auto"/>
              <w:right w:val="single" w:sz="4" w:space="0" w:color="auto"/>
            </w:tcBorders>
            <w:vAlign w:val="center"/>
            <w:hideMark/>
          </w:tcPr>
          <w:p w14:paraId="73EA92D7" w14:textId="77777777" w:rsidR="003E69A5" w:rsidRPr="003F7F6C" w:rsidRDefault="003E69A5" w:rsidP="00D25E0D">
            <w:pPr>
              <w:spacing w:after="0"/>
              <w:rPr>
                <w:rFonts w:eastAsia="Times New Roman" w:cs="Calibri"/>
                <w:color w:val="000000"/>
                <w:sz w:val="18"/>
                <w:szCs w:val="18"/>
                <w:lang w:eastAsia="es-ES"/>
              </w:rPr>
            </w:pPr>
          </w:p>
        </w:tc>
        <w:tc>
          <w:tcPr>
            <w:tcW w:w="4775" w:type="dxa"/>
            <w:tcBorders>
              <w:top w:val="nil"/>
              <w:left w:val="nil"/>
              <w:bottom w:val="single" w:sz="4" w:space="0" w:color="auto"/>
              <w:right w:val="single" w:sz="4" w:space="0" w:color="auto"/>
            </w:tcBorders>
            <w:shd w:val="clear" w:color="auto" w:fill="auto"/>
            <w:vAlign w:val="center"/>
            <w:hideMark/>
          </w:tcPr>
          <w:p w14:paraId="09103DF7"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Traditional knowledge is collected but is not used</w:t>
            </w:r>
          </w:p>
          <w:p w14:paraId="4F25E9F2"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systematically into relevant participative decision making</w:t>
            </w:r>
          </w:p>
          <w:p w14:paraId="7C8CD21C" w14:textId="77777777" w:rsidR="003E69A5" w:rsidRPr="003F7F6C" w:rsidRDefault="003E69A5" w:rsidP="00D25E0D">
            <w:pPr>
              <w:spacing w:after="0"/>
              <w:rPr>
                <w:rFonts w:eastAsia="Times New Roman" w:cs="Calibri"/>
                <w:color w:val="000000"/>
                <w:sz w:val="18"/>
                <w:szCs w:val="18"/>
                <w:lang w:eastAsia="es-ES"/>
              </w:rPr>
            </w:pPr>
            <w:r w:rsidRPr="003F7F6C">
              <w:rPr>
                <w:rFonts w:cs="Calibri"/>
                <w:sz w:val="18"/>
                <w:szCs w:val="18"/>
              </w:rPr>
              <w:t>processes</w:t>
            </w:r>
          </w:p>
        </w:tc>
        <w:tc>
          <w:tcPr>
            <w:tcW w:w="753" w:type="dxa"/>
            <w:tcBorders>
              <w:top w:val="nil"/>
              <w:left w:val="nil"/>
              <w:bottom w:val="single" w:sz="4" w:space="0" w:color="auto"/>
              <w:right w:val="single" w:sz="4" w:space="0" w:color="auto"/>
            </w:tcBorders>
            <w:shd w:val="clear" w:color="auto" w:fill="auto"/>
            <w:vAlign w:val="center"/>
            <w:hideMark/>
          </w:tcPr>
          <w:p w14:paraId="41657D46"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2</w:t>
            </w:r>
          </w:p>
        </w:tc>
        <w:tc>
          <w:tcPr>
            <w:tcW w:w="709" w:type="dxa"/>
            <w:tcBorders>
              <w:top w:val="nil"/>
              <w:left w:val="nil"/>
              <w:bottom w:val="single" w:sz="4" w:space="0" w:color="auto"/>
              <w:right w:val="single" w:sz="4" w:space="0" w:color="auto"/>
            </w:tcBorders>
            <w:shd w:val="clear" w:color="auto" w:fill="auto"/>
            <w:vAlign w:val="center"/>
            <w:hideMark/>
          </w:tcPr>
          <w:p w14:paraId="6D83BF11"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c>
          <w:tcPr>
            <w:tcW w:w="2410" w:type="dxa"/>
            <w:tcBorders>
              <w:top w:val="nil"/>
              <w:left w:val="nil"/>
              <w:bottom w:val="single" w:sz="4" w:space="0" w:color="auto"/>
              <w:right w:val="single" w:sz="4" w:space="0" w:color="auto"/>
            </w:tcBorders>
            <w:shd w:val="clear" w:color="auto" w:fill="auto"/>
            <w:vAlign w:val="center"/>
            <w:hideMark/>
          </w:tcPr>
          <w:p w14:paraId="7245EACE"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Consultation processes are undertaken. Ministry of Environment coordinates closely with the Indigenous Peoples Secretariat</w:t>
            </w:r>
          </w:p>
        </w:tc>
        <w:tc>
          <w:tcPr>
            <w:tcW w:w="2871" w:type="dxa"/>
            <w:tcBorders>
              <w:top w:val="nil"/>
              <w:left w:val="nil"/>
              <w:bottom w:val="single" w:sz="4" w:space="0" w:color="auto"/>
              <w:right w:val="single" w:sz="4" w:space="0" w:color="auto"/>
            </w:tcBorders>
            <w:shd w:val="clear" w:color="auto" w:fill="auto"/>
            <w:vAlign w:val="center"/>
            <w:hideMark/>
          </w:tcPr>
          <w:p w14:paraId="7F4DD5F2"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Specific consultation processes in each target landscape for development of ELUP processes</w:t>
            </w:r>
          </w:p>
        </w:tc>
        <w:tc>
          <w:tcPr>
            <w:tcW w:w="1084" w:type="dxa"/>
            <w:tcBorders>
              <w:top w:val="nil"/>
              <w:left w:val="nil"/>
              <w:bottom w:val="single" w:sz="4" w:space="0" w:color="auto"/>
              <w:right w:val="single" w:sz="4" w:space="0" w:color="auto"/>
            </w:tcBorders>
            <w:shd w:val="clear" w:color="auto" w:fill="auto"/>
            <w:vAlign w:val="center"/>
            <w:hideMark/>
          </w:tcPr>
          <w:p w14:paraId="6815A185"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r>
      <w:tr w:rsidR="003E69A5" w:rsidRPr="003F7F6C" w14:paraId="5F4A9A52" w14:textId="77777777" w:rsidTr="003E69A5">
        <w:trPr>
          <w:trHeight w:val="494"/>
          <w:jc w:val="center"/>
        </w:trPr>
        <w:tc>
          <w:tcPr>
            <w:tcW w:w="1838" w:type="dxa"/>
            <w:vMerge/>
            <w:tcBorders>
              <w:top w:val="nil"/>
              <w:left w:val="single" w:sz="4" w:space="0" w:color="auto"/>
              <w:bottom w:val="single" w:sz="4" w:space="0" w:color="auto"/>
              <w:right w:val="single" w:sz="4" w:space="0" w:color="auto"/>
            </w:tcBorders>
            <w:vAlign w:val="center"/>
            <w:hideMark/>
          </w:tcPr>
          <w:p w14:paraId="23EB5C8D" w14:textId="77777777" w:rsidR="003E69A5" w:rsidRPr="003F7F6C" w:rsidRDefault="003E69A5" w:rsidP="00D25E0D">
            <w:pPr>
              <w:spacing w:after="0"/>
              <w:rPr>
                <w:rFonts w:eastAsia="Times New Roman" w:cs="Calibri"/>
                <w:color w:val="000000"/>
                <w:sz w:val="18"/>
                <w:szCs w:val="18"/>
                <w:lang w:eastAsia="es-ES"/>
              </w:rPr>
            </w:pPr>
          </w:p>
        </w:tc>
        <w:tc>
          <w:tcPr>
            <w:tcW w:w="4775" w:type="dxa"/>
            <w:tcBorders>
              <w:top w:val="nil"/>
              <w:left w:val="nil"/>
              <w:bottom w:val="single" w:sz="4" w:space="0" w:color="auto"/>
              <w:right w:val="single" w:sz="4" w:space="0" w:color="auto"/>
            </w:tcBorders>
            <w:shd w:val="clear" w:color="auto" w:fill="auto"/>
            <w:vAlign w:val="center"/>
            <w:hideMark/>
          </w:tcPr>
          <w:p w14:paraId="174A4559"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Traditional knowledge is collected, used and shared</w:t>
            </w:r>
          </w:p>
          <w:p w14:paraId="17531CAF" w14:textId="77777777" w:rsidR="003E69A5" w:rsidRPr="003F7F6C" w:rsidRDefault="003E69A5" w:rsidP="00D25E0D">
            <w:pPr>
              <w:spacing w:after="0"/>
              <w:rPr>
                <w:rFonts w:eastAsia="Times New Roman" w:cs="Calibri"/>
                <w:color w:val="000000"/>
                <w:sz w:val="18"/>
                <w:szCs w:val="18"/>
                <w:lang w:eastAsia="es-ES"/>
              </w:rPr>
            </w:pPr>
            <w:r w:rsidRPr="003F7F6C">
              <w:rPr>
                <w:rFonts w:cs="Calibri"/>
                <w:sz w:val="18"/>
                <w:szCs w:val="18"/>
              </w:rPr>
              <w:t>for effective participative decision-making processes</w:t>
            </w:r>
          </w:p>
        </w:tc>
        <w:tc>
          <w:tcPr>
            <w:tcW w:w="753" w:type="dxa"/>
            <w:tcBorders>
              <w:top w:val="nil"/>
              <w:left w:val="nil"/>
              <w:bottom w:val="single" w:sz="4" w:space="0" w:color="auto"/>
              <w:right w:val="single" w:sz="4" w:space="0" w:color="auto"/>
            </w:tcBorders>
            <w:shd w:val="clear" w:color="auto" w:fill="auto"/>
            <w:vAlign w:val="center"/>
            <w:hideMark/>
          </w:tcPr>
          <w:p w14:paraId="6A8025A3"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3</w:t>
            </w:r>
          </w:p>
        </w:tc>
        <w:tc>
          <w:tcPr>
            <w:tcW w:w="709" w:type="dxa"/>
            <w:tcBorders>
              <w:top w:val="nil"/>
              <w:left w:val="nil"/>
              <w:bottom w:val="single" w:sz="4" w:space="0" w:color="auto"/>
              <w:right w:val="single" w:sz="4" w:space="0" w:color="auto"/>
            </w:tcBorders>
            <w:shd w:val="clear" w:color="auto" w:fill="auto"/>
            <w:vAlign w:val="center"/>
            <w:hideMark/>
          </w:tcPr>
          <w:p w14:paraId="5130C3AB"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410" w:type="dxa"/>
            <w:tcBorders>
              <w:top w:val="nil"/>
              <w:left w:val="nil"/>
              <w:bottom w:val="single" w:sz="4" w:space="0" w:color="auto"/>
              <w:right w:val="single" w:sz="4" w:space="0" w:color="auto"/>
            </w:tcBorders>
            <w:shd w:val="clear" w:color="auto" w:fill="auto"/>
            <w:vAlign w:val="center"/>
            <w:hideMark/>
          </w:tcPr>
          <w:p w14:paraId="56CF4EB6"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871" w:type="dxa"/>
            <w:tcBorders>
              <w:top w:val="nil"/>
              <w:left w:val="nil"/>
              <w:bottom w:val="single" w:sz="4" w:space="0" w:color="auto"/>
              <w:right w:val="single" w:sz="4" w:space="0" w:color="auto"/>
            </w:tcBorders>
            <w:shd w:val="clear" w:color="auto" w:fill="auto"/>
            <w:vAlign w:val="center"/>
            <w:hideMark/>
          </w:tcPr>
          <w:p w14:paraId="6A0B82EB"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084" w:type="dxa"/>
            <w:tcBorders>
              <w:top w:val="nil"/>
              <w:left w:val="nil"/>
              <w:bottom w:val="single" w:sz="4" w:space="0" w:color="auto"/>
              <w:right w:val="single" w:sz="4" w:space="0" w:color="auto"/>
            </w:tcBorders>
            <w:shd w:val="clear" w:color="auto" w:fill="auto"/>
            <w:vAlign w:val="center"/>
            <w:hideMark/>
          </w:tcPr>
          <w:p w14:paraId="56AA534D"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6D1A38C1" w14:textId="77777777" w:rsidTr="003E69A5">
        <w:trPr>
          <w:trHeight w:val="300"/>
          <w:jc w:val="center"/>
        </w:trPr>
        <w:tc>
          <w:tcPr>
            <w:tcW w:w="1838" w:type="dxa"/>
            <w:tcBorders>
              <w:top w:val="nil"/>
              <w:left w:val="single" w:sz="4" w:space="0" w:color="auto"/>
              <w:bottom w:val="single" w:sz="4" w:space="0" w:color="auto"/>
              <w:right w:val="single" w:sz="4" w:space="0" w:color="auto"/>
            </w:tcBorders>
            <w:vAlign w:val="center"/>
          </w:tcPr>
          <w:p w14:paraId="4C0F2477" w14:textId="77777777" w:rsidR="003E69A5" w:rsidRPr="003F7F6C" w:rsidRDefault="003E69A5" w:rsidP="00D25E0D">
            <w:pPr>
              <w:spacing w:after="0"/>
              <w:rPr>
                <w:rFonts w:eastAsia="Times New Roman" w:cs="Calibri"/>
                <w:color w:val="000000"/>
                <w:sz w:val="18"/>
                <w:szCs w:val="18"/>
                <w:lang w:eastAsia="es-ES"/>
              </w:rPr>
            </w:pPr>
          </w:p>
        </w:tc>
        <w:tc>
          <w:tcPr>
            <w:tcW w:w="4775" w:type="dxa"/>
            <w:tcBorders>
              <w:top w:val="nil"/>
              <w:left w:val="nil"/>
              <w:bottom w:val="single" w:sz="4" w:space="0" w:color="auto"/>
              <w:right w:val="single" w:sz="4" w:space="0" w:color="auto"/>
            </w:tcBorders>
            <w:shd w:val="clear" w:color="auto" w:fill="auto"/>
            <w:vAlign w:val="center"/>
          </w:tcPr>
          <w:p w14:paraId="7BF6B98D"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p>
        </w:tc>
        <w:tc>
          <w:tcPr>
            <w:tcW w:w="753" w:type="dxa"/>
            <w:tcBorders>
              <w:top w:val="nil"/>
              <w:left w:val="nil"/>
              <w:bottom w:val="single" w:sz="4" w:space="0" w:color="auto"/>
              <w:right w:val="single" w:sz="4" w:space="0" w:color="auto"/>
            </w:tcBorders>
            <w:shd w:val="clear" w:color="auto" w:fill="auto"/>
            <w:vAlign w:val="center"/>
          </w:tcPr>
          <w:p w14:paraId="43394BA3"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15</w:t>
            </w:r>
          </w:p>
        </w:tc>
        <w:tc>
          <w:tcPr>
            <w:tcW w:w="709" w:type="dxa"/>
            <w:tcBorders>
              <w:top w:val="nil"/>
              <w:left w:val="nil"/>
              <w:bottom w:val="single" w:sz="4" w:space="0" w:color="auto"/>
              <w:right w:val="single" w:sz="4" w:space="0" w:color="auto"/>
            </w:tcBorders>
            <w:shd w:val="clear" w:color="auto" w:fill="auto"/>
            <w:vAlign w:val="center"/>
          </w:tcPr>
          <w:p w14:paraId="081777F9"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7</w:t>
            </w:r>
          </w:p>
        </w:tc>
        <w:tc>
          <w:tcPr>
            <w:tcW w:w="2410" w:type="dxa"/>
            <w:tcBorders>
              <w:top w:val="nil"/>
              <w:left w:val="nil"/>
              <w:bottom w:val="single" w:sz="4" w:space="0" w:color="auto"/>
              <w:right w:val="single" w:sz="4" w:space="0" w:color="auto"/>
            </w:tcBorders>
            <w:shd w:val="clear" w:color="auto" w:fill="auto"/>
            <w:vAlign w:val="center"/>
          </w:tcPr>
          <w:p w14:paraId="07623113" w14:textId="77777777" w:rsidR="003E69A5" w:rsidRPr="003F7F6C" w:rsidRDefault="003E69A5" w:rsidP="00D25E0D">
            <w:pPr>
              <w:spacing w:after="0"/>
              <w:rPr>
                <w:rFonts w:eastAsia="Times New Roman" w:cs="Calibri"/>
                <w:color w:val="000000"/>
                <w:sz w:val="18"/>
                <w:szCs w:val="18"/>
                <w:lang w:eastAsia="es-ES"/>
              </w:rPr>
            </w:pPr>
          </w:p>
        </w:tc>
        <w:tc>
          <w:tcPr>
            <w:tcW w:w="2871" w:type="dxa"/>
            <w:tcBorders>
              <w:top w:val="nil"/>
              <w:left w:val="nil"/>
              <w:bottom w:val="single" w:sz="4" w:space="0" w:color="auto"/>
              <w:right w:val="single" w:sz="4" w:space="0" w:color="auto"/>
            </w:tcBorders>
            <w:shd w:val="clear" w:color="auto" w:fill="auto"/>
            <w:vAlign w:val="center"/>
          </w:tcPr>
          <w:p w14:paraId="5D01606B" w14:textId="77777777" w:rsidR="003E69A5" w:rsidRPr="003F7F6C" w:rsidRDefault="003E69A5" w:rsidP="00D25E0D">
            <w:pPr>
              <w:spacing w:after="0"/>
              <w:rPr>
                <w:rFonts w:eastAsia="Times New Roman" w:cs="Calibri"/>
                <w:color w:val="000000"/>
                <w:sz w:val="18"/>
                <w:szCs w:val="18"/>
                <w:lang w:eastAsia="es-ES"/>
              </w:rPr>
            </w:pPr>
          </w:p>
        </w:tc>
        <w:tc>
          <w:tcPr>
            <w:tcW w:w="1084" w:type="dxa"/>
            <w:tcBorders>
              <w:top w:val="nil"/>
              <w:left w:val="nil"/>
              <w:bottom w:val="single" w:sz="4" w:space="0" w:color="auto"/>
              <w:right w:val="single" w:sz="4" w:space="0" w:color="auto"/>
            </w:tcBorders>
            <w:shd w:val="clear" w:color="auto" w:fill="auto"/>
            <w:vAlign w:val="center"/>
          </w:tcPr>
          <w:p w14:paraId="18DCE3C2"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1E323473" w14:textId="77777777" w:rsidTr="003E69A5">
        <w:trPr>
          <w:trHeight w:val="300"/>
          <w:jc w:val="center"/>
        </w:trPr>
        <w:tc>
          <w:tcPr>
            <w:tcW w:w="1838" w:type="dxa"/>
            <w:tcBorders>
              <w:top w:val="nil"/>
              <w:left w:val="single" w:sz="4" w:space="0" w:color="auto"/>
              <w:bottom w:val="single" w:sz="4" w:space="0" w:color="auto"/>
              <w:right w:val="single" w:sz="4" w:space="0" w:color="auto"/>
            </w:tcBorders>
            <w:vAlign w:val="center"/>
          </w:tcPr>
          <w:p w14:paraId="2200358F" w14:textId="77777777" w:rsidR="003E69A5" w:rsidRPr="003F7F6C" w:rsidRDefault="003E69A5" w:rsidP="00D25E0D">
            <w:pPr>
              <w:spacing w:after="0"/>
              <w:rPr>
                <w:rFonts w:eastAsia="Times New Roman" w:cs="Calibri"/>
                <w:color w:val="000000"/>
                <w:sz w:val="18"/>
                <w:szCs w:val="18"/>
                <w:lang w:eastAsia="es-ES"/>
              </w:rPr>
            </w:pPr>
          </w:p>
        </w:tc>
        <w:tc>
          <w:tcPr>
            <w:tcW w:w="4775" w:type="dxa"/>
            <w:tcBorders>
              <w:top w:val="nil"/>
              <w:left w:val="nil"/>
              <w:bottom w:val="single" w:sz="4" w:space="0" w:color="auto"/>
              <w:right w:val="single" w:sz="4" w:space="0" w:color="auto"/>
            </w:tcBorders>
            <w:shd w:val="clear" w:color="auto" w:fill="auto"/>
            <w:vAlign w:val="center"/>
          </w:tcPr>
          <w:p w14:paraId="7D1362B9"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p>
        </w:tc>
        <w:tc>
          <w:tcPr>
            <w:tcW w:w="753" w:type="dxa"/>
            <w:tcBorders>
              <w:top w:val="nil"/>
              <w:left w:val="nil"/>
              <w:bottom w:val="single" w:sz="4" w:space="0" w:color="auto"/>
              <w:right w:val="single" w:sz="4" w:space="0" w:color="auto"/>
            </w:tcBorders>
            <w:shd w:val="clear" w:color="auto" w:fill="auto"/>
            <w:vAlign w:val="center"/>
          </w:tcPr>
          <w:p w14:paraId="6BBF40C0" w14:textId="77777777" w:rsidR="003E69A5" w:rsidRPr="003F7F6C" w:rsidRDefault="003E69A5" w:rsidP="00D25E0D">
            <w:pPr>
              <w:spacing w:after="0"/>
              <w:jc w:val="center"/>
              <w:rPr>
                <w:rFonts w:eastAsia="Times New Roman" w:cs="Calibri"/>
                <w:color w:val="000000"/>
                <w:sz w:val="18"/>
                <w:szCs w:val="18"/>
                <w:lang w:eastAsia="es-ES"/>
              </w:rPr>
            </w:pPr>
          </w:p>
        </w:tc>
        <w:tc>
          <w:tcPr>
            <w:tcW w:w="709" w:type="dxa"/>
            <w:tcBorders>
              <w:top w:val="nil"/>
              <w:left w:val="nil"/>
              <w:bottom w:val="single" w:sz="4" w:space="0" w:color="auto"/>
              <w:right w:val="single" w:sz="4" w:space="0" w:color="auto"/>
            </w:tcBorders>
            <w:shd w:val="clear" w:color="auto" w:fill="auto"/>
            <w:vAlign w:val="center"/>
          </w:tcPr>
          <w:p w14:paraId="2323F52C"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46,6%</w:t>
            </w:r>
          </w:p>
        </w:tc>
        <w:tc>
          <w:tcPr>
            <w:tcW w:w="2410" w:type="dxa"/>
            <w:tcBorders>
              <w:top w:val="nil"/>
              <w:left w:val="nil"/>
              <w:bottom w:val="single" w:sz="4" w:space="0" w:color="auto"/>
              <w:right w:val="single" w:sz="4" w:space="0" w:color="auto"/>
            </w:tcBorders>
            <w:shd w:val="clear" w:color="auto" w:fill="auto"/>
            <w:vAlign w:val="center"/>
          </w:tcPr>
          <w:p w14:paraId="3581505B" w14:textId="77777777" w:rsidR="003E69A5" w:rsidRPr="003F7F6C" w:rsidRDefault="003E69A5" w:rsidP="00D25E0D">
            <w:pPr>
              <w:spacing w:after="0"/>
              <w:rPr>
                <w:rFonts w:eastAsia="Times New Roman" w:cs="Calibri"/>
                <w:color w:val="000000"/>
                <w:sz w:val="18"/>
                <w:szCs w:val="18"/>
                <w:lang w:eastAsia="es-ES"/>
              </w:rPr>
            </w:pPr>
          </w:p>
        </w:tc>
        <w:tc>
          <w:tcPr>
            <w:tcW w:w="2871" w:type="dxa"/>
            <w:tcBorders>
              <w:top w:val="nil"/>
              <w:left w:val="nil"/>
              <w:bottom w:val="single" w:sz="4" w:space="0" w:color="auto"/>
              <w:right w:val="single" w:sz="4" w:space="0" w:color="auto"/>
            </w:tcBorders>
            <w:shd w:val="clear" w:color="auto" w:fill="auto"/>
            <w:vAlign w:val="center"/>
          </w:tcPr>
          <w:p w14:paraId="3CF495D1" w14:textId="77777777" w:rsidR="003E69A5" w:rsidRPr="003F7F6C" w:rsidRDefault="003E69A5" w:rsidP="00D25E0D">
            <w:pPr>
              <w:spacing w:after="0"/>
              <w:rPr>
                <w:rFonts w:eastAsia="Times New Roman" w:cs="Calibri"/>
                <w:color w:val="000000"/>
                <w:sz w:val="18"/>
                <w:szCs w:val="18"/>
                <w:lang w:eastAsia="es-ES"/>
              </w:rPr>
            </w:pPr>
          </w:p>
        </w:tc>
        <w:tc>
          <w:tcPr>
            <w:tcW w:w="1084" w:type="dxa"/>
            <w:tcBorders>
              <w:top w:val="nil"/>
              <w:left w:val="nil"/>
              <w:bottom w:val="single" w:sz="4" w:space="0" w:color="auto"/>
              <w:right w:val="single" w:sz="4" w:space="0" w:color="auto"/>
            </w:tcBorders>
            <w:shd w:val="clear" w:color="auto" w:fill="auto"/>
            <w:vAlign w:val="center"/>
          </w:tcPr>
          <w:p w14:paraId="0E2435D7"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7D2FFD61" w14:textId="77777777" w:rsidTr="00D25E0D">
        <w:trPr>
          <w:trHeight w:val="300"/>
          <w:jc w:val="center"/>
        </w:trPr>
        <w:tc>
          <w:tcPr>
            <w:tcW w:w="14440" w:type="dxa"/>
            <w:gridSpan w:val="7"/>
            <w:tcBorders>
              <w:top w:val="single" w:sz="4" w:space="0" w:color="auto"/>
              <w:left w:val="single" w:sz="4" w:space="0" w:color="auto"/>
              <w:bottom w:val="single" w:sz="4" w:space="0" w:color="auto"/>
              <w:right w:val="single" w:sz="4" w:space="0" w:color="auto"/>
            </w:tcBorders>
            <w:shd w:val="clear" w:color="000000" w:fill="D9D9D9"/>
            <w:vAlign w:val="center"/>
            <w:hideMark/>
          </w:tcPr>
          <w:p w14:paraId="0712F43A"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 xml:space="preserve">CR 3: Capacities for Strategy, Policy and Legislation Development  </w:t>
            </w:r>
          </w:p>
        </w:tc>
      </w:tr>
      <w:tr w:rsidR="003E69A5" w:rsidRPr="003F7F6C" w14:paraId="04740B20" w14:textId="77777777" w:rsidTr="003E69A5">
        <w:trPr>
          <w:trHeight w:val="300"/>
          <w:jc w:val="center"/>
        </w:trPr>
        <w:tc>
          <w:tcPr>
            <w:tcW w:w="1838" w:type="dxa"/>
            <w:vMerge w:val="restart"/>
            <w:tcBorders>
              <w:top w:val="nil"/>
              <w:left w:val="single" w:sz="4" w:space="0" w:color="auto"/>
              <w:bottom w:val="single" w:sz="4" w:space="0" w:color="auto"/>
              <w:right w:val="single" w:sz="4" w:space="0" w:color="auto"/>
            </w:tcBorders>
            <w:shd w:val="clear" w:color="auto" w:fill="auto"/>
            <w:vAlign w:val="center"/>
            <w:hideMark/>
          </w:tcPr>
          <w:p w14:paraId="351867CD"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Indicator 9: Extent of the environmental planning and strategy development process</w:t>
            </w:r>
          </w:p>
        </w:tc>
        <w:tc>
          <w:tcPr>
            <w:tcW w:w="4775" w:type="dxa"/>
            <w:tcBorders>
              <w:top w:val="nil"/>
              <w:left w:val="nil"/>
              <w:bottom w:val="single" w:sz="4" w:space="0" w:color="auto"/>
              <w:right w:val="single" w:sz="4" w:space="0" w:color="auto"/>
            </w:tcBorders>
            <w:shd w:val="clear" w:color="auto" w:fill="auto"/>
            <w:vAlign w:val="center"/>
            <w:hideMark/>
          </w:tcPr>
          <w:p w14:paraId="0452FD2A"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 The environmental planning and strategy</w:t>
            </w:r>
          </w:p>
          <w:p w14:paraId="7EC6F7FD"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development process is not coordinated and does not produce adequate environmental plans and strategies</w:t>
            </w:r>
          </w:p>
          <w:p w14:paraId="3224ACE8" w14:textId="77777777" w:rsidR="003E69A5" w:rsidRPr="003F7F6C" w:rsidRDefault="003E69A5" w:rsidP="00D25E0D">
            <w:pPr>
              <w:autoSpaceDE w:val="0"/>
              <w:autoSpaceDN w:val="0"/>
              <w:adjustRightInd w:val="0"/>
              <w:spacing w:after="0"/>
              <w:rPr>
                <w:rFonts w:cs="Calibri"/>
                <w:sz w:val="18"/>
                <w:szCs w:val="18"/>
              </w:rPr>
            </w:pPr>
          </w:p>
        </w:tc>
        <w:tc>
          <w:tcPr>
            <w:tcW w:w="753" w:type="dxa"/>
            <w:tcBorders>
              <w:top w:val="nil"/>
              <w:left w:val="nil"/>
              <w:bottom w:val="single" w:sz="4" w:space="0" w:color="auto"/>
              <w:right w:val="single" w:sz="4" w:space="0" w:color="auto"/>
            </w:tcBorders>
            <w:shd w:val="clear" w:color="auto" w:fill="auto"/>
            <w:vAlign w:val="center"/>
            <w:hideMark/>
          </w:tcPr>
          <w:p w14:paraId="440A0DD5"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0</w:t>
            </w:r>
          </w:p>
        </w:tc>
        <w:tc>
          <w:tcPr>
            <w:tcW w:w="709" w:type="dxa"/>
            <w:tcBorders>
              <w:top w:val="nil"/>
              <w:left w:val="nil"/>
              <w:bottom w:val="single" w:sz="4" w:space="0" w:color="auto"/>
              <w:right w:val="single" w:sz="4" w:space="0" w:color="auto"/>
            </w:tcBorders>
            <w:shd w:val="clear" w:color="auto" w:fill="auto"/>
            <w:vAlign w:val="center"/>
            <w:hideMark/>
          </w:tcPr>
          <w:p w14:paraId="50C17E24"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410" w:type="dxa"/>
            <w:tcBorders>
              <w:top w:val="nil"/>
              <w:left w:val="nil"/>
              <w:bottom w:val="single" w:sz="4" w:space="0" w:color="auto"/>
              <w:right w:val="single" w:sz="4" w:space="0" w:color="auto"/>
            </w:tcBorders>
            <w:shd w:val="clear" w:color="auto" w:fill="auto"/>
            <w:vAlign w:val="center"/>
            <w:hideMark/>
          </w:tcPr>
          <w:p w14:paraId="2A111C26"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871" w:type="dxa"/>
            <w:tcBorders>
              <w:top w:val="nil"/>
              <w:left w:val="nil"/>
              <w:bottom w:val="single" w:sz="4" w:space="0" w:color="auto"/>
              <w:right w:val="single" w:sz="4" w:space="0" w:color="auto"/>
            </w:tcBorders>
            <w:shd w:val="clear" w:color="auto" w:fill="auto"/>
            <w:vAlign w:val="center"/>
            <w:hideMark/>
          </w:tcPr>
          <w:p w14:paraId="6D7194F3"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084" w:type="dxa"/>
            <w:tcBorders>
              <w:top w:val="nil"/>
              <w:left w:val="nil"/>
              <w:bottom w:val="single" w:sz="4" w:space="0" w:color="auto"/>
              <w:right w:val="single" w:sz="4" w:space="0" w:color="auto"/>
            </w:tcBorders>
            <w:shd w:val="clear" w:color="auto" w:fill="auto"/>
            <w:vAlign w:val="center"/>
            <w:hideMark/>
          </w:tcPr>
          <w:p w14:paraId="396C227E"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0F72325C" w14:textId="77777777" w:rsidTr="003E69A5">
        <w:trPr>
          <w:trHeight w:val="300"/>
          <w:jc w:val="center"/>
        </w:trPr>
        <w:tc>
          <w:tcPr>
            <w:tcW w:w="1838" w:type="dxa"/>
            <w:vMerge/>
            <w:tcBorders>
              <w:top w:val="nil"/>
              <w:left w:val="single" w:sz="4" w:space="0" w:color="auto"/>
              <w:bottom w:val="single" w:sz="4" w:space="0" w:color="auto"/>
              <w:right w:val="single" w:sz="4" w:space="0" w:color="auto"/>
            </w:tcBorders>
            <w:vAlign w:val="center"/>
            <w:hideMark/>
          </w:tcPr>
          <w:p w14:paraId="72DB8BCF" w14:textId="77777777" w:rsidR="003E69A5" w:rsidRPr="003F7F6C" w:rsidRDefault="003E69A5" w:rsidP="00D25E0D">
            <w:pPr>
              <w:autoSpaceDE w:val="0"/>
              <w:autoSpaceDN w:val="0"/>
              <w:adjustRightInd w:val="0"/>
              <w:spacing w:after="0"/>
              <w:rPr>
                <w:rFonts w:cs="Calibri"/>
                <w:sz w:val="18"/>
                <w:szCs w:val="18"/>
              </w:rPr>
            </w:pPr>
          </w:p>
        </w:tc>
        <w:tc>
          <w:tcPr>
            <w:tcW w:w="47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B8F8573"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 The environmental planning and strategy</w:t>
            </w:r>
          </w:p>
          <w:p w14:paraId="7BFF735A"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development process does produce adequate</w:t>
            </w:r>
          </w:p>
          <w:p w14:paraId="11F9372A"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environmental plans and strategies but there are not implemented/used</w:t>
            </w:r>
          </w:p>
        </w:tc>
        <w:tc>
          <w:tcPr>
            <w:tcW w:w="75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C5F64A"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58638EA"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1</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9426683"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There are several sector planning strategies but integrated planning strategies are needed</w:t>
            </w:r>
          </w:p>
        </w:tc>
        <w:tc>
          <w:tcPr>
            <w:tcW w:w="28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6392F2"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Develop integrated strategies for ELUP </w:t>
            </w:r>
          </w:p>
        </w:tc>
        <w:tc>
          <w:tcPr>
            <w:tcW w:w="10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092236"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42B13DA8" w14:textId="77777777" w:rsidTr="003E69A5">
        <w:trPr>
          <w:trHeight w:val="300"/>
          <w:jc w:val="center"/>
        </w:trPr>
        <w:tc>
          <w:tcPr>
            <w:tcW w:w="1838" w:type="dxa"/>
            <w:vMerge/>
            <w:tcBorders>
              <w:top w:val="nil"/>
              <w:left w:val="single" w:sz="4" w:space="0" w:color="auto"/>
              <w:bottom w:val="single" w:sz="4" w:space="0" w:color="auto"/>
              <w:right w:val="single" w:sz="4" w:space="0" w:color="auto"/>
            </w:tcBorders>
            <w:vAlign w:val="center"/>
            <w:hideMark/>
          </w:tcPr>
          <w:p w14:paraId="2B02A480" w14:textId="77777777" w:rsidR="003E69A5" w:rsidRPr="003F7F6C" w:rsidRDefault="003E69A5" w:rsidP="00D25E0D">
            <w:pPr>
              <w:autoSpaceDE w:val="0"/>
              <w:autoSpaceDN w:val="0"/>
              <w:adjustRightInd w:val="0"/>
              <w:spacing w:after="0"/>
              <w:rPr>
                <w:rFonts w:cs="Calibri"/>
                <w:sz w:val="18"/>
                <w:szCs w:val="18"/>
              </w:rPr>
            </w:pPr>
          </w:p>
        </w:tc>
        <w:tc>
          <w:tcPr>
            <w:tcW w:w="4775" w:type="dxa"/>
            <w:tcBorders>
              <w:top w:val="single" w:sz="4" w:space="0" w:color="auto"/>
              <w:left w:val="nil"/>
              <w:bottom w:val="single" w:sz="4" w:space="0" w:color="auto"/>
              <w:right w:val="single" w:sz="4" w:space="0" w:color="auto"/>
            </w:tcBorders>
            <w:shd w:val="clear" w:color="auto" w:fill="auto"/>
            <w:vAlign w:val="center"/>
            <w:hideMark/>
          </w:tcPr>
          <w:p w14:paraId="1F6D9B5E"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 Adequate environmental plans and strategies are</w:t>
            </w:r>
          </w:p>
          <w:p w14:paraId="4AEE28F5"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produced but there are only partially implemented</w:t>
            </w:r>
          </w:p>
          <w:p w14:paraId="2DA6279B"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because of funding constraints and/or other problems</w:t>
            </w:r>
          </w:p>
        </w:tc>
        <w:tc>
          <w:tcPr>
            <w:tcW w:w="753" w:type="dxa"/>
            <w:tcBorders>
              <w:top w:val="single" w:sz="4" w:space="0" w:color="auto"/>
              <w:left w:val="nil"/>
              <w:bottom w:val="single" w:sz="4" w:space="0" w:color="auto"/>
              <w:right w:val="single" w:sz="4" w:space="0" w:color="auto"/>
            </w:tcBorders>
            <w:shd w:val="clear" w:color="auto" w:fill="auto"/>
            <w:vAlign w:val="center"/>
            <w:hideMark/>
          </w:tcPr>
          <w:p w14:paraId="5A4A2EAA"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2</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6AED02ED"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14:paraId="21962FC4"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871" w:type="dxa"/>
            <w:tcBorders>
              <w:top w:val="single" w:sz="4" w:space="0" w:color="auto"/>
              <w:left w:val="nil"/>
              <w:bottom w:val="single" w:sz="4" w:space="0" w:color="auto"/>
              <w:right w:val="single" w:sz="4" w:space="0" w:color="auto"/>
            </w:tcBorders>
            <w:shd w:val="clear" w:color="auto" w:fill="auto"/>
            <w:vAlign w:val="center"/>
            <w:hideMark/>
          </w:tcPr>
          <w:p w14:paraId="19B33AD0"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084" w:type="dxa"/>
            <w:tcBorders>
              <w:top w:val="single" w:sz="4" w:space="0" w:color="auto"/>
              <w:left w:val="nil"/>
              <w:bottom w:val="single" w:sz="4" w:space="0" w:color="auto"/>
              <w:right w:val="single" w:sz="4" w:space="0" w:color="auto"/>
            </w:tcBorders>
            <w:shd w:val="clear" w:color="auto" w:fill="auto"/>
            <w:vAlign w:val="center"/>
            <w:hideMark/>
          </w:tcPr>
          <w:p w14:paraId="0BE3F16B"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7DE07BDE" w14:textId="77777777" w:rsidTr="003E69A5">
        <w:trPr>
          <w:trHeight w:val="300"/>
          <w:jc w:val="center"/>
        </w:trPr>
        <w:tc>
          <w:tcPr>
            <w:tcW w:w="1838" w:type="dxa"/>
            <w:vMerge/>
            <w:tcBorders>
              <w:top w:val="nil"/>
              <w:left w:val="single" w:sz="4" w:space="0" w:color="auto"/>
              <w:bottom w:val="single" w:sz="4" w:space="0" w:color="auto"/>
              <w:right w:val="single" w:sz="4" w:space="0" w:color="auto"/>
            </w:tcBorders>
            <w:vAlign w:val="center"/>
            <w:hideMark/>
          </w:tcPr>
          <w:p w14:paraId="2497412E" w14:textId="77777777" w:rsidR="003E69A5" w:rsidRPr="003F7F6C" w:rsidRDefault="003E69A5" w:rsidP="00D25E0D">
            <w:pPr>
              <w:spacing w:after="0"/>
              <w:rPr>
                <w:rFonts w:eastAsia="Times New Roman" w:cs="Calibri"/>
                <w:color w:val="000000"/>
                <w:sz w:val="18"/>
                <w:szCs w:val="18"/>
                <w:lang w:eastAsia="es-ES"/>
              </w:rPr>
            </w:pPr>
          </w:p>
        </w:tc>
        <w:tc>
          <w:tcPr>
            <w:tcW w:w="4775" w:type="dxa"/>
            <w:tcBorders>
              <w:top w:val="nil"/>
              <w:left w:val="nil"/>
              <w:bottom w:val="single" w:sz="4" w:space="0" w:color="auto"/>
              <w:right w:val="single" w:sz="4" w:space="0" w:color="auto"/>
            </w:tcBorders>
            <w:shd w:val="clear" w:color="auto" w:fill="auto"/>
            <w:vAlign w:val="center"/>
            <w:hideMark/>
          </w:tcPr>
          <w:p w14:paraId="59AC51CF"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The environmental planning and strategy</w:t>
            </w:r>
          </w:p>
          <w:p w14:paraId="42CB52B5"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development process is well coordinated by the lead</w:t>
            </w:r>
          </w:p>
          <w:p w14:paraId="0D30C1CC"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environmental organizations and produces the</w:t>
            </w:r>
          </w:p>
          <w:p w14:paraId="228772FF"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required environmental plans and strategies; which</w:t>
            </w:r>
          </w:p>
          <w:p w14:paraId="415369D8" w14:textId="77777777" w:rsidR="003E69A5" w:rsidRPr="003F7F6C" w:rsidRDefault="003E69A5" w:rsidP="00D25E0D">
            <w:pPr>
              <w:spacing w:after="0"/>
              <w:rPr>
                <w:rFonts w:eastAsia="Times New Roman" w:cs="Calibri"/>
                <w:color w:val="000000"/>
                <w:sz w:val="18"/>
                <w:szCs w:val="18"/>
                <w:lang w:eastAsia="es-ES"/>
              </w:rPr>
            </w:pPr>
            <w:r w:rsidRPr="003F7F6C">
              <w:rPr>
                <w:rFonts w:cs="Calibri"/>
                <w:sz w:val="18"/>
                <w:szCs w:val="18"/>
              </w:rPr>
              <w:t>are being implemented</w:t>
            </w:r>
          </w:p>
        </w:tc>
        <w:tc>
          <w:tcPr>
            <w:tcW w:w="753" w:type="dxa"/>
            <w:tcBorders>
              <w:top w:val="nil"/>
              <w:left w:val="nil"/>
              <w:bottom w:val="single" w:sz="4" w:space="0" w:color="auto"/>
              <w:right w:val="single" w:sz="4" w:space="0" w:color="auto"/>
            </w:tcBorders>
            <w:shd w:val="clear" w:color="auto" w:fill="auto"/>
            <w:vAlign w:val="center"/>
            <w:hideMark/>
          </w:tcPr>
          <w:p w14:paraId="381048B4"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3</w:t>
            </w:r>
          </w:p>
        </w:tc>
        <w:tc>
          <w:tcPr>
            <w:tcW w:w="709" w:type="dxa"/>
            <w:tcBorders>
              <w:top w:val="nil"/>
              <w:left w:val="nil"/>
              <w:bottom w:val="single" w:sz="4" w:space="0" w:color="auto"/>
              <w:right w:val="single" w:sz="4" w:space="0" w:color="auto"/>
            </w:tcBorders>
            <w:shd w:val="clear" w:color="auto" w:fill="auto"/>
            <w:vAlign w:val="center"/>
            <w:hideMark/>
          </w:tcPr>
          <w:p w14:paraId="63C1F4EF"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410" w:type="dxa"/>
            <w:tcBorders>
              <w:top w:val="nil"/>
              <w:left w:val="nil"/>
              <w:bottom w:val="single" w:sz="4" w:space="0" w:color="auto"/>
              <w:right w:val="single" w:sz="4" w:space="0" w:color="auto"/>
            </w:tcBorders>
            <w:shd w:val="clear" w:color="auto" w:fill="auto"/>
            <w:vAlign w:val="center"/>
            <w:hideMark/>
          </w:tcPr>
          <w:p w14:paraId="22DE62F9"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871" w:type="dxa"/>
            <w:tcBorders>
              <w:top w:val="nil"/>
              <w:left w:val="nil"/>
              <w:bottom w:val="single" w:sz="4" w:space="0" w:color="auto"/>
              <w:right w:val="single" w:sz="4" w:space="0" w:color="auto"/>
            </w:tcBorders>
            <w:shd w:val="clear" w:color="auto" w:fill="auto"/>
            <w:vAlign w:val="center"/>
            <w:hideMark/>
          </w:tcPr>
          <w:p w14:paraId="48879E62"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084" w:type="dxa"/>
            <w:tcBorders>
              <w:top w:val="nil"/>
              <w:left w:val="nil"/>
              <w:bottom w:val="single" w:sz="4" w:space="0" w:color="auto"/>
              <w:right w:val="single" w:sz="4" w:space="0" w:color="auto"/>
            </w:tcBorders>
            <w:shd w:val="clear" w:color="auto" w:fill="auto"/>
            <w:vAlign w:val="center"/>
            <w:hideMark/>
          </w:tcPr>
          <w:p w14:paraId="15D3EAB9"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5772855C" w14:textId="77777777" w:rsidTr="003E69A5">
        <w:trPr>
          <w:trHeight w:val="300"/>
          <w:jc w:val="center"/>
        </w:trPr>
        <w:tc>
          <w:tcPr>
            <w:tcW w:w="183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7FCEA7D"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Indicator 10: Existence of adequate environmental policy and regulatory frameworks</w:t>
            </w:r>
          </w:p>
        </w:tc>
        <w:tc>
          <w:tcPr>
            <w:tcW w:w="47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CBC742F"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The environmental policy and regulatory frameworks are insufficient; they do not provide an enabling environment</w:t>
            </w:r>
          </w:p>
        </w:tc>
        <w:tc>
          <w:tcPr>
            <w:tcW w:w="75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C20072"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0</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97F94B"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E4390F5"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8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11CD141"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0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994AB0A"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3539B2AC" w14:textId="77777777" w:rsidTr="003E69A5">
        <w:trPr>
          <w:trHeight w:val="300"/>
          <w:jc w:val="center"/>
        </w:trPr>
        <w:tc>
          <w:tcPr>
            <w:tcW w:w="1838" w:type="dxa"/>
            <w:vMerge/>
            <w:tcBorders>
              <w:top w:val="single" w:sz="4" w:space="0" w:color="auto"/>
              <w:left w:val="single" w:sz="4" w:space="0" w:color="auto"/>
              <w:bottom w:val="single" w:sz="4" w:space="0" w:color="auto"/>
              <w:right w:val="single" w:sz="4" w:space="0" w:color="auto"/>
            </w:tcBorders>
            <w:vAlign w:val="center"/>
            <w:hideMark/>
          </w:tcPr>
          <w:p w14:paraId="5F72F575" w14:textId="77777777" w:rsidR="003E69A5" w:rsidRPr="003F7F6C" w:rsidRDefault="003E69A5" w:rsidP="00D25E0D">
            <w:pPr>
              <w:spacing w:after="0"/>
              <w:rPr>
                <w:rFonts w:eastAsia="Times New Roman" w:cs="Calibri"/>
                <w:color w:val="000000"/>
                <w:sz w:val="18"/>
                <w:szCs w:val="18"/>
                <w:lang w:eastAsia="es-ES"/>
              </w:rPr>
            </w:pPr>
          </w:p>
        </w:tc>
        <w:tc>
          <w:tcPr>
            <w:tcW w:w="4775" w:type="dxa"/>
            <w:tcBorders>
              <w:top w:val="single" w:sz="4" w:space="0" w:color="auto"/>
              <w:left w:val="nil"/>
              <w:bottom w:val="single" w:sz="4" w:space="0" w:color="auto"/>
              <w:right w:val="single" w:sz="4" w:space="0" w:color="auto"/>
            </w:tcBorders>
            <w:shd w:val="clear" w:color="auto" w:fill="auto"/>
            <w:vAlign w:val="center"/>
            <w:hideMark/>
          </w:tcPr>
          <w:p w14:paraId="583F7DF1"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Some relevant environmental policies and laws exist but few are implemented and enforced</w:t>
            </w:r>
          </w:p>
        </w:tc>
        <w:tc>
          <w:tcPr>
            <w:tcW w:w="753" w:type="dxa"/>
            <w:tcBorders>
              <w:top w:val="single" w:sz="4" w:space="0" w:color="auto"/>
              <w:left w:val="nil"/>
              <w:bottom w:val="single" w:sz="4" w:space="0" w:color="auto"/>
              <w:right w:val="single" w:sz="4" w:space="0" w:color="auto"/>
            </w:tcBorders>
            <w:shd w:val="clear" w:color="auto" w:fill="auto"/>
            <w:vAlign w:val="center"/>
            <w:hideMark/>
          </w:tcPr>
          <w:p w14:paraId="16CF6ABC"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1</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2E3E5C28"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14:paraId="2962244D"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871" w:type="dxa"/>
            <w:tcBorders>
              <w:top w:val="single" w:sz="4" w:space="0" w:color="auto"/>
              <w:left w:val="nil"/>
              <w:bottom w:val="single" w:sz="4" w:space="0" w:color="auto"/>
              <w:right w:val="single" w:sz="4" w:space="0" w:color="auto"/>
            </w:tcBorders>
            <w:shd w:val="clear" w:color="auto" w:fill="auto"/>
            <w:vAlign w:val="center"/>
            <w:hideMark/>
          </w:tcPr>
          <w:p w14:paraId="35177989"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084" w:type="dxa"/>
            <w:tcBorders>
              <w:top w:val="single" w:sz="4" w:space="0" w:color="auto"/>
              <w:left w:val="nil"/>
              <w:bottom w:val="single" w:sz="4" w:space="0" w:color="auto"/>
              <w:right w:val="single" w:sz="4" w:space="0" w:color="auto"/>
            </w:tcBorders>
            <w:shd w:val="clear" w:color="auto" w:fill="auto"/>
            <w:vAlign w:val="center"/>
            <w:hideMark/>
          </w:tcPr>
          <w:p w14:paraId="609E5542"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39B9AAD9" w14:textId="77777777" w:rsidTr="003E69A5">
        <w:trPr>
          <w:trHeight w:val="300"/>
          <w:jc w:val="center"/>
        </w:trPr>
        <w:tc>
          <w:tcPr>
            <w:tcW w:w="1838" w:type="dxa"/>
            <w:vMerge/>
            <w:tcBorders>
              <w:top w:val="nil"/>
              <w:left w:val="single" w:sz="4" w:space="0" w:color="auto"/>
              <w:bottom w:val="single" w:sz="4" w:space="0" w:color="auto"/>
              <w:right w:val="single" w:sz="4" w:space="0" w:color="auto"/>
            </w:tcBorders>
            <w:vAlign w:val="center"/>
            <w:hideMark/>
          </w:tcPr>
          <w:p w14:paraId="01884755" w14:textId="77777777" w:rsidR="003E69A5" w:rsidRPr="003F7F6C" w:rsidRDefault="003E69A5" w:rsidP="00D25E0D">
            <w:pPr>
              <w:spacing w:after="0"/>
              <w:rPr>
                <w:rFonts w:eastAsia="Times New Roman" w:cs="Calibri"/>
                <w:color w:val="000000"/>
                <w:sz w:val="18"/>
                <w:szCs w:val="18"/>
                <w:lang w:eastAsia="es-ES"/>
              </w:rPr>
            </w:pPr>
          </w:p>
        </w:tc>
        <w:tc>
          <w:tcPr>
            <w:tcW w:w="4775" w:type="dxa"/>
            <w:tcBorders>
              <w:top w:val="nil"/>
              <w:left w:val="nil"/>
              <w:bottom w:val="single" w:sz="4" w:space="0" w:color="auto"/>
              <w:right w:val="single" w:sz="4" w:space="0" w:color="auto"/>
            </w:tcBorders>
            <w:shd w:val="clear" w:color="auto" w:fill="auto"/>
            <w:vAlign w:val="center"/>
            <w:hideMark/>
          </w:tcPr>
          <w:p w14:paraId="642528FF"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Adequate environmental policy and legislation</w:t>
            </w:r>
          </w:p>
          <w:p w14:paraId="00A2A36C"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frameworks exist but there are problems in</w:t>
            </w:r>
          </w:p>
          <w:p w14:paraId="7A640A92" w14:textId="77777777" w:rsidR="003E69A5" w:rsidRPr="003F7F6C" w:rsidRDefault="003E69A5" w:rsidP="00D25E0D">
            <w:pPr>
              <w:spacing w:after="0"/>
              <w:rPr>
                <w:rFonts w:eastAsia="Times New Roman" w:cs="Calibri"/>
                <w:color w:val="000000"/>
                <w:sz w:val="18"/>
                <w:szCs w:val="18"/>
                <w:lang w:eastAsia="es-ES"/>
              </w:rPr>
            </w:pPr>
            <w:r w:rsidRPr="003F7F6C">
              <w:rPr>
                <w:rFonts w:cs="Calibri"/>
                <w:sz w:val="18"/>
                <w:szCs w:val="18"/>
              </w:rPr>
              <w:t>implementing and enforcing them</w:t>
            </w:r>
          </w:p>
        </w:tc>
        <w:tc>
          <w:tcPr>
            <w:tcW w:w="753" w:type="dxa"/>
            <w:tcBorders>
              <w:top w:val="nil"/>
              <w:left w:val="nil"/>
              <w:bottom w:val="single" w:sz="4" w:space="0" w:color="auto"/>
              <w:right w:val="single" w:sz="4" w:space="0" w:color="auto"/>
            </w:tcBorders>
            <w:shd w:val="clear" w:color="auto" w:fill="auto"/>
            <w:vAlign w:val="center"/>
            <w:hideMark/>
          </w:tcPr>
          <w:p w14:paraId="6AF686E9"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2</w:t>
            </w:r>
          </w:p>
        </w:tc>
        <w:tc>
          <w:tcPr>
            <w:tcW w:w="709" w:type="dxa"/>
            <w:tcBorders>
              <w:top w:val="nil"/>
              <w:left w:val="nil"/>
              <w:bottom w:val="single" w:sz="4" w:space="0" w:color="auto"/>
              <w:right w:val="single" w:sz="4" w:space="0" w:color="auto"/>
            </w:tcBorders>
            <w:shd w:val="clear" w:color="auto" w:fill="auto"/>
            <w:vAlign w:val="center"/>
            <w:hideMark/>
          </w:tcPr>
          <w:p w14:paraId="0EA29867"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c>
          <w:tcPr>
            <w:tcW w:w="2410" w:type="dxa"/>
            <w:tcBorders>
              <w:top w:val="nil"/>
              <w:left w:val="nil"/>
              <w:bottom w:val="single" w:sz="4" w:space="0" w:color="auto"/>
              <w:right w:val="single" w:sz="4" w:space="0" w:color="auto"/>
            </w:tcBorders>
            <w:shd w:val="clear" w:color="auto" w:fill="auto"/>
            <w:vAlign w:val="center"/>
            <w:hideMark/>
          </w:tcPr>
          <w:p w14:paraId="0EBD4F5C"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There are sectoral regulations and policies but no ELUP regulatory framework</w:t>
            </w:r>
          </w:p>
        </w:tc>
        <w:tc>
          <w:tcPr>
            <w:tcW w:w="2871" w:type="dxa"/>
            <w:tcBorders>
              <w:top w:val="nil"/>
              <w:left w:val="nil"/>
              <w:bottom w:val="single" w:sz="4" w:space="0" w:color="auto"/>
              <w:right w:val="single" w:sz="4" w:space="0" w:color="auto"/>
            </w:tcBorders>
            <w:shd w:val="clear" w:color="auto" w:fill="auto"/>
            <w:vAlign w:val="center"/>
            <w:hideMark/>
          </w:tcPr>
          <w:p w14:paraId="0F9A28C8"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Develop specific strategies for ELUP</w:t>
            </w:r>
          </w:p>
        </w:tc>
        <w:tc>
          <w:tcPr>
            <w:tcW w:w="1084" w:type="dxa"/>
            <w:tcBorders>
              <w:top w:val="nil"/>
              <w:left w:val="nil"/>
              <w:bottom w:val="single" w:sz="4" w:space="0" w:color="auto"/>
              <w:right w:val="single" w:sz="4" w:space="0" w:color="auto"/>
            </w:tcBorders>
            <w:shd w:val="clear" w:color="auto" w:fill="auto"/>
            <w:vAlign w:val="center"/>
            <w:hideMark/>
          </w:tcPr>
          <w:p w14:paraId="281B4884"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40412165" w14:textId="77777777" w:rsidTr="003E69A5">
        <w:trPr>
          <w:trHeight w:val="300"/>
          <w:jc w:val="center"/>
        </w:trPr>
        <w:tc>
          <w:tcPr>
            <w:tcW w:w="1838" w:type="dxa"/>
            <w:vMerge/>
            <w:tcBorders>
              <w:top w:val="nil"/>
              <w:left w:val="single" w:sz="4" w:space="0" w:color="auto"/>
              <w:bottom w:val="single" w:sz="4" w:space="0" w:color="auto"/>
              <w:right w:val="single" w:sz="4" w:space="0" w:color="auto"/>
            </w:tcBorders>
            <w:vAlign w:val="center"/>
            <w:hideMark/>
          </w:tcPr>
          <w:p w14:paraId="22DC17D5" w14:textId="77777777" w:rsidR="003E69A5" w:rsidRPr="003F7F6C" w:rsidRDefault="003E69A5" w:rsidP="00D25E0D">
            <w:pPr>
              <w:spacing w:after="0"/>
              <w:rPr>
                <w:rFonts w:eastAsia="Times New Roman" w:cs="Calibri"/>
                <w:color w:val="000000"/>
                <w:sz w:val="18"/>
                <w:szCs w:val="18"/>
                <w:lang w:eastAsia="es-ES"/>
              </w:rPr>
            </w:pPr>
          </w:p>
        </w:tc>
        <w:tc>
          <w:tcPr>
            <w:tcW w:w="4775" w:type="dxa"/>
            <w:tcBorders>
              <w:top w:val="nil"/>
              <w:left w:val="nil"/>
              <w:bottom w:val="single" w:sz="4" w:space="0" w:color="auto"/>
              <w:right w:val="single" w:sz="4" w:space="0" w:color="auto"/>
            </w:tcBorders>
            <w:shd w:val="clear" w:color="auto" w:fill="auto"/>
            <w:vAlign w:val="center"/>
            <w:hideMark/>
          </w:tcPr>
          <w:p w14:paraId="708B076A"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Adequate policy and legislation frameworks are</w:t>
            </w:r>
          </w:p>
          <w:p w14:paraId="20A860D3"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implemented and provide an adequate enabling</w:t>
            </w:r>
          </w:p>
          <w:p w14:paraId="7697471B"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environment; a compliance and enforcement</w:t>
            </w:r>
          </w:p>
          <w:p w14:paraId="248FC973" w14:textId="77777777" w:rsidR="003E69A5" w:rsidRPr="003F7F6C" w:rsidRDefault="003E69A5" w:rsidP="00D25E0D">
            <w:pPr>
              <w:spacing w:after="0"/>
              <w:rPr>
                <w:rFonts w:eastAsia="Times New Roman" w:cs="Calibri"/>
                <w:color w:val="000000"/>
                <w:sz w:val="18"/>
                <w:szCs w:val="18"/>
                <w:lang w:eastAsia="es-ES"/>
              </w:rPr>
            </w:pPr>
            <w:r w:rsidRPr="003F7F6C">
              <w:rPr>
                <w:rFonts w:cs="Calibri"/>
                <w:sz w:val="18"/>
                <w:szCs w:val="18"/>
              </w:rPr>
              <w:t>mechanism is established and functions</w:t>
            </w:r>
          </w:p>
        </w:tc>
        <w:tc>
          <w:tcPr>
            <w:tcW w:w="753" w:type="dxa"/>
            <w:tcBorders>
              <w:top w:val="nil"/>
              <w:left w:val="nil"/>
              <w:bottom w:val="single" w:sz="4" w:space="0" w:color="auto"/>
              <w:right w:val="single" w:sz="4" w:space="0" w:color="auto"/>
            </w:tcBorders>
            <w:shd w:val="clear" w:color="auto" w:fill="auto"/>
            <w:vAlign w:val="center"/>
            <w:hideMark/>
          </w:tcPr>
          <w:p w14:paraId="3B301752"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3</w:t>
            </w:r>
          </w:p>
        </w:tc>
        <w:tc>
          <w:tcPr>
            <w:tcW w:w="709" w:type="dxa"/>
            <w:tcBorders>
              <w:top w:val="nil"/>
              <w:left w:val="nil"/>
              <w:bottom w:val="single" w:sz="4" w:space="0" w:color="auto"/>
              <w:right w:val="single" w:sz="4" w:space="0" w:color="auto"/>
            </w:tcBorders>
            <w:shd w:val="clear" w:color="auto" w:fill="auto"/>
            <w:vAlign w:val="center"/>
            <w:hideMark/>
          </w:tcPr>
          <w:p w14:paraId="3EFB76C3"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410" w:type="dxa"/>
            <w:tcBorders>
              <w:top w:val="nil"/>
              <w:left w:val="nil"/>
              <w:bottom w:val="single" w:sz="4" w:space="0" w:color="auto"/>
              <w:right w:val="single" w:sz="4" w:space="0" w:color="auto"/>
            </w:tcBorders>
            <w:shd w:val="clear" w:color="auto" w:fill="auto"/>
            <w:vAlign w:val="center"/>
            <w:hideMark/>
          </w:tcPr>
          <w:p w14:paraId="5007E5BD"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871" w:type="dxa"/>
            <w:tcBorders>
              <w:top w:val="nil"/>
              <w:left w:val="nil"/>
              <w:bottom w:val="single" w:sz="4" w:space="0" w:color="auto"/>
              <w:right w:val="single" w:sz="4" w:space="0" w:color="auto"/>
            </w:tcBorders>
            <w:shd w:val="clear" w:color="auto" w:fill="auto"/>
            <w:vAlign w:val="center"/>
            <w:hideMark/>
          </w:tcPr>
          <w:p w14:paraId="5A0567C3"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084" w:type="dxa"/>
            <w:tcBorders>
              <w:top w:val="nil"/>
              <w:left w:val="nil"/>
              <w:bottom w:val="single" w:sz="4" w:space="0" w:color="auto"/>
              <w:right w:val="single" w:sz="4" w:space="0" w:color="auto"/>
            </w:tcBorders>
            <w:shd w:val="clear" w:color="auto" w:fill="auto"/>
            <w:vAlign w:val="center"/>
            <w:hideMark/>
          </w:tcPr>
          <w:p w14:paraId="1C6A9775"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552E4A0E" w14:textId="77777777" w:rsidTr="003E69A5">
        <w:trPr>
          <w:trHeight w:val="300"/>
          <w:jc w:val="center"/>
        </w:trPr>
        <w:tc>
          <w:tcPr>
            <w:tcW w:w="1838" w:type="dxa"/>
            <w:vMerge w:val="restart"/>
            <w:tcBorders>
              <w:top w:val="nil"/>
              <w:left w:val="single" w:sz="4" w:space="0" w:color="auto"/>
              <w:bottom w:val="single" w:sz="4" w:space="0" w:color="auto"/>
              <w:right w:val="single" w:sz="4" w:space="0" w:color="auto"/>
            </w:tcBorders>
            <w:shd w:val="clear" w:color="auto" w:fill="auto"/>
            <w:vAlign w:val="center"/>
            <w:hideMark/>
          </w:tcPr>
          <w:p w14:paraId="1DAAFAE2"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Indicator 11: Adequacy of the environmental information available for decision-making</w:t>
            </w:r>
          </w:p>
        </w:tc>
        <w:tc>
          <w:tcPr>
            <w:tcW w:w="4775" w:type="dxa"/>
            <w:tcBorders>
              <w:top w:val="nil"/>
              <w:left w:val="nil"/>
              <w:bottom w:val="single" w:sz="4" w:space="0" w:color="auto"/>
              <w:right w:val="single" w:sz="4" w:space="0" w:color="auto"/>
            </w:tcBorders>
            <w:shd w:val="clear" w:color="auto" w:fill="auto"/>
            <w:vAlign w:val="center"/>
            <w:hideMark/>
          </w:tcPr>
          <w:p w14:paraId="436765C0"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The availability of environmental information for</w:t>
            </w:r>
          </w:p>
          <w:p w14:paraId="70B752AF" w14:textId="77777777" w:rsidR="003E69A5" w:rsidRPr="003F7F6C" w:rsidRDefault="003E69A5" w:rsidP="00D25E0D">
            <w:pPr>
              <w:spacing w:after="0"/>
              <w:rPr>
                <w:rFonts w:eastAsia="Times New Roman" w:cs="Calibri"/>
                <w:color w:val="000000"/>
                <w:sz w:val="18"/>
                <w:szCs w:val="18"/>
                <w:lang w:eastAsia="es-ES"/>
              </w:rPr>
            </w:pPr>
            <w:r w:rsidRPr="003F7F6C">
              <w:rPr>
                <w:rFonts w:cs="Calibri"/>
                <w:sz w:val="18"/>
                <w:szCs w:val="18"/>
              </w:rPr>
              <w:t>decision-making is lacking</w:t>
            </w:r>
          </w:p>
        </w:tc>
        <w:tc>
          <w:tcPr>
            <w:tcW w:w="753" w:type="dxa"/>
            <w:tcBorders>
              <w:top w:val="nil"/>
              <w:left w:val="nil"/>
              <w:bottom w:val="single" w:sz="4" w:space="0" w:color="auto"/>
              <w:right w:val="single" w:sz="4" w:space="0" w:color="auto"/>
            </w:tcBorders>
            <w:shd w:val="clear" w:color="auto" w:fill="auto"/>
            <w:vAlign w:val="center"/>
            <w:hideMark/>
          </w:tcPr>
          <w:p w14:paraId="43EBFEE8"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0</w:t>
            </w:r>
          </w:p>
        </w:tc>
        <w:tc>
          <w:tcPr>
            <w:tcW w:w="709" w:type="dxa"/>
            <w:tcBorders>
              <w:top w:val="nil"/>
              <w:left w:val="nil"/>
              <w:bottom w:val="single" w:sz="4" w:space="0" w:color="auto"/>
              <w:right w:val="single" w:sz="4" w:space="0" w:color="auto"/>
            </w:tcBorders>
            <w:shd w:val="clear" w:color="auto" w:fill="auto"/>
            <w:vAlign w:val="center"/>
            <w:hideMark/>
          </w:tcPr>
          <w:p w14:paraId="4F9EE385"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410" w:type="dxa"/>
            <w:tcBorders>
              <w:top w:val="nil"/>
              <w:left w:val="nil"/>
              <w:bottom w:val="single" w:sz="4" w:space="0" w:color="auto"/>
              <w:right w:val="single" w:sz="4" w:space="0" w:color="auto"/>
            </w:tcBorders>
            <w:shd w:val="clear" w:color="auto" w:fill="auto"/>
            <w:vAlign w:val="center"/>
            <w:hideMark/>
          </w:tcPr>
          <w:p w14:paraId="1D8B4BF8"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871" w:type="dxa"/>
            <w:tcBorders>
              <w:top w:val="nil"/>
              <w:left w:val="nil"/>
              <w:bottom w:val="single" w:sz="4" w:space="0" w:color="auto"/>
              <w:right w:val="single" w:sz="4" w:space="0" w:color="auto"/>
            </w:tcBorders>
            <w:shd w:val="clear" w:color="auto" w:fill="auto"/>
            <w:vAlign w:val="center"/>
            <w:hideMark/>
          </w:tcPr>
          <w:p w14:paraId="03EE3D18"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084" w:type="dxa"/>
            <w:tcBorders>
              <w:top w:val="nil"/>
              <w:left w:val="nil"/>
              <w:bottom w:val="single" w:sz="4" w:space="0" w:color="auto"/>
              <w:right w:val="single" w:sz="4" w:space="0" w:color="auto"/>
            </w:tcBorders>
            <w:shd w:val="clear" w:color="auto" w:fill="auto"/>
            <w:vAlign w:val="center"/>
            <w:hideMark/>
          </w:tcPr>
          <w:p w14:paraId="65AA6695"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172FA32A" w14:textId="77777777" w:rsidTr="003E69A5">
        <w:trPr>
          <w:trHeight w:val="300"/>
          <w:jc w:val="center"/>
        </w:trPr>
        <w:tc>
          <w:tcPr>
            <w:tcW w:w="1838" w:type="dxa"/>
            <w:vMerge/>
            <w:tcBorders>
              <w:top w:val="nil"/>
              <w:left w:val="single" w:sz="4" w:space="0" w:color="auto"/>
              <w:bottom w:val="single" w:sz="4" w:space="0" w:color="auto"/>
              <w:right w:val="single" w:sz="4" w:space="0" w:color="auto"/>
            </w:tcBorders>
            <w:vAlign w:val="center"/>
            <w:hideMark/>
          </w:tcPr>
          <w:p w14:paraId="6BDBD273" w14:textId="77777777" w:rsidR="003E69A5" w:rsidRPr="003F7F6C" w:rsidRDefault="003E69A5" w:rsidP="00D25E0D">
            <w:pPr>
              <w:spacing w:after="0"/>
              <w:rPr>
                <w:rFonts w:eastAsia="Times New Roman" w:cs="Calibri"/>
                <w:color w:val="000000"/>
                <w:sz w:val="18"/>
                <w:szCs w:val="18"/>
                <w:lang w:eastAsia="es-ES"/>
              </w:rPr>
            </w:pPr>
          </w:p>
        </w:tc>
        <w:tc>
          <w:tcPr>
            <w:tcW w:w="4775" w:type="dxa"/>
            <w:tcBorders>
              <w:top w:val="nil"/>
              <w:left w:val="nil"/>
              <w:bottom w:val="single" w:sz="4" w:space="0" w:color="auto"/>
              <w:right w:val="single" w:sz="4" w:space="0" w:color="auto"/>
            </w:tcBorders>
            <w:shd w:val="clear" w:color="auto" w:fill="auto"/>
            <w:vAlign w:val="center"/>
            <w:hideMark/>
          </w:tcPr>
          <w:p w14:paraId="6B257E09"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Some environmental information exists but it is not sufficient to support environmental decision-making processes</w:t>
            </w:r>
          </w:p>
        </w:tc>
        <w:tc>
          <w:tcPr>
            <w:tcW w:w="753" w:type="dxa"/>
            <w:tcBorders>
              <w:top w:val="nil"/>
              <w:left w:val="nil"/>
              <w:bottom w:val="single" w:sz="4" w:space="0" w:color="auto"/>
              <w:right w:val="single" w:sz="4" w:space="0" w:color="auto"/>
            </w:tcBorders>
            <w:shd w:val="clear" w:color="auto" w:fill="auto"/>
            <w:vAlign w:val="center"/>
            <w:hideMark/>
          </w:tcPr>
          <w:p w14:paraId="18610DA4"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1</w:t>
            </w:r>
          </w:p>
        </w:tc>
        <w:tc>
          <w:tcPr>
            <w:tcW w:w="709" w:type="dxa"/>
            <w:tcBorders>
              <w:top w:val="nil"/>
              <w:left w:val="nil"/>
              <w:bottom w:val="single" w:sz="4" w:space="0" w:color="auto"/>
              <w:right w:val="single" w:sz="4" w:space="0" w:color="auto"/>
            </w:tcBorders>
            <w:shd w:val="clear" w:color="auto" w:fill="auto"/>
            <w:vAlign w:val="center"/>
            <w:hideMark/>
          </w:tcPr>
          <w:p w14:paraId="5E55157B"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1</w:t>
            </w:r>
          </w:p>
        </w:tc>
        <w:tc>
          <w:tcPr>
            <w:tcW w:w="2410" w:type="dxa"/>
            <w:tcBorders>
              <w:top w:val="nil"/>
              <w:left w:val="nil"/>
              <w:bottom w:val="single" w:sz="4" w:space="0" w:color="auto"/>
              <w:right w:val="single" w:sz="4" w:space="0" w:color="auto"/>
            </w:tcBorders>
            <w:shd w:val="clear" w:color="auto" w:fill="auto"/>
            <w:vAlign w:val="center"/>
            <w:hideMark/>
          </w:tcPr>
          <w:p w14:paraId="012605C6"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Information is partially incorporated but generation of information is still necessary</w:t>
            </w:r>
          </w:p>
        </w:tc>
        <w:tc>
          <w:tcPr>
            <w:tcW w:w="2871" w:type="dxa"/>
            <w:tcBorders>
              <w:top w:val="nil"/>
              <w:left w:val="nil"/>
              <w:bottom w:val="single" w:sz="4" w:space="0" w:color="auto"/>
              <w:right w:val="single" w:sz="4" w:space="0" w:color="auto"/>
            </w:tcBorders>
            <w:shd w:val="clear" w:color="auto" w:fill="auto"/>
            <w:vAlign w:val="center"/>
            <w:hideMark/>
          </w:tcPr>
          <w:p w14:paraId="2AB83A99"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Promote generation of sufficient and adequate information for ELUP decision making </w:t>
            </w:r>
          </w:p>
        </w:tc>
        <w:tc>
          <w:tcPr>
            <w:tcW w:w="1084" w:type="dxa"/>
            <w:tcBorders>
              <w:top w:val="nil"/>
              <w:left w:val="nil"/>
              <w:bottom w:val="single" w:sz="4" w:space="0" w:color="auto"/>
              <w:right w:val="single" w:sz="4" w:space="0" w:color="auto"/>
            </w:tcBorders>
            <w:shd w:val="clear" w:color="auto" w:fill="auto"/>
            <w:vAlign w:val="center"/>
            <w:hideMark/>
          </w:tcPr>
          <w:p w14:paraId="78ACC5DD"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r>
      <w:tr w:rsidR="003E69A5" w:rsidRPr="003F7F6C" w14:paraId="754EAD1F" w14:textId="77777777" w:rsidTr="003E69A5">
        <w:trPr>
          <w:trHeight w:val="300"/>
          <w:jc w:val="center"/>
        </w:trPr>
        <w:tc>
          <w:tcPr>
            <w:tcW w:w="1838" w:type="dxa"/>
            <w:vMerge/>
            <w:tcBorders>
              <w:top w:val="nil"/>
              <w:left w:val="single" w:sz="4" w:space="0" w:color="auto"/>
              <w:bottom w:val="single" w:sz="4" w:space="0" w:color="auto"/>
              <w:right w:val="single" w:sz="4" w:space="0" w:color="auto"/>
            </w:tcBorders>
            <w:vAlign w:val="center"/>
            <w:hideMark/>
          </w:tcPr>
          <w:p w14:paraId="19934579" w14:textId="77777777" w:rsidR="003E69A5" w:rsidRPr="003F7F6C" w:rsidRDefault="003E69A5" w:rsidP="00D25E0D">
            <w:pPr>
              <w:spacing w:after="0"/>
              <w:rPr>
                <w:rFonts w:eastAsia="Times New Roman" w:cs="Calibri"/>
                <w:color w:val="000000"/>
                <w:sz w:val="18"/>
                <w:szCs w:val="18"/>
                <w:lang w:eastAsia="es-ES"/>
              </w:rPr>
            </w:pPr>
          </w:p>
        </w:tc>
        <w:tc>
          <w:tcPr>
            <w:tcW w:w="4775" w:type="dxa"/>
            <w:tcBorders>
              <w:top w:val="nil"/>
              <w:left w:val="nil"/>
              <w:bottom w:val="single" w:sz="4" w:space="0" w:color="auto"/>
              <w:right w:val="single" w:sz="4" w:space="0" w:color="auto"/>
            </w:tcBorders>
            <w:shd w:val="clear" w:color="auto" w:fill="auto"/>
            <w:vAlign w:val="center"/>
            <w:hideMark/>
          </w:tcPr>
          <w:p w14:paraId="41DCE3CF"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Relevant environmental information is made available</w:t>
            </w:r>
          </w:p>
          <w:p w14:paraId="521C6686"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to environmental decision-makers but the process to</w:t>
            </w:r>
          </w:p>
          <w:p w14:paraId="2695F2DB" w14:textId="77777777" w:rsidR="003E69A5" w:rsidRPr="003F7F6C" w:rsidRDefault="003E69A5" w:rsidP="00D25E0D">
            <w:pPr>
              <w:spacing w:after="0"/>
              <w:rPr>
                <w:rFonts w:eastAsia="Times New Roman" w:cs="Calibri"/>
                <w:color w:val="000000"/>
                <w:sz w:val="18"/>
                <w:szCs w:val="18"/>
                <w:lang w:eastAsia="es-ES"/>
              </w:rPr>
            </w:pPr>
            <w:r w:rsidRPr="003F7F6C">
              <w:rPr>
                <w:rFonts w:cs="Calibri"/>
                <w:sz w:val="18"/>
                <w:szCs w:val="18"/>
              </w:rPr>
              <w:t>update this information is not functioning properly</w:t>
            </w:r>
          </w:p>
        </w:tc>
        <w:tc>
          <w:tcPr>
            <w:tcW w:w="753" w:type="dxa"/>
            <w:tcBorders>
              <w:top w:val="nil"/>
              <w:left w:val="nil"/>
              <w:bottom w:val="single" w:sz="4" w:space="0" w:color="auto"/>
              <w:right w:val="single" w:sz="4" w:space="0" w:color="auto"/>
            </w:tcBorders>
            <w:shd w:val="clear" w:color="auto" w:fill="auto"/>
            <w:vAlign w:val="center"/>
            <w:hideMark/>
          </w:tcPr>
          <w:p w14:paraId="61927CAB"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c>
          <w:tcPr>
            <w:tcW w:w="709" w:type="dxa"/>
            <w:tcBorders>
              <w:top w:val="nil"/>
              <w:left w:val="nil"/>
              <w:bottom w:val="single" w:sz="4" w:space="0" w:color="auto"/>
              <w:right w:val="single" w:sz="4" w:space="0" w:color="auto"/>
            </w:tcBorders>
            <w:shd w:val="clear" w:color="auto" w:fill="auto"/>
            <w:vAlign w:val="center"/>
            <w:hideMark/>
          </w:tcPr>
          <w:p w14:paraId="4BC5A667"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410" w:type="dxa"/>
            <w:tcBorders>
              <w:top w:val="nil"/>
              <w:left w:val="nil"/>
              <w:bottom w:val="single" w:sz="4" w:space="0" w:color="auto"/>
              <w:right w:val="single" w:sz="4" w:space="0" w:color="auto"/>
            </w:tcBorders>
            <w:shd w:val="clear" w:color="auto" w:fill="auto"/>
            <w:vAlign w:val="center"/>
            <w:hideMark/>
          </w:tcPr>
          <w:p w14:paraId="788DA80A"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871" w:type="dxa"/>
            <w:tcBorders>
              <w:top w:val="nil"/>
              <w:left w:val="nil"/>
              <w:bottom w:val="single" w:sz="4" w:space="0" w:color="auto"/>
              <w:right w:val="single" w:sz="4" w:space="0" w:color="auto"/>
            </w:tcBorders>
            <w:shd w:val="clear" w:color="auto" w:fill="auto"/>
            <w:vAlign w:val="center"/>
            <w:hideMark/>
          </w:tcPr>
          <w:p w14:paraId="6D7473AD"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084" w:type="dxa"/>
            <w:tcBorders>
              <w:top w:val="nil"/>
              <w:left w:val="nil"/>
              <w:bottom w:val="single" w:sz="4" w:space="0" w:color="auto"/>
              <w:right w:val="single" w:sz="4" w:space="0" w:color="auto"/>
            </w:tcBorders>
            <w:shd w:val="clear" w:color="auto" w:fill="auto"/>
            <w:vAlign w:val="center"/>
            <w:hideMark/>
          </w:tcPr>
          <w:p w14:paraId="2786B15B"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3A49B80F" w14:textId="77777777" w:rsidTr="003E69A5">
        <w:trPr>
          <w:trHeight w:val="300"/>
          <w:jc w:val="center"/>
        </w:trPr>
        <w:tc>
          <w:tcPr>
            <w:tcW w:w="1838" w:type="dxa"/>
            <w:vMerge/>
            <w:tcBorders>
              <w:top w:val="nil"/>
              <w:left w:val="single" w:sz="4" w:space="0" w:color="auto"/>
              <w:bottom w:val="single" w:sz="4" w:space="0" w:color="auto"/>
              <w:right w:val="single" w:sz="4" w:space="0" w:color="auto"/>
            </w:tcBorders>
            <w:vAlign w:val="center"/>
            <w:hideMark/>
          </w:tcPr>
          <w:p w14:paraId="66547FE3" w14:textId="77777777" w:rsidR="003E69A5" w:rsidRPr="003F7F6C" w:rsidRDefault="003E69A5" w:rsidP="00D25E0D">
            <w:pPr>
              <w:spacing w:after="0"/>
              <w:rPr>
                <w:rFonts w:eastAsia="Times New Roman" w:cs="Calibri"/>
                <w:color w:val="000000"/>
                <w:sz w:val="18"/>
                <w:szCs w:val="18"/>
                <w:lang w:eastAsia="es-ES"/>
              </w:rPr>
            </w:pPr>
          </w:p>
        </w:tc>
        <w:tc>
          <w:tcPr>
            <w:tcW w:w="4775" w:type="dxa"/>
            <w:tcBorders>
              <w:top w:val="nil"/>
              <w:left w:val="nil"/>
              <w:bottom w:val="single" w:sz="4" w:space="0" w:color="auto"/>
              <w:right w:val="single" w:sz="4" w:space="0" w:color="auto"/>
            </w:tcBorders>
            <w:shd w:val="clear" w:color="auto" w:fill="auto"/>
            <w:vAlign w:val="center"/>
            <w:hideMark/>
          </w:tcPr>
          <w:p w14:paraId="52BB0A98"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Political and administrative decision-makers obtain</w:t>
            </w:r>
          </w:p>
          <w:p w14:paraId="6C924EF8"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and use updated environmental information to make</w:t>
            </w:r>
          </w:p>
          <w:p w14:paraId="43EC738F" w14:textId="77777777" w:rsidR="003E69A5" w:rsidRPr="003F7F6C" w:rsidRDefault="003E69A5" w:rsidP="00D25E0D">
            <w:pPr>
              <w:spacing w:after="0"/>
              <w:rPr>
                <w:rFonts w:eastAsia="Times New Roman" w:cs="Calibri"/>
                <w:color w:val="000000"/>
                <w:sz w:val="18"/>
                <w:szCs w:val="18"/>
                <w:lang w:eastAsia="es-ES"/>
              </w:rPr>
            </w:pPr>
            <w:r w:rsidRPr="003F7F6C">
              <w:rPr>
                <w:rFonts w:cs="Calibri"/>
                <w:sz w:val="18"/>
                <w:szCs w:val="18"/>
              </w:rPr>
              <w:t>environmental decisions</w:t>
            </w:r>
          </w:p>
        </w:tc>
        <w:tc>
          <w:tcPr>
            <w:tcW w:w="753" w:type="dxa"/>
            <w:tcBorders>
              <w:top w:val="nil"/>
              <w:left w:val="nil"/>
              <w:bottom w:val="single" w:sz="4" w:space="0" w:color="auto"/>
              <w:right w:val="single" w:sz="4" w:space="0" w:color="auto"/>
            </w:tcBorders>
            <w:shd w:val="clear" w:color="auto" w:fill="auto"/>
            <w:vAlign w:val="center"/>
            <w:hideMark/>
          </w:tcPr>
          <w:p w14:paraId="611A0B57"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3</w:t>
            </w:r>
          </w:p>
        </w:tc>
        <w:tc>
          <w:tcPr>
            <w:tcW w:w="709" w:type="dxa"/>
            <w:tcBorders>
              <w:top w:val="nil"/>
              <w:left w:val="nil"/>
              <w:bottom w:val="single" w:sz="4" w:space="0" w:color="auto"/>
              <w:right w:val="single" w:sz="4" w:space="0" w:color="auto"/>
            </w:tcBorders>
            <w:shd w:val="clear" w:color="auto" w:fill="auto"/>
            <w:vAlign w:val="center"/>
            <w:hideMark/>
          </w:tcPr>
          <w:p w14:paraId="3F31F301"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410" w:type="dxa"/>
            <w:tcBorders>
              <w:top w:val="nil"/>
              <w:left w:val="nil"/>
              <w:bottom w:val="single" w:sz="4" w:space="0" w:color="auto"/>
              <w:right w:val="single" w:sz="4" w:space="0" w:color="auto"/>
            </w:tcBorders>
            <w:shd w:val="clear" w:color="auto" w:fill="auto"/>
            <w:vAlign w:val="center"/>
            <w:hideMark/>
          </w:tcPr>
          <w:p w14:paraId="7A444480"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871" w:type="dxa"/>
            <w:tcBorders>
              <w:top w:val="nil"/>
              <w:left w:val="nil"/>
              <w:bottom w:val="single" w:sz="4" w:space="0" w:color="auto"/>
              <w:right w:val="single" w:sz="4" w:space="0" w:color="auto"/>
            </w:tcBorders>
            <w:shd w:val="clear" w:color="auto" w:fill="auto"/>
            <w:vAlign w:val="center"/>
            <w:hideMark/>
          </w:tcPr>
          <w:p w14:paraId="2804EC38"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084" w:type="dxa"/>
            <w:tcBorders>
              <w:top w:val="nil"/>
              <w:left w:val="nil"/>
              <w:bottom w:val="single" w:sz="4" w:space="0" w:color="auto"/>
              <w:right w:val="single" w:sz="4" w:space="0" w:color="auto"/>
            </w:tcBorders>
            <w:shd w:val="clear" w:color="auto" w:fill="auto"/>
            <w:vAlign w:val="center"/>
            <w:hideMark/>
          </w:tcPr>
          <w:p w14:paraId="5FE6F4C9"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6AE5E365" w14:textId="77777777" w:rsidTr="003E69A5">
        <w:trPr>
          <w:trHeight w:val="300"/>
          <w:jc w:val="center"/>
        </w:trPr>
        <w:tc>
          <w:tcPr>
            <w:tcW w:w="1838" w:type="dxa"/>
            <w:tcBorders>
              <w:top w:val="nil"/>
              <w:left w:val="single" w:sz="4" w:space="0" w:color="auto"/>
              <w:bottom w:val="single" w:sz="4" w:space="0" w:color="auto"/>
              <w:right w:val="single" w:sz="4" w:space="0" w:color="auto"/>
            </w:tcBorders>
            <w:vAlign w:val="center"/>
          </w:tcPr>
          <w:p w14:paraId="3926E6A6" w14:textId="77777777" w:rsidR="003E69A5" w:rsidRPr="003F7F6C" w:rsidRDefault="003E69A5" w:rsidP="00D25E0D">
            <w:pPr>
              <w:spacing w:after="0"/>
              <w:rPr>
                <w:rFonts w:eastAsia="Times New Roman" w:cs="Calibri"/>
                <w:color w:val="000000"/>
                <w:sz w:val="18"/>
                <w:szCs w:val="18"/>
                <w:lang w:eastAsia="es-ES"/>
              </w:rPr>
            </w:pPr>
          </w:p>
        </w:tc>
        <w:tc>
          <w:tcPr>
            <w:tcW w:w="4775" w:type="dxa"/>
            <w:tcBorders>
              <w:top w:val="nil"/>
              <w:left w:val="nil"/>
              <w:bottom w:val="single" w:sz="4" w:space="0" w:color="auto"/>
              <w:right w:val="single" w:sz="4" w:space="0" w:color="auto"/>
            </w:tcBorders>
            <w:shd w:val="clear" w:color="auto" w:fill="auto"/>
            <w:vAlign w:val="center"/>
          </w:tcPr>
          <w:p w14:paraId="246B47EC"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p>
        </w:tc>
        <w:tc>
          <w:tcPr>
            <w:tcW w:w="753" w:type="dxa"/>
            <w:tcBorders>
              <w:top w:val="nil"/>
              <w:left w:val="nil"/>
              <w:bottom w:val="single" w:sz="4" w:space="0" w:color="auto"/>
              <w:right w:val="single" w:sz="4" w:space="0" w:color="auto"/>
            </w:tcBorders>
            <w:shd w:val="clear" w:color="auto" w:fill="auto"/>
            <w:vAlign w:val="center"/>
          </w:tcPr>
          <w:p w14:paraId="42B2E580"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9</w:t>
            </w:r>
          </w:p>
        </w:tc>
        <w:tc>
          <w:tcPr>
            <w:tcW w:w="709" w:type="dxa"/>
            <w:tcBorders>
              <w:top w:val="nil"/>
              <w:left w:val="nil"/>
              <w:bottom w:val="single" w:sz="4" w:space="0" w:color="auto"/>
              <w:right w:val="single" w:sz="4" w:space="0" w:color="auto"/>
            </w:tcBorders>
            <w:shd w:val="clear" w:color="auto" w:fill="auto"/>
            <w:vAlign w:val="center"/>
          </w:tcPr>
          <w:p w14:paraId="641B4540"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4</w:t>
            </w:r>
          </w:p>
        </w:tc>
        <w:tc>
          <w:tcPr>
            <w:tcW w:w="2410" w:type="dxa"/>
            <w:tcBorders>
              <w:top w:val="nil"/>
              <w:left w:val="nil"/>
              <w:bottom w:val="single" w:sz="4" w:space="0" w:color="auto"/>
              <w:right w:val="single" w:sz="4" w:space="0" w:color="auto"/>
            </w:tcBorders>
            <w:shd w:val="clear" w:color="auto" w:fill="auto"/>
            <w:vAlign w:val="center"/>
          </w:tcPr>
          <w:p w14:paraId="053C9BB8" w14:textId="77777777" w:rsidR="003E69A5" w:rsidRPr="003F7F6C" w:rsidRDefault="003E69A5" w:rsidP="00D25E0D">
            <w:pPr>
              <w:spacing w:after="0"/>
              <w:rPr>
                <w:rFonts w:eastAsia="Times New Roman" w:cs="Calibri"/>
                <w:color w:val="000000"/>
                <w:sz w:val="18"/>
                <w:szCs w:val="18"/>
                <w:lang w:eastAsia="es-ES"/>
              </w:rPr>
            </w:pPr>
          </w:p>
        </w:tc>
        <w:tc>
          <w:tcPr>
            <w:tcW w:w="2871" w:type="dxa"/>
            <w:tcBorders>
              <w:top w:val="nil"/>
              <w:left w:val="nil"/>
              <w:bottom w:val="single" w:sz="4" w:space="0" w:color="auto"/>
              <w:right w:val="single" w:sz="4" w:space="0" w:color="auto"/>
            </w:tcBorders>
            <w:shd w:val="clear" w:color="auto" w:fill="auto"/>
            <w:vAlign w:val="center"/>
          </w:tcPr>
          <w:p w14:paraId="012E91CD" w14:textId="77777777" w:rsidR="003E69A5" w:rsidRPr="003F7F6C" w:rsidRDefault="003E69A5" w:rsidP="00D25E0D">
            <w:pPr>
              <w:spacing w:after="0"/>
              <w:rPr>
                <w:rFonts w:eastAsia="Times New Roman" w:cs="Calibri"/>
                <w:color w:val="000000"/>
                <w:sz w:val="18"/>
                <w:szCs w:val="18"/>
                <w:lang w:eastAsia="es-ES"/>
              </w:rPr>
            </w:pPr>
          </w:p>
        </w:tc>
        <w:tc>
          <w:tcPr>
            <w:tcW w:w="1084" w:type="dxa"/>
            <w:tcBorders>
              <w:top w:val="nil"/>
              <w:left w:val="nil"/>
              <w:bottom w:val="single" w:sz="4" w:space="0" w:color="auto"/>
              <w:right w:val="single" w:sz="4" w:space="0" w:color="auto"/>
            </w:tcBorders>
            <w:shd w:val="clear" w:color="auto" w:fill="auto"/>
            <w:vAlign w:val="center"/>
          </w:tcPr>
          <w:p w14:paraId="729C2289"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4740CEA5" w14:textId="77777777" w:rsidTr="003E69A5">
        <w:trPr>
          <w:trHeight w:val="300"/>
          <w:jc w:val="center"/>
        </w:trPr>
        <w:tc>
          <w:tcPr>
            <w:tcW w:w="1838" w:type="dxa"/>
            <w:tcBorders>
              <w:top w:val="nil"/>
              <w:left w:val="single" w:sz="4" w:space="0" w:color="auto"/>
              <w:bottom w:val="single" w:sz="4" w:space="0" w:color="auto"/>
              <w:right w:val="single" w:sz="4" w:space="0" w:color="auto"/>
            </w:tcBorders>
            <w:vAlign w:val="center"/>
          </w:tcPr>
          <w:p w14:paraId="10518837" w14:textId="77777777" w:rsidR="003E69A5" w:rsidRPr="003F7F6C" w:rsidRDefault="003E69A5" w:rsidP="00D25E0D">
            <w:pPr>
              <w:spacing w:after="0"/>
              <w:rPr>
                <w:rFonts w:eastAsia="Times New Roman" w:cs="Calibri"/>
                <w:color w:val="000000"/>
                <w:sz w:val="18"/>
                <w:szCs w:val="18"/>
                <w:lang w:eastAsia="es-ES"/>
              </w:rPr>
            </w:pPr>
          </w:p>
        </w:tc>
        <w:tc>
          <w:tcPr>
            <w:tcW w:w="4775" w:type="dxa"/>
            <w:tcBorders>
              <w:top w:val="nil"/>
              <w:left w:val="nil"/>
              <w:bottom w:val="single" w:sz="4" w:space="0" w:color="auto"/>
              <w:right w:val="single" w:sz="4" w:space="0" w:color="auto"/>
            </w:tcBorders>
            <w:shd w:val="clear" w:color="auto" w:fill="auto"/>
            <w:vAlign w:val="center"/>
          </w:tcPr>
          <w:p w14:paraId="22E35676"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p>
        </w:tc>
        <w:tc>
          <w:tcPr>
            <w:tcW w:w="753" w:type="dxa"/>
            <w:tcBorders>
              <w:top w:val="nil"/>
              <w:left w:val="nil"/>
              <w:bottom w:val="single" w:sz="4" w:space="0" w:color="auto"/>
              <w:right w:val="single" w:sz="4" w:space="0" w:color="auto"/>
            </w:tcBorders>
            <w:shd w:val="clear" w:color="auto" w:fill="auto"/>
            <w:vAlign w:val="center"/>
          </w:tcPr>
          <w:p w14:paraId="0678B45A" w14:textId="77777777" w:rsidR="003E69A5" w:rsidRPr="003F7F6C" w:rsidRDefault="003E69A5" w:rsidP="00D25E0D">
            <w:pPr>
              <w:spacing w:after="0"/>
              <w:rPr>
                <w:rFonts w:eastAsia="Times New Roman" w:cs="Calibri"/>
                <w:color w:val="000000"/>
                <w:sz w:val="18"/>
                <w:szCs w:val="18"/>
                <w:lang w:eastAsia="es-ES"/>
              </w:rPr>
            </w:pPr>
          </w:p>
        </w:tc>
        <w:tc>
          <w:tcPr>
            <w:tcW w:w="709" w:type="dxa"/>
            <w:tcBorders>
              <w:top w:val="nil"/>
              <w:left w:val="nil"/>
              <w:bottom w:val="single" w:sz="4" w:space="0" w:color="auto"/>
              <w:right w:val="single" w:sz="4" w:space="0" w:color="auto"/>
            </w:tcBorders>
            <w:shd w:val="clear" w:color="auto" w:fill="auto"/>
            <w:vAlign w:val="center"/>
          </w:tcPr>
          <w:p w14:paraId="5FAB9F1C" w14:textId="51D2D65E"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44</w:t>
            </w:r>
            <w:r w:rsidR="00FB6D2D" w:rsidRPr="003F7F6C">
              <w:rPr>
                <w:rFonts w:eastAsia="Times New Roman" w:cs="Calibri"/>
                <w:color w:val="000000"/>
                <w:sz w:val="18"/>
                <w:szCs w:val="18"/>
                <w:lang w:eastAsia="es-ES"/>
              </w:rPr>
              <w:t>.</w:t>
            </w:r>
            <w:r w:rsidRPr="003F7F6C">
              <w:rPr>
                <w:rFonts w:eastAsia="Times New Roman" w:cs="Calibri"/>
                <w:color w:val="000000"/>
                <w:sz w:val="18"/>
                <w:szCs w:val="18"/>
                <w:lang w:eastAsia="es-ES"/>
              </w:rPr>
              <w:t>4%</w:t>
            </w:r>
          </w:p>
        </w:tc>
        <w:tc>
          <w:tcPr>
            <w:tcW w:w="2410" w:type="dxa"/>
            <w:tcBorders>
              <w:top w:val="nil"/>
              <w:left w:val="nil"/>
              <w:bottom w:val="single" w:sz="4" w:space="0" w:color="auto"/>
              <w:right w:val="single" w:sz="4" w:space="0" w:color="auto"/>
            </w:tcBorders>
            <w:shd w:val="clear" w:color="auto" w:fill="auto"/>
            <w:vAlign w:val="center"/>
          </w:tcPr>
          <w:p w14:paraId="5603DAC6" w14:textId="77777777" w:rsidR="003E69A5" w:rsidRPr="003F7F6C" w:rsidRDefault="003E69A5" w:rsidP="00D25E0D">
            <w:pPr>
              <w:spacing w:after="0"/>
              <w:rPr>
                <w:rFonts w:eastAsia="Times New Roman" w:cs="Calibri"/>
                <w:color w:val="000000"/>
                <w:sz w:val="18"/>
                <w:szCs w:val="18"/>
                <w:lang w:eastAsia="es-ES"/>
              </w:rPr>
            </w:pPr>
          </w:p>
        </w:tc>
        <w:tc>
          <w:tcPr>
            <w:tcW w:w="2871" w:type="dxa"/>
            <w:tcBorders>
              <w:top w:val="nil"/>
              <w:left w:val="nil"/>
              <w:bottom w:val="single" w:sz="4" w:space="0" w:color="auto"/>
              <w:right w:val="single" w:sz="4" w:space="0" w:color="auto"/>
            </w:tcBorders>
            <w:shd w:val="clear" w:color="auto" w:fill="auto"/>
            <w:vAlign w:val="center"/>
          </w:tcPr>
          <w:p w14:paraId="6CECC375" w14:textId="77777777" w:rsidR="003E69A5" w:rsidRPr="003F7F6C" w:rsidRDefault="003E69A5" w:rsidP="00D25E0D">
            <w:pPr>
              <w:spacing w:after="0"/>
              <w:rPr>
                <w:rFonts w:eastAsia="Times New Roman" w:cs="Calibri"/>
                <w:color w:val="000000"/>
                <w:sz w:val="18"/>
                <w:szCs w:val="18"/>
                <w:lang w:eastAsia="es-ES"/>
              </w:rPr>
            </w:pPr>
          </w:p>
        </w:tc>
        <w:tc>
          <w:tcPr>
            <w:tcW w:w="1084" w:type="dxa"/>
            <w:tcBorders>
              <w:top w:val="nil"/>
              <w:left w:val="nil"/>
              <w:bottom w:val="single" w:sz="4" w:space="0" w:color="auto"/>
              <w:right w:val="single" w:sz="4" w:space="0" w:color="auto"/>
            </w:tcBorders>
            <w:shd w:val="clear" w:color="auto" w:fill="auto"/>
            <w:vAlign w:val="center"/>
          </w:tcPr>
          <w:p w14:paraId="52133E10"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0536AAE1" w14:textId="77777777" w:rsidTr="00D25E0D">
        <w:trPr>
          <w:trHeight w:val="300"/>
          <w:jc w:val="center"/>
        </w:trPr>
        <w:tc>
          <w:tcPr>
            <w:tcW w:w="14440" w:type="dxa"/>
            <w:gridSpan w:val="7"/>
            <w:tcBorders>
              <w:top w:val="single" w:sz="4" w:space="0" w:color="auto"/>
              <w:left w:val="single" w:sz="4" w:space="0" w:color="auto"/>
              <w:bottom w:val="single" w:sz="4" w:space="0" w:color="auto"/>
              <w:right w:val="single" w:sz="4" w:space="0" w:color="auto"/>
            </w:tcBorders>
            <w:shd w:val="clear" w:color="000000" w:fill="D9D9D9"/>
            <w:vAlign w:val="center"/>
            <w:hideMark/>
          </w:tcPr>
          <w:p w14:paraId="1C4459D3"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CR 4: Capacities for Management and Implementation</w:t>
            </w:r>
          </w:p>
        </w:tc>
      </w:tr>
      <w:tr w:rsidR="003E69A5" w:rsidRPr="003F7F6C" w14:paraId="7C68E172" w14:textId="77777777" w:rsidTr="003E69A5">
        <w:trPr>
          <w:trHeight w:val="300"/>
          <w:jc w:val="center"/>
        </w:trPr>
        <w:tc>
          <w:tcPr>
            <w:tcW w:w="183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D462832"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 xml:space="preserve">Indicator 12: Existence and mobilization of resources </w:t>
            </w:r>
          </w:p>
        </w:tc>
        <w:tc>
          <w:tcPr>
            <w:tcW w:w="4775" w:type="dxa"/>
            <w:tcBorders>
              <w:top w:val="single" w:sz="4" w:space="0" w:color="auto"/>
              <w:left w:val="nil"/>
              <w:bottom w:val="single" w:sz="4" w:space="0" w:color="auto"/>
              <w:right w:val="single" w:sz="4" w:space="0" w:color="auto"/>
            </w:tcBorders>
            <w:shd w:val="clear" w:color="auto" w:fill="auto"/>
            <w:vAlign w:val="center"/>
            <w:hideMark/>
          </w:tcPr>
          <w:p w14:paraId="2780D152"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The environmental organizations don’t have adequate resources for their programmes and projects and the</w:t>
            </w:r>
          </w:p>
          <w:p w14:paraId="13EAF163" w14:textId="77777777" w:rsidR="003E69A5" w:rsidRPr="003F7F6C" w:rsidRDefault="003E69A5" w:rsidP="00D25E0D">
            <w:pPr>
              <w:spacing w:after="0"/>
              <w:rPr>
                <w:rFonts w:eastAsia="Times New Roman" w:cs="Calibri"/>
                <w:color w:val="000000"/>
                <w:sz w:val="18"/>
                <w:szCs w:val="18"/>
                <w:lang w:eastAsia="es-ES"/>
              </w:rPr>
            </w:pPr>
            <w:r w:rsidRPr="003F7F6C">
              <w:rPr>
                <w:rFonts w:cs="Calibri"/>
                <w:sz w:val="18"/>
                <w:szCs w:val="18"/>
              </w:rPr>
              <w:t>requirements have not been assessed</w:t>
            </w:r>
          </w:p>
        </w:tc>
        <w:tc>
          <w:tcPr>
            <w:tcW w:w="753" w:type="dxa"/>
            <w:tcBorders>
              <w:top w:val="single" w:sz="4" w:space="0" w:color="auto"/>
              <w:left w:val="nil"/>
              <w:bottom w:val="single" w:sz="4" w:space="0" w:color="auto"/>
              <w:right w:val="single" w:sz="4" w:space="0" w:color="auto"/>
            </w:tcBorders>
            <w:shd w:val="clear" w:color="auto" w:fill="auto"/>
            <w:vAlign w:val="center"/>
            <w:hideMark/>
          </w:tcPr>
          <w:p w14:paraId="373B1817"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0</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7117FBE0"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14:paraId="4026B231"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871" w:type="dxa"/>
            <w:tcBorders>
              <w:top w:val="single" w:sz="4" w:space="0" w:color="auto"/>
              <w:left w:val="nil"/>
              <w:bottom w:val="single" w:sz="4" w:space="0" w:color="auto"/>
              <w:right w:val="single" w:sz="4" w:space="0" w:color="auto"/>
            </w:tcBorders>
            <w:shd w:val="clear" w:color="auto" w:fill="auto"/>
            <w:vAlign w:val="center"/>
            <w:hideMark/>
          </w:tcPr>
          <w:p w14:paraId="278ED858"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084" w:type="dxa"/>
            <w:tcBorders>
              <w:top w:val="single" w:sz="4" w:space="0" w:color="auto"/>
              <w:left w:val="nil"/>
              <w:bottom w:val="single" w:sz="4" w:space="0" w:color="auto"/>
              <w:right w:val="single" w:sz="4" w:space="0" w:color="auto"/>
            </w:tcBorders>
            <w:shd w:val="clear" w:color="auto" w:fill="auto"/>
            <w:vAlign w:val="center"/>
            <w:hideMark/>
          </w:tcPr>
          <w:p w14:paraId="2E0E79F1"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7DA68417" w14:textId="77777777" w:rsidTr="003E69A5">
        <w:trPr>
          <w:trHeight w:val="300"/>
          <w:jc w:val="center"/>
        </w:trPr>
        <w:tc>
          <w:tcPr>
            <w:tcW w:w="1838" w:type="dxa"/>
            <w:vMerge/>
            <w:tcBorders>
              <w:top w:val="single" w:sz="4" w:space="0" w:color="auto"/>
              <w:left w:val="single" w:sz="4" w:space="0" w:color="auto"/>
              <w:bottom w:val="single" w:sz="4" w:space="0" w:color="auto"/>
              <w:right w:val="single" w:sz="4" w:space="0" w:color="auto"/>
            </w:tcBorders>
            <w:vAlign w:val="center"/>
            <w:hideMark/>
          </w:tcPr>
          <w:p w14:paraId="5E9DDCE1" w14:textId="77777777" w:rsidR="003E69A5" w:rsidRPr="003F7F6C" w:rsidRDefault="003E69A5" w:rsidP="00D25E0D">
            <w:pPr>
              <w:spacing w:after="0"/>
              <w:rPr>
                <w:rFonts w:eastAsia="Times New Roman" w:cs="Calibri"/>
                <w:color w:val="000000"/>
                <w:sz w:val="18"/>
                <w:szCs w:val="18"/>
                <w:lang w:eastAsia="es-ES"/>
              </w:rPr>
            </w:pPr>
          </w:p>
        </w:tc>
        <w:tc>
          <w:tcPr>
            <w:tcW w:w="4775" w:type="dxa"/>
            <w:tcBorders>
              <w:top w:val="single" w:sz="4" w:space="0" w:color="auto"/>
              <w:left w:val="nil"/>
              <w:bottom w:val="single" w:sz="4" w:space="0" w:color="auto"/>
              <w:right w:val="single" w:sz="4" w:space="0" w:color="auto"/>
            </w:tcBorders>
            <w:shd w:val="clear" w:color="auto" w:fill="auto"/>
            <w:vAlign w:val="center"/>
            <w:hideMark/>
          </w:tcPr>
          <w:p w14:paraId="692F975A"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The resource requirements are known but are not</w:t>
            </w:r>
          </w:p>
          <w:p w14:paraId="61CE3BF3" w14:textId="77777777" w:rsidR="003E69A5" w:rsidRPr="003F7F6C" w:rsidRDefault="003E69A5" w:rsidP="00D25E0D">
            <w:pPr>
              <w:spacing w:after="0"/>
              <w:rPr>
                <w:rFonts w:eastAsia="Times New Roman" w:cs="Calibri"/>
                <w:color w:val="000000"/>
                <w:sz w:val="18"/>
                <w:szCs w:val="18"/>
                <w:lang w:eastAsia="es-ES"/>
              </w:rPr>
            </w:pPr>
            <w:r w:rsidRPr="003F7F6C">
              <w:rPr>
                <w:rFonts w:cs="Calibri"/>
                <w:sz w:val="18"/>
                <w:szCs w:val="18"/>
              </w:rPr>
              <w:t>being addressed</w:t>
            </w:r>
          </w:p>
        </w:tc>
        <w:tc>
          <w:tcPr>
            <w:tcW w:w="753" w:type="dxa"/>
            <w:tcBorders>
              <w:top w:val="single" w:sz="4" w:space="0" w:color="auto"/>
              <w:left w:val="nil"/>
              <w:bottom w:val="single" w:sz="4" w:space="0" w:color="auto"/>
              <w:right w:val="single" w:sz="4" w:space="0" w:color="auto"/>
            </w:tcBorders>
            <w:shd w:val="clear" w:color="auto" w:fill="auto"/>
            <w:vAlign w:val="center"/>
            <w:hideMark/>
          </w:tcPr>
          <w:p w14:paraId="3FDEB477"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1</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5DBE153E"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14:paraId="6041C775"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871" w:type="dxa"/>
            <w:tcBorders>
              <w:top w:val="single" w:sz="4" w:space="0" w:color="auto"/>
              <w:left w:val="nil"/>
              <w:bottom w:val="single" w:sz="4" w:space="0" w:color="auto"/>
              <w:right w:val="single" w:sz="4" w:space="0" w:color="auto"/>
            </w:tcBorders>
            <w:shd w:val="clear" w:color="auto" w:fill="auto"/>
            <w:vAlign w:val="center"/>
            <w:hideMark/>
          </w:tcPr>
          <w:p w14:paraId="568DCED6"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084" w:type="dxa"/>
            <w:tcBorders>
              <w:top w:val="single" w:sz="4" w:space="0" w:color="auto"/>
              <w:left w:val="nil"/>
              <w:bottom w:val="single" w:sz="4" w:space="0" w:color="auto"/>
              <w:right w:val="single" w:sz="4" w:space="0" w:color="auto"/>
            </w:tcBorders>
            <w:shd w:val="clear" w:color="auto" w:fill="auto"/>
            <w:vAlign w:val="center"/>
            <w:hideMark/>
          </w:tcPr>
          <w:p w14:paraId="1944C0D6"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69510FF9" w14:textId="77777777" w:rsidTr="003E69A5">
        <w:trPr>
          <w:trHeight w:val="300"/>
          <w:jc w:val="center"/>
        </w:trPr>
        <w:tc>
          <w:tcPr>
            <w:tcW w:w="1838" w:type="dxa"/>
            <w:vMerge/>
            <w:tcBorders>
              <w:top w:val="single" w:sz="4" w:space="0" w:color="auto"/>
              <w:left w:val="single" w:sz="4" w:space="0" w:color="auto"/>
              <w:bottom w:val="single" w:sz="4" w:space="0" w:color="auto"/>
              <w:right w:val="single" w:sz="4" w:space="0" w:color="auto"/>
            </w:tcBorders>
            <w:vAlign w:val="center"/>
            <w:hideMark/>
          </w:tcPr>
          <w:p w14:paraId="782668F4" w14:textId="77777777" w:rsidR="003E69A5" w:rsidRPr="003F7F6C" w:rsidRDefault="003E69A5" w:rsidP="00D25E0D">
            <w:pPr>
              <w:spacing w:after="0"/>
              <w:rPr>
                <w:rFonts w:eastAsia="Times New Roman" w:cs="Calibri"/>
                <w:color w:val="000000"/>
                <w:sz w:val="18"/>
                <w:szCs w:val="18"/>
                <w:lang w:eastAsia="es-ES"/>
              </w:rPr>
            </w:pPr>
          </w:p>
        </w:tc>
        <w:tc>
          <w:tcPr>
            <w:tcW w:w="4775" w:type="dxa"/>
            <w:tcBorders>
              <w:top w:val="single" w:sz="4" w:space="0" w:color="auto"/>
              <w:left w:val="nil"/>
              <w:bottom w:val="single" w:sz="4" w:space="0" w:color="auto"/>
              <w:right w:val="single" w:sz="4" w:space="0" w:color="auto"/>
            </w:tcBorders>
            <w:shd w:val="clear" w:color="auto" w:fill="auto"/>
            <w:vAlign w:val="center"/>
            <w:hideMark/>
          </w:tcPr>
          <w:p w14:paraId="7495498E"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The funding sources for these resource requirements are partially identified and the resource requirements are partially addressed</w:t>
            </w:r>
          </w:p>
        </w:tc>
        <w:tc>
          <w:tcPr>
            <w:tcW w:w="753" w:type="dxa"/>
            <w:tcBorders>
              <w:top w:val="single" w:sz="4" w:space="0" w:color="auto"/>
              <w:left w:val="nil"/>
              <w:bottom w:val="single" w:sz="4" w:space="0" w:color="auto"/>
              <w:right w:val="single" w:sz="4" w:space="0" w:color="auto"/>
            </w:tcBorders>
            <w:shd w:val="clear" w:color="auto" w:fill="auto"/>
            <w:vAlign w:val="center"/>
            <w:hideMark/>
          </w:tcPr>
          <w:p w14:paraId="1E33C29A"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42BD44B8"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14:paraId="72021837"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The needs are partially identified and not all the resources for their development are available </w:t>
            </w:r>
          </w:p>
        </w:tc>
        <w:tc>
          <w:tcPr>
            <w:tcW w:w="2871" w:type="dxa"/>
            <w:tcBorders>
              <w:top w:val="single" w:sz="4" w:space="0" w:color="auto"/>
              <w:left w:val="nil"/>
              <w:bottom w:val="single" w:sz="4" w:space="0" w:color="auto"/>
              <w:right w:val="single" w:sz="4" w:space="0" w:color="auto"/>
            </w:tcBorders>
            <w:shd w:val="clear" w:color="auto" w:fill="auto"/>
            <w:vAlign w:val="center"/>
            <w:hideMark/>
          </w:tcPr>
          <w:p w14:paraId="5567D9DC"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Strengthening of resources for ELUP</w:t>
            </w:r>
          </w:p>
        </w:tc>
        <w:tc>
          <w:tcPr>
            <w:tcW w:w="1084" w:type="dxa"/>
            <w:tcBorders>
              <w:top w:val="single" w:sz="4" w:space="0" w:color="auto"/>
              <w:left w:val="nil"/>
              <w:bottom w:val="single" w:sz="4" w:space="0" w:color="auto"/>
              <w:right w:val="single" w:sz="4" w:space="0" w:color="auto"/>
            </w:tcBorders>
            <w:shd w:val="clear" w:color="auto" w:fill="auto"/>
            <w:vAlign w:val="center"/>
            <w:hideMark/>
          </w:tcPr>
          <w:p w14:paraId="0C1DABB6"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1DB6F73D" w14:textId="77777777" w:rsidTr="003E69A5">
        <w:trPr>
          <w:trHeight w:val="300"/>
          <w:jc w:val="center"/>
        </w:trPr>
        <w:tc>
          <w:tcPr>
            <w:tcW w:w="1838" w:type="dxa"/>
            <w:vMerge/>
            <w:tcBorders>
              <w:top w:val="nil"/>
              <w:left w:val="single" w:sz="4" w:space="0" w:color="auto"/>
              <w:bottom w:val="single" w:sz="4" w:space="0" w:color="auto"/>
              <w:right w:val="single" w:sz="4" w:space="0" w:color="auto"/>
            </w:tcBorders>
            <w:vAlign w:val="center"/>
            <w:hideMark/>
          </w:tcPr>
          <w:p w14:paraId="65DEBFC3" w14:textId="77777777" w:rsidR="003E69A5" w:rsidRPr="003F7F6C" w:rsidRDefault="003E69A5" w:rsidP="00D25E0D">
            <w:pPr>
              <w:spacing w:after="0"/>
              <w:rPr>
                <w:rFonts w:eastAsia="Times New Roman" w:cs="Calibri"/>
                <w:color w:val="000000"/>
                <w:sz w:val="18"/>
                <w:szCs w:val="18"/>
                <w:lang w:eastAsia="es-ES"/>
              </w:rPr>
            </w:pPr>
          </w:p>
        </w:tc>
        <w:tc>
          <w:tcPr>
            <w:tcW w:w="4775" w:type="dxa"/>
            <w:tcBorders>
              <w:top w:val="nil"/>
              <w:left w:val="nil"/>
              <w:bottom w:val="single" w:sz="4" w:space="0" w:color="auto"/>
              <w:right w:val="single" w:sz="4" w:space="0" w:color="auto"/>
            </w:tcBorders>
            <w:shd w:val="clear" w:color="auto" w:fill="auto"/>
            <w:vAlign w:val="center"/>
            <w:hideMark/>
          </w:tcPr>
          <w:p w14:paraId="2D6F82CB"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Adequate resources are mobilized and available for</w:t>
            </w:r>
          </w:p>
          <w:p w14:paraId="29F96F41"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the functioning of the lead environmental</w:t>
            </w:r>
          </w:p>
          <w:p w14:paraId="612DCB5B" w14:textId="77777777" w:rsidR="003E69A5" w:rsidRPr="003F7F6C" w:rsidRDefault="003E69A5" w:rsidP="00D25E0D">
            <w:pPr>
              <w:spacing w:after="0"/>
              <w:rPr>
                <w:rFonts w:eastAsia="Times New Roman" w:cs="Calibri"/>
                <w:color w:val="000000"/>
                <w:sz w:val="18"/>
                <w:szCs w:val="18"/>
                <w:lang w:eastAsia="es-ES"/>
              </w:rPr>
            </w:pPr>
            <w:r w:rsidRPr="003F7F6C">
              <w:rPr>
                <w:rFonts w:cs="Calibri"/>
                <w:sz w:val="18"/>
                <w:szCs w:val="18"/>
              </w:rPr>
              <w:t>organizations</w:t>
            </w:r>
          </w:p>
        </w:tc>
        <w:tc>
          <w:tcPr>
            <w:tcW w:w="753" w:type="dxa"/>
            <w:tcBorders>
              <w:top w:val="nil"/>
              <w:left w:val="nil"/>
              <w:bottom w:val="single" w:sz="4" w:space="0" w:color="auto"/>
              <w:right w:val="single" w:sz="4" w:space="0" w:color="auto"/>
            </w:tcBorders>
            <w:shd w:val="clear" w:color="auto" w:fill="auto"/>
            <w:vAlign w:val="center"/>
            <w:hideMark/>
          </w:tcPr>
          <w:p w14:paraId="34DF4B7C"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3</w:t>
            </w:r>
          </w:p>
        </w:tc>
        <w:tc>
          <w:tcPr>
            <w:tcW w:w="709" w:type="dxa"/>
            <w:tcBorders>
              <w:top w:val="nil"/>
              <w:left w:val="nil"/>
              <w:bottom w:val="single" w:sz="4" w:space="0" w:color="auto"/>
              <w:right w:val="single" w:sz="4" w:space="0" w:color="auto"/>
            </w:tcBorders>
            <w:shd w:val="clear" w:color="auto" w:fill="auto"/>
            <w:vAlign w:val="center"/>
            <w:hideMark/>
          </w:tcPr>
          <w:p w14:paraId="755F9D53"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410" w:type="dxa"/>
            <w:tcBorders>
              <w:top w:val="nil"/>
              <w:left w:val="nil"/>
              <w:bottom w:val="single" w:sz="4" w:space="0" w:color="auto"/>
              <w:right w:val="single" w:sz="4" w:space="0" w:color="auto"/>
            </w:tcBorders>
            <w:shd w:val="clear" w:color="auto" w:fill="auto"/>
            <w:vAlign w:val="center"/>
            <w:hideMark/>
          </w:tcPr>
          <w:p w14:paraId="70236BB7"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871" w:type="dxa"/>
            <w:tcBorders>
              <w:top w:val="nil"/>
              <w:left w:val="nil"/>
              <w:bottom w:val="single" w:sz="4" w:space="0" w:color="auto"/>
              <w:right w:val="single" w:sz="4" w:space="0" w:color="auto"/>
            </w:tcBorders>
            <w:shd w:val="clear" w:color="auto" w:fill="auto"/>
            <w:vAlign w:val="center"/>
            <w:hideMark/>
          </w:tcPr>
          <w:p w14:paraId="19E84158"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084" w:type="dxa"/>
            <w:tcBorders>
              <w:top w:val="nil"/>
              <w:left w:val="nil"/>
              <w:bottom w:val="single" w:sz="4" w:space="0" w:color="auto"/>
              <w:right w:val="single" w:sz="4" w:space="0" w:color="auto"/>
            </w:tcBorders>
            <w:shd w:val="clear" w:color="auto" w:fill="auto"/>
            <w:vAlign w:val="center"/>
            <w:hideMark/>
          </w:tcPr>
          <w:p w14:paraId="7E1F9C2A"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07D7443F" w14:textId="77777777" w:rsidTr="003E69A5">
        <w:trPr>
          <w:trHeight w:val="300"/>
          <w:jc w:val="center"/>
        </w:trPr>
        <w:tc>
          <w:tcPr>
            <w:tcW w:w="1838" w:type="dxa"/>
            <w:vMerge w:val="restart"/>
            <w:tcBorders>
              <w:top w:val="nil"/>
              <w:left w:val="single" w:sz="4" w:space="0" w:color="auto"/>
              <w:bottom w:val="single" w:sz="4" w:space="0" w:color="auto"/>
              <w:right w:val="single" w:sz="4" w:space="0" w:color="auto"/>
            </w:tcBorders>
            <w:shd w:val="clear" w:color="auto" w:fill="auto"/>
            <w:vAlign w:val="center"/>
            <w:hideMark/>
          </w:tcPr>
          <w:p w14:paraId="0F379BEE"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Indicator 13: Availability of required technical skills and technology transfer</w:t>
            </w:r>
          </w:p>
        </w:tc>
        <w:tc>
          <w:tcPr>
            <w:tcW w:w="4775" w:type="dxa"/>
            <w:tcBorders>
              <w:top w:val="nil"/>
              <w:left w:val="nil"/>
              <w:bottom w:val="single" w:sz="4" w:space="0" w:color="auto"/>
              <w:right w:val="single" w:sz="4" w:space="0" w:color="auto"/>
            </w:tcBorders>
            <w:shd w:val="clear" w:color="auto" w:fill="auto"/>
            <w:vAlign w:val="center"/>
            <w:hideMark/>
          </w:tcPr>
          <w:p w14:paraId="6365B8D9"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The necessary required skills and technology are not available and the needs are not identified</w:t>
            </w:r>
          </w:p>
        </w:tc>
        <w:tc>
          <w:tcPr>
            <w:tcW w:w="753" w:type="dxa"/>
            <w:tcBorders>
              <w:top w:val="nil"/>
              <w:left w:val="nil"/>
              <w:bottom w:val="single" w:sz="4" w:space="0" w:color="auto"/>
              <w:right w:val="single" w:sz="4" w:space="0" w:color="auto"/>
            </w:tcBorders>
            <w:shd w:val="clear" w:color="auto" w:fill="auto"/>
            <w:vAlign w:val="center"/>
            <w:hideMark/>
          </w:tcPr>
          <w:p w14:paraId="5071504C"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0</w:t>
            </w:r>
          </w:p>
        </w:tc>
        <w:tc>
          <w:tcPr>
            <w:tcW w:w="709" w:type="dxa"/>
            <w:tcBorders>
              <w:top w:val="nil"/>
              <w:left w:val="nil"/>
              <w:bottom w:val="single" w:sz="4" w:space="0" w:color="auto"/>
              <w:right w:val="single" w:sz="4" w:space="0" w:color="auto"/>
            </w:tcBorders>
            <w:shd w:val="clear" w:color="auto" w:fill="auto"/>
            <w:vAlign w:val="center"/>
            <w:hideMark/>
          </w:tcPr>
          <w:p w14:paraId="262249EE"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410" w:type="dxa"/>
            <w:tcBorders>
              <w:top w:val="nil"/>
              <w:left w:val="nil"/>
              <w:bottom w:val="single" w:sz="4" w:space="0" w:color="auto"/>
              <w:right w:val="single" w:sz="4" w:space="0" w:color="auto"/>
            </w:tcBorders>
            <w:shd w:val="clear" w:color="auto" w:fill="auto"/>
            <w:vAlign w:val="center"/>
            <w:hideMark/>
          </w:tcPr>
          <w:p w14:paraId="0C7AEC88"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871" w:type="dxa"/>
            <w:tcBorders>
              <w:top w:val="nil"/>
              <w:left w:val="nil"/>
              <w:bottom w:val="single" w:sz="4" w:space="0" w:color="auto"/>
              <w:right w:val="single" w:sz="4" w:space="0" w:color="auto"/>
            </w:tcBorders>
            <w:shd w:val="clear" w:color="auto" w:fill="auto"/>
            <w:vAlign w:val="center"/>
            <w:hideMark/>
          </w:tcPr>
          <w:p w14:paraId="62D0D24E"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084" w:type="dxa"/>
            <w:tcBorders>
              <w:top w:val="nil"/>
              <w:left w:val="nil"/>
              <w:bottom w:val="single" w:sz="4" w:space="0" w:color="auto"/>
              <w:right w:val="single" w:sz="4" w:space="0" w:color="auto"/>
            </w:tcBorders>
            <w:shd w:val="clear" w:color="auto" w:fill="auto"/>
            <w:vAlign w:val="center"/>
            <w:hideMark/>
          </w:tcPr>
          <w:p w14:paraId="0020DD52"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4BE9669B" w14:textId="77777777" w:rsidTr="003E69A5">
        <w:trPr>
          <w:trHeight w:val="300"/>
          <w:jc w:val="center"/>
        </w:trPr>
        <w:tc>
          <w:tcPr>
            <w:tcW w:w="1838" w:type="dxa"/>
            <w:vMerge/>
            <w:tcBorders>
              <w:top w:val="nil"/>
              <w:left w:val="single" w:sz="4" w:space="0" w:color="auto"/>
              <w:bottom w:val="single" w:sz="4" w:space="0" w:color="auto"/>
              <w:right w:val="single" w:sz="4" w:space="0" w:color="auto"/>
            </w:tcBorders>
            <w:vAlign w:val="center"/>
            <w:hideMark/>
          </w:tcPr>
          <w:p w14:paraId="6861D3DE" w14:textId="77777777" w:rsidR="003E69A5" w:rsidRPr="003F7F6C" w:rsidRDefault="003E69A5" w:rsidP="00D25E0D">
            <w:pPr>
              <w:spacing w:after="0"/>
              <w:rPr>
                <w:rFonts w:eastAsia="Times New Roman" w:cs="Calibri"/>
                <w:color w:val="000000"/>
                <w:sz w:val="18"/>
                <w:szCs w:val="18"/>
                <w:lang w:eastAsia="es-ES"/>
              </w:rPr>
            </w:pPr>
          </w:p>
        </w:tc>
        <w:tc>
          <w:tcPr>
            <w:tcW w:w="4775" w:type="dxa"/>
            <w:tcBorders>
              <w:top w:val="nil"/>
              <w:left w:val="nil"/>
              <w:bottom w:val="single" w:sz="4" w:space="0" w:color="auto"/>
              <w:right w:val="single" w:sz="4" w:space="0" w:color="auto"/>
            </w:tcBorders>
            <w:shd w:val="clear" w:color="auto" w:fill="auto"/>
            <w:vAlign w:val="center"/>
            <w:hideMark/>
          </w:tcPr>
          <w:p w14:paraId="0C09CF99"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The required skills and technologies needs are</w:t>
            </w:r>
          </w:p>
          <w:p w14:paraId="6F6DD09C" w14:textId="77777777" w:rsidR="003E69A5" w:rsidRPr="003F7F6C" w:rsidRDefault="003E69A5" w:rsidP="00D25E0D">
            <w:pPr>
              <w:spacing w:after="0"/>
              <w:rPr>
                <w:rFonts w:eastAsia="Times New Roman" w:cs="Calibri"/>
                <w:color w:val="000000"/>
                <w:sz w:val="18"/>
                <w:szCs w:val="18"/>
                <w:lang w:eastAsia="es-ES"/>
              </w:rPr>
            </w:pPr>
            <w:r w:rsidRPr="003F7F6C">
              <w:rPr>
                <w:rFonts w:cs="Calibri"/>
                <w:sz w:val="18"/>
                <w:szCs w:val="18"/>
              </w:rPr>
              <w:t>identified as well as their sources</w:t>
            </w:r>
          </w:p>
        </w:tc>
        <w:tc>
          <w:tcPr>
            <w:tcW w:w="753" w:type="dxa"/>
            <w:tcBorders>
              <w:top w:val="nil"/>
              <w:left w:val="nil"/>
              <w:bottom w:val="single" w:sz="4" w:space="0" w:color="auto"/>
              <w:right w:val="single" w:sz="4" w:space="0" w:color="auto"/>
            </w:tcBorders>
            <w:shd w:val="clear" w:color="auto" w:fill="auto"/>
            <w:vAlign w:val="center"/>
            <w:hideMark/>
          </w:tcPr>
          <w:p w14:paraId="62E8DB11"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1</w:t>
            </w:r>
          </w:p>
        </w:tc>
        <w:tc>
          <w:tcPr>
            <w:tcW w:w="709" w:type="dxa"/>
            <w:tcBorders>
              <w:top w:val="nil"/>
              <w:left w:val="nil"/>
              <w:bottom w:val="single" w:sz="4" w:space="0" w:color="auto"/>
              <w:right w:val="single" w:sz="4" w:space="0" w:color="auto"/>
            </w:tcBorders>
            <w:shd w:val="clear" w:color="auto" w:fill="auto"/>
            <w:vAlign w:val="center"/>
            <w:hideMark/>
          </w:tcPr>
          <w:p w14:paraId="1A2918AF"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1</w:t>
            </w:r>
          </w:p>
        </w:tc>
        <w:tc>
          <w:tcPr>
            <w:tcW w:w="2410" w:type="dxa"/>
            <w:tcBorders>
              <w:top w:val="nil"/>
              <w:left w:val="nil"/>
              <w:bottom w:val="single" w:sz="4" w:space="0" w:color="auto"/>
              <w:right w:val="single" w:sz="4" w:space="0" w:color="auto"/>
            </w:tcBorders>
            <w:shd w:val="clear" w:color="auto" w:fill="auto"/>
            <w:vAlign w:val="center"/>
            <w:hideMark/>
          </w:tcPr>
          <w:p w14:paraId="35A4AE91"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871" w:type="dxa"/>
            <w:tcBorders>
              <w:top w:val="nil"/>
              <w:left w:val="nil"/>
              <w:bottom w:val="single" w:sz="4" w:space="0" w:color="auto"/>
              <w:right w:val="single" w:sz="4" w:space="0" w:color="auto"/>
            </w:tcBorders>
            <w:shd w:val="clear" w:color="auto" w:fill="auto"/>
            <w:vAlign w:val="center"/>
            <w:hideMark/>
          </w:tcPr>
          <w:p w14:paraId="09C9C4F9"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Exchange of information and improve progress toward ELUP in each territory.  Capacity building</w:t>
            </w:r>
          </w:p>
        </w:tc>
        <w:tc>
          <w:tcPr>
            <w:tcW w:w="1084" w:type="dxa"/>
            <w:tcBorders>
              <w:top w:val="nil"/>
              <w:left w:val="nil"/>
              <w:bottom w:val="single" w:sz="4" w:space="0" w:color="auto"/>
              <w:right w:val="single" w:sz="4" w:space="0" w:color="auto"/>
            </w:tcBorders>
            <w:shd w:val="clear" w:color="auto" w:fill="auto"/>
            <w:vAlign w:val="center"/>
            <w:hideMark/>
          </w:tcPr>
          <w:p w14:paraId="1C964533"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312AEC86" w14:textId="77777777" w:rsidTr="003E69A5">
        <w:trPr>
          <w:trHeight w:val="300"/>
          <w:jc w:val="center"/>
        </w:trPr>
        <w:tc>
          <w:tcPr>
            <w:tcW w:w="1838" w:type="dxa"/>
            <w:vMerge/>
            <w:tcBorders>
              <w:top w:val="nil"/>
              <w:left w:val="single" w:sz="4" w:space="0" w:color="auto"/>
              <w:bottom w:val="single" w:sz="4" w:space="0" w:color="auto"/>
              <w:right w:val="single" w:sz="4" w:space="0" w:color="auto"/>
            </w:tcBorders>
            <w:vAlign w:val="center"/>
            <w:hideMark/>
          </w:tcPr>
          <w:p w14:paraId="5412212C" w14:textId="77777777" w:rsidR="003E69A5" w:rsidRPr="003F7F6C" w:rsidRDefault="003E69A5" w:rsidP="00D25E0D">
            <w:pPr>
              <w:spacing w:after="0"/>
              <w:rPr>
                <w:rFonts w:eastAsia="Times New Roman" w:cs="Calibri"/>
                <w:color w:val="000000"/>
                <w:sz w:val="18"/>
                <w:szCs w:val="18"/>
                <w:lang w:eastAsia="es-ES"/>
              </w:rPr>
            </w:pPr>
          </w:p>
        </w:tc>
        <w:tc>
          <w:tcPr>
            <w:tcW w:w="4775" w:type="dxa"/>
            <w:tcBorders>
              <w:top w:val="nil"/>
              <w:left w:val="nil"/>
              <w:bottom w:val="single" w:sz="4" w:space="0" w:color="auto"/>
              <w:right w:val="single" w:sz="4" w:space="0" w:color="auto"/>
            </w:tcBorders>
            <w:shd w:val="clear" w:color="auto" w:fill="auto"/>
            <w:vAlign w:val="center"/>
            <w:hideMark/>
          </w:tcPr>
          <w:p w14:paraId="568F7F28"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The required skills and technologies are obtained but their access depend on foreign sources</w:t>
            </w:r>
          </w:p>
        </w:tc>
        <w:tc>
          <w:tcPr>
            <w:tcW w:w="753" w:type="dxa"/>
            <w:tcBorders>
              <w:top w:val="nil"/>
              <w:left w:val="nil"/>
              <w:bottom w:val="single" w:sz="4" w:space="0" w:color="auto"/>
              <w:right w:val="single" w:sz="4" w:space="0" w:color="auto"/>
            </w:tcBorders>
            <w:shd w:val="clear" w:color="auto" w:fill="auto"/>
            <w:vAlign w:val="center"/>
            <w:hideMark/>
          </w:tcPr>
          <w:p w14:paraId="5A0E0A21"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c>
          <w:tcPr>
            <w:tcW w:w="709" w:type="dxa"/>
            <w:tcBorders>
              <w:top w:val="nil"/>
              <w:left w:val="nil"/>
              <w:bottom w:val="single" w:sz="4" w:space="0" w:color="auto"/>
              <w:right w:val="single" w:sz="4" w:space="0" w:color="auto"/>
            </w:tcBorders>
            <w:shd w:val="clear" w:color="auto" w:fill="auto"/>
            <w:vAlign w:val="center"/>
            <w:hideMark/>
          </w:tcPr>
          <w:p w14:paraId="67A783B4"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410" w:type="dxa"/>
            <w:tcBorders>
              <w:top w:val="nil"/>
              <w:left w:val="nil"/>
              <w:bottom w:val="single" w:sz="4" w:space="0" w:color="auto"/>
              <w:right w:val="single" w:sz="4" w:space="0" w:color="auto"/>
            </w:tcBorders>
            <w:shd w:val="clear" w:color="auto" w:fill="auto"/>
            <w:vAlign w:val="center"/>
            <w:hideMark/>
          </w:tcPr>
          <w:p w14:paraId="207489ED"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871" w:type="dxa"/>
            <w:tcBorders>
              <w:top w:val="nil"/>
              <w:left w:val="nil"/>
              <w:bottom w:val="single" w:sz="4" w:space="0" w:color="auto"/>
              <w:right w:val="single" w:sz="4" w:space="0" w:color="auto"/>
            </w:tcBorders>
            <w:shd w:val="clear" w:color="auto" w:fill="auto"/>
            <w:vAlign w:val="center"/>
            <w:hideMark/>
          </w:tcPr>
          <w:p w14:paraId="31DC1467"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084" w:type="dxa"/>
            <w:tcBorders>
              <w:top w:val="nil"/>
              <w:left w:val="nil"/>
              <w:bottom w:val="single" w:sz="4" w:space="0" w:color="auto"/>
              <w:right w:val="single" w:sz="4" w:space="0" w:color="auto"/>
            </w:tcBorders>
            <w:shd w:val="clear" w:color="auto" w:fill="auto"/>
            <w:vAlign w:val="center"/>
            <w:hideMark/>
          </w:tcPr>
          <w:p w14:paraId="63077BF2"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59472EFE" w14:textId="77777777" w:rsidTr="003E69A5">
        <w:trPr>
          <w:trHeight w:val="300"/>
          <w:jc w:val="center"/>
        </w:trPr>
        <w:tc>
          <w:tcPr>
            <w:tcW w:w="1838" w:type="dxa"/>
            <w:vMerge/>
            <w:tcBorders>
              <w:top w:val="nil"/>
              <w:left w:val="single" w:sz="4" w:space="0" w:color="auto"/>
              <w:bottom w:val="single" w:sz="4" w:space="0" w:color="auto"/>
              <w:right w:val="single" w:sz="4" w:space="0" w:color="auto"/>
            </w:tcBorders>
            <w:vAlign w:val="center"/>
            <w:hideMark/>
          </w:tcPr>
          <w:p w14:paraId="56C0A2F3" w14:textId="77777777" w:rsidR="003E69A5" w:rsidRPr="003F7F6C" w:rsidRDefault="003E69A5" w:rsidP="00D25E0D">
            <w:pPr>
              <w:spacing w:after="0"/>
              <w:rPr>
                <w:rFonts w:eastAsia="Times New Roman" w:cs="Calibri"/>
                <w:color w:val="000000"/>
                <w:sz w:val="18"/>
                <w:szCs w:val="18"/>
                <w:lang w:eastAsia="es-ES"/>
              </w:rPr>
            </w:pPr>
          </w:p>
        </w:tc>
        <w:tc>
          <w:tcPr>
            <w:tcW w:w="4775" w:type="dxa"/>
            <w:tcBorders>
              <w:top w:val="nil"/>
              <w:left w:val="nil"/>
              <w:bottom w:val="single" w:sz="4" w:space="0" w:color="auto"/>
              <w:right w:val="single" w:sz="4" w:space="0" w:color="auto"/>
            </w:tcBorders>
            <w:shd w:val="clear" w:color="auto" w:fill="auto"/>
            <w:vAlign w:val="center"/>
            <w:hideMark/>
          </w:tcPr>
          <w:p w14:paraId="37382F0D"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The required skills and technologies are available and</w:t>
            </w:r>
          </w:p>
          <w:p w14:paraId="0171D959"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there is a national-based mechanism for updating the</w:t>
            </w:r>
          </w:p>
          <w:p w14:paraId="07ABD3B9" w14:textId="77777777" w:rsidR="003E69A5" w:rsidRPr="003F7F6C" w:rsidRDefault="003E69A5" w:rsidP="00D25E0D">
            <w:pPr>
              <w:spacing w:after="0"/>
              <w:rPr>
                <w:rFonts w:eastAsia="Times New Roman" w:cs="Calibri"/>
                <w:color w:val="000000"/>
                <w:sz w:val="18"/>
                <w:szCs w:val="18"/>
                <w:lang w:eastAsia="es-ES"/>
              </w:rPr>
            </w:pPr>
            <w:r w:rsidRPr="003F7F6C">
              <w:rPr>
                <w:rFonts w:cs="Calibri"/>
                <w:sz w:val="18"/>
                <w:szCs w:val="18"/>
              </w:rPr>
              <w:t>required skills and for upgrading the technologies</w:t>
            </w:r>
          </w:p>
        </w:tc>
        <w:tc>
          <w:tcPr>
            <w:tcW w:w="753" w:type="dxa"/>
            <w:tcBorders>
              <w:top w:val="nil"/>
              <w:left w:val="nil"/>
              <w:bottom w:val="single" w:sz="4" w:space="0" w:color="auto"/>
              <w:right w:val="single" w:sz="4" w:space="0" w:color="auto"/>
            </w:tcBorders>
            <w:shd w:val="clear" w:color="auto" w:fill="auto"/>
            <w:vAlign w:val="center"/>
            <w:hideMark/>
          </w:tcPr>
          <w:p w14:paraId="65E61003"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3</w:t>
            </w:r>
          </w:p>
        </w:tc>
        <w:tc>
          <w:tcPr>
            <w:tcW w:w="709" w:type="dxa"/>
            <w:tcBorders>
              <w:top w:val="nil"/>
              <w:left w:val="nil"/>
              <w:bottom w:val="single" w:sz="4" w:space="0" w:color="auto"/>
              <w:right w:val="single" w:sz="4" w:space="0" w:color="auto"/>
            </w:tcBorders>
            <w:shd w:val="clear" w:color="auto" w:fill="auto"/>
            <w:vAlign w:val="center"/>
            <w:hideMark/>
          </w:tcPr>
          <w:p w14:paraId="46012416"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410" w:type="dxa"/>
            <w:tcBorders>
              <w:top w:val="nil"/>
              <w:left w:val="nil"/>
              <w:bottom w:val="single" w:sz="4" w:space="0" w:color="auto"/>
              <w:right w:val="single" w:sz="4" w:space="0" w:color="auto"/>
            </w:tcBorders>
            <w:shd w:val="clear" w:color="auto" w:fill="auto"/>
            <w:vAlign w:val="center"/>
            <w:hideMark/>
          </w:tcPr>
          <w:p w14:paraId="34D22BD2"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871" w:type="dxa"/>
            <w:tcBorders>
              <w:top w:val="nil"/>
              <w:left w:val="nil"/>
              <w:bottom w:val="single" w:sz="4" w:space="0" w:color="auto"/>
              <w:right w:val="single" w:sz="4" w:space="0" w:color="auto"/>
            </w:tcBorders>
            <w:shd w:val="clear" w:color="auto" w:fill="auto"/>
            <w:vAlign w:val="center"/>
            <w:hideMark/>
          </w:tcPr>
          <w:p w14:paraId="7DE7EA3B"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084" w:type="dxa"/>
            <w:tcBorders>
              <w:top w:val="nil"/>
              <w:left w:val="nil"/>
              <w:bottom w:val="single" w:sz="4" w:space="0" w:color="auto"/>
              <w:right w:val="single" w:sz="4" w:space="0" w:color="auto"/>
            </w:tcBorders>
            <w:shd w:val="clear" w:color="auto" w:fill="auto"/>
            <w:vAlign w:val="center"/>
            <w:hideMark/>
          </w:tcPr>
          <w:p w14:paraId="4511DC8F"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07855368" w14:textId="77777777" w:rsidTr="003E69A5">
        <w:trPr>
          <w:trHeight w:val="300"/>
          <w:jc w:val="center"/>
        </w:trPr>
        <w:tc>
          <w:tcPr>
            <w:tcW w:w="1838" w:type="dxa"/>
            <w:tcBorders>
              <w:top w:val="nil"/>
              <w:left w:val="single" w:sz="4" w:space="0" w:color="auto"/>
              <w:bottom w:val="single" w:sz="4" w:space="0" w:color="auto"/>
              <w:right w:val="single" w:sz="4" w:space="0" w:color="auto"/>
            </w:tcBorders>
            <w:vAlign w:val="center"/>
          </w:tcPr>
          <w:p w14:paraId="1AE2A656" w14:textId="77777777" w:rsidR="003E69A5" w:rsidRPr="003F7F6C" w:rsidRDefault="003E69A5" w:rsidP="00D25E0D">
            <w:pPr>
              <w:spacing w:after="0"/>
              <w:rPr>
                <w:rFonts w:eastAsia="Times New Roman" w:cs="Calibri"/>
                <w:color w:val="000000"/>
                <w:sz w:val="18"/>
                <w:szCs w:val="18"/>
                <w:lang w:eastAsia="es-ES"/>
              </w:rPr>
            </w:pPr>
          </w:p>
        </w:tc>
        <w:tc>
          <w:tcPr>
            <w:tcW w:w="4775" w:type="dxa"/>
            <w:tcBorders>
              <w:top w:val="nil"/>
              <w:left w:val="nil"/>
              <w:bottom w:val="single" w:sz="4" w:space="0" w:color="auto"/>
              <w:right w:val="single" w:sz="4" w:space="0" w:color="auto"/>
            </w:tcBorders>
            <w:shd w:val="clear" w:color="auto" w:fill="auto"/>
            <w:vAlign w:val="center"/>
          </w:tcPr>
          <w:p w14:paraId="0413DF7A"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p>
        </w:tc>
        <w:tc>
          <w:tcPr>
            <w:tcW w:w="753" w:type="dxa"/>
            <w:tcBorders>
              <w:top w:val="nil"/>
              <w:left w:val="nil"/>
              <w:bottom w:val="single" w:sz="4" w:space="0" w:color="auto"/>
              <w:right w:val="single" w:sz="4" w:space="0" w:color="auto"/>
            </w:tcBorders>
            <w:shd w:val="clear" w:color="auto" w:fill="auto"/>
            <w:vAlign w:val="center"/>
          </w:tcPr>
          <w:p w14:paraId="09710192"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6</w:t>
            </w:r>
          </w:p>
        </w:tc>
        <w:tc>
          <w:tcPr>
            <w:tcW w:w="709" w:type="dxa"/>
            <w:tcBorders>
              <w:top w:val="nil"/>
              <w:left w:val="nil"/>
              <w:bottom w:val="single" w:sz="4" w:space="0" w:color="auto"/>
              <w:right w:val="single" w:sz="4" w:space="0" w:color="auto"/>
            </w:tcBorders>
            <w:shd w:val="clear" w:color="auto" w:fill="auto"/>
            <w:vAlign w:val="center"/>
          </w:tcPr>
          <w:p w14:paraId="4F5604FF"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3</w:t>
            </w:r>
          </w:p>
        </w:tc>
        <w:tc>
          <w:tcPr>
            <w:tcW w:w="2410" w:type="dxa"/>
            <w:tcBorders>
              <w:top w:val="nil"/>
              <w:left w:val="nil"/>
              <w:bottom w:val="single" w:sz="4" w:space="0" w:color="auto"/>
              <w:right w:val="single" w:sz="4" w:space="0" w:color="auto"/>
            </w:tcBorders>
            <w:shd w:val="clear" w:color="auto" w:fill="auto"/>
            <w:vAlign w:val="center"/>
          </w:tcPr>
          <w:p w14:paraId="320A8500" w14:textId="77777777" w:rsidR="003E69A5" w:rsidRPr="003F7F6C" w:rsidRDefault="003E69A5" w:rsidP="00D25E0D">
            <w:pPr>
              <w:spacing w:after="0"/>
              <w:rPr>
                <w:rFonts w:eastAsia="Times New Roman" w:cs="Calibri"/>
                <w:color w:val="000000"/>
                <w:sz w:val="18"/>
                <w:szCs w:val="18"/>
                <w:lang w:eastAsia="es-ES"/>
              </w:rPr>
            </w:pPr>
          </w:p>
        </w:tc>
        <w:tc>
          <w:tcPr>
            <w:tcW w:w="2871" w:type="dxa"/>
            <w:tcBorders>
              <w:top w:val="nil"/>
              <w:left w:val="nil"/>
              <w:bottom w:val="single" w:sz="4" w:space="0" w:color="auto"/>
              <w:right w:val="single" w:sz="4" w:space="0" w:color="auto"/>
            </w:tcBorders>
            <w:shd w:val="clear" w:color="auto" w:fill="auto"/>
            <w:vAlign w:val="center"/>
          </w:tcPr>
          <w:p w14:paraId="589D2D16" w14:textId="77777777" w:rsidR="003E69A5" w:rsidRPr="003F7F6C" w:rsidRDefault="003E69A5" w:rsidP="00D25E0D">
            <w:pPr>
              <w:spacing w:after="0"/>
              <w:rPr>
                <w:rFonts w:eastAsia="Times New Roman" w:cs="Calibri"/>
                <w:color w:val="000000"/>
                <w:sz w:val="18"/>
                <w:szCs w:val="18"/>
                <w:lang w:eastAsia="es-ES"/>
              </w:rPr>
            </w:pPr>
          </w:p>
        </w:tc>
        <w:tc>
          <w:tcPr>
            <w:tcW w:w="1084" w:type="dxa"/>
            <w:tcBorders>
              <w:top w:val="nil"/>
              <w:left w:val="nil"/>
              <w:bottom w:val="single" w:sz="4" w:space="0" w:color="auto"/>
              <w:right w:val="single" w:sz="4" w:space="0" w:color="auto"/>
            </w:tcBorders>
            <w:shd w:val="clear" w:color="auto" w:fill="auto"/>
            <w:vAlign w:val="center"/>
          </w:tcPr>
          <w:p w14:paraId="20D787E6"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1D706035" w14:textId="77777777" w:rsidTr="003E69A5">
        <w:trPr>
          <w:trHeight w:val="300"/>
          <w:jc w:val="center"/>
        </w:trPr>
        <w:tc>
          <w:tcPr>
            <w:tcW w:w="1838" w:type="dxa"/>
            <w:tcBorders>
              <w:top w:val="nil"/>
              <w:left w:val="single" w:sz="4" w:space="0" w:color="auto"/>
              <w:bottom w:val="single" w:sz="4" w:space="0" w:color="auto"/>
              <w:right w:val="single" w:sz="4" w:space="0" w:color="auto"/>
            </w:tcBorders>
            <w:vAlign w:val="center"/>
          </w:tcPr>
          <w:p w14:paraId="20DD6FE2" w14:textId="77777777" w:rsidR="003E69A5" w:rsidRPr="003F7F6C" w:rsidRDefault="003E69A5" w:rsidP="00D25E0D">
            <w:pPr>
              <w:spacing w:after="0"/>
              <w:rPr>
                <w:rFonts w:eastAsia="Times New Roman" w:cs="Calibri"/>
                <w:color w:val="000000"/>
                <w:sz w:val="18"/>
                <w:szCs w:val="18"/>
                <w:lang w:eastAsia="es-ES"/>
              </w:rPr>
            </w:pPr>
          </w:p>
        </w:tc>
        <w:tc>
          <w:tcPr>
            <w:tcW w:w="4775" w:type="dxa"/>
            <w:tcBorders>
              <w:top w:val="nil"/>
              <w:left w:val="nil"/>
              <w:bottom w:val="single" w:sz="4" w:space="0" w:color="auto"/>
              <w:right w:val="single" w:sz="4" w:space="0" w:color="auto"/>
            </w:tcBorders>
            <w:shd w:val="clear" w:color="auto" w:fill="auto"/>
            <w:vAlign w:val="center"/>
          </w:tcPr>
          <w:p w14:paraId="6A1A064B"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p>
        </w:tc>
        <w:tc>
          <w:tcPr>
            <w:tcW w:w="753" w:type="dxa"/>
            <w:tcBorders>
              <w:top w:val="nil"/>
              <w:left w:val="nil"/>
              <w:bottom w:val="single" w:sz="4" w:space="0" w:color="auto"/>
              <w:right w:val="single" w:sz="4" w:space="0" w:color="auto"/>
            </w:tcBorders>
            <w:shd w:val="clear" w:color="auto" w:fill="auto"/>
            <w:vAlign w:val="center"/>
          </w:tcPr>
          <w:p w14:paraId="0370593F" w14:textId="77777777" w:rsidR="003E69A5" w:rsidRPr="003F7F6C" w:rsidRDefault="003E69A5" w:rsidP="00D25E0D">
            <w:pPr>
              <w:spacing w:after="0"/>
              <w:rPr>
                <w:rFonts w:eastAsia="Times New Roman" w:cs="Calibri"/>
                <w:color w:val="000000"/>
                <w:sz w:val="18"/>
                <w:szCs w:val="18"/>
                <w:lang w:eastAsia="es-ES"/>
              </w:rPr>
            </w:pPr>
          </w:p>
        </w:tc>
        <w:tc>
          <w:tcPr>
            <w:tcW w:w="709" w:type="dxa"/>
            <w:tcBorders>
              <w:top w:val="nil"/>
              <w:left w:val="nil"/>
              <w:bottom w:val="single" w:sz="4" w:space="0" w:color="auto"/>
              <w:right w:val="single" w:sz="4" w:space="0" w:color="auto"/>
            </w:tcBorders>
            <w:shd w:val="clear" w:color="auto" w:fill="auto"/>
            <w:vAlign w:val="center"/>
          </w:tcPr>
          <w:p w14:paraId="081C6BE1"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50%</w:t>
            </w:r>
          </w:p>
        </w:tc>
        <w:tc>
          <w:tcPr>
            <w:tcW w:w="2410" w:type="dxa"/>
            <w:tcBorders>
              <w:top w:val="nil"/>
              <w:left w:val="nil"/>
              <w:bottom w:val="single" w:sz="4" w:space="0" w:color="auto"/>
              <w:right w:val="single" w:sz="4" w:space="0" w:color="auto"/>
            </w:tcBorders>
            <w:shd w:val="clear" w:color="auto" w:fill="auto"/>
            <w:vAlign w:val="center"/>
          </w:tcPr>
          <w:p w14:paraId="45634DBC" w14:textId="77777777" w:rsidR="003E69A5" w:rsidRPr="003F7F6C" w:rsidRDefault="003E69A5" w:rsidP="00D25E0D">
            <w:pPr>
              <w:spacing w:after="0"/>
              <w:rPr>
                <w:rFonts w:eastAsia="Times New Roman" w:cs="Calibri"/>
                <w:color w:val="000000"/>
                <w:sz w:val="18"/>
                <w:szCs w:val="18"/>
                <w:lang w:eastAsia="es-ES"/>
              </w:rPr>
            </w:pPr>
          </w:p>
        </w:tc>
        <w:tc>
          <w:tcPr>
            <w:tcW w:w="2871" w:type="dxa"/>
            <w:tcBorders>
              <w:top w:val="nil"/>
              <w:left w:val="nil"/>
              <w:bottom w:val="single" w:sz="4" w:space="0" w:color="auto"/>
              <w:right w:val="single" w:sz="4" w:space="0" w:color="auto"/>
            </w:tcBorders>
            <w:shd w:val="clear" w:color="auto" w:fill="auto"/>
            <w:vAlign w:val="center"/>
          </w:tcPr>
          <w:p w14:paraId="0DAA0B94" w14:textId="77777777" w:rsidR="003E69A5" w:rsidRPr="003F7F6C" w:rsidRDefault="003E69A5" w:rsidP="00D25E0D">
            <w:pPr>
              <w:spacing w:after="0"/>
              <w:rPr>
                <w:rFonts w:eastAsia="Times New Roman" w:cs="Calibri"/>
                <w:color w:val="000000"/>
                <w:sz w:val="18"/>
                <w:szCs w:val="18"/>
                <w:lang w:eastAsia="es-ES"/>
              </w:rPr>
            </w:pPr>
          </w:p>
        </w:tc>
        <w:tc>
          <w:tcPr>
            <w:tcW w:w="1084" w:type="dxa"/>
            <w:tcBorders>
              <w:top w:val="nil"/>
              <w:left w:val="nil"/>
              <w:bottom w:val="single" w:sz="4" w:space="0" w:color="auto"/>
              <w:right w:val="single" w:sz="4" w:space="0" w:color="auto"/>
            </w:tcBorders>
            <w:shd w:val="clear" w:color="auto" w:fill="auto"/>
            <w:vAlign w:val="center"/>
          </w:tcPr>
          <w:p w14:paraId="4F8ADDEB"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37F05687" w14:textId="77777777" w:rsidTr="00D25E0D">
        <w:trPr>
          <w:trHeight w:val="300"/>
          <w:jc w:val="center"/>
        </w:trPr>
        <w:tc>
          <w:tcPr>
            <w:tcW w:w="14440" w:type="dxa"/>
            <w:gridSpan w:val="7"/>
            <w:tcBorders>
              <w:top w:val="single" w:sz="4" w:space="0" w:color="auto"/>
              <w:left w:val="single" w:sz="4" w:space="0" w:color="auto"/>
              <w:bottom w:val="single" w:sz="4" w:space="0" w:color="auto"/>
              <w:right w:val="single" w:sz="4" w:space="0" w:color="auto"/>
            </w:tcBorders>
            <w:shd w:val="clear" w:color="000000" w:fill="D9D9D9"/>
            <w:vAlign w:val="center"/>
            <w:hideMark/>
          </w:tcPr>
          <w:p w14:paraId="7B2790F1"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CR 5: Capacities to Monitor and Evaluate</w:t>
            </w:r>
          </w:p>
        </w:tc>
      </w:tr>
      <w:tr w:rsidR="003E69A5" w:rsidRPr="003F7F6C" w14:paraId="4A850A66" w14:textId="77777777" w:rsidTr="003E69A5">
        <w:trPr>
          <w:trHeight w:val="300"/>
          <w:jc w:val="center"/>
        </w:trPr>
        <w:tc>
          <w:tcPr>
            <w:tcW w:w="183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343EF4"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Indicator 14: Adequacy of the project/programme monitoring process</w:t>
            </w:r>
          </w:p>
        </w:tc>
        <w:tc>
          <w:tcPr>
            <w:tcW w:w="4775" w:type="dxa"/>
            <w:tcBorders>
              <w:top w:val="single" w:sz="4" w:space="0" w:color="auto"/>
              <w:left w:val="nil"/>
              <w:bottom w:val="single" w:sz="4" w:space="0" w:color="auto"/>
              <w:right w:val="single" w:sz="4" w:space="0" w:color="auto"/>
            </w:tcBorders>
            <w:shd w:val="clear" w:color="auto" w:fill="auto"/>
            <w:vAlign w:val="center"/>
            <w:hideMark/>
          </w:tcPr>
          <w:p w14:paraId="615FDC2C"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Irregular project monitoring is being done without an adequate monitoring framework detailing what and how to monitor the particular project or programme</w:t>
            </w:r>
          </w:p>
        </w:tc>
        <w:tc>
          <w:tcPr>
            <w:tcW w:w="753" w:type="dxa"/>
            <w:tcBorders>
              <w:top w:val="single" w:sz="4" w:space="0" w:color="auto"/>
              <w:left w:val="nil"/>
              <w:bottom w:val="single" w:sz="4" w:space="0" w:color="auto"/>
              <w:right w:val="single" w:sz="4" w:space="0" w:color="auto"/>
            </w:tcBorders>
            <w:shd w:val="clear" w:color="auto" w:fill="auto"/>
            <w:vAlign w:val="center"/>
            <w:hideMark/>
          </w:tcPr>
          <w:p w14:paraId="358E7367"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0</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34EE1414"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14:paraId="2C851F0E"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871" w:type="dxa"/>
            <w:tcBorders>
              <w:top w:val="single" w:sz="4" w:space="0" w:color="auto"/>
              <w:left w:val="nil"/>
              <w:bottom w:val="single" w:sz="4" w:space="0" w:color="auto"/>
              <w:right w:val="single" w:sz="4" w:space="0" w:color="auto"/>
            </w:tcBorders>
            <w:shd w:val="clear" w:color="auto" w:fill="auto"/>
            <w:vAlign w:val="center"/>
            <w:hideMark/>
          </w:tcPr>
          <w:p w14:paraId="0A05231F"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084" w:type="dxa"/>
            <w:tcBorders>
              <w:top w:val="single" w:sz="4" w:space="0" w:color="auto"/>
              <w:left w:val="nil"/>
              <w:bottom w:val="single" w:sz="4" w:space="0" w:color="auto"/>
              <w:right w:val="single" w:sz="4" w:space="0" w:color="auto"/>
            </w:tcBorders>
            <w:shd w:val="clear" w:color="auto" w:fill="auto"/>
            <w:vAlign w:val="center"/>
            <w:hideMark/>
          </w:tcPr>
          <w:p w14:paraId="0221173C"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4D9ECDD4" w14:textId="77777777" w:rsidTr="003E69A5">
        <w:trPr>
          <w:trHeight w:val="1168"/>
          <w:jc w:val="center"/>
        </w:trPr>
        <w:tc>
          <w:tcPr>
            <w:tcW w:w="1838" w:type="dxa"/>
            <w:vMerge/>
            <w:tcBorders>
              <w:top w:val="single" w:sz="4" w:space="0" w:color="auto"/>
              <w:left w:val="single" w:sz="4" w:space="0" w:color="auto"/>
              <w:bottom w:val="single" w:sz="4" w:space="0" w:color="auto"/>
              <w:right w:val="single" w:sz="4" w:space="0" w:color="auto"/>
            </w:tcBorders>
            <w:vAlign w:val="center"/>
            <w:hideMark/>
          </w:tcPr>
          <w:p w14:paraId="6CECCE56" w14:textId="77777777" w:rsidR="003E69A5" w:rsidRPr="003F7F6C" w:rsidRDefault="003E69A5" w:rsidP="00D25E0D">
            <w:pPr>
              <w:spacing w:after="0"/>
              <w:rPr>
                <w:rFonts w:eastAsia="Times New Roman" w:cs="Calibri"/>
                <w:color w:val="000000"/>
                <w:sz w:val="18"/>
                <w:szCs w:val="18"/>
                <w:lang w:eastAsia="es-ES"/>
              </w:rPr>
            </w:pPr>
          </w:p>
        </w:tc>
        <w:tc>
          <w:tcPr>
            <w:tcW w:w="4775" w:type="dxa"/>
            <w:tcBorders>
              <w:top w:val="single" w:sz="4" w:space="0" w:color="auto"/>
              <w:left w:val="nil"/>
              <w:bottom w:val="single" w:sz="4" w:space="0" w:color="auto"/>
              <w:right w:val="single" w:sz="4" w:space="0" w:color="auto"/>
            </w:tcBorders>
            <w:shd w:val="clear" w:color="auto" w:fill="auto"/>
            <w:vAlign w:val="center"/>
            <w:hideMark/>
          </w:tcPr>
          <w:p w14:paraId="53B49D92"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An adequate resourced monitoring framework is in place but project monitoring is irregularly conducted</w:t>
            </w:r>
          </w:p>
        </w:tc>
        <w:tc>
          <w:tcPr>
            <w:tcW w:w="753" w:type="dxa"/>
            <w:tcBorders>
              <w:top w:val="single" w:sz="4" w:space="0" w:color="auto"/>
              <w:left w:val="nil"/>
              <w:bottom w:val="single" w:sz="4" w:space="0" w:color="auto"/>
              <w:right w:val="single" w:sz="4" w:space="0" w:color="auto"/>
            </w:tcBorders>
            <w:shd w:val="clear" w:color="auto" w:fill="auto"/>
            <w:vAlign w:val="center"/>
            <w:hideMark/>
          </w:tcPr>
          <w:p w14:paraId="530DCC45"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1</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536251ED"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1</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14:paraId="7DEDC949"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871" w:type="dxa"/>
            <w:tcBorders>
              <w:top w:val="single" w:sz="4" w:space="0" w:color="auto"/>
              <w:left w:val="nil"/>
              <w:bottom w:val="single" w:sz="4" w:space="0" w:color="auto"/>
              <w:right w:val="single" w:sz="4" w:space="0" w:color="auto"/>
            </w:tcBorders>
            <w:shd w:val="clear" w:color="auto" w:fill="auto"/>
            <w:vAlign w:val="center"/>
            <w:hideMark/>
          </w:tcPr>
          <w:p w14:paraId="264FEDB5"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Adjustment and implementation of current monitoring</w:t>
            </w:r>
          </w:p>
        </w:tc>
        <w:tc>
          <w:tcPr>
            <w:tcW w:w="1084" w:type="dxa"/>
            <w:tcBorders>
              <w:top w:val="single" w:sz="4" w:space="0" w:color="auto"/>
              <w:left w:val="nil"/>
              <w:bottom w:val="single" w:sz="4" w:space="0" w:color="auto"/>
              <w:right w:val="single" w:sz="4" w:space="0" w:color="auto"/>
            </w:tcBorders>
            <w:shd w:val="clear" w:color="auto" w:fill="auto"/>
            <w:vAlign w:val="center"/>
            <w:hideMark/>
          </w:tcPr>
          <w:p w14:paraId="635EF9B7"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r>
      <w:tr w:rsidR="003E69A5" w:rsidRPr="003F7F6C" w14:paraId="07CD95BB" w14:textId="77777777" w:rsidTr="003E69A5">
        <w:trPr>
          <w:trHeight w:val="300"/>
          <w:jc w:val="center"/>
        </w:trPr>
        <w:tc>
          <w:tcPr>
            <w:tcW w:w="1838" w:type="dxa"/>
            <w:vMerge/>
            <w:tcBorders>
              <w:top w:val="single" w:sz="4" w:space="0" w:color="auto"/>
              <w:left w:val="single" w:sz="4" w:space="0" w:color="auto"/>
              <w:bottom w:val="single" w:sz="4" w:space="0" w:color="auto"/>
              <w:right w:val="single" w:sz="4" w:space="0" w:color="auto"/>
            </w:tcBorders>
            <w:vAlign w:val="center"/>
            <w:hideMark/>
          </w:tcPr>
          <w:p w14:paraId="604B0A84" w14:textId="77777777" w:rsidR="003E69A5" w:rsidRPr="003F7F6C" w:rsidRDefault="003E69A5" w:rsidP="00D25E0D">
            <w:pPr>
              <w:spacing w:after="0"/>
              <w:rPr>
                <w:rFonts w:eastAsia="Times New Roman" w:cs="Calibri"/>
                <w:color w:val="000000"/>
                <w:sz w:val="18"/>
                <w:szCs w:val="18"/>
                <w:lang w:eastAsia="es-ES"/>
              </w:rPr>
            </w:pPr>
          </w:p>
        </w:tc>
        <w:tc>
          <w:tcPr>
            <w:tcW w:w="4775" w:type="dxa"/>
            <w:tcBorders>
              <w:top w:val="single" w:sz="4" w:space="0" w:color="auto"/>
              <w:left w:val="nil"/>
              <w:bottom w:val="single" w:sz="4" w:space="0" w:color="auto"/>
              <w:right w:val="single" w:sz="4" w:space="0" w:color="auto"/>
            </w:tcBorders>
            <w:shd w:val="clear" w:color="auto" w:fill="auto"/>
            <w:vAlign w:val="center"/>
            <w:hideMark/>
          </w:tcPr>
          <w:p w14:paraId="39DF5540"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Regular participative monitoring of results in being</w:t>
            </w:r>
          </w:p>
          <w:p w14:paraId="47D65649"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conducted but this information is only partially used</w:t>
            </w:r>
          </w:p>
          <w:p w14:paraId="04B906CA" w14:textId="77777777" w:rsidR="003E69A5" w:rsidRPr="003F7F6C" w:rsidRDefault="003E69A5" w:rsidP="00D25E0D">
            <w:pPr>
              <w:spacing w:after="0"/>
              <w:rPr>
                <w:rFonts w:eastAsia="Times New Roman" w:cs="Calibri"/>
                <w:color w:val="000000"/>
                <w:sz w:val="18"/>
                <w:szCs w:val="18"/>
                <w:lang w:eastAsia="es-ES"/>
              </w:rPr>
            </w:pPr>
            <w:r w:rsidRPr="003F7F6C">
              <w:rPr>
                <w:rFonts w:cs="Calibri"/>
                <w:sz w:val="18"/>
                <w:szCs w:val="18"/>
              </w:rPr>
              <w:t>by the project/programme implementation team</w:t>
            </w:r>
          </w:p>
        </w:tc>
        <w:tc>
          <w:tcPr>
            <w:tcW w:w="753" w:type="dxa"/>
            <w:tcBorders>
              <w:top w:val="single" w:sz="4" w:space="0" w:color="auto"/>
              <w:left w:val="nil"/>
              <w:bottom w:val="single" w:sz="4" w:space="0" w:color="auto"/>
              <w:right w:val="single" w:sz="4" w:space="0" w:color="auto"/>
            </w:tcBorders>
            <w:shd w:val="clear" w:color="auto" w:fill="auto"/>
            <w:vAlign w:val="center"/>
            <w:hideMark/>
          </w:tcPr>
          <w:p w14:paraId="494625CF"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23255968"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14:paraId="6AE3B123"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871" w:type="dxa"/>
            <w:tcBorders>
              <w:top w:val="single" w:sz="4" w:space="0" w:color="auto"/>
              <w:left w:val="nil"/>
              <w:bottom w:val="single" w:sz="4" w:space="0" w:color="auto"/>
              <w:right w:val="single" w:sz="4" w:space="0" w:color="auto"/>
            </w:tcBorders>
            <w:shd w:val="clear" w:color="auto" w:fill="auto"/>
            <w:vAlign w:val="center"/>
            <w:hideMark/>
          </w:tcPr>
          <w:p w14:paraId="3C0F7B0F"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084" w:type="dxa"/>
            <w:tcBorders>
              <w:top w:val="single" w:sz="4" w:space="0" w:color="auto"/>
              <w:left w:val="nil"/>
              <w:bottom w:val="single" w:sz="4" w:space="0" w:color="auto"/>
              <w:right w:val="single" w:sz="4" w:space="0" w:color="auto"/>
            </w:tcBorders>
            <w:shd w:val="clear" w:color="auto" w:fill="auto"/>
            <w:vAlign w:val="center"/>
            <w:hideMark/>
          </w:tcPr>
          <w:p w14:paraId="38F0C54B"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776DC6F0" w14:textId="77777777" w:rsidTr="003E69A5">
        <w:trPr>
          <w:trHeight w:val="300"/>
          <w:jc w:val="center"/>
        </w:trPr>
        <w:tc>
          <w:tcPr>
            <w:tcW w:w="1838" w:type="dxa"/>
            <w:vMerge/>
            <w:tcBorders>
              <w:top w:val="single" w:sz="4" w:space="0" w:color="auto"/>
              <w:left w:val="single" w:sz="4" w:space="0" w:color="auto"/>
              <w:bottom w:val="single" w:sz="4" w:space="0" w:color="auto"/>
              <w:right w:val="single" w:sz="4" w:space="0" w:color="auto"/>
            </w:tcBorders>
            <w:vAlign w:val="center"/>
            <w:hideMark/>
          </w:tcPr>
          <w:p w14:paraId="74F5E559" w14:textId="77777777" w:rsidR="003E69A5" w:rsidRPr="003F7F6C" w:rsidRDefault="003E69A5" w:rsidP="00D25E0D">
            <w:pPr>
              <w:spacing w:after="0"/>
              <w:rPr>
                <w:rFonts w:eastAsia="Times New Roman" w:cs="Calibri"/>
                <w:color w:val="000000"/>
                <w:sz w:val="18"/>
                <w:szCs w:val="18"/>
                <w:lang w:eastAsia="es-ES"/>
              </w:rPr>
            </w:pPr>
          </w:p>
        </w:tc>
        <w:tc>
          <w:tcPr>
            <w:tcW w:w="4775" w:type="dxa"/>
            <w:tcBorders>
              <w:top w:val="single" w:sz="4" w:space="0" w:color="auto"/>
              <w:left w:val="nil"/>
              <w:bottom w:val="single" w:sz="4" w:space="0" w:color="auto"/>
              <w:right w:val="single" w:sz="4" w:space="0" w:color="auto"/>
            </w:tcBorders>
            <w:shd w:val="clear" w:color="auto" w:fill="auto"/>
            <w:vAlign w:val="center"/>
            <w:hideMark/>
          </w:tcPr>
          <w:p w14:paraId="186C6CF0"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Monitoring information is produced timely and accurately and is used by the implementation team to</w:t>
            </w:r>
          </w:p>
          <w:p w14:paraId="129BF25B" w14:textId="77777777" w:rsidR="003E69A5" w:rsidRPr="003F7F6C" w:rsidRDefault="003E69A5" w:rsidP="00D25E0D">
            <w:pPr>
              <w:spacing w:after="0"/>
              <w:rPr>
                <w:rFonts w:eastAsia="Times New Roman" w:cs="Calibri"/>
                <w:color w:val="000000"/>
                <w:sz w:val="18"/>
                <w:szCs w:val="18"/>
                <w:lang w:eastAsia="es-ES"/>
              </w:rPr>
            </w:pPr>
            <w:r w:rsidRPr="003F7F6C">
              <w:rPr>
                <w:rFonts w:cs="Calibri"/>
                <w:sz w:val="18"/>
                <w:szCs w:val="18"/>
              </w:rPr>
              <w:t>learn and possibly to change the course of action</w:t>
            </w:r>
          </w:p>
        </w:tc>
        <w:tc>
          <w:tcPr>
            <w:tcW w:w="753" w:type="dxa"/>
            <w:tcBorders>
              <w:top w:val="single" w:sz="4" w:space="0" w:color="auto"/>
              <w:left w:val="nil"/>
              <w:bottom w:val="single" w:sz="4" w:space="0" w:color="auto"/>
              <w:right w:val="single" w:sz="4" w:space="0" w:color="auto"/>
            </w:tcBorders>
            <w:shd w:val="clear" w:color="auto" w:fill="auto"/>
            <w:vAlign w:val="center"/>
            <w:hideMark/>
          </w:tcPr>
          <w:p w14:paraId="03AD4542"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3</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2946B14C"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14:paraId="180C6C8E"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871" w:type="dxa"/>
            <w:tcBorders>
              <w:top w:val="single" w:sz="4" w:space="0" w:color="auto"/>
              <w:left w:val="nil"/>
              <w:bottom w:val="single" w:sz="4" w:space="0" w:color="auto"/>
              <w:right w:val="single" w:sz="4" w:space="0" w:color="auto"/>
            </w:tcBorders>
            <w:shd w:val="clear" w:color="auto" w:fill="auto"/>
            <w:vAlign w:val="center"/>
            <w:hideMark/>
          </w:tcPr>
          <w:p w14:paraId="2FAD430D"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084" w:type="dxa"/>
            <w:tcBorders>
              <w:top w:val="single" w:sz="4" w:space="0" w:color="auto"/>
              <w:left w:val="nil"/>
              <w:bottom w:val="single" w:sz="4" w:space="0" w:color="auto"/>
              <w:right w:val="single" w:sz="4" w:space="0" w:color="auto"/>
            </w:tcBorders>
            <w:shd w:val="clear" w:color="auto" w:fill="auto"/>
            <w:vAlign w:val="center"/>
            <w:hideMark/>
          </w:tcPr>
          <w:p w14:paraId="24F21DCB"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2564A2CC" w14:textId="77777777" w:rsidTr="003E69A5">
        <w:trPr>
          <w:trHeight w:val="300"/>
          <w:jc w:val="center"/>
        </w:trPr>
        <w:tc>
          <w:tcPr>
            <w:tcW w:w="183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975EF5B"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Indicator 15: Adequacy of the project/programme evaluation process</w:t>
            </w:r>
          </w:p>
        </w:tc>
        <w:tc>
          <w:tcPr>
            <w:tcW w:w="4775" w:type="dxa"/>
            <w:tcBorders>
              <w:top w:val="single" w:sz="4" w:space="0" w:color="auto"/>
              <w:left w:val="nil"/>
              <w:bottom w:val="single" w:sz="4" w:space="0" w:color="auto"/>
              <w:right w:val="single" w:sz="4" w:space="0" w:color="auto"/>
            </w:tcBorders>
            <w:shd w:val="clear" w:color="auto" w:fill="auto"/>
            <w:vAlign w:val="center"/>
            <w:hideMark/>
          </w:tcPr>
          <w:p w14:paraId="4C6C4DCD"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None or ineffective evaluations are being conducted without an adequate evaluation plan; including the</w:t>
            </w:r>
          </w:p>
          <w:p w14:paraId="71F17FD8" w14:textId="77777777" w:rsidR="003E69A5" w:rsidRPr="003F7F6C" w:rsidRDefault="003E69A5" w:rsidP="00D25E0D">
            <w:pPr>
              <w:spacing w:after="0"/>
              <w:rPr>
                <w:rFonts w:eastAsia="Times New Roman" w:cs="Calibri"/>
                <w:color w:val="000000"/>
                <w:sz w:val="18"/>
                <w:szCs w:val="18"/>
                <w:lang w:eastAsia="es-ES"/>
              </w:rPr>
            </w:pPr>
            <w:r w:rsidRPr="003F7F6C">
              <w:rPr>
                <w:rFonts w:cs="Calibri"/>
                <w:sz w:val="18"/>
                <w:szCs w:val="18"/>
              </w:rPr>
              <w:t>necessary resources</w:t>
            </w:r>
          </w:p>
        </w:tc>
        <w:tc>
          <w:tcPr>
            <w:tcW w:w="753" w:type="dxa"/>
            <w:tcBorders>
              <w:top w:val="single" w:sz="4" w:space="0" w:color="auto"/>
              <w:left w:val="nil"/>
              <w:bottom w:val="single" w:sz="4" w:space="0" w:color="auto"/>
              <w:right w:val="single" w:sz="4" w:space="0" w:color="auto"/>
            </w:tcBorders>
            <w:shd w:val="clear" w:color="auto" w:fill="auto"/>
            <w:vAlign w:val="center"/>
            <w:hideMark/>
          </w:tcPr>
          <w:p w14:paraId="58C28185"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0</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38EFB57E"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14:paraId="5F126502"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871" w:type="dxa"/>
            <w:tcBorders>
              <w:top w:val="single" w:sz="4" w:space="0" w:color="auto"/>
              <w:left w:val="nil"/>
              <w:bottom w:val="single" w:sz="4" w:space="0" w:color="auto"/>
              <w:right w:val="single" w:sz="4" w:space="0" w:color="auto"/>
            </w:tcBorders>
            <w:shd w:val="clear" w:color="auto" w:fill="auto"/>
            <w:vAlign w:val="center"/>
            <w:hideMark/>
          </w:tcPr>
          <w:p w14:paraId="5FB9ED71"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084" w:type="dxa"/>
            <w:tcBorders>
              <w:top w:val="single" w:sz="4" w:space="0" w:color="auto"/>
              <w:left w:val="nil"/>
              <w:bottom w:val="single" w:sz="4" w:space="0" w:color="auto"/>
              <w:right w:val="single" w:sz="4" w:space="0" w:color="auto"/>
            </w:tcBorders>
            <w:shd w:val="clear" w:color="auto" w:fill="auto"/>
            <w:vAlign w:val="center"/>
            <w:hideMark/>
          </w:tcPr>
          <w:p w14:paraId="7AD70195"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7FCAF7CC" w14:textId="77777777" w:rsidTr="003E69A5">
        <w:trPr>
          <w:trHeight w:val="300"/>
          <w:jc w:val="center"/>
        </w:trPr>
        <w:tc>
          <w:tcPr>
            <w:tcW w:w="1838" w:type="dxa"/>
            <w:vMerge/>
            <w:tcBorders>
              <w:top w:val="single" w:sz="4" w:space="0" w:color="auto"/>
              <w:left w:val="single" w:sz="4" w:space="0" w:color="auto"/>
              <w:bottom w:val="single" w:sz="4" w:space="0" w:color="auto"/>
              <w:right w:val="single" w:sz="4" w:space="0" w:color="auto"/>
            </w:tcBorders>
            <w:vAlign w:val="center"/>
            <w:hideMark/>
          </w:tcPr>
          <w:p w14:paraId="20C634B8" w14:textId="77777777" w:rsidR="003E69A5" w:rsidRPr="003F7F6C" w:rsidRDefault="003E69A5" w:rsidP="00D25E0D">
            <w:pPr>
              <w:spacing w:after="0"/>
              <w:rPr>
                <w:rFonts w:eastAsia="Times New Roman" w:cs="Calibri"/>
                <w:color w:val="000000"/>
                <w:sz w:val="18"/>
                <w:szCs w:val="18"/>
                <w:lang w:eastAsia="es-ES"/>
              </w:rPr>
            </w:pPr>
          </w:p>
        </w:tc>
        <w:tc>
          <w:tcPr>
            <w:tcW w:w="4775" w:type="dxa"/>
            <w:tcBorders>
              <w:top w:val="single" w:sz="4" w:space="0" w:color="auto"/>
              <w:left w:val="nil"/>
              <w:bottom w:val="single" w:sz="4" w:space="0" w:color="auto"/>
              <w:right w:val="single" w:sz="4" w:space="0" w:color="auto"/>
            </w:tcBorders>
            <w:shd w:val="clear" w:color="auto" w:fill="auto"/>
            <w:vAlign w:val="center"/>
            <w:hideMark/>
          </w:tcPr>
          <w:p w14:paraId="6EE12AB1"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An adequate evaluation plan is in place but evaluation</w:t>
            </w:r>
          </w:p>
          <w:p w14:paraId="4F2FBCD0" w14:textId="77777777" w:rsidR="003E69A5" w:rsidRPr="003F7F6C" w:rsidRDefault="003E69A5" w:rsidP="00D25E0D">
            <w:pPr>
              <w:spacing w:after="0"/>
              <w:rPr>
                <w:rFonts w:eastAsia="Times New Roman" w:cs="Calibri"/>
                <w:color w:val="000000"/>
                <w:sz w:val="18"/>
                <w:szCs w:val="18"/>
                <w:lang w:eastAsia="es-ES"/>
              </w:rPr>
            </w:pPr>
            <w:r w:rsidRPr="003F7F6C">
              <w:rPr>
                <w:rFonts w:cs="Calibri"/>
                <w:sz w:val="18"/>
                <w:szCs w:val="18"/>
              </w:rPr>
              <w:t>activities are irregularly conducted</w:t>
            </w:r>
          </w:p>
        </w:tc>
        <w:tc>
          <w:tcPr>
            <w:tcW w:w="753" w:type="dxa"/>
            <w:tcBorders>
              <w:top w:val="single" w:sz="4" w:space="0" w:color="auto"/>
              <w:left w:val="nil"/>
              <w:bottom w:val="single" w:sz="4" w:space="0" w:color="auto"/>
              <w:right w:val="single" w:sz="4" w:space="0" w:color="auto"/>
            </w:tcBorders>
            <w:shd w:val="clear" w:color="auto" w:fill="auto"/>
            <w:vAlign w:val="center"/>
            <w:hideMark/>
          </w:tcPr>
          <w:p w14:paraId="756B62C8"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1</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33B99016"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1</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14:paraId="70D97887"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871" w:type="dxa"/>
            <w:tcBorders>
              <w:top w:val="single" w:sz="4" w:space="0" w:color="auto"/>
              <w:left w:val="nil"/>
              <w:bottom w:val="single" w:sz="4" w:space="0" w:color="auto"/>
              <w:right w:val="single" w:sz="4" w:space="0" w:color="auto"/>
            </w:tcBorders>
            <w:shd w:val="clear" w:color="auto" w:fill="auto"/>
            <w:vAlign w:val="center"/>
            <w:hideMark/>
          </w:tcPr>
          <w:p w14:paraId="61F1B965"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Improvement of the current evaluation system</w:t>
            </w:r>
          </w:p>
        </w:tc>
        <w:tc>
          <w:tcPr>
            <w:tcW w:w="1084" w:type="dxa"/>
            <w:tcBorders>
              <w:top w:val="single" w:sz="4" w:space="0" w:color="auto"/>
              <w:left w:val="nil"/>
              <w:bottom w:val="single" w:sz="4" w:space="0" w:color="auto"/>
              <w:right w:val="single" w:sz="4" w:space="0" w:color="auto"/>
            </w:tcBorders>
            <w:shd w:val="clear" w:color="auto" w:fill="auto"/>
            <w:vAlign w:val="center"/>
            <w:hideMark/>
          </w:tcPr>
          <w:p w14:paraId="11623654"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09A2A74D" w14:textId="77777777" w:rsidTr="003E69A5">
        <w:trPr>
          <w:trHeight w:val="300"/>
          <w:jc w:val="center"/>
        </w:trPr>
        <w:tc>
          <w:tcPr>
            <w:tcW w:w="1838" w:type="dxa"/>
            <w:vMerge/>
            <w:tcBorders>
              <w:top w:val="single" w:sz="4" w:space="0" w:color="auto"/>
              <w:left w:val="single" w:sz="4" w:space="0" w:color="auto"/>
              <w:bottom w:val="single" w:sz="4" w:space="0" w:color="auto"/>
              <w:right w:val="single" w:sz="4" w:space="0" w:color="auto"/>
            </w:tcBorders>
            <w:vAlign w:val="center"/>
            <w:hideMark/>
          </w:tcPr>
          <w:p w14:paraId="289151A9" w14:textId="77777777" w:rsidR="003E69A5" w:rsidRPr="003F7F6C" w:rsidRDefault="003E69A5" w:rsidP="00D25E0D">
            <w:pPr>
              <w:spacing w:after="0"/>
              <w:rPr>
                <w:rFonts w:eastAsia="Times New Roman" w:cs="Calibri"/>
                <w:color w:val="000000"/>
                <w:sz w:val="18"/>
                <w:szCs w:val="18"/>
                <w:lang w:eastAsia="es-ES"/>
              </w:rPr>
            </w:pPr>
          </w:p>
        </w:tc>
        <w:tc>
          <w:tcPr>
            <w:tcW w:w="4775" w:type="dxa"/>
            <w:tcBorders>
              <w:top w:val="single" w:sz="4" w:space="0" w:color="auto"/>
              <w:left w:val="nil"/>
              <w:bottom w:val="single" w:sz="4" w:space="0" w:color="auto"/>
              <w:right w:val="single" w:sz="4" w:space="0" w:color="auto"/>
            </w:tcBorders>
            <w:shd w:val="clear" w:color="auto" w:fill="auto"/>
            <w:vAlign w:val="center"/>
            <w:hideMark/>
          </w:tcPr>
          <w:p w14:paraId="69F6804E"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Evaluations are being conducted as per an adequate</w:t>
            </w:r>
          </w:p>
          <w:p w14:paraId="30A52E37"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evaluation plan but the evaluation results are only</w:t>
            </w:r>
          </w:p>
          <w:p w14:paraId="4BEAD3D0"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partially used by the project/programme</w:t>
            </w:r>
          </w:p>
          <w:p w14:paraId="0ACCB89E" w14:textId="77777777" w:rsidR="003E69A5" w:rsidRPr="003F7F6C" w:rsidRDefault="003E69A5" w:rsidP="00D25E0D">
            <w:pPr>
              <w:spacing w:after="0"/>
              <w:rPr>
                <w:rFonts w:eastAsia="Times New Roman" w:cs="Calibri"/>
                <w:color w:val="000000"/>
                <w:sz w:val="18"/>
                <w:szCs w:val="18"/>
                <w:lang w:eastAsia="es-ES"/>
              </w:rPr>
            </w:pPr>
            <w:r w:rsidRPr="003F7F6C">
              <w:rPr>
                <w:rFonts w:cs="Calibri"/>
                <w:sz w:val="18"/>
                <w:szCs w:val="18"/>
              </w:rPr>
              <w:t>implementation team</w:t>
            </w:r>
          </w:p>
        </w:tc>
        <w:tc>
          <w:tcPr>
            <w:tcW w:w="753" w:type="dxa"/>
            <w:tcBorders>
              <w:top w:val="single" w:sz="4" w:space="0" w:color="auto"/>
              <w:left w:val="nil"/>
              <w:bottom w:val="single" w:sz="4" w:space="0" w:color="auto"/>
              <w:right w:val="single" w:sz="4" w:space="0" w:color="auto"/>
            </w:tcBorders>
            <w:shd w:val="clear" w:color="auto" w:fill="auto"/>
            <w:vAlign w:val="center"/>
            <w:hideMark/>
          </w:tcPr>
          <w:p w14:paraId="6AD34802"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467E60EC"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14:paraId="795922A9"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871" w:type="dxa"/>
            <w:tcBorders>
              <w:top w:val="single" w:sz="4" w:space="0" w:color="auto"/>
              <w:left w:val="nil"/>
              <w:bottom w:val="single" w:sz="4" w:space="0" w:color="auto"/>
              <w:right w:val="single" w:sz="4" w:space="0" w:color="auto"/>
            </w:tcBorders>
            <w:shd w:val="clear" w:color="auto" w:fill="auto"/>
            <w:vAlign w:val="center"/>
            <w:hideMark/>
          </w:tcPr>
          <w:p w14:paraId="6B93A0EE"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084" w:type="dxa"/>
            <w:tcBorders>
              <w:top w:val="single" w:sz="4" w:space="0" w:color="auto"/>
              <w:left w:val="nil"/>
              <w:bottom w:val="single" w:sz="4" w:space="0" w:color="auto"/>
              <w:right w:val="single" w:sz="4" w:space="0" w:color="auto"/>
            </w:tcBorders>
            <w:shd w:val="clear" w:color="auto" w:fill="auto"/>
            <w:vAlign w:val="center"/>
            <w:hideMark/>
          </w:tcPr>
          <w:p w14:paraId="1991CE43"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287F0E66" w14:textId="77777777" w:rsidTr="003E69A5">
        <w:trPr>
          <w:trHeight w:val="300"/>
          <w:jc w:val="center"/>
        </w:trPr>
        <w:tc>
          <w:tcPr>
            <w:tcW w:w="1838" w:type="dxa"/>
            <w:vMerge/>
            <w:tcBorders>
              <w:top w:val="nil"/>
              <w:left w:val="single" w:sz="4" w:space="0" w:color="auto"/>
              <w:bottom w:val="single" w:sz="4" w:space="0" w:color="auto"/>
              <w:right w:val="single" w:sz="4" w:space="0" w:color="auto"/>
            </w:tcBorders>
            <w:vAlign w:val="center"/>
            <w:hideMark/>
          </w:tcPr>
          <w:p w14:paraId="3FF8E8F9" w14:textId="77777777" w:rsidR="003E69A5" w:rsidRPr="003F7F6C" w:rsidRDefault="003E69A5" w:rsidP="00D25E0D">
            <w:pPr>
              <w:spacing w:after="0"/>
              <w:rPr>
                <w:rFonts w:eastAsia="Times New Roman" w:cs="Calibri"/>
                <w:color w:val="000000"/>
                <w:sz w:val="18"/>
                <w:szCs w:val="18"/>
                <w:lang w:eastAsia="es-ES"/>
              </w:rPr>
            </w:pPr>
          </w:p>
        </w:tc>
        <w:tc>
          <w:tcPr>
            <w:tcW w:w="4775" w:type="dxa"/>
            <w:tcBorders>
              <w:top w:val="nil"/>
              <w:left w:val="nil"/>
              <w:bottom w:val="single" w:sz="4" w:space="0" w:color="auto"/>
              <w:right w:val="single" w:sz="4" w:space="0" w:color="auto"/>
            </w:tcBorders>
            <w:shd w:val="clear" w:color="auto" w:fill="auto"/>
            <w:vAlign w:val="center"/>
            <w:hideMark/>
          </w:tcPr>
          <w:p w14:paraId="4B0E748B"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Effective evaluations are conducted timely and</w:t>
            </w:r>
          </w:p>
          <w:p w14:paraId="0499DB68"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accurately and are used by the implementation team</w:t>
            </w:r>
          </w:p>
          <w:p w14:paraId="1D82CF45"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and the Agencies and GEF Staff to correct the course</w:t>
            </w:r>
          </w:p>
          <w:p w14:paraId="3E563D2B"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of action if needed and to learn for further planning</w:t>
            </w:r>
          </w:p>
          <w:p w14:paraId="0D756FD1" w14:textId="77777777" w:rsidR="003E69A5" w:rsidRPr="003F7F6C" w:rsidRDefault="003E69A5" w:rsidP="00D25E0D">
            <w:pPr>
              <w:spacing w:after="0"/>
              <w:rPr>
                <w:rFonts w:eastAsia="Times New Roman" w:cs="Calibri"/>
                <w:color w:val="000000"/>
                <w:sz w:val="18"/>
                <w:szCs w:val="18"/>
                <w:lang w:eastAsia="es-ES"/>
              </w:rPr>
            </w:pPr>
            <w:r w:rsidRPr="003F7F6C">
              <w:rPr>
                <w:rFonts w:cs="Calibri"/>
                <w:sz w:val="18"/>
                <w:szCs w:val="18"/>
              </w:rPr>
              <w:t>activities</w:t>
            </w:r>
          </w:p>
        </w:tc>
        <w:tc>
          <w:tcPr>
            <w:tcW w:w="753" w:type="dxa"/>
            <w:tcBorders>
              <w:top w:val="nil"/>
              <w:left w:val="nil"/>
              <w:bottom w:val="single" w:sz="4" w:space="0" w:color="auto"/>
              <w:right w:val="single" w:sz="4" w:space="0" w:color="auto"/>
            </w:tcBorders>
            <w:shd w:val="clear" w:color="auto" w:fill="auto"/>
            <w:vAlign w:val="center"/>
            <w:hideMark/>
          </w:tcPr>
          <w:p w14:paraId="6D4F6C8E"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3</w:t>
            </w:r>
          </w:p>
        </w:tc>
        <w:tc>
          <w:tcPr>
            <w:tcW w:w="709" w:type="dxa"/>
            <w:tcBorders>
              <w:top w:val="nil"/>
              <w:left w:val="nil"/>
              <w:bottom w:val="single" w:sz="4" w:space="0" w:color="auto"/>
              <w:right w:val="single" w:sz="4" w:space="0" w:color="auto"/>
            </w:tcBorders>
            <w:shd w:val="clear" w:color="auto" w:fill="auto"/>
            <w:vAlign w:val="center"/>
            <w:hideMark/>
          </w:tcPr>
          <w:p w14:paraId="1B04764E"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410" w:type="dxa"/>
            <w:tcBorders>
              <w:top w:val="nil"/>
              <w:left w:val="nil"/>
              <w:bottom w:val="single" w:sz="4" w:space="0" w:color="auto"/>
              <w:right w:val="single" w:sz="4" w:space="0" w:color="auto"/>
            </w:tcBorders>
            <w:shd w:val="clear" w:color="auto" w:fill="auto"/>
            <w:vAlign w:val="center"/>
            <w:hideMark/>
          </w:tcPr>
          <w:p w14:paraId="153B4569"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871" w:type="dxa"/>
            <w:tcBorders>
              <w:top w:val="nil"/>
              <w:left w:val="nil"/>
              <w:bottom w:val="single" w:sz="4" w:space="0" w:color="auto"/>
              <w:right w:val="single" w:sz="4" w:space="0" w:color="auto"/>
            </w:tcBorders>
            <w:shd w:val="clear" w:color="auto" w:fill="auto"/>
            <w:vAlign w:val="center"/>
            <w:hideMark/>
          </w:tcPr>
          <w:p w14:paraId="1DE29407"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084" w:type="dxa"/>
            <w:tcBorders>
              <w:top w:val="nil"/>
              <w:left w:val="nil"/>
              <w:bottom w:val="single" w:sz="4" w:space="0" w:color="auto"/>
              <w:right w:val="single" w:sz="4" w:space="0" w:color="auto"/>
            </w:tcBorders>
            <w:shd w:val="clear" w:color="auto" w:fill="auto"/>
            <w:vAlign w:val="center"/>
            <w:hideMark/>
          </w:tcPr>
          <w:p w14:paraId="1855A3F1"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4EFC05B7" w14:textId="77777777" w:rsidTr="003E69A5">
        <w:trPr>
          <w:trHeight w:val="302"/>
          <w:jc w:val="center"/>
        </w:trPr>
        <w:tc>
          <w:tcPr>
            <w:tcW w:w="1838" w:type="dxa"/>
            <w:tcBorders>
              <w:top w:val="single" w:sz="4" w:space="0" w:color="auto"/>
              <w:left w:val="single" w:sz="4" w:space="0" w:color="auto"/>
              <w:bottom w:val="single" w:sz="4" w:space="0" w:color="auto"/>
              <w:right w:val="single" w:sz="4" w:space="0" w:color="auto"/>
            </w:tcBorders>
            <w:vAlign w:val="center"/>
          </w:tcPr>
          <w:p w14:paraId="2D581B39" w14:textId="77777777" w:rsidR="003E69A5" w:rsidRPr="003F7F6C" w:rsidRDefault="003E69A5" w:rsidP="00D25E0D">
            <w:pPr>
              <w:spacing w:after="0"/>
              <w:rPr>
                <w:rFonts w:eastAsia="Times New Roman" w:cs="Calibri"/>
                <w:color w:val="000000"/>
                <w:sz w:val="18"/>
                <w:szCs w:val="18"/>
                <w:lang w:eastAsia="es-ES"/>
              </w:rPr>
            </w:pPr>
          </w:p>
        </w:tc>
        <w:tc>
          <w:tcPr>
            <w:tcW w:w="4775" w:type="dxa"/>
            <w:tcBorders>
              <w:top w:val="single" w:sz="4" w:space="0" w:color="auto"/>
              <w:left w:val="nil"/>
              <w:bottom w:val="single" w:sz="4" w:space="0" w:color="auto"/>
              <w:right w:val="single" w:sz="4" w:space="0" w:color="auto"/>
            </w:tcBorders>
            <w:shd w:val="clear" w:color="auto" w:fill="auto"/>
            <w:vAlign w:val="center"/>
          </w:tcPr>
          <w:p w14:paraId="28192E14"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p>
        </w:tc>
        <w:tc>
          <w:tcPr>
            <w:tcW w:w="753" w:type="dxa"/>
            <w:tcBorders>
              <w:top w:val="single" w:sz="4" w:space="0" w:color="auto"/>
              <w:left w:val="nil"/>
              <w:bottom w:val="single" w:sz="4" w:space="0" w:color="auto"/>
              <w:right w:val="single" w:sz="4" w:space="0" w:color="auto"/>
            </w:tcBorders>
            <w:shd w:val="clear" w:color="auto" w:fill="auto"/>
            <w:vAlign w:val="center"/>
          </w:tcPr>
          <w:p w14:paraId="69097CF8"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6</w:t>
            </w:r>
          </w:p>
        </w:tc>
        <w:tc>
          <w:tcPr>
            <w:tcW w:w="709" w:type="dxa"/>
            <w:tcBorders>
              <w:top w:val="single" w:sz="4" w:space="0" w:color="auto"/>
              <w:left w:val="nil"/>
              <w:bottom w:val="single" w:sz="4" w:space="0" w:color="auto"/>
              <w:right w:val="single" w:sz="4" w:space="0" w:color="auto"/>
            </w:tcBorders>
            <w:shd w:val="clear" w:color="auto" w:fill="auto"/>
            <w:vAlign w:val="center"/>
          </w:tcPr>
          <w:p w14:paraId="2C0C2FC7"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2</w:t>
            </w:r>
          </w:p>
        </w:tc>
        <w:tc>
          <w:tcPr>
            <w:tcW w:w="2410" w:type="dxa"/>
            <w:tcBorders>
              <w:top w:val="single" w:sz="4" w:space="0" w:color="auto"/>
              <w:left w:val="nil"/>
              <w:bottom w:val="single" w:sz="4" w:space="0" w:color="auto"/>
              <w:right w:val="single" w:sz="4" w:space="0" w:color="auto"/>
            </w:tcBorders>
            <w:shd w:val="clear" w:color="auto" w:fill="auto"/>
            <w:vAlign w:val="center"/>
          </w:tcPr>
          <w:p w14:paraId="6A91BE88" w14:textId="77777777" w:rsidR="003E69A5" w:rsidRPr="003F7F6C" w:rsidRDefault="003E69A5" w:rsidP="00D25E0D">
            <w:pPr>
              <w:spacing w:after="0"/>
              <w:rPr>
                <w:rFonts w:eastAsia="Times New Roman" w:cs="Calibri"/>
                <w:color w:val="000000"/>
                <w:sz w:val="18"/>
                <w:szCs w:val="18"/>
                <w:lang w:eastAsia="es-ES"/>
              </w:rPr>
            </w:pPr>
          </w:p>
        </w:tc>
        <w:tc>
          <w:tcPr>
            <w:tcW w:w="2871" w:type="dxa"/>
            <w:tcBorders>
              <w:top w:val="single" w:sz="4" w:space="0" w:color="auto"/>
              <w:left w:val="nil"/>
              <w:bottom w:val="single" w:sz="4" w:space="0" w:color="auto"/>
              <w:right w:val="single" w:sz="4" w:space="0" w:color="auto"/>
            </w:tcBorders>
            <w:shd w:val="clear" w:color="auto" w:fill="auto"/>
            <w:vAlign w:val="center"/>
          </w:tcPr>
          <w:p w14:paraId="74474E0E" w14:textId="77777777" w:rsidR="003E69A5" w:rsidRPr="003F7F6C" w:rsidRDefault="003E69A5" w:rsidP="00D25E0D">
            <w:pPr>
              <w:spacing w:after="0"/>
              <w:rPr>
                <w:rFonts w:eastAsia="Times New Roman" w:cs="Calibri"/>
                <w:color w:val="000000"/>
                <w:sz w:val="18"/>
                <w:szCs w:val="18"/>
                <w:lang w:eastAsia="es-ES"/>
              </w:rPr>
            </w:pPr>
          </w:p>
        </w:tc>
        <w:tc>
          <w:tcPr>
            <w:tcW w:w="1084" w:type="dxa"/>
            <w:tcBorders>
              <w:top w:val="single" w:sz="4" w:space="0" w:color="auto"/>
              <w:left w:val="nil"/>
              <w:bottom w:val="single" w:sz="4" w:space="0" w:color="auto"/>
              <w:right w:val="single" w:sz="4" w:space="0" w:color="auto"/>
            </w:tcBorders>
            <w:shd w:val="clear" w:color="auto" w:fill="auto"/>
            <w:vAlign w:val="center"/>
          </w:tcPr>
          <w:p w14:paraId="6E8A6971"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108581DB" w14:textId="77777777" w:rsidTr="003E69A5">
        <w:trPr>
          <w:trHeight w:val="287"/>
          <w:jc w:val="center"/>
        </w:trPr>
        <w:tc>
          <w:tcPr>
            <w:tcW w:w="1838" w:type="dxa"/>
            <w:tcBorders>
              <w:top w:val="single" w:sz="4" w:space="0" w:color="auto"/>
              <w:left w:val="single" w:sz="4" w:space="0" w:color="auto"/>
              <w:bottom w:val="single" w:sz="4" w:space="0" w:color="auto"/>
              <w:right w:val="single" w:sz="4" w:space="0" w:color="auto"/>
            </w:tcBorders>
            <w:vAlign w:val="center"/>
          </w:tcPr>
          <w:p w14:paraId="35742C73" w14:textId="77777777" w:rsidR="003E69A5" w:rsidRPr="003F7F6C" w:rsidRDefault="003E69A5" w:rsidP="00D25E0D">
            <w:pPr>
              <w:spacing w:after="0"/>
              <w:rPr>
                <w:rFonts w:eastAsia="Times New Roman" w:cs="Calibri"/>
                <w:color w:val="000000"/>
                <w:sz w:val="18"/>
                <w:szCs w:val="18"/>
                <w:lang w:eastAsia="es-ES"/>
              </w:rPr>
            </w:pPr>
          </w:p>
        </w:tc>
        <w:tc>
          <w:tcPr>
            <w:tcW w:w="4775" w:type="dxa"/>
            <w:tcBorders>
              <w:top w:val="single" w:sz="4" w:space="0" w:color="auto"/>
              <w:left w:val="nil"/>
              <w:bottom w:val="single" w:sz="4" w:space="0" w:color="auto"/>
              <w:right w:val="single" w:sz="4" w:space="0" w:color="auto"/>
            </w:tcBorders>
            <w:shd w:val="clear" w:color="auto" w:fill="auto"/>
            <w:vAlign w:val="center"/>
          </w:tcPr>
          <w:p w14:paraId="44DA11FE"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p>
        </w:tc>
        <w:tc>
          <w:tcPr>
            <w:tcW w:w="753" w:type="dxa"/>
            <w:tcBorders>
              <w:top w:val="single" w:sz="4" w:space="0" w:color="auto"/>
              <w:left w:val="nil"/>
              <w:bottom w:val="single" w:sz="4" w:space="0" w:color="auto"/>
              <w:right w:val="single" w:sz="4" w:space="0" w:color="auto"/>
            </w:tcBorders>
            <w:shd w:val="clear" w:color="auto" w:fill="auto"/>
            <w:vAlign w:val="center"/>
          </w:tcPr>
          <w:p w14:paraId="7CF10B6C" w14:textId="77777777" w:rsidR="003E69A5" w:rsidRPr="003F7F6C" w:rsidRDefault="003E69A5" w:rsidP="00D25E0D">
            <w:pPr>
              <w:spacing w:after="0"/>
              <w:rPr>
                <w:rFonts w:eastAsia="Times New Roman" w:cs="Calibri"/>
                <w:color w:val="000000"/>
                <w:sz w:val="18"/>
                <w:szCs w:val="18"/>
                <w:lang w:eastAsia="es-ES"/>
              </w:rPr>
            </w:pPr>
          </w:p>
        </w:tc>
        <w:tc>
          <w:tcPr>
            <w:tcW w:w="709" w:type="dxa"/>
            <w:tcBorders>
              <w:top w:val="single" w:sz="4" w:space="0" w:color="auto"/>
              <w:left w:val="nil"/>
              <w:bottom w:val="single" w:sz="4" w:space="0" w:color="auto"/>
              <w:right w:val="single" w:sz="4" w:space="0" w:color="auto"/>
            </w:tcBorders>
            <w:shd w:val="clear" w:color="auto" w:fill="auto"/>
            <w:vAlign w:val="center"/>
          </w:tcPr>
          <w:p w14:paraId="46501962" w14:textId="7ACDBE0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33</w:t>
            </w:r>
            <w:r w:rsidR="00FB6D2D" w:rsidRPr="003F7F6C">
              <w:rPr>
                <w:rFonts w:eastAsia="Times New Roman" w:cs="Calibri"/>
                <w:color w:val="000000"/>
                <w:sz w:val="18"/>
                <w:szCs w:val="18"/>
                <w:lang w:eastAsia="es-ES"/>
              </w:rPr>
              <w:t>.</w:t>
            </w:r>
            <w:r w:rsidRPr="003F7F6C">
              <w:rPr>
                <w:rFonts w:eastAsia="Times New Roman" w:cs="Calibri"/>
                <w:color w:val="000000"/>
                <w:sz w:val="18"/>
                <w:szCs w:val="18"/>
                <w:lang w:eastAsia="es-ES"/>
              </w:rPr>
              <w:t>3%</w:t>
            </w:r>
          </w:p>
        </w:tc>
        <w:tc>
          <w:tcPr>
            <w:tcW w:w="2410" w:type="dxa"/>
            <w:tcBorders>
              <w:top w:val="single" w:sz="4" w:space="0" w:color="auto"/>
              <w:left w:val="nil"/>
              <w:bottom w:val="single" w:sz="4" w:space="0" w:color="auto"/>
              <w:right w:val="single" w:sz="4" w:space="0" w:color="auto"/>
            </w:tcBorders>
            <w:shd w:val="clear" w:color="auto" w:fill="auto"/>
            <w:vAlign w:val="center"/>
          </w:tcPr>
          <w:p w14:paraId="09EA94DA" w14:textId="77777777" w:rsidR="003E69A5" w:rsidRPr="003F7F6C" w:rsidRDefault="003E69A5" w:rsidP="00D25E0D">
            <w:pPr>
              <w:spacing w:after="0"/>
              <w:rPr>
                <w:rFonts w:eastAsia="Times New Roman" w:cs="Calibri"/>
                <w:color w:val="000000"/>
                <w:sz w:val="18"/>
                <w:szCs w:val="18"/>
                <w:lang w:eastAsia="es-ES"/>
              </w:rPr>
            </w:pPr>
          </w:p>
        </w:tc>
        <w:tc>
          <w:tcPr>
            <w:tcW w:w="2871" w:type="dxa"/>
            <w:tcBorders>
              <w:top w:val="single" w:sz="4" w:space="0" w:color="auto"/>
              <w:left w:val="nil"/>
              <w:bottom w:val="single" w:sz="4" w:space="0" w:color="auto"/>
              <w:right w:val="single" w:sz="4" w:space="0" w:color="auto"/>
            </w:tcBorders>
            <w:shd w:val="clear" w:color="auto" w:fill="auto"/>
            <w:vAlign w:val="center"/>
          </w:tcPr>
          <w:p w14:paraId="075D3748" w14:textId="77777777" w:rsidR="003E69A5" w:rsidRPr="003F7F6C" w:rsidRDefault="003E69A5" w:rsidP="00D25E0D">
            <w:pPr>
              <w:spacing w:after="0"/>
              <w:rPr>
                <w:rFonts w:eastAsia="Times New Roman" w:cs="Calibri"/>
                <w:color w:val="000000"/>
                <w:sz w:val="18"/>
                <w:szCs w:val="18"/>
                <w:lang w:eastAsia="es-ES"/>
              </w:rPr>
            </w:pPr>
          </w:p>
        </w:tc>
        <w:tc>
          <w:tcPr>
            <w:tcW w:w="1084" w:type="dxa"/>
            <w:tcBorders>
              <w:top w:val="single" w:sz="4" w:space="0" w:color="auto"/>
              <w:left w:val="nil"/>
              <w:bottom w:val="single" w:sz="4" w:space="0" w:color="auto"/>
              <w:right w:val="single" w:sz="4" w:space="0" w:color="auto"/>
            </w:tcBorders>
            <w:shd w:val="clear" w:color="auto" w:fill="auto"/>
            <w:vAlign w:val="center"/>
          </w:tcPr>
          <w:p w14:paraId="1E1E6E98"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00D4E9E4" w14:textId="77777777" w:rsidTr="003E69A5">
        <w:trPr>
          <w:trHeight w:val="191"/>
          <w:jc w:val="center"/>
        </w:trPr>
        <w:tc>
          <w:tcPr>
            <w:tcW w:w="1838" w:type="dxa"/>
            <w:tcBorders>
              <w:top w:val="single" w:sz="4" w:space="0" w:color="auto"/>
              <w:left w:val="single" w:sz="4" w:space="0" w:color="auto"/>
              <w:bottom w:val="single" w:sz="4" w:space="0" w:color="auto"/>
              <w:right w:val="single" w:sz="4" w:space="0" w:color="auto"/>
            </w:tcBorders>
            <w:vAlign w:val="center"/>
          </w:tcPr>
          <w:p w14:paraId="6CD370B8" w14:textId="77777777" w:rsidR="003E69A5" w:rsidRPr="003F7F6C" w:rsidRDefault="003E69A5" w:rsidP="00D25E0D">
            <w:pPr>
              <w:spacing w:after="0"/>
              <w:rPr>
                <w:rFonts w:eastAsia="Times New Roman" w:cs="Calibri"/>
                <w:b/>
                <w:color w:val="000000"/>
                <w:sz w:val="18"/>
                <w:szCs w:val="18"/>
                <w:lang w:eastAsia="es-ES"/>
              </w:rPr>
            </w:pPr>
            <w:r w:rsidRPr="003F7F6C">
              <w:rPr>
                <w:rFonts w:eastAsia="Times New Roman" w:cs="Calibri"/>
                <w:b/>
                <w:color w:val="000000"/>
                <w:sz w:val="18"/>
                <w:szCs w:val="18"/>
                <w:lang w:eastAsia="es-ES"/>
              </w:rPr>
              <w:t>Total Score</w:t>
            </w:r>
          </w:p>
        </w:tc>
        <w:tc>
          <w:tcPr>
            <w:tcW w:w="4775" w:type="dxa"/>
            <w:tcBorders>
              <w:top w:val="single" w:sz="4" w:space="0" w:color="auto"/>
              <w:left w:val="nil"/>
              <w:bottom w:val="single" w:sz="4" w:space="0" w:color="auto"/>
              <w:right w:val="single" w:sz="4" w:space="0" w:color="auto"/>
            </w:tcBorders>
            <w:shd w:val="clear" w:color="auto" w:fill="auto"/>
            <w:vAlign w:val="center"/>
          </w:tcPr>
          <w:p w14:paraId="06982B99"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p>
        </w:tc>
        <w:tc>
          <w:tcPr>
            <w:tcW w:w="753" w:type="dxa"/>
            <w:tcBorders>
              <w:top w:val="single" w:sz="4" w:space="0" w:color="auto"/>
              <w:left w:val="nil"/>
              <w:bottom w:val="single" w:sz="4" w:space="0" w:color="auto"/>
              <w:right w:val="single" w:sz="4" w:space="0" w:color="auto"/>
            </w:tcBorders>
            <w:shd w:val="clear" w:color="auto" w:fill="auto"/>
            <w:vAlign w:val="center"/>
          </w:tcPr>
          <w:p w14:paraId="16CD3DAA" w14:textId="77777777" w:rsidR="003E69A5" w:rsidRPr="003F7F6C" w:rsidRDefault="003E69A5" w:rsidP="00D25E0D">
            <w:pPr>
              <w:spacing w:after="0"/>
              <w:rPr>
                <w:rFonts w:eastAsia="Times New Roman" w:cs="Calibri"/>
                <w:color w:val="000000"/>
                <w:sz w:val="18"/>
                <w:szCs w:val="18"/>
                <w:lang w:eastAsia="es-ES"/>
              </w:rPr>
            </w:pPr>
          </w:p>
        </w:tc>
        <w:tc>
          <w:tcPr>
            <w:tcW w:w="709" w:type="dxa"/>
            <w:tcBorders>
              <w:top w:val="single" w:sz="4" w:space="0" w:color="auto"/>
              <w:left w:val="nil"/>
              <w:bottom w:val="single" w:sz="4" w:space="0" w:color="auto"/>
              <w:right w:val="single" w:sz="4" w:space="0" w:color="auto"/>
            </w:tcBorders>
            <w:shd w:val="clear" w:color="auto" w:fill="auto"/>
            <w:vAlign w:val="center"/>
          </w:tcPr>
          <w:p w14:paraId="5AC35542" w14:textId="286003A5" w:rsidR="003E69A5" w:rsidRPr="003F7F6C" w:rsidRDefault="003E69A5" w:rsidP="00D25E0D">
            <w:pPr>
              <w:spacing w:after="0"/>
              <w:rPr>
                <w:rFonts w:eastAsia="Times New Roman" w:cs="Calibri"/>
                <w:b/>
                <w:color w:val="000000"/>
                <w:sz w:val="18"/>
                <w:szCs w:val="18"/>
                <w:lang w:eastAsia="es-ES"/>
              </w:rPr>
            </w:pPr>
            <w:r w:rsidRPr="003F7F6C">
              <w:rPr>
                <w:rFonts w:eastAsia="Times New Roman" w:cs="Calibri"/>
                <w:b/>
                <w:color w:val="000000"/>
                <w:sz w:val="18"/>
                <w:szCs w:val="18"/>
                <w:lang w:eastAsia="es-ES"/>
              </w:rPr>
              <w:t>48</w:t>
            </w:r>
            <w:r w:rsidR="00FB6D2D" w:rsidRPr="003F7F6C">
              <w:rPr>
                <w:rFonts w:eastAsia="Times New Roman" w:cs="Calibri"/>
                <w:b/>
                <w:color w:val="000000"/>
                <w:sz w:val="18"/>
                <w:szCs w:val="18"/>
                <w:lang w:eastAsia="es-ES"/>
              </w:rPr>
              <w:t>.</w:t>
            </w:r>
            <w:r w:rsidRPr="003F7F6C">
              <w:rPr>
                <w:rFonts w:eastAsia="Times New Roman" w:cs="Calibri"/>
                <w:b/>
                <w:color w:val="000000"/>
                <w:sz w:val="18"/>
                <w:szCs w:val="18"/>
                <w:lang w:eastAsia="es-ES"/>
              </w:rPr>
              <w:t>8%</w:t>
            </w:r>
          </w:p>
        </w:tc>
        <w:tc>
          <w:tcPr>
            <w:tcW w:w="2410" w:type="dxa"/>
            <w:tcBorders>
              <w:top w:val="single" w:sz="4" w:space="0" w:color="auto"/>
              <w:left w:val="nil"/>
              <w:bottom w:val="single" w:sz="4" w:space="0" w:color="auto"/>
              <w:right w:val="single" w:sz="4" w:space="0" w:color="auto"/>
            </w:tcBorders>
            <w:shd w:val="clear" w:color="auto" w:fill="auto"/>
            <w:vAlign w:val="center"/>
          </w:tcPr>
          <w:p w14:paraId="12AAAF27" w14:textId="77777777" w:rsidR="003E69A5" w:rsidRPr="003F7F6C" w:rsidRDefault="003E69A5" w:rsidP="00D25E0D">
            <w:pPr>
              <w:spacing w:after="0"/>
              <w:rPr>
                <w:rFonts w:eastAsia="Times New Roman" w:cs="Calibri"/>
                <w:color w:val="000000"/>
                <w:sz w:val="18"/>
                <w:szCs w:val="18"/>
                <w:lang w:eastAsia="es-ES"/>
              </w:rPr>
            </w:pPr>
          </w:p>
        </w:tc>
        <w:tc>
          <w:tcPr>
            <w:tcW w:w="2871" w:type="dxa"/>
            <w:tcBorders>
              <w:top w:val="single" w:sz="4" w:space="0" w:color="auto"/>
              <w:left w:val="nil"/>
              <w:bottom w:val="single" w:sz="4" w:space="0" w:color="auto"/>
              <w:right w:val="single" w:sz="4" w:space="0" w:color="auto"/>
            </w:tcBorders>
            <w:shd w:val="clear" w:color="auto" w:fill="auto"/>
            <w:vAlign w:val="center"/>
          </w:tcPr>
          <w:p w14:paraId="390E2D68" w14:textId="77777777" w:rsidR="003E69A5" w:rsidRPr="003F7F6C" w:rsidRDefault="003E69A5" w:rsidP="00D25E0D">
            <w:pPr>
              <w:spacing w:after="0"/>
              <w:rPr>
                <w:rFonts w:eastAsia="Times New Roman" w:cs="Calibri"/>
                <w:color w:val="000000"/>
                <w:sz w:val="18"/>
                <w:szCs w:val="18"/>
                <w:lang w:eastAsia="es-ES"/>
              </w:rPr>
            </w:pPr>
          </w:p>
        </w:tc>
        <w:tc>
          <w:tcPr>
            <w:tcW w:w="1084" w:type="dxa"/>
            <w:tcBorders>
              <w:top w:val="single" w:sz="4" w:space="0" w:color="auto"/>
              <w:left w:val="nil"/>
              <w:bottom w:val="single" w:sz="4" w:space="0" w:color="auto"/>
              <w:right w:val="single" w:sz="4" w:space="0" w:color="auto"/>
            </w:tcBorders>
            <w:shd w:val="clear" w:color="auto" w:fill="auto"/>
            <w:vAlign w:val="center"/>
          </w:tcPr>
          <w:p w14:paraId="6FF0B822" w14:textId="77777777" w:rsidR="003E69A5" w:rsidRPr="003F7F6C" w:rsidRDefault="003E69A5" w:rsidP="00D25E0D">
            <w:pPr>
              <w:spacing w:after="0"/>
              <w:rPr>
                <w:rFonts w:eastAsia="Times New Roman" w:cs="Calibri"/>
                <w:color w:val="000000"/>
                <w:sz w:val="18"/>
                <w:szCs w:val="18"/>
                <w:lang w:eastAsia="es-ES"/>
              </w:rPr>
            </w:pPr>
          </w:p>
        </w:tc>
      </w:tr>
    </w:tbl>
    <w:p w14:paraId="031D74EC" w14:textId="77777777" w:rsidR="003E69A5" w:rsidRPr="003F7F6C" w:rsidRDefault="003E69A5" w:rsidP="003E69A5">
      <w:pPr>
        <w:rPr>
          <w:rFonts w:ascii="Times New Roman" w:hAnsi="Times New Roman"/>
          <w:szCs w:val="20"/>
        </w:rPr>
      </w:pPr>
    </w:p>
    <w:p w14:paraId="1C1B31D8" w14:textId="77777777" w:rsidR="003E69A5" w:rsidRPr="003F7F6C" w:rsidRDefault="003E69A5" w:rsidP="003E69A5">
      <w:r w:rsidRPr="003F7F6C">
        <w:br w:type="page"/>
      </w:r>
    </w:p>
    <w:p w14:paraId="5A53DB9B" w14:textId="77777777" w:rsidR="003E69A5" w:rsidRPr="003F7F6C" w:rsidRDefault="003E69A5" w:rsidP="003E69A5">
      <w:pPr>
        <w:spacing w:after="0"/>
        <w:rPr>
          <w:rFonts w:ascii="Times New Roman" w:eastAsia="Calibri" w:hAnsi="Times New Roman"/>
          <w:b/>
          <w:i/>
        </w:rPr>
      </w:pPr>
      <w:r w:rsidRPr="003F7F6C">
        <w:rPr>
          <w:rFonts w:ascii="Times New Roman" w:eastAsia="Calibri" w:hAnsi="Times New Roman"/>
          <w:b/>
          <w:i/>
        </w:rPr>
        <w:t>Province of Mendoza</w:t>
      </w:r>
    </w:p>
    <w:tbl>
      <w:tblPr>
        <w:tblW w:w="14440" w:type="dxa"/>
        <w:tblCellMar>
          <w:left w:w="70" w:type="dxa"/>
          <w:right w:w="70" w:type="dxa"/>
        </w:tblCellMar>
        <w:tblLook w:val="04A0" w:firstRow="1" w:lastRow="0" w:firstColumn="1" w:lastColumn="0" w:noHBand="0" w:noVBand="1"/>
      </w:tblPr>
      <w:tblGrid>
        <w:gridCol w:w="1775"/>
        <w:gridCol w:w="4610"/>
        <w:gridCol w:w="840"/>
        <w:gridCol w:w="850"/>
        <w:gridCol w:w="2552"/>
        <w:gridCol w:w="2126"/>
        <w:gridCol w:w="1687"/>
      </w:tblGrid>
      <w:tr w:rsidR="003E69A5" w:rsidRPr="003F7F6C" w14:paraId="4EA0394D" w14:textId="77777777" w:rsidTr="00D25E0D">
        <w:trPr>
          <w:trHeight w:val="600"/>
        </w:trPr>
        <w:tc>
          <w:tcPr>
            <w:tcW w:w="1775" w:type="dxa"/>
            <w:tcBorders>
              <w:top w:val="single" w:sz="4" w:space="0" w:color="auto"/>
              <w:left w:val="single" w:sz="4" w:space="0" w:color="auto"/>
              <w:bottom w:val="single" w:sz="4" w:space="0" w:color="auto"/>
              <w:right w:val="single" w:sz="4" w:space="0" w:color="auto"/>
            </w:tcBorders>
            <w:shd w:val="clear" w:color="000000" w:fill="B4C6E7"/>
            <w:vAlign w:val="center"/>
            <w:hideMark/>
          </w:tcPr>
          <w:p w14:paraId="5E1CBA56" w14:textId="77777777" w:rsidR="003E69A5" w:rsidRPr="003F7F6C" w:rsidRDefault="003E69A5" w:rsidP="00D25E0D">
            <w:pPr>
              <w:spacing w:after="0"/>
              <w:jc w:val="center"/>
              <w:rPr>
                <w:rFonts w:eastAsia="Times New Roman" w:cs="Calibri"/>
                <w:b/>
                <w:bCs/>
                <w:color w:val="000000"/>
                <w:sz w:val="18"/>
                <w:szCs w:val="18"/>
                <w:lang w:eastAsia="es-ES"/>
              </w:rPr>
            </w:pPr>
            <w:r w:rsidRPr="003F7F6C">
              <w:rPr>
                <w:rFonts w:eastAsia="Times New Roman" w:cs="Calibri"/>
                <w:b/>
                <w:bCs/>
                <w:color w:val="000000"/>
                <w:sz w:val="18"/>
                <w:szCs w:val="18"/>
                <w:lang w:eastAsia="es-ES"/>
              </w:rPr>
              <w:t>Capacity Result / Indicator</w:t>
            </w:r>
          </w:p>
        </w:tc>
        <w:tc>
          <w:tcPr>
            <w:tcW w:w="4610" w:type="dxa"/>
            <w:tcBorders>
              <w:top w:val="single" w:sz="4" w:space="0" w:color="auto"/>
              <w:left w:val="nil"/>
              <w:bottom w:val="single" w:sz="4" w:space="0" w:color="auto"/>
              <w:right w:val="single" w:sz="4" w:space="0" w:color="auto"/>
            </w:tcBorders>
            <w:shd w:val="clear" w:color="000000" w:fill="B4C6E7"/>
            <w:vAlign w:val="center"/>
            <w:hideMark/>
          </w:tcPr>
          <w:p w14:paraId="0F25627E" w14:textId="77777777" w:rsidR="003E69A5" w:rsidRPr="003F7F6C" w:rsidRDefault="003E69A5" w:rsidP="00D25E0D">
            <w:pPr>
              <w:spacing w:after="0"/>
              <w:jc w:val="center"/>
              <w:rPr>
                <w:rFonts w:eastAsia="Times New Roman" w:cs="Calibri"/>
                <w:b/>
                <w:bCs/>
                <w:color w:val="000000"/>
                <w:sz w:val="18"/>
                <w:szCs w:val="18"/>
                <w:lang w:eastAsia="es-ES"/>
              </w:rPr>
            </w:pPr>
            <w:r w:rsidRPr="003F7F6C">
              <w:rPr>
                <w:rFonts w:eastAsia="Times New Roman" w:cs="Calibri"/>
                <w:b/>
                <w:bCs/>
                <w:color w:val="000000"/>
                <w:sz w:val="18"/>
                <w:szCs w:val="18"/>
                <w:lang w:eastAsia="es-ES"/>
              </w:rPr>
              <w:t>Staged Indicators</w:t>
            </w:r>
          </w:p>
        </w:tc>
        <w:tc>
          <w:tcPr>
            <w:tcW w:w="840" w:type="dxa"/>
            <w:tcBorders>
              <w:top w:val="single" w:sz="4" w:space="0" w:color="auto"/>
              <w:left w:val="nil"/>
              <w:bottom w:val="single" w:sz="4" w:space="0" w:color="auto"/>
              <w:right w:val="single" w:sz="4" w:space="0" w:color="auto"/>
            </w:tcBorders>
            <w:shd w:val="clear" w:color="000000" w:fill="B4C6E7"/>
            <w:vAlign w:val="center"/>
            <w:hideMark/>
          </w:tcPr>
          <w:p w14:paraId="284028CF" w14:textId="77777777" w:rsidR="003E69A5" w:rsidRPr="003F7F6C" w:rsidRDefault="003E69A5" w:rsidP="00D25E0D">
            <w:pPr>
              <w:spacing w:after="0"/>
              <w:jc w:val="center"/>
              <w:rPr>
                <w:rFonts w:eastAsia="Times New Roman" w:cs="Calibri"/>
                <w:b/>
                <w:bCs/>
                <w:color w:val="000000"/>
                <w:sz w:val="18"/>
                <w:szCs w:val="18"/>
                <w:lang w:eastAsia="es-ES"/>
              </w:rPr>
            </w:pPr>
            <w:r w:rsidRPr="003F7F6C">
              <w:rPr>
                <w:rFonts w:eastAsia="Times New Roman" w:cs="Calibri"/>
                <w:b/>
                <w:bCs/>
                <w:color w:val="000000"/>
                <w:sz w:val="18"/>
                <w:szCs w:val="18"/>
                <w:lang w:eastAsia="es-ES"/>
              </w:rPr>
              <w:t>Rating</w:t>
            </w:r>
          </w:p>
        </w:tc>
        <w:tc>
          <w:tcPr>
            <w:tcW w:w="850" w:type="dxa"/>
            <w:tcBorders>
              <w:top w:val="single" w:sz="4" w:space="0" w:color="auto"/>
              <w:left w:val="nil"/>
              <w:bottom w:val="single" w:sz="4" w:space="0" w:color="auto"/>
              <w:right w:val="single" w:sz="4" w:space="0" w:color="auto"/>
            </w:tcBorders>
            <w:shd w:val="clear" w:color="000000" w:fill="B4C6E7"/>
            <w:vAlign w:val="center"/>
            <w:hideMark/>
          </w:tcPr>
          <w:p w14:paraId="406A470B" w14:textId="77777777" w:rsidR="003E69A5" w:rsidRPr="003F7F6C" w:rsidRDefault="003E69A5" w:rsidP="00D25E0D">
            <w:pPr>
              <w:spacing w:after="0"/>
              <w:jc w:val="center"/>
              <w:rPr>
                <w:rFonts w:eastAsia="Times New Roman" w:cs="Calibri"/>
                <w:b/>
                <w:bCs/>
                <w:color w:val="000000"/>
                <w:sz w:val="18"/>
                <w:szCs w:val="18"/>
                <w:lang w:eastAsia="es-ES"/>
              </w:rPr>
            </w:pPr>
            <w:r w:rsidRPr="003F7F6C">
              <w:rPr>
                <w:rFonts w:eastAsia="Times New Roman" w:cs="Calibri"/>
                <w:b/>
                <w:bCs/>
                <w:color w:val="000000"/>
                <w:sz w:val="18"/>
                <w:szCs w:val="18"/>
                <w:lang w:eastAsia="es-ES"/>
              </w:rPr>
              <w:t>Score</w:t>
            </w:r>
          </w:p>
        </w:tc>
        <w:tc>
          <w:tcPr>
            <w:tcW w:w="2552" w:type="dxa"/>
            <w:tcBorders>
              <w:top w:val="single" w:sz="4" w:space="0" w:color="auto"/>
              <w:left w:val="nil"/>
              <w:bottom w:val="single" w:sz="4" w:space="0" w:color="auto"/>
              <w:right w:val="single" w:sz="4" w:space="0" w:color="auto"/>
            </w:tcBorders>
            <w:shd w:val="clear" w:color="000000" w:fill="B4C6E7"/>
            <w:vAlign w:val="center"/>
            <w:hideMark/>
          </w:tcPr>
          <w:p w14:paraId="48345387" w14:textId="77777777" w:rsidR="003E69A5" w:rsidRPr="003F7F6C" w:rsidRDefault="003E69A5" w:rsidP="00D25E0D">
            <w:pPr>
              <w:spacing w:after="0"/>
              <w:jc w:val="center"/>
              <w:rPr>
                <w:rFonts w:eastAsia="Times New Roman" w:cs="Calibri"/>
                <w:b/>
                <w:bCs/>
                <w:color w:val="000000"/>
                <w:sz w:val="18"/>
                <w:szCs w:val="18"/>
                <w:lang w:eastAsia="es-ES"/>
              </w:rPr>
            </w:pPr>
            <w:r w:rsidRPr="003F7F6C">
              <w:rPr>
                <w:rFonts w:eastAsia="Times New Roman" w:cs="Calibri"/>
                <w:b/>
                <w:bCs/>
                <w:color w:val="000000"/>
                <w:sz w:val="18"/>
                <w:szCs w:val="18"/>
                <w:lang w:eastAsia="es-ES"/>
              </w:rPr>
              <w:t>Comments</w:t>
            </w:r>
          </w:p>
        </w:tc>
        <w:tc>
          <w:tcPr>
            <w:tcW w:w="2126" w:type="dxa"/>
            <w:tcBorders>
              <w:top w:val="single" w:sz="4" w:space="0" w:color="auto"/>
              <w:left w:val="nil"/>
              <w:bottom w:val="single" w:sz="4" w:space="0" w:color="auto"/>
              <w:right w:val="single" w:sz="4" w:space="0" w:color="auto"/>
            </w:tcBorders>
            <w:shd w:val="clear" w:color="000000" w:fill="B4C6E7"/>
            <w:vAlign w:val="center"/>
            <w:hideMark/>
          </w:tcPr>
          <w:p w14:paraId="1A75366A" w14:textId="77777777" w:rsidR="003E69A5" w:rsidRPr="003F7F6C" w:rsidRDefault="003E69A5" w:rsidP="00D25E0D">
            <w:pPr>
              <w:spacing w:after="0"/>
              <w:jc w:val="center"/>
              <w:rPr>
                <w:rFonts w:eastAsia="Times New Roman" w:cs="Calibri"/>
                <w:b/>
                <w:bCs/>
                <w:color w:val="000000"/>
                <w:sz w:val="18"/>
                <w:szCs w:val="18"/>
                <w:lang w:eastAsia="es-ES"/>
              </w:rPr>
            </w:pPr>
            <w:r w:rsidRPr="003F7F6C">
              <w:rPr>
                <w:rFonts w:eastAsia="Times New Roman" w:cs="Calibri"/>
                <w:b/>
                <w:bCs/>
                <w:color w:val="000000"/>
                <w:sz w:val="18"/>
                <w:szCs w:val="18"/>
                <w:lang w:eastAsia="es-ES"/>
              </w:rPr>
              <w:t>Next Steps</w:t>
            </w:r>
          </w:p>
        </w:tc>
        <w:tc>
          <w:tcPr>
            <w:tcW w:w="1687" w:type="dxa"/>
            <w:tcBorders>
              <w:top w:val="single" w:sz="4" w:space="0" w:color="auto"/>
              <w:left w:val="nil"/>
              <w:bottom w:val="single" w:sz="4" w:space="0" w:color="auto"/>
              <w:right w:val="single" w:sz="4" w:space="0" w:color="auto"/>
            </w:tcBorders>
            <w:shd w:val="clear" w:color="000000" w:fill="B4C6E7"/>
            <w:vAlign w:val="center"/>
            <w:hideMark/>
          </w:tcPr>
          <w:p w14:paraId="1DB54837" w14:textId="77777777" w:rsidR="003E69A5" w:rsidRPr="003F7F6C" w:rsidRDefault="003E69A5" w:rsidP="00D25E0D">
            <w:pPr>
              <w:spacing w:after="0"/>
              <w:jc w:val="center"/>
              <w:rPr>
                <w:rFonts w:eastAsia="Times New Roman" w:cs="Calibri"/>
                <w:b/>
                <w:bCs/>
                <w:color w:val="000000"/>
                <w:sz w:val="18"/>
                <w:szCs w:val="18"/>
                <w:lang w:eastAsia="es-ES"/>
              </w:rPr>
            </w:pPr>
            <w:r w:rsidRPr="003F7F6C">
              <w:rPr>
                <w:rFonts w:eastAsia="Times New Roman" w:cs="Calibri"/>
                <w:b/>
                <w:bCs/>
                <w:color w:val="000000"/>
                <w:sz w:val="18"/>
                <w:szCs w:val="18"/>
                <w:lang w:eastAsia="es-ES"/>
              </w:rPr>
              <w:t>Contribution to which outcome</w:t>
            </w:r>
          </w:p>
        </w:tc>
      </w:tr>
      <w:tr w:rsidR="003E69A5" w:rsidRPr="003F7F6C" w14:paraId="1E84B645" w14:textId="77777777" w:rsidTr="00D25E0D">
        <w:trPr>
          <w:trHeight w:val="300"/>
        </w:trPr>
        <w:tc>
          <w:tcPr>
            <w:tcW w:w="14440" w:type="dxa"/>
            <w:gridSpan w:val="7"/>
            <w:tcBorders>
              <w:top w:val="single" w:sz="4" w:space="0" w:color="auto"/>
              <w:left w:val="single" w:sz="4" w:space="0" w:color="auto"/>
              <w:bottom w:val="single" w:sz="4" w:space="0" w:color="auto"/>
              <w:right w:val="single" w:sz="4" w:space="0" w:color="auto"/>
            </w:tcBorders>
            <w:shd w:val="clear" w:color="000000" w:fill="D9D9D9"/>
            <w:vAlign w:val="center"/>
            <w:hideMark/>
          </w:tcPr>
          <w:p w14:paraId="73C31836"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 xml:space="preserve">CR 1: Capacities for Engagement </w:t>
            </w:r>
          </w:p>
        </w:tc>
      </w:tr>
      <w:tr w:rsidR="003E69A5" w:rsidRPr="003F7F6C" w14:paraId="7F4DE85A" w14:textId="77777777" w:rsidTr="00D25E0D">
        <w:trPr>
          <w:trHeight w:val="705"/>
        </w:trPr>
        <w:tc>
          <w:tcPr>
            <w:tcW w:w="177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4514936"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Indicator 1: Degree of legitimacy/mandate of lead environmental organizations</w:t>
            </w:r>
          </w:p>
        </w:tc>
        <w:tc>
          <w:tcPr>
            <w:tcW w:w="4610" w:type="dxa"/>
            <w:tcBorders>
              <w:top w:val="single" w:sz="4" w:space="0" w:color="auto"/>
              <w:left w:val="nil"/>
              <w:bottom w:val="single" w:sz="4" w:space="0" w:color="auto"/>
              <w:right w:val="single" w:sz="4" w:space="0" w:color="auto"/>
            </w:tcBorders>
            <w:shd w:val="clear" w:color="auto" w:fill="auto"/>
            <w:vAlign w:val="center"/>
          </w:tcPr>
          <w:p w14:paraId="1D7275C9"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Organizational responsibilities for environmental management are not clearly defined</w:t>
            </w:r>
          </w:p>
        </w:tc>
        <w:tc>
          <w:tcPr>
            <w:tcW w:w="840" w:type="dxa"/>
            <w:tcBorders>
              <w:top w:val="single" w:sz="4" w:space="0" w:color="auto"/>
              <w:left w:val="nil"/>
              <w:bottom w:val="single" w:sz="4" w:space="0" w:color="auto"/>
              <w:right w:val="single" w:sz="4" w:space="0" w:color="auto"/>
            </w:tcBorders>
            <w:shd w:val="clear" w:color="auto" w:fill="auto"/>
            <w:vAlign w:val="center"/>
          </w:tcPr>
          <w:p w14:paraId="4B1D5957"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3FF936B9"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56B5220F"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DE884E5"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87" w:type="dxa"/>
            <w:tcBorders>
              <w:top w:val="single" w:sz="4" w:space="0" w:color="auto"/>
              <w:left w:val="nil"/>
              <w:bottom w:val="single" w:sz="4" w:space="0" w:color="auto"/>
              <w:right w:val="single" w:sz="4" w:space="0" w:color="auto"/>
            </w:tcBorders>
            <w:shd w:val="clear" w:color="auto" w:fill="auto"/>
            <w:vAlign w:val="center"/>
            <w:hideMark/>
          </w:tcPr>
          <w:p w14:paraId="5C3F3129"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63E086B4" w14:textId="77777777" w:rsidTr="00D25E0D">
        <w:trPr>
          <w:trHeight w:val="687"/>
        </w:trPr>
        <w:tc>
          <w:tcPr>
            <w:tcW w:w="177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AD7CB90" w14:textId="77777777" w:rsidR="003E69A5" w:rsidRPr="003F7F6C" w:rsidRDefault="003E69A5" w:rsidP="00D25E0D">
            <w:pPr>
              <w:autoSpaceDE w:val="0"/>
              <w:autoSpaceDN w:val="0"/>
              <w:adjustRightInd w:val="0"/>
              <w:spacing w:after="0"/>
              <w:rPr>
                <w:rFonts w:cs="Calibri"/>
                <w:sz w:val="18"/>
                <w:szCs w:val="18"/>
              </w:rPr>
            </w:pPr>
          </w:p>
        </w:tc>
        <w:tc>
          <w:tcPr>
            <w:tcW w:w="4610" w:type="dxa"/>
            <w:tcBorders>
              <w:top w:val="single" w:sz="4" w:space="0" w:color="auto"/>
              <w:left w:val="nil"/>
              <w:bottom w:val="single" w:sz="4" w:space="0" w:color="auto"/>
              <w:right w:val="single" w:sz="4" w:space="0" w:color="auto"/>
            </w:tcBorders>
            <w:shd w:val="clear" w:color="auto" w:fill="auto"/>
            <w:vAlign w:val="center"/>
          </w:tcPr>
          <w:p w14:paraId="73A951B7"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Organizational responsibilities for environmental management are identified</w:t>
            </w:r>
          </w:p>
        </w:tc>
        <w:tc>
          <w:tcPr>
            <w:tcW w:w="840" w:type="dxa"/>
            <w:tcBorders>
              <w:top w:val="single" w:sz="4" w:space="0" w:color="auto"/>
              <w:left w:val="nil"/>
              <w:bottom w:val="single" w:sz="4" w:space="0" w:color="auto"/>
              <w:right w:val="single" w:sz="4" w:space="0" w:color="auto"/>
            </w:tcBorders>
            <w:shd w:val="clear" w:color="auto" w:fill="auto"/>
            <w:vAlign w:val="center"/>
          </w:tcPr>
          <w:p w14:paraId="41B0C3CE"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1</w:t>
            </w:r>
          </w:p>
        </w:tc>
        <w:tc>
          <w:tcPr>
            <w:tcW w:w="850" w:type="dxa"/>
            <w:tcBorders>
              <w:top w:val="single" w:sz="4" w:space="0" w:color="auto"/>
              <w:left w:val="nil"/>
              <w:bottom w:val="single" w:sz="4" w:space="0" w:color="auto"/>
              <w:right w:val="single" w:sz="4" w:space="0" w:color="auto"/>
            </w:tcBorders>
            <w:shd w:val="clear" w:color="auto" w:fill="auto"/>
            <w:vAlign w:val="center"/>
          </w:tcPr>
          <w:p w14:paraId="35548616" w14:textId="77777777" w:rsidR="003E69A5" w:rsidRPr="003F7F6C" w:rsidRDefault="003E69A5" w:rsidP="00D25E0D">
            <w:pPr>
              <w:spacing w:after="0"/>
              <w:jc w:val="center"/>
              <w:rPr>
                <w:rFonts w:eastAsia="Times New Roman" w:cs="Calibri"/>
                <w:color w:val="000000"/>
                <w:sz w:val="18"/>
                <w:szCs w:val="18"/>
                <w:lang w:eastAsia="es-ES"/>
              </w:rPr>
            </w:pPr>
          </w:p>
        </w:tc>
        <w:tc>
          <w:tcPr>
            <w:tcW w:w="2552" w:type="dxa"/>
            <w:tcBorders>
              <w:top w:val="single" w:sz="4" w:space="0" w:color="auto"/>
              <w:left w:val="nil"/>
              <w:bottom w:val="single" w:sz="4" w:space="0" w:color="auto"/>
              <w:right w:val="single" w:sz="4" w:space="0" w:color="auto"/>
            </w:tcBorders>
            <w:shd w:val="clear" w:color="auto" w:fill="auto"/>
            <w:vAlign w:val="center"/>
          </w:tcPr>
          <w:p w14:paraId="06A8C214" w14:textId="77777777" w:rsidR="003E69A5" w:rsidRPr="003F7F6C" w:rsidRDefault="003E69A5" w:rsidP="00D25E0D">
            <w:pPr>
              <w:spacing w:after="0"/>
              <w:rPr>
                <w:rFonts w:eastAsia="Times New Roman" w:cs="Calibri"/>
                <w:color w:val="000000"/>
                <w:sz w:val="18"/>
                <w:szCs w:val="18"/>
                <w:lang w:eastAsia="es-ES"/>
              </w:rPr>
            </w:pPr>
          </w:p>
        </w:tc>
        <w:tc>
          <w:tcPr>
            <w:tcW w:w="2126" w:type="dxa"/>
            <w:tcBorders>
              <w:top w:val="single" w:sz="4" w:space="0" w:color="auto"/>
              <w:left w:val="nil"/>
              <w:bottom w:val="single" w:sz="4" w:space="0" w:color="auto"/>
              <w:right w:val="single" w:sz="4" w:space="0" w:color="auto"/>
            </w:tcBorders>
            <w:shd w:val="clear" w:color="auto" w:fill="auto"/>
            <w:vAlign w:val="center"/>
          </w:tcPr>
          <w:p w14:paraId="132A22B4" w14:textId="77777777" w:rsidR="003E69A5" w:rsidRPr="003F7F6C" w:rsidRDefault="003E69A5" w:rsidP="00D25E0D">
            <w:pPr>
              <w:spacing w:after="0"/>
              <w:rPr>
                <w:rFonts w:eastAsia="Times New Roman" w:cs="Calibri"/>
                <w:color w:val="000000"/>
                <w:sz w:val="18"/>
                <w:szCs w:val="18"/>
                <w:lang w:eastAsia="es-ES"/>
              </w:rPr>
            </w:pPr>
          </w:p>
        </w:tc>
        <w:tc>
          <w:tcPr>
            <w:tcW w:w="1687" w:type="dxa"/>
            <w:tcBorders>
              <w:top w:val="single" w:sz="4" w:space="0" w:color="auto"/>
              <w:left w:val="nil"/>
              <w:bottom w:val="single" w:sz="4" w:space="0" w:color="auto"/>
              <w:right w:val="single" w:sz="4" w:space="0" w:color="auto"/>
            </w:tcBorders>
            <w:shd w:val="clear" w:color="auto" w:fill="auto"/>
            <w:vAlign w:val="center"/>
          </w:tcPr>
          <w:p w14:paraId="52821806"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1F5A47D1" w14:textId="77777777" w:rsidTr="00D25E0D">
        <w:trPr>
          <w:trHeight w:val="569"/>
        </w:trPr>
        <w:tc>
          <w:tcPr>
            <w:tcW w:w="177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79C9024" w14:textId="77777777" w:rsidR="003E69A5" w:rsidRPr="003F7F6C" w:rsidRDefault="003E69A5" w:rsidP="00D25E0D">
            <w:pPr>
              <w:autoSpaceDE w:val="0"/>
              <w:autoSpaceDN w:val="0"/>
              <w:adjustRightInd w:val="0"/>
              <w:spacing w:after="0"/>
              <w:rPr>
                <w:rFonts w:cs="Calibri"/>
                <w:sz w:val="18"/>
                <w:szCs w:val="18"/>
              </w:rPr>
            </w:pPr>
          </w:p>
        </w:tc>
        <w:tc>
          <w:tcPr>
            <w:tcW w:w="4610" w:type="dxa"/>
            <w:tcBorders>
              <w:top w:val="single" w:sz="4" w:space="0" w:color="auto"/>
              <w:left w:val="nil"/>
              <w:bottom w:val="single" w:sz="4" w:space="0" w:color="auto"/>
              <w:right w:val="single" w:sz="4" w:space="0" w:color="auto"/>
            </w:tcBorders>
            <w:shd w:val="clear" w:color="auto" w:fill="auto"/>
            <w:vAlign w:val="center"/>
          </w:tcPr>
          <w:p w14:paraId="0C528C60"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Authority and legitimacy of all lead organizations responsible for environmental management are partially recognized by stakeholders</w:t>
            </w:r>
          </w:p>
        </w:tc>
        <w:tc>
          <w:tcPr>
            <w:tcW w:w="840" w:type="dxa"/>
            <w:tcBorders>
              <w:top w:val="single" w:sz="4" w:space="0" w:color="auto"/>
              <w:left w:val="nil"/>
              <w:bottom w:val="single" w:sz="4" w:space="0" w:color="auto"/>
              <w:right w:val="single" w:sz="4" w:space="0" w:color="auto"/>
            </w:tcBorders>
            <w:shd w:val="clear" w:color="auto" w:fill="auto"/>
            <w:vAlign w:val="center"/>
          </w:tcPr>
          <w:p w14:paraId="55DFE370"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2</w:t>
            </w:r>
          </w:p>
        </w:tc>
        <w:tc>
          <w:tcPr>
            <w:tcW w:w="850" w:type="dxa"/>
            <w:tcBorders>
              <w:top w:val="single" w:sz="4" w:space="0" w:color="auto"/>
              <w:left w:val="nil"/>
              <w:bottom w:val="single" w:sz="4" w:space="0" w:color="auto"/>
              <w:right w:val="single" w:sz="4" w:space="0" w:color="auto"/>
            </w:tcBorders>
            <w:shd w:val="clear" w:color="auto" w:fill="auto"/>
            <w:vAlign w:val="center"/>
          </w:tcPr>
          <w:p w14:paraId="0925321B" w14:textId="77777777" w:rsidR="003E69A5" w:rsidRPr="003F7F6C" w:rsidRDefault="003E69A5" w:rsidP="00D25E0D">
            <w:pPr>
              <w:spacing w:after="0"/>
              <w:jc w:val="center"/>
              <w:rPr>
                <w:rFonts w:eastAsia="Times New Roman" w:cs="Calibri"/>
                <w:color w:val="000000"/>
                <w:sz w:val="18"/>
                <w:szCs w:val="18"/>
                <w:lang w:eastAsia="es-ES"/>
              </w:rPr>
            </w:pPr>
          </w:p>
        </w:tc>
        <w:tc>
          <w:tcPr>
            <w:tcW w:w="2552" w:type="dxa"/>
            <w:tcBorders>
              <w:top w:val="single" w:sz="4" w:space="0" w:color="auto"/>
              <w:left w:val="nil"/>
              <w:bottom w:val="single" w:sz="4" w:space="0" w:color="auto"/>
              <w:right w:val="single" w:sz="4" w:space="0" w:color="auto"/>
            </w:tcBorders>
            <w:shd w:val="clear" w:color="auto" w:fill="auto"/>
            <w:vAlign w:val="center"/>
          </w:tcPr>
          <w:p w14:paraId="72FFF74B" w14:textId="77777777" w:rsidR="003E69A5" w:rsidRPr="003F7F6C" w:rsidRDefault="003E69A5" w:rsidP="00D25E0D">
            <w:pPr>
              <w:spacing w:after="0"/>
              <w:rPr>
                <w:rFonts w:eastAsia="Times New Roman" w:cs="Calibri"/>
                <w:color w:val="000000"/>
                <w:sz w:val="18"/>
                <w:szCs w:val="18"/>
                <w:lang w:eastAsia="es-ES"/>
              </w:rPr>
            </w:pPr>
          </w:p>
        </w:tc>
        <w:tc>
          <w:tcPr>
            <w:tcW w:w="2126" w:type="dxa"/>
            <w:tcBorders>
              <w:top w:val="single" w:sz="4" w:space="0" w:color="auto"/>
              <w:left w:val="nil"/>
              <w:bottom w:val="single" w:sz="4" w:space="0" w:color="auto"/>
              <w:right w:val="single" w:sz="4" w:space="0" w:color="auto"/>
            </w:tcBorders>
            <w:shd w:val="clear" w:color="auto" w:fill="auto"/>
            <w:vAlign w:val="center"/>
          </w:tcPr>
          <w:p w14:paraId="60BEEF01" w14:textId="77777777" w:rsidR="003E69A5" w:rsidRPr="003F7F6C" w:rsidRDefault="003E69A5" w:rsidP="00D25E0D">
            <w:pPr>
              <w:spacing w:after="0"/>
              <w:rPr>
                <w:rFonts w:eastAsia="Times New Roman" w:cs="Calibri"/>
                <w:color w:val="000000"/>
                <w:sz w:val="18"/>
                <w:szCs w:val="18"/>
                <w:lang w:eastAsia="es-ES"/>
              </w:rPr>
            </w:pPr>
          </w:p>
        </w:tc>
        <w:tc>
          <w:tcPr>
            <w:tcW w:w="1687" w:type="dxa"/>
            <w:tcBorders>
              <w:top w:val="single" w:sz="4" w:space="0" w:color="auto"/>
              <w:left w:val="nil"/>
              <w:bottom w:val="single" w:sz="4" w:space="0" w:color="auto"/>
              <w:right w:val="single" w:sz="4" w:space="0" w:color="auto"/>
            </w:tcBorders>
            <w:shd w:val="clear" w:color="auto" w:fill="auto"/>
            <w:vAlign w:val="center"/>
          </w:tcPr>
          <w:p w14:paraId="17E3F5D2"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62AA58B5" w14:textId="77777777" w:rsidTr="00D25E0D">
        <w:trPr>
          <w:trHeight w:val="833"/>
        </w:trPr>
        <w:tc>
          <w:tcPr>
            <w:tcW w:w="177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581DE30" w14:textId="77777777" w:rsidR="003E69A5" w:rsidRPr="003F7F6C" w:rsidRDefault="003E69A5" w:rsidP="00D25E0D">
            <w:pPr>
              <w:autoSpaceDE w:val="0"/>
              <w:autoSpaceDN w:val="0"/>
              <w:adjustRightInd w:val="0"/>
              <w:spacing w:after="0"/>
              <w:rPr>
                <w:rFonts w:cs="Calibri"/>
                <w:sz w:val="18"/>
                <w:szCs w:val="18"/>
              </w:rPr>
            </w:pPr>
          </w:p>
        </w:tc>
        <w:tc>
          <w:tcPr>
            <w:tcW w:w="4610" w:type="dxa"/>
            <w:tcBorders>
              <w:top w:val="single" w:sz="4" w:space="0" w:color="auto"/>
              <w:left w:val="nil"/>
              <w:bottom w:val="single" w:sz="4" w:space="0" w:color="auto"/>
              <w:right w:val="single" w:sz="4" w:space="0" w:color="auto"/>
            </w:tcBorders>
            <w:shd w:val="clear" w:color="auto" w:fill="auto"/>
            <w:vAlign w:val="center"/>
          </w:tcPr>
          <w:p w14:paraId="4235B94B"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Authority and legitimacy of all lead organizations responsible for environmental management recognized by stakeholders</w:t>
            </w:r>
          </w:p>
        </w:tc>
        <w:tc>
          <w:tcPr>
            <w:tcW w:w="840" w:type="dxa"/>
            <w:tcBorders>
              <w:top w:val="single" w:sz="4" w:space="0" w:color="auto"/>
              <w:left w:val="nil"/>
              <w:bottom w:val="single" w:sz="4" w:space="0" w:color="auto"/>
              <w:right w:val="single" w:sz="4" w:space="0" w:color="auto"/>
            </w:tcBorders>
            <w:shd w:val="clear" w:color="auto" w:fill="auto"/>
            <w:vAlign w:val="center"/>
          </w:tcPr>
          <w:p w14:paraId="221254A1"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3</w:t>
            </w:r>
          </w:p>
        </w:tc>
        <w:tc>
          <w:tcPr>
            <w:tcW w:w="850" w:type="dxa"/>
            <w:tcBorders>
              <w:top w:val="single" w:sz="4" w:space="0" w:color="auto"/>
              <w:left w:val="nil"/>
              <w:bottom w:val="single" w:sz="4" w:space="0" w:color="auto"/>
              <w:right w:val="single" w:sz="4" w:space="0" w:color="auto"/>
            </w:tcBorders>
            <w:shd w:val="clear" w:color="auto" w:fill="auto"/>
            <w:vAlign w:val="center"/>
          </w:tcPr>
          <w:p w14:paraId="34456AEC"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3</w:t>
            </w:r>
          </w:p>
        </w:tc>
        <w:tc>
          <w:tcPr>
            <w:tcW w:w="2552" w:type="dxa"/>
            <w:tcBorders>
              <w:top w:val="single" w:sz="4" w:space="0" w:color="auto"/>
              <w:left w:val="nil"/>
              <w:bottom w:val="single" w:sz="4" w:space="0" w:color="auto"/>
              <w:right w:val="single" w:sz="4" w:space="0" w:color="auto"/>
            </w:tcBorders>
            <w:shd w:val="clear" w:color="auto" w:fill="auto"/>
            <w:vAlign w:val="center"/>
          </w:tcPr>
          <w:p w14:paraId="6623AFAE"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There is a provincial ELUP law.  The Provincial Land Use Planning Agency (APOT) is recognized and there are mechanisms for cooperation and co-management</w:t>
            </w:r>
          </w:p>
        </w:tc>
        <w:tc>
          <w:tcPr>
            <w:tcW w:w="2126" w:type="dxa"/>
            <w:tcBorders>
              <w:top w:val="single" w:sz="4" w:space="0" w:color="auto"/>
              <w:left w:val="nil"/>
              <w:bottom w:val="single" w:sz="4" w:space="0" w:color="auto"/>
              <w:right w:val="single" w:sz="4" w:space="0" w:color="auto"/>
            </w:tcBorders>
            <w:shd w:val="clear" w:color="auto" w:fill="auto"/>
            <w:vAlign w:val="center"/>
          </w:tcPr>
          <w:p w14:paraId="02179F26"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xml:space="preserve">Strengthening of APOT for ELUP implementation at municipal level. </w:t>
            </w:r>
          </w:p>
        </w:tc>
        <w:tc>
          <w:tcPr>
            <w:tcW w:w="1687" w:type="dxa"/>
            <w:tcBorders>
              <w:top w:val="single" w:sz="4" w:space="0" w:color="auto"/>
              <w:left w:val="nil"/>
              <w:bottom w:val="single" w:sz="4" w:space="0" w:color="auto"/>
              <w:right w:val="single" w:sz="4" w:space="0" w:color="auto"/>
            </w:tcBorders>
            <w:shd w:val="clear" w:color="auto" w:fill="auto"/>
            <w:vAlign w:val="center"/>
          </w:tcPr>
          <w:p w14:paraId="5F412EB9"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51AA3062" w14:textId="77777777" w:rsidTr="00D25E0D">
        <w:trPr>
          <w:trHeight w:val="646"/>
        </w:trPr>
        <w:tc>
          <w:tcPr>
            <w:tcW w:w="177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C19FF01"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Indicator 2: Existence of operational co-management mechanisms</w:t>
            </w:r>
          </w:p>
        </w:tc>
        <w:tc>
          <w:tcPr>
            <w:tcW w:w="4610" w:type="dxa"/>
            <w:tcBorders>
              <w:top w:val="single" w:sz="4" w:space="0" w:color="auto"/>
              <w:left w:val="nil"/>
              <w:bottom w:val="single" w:sz="4" w:space="0" w:color="auto"/>
              <w:right w:val="single" w:sz="4" w:space="0" w:color="auto"/>
            </w:tcBorders>
            <w:shd w:val="clear" w:color="auto" w:fill="auto"/>
            <w:vAlign w:val="center"/>
            <w:hideMark/>
          </w:tcPr>
          <w:p w14:paraId="4C58AEBE"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Some co-management mechanisms are formally established through agreements, MOUs, etc.</w:t>
            </w:r>
          </w:p>
        </w:tc>
        <w:tc>
          <w:tcPr>
            <w:tcW w:w="840" w:type="dxa"/>
            <w:tcBorders>
              <w:top w:val="single" w:sz="4" w:space="0" w:color="auto"/>
              <w:left w:val="nil"/>
              <w:bottom w:val="single" w:sz="4" w:space="0" w:color="auto"/>
              <w:right w:val="single" w:sz="4" w:space="0" w:color="auto"/>
            </w:tcBorders>
            <w:shd w:val="clear" w:color="auto" w:fill="auto"/>
            <w:vAlign w:val="center"/>
            <w:hideMark/>
          </w:tcPr>
          <w:p w14:paraId="01347FA7"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5611C7DD"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032D4AD9"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B9D1270"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87" w:type="dxa"/>
            <w:tcBorders>
              <w:top w:val="single" w:sz="4" w:space="0" w:color="auto"/>
              <w:left w:val="nil"/>
              <w:bottom w:val="single" w:sz="4" w:space="0" w:color="auto"/>
              <w:right w:val="single" w:sz="4" w:space="0" w:color="auto"/>
            </w:tcBorders>
            <w:shd w:val="clear" w:color="auto" w:fill="auto"/>
            <w:vAlign w:val="center"/>
            <w:hideMark/>
          </w:tcPr>
          <w:p w14:paraId="53D947F4"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47D8F84F" w14:textId="77777777" w:rsidTr="00D25E0D">
        <w:trPr>
          <w:trHeight w:val="415"/>
        </w:trPr>
        <w:tc>
          <w:tcPr>
            <w:tcW w:w="177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90F0A27" w14:textId="77777777" w:rsidR="003E69A5" w:rsidRPr="003F7F6C" w:rsidRDefault="003E69A5" w:rsidP="00D25E0D">
            <w:pPr>
              <w:spacing w:after="0"/>
              <w:jc w:val="center"/>
              <w:rPr>
                <w:rFonts w:eastAsia="Times New Roman" w:cs="Calibri"/>
                <w:color w:val="000000"/>
                <w:sz w:val="18"/>
                <w:szCs w:val="18"/>
                <w:lang w:eastAsia="es-ES"/>
              </w:rPr>
            </w:pPr>
          </w:p>
        </w:tc>
        <w:tc>
          <w:tcPr>
            <w:tcW w:w="4610" w:type="dxa"/>
            <w:tcBorders>
              <w:top w:val="single" w:sz="4" w:space="0" w:color="auto"/>
              <w:left w:val="nil"/>
              <w:bottom w:val="single" w:sz="4" w:space="0" w:color="auto"/>
              <w:right w:val="single" w:sz="4" w:space="0" w:color="auto"/>
            </w:tcBorders>
            <w:shd w:val="clear" w:color="auto" w:fill="auto"/>
            <w:vAlign w:val="center"/>
          </w:tcPr>
          <w:p w14:paraId="210538E3"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cs="Calibri"/>
                <w:sz w:val="18"/>
                <w:szCs w:val="18"/>
              </w:rPr>
              <w:t>Some co-management mechanisms are in place and operational</w:t>
            </w:r>
          </w:p>
        </w:tc>
        <w:tc>
          <w:tcPr>
            <w:tcW w:w="840" w:type="dxa"/>
            <w:tcBorders>
              <w:top w:val="single" w:sz="4" w:space="0" w:color="auto"/>
              <w:left w:val="nil"/>
              <w:bottom w:val="single" w:sz="4" w:space="0" w:color="auto"/>
              <w:right w:val="single" w:sz="4" w:space="0" w:color="auto"/>
            </w:tcBorders>
            <w:shd w:val="clear" w:color="auto" w:fill="auto"/>
            <w:vAlign w:val="center"/>
          </w:tcPr>
          <w:p w14:paraId="60641136"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1</w:t>
            </w:r>
          </w:p>
        </w:tc>
        <w:tc>
          <w:tcPr>
            <w:tcW w:w="850" w:type="dxa"/>
            <w:tcBorders>
              <w:top w:val="single" w:sz="4" w:space="0" w:color="auto"/>
              <w:left w:val="nil"/>
              <w:bottom w:val="single" w:sz="4" w:space="0" w:color="auto"/>
              <w:right w:val="single" w:sz="4" w:space="0" w:color="auto"/>
            </w:tcBorders>
            <w:shd w:val="clear" w:color="auto" w:fill="auto"/>
            <w:vAlign w:val="center"/>
          </w:tcPr>
          <w:p w14:paraId="79F54005" w14:textId="77777777" w:rsidR="003E69A5" w:rsidRPr="003F7F6C" w:rsidRDefault="003E69A5" w:rsidP="00D25E0D">
            <w:pPr>
              <w:spacing w:after="0"/>
              <w:jc w:val="center"/>
              <w:rPr>
                <w:rFonts w:eastAsia="Times New Roman" w:cs="Calibri"/>
                <w:color w:val="000000"/>
                <w:sz w:val="18"/>
                <w:szCs w:val="18"/>
                <w:lang w:eastAsia="es-ES"/>
              </w:rPr>
            </w:pPr>
          </w:p>
        </w:tc>
        <w:tc>
          <w:tcPr>
            <w:tcW w:w="2552" w:type="dxa"/>
            <w:tcBorders>
              <w:top w:val="single" w:sz="4" w:space="0" w:color="auto"/>
              <w:left w:val="nil"/>
              <w:bottom w:val="single" w:sz="4" w:space="0" w:color="auto"/>
              <w:right w:val="single" w:sz="4" w:space="0" w:color="auto"/>
            </w:tcBorders>
            <w:shd w:val="clear" w:color="auto" w:fill="auto"/>
            <w:vAlign w:val="center"/>
          </w:tcPr>
          <w:p w14:paraId="50A6063D" w14:textId="77777777" w:rsidR="003E69A5" w:rsidRPr="003F7F6C" w:rsidRDefault="003E69A5" w:rsidP="00D25E0D">
            <w:pPr>
              <w:spacing w:after="0"/>
              <w:rPr>
                <w:rFonts w:eastAsia="Times New Roman" w:cs="Calibri"/>
                <w:color w:val="000000"/>
                <w:sz w:val="18"/>
                <w:szCs w:val="18"/>
                <w:lang w:eastAsia="es-ES"/>
              </w:rPr>
            </w:pPr>
          </w:p>
        </w:tc>
        <w:tc>
          <w:tcPr>
            <w:tcW w:w="2126" w:type="dxa"/>
            <w:tcBorders>
              <w:top w:val="single" w:sz="4" w:space="0" w:color="auto"/>
              <w:left w:val="nil"/>
              <w:bottom w:val="single" w:sz="4" w:space="0" w:color="auto"/>
              <w:right w:val="single" w:sz="4" w:space="0" w:color="auto"/>
            </w:tcBorders>
            <w:shd w:val="clear" w:color="auto" w:fill="auto"/>
            <w:vAlign w:val="center"/>
          </w:tcPr>
          <w:p w14:paraId="0C4A26E8" w14:textId="77777777" w:rsidR="003E69A5" w:rsidRPr="003F7F6C" w:rsidRDefault="003E69A5" w:rsidP="00D25E0D">
            <w:pPr>
              <w:spacing w:after="0"/>
              <w:rPr>
                <w:rFonts w:eastAsia="Times New Roman" w:cs="Calibri"/>
                <w:color w:val="000000"/>
                <w:sz w:val="18"/>
                <w:szCs w:val="18"/>
                <w:lang w:eastAsia="es-ES"/>
              </w:rPr>
            </w:pPr>
          </w:p>
        </w:tc>
        <w:tc>
          <w:tcPr>
            <w:tcW w:w="1687" w:type="dxa"/>
            <w:tcBorders>
              <w:top w:val="single" w:sz="4" w:space="0" w:color="auto"/>
              <w:left w:val="nil"/>
              <w:bottom w:val="single" w:sz="4" w:space="0" w:color="auto"/>
              <w:right w:val="single" w:sz="4" w:space="0" w:color="auto"/>
            </w:tcBorders>
            <w:shd w:val="clear" w:color="auto" w:fill="auto"/>
            <w:vAlign w:val="center"/>
          </w:tcPr>
          <w:p w14:paraId="13C35678"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052FB26C" w14:textId="77777777" w:rsidTr="00D25E0D">
        <w:trPr>
          <w:trHeight w:val="691"/>
        </w:trPr>
        <w:tc>
          <w:tcPr>
            <w:tcW w:w="177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9BAC9CF" w14:textId="77777777" w:rsidR="003E69A5" w:rsidRPr="003F7F6C" w:rsidRDefault="003E69A5" w:rsidP="00D25E0D">
            <w:pPr>
              <w:spacing w:after="0"/>
              <w:jc w:val="center"/>
              <w:rPr>
                <w:rFonts w:eastAsia="Times New Roman" w:cs="Calibri"/>
                <w:color w:val="000000"/>
                <w:sz w:val="18"/>
                <w:szCs w:val="18"/>
                <w:lang w:eastAsia="es-ES"/>
              </w:rPr>
            </w:pPr>
          </w:p>
        </w:tc>
        <w:tc>
          <w:tcPr>
            <w:tcW w:w="4610" w:type="dxa"/>
            <w:tcBorders>
              <w:top w:val="single" w:sz="4" w:space="0" w:color="auto"/>
              <w:left w:val="nil"/>
              <w:bottom w:val="single" w:sz="4" w:space="0" w:color="auto"/>
              <w:right w:val="single" w:sz="4" w:space="0" w:color="auto"/>
            </w:tcBorders>
            <w:shd w:val="clear" w:color="auto" w:fill="auto"/>
            <w:vAlign w:val="center"/>
          </w:tcPr>
          <w:p w14:paraId="3DDD059B"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Some co-management mechanisms are formally established through agreements, MOUs, etc.</w:t>
            </w:r>
          </w:p>
        </w:tc>
        <w:tc>
          <w:tcPr>
            <w:tcW w:w="840" w:type="dxa"/>
            <w:tcBorders>
              <w:top w:val="single" w:sz="4" w:space="0" w:color="auto"/>
              <w:left w:val="nil"/>
              <w:bottom w:val="single" w:sz="4" w:space="0" w:color="auto"/>
              <w:right w:val="single" w:sz="4" w:space="0" w:color="auto"/>
            </w:tcBorders>
            <w:shd w:val="clear" w:color="auto" w:fill="auto"/>
            <w:vAlign w:val="center"/>
          </w:tcPr>
          <w:p w14:paraId="632CEB5D"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2</w:t>
            </w:r>
          </w:p>
        </w:tc>
        <w:tc>
          <w:tcPr>
            <w:tcW w:w="850" w:type="dxa"/>
            <w:tcBorders>
              <w:top w:val="single" w:sz="4" w:space="0" w:color="auto"/>
              <w:left w:val="nil"/>
              <w:bottom w:val="single" w:sz="4" w:space="0" w:color="auto"/>
              <w:right w:val="single" w:sz="4" w:space="0" w:color="auto"/>
            </w:tcBorders>
            <w:shd w:val="clear" w:color="auto" w:fill="auto"/>
            <w:vAlign w:val="center"/>
          </w:tcPr>
          <w:p w14:paraId="4D4E49BE"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4F6FDAA2"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ELUP law establishes co-management mechanisms. The Provincial Land Use Planning Council (CEPOT) is the advisory and consultative body established by law; it is recognized and formally established</w:t>
            </w:r>
          </w:p>
        </w:tc>
        <w:tc>
          <w:tcPr>
            <w:tcW w:w="2126" w:type="dxa"/>
            <w:tcBorders>
              <w:top w:val="single" w:sz="4" w:space="0" w:color="auto"/>
              <w:left w:val="nil"/>
              <w:bottom w:val="single" w:sz="4" w:space="0" w:color="auto"/>
              <w:right w:val="single" w:sz="4" w:space="0" w:color="auto"/>
            </w:tcBorders>
            <w:shd w:val="clear" w:color="auto" w:fill="auto"/>
            <w:vAlign w:val="center"/>
          </w:tcPr>
          <w:p w14:paraId="1123662D"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Strengthen co-management mechanisms to contribute to development of municipal ELUP plans</w:t>
            </w:r>
          </w:p>
        </w:tc>
        <w:tc>
          <w:tcPr>
            <w:tcW w:w="1687" w:type="dxa"/>
            <w:tcBorders>
              <w:top w:val="single" w:sz="4" w:space="0" w:color="auto"/>
              <w:left w:val="nil"/>
              <w:bottom w:val="single" w:sz="4" w:space="0" w:color="auto"/>
              <w:right w:val="single" w:sz="4" w:space="0" w:color="auto"/>
            </w:tcBorders>
            <w:shd w:val="clear" w:color="auto" w:fill="auto"/>
            <w:vAlign w:val="center"/>
          </w:tcPr>
          <w:p w14:paraId="1613805A"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5BDC9E2E" w14:textId="77777777" w:rsidTr="00D25E0D">
        <w:trPr>
          <w:trHeight w:val="70"/>
        </w:trPr>
        <w:tc>
          <w:tcPr>
            <w:tcW w:w="177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1DC95C8" w14:textId="77777777" w:rsidR="003E69A5" w:rsidRPr="003F7F6C" w:rsidRDefault="003E69A5" w:rsidP="00D25E0D">
            <w:pPr>
              <w:spacing w:after="0"/>
              <w:jc w:val="center"/>
              <w:rPr>
                <w:rFonts w:eastAsia="Times New Roman" w:cs="Calibri"/>
                <w:color w:val="000000"/>
                <w:sz w:val="18"/>
                <w:szCs w:val="18"/>
                <w:lang w:eastAsia="es-ES"/>
              </w:rPr>
            </w:pPr>
          </w:p>
        </w:tc>
        <w:tc>
          <w:tcPr>
            <w:tcW w:w="4610" w:type="dxa"/>
            <w:tcBorders>
              <w:top w:val="single" w:sz="4" w:space="0" w:color="auto"/>
              <w:left w:val="nil"/>
              <w:bottom w:val="single" w:sz="4" w:space="0" w:color="auto"/>
              <w:right w:val="single" w:sz="4" w:space="0" w:color="auto"/>
            </w:tcBorders>
            <w:shd w:val="clear" w:color="auto" w:fill="auto"/>
            <w:vAlign w:val="center"/>
          </w:tcPr>
          <w:p w14:paraId="566AC424"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cs="Calibri"/>
                <w:sz w:val="18"/>
                <w:szCs w:val="18"/>
              </w:rPr>
              <w:t>Comprehensive co-management mechanisms are formally established and are operational/functional</w:t>
            </w:r>
          </w:p>
        </w:tc>
        <w:tc>
          <w:tcPr>
            <w:tcW w:w="840" w:type="dxa"/>
            <w:tcBorders>
              <w:top w:val="single" w:sz="4" w:space="0" w:color="auto"/>
              <w:left w:val="nil"/>
              <w:bottom w:val="single" w:sz="4" w:space="0" w:color="auto"/>
              <w:right w:val="single" w:sz="4" w:space="0" w:color="auto"/>
            </w:tcBorders>
            <w:shd w:val="clear" w:color="auto" w:fill="auto"/>
            <w:vAlign w:val="center"/>
          </w:tcPr>
          <w:p w14:paraId="58F3728B"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3</w:t>
            </w:r>
          </w:p>
        </w:tc>
        <w:tc>
          <w:tcPr>
            <w:tcW w:w="850" w:type="dxa"/>
            <w:tcBorders>
              <w:top w:val="single" w:sz="4" w:space="0" w:color="auto"/>
              <w:left w:val="nil"/>
              <w:bottom w:val="single" w:sz="4" w:space="0" w:color="auto"/>
              <w:right w:val="single" w:sz="4" w:space="0" w:color="auto"/>
            </w:tcBorders>
            <w:shd w:val="clear" w:color="auto" w:fill="auto"/>
            <w:vAlign w:val="center"/>
          </w:tcPr>
          <w:p w14:paraId="0E7E13B1" w14:textId="77777777" w:rsidR="003E69A5" w:rsidRPr="003F7F6C" w:rsidRDefault="003E69A5" w:rsidP="00D25E0D">
            <w:pPr>
              <w:spacing w:after="0"/>
              <w:jc w:val="center"/>
              <w:rPr>
                <w:rFonts w:eastAsia="Times New Roman" w:cs="Calibri"/>
                <w:color w:val="000000"/>
                <w:sz w:val="18"/>
                <w:szCs w:val="18"/>
                <w:lang w:eastAsia="es-ES"/>
              </w:rPr>
            </w:pPr>
          </w:p>
        </w:tc>
        <w:tc>
          <w:tcPr>
            <w:tcW w:w="2552" w:type="dxa"/>
            <w:tcBorders>
              <w:top w:val="single" w:sz="4" w:space="0" w:color="auto"/>
              <w:left w:val="nil"/>
              <w:bottom w:val="single" w:sz="4" w:space="0" w:color="auto"/>
              <w:right w:val="single" w:sz="4" w:space="0" w:color="auto"/>
            </w:tcBorders>
            <w:shd w:val="clear" w:color="auto" w:fill="auto"/>
            <w:vAlign w:val="center"/>
          </w:tcPr>
          <w:p w14:paraId="15C634EF" w14:textId="77777777" w:rsidR="003E69A5" w:rsidRPr="003F7F6C" w:rsidRDefault="003E69A5" w:rsidP="00D25E0D">
            <w:pPr>
              <w:spacing w:after="0"/>
              <w:rPr>
                <w:rFonts w:eastAsia="Times New Roman" w:cs="Calibri"/>
                <w:color w:val="000000"/>
                <w:sz w:val="18"/>
                <w:szCs w:val="18"/>
                <w:lang w:eastAsia="es-ES"/>
              </w:rPr>
            </w:pPr>
          </w:p>
        </w:tc>
        <w:tc>
          <w:tcPr>
            <w:tcW w:w="2126" w:type="dxa"/>
            <w:tcBorders>
              <w:top w:val="single" w:sz="4" w:space="0" w:color="auto"/>
              <w:left w:val="nil"/>
              <w:bottom w:val="single" w:sz="4" w:space="0" w:color="auto"/>
              <w:right w:val="single" w:sz="4" w:space="0" w:color="auto"/>
            </w:tcBorders>
            <w:shd w:val="clear" w:color="auto" w:fill="auto"/>
            <w:vAlign w:val="center"/>
          </w:tcPr>
          <w:p w14:paraId="6FE9812C" w14:textId="77777777" w:rsidR="003E69A5" w:rsidRPr="003F7F6C" w:rsidRDefault="003E69A5" w:rsidP="00D25E0D">
            <w:pPr>
              <w:spacing w:after="0"/>
              <w:rPr>
                <w:rFonts w:eastAsia="Times New Roman" w:cs="Calibri"/>
                <w:color w:val="000000"/>
                <w:sz w:val="18"/>
                <w:szCs w:val="18"/>
                <w:lang w:eastAsia="es-ES"/>
              </w:rPr>
            </w:pPr>
          </w:p>
        </w:tc>
        <w:tc>
          <w:tcPr>
            <w:tcW w:w="1687" w:type="dxa"/>
            <w:tcBorders>
              <w:top w:val="single" w:sz="4" w:space="0" w:color="auto"/>
              <w:left w:val="nil"/>
              <w:bottom w:val="single" w:sz="4" w:space="0" w:color="auto"/>
              <w:right w:val="single" w:sz="4" w:space="0" w:color="auto"/>
            </w:tcBorders>
            <w:shd w:val="clear" w:color="auto" w:fill="auto"/>
            <w:vAlign w:val="center"/>
          </w:tcPr>
          <w:p w14:paraId="6C0D78B5"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5CF97BA7" w14:textId="77777777" w:rsidTr="00D25E0D">
        <w:trPr>
          <w:trHeight w:val="778"/>
        </w:trPr>
        <w:tc>
          <w:tcPr>
            <w:tcW w:w="177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9AD303D"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Indicator 3: Existence of cooperation with stakeholder groups</w:t>
            </w:r>
          </w:p>
        </w:tc>
        <w:tc>
          <w:tcPr>
            <w:tcW w:w="4610" w:type="dxa"/>
            <w:tcBorders>
              <w:top w:val="single" w:sz="4" w:space="0" w:color="auto"/>
              <w:left w:val="nil"/>
              <w:bottom w:val="single" w:sz="4" w:space="0" w:color="auto"/>
              <w:right w:val="single" w:sz="4" w:space="0" w:color="auto"/>
            </w:tcBorders>
            <w:shd w:val="clear" w:color="auto" w:fill="auto"/>
            <w:vAlign w:val="center"/>
          </w:tcPr>
          <w:p w14:paraId="442072B8"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Identification of stakeholders and their</w:t>
            </w:r>
          </w:p>
          <w:p w14:paraId="2BDDDF87" w14:textId="77777777" w:rsidR="003E69A5" w:rsidRPr="003F7F6C" w:rsidRDefault="003E69A5" w:rsidP="00D25E0D">
            <w:pPr>
              <w:spacing w:after="0"/>
              <w:rPr>
                <w:rFonts w:eastAsia="Times New Roman" w:cs="Calibri"/>
                <w:color w:val="000000"/>
                <w:sz w:val="18"/>
                <w:szCs w:val="18"/>
                <w:lang w:eastAsia="es-ES"/>
              </w:rPr>
            </w:pPr>
            <w:r w:rsidRPr="003F7F6C">
              <w:rPr>
                <w:rFonts w:cs="Calibri"/>
                <w:sz w:val="18"/>
                <w:szCs w:val="18"/>
              </w:rPr>
              <w:t>participation/involvement in decision-making is poor</w:t>
            </w:r>
          </w:p>
        </w:tc>
        <w:tc>
          <w:tcPr>
            <w:tcW w:w="840" w:type="dxa"/>
            <w:tcBorders>
              <w:top w:val="single" w:sz="4" w:space="0" w:color="auto"/>
              <w:left w:val="single" w:sz="4" w:space="0" w:color="auto"/>
              <w:bottom w:val="single" w:sz="4" w:space="0" w:color="auto"/>
              <w:right w:val="single" w:sz="4" w:space="0" w:color="auto"/>
            </w:tcBorders>
            <w:shd w:val="clear" w:color="auto" w:fill="auto"/>
            <w:vAlign w:val="center"/>
          </w:tcPr>
          <w:p w14:paraId="79D4F9FB"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A871E5F"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CA51D05"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557220E"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AC259BE"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056B31B3" w14:textId="77777777" w:rsidTr="00D25E0D">
        <w:trPr>
          <w:trHeight w:val="703"/>
        </w:trPr>
        <w:tc>
          <w:tcPr>
            <w:tcW w:w="177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A09A742" w14:textId="77777777" w:rsidR="003E69A5" w:rsidRPr="003F7F6C" w:rsidRDefault="003E69A5" w:rsidP="00D25E0D">
            <w:pPr>
              <w:spacing w:after="0"/>
              <w:jc w:val="center"/>
              <w:rPr>
                <w:rFonts w:eastAsia="Times New Roman" w:cs="Calibri"/>
                <w:color w:val="000000"/>
                <w:sz w:val="18"/>
                <w:szCs w:val="18"/>
                <w:lang w:eastAsia="es-ES"/>
              </w:rPr>
            </w:pPr>
          </w:p>
        </w:tc>
        <w:tc>
          <w:tcPr>
            <w:tcW w:w="4610" w:type="dxa"/>
            <w:tcBorders>
              <w:top w:val="single" w:sz="4" w:space="0" w:color="auto"/>
              <w:left w:val="nil"/>
              <w:bottom w:val="single" w:sz="4" w:space="0" w:color="auto"/>
              <w:right w:val="single" w:sz="4" w:space="0" w:color="auto"/>
            </w:tcBorders>
            <w:shd w:val="clear" w:color="auto" w:fill="auto"/>
            <w:vAlign w:val="center"/>
          </w:tcPr>
          <w:p w14:paraId="0F6276E8"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cs="Calibri"/>
                <w:sz w:val="18"/>
                <w:szCs w:val="18"/>
              </w:rPr>
              <w:t>Stakeholders are identified but their participation in decision-making is limited</w:t>
            </w:r>
          </w:p>
        </w:tc>
        <w:tc>
          <w:tcPr>
            <w:tcW w:w="840" w:type="dxa"/>
            <w:tcBorders>
              <w:top w:val="single" w:sz="4" w:space="0" w:color="auto"/>
              <w:left w:val="nil"/>
              <w:bottom w:val="single" w:sz="4" w:space="0" w:color="auto"/>
              <w:right w:val="single" w:sz="4" w:space="0" w:color="auto"/>
            </w:tcBorders>
            <w:shd w:val="clear" w:color="auto" w:fill="auto"/>
            <w:vAlign w:val="center"/>
          </w:tcPr>
          <w:p w14:paraId="4F785349"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1</w:t>
            </w:r>
          </w:p>
        </w:tc>
        <w:tc>
          <w:tcPr>
            <w:tcW w:w="850" w:type="dxa"/>
            <w:tcBorders>
              <w:top w:val="single" w:sz="4" w:space="0" w:color="auto"/>
              <w:left w:val="nil"/>
              <w:bottom w:val="single" w:sz="4" w:space="0" w:color="auto"/>
              <w:right w:val="single" w:sz="4" w:space="0" w:color="auto"/>
            </w:tcBorders>
            <w:shd w:val="clear" w:color="auto" w:fill="auto"/>
            <w:vAlign w:val="center"/>
          </w:tcPr>
          <w:p w14:paraId="561FE96A" w14:textId="77777777" w:rsidR="003E69A5" w:rsidRPr="003F7F6C" w:rsidRDefault="003E69A5" w:rsidP="00D25E0D">
            <w:pPr>
              <w:spacing w:after="0"/>
              <w:jc w:val="center"/>
              <w:rPr>
                <w:rFonts w:eastAsia="Times New Roman" w:cs="Calibri"/>
                <w:color w:val="000000"/>
                <w:sz w:val="18"/>
                <w:szCs w:val="18"/>
                <w:lang w:eastAsia="es-ES"/>
              </w:rPr>
            </w:pPr>
          </w:p>
        </w:tc>
        <w:tc>
          <w:tcPr>
            <w:tcW w:w="2552" w:type="dxa"/>
            <w:tcBorders>
              <w:top w:val="single" w:sz="4" w:space="0" w:color="auto"/>
              <w:left w:val="nil"/>
              <w:bottom w:val="single" w:sz="4" w:space="0" w:color="auto"/>
              <w:right w:val="single" w:sz="4" w:space="0" w:color="auto"/>
            </w:tcBorders>
            <w:shd w:val="clear" w:color="auto" w:fill="auto"/>
            <w:vAlign w:val="center"/>
          </w:tcPr>
          <w:p w14:paraId="214A75CE" w14:textId="77777777" w:rsidR="003E69A5" w:rsidRPr="003F7F6C" w:rsidRDefault="003E69A5" w:rsidP="00D25E0D">
            <w:pPr>
              <w:spacing w:after="0"/>
              <w:rPr>
                <w:rFonts w:eastAsia="Times New Roman" w:cs="Calibri"/>
                <w:color w:val="000000"/>
                <w:sz w:val="18"/>
                <w:szCs w:val="18"/>
                <w:lang w:eastAsia="es-ES"/>
              </w:rPr>
            </w:pPr>
          </w:p>
        </w:tc>
        <w:tc>
          <w:tcPr>
            <w:tcW w:w="2126" w:type="dxa"/>
            <w:tcBorders>
              <w:top w:val="single" w:sz="4" w:space="0" w:color="auto"/>
              <w:left w:val="nil"/>
              <w:bottom w:val="single" w:sz="4" w:space="0" w:color="auto"/>
              <w:right w:val="single" w:sz="4" w:space="0" w:color="auto"/>
            </w:tcBorders>
            <w:shd w:val="clear" w:color="auto" w:fill="auto"/>
            <w:vAlign w:val="center"/>
          </w:tcPr>
          <w:p w14:paraId="409621B3" w14:textId="77777777" w:rsidR="003E69A5" w:rsidRPr="003F7F6C" w:rsidRDefault="003E69A5" w:rsidP="00D25E0D">
            <w:pPr>
              <w:spacing w:after="0"/>
              <w:rPr>
                <w:rFonts w:eastAsia="Times New Roman" w:cs="Calibri"/>
                <w:color w:val="000000"/>
                <w:sz w:val="18"/>
                <w:szCs w:val="18"/>
                <w:lang w:eastAsia="es-ES"/>
              </w:rPr>
            </w:pPr>
          </w:p>
        </w:tc>
        <w:tc>
          <w:tcPr>
            <w:tcW w:w="1687" w:type="dxa"/>
            <w:tcBorders>
              <w:top w:val="single" w:sz="4" w:space="0" w:color="auto"/>
              <w:left w:val="nil"/>
              <w:bottom w:val="single" w:sz="4" w:space="0" w:color="auto"/>
              <w:right w:val="single" w:sz="4" w:space="0" w:color="auto"/>
            </w:tcBorders>
            <w:shd w:val="clear" w:color="auto" w:fill="auto"/>
            <w:vAlign w:val="center"/>
          </w:tcPr>
          <w:p w14:paraId="5A979CE7"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2861A309" w14:textId="77777777" w:rsidTr="00D25E0D">
        <w:trPr>
          <w:trHeight w:val="685"/>
        </w:trPr>
        <w:tc>
          <w:tcPr>
            <w:tcW w:w="177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C5E4317" w14:textId="77777777" w:rsidR="003E69A5" w:rsidRPr="003F7F6C" w:rsidRDefault="003E69A5" w:rsidP="00D25E0D">
            <w:pPr>
              <w:spacing w:after="0"/>
              <w:jc w:val="center"/>
              <w:rPr>
                <w:rFonts w:eastAsia="Times New Roman" w:cs="Calibri"/>
                <w:color w:val="000000"/>
                <w:sz w:val="18"/>
                <w:szCs w:val="18"/>
                <w:lang w:eastAsia="es-ES"/>
              </w:rPr>
            </w:pPr>
          </w:p>
        </w:tc>
        <w:tc>
          <w:tcPr>
            <w:tcW w:w="4610" w:type="dxa"/>
            <w:tcBorders>
              <w:top w:val="single" w:sz="4" w:space="0" w:color="auto"/>
              <w:left w:val="nil"/>
              <w:bottom w:val="single" w:sz="4" w:space="0" w:color="auto"/>
              <w:right w:val="single" w:sz="4" w:space="0" w:color="auto"/>
            </w:tcBorders>
            <w:shd w:val="clear" w:color="auto" w:fill="auto"/>
            <w:vAlign w:val="center"/>
          </w:tcPr>
          <w:p w14:paraId="4740C9DB"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cs="Calibri"/>
                <w:sz w:val="18"/>
                <w:szCs w:val="18"/>
              </w:rPr>
              <w:t>Stakeholders are identified and regular consultations mechanisms are established</w:t>
            </w:r>
          </w:p>
        </w:tc>
        <w:tc>
          <w:tcPr>
            <w:tcW w:w="840" w:type="dxa"/>
            <w:tcBorders>
              <w:top w:val="single" w:sz="4" w:space="0" w:color="auto"/>
              <w:left w:val="nil"/>
              <w:bottom w:val="single" w:sz="4" w:space="0" w:color="auto"/>
              <w:right w:val="single" w:sz="4" w:space="0" w:color="auto"/>
            </w:tcBorders>
            <w:shd w:val="clear" w:color="auto" w:fill="auto"/>
            <w:vAlign w:val="center"/>
          </w:tcPr>
          <w:p w14:paraId="1B8CC42E"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2</w:t>
            </w:r>
          </w:p>
        </w:tc>
        <w:tc>
          <w:tcPr>
            <w:tcW w:w="850" w:type="dxa"/>
            <w:tcBorders>
              <w:top w:val="single" w:sz="4" w:space="0" w:color="auto"/>
              <w:left w:val="nil"/>
              <w:bottom w:val="single" w:sz="4" w:space="0" w:color="auto"/>
              <w:right w:val="single" w:sz="4" w:space="0" w:color="auto"/>
            </w:tcBorders>
            <w:shd w:val="clear" w:color="auto" w:fill="auto"/>
            <w:vAlign w:val="center"/>
          </w:tcPr>
          <w:p w14:paraId="024EE897" w14:textId="77777777" w:rsidR="003E69A5" w:rsidRPr="003F7F6C" w:rsidRDefault="003E69A5" w:rsidP="00D25E0D">
            <w:pPr>
              <w:spacing w:after="0"/>
              <w:jc w:val="center"/>
              <w:rPr>
                <w:rFonts w:eastAsia="Times New Roman" w:cs="Calibri"/>
                <w:color w:val="000000"/>
                <w:sz w:val="18"/>
                <w:szCs w:val="18"/>
                <w:lang w:eastAsia="es-ES"/>
              </w:rPr>
            </w:pPr>
          </w:p>
        </w:tc>
        <w:tc>
          <w:tcPr>
            <w:tcW w:w="2552" w:type="dxa"/>
            <w:tcBorders>
              <w:top w:val="single" w:sz="4" w:space="0" w:color="auto"/>
              <w:left w:val="nil"/>
              <w:bottom w:val="single" w:sz="4" w:space="0" w:color="auto"/>
              <w:right w:val="single" w:sz="4" w:space="0" w:color="auto"/>
            </w:tcBorders>
            <w:shd w:val="clear" w:color="auto" w:fill="auto"/>
            <w:vAlign w:val="center"/>
          </w:tcPr>
          <w:p w14:paraId="283D8E19" w14:textId="77777777" w:rsidR="003E69A5" w:rsidRPr="003F7F6C" w:rsidRDefault="003E69A5" w:rsidP="00D25E0D">
            <w:pPr>
              <w:spacing w:after="0"/>
              <w:rPr>
                <w:rFonts w:eastAsia="Times New Roman" w:cs="Calibri"/>
                <w:color w:val="000000"/>
                <w:sz w:val="18"/>
                <w:szCs w:val="18"/>
                <w:lang w:eastAsia="es-ES"/>
              </w:rPr>
            </w:pPr>
          </w:p>
        </w:tc>
        <w:tc>
          <w:tcPr>
            <w:tcW w:w="2126" w:type="dxa"/>
            <w:tcBorders>
              <w:top w:val="single" w:sz="4" w:space="0" w:color="auto"/>
              <w:left w:val="nil"/>
              <w:bottom w:val="single" w:sz="4" w:space="0" w:color="auto"/>
              <w:right w:val="single" w:sz="4" w:space="0" w:color="auto"/>
            </w:tcBorders>
            <w:shd w:val="clear" w:color="auto" w:fill="auto"/>
            <w:vAlign w:val="center"/>
          </w:tcPr>
          <w:p w14:paraId="5C811320" w14:textId="77777777" w:rsidR="003E69A5" w:rsidRPr="003F7F6C" w:rsidRDefault="003E69A5" w:rsidP="00D25E0D">
            <w:pPr>
              <w:spacing w:after="0"/>
              <w:rPr>
                <w:rFonts w:eastAsia="Times New Roman" w:cs="Calibri"/>
                <w:color w:val="000000"/>
                <w:sz w:val="18"/>
                <w:szCs w:val="18"/>
                <w:lang w:eastAsia="es-ES"/>
              </w:rPr>
            </w:pPr>
          </w:p>
        </w:tc>
        <w:tc>
          <w:tcPr>
            <w:tcW w:w="1687" w:type="dxa"/>
            <w:tcBorders>
              <w:top w:val="single" w:sz="4" w:space="0" w:color="auto"/>
              <w:left w:val="nil"/>
              <w:bottom w:val="single" w:sz="4" w:space="0" w:color="auto"/>
              <w:right w:val="single" w:sz="4" w:space="0" w:color="auto"/>
            </w:tcBorders>
            <w:shd w:val="clear" w:color="auto" w:fill="auto"/>
            <w:vAlign w:val="center"/>
          </w:tcPr>
          <w:p w14:paraId="5EC78C63"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57C34EE8" w14:textId="77777777" w:rsidTr="00D25E0D">
        <w:trPr>
          <w:trHeight w:val="1265"/>
        </w:trPr>
        <w:tc>
          <w:tcPr>
            <w:tcW w:w="177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4B8476B" w14:textId="77777777" w:rsidR="003E69A5" w:rsidRPr="003F7F6C" w:rsidRDefault="003E69A5" w:rsidP="00D25E0D">
            <w:pPr>
              <w:spacing w:after="0"/>
              <w:jc w:val="center"/>
              <w:rPr>
                <w:rFonts w:eastAsia="Times New Roman" w:cs="Calibri"/>
                <w:color w:val="000000"/>
                <w:sz w:val="18"/>
                <w:szCs w:val="18"/>
                <w:lang w:eastAsia="es-ES"/>
              </w:rPr>
            </w:pPr>
          </w:p>
        </w:tc>
        <w:tc>
          <w:tcPr>
            <w:tcW w:w="4610" w:type="dxa"/>
            <w:tcBorders>
              <w:top w:val="single" w:sz="4" w:space="0" w:color="auto"/>
              <w:left w:val="nil"/>
              <w:bottom w:val="single" w:sz="4" w:space="0" w:color="auto"/>
              <w:right w:val="single" w:sz="4" w:space="0" w:color="auto"/>
            </w:tcBorders>
            <w:shd w:val="clear" w:color="auto" w:fill="auto"/>
            <w:vAlign w:val="center"/>
          </w:tcPr>
          <w:p w14:paraId="6C98A1B8"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cs="Calibri"/>
                <w:sz w:val="18"/>
                <w:szCs w:val="18"/>
              </w:rPr>
              <w:t>Stakeholders are identified and they actively contribute to established participative decision making processes</w:t>
            </w:r>
          </w:p>
        </w:tc>
        <w:tc>
          <w:tcPr>
            <w:tcW w:w="840" w:type="dxa"/>
            <w:tcBorders>
              <w:top w:val="single" w:sz="4" w:space="0" w:color="auto"/>
              <w:left w:val="nil"/>
              <w:bottom w:val="single" w:sz="4" w:space="0" w:color="auto"/>
              <w:right w:val="single" w:sz="4" w:space="0" w:color="auto"/>
            </w:tcBorders>
            <w:shd w:val="clear" w:color="auto" w:fill="auto"/>
            <w:vAlign w:val="center"/>
          </w:tcPr>
          <w:p w14:paraId="3681057B"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3</w:t>
            </w:r>
          </w:p>
        </w:tc>
        <w:tc>
          <w:tcPr>
            <w:tcW w:w="850" w:type="dxa"/>
            <w:tcBorders>
              <w:top w:val="single" w:sz="4" w:space="0" w:color="auto"/>
              <w:left w:val="nil"/>
              <w:bottom w:val="single" w:sz="4" w:space="0" w:color="auto"/>
              <w:right w:val="single" w:sz="4" w:space="0" w:color="auto"/>
            </w:tcBorders>
            <w:shd w:val="clear" w:color="auto" w:fill="auto"/>
            <w:vAlign w:val="center"/>
          </w:tcPr>
          <w:p w14:paraId="0EBC206B"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3</w:t>
            </w:r>
          </w:p>
        </w:tc>
        <w:tc>
          <w:tcPr>
            <w:tcW w:w="2552" w:type="dxa"/>
            <w:tcBorders>
              <w:top w:val="single" w:sz="4" w:space="0" w:color="auto"/>
              <w:left w:val="nil"/>
              <w:bottom w:val="single" w:sz="4" w:space="0" w:color="auto"/>
              <w:right w:val="single" w:sz="4" w:space="0" w:color="auto"/>
            </w:tcBorders>
            <w:shd w:val="clear" w:color="auto" w:fill="auto"/>
            <w:vAlign w:val="center"/>
          </w:tcPr>
          <w:p w14:paraId="62346F74" w14:textId="77777777" w:rsidR="003E69A5" w:rsidRPr="003F7F6C" w:rsidRDefault="003E69A5" w:rsidP="00D25E0D">
            <w:pPr>
              <w:spacing w:after="0"/>
              <w:rPr>
                <w:rFonts w:eastAsia="Times New Roman" w:cs="Calibri"/>
                <w:color w:val="000000"/>
                <w:sz w:val="18"/>
                <w:szCs w:val="18"/>
                <w:lang w:eastAsia="es-ES"/>
              </w:rPr>
            </w:pPr>
          </w:p>
          <w:p w14:paraId="10A49307"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ELUP related stakeholders are members of the CEPOT and participate in debates and decision making</w:t>
            </w:r>
          </w:p>
        </w:tc>
        <w:tc>
          <w:tcPr>
            <w:tcW w:w="2126" w:type="dxa"/>
            <w:tcBorders>
              <w:top w:val="single" w:sz="4" w:space="0" w:color="auto"/>
              <w:left w:val="nil"/>
              <w:bottom w:val="single" w:sz="4" w:space="0" w:color="auto"/>
              <w:right w:val="single" w:sz="4" w:space="0" w:color="auto"/>
            </w:tcBorders>
            <w:shd w:val="clear" w:color="auto" w:fill="auto"/>
            <w:vAlign w:val="center"/>
          </w:tcPr>
          <w:p w14:paraId="14A93DE0"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Incorporate other stakeholders interested in ELUP</w:t>
            </w:r>
          </w:p>
        </w:tc>
        <w:tc>
          <w:tcPr>
            <w:tcW w:w="1687" w:type="dxa"/>
            <w:tcBorders>
              <w:top w:val="single" w:sz="4" w:space="0" w:color="auto"/>
              <w:left w:val="nil"/>
              <w:bottom w:val="single" w:sz="4" w:space="0" w:color="auto"/>
              <w:right w:val="single" w:sz="4" w:space="0" w:color="auto"/>
            </w:tcBorders>
            <w:shd w:val="clear" w:color="auto" w:fill="auto"/>
            <w:vAlign w:val="center"/>
          </w:tcPr>
          <w:p w14:paraId="3BB7750B" w14:textId="77777777" w:rsidR="003E69A5" w:rsidRPr="003F7F6C" w:rsidRDefault="003E69A5" w:rsidP="00D25E0D">
            <w:pPr>
              <w:spacing w:after="0"/>
              <w:rPr>
                <w:rFonts w:eastAsia="Times New Roman" w:cs="Calibri"/>
                <w:color w:val="000000"/>
                <w:sz w:val="18"/>
                <w:szCs w:val="18"/>
                <w:lang w:eastAsia="es-ES"/>
              </w:rPr>
            </w:pPr>
          </w:p>
          <w:p w14:paraId="08120975" w14:textId="77777777" w:rsidR="003E69A5" w:rsidRPr="003F7F6C" w:rsidRDefault="003E69A5" w:rsidP="00D25E0D">
            <w:pPr>
              <w:spacing w:after="0"/>
              <w:rPr>
                <w:rFonts w:eastAsia="Times New Roman" w:cs="Calibri"/>
                <w:color w:val="000000"/>
                <w:sz w:val="18"/>
                <w:szCs w:val="18"/>
                <w:lang w:eastAsia="es-ES"/>
              </w:rPr>
            </w:pPr>
          </w:p>
          <w:p w14:paraId="3701748B" w14:textId="77777777" w:rsidR="003E69A5" w:rsidRPr="003F7F6C" w:rsidRDefault="003E69A5" w:rsidP="00D25E0D">
            <w:pPr>
              <w:spacing w:after="0"/>
              <w:rPr>
                <w:rFonts w:eastAsia="Times New Roman" w:cs="Calibri"/>
                <w:color w:val="000000"/>
                <w:sz w:val="18"/>
                <w:szCs w:val="18"/>
                <w:lang w:eastAsia="es-ES"/>
              </w:rPr>
            </w:pPr>
          </w:p>
          <w:p w14:paraId="4DE0C453" w14:textId="77777777" w:rsidR="003E69A5" w:rsidRPr="003F7F6C" w:rsidRDefault="003E69A5" w:rsidP="00D25E0D">
            <w:pPr>
              <w:spacing w:after="0"/>
              <w:rPr>
                <w:rFonts w:eastAsia="Times New Roman" w:cs="Calibri"/>
                <w:color w:val="000000"/>
                <w:sz w:val="18"/>
                <w:szCs w:val="18"/>
                <w:lang w:eastAsia="es-ES"/>
              </w:rPr>
            </w:pPr>
          </w:p>
          <w:p w14:paraId="42D87719" w14:textId="77777777" w:rsidR="003E69A5" w:rsidRPr="003F7F6C" w:rsidRDefault="003E69A5" w:rsidP="00D25E0D">
            <w:pPr>
              <w:spacing w:after="0"/>
              <w:rPr>
                <w:rFonts w:eastAsia="Times New Roman" w:cs="Calibri"/>
                <w:color w:val="000000"/>
                <w:sz w:val="18"/>
                <w:szCs w:val="18"/>
                <w:lang w:eastAsia="es-ES"/>
              </w:rPr>
            </w:pPr>
          </w:p>
          <w:p w14:paraId="055DD6D9" w14:textId="77777777" w:rsidR="003E69A5" w:rsidRPr="003F7F6C" w:rsidRDefault="003E69A5" w:rsidP="00D25E0D">
            <w:pPr>
              <w:spacing w:after="0"/>
              <w:rPr>
                <w:rFonts w:eastAsia="Times New Roman" w:cs="Calibri"/>
                <w:color w:val="000000"/>
                <w:sz w:val="18"/>
                <w:szCs w:val="18"/>
                <w:lang w:eastAsia="es-ES"/>
              </w:rPr>
            </w:pPr>
          </w:p>
          <w:p w14:paraId="7C07F15C"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32074FC3" w14:textId="77777777" w:rsidTr="00D25E0D">
        <w:trPr>
          <w:trHeight w:val="408"/>
        </w:trPr>
        <w:tc>
          <w:tcPr>
            <w:tcW w:w="1775" w:type="dxa"/>
            <w:tcBorders>
              <w:top w:val="single" w:sz="4" w:space="0" w:color="auto"/>
              <w:left w:val="single" w:sz="4" w:space="0" w:color="auto"/>
              <w:bottom w:val="single" w:sz="4" w:space="0" w:color="auto"/>
              <w:right w:val="single" w:sz="4" w:space="0" w:color="auto"/>
            </w:tcBorders>
            <w:shd w:val="clear" w:color="auto" w:fill="auto"/>
            <w:vAlign w:val="center"/>
          </w:tcPr>
          <w:p w14:paraId="7AB6F71D" w14:textId="77777777" w:rsidR="003E69A5" w:rsidRPr="003F7F6C" w:rsidRDefault="003E69A5" w:rsidP="00D25E0D">
            <w:pPr>
              <w:spacing w:after="0"/>
              <w:jc w:val="center"/>
              <w:rPr>
                <w:rFonts w:eastAsia="Times New Roman" w:cs="Calibri"/>
                <w:color w:val="000000"/>
                <w:sz w:val="18"/>
                <w:szCs w:val="18"/>
                <w:lang w:eastAsia="es-ES"/>
              </w:rPr>
            </w:pPr>
          </w:p>
        </w:tc>
        <w:tc>
          <w:tcPr>
            <w:tcW w:w="4610" w:type="dxa"/>
            <w:tcBorders>
              <w:top w:val="single" w:sz="4" w:space="0" w:color="auto"/>
              <w:left w:val="single" w:sz="4" w:space="0" w:color="auto"/>
              <w:bottom w:val="single" w:sz="4" w:space="0" w:color="auto"/>
              <w:right w:val="single" w:sz="4" w:space="0" w:color="auto"/>
            </w:tcBorders>
            <w:shd w:val="clear" w:color="auto" w:fill="auto"/>
            <w:vAlign w:val="center"/>
          </w:tcPr>
          <w:p w14:paraId="583315C2" w14:textId="77777777" w:rsidR="003E69A5" w:rsidRPr="003F7F6C" w:rsidRDefault="003E69A5" w:rsidP="00D25E0D">
            <w:pPr>
              <w:autoSpaceDE w:val="0"/>
              <w:autoSpaceDN w:val="0"/>
              <w:adjustRightInd w:val="0"/>
              <w:spacing w:after="0"/>
              <w:rPr>
                <w:rFonts w:cs="Calibri"/>
                <w:sz w:val="18"/>
                <w:szCs w:val="18"/>
              </w:rPr>
            </w:pPr>
          </w:p>
        </w:tc>
        <w:tc>
          <w:tcPr>
            <w:tcW w:w="840" w:type="dxa"/>
            <w:tcBorders>
              <w:top w:val="single" w:sz="4" w:space="0" w:color="auto"/>
              <w:left w:val="single" w:sz="4" w:space="0" w:color="auto"/>
              <w:bottom w:val="single" w:sz="4" w:space="0" w:color="auto"/>
              <w:right w:val="single" w:sz="4" w:space="0" w:color="auto"/>
            </w:tcBorders>
            <w:shd w:val="clear" w:color="auto" w:fill="auto"/>
            <w:vAlign w:val="center"/>
          </w:tcPr>
          <w:p w14:paraId="3AD6A7FE"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9</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57F7800E"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8</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14:paraId="4CF88F8C" w14:textId="77777777" w:rsidR="003E69A5" w:rsidRPr="003F7F6C" w:rsidRDefault="003E69A5" w:rsidP="00D25E0D">
            <w:pPr>
              <w:spacing w:after="0"/>
              <w:rPr>
                <w:rFonts w:eastAsia="Times New Roman" w:cs="Calibri"/>
                <w:color w:val="000000"/>
                <w:sz w:val="18"/>
                <w:szCs w:val="18"/>
                <w:lang w:eastAsia="es-ES"/>
              </w:rPr>
            </w:pP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76A7CE5D" w14:textId="77777777" w:rsidR="003E69A5" w:rsidRPr="003F7F6C" w:rsidRDefault="003E69A5" w:rsidP="00D25E0D">
            <w:pPr>
              <w:spacing w:after="0"/>
              <w:rPr>
                <w:rFonts w:eastAsia="Times New Roman" w:cs="Calibri"/>
                <w:color w:val="000000"/>
                <w:sz w:val="18"/>
                <w:szCs w:val="18"/>
                <w:lang w:eastAsia="es-ES"/>
              </w:rPr>
            </w:pPr>
          </w:p>
        </w:tc>
        <w:tc>
          <w:tcPr>
            <w:tcW w:w="1687" w:type="dxa"/>
            <w:tcBorders>
              <w:top w:val="single" w:sz="4" w:space="0" w:color="auto"/>
              <w:left w:val="single" w:sz="4" w:space="0" w:color="auto"/>
              <w:bottom w:val="single" w:sz="4" w:space="0" w:color="auto"/>
              <w:right w:val="single" w:sz="4" w:space="0" w:color="auto"/>
            </w:tcBorders>
            <w:shd w:val="clear" w:color="auto" w:fill="auto"/>
            <w:vAlign w:val="center"/>
          </w:tcPr>
          <w:p w14:paraId="1EA4C431"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0A81F39A" w14:textId="77777777" w:rsidTr="00D25E0D">
        <w:trPr>
          <w:trHeight w:val="416"/>
        </w:trPr>
        <w:tc>
          <w:tcPr>
            <w:tcW w:w="1775" w:type="dxa"/>
            <w:tcBorders>
              <w:top w:val="single" w:sz="4" w:space="0" w:color="auto"/>
              <w:left w:val="single" w:sz="4" w:space="0" w:color="auto"/>
              <w:bottom w:val="single" w:sz="4" w:space="0" w:color="auto"/>
              <w:right w:val="single" w:sz="4" w:space="0" w:color="auto"/>
            </w:tcBorders>
            <w:shd w:val="clear" w:color="auto" w:fill="auto"/>
            <w:vAlign w:val="center"/>
          </w:tcPr>
          <w:p w14:paraId="5D8BBC03" w14:textId="77777777" w:rsidR="003E69A5" w:rsidRPr="003F7F6C" w:rsidRDefault="003E69A5" w:rsidP="00D25E0D">
            <w:pPr>
              <w:spacing w:after="0"/>
              <w:jc w:val="center"/>
              <w:rPr>
                <w:rFonts w:eastAsia="Times New Roman" w:cs="Calibri"/>
                <w:color w:val="000000"/>
                <w:sz w:val="18"/>
                <w:szCs w:val="18"/>
                <w:lang w:eastAsia="es-ES"/>
              </w:rPr>
            </w:pPr>
          </w:p>
        </w:tc>
        <w:tc>
          <w:tcPr>
            <w:tcW w:w="4610" w:type="dxa"/>
            <w:tcBorders>
              <w:top w:val="single" w:sz="4" w:space="0" w:color="auto"/>
              <w:left w:val="nil"/>
              <w:bottom w:val="single" w:sz="4" w:space="0" w:color="auto"/>
              <w:right w:val="single" w:sz="4" w:space="0" w:color="auto"/>
            </w:tcBorders>
            <w:shd w:val="clear" w:color="auto" w:fill="auto"/>
            <w:vAlign w:val="center"/>
          </w:tcPr>
          <w:p w14:paraId="54B8A691" w14:textId="77777777" w:rsidR="003E69A5" w:rsidRPr="003F7F6C" w:rsidRDefault="003E69A5" w:rsidP="00D25E0D">
            <w:pPr>
              <w:autoSpaceDE w:val="0"/>
              <w:autoSpaceDN w:val="0"/>
              <w:adjustRightInd w:val="0"/>
              <w:spacing w:after="0"/>
              <w:rPr>
                <w:rFonts w:cs="Calibri"/>
                <w:sz w:val="18"/>
                <w:szCs w:val="18"/>
              </w:rPr>
            </w:pPr>
          </w:p>
        </w:tc>
        <w:tc>
          <w:tcPr>
            <w:tcW w:w="840" w:type="dxa"/>
            <w:tcBorders>
              <w:top w:val="single" w:sz="4" w:space="0" w:color="auto"/>
              <w:left w:val="nil"/>
              <w:bottom w:val="single" w:sz="4" w:space="0" w:color="auto"/>
              <w:right w:val="single" w:sz="4" w:space="0" w:color="auto"/>
            </w:tcBorders>
            <w:shd w:val="clear" w:color="auto" w:fill="auto"/>
            <w:vAlign w:val="center"/>
          </w:tcPr>
          <w:p w14:paraId="4ADADC98" w14:textId="77777777" w:rsidR="003E69A5" w:rsidRPr="003F7F6C" w:rsidRDefault="003E69A5" w:rsidP="00D25E0D">
            <w:pPr>
              <w:spacing w:after="0"/>
              <w:jc w:val="center"/>
              <w:rPr>
                <w:rFonts w:eastAsia="Times New Roman" w:cs="Calibri"/>
                <w:color w:val="000000"/>
                <w:sz w:val="18"/>
                <w:szCs w:val="18"/>
                <w:lang w:eastAsia="es-ES"/>
              </w:rPr>
            </w:pPr>
          </w:p>
        </w:tc>
        <w:tc>
          <w:tcPr>
            <w:tcW w:w="850" w:type="dxa"/>
            <w:tcBorders>
              <w:top w:val="single" w:sz="4" w:space="0" w:color="auto"/>
              <w:left w:val="nil"/>
              <w:bottom w:val="single" w:sz="4" w:space="0" w:color="auto"/>
              <w:right w:val="single" w:sz="4" w:space="0" w:color="auto"/>
            </w:tcBorders>
            <w:shd w:val="clear" w:color="auto" w:fill="auto"/>
            <w:vAlign w:val="center"/>
          </w:tcPr>
          <w:p w14:paraId="494D9DD7"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88,8%</w:t>
            </w:r>
          </w:p>
        </w:tc>
        <w:tc>
          <w:tcPr>
            <w:tcW w:w="2552" w:type="dxa"/>
            <w:tcBorders>
              <w:top w:val="single" w:sz="4" w:space="0" w:color="auto"/>
              <w:left w:val="nil"/>
              <w:bottom w:val="single" w:sz="4" w:space="0" w:color="auto"/>
              <w:right w:val="single" w:sz="4" w:space="0" w:color="auto"/>
            </w:tcBorders>
            <w:shd w:val="clear" w:color="auto" w:fill="auto"/>
            <w:vAlign w:val="center"/>
          </w:tcPr>
          <w:p w14:paraId="41AD2D27" w14:textId="77777777" w:rsidR="003E69A5" w:rsidRPr="003F7F6C" w:rsidRDefault="003E69A5" w:rsidP="00D25E0D">
            <w:pPr>
              <w:spacing w:after="0"/>
              <w:rPr>
                <w:rFonts w:eastAsia="Times New Roman" w:cs="Calibri"/>
                <w:color w:val="000000"/>
                <w:sz w:val="18"/>
                <w:szCs w:val="18"/>
                <w:lang w:eastAsia="es-ES"/>
              </w:rPr>
            </w:pPr>
          </w:p>
        </w:tc>
        <w:tc>
          <w:tcPr>
            <w:tcW w:w="2126" w:type="dxa"/>
            <w:tcBorders>
              <w:top w:val="single" w:sz="4" w:space="0" w:color="auto"/>
              <w:left w:val="nil"/>
              <w:bottom w:val="single" w:sz="4" w:space="0" w:color="auto"/>
              <w:right w:val="single" w:sz="4" w:space="0" w:color="auto"/>
            </w:tcBorders>
            <w:shd w:val="clear" w:color="auto" w:fill="auto"/>
            <w:vAlign w:val="center"/>
          </w:tcPr>
          <w:p w14:paraId="2BAA0829" w14:textId="77777777" w:rsidR="003E69A5" w:rsidRPr="003F7F6C" w:rsidRDefault="003E69A5" w:rsidP="00D25E0D">
            <w:pPr>
              <w:spacing w:after="0"/>
              <w:rPr>
                <w:rFonts w:eastAsia="Times New Roman" w:cs="Calibri"/>
                <w:color w:val="000000"/>
                <w:sz w:val="18"/>
                <w:szCs w:val="18"/>
                <w:lang w:eastAsia="es-ES"/>
              </w:rPr>
            </w:pPr>
          </w:p>
        </w:tc>
        <w:tc>
          <w:tcPr>
            <w:tcW w:w="1687" w:type="dxa"/>
            <w:tcBorders>
              <w:top w:val="single" w:sz="4" w:space="0" w:color="auto"/>
              <w:left w:val="nil"/>
              <w:bottom w:val="single" w:sz="4" w:space="0" w:color="auto"/>
              <w:right w:val="single" w:sz="4" w:space="0" w:color="auto"/>
            </w:tcBorders>
            <w:shd w:val="clear" w:color="auto" w:fill="auto"/>
            <w:vAlign w:val="center"/>
          </w:tcPr>
          <w:p w14:paraId="3507E250"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45F5214F" w14:textId="77777777" w:rsidTr="00D25E0D">
        <w:trPr>
          <w:trHeight w:val="300"/>
        </w:trPr>
        <w:tc>
          <w:tcPr>
            <w:tcW w:w="14440" w:type="dxa"/>
            <w:gridSpan w:val="7"/>
            <w:tcBorders>
              <w:top w:val="single" w:sz="4" w:space="0" w:color="auto"/>
              <w:left w:val="single" w:sz="4" w:space="0" w:color="auto"/>
              <w:bottom w:val="single" w:sz="4" w:space="0" w:color="auto"/>
              <w:right w:val="single" w:sz="4" w:space="0" w:color="auto"/>
            </w:tcBorders>
            <w:shd w:val="clear" w:color="000000" w:fill="D9D9D9"/>
            <w:vAlign w:val="center"/>
            <w:hideMark/>
          </w:tcPr>
          <w:p w14:paraId="366B1AEF"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 xml:space="preserve">CR 2: Capacities to Generate, Access and Use Information and Knowledge </w:t>
            </w:r>
          </w:p>
        </w:tc>
      </w:tr>
      <w:tr w:rsidR="003E69A5" w:rsidRPr="003F7F6C" w14:paraId="41C3D8D1" w14:textId="77777777" w:rsidTr="00D25E0D">
        <w:trPr>
          <w:trHeight w:val="515"/>
        </w:trPr>
        <w:tc>
          <w:tcPr>
            <w:tcW w:w="177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80BAF69"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cs="Calibri"/>
                <w:sz w:val="18"/>
                <w:szCs w:val="18"/>
              </w:rPr>
              <w:t>Indicator 4: Degree of environmental awareness of stakeholders</w:t>
            </w:r>
          </w:p>
        </w:tc>
        <w:tc>
          <w:tcPr>
            <w:tcW w:w="4610" w:type="dxa"/>
            <w:tcBorders>
              <w:top w:val="single" w:sz="4" w:space="0" w:color="auto"/>
              <w:left w:val="nil"/>
              <w:bottom w:val="single" w:sz="4" w:space="0" w:color="auto"/>
              <w:right w:val="single" w:sz="4" w:space="0" w:color="auto"/>
            </w:tcBorders>
            <w:shd w:val="clear" w:color="auto" w:fill="auto"/>
            <w:vAlign w:val="center"/>
            <w:hideMark/>
          </w:tcPr>
          <w:p w14:paraId="23553593"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Stakeholders are not aware about global</w:t>
            </w:r>
          </w:p>
          <w:p w14:paraId="16F5077F"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environmental issues and their related possible</w:t>
            </w:r>
          </w:p>
          <w:p w14:paraId="512D445D" w14:textId="77777777" w:rsidR="003E69A5" w:rsidRPr="003F7F6C" w:rsidRDefault="003E69A5" w:rsidP="00D25E0D">
            <w:pPr>
              <w:spacing w:after="0"/>
              <w:rPr>
                <w:rFonts w:eastAsia="Times New Roman" w:cs="Calibri"/>
                <w:color w:val="000000"/>
                <w:sz w:val="18"/>
                <w:szCs w:val="18"/>
                <w:lang w:eastAsia="es-ES"/>
              </w:rPr>
            </w:pPr>
            <w:r w:rsidRPr="003F7F6C">
              <w:rPr>
                <w:rFonts w:cs="Calibri"/>
                <w:sz w:val="18"/>
                <w:szCs w:val="18"/>
              </w:rPr>
              <w:t>solutions (MEAs)</w:t>
            </w:r>
          </w:p>
        </w:tc>
        <w:tc>
          <w:tcPr>
            <w:tcW w:w="840" w:type="dxa"/>
            <w:tcBorders>
              <w:top w:val="single" w:sz="4" w:space="0" w:color="auto"/>
              <w:left w:val="nil"/>
              <w:bottom w:val="single" w:sz="4" w:space="0" w:color="auto"/>
              <w:right w:val="single" w:sz="4" w:space="0" w:color="auto"/>
            </w:tcBorders>
            <w:shd w:val="clear" w:color="auto" w:fill="auto"/>
            <w:vAlign w:val="center"/>
            <w:hideMark/>
          </w:tcPr>
          <w:p w14:paraId="50A48A96"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53657E6C"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77AFDE95"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0FAE2CE"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87" w:type="dxa"/>
            <w:tcBorders>
              <w:top w:val="single" w:sz="4" w:space="0" w:color="auto"/>
              <w:left w:val="nil"/>
              <w:bottom w:val="single" w:sz="4" w:space="0" w:color="auto"/>
              <w:right w:val="single" w:sz="4" w:space="0" w:color="auto"/>
            </w:tcBorders>
            <w:shd w:val="clear" w:color="auto" w:fill="auto"/>
            <w:vAlign w:val="center"/>
            <w:hideMark/>
          </w:tcPr>
          <w:p w14:paraId="23DBC93C"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11D1C825" w14:textId="77777777" w:rsidTr="00D25E0D">
        <w:trPr>
          <w:trHeight w:val="544"/>
        </w:trPr>
        <w:tc>
          <w:tcPr>
            <w:tcW w:w="177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161917C" w14:textId="77777777" w:rsidR="003E69A5" w:rsidRPr="003F7F6C" w:rsidRDefault="003E69A5" w:rsidP="00D25E0D">
            <w:pPr>
              <w:spacing w:after="0"/>
              <w:jc w:val="center"/>
              <w:rPr>
                <w:rFonts w:eastAsia="Times New Roman" w:cs="Calibri"/>
                <w:color w:val="000000"/>
                <w:sz w:val="18"/>
                <w:szCs w:val="18"/>
                <w:lang w:eastAsia="es-ES"/>
              </w:rPr>
            </w:pPr>
          </w:p>
        </w:tc>
        <w:tc>
          <w:tcPr>
            <w:tcW w:w="4610" w:type="dxa"/>
            <w:tcBorders>
              <w:top w:val="single" w:sz="4" w:space="0" w:color="auto"/>
              <w:left w:val="nil"/>
              <w:bottom w:val="single" w:sz="4" w:space="0" w:color="auto"/>
              <w:right w:val="single" w:sz="4" w:space="0" w:color="auto"/>
            </w:tcBorders>
            <w:shd w:val="clear" w:color="auto" w:fill="auto"/>
            <w:vAlign w:val="center"/>
          </w:tcPr>
          <w:p w14:paraId="6717076E"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cs="Calibri"/>
                <w:sz w:val="18"/>
                <w:szCs w:val="18"/>
              </w:rPr>
              <w:t>Stakeholders are aware about global environmental issues but not about the possible solutions (MEAs)</w:t>
            </w:r>
          </w:p>
        </w:tc>
        <w:tc>
          <w:tcPr>
            <w:tcW w:w="840" w:type="dxa"/>
            <w:tcBorders>
              <w:top w:val="single" w:sz="4" w:space="0" w:color="auto"/>
              <w:left w:val="nil"/>
              <w:bottom w:val="single" w:sz="4" w:space="0" w:color="auto"/>
              <w:right w:val="single" w:sz="4" w:space="0" w:color="auto"/>
            </w:tcBorders>
            <w:shd w:val="clear" w:color="auto" w:fill="auto"/>
            <w:vAlign w:val="center"/>
          </w:tcPr>
          <w:p w14:paraId="7984E871"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1</w:t>
            </w:r>
          </w:p>
        </w:tc>
        <w:tc>
          <w:tcPr>
            <w:tcW w:w="850" w:type="dxa"/>
            <w:tcBorders>
              <w:top w:val="single" w:sz="4" w:space="0" w:color="auto"/>
              <w:left w:val="nil"/>
              <w:bottom w:val="single" w:sz="4" w:space="0" w:color="auto"/>
              <w:right w:val="single" w:sz="4" w:space="0" w:color="auto"/>
            </w:tcBorders>
            <w:shd w:val="clear" w:color="auto" w:fill="auto"/>
            <w:vAlign w:val="center"/>
          </w:tcPr>
          <w:p w14:paraId="7AD61CF3" w14:textId="77777777" w:rsidR="003E69A5" w:rsidRPr="003F7F6C" w:rsidRDefault="003E69A5" w:rsidP="00D25E0D">
            <w:pPr>
              <w:spacing w:after="0"/>
              <w:rPr>
                <w:rFonts w:eastAsia="Times New Roman" w:cs="Calibri"/>
                <w:color w:val="000000"/>
                <w:sz w:val="18"/>
                <w:szCs w:val="18"/>
                <w:lang w:eastAsia="es-ES"/>
              </w:rPr>
            </w:pPr>
          </w:p>
        </w:tc>
        <w:tc>
          <w:tcPr>
            <w:tcW w:w="2552" w:type="dxa"/>
            <w:tcBorders>
              <w:top w:val="single" w:sz="4" w:space="0" w:color="auto"/>
              <w:left w:val="nil"/>
              <w:bottom w:val="single" w:sz="4" w:space="0" w:color="auto"/>
              <w:right w:val="single" w:sz="4" w:space="0" w:color="auto"/>
            </w:tcBorders>
            <w:shd w:val="clear" w:color="auto" w:fill="auto"/>
            <w:vAlign w:val="center"/>
          </w:tcPr>
          <w:p w14:paraId="032197AF" w14:textId="77777777" w:rsidR="003E69A5" w:rsidRPr="003F7F6C" w:rsidRDefault="003E69A5" w:rsidP="00D25E0D">
            <w:pPr>
              <w:spacing w:after="0"/>
              <w:rPr>
                <w:rFonts w:eastAsia="Times New Roman" w:cs="Calibri"/>
                <w:color w:val="000000"/>
                <w:sz w:val="18"/>
                <w:szCs w:val="18"/>
                <w:lang w:eastAsia="es-ES"/>
              </w:rPr>
            </w:pPr>
          </w:p>
        </w:tc>
        <w:tc>
          <w:tcPr>
            <w:tcW w:w="2126" w:type="dxa"/>
            <w:tcBorders>
              <w:top w:val="single" w:sz="4" w:space="0" w:color="auto"/>
              <w:left w:val="nil"/>
              <w:bottom w:val="single" w:sz="4" w:space="0" w:color="auto"/>
              <w:right w:val="single" w:sz="4" w:space="0" w:color="auto"/>
            </w:tcBorders>
            <w:shd w:val="clear" w:color="auto" w:fill="auto"/>
            <w:vAlign w:val="center"/>
          </w:tcPr>
          <w:p w14:paraId="3AC4BC5D" w14:textId="77777777" w:rsidR="003E69A5" w:rsidRPr="003F7F6C" w:rsidRDefault="003E69A5" w:rsidP="00D25E0D">
            <w:pPr>
              <w:spacing w:after="0"/>
              <w:rPr>
                <w:rFonts w:eastAsia="Times New Roman" w:cs="Calibri"/>
                <w:color w:val="000000"/>
                <w:sz w:val="18"/>
                <w:szCs w:val="18"/>
                <w:lang w:eastAsia="es-ES"/>
              </w:rPr>
            </w:pPr>
          </w:p>
        </w:tc>
        <w:tc>
          <w:tcPr>
            <w:tcW w:w="1687" w:type="dxa"/>
            <w:tcBorders>
              <w:top w:val="single" w:sz="4" w:space="0" w:color="auto"/>
              <w:left w:val="nil"/>
              <w:bottom w:val="single" w:sz="4" w:space="0" w:color="auto"/>
              <w:right w:val="single" w:sz="4" w:space="0" w:color="auto"/>
            </w:tcBorders>
            <w:shd w:val="clear" w:color="auto" w:fill="auto"/>
            <w:vAlign w:val="center"/>
          </w:tcPr>
          <w:p w14:paraId="287B0093"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28130625" w14:textId="77777777" w:rsidTr="00D25E0D">
        <w:trPr>
          <w:trHeight w:val="70"/>
        </w:trPr>
        <w:tc>
          <w:tcPr>
            <w:tcW w:w="177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7F7E485" w14:textId="77777777" w:rsidR="003E69A5" w:rsidRPr="003F7F6C" w:rsidRDefault="003E69A5" w:rsidP="00D25E0D">
            <w:pPr>
              <w:spacing w:after="0"/>
              <w:jc w:val="center"/>
              <w:rPr>
                <w:rFonts w:eastAsia="Times New Roman" w:cs="Calibri"/>
                <w:color w:val="000000"/>
                <w:sz w:val="18"/>
                <w:szCs w:val="18"/>
                <w:lang w:eastAsia="es-ES"/>
              </w:rPr>
            </w:pPr>
          </w:p>
        </w:tc>
        <w:tc>
          <w:tcPr>
            <w:tcW w:w="4610" w:type="dxa"/>
            <w:tcBorders>
              <w:top w:val="single" w:sz="4" w:space="0" w:color="auto"/>
              <w:left w:val="nil"/>
              <w:bottom w:val="single" w:sz="4" w:space="0" w:color="auto"/>
              <w:right w:val="single" w:sz="4" w:space="0" w:color="auto"/>
            </w:tcBorders>
            <w:shd w:val="clear" w:color="auto" w:fill="auto"/>
            <w:vAlign w:val="center"/>
          </w:tcPr>
          <w:p w14:paraId="3C069B2F"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cs="Calibri"/>
                <w:sz w:val="18"/>
                <w:szCs w:val="18"/>
              </w:rPr>
              <w:t>Stakeholders are aware about global environmental issues and the possible solutions but do not know how to participate</w:t>
            </w:r>
          </w:p>
        </w:tc>
        <w:tc>
          <w:tcPr>
            <w:tcW w:w="840" w:type="dxa"/>
            <w:tcBorders>
              <w:top w:val="single" w:sz="4" w:space="0" w:color="auto"/>
              <w:left w:val="nil"/>
              <w:bottom w:val="single" w:sz="4" w:space="0" w:color="auto"/>
              <w:right w:val="single" w:sz="4" w:space="0" w:color="auto"/>
            </w:tcBorders>
            <w:shd w:val="clear" w:color="auto" w:fill="auto"/>
            <w:vAlign w:val="center"/>
          </w:tcPr>
          <w:p w14:paraId="647C1DE2"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2</w:t>
            </w:r>
          </w:p>
        </w:tc>
        <w:tc>
          <w:tcPr>
            <w:tcW w:w="850" w:type="dxa"/>
            <w:tcBorders>
              <w:top w:val="single" w:sz="4" w:space="0" w:color="auto"/>
              <w:left w:val="nil"/>
              <w:bottom w:val="single" w:sz="4" w:space="0" w:color="auto"/>
              <w:right w:val="single" w:sz="4" w:space="0" w:color="auto"/>
            </w:tcBorders>
            <w:shd w:val="clear" w:color="auto" w:fill="auto"/>
            <w:vAlign w:val="center"/>
          </w:tcPr>
          <w:p w14:paraId="08934FB5" w14:textId="77777777" w:rsidR="003E69A5" w:rsidRPr="003F7F6C" w:rsidRDefault="003E69A5" w:rsidP="00D25E0D">
            <w:pPr>
              <w:spacing w:after="0"/>
              <w:rPr>
                <w:rFonts w:eastAsia="Times New Roman" w:cs="Calibri"/>
                <w:color w:val="000000"/>
                <w:sz w:val="18"/>
                <w:szCs w:val="18"/>
                <w:lang w:eastAsia="es-ES"/>
              </w:rPr>
            </w:pPr>
          </w:p>
        </w:tc>
        <w:tc>
          <w:tcPr>
            <w:tcW w:w="2552" w:type="dxa"/>
            <w:tcBorders>
              <w:top w:val="single" w:sz="4" w:space="0" w:color="auto"/>
              <w:left w:val="nil"/>
              <w:bottom w:val="single" w:sz="4" w:space="0" w:color="auto"/>
              <w:right w:val="single" w:sz="4" w:space="0" w:color="auto"/>
            </w:tcBorders>
            <w:shd w:val="clear" w:color="auto" w:fill="auto"/>
            <w:vAlign w:val="center"/>
          </w:tcPr>
          <w:p w14:paraId="166575C0" w14:textId="77777777" w:rsidR="003E69A5" w:rsidRPr="003F7F6C" w:rsidRDefault="003E69A5" w:rsidP="00D25E0D">
            <w:pPr>
              <w:spacing w:after="0"/>
              <w:rPr>
                <w:rFonts w:eastAsia="Times New Roman" w:cs="Calibri"/>
                <w:color w:val="000000"/>
                <w:sz w:val="18"/>
                <w:szCs w:val="18"/>
                <w:lang w:eastAsia="es-ES"/>
              </w:rPr>
            </w:pPr>
          </w:p>
        </w:tc>
        <w:tc>
          <w:tcPr>
            <w:tcW w:w="2126" w:type="dxa"/>
            <w:tcBorders>
              <w:top w:val="single" w:sz="4" w:space="0" w:color="auto"/>
              <w:left w:val="nil"/>
              <w:bottom w:val="single" w:sz="4" w:space="0" w:color="auto"/>
              <w:right w:val="single" w:sz="4" w:space="0" w:color="auto"/>
            </w:tcBorders>
            <w:shd w:val="clear" w:color="auto" w:fill="auto"/>
            <w:vAlign w:val="center"/>
          </w:tcPr>
          <w:p w14:paraId="4D62F38E" w14:textId="77777777" w:rsidR="003E69A5" w:rsidRPr="003F7F6C" w:rsidRDefault="003E69A5" w:rsidP="00D25E0D">
            <w:pPr>
              <w:spacing w:after="0"/>
              <w:rPr>
                <w:rFonts w:eastAsia="Times New Roman" w:cs="Calibri"/>
                <w:color w:val="000000"/>
                <w:sz w:val="18"/>
                <w:szCs w:val="18"/>
                <w:lang w:eastAsia="es-ES"/>
              </w:rPr>
            </w:pPr>
          </w:p>
        </w:tc>
        <w:tc>
          <w:tcPr>
            <w:tcW w:w="1687" w:type="dxa"/>
            <w:tcBorders>
              <w:top w:val="single" w:sz="4" w:space="0" w:color="auto"/>
              <w:left w:val="nil"/>
              <w:bottom w:val="single" w:sz="4" w:space="0" w:color="auto"/>
              <w:right w:val="single" w:sz="4" w:space="0" w:color="auto"/>
            </w:tcBorders>
            <w:shd w:val="clear" w:color="auto" w:fill="auto"/>
            <w:vAlign w:val="center"/>
          </w:tcPr>
          <w:p w14:paraId="68268040"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06238EE5" w14:textId="77777777" w:rsidTr="00D25E0D">
        <w:trPr>
          <w:trHeight w:val="987"/>
        </w:trPr>
        <w:tc>
          <w:tcPr>
            <w:tcW w:w="177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CDF8CAF" w14:textId="77777777" w:rsidR="003E69A5" w:rsidRPr="003F7F6C" w:rsidRDefault="003E69A5" w:rsidP="00D25E0D">
            <w:pPr>
              <w:spacing w:after="0"/>
              <w:jc w:val="center"/>
              <w:rPr>
                <w:rFonts w:eastAsia="Times New Roman" w:cs="Calibri"/>
                <w:color w:val="000000"/>
                <w:sz w:val="18"/>
                <w:szCs w:val="18"/>
                <w:lang w:eastAsia="es-ES"/>
              </w:rPr>
            </w:pPr>
          </w:p>
        </w:tc>
        <w:tc>
          <w:tcPr>
            <w:tcW w:w="4610" w:type="dxa"/>
            <w:tcBorders>
              <w:top w:val="single" w:sz="4" w:space="0" w:color="auto"/>
              <w:left w:val="nil"/>
              <w:bottom w:val="single" w:sz="4" w:space="0" w:color="auto"/>
              <w:right w:val="single" w:sz="4" w:space="0" w:color="auto"/>
            </w:tcBorders>
            <w:shd w:val="clear" w:color="auto" w:fill="auto"/>
            <w:vAlign w:val="center"/>
          </w:tcPr>
          <w:p w14:paraId="27250E36"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Stakeholders are aware about global environmental issues and are actively participating in the implementation of related solutions</w:t>
            </w:r>
          </w:p>
        </w:tc>
        <w:tc>
          <w:tcPr>
            <w:tcW w:w="840" w:type="dxa"/>
            <w:tcBorders>
              <w:top w:val="single" w:sz="4" w:space="0" w:color="auto"/>
              <w:left w:val="nil"/>
              <w:bottom w:val="single" w:sz="4" w:space="0" w:color="auto"/>
              <w:right w:val="single" w:sz="4" w:space="0" w:color="auto"/>
            </w:tcBorders>
            <w:shd w:val="clear" w:color="auto" w:fill="auto"/>
            <w:vAlign w:val="center"/>
          </w:tcPr>
          <w:p w14:paraId="539EF22D"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3</w:t>
            </w:r>
          </w:p>
        </w:tc>
        <w:tc>
          <w:tcPr>
            <w:tcW w:w="850" w:type="dxa"/>
            <w:tcBorders>
              <w:top w:val="single" w:sz="4" w:space="0" w:color="auto"/>
              <w:left w:val="nil"/>
              <w:bottom w:val="single" w:sz="4" w:space="0" w:color="auto"/>
              <w:right w:val="single" w:sz="4" w:space="0" w:color="auto"/>
            </w:tcBorders>
            <w:shd w:val="clear" w:color="auto" w:fill="auto"/>
            <w:vAlign w:val="center"/>
          </w:tcPr>
          <w:p w14:paraId="13BD89E8"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3</w:t>
            </w:r>
          </w:p>
        </w:tc>
        <w:tc>
          <w:tcPr>
            <w:tcW w:w="2552" w:type="dxa"/>
            <w:tcBorders>
              <w:top w:val="single" w:sz="4" w:space="0" w:color="auto"/>
              <w:left w:val="nil"/>
              <w:bottom w:val="single" w:sz="4" w:space="0" w:color="auto"/>
              <w:right w:val="single" w:sz="4" w:space="0" w:color="auto"/>
            </w:tcBorders>
            <w:shd w:val="clear" w:color="auto" w:fill="auto"/>
            <w:vAlign w:val="center"/>
          </w:tcPr>
          <w:p w14:paraId="69604FC9"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Provincial ELUP law. Participatory space exists.</w:t>
            </w:r>
          </w:p>
        </w:tc>
        <w:tc>
          <w:tcPr>
            <w:tcW w:w="2126" w:type="dxa"/>
            <w:tcBorders>
              <w:top w:val="single" w:sz="4" w:space="0" w:color="auto"/>
              <w:left w:val="nil"/>
              <w:bottom w:val="single" w:sz="4" w:space="0" w:color="auto"/>
              <w:right w:val="single" w:sz="4" w:space="0" w:color="auto"/>
            </w:tcBorders>
            <w:shd w:val="clear" w:color="auto" w:fill="auto"/>
            <w:vAlign w:val="center"/>
          </w:tcPr>
          <w:p w14:paraId="2EE1CF4D"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Improve access to participatory mechanisms</w:t>
            </w:r>
          </w:p>
        </w:tc>
        <w:tc>
          <w:tcPr>
            <w:tcW w:w="1687" w:type="dxa"/>
            <w:tcBorders>
              <w:top w:val="single" w:sz="4" w:space="0" w:color="auto"/>
              <w:left w:val="nil"/>
              <w:bottom w:val="single" w:sz="4" w:space="0" w:color="auto"/>
              <w:right w:val="single" w:sz="4" w:space="0" w:color="auto"/>
            </w:tcBorders>
            <w:shd w:val="clear" w:color="auto" w:fill="auto"/>
            <w:vAlign w:val="center"/>
          </w:tcPr>
          <w:p w14:paraId="27DA8B6D" w14:textId="77777777" w:rsidR="003E69A5" w:rsidRPr="003F7F6C" w:rsidRDefault="003E69A5" w:rsidP="00D25E0D">
            <w:pPr>
              <w:spacing w:after="0"/>
              <w:rPr>
                <w:rFonts w:eastAsia="Times New Roman" w:cs="Calibri"/>
                <w:color w:val="000000"/>
                <w:sz w:val="18"/>
                <w:szCs w:val="18"/>
                <w:lang w:val="es-PY" w:eastAsia="es-ES"/>
              </w:rPr>
            </w:pPr>
            <w:r w:rsidRPr="003F7F6C">
              <w:rPr>
                <w:rFonts w:eastAsia="Times New Roman" w:cs="Calibri"/>
                <w:color w:val="000000"/>
                <w:sz w:val="18"/>
                <w:szCs w:val="18"/>
                <w:lang w:val="es-PY" w:eastAsia="es-ES"/>
              </w:rPr>
              <w:t>2</w:t>
            </w:r>
          </w:p>
        </w:tc>
      </w:tr>
      <w:tr w:rsidR="003E69A5" w:rsidRPr="003F7F6C" w14:paraId="2E63CA40" w14:textId="77777777" w:rsidTr="00D25E0D">
        <w:trPr>
          <w:trHeight w:val="300"/>
        </w:trPr>
        <w:tc>
          <w:tcPr>
            <w:tcW w:w="177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D2DA6CF"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Indicator 5: Access and sharing of environmental information by stakeholders</w:t>
            </w:r>
          </w:p>
        </w:tc>
        <w:tc>
          <w:tcPr>
            <w:tcW w:w="46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650ED7"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 The environmental information needs are not</w:t>
            </w:r>
          </w:p>
          <w:p w14:paraId="6EF73E6C"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identified and the information management</w:t>
            </w:r>
          </w:p>
          <w:p w14:paraId="1E2299DE"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infrastructure is inadequate</w:t>
            </w:r>
          </w:p>
        </w:tc>
        <w:tc>
          <w:tcPr>
            <w:tcW w:w="8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0758B07"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86359EB"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7D6610"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3C1378D"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7CD77D"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59BD725E" w14:textId="77777777" w:rsidTr="00D25E0D">
        <w:trPr>
          <w:trHeight w:val="300"/>
        </w:trPr>
        <w:tc>
          <w:tcPr>
            <w:tcW w:w="1775" w:type="dxa"/>
            <w:vMerge/>
            <w:tcBorders>
              <w:top w:val="single" w:sz="4" w:space="0" w:color="auto"/>
              <w:left w:val="single" w:sz="4" w:space="0" w:color="auto"/>
              <w:bottom w:val="single" w:sz="4" w:space="0" w:color="auto"/>
              <w:right w:val="single" w:sz="4" w:space="0" w:color="auto"/>
            </w:tcBorders>
            <w:vAlign w:val="center"/>
            <w:hideMark/>
          </w:tcPr>
          <w:p w14:paraId="4552CC32" w14:textId="77777777" w:rsidR="003E69A5" w:rsidRPr="003F7F6C" w:rsidRDefault="003E69A5" w:rsidP="00D25E0D">
            <w:pPr>
              <w:autoSpaceDE w:val="0"/>
              <w:autoSpaceDN w:val="0"/>
              <w:adjustRightInd w:val="0"/>
              <w:spacing w:after="0"/>
              <w:rPr>
                <w:rFonts w:cs="Calibri"/>
                <w:sz w:val="18"/>
                <w:szCs w:val="18"/>
              </w:rPr>
            </w:pPr>
          </w:p>
        </w:tc>
        <w:tc>
          <w:tcPr>
            <w:tcW w:w="4610" w:type="dxa"/>
            <w:tcBorders>
              <w:top w:val="single" w:sz="4" w:space="0" w:color="auto"/>
              <w:left w:val="nil"/>
              <w:bottom w:val="single" w:sz="4" w:space="0" w:color="auto"/>
              <w:right w:val="single" w:sz="4" w:space="0" w:color="auto"/>
            </w:tcBorders>
            <w:shd w:val="clear" w:color="auto" w:fill="auto"/>
            <w:vAlign w:val="center"/>
            <w:hideMark/>
          </w:tcPr>
          <w:p w14:paraId="147076EE"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 The environmental information needs are identified but the information management infrastructure is inadequate</w:t>
            </w:r>
          </w:p>
        </w:tc>
        <w:tc>
          <w:tcPr>
            <w:tcW w:w="840" w:type="dxa"/>
            <w:tcBorders>
              <w:top w:val="single" w:sz="4" w:space="0" w:color="auto"/>
              <w:left w:val="nil"/>
              <w:bottom w:val="single" w:sz="4" w:space="0" w:color="auto"/>
              <w:right w:val="single" w:sz="4" w:space="0" w:color="auto"/>
            </w:tcBorders>
            <w:shd w:val="clear" w:color="auto" w:fill="auto"/>
            <w:vAlign w:val="center"/>
            <w:hideMark/>
          </w:tcPr>
          <w:p w14:paraId="398F36FE"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463D8065"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737F87"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29F039E8"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87" w:type="dxa"/>
            <w:tcBorders>
              <w:top w:val="single" w:sz="4" w:space="0" w:color="auto"/>
              <w:left w:val="nil"/>
              <w:bottom w:val="single" w:sz="4" w:space="0" w:color="auto"/>
              <w:right w:val="single" w:sz="4" w:space="0" w:color="auto"/>
            </w:tcBorders>
            <w:shd w:val="clear" w:color="auto" w:fill="auto"/>
            <w:vAlign w:val="center"/>
            <w:hideMark/>
          </w:tcPr>
          <w:p w14:paraId="7FEA4747"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73D5DF70" w14:textId="77777777" w:rsidTr="00D25E0D">
        <w:trPr>
          <w:trHeight w:val="300"/>
        </w:trPr>
        <w:tc>
          <w:tcPr>
            <w:tcW w:w="1775" w:type="dxa"/>
            <w:vMerge/>
            <w:tcBorders>
              <w:top w:val="single" w:sz="4" w:space="0" w:color="auto"/>
              <w:left w:val="single" w:sz="4" w:space="0" w:color="auto"/>
              <w:bottom w:val="single" w:sz="4" w:space="0" w:color="auto"/>
              <w:right w:val="single" w:sz="4" w:space="0" w:color="auto"/>
            </w:tcBorders>
            <w:vAlign w:val="center"/>
            <w:hideMark/>
          </w:tcPr>
          <w:p w14:paraId="53D9587D" w14:textId="77777777" w:rsidR="003E69A5" w:rsidRPr="003F7F6C" w:rsidRDefault="003E69A5" w:rsidP="00D25E0D">
            <w:pPr>
              <w:autoSpaceDE w:val="0"/>
              <w:autoSpaceDN w:val="0"/>
              <w:adjustRightInd w:val="0"/>
              <w:spacing w:after="0"/>
              <w:rPr>
                <w:rFonts w:cs="Calibri"/>
                <w:sz w:val="18"/>
                <w:szCs w:val="18"/>
              </w:rPr>
            </w:pPr>
          </w:p>
        </w:tc>
        <w:tc>
          <w:tcPr>
            <w:tcW w:w="4610" w:type="dxa"/>
            <w:tcBorders>
              <w:top w:val="single" w:sz="4" w:space="0" w:color="auto"/>
              <w:left w:val="nil"/>
              <w:bottom w:val="single" w:sz="4" w:space="0" w:color="auto"/>
              <w:right w:val="single" w:sz="4" w:space="0" w:color="auto"/>
            </w:tcBorders>
            <w:shd w:val="clear" w:color="auto" w:fill="auto"/>
            <w:vAlign w:val="center"/>
            <w:hideMark/>
          </w:tcPr>
          <w:p w14:paraId="5424932B"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 The environmental information is partially available and shared among stakeholders but is not covering all focal areas and/or the information management infrastructure to manage and give information access to the public is limited</w:t>
            </w:r>
          </w:p>
        </w:tc>
        <w:tc>
          <w:tcPr>
            <w:tcW w:w="840" w:type="dxa"/>
            <w:tcBorders>
              <w:top w:val="single" w:sz="4" w:space="0" w:color="auto"/>
              <w:left w:val="nil"/>
              <w:bottom w:val="single" w:sz="4" w:space="0" w:color="auto"/>
              <w:right w:val="single" w:sz="4" w:space="0" w:color="auto"/>
            </w:tcBorders>
            <w:shd w:val="clear" w:color="auto" w:fill="auto"/>
            <w:vAlign w:val="center"/>
            <w:hideMark/>
          </w:tcPr>
          <w:p w14:paraId="1A2EB7B5"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0D4A617D"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798ABDDE"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Information exists but is disperse, must be organized and systematized and disseminated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5AA2D619" w14:textId="77777777" w:rsidR="003E69A5" w:rsidRPr="003F7F6C" w:rsidRDefault="003E69A5" w:rsidP="00D25E0D">
            <w:pPr>
              <w:spacing w:after="0"/>
              <w:rPr>
                <w:rFonts w:eastAsia="Times New Roman" w:cs="Calibri"/>
                <w:color w:val="000000"/>
                <w:sz w:val="18"/>
                <w:szCs w:val="18"/>
                <w:lang w:val="es-PY" w:eastAsia="es-ES"/>
              </w:rPr>
            </w:pPr>
            <w:r w:rsidRPr="003F7F6C">
              <w:rPr>
                <w:rFonts w:eastAsia="Times New Roman" w:cs="Calibri"/>
                <w:color w:val="000000"/>
                <w:sz w:val="18"/>
                <w:szCs w:val="18"/>
                <w:lang w:eastAsia="es-ES"/>
              </w:rPr>
              <w:t> </w:t>
            </w:r>
            <w:r w:rsidRPr="003F7F6C">
              <w:rPr>
                <w:rFonts w:eastAsia="Times New Roman" w:cs="Calibri"/>
                <w:color w:val="000000"/>
                <w:sz w:val="18"/>
                <w:szCs w:val="18"/>
                <w:lang w:val="es-PY" w:eastAsia="es-ES"/>
              </w:rPr>
              <w:t>Organize and systematize information</w:t>
            </w:r>
          </w:p>
        </w:tc>
        <w:tc>
          <w:tcPr>
            <w:tcW w:w="1687" w:type="dxa"/>
            <w:tcBorders>
              <w:top w:val="single" w:sz="4" w:space="0" w:color="auto"/>
              <w:left w:val="nil"/>
              <w:bottom w:val="single" w:sz="4" w:space="0" w:color="auto"/>
              <w:right w:val="single" w:sz="4" w:space="0" w:color="auto"/>
            </w:tcBorders>
            <w:shd w:val="clear" w:color="auto" w:fill="auto"/>
            <w:vAlign w:val="center"/>
            <w:hideMark/>
          </w:tcPr>
          <w:p w14:paraId="33FC5F04"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val="es-PY" w:eastAsia="es-ES"/>
              </w:rPr>
              <w:t> </w:t>
            </w:r>
            <w:r w:rsidRPr="003F7F6C">
              <w:rPr>
                <w:rFonts w:eastAsia="Times New Roman" w:cs="Calibri"/>
                <w:color w:val="000000"/>
                <w:sz w:val="18"/>
                <w:szCs w:val="18"/>
                <w:lang w:eastAsia="es-ES"/>
              </w:rPr>
              <w:t>2</w:t>
            </w:r>
          </w:p>
        </w:tc>
      </w:tr>
      <w:tr w:rsidR="003E69A5" w:rsidRPr="003F7F6C" w14:paraId="5595CF52" w14:textId="77777777" w:rsidTr="00D25E0D">
        <w:trPr>
          <w:trHeight w:val="300"/>
        </w:trPr>
        <w:tc>
          <w:tcPr>
            <w:tcW w:w="1775" w:type="dxa"/>
            <w:vMerge/>
            <w:tcBorders>
              <w:top w:val="single" w:sz="4" w:space="0" w:color="auto"/>
              <w:left w:val="single" w:sz="4" w:space="0" w:color="auto"/>
              <w:bottom w:val="single" w:sz="4" w:space="0" w:color="auto"/>
              <w:right w:val="single" w:sz="4" w:space="0" w:color="auto"/>
            </w:tcBorders>
            <w:vAlign w:val="center"/>
            <w:hideMark/>
          </w:tcPr>
          <w:p w14:paraId="6EE9B45C" w14:textId="77777777" w:rsidR="003E69A5" w:rsidRPr="003F7F6C" w:rsidRDefault="003E69A5" w:rsidP="00D25E0D">
            <w:pPr>
              <w:spacing w:after="0"/>
              <w:rPr>
                <w:rFonts w:eastAsia="Times New Roman" w:cs="Calibri"/>
                <w:color w:val="000000"/>
                <w:sz w:val="18"/>
                <w:szCs w:val="18"/>
                <w:lang w:eastAsia="es-ES"/>
              </w:rPr>
            </w:pPr>
          </w:p>
        </w:tc>
        <w:tc>
          <w:tcPr>
            <w:tcW w:w="4610" w:type="dxa"/>
            <w:tcBorders>
              <w:top w:val="single" w:sz="4" w:space="0" w:color="auto"/>
              <w:left w:val="nil"/>
              <w:bottom w:val="single" w:sz="4" w:space="0" w:color="auto"/>
              <w:right w:val="single" w:sz="4" w:space="0" w:color="auto"/>
            </w:tcBorders>
            <w:shd w:val="clear" w:color="auto" w:fill="auto"/>
            <w:vAlign w:val="center"/>
            <w:hideMark/>
          </w:tcPr>
          <w:p w14:paraId="16B92430"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Comprehensive environmental information is</w:t>
            </w:r>
          </w:p>
          <w:p w14:paraId="57ADF52A"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cs="Calibri"/>
                <w:sz w:val="18"/>
                <w:szCs w:val="18"/>
              </w:rPr>
              <w:t>available and shared through an adequate information management infrastructure</w:t>
            </w:r>
          </w:p>
        </w:tc>
        <w:tc>
          <w:tcPr>
            <w:tcW w:w="840" w:type="dxa"/>
            <w:tcBorders>
              <w:top w:val="single" w:sz="4" w:space="0" w:color="auto"/>
              <w:left w:val="nil"/>
              <w:bottom w:val="single" w:sz="4" w:space="0" w:color="auto"/>
              <w:right w:val="single" w:sz="4" w:space="0" w:color="auto"/>
            </w:tcBorders>
            <w:shd w:val="clear" w:color="auto" w:fill="auto"/>
            <w:vAlign w:val="center"/>
            <w:hideMark/>
          </w:tcPr>
          <w:p w14:paraId="47A34125"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3</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5D071011"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73003E08"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6B589B49"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87" w:type="dxa"/>
            <w:tcBorders>
              <w:top w:val="single" w:sz="4" w:space="0" w:color="auto"/>
              <w:left w:val="nil"/>
              <w:bottom w:val="single" w:sz="4" w:space="0" w:color="auto"/>
              <w:right w:val="single" w:sz="4" w:space="0" w:color="auto"/>
            </w:tcBorders>
            <w:shd w:val="clear" w:color="auto" w:fill="auto"/>
            <w:vAlign w:val="center"/>
            <w:hideMark/>
          </w:tcPr>
          <w:p w14:paraId="414A2C64"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21C8376D" w14:textId="77777777" w:rsidTr="00D25E0D">
        <w:trPr>
          <w:trHeight w:val="300"/>
        </w:trPr>
        <w:tc>
          <w:tcPr>
            <w:tcW w:w="177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F3F5234"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cs="Calibri"/>
                <w:sz w:val="18"/>
                <w:szCs w:val="18"/>
              </w:rPr>
              <w:t>Indicator 6: Existence of environmental education programmes</w:t>
            </w:r>
          </w:p>
        </w:tc>
        <w:tc>
          <w:tcPr>
            <w:tcW w:w="4610" w:type="dxa"/>
            <w:tcBorders>
              <w:top w:val="single" w:sz="4" w:space="0" w:color="auto"/>
              <w:left w:val="nil"/>
              <w:bottom w:val="single" w:sz="4" w:space="0" w:color="auto"/>
              <w:right w:val="single" w:sz="4" w:space="0" w:color="auto"/>
            </w:tcBorders>
            <w:shd w:val="clear" w:color="auto" w:fill="auto"/>
            <w:vAlign w:val="center"/>
            <w:hideMark/>
          </w:tcPr>
          <w:p w14:paraId="6B4197CA"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No environmental education programmes are in place</w:t>
            </w:r>
          </w:p>
        </w:tc>
        <w:tc>
          <w:tcPr>
            <w:tcW w:w="840" w:type="dxa"/>
            <w:tcBorders>
              <w:top w:val="single" w:sz="4" w:space="0" w:color="auto"/>
              <w:left w:val="nil"/>
              <w:bottom w:val="single" w:sz="4" w:space="0" w:color="auto"/>
              <w:right w:val="single" w:sz="4" w:space="0" w:color="auto"/>
            </w:tcBorders>
            <w:shd w:val="clear" w:color="auto" w:fill="auto"/>
            <w:vAlign w:val="center"/>
            <w:hideMark/>
          </w:tcPr>
          <w:p w14:paraId="4E6906CF"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2E3718BA"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12BC7622"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630CB2AB"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87" w:type="dxa"/>
            <w:tcBorders>
              <w:top w:val="single" w:sz="4" w:space="0" w:color="auto"/>
              <w:left w:val="nil"/>
              <w:bottom w:val="single" w:sz="4" w:space="0" w:color="auto"/>
              <w:right w:val="single" w:sz="4" w:space="0" w:color="auto"/>
            </w:tcBorders>
            <w:shd w:val="clear" w:color="auto" w:fill="auto"/>
            <w:vAlign w:val="center"/>
            <w:hideMark/>
          </w:tcPr>
          <w:p w14:paraId="792F2C6D"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40A3E270" w14:textId="77777777" w:rsidTr="00D25E0D">
        <w:trPr>
          <w:trHeight w:val="300"/>
        </w:trPr>
        <w:tc>
          <w:tcPr>
            <w:tcW w:w="1775" w:type="dxa"/>
            <w:vMerge/>
            <w:tcBorders>
              <w:top w:val="single" w:sz="4" w:space="0" w:color="auto"/>
              <w:left w:val="single" w:sz="4" w:space="0" w:color="auto"/>
              <w:bottom w:val="single" w:sz="4" w:space="0" w:color="auto"/>
              <w:right w:val="single" w:sz="4" w:space="0" w:color="auto"/>
            </w:tcBorders>
            <w:vAlign w:val="center"/>
            <w:hideMark/>
          </w:tcPr>
          <w:p w14:paraId="190324BF" w14:textId="77777777" w:rsidR="003E69A5" w:rsidRPr="003F7F6C" w:rsidRDefault="003E69A5" w:rsidP="00D25E0D">
            <w:pPr>
              <w:spacing w:after="0"/>
              <w:jc w:val="center"/>
              <w:rPr>
                <w:rFonts w:eastAsia="Times New Roman" w:cs="Calibri"/>
                <w:color w:val="000000"/>
                <w:sz w:val="18"/>
                <w:szCs w:val="18"/>
                <w:lang w:eastAsia="es-ES"/>
              </w:rPr>
            </w:pPr>
          </w:p>
        </w:tc>
        <w:tc>
          <w:tcPr>
            <w:tcW w:w="4610" w:type="dxa"/>
            <w:tcBorders>
              <w:top w:val="single" w:sz="4" w:space="0" w:color="auto"/>
              <w:left w:val="nil"/>
              <w:bottom w:val="single" w:sz="4" w:space="0" w:color="auto"/>
              <w:right w:val="single" w:sz="4" w:space="0" w:color="auto"/>
            </w:tcBorders>
            <w:shd w:val="clear" w:color="auto" w:fill="auto"/>
            <w:vAlign w:val="center"/>
            <w:hideMark/>
          </w:tcPr>
          <w:p w14:paraId="28A56631"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Environmental education programmes are partially developed and partially delivered</w:t>
            </w:r>
          </w:p>
        </w:tc>
        <w:tc>
          <w:tcPr>
            <w:tcW w:w="840" w:type="dxa"/>
            <w:tcBorders>
              <w:top w:val="single" w:sz="4" w:space="0" w:color="auto"/>
              <w:left w:val="nil"/>
              <w:bottom w:val="single" w:sz="4" w:space="0" w:color="auto"/>
              <w:right w:val="single" w:sz="4" w:space="0" w:color="auto"/>
            </w:tcBorders>
            <w:shd w:val="clear" w:color="auto" w:fill="auto"/>
            <w:vAlign w:val="center"/>
            <w:hideMark/>
          </w:tcPr>
          <w:p w14:paraId="6C4E1F1E"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0C0CC062"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603D1417"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2238A1CE"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87" w:type="dxa"/>
            <w:tcBorders>
              <w:top w:val="single" w:sz="4" w:space="0" w:color="auto"/>
              <w:left w:val="nil"/>
              <w:bottom w:val="single" w:sz="4" w:space="0" w:color="auto"/>
              <w:right w:val="single" w:sz="4" w:space="0" w:color="auto"/>
            </w:tcBorders>
            <w:shd w:val="clear" w:color="auto" w:fill="auto"/>
            <w:vAlign w:val="center"/>
            <w:hideMark/>
          </w:tcPr>
          <w:p w14:paraId="71A42171"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0980A624" w14:textId="77777777" w:rsidTr="00D25E0D">
        <w:trPr>
          <w:trHeight w:val="537"/>
        </w:trPr>
        <w:tc>
          <w:tcPr>
            <w:tcW w:w="1775" w:type="dxa"/>
            <w:vMerge/>
            <w:tcBorders>
              <w:top w:val="single" w:sz="4" w:space="0" w:color="auto"/>
              <w:left w:val="single" w:sz="4" w:space="0" w:color="auto"/>
              <w:bottom w:val="single" w:sz="4" w:space="0" w:color="auto"/>
              <w:right w:val="single" w:sz="4" w:space="0" w:color="auto"/>
            </w:tcBorders>
            <w:vAlign w:val="center"/>
            <w:hideMark/>
          </w:tcPr>
          <w:p w14:paraId="6A32BC39" w14:textId="77777777" w:rsidR="003E69A5" w:rsidRPr="003F7F6C" w:rsidRDefault="003E69A5" w:rsidP="00D25E0D">
            <w:pPr>
              <w:spacing w:after="0"/>
              <w:jc w:val="center"/>
              <w:rPr>
                <w:rFonts w:eastAsia="Times New Roman" w:cs="Calibri"/>
                <w:color w:val="000000"/>
                <w:sz w:val="18"/>
                <w:szCs w:val="18"/>
                <w:lang w:eastAsia="es-ES"/>
              </w:rPr>
            </w:pPr>
          </w:p>
        </w:tc>
        <w:tc>
          <w:tcPr>
            <w:tcW w:w="4610" w:type="dxa"/>
            <w:tcBorders>
              <w:top w:val="single" w:sz="4" w:space="0" w:color="auto"/>
              <w:left w:val="nil"/>
              <w:bottom w:val="single" w:sz="4" w:space="0" w:color="auto"/>
              <w:right w:val="single" w:sz="4" w:space="0" w:color="auto"/>
            </w:tcBorders>
            <w:shd w:val="clear" w:color="auto" w:fill="auto"/>
            <w:vAlign w:val="center"/>
            <w:hideMark/>
          </w:tcPr>
          <w:p w14:paraId="376BD93C"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Environmental education programmes are fully developed but partially delivered</w:t>
            </w:r>
          </w:p>
        </w:tc>
        <w:tc>
          <w:tcPr>
            <w:tcW w:w="840" w:type="dxa"/>
            <w:tcBorders>
              <w:top w:val="single" w:sz="4" w:space="0" w:color="auto"/>
              <w:left w:val="nil"/>
              <w:bottom w:val="single" w:sz="4" w:space="0" w:color="auto"/>
              <w:right w:val="single" w:sz="4" w:space="0" w:color="auto"/>
            </w:tcBorders>
            <w:shd w:val="clear" w:color="auto" w:fill="auto"/>
            <w:vAlign w:val="center"/>
            <w:hideMark/>
          </w:tcPr>
          <w:p w14:paraId="3F79964F"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3688216D"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1F772C70"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There are specific educational programs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9F0965C"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p w14:paraId="5DC520CF"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Strengthening of educational programs addressing ELUP</w:t>
            </w:r>
          </w:p>
        </w:tc>
        <w:tc>
          <w:tcPr>
            <w:tcW w:w="1687" w:type="dxa"/>
            <w:tcBorders>
              <w:top w:val="single" w:sz="4" w:space="0" w:color="auto"/>
              <w:left w:val="nil"/>
              <w:bottom w:val="single" w:sz="4" w:space="0" w:color="auto"/>
              <w:right w:val="single" w:sz="4" w:space="0" w:color="auto"/>
            </w:tcBorders>
            <w:shd w:val="clear" w:color="auto" w:fill="auto"/>
            <w:vAlign w:val="center"/>
            <w:hideMark/>
          </w:tcPr>
          <w:p w14:paraId="6E8899C9"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2</w:t>
            </w:r>
          </w:p>
        </w:tc>
      </w:tr>
      <w:tr w:rsidR="003E69A5" w:rsidRPr="003F7F6C" w14:paraId="75B42AB4" w14:textId="77777777" w:rsidTr="00D25E0D">
        <w:trPr>
          <w:trHeight w:val="300"/>
        </w:trPr>
        <w:tc>
          <w:tcPr>
            <w:tcW w:w="1775" w:type="dxa"/>
            <w:vMerge/>
            <w:tcBorders>
              <w:top w:val="nil"/>
              <w:left w:val="single" w:sz="4" w:space="0" w:color="auto"/>
              <w:bottom w:val="single" w:sz="4" w:space="0" w:color="auto"/>
              <w:right w:val="single" w:sz="4" w:space="0" w:color="auto"/>
            </w:tcBorders>
            <w:vAlign w:val="center"/>
            <w:hideMark/>
          </w:tcPr>
          <w:p w14:paraId="277258C5" w14:textId="77777777" w:rsidR="003E69A5" w:rsidRPr="003F7F6C" w:rsidRDefault="003E69A5" w:rsidP="00D25E0D">
            <w:pPr>
              <w:spacing w:after="0"/>
              <w:jc w:val="center"/>
              <w:rPr>
                <w:rFonts w:eastAsia="Times New Roman" w:cs="Calibri"/>
                <w:color w:val="000000"/>
                <w:sz w:val="18"/>
                <w:szCs w:val="18"/>
                <w:lang w:eastAsia="es-ES"/>
              </w:rPr>
            </w:pPr>
          </w:p>
        </w:tc>
        <w:tc>
          <w:tcPr>
            <w:tcW w:w="4610" w:type="dxa"/>
            <w:tcBorders>
              <w:top w:val="nil"/>
              <w:left w:val="nil"/>
              <w:bottom w:val="single" w:sz="4" w:space="0" w:color="auto"/>
              <w:right w:val="single" w:sz="4" w:space="0" w:color="auto"/>
            </w:tcBorders>
            <w:shd w:val="clear" w:color="auto" w:fill="auto"/>
            <w:vAlign w:val="center"/>
            <w:hideMark/>
          </w:tcPr>
          <w:p w14:paraId="68C43F0D"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Comprehensive environmental education programmes exist and are being delivered</w:t>
            </w:r>
          </w:p>
        </w:tc>
        <w:tc>
          <w:tcPr>
            <w:tcW w:w="840" w:type="dxa"/>
            <w:tcBorders>
              <w:top w:val="nil"/>
              <w:left w:val="nil"/>
              <w:bottom w:val="single" w:sz="4" w:space="0" w:color="auto"/>
              <w:right w:val="single" w:sz="4" w:space="0" w:color="auto"/>
            </w:tcBorders>
            <w:shd w:val="clear" w:color="auto" w:fill="auto"/>
            <w:vAlign w:val="center"/>
            <w:hideMark/>
          </w:tcPr>
          <w:p w14:paraId="4BB3CC7C"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3</w:t>
            </w:r>
          </w:p>
        </w:tc>
        <w:tc>
          <w:tcPr>
            <w:tcW w:w="850" w:type="dxa"/>
            <w:tcBorders>
              <w:top w:val="nil"/>
              <w:left w:val="nil"/>
              <w:bottom w:val="single" w:sz="4" w:space="0" w:color="auto"/>
              <w:right w:val="single" w:sz="4" w:space="0" w:color="auto"/>
            </w:tcBorders>
            <w:shd w:val="clear" w:color="auto" w:fill="auto"/>
            <w:vAlign w:val="center"/>
            <w:hideMark/>
          </w:tcPr>
          <w:p w14:paraId="4BB88710"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552" w:type="dxa"/>
            <w:tcBorders>
              <w:top w:val="nil"/>
              <w:left w:val="nil"/>
              <w:bottom w:val="single" w:sz="4" w:space="0" w:color="auto"/>
              <w:right w:val="single" w:sz="4" w:space="0" w:color="auto"/>
            </w:tcBorders>
            <w:shd w:val="clear" w:color="auto" w:fill="auto"/>
            <w:vAlign w:val="center"/>
            <w:hideMark/>
          </w:tcPr>
          <w:p w14:paraId="01225EBD"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126" w:type="dxa"/>
            <w:tcBorders>
              <w:top w:val="nil"/>
              <w:left w:val="nil"/>
              <w:bottom w:val="single" w:sz="4" w:space="0" w:color="auto"/>
              <w:right w:val="single" w:sz="4" w:space="0" w:color="auto"/>
            </w:tcBorders>
            <w:shd w:val="clear" w:color="auto" w:fill="auto"/>
            <w:vAlign w:val="center"/>
            <w:hideMark/>
          </w:tcPr>
          <w:p w14:paraId="1E9917AF"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87" w:type="dxa"/>
            <w:tcBorders>
              <w:top w:val="nil"/>
              <w:left w:val="nil"/>
              <w:bottom w:val="single" w:sz="4" w:space="0" w:color="auto"/>
              <w:right w:val="single" w:sz="4" w:space="0" w:color="auto"/>
            </w:tcBorders>
            <w:shd w:val="clear" w:color="auto" w:fill="auto"/>
            <w:vAlign w:val="center"/>
            <w:hideMark/>
          </w:tcPr>
          <w:p w14:paraId="722E4FB1"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5A042338" w14:textId="77777777" w:rsidTr="00D25E0D">
        <w:trPr>
          <w:trHeight w:val="300"/>
        </w:trPr>
        <w:tc>
          <w:tcPr>
            <w:tcW w:w="177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BD7251E" w14:textId="55131266"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Indicator 7: Exten</w:t>
            </w:r>
            <w:r w:rsidR="00FB6D2D" w:rsidRPr="003F7F6C">
              <w:rPr>
                <w:rFonts w:eastAsia="Times New Roman" w:cs="Calibri"/>
                <w:color w:val="000000"/>
                <w:sz w:val="18"/>
                <w:szCs w:val="18"/>
                <w:lang w:eastAsia="es-ES"/>
              </w:rPr>
              <w:t>t</w:t>
            </w:r>
            <w:r w:rsidRPr="003F7F6C">
              <w:rPr>
                <w:rFonts w:eastAsia="Times New Roman" w:cs="Calibri"/>
                <w:color w:val="000000"/>
                <w:sz w:val="18"/>
                <w:szCs w:val="18"/>
                <w:lang w:eastAsia="es-ES"/>
              </w:rPr>
              <w:t xml:space="preserve"> of the</w:t>
            </w:r>
          </w:p>
          <w:p w14:paraId="27B7AEC4"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linkage between environmental</w:t>
            </w:r>
          </w:p>
          <w:p w14:paraId="4CB857E4"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research/science and policy</w:t>
            </w:r>
          </w:p>
          <w:p w14:paraId="571092A1"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development</w:t>
            </w:r>
          </w:p>
        </w:tc>
        <w:tc>
          <w:tcPr>
            <w:tcW w:w="46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D60B4C"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No linkage exist between environmental policy development and science/research strategies and programmes</w:t>
            </w:r>
          </w:p>
        </w:tc>
        <w:tc>
          <w:tcPr>
            <w:tcW w:w="8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7C3028"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6506EA8"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B21440"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BFA055"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A76C8DA"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6FB2549E" w14:textId="77777777" w:rsidTr="00D25E0D">
        <w:trPr>
          <w:trHeight w:val="300"/>
        </w:trPr>
        <w:tc>
          <w:tcPr>
            <w:tcW w:w="1775" w:type="dxa"/>
            <w:vMerge/>
            <w:tcBorders>
              <w:top w:val="single" w:sz="4" w:space="0" w:color="auto"/>
              <w:left w:val="single" w:sz="4" w:space="0" w:color="auto"/>
              <w:bottom w:val="single" w:sz="4" w:space="0" w:color="auto"/>
              <w:right w:val="single" w:sz="4" w:space="0" w:color="auto"/>
            </w:tcBorders>
            <w:vAlign w:val="center"/>
            <w:hideMark/>
          </w:tcPr>
          <w:p w14:paraId="6BC7F4E1" w14:textId="77777777" w:rsidR="003E69A5" w:rsidRPr="003F7F6C" w:rsidRDefault="003E69A5" w:rsidP="00D25E0D">
            <w:pPr>
              <w:spacing w:after="0"/>
              <w:rPr>
                <w:rFonts w:eastAsia="Times New Roman" w:cs="Calibri"/>
                <w:color w:val="000000"/>
                <w:sz w:val="18"/>
                <w:szCs w:val="18"/>
                <w:lang w:eastAsia="es-ES"/>
              </w:rPr>
            </w:pPr>
          </w:p>
        </w:tc>
        <w:tc>
          <w:tcPr>
            <w:tcW w:w="46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10A5E43"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Research needs for environmental policy development are identified but are not translated into relevant research strategies and programmes</w:t>
            </w:r>
          </w:p>
        </w:tc>
        <w:tc>
          <w:tcPr>
            <w:tcW w:w="8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5CF1A5D"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5333C85"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9A5B93E"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5C0742F"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36283C"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38E03CC0" w14:textId="77777777" w:rsidTr="00D25E0D">
        <w:trPr>
          <w:trHeight w:val="300"/>
        </w:trPr>
        <w:tc>
          <w:tcPr>
            <w:tcW w:w="1775" w:type="dxa"/>
            <w:vMerge/>
            <w:tcBorders>
              <w:top w:val="single" w:sz="4" w:space="0" w:color="auto"/>
              <w:left w:val="single" w:sz="4" w:space="0" w:color="auto"/>
              <w:bottom w:val="single" w:sz="4" w:space="0" w:color="auto"/>
              <w:right w:val="single" w:sz="4" w:space="0" w:color="auto"/>
            </w:tcBorders>
            <w:vAlign w:val="center"/>
            <w:hideMark/>
          </w:tcPr>
          <w:p w14:paraId="276534E6" w14:textId="77777777" w:rsidR="003E69A5" w:rsidRPr="003F7F6C" w:rsidRDefault="003E69A5" w:rsidP="00D25E0D">
            <w:pPr>
              <w:spacing w:after="0"/>
              <w:rPr>
                <w:rFonts w:eastAsia="Times New Roman" w:cs="Calibri"/>
                <w:color w:val="000000"/>
                <w:sz w:val="18"/>
                <w:szCs w:val="18"/>
                <w:lang w:eastAsia="es-ES"/>
              </w:rPr>
            </w:pPr>
          </w:p>
        </w:tc>
        <w:tc>
          <w:tcPr>
            <w:tcW w:w="46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AB2D00"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Relevant research strategies and programmes for environmental policy development exist but the research information is not responding fully to the policy research needs</w:t>
            </w:r>
          </w:p>
        </w:tc>
        <w:tc>
          <w:tcPr>
            <w:tcW w:w="8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1EA43D8"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339B692"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81DD7AF"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BE8037B"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EDA5449"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79EEB9CB" w14:textId="77777777" w:rsidTr="00D25E0D">
        <w:trPr>
          <w:trHeight w:val="1412"/>
        </w:trPr>
        <w:tc>
          <w:tcPr>
            <w:tcW w:w="1775" w:type="dxa"/>
            <w:vMerge/>
            <w:tcBorders>
              <w:top w:val="single" w:sz="4" w:space="0" w:color="auto"/>
              <w:left w:val="single" w:sz="4" w:space="0" w:color="auto"/>
              <w:bottom w:val="single" w:sz="4" w:space="0" w:color="auto"/>
              <w:right w:val="single" w:sz="4" w:space="0" w:color="auto"/>
            </w:tcBorders>
            <w:vAlign w:val="center"/>
            <w:hideMark/>
          </w:tcPr>
          <w:p w14:paraId="0D876F7D" w14:textId="77777777" w:rsidR="003E69A5" w:rsidRPr="003F7F6C" w:rsidRDefault="003E69A5" w:rsidP="00D25E0D">
            <w:pPr>
              <w:spacing w:after="0"/>
              <w:rPr>
                <w:rFonts w:eastAsia="Times New Roman" w:cs="Calibri"/>
                <w:color w:val="000000"/>
                <w:sz w:val="18"/>
                <w:szCs w:val="18"/>
                <w:lang w:eastAsia="es-ES"/>
              </w:rPr>
            </w:pPr>
          </w:p>
        </w:tc>
        <w:tc>
          <w:tcPr>
            <w:tcW w:w="46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FCCCACE"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Relevant research results are available for environmental policy development</w:t>
            </w:r>
          </w:p>
        </w:tc>
        <w:tc>
          <w:tcPr>
            <w:tcW w:w="8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8D03C0"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3</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2D59818"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3</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738A529"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The province works with academic, technical and scientific institutions. ELUP law was developed incorporating technical and scientific levels</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3250AF0"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F214206"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124C26E5" w14:textId="77777777" w:rsidTr="00D25E0D">
        <w:trPr>
          <w:trHeight w:val="300"/>
        </w:trPr>
        <w:tc>
          <w:tcPr>
            <w:tcW w:w="177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65A9AE1" w14:textId="3470775C"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xml:space="preserve">Indicator 8: </w:t>
            </w:r>
            <w:r w:rsidRPr="003F7F6C">
              <w:rPr>
                <w:rFonts w:cs="Calibri"/>
                <w:sz w:val="18"/>
                <w:szCs w:val="18"/>
              </w:rPr>
              <w:t>Exten</w:t>
            </w:r>
            <w:r w:rsidR="00FB6D2D" w:rsidRPr="003F7F6C">
              <w:rPr>
                <w:rFonts w:cs="Calibri"/>
                <w:sz w:val="18"/>
                <w:szCs w:val="18"/>
              </w:rPr>
              <w:t>t</w:t>
            </w:r>
            <w:r w:rsidRPr="003F7F6C">
              <w:rPr>
                <w:rFonts w:cs="Calibri"/>
                <w:sz w:val="18"/>
                <w:szCs w:val="18"/>
              </w:rPr>
              <w:t xml:space="preserve"> of inclusion/use of traditional knowledge in environmental decision-making</w:t>
            </w:r>
          </w:p>
        </w:tc>
        <w:tc>
          <w:tcPr>
            <w:tcW w:w="46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F48692"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Traditional knowledge is ignored and not taken into account into relevant participative decision-making processes</w:t>
            </w:r>
          </w:p>
        </w:tc>
        <w:tc>
          <w:tcPr>
            <w:tcW w:w="8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DB9143"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60ABDB"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4ADB56A"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715A0EF"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3CBF394"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7AEA3B34" w14:textId="77777777" w:rsidTr="00D25E0D">
        <w:trPr>
          <w:trHeight w:val="300"/>
        </w:trPr>
        <w:tc>
          <w:tcPr>
            <w:tcW w:w="1775" w:type="dxa"/>
            <w:vMerge/>
            <w:tcBorders>
              <w:top w:val="single" w:sz="4" w:space="0" w:color="auto"/>
              <w:left w:val="single" w:sz="4" w:space="0" w:color="auto"/>
              <w:bottom w:val="single" w:sz="4" w:space="0" w:color="auto"/>
              <w:right w:val="single" w:sz="4" w:space="0" w:color="auto"/>
            </w:tcBorders>
            <w:vAlign w:val="center"/>
            <w:hideMark/>
          </w:tcPr>
          <w:p w14:paraId="0E7CE687" w14:textId="77777777" w:rsidR="003E69A5" w:rsidRPr="003F7F6C" w:rsidRDefault="003E69A5" w:rsidP="00D25E0D">
            <w:pPr>
              <w:spacing w:after="0"/>
              <w:rPr>
                <w:rFonts w:eastAsia="Times New Roman" w:cs="Calibri"/>
                <w:color w:val="000000"/>
                <w:sz w:val="18"/>
                <w:szCs w:val="18"/>
                <w:lang w:eastAsia="es-ES"/>
              </w:rPr>
            </w:pPr>
          </w:p>
        </w:tc>
        <w:tc>
          <w:tcPr>
            <w:tcW w:w="46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A47985"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Traditional knowledge is identified and recognized as important but is not collected and used in relevant participative decision-making processes</w:t>
            </w:r>
          </w:p>
        </w:tc>
        <w:tc>
          <w:tcPr>
            <w:tcW w:w="8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8D6D12A"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3422F6AD" w14:textId="77777777" w:rsidR="003E69A5" w:rsidRPr="003F7F6C" w:rsidRDefault="003E69A5" w:rsidP="00D25E0D">
            <w:pPr>
              <w:spacing w:after="0"/>
              <w:rPr>
                <w:rFonts w:eastAsia="Times New Roman" w:cs="Calibri"/>
                <w:color w:val="000000"/>
                <w:sz w:val="18"/>
                <w:szCs w:val="18"/>
                <w:lang w:eastAsia="es-ES"/>
              </w:rPr>
            </w:pP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14:paraId="3C5E0A16" w14:textId="77777777" w:rsidR="003E69A5" w:rsidRPr="003F7F6C" w:rsidRDefault="003E69A5" w:rsidP="00D25E0D">
            <w:pPr>
              <w:spacing w:after="0"/>
              <w:rPr>
                <w:rFonts w:eastAsia="Times New Roman" w:cs="Calibri"/>
                <w:color w:val="000000"/>
                <w:sz w:val="18"/>
                <w:szCs w:val="18"/>
                <w:lang w:eastAsia="es-ES"/>
              </w:rPr>
            </w:pP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EB5D384"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8073E1"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62C8A7CC" w14:textId="77777777" w:rsidTr="00D25E0D">
        <w:trPr>
          <w:trHeight w:val="300"/>
        </w:trPr>
        <w:tc>
          <w:tcPr>
            <w:tcW w:w="1775" w:type="dxa"/>
            <w:vMerge/>
            <w:tcBorders>
              <w:top w:val="single" w:sz="4" w:space="0" w:color="auto"/>
              <w:left w:val="single" w:sz="4" w:space="0" w:color="auto"/>
              <w:bottom w:val="single" w:sz="4" w:space="0" w:color="auto"/>
              <w:right w:val="single" w:sz="4" w:space="0" w:color="auto"/>
            </w:tcBorders>
            <w:vAlign w:val="center"/>
            <w:hideMark/>
          </w:tcPr>
          <w:p w14:paraId="06EE2A23" w14:textId="77777777" w:rsidR="003E69A5" w:rsidRPr="003F7F6C" w:rsidRDefault="003E69A5" w:rsidP="00D25E0D">
            <w:pPr>
              <w:spacing w:after="0"/>
              <w:rPr>
                <w:rFonts w:eastAsia="Times New Roman" w:cs="Calibri"/>
                <w:color w:val="000000"/>
                <w:sz w:val="18"/>
                <w:szCs w:val="18"/>
                <w:lang w:eastAsia="es-ES"/>
              </w:rPr>
            </w:pPr>
          </w:p>
        </w:tc>
        <w:tc>
          <w:tcPr>
            <w:tcW w:w="46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9D33815"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Traditional knowledge is collected but is not used systematically into relevant participative decision making processes</w:t>
            </w:r>
          </w:p>
        </w:tc>
        <w:tc>
          <w:tcPr>
            <w:tcW w:w="8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71B86C0"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0D36D0"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FC92D8"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Indigenous peoples are identified and traditional knowledge is being identified but not mainstreamed in ELUP policies</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9A34AB"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Mainstreaming of traditional knowledge in ELUP policies</w:t>
            </w:r>
          </w:p>
        </w:tc>
        <w:tc>
          <w:tcPr>
            <w:tcW w:w="16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5E379E8"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51CD06E7" w14:textId="77777777" w:rsidTr="00D25E0D">
        <w:trPr>
          <w:trHeight w:val="300"/>
        </w:trPr>
        <w:tc>
          <w:tcPr>
            <w:tcW w:w="1775" w:type="dxa"/>
            <w:vMerge/>
            <w:tcBorders>
              <w:top w:val="single" w:sz="4" w:space="0" w:color="auto"/>
              <w:left w:val="single" w:sz="4" w:space="0" w:color="auto"/>
              <w:bottom w:val="single" w:sz="4" w:space="0" w:color="auto"/>
              <w:right w:val="single" w:sz="4" w:space="0" w:color="auto"/>
            </w:tcBorders>
            <w:vAlign w:val="center"/>
            <w:hideMark/>
          </w:tcPr>
          <w:p w14:paraId="46DA3A3D" w14:textId="77777777" w:rsidR="003E69A5" w:rsidRPr="003F7F6C" w:rsidRDefault="003E69A5" w:rsidP="00D25E0D">
            <w:pPr>
              <w:spacing w:after="0"/>
              <w:rPr>
                <w:rFonts w:eastAsia="Times New Roman" w:cs="Calibri"/>
                <w:color w:val="000000"/>
                <w:sz w:val="18"/>
                <w:szCs w:val="18"/>
                <w:lang w:eastAsia="es-ES"/>
              </w:rPr>
            </w:pPr>
          </w:p>
        </w:tc>
        <w:tc>
          <w:tcPr>
            <w:tcW w:w="46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CF91D0A"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Traditional knowledge is collected, used and shared for effective participative decision-making processes</w:t>
            </w:r>
          </w:p>
        </w:tc>
        <w:tc>
          <w:tcPr>
            <w:tcW w:w="8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BDBCB2B"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3</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A0E15D9"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9690EE3"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E6CC10E"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36FE77"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59A408D4" w14:textId="77777777" w:rsidTr="00D25E0D">
        <w:trPr>
          <w:trHeight w:val="300"/>
        </w:trPr>
        <w:tc>
          <w:tcPr>
            <w:tcW w:w="1775" w:type="dxa"/>
            <w:tcBorders>
              <w:top w:val="single" w:sz="4" w:space="0" w:color="auto"/>
              <w:left w:val="single" w:sz="4" w:space="0" w:color="auto"/>
              <w:bottom w:val="single" w:sz="4" w:space="0" w:color="auto"/>
              <w:right w:val="single" w:sz="4" w:space="0" w:color="auto"/>
            </w:tcBorders>
            <w:vAlign w:val="center"/>
          </w:tcPr>
          <w:p w14:paraId="418EA66E" w14:textId="77777777" w:rsidR="003E69A5" w:rsidRPr="003F7F6C" w:rsidRDefault="003E69A5" w:rsidP="00D25E0D">
            <w:pPr>
              <w:spacing w:after="0"/>
              <w:rPr>
                <w:rFonts w:eastAsia="Times New Roman" w:cs="Calibri"/>
                <w:color w:val="000000"/>
                <w:sz w:val="18"/>
                <w:szCs w:val="18"/>
                <w:lang w:eastAsia="es-ES"/>
              </w:rPr>
            </w:pPr>
          </w:p>
        </w:tc>
        <w:tc>
          <w:tcPr>
            <w:tcW w:w="4610" w:type="dxa"/>
            <w:tcBorders>
              <w:top w:val="single" w:sz="4" w:space="0" w:color="auto"/>
              <w:left w:val="nil"/>
              <w:bottom w:val="single" w:sz="4" w:space="0" w:color="auto"/>
              <w:right w:val="single" w:sz="4" w:space="0" w:color="auto"/>
            </w:tcBorders>
            <w:shd w:val="clear" w:color="auto" w:fill="auto"/>
            <w:vAlign w:val="center"/>
          </w:tcPr>
          <w:p w14:paraId="1893B3FD"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p>
        </w:tc>
        <w:tc>
          <w:tcPr>
            <w:tcW w:w="840" w:type="dxa"/>
            <w:tcBorders>
              <w:top w:val="single" w:sz="4" w:space="0" w:color="auto"/>
              <w:left w:val="nil"/>
              <w:bottom w:val="single" w:sz="4" w:space="0" w:color="auto"/>
              <w:right w:val="single" w:sz="4" w:space="0" w:color="auto"/>
            </w:tcBorders>
            <w:shd w:val="clear" w:color="auto" w:fill="auto"/>
            <w:vAlign w:val="center"/>
          </w:tcPr>
          <w:p w14:paraId="756CA535"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15</w:t>
            </w:r>
          </w:p>
        </w:tc>
        <w:tc>
          <w:tcPr>
            <w:tcW w:w="850" w:type="dxa"/>
            <w:tcBorders>
              <w:top w:val="single" w:sz="4" w:space="0" w:color="auto"/>
              <w:left w:val="nil"/>
              <w:bottom w:val="single" w:sz="4" w:space="0" w:color="auto"/>
              <w:right w:val="single" w:sz="4" w:space="0" w:color="auto"/>
            </w:tcBorders>
            <w:shd w:val="clear" w:color="auto" w:fill="auto"/>
            <w:vAlign w:val="center"/>
          </w:tcPr>
          <w:p w14:paraId="640ADA36"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12</w:t>
            </w:r>
          </w:p>
        </w:tc>
        <w:tc>
          <w:tcPr>
            <w:tcW w:w="2552" w:type="dxa"/>
            <w:tcBorders>
              <w:top w:val="single" w:sz="4" w:space="0" w:color="auto"/>
              <w:left w:val="nil"/>
              <w:bottom w:val="single" w:sz="4" w:space="0" w:color="auto"/>
              <w:right w:val="single" w:sz="4" w:space="0" w:color="auto"/>
            </w:tcBorders>
            <w:shd w:val="clear" w:color="auto" w:fill="auto"/>
            <w:vAlign w:val="center"/>
          </w:tcPr>
          <w:p w14:paraId="0F62427B" w14:textId="77777777" w:rsidR="003E69A5" w:rsidRPr="003F7F6C" w:rsidRDefault="003E69A5" w:rsidP="00D25E0D">
            <w:pPr>
              <w:spacing w:after="0"/>
              <w:rPr>
                <w:rFonts w:eastAsia="Times New Roman" w:cs="Calibri"/>
                <w:color w:val="000000"/>
                <w:sz w:val="18"/>
                <w:szCs w:val="18"/>
                <w:lang w:eastAsia="es-ES"/>
              </w:rPr>
            </w:pPr>
          </w:p>
        </w:tc>
        <w:tc>
          <w:tcPr>
            <w:tcW w:w="2126" w:type="dxa"/>
            <w:tcBorders>
              <w:top w:val="single" w:sz="4" w:space="0" w:color="auto"/>
              <w:left w:val="nil"/>
              <w:bottom w:val="single" w:sz="4" w:space="0" w:color="auto"/>
              <w:right w:val="single" w:sz="4" w:space="0" w:color="auto"/>
            </w:tcBorders>
            <w:shd w:val="clear" w:color="auto" w:fill="auto"/>
            <w:vAlign w:val="center"/>
          </w:tcPr>
          <w:p w14:paraId="479D1BA2" w14:textId="77777777" w:rsidR="003E69A5" w:rsidRPr="003F7F6C" w:rsidRDefault="003E69A5" w:rsidP="00D25E0D">
            <w:pPr>
              <w:spacing w:after="0"/>
              <w:rPr>
                <w:rFonts w:eastAsia="Times New Roman" w:cs="Calibri"/>
                <w:color w:val="000000"/>
                <w:sz w:val="18"/>
                <w:szCs w:val="18"/>
                <w:lang w:eastAsia="es-ES"/>
              </w:rPr>
            </w:pPr>
          </w:p>
        </w:tc>
        <w:tc>
          <w:tcPr>
            <w:tcW w:w="1687" w:type="dxa"/>
            <w:tcBorders>
              <w:top w:val="single" w:sz="4" w:space="0" w:color="auto"/>
              <w:left w:val="nil"/>
              <w:bottom w:val="single" w:sz="4" w:space="0" w:color="auto"/>
              <w:right w:val="single" w:sz="4" w:space="0" w:color="auto"/>
            </w:tcBorders>
            <w:shd w:val="clear" w:color="auto" w:fill="auto"/>
            <w:vAlign w:val="center"/>
          </w:tcPr>
          <w:p w14:paraId="713A0378"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68DEAD74" w14:textId="77777777" w:rsidTr="00D25E0D">
        <w:trPr>
          <w:trHeight w:val="300"/>
        </w:trPr>
        <w:tc>
          <w:tcPr>
            <w:tcW w:w="1775" w:type="dxa"/>
            <w:tcBorders>
              <w:top w:val="nil"/>
              <w:left w:val="single" w:sz="4" w:space="0" w:color="auto"/>
              <w:bottom w:val="single" w:sz="4" w:space="0" w:color="auto"/>
              <w:right w:val="single" w:sz="4" w:space="0" w:color="auto"/>
            </w:tcBorders>
            <w:vAlign w:val="center"/>
          </w:tcPr>
          <w:p w14:paraId="04F39F23" w14:textId="77777777" w:rsidR="003E69A5" w:rsidRPr="003F7F6C" w:rsidRDefault="003E69A5" w:rsidP="00D25E0D">
            <w:pPr>
              <w:spacing w:after="0"/>
              <w:rPr>
                <w:rFonts w:eastAsia="Times New Roman" w:cs="Calibri"/>
                <w:color w:val="000000"/>
                <w:sz w:val="18"/>
                <w:szCs w:val="18"/>
                <w:lang w:eastAsia="es-ES"/>
              </w:rPr>
            </w:pPr>
          </w:p>
        </w:tc>
        <w:tc>
          <w:tcPr>
            <w:tcW w:w="4610" w:type="dxa"/>
            <w:tcBorders>
              <w:top w:val="nil"/>
              <w:left w:val="nil"/>
              <w:bottom w:val="single" w:sz="4" w:space="0" w:color="auto"/>
              <w:right w:val="single" w:sz="4" w:space="0" w:color="auto"/>
            </w:tcBorders>
            <w:shd w:val="clear" w:color="auto" w:fill="auto"/>
            <w:vAlign w:val="center"/>
          </w:tcPr>
          <w:p w14:paraId="112CA755"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p>
        </w:tc>
        <w:tc>
          <w:tcPr>
            <w:tcW w:w="840" w:type="dxa"/>
            <w:tcBorders>
              <w:top w:val="nil"/>
              <w:left w:val="nil"/>
              <w:bottom w:val="single" w:sz="4" w:space="0" w:color="auto"/>
              <w:right w:val="single" w:sz="4" w:space="0" w:color="auto"/>
            </w:tcBorders>
            <w:shd w:val="clear" w:color="auto" w:fill="auto"/>
            <w:vAlign w:val="center"/>
          </w:tcPr>
          <w:p w14:paraId="791C2265" w14:textId="77777777" w:rsidR="003E69A5" w:rsidRPr="003F7F6C" w:rsidRDefault="003E69A5" w:rsidP="00D25E0D">
            <w:pPr>
              <w:spacing w:after="0"/>
              <w:rPr>
                <w:rFonts w:eastAsia="Times New Roman" w:cs="Calibri"/>
                <w:color w:val="000000"/>
                <w:sz w:val="18"/>
                <w:szCs w:val="18"/>
                <w:lang w:eastAsia="es-ES"/>
              </w:rPr>
            </w:pPr>
          </w:p>
        </w:tc>
        <w:tc>
          <w:tcPr>
            <w:tcW w:w="850" w:type="dxa"/>
            <w:tcBorders>
              <w:top w:val="nil"/>
              <w:left w:val="nil"/>
              <w:bottom w:val="single" w:sz="4" w:space="0" w:color="auto"/>
              <w:right w:val="single" w:sz="4" w:space="0" w:color="auto"/>
            </w:tcBorders>
            <w:shd w:val="clear" w:color="auto" w:fill="auto"/>
            <w:vAlign w:val="center"/>
          </w:tcPr>
          <w:p w14:paraId="47607793"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80%</w:t>
            </w:r>
          </w:p>
        </w:tc>
        <w:tc>
          <w:tcPr>
            <w:tcW w:w="2552" w:type="dxa"/>
            <w:tcBorders>
              <w:top w:val="nil"/>
              <w:left w:val="nil"/>
              <w:bottom w:val="single" w:sz="4" w:space="0" w:color="auto"/>
              <w:right w:val="single" w:sz="4" w:space="0" w:color="auto"/>
            </w:tcBorders>
            <w:shd w:val="clear" w:color="auto" w:fill="auto"/>
            <w:vAlign w:val="center"/>
          </w:tcPr>
          <w:p w14:paraId="5AD8180B" w14:textId="77777777" w:rsidR="003E69A5" w:rsidRPr="003F7F6C" w:rsidRDefault="003E69A5" w:rsidP="00D25E0D">
            <w:pPr>
              <w:spacing w:after="0"/>
              <w:rPr>
                <w:rFonts w:eastAsia="Times New Roman" w:cs="Calibri"/>
                <w:color w:val="000000"/>
                <w:sz w:val="18"/>
                <w:szCs w:val="18"/>
                <w:lang w:eastAsia="es-ES"/>
              </w:rPr>
            </w:pPr>
          </w:p>
        </w:tc>
        <w:tc>
          <w:tcPr>
            <w:tcW w:w="2126" w:type="dxa"/>
            <w:tcBorders>
              <w:top w:val="nil"/>
              <w:left w:val="nil"/>
              <w:bottom w:val="single" w:sz="4" w:space="0" w:color="auto"/>
              <w:right w:val="single" w:sz="4" w:space="0" w:color="auto"/>
            </w:tcBorders>
            <w:shd w:val="clear" w:color="auto" w:fill="auto"/>
            <w:vAlign w:val="center"/>
          </w:tcPr>
          <w:p w14:paraId="2F1F4F70" w14:textId="77777777" w:rsidR="003E69A5" w:rsidRPr="003F7F6C" w:rsidRDefault="003E69A5" w:rsidP="00D25E0D">
            <w:pPr>
              <w:spacing w:after="0"/>
              <w:rPr>
                <w:rFonts w:eastAsia="Times New Roman" w:cs="Calibri"/>
                <w:color w:val="000000"/>
                <w:sz w:val="18"/>
                <w:szCs w:val="18"/>
                <w:lang w:eastAsia="es-ES"/>
              </w:rPr>
            </w:pPr>
          </w:p>
        </w:tc>
        <w:tc>
          <w:tcPr>
            <w:tcW w:w="1687" w:type="dxa"/>
            <w:tcBorders>
              <w:top w:val="nil"/>
              <w:left w:val="nil"/>
              <w:bottom w:val="single" w:sz="4" w:space="0" w:color="auto"/>
              <w:right w:val="single" w:sz="4" w:space="0" w:color="auto"/>
            </w:tcBorders>
            <w:shd w:val="clear" w:color="auto" w:fill="auto"/>
            <w:vAlign w:val="center"/>
          </w:tcPr>
          <w:p w14:paraId="5F3755AD"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45F0FFA4" w14:textId="77777777" w:rsidTr="00D25E0D">
        <w:trPr>
          <w:trHeight w:val="300"/>
        </w:trPr>
        <w:tc>
          <w:tcPr>
            <w:tcW w:w="14440" w:type="dxa"/>
            <w:gridSpan w:val="7"/>
            <w:tcBorders>
              <w:top w:val="single" w:sz="4" w:space="0" w:color="auto"/>
              <w:left w:val="single" w:sz="4" w:space="0" w:color="auto"/>
              <w:bottom w:val="single" w:sz="4" w:space="0" w:color="auto"/>
              <w:right w:val="single" w:sz="4" w:space="0" w:color="auto"/>
            </w:tcBorders>
            <w:shd w:val="clear" w:color="000000" w:fill="D9D9D9"/>
            <w:vAlign w:val="center"/>
            <w:hideMark/>
          </w:tcPr>
          <w:p w14:paraId="41B132A7"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 xml:space="preserve">CR 3: Capacities for Strategy, Policy and Legislation Development  </w:t>
            </w:r>
          </w:p>
        </w:tc>
      </w:tr>
      <w:tr w:rsidR="003E69A5" w:rsidRPr="003F7F6C" w14:paraId="6413E77F" w14:textId="77777777" w:rsidTr="00D25E0D">
        <w:trPr>
          <w:trHeight w:val="300"/>
        </w:trPr>
        <w:tc>
          <w:tcPr>
            <w:tcW w:w="177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98C21A7"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cs="Calibri"/>
                <w:sz w:val="18"/>
                <w:szCs w:val="18"/>
              </w:rPr>
              <w:t>Indicator 9: Extent of the environmental planning and strategy development process</w:t>
            </w:r>
          </w:p>
        </w:tc>
        <w:tc>
          <w:tcPr>
            <w:tcW w:w="46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FF3CCCD"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The environmental planning and strategy development process is not coordinated and does not produce adequate environmental plans and strategies</w:t>
            </w:r>
          </w:p>
        </w:tc>
        <w:tc>
          <w:tcPr>
            <w:tcW w:w="8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70492BC"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57E3454"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5AA41EC"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FAFD88C"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8133639"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1AB90A27" w14:textId="77777777" w:rsidTr="00D25E0D">
        <w:trPr>
          <w:trHeight w:val="300"/>
        </w:trPr>
        <w:tc>
          <w:tcPr>
            <w:tcW w:w="1775" w:type="dxa"/>
            <w:vMerge/>
            <w:tcBorders>
              <w:top w:val="single" w:sz="4" w:space="0" w:color="auto"/>
              <w:left w:val="single" w:sz="4" w:space="0" w:color="auto"/>
              <w:bottom w:val="single" w:sz="4" w:space="0" w:color="auto"/>
              <w:right w:val="single" w:sz="4" w:space="0" w:color="auto"/>
            </w:tcBorders>
            <w:vAlign w:val="center"/>
            <w:hideMark/>
          </w:tcPr>
          <w:p w14:paraId="6AA4D537" w14:textId="77777777" w:rsidR="003E69A5" w:rsidRPr="003F7F6C" w:rsidRDefault="003E69A5" w:rsidP="00D25E0D">
            <w:pPr>
              <w:spacing w:after="0"/>
              <w:rPr>
                <w:rFonts w:eastAsia="Times New Roman" w:cs="Calibri"/>
                <w:color w:val="000000"/>
                <w:sz w:val="18"/>
                <w:szCs w:val="18"/>
                <w:lang w:eastAsia="es-ES"/>
              </w:rPr>
            </w:pPr>
          </w:p>
        </w:tc>
        <w:tc>
          <w:tcPr>
            <w:tcW w:w="46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949644"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The environmental planning and strategy development process does produce adequate environmental plans and strategies but there are not</w:t>
            </w:r>
          </w:p>
          <w:p w14:paraId="6F558F22" w14:textId="77777777" w:rsidR="003E69A5" w:rsidRPr="003F7F6C" w:rsidRDefault="003E69A5" w:rsidP="00D25E0D">
            <w:pPr>
              <w:spacing w:after="0"/>
              <w:rPr>
                <w:rFonts w:eastAsia="Times New Roman" w:cs="Calibri"/>
                <w:color w:val="000000"/>
                <w:sz w:val="18"/>
                <w:szCs w:val="18"/>
                <w:lang w:eastAsia="es-ES"/>
              </w:rPr>
            </w:pPr>
            <w:r w:rsidRPr="003F7F6C">
              <w:rPr>
                <w:rFonts w:cs="Calibri"/>
                <w:sz w:val="18"/>
                <w:szCs w:val="18"/>
              </w:rPr>
              <w:t>implemented/used</w:t>
            </w:r>
          </w:p>
        </w:tc>
        <w:tc>
          <w:tcPr>
            <w:tcW w:w="8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6102CA"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4B4C789"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57CFE7"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1CF916E"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30B11DC"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5279C185" w14:textId="77777777" w:rsidTr="00D25E0D">
        <w:trPr>
          <w:trHeight w:val="300"/>
        </w:trPr>
        <w:tc>
          <w:tcPr>
            <w:tcW w:w="1775" w:type="dxa"/>
            <w:vMerge/>
            <w:tcBorders>
              <w:top w:val="single" w:sz="4" w:space="0" w:color="auto"/>
              <w:left w:val="single" w:sz="4" w:space="0" w:color="auto"/>
              <w:bottom w:val="single" w:sz="4" w:space="0" w:color="auto"/>
              <w:right w:val="single" w:sz="4" w:space="0" w:color="auto"/>
            </w:tcBorders>
            <w:vAlign w:val="center"/>
            <w:hideMark/>
          </w:tcPr>
          <w:p w14:paraId="47C73CDB" w14:textId="77777777" w:rsidR="003E69A5" w:rsidRPr="003F7F6C" w:rsidRDefault="003E69A5" w:rsidP="00D25E0D">
            <w:pPr>
              <w:spacing w:after="0"/>
              <w:rPr>
                <w:rFonts w:eastAsia="Times New Roman" w:cs="Calibri"/>
                <w:color w:val="000000"/>
                <w:sz w:val="18"/>
                <w:szCs w:val="18"/>
                <w:lang w:eastAsia="es-ES"/>
              </w:rPr>
            </w:pPr>
          </w:p>
        </w:tc>
        <w:tc>
          <w:tcPr>
            <w:tcW w:w="46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1766A5C"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Adequate environmental plans and strategies are produced but there are only partially implemented because of funding constraints and/or other problems</w:t>
            </w:r>
          </w:p>
        </w:tc>
        <w:tc>
          <w:tcPr>
            <w:tcW w:w="8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DB2C3A"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p w14:paraId="513CA0FC" w14:textId="77777777" w:rsidR="003E69A5" w:rsidRPr="003F7F6C" w:rsidRDefault="003E69A5" w:rsidP="00D25E0D">
            <w:pPr>
              <w:spacing w:after="0"/>
              <w:rPr>
                <w:rFonts w:eastAsia="Times New Roman" w:cs="Calibri"/>
                <w:color w:val="000000"/>
                <w:sz w:val="18"/>
                <w:szCs w:val="18"/>
                <w:lang w:eastAsia="es-ES"/>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DF8BD63"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A8650A2"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DD0569B"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974688"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2EEA532D" w14:textId="77777777" w:rsidTr="00D25E0D">
        <w:trPr>
          <w:trHeight w:val="300"/>
        </w:trPr>
        <w:tc>
          <w:tcPr>
            <w:tcW w:w="1775" w:type="dxa"/>
            <w:vMerge/>
            <w:tcBorders>
              <w:top w:val="single" w:sz="4" w:space="0" w:color="auto"/>
              <w:left w:val="single" w:sz="4" w:space="0" w:color="auto"/>
              <w:bottom w:val="single" w:sz="4" w:space="0" w:color="auto"/>
              <w:right w:val="single" w:sz="4" w:space="0" w:color="auto"/>
            </w:tcBorders>
            <w:vAlign w:val="center"/>
            <w:hideMark/>
          </w:tcPr>
          <w:p w14:paraId="2401FDBC" w14:textId="77777777" w:rsidR="003E69A5" w:rsidRPr="003F7F6C" w:rsidRDefault="003E69A5" w:rsidP="00D25E0D">
            <w:pPr>
              <w:spacing w:after="0"/>
              <w:rPr>
                <w:rFonts w:eastAsia="Times New Roman" w:cs="Calibri"/>
                <w:color w:val="000000"/>
                <w:sz w:val="18"/>
                <w:szCs w:val="18"/>
                <w:lang w:eastAsia="es-ES"/>
              </w:rPr>
            </w:pPr>
          </w:p>
        </w:tc>
        <w:tc>
          <w:tcPr>
            <w:tcW w:w="46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6FD6C8"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The environmental planning and strategy development process is well coordinated by the lead environmental organizations and produces the required environmental plans and strategies; which are being implemented</w:t>
            </w:r>
          </w:p>
        </w:tc>
        <w:tc>
          <w:tcPr>
            <w:tcW w:w="8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C8FAD6C"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3</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EFCB7F6"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3</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2A4D41"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There is an ELUP law detailing the processes to be fulfilled by ELUP strategies and is starting to be implemented at municipal level</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E29E3E"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Provide support to municipalities to develop local ELUP </w:t>
            </w:r>
          </w:p>
          <w:p w14:paraId="5DDD6C04" w14:textId="77777777" w:rsidR="003E69A5" w:rsidRPr="003F7F6C" w:rsidRDefault="003E69A5" w:rsidP="00D25E0D">
            <w:pPr>
              <w:spacing w:after="0"/>
              <w:rPr>
                <w:rFonts w:eastAsia="Times New Roman" w:cs="Calibri"/>
                <w:color w:val="000000"/>
                <w:sz w:val="18"/>
                <w:szCs w:val="18"/>
                <w:lang w:eastAsia="es-ES"/>
              </w:rPr>
            </w:pPr>
          </w:p>
        </w:tc>
        <w:tc>
          <w:tcPr>
            <w:tcW w:w="16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85B7D6" w14:textId="77777777" w:rsidR="003E69A5" w:rsidRPr="003F7F6C" w:rsidRDefault="003E69A5" w:rsidP="00D25E0D">
            <w:pPr>
              <w:spacing w:after="0"/>
              <w:rPr>
                <w:rFonts w:eastAsia="Times New Roman" w:cs="Calibri"/>
                <w:color w:val="000000"/>
                <w:sz w:val="18"/>
                <w:szCs w:val="18"/>
                <w:lang w:val="es-PY" w:eastAsia="es-ES"/>
              </w:rPr>
            </w:pPr>
            <w:r w:rsidRPr="003F7F6C">
              <w:rPr>
                <w:rFonts w:eastAsia="Times New Roman" w:cs="Calibri"/>
                <w:color w:val="000000"/>
                <w:sz w:val="18"/>
                <w:szCs w:val="18"/>
                <w:lang w:eastAsia="es-ES"/>
              </w:rPr>
              <w:t> </w:t>
            </w:r>
            <w:r w:rsidRPr="003F7F6C">
              <w:rPr>
                <w:rFonts w:eastAsia="Times New Roman" w:cs="Calibri"/>
                <w:color w:val="000000"/>
                <w:sz w:val="18"/>
                <w:szCs w:val="18"/>
                <w:lang w:val="es-PY" w:eastAsia="es-ES"/>
              </w:rPr>
              <w:t>2</w:t>
            </w:r>
          </w:p>
        </w:tc>
      </w:tr>
      <w:tr w:rsidR="003E69A5" w:rsidRPr="003F7F6C" w14:paraId="55A0084E" w14:textId="77777777" w:rsidTr="00D25E0D">
        <w:trPr>
          <w:trHeight w:val="300"/>
        </w:trPr>
        <w:tc>
          <w:tcPr>
            <w:tcW w:w="177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E85B54B"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Indicator 10: Existence of adequate environmental policy and regulatory frameworks</w:t>
            </w:r>
          </w:p>
        </w:tc>
        <w:tc>
          <w:tcPr>
            <w:tcW w:w="46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A88F72F"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The environmental policy and regulatory frameworks are insufficient; they do not provide an enabling environment</w:t>
            </w:r>
          </w:p>
        </w:tc>
        <w:tc>
          <w:tcPr>
            <w:tcW w:w="8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37F8026"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D63DC84"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B0F7BF6"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C135533"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CB84E48"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32C02AA5" w14:textId="77777777" w:rsidTr="00D25E0D">
        <w:trPr>
          <w:trHeight w:val="300"/>
        </w:trPr>
        <w:tc>
          <w:tcPr>
            <w:tcW w:w="1775" w:type="dxa"/>
            <w:vMerge/>
            <w:tcBorders>
              <w:top w:val="single" w:sz="4" w:space="0" w:color="auto"/>
              <w:left w:val="single" w:sz="4" w:space="0" w:color="auto"/>
              <w:bottom w:val="single" w:sz="4" w:space="0" w:color="auto"/>
              <w:right w:val="single" w:sz="4" w:space="0" w:color="auto"/>
            </w:tcBorders>
            <w:vAlign w:val="center"/>
            <w:hideMark/>
          </w:tcPr>
          <w:p w14:paraId="776B849B" w14:textId="77777777" w:rsidR="003E69A5" w:rsidRPr="003F7F6C" w:rsidRDefault="003E69A5" w:rsidP="00D25E0D">
            <w:pPr>
              <w:spacing w:after="0"/>
              <w:rPr>
                <w:rFonts w:eastAsia="Times New Roman" w:cs="Calibri"/>
                <w:color w:val="000000"/>
                <w:sz w:val="18"/>
                <w:szCs w:val="18"/>
                <w:lang w:eastAsia="es-ES"/>
              </w:rPr>
            </w:pPr>
          </w:p>
        </w:tc>
        <w:tc>
          <w:tcPr>
            <w:tcW w:w="46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CB1A34"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Some relevant environmental policies and laws exist but few are implemented and enforced</w:t>
            </w:r>
          </w:p>
        </w:tc>
        <w:tc>
          <w:tcPr>
            <w:tcW w:w="8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4B92C4E"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EE5B06E"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CAE7527"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BD1497C"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FCFE9B"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40386A80" w14:textId="77777777" w:rsidTr="00D25E0D">
        <w:trPr>
          <w:trHeight w:val="300"/>
        </w:trPr>
        <w:tc>
          <w:tcPr>
            <w:tcW w:w="1775" w:type="dxa"/>
            <w:vMerge/>
            <w:tcBorders>
              <w:top w:val="single" w:sz="4" w:space="0" w:color="auto"/>
              <w:left w:val="single" w:sz="4" w:space="0" w:color="auto"/>
              <w:bottom w:val="single" w:sz="4" w:space="0" w:color="auto"/>
              <w:right w:val="single" w:sz="4" w:space="0" w:color="auto"/>
            </w:tcBorders>
            <w:vAlign w:val="center"/>
            <w:hideMark/>
          </w:tcPr>
          <w:p w14:paraId="1130C779" w14:textId="77777777" w:rsidR="003E69A5" w:rsidRPr="003F7F6C" w:rsidRDefault="003E69A5" w:rsidP="00D25E0D">
            <w:pPr>
              <w:spacing w:after="0"/>
              <w:rPr>
                <w:rFonts w:eastAsia="Times New Roman" w:cs="Calibri"/>
                <w:color w:val="000000"/>
                <w:sz w:val="18"/>
                <w:szCs w:val="18"/>
                <w:lang w:eastAsia="es-ES"/>
              </w:rPr>
            </w:pPr>
          </w:p>
        </w:tc>
        <w:tc>
          <w:tcPr>
            <w:tcW w:w="46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7612408"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Adequate environmental policy and legislation frameworks exist but there are problems in implementing and enforcing them</w:t>
            </w:r>
          </w:p>
        </w:tc>
        <w:tc>
          <w:tcPr>
            <w:tcW w:w="8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4B00DCB"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10DD1C6"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359F80"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Regulatory frameworks exist at province and municipal levels but not implemented in the latter </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34D408"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Implementation of ELUP processes in municipalities of target landscapes and upscaling to the rest of the province </w:t>
            </w:r>
          </w:p>
        </w:tc>
        <w:tc>
          <w:tcPr>
            <w:tcW w:w="16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B70B47"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r>
      <w:tr w:rsidR="003E69A5" w:rsidRPr="003F7F6C" w14:paraId="6886EB6F" w14:textId="77777777" w:rsidTr="00D25E0D">
        <w:trPr>
          <w:trHeight w:val="300"/>
        </w:trPr>
        <w:tc>
          <w:tcPr>
            <w:tcW w:w="1775" w:type="dxa"/>
            <w:vMerge/>
            <w:tcBorders>
              <w:top w:val="single" w:sz="4" w:space="0" w:color="auto"/>
              <w:left w:val="single" w:sz="4" w:space="0" w:color="auto"/>
              <w:bottom w:val="single" w:sz="4" w:space="0" w:color="auto"/>
              <w:right w:val="single" w:sz="4" w:space="0" w:color="auto"/>
            </w:tcBorders>
            <w:vAlign w:val="center"/>
            <w:hideMark/>
          </w:tcPr>
          <w:p w14:paraId="4F5A83D2" w14:textId="77777777" w:rsidR="003E69A5" w:rsidRPr="003F7F6C" w:rsidRDefault="003E69A5" w:rsidP="00D25E0D">
            <w:pPr>
              <w:spacing w:after="0"/>
              <w:rPr>
                <w:rFonts w:eastAsia="Times New Roman" w:cs="Calibri"/>
                <w:color w:val="000000"/>
                <w:sz w:val="18"/>
                <w:szCs w:val="18"/>
                <w:lang w:eastAsia="es-ES"/>
              </w:rPr>
            </w:pPr>
          </w:p>
        </w:tc>
        <w:tc>
          <w:tcPr>
            <w:tcW w:w="46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7FE887"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Adequate policy and legislation frameworks are implemented and provide an adequate enabling environment; a compliance and enforcement mechanism is established and functions</w:t>
            </w:r>
          </w:p>
        </w:tc>
        <w:tc>
          <w:tcPr>
            <w:tcW w:w="8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0869B1"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3</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CBA5A9"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49F0FB3"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52A0E8F"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97D5732"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05A4C67B" w14:textId="77777777" w:rsidTr="00D25E0D">
        <w:trPr>
          <w:trHeight w:val="300"/>
        </w:trPr>
        <w:tc>
          <w:tcPr>
            <w:tcW w:w="177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B02EC1A"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Indicator 11: Adequacy of the environmental information available for decision-making</w:t>
            </w:r>
          </w:p>
        </w:tc>
        <w:tc>
          <w:tcPr>
            <w:tcW w:w="46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A284EB3"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The availability of environmental information for decision-making is lacking</w:t>
            </w:r>
          </w:p>
        </w:tc>
        <w:tc>
          <w:tcPr>
            <w:tcW w:w="8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7601E24"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D712140"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8154362"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2C6C3BF"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E503242"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2F55B219" w14:textId="77777777" w:rsidTr="00D25E0D">
        <w:trPr>
          <w:trHeight w:val="300"/>
        </w:trPr>
        <w:tc>
          <w:tcPr>
            <w:tcW w:w="1775" w:type="dxa"/>
            <w:vMerge/>
            <w:tcBorders>
              <w:top w:val="single" w:sz="4" w:space="0" w:color="auto"/>
              <w:left w:val="single" w:sz="4" w:space="0" w:color="auto"/>
              <w:bottom w:val="single" w:sz="4" w:space="0" w:color="auto"/>
              <w:right w:val="single" w:sz="4" w:space="0" w:color="auto"/>
            </w:tcBorders>
            <w:vAlign w:val="center"/>
            <w:hideMark/>
          </w:tcPr>
          <w:p w14:paraId="1D5EFF27" w14:textId="77777777" w:rsidR="003E69A5" w:rsidRPr="003F7F6C" w:rsidRDefault="003E69A5" w:rsidP="00D25E0D">
            <w:pPr>
              <w:spacing w:after="0"/>
              <w:rPr>
                <w:rFonts w:eastAsia="Times New Roman" w:cs="Calibri"/>
                <w:color w:val="000000"/>
                <w:sz w:val="18"/>
                <w:szCs w:val="18"/>
                <w:lang w:eastAsia="es-ES"/>
              </w:rPr>
            </w:pPr>
          </w:p>
        </w:tc>
        <w:tc>
          <w:tcPr>
            <w:tcW w:w="46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6F43EC"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Some environmental information exists but it is not sufficient to support environmental decision-making processes</w:t>
            </w:r>
          </w:p>
        </w:tc>
        <w:tc>
          <w:tcPr>
            <w:tcW w:w="8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8D9CE3"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EC8765F"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B720668"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6CB334"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5238943"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2FD5CC4C" w14:textId="77777777" w:rsidTr="00D25E0D">
        <w:trPr>
          <w:trHeight w:val="300"/>
        </w:trPr>
        <w:tc>
          <w:tcPr>
            <w:tcW w:w="1775" w:type="dxa"/>
            <w:vMerge/>
            <w:tcBorders>
              <w:top w:val="single" w:sz="4" w:space="0" w:color="auto"/>
              <w:left w:val="single" w:sz="4" w:space="0" w:color="auto"/>
              <w:bottom w:val="single" w:sz="4" w:space="0" w:color="auto"/>
              <w:right w:val="single" w:sz="4" w:space="0" w:color="auto"/>
            </w:tcBorders>
            <w:vAlign w:val="center"/>
            <w:hideMark/>
          </w:tcPr>
          <w:p w14:paraId="059E2BFF" w14:textId="77777777" w:rsidR="003E69A5" w:rsidRPr="003F7F6C" w:rsidRDefault="003E69A5" w:rsidP="00D25E0D">
            <w:pPr>
              <w:spacing w:after="0"/>
              <w:rPr>
                <w:rFonts w:eastAsia="Times New Roman" w:cs="Calibri"/>
                <w:color w:val="000000"/>
                <w:sz w:val="18"/>
                <w:szCs w:val="18"/>
                <w:lang w:eastAsia="es-ES"/>
              </w:rPr>
            </w:pPr>
          </w:p>
        </w:tc>
        <w:tc>
          <w:tcPr>
            <w:tcW w:w="46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0A90FB"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Relevant environmental information is made available to environmental decision-makers but the process to update this information is not functioning properly</w:t>
            </w:r>
          </w:p>
        </w:tc>
        <w:tc>
          <w:tcPr>
            <w:tcW w:w="8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68C1A1"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D90C29"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AB47674"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Channels to access and update information must be strengthened </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831401F"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Consolidation of disperse information and dissemination to key ELUP stakeholders </w:t>
            </w:r>
          </w:p>
        </w:tc>
        <w:tc>
          <w:tcPr>
            <w:tcW w:w="16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475A208"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14864303" w14:textId="77777777" w:rsidTr="00D25E0D">
        <w:trPr>
          <w:trHeight w:val="300"/>
        </w:trPr>
        <w:tc>
          <w:tcPr>
            <w:tcW w:w="1775" w:type="dxa"/>
            <w:vMerge/>
            <w:tcBorders>
              <w:top w:val="single" w:sz="4" w:space="0" w:color="auto"/>
              <w:left w:val="single" w:sz="4" w:space="0" w:color="auto"/>
              <w:bottom w:val="single" w:sz="4" w:space="0" w:color="auto"/>
              <w:right w:val="single" w:sz="4" w:space="0" w:color="auto"/>
            </w:tcBorders>
            <w:vAlign w:val="center"/>
            <w:hideMark/>
          </w:tcPr>
          <w:p w14:paraId="380B4CB6" w14:textId="77777777" w:rsidR="003E69A5" w:rsidRPr="003F7F6C" w:rsidRDefault="003E69A5" w:rsidP="00D25E0D">
            <w:pPr>
              <w:spacing w:after="0"/>
              <w:rPr>
                <w:rFonts w:eastAsia="Times New Roman" w:cs="Calibri"/>
                <w:color w:val="000000"/>
                <w:sz w:val="18"/>
                <w:szCs w:val="18"/>
                <w:lang w:eastAsia="es-ES"/>
              </w:rPr>
            </w:pPr>
          </w:p>
        </w:tc>
        <w:tc>
          <w:tcPr>
            <w:tcW w:w="4610" w:type="dxa"/>
            <w:tcBorders>
              <w:top w:val="single" w:sz="4" w:space="0" w:color="auto"/>
              <w:left w:val="nil"/>
              <w:bottom w:val="single" w:sz="4" w:space="0" w:color="auto"/>
              <w:right w:val="single" w:sz="4" w:space="0" w:color="auto"/>
            </w:tcBorders>
            <w:shd w:val="clear" w:color="auto" w:fill="auto"/>
            <w:vAlign w:val="center"/>
            <w:hideMark/>
          </w:tcPr>
          <w:p w14:paraId="248AB870"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Political and administrative decision-makers obtain</w:t>
            </w:r>
          </w:p>
          <w:p w14:paraId="78D25DC0"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and use updated environmental information to make</w:t>
            </w:r>
          </w:p>
          <w:p w14:paraId="39639060" w14:textId="77777777" w:rsidR="003E69A5" w:rsidRPr="003F7F6C" w:rsidRDefault="003E69A5" w:rsidP="00D25E0D">
            <w:pPr>
              <w:spacing w:after="0"/>
              <w:rPr>
                <w:rFonts w:eastAsia="Times New Roman" w:cs="Calibri"/>
                <w:color w:val="000000"/>
                <w:sz w:val="18"/>
                <w:szCs w:val="18"/>
                <w:lang w:eastAsia="es-ES"/>
              </w:rPr>
            </w:pPr>
            <w:r w:rsidRPr="003F7F6C">
              <w:rPr>
                <w:rFonts w:cs="Calibri"/>
                <w:sz w:val="18"/>
                <w:szCs w:val="18"/>
              </w:rPr>
              <w:t>environmental decisions</w:t>
            </w:r>
          </w:p>
        </w:tc>
        <w:tc>
          <w:tcPr>
            <w:tcW w:w="840" w:type="dxa"/>
            <w:tcBorders>
              <w:top w:val="single" w:sz="4" w:space="0" w:color="auto"/>
              <w:left w:val="nil"/>
              <w:bottom w:val="single" w:sz="4" w:space="0" w:color="auto"/>
              <w:right w:val="single" w:sz="4" w:space="0" w:color="auto"/>
            </w:tcBorders>
            <w:shd w:val="clear" w:color="auto" w:fill="auto"/>
            <w:vAlign w:val="center"/>
            <w:hideMark/>
          </w:tcPr>
          <w:p w14:paraId="3BA69601"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3</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00D58A1F"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1B206E01"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4628CC52"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87" w:type="dxa"/>
            <w:tcBorders>
              <w:top w:val="single" w:sz="4" w:space="0" w:color="auto"/>
              <w:left w:val="nil"/>
              <w:bottom w:val="single" w:sz="4" w:space="0" w:color="auto"/>
              <w:right w:val="single" w:sz="4" w:space="0" w:color="auto"/>
            </w:tcBorders>
            <w:shd w:val="clear" w:color="auto" w:fill="auto"/>
            <w:vAlign w:val="center"/>
            <w:hideMark/>
          </w:tcPr>
          <w:p w14:paraId="26332E5C"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135DD59C" w14:textId="77777777" w:rsidTr="00D25E0D">
        <w:trPr>
          <w:trHeight w:val="343"/>
        </w:trPr>
        <w:tc>
          <w:tcPr>
            <w:tcW w:w="1775" w:type="dxa"/>
            <w:tcBorders>
              <w:top w:val="nil"/>
              <w:left w:val="single" w:sz="4" w:space="0" w:color="auto"/>
              <w:bottom w:val="single" w:sz="4" w:space="0" w:color="auto"/>
              <w:right w:val="single" w:sz="4" w:space="0" w:color="auto"/>
            </w:tcBorders>
            <w:vAlign w:val="center"/>
          </w:tcPr>
          <w:p w14:paraId="7DC5776B" w14:textId="77777777" w:rsidR="003E69A5" w:rsidRPr="003F7F6C" w:rsidRDefault="003E69A5" w:rsidP="00D25E0D">
            <w:pPr>
              <w:spacing w:after="0"/>
              <w:rPr>
                <w:rFonts w:eastAsia="Times New Roman" w:cs="Calibri"/>
                <w:color w:val="000000"/>
                <w:sz w:val="18"/>
                <w:szCs w:val="18"/>
                <w:lang w:eastAsia="es-ES"/>
              </w:rPr>
            </w:pPr>
          </w:p>
        </w:tc>
        <w:tc>
          <w:tcPr>
            <w:tcW w:w="4610" w:type="dxa"/>
            <w:tcBorders>
              <w:top w:val="nil"/>
              <w:left w:val="nil"/>
              <w:bottom w:val="single" w:sz="4" w:space="0" w:color="auto"/>
              <w:right w:val="single" w:sz="4" w:space="0" w:color="auto"/>
            </w:tcBorders>
            <w:shd w:val="clear" w:color="auto" w:fill="auto"/>
            <w:vAlign w:val="center"/>
          </w:tcPr>
          <w:p w14:paraId="1B833FF4"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p>
        </w:tc>
        <w:tc>
          <w:tcPr>
            <w:tcW w:w="840" w:type="dxa"/>
            <w:tcBorders>
              <w:top w:val="nil"/>
              <w:left w:val="nil"/>
              <w:bottom w:val="single" w:sz="4" w:space="0" w:color="auto"/>
              <w:right w:val="single" w:sz="4" w:space="0" w:color="auto"/>
            </w:tcBorders>
            <w:shd w:val="clear" w:color="auto" w:fill="auto"/>
            <w:vAlign w:val="center"/>
          </w:tcPr>
          <w:p w14:paraId="153945B1"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9</w:t>
            </w:r>
          </w:p>
        </w:tc>
        <w:tc>
          <w:tcPr>
            <w:tcW w:w="850" w:type="dxa"/>
            <w:tcBorders>
              <w:top w:val="nil"/>
              <w:left w:val="nil"/>
              <w:bottom w:val="single" w:sz="4" w:space="0" w:color="auto"/>
              <w:right w:val="single" w:sz="4" w:space="0" w:color="auto"/>
            </w:tcBorders>
            <w:shd w:val="clear" w:color="auto" w:fill="auto"/>
            <w:vAlign w:val="center"/>
          </w:tcPr>
          <w:p w14:paraId="513346CE"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7</w:t>
            </w:r>
          </w:p>
        </w:tc>
        <w:tc>
          <w:tcPr>
            <w:tcW w:w="2552" w:type="dxa"/>
            <w:tcBorders>
              <w:top w:val="nil"/>
              <w:left w:val="nil"/>
              <w:bottom w:val="single" w:sz="4" w:space="0" w:color="auto"/>
              <w:right w:val="single" w:sz="4" w:space="0" w:color="auto"/>
            </w:tcBorders>
            <w:shd w:val="clear" w:color="auto" w:fill="auto"/>
            <w:vAlign w:val="center"/>
          </w:tcPr>
          <w:p w14:paraId="37302CD2" w14:textId="77777777" w:rsidR="003E69A5" w:rsidRPr="003F7F6C" w:rsidRDefault="003E69A5" w:rsidP="00D25E0D">
            <w:pPr>
              <w:spacing w:after="0"/>
              <w:rPr>
                <w:rFonts w:eastAsia="Times New Roman" w:cs="Calibri"/>
                <w:color w:val="000000"/>
                <w:sz w:val="18"/>
                <w:szCs w:val="18"/>
                <w:lang w:eastAsia="es-ES"/>
              </w:rPr>
            </w:pPr>
          </w:p>
        </w:tc>
        <w:tc>
          <w:tcPr>
            <w:tcW w:w="2126" w:type="dxa"/>
            <w:tcBorders>
              <w:top w:val="nil"/>
              <w:left w:val="nil"/>
              <w:bottom w:val="single" w:sz="4" w:space="0" w:color="auto"/>
              <w:right w:val="single" w:sz="4" w:space="0" w:color="auto"/>
            </w:tcBorders>
            <w:shd w:val="clear" w:color="auto" w:fill="auto"/>
            <w:vAlign w:val="center"/>
          </w:tcPr>
          <w:p w14:paraId="4E3441EA" w14:textId="77777777" w:rsidR="003E69A5" w:rsidRPr="003F7F6C" w:rsidRDefault="003E69A5" w:rsidP="00D25E0D">
            <w:pPr>
              <w:spacing w:after="0"/>
              <w:rPr>
                <w:rFonts w:eastAsia="Times New Roman" w:cs="Calibri"/>
                <w:color w:val="000000"/>
                <w:sz w:val="18"/>
                <w:szCs w:val="18"/>
                <w:lang w:eastAsia="es-ES"/>
              </w:rPr>
            </w:pPr>
          </w:p>
        </w:tc>
        <w:tc>
          <w:tcPr>
            <w:tcW w:w="1687" w:type="dxa"/>
            <w:tcBorders>
              <w:top w:val="nil"/>
              <w:left w:val="nil"/>
              <w:bottom w:val="single" w:sz="4" w:space="0" w:color="auto"/>
              <w:right w:val="single" w:sz="4" w:space="0" w:color="auto"/>
            </w:tcBorders>
            <w:shd w:val="clear" w:color="auto" w:fill="auto"/>
            <w:vAlign w:val="center"/>
          </w:tcPr>
          <w:p w14:paraId="45D18EBD"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1B26FD60" w14:textId="77777777" w:rsidTr="00D25E0D">
        <w:trPr>
          <w:trHeight w:val="300"/>
        </w:trPr>
        <w:tc>
          <w:tcPr>
            <w:tcW w:w="1775" w:type="dxa"/>
            <w:tcBorders>
              <w:top w:val="nil"/>
              <w:left w:val="single" w:sz="4" w:space="0" w:color="auto"/>
              <w:bottom w:val="single" w:sz="4" w:space="0" w:color="auto"/>
              <w:right w:val="single" w:sz="4" w:space="0" w:color="auto"/>
            </w:tcBorders>
            <w:vAlign w:val="center"/>
          </w:tcPr>
          <w:p w14:paraId="11D87932" w14:textId="77777777" w:rsidR="003E69A5" w:rsidRPr="003F7F6C" w:rsidRDefault="003E69A5" w:rsidP="00D25E0D">
            <w:pPr>
              <w:spacing w:after="0"/>
              <w:rPr>
                <w:rFonts w:eastAsia="Times New Roman" w:cs="Calibri"/>
                <w:color w:val="000000"/>
                <w:sz w:val="18"/>
                <w:szCs w:val="18"/>
                <w:lang w:eastAsia="es-ES"/>
              </w:rPr>
            </w:pPr>
          </w:p>
        </w:tc>
        <w:tc>
          <w:tcPr>
            <w:tcW w:w="4610" w:type="dxa"/>
            <w:tcBorders>
              <w:top w:val="nil"/>
              <w:left w:val="nil"/>
              <w:bottom w:val="single" w:sz="4" w:space="0" w:color="auto"/>
              <w:right w:val="single" w:sz="4" w:space="0" w:color="auto"/>
            </w:tcBorders>
            <w:shd w:val="clear" w:color="auto" w:fill="auto"/>
            <w:vAlign w:val="center"/>
          </w:tcPr>
          <w:p w14:paraId="38AE3D7E"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p>
        </w:tc>
        <w:tc>
          <w:tcPr>
            <w:tcW w:w="840" w:type="dxa"/>
            <w:tcBorders>
              <w:top w:val="nil"/>
              <w:left w:val="nil"/>
              <w:bottom w:val="single" w:sz="4" w:space="0" w:color="auto"/>
              <w:right w:val="single" w:sz="4" w:space="0" w:color="auto"/>
            </w:tcBorders>
            <w:shd w:val="clear" w:color="auto" w:fill="auto"/>
            <w:vAlign w:val="center"/>
          </w:tcPr>
          <w:p w14:paraId="0F79EBCF" w14:textId="77777777" w:rsidR="003E69A5" w:rsidRPr="003F7F6C" w:rsidRDefault="003E69A5" w:rsidP="00D25E0D">
            <w:pPr>
              <w:spacing w:after="0"/>
              <w:rPr>
                <w:rFonts w:eastAsia="Times New Roman" w:cs="Calibri"/>
                <w:color w:val="000000"/>
                <w:sz w:val="18"/>
                <w:szCs w:val="18"/>
                <w:lang w:eastAsia="es-ES"/>
              </w:rPr>
            </w:pPr>
          </w:p>
        </w:tc>
        <w:tc>
          <w:tcPr>
            <w:tcW w:w="850" w:type="dxa"/>
            <w:tcBorders>
              <w:top w:val="nil"/>
              <w:left w:val="nil"/>
              <w:bottom w:val="single" w:sz="4" w:space="0" w:color="auto"/>
              <w:right w:val="single" w:sz="4" w:space="0" w:color="auto"/>
            </w:tcBorders>
            <w:shd w:val="clear" w:color="auto" w:fill="auto"/>
            <w:vAlign w:val="center"/>
          </w:tcPr>
          <w:p w14:paraId="5358204A" w14:textId="1D44CAEC"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77</w:t>
            </w:r>
            <w:r w:rsidR="00FB6D2D" w:rsidRPr="003F7F6C">
              <w:rPr>
                <w:rFonts w:eastAsia="Times New Roman" w:cs="Calibri"/>
                <w:color w:val="000000"/>
                <w:sz w:val="18"/>
                <w:szCs w:val="18"/>
                <w:lang w:eastAsia="es-ES"/>
              </w:rPr>
              <w:t>.</w:t>
            </w:r>
            <w:r w:rsidRPr="003F7F6C">
              <w:rPr>
                <w:rFonts w:eastAsia="Times New Roman" w:cs="Calibri"/>
                <w:color w:val="000000"/>
                <w:sz w:val="18"/>
                <w:szCs w:val="18"/>
                <w:lang w:eastAsia="es-ES"/>
              </w:rPr>
              <w:t>7%</w:t>
            </w:r>
          </w:p>
        </w:tc>
        <w:tc>
          <w:tcPr>
            <w:tcW w:w="2552" w:type="dxa"/>
            <w:tcBorders>
              <w:top w:val="nil"/>
              <w:left w:val="nil"/>
              <w:bottom w:val="single" w:sz="4" w:space="0" w:color="auto"/>
              <w:right w:val="single" w:sz="4" w:space="0" w:color="auto"/>
            </w:tcBorders>
            <w:shd w:val="clear" w:color="auto" w:fill="auto"/>
            <w:vAlign w:val="center"/>
          </w:tcPr>
          <w:p w14:paraId="76DBAAA5" w14:textId="77777777" w:rsidR="003E69A5" w:rsidRPr="003F7F6C" w:rsidRDefault="003E69A5" w:rsidP="00D25E0D">
            <w:pPr>
              <w:spacing w:after="0"/>
              <w:rPr>
                <w:rFonts w:eastAsia="Times New Roman" w:cs="Calibri"/>
                <w:color w:val="000000"/>
                <w:sz w:val="18"/>
                <w:szCs w:val="18"/>
                <w:lang w:eastAsia="es-ES"/>
              </w:rPr>
            </w:pPr>
          </w:p>
        </w:tc>
        <w:tc>
          <w:tcPr>
            <w:tcW w:w="2126" w:type="dxa"/>
            <w:tcBorders>
              <w:top w:val="nil"/>
              <w:left w:val="nil"/>
              <w:bottom w:val="single" w:sz="4" w:space="0" w:color="auto"/>
              <w:right w:val="single" w:sz="4" w:space="0" w:color="auto"/>
            </w:tcBorders>
            <w:shd w:val="clear" w:color="auto" w:fill="auto"/>
            <w:vAlign w:val="center"/>
          </w:tcPr>
          <w:p w14:paraId="642E6E21" w14:textId="77777777" w:rsidR="003E69A5" w:rsidRPr="003F7F6C" w:rsidRDefault="003E69A5" w:rsidP="00D25E0D">
            <w:pPr>
              <w:spacing w:after="0"/>
              <w:rPr>
                <w:rFonts w:eastAsia="Times New Roman" w:cs="Calibri"/>
                <w:color w:val="000000"/>
                <w:sz w:val="18"/>
                <w:szCs w:val="18"/>
                <w:lang w:eastAsia="es-ES"/>
              </w:rPr>
            </w:pPr>
          </w:p>
        </w:tc>
        <w:tc>
          <w:tcPr>
            <w:tcW w:w="1687" w:type="dxa"/>
            <w:tcBorders>
              <w:top w:val="nil"/>
              <w:left w:val="nil"/>
              <w:bottom w:val="single" w:sz="4" w:space="0" w:color="auto"/>
              <w:right w:val="single" w:sz="4" w:space="0" w:color="auto"/>
            </w:tcBorders>
            <w:shd w:val="clear" w:color="auto" w:fill="auto"/>
            <w:vAlign w:val="center"/>
          </w:tcPr>
          <w:p w14:paraId="6443E14C"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55DD39E7" w14:textId="77777777" w:rsidTr="00D25E0D">
        <w:trPr>
          <w:trHeight w:val="300"/>
        </w:trPr>
        <w:tc>
          <w:tcPr>
            <w:tcW w:w="14440" w:type="dxa"/>
            <w:gridSpan w:val="7"/>
            <w:tcBorders>
              <w:top w:val="single" w:sz="4" w:space="0" w:color="auto"/>
              <w:left w:val="single" w:sz="4" w:space="0" w:color="auto"/>
              <w:bottom w:val="single" w:sz="4" w:space="0" w:color="auto"/>
              <w:right w:val="single" w:sz="4" w:space="0" w:color="auto"/>
            </w:tcBorders>
            <w:shd w:val="clear" w:color="000000" w:fill="D9D9D9"/>
            <w:vAlign w:val="center"/>
            <w:hideMark/>
          </w:tcPr>
          <w:p w14:paraId="41D2FA68"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CR 4: Capacities for Management and Implementation</w:t>
            </w:r>
          </w:p>
        </w:tc>
      </w:tr>
      <w:tr w:rsidR="003E69A5" w:rsidRPr="003F7F6C" w14:paraId="62D2CA72" w14:textId="77777777" w:rsidTr="00D25E0D">
        <w:trPr>
          <w:trHeight w:val="300"/>
        </w:trPr>
        <w:tc>
          <w:tcPr>
            <w:tcW w:w="177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3032FC2"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cs="Calibri"/>
                <w:sz w:val="18"/>
                <w:szCs w:val="18"/>
              </w:rPr>
              <w:t>Indicator 12: Existence and mobilization of resources</w:t>
            </w:r>
            <w:r w:rsidRPr="003F7F6C">
              <w:rPr>
                <w:rFonts w:eastAsia="Times New Roman" w:cs="Calibri"/>
                <w:color w:val="000000"/>
                <w:sz w:val="18"/>
                <w:szCs w:val="18"/>
                <w:lang w:eastAsia="es-ES"/>
              </w:rPr>
              <w:t xml:space="preserve"> </w:t>
            </w:r>
          </w:p>
        </w:tc>
        <w:tc>
          <w:tcPr>
            <w:tcW w:w="4610" w:type="dxa"/>
            <w:tcBorders>
              <w:top w:val="single" w:sz="4" w:space="0" w:color="auto"/>
              <w:left w:val="nil"/>
              <w:bottom w:val="single" w:sz="4" w:space="0" w:color="auto"/>
              <w:right w:val="single" w:sz="4" w:space="0" w:color="auto"/>
            </w:tcBorders>
            <w:shd w:val="clear" w:color="auto" w:fill="auto"/>
            <w:vAlign w:val="center"/>
            <w:hideMark/>
          </w:tcPr>
          <w:p w14:paraId="4C4BDAFA"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The environmental organizations don’t have adequate resources for their programmes and projects and the</w:t>
            </w:r>
          </w:p>
          <w:p w14:paraId="151C76D3" w14:textId="77777777" w:rsidR="003E69A5" w:rsidRPr="003F7F6C" w:rsidRDefault="003E69A5" w:rsidP="00D25E0D">
            <w:pPr>
              <w:spacing w:after="0"/>
              <w:rPr>
                <w:rFonts w:eastAsia="Times New Roman" w:cs="Calibri"/>
                <w:color w:val="000000"/>
                <w:sz w:val="18"/>
                <w:szCs w:val="18"/>
                <w:lang w:eastAsia="es-ES"/>
              </w:rPr>
            </w:pPr>
            <w:r w:rsidRPr="003F7F6C">
              <w:rPr>
                <w:rFonts w:cs="Calibri"/>
                <w:sz w:val="18"/>
                <w:szCs w:val="18"/>
              </w:rPr>
              <w:t>requirements have not been assessed</w:t>
            </w:r>
          </w:p>
        </w:tc>
        <w:tc>
          <w:tcPr>
            <w:tcW w:w="840" w:type="dxa"/>
            <w:tcBorders>
              <w:top w:val="single" w:sz="4" w:space="0" w:color="auto"/>
              <w:left w:val="nil"/>
              <w:bottom w:val="single" w:sz="4" w:space="0" w:color="auto"/>
              <w:right w:val="single" w:sz="4" w:space="0" w:color="auto"/>
            </w:tcBorders>
            <w:shd w:val="clear" w:color="auto" w:fill="auto"/>
            <w:vAlign w:val="center"/>
            <w:hideMark/>
          </w:tcPr>
          <w:p w14:paraId="00073381"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2F4F8DD8"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1A0150DE"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F881B02"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87" w:type="dxa"/>
            <w:tcBorders>
              <w:top w:val="single" w:sz="4" w:space="0" w:color="auto"/>
              <w:left w:val="nil"/>
              <w:bottom w:val="single" w:sz="4" w:space="0" w:color="auto"/>
              <w:right w:val="single" w:sz="4" w:space="0" w:color="auto"/>
            </w:tcBorders>
            <w:shd w:val="clear" w:color="auto" w:fill="auto"/>
            <w:vAlign w:val="center"/>
            <w:hideMark/>
          </w:tcPr>
          <w:p w14:paraId="6380E4B4"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57FCEDB6" w14:textId="77777777" w:rsidTr="00D25E0D">
        <w:trPr>
          <w:trHeight w:val="300"/>
        </w:trPr>
        <w:tc>
          <w:tcPr>
            <w:tcW w:w="1775" w:type="dxa"/>
            <w:vMerge/>
            <w:tcBorders>
              <w:top w:val="single" w:sz="4" w:space="0" w:color="auto"/>
              <w:left w:val="single" w:sz="4" w:space="0" w:color="auto"/>
              <w:bottom w:val="single" w:sz="4" w:space="0" w:color="auto"/>
              <w:right w:val="single" w:sz="4" w:space="0" w:color="auto"/>
            </w:tcBorders>
            <w:vAlign w:val="center"/>
            <w:hideMark/>
          </w:tcPr>
          <w:p w14:paraId="4BAD5752" w14:textId="77777777" w:rsidR="003E69A5" w:rsidRPr="003F7F6C" w:rsidRDefault="003E69A5" w:rsidP="00D25E0D">
            <w:pPr>
              <w:spacing w:after="0"/>
              <w:rPr>
                <w:rFonts w:eastAsia="Times New Roman" w:cs="Calibri"/>
                <w:color w:val="000000"/>
                <w:sz w:val="18"/>
                <w:szCs w:val="18"/>
                <w:lang w:eastAsia="es-ES"/>
              </w:rPr>
            </w:pPr>
          </w:p>
        </w:tc>
        <w:tc>
          <w:tcPr>
            <w:tcW w:w="4610" w:type="dxa"/>
            <w:tcBorders>
              <w:top w:val="single" w:sz="4" w:space="0" w:color="auto"/>
              <w:left w:val="nil"/>
              <w:bottom w:val="single" w:sz="4" w:space="0" w:color="auto"/>
              <w:right w:val="single" w:sz="4" w:space="0" w:color="auto"/>
            </w:tcBorders>
            <w:shd w:val="clear" w:color="auto" w:fill="auto"/>
            <w:vAlign w:val="center"/>
            <w:hideMark/>
          </w:tcPr>
          <w:p w14:paraId="53FBD1CF"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The resource requirements are known but are not being addressed</w:t>
            </w:r>
          </w:p>
        </w:tc>
        <w:tc>
          <w:tcPr>
            <w:tcW w:w="840" w:type="dxa"/>
            <w:tcBorders>
              <w:top w:val="single" w:sz="4" w:space="0" w:color="auto"/>
              <w:left w:val="nil"/>
              <w:bottom w:val="single" w:sz="4" w:space="0" w:color="auto"/>
              <w:right w:val="single" w:sz="4" w:space="0" w:color="auto"/>
            </w:tcBorders>
            <w:shd w:val="clear" w:color="auto" w:fill="auto"/>
            <w:vAlign w:val="center"/>
            <w:hideMark/>
          </w:tcPr>
          <w:p w14:paraId="7EACD70D"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47C2FA4B"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1E08F0BB"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5807F579"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87" w:type="dxa"/>
            <w:tcBorders>
              <w:top w:val="single" w:sz="4" w:space="0" w:color="auto"/>
              <w:left w:val="nil"/>
              <w:bottom w:val="single" w:sz="4" w:space="0" w:color="auto"/>
              <w:right w:val="single" w:sz="4" w:space="0" w:color="auto"/>
            </w:tcBorders>
            <w:shd w:val="clear" w:color="auto" w:fill="auto"/>
            <w:vAlign w:val="center"/>
            <w:hideMark/>
          </w:tcPr>
          <w:p w14:paraId="4460FDFF"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77BAC722" w14:textId="77777777" w:rsidTr="00D25E0D">
        <w:trPr>
          <w:trHeight w:val="300"/>
        </w:trPr>
        <w:tc>
          <w:tcPr>
            <w:tcW w:w="1775" w:type="dxa"/>
            <w:vMerge/>
            <w:tcBorders>
              <w:top w:val="single" w:sz="4" w:space="0" w:color="auto"/>
              <w:left w:val="single" w:sz="4" w:space="0" w:color="auto"/>
              <w:bottom w:val="single" w:sz="4" w:space="0" w:color="auto"/>
              <w:right w:val="single" w:sz="4" w:space="0" w:color="auto"/>
            </w:tcBorders>
            <w:vAlign w:val="center"/>
            <w:hideMark/>
          </w:tcPr>
          <w:p w14:paraId="1D38434C" w14:textId="77777777" w:rsidR="003E69A5" w:rsidRPr="003F7F6C" w:rsidRDefault="003E69A5" w:rsidP="00D25E0D">
            <w:pPr>
              <w:spacing w:after="0"/>
              <w:rPr>
                <w:rFonts w:eastAsia="Times New Roman" w:cs="Calibri"/>
                <w:color w:val="000000"/>
                <w:sz w:val="18"/>
                <w:szCs w:val="18"/>
                <w:lang w:eastAsia="es-ES"/>
              </w:rPr>
            </w:pPr>
          </w:p>
        </w:tc>
        <w:tc>
          <w:tcPr>
            <w:tcW w:w="4610" w:type="dxa"/>
            <w:tcBorders>
              <w:top w:val="single" w:sz="4" w:space="0" w:color="auto"/>
              <w:left w:val="nil"/>
              <w:bottom w:val="single" w:sz="4" w:space="0" w:color="auto"/>
              <w:right w:val="single" w:sz="4" w:space="0" w:color="auto"/>
            </w:tcBorders>
            <w:shd w:val="clear" w:color="auto" w:fill="auto"/>
            <w:vAlign w:val="center"/>
            <w:hideMark/>
          </w:tcPr>
          <w:p w14:paraId="127A8ED5"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The funding sources for these resource requirements are partially identified and the resource requirements are partially addressed</w:t>
            </w:r>
          </w:p>
        </w:tc>
        <w:tc>
          <w:tcPr>
            <w:tcW w:w="840" w:type="dxa"/>
            <w:tcBorders>
              <w:top w:val="single" w:sz="4" w:space="0" w:color="auto"/>
              <w:left w:val="nil"/>
              <w:bottom w:val="single" w:sz="4" w:space="0" w:color="auto"/>
              <w:right w:val="single" w:sz="4" w:space="0" w:color="auto"/>
            </w:tcBorders>
            <w:shd w:val="clear" w:color="auto" w:fill="auto"/>
            <w:vAlign w:val="center"/>
            <w:hideMark/>
          </w:tcPr>
          <w:p w14:paraId="02C63B27"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2</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09D7FC5F"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3DF97AA4"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26E2C3E8"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Need to strengthen mechanisms for effective ELUP implementation</w:t>
            </w:r>
          </w:p>
        </w:tc>
        <w:tc>
          <w:tcPr>
            <w:tcW w:w="1687" w:type="dxa"/>
            <w:tcBorders>
              <w:top w:val="single" w:sz="4" w:space="0" w:color="auto"/>
              <w:left w:val="nil"/>
              <w:bottom w:val="single" w:sz="4" w:space="0" w:color="auto"/>
              <w:right w:val="single" w:sz="4" w:space="0" w:color="auto"/>
            </w:tcBorders>
            <w:shd w:val="clear" w:color="auto" w:fill="auto"/>
            <w:vAlign w:val="center"/>
            <w:hideMark/>
          </w:tcPr>
          <w:p w14:paraId="648259C5"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33F0E1F8" w14:textId="77777777" w:rsidTr="00D25E0D">
        <w:trPr>
          <w:trHeight w:val="300"/>
        </w:trPr>
        <w:tc>
          <w:tcPr>
            <w:tcW w:w="1775" w:type="dxa"/>
            <w:vMerge/>
            <w:tcBorders>
              <w:top w:val="nil"/>
              <w:left w:val="single" w:sz="4" w:space="0" w:color="auto"/>
              <w:bottom w:val="single" w:sz="4" w:space="0" w:color="auto"/>
              <w:right w:val="single" w:sz="4" w:space="0" w:color="auto"/>
            </w:tcBorders>
            <w:vAlign w:val="center"/>
            <w:hideMark/>
          </w:tcPr>
          <w:p w14:paraId="53766B1F" w14:textId="77777777" w:rsidR="003E69A5" w:rsidRPr="003F7F6C" w:rsidRDefault="003E69A5" w:rsidP="00D25E0D">
            <w:pPr>
              <w:spacing w:after="0"/>
              <w:rPr>
                <w:rFonts w:eastAsia="Times New Roman" w:cs="Calibri"/>
                <w:color w:val="000000"/>
                <w:sz w:val="18"/>
                <w:szCs w:val="18"/>
                <w:lang w:eastAsia="es-ES"/>
              </w:rPr>
            </w:pPr>
          </w:p>
        </w:tc>
        <w:tc>
          <w:tcPr>
            <w:tcW w:w="4610" w:type="dxa"/>
            <w:tcBorders>
              <w:top w:val="nil"/>
              <w:left w:val="nil"/>
              <w:bottom w:val="single" w:sz="4" w:space="0" w:color="auto"/>
              <w:right w:val="single" w:sz="4" w:space="0" w:color="auto"/>
            </w:tcBorders>
            <w:shd w:val="clear" w:color="auto" w:fill="auto"/>
            <w:vAlign w:val="center"/>
            <w:hideMark/>
          </w:tcPr>
          <w:p w14:paraId="00F86333"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Adequate resources are mobilized and available for the functioning of the lead environmental</w:t>
            </w:r>
          </w:p>
          <w:p w14:paraId="54025452" w14:textId="77777777" w:rsidR="003E69A5" w:rsidRPr="003F7F6C" w:rsidRDefault="003E69A5" w:rsidP="00D25E0D">
            <w:pPr>
              <w:spacing w:after="0"/>
              <w:rPr>
                <w:rFonts w:eastAsia="Times New Roman" w:cs="Calibri"/>
                <w:color w:val="000000"/>
                <w:sz w:val="18"/>
                <w:szCs w:val="18"/>
                <w:lang w:eastAsia="es-ES"/>
              </w:rPr>
            </w:pPr>
            <w:r w:rsidRPr="003F7F6C">
              <w:rPr>
                <w:rFonts w:cs="Calibri"/>
                <w:sz w:val="18"/>
                <w:szCs w:val="18"/>
              </w:rPr>
              <w:t>organizations</w:t>
            </w:r>
          </w:p>
        </w:tc>
        <w:tc>
          <w:tcPr>
            <w:tcW w:w="840" w:type="dxa"/>
            <w:tcBorders>
              <w:top w:val="nil"/>
              <w:left w:val="nil"/>
              <w:bottom w:val="single" w:sz="4" w:space="0" w:color="auto"/>
              <w:right w:val="single" w:sz="4" w:space="0" w:color="auto"/>
            </w:tcBorders>
            <w:shd w:val="clear" w:color="auto" w:fill="auto"/>
            <w:vAlign w:val="center"/>
            <w:hideMark/>
          </w:tcPr>
          <w:p w14:paraId="7869C1DA"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3</w:t>
            </w:r>
          </w:p>
        </w:tc>
        <w:tc>
          <w:tcPr>
            <w:tcW w:w="850" w:type="dxa"/>
            <w:tcBorders>
              <w:top w:val="nil"/>
              <w:left w:val="nil"/>
              <w:bottom w:val="single" w:sz="4" w:space="0" w:color="auto"/>
              <w:right w:val="single" w:sz="4" w:space="0" w:color="auto"/>
            </w:tcBorders>
            <w:shd w:val="clear" w:color="auto" w:fill="auto"/>
            <w:vAlign w:val="center"/>
            <w:hideMark/>
          </w:tcPr>
          <w:p w14:paraId="0C3EBB5D"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552" w:type="dxa"/>
            <w:tcBorders>
              <w:top w:val="nil"/>
              <w:left w:val="nil"/>
              <w:bottom w:val="single" w:sz="4" w:space="0" w:color="auto"/>
              <w:right w:val="single" w:sz="4" w:space="0" w:color="auto"/>
            </w:tcBorders>
            <w:shd w:val="clear" w:color="auto" w:fill="auto"/>
            <w:vAlign w:val="center"/>
            <w:hideMark/>
          </w:tcPr>
          <w:p w14:paraId="5DA6994D"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126" w:type="dxa"/>
            <w:tcBorders>
              <w:top w:val="nil"/>
              <w:left w:val="nil"/>
              <w:bottom w:val="single" w:sz="4" w:space="0" w:color="auto"/>
              <w:right w:val="single" w:sz="4" w:space="0" w:color="auto"/>
            </w:tcBorders>
            <w:shd w:val="clear" w:color="auto" w:fill="auto"/>
            <w:vAlign w:val="center"/>
            <w:hideMark/>
          </w:tcPr>
          <w:p w14:paraId="5B5419DB"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87" w:type="dxa"/>
            <w:tcBorders>
              <w:top w:val="nil"/>
              <w:left w:val="nil"/>
              <w:bottom w:val="single" w:sz="4" w:space="0" w:color="auto"/>
              <w:right w:val="single" w:sz="4" w:space="0" w:color="auto"/>
            </w:tcBorders>
            <w:shd w:val="clear" w:color="auto" w:fill="auto"/>
            <w:vAlign w:val="center"/>
            <w:hideMark/>
          </w:tcPr>
          <w:p w14:paraId="4470BC34"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7A361BDB" w14:textId="77777777" w:rsidTr="00D25E0D">
        <w:trPr>
          <w:trHeight w:val="300"/>
        </w:trPr>
        <w:tc>
          <w:tcPr>
            <w:tcW w:w="177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B19C115"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cs="Calibri"/>
                <w:sz w:val="18"/>
                <w:szCs w:val="18"/>
              </w:rPr>
              <w:t>Indicator 13: Availability of required technical skills and technology transfer</w:t>
            </w:r>
          </w:p>
        </w:tc>
        <w:tc>
          <w:tcPr>
            <w:tcW w:w="46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611223C"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The necessary required skills and technology are not available and the needs are not identified</w:t>
            </w:r>
          </w:p>
        </w:tc>
        <w:tc>
          <w:tcPr>
            <w:tcW w:w="8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5B4F4F"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BFE58AC"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79CA98F"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219C14"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46D8FE6"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14C12AFA" w14:textId="77777777" w:rsidTr="00D25E0D">
        <w:trPr>
          <w:trHeight w:val="300"/>
        </w:trPr>
        <w:tc>
          <w:tcPr>
            <w:tcW w:w="1775" w:type="dxa"/>
            <w:vMerge/>
            <w:tcBorders>
              <w:top w:val="single" w:sz="4" w:space="0" w:color="auto"/>
              <w:left w:val="single" w:sz="4" w:space="0" w:color="auto"/>
              <w:bottom w:val="single" w:sz="4" w:space="0" w:color="auto"/>
              <w:right w:val="single" w:sz="4" w:space="0" w:color="auto"/>
            </w:tcBorders>
            <w:vAlign w:val="center"/>
            <w:hideMark/>
          </w:tcPr>
          <w:p w14:paraId="08D78E55" w14:textId="77777777" w:rsidR="003E69A5" w:rsidRPr="003F7F6C" w:rsidRDefault="003E69A5" w:rsidP="00D25E0D">
            <w:pPr>
              <w:spacing w:after="0"/>
              <w:rPr>
                <w:rFonts w:eastAsia="Times New Roman" w:cs="Calibri"/>
                <w:color w:val="000000"/>
                <w:sz w:val="18"/>
                <w:szCs w:val="18"/>
                <w:lang w:eastAsia="es-ES"/>
              </w:rPr>
            </w:pPr>
          </w:p>
        </w:tc>
        <w:tc>
          <w:tcPr>
            <w:tcW w:w="46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7C0A66"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The required skills and technologies needs are identified as well as their sources</w:t>
            </w:r>
          </w:p>
        </w:tc>
        <w:tc>
          <w:tcPr>
            <w:tcW w:w="8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1A7DBBF"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FA60F6B"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0AA5E55"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2F189EB"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44C834"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2B186B6F" w14:textId="77777777" w:rsidTr="00D25E0D">
        <w:trPr>
          <w:trHeight w:val="300"/>
        </w:trPr>
        <w:tc>
          <w:tcPr>
            <w:tcW w:w="1775" w:type="dxa"/>
            <w:vMerge/>
            <w:tcBorders>
              <w:top w:val="single" w:sz="4" w:space="0" w:color="auto"/>
              <w:left w:val="single" w:sz="4" w:space="0" w:color="auto"/>
              <w:bottom w:val="single" w:sz="4" w:space="0" w:color="auto"/>
              <w:right w:val="single" w:sz="4" w:space="0" w:color="auto"/>
            </w:tcBorders>
            <w:vAlign w:val="center"/>
            <w:hideMark/>
          </w:tcPr>
          <w:p w14:paraId="519A7DDE" w14:textId="77777777" w:rsidR="003E69A5" w:rsidRPr="003F7F6C" w:rsidRDefault="003E69A5" w:rsidP="00D25E0D">
            <w:pPr>
              <w:spacing w:after="0"/>
              <w:rPr>
                <w:rFonts w:eastAsia="Times New Roman" w:cs="Calibri"/>
                <w:color w:val="000000"/>
                <w:sz w:val="18"/>
                <w:szCs w:val="18"/>
                <w:lang w:eastAsia="es-ES"/>
              </w:rPr>
            </w:pPr>
          </w:p>
        </w:tc>
        <w:tc>
          <w:tcPr>
            <w:tcW w:w="46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EDB82F5"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The required skills and technologies are obtained but their access depend on foreign sources</w:t>
            </w:r>
          </w:p>
        </w:tc>
        <w:tc>
          <w:tcPr>
            <w:tcW w:w="8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3BAFF2"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D9A092" w14:textId="77777777" w:rsidR="003E69A5" w:rsidRPr="003F7F6C" w:rsidRDefault="003E69A5" w:rsidP="00D25E0D">
            <w:pPr>
              <w:spacing w:after="0"/>
              <w:rPr>
                <w:rFonts w:eastAsia="Times New Roman" w:cs="Calibri"/>
                <w:color w:val="000000"/>
                <w:sz w:val="18"/>
                <w:szCs w:val="18"/>
                <w:lang w:eastAsia="es-ES"/>
              </w:rPr>
            </w:pP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9F1C9B7"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BD47906"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33CBA6"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0A482CD9" w14:textId="77777777" w:rsidTr="00D25E0D">
        <w:trPr>
          <w:trHeight w:val="2404"/>
        </w:trPr>
        <w:tc>
          <w:tcPr>
            <w:tcW w:w="1775" w:type="dxa"/>
            <w:vMerge/>
            <w:tcBorders>
              <w:top w:val="single" w:sz="4" w:space="0" w:color="auto"/>
              <w:left w:val="single" w:sz="4" w:space="0" w:color="auto"/>
              <w:bottom w:val="single" w:sz="4" w:space="0" w:color="auto"/>
              <w:right w:val="single" w:sz="4" w:space="0" w:color="auto"/>
            </w:tcBorders>
            <w:vAlign w:val="center"/>
            <w:hideMark/>
          </w:tcPr>
          <w:p w14:paraId="62DE49C7" w14:textId="77777777" w:rsidR="003E69A5" w:rsidRPr="003F7F6C" w:rsidRDefault="003E69A5" w:rsidP="00D25E0D">
            <w:pPr>
              <w:spacing w:after="0"/>
              <w:rPr>
                <w:rFonts w:eastAsia="Times New Roman" w:cs="Calibri"/>
                <w:color w:val="000000"/>
                <w:sz w:val="18"/>
                <w:szCs w:val="18"/>
                <w:lang w:eastAsia="es-ES"/>
              </w:rPr>
            </w:pPr>
          </w:p>
        </w:tc>
        <w:tc>
          <w:tcPr>
            <w:tcW w:w="46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4C149F0"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The required skills and technologies are available and there is a national-based mechanism for updating the required skills and for upgrading the technologies</w:t>
            </w:r>
          </w:p>
        </w:tc>
        <w:tc>
          <w:tcPr>
            <w:tcW w:w="8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3E2C38"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3</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A332462"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7077461"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xml:space="preserve">  </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4089098" w14:textId="77777777" w:rsidR="003E69A5" w:rsidRPr="003F7F6C" w:rsidRDefault="003E69A5" w:rsidP="00D25E0D">
            <w:pPr>
              <w:spacing w:after="0"/>
              <w:rPr>
                <w:rFonts w:eastAsia="Times New Roman" w:cs="Calibri"/>
                <w:color w:val="000000"/>
                <w:sz w:val="18"/>
                <w:szCs w:val="18"/>
                <w:lang w:val="es-PY" w:eastAsia="es-ES"/>
              </w:rPr>
            </w:pPr>
            <w:r w:rsidRPr="003F7F6C">
              <w:rPr>
                <w:rFonts w:eastAsia="Times New Roman" w:cs="Calibri"/>
                <w:color w:val="000000"/>
                <w:sz w:val="18"/>
                <w:szCs w:val="18"/>
                <w:lang w:eastAsia="es-ES"/>
              </w:rPr>
              <w:t xml:space="preserve">Municipal level financing and capacity needs to be strengthened. </w:t>
            </w:r>
            <w:r w:rsidRPr="003F7F6C">
              <w:rPr>
                <w:rFonts w:eastAsia="Times New Roman" w:cs="Calibri"/>
                <w:color w:val="000000"/>
                <w:sz w:val="18"/>
                <w:szCs w:val="18"/>
                <w:lang w:val="es-PY" w:eastAsia="es-ES"/>
              </w:rPr>
              <w:t>Sustainability of mechanisms and transfers to municipalities. </w:t>
            </w:r>
          </w:p>
        </w:tc>
        <w:tc>
          <w:tcPr>
            <w:tcW w:w="16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79FEB83" w14:textId="77777777" w:rsidR="003E69A5" w:rsidRPr="003F7F6C" w:rsidRDefault="003E69A5" w:rsidP="00D25E0D">
            <w:pPr>
              <w:spacing w:after="0"/>
              <w:rPr>
                <w:rFonts w:eastAsia="Times New Roman" w:cs="Calibri"/>
                <w:color w:val="000000"/>
                <w:sz w:val="18"/>
                <w:szCs w:val="18"/>
                <w:lang w:val="es-PY" w:eastAsia="es-ES"/>
              </w:rPr>
            </w:pPr>
            <w:r w:rsidRPr="003F7F6C">
              <w:rPr>
                <w:rFonts w:eastAsia="Times New Roman" w:cs="Calibri"/>
                <w:color w:val="000000"/>
                <w:sz w:val="18"/>
                <w:szCs w:val="18"/>
                <w:lang w:val="es-PY" w:eastAsia="es-ES"/>
              </w:rPr>
              <w:t> </w:t>
            </w:r>
          </w:p>
          <w:p w14:paraId="5D1AE7B1" w14:textId="77777777" w:rsidR="003E69A5" w:rsidRPr="003F7F6C" w:rsidRDefault="003E69A5" w:rsidP="00D25E0D">
            <w:pPr>
              <w:spacing w:after="0"/>
              <w:rPr>
                <w:rFonts w:eastAsia="Times New Roman" w:cs="Calibri"/>
                <w:color w:val="000000"/>
                <w:sz w:val="18"/>
                <w:szCs w:val="18"/>
                <w:lang w:val="es-PY" w:eastAsia="es-ES"/>
              </w:rPr>
            </w:pPr>
          </w:p>
          <w:p w14:paraId="6C3748BD" w14:textId="77777777" w:rsidR="003E69A5" w:rsidRPr="003F7F6C" w:rsidRDefault="003E69A5" w:rsidP="00D25E0D">
            <w:pPr>
              <w:spacing w:after="0"/>
              <w:rPr>
                <w:rFonts w:eastAsia="Times New Roman" w:cs="Calibri"/>
                <w:color w:val="000000"/>
                <w:sz w:val="18"/>
                <w:szCs w:val="18"/>
                <w:lang w:val="es-PY" w:eastAsia="es-ES"/>
              </w:rPr>
            </w:pPr>
          </w:p>
          <w:p w14:paraId="1FEE79E4" w14:textId="77777777" w:rsidR="003E69A5" w:rsidRPr="003F7F6C" w:rsidRDefault="003E69A5" w:rsidP="00D25E0D">
            <w:pPr>
              <w:spacing w:after="0"/>
              <w:rPr>
                <w:rFonts w:eastAsia="Times New Roman" w:cs="Calibri"/>
                <w:color w:val="000000"/>
                <w:sz w:val="18"/>
                <w:szCs w:val="18"/>
                <w:lang w:val="es-PY" w:eastAsia="es-ES"/>
              </w:rPr>
            </w:pPr>
          </w:p>
          <w:p w14:paraId="1AC6E3CA" w14:textId="77777777" w:rsidR="003E69A5" w:rsidRPr="003F7F6C" w:rsidRDefault="003E69A5" w:rsidP="00D25E0D">
            <w:pPr>
              <w:spacing w:after="0"/>
              <w:rPr>
                <w:rFonts w:eastAsia="Times New Roman" w:cs="Calibri"/>
                <w:color w:val="000000"/>
                <w:sz w:val="18"/>
                <w:szCs w:val="18"/>
                <w:lang w:val="es-PY" w:eastAsia="es-ES"/>
              </w:rPr>
            </w:pPr>
          </w:p>
          <w:p w14:paraId="5B1D8C8E" w14:textId="77777777" w:rsidR="003E69A5" w:rsidRPr="003F7F6C" w:rsidRDefault="003E69A5" w:rsidP="00D25E0D">
            <w:pPr>
              <w:spacing w:after="0"/>
              <w:rPr>
                <w:rFonts w:eastAsia="Times New Roman" w:cs="Calibri"/>
                <w:color w:val="000000"/>
                <w:sz w:val="18"/>
                <w:szCs w:val="18"/>
                <w:lang w:val="es-PY" w:eastAsia="es-ES"/>
              </w:rPr>
            </w:pPr>
          </w:p>
          <w:p w14:paraId="17A60B11" w14:textId="77777777" w:rsidR="003E69A5" w:rsidRPr="003F7F6C" w:rsidRDefault="003E69A5" w:rsidP="00D25E0D">
            <w:pPr>
              <w:spacing w:after="0"/>
              <w:rPr>
                <w:rFonts w:eastAsia="Times New Roman" w:cs="Calibri"/>
                <w:color w:val="000000"/>
                <w:sz w:val="18"/>
                <w:szCs w:val="18"/>
                <w:lang w:val="es-PY" w:eastAsia="es-ES"/>
              </w:rPr>
            </w:pPr>
          </w:p>
          <w:p w14:paraId="580338BB" w14:textId="77777777" w:rsidR="003E69A5" w:rsidRPr="003F7F6C" w:rsidRDefault="003E69A5" w:rsidP="00D25E0D">
            <w:pPr>
              <w:spacing w:after="0"/>
              <w:rPr>
                <w:rFonts w:eastAsia="Times New Roman" w:cs="Calibri"/>
                <w:color w:val="000000"/>
                <w:sz w:val="18"/>
                <w:szCs w:val="18"/>
                <w:lang w:val="es-PY" w:eastAsia="es-ES"/>
              </w:rPr>
            </w:pPr>
          </w:p>
          <w:p w14:paraId="0EA4488F" w14:textId="77777777" w:rsidR="003E69A5" w:rsidRPr="003F7F6C" w:rsidRDefault="003E69A5" w:rsidP="00D25E0D">
            <w:pPr>
              <w:spacing w:after="0"/>
              <w:rPr>
                <w:rFonts w:eastAsia="Times New Roman" w:cs="Calibri"/>
                <w:color w:val="000000"/>
                <w:sz w:val="18"/>
                <w:szCs w:val="18"/>
                <w:lang w:val="es-PY" w:eastAsia="es-ES"/>
              </w:rPr>
            </w:pPr>
          </w:p>
          <w:p w14:paraId="4F805BA2" w14:textId="77777777" w:rsidR="003E69A5" w:rsidRPr="003F7F6C" w:rsidRDefault="003E69A5" w:rsidP="00D25E0D">
            <w:pPr>
              <w:spacing w:after="0"/>
              <w:rPr>
                <w:rFonts w:eastAsia="Times New Roman" w:cs="Calibri"/>
                <w:color w:val="000000"/>
                <w:sz w:val="18"/>
                <w:szCs w:val="18"/>
                <w:lang w:val="es-PY" w:eastAsia="es-ES"/>
              </w:rPr>
            </w:pPr>
          </w:p>
        </w:tc>
      </w:tr>
      <w:tr w:rsidR="003E69A5" w:rsidRPr="003F7F6C" w14:paraId="336D09E3" w14:textId="77777777" w:rsidTr="00D25E0D">
        <w:trPr>
          <w:trHeight w:val="300"/>
        </w:trPr>
        <w:tc>
          <w:tcPr>
            <w:tcW w:w="1775" w:type="dxa"/>
            <w:tcBorders>
              <w:top w:val="single" w:sz="4" w:space="0" w:color="auto"/>
              <w:left w:val="single" w:sz="4" w:space="0" w:color="auto"/>
              <w:bottom w:val="single" w:sz="4" w:space="0" w:color="auto"/>
              <w:right w:val="single" w:sz="4" w:space="0" w:color="auto"/>
            </w:tcBorders>
            <w:vAlign w:val="center"/>
          </w:tcPr>
          <w:p w14:paraId="0DED2FE4" w14:textId="77777777" w:rsidR="003E69A5" w:rsidRPr="003F7F6C" w:rsidRDefault="003E69A5" w:rsidP="00D25E0D">
            <w:pPr>
              <w:spacing w:after="0"/>
              <w:rPr>
                <w:rFonts w:eastAsia="Times New Roman" w:cs="Calibri"/>
                <w:color w:val="000000"/>
                <w:sz w:val="18"/>
                <w:szCs w:val="18"/>
                <w:lang w:val="es-PY" w:eastAsia="es-ES"/>
              </w:rPr>
            </w:pPr>
          </w:p>
        </w:tc>
        <w:tc>
          <w:tcPr>
            <w:tcW w:w="4610" w:type="dxa"/>
            <w:tcBorders>
              <w:top w:val="single" w:sz="4" w:space="0" w:color="auto"/>
              <w:left w:val="single" w:sz="4" w:space="0" w:color="auto"/>
              <w:bottom w:val="single" w:sz="4" w:space="0" w:color="auto"/>
              <w:right w:val="single" w:sz="4" w:space="0" w:color="auto"/>
            </w:tcBorders>
            <w:shd w:val="clear" w:color="auto" w:fill="auto"/>
            <w:vAlign w:val="center"/>
          </w:tcPr>
          <w:p w14:paraId="5F52F400" w14:textId="77777777" w:rsidR="003E69A5" w:rsidRPr="003F7F6C" w:rsidRDefault="003E69A5" w:rsidP="00D25E0D">
            <w:pPr>
              <w:autoSpaceDE w:val="0"/>
              <w:autoSpaceDN w:val="0"/>
              <w:adjustRightInd w:val="0"/>
              <w:spacing w:after="0"/>
              <w:rPr>
                <w:rFonts w:eastAsia="Times New Roman" w:cs="Calibri"/>
                <w:color w:val="000000"/>
                <w:sz w:val="18"/>
                <w:szCs w:val="18"/>
                <w:lang w:val="es-PY" w:eastAsia="es-ES"/>
              </w:rPr>
            </w:pPr>
          </w:p>
        </w:tc>
        <w:tc>
          <w:tcPr>
            <w:tcW w:w="840" w:type="dxa"/>
            <w:tcBorders>
              <w:top w:val="single" w:sz="4" w:space="0" w:color="auto"/>
              <w:left w:val="single" w:sz="4" w:space="0" w:color="auto"/>
              <w:bottom w:val="single" w:sz="4" w:space="0" w:color="auto"/>
              <w:right w:val="single" w:sz="4" w:space="0" w:color="auto"/>
            </w:tcBorders>
            <w:shd w:val="clear" w:color="auto" w:fill="auto"/>
            <w:vAlign w:val="center"/>
          </w:tcPr>
          <w:p w14:paraId="0C678A5B"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6</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7B337D2D"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5</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14:paraId="0156296D" w14:textId="77777777" w:rsidR="003E69A5" w:rsidRPr="003F7F6C" w:rsidRDefault="003E69A5" w:rsidP="00D25E0D">
            <w:pPr>
              <w:spacing w:after="0"/>
              <w:rPr>
                <w:rFonts w:eastAsia="Times New Roman" w:cs="Calibri"/>
                <w:color w:val="000000"/>
                <w:sz w:val="18"/>
                <w:szCs w:val="18"/>
                <w:lang w:eastAsia="es-ES"/>
              </w:rPr>
            </w:pP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617FFAA9" w14:textId="77777777" w:rsidR="003E69A5" w:rsidRPr="003F7F6C" w:rsidRDefault="003E69A5" w:rsidP="00D25E0D">
            <w:pPr>
              <w:spacing w:after="0"/>
              <w:rPr>
                <w:rFonts w:eastAsia="Times New Roman" w:cs="Calibri"/>
                <w:color w:val="000000"/>
                <w:sz w:val="18"/>
                <w:szCs w:val="18"/>
                <w:lang w:eastAsia="es-ES"/>
              </w:rPr>
            </w:pPr>
          </w:p>
        </w:tc>
        <w:tc>
          <w:tcPr>
            <w:tcW w:w="1687" w:type="dxa"/>
            <w:tcBorders>
              <w:top w:val="single" w:sz="4" w:space="0" w:color="auto"/>
              <w:left w:val="single" w:sz="4" w:space="0" w:color="auto"/>
              <w:bottom w:val="single" w:sz="4" w:space="0" w:color="auto"/>
              <w:right w:val="single" w:sz="4" w:space="0" w:color="auto"/>
            </w:tcBorders>
            <w:shd w:val="clear" w:color="auto" w:fill="auto"/>
            <w:vAlign w:val="center"/>
          </w:tcPr>
          <w:p w14:paraId="05C00ADA"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1BC79925" w14:textId="77777777" w:rsidTr="00D25E0D">
        <w:trPr>
          <w:trHeight w:val="300"/>
        </w:trPr>
        <w:tc>
          <w:tcPr>
            <w:tcW w:w="1775" w:type="dxa"/>
            <w:tcBorders>
              <w:top w:val="single" w:sz="4" w:space="0" w:color="auto"/>
              <w:left w:val="single" w:sz="4" w:space="0" w:color="auto"/>
              <w:bottom w:val="single" w:sz="4" w:space="0" w:color="auto"/>
              <w:right w:val="single" w:sz="4" w:space="0" w:color="auto"/>
            </w:tcBorders>
            <w:vAlign w:val="center"/>
          </w:tcPr>
          <w:p w14:paraId="7921283F" w14:textId="77777777" w:rsidR="003E69A5" w:rsidRPr="003F7F6C" w:rsidRDefault="003E69A5" w:rsidP="00D25E0D">
            <w:pPr>
              <w:spacing w:after="0"/>
              <w:rPr>
                <w:rFonts w:eastAsia="Times New Roman" w:cs="Calibri"/>
                <w:color w:val="000000"/>
                <w:sz w:val="18"/>
                <w:szCs w:val="18"/>
                <w:lang w:eastAsia="es-ES"/>
              </w:rPr>
            </w:pPr>
          </w:p>
        </w:tc>
        <w:tc>
          <w:tcPr>
            <w:tcW w:w="4610" w:type="dxa"/>
            <w:tcBorders>
              <w:top w:val="single" w:sz="4" w:space="0" w:color="auto"/>
              <w:left w:val="single" w:sz="4" w:space="0" w:color="auto"/>
              <w:bottom w:val="single" w:sz="4" w:space="0" w:color="auto"/>
              <w:right w:val="single" w:sz="4" w:space="0" w:color="auto"/>
            </w:tcBorders>
            <w:shd w:val="clear" w:color="auto" w:fill="auto"/>
            <w:vAlign w:val="center"/>
          </w:tcPr>
          <w:p w14:paraId="0811F07A"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p>
        </w:tc>
        <w:tc>
          <w:tcPr>
            <w:tcW w:w="840" w:type="dxa"/>
            <w:tcBorders>
              <w:top w:val="single" w:sz="4" w:space="0" w:color="auto"/>
              <w:left w:val="single" w:sz="4" w:space="0" w:color="auto"/>
              <w:bottom w:val="single" w:sz="4" w:space="0" w:color="auto"/>
              <w:right w:val="single" w:sz="4" w:space="0" w:color="auto"/>
            </w:tcBorders>
            <w:shd w:val="clear" w:color="auto" w:fill="auto"/>
            <w:vAlign w:val="center"/>
          </w:tcPr>
          <w:p w14:paraId="334327E7" w14:textId="77777777" w:rsidR="003E69A5" w:rsidRPr="003F7F6C" w:rsidRDefault="003E69A5" w:rsidP="00D25E0D">
            <w:pPr>
              <w:spacing w:after="0"/>
              <w:jc w:val="center"/>
              <w:rPr>
                <w:rFonts w:eastAsia="Times New Roman" w:cs="Calibri"/>
                <w:color w:val="000000"/>
                <w:sz w:val="18"/>
                <w:szCs w:val="18"/>
                <w:lang w:eastAsia="es-ES"/>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325E8982" w14:textId="3DAAC54B"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83</w:t>
            </w:r>
            <w:r w:rsidR="00FB6D2D" w:rsidRPr="003F7F6C">
              <w:rPr>
                <w:rFonts w:eastAsia="Times New Roman" w:cs="Calibri"/>
                <w:color w:val="000000"/>
                <w:sz w:val="18"/>
                <w:szCs w:val="18"/>
                <w:lang w:eastAsia="es-ES"/>
              </w:rPr>
              <w:t>.</w:t>
            </w:r>
            <w:r w:rsidRPr="003F7F6C">
              <w:rPr>
                <w:rFonts w:eastAsia="Times New Roman" w:cs="Calibri"/>
                <w:color w:val="000000"/>
                <w:sz w:val="18"/>
                <w:szCs w:val="18"/>
                <w:lang w:eastAsia="es-ES"/>
              </w:rPr>
              <w:t>3%</w:t>
            </w:r>
          </w:p>
          <w:p w14:paraId="6FCE09BB" w14:textId="77777777" w:rsidR="003E69A5" w:rsidRPr="003F7F6C" w:rsidRDefault="003E69A5" w:rsidP="00D25E0D">
            <w:pPr>
              <w:spacing w:after="0"/>
              <w:rPr>
                <w:rFonts w:eastAsia="Times New Roman" w:cs="Calibri"/>
                <w:color w:val="000000"/>
                <w:sz w:val="18"/>
                <w:szCs w:val="18"/>
                <w:lang w:eastAsia="es-ES"/>
              </w:rPr>
            </w:pPr>
          </w:p>
          <w:p w14:paraId="4E582C0A" w14:textId="77777777" w:rsidR="003E69A5" w:rsidRPr="003F7F6C" w:rsidRDefault="003E69A5" w:rsidP="00D25E0D">
            <w:pPr>
              <w:spacing w:after="0"/>
              <w:rPr>
                <w:rFonts w:eastAsia="Times New Roman" w:cs="Calibri"/>
                <w:color w:val="000000"/>
                <w:sz w:val="18"/>
                <w:szCs w:val="18"/>
                <w:lang w:eastAsia="es-ES"/>
              </w:rPr>
            </w:pP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14:paraId="279E650F" w14:textId="77777777" w:rsidR="003E69A5" w:rsidRPr="003F7F6C" w:rsidRDefault="003E69A5" w:rsidP="00D25E0D">
            <w:pPr>
              <w:spacing w:after="0"/>
              <w:rPr>
                <w:rFonts w:eastAsia="Times New Roman" w:cs="Calibri"/>
                <w:color w:val="000000"/>
                <w:sz w:val="18"/>
                <w:szCs w:val="18"/>
                <w:lang w:eastAsia="es-ES"/>
              </w:rPr>
            </w:pP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0297B9BC" w14:textId="77777777" w:rsidR="003E69A5" w:rsidRPr="003F7F6C" w:rsidRDefault="003E69A5" w:rsidP="00D25E0D">
            <w:pPr>
              <w:spacing w:after="0"/>
              <w:rPr>
                <w:rFonts w:eastAsia="Times New Roman" w:cs="Calibri"/>
                <w:color w:val="000000"/>
                <w:sz w:val="18"/>
                <w:szCs w:val="18"/>
                <w:lang w:eastAsia="es-ES"/>
              </w:rPr>
            </w:pPr>
          </w:p>
        </w:tc>
        <w:tc>
          <w:tcPr>
            <w:tcW w:w="1687" w:type="dxa"/>
            <w:tcBorders>
              <w:top w:val="single" w:sz="4" w:space="0" w:color="auto"/>
              <w:left w:val="single" w:sz="4" w:space="0" w:color="auto"/>
              <w:bottom w:val="single" w:sz="4" w:space="0" w:color="auto"/>
              <w:right w:val="single" w:sz="4" w:space="0" w:color="auto"/>
            </w:tcBorders>
            <w:shd w:val="clear" w:color="auto" w:fill="auto"/>
            <w:vAlign w:val="center"/>
          </w:tcPr>
          <w:p w14:paraId="11BD0724"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797CC6DC" w14:textId="77777777" w:rsidTr="00D25E0D">
        <w:trPr>
          <w:trHeight w:val="344"/>
        </w:trPr>
        <w:tc>
          <w:tcPr>
            <w:tcW w:w="14440" w:type="dxa"/>
            <w:gridSpan w:val="7"/>
            <w:tcBorders>
              <w:top w:val="single" w:sz="4" w:space="0" w:color="auto"/>
              <w:left w:val="single" w:sz="4" w:space="0" w:color="auto"/>
              <w:bottom w:val="single" w:sz="4" w:space="0" w:color="auto"/>
              <w:right w:val="single" w:sz="4" w:space="0" w:color="auto"/>
            </w:tcBorders>
            <w:shd w:val="clear" w:color="000000" w:fill="D9D9D9"/>
            <w:vAlign w:val="center"/>
            <w:hideMark/>
          </w:tcPr>
          <w:p w14:paraId="534AD93C"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CR 5: Capacities to Monitor and Evaluate</w:t>
            </w:r>
          </w:p>
        </w:tc>
      </w:tr>
      <w:tr w:rsidR="003E69A5" w:rsidRPr="003F7F6C" w14:paraId="17CA0C2E" w14:textId="77777777" w:rsidTr="00D25E0D">
        <w:trPr>
          <w:trHeight w:val="300"/>
        </w:trPr>
        <w:tc>
          <w:tcPr>
            <w:tcW w:w="177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2E5CD9F"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Indicator 14: Adequacy of the project/programme monitoring process</w:t>
            </w:r>
          </w:p>
        </w:tc>
        <w:tc>
          <w:tcPr>
            <w:tcW w:w="46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50E3597"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Irregular project monitoring is being done without an adequate monitoring framework detailing what and how to monitor the particular project or programme</w:t>
            </w:r>
          </w:p>
        </w:tc>
        <w:tc>
          <w:tcPr>
            <w:tcW w:w="8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D2A99C1"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5947EC"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A28F52A"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0520A3A"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65F0EDD"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214C09E7" w14:textId="77777777" w:rsidTr="00D25E0D">
        <w:trPr>
          <w:trHeight w:val="300"/>
        </w:trPr>
        <w:tc>
          <w:tcPr>
            <w:tcW w:w="1775" w:type="dxa"/>
            <w:vMerge/>
            <w:tcBorders>
              <w:top w:val="single" w:sz="4" w:space="0" w:color="auto"/>
              <w:left w:val="single" w:sz="4" w:space="0" w:color="auto"/>
              <w:bottom w:val="single" w:sz="4" w:space="0" w:color="auto"/>
              <w:right w:val="single" w:sz="4" w:space="0" w:color="auto"/>
            </w:tcBorders>
            <w:vAlign w:val="center"/>
            <w:hideMark/>
          </w:tcPr>
          <w:p w14:paraId="3D41F6A9" w14:textId="77777777" w:rsidR="003E69A5" w:rsidRPr="003F7F6C" w:rsidRDefault="003E69A5" w:rsidP="00D25E0D">
            <w:pPr>
              <w:spacing w:after="0"/>
              <w:rPr>
                <w:rFonts w:eastAsia="Times New Roman" w:cs="Calibri"/>
                <w:color w:val="000000"/>
                <w:sz w:val="18"/>
                <w:szCs w:val="18"/>
                <w:lang w:eastAsia="es-ES"/>
              </w:rPr>
            </w:pPr>
          </w:p>
        </w:tc>
        <w:tc>
          <w:tcPr>
            <w:tcW w:w="46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6A082D8"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An adequate resourced monitoring framework is in place but project monitoring is irregularly conducted</w:t>
            </w:r>
          </w:p>
        </w:tc>
        <w:tc>
          <w:tcPr>
            <w:tcW w:w="8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C85CF3"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FA2D73A"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527BD24"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08FC54E"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690EFCB"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492114FD" w14:textId="77777777" w:rsidTr="00D25E0D">
        <w:trPr>
          <w:trHeight w:val="300"/>
        </w:trPr>
        <w:tc>
          <w:tcPr>
            <w:tcW w:w="1775" w:type="dxa"/>
            <w:vMerge/>
            <w:tcBorders>
              <w:top w:val="single" w:sz="4" w:space="0" w:color="auto"/>
              <w:left w:val="single" w:sz="4" w:space="0" w:color="auto"/>
              <w:bottom w:val="single" w:sz="4" w:space="0" w:color="auto"/>
              <w:right w:val="single" w:sz="4" w:space="0" w:color="auto"/>
            </w:tcBorders>
            <w:vAlign w:val="center"/>
            <w:hideMark/>
          </w:tcPr>
          <w:p w14:paraId="7D24A903" w14:textId="77777777" w:rsidR="003E69A5" w:rsidRPr="003F7F6C" w:rsidRDefault="003E69A5" w:rsidP="00D25E0D">
            <w:pPr>
              <w:spacing w:after="0"/>
              <w:rPr>
                <w:rFonts w:eastAsia="Times New Roman" w:cs="Calibri"/>
                <w:color w:val="000000"/>
                <w:sz w:val="18"/>
                <w:szCs w:val="18"/>
                <w:lang w:eastAsia="es-ES"/>
              </w:rPr>
            </w:pPr>
          </w:p>
        </w:tc>
        <w:tc>
          <w:tcPr>
            <w:tcW w:w="46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274C23B"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Regular participative monitoring of results in being conducted but this information is only partially used by the project/programme implementation team</w:t>
            </w:r>
          </w:p>
        </w:tc>
        <w:tc>
          <w:tcPr>
            <w:tcW w:w="8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4BFD1E"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23A3DC6"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607F31"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3FC3F5E"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Currently information is not used to update ELUP related data bases </w:t>
            </w:r>
          </w:p>
        </w:tc>
        <w:tc>
          <w:tcPr>
            <w:tcW w:w="16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F17A4FA"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2F56B662" w14:textId="77777777" w:rsidTr="00D25E0D">
        <w:trPr>
          <w:trHeight w:val="300"/>
        </w:trPr>
        <w:tc>
          <w:tcPr>
            <w:tcW w:w="1775" w:type="dxa"/>
            <w:vMerge/>
            <w:tcBorders>
              <w:top w:val="single" w:sz="4" w:space="0" w:color="auto"/>
              <w:left w:val="single" w:sz="4" w:space="0" w:color="auto"/>
              <w:bottom w:val="single" w:sz="4" w:space="0" w:color="auto"/>
              <w:right w:val="single" w:sz="4" w:space="0" w:color="auto"/>
            </w:tcBorders>
            <w:vAlign w:val="center"/>
            <w:hideMark/>
          </w:tcPr>
          <w:p w14:paraId="152F05A7" w14:textId="77777777" w:rsidR="003E69A5" w:rsidRPr="003F7F6C" w:rsidRDefault="003E69A5" w:rsidP="00D25E0D">
            <w:pPr>
              <w:spacing w:after="0"/>
              <w:rPr>
                <w:rFonts w:eastAsia="Times New Roman" w:cs="Calibri"/>
                <w:color w:val="000000"/>
                <w:sz w:val="18"/>
                <w:szCs w:val="18"/>
                <w:lang w:eastAsia="es-ES"/>
              </w:rPr>
            </w:pPr>
          </w:p>
        </w:tc>
        <w:tc>
          <w:tcPr>
            <w:tcW w:w="46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7F8A60B"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Monitoring information is produced timely and accurately and is used by the  implementation team to learn and possibly to change the course of action</w:t>
            </w:r>
          </w:p>
          <w:p w14:paraId="2906CDB0" w14:textId="77777777" w:rsidR="003E69A5" w:rsidRPr="003F7F6C" w:rsidRDefault="003E69A5" w:rsidP="00D25E0D">
            <w:pPr>
              <w:autoSpaceDE w:val="0"/>
              <w:autoSpaceDN w:val="0"/>
              <w:adjustRightInd w:val="0"/>
              <w:spacing w:after="0"/>
              <w:rPr>
                <w:rFonts w:cs="Calibri"/>
                <w:sz w:val="18"/>
                <w:szCs w:val="18"/>
              </w:rPr>
            </w:pPr>
          </w:p>
          <w:p w14:paraId="050D9CAD" w14:textId="77777777" w:rsidR="003E69A5" w:rsidRPr="003F7F6C" w:rsidRDefault="003E69A5" w:rsidP="00D25E0D">
            <w:pPr>
              <w:autoSpaceDE w:val="0"/>
              <w:autoSpaceDN w:val="0"/>
              <w:adjustRightInd w:val="0"/>
              <w:spacing w:after="0"/>
              <w:rPr>
                <w:rFonts w:cs="Calibri"/>
                <w:sz w:val="18"/>
                <w:szCs w:val="18"/>
              </w:rPr>
            </w:pPr>
          </w:p>
          <w:p w14:paraId="7640541D" w14:textId="77777777" w:rsidR="003E69A5" w:rsidRPr="003F7F6C" w:rsidRDefault="003E69A5" w:rsidP="00D25E0D">
            <w:pPr>
              <w:autoSpaceDE w:val="0"/>
              <w:autoSpaceDN w:val="0"/>
              <w:adjustRightInd w:val="0"/>
              <w:spacing w:after="0"/>
              <w:rPr>
                <w:rFonts w:cs="Calibri"/>
                <w:sz w:val="18"/>
                <w:szCs w:val="18"/>
              </w:rPr>
            </w:pPr>
          </w:p>
          <w:p w14:paraId="1CE7D060" w14:textId="77777777" w:rsidR="003E69A5" w:rsidRPr="003F7F6C" w:rsidRDefault="003E69A5" w:rsidP="00D25E0D">
            <w:pPr>
              <w:autoSpaceDE w:val="0"/>
              <w:autoSpaceDN w:val="0"/>
              <w:adjustRightInd w:val="0"/>
              <w:spacing w:after="0"/>
              <w:rPr>
                <w:rFonts w:cs="Calibri"/>
                <w:sz w:val="18"/>
                <w:szCs w:val="18"/>
              </w:rPr>
            </w:pPr>
          </w:p>
          <w:p w14:paraId="0431C5D3" w14:textId="77777777" w:rsidR="003E69A5" w:rsidRPr="003F7F6C" w:rsidRDefault="003E69A5" w:rsidP="00D25E0D">
            <w:pPr>
              <w:autoSpaceDE w:val="0"/>
              <w:autoSpaceDN w:val="0"/>
              <w:adjustRightInd w:val="0"/>
              <w:spacing w:after="0"/>
              <w:rPr>
                <w:rFonts w:cs="Calibri"/>
                <w:sz w:val="18"/>
                <w:szCs w:val="18"/>
              </w:rPr>
            </w:pPr>
          </w:p>
          <w:p w14:paraId="047EE60E" w14:textId="77777777" w:rsidR="003E69A5" w:rsidRPr="003F7F6C" w:rsidRDefault="003E69A5" w:rsidP="00D25E0D">
            <w:pPr>
              <w:autoSpaceDE w:val="0"/>
              <w:autoSpaceDN w:val="0"/>
              <w:adjustRightInd w:val="0"/>
              <w:spacing w:after="0"/>
              <w:rPr>
                <w:rFonts w:cs="Calibri"/>
                <w:sz w:val="18"/>
                <w:szCs w:val="18"/>
              </w:rPr>
            </w:pPr>
          </w:p>
        </w:tc>
        <w:tc>
          <w:tcPr>
            <w:tcW w:w="8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34C559F"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3</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7D6084"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EECAB27"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6ED31A"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EA587C6"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43F1B931" w14:textId="77777777" w:rsidTr="00D25E0D">
        <w:trPr>
          <w:trHeight w:val="300"/>
        </w:trPr>
        <w:tc>
          <w:tcPr>
            <w:tcW w:w="177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C9FA665"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Indicator 15: Adequacy of the project/programme evaluation process</w:t>
            </w:r>
          </w:p>
        </w:tc>
        <w:tc>
          <w:tcPr>
            <w:tcW w:w="46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3BF2D8A"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None or ineffective evaluations are being conducted without an adequate evaluation plan; including the</w:t>
            </w:r>
          </w:p>
          <w:p w14:paraId="5842A720" w14:textId="77777777" w:rsidR="003E69A5" w:rsidRPr="003F7F6C" w:rsidRDefault="003E69A5" w:rsidP="00D25E0D">
            <w:pPr>
              <w:spacing w:after="0"/>
              <w:rPr>
                <w:rFonts w:eastAsia="Times New Roman" w:cs="Calibri"/>
                <w:color w:val="000000"/>
                <w:sz w:val="18"/>
                <w:szCs w:val="18"/>
                <w:lang w:eastAsia="es-ES"/>
              </w:rPr>
            </w:pPr>
            <w:r w:rsidRPr="003F7F6C">
              <w:rPr>
                <w:rFonts w:cs="Calibri"/>
                <w:sz w:val="18"/>
                <w:szCs w:val="18"/>
              </w:rPr>
              <w:t>necessary resources</w:t>
            </w:r>
          </w:p>
        </w:tc>
        <w:tc>
          <w:tcPr>
            <w:tcW w:w="8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1265F9"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CDEB1CA"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574BED"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08B01F"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E5953D3"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76F7A12A" w14:textId="77777777" w:rsidTr="00D25E0D">
        <w:trPr>
          <w:trHeight w:val="300"/>
        </w:trPr>
        <w:tc>
          <w:tcPr>
            <w:tcW w:w="1775" w:type="dxa"/>
            <w:vMerge/>
            <w:tcBorders>
              <w:top w:val="single" w:sz="4" w:space="0" w:color="auto"/>
              <w:left w:val="single" w:sz="4" w:space="0" w:color="auto"/>
              <w:bottom w:val="single" w:sz="4" w:space="0" w:color="auto"/>
              <w:right w:val="single" w:sz="4" w:space="0" w:color="auto"/>
            </w:tcBorders>
            <w:vAlign w:val="center"/>
            <w:hideMark/>
          </w:tcPr>
          <w:p w14:paraId="2B5A6A3D" w14:textId="77777777" w:rsidR="003E69A5" w:rsidRPr="003F7F6C" w:rsidRDefault="003E69A5" w:rsidP="00D25E0D">
            <w:pPr>
              <w:spacing w:after="0"/>
              <w:rPr>
                <w:rFonts w:eastAsia="Times New Roman" w:cs="Calibri"/>
                <w:color w:val="000000"/>
                <w:sz w:val="18"/>
                <w:szCs w:val="18"/>
                <w:lang w:eastAsia="es-ES"/>
              </w:rPr>
            </w:pPr>
          </w:p>
        </w:tc>
        <w:tc>
          <w:tcPr>
            <w:tcW w:w="46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6AA6D0B"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An adequate evaluation plan is in place but evaluation activities are irregularly conducted</w:t>
            </w:r>
          </w:p>
        </w:tc>
        <w:tc>
          <w:tcPr>
            <w:tcW w:w="8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3261265"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9C6689"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916784D"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11F657"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2455AC"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0846B210" w14:textId="77777777" w:rsidTr="00D25E0D">
        <w:trPr>
          <w:trHeight w:val="300"/>
        </w:trPr>
        <w:tc>
          <w:tcPr>
            <w:tcW w:w="1775" w:type="dxa"/>
            <w:vMerge/>
            <w:tcBorders>
              <w:top w:val="single" w:sz="4" w:space="0" w:color="auto"/>
              <w:left w:val="single" w:sz="4" w:space="0" w:color="auto"/>
              <w:bottom w:val="single" w:sz="4" w:space="0" w:color="auto"/>
              <w:right w:val="single" w:sz="4" w:space="0" w:color="auto"/>
            </w:tcBorders>
            <w:vAlign w:val="center"/>
            <w:hideMark/>
          </w:tcPr>
          <w:p w14:paraId="14EEC7DD" w14:textId="77777777" w:rsidR="003E69A5" w:rsidRPr="003F7F6C" w:rsidRDefault="003E69A5" w:rsidP="00D25E0D">
            <w:pPr>
              <w:spacing w:after="0"/>
              <w:rPr>
                <w:rFonts w:eastAsia="Times New Roman" w:cs="Calibri"/>
                <w:color w:val="000000"/>
                <w:sz w:val="18"/>
                <w:szCs w:val="18"/>
                <w:lang w:eastAsia="es-ES"/>
              </w:rPr>
            </w:pPr>
          </w:p>
        </w:tc>
        <w:tc>
          <w:tcPr>
            <w:tcW w:w="46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7629A6"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Evaluations are being conducted as per an adequate evaluation plan but the evaluation results are only partially used by the project/programme implementation team</w:t>
            </w:r>
          </w:p>
        </w:tc>
        <w:tc>
          <w:tcPr>
            <w:tcW w:w="8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28A044"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993E2C"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1F3065B"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Results of evaluations are not incorporated into planning</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347D23D"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Promote incorporation of results of evaluations into provincial and local planning</w:t>
            </w:r>
          </w:p>
        </w:tc>
        <w:tc>
          <w:tcPr>
            <w:tcW w:w="16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5592755"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0A263C2A" w14:textId="77777777" w:rsidTr="00D25E0D">
        <w:trPr>
          <w:trHeight w:val="300"/>
        </w:trPr>
        <w:tc>
          <w:tcPr>
            <w:tcW w:w="1775" w:type="dxa"/>
            <w:vMerge/>
            <w:tcBorders>
              <w:top w:val="single" w:sz="4" w:space="0" w:color="auto"/>
              <w:left w:val="single" w:sz="4" w:space="0" w:color="auto"/>
              <w:bottom w:val="single" w:sz="4" w:space="0" w:color="auto"/>
              <w:right w:val="single" w:sz="4" w:space="0" w:color="auto"/>
            </w:tcBorders>
            <w:vAlign w:val="center"/>
            <w:hideMark/>
          </w:tcPr>
          <w:p w14:paraId="1B29BC8C" w14:textId="77777777" w:rsidR="003E69A5" w:rsidRPr="003F7F6C" w:rsidRDefault="003E69A5" w:rsidP="00D25E0D">
            <w:pPr>
              <w:spacing w:after="0"/>
              <w:rPr>
                <w:rFonts w:eastAsia="Times New Roman" w:cs="Calibri"/>
                <w:color w:val="000000"/>
                <w:sz w:val="18"/>
                <w:szCs w:val="18"/>
                <w:lang w:eastAsia="es-ES"/>
              </w:rPr>
            </w:pPr>
          </w:p>
        </w:tc>
        <w:tc>
          <w:tcPr>
            <w:tcW w:w="46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330B32"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Effective evaluations are conducted timely and accurately and are used by the implementation team and the Agencies and GEF Staff to correct the course of action if needed and to learn for further planning</w:t>
            </w:r>
          </w:p>
          <w:p w14:paraId="604149D0" w14:textId="77777777" w:rsidR="003E69A5" w:rsidRPr="003F7F6C" w:rsidRDefault="003E69A5" w:rsidP="00D25E0D">
            <w:pPr>
              <w:spacing w:after="0"/>
              <w:rPr>
                <w:rFonts w:eastAsia="Times New Roman" w:cs="Calibri"/>
                <w:color w:val="000000"/>
                <w:sz w:val="18"/>
                <w:szCs w:val="18"/>
                <w:lang w:eastAsia="es-ES"/>
              </w:rPr>
            </w:pPr>
            <w:r w:rsidRPr="003F7F6C">
              <w:rPr>
                <w:rFonts w:cs="Calibri"/>
                <w:sz w:val="18"/>
                <w:szCs w:val="18"/>
              </w:rPr>
              <w:t>activities</w:t>
            </w:r>
          </w:p>
        </w:tc>
        <w:tc>
          <w:tcPr>
            <w:tcW w:w="8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3B9A9CC"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3</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B3CCE7"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C892EF"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9B9AC92"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31E3D66"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09F878CF" w14:textId="77777777" w:rsidTr="00D25E0D">
        <w:trPr>
          <w:trHeight w:val="300"/>
        </w:trPr>
        <w:tc>
          <w:tcPr>
            <w:tcW w:w="1775" w:type="dxa"/>
            <w:tcBorders>
              <w:top w:val="single" w:sz="4" w:space="0" w:color="auto"/>
              <w:left w:val="single" w:sz="4" w:space="0" w:color="auto"/>
              <w:bottom w:val="single" w:sz="4" w:space="0" w:color="auto"/>
              <w:right w:val="single" w:sz="4" w:space="0" w:color="auto"/>
            </w:tcBorders>
            <w:vAlign w:val="center"/>
          </w:tcPr>
          <w:p w14:paraId="77DEBD05" w14:textId="77777777" w:rsidR="003E69A5" w:rsidRPr="003F7F6C" w:rsidRDefault="003E69A5" w:rsidP="00D25E0D">
            <w:pPr>
              <w:spacing w:after="0"/>
              <w:rPr>
                <w:rFonts w:eastAsia="Times New Roman" w:cs="Calibri"/>
                <w:color w:val="000000"/>
                <w:sz w:val="18"/>
                <w:szCs w:val="18"/>
                <w:lang w:eastAsia="es-ES"/>
              </w:rPr>
            </w:pPr>
          </w:p>
        </w:tc>
        <w:tc>
          <w:tcPr>
            <w:tcW w:w="4610" w:type="dxa"/>
            <w:tcBorders>
              <w:top w:val="single" w:sz="4" w:space="0" w:color="auto"/>
              <w:left w:val="nil"/>
              <w:bottom w:val="single" w:sz="4" w:space="0" w:color="auto"/>
              <w:right w:val="single" w:sz="4" w:space="0" w:color="auto"/>
            </w:tcBorders>
            <w:shd w:val="clear" w:color="auto" w:fill="auto"/>
            <w:vAlign w:val="center"/>
          </w:tcPr>
          <w:p w14:paraId="370657A3"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p>
        </w:tc>
        <w:tc>
          <w:tcPr>
            <w:tcW w:w="840" w:type="dxa"/>
            <w:tcBorders>
              <w:top w:val="single" w:sz="4" w:space="0" w:color="auto"/>
              <w:left w:val="nil"/>
              <w:bottom w:val="single" w:sz="4" w:space="0" w:color="auto"/>
              <w:right w:val="single" w:sz="4" w:space="0" w:color="auto"/>
            </w:tcBorders>
            <w:shd w:val="clear" w:color="auto" w:fill="auto"/>
            <w:vAlign w:val="center"/>
          </w:tcPr>
          <w:p w14:paraId="095CD492"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6</w:t>
            </w:r>
          </w:p>
        </w:tc>
        <w:tc>
          <w:tcPr>
            <w:tcW w:w="850" w:type="dxa"/>
            <w:tcBorders>
              <w:top w:val="single" w:sz="4" w:space="0" w:color="auto"/>
              <w:left w:val="nil"/>
              <w:bottom w:val="single" w:sz="4" w:space="0" w:color="auto"/>
              <w:right w:val="single" w:sz="4" w:space="0" w:color="auto"/>
            </w:tcBorders>
            <w:shd w:val="clear" w:color="auto" w:fill="auto"/>
            <w:vAlign w:val="center"/>
          </w:tcPr>
          <w:p w14:paraId="49539C09"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4</w:t>
            </w:r>
          </w:p>
        </w:tc>
        <w:tc>
          <w:tcPr>
            <w:tcW w:w="2552" w:type="dxa"/>
            <w:tcBorders>
              <w:top w:val="single" w:sz="4" w:space="0" w:color="auto"/>
              <w:left w:val="nil"/>
              <w:bottom w:val="single" w:sz="4" w:space="0" w:color="auto"/>
              <w:right w:val="single" w:sz="4" w:space="0" w:color="auto"/>
            </w:tcBorders>
            <w:shd w:val="clear" w:color="auto" w:fill="auto"/>
            <w:vAlign w:val="center"/>
          </w:tcPr>
          <w:p w14:paraId="2795EB8C" w14:textId="77777777" w:rsidR="003E69A5" w:rsidRPr="003F7F6C" w:rsidRDefault="003E69A5" w:rsidP="00D25E0D">
            <w:pPr>
              <w:spacing w:after="0"/>
              <w:rPr>
                <w:rFonts w:eastAsia="Times New Roman" w:cs="Calibri"/>
                <w:color w:val="000000"/>
                <w:sz w:val="18"/>
                <w:szCs w:val="18"/>
                <w:lang w:eastAsia="es-ES"/>
              </w:rPr>
            </w:pPr>
          </w:p>
        </w:tc>
        <w:tc>
          <w:tcPr>
            <w:tcW w:w="2126" w:type="dxa"/>
            <w:tcBorders>
              <w:top w:val="single" w:sz="4" w:space="0" w:color="auto"/>
              <w:left w:val="nil"/>
              <w:bottom w:val="single" w:sz="4" w:space="0" w:color="auto"/>
              <w:right w:val="single" w:sz="4" w:space="0" w:color="auto"/>
            </w:tcBorders>
            <w:shd w:val="clear" w:color="auto" w:fill="auto"/>
            <w:vAlign w:val="center"/>
          </w:tcPr>
          <w:p w14:paraId="3D7A3160" w14:textId="77777777" w:rsidR="003E69A5" w:rsidRPr="003F7F6C" w:rsidRDefault="003E69A5" w:rsidP="00D25E0D">
            <w:pPr>
              <w:spacing w:after="0"/>
              <w:rPr>
                <w:rFonts w:eastAsia="Times New Roman" w:cs="Calibri"/>
                <w:color w:val="000000"/>
                <w:sz w:val="18"/>
                <w:szCs w:val="18"/>
                <w:lang w:eastAsia="es-ES"/>
              </w:rPr>
            </w:pPr>
          </w:p>
        </w:tc>
        <w:tc>
          <w:tcPr>
            <w:tcW w:w="1687" w:type="dxa"/>
            <w:tcBorders>
              <w:top w:val="single" w:sz="4" w:space="0" w:color="auto"/>
              <w:left w:val="nil"/>
              <w:bottom w:val="single" w:sz="4" w:space="0" w:color="auto"/>
              <w:right w:val="single" w:sz="4" w:space="0" w:color="auto"/>
            </w:tcBorders>
            <w:shd w:val="clear" w:color="auto" w:fill="auto"/>
            <w:vAlign w:val="center"/>
          </w:tcPr>
          <w:p w14:paraId="13C50FB6"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7AE5A110" w14:textId="77777777" w:rsidTr="00D25E0D">
        <w:trPr>
          <w:trHeight w:val="256"/>
        </w:trPr>
        <w:tc>
          <w:tcPr>
            <w:tcW w:w="1775" w:type="dxa"/>
            <w:tcBorders>
              <w:top w:val="single" w:sz="4" w:space="0" w:color="auto"/>
              <w:left w:val="single" w:sz="4" w:space="0" w:color="auto"/>
              <w:bottom w:val="single" w:sz="4" w:space="0" w:color="auto"/>
              <w:right w:val="single" w:sz="4" w:space="0" w:color="auto"/>
            </w:tcBorders>
            <w:vAlign w:val="center"/>
          </w:tcPr>
          <w:p w14:paraId="1C3F5FD0" w14:textId="77777777" w:rsidR="003E69A5" w:rsidRPr="003F7F6C" w:rsidRDefault="003E69A5" w:rsidP="00D25E0D">
            <w:pPr>
              <w:spacing w:after="0"/>
              <w:rPr>
                <w:rFonts w:eastAsia="Times New Roman" w:cs="Calibri"/>
                <w:color w:val="000000"/>
                <w:sz w:val="18"/>
                <w:szCs w:val="18"/>
                <w:lang w:eastAsia="es-ES"/>
              </w:rPr>
            </w:pPr>
          </w:p>
        </w:tc>
        <w:tc>
          <w:tcPr>
            <w:tcW w:w="4610" w:type="dxa"/>
            <w:tcBorders>
              <w:top w:val="single" w:sz="4" w:space="0" w:color="auto"/>
              <w:left w:val="nil"/>
              <w:bottom w:val="single" w:sz="4" w:space="0" w:color="auto"/>
              <w:right w:val="single" w:sz="4" w:space="0" w:color="auto"/>
            </w:tcBorders>
            <w:shd w:val="clear" w:color="auto" w:fill="auto"/>
            <w:vAlign w:val="center"/>
          </w:tcPr>
          <w:p w14:paraId="464B7465"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p>
        </w:tc>
        <w:tc>
          <w:tcPr>
            <w:tcW w:w="840" w:type="dxa"/>
            <w:tcBorders>
              <w:top w:val="single" w:sz="4" w:space="0" w:color="auto"/>
              <w:left w:val="nil"/>
              <w:bottom w:val="single" w:sz="4" w:space="0" w:color="auto"/>
              <w:right w:val="single" w:sz="4" w:space="0" w:color="auto"/>
            </w:tcBorders>
            <w:shd w:val="clear" w:color="auto" w:fill="auto"/>
            <w:vAlign w:val="center"/>
          </w:tcPr>
          <w:p w14:paraId="57BD2B9E" w14:textId="77777777" w:rsidR="003E69A5" w:rsidRPr="003F7F6C" w:rsidRDefault="003E69A5" w:rsidP="00D25E0D">
            <w:pPr>
              <w:spacing w:after="0"/>
              <w:rPr>
                <w:rFonts w:eastAsia="Times New Roman" w:cs="Calibri"/>
                <w:color w:val="000000"/>
                <w:sz w:val="18"/>
                <w:szCs w:val="18"/>
                <w:lang w:eastAsia="es-ES"/>
              </w:rPr>
            </w:pPr>
          </w:p>
        </w:tc>
        <w:tc>
          <w:tcPr>
            <w:tcW w:w="850" w:type="dxa"/>
            <w:tcBorders>
              <w:top w:val="single" w:sz="4" w:space="0" w:color="auto"/>
              <w:left w:val="nil"/>
              <w:bottom w:val="single" w:sz="4" w:space="0" w:color="auto"/>
              <w:right w:val="single" w:sz="4" w:space="0" w:color="auto"/>
            </w:tcBorders>
            <w:shd w:val="clear" w:color="auto" w:fill="auto"/>
            <w:vAlign w:val="center"/>
          </w:tcPr>
          <w:p w14:paraId="0F3F3FF1" w14:textId="697A4F00"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66</w:t>
            </w:r>
            <w:r w:rsidR="00FB6D2D" w:rsidRPr="003F7F6C">
              <w:rPr>
                <w:rFonts w:eastAsia="Times New Roman" w:cs="Calibri"/>
                <w:color w:val="000000"/>
                <w:sz w:val="18"/>
                <w:szCs w:val="18"/>
                <w:lang w:eastAsia="es-ES"/>
              </w:rPr>
              <w:t>.</w:t>
            </w:r>
            <w:r w:rsidRPr="003F7F6C">
              <w:rPr>
                <w:rFonts w:eastAsia="Times New Roman" w:cs="Calibri"/>
                <w:color w:val="000000"/>
                <w:sz w:val="18"/>
                <w:szCs w:val="18"/>
                <w:lang w:eastAsia="es-ES"/>
              </w:rPr>
              <w:t>6%</w:t>
            </w:r>
          </w:p>
        </w:tc>
        <w:tc>
          <w:tcPr>
            <w:tcW w:w="2552" w:type="dxa"/>
            <w:tcBorders>
              <w:top w:val="single" w:sz="4" w:space="0" w:color="auto"/>
              <w:left w:val="nil"/>
              <w:bottom w:val="single" w:sz="4" w:space="0" w:color="auto"/>
              <w:right w:val="single" w:sz="4" w:space="0" w:color="auto"/>
            </w:tcBorders>
            <w:shd w:val="clear" w:color="auto" w:fill="auto"/>
            <w:vAlign w:val="center"/>
          </w:tcPr>
          <w:p w14:paraId="0884B77A" w14:textId="77777777" w:rsidR="003E69A5" w:rsidRPr="003F7F6C" w:rsidRDefault="003E69A5" w:rsidP="00D25E0D">
            <w:pPr>
              <w:spacing w:after="0"/>
              <w:rPr>
                <w:rFonts w:eastAsia="Times New Roman" w:cs="Calibri"/>
                <w:color w:val="000000"/>
                <w:sz w:val="18"/>
                <w:szCs w:val="18"/>
                <w:lang w:eastAsia="es-ES"/>
              </w:rPr>
            </w:pPr>
          </w:p>
        </w:tc>
        <w:tc>
          <w:tcPr>
            <w:tcW w:w="2126" w:type="dxa"/>
            <w:tcBorders>
              <w:top w:val="single" w:sz="4" w:space="0" w:color="auto"/>
              <w:left w:val="nil"/>
              <w:bottom w:val="single" w:sz="4" w:space="0" w:color="auto"/>
              <w:right w:val="single" w:sz="4" w:space="0" w:color="auto"/>
            </w:tcBorders>
            <w:shd w:val="clear" w:color="auto" w:fill="auto"/>
            <w:vAlign w:val="center"/>
          </w:tcPr>
          <w:p w14:paraId="667F7C44" w14:textId="77777777" w:rsidR="003E69A5" w:rsidRPr="003F7F6C" w:rsidRDefault="003E69A5" w:rsidP="00D25E0D">
            <w:pPr>
              <w:spacing w:after="0"/>
              <w:rPr>
                <w:rFonts w:eastAsia="Times New Roman" w:cs="Calibri"/>
                <w:color w:val="000000"/>
                <w:sz w:val="18"/>
                <w:szCs w:val="18"/>
                <w:lang w:eastAsia="es-ES"/>
              </w:rPr>
            </w:pPr>
          </w:p>
        </w:tc>
        <w:tc>
          <w:tcPr>
            <w:tcW w:w="1687" w:type="dxa"/>
            <w:tcBorders>
              <w:top w:val="single" w:sz="4" w:space="0" w:color="auto"/>
              <w:left w:val="nil"/>
              <w:bottom w:val="single" w:sz="4" w:space="0" w:color="auto"/>
              <w:right w:val="single" w:sz="4" w:space="0" w:color="auto"/>
            </w:tcBorders>
            <w:shd w:val="clear" w:color="auto" w:fill="auto"/>
            <w:vAlign w:val="center"/>
          </w:tcPr>
          <w:p w14:paraId="43CF1857"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6A87CA1C" w14:textId="77777777" w:rsidTr="00D25E0D">
        <w:trPr>
          <w:trHeight w:val="256"/>
        </w:trPr>
        <w:tc>
          <w:tcPr>
            <w:tcW w:w="1775" w:type="dxa"/>
            <w:tcBorders>
              <w:top w:val="single" w:sz="4" w:space="0" w:color="auto"/>
              <w:left w:val="single" w:sz="4" w:space="0" w:color="auto"/>
              <w:bottom w:val="single" w:sz="4" w:space="0" w:color="auto"/>
              <w:right w:val="single" w:sz="4" w:space="0" w:color="auto"/>
            </w:tcBorders>
            <w:vAlign w:val="center"/>
          </w:tcPr>
          <w:p w14:paraId="5660CC63" w14:textId="77777777" w:rsidR="003E69A5" w:rsidRPr="003F7F6C" w:rsidRDefault="003E69A5" w:rsidP="00D25E0D">
            <w:pPr>
              <w:spacing w:after="0"/>
              <w:rPr>
                <w:rFonts w:eastAsia="Times New Roman" w:cs="Calibri"/>
                <w:b/>
                <w:color w:val="000000"/>
                <w:sz w:val="18"/>
                <w:szCs w:val="18"/>
                <w:lang w:eastAsia="es-ES"/>
              </w:rPr>
            </w:pPr>
            <w:r w:rsidRPr="003F7F6C">
              <w:rPr>
                <w:rFonts w:eastAsia="Times New Roman" w:cs="Calibri"/>
                <w:b/>
                <w:color w:val="000000"/>
                <w:sz w:val="18"/>
                <w:szCs w:val="18"/>
                <w:lang w:eastAsia="es-ES"/>
              </w:rPr>
              <w:t>Total</w:t>
            </w:r>
          </w:p>
        </w:tc>
        <w:tc>
          <w:tcPr>
            <w:tcW w:w="4610" w:type="dxa"/>
            <w:tcBorders>
              <w:top w:val="single" w:sz="4" w:space="0" w:color="auto"/>
              <w:left w:val="nil"/>
              <w:bottom w:val="single" w:sz="4" w:space="0" w:color="auto"/>
              <w:right w:val="single" w:sz="4" w:space="0" w:color="auto"/>
            </w:tcBorders>
            <w:shd w:val="clear" w:color="auto" w:fill="auto"/>
            <w:vAlign w:val="center"/>
          </w:tcPr>
          <w:p w14:paraId="5A8DC941"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p>
        </w:tc>
        <w:tc>
          <w:tcPr>
            <w:tcW w:w="840" w:type="dxa"/>
            <w:tcBorders>
              <w:top w:val="single" w:sz="4" w:space="0" w:color="auto"/>
              <w:left w:val="nil"/>
              <w:bottom w:val="single" w:sz="4" w:space="0" w:color="auto"/>
              <w:right w:val="single" w:sz="4" w:space="0" w:color="auto"/>
            </w:tcBorders>
            <w:shd w:val="clear" w:color="auto" w:fill="auto"/>
            <w:vAlign w:val="center"/>
          </w:tcPr>
          <w:p w14:paraId="0C6EB3E9" w14:textId="77777777" w:rsidR="003E69A5" w:rsidRPr="003F7F6C" w:rsidRDefault="003E69A5" w:rsidP="00D25E0D">
            <w:pPr>
              <w:spacing w:after="0"/>
              <w:rPr>
                <w:rFonts w:eastAsia="Times New Roman" w:cs="Calibri"/>
                <w:color w:val="000000"/>
                <w:sz w:val="18"/>
                <w:szCs w:val="18"/>
                <w:lang w:eastAsia="es-ES"/>
              </w:rPr>
            </w:pPr>
          </w:p>
        </w:tc>
        <w:tc>
          <w:tcPr>
            <w:tcW w:w="850" w:type="dxa"/>
            <w:tcBorders>
              <w:top w:val="single" w:sz="4" w:space="0" w:color="auto"/>
              <w:left w:val="nil"/>
              <w:bottom w:val="single" w:sz="4" w:space="0" w:color="auto"/>
              <w:right w:val="single" w:sz="4" w:space="0" w:color="auto"/>
            </w:tcBorders>
            <w:shd w:val="clear" w:color="auto" w:fill="auto"/>
            <w:vAlign w:val="center"/>
          </w:tcPr>
          <w:p w14:paraId="0DF89756"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80%</w:t>
            </w:r>
          </w:p>
        </w:tc>
        <w:tc>
          <w:tcPr>
            <w:tcW w:w="2552" w:type="dxa"/>
            <w:tcBorders>
              <w:top w:val="single" w:sz="4" w:space="0" w:color="auto"/>
              <w:left w:val="nil"/>
              <w:bottom w:val="single" w:sz="4" w:space="0" w:color="auto"/>
              <w:right w:val="single" w:sz="4" w:space="0" w:color="auto"/>
            </w:tcBorders>
            <w:shd w:val="clear" w:color="auto" w:fill="auto"/>
            <w:vAlign w:val="center"/>
          </w:tcPr>
          <w:p w14:paraId="14D27FBC" w14:textId="77777777" w:rsidR="003E69A5" w:rsidRPr="003F7F6C" w:rsidRDefault="003E69A5" w:rsidP="00D25E0D">
            <w:pPr>
              <w:spacing w:after="0"/>
              <w:rPr>
                <w:rFonts w:eastAsia="Times New Roman" w:cs="Calibri"/>
                <w:color w:val="000000"/>
                <w:sz w:val="18"/>
                <w:szCs w:val="18"/>
                <w:lang w:eastAsia="es-ES"/>
              </w:rPr>
            </w:pPr>
          </w:p>
        </w:tc>
        <w:tc>
          <w:tcPr>
            <w:tcW w:w="2126" w:type="dxa"/>
            <w:tcBorders>
              <w:top w:val="single" w:sz="4" w:space="0" w:color="auto"/>
              <w:left w:val="nil"/>
              <w:bottom w:val="single" w:sz="4" w:space="0" w:color="auto"/>
              <w:right w:val="single" w:sz="4" w:space="0" w:color="auto"/>
            </w:tcBorders>
            <w:shd w:val="clear" w:color="auto" w:fill="auto"/>
            <w:vAlign w:val="center"/>
          </w:tcPr>
          <w:p w14:paraId="6A7AF954" w14:textId="77777777" w:rsidR="003E69A5" w:rsidRPr="003F7F6C" w:rsidRDefault="003E69A5" w:rsidP="00D25E0D">
            <w:pPr>
              <w:spacing w:after="0"/>
              <w:rPr>
                <w:rFonts w:eastAsia="Times New Roman" w:cs="Calibri"/>
                <w:color w:val="000000"/>
                <w:sz w:val="18"/>
                <w:szCs w:val="18"/>
                <w:lang w:eastAsia="es-ES"/>
              </w:rPr>
            </w:pPr>
          </w:p>
        </w:tc>
        <w:tc>
          <w:tcPr>
            <w:tcW w:w="1687" w:type="dxa"/>
            <w:tcBorders>
              <w:top w:val="single" w:sz="4" w:space="0" w:color="auto"/>
              <w:left w:val="nil"/>
              <w:bottom w:val="single" w:sz="4" w:space="0" w:color="auto"/>
              <w:right w:val="single" w:sz="4" w:space="0" w:color="auto"/>
            </w:tcBorders>
            <w:shd w:val="clear" w:color="auto" w:fill="auto"/>
            <w:vAlign w:val="center"/>
          </w:tcPr>
          <w:p w14:paraId="0ABC07E6" w14:textId="77777777" w:rsidR="003E69A5" w:rsidRPr="003F7F6C" w:rsidRDefault="003E69A5" w:rsidP="00D25E0D">
            <w:pPr>
              <w:spacing w:after="0"/>
              <w:rPr>
                <w:rFonts w:eastAsia="Times New Roman" w:cs="Calibri"/>
                <w:color w:val="000000"/>
                <w:sz w:val="18"/>
                <w:szCs w:val="18"/>
                <w:lang w:eastAsia="es-ES"/>
              </w:rPr>
            </w:pPr>
          </w:p>
        </w:tc>
      </w:tr>
    </w:tbl>
    <w:p w14:paraId="76617FEA" w14:textId="77777777" w:rsidR="003E69A5" w:rsidRPr="003F7F6C" w:rsidRDefault="003E69A5" w:rsidP="003E69A5"/>
    <w:p w14:paraId="15753BDB" w14:textId="77777777" w:rsidR="003E69A5" w:rsidRPr="003F7F6C" w:rsidRDefault="003E69A5" w:rsidP="003E69A5"/>
    <w:p w14:paraId="4D86002C" w14:textId="46067980" w:rsidR="003E69A5" w:rsidRPr="003F7F6C" w:rsidRDefault="003E69A5" w:rsidP="003E69A5"/>
    <w:p w14:paraId="017002D0" w14:textId="5FE17771" w:rsidR="009A70F2" w:rsidRPr="003F7F6C" w:rsidRDefault="009A70F2" w:rsidP="003E69A5"/>
    <w:p w14:paraId="67B01F50" w14:textId="6AAE242A" w:rsidR="00CE41E0" w:rsidRPr="003F7F6C" w:rsidRDefault="00CE41E0" w:rsidP="003E69A5"/>
    <w:p w14:paraId="35AE52E0" w14:textId="7BAE1943" w:rsidR="00CE41E0" w:rsidRPr="003F7F6C" w:rsidRDefault="00CE41E0" w:rsidP="003E69A5"/>
    <w:p w14:paraId="610C20E4" w14:textId="77777777" w:rsidR="00CE41E0" w:rsidRPr="003F7F6C" w:rsidRDefault="00CE41E0" w:rsidP="003E69A5"/>
    <w:p w14:paraId="1E372CD7" w14:textId="45C00507" w:rsidR="009A70F2" w:rsidRPr="003F7F6C" w:rsidRDefault="009A70F2" w:rsidP="003E69A5"/>
    <w:p w14:paraId="728DBDF9" w14:textId="77777777" w:rsidR="009A70F2" w:rsidRPr="003F7F6C" w:rsidRDefault="009A70F2" w:rsidP="003E69A5"/>
    <w:p w14:paraId="28C179FE" w14:textId="77777777" w:rsidR="003E69A5" w:rsidRPr="003F7F6C" w:rsidRDefault="003E69A5" w:rsidP="003E69A5">
      <w:pPr>
        <w:spacing w:after="0"/>
        <w:rPr>
          <w:rFonts w:ascii="Times New Roman" w:eastAsia="Calibri" w:hAnsi="Times New Roman"/>
          <w:b/>
          <w:i/>
          <w:szCs w:val="20"/>
        </w:rPr>
      </w:pPr>
      <w:r w:rsidRPr="003F7F6C">
        <w:rPr>
          <w:rFonts w:ascii="Times New Roman" w:eastAsia="Calibri" w:hAnsi="Times New Roman"/>
          <w:b/>
          <w:i/>
          <w:szCs w:val="20"/>
        </w:rPr>
        <w:t>SGAyDS</w:t>
      </w:r>
    </w:p>
    <w:tbl>
      <w:tblPr>
        <w:tblW w:w="14440" w:type="dxa"/>
        <w:tblCellMar>
          <w:left w:w="70" w:type="dxa"/>
          <w:right w:w="70" w:type="dxa"/>
        </w:tblCellMar>
        <w:tblLook w:val="04A0" w:firstRow="1" w:lastRow="0" w:firstColumn="1" w:lastColumn="0" w:noHBand="0" w:noVBand="1"/>
      </w:tblPr>
      <w:tblGrid>
        <w:gridCol w:w="1776"/>
        <w:gridCol w:w="4248"/>
        <w:gridCol w:w="709"/>
        <w:gridCol w:w="708"/>
        <w:gridCol w:w="3119"/>
        <w:gridCol w:w="2163"/>
        <w:gridCol w:w="63"/>
        <w:gridCol w:w="1654"/>
      </w:tblGrid>
      <w:tr w:rsidR="003E69A5" w:rsidRPr="003F7F6C" w14:paraId="34EF83DA" w14:textId="77777777" w:rsidTr="00D25E0D">
        <w:trPr>
          <w:trHeight w:val="600"/>
        </w:trPr>
        <w:tc>
          <w:tcPr>
            <w:tcW w:w="1776" w:type="dxa"/>
            <w:tcBorders>
              <w:top w:val="single" w:sz="4" w:space="0" w:color="auto"/>
              <w:left w:val="single" w:sz="4" w:space="0" w:color="auto"/>
              <w:bottom w:val="single" w:sz="4" w:space="0" w:color="auto"/>
              <w:right w:val="single" w:sz="4" w:space="0" w:color="auto"/>
            </w:tcBorders>
            <w:shd w:val="clear" w:color="000000" w:fill="B4C6E7"/>
            <w:vAlign w:val="center"/>
            <w:hideMark/>
          </w:tcPr>
          <w:p w14:paraId="2171CF3B" w14:textId="77777777" w:rsidR="003E69A5" w:rsidRPr="003F7F6C" w:rsidRDefault="003E69A5" w:rsidP="00D25E0D">
            <w:pPr>
              <w:spacing w:after="0"/>
              <w:jc w:val="center"/>
              <w:rPr>
                <w:rFonts w:eastAsia="Times New Roman" w:cs="Calibri"/>
                <w:b/>
                <w:bCs/>
                <w:color w:val="000000"/>
                <w:sz w:val="18"/>
                <w:szCs w:val="18"/>
                <w:lang w:eastAsia="es-ES"/>
              </w:rPr>
            </w:pPr>
            <w:r w:rsidRPr="003F7F6C">
              <w:rPr>
                <w:rFonts w:eastAsia="Times New Roman" w:cs="Calibri"/>
                <w:b/>
                <w:bCs/>
                <w:color w:val="000000"/>
                <w:sz w:val="18"/>
                <w:szCs w:val="18"/>
                <w:lang w:eastAsia="es-ES"/>
              </w:rPr>
              <w:t>Capacity Result / Indicator</w:t>
            </w:r>
          </w:p>
        </w:tc>
        <w:tc>
          <w:tcPr>
            <w:tcW w:w="4248" w:type="dxa"/>
            <w:tcBorders>
              <w:top w:val="single" w:sz="4" w:space="0" w:color="auto"/>
              <w:left w:val="nil"/>
              <w:bottom w:val="single" w:sz="4" w:space="0" w:color="auto"/>
              <w:right w:val="single" w:sz="4" w:space="0" w:color="auto"/>
            </w:tcBorders>
            <w:shd w:val="clear" w:color="000000" w:fill="B4C6E7"/>
            <w:vAlign w:val="center"/>
            <w:hideMark/>
          </w:tcPr>
          <w:p w14:paraId="2627C8A0" w14:textId="77777777" w:rsidR="003E69A5" w:rsidRPr="003F7F6C" w:rsidRDefault="003E69A5" w:rsidP="00D25E0D">
            <w:pPr>
              <w:spacing w:after="0"/>
              <w:jc w:val="center"/>
              <w:rPr>
                <w:rFonts w:eastAsia="Times New Roman" w:cs="Calibri"/>
                <w:b/>
                <w:bCs/>
                <w:color w:val="000000"/>
                <w:sz w:val="18"/>
                <w:szCs w:val="18"/>
                <w:lang w:eastAsia="es-ES"/>
              </w:rPr>
            </w:pPr>
            <w:r w:rsidRPr="003F7F6C">
              <w:rPr>
                <w:rFonts w:eastAsia="Times New Roman" w:cs="Calibri"/>
                <w:b/>
                <w:bCs/>
                <w:color w:val="000000"/>
                <w:sz w:val="18"/>
                <w:szCs w:val="18"/>
                <w:lang w:eastAsia="es-ES"/>
              </w:rPr>
              <w:t>Staged Indicators</w:t>
            </w:r>
          </w:p>
        </w:tc>
        <w:tc>
          <w:tcPr>
            <w:tcW w:w="709" w:type="dxa"/>
            <w:tcBorders>
              <w:top w:val="single" w:sz="4" w:space="0" w:color="auto"/>
              <w:left w:val="nil"/>
              <w:bottom w:val="single" w:sz="4" w:space="0" w:color="auto"/>
              <w:right w:val="single" w:sz="4" w:space="0" w:color="auto"/>
            </w:tcBorders>
            <w:shd w:val="clear" w:color="000000" w:fill="B4C6E7"/>
            <w:vAlign w:val="center"/>
            <w:hideMark/>
          </w:tcPr>
          <w:p w14:paraId="5F4872D2" w14:textId="77777777" w:rsidR="003E69A5" w:rsidRPr="003F7F6C" w:rsidRDefault="003E69A5" w:rsidP="00D25E0D">
            <w:pPr>
              <w:spacing w:after="0"/>
              <w:jc w:val="center"/>
              <w:rPr>
                <w:rFonts w:eastAsia="Times New Roman" w:cs="Calibri"/>
                <w:b/>
                <w:bCs/>
                <w:color w:val="000000"/>
                <w:sz w:val="18"/>
                <w:szCs w:val="18"/>
                <w:lang w:eastAsia="es-ES"/>
              </w:rPr>
            </w:pPr>
            <w:r w:rsidRPr="003F7F6C">
              <w:rPr>
                <w:rFonts w:eastAsia="Times New Roman" w:cs="Calibri"/>
                <w:b/>
                <w:bCs/>
                <w:color w:val="000000"/>
                <w:sz w:val="18"/>
                <w:szCs w:val="18"/>
                <w:lang w:eastAsia="es-ES"/>
              </w:rPr>
              <w:t>Rating</w:t>
            </w:r>
          </w:p>
        </w:tc>
        <w:tc>
          <w:tcPr>
            <w:tcW w:w="708" w:type="dxa"/>
            <w:tcBorders>
              <w:top w:val="single" w:sz="4" w:space="0" w:color="auto"/>
              <w:left w:val="nil"/>
              <w:bottom w:val="single" w:sz="4" w:space="0" w:color="auto"/>
              <w:right w:val="single" w:sz="4" w:space="0" w:color="auto"/>
            </w:tcBorders>
            <w:shd w:val="clear" w:color="000000" w:fill="B4C6E7"/>
            <w:vAlign w:val="center"/>
            <w:hideMark/>
          </w:tcPr>
          <w:p w14:paraId="7969D42D" w14:textId="77777777" w:rsidR="003E69A5" w:rsidRPr="003F7F6C" w:rsidRDefault="003E69A5" w:rsidP="00D25E0D">
            <w:pPr>
              <w:spacing w:after="0"/>
              <w:jc w:val="center"/>
              <w:rPr>
                <w:rFonts w:eastAsia="Times New Roman" w:cs="Calibri"/>
                <w:b/>
                <w:bCs/>
                <w:color w:val="000000"/>
                <w:sz w:val="18"/>
                <w:szCs w:val="18"/>
                <w:lang w:eastAsia="es-ES"/>
              </w:rPr>
            </w:pPr>
            <w:r w:rsidRPr="003F7F6C">
              <w:rPr>
                <w:rFonts w:eastAsia="Times New Roman" w:cs="Calibri"/>
                <w:b/>
                <w:bCs/>
                <w:color w:val="000000"/>
                <w:sz w:val="18"/>
                <w:szCs w:val="18"/>
                <w:lang w:eastAsia="es-ES"/>
              </w:rPr>
              <w:t>Score</w:t>
            </w:r>
          </w:p>
        </w:tc>
        <w:tc>
          <w:tcPr>
            <w:tcW w:w="3119" w:type="dxa"/>
            <w:tcBorders>
              <w:top w:val="single" w:sz="4" w:space="0" w:color="auto"/>
              <w:left w:val="nil"/>
              <w:bottom w:val="single" w:sz="4" w:space="0" w:color="auto"/>
              <w:right w:val="single" w:sz="4" w:space="0" w:color="auto"/>
            </w:tcBorders>
            <w:shd w:val="clear" w:color="000000" w:fill="B4C6E7"/>
            <w:vAlign w:val="center"/>
            <w:hideMark/>
          </w:tcPr>
          <w:p w14:paraId="6BFDC625" w14:textId="77777777" w:rsidR="003E69A5" w:rsidRPr="003F7F6C" w:rsidRDefault="003E69A5" w:rsidP="00D25E0D">
            <w:pPr>
              <w:spacing w:after="0"/>
              <w:jc w:val="center"/>
              <w:rPr>
                <w:rFonts w:eastAsia="Times New Roman" w:cs="Calibri"/>
                <w:b/>
                <w:bCs/>
                <w:color w:val="000000"/>
                <w:sz w:val="18"/>
                <w:szCs w:val="18"/>
                <w:lang w:eastAsia="es-ES"/>
              </w:rPr>
            </w:pPr>
            <w:r w:rsidRPr="003F7F6C">
              <w:rPr>
                <w:rFonts w:eastAsia="Times New Roman" w:cs="Calibri"/>
                <w:b/>
                <w:bCs/>
                <w:color w:val="000000"/>
                <w:sz w:val="18"/>
                <w:szCs w:val="18"/>
                <w:lang w:eastAsia="es-ES"/>
              </w:rPr>
              <w:t>Comments</w:t>
            </w:r>
          </w:p>
        </w:tc>
        <w:tc>
          <w:tcPr>
            <w:tcW w:w="2226" w:type="dxa"/>
            <w:gridSpan w:val="2"/>
            <w:tcBorders>
              <w:top w:val="single" w:sz="4" w:space="0" w:color="auto"/>
              <w:left w:val="nil"/>
              <w:bottom w:val="single" w:sz="4" w:space="0" w:color="auto"/>
              <w:right w:val="single" w:sz="4" w:space="0" w:color="auto"/>
            </w:tcBorders>
            <w:shd w:val="clear" w:color="000000" w:fill="B4C6E7"/>
            <w:vAlign w:val="center"/>
            <w:hideMark/>
          </w:tcPr>
          <w:p w14:paraId="01A766C4" w14:textId="77777777" w:rsidR="003E69A5" w:rsidRPr="003F7F6C" w:rsidRDefault="003E69A5" w:rsidP="00D25E0D">
            <w:pPr>
              <w:spacing w:after="0"/>
              <w:jc w:val="center"/>
              <w:rPr>
                <w:rFonts w:eastAsia="Times New Roman" w:cs="Calibri"/>
                <w:b/>
                <w:bCs/>
                <w:color w:val="000000"/>
                <w:sz w:val="18"/>
                <w:szCs w:val="18"/>
                <w:lang w:eastAsia="es-ES"/>
              </w:rPr>
            </w:pPr>
            <w:r w:rsidRPr="003F7F6C">
              <w:rPr>
                <w:rFonts w:eastAsia="Times New Roman" w:cs="Calibri"/>
                <w:b/>
                <w:bCs/>
                <w:color w:val="000000"/>
                <w:sz w:val="18"/>
                <w:szCs w:val="18"/>
                <w:lang w:eastAsia="es-ES"/>
              </w:rPr>
              <w:t>Next Steps</w:t>
            </w:r>
          </w:p>
        </w:tc>
        <w:tc>
          <w:tcPr>
            <w:tcW w:w="1654" w:type="dxa"/>
            <w:tcBorders>
              <w:top w:val="single" w:sz="4" w:space="0" w:color="auto"/>
              <w:left w:val="nil"/>
              <w:bottom w:val="single" w:sz="4" w:space="0" w:color="auto"/>
              <w:right w:val="single" w:sz="4" w:space="0" w:color="auto"/>
            </w:tcBorders>
            <w:shd w:val="clear" w:color="000000" w:fill="B4C6E7"/>
            <w:vAlign w:val="center"/>
            <w:hideMark/>
          </w:tcPr>
          <w:p w14:paraId="0E1E2148" w14:textId="77777777" w:rsidR="003E69A5" w:rsidRPr="003F7F6C" w:rsidRDefault="003E69A5" w:rsidP="00D25E0D">
            <w:pPr>
              <w:spacing w:after="0"/>
              <w:jc w:val="center"/>
              <w:rPr>
                <w:rFonts w:eastAsia="Times New Roman" w:cs="Calibri"/>
                <w:b/>
                <w:bCs/>
                <w:color w:val="000000"/>
                <w:sz w:val="18"/>
                <w:szCs w:val="18"/>
                <w:lang w:eastAsia="es-ES"/>
              </w:rPr>
            </w:pPr>
            <w:r w:rsidRPr="003F7F6C">
              <w:rPr>
                <w:rFonts w:eastAsia="Times New Roman" w:cs="Calibri"/>
                <w:b/>
                <w:bCs/>
                <w:color w:val="000000"/>
                <w:sz w:val="18"/>
                <w:szCs w:val="18"/>
                <w:lang w:eastAsia="es-ES"/>
              </w:rPr>
              <w:t>Contribution to which outcome</w:t>
            </w:r>
          </w:p>
        </w:tc>
      </w:tr>
      <w:tr w:rsidR="003E69A5" w:rsidRPr="003F7F6C" w14:paraId="59D18CC5" w14:textId="77777777" w:rsidTr="00D25E0D">
        <w:trPr>
          <w:trHeight w:val="300"/>
        </w:trPr>
        <w:tc>
          <w:tcPr>
            <w:tcW w:w="14440" w:type="dxa"/>
            <w:gridSpan w:val="8"/>
            <w:tcBorders>
              <w:top w:val="single" w:sz="4" w:space="0" w:color="auto"/>
              <w:left w:val="single" w:sz="4" w:space="0" w:color="auto"/>
              <w:bottom w:val="single" w:sz="4" w:space="0" w:color="auto"/>
              <w:right w:val="single" w:sz="4" w:space="0" w:color="auto"/>
            </w:tcBorders>
            <w:shd w:val="clear" w:color="000000" w:fill="D9D9D9"/>
            <w:vAlign w:val="bottom"/>
            <w:hideMark/>
          </w:tcPr>
          <w:p w14:paraId="63A2061E"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 xml:space="preserve">CR 1: Capacities for Engagement </w:t>
            </w:r>
          </w:p>
        </w:tc>
      </w:tr>
      <w:tr w:rsidR="003E69A5" w:rsidRPr="003F7F6C" w14:paraId="4025144A" w14:textId="77777777" w:rsidTr="00D25E0D">
        <w:trPr>
          <w:trHeight w:val="705"/>
        </w:trPr>
        <w:tc>
          <w:tcPr>
            <w:tcW w:w="1776" w:type="dxa"/>
            <w:vMerge w:val="restart"/>
            <w:tcBorders>
              <w:top w:val="nil"/>
              <w:left w:val="single" w:sz="4" w:space="0" w:color="auto"/>
              <w:right w:val="single" w:sz="4" w:space="0" w:color="auto"/>
            </w:tcBorders>
            <w:shd w:val="clear" w:color="auto" w:fill="auto"/>
            <w:vAlign w:val="center"/>
            <w:hideMark/>
          </w:tcPr>
          <w:p w14:paraId="571237E2"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Indicator 1: Degree of legitimacy/mandate of lead environmental organizations</w:t>
            </w:r>
          </w:p>
        </w:tc>
        <w:tc>
          <w:tcPr>
            <w:tcW w:w="4248" w:type="dxa"/>
            <w:tcBorders>
              <w:top w:val="nil"/>
              <w:left w:val="nil"/>
              <w:bottom w:val="single" w:sz="4" w:space="0" w:color="auto"/>
              <w:right w:val="single" w:sz="4" w:space="0" w:color="auto"/>
            </w:tcBorders>
            <w:shd w:val="clear" w:color="auto" w:fill="auto"/>
            <w:vAlign w:val="center"/>
          </w:tcPr>
          <w:p w14:paraId="70F6BC87"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Organizational responsibilities for environmental management are not clearly defined</w:t>
            </w:r>
          </w:p>
        </w:tc>
        <w:tc>
          <w:tcPr>
            <w:tcW w:w="709" w:type="dxa"/>
            <w:tcBorders>
              <w:top w:val="nil"/>
              <w:left w:val="nil"/>
              <w:bottom w:val="single" w:sz="4" w:space="0" w:color="auto"/>
              <w:right w:val="single" w:sz="4" w:space="0" w:color="auto"/>
            </w:tcBorders>
            <w:shd w:val="clear" w:color="auto" w:fill="auto"/>
            <w:vAlign w:val="center"/>
          </w:tcPr>
          <w:p w14:paraId="44AB88AB"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0</w:t>
            </w:r>
          </w:p>
        </w:tc>
        <w:tc>
          <w:tcPr>
            <w:tcW w:w="708" w:type="dxa"/>
            <w:tcBorders>
              <w:top w:val="nil"/>
              <w:left w:val="nil"/>
              <w:bottom w:val="single" w:sz="4" w:space="0" w:color="auto"/>
              <w:right w:val="single" w:sz="4" w:space="0" w:color="auto"/>
            </w:tcBorders>
            <w:shd w:val="clear" w:color="auto" w:fill="auto"/>
            <w:vAlign w:val="center"/>
            <w:hideMark/>
          </w:tcPr>
          <w:p w14:paraId="03A6EB41" w14:textId="77777777" w:rsidR="003E69A5" w:rsidRPr="003F7F6C" w:rsidRDefault="003E69A5" w:rsidP="00D25E0D">
            <w:pPr>
              <w:spacing w:after="0"/>
              <w:jc w:val="center"/>
              <w:rPr>
                <w:rFonts w:eastAsia="Times New Roman" w:cs="Calibri"/>
                <w:color w:val="000000"/>
                <w:sz w:val="18"/>
                <w:szCs w:val="18"/>
                <w:lang w:eastAsia="es-ES"/>
              </w:rPr>
            </w:pPr>
          </w:p>
        </w:tc>
        <w:tc>
          <w:tcPr>
            <w:tcW w:w="3119" w:type="dxa"/>
            <w:tcBorders>
              <w:top w:val="nil"/>
              <w:left w:val="nil"/>
              <w:bottom w:val="single" w:sz="4" w:space="0" w:color="auto"/>
              <w:right w:val="single" w:sz="4" w:space="0" w:color="auto"/>
            </w:tcBorders>
            <w:shd w:val="clear" w:color="auto" w:fill="auto"/>
            <w:vAlign w:val="center"/>
            <w:hideMark/>
          </w:tcPr>
          <w:p w14:paraId="359BDC01"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226" w:type="dxa"/>
            <w:gridSpan w:val="2"/>
            <w:tcBorders>
              <w:top w:val="nil"/>
              <w:left w:val="nil"/>
              <w:bottom w:val="single" w:sz="4" w:space="0" w:color="auto"/>
              <w:right w:val="single" w:sz="4" w:space="0" w:color="auto"/>
            </w:tcBorders>
            <w:shd w:val="clear" w:color="auto" w:fill="auto"/>
            <w:vAlign w:val="center"/>
            <w:hideMark/>
          </w:tcPr>
          <w:p w14:paraId="3753DF77"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54" w:type="dxa"/>
            <w:tcBorders>
              <w:top w:val="nil"/>
              <w:left w:val="nil"/>
              <w:bottom w:val="single" w:sz="4" w:space="0" w:color="auto"/>
              <w:right w:val="single" w:sz="4" w:space="0" w:color="auto"/>
            </w:tcBorders>
            <w:shd w:val="clear" w:color="auto" w:fill="auto"/>
            <w:vAlign w:val="center"/>
            <w:hideMark/>
          </w:tcPr>
          <w:p w14:paraId="27B0AE8D"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1A0B6D20" w14:textId="77777777" w:rsidTr="00D25E0D">
        <w:trPr>
          <w:trHeight w:val="687"/>
        </w:trPr>
        <w:tc>
          <w:tcPr>
            <w:tcW w:w="1776" w:type="dxa"/>
            <w:vMerge/>
            <w:tcBorders>
              <w:left w:val="single" w:sz="4" w:space="0" w:color="auto"/>
              <w:right w:val="single" w:sz="4" w:space="0" w:color="auto"/>
            </w:tcBorders>
            <w:shd w:val="clear" w:color="auto" w:fill="auto"/>
            <w:vAlign w:val="center"/>
          </w:tcPr>
          <w:p w14:paraId="69883625" w14:textId="77777777" w:rsidR="003E69A5" w:rsidRPr="003F7F6C" w:rsidRDefault="003E69A5" w:rsidP="00D25E0D">
            <w:pPr>
              <w:autoSpaceDE w:val="0"/>
              <w:autoSpaceDN w:val="0"/>
              <w:adjustRightInd w:val="0"/>
              <w:spacing w:after="0"/>
              <w:rPr>
                <w:rFonts w:cs="Calibri"/>
                <w:sz w:val="18"/>
                <w:szCs w:val="18"/>
              </w:rPr>
            </w:pPr>
          </w:p>
        </w:tc>
        <w:tc>
          <w:tcPr>
            <w:tcW w:w="4248" w:type="dxa"/>
            <w:tcBorders>
              <w:top w:val="nil"/>
              <w:left w:val="nil"/>
              <w:bottom w:val="single" w:sz="4" w:space="0" w:color="auto"/>
              <w:right w:val="single" w:sz="4" w:space="0" w:color="auto"/>
            </w:tcBorders>
            <w:shd w:val="clear" w:color="auto" w:fill="auto"/>
            <w:vAlign w:val="center"/>
          </w:tcPr>
          <w:p w14:paraId="29920C6C"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Organizational responsibilities for environmental management are identified</w:t>
            </w:r>
          </w:p>
        </w:tc>
        <w:tc>
          <w:tcPr>
            <w:tcW w:w="709" w:type="dxa"/>
            <w:tcBorders>
              <w:top w:val="nil"/>
              <w:left w:val="nil"/>
              <w:bottom w:val="single" w:sz="4" w:space="0" w:color="auto"/>
              <w:right w:val="single" w:sz="4" w:space="0" w:color="auto"/>
            </w:tcBorders>
            <w:shd w:val="clear" w:color="auto" w:fill="auto"/>
            <w:vAlign w:val="center"/>
          </w:tcPr>
          <w:p w14:paraId="62F3630C"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1</w:t>
            </w:r>
          </w:p>
        </w:tc>
        <w:tc>
          <w:tcPr>
            <w:tcW w:w="708" w:type="dxa"/>
            <w:tcBorders>
              <w:top w:val="nil"/>
              <w:left w:val="nil"/>
              <w:bottom w:val="single" w:sz="4" w:space="0" w:color="auto"/>
              <w:right w:val="single" w:sz="4" w:space="0" w:color="auto"/>
            </w:tcBorders>
            <w:shd w:val="clear" w:color="auto" w:fill="auto"/>
            <w:vAlign w:val="center"/>
          </w:tcPr>
          <w:p w14:paraId="2E2BBF11" w14:textId="77777777" w:rsidR="003E69A5" w:rsidRPr="003F7F6C" w:rsidRDefault="003E69A5" w:rsidP="00D25E0D">
            <w:pPr>
              <w:spacing w:after="0"/>
              <w:jc w:val="center"/>
              <w:rPr>
                <w:rFonts w:eastAsia="Times New Roman" w:cs="Calibri"/>
                <w:color w:val="000000"/>
                <w:sz w:val="18"/>
                <w:szCs w:val="18"/>
                <w:lang w:eastAsia="es-ES"/>
              </w:rPr>
            </w:pPr>
          </w:p>
        </w:tc>
        <w:tc>
          <w:tcPr>
            <w:tcW w:w="3119" w:type="dxa"/>
            <w:tcBorders>
              <w:top w:val="nil"/>
              <w:left w:val="nil"/>
              <w:bottom w:val="single" w:sz="4" w:space="0" w:color="auto"/>
              <w:right w:val="single" w:sz="4" w:space="0" w:color="auto"/>
            </w:tcBorders>
            <w:shd w:val="clear" w:color="auto" w:fill="auto"/>
            <w:vAlign w:val="center"/>
          </w:tcPr>
          <w:p w14:paraId="5F4DC4BE" w14:textId="77777777" w:rsidR="003E69A5" w:rsidRPr="003F7F6C" w:rsidRDefault="003E69A5" w:rsidP="00D25E0D">
            <w:pPr>
              <w:spacing w:after="0"/>
              <w:rPr>
                <w:rFonts w:eastAsia="Times New Roman" w:cs="Calibri"/>
                <w:color w:val="000000"/>
                <w:sz w:val="18"/>
                <w:szCs w:val="18"/>
                <w:lang w:eastAsia="es-ES"/>
              </w:rPr>
            </w:pPr>
          </w:p>
        </w:tc>
        <w:tc>
          <w:tcPr>
            <w:tcW w:w="2226" w:type="dxa"/>
            <w:gridSpan w:val="2"/>
            <w:tcBorders>
              <w:top w:val="nil"/>
              <w:left w:val="nil"/>
              <w:bottom w:val="single" w:sz="4" w:space="0" w:color="auto"/>
              <w:right w:val="single" w:sz="4" w:space="0" w:color="auto"/>
            </w:tcBorders>
            <w:shd w:val="clear" w:color="auto" w:fill="auto"/>
            <w:vAlign w:val="center"/>
          </w:tcPr>
          <w:p w14:paraId="4581977F" w14:textId="77777777" w:rsidR="003E69A5" w:rsidRPr="003F7F6C" w:rsidRDefault="003E69A5" w:rsidP="00D25E0D">
            <w:pPr>
              <w:spacing w:after="0"/>
              <w:rPr>
                <w:rFonts w:eastAsia="Times New Roman" w:cs="Calibri"/>
                <w:color w:val="000000"/>
                <w:sz w:val="18"/>
                <w:szCs w:val="18"/>
                <w:lang w:eastAsia="es-ES"/>
              </w:rPr>
            </w:pPr>
          </w:p>
        </w:tc>
        <w:tc>
          <w:tcPr>
            <w:tcW w:w="1654" w:type="dxa"/>
            <w:tcBorders>
              <w:top w:val="nil"/>
              <w:left w:val="nil"/>
              <w:bottom w:val="single" w:sz="4" w:space="0" w:color="auto"/>
              <w:right w:val="single" w:sz="4" w:space="0" w:color="auto"/>
            </w:tcBorders>
            <w:shd w:val="clear" w:color="auto" w:fill="auto"/>
            <w:vAlign w:val="center"/>
          </w:tcPr>
          <w:p w14:paraId="179DC140"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5E8971B7" w14:textId="77777777" w:rsidTr="00D25E0D">
        <w:trPr>
          <w:trHeight w:val="569"/>
        </w:trPr>
        <w:tc>
          <w:tcPr>
            <w:tcW w:w="1776" w:type="dxa"/>
            <w:vMerge/>
            <w:tcBorders>
              <w:left w:val="single" w:sz="4" w:space="0" w:color="auto"/>
              <w:right w:val="single" w:sz="4" w:space="0" w:color="auto"/>
            </w:tcBorders>
            <w:shd w:val="clear" w:color="auto" w:fill="auto"/>
            <w:vAlign w:val="center"/>
          </w:tcPr>
          <w:p w14:paraId="436612EE" w14:textId="77777777" w:rsidR="003E69A5" w:rsidRPr="003F7F6C" w:rsidRDefault="003E69A5" w:rsidP="00D25E0D">
            <w:pPr>
              <w:autoSpaceDE w:val="0"/>
              <w:autoSpaceDN w:val="0"/>
              <w:adjustRightInd w:val="0"/>
              <w:spacing w:after="0"/>
              <w:rPr>
                <w:rFonts w:cs="Calibri"/>
                <w:sz w:val="18"/>
                <w:szCs w:val="18"/>
              </w:rPr>
            </w:pPr>
          </w:p>
        </w:tc>
        <w:tc>
          <w:tcPr>
            <w:tcW w:w="4248" w:type="dxa"/>
            <w:tcBorders>
              <w:top w:val="nil"/>
              <w:left w:val="nil"/>
              <w:bottom w:val="single" w:sz="4" w:space="0" w:color="auto"/>
              <w:right w:val="single" w:sz="4" w:space="0" w:color="auto"/>
            </w:tcBorders>
            <w:shd w:val="clear" w:color="auto" w:fill="auto"/>
            <w:vAlign w:val="center"/>
          </w:tcPr>
          <w:p w14:paraId="3DF1180B"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Authority and legitimacy of all lead organizations responsible for environmental management are partially recognized by stakeholders</w:t>
            </w:r>
          </w:p>
        </w:tc>
        <w:tc>
          <w:tcPr>
            <w:tcW w:w="709" w:type="dxa"/>
            <w:tcBorders>
              <w:top w:val="nil"/>
              <w:left w:val="nil"/>
              <w:bottom w:val="single" w:sz="4" w:space="0" w:color="auto"/>
              <w:right w:val="single" w:sz="4" w:space="0" w:color="auto"/>
            </w:tcBorders>
            <w:shd w:val="clear" w:color="auto" w:fill="auto"/>
            <w:vAlign w:val="center"/>
          </w:tcPr>
          <w:p w14:paraId="653420D5"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2</w:t>
            </w:r>
          </w:p>
        </w:tc>
        <w:tc>
          <w:tcPr>
            <w:tcW w:w="708" w:type="dxa"/>
            <w:tcBorders>
              <w:top w:val="nil"/>
              <w:left w:val="nil"/>
              <w:bottom w:val="single" w:sz="4" w:space="0" w:color="auto"/>
              <w:right w:val="single" w:sz="4" w:space="0" w:color="auto"/>
            </w:tcBorders>
            <w:shd w:val="clear" w:color="auto" w:fill="auto"/>
            <w:vAlign w:val="center"/>
          </w:tcPr>
          <w:p w14:paraId="1BDC661F"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2</w:t>
            </w:r>
          </w:p>
        </w:tc>
        <w:tc>
          <w:tcPr>
            <w:tcW w:w="3119" w:type="dxa"/>
            <w:tcBorders>
              <w:top w:val="nil"/>
              <w:left w:val="nil"/>
              <w:bottom w:val="single" w:sz="4" w:space="0" w:color="auto"/>
              <w:right w:val="single" w:sz="4" w:space="0" w:color="auto"/>
            </w:tcBorders>
            <w:shd w:val="clear" w:color="auto" w:fill="auto"/>
            <w:vAlign w:val="center"/>
          </w:tcPr>
          <w:p w14:paraId="71466576"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SGAyDS is responsible for enforcement of the General Environment Law (GEL) and guarantees environmental protection. Although the SGAyDS is responsible for design and implementation of ELUP, land use planning is undertaken under a classical zoning view through the Planning Ministry</w:t>
            </w:r>
          </w:p>
        </w:tc>
        <w:tc>
          <w:tcPr>
            <w:tcW w:w="2226" w:type="dxa"/>
            <w:gridSpan w:val="2"/>
            <w:tcBorders>
              <w:top w:val="nil"/>
              <w:left w:val="nil"/>
              <w:bottom w:val="single" w:sz="4" w:space="0" w:color="auto"/>
              <w:right w:val="single" w:sz="4" w:space="0" w:color="auto"/>
            </w:tcBorders>
            <w:shd w:val="clear" w:color="auto" w:fill="auto"/>
            <w:vAlign w:val="center"/>
          </w:tcPr>
          <w:p w14:paraId="34AF5488"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Recognize SGAyDS as leader in the ELUP process at national level</w:t>
            </w:r>
          </w:p>
        </w:tc>
        <w:tc>
          <w:tcPr>
            <w:tcW w:w="1654" w:type="dxa"/>
            <w:tcBorders>
              <w:top w:val="nil"/>
              <w:left w:val="nil"/>
              <w:bottom w:val="single" w:sz="4" w:space="0" w:color="auto"/>
              <w:right w:val="single" w:sz="4" w:space="0" w:color="auto"/>
            </w:tcBorders>
            <w:shd w:val="clear" w:color="auto" w:fill="auto"/>
            <w:vAlign w:val="center"/>
          </w:tcPr>
          <w:p w14:paraId="454AB834"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1, 3</w:t>
            </w:r>
          </w:p>
        </w:tc>
      </w:tr>
      <w:tr w:rsidR="003E69A5" w:rsidRPr="003F7F6C" w14:paraId="6F0BE11E" w14:textId="77777777" w:rsidTr="00D25E0D">
        <w:trPr>
          <w:trHeight w:val="833"/>
        </w:trPr>
        <w:tc>
          <w:tcPr>
            <w:tcW w:w="1776" w:type="dxa"/>
            <w:vMerge/>
            <w:tcBorders>
              <w:left w:val="single" w:sz="4" w:space="0" w:color="auto"/>
              <w:bottom w:val="single" w:sz="4" w:space="0" w:color="auto"/>
              <w:right w:val="single" w:sz="4" w:space="0" w:color="auto"/>
            </w:tcBorders>
            <w:shd w:val="clear" w:color="auto" w:fill="auto"/>
            <w:vAlign w:val="center"/>
          </w:tcPr>
          <w:p w14:paraId="59DC569D" w14:textId="77777777" w:rsidR="003E69A5" w:rsidRPr="003F7F6C" w:rsidRDefault="003E69A5" w:rsidP="00D25E0D">
            <w:pPr>
              <w:autoSpaceDE w:val="0"/>
              <w:autoSpaceDN w:val="0"/>
              <w:adjustRightInd w:val="0"/>
              <w:spacing w:after="0"/>
              <w:rPr>
                <w:rFonts w:cs="Calibri"/>
                <w:sz w:val="18"/>
                <w:szCs w:val="18"/>
              </w:rPr>
            </w:pPr>
          </w:p>
        </w:tc>
        <w:tc>
          <w:tcPr>
            <w:tcW w:w="4248" w:type="dxa"/>
            <w:tcBorders>
              <w:top w:val="nil"/>
              <w:left w:val="nil"/>
              <w:bottom w:val="single" w:sz="4" w:space="0" w:color="auto"/>
              <w:right w:val="single" w:sz="4" w:space="0" w:color="auto"/>
            </w:tcBorders>
            <w:shd w:val="clear" w:color="auto" w:fill="auto"/>
            <w:vAlign w:val="center"/>
          </w:tcPr>
          <w:p w14:paraId="74F3BCC5"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Authority and legitimacy of all lead organizations responsible for environmental management recognized by stakeholders</w:t>
            </w:r>
          </w:p>
        </w:tc>
        <w:tc>
          <w:tcPr>
            <w:tcW w:w="709" w:type="dxa"/>
            <w:tcBorders>
              <w:top w:val="nil"/>
              <w:left w:val="nil"/>
              <w:bottom w:val="single" w:sz="4" w:space="0" w:color="auto"/>
              <w:right w:val="single" w:sz="4" w:space="0" w:color="auto"/>
            </w:tcBorders>
            <w:shd w:val="clear" w:color="auto" w:fill="auto"/>
            <w:vAlign w:val="center"/>
          </w:tcPr>
          <w:p w14:paraId="459DB572"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3</w:t>
            </w:r>
          </w:p>
        </w:tc>
        <w:tc>
          <w:tcPr>
            <w:tcW w:w="708" w:type="dxa"/>
            <w:tcBorders>
              <w:top w:val="nil"/>
              <w:left w:val="nil"/>
              <w:bottom w:val="single" w:sz="4" w:space="0" w:color="auto"/>
              <w:right w:val="single" w:sz="4" w:space="0" w:color="auto"/>
            </w:tcBorders>
            <w:shd w:val="clear" w:color="auto" w:fill="auto"/>
            <w:vAlign w:val="center"/>
          </w:tcPr>
          <w:p w14:paraId="4E46B533" w14:textId="77777777" w:rsidR="003E69A5" w:rsidRPr="003F7F6C" w:rsidRDefault="003E69A5" w:rsidP="00D25E0D">
            <w:pPr>
              <w:spacing w:after="0"/>
              <w:jc w:val="center"/>
              <w:rPr>
                <w:rFonts w:eastAsia="Times New Roman" w:cs="Calibri"/>
                <w:color w:val="000000"/>
                <w:sz w:val="18"/>
                <w:szCs w:val="18"/>
                <w:lang w:eastAsia="es-ES"/>
              </w:rPr>
            </w:pPr>
          </w:p>
        </w:tc>
        <w:tc>
          <w:tcPr>
            <w:tcW w:w="3119" w:type="dxa"/>
            <w:tcBorders>
              <w:top w:val="nil"/>
              <w:left w:val="nil"/>
              <w:bottom w:val="single" w:sz="4" w:space="0" w:color="auto"/>
              <w:right w:val="single" w:sz="4" w:space="0" w:color="auto"/>
            </w:tcBorders>
            <w:shd w:val="clear" w:color="auto" w:fill="auto"/>
            <w:vAlign w:val="center"/>
          </w:tcPr>
          <w:p w14:paraId="09A236C1" w14:textId="77777777" w:rsidR="003E69A5" w:rsidRPr="003F7F6C" w:rsidRDefault="003E69A5" w:rsidP="00D25E0D">
            <w:pPr>
              <w:spacing w:after="0"/>
              <w:rPr>
                <w:rFonts w:eastAsia="Times New Roman" w:cs="Calibri"/>
                <w:color w:val="000000"/>
                <w:sz w:val="18"/>
                <w:szCs w:val="18"/>
                <w:lang w:eastAsia="es-ES"/>
              </w:rPr>
            </w:pPr>
          </w:p>
        </w:tc>
        <w:tc>
          <w:tcPr>
            <w:tcW w:w="2226" w:type="dxa"/>
            <w:gridSpan w:val="2"/>
            <w:tcBorders>
              <w:top w:val="nil"/>
              <w:left w:val="nil"/>
              <w:bottom w:val="single" w:sz="4" w:space="0" w:color="auto"/>
              <w:right w:val="single" w:sz="4" w:space="0" w:color="auto"/>
            </w:tcBorders>
            <w:shd w:val="clear" w:color="auto" w:fill="auto"/>
            <w:vAlign w:val="center"/>
          </w:tcPr>
          <w:p w14:paraId="2F1B39B2" w14:textId="77777777" w:rsidR="003E69A5" w:rsidRPr="003F7F6C" w:rsidRDefault="003E69A5" w:rsidP="00D25E0D">
            <w:pPr>
              <w:spacing w:after="0"/>
              <w:rPr>
                <w:rFonts w:eastAsia="Times New Roman" w:cs="Calibri"/>
                <w:color w:val="000000"/>
                <w:sz w:val="18"/>
                <w:szCs w:val="18"/>
                <w:lang w:eastAsia="es-ES"/>
              </w:rPr>
            </w:pPr>
          </w:p>
        </w:tc>
        <w:tc>
          <w:tcPr>
            <w:tcW w:w="1654" w:type="dxa"/>
            <w:tcBorders>
              <w:top w:val="nil"/>
              <w:left w:val="nil"/>
              <w:bottom w:val="single" w:sz="4" w:space="0" w:color="auto"/>
              <w:right w:val="single" w:sz="4" w:space="0" w:color="auto"/>
            </w:tcBorders>
            <w:shd w:val="clear" w:color="auto" w:fill="auto"/>
            <w:vAlign w:val="center"/>
          </w:tcPr>
          <w:p w14:paraId="42812241"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19CC1EA8" w14:textId="77777777" w:rsidTr="00D25E0D">
        <w:trPr>
          <w:trHeight w:val="646"/>
        </w:trPr>
        <w:tc>
          <w:tcPr>
            <w:tcW w:w="17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5C81D02"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Indicator 2: Existence of operational co-management mechanisms</w:t>
            </w:r>
          </w:p>
        </w:tc>
        <w:tc>
          <w:tcPr>
            <w:tcW w:w="424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90D98C9"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Some co-management mechanisms are formally established through agreements, MOUs, etc.</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9AB46A9"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0</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C2B3F6" w14:textId="77777777" w:rsidR="003E69A5" w:rsidRPr="003F7F6C" w:rsidRDefault="003E69A5" w:rsidP="00D25E0D">
            <w:pPr>
              <w:spacing w:after="0"/>
              <w:jc w:val="center"/>
              <w:rPr>
                <w:rFonts w:eastAsia="Times New Roman" w:cs="Calibri"/>
                <w:color w:val="000000"/>
                <w:sz w:val="18"/>
                <w:szCs w:val="18"/>
                <w:lang w:eastAsia="es-ES"/>
              </w:rPr>
            </w:pP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A7EB3DD"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226"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9C71AC6"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5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5AF093"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7C30CB71" w14:textId="77777777" w:rsidTr="00D25E0D">
        <w:trPr>
          <w:trHeight w:val="415"/>
        </w:trPr>
        <w:tc>
          <w:tcPr>
            <w:tcW w:w="177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6C0D232" w14:textId="77777777" w:rsidR="003E69A5" w:rsidRPr="003F7F6C" w:rsidRDefault="003E69A5" w:rsidP="00D25E0D">
            <w:pPr>
              <w:spacing w:after="0"/>
              <w:jc w:val="center"/>
              <w:rPr>
                <w:rFonts w:eastAsia="Times New Roman" w:cs="Calibri"/>
                <w:color w:val="000000"/>
                <w:sz w:val="18"/>
                <w:szCs w:val="18"/>
                <w:lang w:eastAsia="es-ES"/>
              </w:rPr>
            </w:pPr>
          </w:p>
        </w:tc>
        <w:tc>
          <w:tcPr>
            <w:tcW w:w="4248" w:type="dxa"/>
            <w:tcBorders>
              <w:top w:val="single" w:sz="4" w:space="0" w:color="auto"/>
              <w:left w:val="nil"/>
              <w:bottom w:val="single" w:sz="4" w:space="0" w:color="auto"/>
              <w:right w:val="single" w:sz="4" w:space="0" w:color="auto"/>
            </w:tcBorders>
            <w:shd w:val="clear" w:color="auto" w:fill="auto"/>
            <w:vAlign w:val="center"/>
          </w:tcPr>
          <w:p w14:paraId="6E4CA6B9"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cs="Calibri"/>
                <w:sz w:val="18"/>
                <w:szCs w:val="18"/>
              </w:rPr>
              <w:t>Some co-management mechanisms are in place and operational</w:t>
            </w:r>
          </w:p>
        </w:tc>
        <w:tc>
          <w:tcPr>
            <w:tcW w:w="709" w:type="dxa"/>
            <w:tcBorders>
              <w:top w:val="single" w:sz="4" w:space="0" w:color="auto"/>
              <w:left w:val="nil"/>
              <w:bottom w:val="single" w:sz="4" w:space="0" w:color="auto"/>
              <w:right w:val="single" w:sz="4" w:space="0" w:color="auto"/>
            </w:tcBorders>
            <w:shd w:val="clear" w:color="auto" w:fill="auto"/>
            <w:vAlign w:val="center"/>
          </w:tcPr>
          <w:p w14:paraId="0DA4E9E4"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1</w:t>
            </w:r>
          </w:p>
        </w:tc>
        <w:tc>
          <w:tcPr>
            <w:tcW w:w="708" w:type="dxa"/>
            <w:tcBorders>
              <w:top w:val="single" w:sz="4" w:space="0" w:color="auto"/>
              <w:left w:val="nil"/>
              <w:bottom w:val="single" w:sz="4" w:space="0" w:color="auto"/>
              <w:right w:val="single" w:sz="4" w:space="0" w:color="auto"/>
            </w:tcBorders>
            <w:shd w:val="clear" w:color="auto" w:fill="auto"/>
            <w:vAlign w:val="center"/>
          </w:tcPr>
          <w:p w14:paraId="0AAD8BD9" w14:textId="77777777" w:rsidR="003E69A5" w:rsidRPr="003F7F6C" w:rsidRDefault="003E69A5" w:rsidP="00D25E0D">
            <w:pPr>
              <w:spacing w:after="0"/>
              <w:jc w:val="center"/>
              <w:rPr>
                <w:rFonts w:eastAsia="Times New Roman" w:cs="Calibri"/>
                <w:color w:val="000000"/>
                <w:sz w:val="18"/>
                <w:szCs w:val="18"/>
                <w:lang w:eastAsia="es-ES"/>
              </w:rPr>
            </w:pPr>
          </w:p>
        </w:tc>
        <w:tc>
          <w:tcPr>
            <w:tcW w:w="3119" w:type="dxa"/>
            <w:tcBorders>
              <w:top w:val="single" w:sz="4" w:space="0" w:color="auto"/>
              <w:left w:val="nil"/>
              <w:bottom w:val="single" w:sz="4" w:space="0" w:color="auto"/>
              <w:right w:val="single" w:sz="4" w:space="0" w:color="auto"/>
            </w:tcBorders>
            <w:shd w:val="clear" w:color="auto" w:fill="auto"/>
            <w:vAlign w:val="center"/>
          </w:tcPr>
          <w:p w14:paraId="3EDACA44" w14:textId="77777777" w:rsidR="003E69A5" w:rsidRPr="003F7F6C" w:rsidRDefault="003E69A5" w:rsidP="00D25E0D">
            <w:pPr>
              <w:spacing w:after="0"/>
              <w:rPr>
                <w:rFonts w:eastAsia="Times New Roman" w:cs="Calibri"/>
                <w:color w:val="000000"/>
                <w:sz w:val="18"/>
                <w:szCs w:val="18"/>
                <w:lang w:eastAsia="es-ES"/>
              </w:rPr>
            </w:pPr>
          </w:p>
        </w:tc>
        <w:tc>
          <w:tcPr>
            <w:tcW w:w="2226" w:type="dxa"/>
            <w:gridSpan w:val="2"/>
            <w:tcBorders>
              <w:top w:val="single" w:sz="4" w:space="0" w:color="auto"/>
              <w:left w:val="nil"/>
              <w:bottom w:val="single" w:sz="4" w:space="0" w:color="auto"/>
              <w:right w:val="single" w:sz="4" w:space="0" w:color="auto"/>
            </w:tcBorders>
            <w:shd w:val="clear" w:color="auto" w:fill="auto"/>
            <w:vAlign w:val="center"/>
          </w:tcPr>
          <w:p w14:paraId="6A8E62A6" w14:textId="77777777" w:rsidR="003E69A5" w:rsidRPr="003F7F6C" w:rsidRDefault="003E69A5" w:rsidP="00D25E0D">
            <w:pPr>
              <w:spacing w:after="0"/>
              <w:rPr>
                <w:rFonts w:eastAsia="Times New Roman" w:cs="Calibri"/>
                <w:color w:val="000000"/>
                <w:sz w:val="18"/>
                <w:szCs w:val="18"/>
                <w:lang w:eastAsia="es-ES"/>
              </w:rPr>
            </w:pPr>
          </w:p>
        </w:tc>
        <w:tc>
          <w:tcPr>
            <w:tcW w:w="1654" w:type="dxa"/>
            <w:tcBorders>
              <w:top w:val="single" w:sz="4" w:space="0" w:color="auto"/>
              <w:left w:val="nil"/>
              <w:bottom w:val="single" w:sz="4" w:space="0" w:color="auto"/>
              <w:right w:val="single" w:sz="4" w:space="0" w:color="auto"/>
            </w:tcBorders>
            <w:shd w:val="clear" w:color="auto" w:fill="auto"/>
            <w:vAlign w:val="center"/>
          </w:tcPr>
          <w:p w14:paraId="736B733C"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57F4F610" w14:textId="77777777" w:rsidTr="00D25E0D">
        <w:trPr>
          <w:trHeight w:val="691"/>
        </w:trPr>
        <w:tc>
          <w:tcPr>
            <w:tcW w:w="177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6F9979F" w14:textId="77777777" w:rsidR="003E69A5" w:rsidRPr="003F7F6C" w:rsidRDefault="003E69A5" w:rsidP="00D25E0D">
            <w:pPr>
              <w:spacing w:after="0"/>
              <w:jc w:val="center"/>
              <w:rPr>
                <w:rFonts w:eastAsia="Times New Roman" w:cs="Calibri"/>
                <w:color w:val="000000"/>
                <w:sz w:val="18"/>
                <w:szCs w:val="18"/>
                <w:lang w:eastAsia="es-ES"/>
              </w:rPr>
            </w:pPr>
          </w:p>
        </w:tc>
        <w:tc>
          <w:tcPr>
            <w:tcW w:w="4248" w:type="dxa"/>
            <w:tcBorders>
              <w:top w:val="nil"/>
              <w:left w:val="nil"/>
              <w:bottom w:val="single" w:sz="4" w:space="0" w:color="auto"/>
              <w:right w:val="single" w:sz="4" w:space="0" w:color="auto"/>
            </w:tcBorders>
            <w:shd w:val="clear" w:color="auto" w:fill="auto"/>
            <w:vAlign w:val="center"/>
          </w:tcPr>
          <w:p w14:paraId="603AAC6A"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cs="Calibri"/>
                <w:sz w:val="18"/>
                <w:szCs w:val="18"/>
              </w:rPr>
              <w:t>Some co-management mechanisms are formally established through agreements, MOUs, etc.</w:t>
            </w:r>
          </w:p>
        </w:tc>
        <w:tc>
          <w:tcPr>
            <w:tcW w:w="709" w:type="dxa"/>
            <w:tcBorders>
              <w:top w:val="nil"/>
              <w:left w:val="nil"/>
              <w:bottom w:val="single" w:sz="4" w:space="0" w:color="auto"/>
              <w:right w:val="single" w:sz="4" w:space="0" w:color="auto"/>
            </w:tcBorders>
            <w:shd w:val="clear" w:color="auto" w:fill="auto"/>
            <w:vAlign w:val="center"/>
          </w:tcPr>
          <w:p w14:paraId="45F54FE0"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2</w:t>
            </w:r>
          </w:p>
        </w:tc>
        <w:tc>
          <w:tcPr>
            <w:tcW w:w="708" w:type="dxa"/>
            <w:tcBorders>
              <w:top w:val="nil"/>
              <w:left w:val="nil"/>
              <w:bottom w:val="single" w:sz="4" w:space="0" w:color="auto"/>
              <w:right w:val="single" w:sz="4" w:space="0" w:color="auto"/>
            </w:tcBorders>
            <w:shd w:val="clear" w:color="auto" w:fill="auto"/>
            <w:vAlign w:val="center"/>
          </w:tcPr>
          <w:p w14:paraId="6F061765"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2</w:t>
            </w:r>
          </w:p>
        </w:tc>
        <w:tc>
          <w:tcPr>
            <w:tcW w:w="3119" w:type="dxa"/>
            <w:tcBorders>
              <w:top w:val="nil"/>
              <w:left w:val="nil"/>
              <w:bottom w:val="single" w:sz="4" w:space="0" w:color="auto"/>
              <w:right w:val="single" w:sz="4" w:space="0" w:color="auto"/>
            </w:tcBorders>
            <w:shd w:val="clear" w:color="auto" w:fill="auto"/>
            <w:vAlign w:val="center"/>
          </w:tcPr>
          <w:p w14:paraId="57BC616B" w14:textId="77777777" w:rsidR="003E69A5" w:rsidRPr="003F7F6C" w:rsidRDefault="003E69A5" w:rsidP="00D25E0D">
            <w:pPr>
              <w:spacing w:after="0"/>
              <w:rPr>
                <w:rFonts w:eastAsia="Times New Roman" w:cs="Calibri"/>
                <w:color w:val="000000"/>
                <w:sz w:val="18"/>
                <w:szCs w:val="18"/>
                <w:lang w:eastAsia="es-ES"/>
              </w:rPr>
            </w:pPr>
          </w:p>
        </w:tc>
        <w:tc>
          <w:tcPr>
            <w:tcW w:w="2226" w:type="dxa"/>
            <w:gridSpan w:val="2"/>
            <w:tcBorders>
              <w:top w:val="nil"/>
              <w:left w:val="nil"/>
              <w:bottom w:val="single" w:sz="4" w:space="0" w:color="auto"/>
              <w:right w:val="single" w:sz="4" w:space="0" w:color="auto"/>
            </w:tcBorders>
            <w:shd w:val="clear" w:color="auto" w:fill="auto"/>
            <w:vAlign w:val="center"/>
          </w:tcPr>
          <w:p w14:paraId="70F23D14"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Coordination with institutions relevant to the development of dialogue platforms for ELUP at national level. Establishment of a multi-sector advisory committee. Establishment of a platform with actors working in ELUP with an integrated approach and building on work in progress</w:t>
            </w:r>
          </w:p>
        </w:tc>
        <w:tc>
          <w:tcPr>
            <w:tcW w:w="1654" w:type="dxa"/>
            <w:tcBorders>
              <w:top w:val="nil"/>
              <w:left w:val="nil"/>
              <w:bottom w:val="single" w:sz="4" w:space="0" w:color="auto"/>
              <w:right w:val="single" w:sz="4" w:space="0" w:color="auto"/>
            </w:tcBorders>
            <w:shd w:val="clear" w:color="auto" w:fill="auto"/>
            <w:vAlign w:val="center"/>
          </w:tcPr>
          <w:p w14:paraId="181E2819" w14:textId="77777777" w:rsidR="003E69A5" w:rsidRPr="003F7F6C" w:rsidRDefault="003E69A5" w:rsidP="00D25E0D">
            <w:pPr>
              <w:spacing w:after="0"/>
              <w:rPr>
                <w:rFonts w:eastAsia="Times New Roman" w:cs="Calibri"/>
                <w:color w:val="000000"/>
                <w:sz w:val="18"/>
                <w:szCs w:val="18"/>
                <w:lang w:val="es-AR" w:eastAsia="es-ES"/>
              </w:rPr>
            </w:pPr>
            <w:r w:rsidRPr="003F7F6C">
              <w:rPr>
                <w:rFonts w:eastAsia="Times New Roman" w:cs="Calibri"/>
                <w:color w:val="000000"/>
                <w:sz w:val="18"/>
                <w:szCs w:val="18"/>
                <w:lang w:val="es-AR" w:eastAsia="es-ES"/>
              </w:rPr>
              <w:t>1, 3</w:t>
            </w:r>
          </w:p>
        </w:tc>
      </w:tr>
      <w:tr w:rsidR="003E69A5" w:rsidRPr="003F7F6C" w14:paraId="6022D149" w14:textId="77777777" w:rsidTr="00D25E0D">
        <w:trPr>
          <w:trHeight w:val="70"/>
        </w:trPr>
        <w:tc>
          <w:tcPr>
            <w:tcW w:w="177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B909961" w14:textId="77777777" w:rsidR="003E69A5" w:rsidRPr="003F7F6C" w:rsidRDefault="003E69A5" w:rsidP="00D25E0D">
            <w:pPr>
              <w:spacing w:after="0"/>
              <w:jc w:val="center"/>
              <w:rPr>
                <w:rFonts w:eastAsia="Times New Roman" w:cs="Calibri"/>
                <w:color w:val="000000"/>
                <w:sz w:val="18"/>
                <w:szCs w:val="18"/>
                <w:lang w:val="es-AR" w:eastAsia="es-ES"/>
              </w:rPr>
            </w:pPr>
          </w:p>
        </w:tc>
        <w:tc>
          <w:tcPr>
            <w:tcW w:w="4248" w:type="dxa"/>
            <w:tcBorders>
              <w:top w:val="nil"/>
              <w:left w:val="nil"/>
              <w:bottom w:val="single" w:sz="4" w:space="0" w:color="auto"/>
              <w:right w:val="single" w:sz="4" w:space="0" w:color="auto"/>
            </w:tcBorders>
            <w:shd w:val="clear" w:color="auto" w:fill="auto"/>
            <w:vAlign w:val="center"/>
          </w:tcPr>
          <w:p w14:paraId="255908B7"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cs="Calibri"/>
                <w:sz w:val="18"/>
                <w:szCs w:val="18"/>
              </w:rPr>
              <w:t>Comprehensive co-management mechanisms are formally established and are operational/functional</w:t>
            </w:r>
          </w:p>
        </w:tc>
        <w:tc>
          <w:tcPr>
            <w:tcW w:w="709" w:type="dxa"/>
            <w:tcBorders>
              <w:top w:val="nil"/>
              <w:left w:val="nil"/>
              <w:bottom w:val="single" w:sz="4" w:space="0" w:color="auto"/>
              <w:right w:val="single" w:sz="4" w:space="0" w:color="auto"/>
            </w:tcBorders>
            <w:shd w:val="clear" w:color="auto" w:fill="auto"/>
            <w:vAlign w:val="center"/>
          </w:tcPr>
          <w:p w14:paraId="63B00C4D"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3</w:t>
            </w:r>
          </w:p>
        </w:tc>
        <w:tc>
          <w:tcPr>
            <w:tcW w:w="708" w:type="dxa"/>
            <w:tcBorders>
              <w:top w:val="nil"/>
              <w:left w:val="nil"/>
              <w:bottom w:val="single" w:sz="4" w:space="0" w:color="auto"/>
              <w:right w:val="single" w:sz="4" w:space="0" w:color="auto"/>
            </w:tcBorders>
            <w:shd w:val="clear" w:color="auto" w:fill="auto"/>
            <w:vAlign w:val="center"/>
          </w:tcPr>
          <w:p w14:paraId="73D4CC2C" w14:textId="77777777" w:rsidR="003E69A5" w:rsidRPr="003F7F6C" w:rsidRDefault="003E69A5" w:rsidP="00D25E0D">
            <w:pPr>
              <w:spacing w:after="0"/>
              <w:jc w:val="center"/>
              <w:rPr>
                <w:rFonts w:eastAsia="Times New Roman" w:cs="Calibri"/>
                <w:color w:val="000000"/>
                <w:sz w:val="18"/>
                <w:szCs w:val="18"/>
                <w:lang w:eastAsia="es-ES"/>
              </w:rPr>
            </w:pPr>
          </w:p>
        </w:tc>
        <w:tc>
          <w:tcPr>
            <w:tcW w:w="3119" w:type="dxa"/>
            <w:tcBorders>
              <w:top w:val="nil"/>
              <w:left w:val="nil"/>
              <w:bottom w:val="single" w:sz="4" w:space="0" w:color="auto"/>
              <w:right w:val="single" w:sz="4" w:space="0" w:color="auto"/>
            </w:tcBorders>
            <w:shd w:val="clear" w:color="auto" w:fill="auto"/>
            <w:vAlign w:val="center"/>
          </w:tcPr>
          <w:p w14:paraId="45A9AAE5" w14:textId="77777777" w:rsidR="003E69A5" w:rsidRPr="003F7F6C" w:rsidRDefault="003E69A5" w:rsidP="00D25E0D">
            <w:pPr>
              <w:spacing w:after="0"/>
              <w:rPr>
                <w:rFonts w:eastAsia="Times New Roman" w:cs="Calibri"/>
                <w:color w:val="000000"/>
                <w:sz w:val="18"/>
                <w:szCs w:val="18"/>
                <w:lang w:eastAsia="es-ES"/>
              </w:rPr>
            </w:pPr>
          </w:p>
        </w:tc>
        <w:tc>
          <w:tcPr>
            <w:tcW w:w="2226" w:type="dxa"/>
            <w:gridSpan w:val="2"/>
            <w:tcBorders>
              <w:top w:val="nil"/>
              <w:left w:val="nil"/>
              <w:bottom w:val="single" w:sz="4" w:space="0" w:color="auto"/>
              <w:right w:val="single" w:sz="4" w:space="0" w:color="auto"/>
            </w:tcBorders>
            <w:shd w:val="clear" w:color="auto" w:fill="auto"/>
            <w:vAlign w:val="center"/>
          </w:tcPr>
          <w:p w14:paraId="190DF739" w14:textId="77777777" w:rsidR="003E69A5" w:rsidRPr="003F7F6C" w:rsidRDefault="003E69A5" w:rsidP="00D25E0D">
            <w:pPr>
              <w:spacing w:after="0"/>
              <w:rPr>
                <w:rFonts w:eastAsia="Times New Roman" w:cs="Calibri"/>
                <w:color w:val="000000"/>
                <w:sz w:val="18"/>
                <w:szCs w:val="18"/>
                <w:lang w:eastAsia="es-ES"/>
              </w:rPr>
            </w:pPr>
          </w:p>
        </w:tc>
        <w:tc>
          <w:tcPr>
            <w:tcW w:w="1654" w:type="dxa"/>
            <w:tcBorders>
              <w:top w:val="nil"/>
              <w:left w:val="nil"/>
              <w:bottom w:val="single" w:sz="4" w:space="0" w:color="auto"/>
              <w:right w:val="single" w:sz="4" w:space="0" w:color="auto"/>
            </w:tcBorders>
            <w:shd w:val="clear" w:color="auto" w:fill="auto"/>
            <w:vAlign w:val="center"/>
          </w:tcPr>
          <w:p w14:paraId="47D20BFD"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1D8A60BC" w14:textId="77777777" w:rsidTr="00D25E0D">
        <w:trPr>
          <w:trHeight w:val="791"/>
        </w:trPr>
        <w:tc>
          <w:tcPr>
            <w:tcW w:w="17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2C3B855" w14:textId="77777777" w:rsidR="003E69A5" w:rsidRPr="003F7F6C" w:rsidRDefault="003E69A5" w:rsidP="00D25E0D">
            <w:pPr>
              <w:autoSpaceDE w:val="0"/>
              <w:autoSpaceDN w:val="0"/>
              <w:adjustRightInd w:val="0"/>
              <w:spacing w:after="0"/>
              <w:jc w:val="center"/>
              <w:rPr>
                <w:rFonts w:eastAsia="Times New Roman" w:cs="Calibri"/>
                <w:color w:val="000000"/>
                <w:sz w:val="18"/>
                <w:szCs w:val="18"/>
                <w:lang w:eastAsia="es-ES"/>
              </w:rPr>
            </w:pPr>
            <w:r w:rsidRPr="003F7F6C">
              <w:rPr>
                <w:rFonts w:cs="Calibri"/>
                <w:sz w:val="18"/>
                <w:szCs w:val="18"/>
              </w:rPr>
              <w:t>Indicator 3: Existence of cooperation with stakeholder groups</w:t>
            </w:r>
          </w:p>
        </w:tc>
        <w:tc>
          <w:tcPr>
            <w:tcW w:w="4248" w:type="dxa"/>
            <w:tcBorders>
              <w:top w:val="single" w:sz="4" w:space="0" w:color="auto"/>
              <w:left w:val="nil"/>
              <w:bottom w:val="single" w:sz="4" w:space="0" w:color="auto"/>
              <w:right w:val="single" w:sz="4" w:space="0" w:color="auto"/>
            </w:tcBorders>
            <w:shd w:val="clear" w:color="auto" w:fill="auto"/>
            <w:vAlign w:val="center"/>
          </w:tcPr>
          <w:p w14:paraId="1983746A"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Identification of stakeholders and their</w:t>
            </w:r>
          </w:p>
          <w:p w14:paraId="6315D0AF" w14:textId="77777777" w:rsidR="003E69A5" w:rsidRPr="003F7F6C" w:rsidRDefault="003E69A5" w:rsidP="00D25E0D">
            <w:pPr>
              <w:spacing w:after="0"/>
              <w:rPr>
                <w:rFonts w:eastAsia="Times New Roman" w:cs="Calibri"/>
                <w:color w:val="000000"/>
                <w:sz w:val="18"/>
                <w:szCs w:val="18"/>
                <w:lang w:eastAsia="es-ES"/>
              </w:rPr>
            </w:pPr>
            <w:r w:rsidRPr="003F7F6C">
              <w:rPr>
                <w:rFonts w:cs="Calibri"/>
                <w:sz w:val="18"/>
                <w:szCs w:val="18"/>
              </w:rPr>
              <w:t>participation/involvement in decision-making is poor</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56F3C308"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0</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8DF49A" w14:textId="77777777" w:rsidR="003E69A5" w:rsidRPr="003F7F6C" w:rsidRDefault="003E69A5" w:rsidP="00D25E0D">
            <w:pPr>
              <w:spacing w:after="0"/>
              <w:jc w:val="center"/>
              <w:rPr>
                <w:rFonts w:eastAsia="Times New Roman" w:cs="Calibri"/>
                <w:color w:val="000000"/>
                <w:sz w:val="18"/>
                <w:szCs w:val="18"/>
                <w:lang w:eastAsia="es-ES"/>
              </w:rPr>
            </w:pPr>
          </w:p>
        </w:tc>
        <w:tc>
          <w:tcPr>
            <w:tcW w:w="311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0EDAAF6"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226"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78C4723C"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54"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35F63F5"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38B0AED3" w14:textId="77777777" w:rsidTr="00D25E0D">
        <w:trPr>
          <w:trHeight w:val="1095"/>
        </w:trPr>
        <w:tc>
          <w:tcPr>
            <w:tcW w:w="177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0ADBEA6" w14:textId="77777777" w:rsidR="003E69A5" w:rsidRPr="003F7F6C" w:rsidRDefault="003E69A5" w:rsidP="00D25E0D">
            <w:pPr>
              <w:spacing w:after="0"/>
              <w:jc w:val="center"/>
              <w:rPr>
                <w:rFonts w:eastAsia="Times New Roman" w:cs="Calibri"/>
                <w:color w:val="000000"/>
                <w:sz w:val="18"/>
                <w:szCs w:val="18"/>
                <w:lang w:eastAsia="es-ES"/>
              </w:rPr>
            </w:pPr>
          </w:p>
        </w:tc>
        <w:tc>
          <w:tcPr>
            <w:tcW w:w="4248" w:type="dxa"/>
            <w:tcBorders>
              <w:top w:val="single" w:sz="4" w:space="0" w:color="auto"/>
              <w:left w:val="single" w:sz="4" w:space="0" w:color="auto"/>
              <w:bottom w:val="single" w:sz="4" w:space="0" w:color="auto"/>
              <w:right w:val="single" w:sz="4" w:space="0" w:color="auto"/>
            </w:tcBorders>
            <w:shd w:val="clear" w:color="auto" w:fill="auto"/>
            <w:vAlign w:val="center"/>
          </w:tcPr>
          <w:p w14:paraId="0477C28C"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cs="Calibri"/>
                <w:sz w:val="18"/>
                <w:szCs w:val="18"/>
              </w:rPr>
              <w:t>Stakeholders are identified but their participation in decision-making is limited</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016F18FB"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1</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E1DF76E"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1</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bottom"/>
          </w:tcPr>
          <w:p w14:paraId="7EA9EACF" w14:textId="77777777" w:rsidR="003E69A5" w:rsidRPr="003F7F6C" w:rsidRDefault="003E69A5" w:rsidP="00D25E0D">
            <w:pPr>
              <w:spacing w:after="0"/>
              <w:rPr>
                <w:rFonts w:eastAsia="Times New Roman" w:cs="Calibri"/>
                <w:color w:val="000000"/>
                <w:sz w:val="18"/>
                <w:szCs w:val="18"/>
                <w:lang w:eastAsia="es-ES"/>
              </w:rPr>
            </w:pPr>
          </w:p>
        </w:tc>
        <w:tc>
          <w:tcPr>
            <w:tcW w:w="222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7A20737"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Promote dialogue spaces where participation will transcend the usual basic consultation processes and involve stakeholders in decision making.</w:t>
            </w:r>
          </w:p>
        </w:tc>
        <w:tc>
          <w:tcPr>
            <w:tcW w:w="1654" w:type="dxa"/>
            <w:tcBorders>
              <w:top w:val="single" w:sz="4" w:space="0" w:color="auto"/>
              <w:left w:val="single" w:sz="4" w:space="0" w:color="auto"/>
              <w:bottom w:val="single" w:sz="4" w:space="0" w:color="auto"/>
              <w:right w:val="single" w:sz="4" w:space="0" w:color="auto"/>
            </w:tcBorders>
            <w:shd w:val="clear" w:color="auto" w:fill="auto"/>
            <w:vAlign w:val="bottom"/>
          </w:tcPr>
          <w:p w14:paraId="7DFB9C86" w14:textId="77777777" w:rsidR="003E69A5" w:rsidRPr="003F7F6C" w:rsidRDefault="003E69A5" w:rsidP="00D25E0D">
            <w:pPr>
              <w:spacing w:after="0"/>
              <w:rPr>
                <w:rFonts w:eastAsia="Times New Roman" w:cs="Calibri"/>
                <w:color w:val="000000"/>
                <w:sz w:val="18"/>
                <w:szCs w:val="18"/>
                <w:lang w:val="es-AR" w:eastAsia="es-ES"/>
              </w:rPr>
            </w:pPr>
            <w:r w:rsidRPr="003F7F6C">
              <w:rPr>
                <w:rFonts w:eastAsia="Times New Roman" w:cs="Calibri"/>
                <w:color w:val="000000"/>
                <w:sz w:val="18"/>
                <w:szCs w:val="18"/>
                <w:lang w:val="es-AR" w:eastAsia="es-ES"/>
              </w:rPr>
              <w:t>1, 3</w:t>
            </w:r>
          </w:p>
        </w:tc>
      </w:tr>
      <w:tr w:rsidR="003E69A5" w:rsidRPr="003F7F6C" w14:paraId="5BFC4CF0" w14:textId="77777777" w:rsidTr="00D25E0D">
        <w:trPr>
          <w:trHeight w:val="693"/>
        </w:trPr>
        <w:tc>
          <w:tcPr>
            <w:tcW w:w="177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D2FAF17" w14:textId="77777777" w:rsidR="003E69A5" w:rsidRPr="003F7F6C" w:rsidRDefault="003E69A5" w:rsidP="00D25E0D">
            <w:pPr>
              <w:spacing w:after="0"/>
              <w:jc w:val="center"/>
              <w:rPr>
                <w:rFonts w:eastAsia="Times New Roman" w:cs="Calibri"/>
                <w:color w:val="000000"/>
                <w:sz w:val="18"/>
                <w:szCs w:val="18"/>
                <w:lang w:val="es-AR" w:eastAsia="es-ES"/>
              </w:rPr>
            </w:pPr>
          </w:p>
        </w:tc>
        <w:tc>
          <w:tcPr>
            <w:tcW w:w="4248" w:type="dxa"/>
            <w:tcBorders>
              <w:top w:val="single" w:sz="4" w:space="0" w:color="auto"/>
              <w:left w:val="nil"/>
              <w:bottom w:val="single" w:sz="4" w:space="0" w:color="auto"/>
              <w:right w:val="single" w:sz="4" w:space="0" w:color="auto"/>
            </w:tcBorders>
            <w:shd w:val="clear" w:color="auto" w:fill="auto"/>
            <w:vAlign w:val="center"/>
          </w:tcPr>
          <w:p w14:paraId="595CE869"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cs="Calibri"/>
                <w:sz w:val="18"/>
                <w:szCs w:val="18"/>
              </w:rPr>
              <w:t>Stakeholders are identified and regular consultations mechanisms are established</w:t>
            </w:r>
          </w:p>
        </w:tc>
        <w:tc>
          <w:tcPr>
            <w:tcW w:w="709" w:type="dxa"/>
            <w:tcBorders>
              <w:top w:val="single" w:sz="4" w:space="0" w:color="auto"/>
              <w:left w:val="nil"/>
              <w:bottom w:val="single" w:sz="4" w:space="0" w:color="auto"/>
              <w:right w:val="single" w:sz="4" w:space="0" w:color="auto"/>
            </w:tcBorders>
            <w:shd w:val="clear" w:color="auto" w:fill="auto"/>
            <w:vAlign w:val="center"/>
          </w:tcPr>
          <w:p w14:paraId="5C4CE314"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2</w:t>
            </w:r>
          </w:p>
        </w:tc>
        <w:tc>
          <w:tcPr>
            <w:tcW w:w="708" w:type="dxa"/>
            <w:tcBorders>
              <w:top w:val="single" w:sz="4" w:space="0" w:color="auto"/>
              <w:left w:val="nil"/>
              <w:bottom w:val="single" w:sz="4" w:space="0" w:color="auto"/>
              <w:right w:val="single" w:sz="4" w:space="0" w:color="auto"/>
            </w:tcBorders>
            <w:shd w:val="clear" w:color="auto" w:fill="auto"/>
            <w:vAlign w:val="center"/>
          </w:tcPr>
          <w:p w14:paraId="0CB0556E" w14:textId="77777777" w:rsidR="003E69A5" w:rsidRPr="003F7F6C" w:rsidRDefault="003E69A5" w:rsidP="00D25E0D">
            <w:pPr>
              <w:spacing w:after="0"/>
              <w:jc w:val="center"/>
              <w:rPr>
                <w:rFonts w:eastAsia="Times New Roman" w:cs="Calibri"/>
                <w:color w:val="000000"/>
                <w:sz w:val="18"/>
                <w:szCs w:val="18"/>
                <w:lang w:eastAsia="es-ES"/>
              </w:rPr>
            </w:pPr>
          </w:p>
        </w:tc>
        <w:tc>
          <w:tcPr>
            <w:tcW w:w="3119" w:type="dxa"/>
            <w:tcBorders>
              <w:top w:val="single" w:sz="4" w:space="0" w:color="auto"/>
              <w:left w:val="nil"/>
              <w:bottom w:val="single" w:sz="4" w:space="0" w:color="auto"/>
              <w:right w:val="single" w:sz="4" w:space="0" w:color="auto"/>
            </w:tcBorders>
            <w:shd w:val="clear" w:color="auto" w:fill="auto"/>
            <w:vAlign w:val="bottom"/>
          </w:tcPr>
          <w:p w14:paraId="63CA044C" w14:textId="77777777" w:rsidR="003E69A5" w:rsidRPr="003F7F6C" w:rsidRDefault="003E69A5" w:rsidP="00D25E0D">
            <w:pPr>
              <w:spacing w:after="0"/>
              <w:rPr>
                <w:rFonts w:eastAsia="Times New Roman" w:cs="Calibri"/>
                <w:color w:val="000000"/>
                <w:sz w:val="18"/>
                <w:szCs w:val="18"/>
                <w:lang w:eastAsia="es-ES"/>
              </w:rPr>
            </w:pPr>
          </w:p>
        </w:tc>
        <w:tc>
          <w:tcPr>
            <w:tcW w:w="2226" w:type="dxa"/>
            <w:gridSpan w:val="2"/>
            <w:tcBorders>
              <w:top w:val="single" w:sz="4" w:space="0" w:color="auto"/>
              <w:left w:val="nil"/>
              <w:bottom w:val="single" w:sz="4" w:space="0" w:color="auto"/>
              <w:right w:val="single" w:sz="4" w:space="0" w:color="auto"/>
            </w:tcBorders>
            <w:shd w:val="clear" w:color="auto" w:fill="auto"/>
            <w:vAlign w:val="center"/>
          </w:tcPr>
          <w:p w14:paraId="5813BF4F" w14:textId="77777777" w:rsidR="003E69A5" w:rsidRPr="003F7F6C" w:rsidRDefault="003E69A5" w:rsidP="00D25E0D">
            <w:pPr>
              <w:spacing w:after="0"/>
              <w:jc w:val="center"/>
              <w:rPr>
                <w:rFonts w:eastAsia="Times New Roman" w:cs="Calibri"/>
                <w:color w:val="000000"/>
                <w:sz w:val="18"/>
                <w:szCs w:val="18"/>
                <w:lang w:eastAsia="es-ES"/>
              </w:rPr>
            </w:pPr>
          </w:p>
        </w:tc>
        <w:tc>
          <w:tcPr>
            <w:tcW w:w="1654" w:type="dxa"/>
            <w:tcBorders>
              <w:top w:val="nil"/>
              <w:left w:val="nil"/>
              <w:bottom w:val="single" w:sz="4" w:space="0" w:color="auto"/>
              <w:right w:val="single" w:sz="4" w:space="0" w:color="auto"/>
            </w:tcBorders>
            <w:shd w:val="clear" w:color="auto" w:fill="auto"/>
            <w:vAlign w:val="bottom"/>
          </w:tcPr>
          <w:p w14:paraId="089F2287"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1482EFF2" w14:textId="77777777" w:rsidTr="00D25E0D">
        <w:trPr>
          <w:trHeight w:val="832"/>
        </w:trPr>
        <w:tc>
          <w:tcPr>
            <w:tcW w:w="177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920805B" w14:textId="77777777" w:rsidR="003E69A5" w:rsidRPr="003F7F6C" w:rsidRDefault="003E69A5" w:rsidP="00D25E0D">
            <w:pPr>
              <w:spacing w:after="0"/>
              <w:jc w:val="center"/>
              <w:rPr>
                <w:rFonts w:eastAsia="Times New Roman" w:cs="Calibri"/>
                <w:color w:val="000000"/>
                <w:sz w:val="18"/>
                <w:szCs w:val="18"/>
                <w:lang w:eastAsia="es-ES"/>
              </w:rPr>
            </w:pPr>
          </w:p>
        </w:tc>
        <w:tc>
          <w:tcPr>
            <w:tcW w:w="4248" w:type="dxa"/>
            <w:tcBorders>
              <w:top w:val="nil"/>
              <w:left w:val="nil"/>
              <w:bottom w:val="single" w:sz="4" w:space="0" w:color="auto"/>
              <w:right w:val="single" w:sz="4" w:space="0" w:color="auto"/>
            </w:tcBorders>
            <w:shd w:val="clear" w:color="auto" w:fill="auto"/>
            <w:vAlign w:val="center"/>
          </w:tcPr>
          <w:p w14:paraId="6EE915D9"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Stakeholders are identified and they actively</w:t>
            </w:r>
          </w:p>
          <w:p w14:paraId="7EF80A28"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cs="Calibri"/>
                <w:sz w:val="18"/>
                <w:szCs w:val="18"/>
              </w:rPr>
              <w:t>contribute to established participative decision making processes</w:t>
            </w:r>
          </w:p>
        </w:tc>
        <w:tc>
          <w:tcPr>
            <w:tcW w:w="709" w:type="dxa"/>
            <w:tcBorders>
              <w:top w:val="nil"/>
              <w:left w:val="nil"/>
              <w:bottom w:val="single" w:sz="4" w:space="0" w:color="auto"/>
              <w:right w:val="single" w:sz="4" w:space="0" w:color="auto"/>
            </w:tcBorders>
            <w:shd w:val="clear" w:color="auto" w:fill="auto"/>
            <w:vAlign w:val="center"/>
          </w:tcPr>
          <w:p w14:paraId="0CAAA921"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3</w:t>
            </w:r>
          </w:p>
        </w:tc>
        <w:tc>
          <w:tcPr>
            <w:tcW w:w="708" w:type="dxa"/>
            <w:tcBorders>
              <w:top w:val="nil"/>
              <w:left w:val="nil"/>
              <w:bottom w:val="single" w:sz="4" w:space="0" w:color="auto"/>
              <w:right w:val="single" w:sz="4" w:space="0" w:color="auto"/>
            </w:tcBorders>
            <w:shd w:val="clear" w:color="auto" w:fill="auto"/>
            <w:vAlign w:val="center"/>
          </w:tcPr>
          <w:p w14:paraId="0A270F90" w14:textId="77777777" w:rsidR="003E69A5" w:rsidRPr="003F7F6C" w:rsidRDefault="003E69A5" w:rsidP="00D25E0D">
            <w:pPr>
              <w:spacing w:after="0"/>
              <w:jc w:val="center"/>
              <w:rPr>
                <w:rFonts w:eastAsia="Times New Roman" w:cs="Calibri"/>
                <w:color w:val="000000"/>
                <w:sz w:val="18"/>
                <w:szCs w:val="18"/>
                <w:lang w:eastAsia="es-ES"/>
              </w:rPr>
            </w:pPr>
          </w:p>
        </w:tc>
        <w:tc>
          <w:tcPr>
            <w:tcW w:w="3119" w:type="dxa"/>
            <w:tcBorders>
              <w:top w:val="nil"/>
              <w:left w:val="nil"/>
              <w:bottom w:val="single" w:sz="4" w:space="0" w:color="auto"/>
              <w:right w:val="single" w:sz="4" w:space="0" w:color="auto"/>
            </w:tcBorders>
            <w:shd w:val="clear" w:color="auto" w:fill="auto"/>
            <w:vAlign w:val="bottom"/>
          </w:tcPr>
          <w:p w14:paraId="178CC01C" w14:textId="77777777" w:rsidR="003E69A5" w:rsidRPr="003F7F6C" w:rsidRDefault="003E69A5" w:rsidP="00D25E0D">
            <w:pPr>
              <w:spacing w:after="0"/>
              <w:rPr>
                <w:rFonts w:eastAsia="Times New Roman" w:cs="Calibri"/>
                <w:color w:val="000000"/>
                <w:sz w:val="18"/>
                <w:szCs w:val="18"/>
                <w:lang w:eastAsia="es-ES"/>
              </w:rPr>
            </w:pPr>
          </w:p>
        </w:tc>
        <w:tc>
          <w:tcPr>
            <w:tcW w:w="2226" w:type="dxa"/>
            <w:gridSpan w:val="2"/>
            <w:tcBorders>
              <w:top w:val="nil"/>
              <w:left w:val="nil"/>
              <w:bottom w:val="single" w:sz="4" w:space="0" w:color="auto"/>
              <w:right w:val="single" w:sz="4" w:space="0" w:color="auto"/>
            </w:tcBorders>
            <w:shd w:val="clear" w:color="auto" w:fill="auto"/>
            <w:vAlign w:val="bottom"/>
          </w:tcPr>
          <w:p w14:paraId="0DB2BFE0" w14:textId="77777777" w:rsidR="003E69A5" w:rsidRPr="003F7F6C" w:rsidRDefault="003E69A5" w:rsidP="00D25E0D">
            <w:pPr>
              <w:spacing w:after="0"/>
              <w:rPr>
                <w:rFonts w:eastAsia="Times New Roman" w:cs="Calibri"/>
                <w:color w:val="000000"/>
                <w:sz w:val="18"/>
                <w:szCs w:val="18"/>
                <w:lang w:eastAsia="es-ES"/>
              </w:rPr>
            </w:pPr>
          </w:p>
        </w:tc>
        <w:tc>
          <w:tcPr>
            <w:tcW w:w="1654" w:type="dxa"/>
            <w:tcBorders>
              <w:top w:val="nil"/>
              <w:left w:val="nil"/>
              <w:bottom w:val="single" w:sz="4" w:space="0" w:color="auto"/>
              <w:right w:val="single" w:sz="4" w:space="0" w:color="auto"/>
            </w:tcBorders>
            <w:shd w:val="clear" w:color="auto" w:fill="auto"/>
            <w:vAlign w:val="bottom"/>
          </w:tcPr>
          <w:p w14:paraId="1D77B5B7"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734FC0FA" w14:textId="77777777" w:rsidTr="00D25E0D">
        <w:trPr>
          <w:trHeight w:val="253"/>
        </w:trPr>
        <w:tc>
          <w:tcPr>
            <w:tcW w:w="1776" w:type="dxa"/>
            <w:vMerge w:val="restart"/>
            <w:tcBorders>
              <w:top w:val="single" w:sz="4" w:space="0" w:color="auto"/>
              <w:left w:val="single" w:sz="4" w:space="0" w:color="auto"/>
              <w:right w:val="single" w:sz="4" w:space="0" w:color="auto"/>
            </w:tcBorders>
            <w:shd w:val="clear" w:color="auto" w:fill="auto"/>
            <w:vAlign w:val="center"/>
          </w:tcPr>
          <w:p w14:paraId="7E3BCECF"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Scoring CR 1</w:t>
            </w:r>
          </w:p>
        </w:tc>
        <w:tc>
          <w:tcPr>
            <w:tcW w:w="4248" w:type="dxa"/>
            <w:vMerge w:val="restart"/>
            <w:tcBorders>
              <w:top w:val="nil"/>
              <w:left w:val="nil"/>
              <w:right w:val="single" w:sz="4" w:space="0" w:color="auto"/>
            </w:tcBorders>
            <w:shd w:val="clear" w:color="auto" w:fill="auto"/>
            <w:vAlign w:val="center"/>
          </w:tcPr>
          <w:p w14:paraId="5779C85E" w14:textId="77777777" w:rsidR="003E69A5" w:rsidRPr="003F7F6C" w:rsidRDefault="003E69A5" w:rsidP="00D25E0D">
            <w:pPr>
              <w:autoSpaceDE w:val="0"/>
              <w:autoSpaceDN w:val="0"/>
              <w:adjustRightInd w:val="0"/>
              <w:spacing w:after="0"/>
              <w:rPr>
                <w:rFonts w:cs="Calibri"/>
                <w:sz w:val="18"/>
                <w:szCs w:val="18"/>
              </w:rPr>
            </w:pPr>
          </w:p>
        </w:tc>
        <w:tc>
          <w:tcPr>
            <w:tcW w:w="709" w:type="dxa"/>
            <w:tcBorders>
              <w:top w:val="nil"/>
              <w:left w:val="nil"/>
              <w:bottom w:val="single" w:sz="4" w:space="0" w:color="auto"/>
              <w:right w:val="single" w:sz="4" w:space="0" w:color="auto"/>
            </w:tcBorders>
            <w:shd w:val="clear" w:color="auto" w:fill="auto"/>
            <w:vAlign w:val="center"/>
          </w:tcPr>
          <w:p w14:paraId="7608B103"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9</w:t>
            </w:r>
          </w:p>
        </w:tc>
        <w:tc>
          <w:tcPr>
            <w:tcW w:w="708" w:type="dxa"/>
            <w:tcBorders>
              <w:top w:val="nil"/>
              <w:left w:val="nil"/>
              <w:bottom w:val="single" w:sz="4" w:space="0" w:color="auto"/>
              <w:right w:val="single" w:sz="4" w:space="0" w:color="auto"/>
            </w:tcBorders>
            <w:shd w:val="clear" w:color="auto" w:fill="auto"/>
            <w:vAlign w:val="center"/>
          </w:tcPr>
          <w:p w14:paraId="467BAB63"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5</w:t>
            </w:r>
          </w:p>
        </w:tc>
        <w:tc>
          <w:tcPr>
            <w:tcW w:w="3119" w:type="dxa"/>
            <w:vMerge w:val="restart"/>
            <w:tcBorders>
              <w:top w:val="nil"/>
              <w:left w:val="nil"/>
              <w:right w:val="single" w:sz="4" w:space="0" w:color="auto"/>
            </w:tcBorders>
            <w:shd w:val="clear" w:color="auto" w:fill="auto"/>
            <w:vAlign w:val="bottom"/>
          </w:tcPr>
          <w:p w14:paraId="116AD301" w14:textId="77777777" w:rsidR="003E69A5" w:rsidRPr="003F7F6C" w:rsidRDefault="003E69A5" w:rsidP="00D25E0D">
            <w:pPr>
              <w:spacing w:after="0"/>
              <w:rPr>
                <w:rFonts w:eastAsia="Times New Roman" w:cs="Calibri"/>
                <w:color w:val="000000"/>
                <w:sz w:val="18"/>
                <w:szCs w:val="18"/>
                <w:lang w:eastAsia="es-ES"/>
              </w:rPr>
            </w:pPr>
          </w:p>
        </w:tc>
        <w:tc>
          <w:tcPr>
            <w:tcW w:w="2226" w:type="dxa"/>
            <w:gridSpan w:val="2"/>
            <w:vMerge w:val="restart"/>
            <w:tcBorders>
              <w:top w:val="nil"/>
              <w:left w:val="nil"/>
              <w:right w:val="single" w:sz="4" w:space="0" w:color="auto"/>
            </w:tcBorders>
            <w:shd w:val="clear" w:color="auto" w:fill="auto"/>
            <w:vAlign w:val="bottom"/>
          </w:tcPr>
          <w:p w14:paraId="4A2D7F44" w14:textId="77777777" w:rsidR="003E69A5" w:rsidRPr="003F7F6C" w:rsidRDefault="003E69A5" w:rsidP="00D25E0D">
            <w:pPr>
              <w:spacing w:after="0"/>
              <w:rPr>
                <w:rFonts w:eastAsia="Times New Roman" w:cs="Calibri"/>
                <w:color w:val="000000"/>
                <w:sz w:val="18"/>
                <w:szCs w:val="18"/>
                <w:lang w:eastAsia="es-ES"/>
              </w:rPr>
            </w:pPr>
          </w:p>
        </w:tc>
        <w:tc>
          <w:tcPr>
            <w:tcW w:w="1654" w:type="dxa"/>
            <w:vMerge w:val="restart"/>
            <w:tcBorders>
              <w:top w:val="nil"/>
              <w:left w:val="nil"/>
              <w:right w:val="single" w:sz="4" w:space="0" w:color="auto"/>
            </w:tcBorders>
            <w:shd w:val="clear" w:color="auto" w:fill="auto"/>
            <w:vAlign w:val="bottom"/>
          </w:tcPr>
          <w:p w14:paraId="4E782C7E"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6F1FAB0B" w14:textId="77777777" w:rsidTr="00D25E0D">
        <w:trPr>
          <w:trHeight w:val="301"/>
        </w:trPr>
        <w:tc>
          <w:tcPr>
            <w:tcW w:w="1776" w:type="dxa"/>
            <w:vMerge/>
            <w:tcBorders>
              <w:left w:val="single" w:sz="4" w:space="0" w:color="auto"/>
              <w:bottom w:val="single" w:sz="4" w:space="0" w:color="auto"/>
              <w:right w:val="single" w:sz="4" w:space="0" w:color="auto"/>
            </w:tcBorders>
            <w:shd w:val="clear" w:color="auto" w:fill="auto"/>
            <w:vAlign w:val="center"/>
          </w:tcPr>
          <w:p w14:paraId="55AB238A" w14:textId="77777777" w:rsidR="003E69A5" w:rsidRPr="003F7F6C" w:rsidRDefault="003E69A5" w:rsidP="00D25E0D">
            <w:pPr>
              <w:spacing w:after="0"/>
              <w:jc w:val="center"/>
              <w:rPr>
                <w:rFonts w:eastAsia="Times New Roman" w:cs="Calibri"/>
                <w:color w:val="000000"/>
                <w:sz w:val="18"/>
                <w:szCs w:val="18"/>
                <w:lang w:eastAsia="es-ES"/>
              </w:rPr>
            </w:pPr>
          </w:p>
        </w:tc>
        <w:tc>
          <w:tcPr>
            <w:tcW w:w="4248" w:type="dxa"/>
            <w:vMerge/>
            <w:tcBorders>
              <w:left w:val="nil"/>
              <w:bottom w:val="single" w:sz="4" w:space="0" w:color="auto"/>
              <w:right w:val="single" w:sz="4" w:space="0" w:color="auto"/>
            </w:tcBorders>
            <w:shd w:val="clear" w:color="auto" w:fill="auto"/>
            <w:vAlign w:val="center"/>
          </w:tcPr>
          <w:p w14:paraId="217F548E" w14:textId="77777777" w:rsidR="003E69A5" w:rsidRPr="003F7F6C" w:rsidRDefault="003E69A5" w:rsidP="00D25E0D">
            <w:pPr>
              <w:autoSpaceDE w:val="0"/>
              <w:autoSpaceDN w:val="0"/>
              <w:adjustRightInd w:val="0"/>
              <w:spacing w:after="0"/>
              <w:rPr>
                <w:rFonts w:cs="Calibri"/>
                <w:sz w:val="18"/>
                <w:szCs w:val="18"/>
              </w:rPr>
            </w:pPr>
          </w:p>
        </w:tc>
        <w:tc>
          <w:tcPr>
            <w:tcW w:w="709" w:type="dxa"/>
            <w:tcBorders>
              <w:top w:val="single" w:sz="4" w:space="0" w:color="auto"/>
              <w:left w:val="nil"/>
              <w:bottom w:val="single" w:sz="4" w:space="0" w:color="auto"/>
              <w:right w:val="single" w:sz="4" w:space="0" w:color="auto"/>
            </w:tcBorders>
            <w:shd w:val="clear" w:color="auto" w:fill="auto"/>
            <w:vAlign w:val="center"/>
          </w:tcPr>
          <w:p w14:paraId="2CDB82E2" w14:textId="77777777" w:rsidR="003E69A5" w:rsidRPr="003F7F6C" w:rsidRDefault="003E69A5" w:rsidP="00D25E0D">
            <w:pPr>
              <w:spacing w:after="0"/>
              <w:jc w:val="center"/>
              <w:rPr>
                <w:rFonts w:eastAsia="Times New Roman" w:cs="Calibri"/>
                <w:color w:val="000000"/>
                <w:sz w:val="18"/>
                <w:szCs w:val="18"/>
                <w:lang w:eastAsia="es-ES"/>
              </w:rPr>
            </w:pPr>
          </w:p>
        </w:tc>
        <w:tc>
          <w:tcPr>
            <w:tcW w:w="708" w:type="dxa"/>
            <w:tcBorders>
              <w:top w:val="single" w:sz="4" w:space="0" w:color="auto"/>
              <w:left w:val="nil"/>
              <w:bottom w:val="single" w:sz="4" w:space="0" w:color="auto"/>
              <w:right w:val="single" w:sz="4" w:space="0" w:color="auto"/>
            </w:tcBorders>
            <w:shd w:val="clear" w:color="auto" w:fill="auto"/>
            <w:vAlign w:val="center"/>
          </w:tcPr>
          <w:p w14:paraId="7C38F3E3"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55,5%</w:t>
            </w:r>
          </w:p>
        </w:tc>
        <w:tc>
          <w:tcPr>
            <w:tcW w:w="3119" w:type="dxa"/>
            <w:vMerge/>
            <w:tcBorders>
              <w:left w:val="nil"/>
              <w:bottom w:val="single" w:sz="4" w:space="0" w:color="auto"/>
              <w:right w:val="single" w:sz="4" w:space="0" w:color="auto"/>
            </w:tcBorders>
            <w:shd w:val="clear" w:color="auto" w:fill="auto"/>
            <w:vAlign w:val="bottom"/>
          </w:tcPr>
          <w:p w14:paraId="2FF138DD" w14:textId="77777777" w:rsidR="003E69A5" w:rsidRPr="003F7F6C" w:rsidRDefault="003E69A5" w:rsidP="00D25E0D">
            <w:pPr>
              <w:spacing w:after="0"/>
              <w:rPr>
                <w:rFonts w:eastAsia="Times New Roman" w:cs="Calibri"/>
                <w:color w:val="000000"/>
                <w:sz w:val="18"/>
                <w:szCs w:val="18"/>
                <w:lang w:eastAsia="es-ES"/>
              </w:rPr>
            </w:pPr>
          </w:p>
        </w:tc>
        <w:tc>
          <w:tcPr>
            <w:tcW w:w="2226" w:type="dxa"/>
            <w:gridSpan w:val="2"/>
            <w:vMerge/>
            <w:tcBorders>
              <w:left w:val="nil"/>
              <w:bottom w:val="single" w:sz="4" w:space="0" w:color="auto"/>
              <w:right w:val="single" w:sz="4" w:space="0" w:color="auto"/>
            </w:tcBorders>
            <w:shd w:val="clear" w:color="auto" w:fill="auto"/>
            <w:vAlign w:val="bottom"/>
          </w:tcPr>
          <w:p w14:paraId="541F3141" w14:textId="77777777" w:rsidR="003E69A5" w:rsidRPr="003F7F6C" w:rsidRDefault="003E69A5" w:rsidP="00D25E0D">
            <w:pPr>
              <w:spacing w:after="0"/>
              <w:rPr>
                <w:rFonts w:eastAsia="Times New Roman" w:cs="Calibri"/>
                <w:color w:val="000000"/>
                <w:sz w:val="18"/>
                <w:szCs w:val="18"/>
                <w:lang w:eastAsia="es-ES"/>
              </w:rPr>
            </w:pPr>
          </w:p>
        </w:tc>
        <w:tc>
          <w:tcPr>
            <w:tcW w:w="1654" w:type="dxa"/>
            <w:vMerge/>
            <w:tcBorders>
              <w:left w:val="nil"/>
              <w:bottom w:val="single" w:sz="4" w:space="0" w:color="auto"/>
              <w:right w:val="single" w:sz="4" w:space="0" w:color="auto"/>
            </w:tcBorders>
            <w:shd w:val="clear" w:color="auto" w:fill="auto"/>
            <w:vAlign w:val="bottom"/>
          </w:tcPr>
          <w:p w14:paraId="4BB16294"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5046FCCC" w14:textId="77777777" w:rsidTr="00D25E0D">
        <w:trPr>
          <w:trHeight w:val="300"/>
        </w:trPr>
        <w:tc>
          <w:tcPr>
            <w:tcW w:w="14440" w:type="dxa"/>
            <w:gridSpan w:val="8"/>
            <w:tcBorders>
              <w:top w:val="single" w:sz="4" w:space="0" w:color="auto"/>
              <w:left w:val="single" w:sz="4" w:space="0" w:color="auto"/>
              <w:bottom w:val="single" w:sz="4" w:space="0" w:color="auto"/>
              <w:right w:val="single" w:sz="4" w:space="0" w:color="auto"/>
            </w:tcBorders>
            <w:shd w:val="clear" w:color="000000" w:fill="D9D9D9"/>
            <w:vAlign w:val="center"/>
            <w:hideMark/>
          </w:tcPr>
          <w:p w14:paraId="2CF1B8B0"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CR 2: Capacities to Generate, Access and Use Information and Knowledge</w:t>
            </w:r>
          </w:p>
        </w:tc>
      </w:tr>
      <w:tr w:rsidR="003E69A5" w:rsidRPr="003F7F6C" w14:paraId="42C585BB" w14:textId="77777777" w:rsidTr="00D25E0D">
        <w:trPr>
          <w:trHeight w:val="515"/>
        </w:trPr>
        <w:tc>
          <w:tcPr>
            <w:tcW w:w="17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E5CF52D"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Indicator 4: Degree of environmental awareness of stakeholders</w:t>
            </w:r>
          </w:p>
        </w:tc>
        <w:tc>
          <w:tcPr>
            <w:tcW w:w="4248" w:type="dxa"/>
            <w:tcBorders>
              <w:top w:val="nil"/>
              <w:left w:val="nil"/>
              <w:bottom w:val="single" w:sz="4" w:space="0" w:color="auto"/>
              <w:right w:val="single" w:sz="4" w:space="0" w:color="auto"/>
            </w:tcBorders>
            <w:shd w:val="clear" w:color="auto" w:fill="auto"/>
            <w:vAlign w:val="bottom"/>
            <w:hideMark/>
          </w:tcPr>
          <w:p w14:paraId="5F369BBC"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Stakeholders are not aware about global</w:t>
            </w:r>
          </w:p>
          <w:p w14:paraId="4D0153B6"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cs="Calibri"/>
                <w:sz w:val="18"/>
                <w:szCs w:val="18"/>
              </w:rPr>
              <w:t>environmental issues and their related possible solutions (MEAs)</w:t>
            </w:r>
          </w:p>
        </w:tc>
        <w:tc>
          <w:tcPr>
            <w:tcW w:w="709" w:type="dxa"/>
            <w:tcBorders>
              <w:top w:val="nil"/>
              <w:left w:val="nil"/>
              <w:bottom w:val="single" w:sz="4" w:space="0" w:color="auto"/>
              <w:right w:val="single" w:sz="4" w:space="0" w:color="auto"/>
            </w:tcBorders>
            <w:shd w:val="clear" w:color="auto" w:fill="auto"/>
            <w:vAlign w:val="center"/>
            <w:hideMark/>
          </w:tcPr>
          <w:p w14:paraId="46F553D8"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0</w:t>
            </w:r>
          </w:p>
        </w:tc>
        <w:tc>
          <w:tcPr>
            <w:tcW w:w="708" w:type="dxa"/>
            <w:tcBorders>
              <w:top w:val="nil"/>
              <w:left w:val="nil"/>
              <w:bottom w:val="single" w:sz="4" w:space="0" w:color="auto"/>
              <w:right w:val="single" w:sz="4" w:space="0" w:color="auto"/>
            </w:tcBorders>
            <w:shd w:val="clear" w:color="auto" w:fill="auto"/>
            <w:vAlign w:val="center"/>
            <w:hideMark/>
          </w:tcPr>
          <w:p w14:paraId="4C9E606E" w14:textId="77777777" w:rsidR="003E69A5" w:rsidRPr="003F7F6C" w:rsidRDefault="003E69A5" w:rsidP="00D25E0D">
            <w:pPr>
              <w:spacing w:after="0"/>
              <w:jc w:val="center"/>
              <w:rPr>
                <w:rFonts w:eastAsia="Times New Roman" w:cs="Calibri"/>
                <w:color w:val="000000"/>
                <w:sz w:val="18"/>
                <w:szCs w:val="18"/>
                <w:lang w:eastAsia="es-ES"/>
              </w:rPr>
            </w:pPr>
          </w:p>
        </w:tc>
        <w:tc>
          <w:tcPr>
            <w:tcW w:w="3119" w:type="dxa"/>
            <w:tcBorders>
              <w:top w:val="nil"/>
              <w:left w:val="nil"/>
              <w:bottom w:val="single" w:sz="4" w:space="0" w:color="auto"/>
              <w:right w:val="single" w:sz="4" w:space="0" w:color="auto"/>
            </w:tcBorders>
            <w:shd w:val="clear" w:color="auto" w:fill="auto"/>
            <w:vAlign w:val="bottom"/>
            <w:hideMark/>
          </w:tcPr>
          <w:p w14:paraId="72E6496E"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226" w:type="dxa"/>
            <w:gridSpan w:val="2"/>
            <w:tcBorders>
              <w:top w:val="nil"/>
              <w:left w:val="nil"/>
              <w:bottom w:val="single" w:sz="4" w:space="0" w:color="auto"/>
              <w:right w:val="single" w:sz="4" w:space="0" w:color="auto"/>
            </w:tcBorders>
            <w:shd w:val="clear" w:color="auto" w:fill="auto"/>
            <w:vAlign w:val="bottom"/>
            <w:hideMark/>
          </w:tcPr>
          <w:p w14:paraId="079BE944"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54" w:type="dxa"/>
            <w:tcBorders>
              <w:top w:val="nil"/>
              <w:left w:val="nil"/>
              <w:bottom w:val="single" w:sz="4" w:space="0" w:color="auto"/>
              <w:right w:val="single" w:sz="4" w:space="0" w:color="auto"/>
            </w:tcBorders>
            <w:shd w:val="clear" w:color="auto" w:fill="auto"/>
            <w:vAlign w:val="bottom"/>
            <w:hideMark/>
          </w:tcPr>
          <w:p w14:paraId="03508330"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7D1557D8" w14:textId="77777777" w:rsidTr="00D25E0D">
        <w:trPr>
          <w:trHeight w:val="544"/>
        </w:trPr>
        <w:tc>
          <w:tcPr>
            <w:tcW w:w="177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EA820BE" w14:textId="77777777" w:rsidR="003E69A5" w:rsidRPr="003F7F6C" w:rsidRDefault="003E69A5" w:rsidP="00D25E0D">
            <w:pPr>
              <w:spacing w:after="0"/>
              <w:jc w:val="center"/>
              <w:rPr>
                <w:rFonts w:eastAsia="Times New Roman" w:cs="Calibri"/>
                <w:color w:val="000000"/>
                <w:sz w:val="18"/>
                <w:szCs w:val="18"/>
                <w:lang w:eastAsia="es-ES"/>
              </w:rPr>
            </w:pPr>
          </w:p>
        </w:tc>
        <w:tc>
          <w:tcPr>
            <w:tcW w:w="4248" w:type="dxa"/>
            <w:tcBorders>
              <w:top w:val="single" w:sz="4" w:space="0" w:color="auto"/>
              <w:left w:val="single" w:sz="4" w:space="0" w:color="auto"/>
              <w:bottom w:val="single" w:sz="4" w:space="0" w:color="auto"/>
              <w:right w:val="single" w:sz="4" w:space="0" w:color="auto"/>
            </w:tcBorders>
            <w:shd w:val="clear" w:color="auto" w:fill="auto"/>
            <w:vAlign w:val="center"/>
          </w:tcPr>
          <w:p w14:paraId="02FCE049"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cs="Calibri"/>
                <w:sz w:val="18"/>
                <w:szCs w:val="18"/>
              </w:rPr>
              <w:t>Stakeholders are aware about global environmental issues but not about the possible solutions (MEAs)</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3A34FA08"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1</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D68D084"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1</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bottom"/>
          </w:tcPr>
          <w:p w14:paraId="591406A2"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Some national level institutions have the knowledge but do not know possible solutions from an ELUP approach (there are sector based perspectives)</w:t>
            </w:r>
          </w:p>
        </w:tc>
        <w:tc>
          <w:tcPr>
            <w:tcW w:w="2226"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704F54E8"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SGAyDS and INTA have been working for some time in these issues, but not all institutions are aware.  Training and awareness raising tools will be developed for ELUP. ELUP mainstreaming, open discussions on possible solutions with other national institutions and organizations</w:t>
            </w:r>
          </w:p>
        </w:tc>
        <w:tc>
          <w:tcPr>
            <w:tcW w:w="1654" w:type="dxa"/>
            <w:tcBorders>
              <w:top w:val="nil"/>
              <w:left w:val="single" w:sz="4" w:space="0" w:color="auto"/>
              <w:bottom w:val="single" w:sz="4" w:space="0" w:color="auto"/>
              <w:right w:val="single" w:sz="4" w:space="0" w:color="auto"/>
            </w:tcBorders>
            <w:shd w:val="clear" w:color="auto" w:fill="auto"/>
            <w:vAlign w:val="bottom"/>
          </w:tcPr>
          <w:p w14:paraId="2E79433D"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348A0FD6" w14:textId="77777777" w:rsidTr="00D25E0D">
        <w:trPr>
          <w:trHeight w:val="70"/>
        </w:trPr>
        <w:tc>
          <w:tcPr>
            <w:tcW w:w="177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6D7EDC2" w14:textId="77777777" w:rsidR="003E69A5" w:rsidRPr="003F7F6C" w:rsidRDefault="003E69A5" w:rsidP="00D25E0D">
            <w:pPr>
              <w:spacing w:after="0"/>
              <w:jc w:val="center"/>
              <w:rPr>
                <w:rFonts w:eastAsia="Times New Roman" w:cs="Calibri"/>
                <w:color w:val="000000"/>
                <w:sz w:val="18"/>
                <w:szCs w:val="18"/>
                <w:lang w:eastAsia="es-ES"/>
              </w:rPr>
            </w:pPr>
          </w:p>
        </w:tc>
        <w:tc>
          <w:tcPr>
            <w:tcW w:w="4248" w:type="dxa"/>
            <w:tcBorders>
              <w:top w:val="single" w:sz="4" w:space="0" w:color="auto"/>
              <w:left w:val="nil"/>
              <w:bottom w:val="single" w:sz="4" w:space="0" w:color="auto"/>
              <w:right w:val="single" w:sz="4" w:space="0" w:color="auto"/>
            </w:tcBorders>
            <w:shd w:val="clear" w:color="auto" w:fill="auto"/>
            <w:vAlign w:val="bottom"/>
          </w:tcPr>
          <w:p w14:paraId="14C901B9"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cs="Calibri"/>
                <w:sz w:val="18"/>
                <w:szCs w:val="18"/>
              </w:rPr>
              <w:t>Stakeholders are aware about global environmental issues and the possible solutions but do not know how to participate</w:t>
            </w:r>
          </w:p>
        </w:tc>
        <w:tc>
          <w:tcPr>
            <w:tcW w:w="709" w:type="dxa"/>
            <w:tcBorders>
              <w:top w:val="single" w:sz="4" w:space="0" w:color="auto"/>
              <w:left w:val="nil"/>
              <w:bottom w:val="single" w:sz="4" w:space="0" w:color="auto"/>
              <w:right w:val="single" w:sz="4" w:space="0" w:color="auto"/>
            </w:tcBorders>
            <w:shd w:val="clear" w:color="auto" w:fill="auto"/>
            <w:vAlign w:val="center"/>
          </w:tcPr>
          <w:p w14:paraId="7E53CC4D"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2</w:t>
            </w:r>
          </w:p>
        </w:tc>
        <w:tc>
          <w:tcPr>
            <w:tcW w:w="708" w:type="dxa"/>
            <w:tcBorders>
              <w:top w:val="single" w:sz="4" w:space="0" w:color="auto"/>
              <w:left w:val="nil"/>
              <w:bottom w:val="single" w:sz="4" w:space="0" w:color="auto"/>
              <w:right w:val="single" w:sz="4" w:space="0" w:color="auto"/>
            </w:tcBorders>
            <w:shd w:val="clear" w:color="auto" w:fill="auto"/>
            <w:vAlign w:val="center"/>
          </w:tcPr>
          <w:p w14:paraId="6FD1ABB8" w14:textId="77777777" w:rsidR="003E69A5" w:rsidRPr="003F7F6C" w:rsidRDefault="003E69A5" w:rsidP="00D25E0D">
            <w:pPr>
              <w:spacing w:after="0"/>
              <w:jc w:val="center"/>
              <w:rPr>
                <w:rFonts w:eastAsia="Times New Roman" w:cs="Calibri"/>
                <w:color w:val="000000"/>
                <w:sz w:val="18"/>
                <w:szCs w:val="18"/>
                <w:lang w:eastAsia="es-ES"/>
              </w:rPr>
            </w:pPr>
          </w:p>
        </w:tc>
        <w:tc>
          <w:tcPr>
            <w:tcW w:w="3119" w:type="dxa"/>
            <w:tcBorders>
              <w:top w:val="single" w:sz="4" w:space="0" w:color="auto"/>
              <w:left w:val="nil"/>
              <w:bottom w:val="single" w:sz="4" w:space="0" w:color="auto"/>
              <w:right w:val="single" w:sz="4" w:space="0" w:color="auto"/>
            </w:tcBorders>
            <w:shd w:val="clear" w:color="auto" w:fill="auto"/>
            <w:vAlign w:val="bottom"/>
          </w:tcPr>
          <w:p w14:paraId="59B59486" w14:textId="77777777" w:rsidR="003E69A5" w:rsidRPr="003F7F6C" w:rsidRDefault="003E69A5" w:rsidP="00D25E0D">
            <w:pPr>
              <w:spacing w:after="0"/>
              <w:rPr>
                <w:rFonts w:eastAsia="Times New Roman" w:cs="Calibri"/>
                <w:color w:val="000000"/>
                <w:sz w:val="18"/>
                <w:szCs w:val="18"/>
                <w:lang w:eastAsia="es-ES"/>
              </w:rPr>
            </w:pPr>
          </w:p>
        </w:tc>
        <w:tc>
          <w:tcPr>
            <w:tcW w:w="2226" w:type="dxa"/>
            <w:gridSpan w:val="2"/>
            <w:tcBorders>
              <w:top w:val="single" w:sz="4" w:space="0" w:color="auto"/>
              <w:left w:val="nil"/>
              <w:bottom w:val="single" w:sz="4" w:space="0" w:color="auto"/>
              <w:right w:val="single" w:sz="4" w:space="0" w:color="auto"/>
            </w:tcBorders>
            <w:shd w:val="clear" w:color="auto" w:fill="auto"/>
            <w:vAlign w:val="center"/>
          </w:tcPr>
          <w:p w14:paraId="260FBB10" w14:textId="77777777" w:rsidR="003E69A5" w:rsidRPr="003F7F6C" w:rsidRDefault="003E69A5" w:rsidP="00D25E0D">
            <w:pPr>
              <w:spacing w:after="0"/>
              <w:rPr>
                <w:rFonts w:eastAsia="Times New Roman" w:cs="Calibri"/>
                <w:color w:val="000000"/>
                <w:sz w:val="18"/>
                <w:szCs w:val="18"/>
                <w:lang w:eastAsia="es-ES"/>
              </w:rPr>
            </w:pPr>
          </w:p>
        </w:tc>
        <w:tc>
          <w:tcPr>
            <w:tcW w:w="1654" w:type="dxa"/>
            <w:tcBorders>
              <w:top w:val="nil"/>
              <w:left w:val="nil"/>
              <w:bottom w:val="single" w:sz="4" w:space="0" w:color="auto"/>
              <w:right w:val="single" w:sz="4" w:space="0" w:color="auto"/>
            </w:tcBorders>
            <w:shd w:val="clear" w:color="auto" w:fill="auto"/>
            <w:vAlign w:val="center"/>
          </w:tcPr>
          <w:p w14:paraId="44881B3F"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5AE19356" w14:textId="77777777" w:rsidTr="00D25E0D">
        <w:trPr>
          <w:trHeight w:val="1076"/>
        </w:trPr>
        <w:tc>
          <w:tcPr>
            <w:tcW w:w="177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F8E5751" w14:textId="77777777" w:rsidR="003E69A5" w:rsidRPr="003F7F6C" w:rsidRDefault="003E69A5" w:rsidP="00D25E0D">
            <w:pPr>
              <w:spacing w:after="0"/>
              <w:jc w:val="center"/>
              <w:rPr>
                <w:rFonts w:eastAsia="Times New Roman" w:cs="Calibri"/>
                <w:color w:val="000000"/>
                <w:sz w:val="18"/>
                <w:szCs w:val="18"/>
                <w:lang w:eastAsia="es-ES"/>
              </w:rPr>
            </w:pPr>
          </w:p>
        </w:tc>
        <w:tc>
          <w:tcPr>
            <w:tcW w:w="4248" w:type="dxa"/>
            <w:tcBorders>
              <w:top w:val="single" w:sz="4" w:space="0" w:color="auto"/>
              <w:left w:val="single" w:sz="4" w:space="0" w:color="auto"/>
              <w:bottom w:val="single" w:sz="4" w:space="0" w:color="auto"/>
              <w:right w:val="single" w:sz="4" w:space="0" w:color="auto"/>
            </w:tcBorders>
            <w:shd w:val="clear" w:color="auto" w:fill="auto"/>
            <w:vAlign w:val="bottom"/>
          </w:tcPr>
          <w:p w14:paraId="02B87859"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Stakeholders are aware about global environmental issues and are actively participating in the implementation of related solutions</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79EDB177"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3</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2EBE18D8" w14:textId="77777777" w:rsidR="003E69A5" w:rsidRPr="003F7F6C" w:rsidRDefault="003E69A5" w:rsidP="00D25E0D">
            <w:pPr>
              <w:spacing w:after="0"/>
              <w:jc w:val="center"/>
              <w:rPr>
                <w:rFonts w:eastAsia="Times New Roman" w:cs="Calibri"/>
                <w:color w:val="000000"/>
                <w:sz w:val="18"/>
                <w:szCs w:val="18"/>
                <w:lang w:eastAsia="es-ES"/>
              </w:rPr>
            </w:pPr>
          </w:p>
        </w:tc>
        <w:tc>
          <w:tcPr>
            <w:tcW w:w="3119" w:type="dxa"/>
            <w:tcBorders>
              <w:top w:val="single" w:sz="4" w:space="0" w:color="auto"/>
              <w:left w:val="single" w:sz="4" w:space="0" w:color="auto"/>
              <w:bottom w:val="single" w:sz="4" w:space="0" w:color="auto"/>
              <w:right w:val="single" w:sz="4" w:space="0" w:color="auto"/>
            </w:tcBorders>
            <w:shd w:val="clear" w:color="auto" w:fill="auto"/>
            <w:vAlign w:val="bottom"/>
          </w:tcPr>
          <w:p w14:paraId="4DCBF58D" w14:textId="77777777" w:rsidR="003E69A5" w:rsidRPr="003F7F6C" w:rsidRDefault="003E69A5" w:rsidP="00D25E0D">
            <w:pPr>
              <w:spacing w:after="0"/>
              <w:rPr>
                <w:rFonts w:eastAsia="Times New Roman" w:cs="Calibri"/>
                <w:color w:val="000000"/>
                <w:sz w:val="18"/>
                <w:szCs w:val="18"/>
                <w:lang w:eastAsia="es-ES"/>
              </w:rPr>
            </w:pPr>
          </w:p>
        </w:tc>
        <w:tc>
          <w:tcPr>
            <w:tcW w:w="2226"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24980F52" w14:textId="77777777" w:rsidR="003E69A5" w:rsidRPr="003F7F6C" w:rsidRDefault="003E69A5" w:rsidP="00D25E0D">
            <w:pPr>
              <w:spacing w:after="0"/>
              <w:rPr>
                <w:rFonts w:eastAsia="Times New Roman" w:cs="Calibri"/>
                <w:color w:val="000000"/>
                <w:sz w:val="18"/>
                <w:szCs w:val="18"/>
                <w:lang w:eastAsia="es-ES"/>
              </w:rPr>
            </w:pPr>
          </w:p>
        </w:tc>
        <w:tc>
          <w:tcPr>
            <w:tcW w:w="1654" w:type="dxa"/>
            <w:tcBorders>
              <w:top w:val="single" w:sz="4" w:space="0" w:color="auto"/>
              <w:left w:val="single" w:sz="4" w:space="0" w:color="auto"/>
              <w:bottom w:val="single" w:sz="4" w:space="0" w:color="auto"/>
              <w:right w:val="single" w:sz="4" w:space="0" w:color="auto"/>
            </w:tcBorders>
            <w:shd w:val="clear" w:color="auto" w:fill="auto"/>
            <w:vAlign w:val="bottom"/>
          </w:tcPr>
          <w:p w14:paraId="7890823F"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1C63AE47" w14:textId="77777777" w:rsidTr="00D25E0D">
        <w:trPr>
          <w:trHeight w:val="300"/>
        </w:trPr>
        <w:tc>
          <w:tcPr>
            <w:tcW w:w="17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DE2C2D"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Indicator 5: Access and sharing of environmental information by stakeholders</w:t>
            </w:r>
          </w:p>
        </w:tc>
        <w:tc>
          <w:tcPr>
            <w:tcW w:w="424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8517D55"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The environmental information needs are not</w:t>
            </w:r>
          </w:p>
          <w:p w14:paraId="49420E8E"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identified and the information management</w:t>
            </w:r>
          </w:p>
          <w:p w14:paraId="06352DEA" w14:textId="77777777" w:rsidR="003E69A5" w:rsidRPr="003F7F6C" w:rsidRDefault="003E69A5" w:rsidP="00D25E0D">
            <w:pPr>
              <w:spacing w:after="0"/>
              <w:rPr>
                <w:rFonts w:eastAsia="Times New Roman" w:cs="Calibri"/>
                <w:color w:val="000000"/>
                <w:sz w:val="18"/>
                <w:szCs w:val="18"/>
                <w:lang w:eastAsia="es-ES"/>
              </w:rPr>
            </w:pPr>
            <w:r w:rsidRPr="003F7F6C">
              <w:rPr>
                <w:rFonts w:cs="Calibri"/>
                <w:sz w:val="18"/>
                <w:szCs w:val="18"/>
              </w:rPr>
              <w:t>infrastructure is inadequate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12F12B2"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0</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5ED0257" w14:textId="77777777" w:rsidR="003E69A5" w:rsidRPr="003F7F6C" w:rsidRDefault="003E69A5" w:rsidP="00D25E0D">
            <w:pPr>
              <w:spacing w:after="0"/>
              <w:jc w:val="center"/>
              <w:rPr>
                <w:rFonts w:eastAsia="Times New Roman" w:cs="Calibri"/>
                <w:color w:val="000000"/>
                <w:sz w:val="18"/>
                <w:szCs w:val="18"/>
                <w:lang w:eastAsia="es-ES"/>
              </w:rPr>
            </w:pP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07FAEFB"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226"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D6891D3"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5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FAF1FCD"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488FBF11" w14:textId="77777777" w:rsidTr="00D25E0D">
        <w:trPr>
          <w:trHeight w:val="300"/>
        </w:trPr>
        <w:tc>
          <w:tcPr>
            <w:tcW w:w="1776" w:type="dxa"/>
            <w:vMerge/>
            <w:tcBorders>
              <w:top w:val="single" w:sz="4" w:space="0" w:color="auto"/>
              <w:left w:val="single" w:sz="4" w:space="0" w:color="auto"/>
              <w:bottom w:val="single" w:sz="4" w:space="0" w:color="auto"/>
              <w:right w:val="single" w:sz="4" w:space="0" w:color="auto"/>
            </w:tcBorders>
            <w:vAlign w:val="center"/>
            <w:hideMark/>
          </w:tcPr>
          <w:p w14:paraId="3721931D" w14:textId="77777777" w:rsidR="003E69A5" w:rsidRPr="003F7F6C" w:rsidRDefault="003E69A5" w:rsidP="00D25E0D">
            <w:pPr>
              <w:spacing w:after="0"/>
              <w:rPr>
                <w:rFonts w:eastAsia="Times New Roman" w:cs="Calibri"/>
                <w:color w:val="000000"/>
                <w:sz w:val="18"/>
                <w:szCs w:val="18"/>
                <w:lang w:eastAsia="es-ES"/>
              </w:rPr>
            </w:pPr>
          </w:p>
        </w:tc>
        <w:tc>
          <w:tcPr>
            <w:tcW w:w="424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1E1597A7"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The environmental information needs are identified but the information management infrastructure is inadequate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D67AC86"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1</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5255C3" w14:textId="77777777" w:rsidR="003E69A5" w:rsidRPr="003F7F6C" w:rsidRDefault="003E69A5" w:rsidP="00D25E0D">
            <w:pPr>
              <w:spacing w:after="0"/>
              <w:jc w:val="center"/>
              <w:rPr>
                <w:rFonts w:eastAsia="Times New Roman" w:cs="Calibri"/>
                <w:color w:val="000000"/>
                <w:sz w:val="18"/>
                <w:szCs w:val="18"/>
                <w:lang w:eastAsia="es-ES"/>
              </w:rPr>
            </w:pP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AB105CF"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226"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438CC97"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54" w:type="dxa"/>
            <w:tcBorders>
              <w:top w:val="single" w:sz="4" w:space="0" w:color="auto"/>
              <w:left w:val="nil"/>
              <w:bottom w:val="single" w:sz="4" w:space="0" w:color="auto"/>
              <w:right w:val="single" w:sz="4" w:space="0" w:color="auto"/>
            </w:tcBorders>
            <w:shd w:val="clear" w:color="auto" w:fill="auto"/>
            <w:vAlign w:val="center"/>
            <w:hideMark/>
          </w:tcPr>
          <w:p w14:paraId="320D7008"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0BB3576B" w14:textId="77777777" w:rsidTr="00D25E0D">
        <w:trPr>
          <w:trHeight w:val="300"/>
        </w:trPr>
        <w:tc>
          <w:tcPr>
            <w:tcW w:w="1776" w:type="dxa"/>
            <w:vMerge/>
            <w:tcBorders>
              <w:top w:val="single" w:sz="4" w:space="0" w:color="auto"/>
              <w:left w:val="single" w:sz="4" w:space="0" w:color="auto"/>
              <w:bottom w:val="single" w:sz="4" w:space="0" w:color="auto"/>
              <w:right w:val="single" w:sz="4" w:space="0" w:color="auto"/>
            </w:tcBorders>
            <w:vAlign w:val="center"/>
            <w:hideMark/>
          </w:tcPr>
          <w:p w14:paraId="4DA1D90D" w14:textId="77777777" w:rsidR="003E69A5" w:rsidRPr="003F7F6C" w:rsidRDefault="003E69A5" w:rsidP="00D25E0D">
            <w:pPr>
              <w:spacing w:after="0"/>
              <w:rPr>
                <w:rFonts w:eastAsia="Times New Roman" w:cs="Calibri"/>
                <w:color w:val="000000"/>
                <w:sz w:val="18"/>
                <w:szCs w:val="18"/>
                <w:lang w:eastAsia="es-ES"/>
              </w:rPr>
            </w:pPr>
          </w:p>
        </w:tc>
        <w:tc>
          <w:tcPr>
            <w:tcW w:w="424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5109473"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The environmental information is partially available and shared among stakeholders but is not covering all focal areas and/or the information management infrastructure to manage and give information access to the public is limited</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81BD99D"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F785412"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2</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63E1015"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Information is available and is shared through adequate systems but there is overlapping of information and mostly dispersed.  Offer of information should be greater.  There is a significant volume of information but coordination and sharing needs to be strengthened among stakeholders.</w:t>
            </w:r>
          </w:p>
          <w:p w14:paraId="35FBAB6E" w14:textId="77777777" w:rsidR="003E69A5" w:rsidRPr="003F7F6C" w:rsidRDefault="003E69A5" w:rsidP="00D25E0D">
            <w:pPr>
              <w:spacing w:after="0"/>
              <w:rPr>
                <w:rFonts w:eastAsia="Times New Roman" w:cs="Calibri"/>
                <w:color w:val="000000"/>
                <w:sz w:val="18"/>
                <w:szCs w:val="18"/>
                <w:lang w:eastAsia="es-ES"/>
              </w:rPr>
            </w:pPr>
          </w:p>
        </w:tc>
        <w:tc>
          <w:tcPr>
            <w:tcW w:w="2226"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12EC5E79"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Identification and systematization of existing disperse and repeated information and making it available to the general public in accessible formats</w:t>
            </w:r>
          </w:p>
        </w:tc>
        <w:tc>
          <w:tcPr>
            <w:tcW w:w="165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F114B0"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1DD67112" w14:textId="77777777" w:rsidTr="00D25E0D">
        <w:trPr>
          <w:trHeight w:val="300"/>
        </w:trPr>
        <w:tc>
          <w:tcPr>
            <w:tcW w:w="1776" w:type="dxa"/>
            <w:vMerge/>
            <w:tcBorders>
              <w:top w:val="single" w:sz="4" w:space="0" w:color="auto"/>
              <w:left w:val="single" w:sz="4" w:space="0" w:color="auto"/>
              <w:bottom w:val="single" w:sz="4" w:space="0" w:color="auto"/>
              <w:right w:val="single" w:sz="4" w:space="0" w:color="auto"/>
            </w:tcBorders>
            <w:vAlign w:val="center"/>
            <w:hideMark/>
          </w:tcPr>
          <w:p w14:paraId="7A2D4F2D" w14:textId="77777777" w:rsidR="003E69A5" w:rsidRPr="003F7F6C" w:rsidRDefault="003E69A5" w:rsidP="00D25E0D">
            <w:pPr>
              <w:spacing w:after="0"/>
              <w:rPr>
                <w:rFonts w:eastAsia="Times New Roman" w:cs="Calibri"/>
                <w:color w:val="000000"/>
                <w:sz w:val="18"/>
                <w:szCs w:val="18"/>
                <w:lang w:eastAsia="es-ES"/>
              </w:rPr>
            </w:pPr>
          </w:p>
        </w:tc>
        <w:tc>
          <w:tcPr>
            <w:tcW w:w="424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743711A"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Comprehensive environmental information is available and shared through an adequate information management infrastructure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56C0BF"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3</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2D321B" w14:textId="77777777" w:rsidR="003E69A5" w:rsidRPr="003F7F6C" w:rsidRDefault="003E69A5" w:rsidP="00D25E0D">
            <w:pPr>
              <w:spacing w:after="0"/>
              <w:jc w:val="center"/>
              <w:rPr>
                <w:rFonts w:eastAsia="Times New Roman" w:cs="Calibri"/>
                <w:color w:val="000000"/>
                <w:sz w:val="18"/>
                <w:szCs w:val="18"/>
                <w:lang w:eastAsia="es-ES"/>
              </w:rPr>
            </w:pP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tcPr>
          <w:p w14:paraId="28E82408" w14:textId="77777777" w:rsidR="003E69A5" w:rsidRPr="003F7F6C" w:rsidRDefault="003E69A5" w:rsidP="00D25E0D">
            <w:pPr>
              <w:spacing w:after="0"/>
              <w:rPr>
                <w:rFonts w:eastAsia="Times New Roman" w:cs="Calibri"/>
                <w:color w:val="000000"/>
                <w:sz w:val="18"/>
                <w:szCs w:val="18"/>
                <w:lang w:eastAsia="es-ES"/>
              </w:rPr>
            </w:pPr>
          </w:p>
        </w:tc>
        <w:tc>
          <w:tcPr>
            <w:tcW w:w="222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CBB01CC" w14:textId="77777777" w:rsidR="003E69A5" w:rsidRPr="003F7F6C" w:rsidRDefault="003E69A5" w:rsidP="00D25E0D">
            <w:pPr>
              <w:spacing w:after="0"/>
              <w:rPr>
                <w:rFonts w:eastAsia="Times New Roman" w:cs="Calibri"/>
                <w:color w:val="000000"/>
                <w:sz w:val="18"/>
                <w:szCs w:val="18"/>
                <w:lang w:eastAsia="es-ES"/>
              </w:rPr>
            </w:pPr>
          </w:p>
        </w:tc>
        <w:tc>
          <w:tcPr>
            <w:tcW w:w="165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40E678"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6DD9CCBB" w14:textId="77777777" w:rsidTr="00D25E0D">
        <w:trPr>
          <w:trHeight w:val="469"/>
        </w:trPr>
        <w:tc>
          <w:tcPr>
            <w:tcW w:w="1776" w:type="dxa"/>
            <w:vMerge w:val="restart"/>
            <w:tcBorders>
              <w:top w:val="nil"/>
              <w:left w:val="single" w:sz="4" w:space="0" w:color="auto"/>
              <w:bottom w:val="single" w:sz="4" w:space="0" w:color="auto"/>
              <w:right w:val="single" w:sz="4" w:space="0" w:color="auto"/>
            </w:tcBorders>
            <w:shd w:val="clear" w:color="auto" w:fill="auto"/>
            <w:vAlign w:val="center"/>
            <w:hideMark/>
          </w:tcPr>
          <w:p w14:paraId="46BC9375"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Indicator 6: Existence of environmental education programmes</w:t>
            </w:r>
          </w:p>
        </w:tc>
        <w:tc>
          <w:tcPr>
            <w:tcW w:w="4248" w:type="dxa"/>
            <w:tcBorders>
              <w:top w:val="single" w:sz="4" w:space="0" w:color="auto"/>
              <w:left w:val="nil"/>
              <w:bottom w:val="single" w:sz="4" w:space="0" w:color="auto"/>
              <w:right w:val="single" w:sz="4" w:space="0" w:color="auto"/>
            </w:tcBorders>
            <w:shd w:val="clear" w:color="auto" w:fill="auto"/>
            <w:vAlign w:val="bottom"/>
            <w:hideMark/>
          </w:tcPr>
          <w:p w14:paraId="4B71DA20"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No environmental education programmes are in place</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69C9E9AB"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0</w:t>
            </w:r>
          </w:p>
        </w:tc>
        <w:tc>
          <w:tcPr>
            <w:tcW w:w="708" w:type="dxa"/>
            <w:tcBorders>
              <w:top w:val="single" w:sz="4" w:space="0" w:color="auto"/>
              <w:left w:val="nil"/>
              <w:bottom w:val="single" w:sz="4" w:space="0" w:color="auto"/>
              <w:right w:val="single" w:sz="4" w:space="0" w:color="auto"/>
            </w:tcBorders>
            <w:shd w:val="clear" w:color="auto" w:fill="auto"/>
            <w:vAlign w:val="center"/>
            <w:hideMark/>
          </w:tcPr>
          <w:p w14:paraId="0216427B" w14:textId="77777777" w:rsidR="003E69A5" w:rsidRPr="003F7F6C" w:rsidRDefault="003E69A5" w:rsidP="00D25E0D">
            <w:pPr>
              <w:spacing w:after="0"/>
              <w:jc w:val="center"/>
              <w:rPr>
                <w:rFonts w:eastAsia="Times New Roman" w:cs="Calibri"/>
                <w:color w:val="000000"/>
                <w:sz w:val="18"/>
                <w:szCs w:val="18"/>
                <w:lang w:eastAsia="es-ES"/>
              </w:rPr>
            </w:pP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0117BD"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226"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3F88A32"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5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DA9D85"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3914D8AA" w14:textId="77777777" w:rsidTr="00D25E0D">
        <w:trPr>
          <w:trHeight w:val="300"/>
        </w:trPr>
        <w:tc>
          <w:tcPr>
            <w:tcW w:w="1776" w:type="dxa"/>
            <w:vMerge/>
            <w:tcBorders>
              <w:top w:val="nil"/>
              <w:left w:val="single" w:sz="4" w:space="0" w:color="auto"/>
              <w:bottom w:val="single" w:sz="4" w:space="0" w:color="auto"/>
              <w:right w:val="single" w:sz="4" w:space="0" w:color="auto"/>
            </w:tcBorders>
            <w:vAlign w:val="center"/>
            <w:hideMark/>
          </w:tcPr>
          <w:p w14:paraId="579024D5" w14:textId="77777777" w:rsidR="003E69A5" w:rsidRPr="003F7F6C" w:rsidRDefault="003E69A5" w:rsidP="00D25E0D">
            <w:pPr>
              <w:spacing w:after="0"/>
              <w:jc w:val="center"/>
              <w:rPr>
                <w:rFonts w:eastAsia="Times New Roman" w:cs="Calibri"/>
                <w:color w:val="000000"/>
                <w:sz w:val="18"/>
                <w:szCs w:val="18"/>
                <w:lang w:eastAsia="es-ES"/>
              </w:rPr>
            </w:pPr>
          </w:p>
        </w:tc>
        <w:tc>
          <w:tcPr>
            <w:tcW w:w="4248" w:type="dxa"/>
            <w:tcBorders>
              <w:top w:val="nil"/>
              <w:left w:val="nil"/>
              <w:bottom w:val="single" w:sz="4" w:space="0" w:color="auto"/>
              <w:right w:val="single" w:sz="4" w:space="0" w:color="auto"/>
            </w:tcBorders>
            <w:shd w:val="clear" w:color="auto" w:fill="auto"/>
            <w:vAlign w:val="center"/>
            <w:hideMark/>
          </w:tcPr>
          <w:p w14:paraId="4FE1E5CE"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cs="Calibri"/>
                <w:sz w:val="18"/>
                <w:szCs w:val="18"/>
              </w:rPr>
              <w:t>Environmental education programmes are partially developed and partially delivered</w:t>
            </w:r>
          </w:p>
        </w:tc>
        <w:tc>
          <w:tcPr>
            <w:tcW w:w="709" w:type="dxa"/>
            <w:tcBorders>
              <w:top w:val="nil"/>
              <w:left w:val="nil"/>
              <w:bottom w:val="single" w:sz="4" w:space="0" w:color="auto"/>
              <w:right w:val="single" w:sz="4" w:space="0" w:color="auto"/>
            </w:tcBorders>
            <w:shd w:val="clear" w:color="auto" w:fill="auto"/>
            <w:vAlign w:val="center"/>
            <w:hideMark/>
          </w:tcPr>
          <w:p w14:paraId="2839F54A"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1</w:t>
            </w:r>
          </w:p>
        </w:tc>
        <w:tc>
          <w:tcPr>
            <w:tcW w:w="708" w:type="dxa"/>
            <w:tcBorders>
              <w:top w:val="nil"/>
              <w:left w:val="nil"/>
              <w:bottom w:val="single" w:sz="4" w:space="0" w:color="auto"/>
              <w:right w:val="single" w:sz="4" w:space="0" w:color="auto"/>
            </w:tcBorders>
            <w:shd w:val="clear" w:color="auto" w:fill="auto"/>
            <w:vAlign w:val="center"/>
            <w:hideMark/>
          </w:tcPr>
          <w:p w14:paraId="5283EF79"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1</w:t>
            </w:r>
          </w:p>
        </w:tc>
        <w:tc>
          <w:tcPr>
            <w:tcW w:w="3119" w:type="dxa"/>
            <w:tcBorders>
              <w:top w:val="single" w:sz="4" w:space="0" w:color="auto"/>
              <w:left w:val="nil"/>
              <w:bottom w:val="single" w:sz="4" w:space="0" w:color="auto"/>
              <w:right w:val="single" w:sz="4" w:space="0" w:color="auto"/>
            </w:tcBorders>
            <w:shd w:val="clear" w:color="auto" w:fill="auto"/>
            <w:vAlign w:val="center"/>
            <w:hideMark/>
          </w:tcPr>
          <w:p w14:paraId="2A86DBC3"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There is environmental information on ELUP, partially developed and accessible </w:t>
            </w:r>
          </w:p>
        </w:tc>
        <w:tc>
          <w:tcPr>
            <w:tcW w:w="2226" w:type="dxa"/>
            <w:gridSpan w:val="2"/>
            <w:tcBorders>
              <w:top w:val="single" w:sz="4" w:space="0" w:color="auto"/>
              <w:left w:val="nil"/>
              <w:bottom w:val="single" w:sz="4" w:space="0" w:color="auto"/>
              <w:right w:val="single" w:sz="4" w:space="0" w:color="auto"/>
            </w:tcBorders>
            <w:shd w:val="clear" w:color="auto" w:fill="auto"/>
            <w:vAlign w:val="center"/>
            <w:hideMark/>
          </w:tcPr>
          <w:p w14:paraId="12A98369"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Development of training programs on ELUP and other subjects related to participation and indigenous peoples</w:t>
            </w:r>
          </w:p>
        </w:tc>
        <w:tc>
          <w:tcPr>
            <w:tcW w:w="1654" w:type="dxa"/>
            <w:tcBorders>
              <w:top w:val="single" w:sz="4" w:space="0" w:color="auto"/>
              <w:left w:val="nil"/>
              <w:bottom w:val="single" w:sz="4" w:space="0" w:color="auto"/>
              <w:right w:val="single" w:sz="4" w:space="0" w:color="auto"/>
            </w:tcBorders>
            <w:shd w:val="clear" w:color="auto" w:fill="auto"/>
            <w:vAlign w:val="center"/>
            <w:hideMark/>
          </w:tcPr>
          <w:p w14:paraId="0C231622"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555C91A1" w14:textId="77777777" w:rsidTr="00D25E0D">
        <w:trPr>
          <w:trHeight w:val="300"/>
        </w:trPr>
        <w:tc>
          <w:tcPr>
            <w:tcW w:w="1776" w:type="dxa"/>
            <w:vMerge/>
            <w:tcBorders>
              <w:top w:val="nil"/>
              <w:left w:val="single" w:sz="4" w:space="0" w:color="auto"/>
              <w:bottom w:val="single" w:sz="4" w:space="0" w:color="auto"/>
              <w:right w:val="single" w:sz="4" w:space="0" w:color="auto"/>
            </w:tcBorders>
            <w:vAlign w:val="center"/>
            <w:hideMark/>
          </w:tcPr>
          <w:p w14:paraId="6FC8C214" w14:textId="77777777" w:rsidR="003E69A5" w:rsidRPr="003F7F6C" w:rsidRDefault="003E69A5" w:rsidP="00D25E0D">
            <w:pPr>
              <w:spacing w:after="0"/>
              <w:jc w:val="center"/>
              <w:rPr>
                <w:rFonts w:eastAsia="Times New Roman" w:cs="Calibri"/>
                <w:color w:val="000000"/>
                <w:sz w:val="18"/>
                <w:szCs w:val="18"/>
                <w:lang w:eastAsia="es-ES"/>
              </w:rPr>
            </w:pPr>
          </w:p>
        </w:tc>
        <w:tc>
          <w:tcPr>
            <w:tcW w:w="4248" w:type="dxa"/>
            <w:tcBorders>
              <w:top w:val="nil"/>
              <w:left w:val="nil"/>
              <w:bottom w:val="single" w:sz="4" w:space="0" w:color="auto"/>
              <w:right w:val="single" w:sz="4" w:space="0" w:color="auto"/>
            </w:tcBorders>
            <w:shd w:val="clear" w:color="auto" w:fill="auto"/>
            <w:vAlign w:val="bottom"/>
            <w:hideMark/>
          </w:tcPr>
          <w:p w14:paraId="03CA6EAF"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Environmental education programmes are fully developed but partially delivered</w:t>
            </w:r>
          </w:p>
        </w:tc>
        <w:tc>
          <w:tcPr>
            <w:tcW w:w="709" w:type="dxa"/>
            <w:tcBorders>
              <w:top w:val="nil"/>
              <w:left w:val="nil"/>
              <w:bottom w:val="single" w:sz="4" w:space="0" w:color="auto"/>
              <w:right w:val="single" w:sz="4" w:space="0" w:color="auto"/>
            </w:tcBorders>
            <w:shd w:val="clear" w:color="auto" w:fill="auto"/>
            <w:vAlign w:val="center"/>
            <w:hideMark/>
          </w:tcPr>
          <w:p w14:paraId="0804D4F8"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2</w:t>
            </w:r>
          </w:p>
        </w:tc>
        <w:tc>
          <w:tcPr>
            <w:tcW w:w="708" w:type="dxa"/>
            <w:tcBorders>
              <w:top w:val="nil"/>
              <w:left w:val="nil"/>
              <w:bottom w:val="single" w:sz="4" w:space="0" w:color="auto"/>
              <w:right w:val="single" w:sz="4" w:space="0" w:color="auto"/>
            </w:tcBorders>
            <w:shd w:val="clear" w:color="auto" w:fill="auto"/>
            <w:vAlign w:val="center"/>
            <w:hideMark/>
          </w:tcPr>
          <w:p w14:paraId="3C6AD3B5" w14:textId="77777777" w:rsidR="003E69A5" w:rsidRPr="003F7F6C" w:rsidRDefault="003E69A5" w:rsidP="00D25E0D">
            <w:pPr>
              <w:spacing w:after="0"/>
              <w:jc w:val="center"/>
              <w:rPr>
                <w:rFonts w:eastAsia="Times New Roman" w:cs="Calibri"/>
                <w:color w:val="000000"/>
                <w:sz w:val="18"/>
                <w:szCs w:val="18"/>
                <w:lang w:eastAsia="es-ES"/>
              </w:rPr>
            </w:pPr>
          </w:p>
        </w:tc>
        <w:tc>
          <w:tcPr>
            <w:tcW w:w="3119" w:type="dxa"/>
            <w:tcBorders>
              <w:top w:val="nil"/>
              <w:left w:val="nil"/>
              <w:bottom w:val="single" w:sz="4" w:space="0" w:color="auto"/>
              <w:right w:val="single" w:sz="4" w:space="0" w:color="auto"/>
            </w:tcBorders>
            <w:shd w:val="clear" w:color="auto" w:fill="auto"/>
            <w:vAlign w:val="bottom"/>
            <w:hideMark/>
          </w:tcPr>
          <w:p w14:paraId="6948A7A2"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226" w:type="dxa"/>
            <w:gridSpan w:val="2"/>
            <w:tcBorders>
              <w:top w:val="nil"/>
              <w:left w:val="nil"/>
              <w:bottom w:val="single" w:sz="4" w:space="0" w:color="auto"/>
              <w:right w:val="single" w:sz="4" w:space="0" w:color="auto"/>
            </w:tcBorders>
            <w:shd w:val="clear" w:color="auto" w:fill="auto"/>
            <w:vAlign w:val="bottom"/>
            <w:hideMark/>
          </w:tcPr>
          <w:p w14:paraId="2353ECBC"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54" w:type="dxa"/>
            <w:tcBorders>
              <w:top w:val="nil"/>
              <w:left w:val="nil"/>
              <w:bottom w:val="single" w:sz="4" w:space="0" w:color="auto"/>
              <w:right w:val="single" w:sz="4" w:space="0" w:color="auto"/>
            </w:tcBorders>
            <w:shd w:val="clear" w:color="auto" w:fill="auto"/>
            <w:vAlign w:val="bottom"/>
            <w:hideMark/>
          </w:tcPr>
          <w:p w14:paraId="65ADBDF0"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5D235413" w14:textId="77777777" w:rsidTr="00D25E0D">
        <w:trPr>
          <w:trHeight w:val="300"/>
        </w:trPr>
        <w:tc>
          <w:tcPr>
            <w:tcW w:w="1776" w:type="dxa"/>
            <w:vMerge/>
            <w:tcBorders>
              <w:top w:val="nil"/>
              <w:left w:val="single" w:sz="4" w:space="0" w:color="auto"/>
              <w:bottom w:val="single" w:sz="4" w:space="0" w:color="auto"/>
              <w:right w:val="single" w:sz="4" w:space="0" w:color="auto"/>
            </w:tcBorders>
            <w:vAlign w:val="center"/>
            <w:hideMark/>
          </w:tcPr>
          <w:p w14:paraId="5B4BA77A" w14:textId="77777777" w:rsidR="003E69A5" w:rsidRPr="003F7F6C" w:rsidRDefault="003E69A5" w:rsidP="00D25E0D">
            <w:pPr>
              <w:spacing w:after="0"/>
              <w:jc w:val="center"/>
              <w:rPr>
                <w:rFonts w:eastAsia="Times New Roman" w:cs="Calibri"/>
                <w:color w:val="000000"/>
                <w:sz w:val="18"/>
                <w:szCs w:val="18"/>
                <w:lang w:eastAsia="es-ES"/>
              </w:rPr>
            </w:pPr>
          </w:p>
        </w:tc>
        <w:tc>
          <w:tcPr>
            <w:tcW w:w="4248" w:type="dxa"/>
            <w:tcBorders>
              <w:top w:val="nil"/>
              <w:left w:val="nil"/>
              <w:bottom w:val="single" w:sz="4" w:space="0" w:color="auto"/>
              <w:right w:val="single" w:sz="4" w:space="0" w:color="auto"/>
            </w:tcBorders>
            <w:shd w:val="clear" w:color="auto" w:fill="auto"/>
            <w:vAlign w:val="bottom"/>
            <w:hideMark/>
          </w:tcPr>
          <w:p w14:paraId="0064D2EF"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Comprehensive environmental education programmes exist and are being delivered</w:t>
            </w:r>
          </w:p>
        </w:tc>
        <w:tc>
          <w:tcPr>
            <w:tcW w:w="709" w:type="dxa"/>
            <w:tcBorders>
              <w:top w:val="nil"/>
              <w:left w:val="nil"/>
              <w:bottom w:val="single" w:sz="4" w:space="0" w:color="auto"/>
              <w:right w:val="single" w:sz="4" w:space="0" w:color="auto"/>
            </w:tcBorders>
            <w:shd w:val="clear" w:color="auto" w:fill="auto"/>
            <w:vAlign w:val="center"/>
            <w:hideMark/>
          </w:tcPr>
          <w:p w14:paraId="36FCC59C"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3</w:t>
            </w:r>
          </w:p>
        </w:tc>
        <w:tc>
          <w:tcPr>
            <w:tcW w:w="708" w:type="dxa"/>
            <w:tcBorders>
              <w:top w:val="nil"/>
              <w:left w:val="nil"/>
              <w:bottom w:val="single" w:sz="4" w:space="0" w:color="auto"/>
              <w:right w:val="single" w:sz="4" w:space="0" w:color="auto"/>
            </w:tcBorders>
            <w:shd w:val="clear" w:color="auto" w:fill="auto"/>
            <w:vAlign w:val="center"/>
            <w:hideMark/>
          </w:tcPr>
          <w:p w14:paraId="1A35C0A7" w14:textId="77777777" w:rsidR="003E69A5" w:rsidRPr="003F7F6C" w:rsidRDefault="003E69A5" w:rsidP="00D25E0D">
            <w:pPr>
              <w:spacing w:after="0"/>
              <w:jc w:val="center"/>
              <w:rPr>
                <w:rFonts w:eastAsia="Times New Roman" w:cs="Calibri"/>
                <w:color w:val="000000"/>
                <w:sz w:val="18"/>
                <w:szCs w:val="18"/>
                <w:lang w:eastAsia="es-ES"/>
              </w:rPr>
            </w:pPr>
          </w:p>
        </w:tc>
        <w:tc>
          <w:tcPr>
            <w:tcW w:w="3119" w:type="dxa"/>
            <w:tcBorders>
              <w:top w:val="nil"/>
              <w:left w:val="nil"/>
              <w:bottom w:val="single" w:sz="4" w:space="0" w:color="auto"/>
              <w:right w:val="single" w:sz="4" w:space="0" w:color="auto"/>
            </w:tcBorders>
            <w:shd w:val="clear" w:color="auto" w:fill="auto"/>
            <w:vAlign w:val="bottom"/>
            <w:hideMark/>
          </w:tcPr>
          <w:p w14:paraId="1B2C7367"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226" w:type="dxa"/>
            <w:gridSpan w:val="2"/>
            <w:tcBorders>
              <w:top w:val="nil"/>
              <w:left w:val="nil"/>
              <w:bottom w:val="single" w:sz="4" w:space="0" w:color="auto"/>
              <w:right w:val="single" w:sz="4" w:space="0" w:color="auto"/>
            </w:tcBorders>
            <w:shd w:val="clear" w:color="auto" w:fill="auto"/>
            <w:vAlign w:val="bottom"/>
            <w:hideMark/>
          </w:tcPr>
          <w:p w14:paraId="1353FAC1"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54" w:type="dxa"/>
            <w:tcBorders>
              <w:top w:val="nil"/>
              <w:left w:val="nil"/>
              <w:bottom w:val="single" w:sz="4" w:space="0" w:color="auto"/>
              <w:right w:val="single" w:sz="4" w:space="0" w:color="auto"/>
            </w:tcBorders>
            <w:shd w:val="clear" w:color="auto" w:fill="auto"/>
            <w:vAlign w:val="bottom"/>
            <w:hideMark/>
          </w:tcPr>
          <w:p w14:paraId="17C78AC5"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09AD0556" w14:textId="77777777" w:rsidTr="00D25E0D">
        <w:trPr>
          <w:trHeight w:val="300"/>
        </w:trPr>
        <w:tc>
          <w:tcPr>
            <w:tcW w:w="17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5D32B2" w14:textId="77777777" w:rsidR="003E69A5" w:rsidRPr="003F7F6C" w:rsidRDefault="003E69A5" w:rsidP="00D25E0D">
            <w:pPr>
              <w:spacing w:after="0"/>
              <w:jc w:val="center"/>
              <w:rPr>
                <w:rFonts w:eastAsia="Times New Roman" w:cs="Calibri"/>
                <w:color w:val="000000"/>
                <w:sz w:val="18"/>
                <w:szCs w:val="18"/>
                <w:lang w:eastAsia="es-ES"/>
              </w:rPr>
            </w:pPr>
          </w:p>
          <w:p w14:paraId="256EAFAE" w14:textId="77777777" w:rsidR="003E69A5" w:rsidRPr="003F7F6C" w:rsidRDefault="003E69A5" w:rsidP="00D25E0D">
            <w:pPr>
              <w:spacing w:after="0"/>
              <w:jc w:val="center"/>
              <w:rPr>
                <w:rFonts w:eastAsia="Times New Roman" w:cs="Calibri"/>
                <w:color w:val="000000"/>
                <w:sz w:val="18"/>
                <w:szCs w:val="18"/>
                <w:lang w:eastAsia="es-ES"/>
              </w:rPr>
            </w:pPr>
          </w:p>
          <w:p w14:paraId="225677F6" w14:textId="5A108423"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Indicator 7: Exten</w:t>
            </w:r>
            <w:r w:rsidR="00FB6D2D" w:rsidRPr="003F7F6C">
              <w:rPr>
                <w:rFonts w:eastAsia="Times New Roman" w:cs="Calibri"/>
                <w:color w:val="000000"/>
                <w:sz w:val="18"/>
                <w:szCs w:val="18"/>
                <w:lang w:eastAsia="es-ES"/>
              </w:rPr>
              <w:t>t</w:t>
            </w:r>
            <w:r w:rsidRPr="003F7F6C">
              <w:rPr>
                <w:rFonts w:eastAsia="Times New Roman" w:cs="Calibri"/>
                <w:color w:val="000000"/>
                <w:sz w:val="18"/>
                <w:szCs w:val="18"/>
                <w:lang w:eastAsia="es-ES"/>
              </w:rPr>
              <w:t xml:space="preserve"> of the</w:t>
            </w:r>
          </w:p>
          <w:p w14:paraId="6A44D25C"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linkage between environmental</w:t>
            </w:r>
          </w:p>
          <w:p w14:paraId="6D4703E3"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research/science and policy</w:t>
            </w:r>
          </w:p>
          <w:p w14:paraId="586D0DF4"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development</w:t>
            </w:r>
          </w:p>
        </w:tc>
        <w:tc>
          <w:tcPr>
            <w:tcW w:w="424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ABD3875"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No linkage exist between environmental policy development and science/research strategies and programmes</w:t>
            </w:r>
          </w:p>
          <w:p w14:paraId="782BD324"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5008D5"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0</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6FBDDA" w14:textId="77777777" w:rsidR="003E69A5" w:rsidRPr="003F7F6C" w:rsidRDefault="003E69A5" w:rsidP="00D25E0D">
            <w:pPr>
              <w:spacing w:after="0"/>
              <w:jc w:val="center"/>
              <w:rPr>
                <w:rFonts w:eastAsia="Times New Roman" w:cs="Calibri"/>
                <w:color w:val="000000"/>
                <w:sz w:val="18"/>
                <w:szCs w:val="18"/>
                <w:lang w:eastAsia="es-ES"/>
              </w:rPr>
            </w:pPr>
          </w:p>
        </w:tc>
        <w:tc>
          <w:tcPr>
            <w:tcW w:w="311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D3324E"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226"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0B3DB993"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54"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A04EAB5"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3721F0BD" w14:textId="77777777" w:rsidTr="00D25E0D">
        <w:trPr>
          <w:trHeight w:val="300"/>
        </w:trPr>
        <w:tc>
          <w:tcPr>
            <w:tcW w:w="1776" w:type="dxa"/>
            <w:vMerge/>
            <w:tcBorders>
              <w:top w:val="single" w:sz="4" w:space="0" w:color="auto"/>
              <w:left w:val="single" w:sz="4" w:space="0" w:color="auto"/>
              <w:bottom w:val="single" w:sz="4" w:space="0" w:color="auto"/>
              <w:right w:val="single" w:sz="4" w:space="0" w:color="auto"/>
            </w:tcBorders>
            <w:vAlign w:val="center"/>
            <w:hideMark/>
          </w:tcPr>
          <w:p w14:paraId="4DB27714" w14:textId="77777777" w:rsidR="003E69A5" w:rsidRPr="003F7F6C" w:rsidRDefault="003E69A5" w:rsidP="00D25E0D">
            <w:pPr>
              <w:spacing w:after="0"/>
              <w:rPr>
                <w:rFonts w:eastAsia="Times New Roman" w:cs="Calibri"/>
                <w:color w:val="000000"/>
                <w:sz w:val="18"/>
                <w:szCs w:val="18"/>
                <w:lang w:eastAsia="es-ES"/>
              </w:rPr>
            </w:pPr>
          </w:p>
        </w:tc>
        <w:tc>
          <w:tcPr>
            <w:tcW w:w="424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8F1501"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cs="Calibri"/>
                <w:sz w:val="18"/>
                <w:szCs w:val="18"/>
              </w:rPr>
              <w:t>Research needs for environmental policy development are identified but are not translated into relevant research strategies and programmes</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6259FED"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1</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753BC2"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1</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8827A90"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There are several initiatives that are partially oriented to existing and sector based scientific-political interfaces (CONADIBIO, ONDTyD, Climate Change Roundtable). Existing initiatives do not have integrated approaches</w:t>
            </w:r>
          </w:p>
        </w:tc>
        <w:tc>
          <w:tcPr>
            <w:tcW w:w="2226"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0A4AE2C"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The advisory committee and the dialogue spaces at national level will promote incorporation of the scientific and academic sectors in discussion and generation of alternatives for ELUP</w:t>
            </w:r>
          </w:p>
        </w:tc>
        <w:tc>
          <w:tcPr>
            <w:tcW w:w="165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8BA88E1"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20EB2F2B" w14:textId="77777777" w:rsidTr="00D25E0D">
        <w:trPr>
          <w:trHeight w:val="300"/>
        </w:trPr>
        <w:tc>
          <w:tcPr>
            <w:tcW w:w="1776" w:type="dxa"/>
            <w:vMerge/>
            <w:tcBorders>
              <w:top w:val="single" w:sz="4" w:space="0" w:color="auto"/>
              <w:left w:val="single" w:sz="4" w:space="0" w:color="auto"/>
              <w:bottom w:val="single" w:sz="4" w:space="0" w:color="auto"/>
              <w:right w:val="single" w:sz="4" w:space="0" w:color="auto"/>
            </w:tcBorders>
            <w:vAlign w:val="center"/>
            <w:hideMark/>
          </w:tcPr>
          <w:p w14:paraId="2C1D4F2A" w14:textId="77777777" w:rsidR="003E69A5" w:rsidRPr="003F7F6C" w:rsidRDefault="003E69A5" w:rsidP="00D25E0D">
            <w:pPr>
              <w:spacing w:after="0"/>
              <w:rPr>
                <w:rFonts w:eastAsia="Times New Roman" w:cs="Calibri"/>
                <w:color w:val="000000"/>
                <w:sz w:val="18"/>
                <w:szCs w:val="18"/>
                <w:lang w:eastAsia="es-ES"/>
              </w:rPr>
            </w:pPr>
          </w:p>
        </w:tc>
        <w:tc>
          <w:tcPr>
            <w:tcW w:w="424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7B72C330"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Relevant research strategies and programmes for environmental policy development exist but the research information is not responding fully to the policy research needs</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B70CD5"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5744616" w14:textId="77777777" w:rsidR="003E69A5" w:rsidRPr="003F7F6C" w:rsidRDefault="003E69A5" w:rsidP="00D25E0D">
            <w:pPr>
              <w:spacing w:after="0"/>
              <w:jc w:val="center"/>
              <w:rPr>
                <w:rFonts w:eastAsia="Times New Roman" w:cs="Calibri"/>
                <w:color w:val="000000"/>
                <w:sz w:val="18"/>
                <w:szCs w:val="18"/>
                <w:lang w:eastAsia="es-ES"/>
              </w:rPr>
            </w:pPr>
          </w:p>
        </w:tc>
        <w:tc>
          <w:tcPr>
            <w:tcW w:w="311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8B17377"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226"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3AA75BEC"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54"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17E2F59"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10AF7E8A" w14:textId="77777777" w:rsidTr="00D25E0D">
        <w:trPr>
          <w:trHeight w:val="300"/>
        </w:trPr>
        <w:tc>
          <w:tcPr>
            <w:tcW w:w="1776" w:type="dxa"/>
            <w:vMerge/>
            <w:tcBorders>
              <w:top w:val="single" w:sz="4" w:space="0" w:color="auto"/>
              <w:left w:val="single" w:sz="4" w:space="0" w:color="auto"/>
              <w:bottom w:val="single" w:sz="4" w:space="0" w:color="auto"/>
              <w:right w:val="single" w:sz="4" w:space="0" w:color="auto"/>
            </w:tcBorders>
            <w:vAlign w:val="center"/>
            <w:hideMark/>
          </w:tcPr>
          <w:p w14:paraId="797D432F" w14:textId="77777777" w:rsidR="003E69A5" w:rsidRPr="003F7F6C" w:rsidRDefault="003E69A5" w:rsidP="00D25E0D">
            <w:pPr>
              <w:spacing w:after="0"/>
              <w:rPr>
                <w:rFonts w:eastAsia="Times New Roman" w:cs="Calibri"/>
                <w:color w:val="000000"/>
                <w:sz w:val="18"/>
                <w:szCs w:val="18"/>
                <w:lang w:eastAsia="es-ES"/>
              </w:rPr>
            </w:pPr>
          </w:p>
        </w:tc>
        <w:tc>
          <w:tcPr>
            <w:tcW w:w="424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587559D"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Relevant research results are available for</w:t>
            </w:r>
          </w:p>
          <w:p w14:paraId="43EC4579" w14:textId="77777777" w:rsidR="003E69A5" w:rsidRPr="003F7F6C" w:rsidRDefault="003E69A5" w:rsidP="00D25E0D">
            <w:pPr>
              <w:spacing w:after="0"/>
              <w:rPr>
                <w:rFonts w:eastAsia="Times New Roman" w:cs="Calibri"/>
                <w:color w:val="000000"/>
                <w:sz w:val="18"/>
                <w:szCs w:val="18"/>
                <w:lang w:eastAsia="es-ES"/>
              </w:rPr>
            </w:pPr>
            <w:r w:rsidRPr="003F7F6C">
              <w:rPr>
                <w:rFonts w:cs="Calibri"/>
                <w:sz w:val="18"/>
                <w:szCs w:val="18"/>
              </w:rPr>
              <w:t>environmental policy development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A31F9D7"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3</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A4A8080" w14:textId="77777777" w:rsidR="003E69A5" w:rsidRPr="003F7F6C" w:rsidRDefault="003E69A5" w:rsidP="00D25E0D">
            <w:pPr>
              <w:spacing w:after="0"/>
              <w:jc w:val="center"/>
              <w:rPr>
                <w:rFonts w:eastAsia="Times New Roman" w:cs="Calibri"/>
                <w:color w:val="000000"/>
                <w:sz w:val="18"/>
                <w:szCs w:val="18"/>
                <w:lang w:eastAsia="es-ES"/>
              </w:rPr>
            </w:pPr>
          </w:p>
        </w:tc>
        <w:tc>
          <w:tcPr>
            <w:tcW w:w="311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7308EB6"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226"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0CDF984A"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54"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78E1FCE3"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0EEC1AEC" w14:textId="77777777" w:rsidTr="00D25E0D">
        <w:trPr>
          <w:trHeight w:val="300"/>
        </w:trPr>
        <w:tc>
          <w:tcPr>
            <w:tcW w:w="17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96212A" w14:textId="122CC1B9"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xml:space="preserve">Indicator 8: </w:t>
            </w:r>
            <w:r w:rsidRPr="003F7F6C">
              <w:rPr>
                <w:rFonts w:cs="Calibri"/>
                <w:sz w:val="18"/>
                <w:szCs w:val="18"/>
              </w:rPr>
              <w:t>Exten</w:t>
            </w:r>
            <w:r w:rsidR="00FB6D2D" w:rsidRPr="003F7F6C">
              <w:rPr>
                <w:rFonts w:cs="Calibri"/>
                <w:sz w:val="18"/>
                <w:szCs w:val="18"/>
              </w:rPr>
              <w:t>t</w:t>
            </w:r>
            <w:r w:rsidRPr="003F7F6C">
              <w:rPr>
                <w:rFonts w:cs="Calibri"/>
                <w:sz w:val="18"/>
                <w:szCs w:val="18"/>
              </w:rPr>
              <w:t xml:space="preserve"> of</w:t>
            </w:r>
          </w:p>
          <w:p w14:paraId="15832878"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cs="Calibri"/>
                <w:sz w:val="18"/>
                <w:szCs w:val="18"/>
              </w:rPr>
              <w:t>inclusion/use of traditional knowledge in Environmental decision-making</w:t>
            </w:r>
          </w:p>
        </w:tc>
        <w:tc>
          <w:tcPr>
            <w:tcW w:w="424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3B43FC2"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Traditional knowledge is ignored and not taken into account into relevant participative decision-making processes</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4FEF036"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0</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3520F54" w14:textId="77777777" w:rsidR="003E69A5" w:rsidRPr="003F7F6C" w:rsidRDefault="003E69A5" w:rsidP="00D25E0D">
            <w:pPr>
              <w:spacing w:after="0"/>
              <w:jc w:val="center"/>
              <w:rPr>
                <w:rFonts w:eastAsia="Times New Roman" w:cs="Calibri"/>
                <w:color w:val="000000"/>
                <w:sz w:val="18"/>
                <w:szCs w:val="18"/>
                <w:lang w:eastAsia="es-ES"/>
              </w:rPr>
            </w:pP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tcPr>
          <w:p w14:paraId="4E22B679" w14:textId="77777777" w:rsidR="003E69A5" w:rsidRPr="003F7F6C" w:rsidRDefault="003E69A5" w:rsidP="00D25E0D">
            <w:pPr>
              <w:spacing w:after="0"/>
              <w:rPr>
                <w:rFonts w:eastAsia="Times New Roman" w:cs="Calibri"/>
                <w:color w:val="000000"/>
                <w:sz w:val="18"/>
                <w:szCs w:val="18"/>
                <w:lang w:eastAsia="es-ES"/>
              </w:rPr>
            </w:pPr>
          </w:p>
        </w:tc>
        <w:tc>
          <w:tcPr>
            <w:tcW w:w="2226"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24BF1933"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54"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3679D1"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4006BB76" w14:textId="77777777" w:rsidTr="00D25E0D">
        <w:trPr>
          <w:trHeight w:val="300"/>
        </w:trPr>
        <w:tc>
          <w:tcPr>
            <w:tcW w:w="1776" w:type="dxa"/>
            <w:vMerge/>
            <w:tcBorders>
              <w:top w:val="single" w:sz="4" w:space="0" w:color="auto"/>
              <w:left w:val="single" w:sz="4" w:space="0" w:color="auto"/>
              <w:bottom w:val="single" w:sz="4" w:space="0" w:color="auto"/>
              <w:right w:val="single" w:sz="4" w:space="0" w:color="auto"/>
            </w:tcBorders>
            <w:vAlign w:val="center"/>
            <w:hideMark/>
          </w:tcPr>
          <w:p w14:paraId="12D19AF7" w14:textId="77777777" w:rsidR="003E69A5" w:rsidRPr="003F7F6C" w:rsidRDefault="003E69A5" w:rsidP="00D25E0D">
            <w:pPr>
              <w:spacing w:after="0"/>
              <w:rPr>
                <w:rFonts w:eastAsia="Times New Roman" w:cs="Calibri"/>
                <w:color w:val="000000"/>
                <w:sz w:val="18"/>
                <w:szCs w:val="18"/>
                <w:lang w:eastAsia="es-ES"/>
              </w:rPr>
            </w:pPr>
          </w:p>
        </w:tc>
        <w:tc>
          <w:tcPr>
            <w:tcW w:w="424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32B74C"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Traditional knowledge is identified and recognized as important but is not collected and used in relevant participative decision-making processes</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AAE8F9D"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1</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5C84BEF"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1</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15D7C2"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There are national policies addressing traditional knowledge and practices.  Nevertheless mainstreaming of this knowledge in public policies or decision making processes is very low. There is little knowledge of these aspects related to traditional knowledge and potential impact on environmental public policies or decision making.</w:t>
            </w:r>
          </w:p>
        </w:tc>
        <w:tc>
          <w:tcPr>
            <w:tcW w:w="2226"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3102EF57"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Coordination with state and non-state actors for identification of traditional knowledge and capacity building. Participation of indigenous peoples in dialogue spaces will help to improve this situation</w:t>
            </w:r>
          </w:p>
        </w:tc>
        <w:tc>
          <w:tcPr>
            <w:tcW w:w="1654"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8A4A97B"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5DF91EB4" w14:textId="77777777" w:rsidTr="00D25E0D">
        <w:trPr>
          <w:trHeight w:val="300"/>
        </w:trPr>
        <w:tc>
          <w:tcPr>
            <w:tcW w:w="1776" w:type="dxa"/>
            <w:vMerge/>
            <w:tcBorders>
              <w:top w:val="single" w:sz="4" w:space="0" w:color="auto"/>
              <w:left w:val="single" w:sz="4" w:space="0" w:color="auto"/>
              <w:bottom w:val="single" w:sz="4" w:space="0" w:color="auto"/>
              <w:right w:val="single" w:sz="4" w:space="0" w:color="auto"/>
            </w:tcBorders>
            <w:vAlign w:val="center"/>
            <w:hideMark/>
          </w:tcPr>
          <w:p w14:paraId="5D52674C" w14:textId="77777777" w:rsidR="003E69A5" w:rsidRPr="003F7F6C" w:rsidRDefault="003E69A5" w:rsidP="00D25E0D">
            <w:pPr>
              <w:spacing w:after="0"/>
              <w:rPr>
                <w:rFonts w:eastAsia="Times New Roman" w:cs="Calibri"/>
                <w:color w:val="000000"/>
                <w:sz w:val="18"/>
                <w:szCs w:val="18"/>
                <w:lang w:eastAsia="es-ES"/>
              </w:rPr>
            </w:pPr>
          </w:p>
        </w:tc>
        <w:tc>
          <w:tcPr>
            <w:tcW w:w="424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D51A8C0"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Traditional knowledge is collected but is not used systematically into relevant participative decision making</w:t>
            </w:r>
          </w:p>
          <w:p w14:paraId="00C394F0" w14:textId="77777777" w:rsidR="003E69A5" w:rsidRPr="003F7F6C" w:rsidRDefault="003E69A5" w:rsidP="00D25E0D">
            <w:pPr>
              <w:spacing w:after="0"/>
              <w:rPr>
                <w:rFonts w:eastAsia="Times New Roman" w:cs="Calibri"/>
                <w:color w:val="000000"/>
                <w:sz w:val="18"/>
                <w:szCs w:val="18"/>
                <w:lang w:eastAsia="es-ES"/>
              </w:rPr>
            </w:pPr>
            <w:r w:rsidRPr="003F7F6C">
              <w:rPr>
                <w:rFonts w:cs="Calibri"/>
                <w:sz w:val="18"/>
                <w:szCs w:val="18"/>
              </w:rPr>
              <w:t>processes</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A355DBA"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C599EA9" w14:textId="77777777" w:rsidR="003E69A5" w:rsidRPr="003F7F6C" w:rsidRDefault="003E69A5" w:rsidP="00D25E0D">
            <w:pPr>
              <w:spacing w:after="0"/>
              <w:jc w:val="center"/>
              <w:rPr>
                <w:rFonts w:eastAsia="Times New Roman" w:cs="Calibri"/>
                <w:color w:val="000000"/>
                <w:sz w:val="18"/>
                <w:szCs w:val="18"/>
                <w:lang w:eastAsia="es-ES"/>
              </w:rPr>
            </w:pPr>
          </w:p>
        </w:tc>
        <w:tc>
          <w:tcPr>
            <w:tcW w:w="311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5288287"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226"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6E24334E"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54"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7DD1355D"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550B26F4" w14:textId="77777777" w:rsidTr="00D25E0D">
        <w:trPr>
          <w:trHeight w:val="300"/>
        </w:trPr>
        <w:tc>
          <w:tcPr>
            <w:tcW w:w="1776" w:type="dxa"/>
            <w:vMerge/>
            <w:tcBorders>
              <w:top w:val="single" w:sz="4" w:space="0" w:color="auto"/>
              <w:left w:val="single" w:sz="4" w:space="0" w:color="auto"/>
              <w:bottom w:val="single" w:sz="4" w:space="0" w:color="auto"/>
              <w:right w:val="single" w:sz="4" w:space="0" w:color="auto"/>
            </w:tcBorders>
            <w:vAlign w:val="center"/>
            <w:hideMark/>
          </w:tcPr>
          <w:p w14:paraId="391BCB37" w14:textId="77777777" w:rsidR="003E69A5" w:rsidRPr="003F7F6C" w:rsidRDefault="003E69A5" w:rsidP="00D25E0D">
            <w:pPr>
              <w:spacing w:after="0"/>
              <w:rPr>
                <w:rFonts w:eastAsia="Times New Roman" w:cs="Calibri"/>
                <w:color w:val="000000"/>
                <w:sz w:val="18"/>
                <w:szCs w:val="18"/>
                <w:lang w:eastAsia="es-ES"/>
              </w:rPr>
            </w:pPr>
          </w:p>
        </w:tc>
        <w:tc>
          <w:tcPr>
            <w:tcW w:w="4248" w:type="dxa"/>
            <w:tcBorders>
              <w:top w:val="single" w:sz="4" w:space="0" w:color="auto"/>
              <w:left w:val="nil"/>
              <w:bottom w:val="single" w:sz="4" w:space="0" w:color="auto"/>
              <w:right w:val="single" w:sz="4" w:space="0" w:color="auto"/>
            </w:tcBorders>
            <w:shd w:val="clear" w:color="auto" w:fill="auto"/>
            <w:vAlign w:val="bottom"/>
            <w:hideMark/>
          </w:tcPr>
          <w:p w14:paraId="7A4FBF10"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Traditional knowledge is collected, used and shared</w:t>
            </w:r>
          </w:p>
          <w:p w14:paraId="6061D0F5" w14:textId="77777777" w:rsidR="003E69A5" w:rsidRPr="003F7F6C" w:rsidRDefault="003E69A5" w:rsidP="00D25E0D">
            <w:pPr>
              <w:spacing w:after="0"/>
              <w:rPr>
                <w:rFonts w:eastAsia="Times New Roman" w:cs="Calibri"/>
                <w:color w:val="000000"/>
                <w:sz w:val="18"/>
                <w:szCs w:val="18"/>
                <w:lang w:eastAsia="es-ES"/>
              </w:rPr>
            </w:pPr>
            <w:r w:rsidRPr="003F7F6C">
              <w:rPr>
                <w:rFonts w:cs="Calibri"/>
                <w:sz w:val="18"/>
                <w:szCs w:val="18"/>
              </w:rPr>
              <w:t>for effective participative decision-making processes</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239A227E"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3</w:t>
            </w:r>
          </w:p>
        </w:tc>
        <w:tc>
          <w:tcPr>
            <w:tcW w:w="708" w:type="dxa"/>
            <w:tcBorders>
              <w:top w:val="single" w:sz="4" w:space="0" w:color="auto"/>
              <w:left w:val="nil"/>
              <w:bottom w:val="single" w:sz="4" w:space="0" w:color="auto"/>
              <w:right w:val="single" w:sz="4" w:space="0" w:color="auto"/>
            </w:tcBorders>
            <w:shd w:val="clear" w:color="auto" w:fill="auto"/>
            <w:vAlign w:val="center"/>
            <w:hideMark/>
          </w:tcPr>
          <w:p w14:paraId="6B2A0D4B" w14:textId="77777777" w:rsidR="003E69A5" w:rsidRPr="003F7F6C" w:rsidRDefault="003E69A5" w:rsidP="00D25E0D">
            <w:pPr>
              <w:spacing w:after="0"/>
              <w:jc w:val="center"/>
              <w:rPr>
                <w:rFonts w:eastAsia="Times New Roman" w:cs="Calibri"/>
                <w:color w:val="000000"/>
                <w:sz w:val="18"/>
                <w:szCs w:val="18"/>
                <w:lang w:eastAsia="es-ES"/>
              </w:rPr>
            </w:pPr>
          </w:p>
        </w:tc>
        <w:tc>
          <w:tcPr>
            <w:tcW w:w="3119" w:type="dxa"/>
            <w:tcBorders>
              <w:top w:val="single" w:sz="4" w:space="0" w:color="auto"/>
              <w:left w:val="nil"/>
              <w:bottom w:val="single" w:sz="4" w:space="0" w:color="auto"/>
              <w:right w:val="single" w:sz="4" w:space="0" w:color="auto"/>
            </w:tcBorders>
            <w:shd w:val="clear" w:color="auto" w:fill="auto"/>
            <w:vAlign w:val="bottom"/>
            <w:hideMark/>
          </w:tcPr>
          <w:p w14:paraId="474CE810"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226" w:type="dxa"/>
            <w:gridSpan w:val="2"/>
            <w:tcBorders>
              <w:top w:val="single" w:sz="4" w:space="0" w:color="auto"/>
              <w:left w:val="nil"/>
              <w:bottom w:val="single" w:sz="4" w:space="0" w:color="auto"/>
              <w:right w:val="single" w:sz="4" w:space="0" w:color="auto"/>
            </w:tcBorders>
            <w:shd w:val="clear" w:color="auto" w:fill="auto"/>
            <w:vAlign w:val="bottom"/>
            <w:hideMark/>
          </w:tcPr>
          <w:p w14:paraId="6C6F845A"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54" w:type="dxa"/>
            <w:tcBorders>
              <w:top w:val="single" w:sz="4" w:space="0" w:color="auto"/>
              <w:left w:val="nil"/>
              <w:bottom w:val="single" w:sz="4" w:space="0" w:color="auto"/>
              <w:right w:val="single" w:sz="4" w:space="0" w:color="auto"/>
            </w:tcBorders>
            <w:shd w:val="clear" w:color="auto" w:fill="auto"/>
            <w:vAlign w:val="bottom"/>
            <w:hideMark/>
          </w:tcPr>
          <w:p w14:paraId="0D356909"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1433F2A9" w14:textId="77777777" w:rsidTr="00D25E0D">
        <w:trPr>
          <w:trHeight w:val="253"/>
        </w:trPr>
        <w:tc>
          <w:tcPr>
            <w:tcW w:w="1776" w:type="dxa"/>
            <w:tcBorders>
              <w:top w:val="single" w:sz="4" w:space="0" w:color="auto"/>
              <w:left w:val="single" w:sz="4" w:space="0" w:color="auto"/>
              <w:right w:val="single" w:sz="4" w:space="0" w:color="auto"/>
            </w:tcBorders>
            <w:shd w:val="clear" w:color="auto" w:fill="auto"/>
            <w:vAlign w:val="center"/>
          </w:tcPr>
          <w:p w14:paraId="27E250AF"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Scoring CR 2</w:t>
            </w:r>
          </w:p>
        </w:tc>
        <w:tc>
          <w:tcPr>
            <w:tcW w:w="4248" w:type="dxa"/>
            <w:tcBorders>
              <w:top w:val="nil"/>
              <w:left w:val="nil"/>
              <w:right w:val="single" w:sz="4" w:space="0" w:color="auto"/>
            </w:tcBorders>
            <w:shd w:val="clear" w:color="auto" w:fill="auto"/>
            <w:vAlign w:val="center"/>
          </w:tcPr>
          <w:p w14:paraId="303E0E96" w14:textId="77777777" w:rsidR="003E69A5" w:rsidRPr="003F7F6C" w:rsidRDefault="003E69A5" w:rsidP="00D25E0D">
            <w:pPr>
              <w:autoSpaceDE w:val="0"/>
              <w:autoSpaceDN w:val="0"/>
              <w:adjustRightInd w:val="0"/>
              <w:spacing w:after="0"/>
              <w:rPr>
                <w:rFonts w:cs="Calibri"/>
                <w:sz w:val="18"/>
                <w:szCs w:val="18"/>
              </w:rPr>
            </w:pPr>
          </w:p>
        </w:tc>
        <w:tc>
          <w:tcPr>
            <w:tcW w:w="709" w:type="dxa"/>
            <w:tcBorders>
              <w:top w:val="nil"/>
              <w:left w:val="nil"/>
              <w:bottom w:val="single" w:sz="4" w:space="0" w:color="auto"/>
              <w:right w:val="single" w:sz="4" w:space="0" w:color="auto"/>
            </w:tcBorders>
            <w:shd w:val="clear" w:color="auto" w:fill="auto"/>
            <w:vAlign w:val="center"/>
          </w:tcPr>
          <w:p w14:paraId="57C24F22"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15</w:t>
            </w:r>
          </w:p>
        </w:tc>
        <w:tc>
          <w:tcPr>
            <w:tcW w:w="708" w:type="dxa"/>
            <w:tcBorders>
              <w:top w:val="nil"/>
              <w:left w:val="nil"/>
              <w:bottom w:val="single" w:sz="4" w:space="0" w:color="auto"/>
              <w:right w:val="single" w:sz="4" w:space="0" w:color="auto"/>
            </w:tcBorders>
            <w:shd w:val="clear" w:color="auto" w:fill="auto"/>
            <w:vAlign w:val="center"/>
          </w:tcPr>
          <w:p w14:paraId="54629F7F"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6</w:t>
            </w:r>
          </w:p>
        </w:tc>
        <w:tc>
          <w:tcPr>
            <w:tcW w:w="3119" w:type="dxa"/>
            <w:tcBorders>
              <w:top w:val="nil"/>
              <w:left w:val="nil"/>
              <w:right w:val="single" w:sz="4" w:space="0" w:color="auto"/>
            </w:tcBorders>
            <w:shd w:val="clear" w:color="auto" w:fill="auto"/>
            <w:vAlign w:val="bottom"/>
          </w:tcPr>
          <w:p w14:paraId="668DA44D" w14:textId="77777777" w:rsidR="003E69A5" w:rsidRPr="003F7F6C" w:rsidRDefault="003E69A5" w:rsidP="00D25E0D">
            <w:pPr>
              <w:spacing w:after="0"/>
              <w:rPr>
                <w:rFonts w:eastAsia="Times New Roman" w:cs="Calibri"/>
                <w:color w:val="000000"/>
                <w:sz w:val="18"/>
                <w:szCs w:val="18"/>
                <w:lang w:eastAsia="es-ES"/>
              </w:rPr>
            </w:pPr>
          </w:p>
        </w:tc>
        <w:tc>
          <w:tcPr>
            <w:tcW w:w="2226" w:type="dxa"/>
            <w:gridSpan w:val="2"/>
            <w:tcBorders>
              <w:top w:val="nil"/>
              <w:left w:val="nil"/>
              <w:right w:val="single" w:sz="4" w:space="0" w:color="auto"/>
            </w:tcBorders>
            <w:shd w:val="clear" w:color="auto" w:fill="auto"/>
            <w:vAlign w:val="bottom"/>
          </w:tcPr>
          <w:p w14:paraId="62E4FDA7" w14:textId="77777777" w:rsidR="003E69A5" w:rsidRPr="003F7F6C" w:rsidRDefault="003E69A5" w:rsidP="00D25E0D">
            <w:pPr>
              <w:spacing w:after="0"/>
              <w:rPr>
                <w:rFonts w:eastAsia="Times New Roman" w:cs="Calibri"/>
                <w:color w:val="000000"/>
                <w:sz w:val="18"/>
                <w:szCs w:val="18"/>
                <w:lang w:eastAsia="es-ES"/>
              </w:rPr>
            </w:pPr>
          </w:p>
        </w:tc>
        <w:tc>
          <w:tcPr>
            <w:tcW w:w="1654" w:type="dxa"/>
            <w:tcBorders>
              <w:top w:val="nil"/>
              <w:left w:val="nil"/>
              <w:right w:val="single" w:sz="4" w:space="0" w:color="auto"/>
            </w:tcBorders>
            <w:shd w:val="clear" w:color="auto" w:fill="auto"/>
            <w:vAlign w:val="bottom"/>
          </w:tcPr>
          <w:p w14:paraId="05E3EE27"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08EC7DA2" w14:textId="77777777" w:rsidTr="00D25E0D">
        <w:trPr>
          <w:trHeight w:val="300"/>
        </w:trPr>
        <w:tc>
          <w:tcPr>
            <w:tcW w:w="1776" w:type="dxa"/>
            <w:tcBorders>
              <w:top w:val="nil"/>
              <w:left w:val="single" w:sz="4" w:space="0" w:color="auto"/>
              <w:bottom w:val="single" w:sz="4" w:space="0" w:color="auto"/>
              <w:right w:val="single" w:sz="4" w:space="0" w:color="auto"/>
            </w:tcBorders>
            <w:vAlign w:val="center"/>
          </w:tcPr>
          <w:p w14:paraId="27F1027B" w14:textId="77777777" w:rsidR="003E69A5" w:rsidRPr="003F7F6C" w:rsidRDefault="003E69A5" w:rsidP="00D25E0D">
            <w:pPr>
              <w:spacing w:after="0"/>
              <w:rPr>
                <w:rFonts w:eastAsia="Times New Roman" w:cs="Calibri"/>
                <w:color w:val="000000"/>
                <w:sz w:val="18"/>
                <w:szCs w:val="18"/>
                <w:lang w:eastAsia="es-ES"/>
              </w:rPr>
            </w:pPr>
          </w:p>
        </w:tc>
        <w:tc>
          <w:tcPr>
            <w:tcW w:w="4248" w:type="dxa"/>
            <w:tcBorders>
              <w:top w:val="nil"/>
              <w:left w:val="nil"/>
              <w:bottom w:val="single" w:sz="4" w:space="0" w:color="auto"/>
              <w:right w:val="single" w:sz="4" w:space="0" w:color="auto"/>
            </w:tcBorders>
            <w:shd w:val="clear" w:color="auto" w:fill="auto"/>
            <w:vAlign w:val="bottom"/>
          </w:tcPr>
          <w:p w14:paraId="63F8EE4A"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p>
        </w:tc>
        <w:tc>
          <w:tcPr>
            <w:tcW w:w="709" w:type="dxa"/>
            <w:tcBorders>
              <w:top w:val="nil"/>
              <w:left w:val="nil"/>
              <w:bottom w:val="single" w:sz="4" w:space="0" w:color="auto"/>
              <w:right w:val="single" w:sz="4" w:space="0" w:color="auto"/>
            </w:tcBorders>
            <w:shd w:val="clear" w:color="auto" w:fill="auto"/>
            <w:vAlign w:val="center"/>
          </w:tcPr>
          <w:p w14:paraId="5FDA8345" w14:textId="77777777" w:rsidR="003E69A5" w:rsidRPr="003F7F6C" w:rsidRDefault="003E69A5" w:rsidP="00D25E0D">
            <w:pPr>
              <w:spacing w:after="0"/>
              <w:jc w:val="center"/>
              <w:rPr>
                <w:rFonts w:eastAsia="Times New Roman" w:cs="Calibri"/>
                <w:color w:val="000000"/>
                <w:sz w:val="18"/>
                <w:szCs w:val="18"/>
                <w:lang w:eastAsia="es-ES"/>
              </w:rPr>
            </w:pPr>
          </w:p>
        </w:tc>
        <w:tc>
          <w:tcPr>
            <w:tcW w:w="708" w:type="dxa"/>
            <w:tcBorders>
              <w:top w:val="nil"/>
              <w:left w:val="nil"/>
              <w:bottom w:val="single" w:sz="4" w:space="0" w:color="auto"/>
              <w:right w:val="single" w:sz="4" w:space="0" w:color="auto"/>
            </w:tcBorders>
            <w:shd w:val="clear" w:color="auto" w:fill="auto"/>
            <w:vAlign w:val="center"/>
          </w:tcPr>
          <w:p w14:paraId="5CEAC79B"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40%</w:t>
            </w:r>
          </w:p>
        </w:tc>
        <w:tc>
          <w:tcPr>
            <w:tcW w:w="3119" w:type="dxa"/>
            <w:tcBorders>
              <w:top w:val="nil"/>
              <w:left w:val="nil"/>
              <w:bottom w:val="single" w:sz="4" w:space="0" w:color="auto"/>
              <w:right w:val="single" w:sz="4" w:space="0" w:color="auto"/>
            </w:tcBorders>
            <w:shd w:val="clear" w:color="auto" w:fill="auto"/>
            <w:vAlign w:val="bottom"/>
          </w:tcPr>
          <w:p w14:paraId="35F86179" w14:textId="77777777" w:rsidR="003E69A5" w:rsidRPr="003F7F6C" w:rsidRDefault="003E69A5" w:rsidP="00D25E0D">
            <w:pPr>
              <w:spacing w:after="0"/>
              <w:rPr>
                <w:rFonts w:eastAsia="Times New Roman" w:cs="Calibri"/>
                <w:color w:val="000000"/>
                <w:sz w:val="18"/>
                <w:szCs w:val="18"/>
                <w:lang w:eastAsia="es-ES"/>
              </w:rPr>
            </w:pPr>
          </w:p>
        </w:tc>
        <w:tc>
          <w:tcPr>
            <w:tcW w:w="2226" w:type="dxa"/>
            <w:gridSpan w:val="2"/>
            <w:tcBorders>
              <w:top w:val="nil"/>
              <w:left w:val="nil"/>
              <w:bottom w:val="single" w:sz="4" w:space="0" w:color="auto"/>
              <w:right w:val="single" w:sz="4" w:space="0" w:color="auto"/>
            </w:tcBorders>
            <w:shd w:val="clear" w:color="auto" w:fill="auto"/>
            <w:vAlign w:val="bottom"/>
          </w:tcPr>
          <w:p w14:paraId="14C02278" w14:textId="77777777" w:rsidR="003E69A5" w:rsidRPr="003F7F6C" w:rsidRDefault="003E69A5" w:rsidP="00D25E0D">
            <w:pPr>
              <w:spacing w:after="0"/>
              <w:rPr>
                <w:rFonts w:eastAsia="Times New Roman" w:cs="Calibri"/>
                <w:color w:val="000000"/>
                <w:sz w:val="18"/>
                <w:szCs w:val="18"/>
                <w:lang w:eastAsia="es-ES"/>
              </w:rPr>
            </w:pPr>
          </w:p>
        </w:tc>
        <w:tc>
          <w:tcPr>
            <w:tcW w:w="1654" w:type="dxa"/>
            <w:tcBorders>
              <w:top w:val="nil"/>
              <w:left w:val="nil"/>
              <w:bottom w:val="single" w:sz="4" w:space="0" w:color="auto"/>
              <w:right w:val="single" w:sz="4" w:space="0" w:color="auto"/>
            </w:tcBorders>
            <w:shd w:val="clear" w:color="auto" w:fill="auto"/>
            <w:vAlign w:val="bottom"/>
          </w:tcPr>
          <w:p w14:paraId="29F72252"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50620D49" w14:textId="77777777" w:rsidTr="00D25E0D">
        <w:trPr>
          <w:trHeight w:val="300"/>
        </w:trPr>
        <w:tc>
          <w:tcPr>
            <w:tcW w:w="14440" w:type="dxa"/>
            <w:gridSpan w:val="8"/>
            <w:tcBorders>
              <w:top w:val="single" w:sz="4" w:space="0" w:color="auto"/>
              <w:left w:val="single" w:sz="4" w:space="0" w:color="auto"/>
              <w:bottom w:val="single" w:sz="4" w:space="0" w:color="auto"/>
              <w:right w:val="single" w:sz="4" w:space="0" w:color="auto"/>
            </w:tcBorders>
            <w:shd w:val="clear" w:color="000000" w:fill="D9D9D9"/>
            <w:vAlign w:val="bottom"/>
            <w:hideMark/>
          </w:tcPr>
          <w:p w14:paraId="739C5B28"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 xml:space="preserve">CR 3: Capacities for Strategy, Policy and Legislation Development  </w:t>
            </w:r>
          </w:p>
        </w:tc>
      </w:tr>
      <w:tr w:rsidR="003E69A5" w:rsidRPr="003F7F6C" w14:paraId="34B27328" w14:textId="77777777" w:rsidTr="00D25E0D">
        <w:trPr>
          <w:trHeight w:val="300"/>
        </w:trPr>
        <w:tc>
          <w:tcPr>
            <w:tcW w:w="17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CA477D1"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Indicator 9: Extent of the environmental planning and strategy development process</w:t>
            </w:r>
          </w:p>
        </w:tc>
        <w:tc>
          <w:tcPr>
            <w:tcW w:w="424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C958603"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The environmental planning and strategy</w:t>
            </w:r>
          </w:p>
          <w:p w14:paraId="7F42E8F1"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cs="Calibri"/>
                <w:sz w:val="18"/>
                <w:szCs w:val="18"/>
              </w:rPr>
              <w:t>development process is not coordinated and does not produce adequate environmental plans and strategies</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4EF6D2C"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0</w:t>
            </w:r>
          </w:p>
        </w:tc>
        <w:tc>
          <w:tcPr>
            <w:tcW w:w="70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03C0222"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92AA154"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226"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437BD83A"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54"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122F234"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0ACF04B5" w14:textId="77777777" w:rsidTr="00D25E0D">
        <w:trPr>
          <w:trHeight w:val="300"/>
        </w:trPr>
        <w:tc>
          <w:tcPr>
            <w:tcW w:w="1776" w:type="dxa"/>
            <w:vMerge/>
            <w:tcBorders>
              <w:top w:val="single" w:sz="4" w:space="0" w:color="auto"/>
              <w:left w:val="single" w:sz="4" w:space="0" w:color="auto"/>
              <w:bottom w:val="single" w:sz="4" w:space="0" w:color="auto"/>
              <w:right w:val="single" w:sz="4" w:space="0" w:color="auto"/>
            </w:tcBorders>
            <w:vAlign w:val="center"/>
            <w:hideMark/>
          </w:tcPr>
          <w:p w14:paraId="3CF89D33" w14:textId="77777777" w:rsidR="003E69A5" w:rsidRPr="003F7F6C" w:rsidRDefault="003E69A5" w:rsidP="00D25E0D">
            <w:pPr>
              <w:spacing w:after="0"/>
              <w:rPr>
                <w:rFonts w:eastAsia="Times New Roman" w:cs="Calibri"/>
                <w:color w:val="000000"/>
                <w:sz w:val="18"/>
                <w:szCs w:val="18"/>
                <w:lang w:eastAsia="es-ES"/>
              </w:rPr>
            </w:pPr>
          </w:p>
        </w:tc>
        <w:tc>
          <w:tcPr>
            <w:tcW w:w="424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8B38070"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The environmental planning and strategy</w:t>
            </w:r>
          </w:p>
          <w:p w14:paraId="09530ED3"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development process does produce adequate</w:t>
            </w:r>
          </w:p>
          <w:p w14:paraId="526C68BA"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cs="Calibri"/>
                <w:sz w:val="18"/>
                <w:szCs w:val="18"/>
              </w:rPr>
              <w:t>environmental plans and strategies but there are not implemented/used</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3FA8AA1"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1</w:t>
            </w:r>
          </w:p>
        </w:tc>
        <w:tc>
          <w:tcPr>
            <w:tcW w:w="70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DA4FAE8"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1D3A8DDF"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226"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6A615397"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54"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2D0AECF"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04EE3CA3" w14:textId="77777777" w:rsidTr="00D25E0D">
        <w:trPr>
          <w:trHeight w:val="300"/>
        </w:trPr>
        <w:tc>
          <w:tcPr>
            <w:tcW w:w="1776" w:type="dxa"/>
            <w:vMerge/>
            <w:tcBorders>
              <w:top w:val="single" w:sz="4" w:space="0" w:color="auto"/>
              <w:left w:val="single" w:sz="4" w:space="0" w:color="auto"/>
              <w:bottom w:val="single" w:sz="4" w:space="0" w:color="auto"/>
              <w:right w:val="single" w:sz="4" w:space="0" w:color="auto"/>
            </w:tcBorders>
            <w:vAlign w:val="center"/>
            <w:hideMark/>
          </w:tcPr>
          <w:p w14:paraId="42F44E7F" w14:textId="77777777" w:rsidR="003E69A5" w:rsidRPr="003F7F6C" w:rsidRDefault="003E69A5" w:rsidP="00D25E0D">
            <w:pPr>
              <w:spacing w:after="0"/>
              <w:rPr>
                <w:rFonts w:eastAsia="Times New Roman" w:cs="Calibri"/>
                <w:color w:val="000000"/>
                <w:sz w:val="18"/>
                <w:szCs w:val="18"/>
                <w:lang w:eastAsia="es-ES"/>
              </w:rPr>
            </w:pPr>
          </w:p>
        </w:tc>
        <w:tc>
          <w:tcPr>
            <w:tcW w:w="424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1744790" w14:textId="77777777" w:rsidR="003E69A5" w:rsidRPr="003F7F6C" w:rsidRDefault="003E69A5" w:rsidP="00D25E0D">
            <w:pPr>
              <w:autoSpaceDE w:val="0"/>
              <w:autoSpaceDN w:val="0"/>
              <w:adjustRightInd w:val="0"/>
              <w:spacing w:after="0"/>
              <w:rPr>
                <w:rFonts w:cs="Calibri"/>
                <w:sz w:val="18"/>
                <w:szCs w:val="18"/>
              </w:rPr>
            </w:pPr>
            <w:r w:rsidRPr="003F7F6C">
              <w:rPr>
                <w:rFonts w:cs="Calibri"/>
                <w:sz w:val="18"/>
                <w:szCs w:val="18"/>
              </w:rPr>
              <w:t>Adequate environmental plans and strategies are produced but there are only partially implemented because of funding constraints and/or other problems</w:t>
            </w:r>
          </w:p>
          <w:p w14:paraId="54EA2897"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6241B6C"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p w14:paraId="223CCDA9" w14:textId="77777777" w:rsidR="003E69A5" w:rsidRPr="003F7F6C" w:rsidRDefault="003E69A5" w:rsidP="00D25E0D">
            <w:pPr>
              <w:spacing w:after="0"/>
              <w:rPr>
                <w:rFonts w:eastAsia="Times New Roman" w:cs="Calibri"/>
                <w:color w:val="000000"/>
                <w:sz w:val="18"/>
                <w:szCs w:val="18"/>
                <w:lang w:eastAsia="es-ES"/>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11AA948E"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p w14:paraId="5811BBFD" w14:textId="77777777" w:rsidR="003E69A5" w:rsidRPr="003F7F6C" w:rsidRDefault="003E69A5" w:rsidP="00D25E0D">
            <w:pPr>
              <w:spacing w:after="0"/>
              <w:rPr>
                <w:rFonts w:eastAsia="Times New Roman" w:cs="Calibri"/>
                <w:color w:val="000000"/>
                <w:sz w:val="18"/>
                <w:szCs w:val="18"/>
                <w:lang w:eastAsia="es-ES"/>
              </w:rPr>
            </w:pP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B65BFCA"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There are sector based processes (Native Forests, Glaciers) </w:t>
            </w:r>
          </w:p>
        </w:tc>
        <w:tc>
          <w:tcPr>
            <w:tcW w:w="2226"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497B6AEB"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ELUP will provide a comprehensive framework to set guidelines for implementation of ELUP at national, provincial and local levels.</w:t>
            </w:r>
          </w:p>
        </w:tc>
        <w:tc>
          <w:tcPr>
            <w:tcW w:w="1654"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1EC19E9A"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49B809D3" w14:textId="77777777" w:rsidTr="00D25E0D">
        <w:trPr>
          <w:trHeight w:val="300"/>
        </w:trPr>
        <w:tc>
          <w:tcPr>
            <w:tcW w:w="1776" w:type="dxa"/>
            <w:vMerge/>
            <w:tcBorders>
              <w:top w:val="single" w:sz="4" w:space="0" w:color="auto"/>
              <w:left w:val="single" w:sz="4" w:space="0" w:color="auto"/>
              <w:bottom w:val="single" w:sz="4" w:space="0" w:color="auto"/>
              <w:right w:val="single" w:sz="4" w:space="0" w:color="auto"/>
            </w:tcBorders>
            <w:vAlign w:val="center"/>
            <w:hideMark/>
          </w:tcPr>
          <w:p w14:paraId="4298DFA7" w14:textId="77777777" w:rsidR="003E69A5" w:rsidRPr="003F7F6C" w:rsidRDefault="003E69A5" w:rsidP="00D25E0D">
            <w:pPr>
              <w:spacing w:after="0"/>
              <w:rPr>
                <w:rFonts w:eastAsia="Times New Roman" w:cs="Calibri"/>
                <w:color w:val="000000"/>
                <w:sz w:val="18"/>
                <w:szCs w:val="18"/>
                <w:lang w:eastAsia="es-ES"/>
              </w:rPr>
            </w:pPr>
          </w:p>
        </w:tc>
        <w:tc>
          <w:tcPr>
            <w:tcW w:w="424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7DC8EA79"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The environmental planning and strategy</w:t>
            </w:r>
          </w:p>
          <w:p w14:paraId="1FD817E0"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cs="Calibri"/>
                <w:sz w:val="18"/>
                <w:szCs w:val="18"/>
              </w:rPr>
              <w:t>development process is well coordinated by the lead environmental organizations and produces the required environmental plans and strategies; which are being implemented</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0189FDA"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3</w:t>
            </w:r>
          </w:p>
        </w:tc>
        <w:tc>
          <w:tcPr>
            <w:tcW w:w="70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BB93FDF"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CD40109"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226"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4C38AADC"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54"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4FF85AD"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1674B9EC" w14:textId="77777777" w:rsidTr="00D25E0D">
        <w:trPr>
          <w:trHeight w:val="300"/>
        </w:trPr>
        <w:tc>
          <w:tcPr>
            <w:tcW w:w="17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45DC489"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Indicator 10: Existence of adequate environmental policy and regulatory frameworks</w:t>
            </w:r>
          </w:p>
        </w:tc>
        <w:tc>
          <w:tcPr>
            <w:tcW w:w="424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C49904B"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The environmental policy and regulatory frameworks are insufficient; they do not provide an enabling environment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7D313C86"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0</w:t>
            </w:r>
          </w:p>
        </w:tc>
        <w:tc>
          <w:tcPr>
            <w:tcW w:w="70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4EBD21F"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5E8C967"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226"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0E833B9A"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54"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B924BD9"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7EA64EBE" w14:textId="77777777" w:rsidTr="00D25E0D">
        <w:trPr>
          <w:trHeight w:val="300"/>
        </w:trPr>
        <w:tc>
          <w:tcPr>
            <w:tcW w:w="1776" w:type="dxa"/>
            <w:vMerge/>
            <w:tcBorders>
              <w:top w:val="single" w:sz="4" w:space="0" w:color="auto"/>
              <w:left w:val="single" w:sz="4" w:space="0" w:color="auto"/>
              <w:bottom w:val="single" w:sz="4" w:space="0" w:color="auto"/>
              <w:right w:val="single" w:sz="4" w:space="0" w:color="auto"/>
            </w:tcBorders>
            <w:vAlign w:val="center"/>
            <w:hideMark/>
          </w:tcPr>
          <w:p w14:paraId="170D5067" w14:textId="77777777" w:rsidR="003E69A5" w:rsidRPr="003F7F6C" w:rsidRDefault="003E69A5" w:rsidP="00D25E0D">
            <w:pPr>
              <w:spacing w:after="0"/>
              <w:rPr>
                <w:rFonts w:eastAsia="Times New Roman" w:cs="Calibri"/>
                <w:color w:val="000000"/>
                <w:sz w:val="18"/>
                <w:szCs w:val="18"/>
                <w:lang w:eastAsia="es-ES"/>
              </w:rPr>
            </w:pPr>
          </w:p>
        </w:tc>
        <w:tc>
          <w:tcPr>
            <w:tcW w:w="424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74D245B3"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cs="Calibri"/>
                <w:sz w:val="18"/>
                <w:szCs w:val="18"/>
              </w:rPr>
              <w:t>Some relevant environmental policies and laws exist but few are implemented and enforced</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1C8CC67"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1</w:t>
            </w:r>
          </w:p>
        </w:tc>
        <w:tc>
          <w:tcPr>
            <w:tcW w:w="70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F56664E"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1</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09FA4D7"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There are a few sectoral regulatory frameworks (Native Forests, Glaciers)</w:t>
            </w:r>
          </w:p>
        </w:tc>
        <w:tc>
          <w:tcPr>
            <w:tcW w:w="2226"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4783922A"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Development of instruments, policies, tools for ELUP implementation at national, provincial and municipal levels.</w:t>
            </w:r>
          </w:p>
        </w:tc>
        <w:tc>
          <w:tcPr>
            <w:tcW w:w="1654"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1D8B28BB"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40E34779" w14:textId="77777777" w:rsidTr="00D25E0D">
        <w:trPr>
          <w:trHeight w:val="300"/>
        </w:trPr>
        <w:tc>
          <w:tcPr>
            <w:tcW w:w="1776" w:type="dxa"/>
            <w:vMerge/>
            <w:tcBorders>
              <w:top w:val="single" w:sz="4" w:space="0" w:color="auto"/>
              <w:left w:val="single" w:sz="4" w:space="0" w:color="auto"/>
              <w:bottom w:val="single" w:sz="4" w:space="0" w:color="auto"/>
              <w:right w:val="single" w:sz="4" w:space="0" w:color="auto"/>
            </w:tcBorders>
            <w:vAlign w:val="center"/>
            <w:hideMark/>
          </w:tcPr>
          <w:p w14:paraId="4D27D3CC" w14:textId="77777777" w:rsidR="003E69A5" w:rsidRPr="003F7F6C" w:rsidRDefault="003E69A5" w:rsidP="00D25E0D">
            <w:pPr>
              <w:spacing w:after="0"/>
              <w:rPr>
                <w:rFonts w:eastAsia="Times New Roman" w:cs="Calibri"/>
                <w:color w:val="000000"/>
                <w:sz w:val="18"/>
                <w:szCs w:val="18"/>
                <w:lang w:eastAsia="es-ES"/>
              </w:rPr>
            </w:pPr>
          </w:p>
        </w:tc>
        <w:tc>
          <w:tcPr>
            <w:tcW w:w="4248" w:type="dxa"/>
            <w:tcBorders>
              <w:top w:val="single" w:sz="4" w:space="0" w:color="auto"/>
              <w:left w:val="nil"/>
              <w:bottom w:val="single" w:sz="4" w:space="0" w:color="auto"/>
              <w:right w:val="single" w:sz="4" w:space="0" w:color="auto"/>
            </w:tcBorders>
            <w:shd w:val="clear" w:color="auto" w:fill="auto"/>
            <w:vAlign w:val="bottom"/>
            <w:hideMark/>
          </w:tcPr>
          <w:p w14:paraId="0BF50DDB"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Adequate environmental policy and legislation frameworks exist but there are problems in implementing and enforcing them</w:t>
            </w:r>
          </w:p>
        </w:tc>
        <w:tc>
          <w:tcPr>
            <w:tcW w:w="709" w:type="dxa"/>
            <w:tcBorders>
              <w:top w:val="single" w:sz="4" w:space="0" w:color="auto"/>
              <w:left w:val="nil"/>
              <w:bottom w:val="single" w:sz="4" w:space="0" w:color="auto"/>
              <w:right w:val="single" w:sz="4" w:space="0" w:color="auto"/>
            </w:tcBorders>
            <w:shd w:val="clear" w:color="auto" w:fill="auto"/>
            <w:vAlign w:val="bottom"/>
            <w:hideMark/>
          </w:tcPr>
          <w:p w14:paraId="53214EBE"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c>
          <w:tcPr>
            <w:tcW w:w="708" w:type="dxa"/>
            <w:tcBorders>
              <w:top w:val="single" w:sz="4" w:space="0" w:color="auto"/>
              <w:left w:val="nil"/>
              <w:bottom w:val="single" w:sz="4" w:space="0" w:color="auto"/>
              <w:right w:val="single" w:sz="4" w:space="0" w:color="auto"/>
            </w:tcBorders>
            <w:shd w:val="clear" w:color="auto" w:fill="auto"/>
            <w:vAlign w:val="bottom"/>
            <w:hideMark/>
          </w:tcPr>
          <w:p w14:paraId="3FD6B41A"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3119" w:type="dxa"/>
            <w:tcBorders>
              <w:top w:val="single" w:sz="4" w:space="0" w:color="auto"/>
              <w:left w:val="nil"/>
              <w:bottom w:val="single" w:sz="4" w:space="0" w:color="auto"/>
              <w:right w:val="single" w:sz="4" w:space="0" w:color="auto"/>
            </w:tcBorders>
            <w:shd w:val="clear" w:color="auto" w:fill="auto"/>
            <w:vAlign w:val="bottom"/>
            <w:hideMark/>
          </w:tcPr>
          <w:p w14:paraId="2AC8248F"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226" w:type="dxa"/>
            <w:gridSpan w:val="2"/>
            <w:tcBorders>
              <w:top w:val="single" w:sz="4" w:space="0" w:color="auto"/>
              <w:left w:val="nil"/>
              <w:bottom w:val="single" w:sz="4" w:space="0" w:color="auto"/>
              <w:right w:val="single" w:sz="4" w:space="0" w:color="auto"/>
            </w:tcBorders>
            <w:shd w:val="clear" w:color="auto" w:fill="auto"/>
            <w:vAlign w:val="bottom"/>
            <w:hideMark/>
          </w:tcPr>
          <w:p w14:paraId="5B2F56FE"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54" w:type="dxa"/>
            <w:tcBorders>
              <w:top w:val="single" w:sz="4" w:space="0" w:color="auto"/>
              <w:left w:val="nil"/>
              <w:bottom w:val="single" w:sz="4" w:space="0" w:color="auto"/>
              <w:right w:val="single" w:sz="4" w:space="0" w:color="auto"/>
            </w:tcBorders>
            <w:shd w:val="clear" w:color="auto" w:fill="auto"/>
            <w:vAlign w:val="bottom"/>
            <w:hideMark/>
          </w:tcPr>
          <w:p w14:paraId="42292E55"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40BC8B22" w14:textId="77777777" w:rsidTr="00D25E0D">
        <w:trPr>
          <w:trHeight w:val="300"/>
        </w:trPr>
        <w:tc>
          <w:tcPr>
            <w:tcW w:w="1776" w:type="dxa"/>
            <w:vMerge/>
            <w:tcBorders>
              <w:top w:val="nil"/>
              <w:left w:val="single" w:sz="4" w:space="0" w:color="auto"/>
              <w:bottom w:val="single" w:sz="4" w:space="0" w:color="auto"/>
              <w:right w:val="single" w:sz="4" w:space="0" w:color="auto"/>
            </w:tcBorders>
            <w:vAlign w:val="center"/>
            <w:hideMark/>
          </w:tcPr>
          <w:p w14:paraId="6A39C991" w14:textId="77777777" w:rsidR="003E69A5" w:rsidRPr="003F7F6C" w:rsidRDefault="003E69A5" w:rsidP="00D25E0D">
            <w:pPr>
              <w:spacing w:after="0"/>
              <w:rPr>
                <w:rFonts w:eastAsia="Times New Roman" w:cs="Calibri"/>
                <w:color w:val="000000"/>
                <w:sz w:val="18"/>
                <w:szCs w:val="18"/>
                <w:lang w:eastAsia="es-ES"/>
              </w:rPr>
            </w:pPr>
          </w:p>
        </w:tc>
        <w:tc>
          <w:tcPr>
            <w:tcW w:w="4248" w:type="dxa"/>
            <w:tcBorders>
              <w:top w:val="nil"/>
              <w:left w:val="nil"/>
              <w:bottom w:val="single" w:sz="4" w:space="0" w:color="auto"/>
              <w:right w:val="single" w:sz="4" w:space="0" w:color="auto"/>
            </w:tcBorders>
            <w:shd w:val="clear" w:color="auto" w:fill="auto"/>
            <w:vAlign w:val="bottom"/>
            <w:hideMark/>
          </w:tcPr>
          <w:p w14:paraId="45F6ACFF"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Adequate policy and legislation frameworks are implemented and provide an adequate enabling environment; a compliance and enforcement</w:t>
            </w:r>
          </w:p>
          <w:p w14:paraId="23578D01" w14:textId="77777777" w:rsidR="003E69A5" w:rsidRPr="003F7F6C" w:rsidRDefault="003E69A5" w:rsidP="00D25E0D">
            <w:pPr>
              <w:spacing w:after="0"/>
              <w:rPr>
                <w:rFonts w:eastAsia="Times New Roman" w:cs="Calibri"/>
                <w:color w:val="000000"/>
                <w:sz w:val="18"/>
                <w:szCs w:val="18"/>
                <w:lang w:eastAsia="es-ES"/>
              </w:rPr>
            </w:pPr>
            <w:r w:rsidRPr="003F7F6C">
              <w:rPr>
                <w:rFonts w:cs="Calibri"/>
                <w:sz w:val="18"/>
                <w:szCs w:val="18"/>
              </w:rPr>
              <w:t>mechanism is established and functions</w:t>
            </w:r>
          </w:p>
        </w:tc>
        <w:tc>
          <w:tcPr>
            <w:tcW w:w="709" w:type="dxa"/>
            <w:tcBorders>
              <w:top w:val="nil"/>
              <w:left w:val="nil"/>
              <w:bottom w:val="single" w:sz="4" w:space="0" w:color="auto"/>
              <w:right w:val="single" w:sz="4" w:space="0" w:color="auto"/>
            </w:tcBorders>
            <w:shd w:val="clear" w:color="auto" w:fill="auto"/>
            <w:vAlign w:val="bottom"/>
            <w:hideMark/>
          </w:tcPr>
          <w:p w14:paraId="70C91516"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3</w:t>
            </w:r>
          </w:p>
        </w:tc>
        <w:tc>
          <w:tcPr>
            <w:tcW w:w="708" w:type="dxa"/>
            <w:tcBorders>
              <w:top w:val="nil"/>
              <w:left w:val="nil"/>
              <w:bottom w:val="single" w:sz="4" w:space="0" w:color="auto"/>
              <w:right w:val="single" w:sz="4" w:space="0" w:color="auto"/>
            </w:tcBorders>
            <w:shd w:val="clear" w:color="auto" w:fill="auto"/>
            <w:vAlign w:val="bottom"/>
            <w:hideMark/>
          </w:tcPr>
          <w:p w14:paraId="6D3ACFE5"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3119" w:type="dxa"/>
            <w:tcBorders>
              <w:top w:val="nil"/>
              <w:left w:val="nil"/>
              <w:bottom w:val="single" w:sz="4" w:space="0" w:color="auto"/>
              <w:right w:val="single" w:sz="4" w:space="0" w:color="auto"/>
            </w:tcBorders>
            <w:shd w:val="clear" w:color="auto" w:fill="auto"/>
            <w:vAlign w:val="bottom"/>
            <w:hideMark/>
          </w:tcPr>
          <w:p w14:paraId="04467B68"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226" w:type="dxa"/>
            <w:gridSpan w:val="2"/>
            <w:tcBorders>
              <w:top w:val="nil"/>
              <w:left w:val="nil"/>
              <w:bottom w:val="single" w:sz="4" w:space="0" w:color="auto"/>
              <w:right w:val="single" w:sz="4" w:space="0" w:color="auto"/>
            </w:tcBorders>
            <w:shd w:val="clear" w:color="auto" w:fill="auto"/>
            <w:vAlign w:val="bottom"/>
            <w:hideMark/>
          </w:tcPr>
          <w:p w14:paraId="1EF8F7F6"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54" w:type="dxa"/>
            <w:tcBorders>
              <w:top w:val="nil"/>
              <w:left w:val="nil"/>
              <w:bottom w:val="single" w:sz="4" w:space="0" w:color="auto"/>
              <w:right w:val="single" w:sz="4" w:space="0" w:color="auto"/>
            </w:tcBorders>
            <w:shd w:val="clear" w:color="auto" w:fill="auto"/>
            <w:vAlign w:val="bottom"/>
            <w:hideMark/>
          </w:tcPr>
          <w:p w14:paraId="504D4E2A"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5CCA5FE1" w14:textId="77777777" w:rsidTr="00D25E0D">
        <w:trPr>
          <w:trHeight w:val="300"/>
        </w:trPr>
        <w:tc>
          <w:tcPr>
            <w:tcW w:w="17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C326415"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Indicator 11: Adequacy of the environmental information available for decision-making</w:t>
            </w:r>
          </w:p>
        </w:tc>
        <w:tc>
          <w:tcPr>
            <w:tcW w:w="424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4362D1B"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The availability of environmental information for decision-making is lacking</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D6D367B"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0</w:t>
            </w:r>
          </w:p>
        </w:tc>
        <w:tc>
          <w:tcPr>
            <w:tcW w:w="70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1CFE613"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FBA3521"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226"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6594FEBD"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54"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1FFD8B01"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62204C81" w14:textId="77777777" w:rsidTr="00D25E0D">
        <w:trPr>
          <w:trHeight w:val="300"/>
        </w:trPr>
        <w:tc>
          <w:tcPr>
            <w:tcW w:w="1776" w:type="dxa"/>
            <w:vMerge/>
            <w:tcBorders>
              <w:top w:val="single" w:sz="4" w:space="0" w:color="auto"/>
              <w:left w:val="single" w:sz="4" w:space="0" w:color="auto"/>
              <w:bottom w:val="single" w:sz="4" w:space="0" w:color="auto"/>
              <w:right w:val="single" w:sz="4" w:space="0" w:color="auto"/>
            </w:tcBorders>
            <w:vAlign w:val="center"/>
            <w:hideMark/>
          </w:tcPr>
          <w:p w14:paraId="5ACD359F" w14:textId="77777777" w:rsidR="003E69A5" w:rsidRPr="003F7F6C" w:rsidRDefault="003E69A5" w:rsidP="00D25E0D">
            <w:pPr>
              <w:spacing w:after="0"/>
              <w:rPr>
                <w:rFonts w:eastAsia="Times New Roman" w:cs="Calibri"/>
                <w:color w:val="000000"/>
                <w:sz w:val="18"/>
                <w:szCs w:val="18"/>
                <w:lang w:eastAsia="es-ES"/>
              </w:rPr>
            </w:pPr>
          </w:p>
        </w:tc>
        <w:tc>
          <w:tcPr>
            <w:tcW w:w="424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D8EEA68"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Some environmental information exists but it is not sufficient to support environmental decision-making processes</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EC362DC"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1</w:t>
            </w:r>
          </w:p>
        </w:tc>
        <w:tc>
          <w:tcPr>
            <w:tcW w:w="70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8B46BE9"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1</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C9CA940"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There are initiatives that need to be strengthened</w:t>
            </w:r>
          </w:p>
        </w:tc>
        <w:tc>
          <w:tcPr>
            <w:tcW w:w="2226"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5115F3C3"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Definition of criteria to determine relevance of information in accordance with the proposed national level strategy</w:t>
            </w:r>
          </w:p>
        </w:tc>
        <w:tc>
          <w:tcPr>
            <w:tcW w:w="1654"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354EE3"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4D132C52" w14:textId="77777777" w:rsidTr="00D25E0D">
        <w:trPr>
          <w:trHeight w:val="300"/>
        </w:trPr>
        <w:tc>
          <w:tcPr>
            <w:tcW w:w="1776" w:type="dxa"/>
            <w:vMerge/>
            <w:tcBorders>
              <w:top w:val="single" w:sz="4" w:space="0" w:color="auto"/>
              <w:left w:val="single" w:sz="4" w:space="0" w:color="auto"/>
              <w:bottom w:val="single" w:sz="4" w:space="0" w:color="auto"/>
              <w:right w:val="single" w:sz="4" w:space="0" w:color="auto"/>
            </w:tcBorders>
            <w:vAlign w:val="center"/>
            <w:hideMark/>
          </w:tcPr>
          <w:p w14:paraId="0C23DC3D" w14:textId="77777777" w:rsidR="003E69A5" w:rsidRPr="003F7F6C" w:rsidRDefault="003E69A5" w:rsidP="00D25E0D">
            <w:pPr>
              <w:spacing w:after="0"/>
              <w:rPr>
                <w:rFonts w:eastAsia="Times New Roman" w:cs="Calibri"/>
                <w:color w:val="000000"/>
                <w:sz w:val="18"/>
                <w:szCs w:val="18"/>
                <w:lang w:eastAsia="es-ES"/>
              </w:rPr>
            </w:pPr>
          </w:p>
        </w:tc>
        <w:tc>
          <w:tcPr>
            <w:tcW w:w="424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6C4CECD"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Relevant environmental information is made available to environmental decision-makers but the process to update this information is not functioning properly</w:t>
            </w:r>
          </w:p>
          <w:p w14:paraId="573E629E"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F5A2091"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FA01400"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B2BF5C2"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226"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307FB7F8"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54"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EC16A2E"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400E3AAB" w14:textId="77777777" w:rsidTr="00D25E0D">
        <w:trPr>
          <w:trHeight w:val="300"/>
        </w:trPr>
        <w:tc>
          <w:tcPr>
            <w:tcW w:w="1776" w:type="dxa"/>
            <w:vMerge/>
            <w:tcBorders>
              <w:top w:val="single" w:sz="4" w:space="0" w:color="auto"/>
              <w:left w:val="single" w:sz="4" w:space="0" w:color="auto"/>
              <w:bottom w:val="single" w:sz="4" w:space="0" w:color="auto"/>
              <w:right w:val="single" w:sz="4" w:space="0" w:color="auto"/>
            </w:tcBorders>
            <w:vAlign w:val="center"/>
            <w:hideMark/>
          </w:tcPr>
          <w:p w14:paraId="739815CF" w14:textId="77777777" w:rsidR="003E69A5" w:rsidRPr="003F7F6C" w:rsidRDefault="003E69A5" w:rsidP="00D25E0D">
            <w:pPr>
              <w:spacing w:after="0"/>
              <w:rPr>
                <w:rFonts w:eastAsia="Times New Roman" w:cs="Calibri"/>
                <w:color w:val="000000"/>
                <w:sz w:val="18"/>
                <w:szCs w:val="18"/>
                <w:lang w:eastAsia="es-ES"/>
              </w:rPr>
            </w:pPr>
          </w:p>
        </w:tc>
        <w:tc>
          <w:tcPr>
            <w:tcW w:w="424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C89A61A"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Political and administrative decision-makers obtain and use updated environmental information to make environmental decisions</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7B60FAF"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3</w:t>
            </w:r>
          </w:p>
        </w:tc>
        <w:tc>
          <w:tcPr>
            <w:tcW w:w="70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E84770D"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1AD81CB2"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226"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6FD18C83"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54"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508721A"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37BFD757" w14:textId="77777777" w:rsidTr="00D25E0D">
        <w:trPr>
          <w:trHeight w:val="275"/>
        </w:trPr>
        <w:tc>
          <w:tcPr>
            <w:tcW w:w="1776" w:type="dxa"/>
            <w:vMerge w:val="restart"/>
            <w:tcBorders>
              <w:top w:val="single" w:sz="4" w:space="0" w:color="auto"/>
              <w:left w:val="single" w:sz="4" w:space="0" w:color="auto"/>
              <w:bottom w:val="single" w:sz="4" w:space="0" w:color="auto"/>
              <w:right w:val="single" w:sz="4" w:space="0" w:color="auto"/>
            </w:tcBorders>
            <w:vAlign w:val="center"/>
          </w:tcPr>
          <w:p w14:paraId="7CED892F"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Scoring CR 3</w:t>
            </w:r>
          </w:p>
        </w:tc>
        <w:tc>
          <w:tcPr>
            <w:tcW w:w="424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FB4D2D3" w14:textId="77777777" w:rsidR="003E69A5" w:rsidRPr="003F7F6C" w:rsidRDefault="003E69A5" w:rsidP="00D25E0D">
            <w:pPr>
              <w:autoSpaceDE w:val="0"/>
              <w:autoSpaceDN w:val="0"/>
              <w:adjustRightInd w:val="0"/>
              <w:spacing w:after="0"/>
              <w:rPr>
                <w:rFonts w:cs="Calibri"/>
                <w:sz w:val="18"/>
                <w:szCs w:val="18"/>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1708C125"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9</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45E66FC6"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4</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bottom"/>
          </w:tcPr>
          <w:p w14:paraId="345AD5C6" w14:textId="77777777" w:rsidR="003E69A5" w:rsidRPr="003F7F6C" w:rsidRDefault="003E69A5" w:rsidP="00D25E0D">
            <w:pPr>
              <w:spacing w:after="0"/>
              <w:rPr>
                <w:rFonts w:eastAsia="Times New Roman" w:cs="Calibri"/>
                <w:color w:val="000000"/>
                <w:sz w:val="18"/>
                <w:szCs w:val="18"/>
                <w:lang w:eastAsia="es-ES"/>
              </w:rPr>
            </w:pPr>
          </w:p>
        </w:tc>
        <w:tc>
          <w:tcPr>
            <w:tcW w:w="2226"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1BC7D46A" w14:textId="77777777" w:rsidR="003E69A5" w:rsidRPr="003F7F6C" w:rsidRDefault="003E69A5" w:rsidP="00D25E0D">
            <w:pPr>
              <w:spacing w:after="0"/>
              <w:rPr>
                <w:rFonts w:eastAsia="Times New Roman" w:cs="Calibri"/>
                <w:color w:val="000000"/>
                <w:sz w:val="18"/>
                <w:szCs w:val="18"/>
                <w:lang w:eastAsia="es-ES"/>
              </w:rPr>
            </w:pPr>
          </w:p>
        </w:tc>
        <w:tc>
          <w:tcPr>
            <w:tcW w:w="1654" w:type="dxa"/>
            <w:tcBorders>
              <w:top w:val="single" w:sz="4" w:space="0" w:color="auto"/>
              <w:left w:val="single" w:sz="4" w:space="0" w:color="auto"/>
              <w:bottom w:val="single" w:sz="4" w:space="0" w:color="auto"/>
              <w:right w:val="single" w:sz="4" w:space="0" w:color="auto"/>
            </w:tcBorders>
            <w:shd w:val="clear" w:color="auto" w:fill="auto"/>
            <w:vAlign w:val="bottom"/>
          </w:tcPr>
          <w:p w14:paraId="5C2CA4EC"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558781DF" w14:textId="77777777" w:rsidTr="00D25E0D">
        <w:trPr>
          <w:trHeight w:val="279"/>
        </w:trPr>
        <w:tc>
          <w:tcPr>
            <w:tcW w:w="1776" w:type="dxa"/>
            <w:vMerge/>
            <w:tcBorders>
              <w:top w:val="single" w:sz="4" w:space="0" w:color="auto"/>
              <w:left w:val="single" w:sz="4" w:space="0" w:color="auto"/>
              <w:bottom w:val="single" w:sz="4" w:space="0" w:color="auto"/>
              <w:right w:val="single" w:sz="4" w:space="0" w:color="auto"/>
            </w:tcBorders>
            <w:vAlign w:val="center"/>
          </w:tcPr>
          <w:p w14:paraId="55B4E3C5" w14:textId="77777777" w:rsidR="003E69A5" w:rsidRPr="003F7F6C" w:rsidRDefault="003E69A5" w:rsidP="00D25E0D">
            <w:pPr>
              <w:spacing w:after="0"/>
              <w:jc w:val="center"/>
              <w:rPr>
                <w:rFonts w:eastAsia="Times New Roman" w:cs="Calibri"/>
                <w:color w:val="000000"/>
                <w:sz w:val="18"/>
                <w:szCs w:val="18"/>
                <w:lang w:eastAsia="es-ES"/>
              </w:rPr>
            </w:pPr>
          </w:p>
        </w:tc>
        <w:tc>
          <w:tcPr>
            <w:tcW w:w="4248" w:type="dxa"/>
            <w:vMerge/>
            <w:tcBorders>
              <w:top w:val="single" w:sz="4" w:space="0" w:color="auto"/>
              <w:left w:val="nil"/>
              <w:bottom w:val="single" w:sz="4" w:space="0" w:color="auto"/>
              <w:right w:val="single" w:sz="4" w:space="0" w:color="auto"/>
            </w:tcBorders>
            <w:shd w:val="clear" w:color="auto" w:fill="auto"/>
            <w:vAlign w:val="center"/>
          </w:tcPr>
          <w:p w14:paraId="1792DB21" w14:textId="77777777" w:rsidR="003E69A5" w:rsidRPr="003F7F6C" w:rsidRDefault="003E69A5" w:rsidP="00D25E0D">
            <w:pPr>
              <w:autoSpaceDE w:val="0"/>
              <w:autoSpaceDN w:val="0"/>
              <w:adjustRightInd w:val="0"/>
              <w:spacing w:after="0"/>
              <w:rPr>
                <w:rFonts w:cs="Calibri"/>
                <w:sz w:val="18"/>
                <w:szCs w:val="18"/>
              </w:rPr>
            </w:pPr>
          </w:p>
        </w:tc>
        <w:tc>
          <w:tcPr>
            <w:tcW w:w="709" w:type="dxa"/>
            <w:tcBorders>
              <w:top w:val="single" w:sz="4" w:space="0" w:color="auto"/>
              <w:left w:val="nil"/>
              <w:bottom w:val="single" w:sz="4" w:space="0" w:color="auto"/>
              <w:right w:val="single" w:sz="4" w:space="0" w:color="auto"/>
            </w:tcBorders>
            <w:shd w:val="clear" w:color="auto" w:fill="auto"/>
            <w:vAlign w:val="center"/>
          </w:tcPr>
          <w:p w14:paraId="77ED3D4D" w14:textId="77777777" w:rsidR="003E69A5" w:rsidRPr="003F7F6C" w:rsidRDefault="003E69A5" w:rsidP="00D25E0D">
            <w:pPr>
              <w:spacing w:after="0"/>
              <w:jc w:val="center"/>
              <w:rPr>
                <w:rFonts w:eastAsia="Times New Roman" w:cs="Calibri"/>
                <w:color w:val="000000"/>
                <w:sz w:val="18"/>
                <w:szCs w:val="18"/>
                <w:lang w:eastAsia="es-ES"/>
              </w:rPr>
            </w:pPr>
          </w:p>
        </w:tc>
        <w:tc>
          <w:tcPr>
            <w:tcW w:w="708" w:type="dxa"/>
            <w:tcBorders>
              <w:top w:val="single" w:sz="4" w:space="0" w:color="auto"/>
              <w:left w:val="nil"/>
              <w:bottom w:val="single" w:sz="4" w:space="0" w:color="auto"/>
              <w:right w:val="single" w:sz="4" w:space="0" w:color="auto"/>
            </w:tcBorders>
            <w:shd w:val="clear" w:color="auto" w:fill="auto"/>
            <w:vAlign w:val="center"/>
          </w:tcPr>
          <w:p w14:paraId="6355BBA4"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44,4%</w:t>
            </w:r>
          </w:p>
        </w:tc>
        <w:tc>
          <w:tcPr>
            <w:tcW w:w="3119" w:type="dxa"/>
            <w:tcBorders>
              <w:top w:val="single" w:sz="4" w:space="0" w:color="auto"/>
              <w:left w:val="nil"/>
              <w:bottom w:val="single" w:sz="4" w:space="0" w:color="auto"/>
              <w:right w:val="single" w:sz="4" w:space="0" w:color="auto"/>
            </w:tcBorders>
            <w:shd w:val="clear" w:color="auto" w:fill="auto"/>
            <w:vAlign w:val="bottom"/>
          </w:tcPr>
          <w:p w14:paraId="6B0C6867" w14:textId="77777777" w:rsidR="003E69A5" w:rsidRPr="003F7F6C" w:rsidRDefault="003E69A5" w:rsidP="00D25E0D">
            <w:pPr>
              <w:spacing w:after="0"/>
              <w:rPr>
                <w:rFonts w:eastAsia="Times New Roman" w:cs="Calibri"/>
                <w:color w:val="000000"/>
                <w:sz w:val="18"/>
                <w:szCs w:val="18"/>
                <w:lang w:eastAsia="es-ES"/>
              </w:rPr>
            </w:pPr>
          </w:p>
        </w:tc>
        <w:tc>
          <w:tcPr>
            <w:tcW w:w="2226" w:type="dxa"/>
            <w:gridSpan w:val="2"/>
            <w:tcBorders>
              <w:top w:val="single" w:sz="4" w:space="0" w:color="auto"/>
              <w:left w:val="nil"/>
              <w:bottom w:val="single" w:sz="4" w:space="0" w:color="auto"/>
              <w:right w:val="single" w:sz="4" w:space="0" w:color="auto"/>
            </w:tcBorders>
            <w:shd w:val="clear" w:color="auto" w:fill="auto"/>
            <w:vAlign w:val="bottom"/>
          </w:tcPr>
          <w:p w14:paraId="560E31DA" w14:textId="77777777" w:rsidR="003E69A5" w:rsidRPr="003F7F6C" w:rsidRDefault="003E69A5" w:rsidP="00D25E0D">
            <w:pPr>
              <w:spacing w:after="0"/>
              <w:rPr>
                <w:rFonts w:eastAsia="Times New Roman" w:cs="Calibri"/>
                <w:color w:val="000000"/>
                <w:sz w:val="18"/>
                <w:szCs w:val="18"/>
                <w:lang w:eastAsia="es-ES"/>
              </w:rPr>
            </w:pPr>
          </w:p>
        </w:tc>
        <w:tc>
          <w:tcPr>
            <w:tcW w:w="1654" w:type="dxa"/>
            <w:tcBorders>
              <w:top w:val="single" w:sz="4" w:space="0" w:color="auto"/>
              <w:left w:val="nil"/>
              <w:bottom w:val="single" w:sz="4" w:space="0" w:color="auto"/>
              <w:right w:val="single" w:sz="4" w:space="0" w:color="auto"/>
            </w:tcBorders>
            <w:shd w:val="clear" w:color="auto" w:fill="auto"/>
            <w:vAlign w:val="bottom"/>
          </w:tcPr>
          <w:p w14:paraId="799B4A8A"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4DEE493D" w14:textId="77777777" w:rsidTr="00D25E0D">
        <w:trPr>
          <w:trHeight w:val="300"/>
        </w:trPr>
        <w:tc>
          <w:tcPr>
            <w:tcW w:w="14440" w:type="dxa"/>
            <w:gridSpan w:val="8"/>
            <w:tcBorders>
              <w:top w:val="single" w:sz="4" w:space="0" w:color="auto"/>
              <w:left w:val="single" w:sz="4" w:space="0" w:color="auto"/>
              <w:bottom w:val="single" w:sz="4" w:space="0" w:color="auto"/>
              <w:right w:val="single" w:sz="4" w:space="0" w:color="auto"/>
            </w:tcBorders>
            <w:shd w:val="clear" w:color="000000" w:fill="D9D9D9"/>
            <w:vAlign w:val="bottom"/>
            <w:hideMark/>
          </w:tcPr>
          <w:p w14:paraId="4A8E3E06"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CR 4: Capacities for Management and Implementation</w:t>
            </w:r>
          </w:p>
        </w:tc>
      </w:tr>
      <w:tr w:rsidR="003E69A5" w:rsidRPr="003F7F6C" w14:paraId="44C19B4F" w14:textId="77777777" w:rsidTr="00D25E0D">
        <w:trPr>
          <w:trHeight w:val="300"/>
        </w:trPr>
        <w:tc>
          <w:tcPr>
            <w:tcW w:w="17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97C99ED"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 xml:space="preserve">Indicator 12: Existence and mobilization of resources </w:t>
            </w:r>
          </w:p>
        </w:tc>
        <w:tc>
          <w:tcPr>
            <w:tcW w:w="4248" w:type="dxa"/>
            <w:tcBorders>
              <w:top w:val="single" w:sz="4" w:space="0" w:color="auto"/>
              <w:left w:val="nil"/>
              <w:bottom w:val="single" w:sz="4" w:space="0" w:color="auto"/>
              <w:right w:val="single" w:sz="4" w:space="0" w:color="auto"/>
            </w:tcBorders>
            <w:shd w:val="clear" w:color="auto" w:fill="auto"/>
            <w:vAlign w:val="bottom"/>
            <w:hideMark/>
          </w:tcPr>
          <w:p w14:paraId="4C2A0119"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The environmental organizations don’t have adequate resources for their programmes and projects and the requirements have not been assessed</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0278FA6C"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0</w:t>
            </w:r>
          </w:p>
        </w:tc>
        <w:tc>
          <w:tcPr>
            <w:tcW w:w="708" w:type="dxa"/>
            <w:tcBorders>
              <w:top w:val="single" w:sz="4" w:space="0" w:color="auto"/>
              <w:left w:val="nil"/>
              <w:bottom w:val="single" w:sz="4" w:space="0" w:color="auto"/>
              <w:right w:val="single" w:sz="4" w:space="0" w:color="auto"/>
            </w:tcBorders>
            <w:shd w:val="clear" w:color="auto" w:fill="auto"/>
            <w:vAlign w:val="bottom"/>
            <w:hideMark/>
          </w:tcPr>
          <w:p w14:paraId="762BA8A5"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3119" w:type="dxa"/>
            <w:tcBorders>
              <w:top w:val="single" w:sz="4" w:space="0" w:color="auto"/>
              <w:left w:val="nil"/>
              <w:bottom w:val="single" w:sz="4" w:space="0" w:color="auto"/>
              <w:right w:val="single" w:sz="4" w:space="0" w:color="auto"/>
            </w:tcBorders>
            <w:shd w:val="clear" w:color="auto" w:fill="auto"/>
            <w:vAlign w:val="bottom"/>
            <w:hideMark/>
          </w:tcPr>
          <w:p w14:paraId="03F1B09E"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163" w:type="dxa"/>
            <w:tcBorders>
              <w:top w:val="single" w:sz="4" w:space="0" w:color="auto"/>
              <w:left w:val="nil"/>
              <w:bottom w:val="single" w:sz="4" w:space="0" w:color="auto"/>
              <w:right w:val="single" w:sz="4" w:space="0" w:color="auto"/>
            </w:tcBorders>
            <w:shd w:val="clear" w:color="auto" w:fill="auto"/>
            <w:vAlign w:val="bottom"/>
            <w:hideMark/>
          </w:tcPr>
          <w:p w14:paraId="6A114C60"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717" w:type="dxa"/>
            <w:gridSpan w:val="2"/>
            <w:tcBorders>
              <w:top w:val="single" w:sz="4" w:space="0" w:color="auto"/>
              <w:left w:val="nil"/>
              <w:bottom w:val="single" w:sz="4" w:space="0" w:color="auto"/>
              <w:right w:val="single" w:sz="4" w:space="0" w:color="auto"/>
            </w:tcBorders>
            <w:shd w:val="clear" w:color="auto" w:fill="auto"/>
            <w:vAlign w:val="bottom"/>
            <w:hideMark/>
          </w:tcPr>
          <w:p w14:paraId="34ABFACF"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42793A58" w14:textId="77777777" w:rsidTr="00D25E0D">
        <w:trPr>
          <w:trHeight w:val="300"/>
        </w:trPr>
        <w:tc>
          <w:tcPr>
            <w:tcW w:w="1776" w:type="dxa"/>
            <w:vMerge/>
            <w:tcBorders>
              <w:top w:val="single" w:sz="4" w:space="0" w:color="auto"/>
              <w:left w:val="single" w:sz="4" w:space="0" w:color="auto"/>
              <w:bottom w:val="single" w:sz="4" w:space="0" w:color="auto"/>
              <w:right w:val="single" w:sz="4" w:space="0" w:color="auto"/>
            </w:tcBorders>
            <w:vAlign w:val="center"/>
            <w:hideMark/>
          </w:tcPr>
          <w:p w14:paraId="527003CF" w14:textId="77777777" w:rsidR="003E69A5" w:rsidRPr="003F7F6C" w:rsidRDefault="003E69A5" w:rsidP="00D25E0D">
            <w:pPr>
              <w:spacing w:after="0"/>
              <w:rPr>
                <w:rFonts w:eastAsia="Times New Roman" w:cs="Calibri"/>
                <w:color w:val="000000"/>
                <w:sz w:val="18"/>
                <w:szCs w:val="18"/>
                <w:lang w:eastAsia="es-ES"/>
              </w:rPr>
            </w:pPr>
          </w:p>
        </w:tc>
        <w:tc>
          <w:tcPr>
            <w:tcW w:w="4248" w:type="dxa"/>
            <w:tcBorders>
              <w:top w:val="single" w:sz="4" w:space="0" w:color="auto"/>
              <w:left w:val="nil"/>
              <w:bottom w:val="single" w:sz="4" w:space="0" w:color="auto"/>
              <w:right w:val="single" w:sz="4" w:space="0" w:color="auto"/>
            </w:tcBorders>
            <w:shd w:val="clear" w:color="auto" w:fill="auto"/>
            <w:vAlign w:val="bottom"/>
            <w:hideMark/>
          </w:tcPr>
          <w:p w14:paraId="2E4EFB6F"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The resource requirements are known but are not being addressed</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2710A5FF"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1</w:t>
            </w:r>
          </w:p>
        </w:tc>
        <w:tc>
          <w:tcPr>
            <w:tcW w:w="708" w:type="dxa"/>
            <w:tcBorders>
              <w:top w:val="single" w:sz="4" w:space="0" w:color="auto"/>
              <w:left w:val="nil"/>
              <w:bottom w:val="single" w:sz="4" w:space="0" w:color="auto"/>
              <w:right w:val="single" w:sz="4" w:space="0" w:color="auto"/>
            </w:tcBorders>
            <w:shd w:val="clear" w:color="auto" w:fill="auto"/>
            <w:vAlign w:val="bottom"/>
            <w:hideMark/>
          </w:tcPr>
          <w:p w14:paraId="44BCE4DA"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3119" w:type="dxa"/>
            <w:tcBorders>
              <w:top w:val="single" w:sz="4" w:space="0" w:color="auto"/>
              <w:left w:val="nil"/>
              <w:bottom w:val="single" w:sz="4" w:space="0" w:color="auto"/>
              <w:right w:val="single" w:sz="4" w:space="0" w:color="auto"/>
            </w:tcBorders>
            <w:shd w:val="clear" w:color="auto" w:fill="auto"/>
            <w:vAlign w:val="bottom"/>
            <w:hideMark/>
          </w:tcPr>
          <w:p w14:paraId="1DA46866"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163" w:type="dxa"/>
            <w:tcBorders>
              <w:top w:val="single" w:sz="4" w:space="0" w:color="auto"/>
              <w:left w:val="nil"/>
              <w:bottom w:val="single" w:sz="4" w:space="0" w:color="auto"/>
              <w:right w:val="single" w:sz="4" w:space="0" w:color="auto"/>
            </w:tcBorders>
            <w:shd w:val="clear" w:color="auto" w:fill="auto"/>
            <w:vAlign w:val="bottom"/>
            <w:hideMark/>
          </w:tcPr>
          <w:p w14:paraId="4745C56E"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717" w:type="dxa"/>
            <w:gridSpan w:val="2"/>
            <w:tcBorders>
              <w:top w:val="single" w:sz="4" w:space="0" w:color="auto"/>
              <w:left w:val="nil"/>
              <w:bottom w:val="single" w:sz="4" w:space="0" w:color="auto"/>
              <w:right w:val="single" w:sz="4" w:space="0" w:color="auto"/>
            </w:tcBorders>
            <w:shd w:val="clear" w:color="auto" w:fill="auto"/>
            <w:vAlign w:val="bottom"/>
            <w:hideMark/>
          </w:tcPr>
          <w:p w14:paraId="5AB3E586"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10F62AB2" w14:textId="77777777" w:rsidTr="00D25E0D">
        <w:trPr>
          <w:trHeight w:val="300"/>
        </w:trPr>
        <w:tc>
          <w:tcPr>
            <w:tcW w:w="1776" w:type="dxa"/>
            <w:vMerge/>
            <w:tcBorders>
              <w:top w:val="single" w:sz="4" w:space="0" w:color="auto"/>
              <w:left w:val="single" w:sz="4" w:space="0" w:color="auto"/>
              <w:bottom w:val="single" w:sz="4" w:space="0" w:color="auto"/>
              <w:right w:val="single" w:sz="4" w:space="0" w:color="auto"/>
            </w:tcBorders>
            <w:vAlign w:val="center"/>
            <w:hideMark/>
          </w:tcPr>
          <w:p w14:paraId="3FC014B1" w14:textId="77777777" w:rsidR="003E69A5" w:rsidRPr="003F7F6C" w:rsidRDefault="003E69A5" w:rsidP="00D25E0D">
            <w:pPr>
              <w:spacing w:after="0"/>
              <w:rPr>
                <w:rFonts w:eastAsia="Times New Roman" w:cs="Calibri"/>
                <w:color w:val="000000"/>
                <w:sz w:val="18"/>
                <w:szCs w:val="18"/>
                <w:lang w:eastAsia="es-ES"/>
              </w:rPr>
            </w:pPr>
          </w:p>
        </w:tc>
        <w:tc>
          <w:tcPr>
            <w:tcW w:w="4248" w:type="dxa"/>
            <w:tcBorders>
              <w:top w:val="single" w:sz="4" w:space="0" w:color="auto"/>
              <w:left w:val="nil"/>
              <w:bottom w:val="single" w:sz="4" w:space="0" w:color="auto"/>
              <w:right w:val="single" w:sz="4" w:space="0" w:color="auto"/>
            </w:tcBorders>
            <w:shd w:val="clear" w:color="auto" w:fill="auto"/>
            <w:vAlign w:val="bottom"/>
            <w:hideMark/>
          </w:tcPr>
          <w:p w14:paraId="46E69228"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The funding sources for these resource requirements are partially identified and the resource requirements are partially addressed</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1681E9CB"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2</w:t>
            </w:r>
          </w:p>
        </w:tc>
        <w:tc>
          <w:tcPr>
            <w:tcW w:w="708" w:type="dxa"/>
            <w:tcBorders>
              <w:top w:val="single" w:sz="4" w:space="0" w:color="auto"/>
              <w:left w:val="nil"/>
              <w:bottom w:val="single" w:sz="4" w:space="0" w:color="auto"/>
              <w:right w:val="single" w:sz="4" w:space="0" w:color="auto"/>
            </w:tcBorders>
            <w:shd w:val="clear" w:color="auto" w:fill="auto"/>
            <w:vAlign w:val="center"/>
            <w:hideMark/>
          </w:tcPr>
          <w:p w14:paraId="10F2BB62"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 2</w:t>
            </w:r>
          </w:p>
        </w:tc>
        <w:tc>
          <w:tcPr>
            <w:tcW w:w="3119" w:type="dxa"/>
            <w:tcBorders>
              <w:top w:val="single" w:sz="4" w:space="0" w:color="auto"/>
              <w:left w:val="nil"/>
              <w:bottom w:val="single" w:sz="4" w:space="0" w:color="auto"/>
              <w:right w:val="single" w:sz="4" w:space="0" w:color="auto"/>
            </w:tcBorders>
            <w:shd w:val="clear" w:color="auto" w:fill="auto"/>
            <w:vAlign w:val="center"/>
            <w:hideMark/>
          </w:tcPr>
          <w:p w14:paraId="4B0B5FA4"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There are necessary resources that have been identified for ELUP development, which need to be strengthened</w:t>
            </w:r>
          </w:p>
        </w:tc>
        <w:tc>
          <w:tcPr>
            <w:tcW w:w="2163" w:type="dxa"/>
            <w:tcBorders>
              <w:top w:val="single" w:sz="4" w:space="0" w:color="auto"/>
              <w:left w:val="nil"/>
              <w:bottom w:val="single" w:sz="4" w:space="0" w:color="auto"/>
              <w:right w:val="single" w:sz="4" w:space="0" w:color="auto"/>
            </w:tcBorders>
            <w:shd w:val="clear" w:color="auto" w:fill="auto"/>
            <w:vAlign w:val="center"/>
            <w:hideMark/>
          </w:tcPr>
          <w:p w14:paraId="0E60E388"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Project will strengthen the resources needed for ELUP </w:t>
            </w:r>
          </w:p>
        </w:tc>
        <w:tc>
          <w:tcPr>
            <w:tcW w:w="1717" w:type="dxa"/>
            <w:gridSpan w:val="2"/>
            <w:tcBorders>
              <w:top w:val="single" w:sz="4" w:space="0" w:color="auto"/>
              <w:left w:val="nil"/>
              <w:bottom w:val="single" w:sz="4" w:space="0" w:color="auto"/>
              <w:right w:val="single" w:sz="4" w:space="0" w:color="auto"/>
            </w:tcBorders>
            <w:shd w:val="clear" w:color="auto" w:fill="auto"/>
            <w:vAlign w:val="bottom"/>
            <w:hideMark/>
          </w:tcPr>
          <w:p w14:paraId="3605A0CA"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2CA3AAD1" w14:textId="77777777" w:rsidTr="00D25E0D">
        <w:trPr>
          <w:trHeight w:val="300"/>
        </w:trPr>
        <w:tc>
          <w:tcPr>
            <w:tcW w:w="1776" w:type="dxa"/>
            <w:vMerge/>
            <w:tcBorders>
              <w:top w:val="nil"/>
              <w:left w:val="single" w:sz="4" w:space="0" w:color="auto"/>
              <w:bottom w:val="single" w:sz="4" w:space="0" w:color="auto"/>
              <w:right w:val="single" w:sz="4" w:space="0" w:color="auto"/>
            </w:tcBorders>
            <w:vAlign w:val="center"/>
            <w:hideMark/>
          </w:tcPr>
          <w:p w14:paraId="4ED0A2D0" w14:textId="77777777" w:rsidR="003E69A5" w:rsidRPr="003F7F6C" w:rsidRDefault="003E69A5" w:rsidP="00D25E0D">
            <w:pPr>
              <w:spacing w:after="0"/>
              <w:rPr>
                <w:rFonts w:eastAsia="Times New Roman" w:cs="Calibri"/>
                <w:color w:val="000000"/>
                <w:sz w:val="18"/>
                <w:szCs w:val="18"/>
                <w:lang w:eastAsia="es-ES"/>
              </w:rPr>
            </w:pPr>
          </w:p>
        </w:tc>
        <w:tc>
          <w:tcPr>
            <w:tcW w:w="4248" w:type="dxa"/>
            <w:tcBorders>
              <w:top w:val="nil"/>
              <w:left w:val="nil"/>
              <w:bottom w:val="single" w:sz="4" w:space="0" w:color="auto"/>
              <w:right w:val="single" w:sz="4" w:space="0" w:color="auto"/>
            </w:tcBorders>
            <w:shd w:val="clear" w:color="auto" w:fill="auto"/>
            <w:vAlign w:val="bottom"/>
            <w:hideMark/>
          </w:tcPr>
          <w:p w14:paraId="3502EF96"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Adequate resources are mobilized and available for the functioning of the lead environmental organizations</w:t>
            </w:r>
          </w:p>
        </w:tc>
        <w:tc>
          <w:tcPr>
            <w:tcW w:w="709" w:type="dxa"/>
            <w:tcBorders>
              <w:top w:val="nil"/>
              <w:left w:val="nil"/>
              <w:bottom w:val="single" w:sz="4" w:space="0" w:color="auto"/>
              <w:right w:val="single" w:sz="4" w:space="0" w:color="auto"/>
            </w:tcBorders>
            <w:shd w:val="clear" w:color="auto" w:fill="auto"/>
            <w:vAlign w:val="center"/>
            <w:hideMark/>
          </w:tcPr>
          <w:p w14:paraId="4CAE2828"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3</w:t>
            </w:r>
          </w:p>
        </w:tc>
        <w:tc>
          <w:tcPr>
            <w:tcW w:w="708" w:type="dxa"/>
            <w:tcBorders>
              <w:top w:val="nil"/>
              <w:left w:val="nil"/>
              <w:bottom w:val="single" w:sz="4" w:space="0" w:color="auto"/>
              <w:right w:val="single" w:sz="4" w:space="0" w:color="auto"/>
            </w:tcBorders>
            <w:shd w:val="clear" w:color="auto" w:fill="auto"/>
            <w:vAlign w:val="bottom"/>
            <w:hideMark/>
          </w:tcPr>
          <w:p w14:paraId="50475821"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3119" w:type="dxa"/>
            <w:tcBorders>
              <w:top w:val="nil"/>
              <w:left w:val="nil"/>
              <w:bottom w:val="single" w:sz="4" w:space="0" w:color="auto"/>
              <w:right w:val="single" w:sz="4" w:space="0" w:color="auto"/>
            </w:tcBorders>
            <w:shd w:val="clear" w:color="auto" w:fill="auto"/>
            <w:vAlign w:val="bottom"/>
            <w:hideMark/>
          </w:tcPr>
          <w:p w14:paraId="5C0CBC68"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163" w:type="dxa"/>
            <w:tcBorders>
              <w:top w:val="nil"/>
              <w:left w:val="nil"/>
              <w:bottom w:val="single" w:sz="4" w:space="0" w:color="auto"/>
              <w:right w:val="single" w:sz="4" w:space="0" w:color="auto"/>
            </w:tcBorders>
            <w:shd w:val="clear" w:color="auto" w:fill="auto"/>
            <w:vAlign w:val="bottom"/>
            <w:hideMark/>
          </w:tcPr>
          <w:p w14:paraId="6FA4DA7D"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717" w:type="dxa"/>
            <w:gridSpan w:val="2"/>
            <w:tcBorders>
              <w:top w:val="nil"/>
              <w:left w:val="nil"/>
              <w:bottom w:val="single" w:sz="4" w:space="0" w:color="auto"/>
              <w:right w:val="single" w:sz="4" w:space="0" w:color="auto"/>
            </w:tcBorders>
            <w:shd w:val="clear" w:color="auto" w:fill="auto"/>
            <w:vAlign w:val="bottom"/>
            <w:hideMark/>
          </w:tcPr>
          <w:p w14:paraId="225EDF27"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5C14160C" w14:textId="77777777" w:rsidTr="00D25E0D">
        <w:trPr>
          <w:trHeight w:val="300"/>
        </w:trPr>
        <w:tc>
          <w:tcPr>
            <w:tcW w:w="17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DDCF0FD"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Indicator 13: Availability of required technical skills and technology transfer</w:t>
            </w:r>
          </w:p>
        </w:tc>
        <w:tc>
          <w:tcPr>
            <w:tcW w:w="4248" w:type="dxa"/>
            <w:tcBorders>
              <w:top w:val="single" w:sz="4" w:space="0" w:color="auto"/>
              <w:left w:val="nil"/>
              <w:bottom w:val="single" w:sz="4" w:space="0" w:color="auto"/>
              <w:right w:val="single" w:sz="4" w:space="0" w:color="auto"/>
            </w:tcBorders>
            <w:shd w:val="clear" w:color="auto" w:fill="auto"/>
            <w:vAlign w:val="bottom"/>
            <w:hideMark/>
          </w:tcPr>
          <w:p w14:paraId="4015E450"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The necessary required skills and technology are not available and the needs are not identified</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22E4B911"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0</w:t>
            </w:r>
          </w:p>
        </w:tc>
        <w:tc>
          <w:tcPr>
            <w:tcW w:w="708" w:type="dxa"/>
            <w:tcBorders>
              <w:top w:val="nil"/>
              <w:left w:val="nil"/>
              <w:bottom w:val="single" w:sz="4" w:space="0" w:color="auto"/>
              <w:right w:val="single" w:sz="4" w:space="0" w:color="auto"/>
            </w:tcBorders>
            <w:shd w:val="clear" w:color="auto" w:fill="auto"/>
            <w:vAlign w:val="bottom"/>
            <w:hideMark/>
          </w:tcPr>
          <w:p w14:paraId="3B9C7926"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3119" w:type="dxa"/>
            <w:tcBorders>
              <w:top w:val="nil"/>
              <w:left w:val="nil"/>
              <w:bottom w:val="single" w:sz="4" w:space="0" w:color="auto"/>
              <w:right w:val="single" w:sz="4" w:space="0" w:color="auto"/>
            </w:tcBorders>
            <w:shd w:val="clear" w:color="auto" w:fill="auto"/>
            <w:vAlign w:val="bottom"/>
            <w:hideMark/>
          </w:tcPr>
          <w:p w14:paraId="7CE07494"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163" w:type="dxa"/>
            <w:tcBorders>
              <w:top w:val="nil"/>
              <w:left w:val="nil"/>
              <w:bottom w:val="single" w:sz="4" w:space="0" w:color="auto"/>
              <w:right w:val="single" w:sz="4" w:space="0" w:color="auto"/>
            </w:tcBorders>
            <w:shd w:val="clear" w:color="auto" w:fill="auto"/>
            <w:vAlign w:val="bottom"/>
            <w:hideMark/>
          </w:tcPr>
          <w:p w14:paraId="49E5406F"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717" w:type="dxa"/>
            <w:gridSpan w:val="2"/>
            <w:tcBorders>
              <w:top w:val="nil"/>
              <w:left w:val="nil"/>
              <w:bottom w:val="single" w:sz="4" w:space="0" w:color="auto"/>
              <w:right w:val="single" w:sz="4" w:space="0" w:color="auto"/>
            </w:tcBorders>
            <w:shd w:val="clear" w:color="auto" w:fill="auto"/>
            <w:vAlign w:val="bottom"/>
            <w:hideMark/>
          </w:tcPr>
          <w:p w14:paraId="7AE5C719"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1AACC2AC" w14:textId="77777777" w:rsidTr="00D25E0D">
        <w:trPr>
          <w:trHeight w:val="300"/>
        </w:trPr>
        <w:tc>
          <w:tcPr>
            <w:tcW w:w="1776" w:type="dxa"/>
            <w:vMerge/>
            <w:tcBorders>
              <w:top w:val="single" w:sz="4" w:space="0" w:color="auto"/>
              <w:left w:val="single" w:sz="4" w:space="0" w:color="auto"/>
              <w:bottom w:val="single" w:sz="4" w:space="0" w:color="auto"/>
              <w:right w:val="single" w:sz="4" w:space="0" w:color="auto"/>
            </w:tcBorders>
            <w:vAlign w:val="center"/>
            <w:hideMark/>
          </w:tcPr>
          <w:p w14:paraId="099EAFE4" w14:textId="77777777" w:rsidR="003E69A5" w:rsidRPr="003F7F6C" w:rsidRDefault="003E69A5" w:rsidP="00D25E0D">
            <w:pPr>
              <w:spacing w:after="0"/>
              <w:rPr>
                <w:rFonts w:eastAsia="Times New Roman" w:cs="Calibri"/>
                <w:color w:val="000000"/>
                <w:sz w:val="18"/>
                <w:szCs w:val="18"/>
                <w:lang w:eastAsia="es-ES"/>
              </w:rPr>
            </w:pPr>
          </w:p>
        </w:tc>
        <w:tc>
          <w:tcPr>
            <w:tcW w:w="4248" w:type="dxa"/>
            <w:tcBorders>
              <w:top w:val="single" w:sz="4" w:space="0" w:color="auto"/>
              <w:left w:val="nil"/>
              <w:bottom w:val="single" w:sz="4" w:space="0" w:color="auto"/>
              <w:right w:val="single" w:sz="4" w:space="0" w:color="auto"/>
            </w:tcBorders>
            <w:shd w:val="clear" w:color="auto" w:fill="auto"/>
            <w:vAlign w:val="bottom"/>
            <w:hideMark/>
          </w:tcPr>
          <w:p w14:paraId="27CE7607"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The required skills and technologies needs are identified as well as their sources</w:t>
            </w:r>
          </w:p>
        </w:tc>
        <w:tc>
          <w:tcPr>
            <w:tcW w:w="709" w:type="dxa"/>
            <w:tcBorders>
              <w:top w:val="single" w:sz="4" w:space="0" w:color="auto"/>
              <w:left w:val="nil"/>
              <w:bottom w:val="single" w:sz="4" w:space="0" w:color="auto"/>
              <w:right w:val="single" w:sz="4" w:space="0" w:color="auto"/>
            </w:tcBorders>
            <w:shd w:val="clear" w:color="auto" w:fill="auto"/>
            <w:vAlign w:val="bottom"/>
            <w:hideMark/>
          </w:tcPr>
          <w:p w14:paraId="3692A6DC"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1</w:t>
            </w:r>
          </w:p>
        </w:tc>
        <w:tc>
          <w:tcPr>
            <w:tcW w:w="708" w:type="dxa"/>
            <w:tcBorders>
              <w:top w:val="nil"/>
              <w:left w:val="nil"/>
              <w:bottom w:val="single" w:sz="4" w:space="0" w:color="auto"/>
              <w:right w:val="single" w:sz="4" w:space="0" w:color="auto"/>
            </w:tcBorders>
            <w:shd w:val="clear" w:color="auto" w:fill="auto"/>
            <w:vAlign w:val="bottom"/>
            <w:hideMark/>
          </w:tcPr>
          <w:p w14:paraId="3318283B"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3119" w:type="dxa"/>
            <w:tcBorders>
              <w:top w:val="nil"/>
              <w:left w:val="nil"/>
              <w:bottom w:val="single" w:sz="4" w:space="0" w:color="auto"/>
              <w:right w:val="single" w:sz="4" w:space="0" w:color="auto"/>
            </w:tcBorders>
            <w:shd w:val="clear" w:color="auto" w:fill="auto"/>
            <w:vAlign w:val="bottom"/>
            <w:hideMark/>
          </w:tcPr>
          <w:p w14:paraId="40CC1EE6"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163" w:type="dxa"/>
            <w:tcBorders>
              <w:top w:val="nil"/>
              <w:left w:val="nil"/>
              <w:bottom w:val="single" w:sz="4" w:space="0" w:color="auto"/>
              <w:right w:val="single" w:sz="4" w:space="0" w:color="auto"/>
            </w:tcBorders>
            <w:shd w:val="clear" w:color="auto" w:fill="auto"/>
            <w:vAlign w:val="bottom"/>
            <w:hideMark/>
          </w:tcPr>
          <w:p w14:paraId="71CA319F"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717" w:type="dxa"/>
            <w:gridSpan w:val="2"/>
            <w:tcBorders>
              <w:top w:val="nil"/>
              <w:left w:val="nil"/>
              <w:bottom w:val="single" w:sz="4" w:space="0" w:color="auto"/>
              <w:right w:val="single" w:sz="4" w:space="0" w:color="auto"/>
            </w:tcBorders>
            <w:shd w:val="clear" w:color="auto" w:fill="auto"/>
            <w:vAlign w:val="bottom"/>
            <w:hideMark/>
          </w:tcPr>
          <w:p w14:paraId="74DE9952"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602900CA" w14:textId="77777777" w:rsidTr="00D25E0D">
        <w:trPr>
          <w:trHeight w:val="300"/>
        </w:trPr>
        <w:tc>
          <w:tcPr>
            <w:tcW w:w="1776" w:type="dxa"/>
            <w:vMerge/>
            <w:tcBorders>
              <w:top w:val="single" w:sz="4" w:space="0" w:color="auto"/>
              <w:left w:val="single" w:sz="4" w:space="0" w:color="auto"/>
              <w:bottom w:val="single" w:sz="4" w:space="0" w:color="auto"/>
              <w:right w:val="single" w:sz="4" w:space="0" w:color="auto"/>
            </w:tcBorders>
            <w:vAlign w:val="center"/>
            <w:hideMark/>
          </w:tcPr>
          <w:p w14:paraId="70B4F8E7" w14:textId="77777777" w:rsidR="003E69A5" w:rsidRPr="003F7F6C" w:rsidRDefault="003E69A5" w:rsidP="00D25E0D">
            <w:pPr>
              <w:spacing w:after="0"/>
              <w:rPr>
                <w:rFonts w:eastAsia="Times New Roman" w:cs="Calibri"/>
                <w:color w:val="000000"/>
                <w:sz w:val="18"/>
                <w:szCs w:val="18"/>
                <w:lang w:eastAsia="es-ES"/>
              </w:rPr>
            </w:pPr>
          </w:p>
        </w:tc>
        <w:tc>
          <w:tcPr>
            <w:tcW w:w="4248" w:type="dxa"/>
            <w:tcBorders>
              <w:top w:val="single" w:sz="4" w:space="0" w:color="auto"/>
              <w:left w:val="nil"/>
              <w:bottom w:val="single" w:sz="4" w:space="0" w:color="auto"/>
              <w:right w:val="single" w:sz="4" w:space="0" w:color="auto"/>
            </w:tcBorders>
            <w:shd w:val="clear" w:color="auto" w:fill="auto"/>
            <w:vAlign w:val="bottom"/>
            <w:hideMark/>
          </w:tcPr>
          <w:p w14:paraId="69BDAD80"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The required skills and technologies are obtained but their access depend on foreign sources</w:t>
            </w:r>
          </w:p>
          <w:p w14:paraId="2CB603CF"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p>
        </w:tc>
        <w:tc>
          <w:tcPr>
            <w:tcW w:w="709" w:type="dxa"/>
            <w:tcBorders>
              <w:top w:val="single" w:sz="4" w:space="0" w:color="auto"/>
              <w:left w:val="nil"/>
              <w:bottom w:val="single" w:sz="4" w:space="0" w:color="auto"/>
              <w:right w:val="single" w:sz="4" w:space="0" w:color="auto"/>
            </w:tcBorders>
            <w:shd w:val="clear" w:color="auto" w:fill="auto"/>
            <w:vAlign w:val="bottom"/>
            <w:hideMark/>
          </w:tcPr>
          <w:p w14:paraId="5DBCDCC9"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2</w:t>
            </w:r>
          </w:p>
        </w:tc>
        <w:tc>
          <w:tcPr>
            <w:tcW w:w="708" w:type="dxa"/>
            <w:tcBorders>
              <w:top w:val="single" w:sz="4" w:space="0" w:color="auto"/>
              <w:left w:val="nil"/>
              <w:bottom w:val="single" w:sz="4" w:space="0" w:color="auto"/>
              <w:right w:val="single" w:sz="4" w:space="0" w:color="auto"/>
            </w:tcBorders>
            <w:shd w:val="clear" w:color="auto" w:fill="auto"/>
            <w:vAlign w:val="bottom"/>
            <w:hideMark/>
          </w:tcPr>
          <w:p w14:paraId="316EFAE4"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c>
          <w:tcPr>
            <w:tcW w:w="3119" w:type="dxa"/>
            <w:tcBorders>
              <w:top w:val="single" w:sz="4" w:space="0" w:color="auto"/>
              <w:left w:val="nil"/>
              <w:bottom w:val="single" w:sz="4" w:space="0" w:color="auto"/>
              <w:right w:val="single" w:sz="4" w:space="0" w:color="auto"/>
            </w:tcBorders>
            <w:shd w:val="clear" w:color="auto" w:fill="auto"/>
            <w:vAlign w:val="bottom"/>
            <w:hideMark/>
          </w:tcPr>
          <w:p w14:paraId="099BB793"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There is technical capacity at national level that should be updated in relation to policies. Specifically for ELUP there is dependence on foreign sources</w:t>
            </w:r>
          </w:p>
        </w:tc>
        <w:tc>
          <w:tcPr>
            <w:tcW w:w="2163" w:type="dxa"/>
            <w:tcBorders>
              <w:top w:val="single" w:sz="4" w:space="0" w:color="auto"/>
              <w:left w:val="nil"/>
              <w:bottom w:val="single" w:sz="4" w:space="0" w:color="auto"/>
              <w:right w:val="single" w:sz="4" w:space="0" w:color="auto"/>
            </w:tcBorders>
            <w:shd w:val="clear" w:color="auto" w:fill="auto"/>
            <w:vAlign w:val="bottom"/>
            <w:hideMark/>
          </w:tcPr>
          <w:p w14:paraId="35DE4577"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Exchange of information; improve progress toward ELUP in the territory; capacity building </w:t>
            </w:r>
          </w:p>
        </w:tc>
        <w:tc>
          <w:tcPr>
            <w:tcW w:w="1717" w:type="dxa"/>
            <w:gridSpan w:val="2"/>
            <w:tcBorders>
              <w:top w:val="single" w:sz="4" w:space="0" w:color="auto"/>
              <w:left w:val="nil"/>
              <w:bottom w:val="single" w:sz="4" w:space="0" w:color="auto"/>
              <w:right w:val="single" w:sz="4" w:space="0" w:color="auto"/>
            </w:tcBorders>
            <w:shd w:val="clear" w:color="auto" w:fill="auto"/>
            <w:vAlign w:val="bottom"/>
            <w:hideMark/>
          </w:tcPr>
          <w:p w14:paraId="2B1BAF83"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7A53293A" w14:textId="77777777" w:rsidTr="00D25E0D">
        <w:trPr>
          <w:trHeight w:val="300"/>
        </w:trPr>
        <w:tc>
          <w:tcPr>
            <w:tcW w:w="1776" w:type="dxa"/>
            <w:vMerge/>
            <w:tcBorders>
              <w:top w:val="single" w:sz="4" w:space="0" w:color="auto"/>
              <w:left w:val="single" w:sz="4" w:space="0" w:color="auto"/>
              <w:bottom w:val="single" w:sz="4" w:space="0" w:color="auto"/>
              <w:right w:val="single" w:sz="4" w:space="0" w:color="auto"/>
            </w:tcBorders>
            <w:vAlign w:val="center"/>
            <w:hideMark/>
          </w:tcPr>
          <w:p w14:paraId="20103B2C" w14:textId="77777777" w:rsidR="003E69A5" w:rsidRPr="003F7F6C" w:rsidRDefault="003E69A5" w:rsidP="00D25E0D">
            <w:pPr>
              <w:spacing w:after="0"/>
              <w:rPr>
                <w:rFonts w:eastAsia="Times New Roman" w:cs="Calibri"/>
                <w:color w:val="000000"/>
                <w:sz w:val="18"/>
                <w:szCs w:val="18"/>
                <w:lang w:eastAsia="es-ES"/>
              </w:rPr>
            </w:pPr>
          </w:p>
        </w:tc>
        <w:tc>
          <w:tcPr>
            <w:tcW w:w="4248" w:type="dxa"/>
            <w:tcBorders>
              <w:top w:val="single" w:sz="4" w:space="0" w:color="auto"/>
              <w:left w:val="nil"/>
              <w:bottom w:val="single" w:sz="4" w:space="0" w:color="auto"/>
              <w:right w:val="single" w:sz="4" w:space="0" w:color="auto"/>
            </w:tcBorders>
            <w:shd w:val="clear" w:color="auto" w:fill="auto"/>
            <w:vAlign w:val="bottom"/>
            <w:hideMark/>
          </w:tcPr>
          <w:p w14:paraId="29BACF24"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The required skills and technologies are available and there is a national-based mechanism for updating the required skills and for upgrading the technologies</w:t>
            </w:r>
          </w:p>
          <w:p w14:paraId="7EA96ED7"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p>
        </w:tc>
        <w:tc>
          <w:tcPr>
            <w:tcW w:w="709" w:type="dxa"/>
            <w:tcBorders>
              <w:top w:val="single" w:sz="4" w:space="0" w:color="auto"/>
              <w:left w:val="nil"/>
              <w:bottom w:val="single" w:sz="4" w:space="0" w:color="auto"/>
              <w:right w:val="single" w:sz="4" w:space="0" w:color="auto"/>
            </w:tcBorders>
            <w:shd w:val="clear" w:color="auto" w:fill="auto"/>
            <w:vAlign w:val="bottom"/>
            <w:hideMark/>
          </w:tcPr>
          <w:p w14:paraId="450E3B58"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3</w:t>
            </w:r>
          </w:p>
        </w:tc>
        <w:tc>
          <w:tcPr>
            <w:tcW w:w="708" w:type="dxa"/>
            <w:tcBorders>
              <w:top w:val="single" w:sz="4" w:space="0" w:color="auto"/>
              <w:left w:val="nil"/>
              <w:bottom w:val="single" w:sz="4" w:space="0" w:color="auto"/>
              <w:right w:val="single" w:sz="4" w:space="0" w:color="auto"/>
            </w:tcBorders>
            <w:shd w:val="clear" w:color="auto" w:fill="auto"/>
            <w:vAlign w:val="bottom"/>
            <w:hideMark/>
          </w:tcPr>
          <w:p w14:paraId="4E0787F1"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3119" w:type="dxa"/>
            <w:tcBorders>
              <w:top w:val="single" w:sz="4" w:space="0" w:color="auto"/>
              <w:left w:val="nil"/>
              <w:bottom w:val="single" w:sz="4" w:space="0" w:color="auto"/>
              <w:right w:val="single" w:sz="4" w:space="0" w:color="auto"/>
            </w:tcBorders>
            <w:shd w:val="clear" w:color="auto" w:fill="auto"/>
            <w:vAlign w:val="bottom"/>
            <w:hideMark/>
          </w:tcPr>
          <w:p w14:paraId="11F714C0"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163" w:type="dxa"/>
            <w:tcBorders>
              <w:top w:val="single" w:sz="4" w:space="0" w:color="auto"/>
              <w:left w:val="nil"/>
              <w:bottom w:val="single" w:sz="4" w:space="0" w:color="auto"/>
              <w:right w:val="single" w:sz="4" w:space="0" w:color="auto"/>
            </w:tcBorders>
            <w:shd w:val="clear" w:color="auto" w:fill="auto"/>
            <w:vAlign w:val="bottom"/>
            <w:hideMark/>
          </w:tcPr>
          <w:p w14:paraId="4EE3C851"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717" w:type="dxa"/>
            <w:gridSpan w:val="2"/>
            <w:tcBorders>
              <w:top w:val="single" w:sz="4" w:space="0" w:color="auto"/>
              <w:left w:val="nil"/>
              <w:bottom w:val="single" w:sz="4" w:space="0" w:color="auto"/>
              <w:right w:val="single" w:sz="4" w:space="0" w:color="auto"/>
            </w:tcBorders>
            <w:shd w:val="clear" w:color="auto" w:fill="auto"/>
            <w:vAlign w:val="bottom"/>
            <w:hideMark/>
          </w:tcPr>
          <w:p w14:paraId="1388989B"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5EC96A88" w14:textId="77777777" w:rsidTr="00D25E0D">
        <w:trPr>
          <w:trHeight w:val="266"/>
        </w:trPr>
        <w:tc>
          <w:tcPr>
            <w:tcW w:w="1776" w:type="dxa"/>
            <w:vMerge w:val="restart"/>
            <w:tcBorders>
              <w:top w:val="single" w:sz="4" w:space="0" w:color="auto"/>
              <w:left w:val="single" w:sz="4" w:space="0" w:color="auto"/>
              <w:bottom w:val="single" w:sz="4" w:space="0" w:color="auto"/>
              <w:right w:val="single" w:sz="4" w:space="0" w:color="auto"/>
            </w:tcBorders>
            <w:vAlign w:val="center"/>
          </w:tcPr>
          <w:p w14:paraId="63619BBE"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Scoring CR 4</w:t>
            </w:r>
          </w:p>
        </w:tc>
        <w:tc>
          <w:tcPr>
            <w:tcW w:w="4248" w:type="dxa"/>
            <w:vMerge w:val="restart"/>
            <w:tcBorders>
              <w:top w:val="single" w:sz="4" w:space="0" w:color="auto"/>
              <w:left w:val="nil"/>
              <w:bottom w:val="single" w:sz="4" w:space="0" w:color="auto"/>
              <w:right w:val="single" w:sz="4" w:space="0" w:color="auto"/>
            </w:tcBorders>
            <w:shd w:val="clear" w:color="auto" w:fill="auto"/>
            <w:vAlign w:val="center"/>
          </w:tcPr>
          <w:p w14:paraId="32A0A3A9" w14:textId="77777777" w:rsidR="003E69A5" w:rsidRPr="003F7F6C" w:rsidRDefault="003E69A5" w:rsidP="00D25E0D">
            <w:pPr>
              <w:autoSpaceDE w:val="0"/>
              <w:autoSpaceDN w:val="0"/>
              <w:adjustRightInd w:val="0"/>
              <w:spacing w:after="0"/>
              <w:rPr>
                <w:rFonts w:cs="Calibri"/>
                <w:sz w:val="18"/>
                <w:szCs w:val="18"/>
              </w:rPr>
            </w:pPr>
          </w:p>
        </w:tc>
        <w:tc>
          <w:tcPr>
            <w:tcW w:w="709" w:type="dxa"/>
            <w:tcBorders>
              <w:top w:val="single" w:sz="4" w:space="0" w:color="auto"/>
              <w:left w:val="nil"/>
              <w:bottom w:val="single" w:sz="4" w:space="0" w:color="auto"/>
              <w:right w:val="single" w:sz="4" w:space="0" w:color="auto"/>
            </w:tcBorders>
            <w:shd w:val="clear" w:color="auto" w:fill="auto"/>
            <w:vAlign w:val="center"/>
          </w:tcPr>
          <w:p w14:paraId="57B369DA"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6</w:t>
            </w:r>
          </w:p>
        </w:tc>
        <w:tc>
          <w:tcPr>
            <w:tcW w:w="708" w:type="dxa"/>
            <w:tcBorders>
              <w:top w:val="single" w:sz="4" w:space="0" w:color="auto"/>
              <w:left w:val="nil"/>
              <w:bottom w:val="single" w:sz="4" w:space="0" w:color="auto"/>
              <w:right w:val="single" w:sz="4" w:space="0" w:color="auto"/>
            </w:tcBorders>
            <w:shd w:val="clear" w:color="auto" w:fill="auto"/>
            <w:vAlign w:val="center"/>
          </w:tcPr>
          <w:p w14:paraId="18F0B9C6"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4</w:t>
            </w:r>
          </w:p>
        </w:tc>
        <w:tc>
          <w:tcPr>
            <w:tcW w:w="3119" w:type="dxa"/>
            <w:tcBorders>
              <w:top w:val="single" w:sz="4" w:space="0" w:color="auto"/>
              <w:left w:val="nil"/>
              <w:bottom w:val="single" w:sz="4" w:space="0" w:color="auto"/>
              <w:right w:val="single" w:sz="4" w:space="0" w:color="auto"/>
            </w:tcBorders>
            <w:shd w:val="clear" w:color="auto" w:fill="auto"/>
            <w:vAlign w:val="bottom"/>
          </w:tcPr>
          <w:p w14:paraId="661391C8" w14:textId="77777777" w:rsidR="003E69A5" w:rsidRPr="003F7F6C" w:rsidRDefault="003E69A5" w:rsidP="00D25E0D">
            <w:pPr>
              <w:spacing w:after="0"/>
              <w:rPr>
                <w:rFonts w:eastAsia="Times New Roman" w:cs="Calibri"/>
                <w:color w:val="000000"/>
                <w:sz w:val="18"/>
                <w:szCs w:val="18"/>
                <w:lang w:eastAsia="es-ES"/>
              </w:rPr>
            </w:pPr>
          </w:p>
        </w:tc>
        <w:tc>
          <w:tcPr>
            <w:tcW w:w="2163" w:type="dxa"/>
            <w:tcBorders>
              <w:top w:val="single" w:sz="4" w:space="0" w:color="auto"/>
              <w:left w:val="nil"/>
              <w:bottom w:val="single" w:sz="4" w:space="0" w:color="auto"/>
              <w:right w:val="single" w:sz="4" w:space="0" w:color="auto"/>
            </w:tcBorders>
            <w:shd w:val="clear" w:color="auto" w:fill="auto"/>
            <w:vAlign w:val="bottom"/>
          </w:tcPr>
          <w:p w14:paraId="17CC8FFB" w14:textId="77777777" w:rsidR="003E69A5" w:rsidRPr="003F7F6C" w:rsidRDefault="003E69A5" w:rsidP="00D25E0D">
            <w:pPr>
              <w:spacing w:after="0"/>
              <w:rPr>
                <w:rFonts w:eastAsia="Times New Roman" w:cs="Calibri"/>
                <w:color w:val="000000"/>
                <w:sz w:val="18"/>
                <w:szCs w:val="18"/>
                <w:lang w:eastAsia="es-ES"/>
              </w:rPr>
            </w:pPr>
          </w:p>
        </w:tc>
        <w:tc>
          <w:tcPr>
            <w:tcW w:w="1717" w:type="dxa"/>
            <w:gridSpan w:val="2"/>
            <w:tcBorders>
              <w:top w:val="single" w:sz="4" w:space="0" w:color="auto"/>
              <w:left w:val="nil"/>
              <w:bottom w:val="single" w:sz="4" w:space="0" w:color="auto"/>
              <w:right w:val="single" w:sz="4" w:space="0" w:color="auto"/>
            </w:tcBorders>
            <w:shd w:val="clear" w:color="auto" w:fill="auto"/>
            <w:vAlign w:val="bottom"/>
          </w:tcPr>
          <w:p w14:paraId="1DBC605C"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3177E32F" w14:textId="77777777" w:rsidTr="00D25E0D">
        <w:trPr>
          <w:trHeight w:val="288"/>
        </w:trPr>
        <w:tc>
          <w:tcPr>
            <w:tcW w:w="1776" w:type="dxa"/>
            <w:vMerge/>
            <w:tcBorders>
              <w:top w:val="single" w:sz="4" w:space="0" w:color="auto"/>
              <w:left w:val="single" w:sz="4" w:space="0" w:color="auto"/>
              <w:bottom w:val="single" w:sz="4" w:space="0" w:color="auto"/>
              <w:right w:val="single" w:sz="4" w:space="0" w:color="auto"/>
            </w:tcBorders>
            <w:vAlign w:val="center"/>
          </w:tcPr>
          <w:p w14:paraId="7008DDB0" w14:textId="77777777" w:rsidR="003E69A5" w:rsidRPr="003F7F6C" w:rsidRDefault="003E69A5" w:rsidP="00D25E0D">
            <w:pPr>
              <w:spacing w:after="0"/>
              <w:jc w:val="center"/>
              <w:rPr>
                <w:rFonts w:eastAsia="Times New Roman" w:cs="Calibri"/>
                <w:color w:val="000000"/>
                <w:sz w:val="18"/>
                <w:szCs w:val="18"/>
                <w:lang w:eastAsia="es-ES"/>
              </w:rPr>
            </w:pPr>
          </w:p>
        </w:tc>
        <w:tc>
          <w:tcPr>
            <w:tcW w:w="4248" w:type="dxa"/>
            <w:vMerge/>
            <w:tcBorders>
              <w:top w:val="single" w:sz="4" w:space="0" w:color="auto"/>
              <w:left w:val="nil"/>
              <w:bottom w:val="single" w:sz="4" w:space="0" w:color="auto"/>
              <w:right w:val="single" w:sz="4" w:space="0" w:color="auto"/>
            </w:tcBorders>
            <w:shd w:val="clear" w:color="auto" w:fill="auto"/>
            <w:vAlign w:val="center"/>
          </w:tcPr>
          <w:p w14:paraId="1F2D9390" w14:textId="77777777" w:rsidR="003E69A5" w:rsidRPr="003F7F6C" w:rsidRDefault="003E69A5" w:rsidP="00D25E0D">
            <w:pPr>
              <w:autoSpaceDE w:val="0"/>
              <w:autoSpaceDN w:val="0"/>
              <w:adjustRightInd w:val="0"/>
              <w:spacing w:after="0"/>
              <w:rPr>
                <w:rFonts w:cs="Calibri"/>
                <w:sz w:val="18"/>
                <w:szCs w:val="18"/>
              </w:rPr>
            </w:pPr>
          </w:p>
        </w:tc>
        <w:tc>
          <w:tcPr>
            <w:tcW w:w="709" w:type="dxa"/>
            <w:tcBorders>
              <w:top w:val="single" w:sz="4" w:space="0" w:color="auto"/>
              <w:left w:val="nil"/>
              <w:bottom w:val="single" w:sz="4" w:space="0" w:color="auto"/>
              <w:right w:val="single" w:sz="4" w:space="0" w:color="auto"/>
            </w:tcBorders>
            <w:shd w:val="clear" w:color="auto" w:fill="auto"/>
            <w:vAlign w:val="center"/>
          </w:tcPr>
          <w:p w14:paraId="3282C112" w14:textId="77777777" w:rsidR="003E69A5" w:rsidRPr="003F7F6C" w:rsidRDefault="003E69A5" w:rsidP="00D25E0D">
            <w:pPr>
              <w:spacing w:after="0"/>
              <w:jc w:val="center"/>
              <w:rPr>
                <w:rFonts w:eastAsia="Times New Roman" w:cs="Calibri"/>
                <w:color w:val="000000"/>
                <w:sz w:val="18"/>
                <w:szCs w:val="18"/>
                <w:lang w:eastAsia="es-ES"/>
              </w:rPr>
            </w:pPr>
          </w:p>
        </w:tc>
        <w:tc>
          <w:tcPr>
            <w:tcW w:w="708" w:type="dxa"/>
            <w:tcBorders>
              <w:top w:val="single" w:sz="4" w:space="0" w:color="auto"/>
              <w:left w:val="nil"/>
              <w:bottom w:val="single" w:sz="4" w:space="0" w:color="auto"/>
              <w:right w:val="single" w:sz="4" w:space="0" w:color="auto"/>
            </w:tcBorders>
            <w:shd w:val="clear" w:color="auto" w:fill="auto"/>
            <w:vAlign w:val="center"/>
          </w:tcPr>
          <w:p w14:paraId="5D35AD7F"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66,6%</w:t>
            </w:r>
          </w:p>
        </w:tc>
        <w:tc>
          <w:tcPr>
            <w:tcW w:w="3119" w:type="dxa"/>
            <w:tcBorders>
              <w:top w:val="single" w:sz="4" w:space="0" w:color="auto"/>
              <w:left w:val="nil"/>
              <w:bottom w:val="single" w:sz="4" w:space="0" w:color="auto"/>
              <w:right w:val="single" w:sz="4" w:space="0" w:color="auto"/>
            </w:tcBorders>
            <w:shd w:val="clear" w:color="auto" w:fill="auto"/>
            <w:vAlign w:val="bottom"/>
          </w:tcPr>
          <w:p w14:paraId="6F4DD8CB" w14:textId="77777777" w:rsidR="003E69A5" w:rsidRPr="003F7F6C" w:rsidRDefault="003E69A5" w:rsidP="00D25E0D">
            <w:pPr>
              <w:spacing w:after="0"/>
              <w:rPr>
                <w:rFonts w:eastAsia="Times New Roman" w:cs="Calibri"/>
                <w:color w:val="000000"/>
                <w:sz w:val="18"/>
                <w:szCs w:val="18"/>
                <w:lang w:eastAsia="es-ES"/>
              </w:rPr>
            </w:pPr>
          </w:p>
        </w:tc>
        <w:tc>
          <w:tcPr>
            <w:tcW w:w="2163" w:type="dxa"/>
            <w:tcBorders>
              <w:top w:val="single" w:sz="4" w:space="0" w:color="auto"/>
              <w:left w:val="nil"/>
              <w:bottom w:val="single" w:sz="4" w:space="0" w:color="auto"/>
              <w:right w:val="single" w:sz="4" w:space="0" w:color="auto"/>
            </w:tcBorders>
            <w:shd w:val="clear" w:color="auto" w:fill="auto"/>
            <w:vAlign w:val="bottom"/>
          </w:tcPr>
          <w:p w14:paraId="1882E706" w14:textId="77777777" w:rsidR="003E69A5" w:rsidRPr="003F7F6C" w:rsidRDefault="003E69A5" w:rsidP="00D25E0D">
            <w:pPr>
              <w:spacing w:after="0"/>
              <w:rPr>
                <w:rFonts w:eastAsia="Times New Roman" w:cs="Calibri"/>
                <w:color w:val="000000"/>
                <w:sz w:val="18"/>
                <w:szCs w:val="18"/>
                <w:lang w:eastAsia="es-ES"/>
              </w:rPr>
            </w:pPr>
          </w:p>
        </w:tc>
        <w:tc>
          <w:tcPr>
            <w:tcW w:w="1717" w:type="dxa"/>
            <w:gridSpan w:val="2"/>
            <w:tcBorders>
              <w:top w:val="single" w:sz="4" w:space="0" w:color="auto"/>
              <w:left w:val="nil"/>
              <w:bottom w:val="single" w:sz="4" w:space="0" w:color="auto"/>
              <w:right w:val="single" w:sz="4" w:space="0" w:color="auto"/>
            </w:tcBorders>
            <w:shd w:val="clear" w:color="auto" w:fill="auto"/>
            <w:vAlign w:val="bottom"/>
          </w:tcPr>
          <w:p w14:paraId="70E58DA5"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1C8F6AF5" w14:textId="77777777" w:rsidTr="00D25E0D">
        <w:trPr>
          <w:trHeight w:val="300"/>
        </w:trPr>
        <w:tc>
          <w:tcPr>
            <w:tcW w:w="14440" w:type="dxa"/>
            <w:gridSpan w:val="8"/>
            <w:tcBorders>
              <w:top w:val="single" w:sz="4" w:space="0" w:color="auto"/>
              <w:left w:val="single" w:sz="4" w:space="0" w:color="auto"/>
              <w:bottom w:val="single" w:sz="4" w:space="0" w:color="auto"/>
              <w:right w:val="single" w:sz="4" w:space="0" w:color="auto"/>
            </w:tcBorders>
            <w:shd w:val="clear" w:color="000000" w:fill="D9D9D9"/>
            <w:vAlign w:val="bottom"/>
            <w:hideMark/>
          </w:tcPr>
          <w:p w14:paraId="5F535FCF"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CR 5: Capacities to Monitor and Evaluate</w:t>
            </w:r>
          </w:p>
        </w:tc>
      </w:tr>
      <w:tr w:rsidR="003E69A5" w:rsidRPr="003F7F6C" w14:paraId="6BE1F86A" w14:textId="77777777" w:rsidTr="00D25E0D">
        <w:trPr>
          <w:trHeight w:val="300"/>
        </w:trPr>
        <w:tc>
          <w:tcPr>
            <w:tcW w:w="17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506FBEA"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Indicator 14: Adequacy of the project/programme monitoring process</w:t>
            </w:r>
          </w:p>
        </w:tc>
        <w:tc>
          <w:tcPr>
            <w:tcW w:w="424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7FB21B7"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Irregular project monitoring is being done without an adequate monitoring framework detailing what and how to monitor the particular project or programme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8493DED"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0</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D97BC5"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E6E2A20"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226"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13530DAE"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5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4409005"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183609A8" w14:textId="77777777" w:rsidTr="00D25E0D">
        <w:trPr>
          <w:trHeight w:val="300"/>
        </w:trPr>
        <w:tc>
          <w:tcPr>
            <w:tcW w:w="1776" w:type="dxa"/>
            <w:vMerge/>
            <w:tcBorders>
              <w:top w:val="single" w:sz="4" w:space="0" w:color="auto"/>
              <w:left w:val="single" w:sz="4" w:space="0" w:color="auto"/>
              <w:bottom w:val="single" w:sz="4" w:space="0" w:color="auto"/>
              <w:right w:val="single" w:sz="4" w:space="0" w:color="auto"/>
            </w:tcBorders>
            <w:vAlign w:val="center"/>
            <w:hideMark/>
          </w:tcPr>
          <w:p w14:paraId="5703EA3A" w14:textId="77777777" w:rsidR="003E69A5" w:rsidRPr="003F7F6C" w:rsidRDefault="003E69A5" w:rsidP="00D25E0D">
            <w:pPr>
              <w:spacing w:after="0"/>
              <w:rPr>
                <w:rFonts w:eastAsia="Times New Roman" w:cs="Calibri"/>
                <w:color w:val="000000"/>
                <w:sz w:val="18"/>
                <w:szCs w:val="18"/>
                <w:lang w:eastAsia="es-ES"/>
              </w:rPr>
            </w:pPr>
          </w:p>
        </w:tc>
        <w:tc>
          <w:tcPr>
            <w:tcW w:w="424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C3D8651"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An adequate resourced monitoring framework is in place but project monitoring is irregularly conducted</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F56A3B2"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1</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9D2CE6F"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1</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7467262" w14:textId="77777777" w:rsidR="003E69A5" w:rsidRPr="003F7F6C" w:rsidRDefault="003E69A5" w:rsidP="00D25E0D">
            <w:pPr>
              <w:spacing w:after="0"/>
              <w:rPr>
                <w:rFonts w:eastAsia="Times New Roman" w:cs="Calibri"/>
                <w:color w:val="000000"/>
                <w:sz w:val="18"/>
                <w:szCs w:val="18"/>
                <w:lang w:eastAsia="es-ES"/>
              </w:rPr>
            </w:pPr>
          </w:p>
          <w:p w14:paraId="449EEF52"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There are monitoring frameworks but are irregularly conducted. No participation in monitoring</w:t>
            </w:r>
          </w:p>
        </w:tc>
        <w:tc>
          <w:tcPr>
            <w:tcW w:w="2226"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04FEED6"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Development of monitoring system with participation of key stakeholders</w:t>
            </w:r>
          </w:p>
        </w:tc>
        <w:tc>
          <w:tcPr>
            <w:tcW w:w="165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58A5D9C"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66AC6023" w14:textId="77777777" w:rsidTr="00D25E0D">
        <w:trPr>
          <w:trHeight w:val="300"/>
        </w:trPr>
        <w:tc>
          <w:tcPr>
            <w:tcW w:w="1776" w:type="dxa"/>
            <w:vMerge/>
            <w:tcBorders>
              <w:top w:val="single" w:sz="4" w:space="0" w:color="auto"/>
              <w:left w:val="single" w:sz="4" w:space="0" w:color="auto"/>
              <w:bottom w:val="single" w:sz="4" w:space="0" w:color="auto"/>
              <w:right w:val="single" w:sz="4" w:space="0" w:color="auto"/>
            </w:tcBorders>
            <w:vAlign w:val="center"/>
            <w:hideMark/>
          </w:tcPr>
          <w:p w14:paraId="6C1D3FA8" w14:textId="77777777" w:rsidR="003E69A5" w:rsidRPr="003F7F6C" w:rsidRDefault="003E69A5" w:rsidP="00D25E0D">
            <w:pPr>
              <w:spacing w:after="0"/>
              <w:rPr>
                <w:rFonts w:eastAsia="Times New Roman" w:cs="Calibri"/>
                <w:color w:val="000000"/>
                <w:sz w:val="18"/>
                <w:szCs w:val="18"/>
                <w:lang w:eastAsia="es-ES"/>
              </w:rPr>
            </w:pPr>
          </w:p>
        </w:tc>
        <w:tc>
          <w:tcPr>
            <w:tcW w:w="424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91FF0C4"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Regular participative monitoring of results in being conducted but this information is only partially used by the project/programme implementation team</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6455DD"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93EBDC7"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7034180"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226"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12F4ACE9"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5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F9A1F37"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2FD6CE24" w14:textId="77777777" w:rsidTr="00D25E0D">
        <w:trPr>
          <w:trHeight w:val="300"/>
        </w:trPr>
        <w:tc>
          <w:tcPr>
            <w:tcW w:w="1776" w:type="dxa"/>
            <w:vMerge/>
            <w:tcBorders>
              <w:top w:val="single" w:sz="4" w:space="0" w:color="auto"/>
              <w:left w:val="single" w:sz="4" w:space="0" w:color="auto"/>
              <w:bottom w:val="single" w:sz="4" w:space="0" w:color="auto"/>
              <w:right w:val="single" w:sz="4" w:space="0" w:color="auto"/>
            </w:tcBorders>
            <w:vAlign w:val="center"/>
            <w:hideMark/>
          </w:tcPr>
          <w:p w14:paraId="7DF112C6" w14:textId="77777777" w:rsidR="003E69A5" w:rsidRPr="003F7F6C" w:rsidRDefault="003E69A5" w:rsidP="00D25E0D">
            <w:pPr>
              <w:spacing w:after="0"/>
              <w:rPr>
                <w:rFonts w:eastAsia="Times New Roman" w:cs="Calibri"/>
                <w:color w:val="000000"/>
                <w:sz w:val="18"/>
                <w:szCs w:val="18"/>
                <w:lang w:eastAsia="es-ES"/>
              </w:rPr>
            </w:pPr>
          </w:p>
        </w:tc>
        <w:tc>
          <w:tcPr>
            <w:tcW w:w="424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46A43FF"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Monitoring information is produced timely and accurately and is used by the implementation team to learn and possibly to change the course of action</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BBF501A"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3</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570AD58"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EB6CFC7"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226"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64DD1B8"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5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273642C"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4417F7C0" w14:textId="77777777" w:rsidTr="00D25E0D">
        <w:trPr>
          <w:trHeight w:val="300"/>
        </w:trPr>
        <w:tc>
          <w:tcPr>
            <w:tcW w:w="17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EAF12F8"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Indicator 15: Adequacy of the project/programme evaluation process</w:t>
            </w:r>
          </w:p>
        </w:tc>
        <w:tc>
          <w:tcPr>
            <w:tcW w:w="424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7D779067"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None or ineffective evaluations are being conducted without an adequate evaluation plan; including the</w:t>
            </w:r>
          </w:p>
          <w:p w14:paraId="6EEBB73A" w14:textId="77777777" w:rsidR="003E69A5" w:rsidRPr="003F7F6C" w:rsidRDefault="003E69A5" w:rsidP="00D25E0D">
            <w:pPr>
              <w:spacing w:after="0"/>
              <w:rPr>
                <w:rFonts w:eastAsia="Times New Roman" w:cs="Calibri"/>
                <w:color w:val="000000"/>
                <w:sz w:val="18"/>
                <w:szCs w:val="18"/>
                <w:lang w:eastAsia="es-ES"/>
              </w:rPr>
            </w:pPr>
            <w:r w:rsidRPr="003F7F6C">
              <w:rPr>
                <w:rFonts w:cs="Calibri"/>
                <w:sz w:val="18"/>
                <w:szCs w:val="18"/>
              </w:rPr>
              <w:t>necessary resources</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3E116FE"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0</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3BEFE8"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6F64C3"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226"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F793946"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5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8970142"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2FA8E07C" w14:textId="77777777" w:rsidTr="00D25E0D">
        <w:trPr>
          <w:trHeight w:val="300"/>
        </w:trPr>
        <w:tc>
          <w:tcPr>
            <w:tcW w:w="1776" w:type="dxa"/>
            <w:vMerge/>
            <w:tcBorders>
              <w:top w:val="single" w:sz="4" w:space="0" w:color="auto"/>
              <w:left w:val="single" w:sz="4" w:space="0" w:color="auto"/>
              <w:bottom w:val="single" w:sz="4" w:space="0" w:color="auto"/>
              <w:right w:val="single" w:sz="4" w:space="0" w:color="auto"/>
            </w:tcBorders>
            <w:vAlign w:val="center"/>
            <w:hideMark/>
          </w:tcPr>
          <w:p w14:paraId="6688521F" w14:textId="77777777" w:rsidR="003E69A5" w:rsidRPr="003F7F6C" w:rsidRDefault="003E69A5" w:rsidP="00D25E0D">
            <w:pPr>
              <w:spacing w:after="0"/>
              <w:rPr>
                <w:rFonts w:eastAsia="Times New Roman" w:cs="Calibri"/>
                <w:color w:val="000000"/>
                <w:sz w:val="18"/>
                <w:szCs w:val="18"/>
                <w:lang w:eastAsia="es-ES"/>
              </w:rPr>
            </w:pPr>
          </w:p>
        </w:tc>
        <w:tc>
          <w:tcPr>
            <w:tcW w:w="424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16C35325"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An adequate evaluation plan is in place but evaluation activities are irregularly conducted</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596AC9"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1</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6291A3"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1</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B79F448"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There are evaluation plans but are irregularly conducted. No dissemination of results</w:t>
            </w:r>
          </w:p>
        </w:tc>
        <w:tc>
          <w:tcPr>
            <w:tcW w:w="2226"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09D2E5E"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Development of a systematic evaluation system for ELUP implementation with stakeholder participation</w:t>
            </w:r>
          </w:p>
        </w:tc>
        <w:tc>
          <w:tcPr>
            <w:tcW w:w="165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908BF8B"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3AB23A3C" w14:textId="77777777" w:rsidTr="00D25E0D">
        <w:trPr>
          <w:trHeight w:val="300"/>
        </w:trPr>
        <w:tc>
          <w:tcPr>
            <w:tcW w:w="1776" w:type="dxa"/>
            <w:vMerge/>
            <w:tcBorders>
              <w:top w:val="single" w:sz="4" w:space="0" w:color="auto"/>
              <w:left w:val="single" w:sz="4" w:space="0" w:color="auto"/>
              <w:bottom w:val="single" w:sz="4" w:space="0" w:color="auto"/>
              <w:right w:val="single" w:sz="4" w:space="0" w:color="auto"/>
            </w:tcBorders>
            <w:vAlign w:val="center"/>
            <w:hideMark/>
          </w:tcPr>
          <w:p w14:paraId="7CB8B63B" w14:textId="77777777" w:rsidR="003E69A5" w:rsidRPr="003F7F6C" w:rsidRDefault="003E69A5" w:rsidP="00D25E0D">
            <w:pPr>
              <w:spacing w:after="0"/>
              <w:rPr>
                <w:rFonts w:eastAsia="Times New Roman" w:cs="Calibri"/>
                <w:color w:val="000000"/>
                <w:sz w:val="18"/>
                <w:szCs w:val="18"/>
                <w:lang w:eastAsia="es-ES"/>
              </w:rPr>
            </w:pPr>
          </w:p>
        </w:tc>
        <w:tc>
          <w:tcPr>
            <w:tcW w:w="424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533F6AF" w14:textId="77777777" w:rsidR="003E69A5" w:rsidRPr="003F7F6C" w:rsidRDefault="003E69A5" w:rsidP="00D25E0D">
            <w:pPr>
              <w:autoSpaceDE w:val="0"/>
              <w:autoSpaceDN w:val="0"/>
              <w:adjustRightInd w:val="0"/>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r w:rsidRPr="003F7F6C">
              <w:rPr>
                <w:rFonts w:cs="Calibri"/>
                <w:sz w:val="18"/>
                <w:szCs w:val="18"/>
              </w:rPr>
              <w:t>Evaluations are being conducted as per an adequate evaluation plan but the evaluation results are only partially used by the project/programme implementation team</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58B7E27"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3736B33"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E42C83"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226"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58C8524"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5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DC90F7"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49A25127" w14:textId="77777777" w:rsidTr="00D25E0D">
        <w:trPr>
          <w:trHeight w:val="300"/>
        </w:trPr>
        <w:tc>
          <w:tcPr>
            <w:tcW w:w="1776" w:type="dxa"/>
            <w:vMerge/>
            <w:tcBorders>
              <w:top w:val="single" w:sz="4" w:space="0" w:color="auto"/>
              <w:left w:val="single" w:sz="4" w:space="0" w:color="auto"/>
              <w:bottom w:val="single" w:sz="4" w:space="0" w:color="auto"/>
              <w:right w:val="single" w:sz="4" w:space="0" w:color="auto"/>
            </w:tcBorders>
            <w:vAlign w:val="center"/>
            <w:hideMark/>
          </w:tcPr>
          <w:p w14:paraId="6270D5DA" w14:textId="77777777" w:rsidR="003E69A5" w:rsidRPr="003F7F6C" w:rsidRDefault="003E69A5" w:rsidP="00D25E0D">
            <w:pPr>
              <w:spacing w:after="0"/>
              <w:rPr>
                <w:rFonts w:eastAsia="Times New Roman" w:cs="Calibri"/>
                <w:color w:val="000000"/>
                <w:sz w:val="18"/>
                <w:szCs w:val="18"/>
                <w:lang w:eastAsia="es-ES"/>
              </w:rPr>
            </w:pPr>
          </w:p>
        </w:tc>
        <w:tc>
          <w:tcPr>
            <w:tcW w:w="4248" w:type="dxa"/>
            <w:tcBorders>
              <w:top w:val="single" w:sz="4" w:space="0" w:color="auto"/>
              <w:left w:val="nil"/>
              <w:bottom w:val="single" w:sz="4" w:space="0" w:color="auto"/>
              <w:right w:val="single" w:sz="4" w:space="0" w:color="auto"/>
            </w:tcBorders>
            <w:shd w:val="clear" w:color="auto" w:fill="auto"/>
            <w:vAlign w:val="bottom"/>
            <w:hideMark/>
          </w:tcPr>
          <w:p w14:paraId="1DC90608" w14:textId="77777777" w:rsidR="003E69A5" w:rsidRPr="003F7F6C" w:rsidRDefault="003E69A5" w:rsidP="00D25E0D">
            <w:pPr>
              <w:autoSpaceDE w:val="0"/>
              <w:autoSpaceDN w:val="0"/>
              <w:adjustRightInd w:val="0"/>
              <w:spacing w:after="0"/>
              <w:rPr>
                <w:rFonts w:cs="Calibri"/>
                <w:sz w:val="18"/>
                <w:szCs w:val="18"/>
              </w:rPr>
            </w:pPr>
            <w:r w:rsidRPr="003F7F6C">
              <w:rPr>
                <w:rFonts w:eastAsia="Times New Roman" w:cs="Calibri"/>
                <w:color w:val="000000"/>
                <w:sz w:val="18"/>
                <w:szCs w:val="18"/>
                <w:lang w:eastAsia="es-ES"/>
              </w:rPr>
              <w:t> </w:t>
            </w:r>
            <w:r w:rsidRPr="003F7F6C">
              <w:rPr>
                <w:rFonts w:cs="Calibri"/>
                <w:sz w:val="18"/>
                <w:szCs w:val="18"/>
              </w:rPr>
              <w:t>Effective evaluations are conducted timely and accurately and are used by the implementation team and the Agencies and GEF Staff to correct the course of action if needed and to learn for further planning activities</w:t>
            </w:r>
          </w:p>
        </w:tc>
        <w:tc>
          <w:tcPr>
            <w:tcW w:w="709" w:type="dxa"/>
            <w:tcBorders>
              <w:top w:val="single" w:sz="4" w:space="0" w:color="auto"/>
              <w:left w:val="nil"/>
              <w:bottom w:val="single" w:sz="4" w:space="0" w:color="auto"/>
              <w:right w:val="single" w:sz="4" w:space="0" w:color="auto"/>
            </w:tcBorders>
            <w:shd w:val="clear" w:color="auto" w:fill="auto"/>
            <w:vAlign w:val="bottom"/>
            <w:hideMark/>
          </w:tcPr>
          <w:p w14:paraId="43F921B8"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3</w:t>
            </w:r>
          </w:p>
        </w:tc>
        <w:tc>
          <w:tcPr>
            <w:tcW w:w="708" w:type="dxa"/>
            <w:tcBorders>
              <w:top w:val="single" w:sz="4" w:space="0" w:color="auto"/>
              <w:left w:val="nil"/>
              <w:bottom w:val="single" w:sz="4" w:space="0" w:color="auto"/>
              <w:right w:val="single" w:sz="4" w:space="0" w:color="auto"/>
            </w:tcBorders>
            <w:shd w:val="clear" w:color="auto" w:fill="auto"/>
            <w:vAlign w:val="bottom"/>
            <w:hideMark/>
          </w:tcPr>
          <w:p w14:paraId="478F6E41"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3119" w:type="dxa"/>
            <w:tcBorders>
              <w:top w:val="single" w:sz="4" w:space="0" w:color="auto"/>
              <w:left w:val="nil"/>
              <w:bottom w:val="single" w:sz="4" w:space="0" w:color="auto"/>
              <w:right w:val="single" w:sz="4" w:space="0" w:color="auto"/>
            </w:tcBorders>
            <w:shd w:val="clear" w:color="auto" w:fill="auto"/>
            <w:vAlign w:val="bottom"/>
            <w:hideMark/>
          </w:tcPr>
          <w:p w14:paraId="6485885B"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2226" w:type="dxa"/>
            <w:gridSpan w:val="2"/>
            <w:tcBorders>
              <w:top w:val="single" w:sz="4" w:space="0" w:color="auto"/>
              <w:left w:val="nil"/>
              <w:bottom w:val="single" w:sz="4" w:space="0" w:color="auto"/>
              <w:right w:val="single" w:sz="4" w:space="0" w:color="auto"/>
            </w:tcBorders>
            <w:shd w:val="clear" w:color="auto" w:fill="auto"/>
            <w:vAlign w:val="bottom"/>
            <w:hideMark/>
          </w:tcPr>
          <w:p w14:paraId="71CCF59B"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c>
          <w:tcPr>
            <w:tcW w:w="1654" w:type="dxa"/>
            <w:tcBorders>
              <w:top w:val="single" w:sz="4" w:space="0" w:color="auto"/>
              <w:left w:val="nil"/>
              <w:bottom w:val="single" w:sz="4" w:space="0" w:color="auto"/>
              <w:right w:val="single" w:sz="4" w:space="0" w:color="auto"/>
            </w:tcBorders>
            <w:shd w:val="clear" w:color="auto" w:fill="auto"/>
            <w:vAlign w:val="bottom"/>
            <w:hideMark/>
          </w:tcPr>
          <w:p w14:paraId="5EF72063" w14:textId="77777777" w:rsidR="003E69A5" w:rsidRPr="003F7F6C" w:rsidRDefault="003E69A5" w:rsidP="00D25E0D">
            <w:pPr>
              <w:spacing w:after="0"/>
              <w:rPr>
                <w:rFonts w:eastAsia="Times New Roman" w:cs="Calibri"/>
                <w:color w:val="000000"/>
                <w:sz w:val="18"/>
                <w:szCs w:val="18"/>
                <w:lang w:eastAsia="es-ES"/>
              </w:rPr>
            </w:pPr>
            <w:r w:rsidRPr="003F7F6C">
              <w:rPr>
                <w:rFonts w:eastAsia="Times New Roman" w:cs="Calibri"/>
                <w:color w:val="000000"/>
                <w:sz w:val="18"/>
                <w:szCs w:val="18"/>
                <w:lang w:eastAsia="es-ES"/>
              </w:rPr>
              <w:t> </w:t>
            </w:r>
          </w:p>
        </w:tc>
      </w:tr>
      <w:tr w:rsidR="003E69A5" w:rsidRPr="003F7F6C" w14:paraId="6001303F" w14:textId="77777777" w:rsidTr="00D25E0D">
        <w:trPr>
          <w:trHeight w:val="266"/>
        </w:trPr>
        <w:tc>
          <w:tcPr>
            <w:tcW w:w="1776" w:type="dxa"/>
            <w:vMerge w:val="restart"/>
            <w:tcBorders>
              <w:top w:val="single" w:sz="4" w:space="0" w:color="auto"/>
              <w:left w:val="single" w:sz="4" w:space="0" w:color="auto"/>
              <w:bottom w:val="single" w:sz="4" w:space="0" w:color="auto"/>
              <w:right w:val="single" w:sz="4" w:space="0" w:color="auto"/>
            </w:tcBorders>
            <w:vAlign w:val="center"/>
          </w:tcPr>
          <w:p w14:paraId="7310212D"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Scoring CR 5</w:t>
            </w:r>
          </w:p>
        </w:tc>
        <w:tc>
          <w:tcPr>
            <w:tcW w:w="4248" w:type="dxa"/>
            <w:vMerge w:val="restart"/>
            <w:tcBorders>
              <w:top w:val="single" w:sz="4" w:space="0" w:color="auto"/>
              <w:left w:val="nil"/>
              <w:bottom w:val="single" w:sz="4" w:space="0" w:color="auto"/>
              <w:right w:val="single" w:sz="4" w:space="0" w:color="auto"/>
            </w:tcBorders>
            <w:shd w:val="clear" w:color="auto" w:fill="auto"/>
            <w:vAlign w:val="center"/>
          </w:tcPr>
          <w:p w14:paraId="4CD5BDA6" w14:textId="77777777" w:rsidR="003E69A5" w:rsidRPr="003F7F6C" w:rsidRDefault="003E69A5" w:rsidP="00D25E0D">
            <w:pPr>
              <w:autoSpaceDE w:val="0"/>
              <w:autoSpaceDN w:val="0"/>
              <w:adjustRightInd w:val="0"/>
              <w:spacing w:after="0"/>
              <w:rPr>
                <w:rFonts w:cs="Calibri"/>
                <w:sz w:val="18"/>
                <w:szCs w:val="18"/>
              </w:rPr>
            </w:pPr>
          </w:p>
        </w:tc>
        <w:tc>
          <w:tcPr>
            <w:tcW w:w="709" w:type="dxa"/>
            <w:tcBorders>
              <w:top w:val="single" w:sz="4" w:space="0" w:color="auto"/>
              <w:left w:val="nil"/>
              <w:bottom w:val="single" w:sz="4" w:space="0" w:color="auto"/>
              <w:right w:val="single" w:sz="4" w:space="0" w:color="auto"/>
            </w:tcBorders>
            <w:shd w:val="clear" w:color="auto" w:fill="auto"/>
            <w:vAlign w:val="center"/>
          </w:tcPr>
          <w:p w14:paraId="3ED95E59"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6</w:t>
            </w:r>
          </w:p>
        </w:tc>
        <w:tc>
          <w:tcPr>
            <w:tcW w:w="708" w:type="dxa"/>
            <w:tcBorders>
              <w:top w:val="single" w:sz="4" w:space="0" w:color="auto"/>
              <w:left w:val="nil"/>
              <w:bottom w:val="single" w:sz="4" w:space="0" w:color="auto"/>
              <w:right w:val="single" w:sz="4" w:space="0" w:color="auto"/>
            </w:tcBorders>
            <w:shd w:val="clear" w:color="auto" w:fill="auto"/>
            <w:vAlign w:val="center"/>
          </w:tcPr>
          <w:p w14:paraId="34055C64" w14:textId="7777777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2</w:t>
            </w:r>
          </w:p>
        </w:tc>
        <w:tc>
          <w:tcPr>
            <w:tcW w:w="3119" w:type="dxa"/>
            <w:tcBorders>
              <w:top w:val="single" w:sz="4" w:space="0" w:color="auto"/>
              <w:left w:val="nil"/>
              <w:bottom w:val="single" w:sz="4" w:space="0" w:color="auto"/>
              <w:right w:val="single" w:sz="4" w:space="0" w:color="auto"/>
            </w:tcBorders>
            <w:shd w:val="clear" w:color="auto" w:fill="auto"/>
            <w:vAlign w:val="bottom"/>
          </w:tcPr>
          <w:p w14:paraId="4CB63CEC" w14:textId="77777777" w:rsidR="003E69A5" w:rsidRPr="003F7F6C" w:rsidRDefault="003E69A5" w:rsidP="00D25E0D">
            <w:pPr>
              <w:spacing w:after="0"/>
              <w:rPr>
                <w:rFonts w:eastAsia="Times New Roman" w:cs="Calibri"/>
                <w:color w:val="000000"/>
                <w:sz w:val="18"/>
                <w:szCs w:val="18"/>
                <w:lang w:eastAsia="es-ES"/>
              </w:rPr>
            </w:pPr>
          </w:p>
        </w:tc>
        <w:tc>
          <w:tcPr>
            <w:tcW w:w="2226" w:type="dxa"/>
            <w:gridSpan w:val="2"/>
            <w:tcBorders>
              <w:top w:val="single" w:sz="4" w:space="0" w:color="auto"/>
              <w:left w:val="nil"/>
              <w:bottom w:val="single" w:sz="4" w:space="0" w:color="auto"/>
              <w:right w:val="single" w:sz="4" w:space="0" w:color="auto"/>
            </w:tcBorders>
            <w:shd w:val="clear" w:color="auto" w:fill="auto"/>
            <w:vAlign w:val="bottom"/>
          </w:tcPr>
          <w:p w14:paraId="064C0659" w14:textId="77777777" w:rsidR="003E69A5" w:rsidRPr="003F7F6C" w:rsidRDefault="003E69A5" w:rsidP="00D25E0D">
            <w:pPr>
              <w:spacing w:after="0"/>
              <w:rPr>
                <w:rFonts w:eastAsia="Times New Roman" w:cs="Calibri"/>
                <w:color w:val="000000"/>
                <w:sz w:val="18"/>
                <w:szCs w:val="18"/>
                <w:lang w:eastAsia="es-ES"/>
              </w:rPr>
            </w:pPr>
          </w:p>
        </w:tc>
        <w:tc>
          <w:tcPr>
            <w:tcW w:w="1654" w:type="dxa"/>
            <w:tcBorders>
              <w:top w:val="single" w:sz="4" w:space="0" w:color="auto"/>
              <w:left w:val="nil"/>
              <w:bottom w:val="single" w:sz="4" w:space="0" w:color="auto"/>
              <w:right w:val="single" w:sz="4" w:space="0" w:color="auto"/>
            </w:tcBorders>
            <w:shd w:val="clear" w:color="auto" w:fill="auto"/>
            <w:vAlign w:val="bottom"/>
          </w:tcPr>
          <w:p w14:paraId="2D9C4B4A"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77E933DB" w14:textId="77777777" w:rsidTr="00D25E0D">
        <w:trPr>
          <w:trHeight w:val="288"/>
        </w:trPr>
        <w:tc>
          <w:tcPr>
            <w:tcW w:w="1776" w:type="dxa"/>
            <w:vMerge/>
            <w:tcBorders>
              <w:top w:val="single" w:sz="4" w:space="0" w:color="auto"/>
              <w:left w:val="single" w:sz="4" w:space="0" w:color="auto"/>
              <w:bottom w:val="single" w:sz="4" w:space="0" w:color="auto"/>
              <w:right w:val="single" w:sz="4" w:space="0" w:color="auto"/>
            </w:tcBorders>
            <w:vAlign w:val="center"/>
          </w:tcPr>
          <w:p w14:paraId="28A4BCFA" w14:textId="77777777" w:rsidR="003E69A5" w:rsidRPr="003F7F6C" w:rsidRDefault="003E69A5" w:rsidP="00D25E0D">
            <w:pPr>
              <w:spacing w:after="0"/>
              <w:jc w:val="center"/>
              <w:rPr>
                <w:rFonts w:eastAsia="Times New Roman" w:cs="Calibri"/>
                <w:color w:val="000000"/>
                <w:sz w:val="18"/>
                <w:szCs w:val="18"/>
                <w:lang w:eastAsia="es-ES"/>
              </w:rPr>
            </w:pPr>
          </w:p>
        </w:tc>
        <w:tc>
          <w:tcPr>
            <w:tcW w:w="4248" w:type="dxa"/>
            <w:vMerge/>
            <w:tcBorders>
              <w:top w:val="single" w:sz="4" w:space="0" w:color="auto"/>
              <w:left w:val="nil"/>
              <w:bottom w:val="single" w:sz="4" w:space="0" w:color="auto"/>
              <w:right w:val="single" w:sz="4" w:space="0" w:color="auto"/>
            </w:tcBorders>
            <w:shd w:val="clear" w:color="auto" w:fill="auto"/>
            <w:vAlign w:val="center"/>
          </w:tcPr>
          <w:p w14:paraId="52F27F5D" w14:textId="77777777" w:rsidR="003E69A5" w:rsidRPr="003F7F6C" w:rsidRDefault="003E69A5" w:rsidP="00D25E0D">
            <w:pPr>
              <w:autoSpaceDE w:val="0"/>
              <w:autoSpaceDN w:val="0"/>
              <w:adjustRightInd w:val="0"/>
              <w:spacing w:after="0"/>
              <w:rPr>
                <w:rFonts w:cs="Calibri"/>
                <w:sz w:val="18"/>
                <w:szCs w:val="18"/>
              </w:rPr>
            </w:pPr>
          </w:p>
        </w:tc>
        <w:tc>
          <w:tcPr>
            <w:tcW w:w="709" w:type="dxa"/>
            <w:tcBorders>
              <w:top w:val="single" w:sz="4" w:space="0" w:color="auto"/>
              <w:left w:val="nil"/>
              <w:bottom w:val="single" w:sz="4" w:space="0" w:color="auto"/>
              <w:right w:val="single" w:sz="4" w:space="0" w:color="auto"/>
            </w:tcBorders>
            <w:shd w:val="clear" w:color="auto" w:fill="auto"/>
            <w:vAlign w:val="center"/>
          </w:tcPr>
          <w:p w14:paraId="3C0CE3A2" w14:textId="77777777" w:rsidR="003E69A5" w:rsidRPr="003F7F6C" w:rsidRDefault="003E69A5" w:rsidP="00D25E0D">
            <w:pPr>
              <w:spacing w:after="0"/>
              <w:jc w:val="center"/>
              <w:rPr>
                <w:rFonts w:eastAsia="Times New Roman" w:cs="Calibri"/>
                <w:color w:val="000000"/>
                <w:sz w:val="18"/>
                <w:szCs w:val="18"/>
                <w:lang w:eastAsia="es-ES"/>
              </w:rPr>
            </w:pPr>
          </w:p>
        </w:tc>
        <w:tc>
          <w:tcPr>
            <w:tcW w:w="708" w:type="dxa"/>
            <w:tcBorders>
              <w:top w:val="single" w:sz="4" w:space="0" w:color="auto"/>
              <w:left w:val="nil"/>
              <w:bottom w:val="single" w:sz="4" w:space="0" w:color="auto"/>
              <w:right w:val="single" w:sz="4" w:space="0" w:color="auto"/>
            </w:tcBorders>
            <w:shd w:val="clear" w:color="auto" w:fill="auto"/>
            <w:vAlign w:val="center"/>
          </w:tcPr>
          <w:p w14:paraId="55859751" w14:textId="7571F537" w:rsidR="003E69A5" w:rsidRPr="003F7F6C" w:rsidRDefault="003E69A5" w:rsidP="00D25E0D">
            <w:pPr>
              <w:spacing w:after="0"/>
              <w:jc w:val="center"/>
              <w:rPr>
                <w:rFonts w:eastAsia="Times New Roman" w:cs="Calibri"/>
                <w:color w:val="000000"/>
                <w:sz w:val="18"/>
                <w:szCs w:val="18"/>
                <w:lang w:eastAsia="es-ES"/>
              </w:rPr>
            </w:pPr>
            <w:r w:rsidRPr="003F7F6C">
              <w:rPr>
                <w:rFonts w:eastAsia="Times New Roman" w:cs="Calibri"/>
                <w:color w:val="000000"/>
                <w:sz w:val="18"/>
                <w:szCs w:val="18"/>
                <w:lang w:eastAsia="es-ES"/>
              </w:rPr>
              <w:t>33</w:t>
            </w:r>
            <w:r w:rsidR="00FB6D2D" w:rsidRPr="003F7F6C">
              <w:rPr>
                <w:rFonts w:eastAsia="Times New Roman" w:cs="Calibri"/>
                <w:color w:val="000000"/>
                <w:sz w:val="18"/>
                <w:szCs w:val="18"/>
                <w:lang w:eastAsia="es-ES"/>
              </w:rPr>
              <w:t>.</w:t>
            </w:r>
            <w:r w:rsidRPr="003F7F6C">
              <w:rPr>
                <w:rFonts w:eastAsia="Times New Roman" w:cs="Calibri"/>
                <w:color w:val="000000"/>
                <w:sz w:val="18"/>
                <w:szCs w:val="18"/>
                <w:lang w:eastAsia="es-ES"/>
              </w:rPr>
              <w:t>3%</w:t>
            </w:r>
          </w:p>
        </w:tc>
        <w:tc>
          <w:tcPr>
            <w:tcW w:w="3119" w:type="dxa"/>
            <w:tcBorders>
              <w:top w:val="single" w:sz="4" w:space="0" w:color="auto"/>
              <w:left w:val="nil"/>
              <w:bottom w:val="single" w:sz="4" w:space="0" w:color="auto"/>
              <w:right w:val="single" w:sz="4" w:space="0" w:color="auto"/>
            </w:tcBorders>
            <w:shd w:val="clear" w:color="auto" w:fill="auto"/>
            <w:vAlign w:val="bottom"/>
          </w:tcPr>
          <w:p w14:paraId="010AD3A0" w14:textId="77777777" w:rsidR="003E69A5" w:rsidRPr="003F7F6C" w:rsidRDefault="003E69A5" w:rsidP="00D25E0D">
            <w:pPr>
              <w:spacing w:after="0"/>
              <w:rPr>
                <w:rFonts w:eastAsia="Times New Roman" w:cs="Calibri"/>
                <w:color w:val="000000"/>
                <w:sz w:val="18"/>
                <w:szCs w:val="18"/>
                <w:lang w:eastAsia="es-ES"/>
              </w:rPr>
            </w:pPr>
          </w:p>
        </w:tc>
        <w:tc>
          <w:tcPr>
            <w:tcW w:w="2226" w:type="dxa"/>
            <w:gridSpan w:val="2"/>
            <w:tcBorders>
              <w:top w:val="single" w:sz="4" w:space="0" w:color="auto"/>
              <w:left w:val="nil"/>
              <w:bottom w:val="single" w:sz="4" w:space="0" w:color="auto"/>
              <w:right w:val="single" w:sz="4" w:space="0" w:color="auto"/>
            </w:tcBorders>
            <w:shd w:val="clear" w:color="auto" w:fill="auto"/>
            <w:vAlign w:val="bottom"/>
          </w:tcPr>
          <w:p w14:paraId="17654265" w14:textId="77777777" w:rsidR="003E69A5" w:rsidRPr="003F7F6C" w:rsidRDefault="003E69A5" w:rsidP="00D25E0D">
            <w:pPr>
              <w:spacing w:after="0"/>
              <w:rPr>
                <w:rFonts w:eastAsia="Times New Roman" w:cs="Calibri"/>
                <w:color w:val="000000"/>
                <w:sz w:val="18"/>
                <w:szCs w:val="18"/>
                <w:lang w:eastAsia="es-ES"/>
              </w:rPr>
            </w:pPr>
          </w:p>
        </w:tc>
        <w:tc>
          <w:tcPr>
            <w:tcW w:w="1654" w:type="dxa"/>
            <w:tcBorders>
              <w:top w:val="single" w:sz="4" w:space="0" w:color="auto"/>
              <w:left w:val="nil"/>
              <w:bottom w:val="single" w:sz="4" w:space="0" w:color="auto"/>
              <w:right w:val="single" w:sz="4" w:space="0" w:color="auto"/>
            </w:tcBorders>
            <w:shd w:val="clear" w:color="auto" w:fill="auto"/>
            <w:vAlign w:val="bottom"/>
          </w:tcPr>
          <w:p w14:paraId="22B0E90C"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14897995" w14:textId="77777777" w:rsidTr="00D25E0D">
        <w:trPr>
          <w:trHeight w:val="288"/>
        </w:trPr>
        <w:tc>
          <w:tcPr>
            <w:tcW w:w="1776" w:type="dxa"/>
            <w:tcBorders>
              <w:top w:val="single" w:sz="4" w:space="0" w:color="auto"/>
              <w:left w:val="single" w:sz="4" w:space="0" w:color="auto"/>
              <w:bottom w:val="single" w:sz="4" w:space="0" w:color="auto"/>
              <w:right w:val="single" w:sz="4" w:space="0" w:color="auto"/>
            </w:tcBorders>
            <w:vAlign w:val="center"/>
          </w:tcPr>
          <w:p w14:paraId="48774D7C" w14:textId="77777777" w:rsidR="003E69A5" w:rsidRPr="003F7F6C" w:rsidRDefault="003E69A5" w:rsidP="00D25E0D">
            <w:pPr>
              <w:spacing w:after="0"/>
              <w:jc w:val="center"/>
              <w:rPr>
                <w:rFonts w:eastAsia="Times New Roman" w:cs="Calibri"/>
                <w:color w:val="000000"/>
                <w:sz w:val="18"/>
                <w:szCs w:val="18"/>
                <w:lang w:eastAsia="es-ES"/>
              </w:rPr>
            </w:pPr>
          </w:p>
        </w:tc>
        <w:tc>
          <w:tcPr>
            <w:tcW w:w="4248" w:type="dxa"/>
            <w:tcBorders>
              <w:top w:val="single" w:sz="4" w:space="0" w:color="auto"/>
              <w:left w:val="nil"/>
              <w:bottom w:val="single" w:sz="4" w:space="0" w:color="auto"/>
              <w:right w:val="single" w:sz="4" w:space="0" w:color="auto"/>
            </w:tcBorders>
            <w:shd w:val="clear" w:color="auto" w:fill="auto"/>
            <w:vAlign w:val="center"/>
          </w:tcPr>
          <w:p w14:paraId="23E46617" w14:textId="77777777" w:rsidR="003E69A5" w:rsidRPr="003F7F6C" w:rsidRDefault="003E69A5" w:rsidP="00D25E0D">
            <w:pPr>
              <w:autoSpaceDE w:val="0"/>
              <w:autoSpaceDN w:val="0"/>
              <w:adjustRightInd w:val="0"/>
              <w:spacing w:after="0"/>
              <w:rPr>
                <w:rFonts w:cs="Calibri"/>
                <w:sz w:val="18"/>
                <w:szCs w:val="18"/>
              </w:rPr>
            </w:pPr>
          </w:p>
        </w:tc>
        <w:tc>
          <w:tcPr>
            <w:tcW w:w="709" w:type="dxa"/>
            <w:tcBorders>
              <w:top w:val="single" w:sz="4" w:space="0" w:color="auto"/>
              <w:left w:val="nil"/>
              <w:bottom w:val="single" w:sz="4" w:space="0" w:color="auto"/>
              <w:right w:val="single" w:sz="4" w:space="0" w:color="auto"/>
            </w:tcBorders>
            <w:shd w:val="clear" w:color="auto" w:fill="auto"/>
            <w:vAlign w:val="center"/>
          </w:tcPr>
          <w:p w14:paraId="0C2D443E" w14:textId="77777777" w:rsidR="003E69A5" w:rsidRPr="003F7F6C" w:rsidRDefault="003E69A5" w:rsidP="00D25E0D">
            <w:pPr>
              <w:spacing w:after="0"/>
              <w:jc w:val="center"/>
              <w:rPr>
                <w:rFonts w:eastAsia="Times New Roman" w:cs="Calibri"/>
                <w:color w:val="000000"/>
                <w:sz w:val="18"/>
                <w:szCs w:val="18"/>
                <w:lang w:eastAsia="es-ES"/>
              </w:rPr>
            </w:pPr>
          </w:p>
        </w:tc>
        <w:tc>
          <w:tcPr>
            <w:tcW w:w="708" w:type="dxa"/>
            <w:tcBorders>
              <w:top w:val="single" w:sz="4" w:space="0" w:color="auto"/>
              <w:left w:val="nil"/>
              <w:bottom w:val="single" w:sz="4" w:space="0" w:color="auto"/>
              <w:right w:val="single" w:sz="4" w:space="0" w:color="auto"/>
            </w:tcBorders>
            <w:shd w:val="clear" w:color="auto" w:fill="auto"/>
            <w:vAlign w:val="center"/>
          </w:tcPr>
          <w:p w14:paraId="3F9FC7BB" w14:textId="77777777" w:rsidR="003E69A5" w:rsidRPr="003F7F6C" w:rsidRDefault="003E69A5" w:rsidP="00D25E0D">
            <w:pPr>
              <w:spacing w:after="0"/>
              <w:jc w:val="center"/>
              <w:rPr>
                <w:rFonts w:eastAsia="Times New Roman" w:cs="Calibri"/>
                <w:color w:val="000000"/>
                <w:sz w:val="18"/>
                <w:szCs w:val="18"/>
                <w:lang w:eastAsia="es-ES"/>
              </w:rPr>
            </w:pPr>
          </w:p>
        </w:tc>
        <w:tc>
          <w:tcPr>
            <w:tcW w:w="3119" w:type="dxa"/>
            <w:tcBorders>
              <w:top w:val="single" w:sz="4" w:space="0" w:color="auto"/>
              <w:left w:val="nil"/>
              <w:bottom w:val="single" w:sz="4" w:space="0" w:color="auto"/>
              <w:right w:val="single" w:sz="4" w:space="0" w:color="auto"/>
            </w:tcBorders>
            <w:shd w:val="clear" w:color="auto" w:fill="auto"/>
            <w:vAlign w:val="bottom"/>
          </w:tcPr>
          <w:p w14:paraId="6FBE162A" w14:textId="77777777" w:rsidR="003E69A5" w:rsidRPr="003F7F6C" w:rsidRDefault="003E69A5" w:rsidP="00D25E0D">
            <w:pPr>
              <w:spacing w:after="0"/>
              <w:rPr>
                <w:rFonts w:eastAsia="Times New Roman" w:cs="Calibri"/>
                <w:color w:val="000000"/>
                <w:sz w:val="18"/>
                <w:szCs w:val="18"/>
                <w:lang w:eastAsia="es-ES"/>
              </w:rPr>
            </w:pPr>
          </w:p>
        </w:tc>
        <w:tc>
          <w:tcPr>
            <w:tcW w:w="2226" w:type="dxa"/>
            <w:gridSpan w:val="2"/>
            <w:tcBorders>
              <w:top w:val="single" w:sz="4" w:space="0" w:color="auto"/>
              <w:left w:val="nil"/>
              <w:bottom w:val="single" w:sz="4" w:space="0" w:color="auto"/>
              <w:right w:val="single" w:sz="4" w:space="0" w:color="auto"/>
            </w:tcBorders>
            <w:shd w:val="clear" w:color="auto" w:fill="auto"/>
            <w:vAlign w:val="bottom"/>
          </w:tcPr>
          <w:p w14:paraId="6A65432A" w14:textId="77777777" w:rsidR="003E69A5" w:rsidRPr="003F7F6C" w:rsidRDefault="003E69A5" w:rsidP="00D25E0D">
            <w:pPr>
              <w:spacing w:after="0"/>
              <w:rPr>
                <w:rFonts w:eastAsia="Times New Roman" w:cs="Calibri"/>
                <w:color w:val="000000"/>
                <w:sz w:val="18"/>
                <w:szCs w:val="18"/>
                <w:lang w:eastAsia="es-ES"/>
              </w:rPr>
            </w:pPr>
          </w:p>
        </w:tc>
        <w:tc>
          <w:tcPr>
            <w:tcW w:w="1654" w:type="dxa"/>
            <w:tcBorders>
              <w:top w:val="single" w:sz="4" w:space="0" w:color="auto"/>
              <w:left w:val="nil"/>
              <w:bottom w:val="single" w:sz="4" w:space="0" w:color="auto"/>
              <w:right w:val="single" w:sz="4" w:space="0" w:color="auto"/>
            </w:tcBorders>
            <w:shd w:val="clear" w:color="auto" w:fill="auto"/>
            <w:vAlign w:val="bottom"/>
          </w:tcPr>
          <w:p w14:paraId="49CE907A"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52427016" w14:textId="77777777" w:rsidTr="00D25E0D">
        <w:trPr>
          <w:trHeight w:val="288"/>
        </w:trPr>
        <w:tc>
          <w:tcPr>
            <w:tcW w:w="1776" w:type="dxa"/>
            <w:tcBorders>
              <w:left w:val="single" w:sz="4" w:space="0" w:color="auto"/>
              <w:bottom w:val="single" w:sz="4" w:space="0" w:color="auto"/>
              <w:right w:val="single" w:sz="4" w:space="0" w:color="auto"/>
            </w:tcBorders>
            <w:vAlign w:val="center"/>
          </w:tcPr>
          <w:p w14:paraId="7909F3C3" w14:textId="77777777" w:rsidR="003E69A5" w:rsidRPr="003F7F6C" w:rsidRDefault="003E69A5" w:rsidP="00D25E0D">
            <w:pPr>
              <w:spacing w:after="0"/>
              <w:jc w:val="center"/>
              <w:rPr>
                <w:rFonts w:eastAsia="Times New Roman" w:cs="Calibri"/>
                <w:b/>
                <w:color w:val="000000"/>
                <w:sz w:val="18"/>
                <w:szCs w:val="18"/>
                <w:lang w:eastAsia="es-ES"/>
              </w:rPr>
            </w:pPr>
            <w:r w:rsidRPr="003F7F6C">
              <w:rPr>
                <w:rFonts w:eastAsia="Times New Roman" w:cs="Calibri"/>
                <w:b/>
                <w:color w:val="000000"/>
                <w:sz w:val="18"/>
                <w:szCs w:val="18"/>
                <w:lang w:eastAsia="es-ES"/>
              </w:rPr>
              <w:t>Total Score</w:t>
            </w:r>
          </w:p>
        </w:tc>
        <w:tc>
          <w:tcPr>
            <w:tcW w:w="4248" w:type="dxa"/>
            <w:tcBorders>
              <w:left w:val="nil"/>
              <w:bottom w:val="single" w:sz="4" w:space="0" w:color="auto"/>
              <w:right w:val="single" w:sz="4" w:space="0" w:color="auto"/>
            </w:tcBorders>
            <w:shd w:val="clear" w:color="auto" w:fill="auto"/>
            <w:vAlign w:val="center"/>
          </w:tcPr>
          <w:p w14:paraId="0DD9673F" w14:textId="77777777" w:rsidR="003E69A5" w:rsidRPr="003F7F6C" w:rsidRDefault="003E69A5" w:rsidP="00D25E0D">
            <w:pPr>
              <w:autoSpaceDE w:val="0"/>
              <w:autoSpaceDN w:val="0"/>
              <w:adjustRightInd w:val="0"/>
              <w:spacing w:after="0"/>
              <w:rPr>
                <w:rFonts w:cs="Calibri"/>
                <w:b/>
                <w:sz w:val="18"/>
                <w:szCs w:val="18"/>
              </w:rPr>
            </w:pPr>
          </w:p>
        </w:tc>
        <w:tc>
          <w:tcPr>
            <w:tcW w:w="709" w:type="dxa"/>
            <w:tcBorders>
              <w:top w:val="single" w:sz="4" w:space="0" w:color="auto"/>
              <w:left w:val="nil"/>
              <w:bottom w:val="single" w:sz="4" w:space="0" w:color="auto"/>
              <w:right w:val="single" w:sz="4" w:space="0" w:color="auto"/>
            </w:tcBorders>
            <w:shd w:val="clear" w:color="auto" w:fill="auto"/>
            <w:vAlign w:val="center"/>
          </w:tcPr>
          <w:p w14:paraId="685A8279" w14:textId="77777777" w:rsidR="003E69A5" w:rsidRPr="003F7F6C" w:rsidRDefault="003E69A5" w:rsidP="00D25E0D">
            <w:pPr>
              <w:spacing w:after="0"/>
              <w:jc w:val="center"/>
              <w:rPr>
                <w:rFonts w:eastAsia="Times New Roman" w:cs="Calibri"/>
                <w:b/>
                <w:color w:val="000000"/>
                <w:sz w:val="18"/>
                <w:szCs w:val="18"/>
                <w:lang w:eastAsia="es-ES"/>
              </w:rPr>
            </w:pPr>
            <w:r w:rsidRPr="003F7F6C">
              <w:rPr>
                <w:rFonts w:eastAsia="Times New Roman" w:cs="Calibri"/>
                <w:b/>
                <w:color w:val="000000"/>
                <w:sz w:val="18"/>
                <w:szCs w:val="18"/>
                <w:lang w:eastAsia="es-ES"/>
              </w:rPr>
              <w:t>45</w:t>
            </w:r>
          </w:p>
        </w:tc>
        <w:tc>
          <w:tcPr>
            <w:tcW w:w="708" w:type="dxa"/>
            <w:tcBorders>
              <w:top w:val="single" w:sz="4" w:space="0" w:color="auto"/>
              <w:left w:val="nil"/>
              <w:bottom w:val="single" w:sz="4" w:space="0" w:color="auto"/>
              <w:right w:val="single" w:sz="4" w:space="0" w:color="auto"/>
            </w:tcBorders>
            <w:shd w:val="clear" w:color="auto" w:fill="auto"/>
            <w:vAlign w:val="center"/>
          </w:tcPr>
          <w:p w14:paraId="734C4AB3" w14:textId="77777777" w:rsidR="003E69A5" w:rsidRPr="003F7F6C" w:rsidRDefault="003E69A5" w:rsidP="00D25E0D">
            <w:pPr>
              <w:spacing w:after="0"/>
              <w:jc w:val="center"/>
              <w:rPr>
                <w:rFonts w:eastAsia="Times New Roman" w:cs="Calibri"/>
                <w:b/>
                <w:color w:val="000000"/>
                <w:sz w:val="18"/>
                <w:szCs w:val="18"/>
                <w:lang w:eastAsia="es-ES"/>
              </w:rPr>
            </w:pPr>
            <w:r w:rsidRPr="003F7F6C">
              <w:rPr>
                <w:rFonts w:eastAsia="Times New Roman" w:cs="Calibri"/>
                <w:b/>
                <w:color w:val="000000"/>
                <w:sz w:val="18"/>
                <w:szCs w:val="18"/>
                <w:lang w:eastAsia="es-ES"/>
              </w:rPr>
              <w:t>21</w:t>
            </w:r>
          </w:p>
        </w:tc>
        <w:tc>
          <w:tcPr>
            <w:tcW w:w="3119" w:type="dxa"/>
            <w:tcBorders>
              <w:top w:val="single" w:sz="4" w:space="0" w:color="auto"/>
              <w:left w:val="nil"/>
              <w:bottom w:val="single" w:sz="4" w:space="0" w:color="auto"/>
              <w:right w:val="single" w:sz="4" w:space="0" w:color="auto"/>
            </w:tcBorders>
            <w:shd w:val="clear" w:color="auto" w:fill="auto"/>
            <w:vAlign w:val="bottom"/>
          </w:tcPr>
          <w:p w14:paraId="50DAA0B3" w14:textId="77777777" w:rsidR="003E69A5" w:rsidRPr="003F7F6C" w:rsidRDefault="003E69A5" w:rsidP="00D25E0D">
            <w:pPr>
              <w:spacing w:after="0"/>
              <w:rPr>
                <w:rFonts w:eastAsia="Times New Roman" w:cs="Calibri"/>
                <w:color w:val="000000"/>
                <w:sz w:val="18"/>
                <w:szCs w:val="18"/>
                <w:lang w:eastAsia="es-ES"/>
              </w:rPr>
            </w:pPr>
          </w:p>
        </w:tc>
        <w:tc>
          <w:tcPr>
            <w:tcW w:w="2226" w:type="dxa"/>
            <w:gridSpan w:val="2"/>
            <w:tcBorders>
              <w:top w:val="single" w:sz="4" w:space="0" w:color="auto"/>
              <w:left w:val="nil"/>
              <w:bottom w:val="single" w:sz="4" w:space="0" w:color="auto"/>
              <w:right w:val="single" w:sz="4" w:space="0" w:color="auto"/>
            </w:tcBorders>
            <w:shd w:val="clear" w:color="auto" w:fill="auto"/>
            <w:vAlign w:val="bottom"/>
          </w:tcPr>
          <w:p w14:paraId="6E53CD9D" w14:textId="77777777" w:rsidR="003E69A5" w:rsidRPr="003F7F6C" w:rsidRDefault="003E69A5" w:rsidP="00D25E0D">
            <w:pPr>
              <w:spacing w:after="0"/>
              <w:rPr>
                <w:rFonts w:eastAsia="Times New Roman" w:cs="Calibri"/>
                <w:color w:val="000000"/>
                <w:sz w:val="18"/>
                <w:szCs w:val="18"/>
                <w:lang w:eastAsia="es-ES"/>
              </w:rPr>
            </w:pPr>
          </w:p>
        </w:tc>
        <w:tc>
          <w:tcPr>
            <w:tcW w:w="1654" w:type="dxa"/>
            <w:tcBorders>
              <w:top w:val="single" w:sz="4" w:space="0" w:color="auto"/>
              <w:left w:val="nil"/>
              <w:bottom w:val="single" w:sz="4" w:space="0" w:color="auto"/>
              <w:right w:val="single" w:sz="4" w:space="0" w:color="auto"/>
            </w:tcBorders>
            <w:shd w:val="clear" w:color="auto" w:fill="auto"/>
            <w:vAlign w:val="bottom"/>
          </w:tcPr>
          <w:p w14:paraId="2003F107" w14:textId="77777777" w:rsidR="003E69A5" w:rsidRPr="003F7F6C" w:rsidRDefault="003E69A5" w:rsidP="00D25E0D">
            <w:pPr>
              <w:spacing w:after="0"/>
              <w:rPr>
                <w:rFonts w:eastAsia="Times New Roman" w:cs="Calibri"/>
                <w:color w:val="000000"/>
                <w:sz w:val="18"/>
                <w:szCs w:val="18"/>
                <w:lang w:eastAsia="es-ES"/>
              </w:rPr>
            </w:pPr>
          </w:p>
        </w:tc>
      </w:tr>
      <w:tr w:rsidR="003E69A5" w:rsidRPr="003F7F6C" w14:paraId="0996D629" w14:textId="77777777" w:rsidTr="00D25E0D">
        <w:trPr>
          <w:trHeight w:val="288"/>
        </w:trPr>
        <w:tc>
          <w:tcPr>
            <w:tcW w:w="1776" w:type="dxa"/>
            <w:tcBorders>
              <w:left w:val="single" w:sz="4" w:space="0" w:color="auto"/>
              <w:bottom w:val="single" w:sz="4" w:space="0" w:color="auto"/>
              <w:right w:val="single" w:sz="4" w:space="0" w:color="auto"/>
            </w:tcBorders>
            <w:vAlign w:val="center"/>
          </w:tcPr>
          <w:p w14:paraId="59D2CDF6" w14:textId="77777777" w:rsidR="003E69A5" w:rsidRPr="003F7F6C" w:rsidRDefault="003E69A5" w:rsidP="00D25E0D">
            <w:pPr>
              <w:spacing w:after="0"/>
              <w:jc w:val="center"/>
              <w:rPr>
                <w:rFonts w:eastAsia="Times New Roman" w:cs="Calibri"/>
                <w:b/>
                <w:color w:val="000000"/>
                <w:sz w:val="18"/>
                <w:szCs w:val="18"/>
                <w:lang w:eastAsia="es-ES"/>
              </w:rPr>
            </w:pPr>
          </w:p>
        </w:tc>
        <w:tc>
          <w:tcPr>
            <w:tcW w:w="4248" w:type="dxa"/>
            <w:tcBorders>
              <w:left w:val="nil"/>
              <w:bottom w:val="single" w:sz="4" w:space="0" w:color="auto"/>
              <w:right w:val="single" w:sz="4" w:space="0" w:color="auto"/>
            </w:tcBorders>
            <w:shd w:val="clear" w:color="auto" w:fill="auto"/>
            <w:vAlign w:val="center"/>
          </w:tcPr>
          <w:p w14:paraId="07344BA2" w14:textId="77777777" w:rsidR="003E69A5" w:rsidRPr="003F7F6C" w:rsidRDefault="003E69A5" w:rsidP="00D25E0D">
            <w:pPr>
              <w:autoSpaceDE w:val="0"/>
              <w:autoSpaceDN w:val="0"/>
              <w:adjustRightInd w:val="0"/>
              <w:spacing w:after="0"/>
              <w:rPr>
                <w:rFonts w:cs="Calibri"/>
                <w:b/>
                <w:sz w:val="18"/>
                <w:szCs w:val="18"/>
              </w:rPr>
            </w:pPr>
          </w:p>
        </w:tc>
        <w:tc>
          <w:tcPr>
            <w:tcW w:w="709" w:type="dxa"/>
            <w:tcBorders>
              <w:top w:val="single" w:sz="4" w:space="0" w:color="auto"/>
              <w:left w:val="nil"/>
              <w:bottom w:val="single" w:sz="4" w:space="0" w:color="auto"/>
              <w:right w:val="single" w:sz="4" w:space="0" w:color="auto"/>
            </w:tcBorders>
            <w:shd w:val="clear" w:color="auto" w:fill="auto"/>
            <w:vAlign w:val="center"/>
          </w:tcPr>
          <w:p w14:paraId="7C464397" w14:textId="77777777" w:rsidR="003E69A5" w:rsidRPr="003F7F6C" w:rsidRDefault="003E69A5" w:rsidP="00D25E0D">
            <w:pPr>
              <w:spacing w:after="0"/>
              <w:jc w:val="center"/>
              <w:rPr>
                <w:rFonts w:eastAsia="Times New Roman" w:cs="Calibri"/>
                <w:b/>
                <w:color w:val="000000"/>
                <w:sz w:val="18"/>
                <w:szCs w:val="18"/>
                <w:lang w:eastAsia="es-ES"/>
              </w:rPr>
            </w:pPr>
          </w:p>
        </w:tc>
        <w:tc>
          <w:tcPr>
            <w:tcW w:w="708" w:type="dxa"/>
            <w:tcBorders>
              <w:top w:val="single" w:sz="4" w:space="0" w:color="auto"/>
              <w:left w:val="nil"/>
              <w:bottom w:val="single" w:sz="4" w:space="0" w:color="auto"/>
              <w:right w:val="single" w:sz="4" w:space="0" w:color="auto"/>
            </w:tcBorders>
            <w:shd w:val="clear" w:color="auto" w:fill="auto"/>
            <w:vAlign w:val="center"/>
          </w:tcPr>
          <w:p w14:paraId="2E9BEB79" w14:textId="1C05427E" w:rsidR="003E69A5" w:rsidRPr="003F7F6C" w:rsidRDefault="003E69A5" w:rsidP="00D25E0D">
            <w:pPr>
              <w:spacing w:after="0"/>
              <w:jc w:val="center"/>
              <w:rPr>
                <w:rFonts w:eastAsia="Times New Roman" w:cs="Calibri"/>
                <w:b/>
                <w:color w:val="000000"/>
                <w:sz w:val="18"/>
                <w:szCs w:val="18"/>
                <w:lang w:eastAsia="es-ES"/>
              </w:rPr>
            </w:pPr>
            <w:r w:rsidRPr="003F7F6C">
              <w:rPr>
                <w:rFonts w:eastAsia="Times New Roman" w:cs="Calibri"/>
                <w:b/>
                <w:color w:val="000000"/>
                <w:sz w:val="18"/>
                <w:szCs w:val="18"/>
                <w:lang w:eastAsia="es-ES"/>
              </w:rPr>
              <w:t>46</w:t>
            </w:r>
            <w:r w:rsidR="00FB6D2D" w:rsidRPr="003F7F6C">
              <w:rPr>
                <w:rFonts w:eastAsia="Times New Roman" w:cs="Calibri"/>
                <w:b/>
                <w:color w:val="000000"/>
                <w:sz w:val="18"/>
                <w:szCs w:val="18"/>
                <w:lang w:eastAsia="es-ES"/>
              </w:rPr>
              <w:t>.</w:t>
            </w:r>
            <w:r w:rsidRPr="003F7F6C">
              <w:rPr>
                <w:rFonts w:eastAsia="Times New Roman" w:cs="Calibri"/>
                <w:b/>
                <w:color w:val="000000"/>
                <w:sz w:val="18"/>
                <w:szCs w:val="18"/>
                <w:lang w:eastAsia="es-ES"/>
              </w:rPr>
              <w:t>6%</w:t>
            </w:r>
          </w:p>
        </w:tc>
        <w:tc>
          <w:tcPr>
            <w:tcW w:w="3119" w:type="dxa"/>
            <w:tcBorders>
              <w:top w:val="single" w:sz="4" w:space="0" w:color="auto"/>
              <w:left w:val="nil"/>
              <w:bottom w:val="single" w:sz="4" w:space="0" w:color="auto"/>
              <w:right w:val="single" w:sz="4" w:space="0" w:color="auto"/>
            </w:tcBorders>
            <w:shd w:val="clear" w:color="auto" w:fill="auto"/>
            <w:vAlign w:val="bottom"/>
          </w:tcPr>
          <w:p w14:paraId="2EA53EED" w14:textId="77777777" w:rsidR="003E69A5" w:rsidRPr="003F7F6C" w:rsidRDefault="003E69A5" w:rsidP="00D25E0D">
            <w:pPr>
              <w:spacing w:after="0"/>
              <w:rPr>
                <w:rFonts w:eastAsia="Times New Roman" w:cs="Calibri"/>
                <w:color w:val="000000"/>
                <w:sz w:val="18"/>
                <w:szCs w:val="18"/>
                <w:lang w:eastAsia="es-ES"/>
              </w:rPr>
            </w:pPr>
          </w:p>
        </w:tc>
        <w:tc>
          <w:tcPr>
            <w:tcW w:w="2226" w:type="dxa"/>
            <w:gridSpan w:val="2"/>
            <w:tcBorders>
              <w:top w:val="single" w:sz="4" w:space="0" w:color="auto"/>
              <w:left w:val="nil"/>
              <w:bottom w:val="single" w:sz="4" w:space="0" w:color="auto"/>
              <w:right w:val="single" w:sz="4" w:space="0" w:color="auto"/>
            </w:tcBorders>
            <w:shd w:val="clear" w:color="auto" w:fill="auto"/>
            <w:vAlign w:val="bottom"/>
          </w:tcPr>
          <w:p w14:paraId="146BC5E5" w14:textId="77777777" w:rsidR="003E69A5" w:rsidRPr="003F7F6C" w:rsidRDefault="003E69A5" w:rsidP="00D25E0D">
            <w:pPr>
              <w:spacing w:after="0"/>
              <w:rPr>
                <w:rFonts w:eastAsia="Times New Roman" w:cs="Calibri"/>
                <w:color w:val="000000"/>
                <w:sz w:val="18"/>
                <w:szCs w:val="18"/>
                <w:lang w:eastAsia="es-ES"/>
              </w:rPr>
            </w:pPr>
          </w:p>
        </w:tc>
        <w:tc>
          <w:tcPr>
            <w:tcW w:w="1654" w:type="dxa"/>
            <w:tcBorders>
              <w:top w:val="single" w:sz="4" w:space="0" w:color="auto"/>
              <w:left w:val="nil"/>
              <w:bottom w:val="single" w:sz="4" w:space="0" w:color="auto"/>
              <w:right w:val="single" w:sz="4" w:space="0" w:color="auto"/>
            </w:tcBorders>
            <w:shd w:val="clear" w:color="auto" w:fill="auto"/>
            <w:vAlign w:val="bottom"/>
          </w:tcPr>
          <w:p w14:paraId="059393B9" w14:textId="77777777" w:rsidR="003E69A5" w:rsidRPr="003F7F6C" w:rsidRDefault="003E69A5" w:rsidP="00D25E0D">
            <w:pPr>
              <w:spacing w:after="0"/>
              <w:rPr>
                <w:rFonts w:eastAsia="Times New Roman" w:cs="Calibri"/>
                <w:color w:val="000000"/>
                <w:sz w:val="18"/>
                <w:szCs w:val="18"/>
                <w:lang w:eastAsia="es-ES"/>
              </w:rPr>
            </w:pPr>
          </w:p>
        </w:tc>
      </w:tr>
    </w:tbl>
    <w:p w14:paraId="7AA28DFA" w14:textId="77777777" w:rsidR="003E69A5" w:rsidRPr="003F7F6C" w:rsidRDefault="003E69A5" w:rsidP="003E69A5">
      <w:pPr>
        <w:rPr>
          <w:rFonts w:ascii="Times New Roman" w:hAnsi="Times New Roman"/>
          <w:szCs w:val="20"/>
        </w:rPr>
      </w:pPr>
    </w:p>
    <w:p w14:paraId="492D9AAB" w14:textId="77777777" w:rsidR="003E69A5" w:rsidRPr="003F7F6C" w:rsidRDefault="003E69A5" w:rsidP="00126F7F">
      <w:pPr>
        <w:sectPr w:rsidR="003E69A5" w:rsidRPr="003F7F6C" w:rsidSect="003A428B">
          <w:pgSz w:w="15840" w:h="12240" w:orient="landscape" w:code="1"/>
          <w:pgMar w:top="1440" w:right="1440" w:bottom="1440" w:left="1440" w:header="720" w:footer="720" w:gutter="0"/>
          <w:cols w:space="720"/>
          <w:docGrid w:linePitch="360"/>
        </w:sectPr>
      </w:pPr>
    </w:p>
    <w:p w14:paraId="2582B620" w14:textId="659E3697" w:rsidR="00215D2C" w:rsidRPr="003F7F6C" w:rsidRDefault="00215D2C" w:rsidP="00215D2C">
      <w:pPr>
        <w:pStyle w:val="Heading2"/>
        <w:ind w:left="0"/>
        <w:rPr>
          <w:rFonts w:ascii="Calibri" w:hAnsi="Calibri" w:cs="Calibri"/>
        </w:rPr>
      </w:pPr>
      <w:bookmarkStart w:id="74" w:name="_Toc529891431"/>
      <w:r w:rsidRPr="003F7F6C">
        <w:rPr>
          <w:rFonts w:ascii="Calibri" w:hAnsi="Calibri" w:cs="Calibri"/>
        </w:rPr>
        <w:t xml:space="preserve">Annex J:  Letter of Agreement with the Government of Argentina and Description of UNDP Country Office Support Services </w:t>
      </w:r>
      <w:r w:rsidR="00B93FD5" w:rsidRPr="003F7F6C">
        <w:rPr>
          <w:rFonts w:ascii="Calibri" w:hAnsi="Calibri" w:cs="Calibri"/>
        </w:rPr>
        <w:t>(Signed version will be included by ProDoc Signature)</w:t>
      </w:r>
      <w:bookmarkEnd w:id="74"/>
    </w:p>
    <w:p w14:paraId="2291BBAC" w14:textId="77777777" w:rsidR="00215D2C" w:rsidRPr="003F7F6C" w:rsidRDefault="00215D2C" w:rsidP="00215D2C">
      <w:pPr>
        <w:rPr>
          <w:rFonts w:asciiTheme="minorHAnsi" w:hAnsiTheme="minorHAnsi"/>
          <w:sz w:val="22"/>
          <w:szCs w:val="22"/>
        </w:rPr>
      </w:pPr>
    </w:p>
    <w:p w14:paraId="142A3C88" w14:textId="77777777" w:rsidR="00B93FD5" w:rsidRPr="003F7F6C" w:rsidRDefault="00B93FD5" w:rsidP="00FE690A">
      <w:pPr>
        <w:pStyle w:val="Heading2"/>
        <w:ind w:left="0"/>
        <w:rPr>
          <w:rFonts w:ascii="Calibri" w:hAnsi="Calibri" w:cs="Calibri"/>
        </w:rPr>
      </w:pPr>
    </w:p>
    <w:p w14:paraId="3360FA5C" w14:textId="77777777" w:rsidR="00B93FD5" w:rsidRPr="003F7F6C" w:rsidRDefault="00B93FD5" w:rsidP="00B93FD5">
      <w:pPr>
        <w:pStyle w:val="Predeterminado"/>
        <w:spacing w:after="0" w:line="240" w:lineRule="auto"/>
        <w:jc w:val="both"/>
        <w:rPr>
          <w:rFonts w:asciiTheme="minorHAnsi" w:hAnsiTheme="minorHAnsi" w:cs="Times New Roman"/>
          <w:b/>
          <w:szCs w:val="22"/>
          <w:lang w:val="en-US"/>
        </w:rPr>
      </w:pPr>
      <w:r w:rsidRPr="003F7F6C">
        <w:rPr>
          <w:rFonts w:asciiTheme="minorHAnsi" w:hAnsiTheme="minorHAnsi" w:cs="Times New Roman"/>
          <w:b/>
          <w:szCs w:val="22"/>
          <w:lang w:val="en-US"/>
        </w:rPr>
        <w:t>LETTER OF AGREEMENT BETWEEN UNDP AND THE SECRETARIAT OF THE ENVORONMENT AND SUSTAINABLE DEVELOPMENT (SAyDS) OF ARGENTINA FOR THE IMPLEMENTATION OF THE PROJECT “MAINSTREAMING BIODIVERSITY CONSERVATION AND SUSTAONABLE LAND USE MANAGEMENT (SLM) INTO DEVELOPING PLANNING: MAKING ENVIRONMENTAL LAND USE PLANNING (ELUP) OPERATIONAL IN ARGENTINA” AWARD 00114826, PROJECT 00112703 WITHIN THE CONTEXT OF THE NATIONAL IMPLEMENTATION MODALITY.</w:t>
      </w:r>
    </w:p>
    <w:p w14:paraId="2A7163CE" w14:textId="77777777" w:rsidR="00B93FD5" w:rsidRPr="003F7F6C" w:rsidRDefault="00B93FD5" w:rsidP="00B93FD5">
      <w:pPr>
        <w:tabs>
          <w:tab w:val="left" w:pos="0"/>
          <w:tab w:val="left" w:pos="282"/>
          <w:tab w:val="left" w:pos="1440"/>
          <w:tab w:val="left" w:pos="2880"/>
        </w:tabs>
        <w:suppressAutoHyphens/>
        <w:rPr>
          <w:rFonts w:asciiTheme="minorHAnsi" w:hAnsiTheme="minorHAnsi"/>
          <w:sz w:val="22"/>
          <w:szCs w:val="22"/>
        </w:rPr>
      </w:pPr>
    </w:p>
    <w:p w14:paraId="5B0E9B25" w14:textId="77777777" w:rsidR="00B93FD5" w:rsidRPr="003F7F6C" w:rsidRDefault="00B93FD5" w:rsidP="00B93FD5">
      <w:pPr>
        <w:tabs>
          <w:tab w:val="left" w:pos="0"/>
          <w:tab w:val="left" w:pos="282"/>
          <w:tab w:val="left" w:pos="1440"/>
          <w:tab w:val="left" w:pos="2880"/>
        </w:tabs>
        <w:suppressAutoHyphens/>
        <w:rPr>
          <w:rFonts w:asciiTheme="minorHAnsi" w:hAnsiTheme="minorHAnsi"/>
          <w:i/>
          <w:spacing w:val="-2"/>
          <w:sz w:val="22"/>
          <w:szCs w:val="22"/>
        </w:rPr>
      </w:pPr>
      <w:r w:rsidRPr="003F7F6C">
        <w:rPr>
          <w:rFonts w:asciiTheme="minorHAnsi" w:hAnsiTheme="minorHAnsi"/>
          <w:spacing w:val="-3"/>
          <w:sz w:val="22"/>
          <w:szCs w:val="22"/>
        </w:rPr>
        <w:t xml:space="preserve"> </w:t>
      </w:r>
      <w:r w:rsidRPr="003F7F6C">
        <w:rPr>
          <w:rFonts w:asciiTheme="minorHAnsi" w:hAnsiTheme="minorHAnsi"/>
          <w:i/>
          <w:spacing w:val="-2"/>
          <w:sz w:val="22"/>
          <w:szCs w:val="22"/>
        </w:rPr>
        <w:t>Secretariat of the Government of Environment and Sustainable Development</w:t>
      </w:r>
      <w:r w:rsidRPr="003F7F6C">
        <w:rPr>
          <w:rFonts w:asciiTheme="minorHAnsi" w:hAnsiTheme="minorHAnsi"/>
          <w:spacing w:val="-2"/>
          <w:sz w:val="22"/>
          <w:szCs w:val="22"/>
        </w:rPr>
        <w:t xml:space="preserve">, </w:t>
      </w:r>
    </w:p>
    <w:p w14:paraId="5A62B4F4" w14:textId="77777777" w:rsidR="00B93FD5" w:rsidRPr="003F7F6C" w:rsidRDefault="00B93FD5" w:rsidP="00B93FD5">
      <w:pPr>
        <w:numPr>
          <w:ilvl w:val="12"/>
          <w:numId w:val="0"/>
        </w:numPr>
        <w:tabs>
          <w:tab w:val="left" w:pos="0"/>
        </w:tabs>
        <w:suppressAutoHyphens/>
        <w:rPr>
          <w:rFonts w:asciiTheme="minorHAnsi" w:hAnsiTheme="minorHAnsi"/>
          <w:spacing w:val="-2"/>
          <w:sz w:val="22"/>
          <w:szCs w:val="22"/>
        </w:rPr>
      </w:pPr>
    </w:p>
    <w:p w14:paraId="17C4DEAB" w14:textId="77777777" w:rsidR="00B93FD5" w:rsidRPr="003F7F6C" w:rsidRDefault="00B93FD5" w:rsidP="00B93FD5">
      <w:pPr>
        <w:numPr>
          <w:ilvl w:val="12"/>
          <w:numId w:val="0"/>
        </w:numPr>
        <w:tabs>
          <w:tab w:val="left" w:pos="0"/>
        </w:tabs>
        <w:suppressAutoHyphens/>
        <w:rPr>
          <w:rFonts w:asciiTheme="minorHAnsi" w:hAnsiTheme="minorHAnsi"/>
          <w:spacing w:val="-2"/>
          <w:sz w:val="22"/>
          <w:szCs w:val="22"/>
        </w:rPr>
      </w:pPr>
      <w:r w:rsidRPr="003F7F6C">
        <w:rPr>
          <w:rFonts w:asciiTheme="minorHAnsi" w:hAnsiTheme="minorHAnsi"/>
          <w:spacing w:val="-2"/>
          <w:sz w:val="22"/>
          <w:szCs w:val="22"/>
        </w:rPr>
        <w:t>1.</w:t>
      </w:r>
      <w:r w:rsidRPr="003F7F6C">
        <w:rPr>
          <w:rFonts w:asciiTheme="minorHAnsi" w:hAnsiTheme="minorHAnsi"/>
          <w:spacing w:val="-2"/>
          <w:sz w:val="22"/>
          <w:szCs w:val="22"/>
        </w:rPr>
        <w:tab/>
        <w:t>Reference is made to consultations between officials of the Government of</w:t>
      </w:r>
      <w:r w:rsidRPr="003F7F6C">
        <w:rPr>
          <w:rFonts w:asciiTheme="minorHAnsi" w:hAnsiTheme="minorHAnsi"/>
          <w:i/>
          <w:spacing w:val="-2"/>
          <w:sz w:val="22"/>
          <w:szCs w:val="22"/>
        </w:rPr>
        <w:t xml:space="preserve"> Argentina </w:t>
      </w:r>
      <w:r w:rsidRPr="003F7F6C">
        <w:rPr>
          <w:rFonts w:asciiTheme="minorHAnsi" w:hAnsiTheme="minorHAnsi"/>
          <w:spacing w:val="-2"/>
          <w:sz w:val="22"/>
          <w:szCs w:val="22"/>
        </w:rPr>
        <w:t>(hereinafter referred to as “the Government”) and officials of UNDP with respect to the provision of support services by the UNDP country office for nationally managed programmes and projects.  UNDP and the Government hereby agree that the UNDP country office may provide such support services at the request of the Government through its institution designated in the relevant programme support document or project document, as described below.</w:t>
      </w:r>
    </w:p>
    <w:p w14:paraId="769EFA6B" w14:textId="77777777" w:rsidR="00B93FD5" w:rsidRPr="003F7F6C" w:rsidRDefault="00B93FD5" w:rsidP="00B93FD5">
      <w:pPr>
        <w:numPr>
          <w:ilvl w:val="12"/>
          <w:numId w:val="0"/>
        </w:numPr>
        <w:tabs>
          <w:tab w:val="left" w:pos="0"/>
        </w:tabs>
        <w:suppressAutoHyphens/>
        <w:rPr>
          <w:rFonts w:asciiTheme="minorHAnsi" w:hAnsiTheme="minorHAnsi"/>
          <w:spacing w:val="-2"/>
          <w:sz w:val="22"/>
          <w:szCs w:val="22"/>
        </w:rPr>
      </w:pPr>
    </w:p>
    <w:p w14:paraId="4BF9D2D5" w14:textId="77777777" w:rsidR="00B93FD5" w:rsidRPr="003F7F6C" w:rsidRDefault="00B93FD5" w:rsidP="00B93FD5">
      <w:pPr>
        <w:numPr>
          <w:ilvl w:val="12"/>
          <w:numId w:val="0"/>
        </w:numPr>
        <w:tabs>
          <w:tab w:val="left" w:pos="0"/>
        </w:tabs>
        <w:suppressAutoHyphens/>
        <w:rPr>
          <w:rFonts w:asciiTheme="minorHAnsi" w:hAnsiTheme="minorHAnsi"/>
          <w:spacing w:val="-2"/>
          <w:sz w:val="22"/>
          <w:szCs w:val="22"/>
        </w:rPr>
      </w:pPr>
      <w:r w:rsidRPr="003F7F6C">
        <w:rPr>
          <w:rFonts w:asciiTheme="minorHAnsi" w:hAnsiTheme="minorHAnsi"/>
          <w:spacing w:val="-2"/>
          <w:sz w:val="22"/>
          <w:szCs w:val="22"/>
        </w:rPr>
        <w:t>2.</w:t>
      </w:r>
      <w:r w:rsidRPr="003F7F6C">
        <w:rPr>
          <w:rFonts w:asciiTheme="minorHAnsi" w:hAnsiTheme="minorHAnsi"/>
          <w:spacing w:val="-2"/>
          <w:sz w:val="22"/>
          <w:szCs w:val="22"/>
        </w:rPr>
        <w:tab/>
        <w:t>The UNDP country office may provide support services for assistance with reporting requirements and direct payment.  In providing such support services, the UNDP country office shall ensure that the capacity of the Government-designated institution is strengthened to enable it to carry out such activities directly.  The costs incurred by the UNDP country office in providing such support services shall be recovered from the administrative budget of the office.</w:t>
      </w:r>
    </w:p>
    <w:p w14:paraId="4A1A07E0" w14:textId="77777777" w:rsidR="00B93FD5" w:rsidRPr="003F7F6C" w:rsidRDefault="00B93FD5" w:rsidP="00B93FD5">
      <w:pPr>
        <w:numPr>
          <w:ilvl w:val="12"/>
          <w:numId w:val="0"/>
        </w:numPr>
        <w:tabs>
          <w:tab w:val="left" w:pos="0"/>
        </w:tabs>
        <w:suppressAutoHyphens/>
        <w:rPr>
          <w:rFonts w:asciiTheme="minorHAnsi" w:hAnsiTheme="minorHAnsi"/>
          <w:spacing w:val="-2"/>
          <w:sz w:val="22"/>
          <w:szCs w:val="22"/>
        </w:rPr>
      </w:pPr>
    </w:p>
    <w:p w14:paraId="63ACF5B0" w14:textId="77777777" w:rsidR="00B93FD5" w:rsidRPr="003F7F6C" w:rsidRDefault="00B93FD5" w:rsidP="00B93FD5">
      <w:pPr>
        <w:numPr>
          <w:ilvl w:val="12"/>
          <w:numId w:val="0"/>
        </w:numPr>
        <w:tabs>
          <w:tab w:val="left" w:pos="0"/>
        </w:tabs>
        <w:suppressAutoHyphens/>
        <w:rPr>
          <w:rFonts w:asciiTheme="minorHAnsi" w:hAnsiTheme="minorHAnsi"/>
          <w:spacing w:val="-2"/>
          <w:sz w:val="22"/>
          <w:szCs w:val="22"/>
        </w:rPr>
      </w:pPr>
      <w:r w:rsidRPr="003F7F6C">
        <w:rPr>
          <w:rFonts w:asciiTheme="minorHAnsi" w:hAnsiTheme="minorHAnsi"/>
          <w:spacing w:val="-2"/>
          <w:sz w:val="22"/>
          <w:szCs w:val="22"/>
        </w:rPr>
        <w:t>3.</w:t>
      </w:r>
      <w:r w:rsidRPr="003F7F6C">
        <w:rPr>
          <w:rFonts w:asciiTheme="minorHAnsi" w:hAnsiTheme="minorHAnsi"/>
          <w:spacing w:val="-2"/>
          <w:sz w:val="22"/>
          <w:szCs w:val="22"/>
        </w:rPr>
        <w:tab/>
        <w:t>The UNDP country office may provide, at the request of the designated institution, the following support services for the activities of the programme/project:</w:t>
      </w:r>
    </w:p>
    <w:p w14:paraId="7D5A4E8E" w14:textId="77777777" w:rsidR="00B93FD5" w:rsidRPr="003F7F6C" w:rsidRDefault="00B93FD5" w:rsidP="00B93FD5">
      <w:pPr>
        <w:pStyle w:val="ListParagraph"/>
        <w:numPr>
          <w:ilvl w:val="0"/>
          <w:numId w:val="78"/>
        </w:numPr>
        <w:suppressAutoHyphens/>
        <w:spacing w:after="0"/>
        <w:rPr>
          <w:rFonts w:asciiTheme="minorHAnsi" w:hAnsiTheme="minorHAnsi"/>
          <w:spacing w:val="-2"/>
          <w:sz w:val="22"/>
          <w:szCs w:val="22"/>
        </w:rPr>
      </w:pPr>
      <w:r w:rsidRPr="003F7F6C">
        <w:rPr>
          <w:rFonts w:asciiTheme="minorHAnsi" w:hAnsiTheme="minorHAnsi"/>
          <w:spacing w:val="-2"/>
          <w:sz w:val="22"/>
          <w:szCs w:val="22"/>
        </w:rPr>
        <w:t>Identification and/or</w:t>
      </w:r>
      <w:r w:rsidRPr="003F7F6C">
        <w:rPr>
          <w:rFonts w:asciiTheme="minorHAnsi" w:hAnsiTheme="minorHAnsi"/>
          <w:b/>
          <w:spacing w:val="-2"/>
          <w:sz w:val="22"/>
          <w:szCs w:val="22"/>
        </w:rPr>
        <w:t xml:space="preserve"> </w:t>
      </w:r>
      <w:r w:rsidRPr="003F7F6C">
        <w:rPr>
          <w:rFonts w:asciiTheme="minorHAnsi" w:hAnsiTheme="minorHAnsi"/>
          <w:spacing w:val="-2"/>
          <w:sz w:val="22"/>
          <w:szCs w:val="22"/>
        </w:rPr>
        <w:t>recruitment of project and programme personnel;</w:t>
      </w:r>
    </w:p>
    <w:p w14:paraId="0C8493D4" w14:textId="77777777" w:rsidR="00B93FD5" w:rsidRPr="003F7F6C" w:rsidRDefault="00B93FD5" w:rsidP="00B93FD5">
      <w:pPr>
        <w:pStyle w:val="ListParagraph"/>
        <w:numPr>
          <w:ilvl w:val="0"/>
          <w:numId w:val="78"/>
        </w:numPr>
        <w:tabs>
          <w:tab w:val="left" w:pos="0"/>
          <w:tab w:val="left" w:pos="720"/>
        </w:tabs>
        <w:suppressAutoHyphens/>
        <w:spacing w:after="0"/>
        <w:rPr>
          <w:rFonts w:asciiTheme="minorHAnsi" w:hAnsiTheme="minorHAnsi"/>
          <w:spacing w:val="-2"/>
          <w:sz w:val="22"/>
          <w:szCs w:val="22"/>
        </w:rPr>
      </w:pPr>
      <w:r w:rsidRPr="003F7F6C">
        <w:rPr>
          <w:rFonts w:asciiTheme="minorHAnsi" w:hAnsiTheme="minorHAnsi"/>
          <w:spacing w:val="-2"/>
          <w:sz w:val="22"/>
          <w:szCs w:val="22"/>
        </w:rPr>
        <w:t>Identification and facilitation of training activities;</w:t>
      </w:r>
    </w:p>
    <w:p w14:paraId="5527D167" w14:textId="77777777" w:rsidR="00B93FD5" w:rsidRPr="003F7F6C" w:rsidRDefault="00B93FD5" w:rsidP="00B93FD5">
      <w:pPr>
        <w:numPr>
          <w:ilvl w:val="0"/>
          <w:numId w:val="78"/>
        </w:numPr>
        <w:tabs>
          <w:tab w:val="left" w:pos="720"/>
        </w:tabs>
        <w:suppressAutoHyphens/>
        <w:spacing w:after="0"/>
        <w:rPr>
          <w:rFonts w:asciiTheme="minorHAnsi" w:hAnsiTheme="minorHAnsi"/>
          <w:spacing w:val="-2"/>
          <w:sz w:val="22"/>
          <w:szCs w:val="22"/>
        </w:rPr>
      </w:pPr>
      <w:r w:rsidRPr="003F7F6C">
        <w:rPr>
          <w:rFonts w:asciiTheme="minorHAnsi" w:hAnsiTheme="minorHAnsi"/>
          <w:spacing w:val="-2"/>
          <w:sz w:val="22"/>
          <w:szCs w:val="22"/>
        </w:rPr>
        <w:t>Procurement of goods and services;</w:t>
      </w:r>
    </w:p>
    <w:p w14:paraId="73994EC1" w14:textId="77777777" w:rsidR="00B93FD5" w:rsidRPr="003F7F6C" w:rsidRDefault="00B93FD5" w:rsidP="00B93FD5">
      <w:pPr>
        <w:tabs>
          <w:tab w:val="left" w:pos="720"/>
        </w:tabs>
        <w:suppressAutoHyphens/>
        <w:rPr>
          <w:rFonts w:asciiTheme="minorHAnsi" w:hAnsiTheme="minorHAnsi"/>
          <w:spacing w:val="-2"/>
          <w:sz w:val="22"/>
          <w:szCs w:val="22"/>
        </w:rPr>
      </w:pPr>
    </w:p>
    <w:p w14:paraId="5B6F495C" w14:textId="77777777" w:rsidR="00B93FD5" w:rsidRPr="003F7F6C" w:rsidRDefault="00B93FD5" w:rsidP="00B93FD5">
      <w:pPr>
        <w:numPr>
          <w:ilvl w:val="12"/>
          <w:numId w:val="0"/>
        </w:numPr>
        <w:tabs>
          <w:tab w:val="left" w:pos="0"/>
        </w:tabs>
        <w:suppressAutoHyphens/>
        <w:rPr>
          <w:rFonts w:asciiTheme="minorHAnsi" w:hAnsiTheme="minorHAnsi"/>
          <w:spacing w:val="-2"/>
          <w:sz w:val="22"/>
          <w:szCs w:val="22"/>
        </w:rPr>
        <w:sectPr w:rsidR="00B93FD5" w:rsidRPr="003F7F6C">
          <w:pgSz w:w="12240" w:h="15840" w:code="1"/>
          <w:pgMar w:top="1152" w:right="1008" w:bottom="1152" w:left="1008" w:header="720" w:footer="720" w:gutter="0"/>
          <w:cols w:space="720"/>
          <w:docGrid w:linePitch="326"/>
        </w:sectPr>
      </w:pPr>
      <w:r w:rsidRPr="003F7F6C">
        <w:rPr>
          <w:rFonts w:asciiTheme="minorHAnsi" w:hAnsiTheme="minorHAnsi"/>
          <w:spacing w:val="-2"/>
          <w:sz w:val="22"/>
          <w:szCs w:val="22"/>
        </w:rPr>
        <w:t>4.</w:t>
      </w:r>
      <w:r w:rsidRPr="003F7F6C">
        <w:rPr>
          <w:rFonts w:asciiTheme="minorHAnsi" w:hAnsiTheme="minorHAnsi"/>
          <w:spacing w:val="-2"/>
          <w:sz w:val="22"/>
          <w:szCs w:val="22"/>
        </w:rPr>
        <w:tab/>
        <w:t>The procurement of goods and services and the recruitment of project and programme personnel by the UNDP country office shall be in accordance with the UNDP regulations, rules, policies and procedures.  Support services described in paragraph 3 above shall be detailed in an annex to the programme support document or project document, in the form provided in the Attachment hereto.  If the requirements for support services by the country office change during the life of a programme or project</w:t>
      </w:r>
    </w:p>
    <w:p w14:paraId="575E2304" w14:textId="77777777" w:rsidR="00B93FD5" w:rsidRPr="003F7F6C" w:rsidRDefault="00B93FD5" w:rsidP="00B93FD5">
      <w:pPr>
        <w:numPr>
          <w:ilvl w:val="12"/>
          <w:numId w:val="0"/>
        </w:numPr>
        <w:tabs>
          <w:tab w:val="left" w:pos="0"/>
        </w:tabs>
        <w:suppressAutoHyphens/>
        <w:rPr>
          <w:rFonts w:asciiTheme="minorHAnsi" w:hAnsiTheme="minorHAnsi"/>
          <w:spacing w:val="-2"/>
          <w:sz w:val="22"/>
          <w:szCs w:val="22"/>
        </w:rPr>
      </w:pPr>
      <w:r w:rsidRPr="003F7F6C">
        <w:rPr>
          <w:rFonts w:asciiTheme="minorHAnsi" w:hAnsiTheme="minorHAnsi"/>
          <w:spacing w:val="-2"/>
          <w:sz w:val="22"/>
          <w:szCs w:val="22"/>
        </w:rPr>
        <w:t xml:space="preserve">the annex to the programme support document or project document is revised with the mutual agreement of the UNDP resident representative and the designated institution.  </w:t>
      </w:r>
    </w:p>
    <w:p w14:paraId="51722D10" w14:textId="77777777" w:rsidR="00B93FD5" w:rsidRPr="003F7F6C" w:rsidRDefault="00B93FD5" w:rsidP="00B93FD5">
      <w:pPr>
        <w:numPr>
          <w:ilvl w:val="12"/>
          <w:numId w:val="0"/>
        </w:numPr>
        <w:tabs>
          <w:tab w:val="left" w:pos="0"/>
        </w:tabs>
        <w:suppressAutoHyphens/>
        <w:rPr>
          <w:rFonts w:asciiTheme="minorHAnsi" w:hAnsiTheme="minorHAnsi"/>
          <w:spacing w:val="-2"/>
          <w:sz w:val="22"/>
          <w:szCs w:val="22"/>
        </w:rPr>
      </w:pPr>
    </w:p>
    <w:p w14:paraId="2437AC23" w14:textId="77777777" w:rsidR="00B93FD5" w:rsidRPr="003F7F6C" w:rsidRDefault="00B93FD5" w:rsidP="00B93FD5">
      <w:pPr>
        <w:numPr>
          <w:ilvl w:val="12"/>
          <w:numId w:val="0"/>
        </w:numPr>
        <w:tabs>
          <w:tab w:val="left" w:pos="0"/>
        </w:tabs>
        <w:suppressAutoHyphens/>
        <w:rPr>
          <w:rFonts w:asciiTheme="minorHAnsi" w:hAnsiTheme="minorHAnsi"/>
          <w:spacing w:val="-2"/>
          <w:sz w:val="22"/>
          <w:szCs w:val="22"/>
        </w:rPr>
      </w:pPr>
      <w:r w:rsidRPr="003F7F6C">
        <w:rPr>
          <w:rFonts w:asciiTheme="minorHAnsi" w:hAnsiTheme="minorHAnsi"/>
          <w:spacing w:val="-2"/>
          <w:sz w:val="22"/>
          <w:szCs w:val="22"/>
        </w:rPr>
        <w:t>5.</w:t>
      </w:r>
      <w:r w:rsidRPr="003F7F6C">
        <w:rPr>
          <w:rFonts w:asciiTheme="minorHAnsi" w:hAnsiTheme="minorHAnsi"/>
          <w:spacing w:val="-2"/>
          <w:sz w:val="22"/>
          <w:szCs w:val="22"/>
        </w:rPr>
        <w:tab/>
        <w:t>The relevant provisions of the Standard Basic Assistance Agreement signed on February 26, 1985 and approved by Law Nº23396 of October 10, 1986 between UNDP and the Government of Argentina, and the Country Programme (the “SBAA”), including the provisions on liability and privileges and immunities, shall apply to the provision of such support services. The Government shall retain overall responsibility for the nationally managed programme or project through its designated institution.  The responsibility of the UNDP country office for the provision of the support services described herein shall be limited to the provision of such support services detailed in the annex to the programme support document or project document.</w:t>
      </w:r>
    </w:p>
    <w:p w14:paraId="06D36EB8" w14:textId="77777777" w:rsidR="00B93FD5" w:rsidRPr="003F7F6C" w:rsidRDefault="00B93FD5" w:rsidP="00B93FD5">
      <w:pPr>
        <w:numPr>
          <w:ilvl w:val="12"/>
          <w:numId w:val="0"/>
        </w:numPr>
        <w:tabs>
          <w:tab w:val="left" w:pos="0"/>
        </w:tabs>
        <w:suppressAutoHyphens/>
        <w:rPr>
          <w:rFonts w:asciiTheme="minorHAnsi" w:hAnsiTheme="minorHAnsi"/>
          <w:spacing w:val="-2"/>
          <w:sz w:val="22"/>
          <w:szCs w:val="22"/>
        </w:rPr>
      </w:pPr>
    </w:p>
    <w:p w14:paraId="784B3E90" w14:textId="77777777" w:rsidR="00B93FD5" w:rsidRPr="003F7F6C" w:rsidRDefault="00B93FD5" w:rsidP="00B93FD5">
      <w:pPr>
        <w:numPr>
          <w:ilvl w:val="12"/>
          <w:numId w:val="0"/>
        </w:numPr>
        <w:tabs>
          <w:tab w:val="left" w:pos="0"/>
        </w:tabs>
        <w:suppressAutoHyphens/>
        <w:rPr>
          <w:rFonts w:asciiTheme="minorHAnsi" w:hAnsiTheme="minorHAnsi"/>
          <w:spacing w:val="-2"/>
          <w:sz w:val="22"/>
          <w:szCs w:val="22"/>
        </w:rPr>
      </w:pPr>
      <w:r w:rsidRPr="003F7F6C">
        <w:rPr>
          <w:rFonts w:asciiTheme="minorHAnsi" w:hAnsiTheme="minorHAnsi"/>
          <w:spacing w:val="-2"/>
          <w:sz w:val="22"/>
          <w:szCs w:val="22"/>
        </w:rPr>
        <w:t>6.</w:t>
      </w:r>
      <w:r w:rsidRPr="003F7F6C">
        <w:rPr>
          <w:rFonts w:asciiTheme="minorHAnsi" w:hAnsiTheme="minorHAnsi"/>
          <w:spacing w:val="-2"/>
          <w:sz w:val="22"/>
          <w:szCs w:val="22"/>
        </w:rPr>
        <w:tab/>
        <w:t>Any claim or dispute arising under or in connection with the provision of support services by the UNDP country office in accordance with this letter shall be handled pursuant to the relevant provisions of the SBAA.</w:t>
      </w:r>
    </w:p>
    <w:p w14:paraId="79AC2394" w14:textId="77777777" w:rsidR="00B93FD5" w:rsidRPr="003F7F6C" w:rsidRDefault="00B93FD5" w:rsidP="00B93FD5">
      <w:pPr>
        <w:numPr>
          <w:ilvl w:val="12"/>
          <w:numId w:val="0"/>
        </w:numPr>
        <w:tabs>
          <w:tab w:val="left" w:pos="0"/>
        </w:tabs>
        <w:suppressAutoHyphens/>
        <w:rPr>
          <w:rFonts w:asciiTheme="minorHAnsi" w:hAnsiTheme="minorHAnsi"/>
          <w:spacing w:val="-2"/>
          <w:sz w:val="22"/>
          <w:szCs w:val="22"/>
        </w:rPr>
      </w:pPr>
    </w:p>
    <w:p w14:paraId="5BDDDBFA" w14:textId="77777777" w:rsidR="00B93FD5" w:rsidRPr="003F7F6C" w:rsidRDefault="00B93FD5" w:rsidP="00B93FD5">
      <w:pPr>
        <w:numPr>
          <w:ilvl w:val="12"/>
          <w:numId w:val="0"/>
        </w:numPr>
        <w:tabs>
          <w:tab w:val="left" w:pos="0"/>
        </w:tabs>
        <w:suppressAutoHyphens/>
        <w:rPr>
          <w:rFonts w:asciiTheme="minorHAnsi" w:hAnsiTheme="minorHAnsi"/>
          <w:spacing w:val="-2"/>
          <w:sz w:val="22"/>
          <w:szCs w:val="22"/>
        </w:rPr>
      </w:pPr>
      <w:r w:rsidRPr="003F7F6C">
        <w:rPr>
          <w:rFonts w:asciiTheme="minorHAnsi" w:hAnsiTheme="minorHAnsi"/>
          <w:spacing w:val="-2"/>
          <w:sz w:val="22"/>
          <w:szCs w:val="22"/>
        </w:rPr>
        <w:t>7.</w:t>
      </w:r>
      <w:r w:rsidRPr="003F7F6C">
        <w:rPr>
          <w:rFonts w:asciiTheme="minorHAnsi" w:hAnsiTheme="minorHAnsi"/>
          <w:spacing w:val="-2"/>
          <w:sz w:val="22"/>
          <w:szCs w:val="22"/>
        </w:rPr>
        <w:tab/>
        <w:t>The manner and method of cost-recovery by the UNDP country office in providing the support services described in paragraph 3 above shall be specified in the annex to the programme support document or project document.</w:t>
      </w:r>
    </w:p>
    <w:p w14:paraId="694CDF5C" w14:textId="77777777" w:rsidR="00B93FD5" w:rsidRPr="003F7F6C" w:rsidRDefault="00B93FD5" w:rsidP="00B93FD5">
      <w:pPr>
        <w:numPr>
          <w:ilvl w:val="12"/>
          <w:numId w:val="0"/>
        </w:numPr>
        <w:tabs>
          <w:tab w:val="left" w:pos="0"/>
        </w:tabs>
        <w:suppressAutoHyphens/>
        <w:rPr>
          <w:rFonts w:asciiTheme="minorHAnsi" w:hAnsiTheme="minorHAnsi"/>
          <w:spacing w:val="-2"/>
          <w:sz w:val="22"/>
          <w:szCs w:val="22"/>
        </w:rPr>
      </w:pPr>
    </w:p>
    <w:p w14:paraId="4521A895" w14:textId="77777777" w:rsidR="00B93FD5" w:rsidRPr="003F7F6C" w:rsidRDefault="00B93FD5" w:rsidP="00B93FD5">
      <w:pPr>
        <w:numPr>
          <w:ilvl w:val="12"/>
          <w:numId w:val="0"/>
        </w:numPr>
        <w:tabs>
          <w:tab w:val="left" w:pos="0"/>
        </w:tabs>
        <w:suppressAutoHyphens/>
        <w:rPr>
          <w:rFonts w:asciiTheme="minorHAnsi" w:hAnsiTheme="minorHAnsi"/>
          <w:spacing w:val="-2"/>
          <w:sz w:val="22"/>
          <w:szCs w:val="22"/>
        </w:rPr>
      </w:pPr>
      <w:r w:rsidRPr="003F7F6C">
        <w:rPr>
          <w:rFonts w:asciiTheme="minorHAnsi" w:hAnsiTheme="minorHAnsi"/>
          <w:spacing w:val="-2"/>
          <w:sz w:val="22"/>
          <w:szCs w:val="22"/>
        </w:rPr>
        <w:t>8.</w:t>
      </w:r>
      <w:r w:rsidRPr="003F7F6C">
        <w:rPr>
          <w:rFonts w:asciiTheme="minorHAnsi" w:hAnsiTheme="minorHAnsi"/>
          <w:spacing w:val="-2"/>
          <w:sz w:val="22"/>
          <w:szCs w:val="22"/>
        </w:rPr>
        <w:tab/>
        <w:t>The UNDP country office shall submit progress reports on the support services provided and shall report on the costs reimbursed in providing such services, as may be required.</w:t>
      </w:r>
    </w:p>
    <w:p w14:paraId="374D4601" w14:textId="77777777" w:rsidR="00B93FD5" w:rsidRPr="003F7F6C" w:rsidRDefault="00B93FD5" w:rsidP="00B93FD5">
      <w:pPr>
        <w:numPr>
          <w:ilvl w:val="12"/>
          <w:numId w:val="0"/>
        </w:numPr>
        <w:tabs>
          <w:tab w:val="left" w:pos="0"/>
        </w:tabs>
        <w:suppressAutoHyphens/>
        <w:rPr>
          <w:rFonts w:asciiTheme="minorHAnsi" w:hAnsiTheme="minorHAnsi"/>
          <w:spacing w:val="-2"/>
          <w:sz w:val="22"/>
          <w:szCs w:val="22"/>
        </w:rPr>
      </w:pPr>
    </w:p>
    <w:p w14:paraId="2A836117" w14:textId="77777777" w:rsidR="00B93FD5" w:rsidRPr="003F7F6C" w:rsidRDefault="00B93FD5" w:rsidP="00B93FD5">
      <w:pPr>
        <w:numPr>
          <w:ilvl w:val="12"/>
          <w:numId w:val="0"/>
        </w:numPr>
        <w:tabs>
          <w:tab w:val="left" w:pos="0"/>
        </w:tabs>
        <w:suppressAutoHyphens/>
        <w:rPr>
          <w:rFonts w:asciiTheme="minorHAnsi" w:hAnsiTheme="minorHAnsi"/>
          <w:spacing w:val="-2"/>
          <w:sz w:val="22"/>
          <w:szCs w:val="22"/>
        </w:rPr>
      </w:pPr>
      <w:r w:rsidRPr="003F7F6C">
        <w:rPr>
          <w:rFonts w:asciiTheme="minorHAnsi" w:hAnsiTheme="minorHAnsi"/>
          <w:spacing w:val="-2"/>
          <w:sz w:val="22"/>
          <w:szCs w:val="22"/>
        </w:rPr>
        <w:t>9.</w:t>
      </w:r>
      <w:r w:rsidRPr="003F7F6C">
        <w:rPr>
          <w:rFonts w:asciiTheme="minorHAnsi" w:hAnsiTheme="minorHAnsi"/>
          <w:spacing w:val="-2"/>
          <w:sz w:val="22"/>
          <w:szCs w:val="22"/>
        </w:rPr>
        <w:tab/>
        <w:t>Any modification of the present arrangements shall be effected by mutual written agreement of the parties hereto.</w:t>
      </w:r>
    </w:p>
    <w:p w14:paraId="0D308933" w14:textId="77777777" w:rsidR="00B93FD5" w:rsidRPr="003F7F6C" w:rsidRDefault="00B93FD5" w:rsidP="00B93FD5">
      <w:pPr>
        <w:numPr>
          <w:ilvl w:val="12"/>
          <w:numId w:val="0"/>
        </w:numPr>
        <w:tabs>
          <w:tab w:val="left" w:pos="0"/>
        </w:tabs>
        <w:suppressAutoHyphens/>
        <w:rPr>
          <w:rFonts w:asciiTheme="minorHAnsi" w:hAnsiTheme="minorHAnsi"/>
          <w:spacing w:val="-2"/>
          <w:sz w:val="22"/>
          <w:szCs w:val="22"/>
        </w:rPr>
      </w:pPr>
    </w:p>
    <w:p w14:paraId="1A0C14D7" w14:textId="77777777" w:rsidR="00B93FD5" w:rsidRPr="003F7F6C" w:rsidRDefault="00B93FD5" w:rsidP="00B93FD5">
      <w:pPr>
        <w:numPr>
          <w:ilvl w:val="12"/>
          <w:numId w:val="0"/>
        </w:numPr>
        <w:tabs>
          <w:tab w:val="left" w:pos="0"/>
        </w:tabs>
        <w:suppressAutoHyphens/>
        <w:rPr>
          <w:rFonts w:asciiTheme="minorHAnsi" w:hAnsiTheme="minorHAnsi"/>
          <w:spacing w:val="-2"/>
          <w:sz w:val="22"/>
          <w:szCs w:val="22"/>
        </w:rPr>
      </w:pPr>
      <w:r w:rsidRPr="003F7F6C">
        <w:rPr>
          <w:rFonts w:asciiTheme="minorHAnsi" w:hAnsiTheme="minorHAnsi"/>
          <w:spacing w:val="-2"/>
          <w:sz w:val="22"/>
          <w:szCs w:val="22"/>
        </w:rPr>
        <w:t>10.</w:t>
      </w:r>
      <w:r w:rsidRPr="003F7F6C">
        <w:rPr>
          <w:rFonts w:asciiTheme="minorHAnsi" w:hAnsiTheme="minorHAnsi"/>
          <w:spacing w:val="-2"/>
          <w:sz w:val="22"/>
          <w:szCs w:val="22"/>
        </w:rPr>
        <w:tab/>
        <w:t>If you are in agreement with the provisions set forth above, please sign and return to this office two signed copies of this letter.  Upon your signature, this letter shall constitute an agreement between your Government and UNDP on the terms and conditions for the provision of support services by the UNDP country office for nationally managed programmes and projects.</w:t>
      </w:r>
    </w:p>
    <w:p w14:paraId="5C882F21" w14:textId="77777777" w:rsidR="00B93FD5" w:rsidRPr="003F7F6C" w:rsidRDefault="00B93FD5" w:rsidP="00B93FD5">
      <w:pPr>
        <w:numPr>
          <w:ilvl w:val="12"/>
          <w:numId w:val="0"/>
        </w:numPr>
        <w:tabs>
          <w:tab w:val="left" w:pos="0"/>
        </w:tabs>
        <w:suppressAutoHyphens/>
        <w:rPr>
          <w:rFonts w:asciiTheme="minorHAnsi" w:hAnsiTheme="minorHAnsi"/>
          <w:spacing w:val="-2"/>
          <w:sz w:val="22"/>
          <w:szCs w:val="22"/>
        </w:rPr>
      </w:pPr>
    </w:p>
    <w:p w14:paraId="6F84F993" w14:textId="77777777" w:rsidR="00B93FD5" w:rsidRPr="003F7F6C" w:rsidRDefault="00B93FD5" w:rsidP="00B93FD5">
      <w:pPr>
        <w:numPr>
          <w:ilvl w:val="12"/>
          <w:numId w:val="0"/>
        </w:numPr>
        <w:tabs>
          <w:tab w:val="left" w:pos="0"/>
        </w:tabs>
        <w:suppressAutoHyphens/>
        <w:jc w:val="center"/>
        <w:rPr>
          <w:rFonts w:asciiTheme="minorHAnsi" w:hAnsiTheme="minorHAnsi"/>
          <w:sz w:val="22"/>
          <w:szCs w:val="22"/>
        </w:rPr>
      </w:pPr>
      <w:r w:rsidRPr="003F7F6C">
        <w:rPr>
          <w:rFonts w:asciiTheme="minorHAnsi" w:hAnsiTheme="minorHAnsi"/>
          <w:sz w:val="22"/>
          <w:szCs w:val="22"/>
        </w:rPr>
        <w:t>Yours sincerely,</w:t>
      </w:r>
    </w:p>
    <w:p w14:paraId="5B676E84" w14:textId="77777777" w:rsidR="00B93FD5" w:rsidRPr="003F7F6C" w:rsidRDefault="00B93FD5" w:rsidP="00B93FD5">
      <w:pPr>
        <w:numPr>
          <w:ilvl w:val="12"/>
          <w:numId w:val="0"/>
        </w:numPr>
        <w:tabs>
          <w:tab w:val="left" w:pos="0"/>
        </w:tabs>
        <w:suppressAutoHyphens/>
        <w:jc w:val="center"/>
        <w:rPr>
          <w:rFonts w:asciiTheme="minorHAnsi" w:hAnsiTheme="minorHAnsi"/>
          <w:sz w:val="22"/>
          <w:szCs w:val="22"/>
        </w:rPr>
      </w:pPr>
    </w:p>
    <w:p w14:paraId="2A07B05F" w14:textId="77777777" w:rsidR="00B93FD5" w:rsidRPr="003F7F6C" w:rsidRDefault="00B93FD5" w:rsidP="00B93FD5">
      <w:pPr>
        <w:numPr>
          <w:ilvl w:val="12"/>
          <w:numId w:val="0"/>
        </w:numPr>
        <w:tabs>
          <w:tab w:val="left" w:pos="0"/>
        </w:tabs>
        <w:suppressAutoHyphens/>
        <w:jc w:val="center"/>
        <w:rPr>
          <w:rFonts w:asciiTheme="minorHAnsi" w:hAnsiTheme="minorHAnsi"/>
          <w:sz w:val="22"/>
          <w:szCs w:val="22"/>
        </w:rPr>
      </w:pPr>
    </w:p>
    <w:p w14:paraId="0405EE01" w14:textId="77777777" w:rsidR="00B93FD5" w:rsidRPr="003F7F6C" w:rsidRDefault="00B93FD5" w:rsidP="00B93FD5">
      <w:pPr>
        <w:numPr>
          <w:ilvl w:val="12"/>
          <w:numId w:val="0"/>
        </w:numPr>
        <w:tabs>
          <w:tab w:val="left" w:pos="0"/>
        </w:tabs>
        <w:suppressAutoHyphens/>
        <w:jc w:val="center"/>
        <w:rPr>
          <w:rFonts w:asciiTheme="minorHAnsi" w:hAnsiTheme="minorHAnsi"/>
          <w:sz w:val="22"/>
          <w:szCs w:val="22"/>
        </w:rPr>
      </w:pPr>
    </w:p>
    <w:p w14:paraId="72884665" w14:textId="77777777" w:rsidR="00B93FD5" w:rsidRPr="003F7F6C" w:rsidRDefault="00B93FD5" w:rsidP="00B93FD5">
      <w:pPr>
        <w:numPr>
          <w:ilvl w:val="12"/>
          <w:numId w:val="0"/>
        </w:numPr>
        <w:tabs>
          <w:tab w:val="left" w:pos="0"/>
        </w:tabs>
        <w:suppressAutoHyphens/>
        <w:jc w:val="center"/>
        <w:rPr>
          <w:rFonts w:asciiTheme="minorHAnsi" w:hAnsiTheme="minorHAnsi"/>
          <w:sz w:val="22"/>
          <w:szCs w:val="22"/>
        </w:rPr>
      </w:pPr>
      <w:r w:rsidRPr="003F7F6C">
        <w:rPr>
          <w:rFonts w:asciiTheme="minorHAnsi" w:hAnsiTheme="minorHAnsi"/>
          <w:sz w:val="22"/>
          <w:szCs w:val="22"/>
        </w:rPr>
        <w:t>________________________</w:t>
      </w:r>
    </w:p>
    <w:p w14:paraId="71018D12" w14:textId="77777777" w:rsidR="00B93FD5" w:rsidRPr="003F7F6C" w:rsidRDefault="00B93FD5" w:rsidP="00B93FD5">
      <w:pPr>
        <w:numPr>
          <w:ilvl w:val="12"/>
          <w:numId w:val="0"/>
        </w:numPr>
        <w:tabs>
          <w:tab w:val="left" w:pos="0"/>
        </w:tabs>
        <w:suppressAutoHyphens/>
        <w:jc w:val="center"/>
        <w:rPr>
          <w:rFonts w:asciiTheme="minorHAnsi" w:hAnsiTheme="minorHAnsi"/>
          <w:sz w:val="22"/>
          <w:szCs w:val="22"/>
        </w:rPr>
      </w:pPr>
      <w:r w:rsidRPr="003F7F6C">
        <w:rPr>
          <w:rFonts w:asciiTheme="minorHAnsi" w:hAnsiTheme="minorHAnsi"/>
          <w:sz w:val="22"/>
          <w:szCs w:val="22"/>
        </w:rPr>
        <w:t>Signed on behalf of UNDP</w:t>
      </w:r>
    </w:p>
    <w:p w14:paraId="638DD975" w14:textId="77777777" w:rsidR="00B93FD5" w:rsidRPr="003F7F6C" w:rsidRDefault="00B93FD5" w:rsidP="00B93FD5">
      <w:pPr>
        <w:numPr>
          <w:ilvl w:val="12"/>
          <w:numId w:val="0"/>
        </w:numPr>
        <w:tabs>
          <w:tab w:val="left" w:pos="0"/>
        </w:tabs>
        <w:suppressAutoHyphens/>
        <w:jc w:val="center"/>
        <w:rPr>
          <w:rFonts w:asciiTheme="minorHAnsi" w:hAnsiTheme="minorHAnsi"/>
          <w:sz w:val="22"/>
          <w:szCs w:val="22"/>
        </w:rPr>
      </w:pPr>
    </w:p>
    <w:p w14:paraId="53DC4953" w14:textId="77777777" w:rsidR="00B93FD5" w:rsidRPr="003F7F6C" w:rsidRDefault="00B93FD5" w:rsidP="00B93FD5">
      <w:pPr>
        <w:numPr>
          <w:ilvl w:val="12"/>
          <w:numId w:val="0"/>
        </w:numPr>
        <w:tabs>
          <w:tab w:val="left" w:pos="0"/>
        </w:tabs>
        <w:suppressAutoHyphens/>
        <w:rPr>
          <w:rFonts w:asciiTheme="minorHAnsi" w:hAnsiTheme="minorHAnsi"/>
          <w:spacing w:val="-2"/>
          <w:sz w:val="22"/>
          <w:szCs w:val="22"/>
        </w:rPr>
      </w:pPr>
    </w:p>
    <w:p w14:paraId="44F5DD9A" w14:textId="77777777" w:rsidR="00B93FD5" w:rsidRPr="003F7F6C" w:rsidRDefault="00B93FD5" w:rsidP="00B93FD5">
      <w:pPr>
        <w:numPr>
          <w:ilvl w:val="12"/>
          <w:numId w:val="0"/>
        </w:numPr>
        <w:tabs>
          <w:tab w:val="left" w:pos="0"/>
        </w:tabs>
        <w:suppressAutoHyphens/>
        <w:rPr>
          <w:rFonts w:asciiTheme="minorHAnsi" w:hAnsiTheme="minorHAnsi"/>
          <w:spacing w:val="-2"/>
          <w:sz w:val="22"/>
          <w:szCs w:val="22"/>
        </w:rPr>
      </w:pPr>
      <w:r w:rsidRPr="003F7F6C">
        <w:rPr>
          <w:rFonts w:asciiTheme="minorHAnsi" w:hAnsiTheme="minorHAnsi"/>
          <w:spacing w:val="-2"/>
          <w:sz w:val="22"/>
          <w:szCs w:val="22"/>
        </w:rPr>
        <w:t>_____________________</w:t>
      </w:r>
    </w:p>
    <w:p w14:paraId="27433EBB" w14:textId="77777777" w:rsidR="00B93FD5" w:rsidRPr="003F7F6C" w:rsidRDefault="00B93FD5" w:rsidP="00B93FD5">
      <w:pPr>
        <w:suppressAutoHyphens/>
        <w:rPr>
          <w:rFonts w:asciiTheme="minorHAnsi" w:hAnsiTheme="minorHAnsi"/>
          <w:spacing w:val="-2"/>
          <w:sz w:val="22"/>
          <w:szCs w:val="22"/>
        </w:rPr>
      </w:pPr>
      <w:r w:rsidRPr="003F7F6C">
        <w:rPr>
          <w:rFonts w:asciiTheme="minorHAnsi" w:hAnsiTheme="minorHAnsi"/>
          <w:sz w:val="22"/>
          <w:szCs w:val="22"/>
        </w:rPr>
        <w:t xml:space="preserve">Signed on behalf of </w:t>
      </w:r>
      <w:r w:rsidRPr="003F7F6C">
        <w:rPr>
          <w:rFonts w:asciiTheme="minorHAnsi" w:hAnsiTheme="minorHAnsi"/>
          <w:spacing w:val="-2"/>
          <w:sz w:val="22"/>
          <w:szCs w:val="22"/>
        </w:rPr>
        <w:t>SAyDS</w:t>
      </w:r>
    </w:p>
    <w:p w14:paraId="59CA40FB" w14:textId="77777777" w:rsidR="00B93FD5" w:rsidRPr="003F7F6C" w:rsidRDefault="00B93FD5" w:rsidP="00B93FD5">
      <w:pPr>
        <w:tabs>
          <w:tab w:val="left" w:pos="0"/>
          <w:tab w:val="left" w:pos="360"/>
          <w:tab w:val="left" w:pos="720"/>
        </w:tabs>
        <w:suppressAutoHyphens/>
        <w:rPr>
          <w:rFonts w:asciiTheme="minorHAnsi" w:hAnsiTheme="minorHAnsi"/>
          <w:spacing w:val="-2"/>
          <w:sz w:val="22"/>
          <w:szCs w:val="22"/>
        </w:rPr>
      </w:pPr>
    </w:p>
    <w:p w14:paraId="3F2BCE1A" w14:textId="77777777" w:rsidR="00B93FD5" w:rsidRPr="003F7F6C" w:rsidRDefault="00B93FD5" w:rsidP="00B93FD5">
      <w:pPr>
        <w:tabs>
          <w:tab w:val="left" w:pos="0"/>
          <w:tab w:val="left" w:pos="360"/>
          <w:tab w:val="left" w:pos="720"/>
        </w:tabs>
        <w:suppressAutoHyphens/>
        <w:rPr>
          <w:rFonts w:asciiTheme="minorHAnsi" w:hAnsiTheme="minorHAnsi"/>
          <w:spacing w:val="-2"/>
          <w:sz w:val="22"/>
          <w:szCs w:val="22"/>
        </w:rPr>
        <w:sectPr w:rsidR="00B93FD5" w:rsidRPr="003F7F6C">
          <w:pgSz w:w="12240" w:h="15840" w:code="1"/>
          <w:pgMar w:top="1793" w:right="1008" w:bottom="1152" w:left="1008" w:header="720" w:footer="720" w:gutter="0"/>
          <w:cols w:space="720"/>
          <w:docGrid w:linePitch="326"/>
        </w:sectPr>
      </w:pPr>
    </w:p>
    <w:p w14:paraId="0E8E8B06" w14:textId="77777777" w:rsidR="00B93FD5" w:rsidRPr="003F7F6C" w:rsidRDefault="00B93FD5" w:rsidP="00B93FD5">
      <w:pPr>
        <w:keepNext/>
        <w:keepLines/>
        <w:numPr>
          <w:ilvl w:val="12"/>
          <w:numId w:val="0"/>
        </w:numPr>
        <w:tabs>
          <w:tab w:val="left" w:pos="0"/>
        </w:tabs>
        <w:suppressAutoHyphens/>
        <w:jc w:val="center"/>
        <w:rPr>
          <w:rFonts w:asciiTheme="minorHAnsi" w:hAnsiTheme="minorHAnsi"/>
          <w:sz w:val="22"/>
          <w:szCs w:val="22"/>
        </w:rPr>
      </w:pPr>
      <w:r w:rsidRPr="003F7F6C">
        <w:rPr>
          <w:rFonts w:asciiTheme="minorHAnsi" w:hAnsiTheme="minorHAnsi"/>
          <w:sz w:val="22"/>
          <w:szCs w:val="22"/>
          <w:u w:val="single"/>
        </w:rPr>
        <w:fldChar w:fldCharType="begin"/>
      </w:r>
      <w:r w:rsidRPr="003F7F6C">
        <w:rPr>
          <w:rFonts w:asciiTheme="minorHAnsi" w:hAnsiTheme="minorHAnsi"/>
          <w:sz w:val="22"/>
          <w:szCs w:val="22"/>
          <w:u w:val="single"/>
        </w:rPr>
        <w:instrText xml:space="preserve">PRIVATE </w:instrText>
      </w:r>
      <w:r w:rsidRPr="003F7F6C">
        <w:rPr>
          <w:rFonts w:asciiTheme="minorHAnsi" w:hAnsiTheme="minorHAnsi"/>
          <w:sz w:val="22"/>
          <w:szCs w:val="22"/>
          <w:u w:val="single"/>
        </w:rPr>
        <w:fldChar w:fldCharType="end"/>
      </w:r>
      <w:r w:rsidRPr="003F7F6C">
        <w:rPr>
          <w:rFonts w:asciiTheme="minorHAnsi" w:hAnsiTheme="minorHAnsi"/>
          <w:sz w:val="22"/>
          <w:szCs w:val="22"/>
          <w:u w:val="single"/>
        </w:rPr>
        <w:t xml:space="preserve">Attachment </w:t>
      </w:r>
      <w:r w:rsidRPr="003F7F6C">
        <w:rPr>
          <w:rFonts w:asciiTheme="minorHAnsi" w:hAnsiTheme="minorHAnsi"/>
          <w:sz w:val="22"/>
          <w:szCs w:val="22"/>
          <w:u w:val="single"/>
        </w:rPr>
        <w:fldChar w:fldCharType="begin"/>
      </w:r>
      <w:r w:rsidRPr="003F7F6C">
        <w:rPr>
          <w:rFonts w:asciiTheme="minorHAnsi" w:hAnsiTheme="minorHAnsi"/>
          <w:sz w:val="22"/>
          <w:szCs w:val="22"/>
          <w:u w:val="single"/>
        </w:rPr>
        <w:instrText>tc "Attachment "</w:instrText>
      </w:r>
      <w:r w:rsidRPr="003F7F6C">
        <w:rPr>
          <w:rFonts w:asciiTheme="minorHAnsi" w:hAnsiTheme="minorHAnsi"/>
          <w:sz w:val="22"/>
          <w:szCs w:val="22"/>
          <w:u w:val="single"/>
        </w:rPr>
        <w:fldChar w:fldCharType="end"/>
      </w:r>
    </w:p>
    <w:p w14:paraId="0D7814EA" w14:textId="77777777" w:rsidR="00B93FD5" w:rsidRPr="003F7F6C" w:rsidRDefault="00B93FD5" w:rsidP="00B93FD5">
      <w:pPr>
        <w:numPr>
          <w:ilvl w:val="12"/>
          <w:numId w:val="0"/>
        </w:numPr>
        <w:tabs>
          <w:tab w:val="left" w:pos="0"/>
        </w:tabs>
        <w:suppressAutoHyphens/>
        <w:jc w:val="center"/>
        <w:rPr>
          <w:rFonts w:asciiTheme="minorHAnsi" w:hAnsiTheme="minorHAnsi"/>
          <w:sz w:val="22"/>
          <w:szCs w:val="22"/>
        </w:rPr>
      </w:pPr>
    </w:p>
    <w:p w14:paraId="52C6FD2B" w14:textId="77777777" w:rsidR="00B93FD5" w:rsidRPr="003F7F6C" w:rsidRDefault="00B93FD5" w:rsidP="00B93FD5">
      <w:pPr>
        <w:pStyle w:val="Heading1"/>
        <w:numPr>
          <w:ilvl w:val="12"/>
          <w:numId w:val="0"/>
        </w:numPr>
        <w:jc w:val="center"/>
        <w:rPr>
          <w:rFonts w:asciiTheme="minorHAnsi" w:hAnsiTheme="minorHAnsi"/>
          <w:sz w:val="22"/>
          <w:szCs w:val="22"/>
        </w:rPr>
      </w:pPr>
      <w:bookmarkStart w:id="75" w:name="_Toc529891432"/>
      <w:r w:rsidRPr="003F7F6C">
        <w:rPr>
          <w:rFonts w:asciiTheme="minorHAnsi" w:hAnsiTheme="minorHAnsi"/>
          <w:sz w:val="22"/>
          <w:szCs w:val="22"/>
        </w:rPr>
        <w:t>DESCRIPTION OF UNDP COUNTRY OFFICE SUPPORT SERVICES</w:t>
      </w:r>
      <w:bookmarkEnd w:id="75"/>
    </w:p>
    <w:p w14:paraId="36EB423F" w14:textId="77777777" w:rsidR="00B93FD5" w:rsidRPr="003F7F6C" w:rsidRDefault="00B93FD5" w:rsidP="00B93FD5">
      <w:pPr>
        <w:numPr>
          <w:ilvl w:val="12"/>
          <w:numId w:val="0"/>
        </w:numPr>
        <w:tabs>
          <w:tab w:val="left" w:pos="0"/>
        </w:tabs>
        <w:suppressAutoHyphens/>
        <w:rPr>
          <w:rFonts w:asciiTheme="minorHAnsi" w:hAnsiTheme="minorHAnsi"/>
          <w:spacing w:val="-2"/>
          <w:sz w:val="22"/>
          <w:szCs w:val="22"/>
        </w:rPr>
      </w:pPr>
    </w:p>
    <w:p w14:paraId="7A594CBD" w14:textId="77777777" w:rsidR="00B93FD5" w:rsidRPr="003F7F6C" w:rsidRDefault="00B93FD5" w:rsidP="00B93FD5">
      <w:pPr>
        <w:numPr>
          <w:ilvl w:val="12"/>
          <w:numId w:val="0"/>
        </w:numPr>
        <w:tabs>
          <w:tab w:val="left" w:pos="0"/>
        </w:tabs>
        <w:suppressAutoHyphens/>
        <w:rPr>
          <w:rFonts w:asciiTheme="minorHAnsi" w:hAnsiTheme="minorHAnsi"/>
          <w:spacing w:val="-2"/>
          <w:sz w:val="22"/>
          <w:szCs w:val="22"/>
        </w:rPr>
      </w:pPr>
      <w:r w:rsidRPr="003F7F6C">
        <w:rPr>
          <w:rFonts w:asciiTheme="minorHAnsi" w:hAnsiTheme="minorHAnsi"/>
          <w:spacing w:val="-2"/>
          <w:sz w:val="22"/>
          <w:szCs w:val="22"/>
        </w:rPr>
        <w:t>1.</w:t>
      </w:r>
      <w:r w:rsidRPr="003F7F6C">
        <w:rPr>
          <w:rFonts w:asciiTheme="minorHAnsi" w:hAnsiTheme="minorHAnsi"/>
          <w:spacing w:val="-2"/>
          <w:sz w:val="22"/>
          <w:szCs w:val="22"/>
        </w:rPr>
        <w:tab/>
        <w:t xml:space="preserve">Reference is made to consultations between </w:t>
      </w:r>
      <w:bookmarkStart w:id="76" w:name="_Hlk529448841"/>
      <w:r w:rsidRPr="003F7F6C">
        <w:rPr>
          <w:rFonts w:asciiTheme="minorHAnsi" w:hAnsiTheme="minorHAnsi"/>
          <w:sz w:val="22"/>
          <w:szCs w:val="22"/>
        </w:rPr>
        <w:t xml:space="preserve">Secretariat of the Environment and Sustainable Development </w:t>
      </w:r>
      <w:bookmarkEnd w:id="76"/>
      <w:r w:rsidRPr="003F7F6C">
        <w:rPr>
          <w:rFonts w:asciiTheme="minorHAnsi" w:hAnsiTheme="minorHAnsi"/>
          <w:sz w:val="22"/>
          <w:szCs w:val="22"/>
        </w:rPr>
        <w:t>(SAyDS)</w:t>
      </w:r>
      <w:r w:rsidRPr="003F7F6C">
        <w:rPr>
          <w:rFonts w:asciiTheme="minorHAnsi" w:hAnsiTheme="minorHAnsi"/>
          <w:spacing w:val="-2"/>
          <w:sz w:val="22"/>
          <w:szCs w:val="22"/>
        </w:rPr>
        <w:t>, the institution designated by the Government of Argentina and officials of UNDP with respect to the provision of support services by the UNDP country office for the nationally managed project “Mainstreaming Biodiversity Conservation And Sustainable Land Use Management (SLM) into Developing Planning: Making Environmental Land Use Planning (ELUP) Operational In Argentina” Award 00114826, Project 00112703 within the context of the National Implementation Modality.</w:t>
      </w:r>
    </w:p>
    <w:p w14:paraId="4EE1F767" w14:textId="77777777" w:rsidR="00B93FD5" w:rsidRPr="003F7F6C" w:rsidRDefault="00B93FD5" w:rsidP="00B93FD5">
      <w:pPr>
        <w:numPr>
          <w:ilvl w:val="12"/>
          <w:numId w:val="0"/>
        </w:numPr>
        <w:tabs>
          <w:tab w:val="left" w:pos="0"/>
        </w:tabs>
        <w:suppressAutoHyphens/>
        <w:rPr>
          <w:rFonts w:asciiTheme="minorHAnsi" w:hAnsiTheme="minorHAnsi"/>
          <w:spacing w:val="-2"/>
          <w:sz w:val="22"/>
          <w:szCs w:val="22"/>
        </w:rPr>
      </w:pPr>
    </w:p>
    <w:p w14:paraId="4DDD174A" w14:textId="77777777" w:rsidR="00B93FD5" w:rsidRPr="003F7F6C" w:rsidRDefault="00B93FD5" w:rsidP="00B93FD5">
      <w:pPr>
        <w:numPr>
          <w:ilvl w:val="12"/>
          <w:numId w:val="0"/>
        </w:numPr>
        <w:tabs>
          <w:tab w:val="left" w:pos="0"/>
        </w:tabs>
        <w:suppressAutoHyphens/>
        <w:rPr>
          <w:rFonts w:asciiTheme="minorHAnsi" w:hAnsiTheme="minorHAnsi"/>
          <w:spacing w:val="-2"/>
          <w:sz w:val="22"/>
          <w:szCs w:val="22"/>
        </w:rPr>
      </w:pPr>
      <w:r w:rsidRPr="003F7F6C">
        <w:rPr>
          <w:rFonts w:asciiTheme="minorHAnsi" w:hAnsiTheme="minorHAnsi"/>
          <w:spacing w:val="-2"/>
          <w:sz w:val="22"/>
          <w:szCs w:val="22"/>
        </w:rPr>
        <w:t>2.</w:t>
      </w:r>
      <w:r w:rsidRPr="003F7F6C">
        <w:rPr>
          <w:rFonts w:asciiTheme="minorHAnsi" w:hAnsiTheme="minorHAnsi"/>
          <w:spacing w:val="-2"/>
          <w:sz w:val="22"/>
          <w:szCs w:val="22"/>
        </w:rPr>
        <w:tab/>
        <w:t>According with the present letter, the UNDP Country office will provide support services in compliance with the table below.</w:t>
      </w:r>
    </w:p>
    <w:p w14:paraId="35D348CD" w14:textId="77777777" w:rsidR="00B93FD5" w:rsidRPr="003F7F6C" w:rsidRDefault="00B93FD5" w:rsidP="00B93FD5">
      <w:pPr>
        <w:numPr>
          <w:ilvl w:val="12"/>
          <w:numId w:val="0"/>
        </w:numPr>
        <w:tabs>
          <w:tab w:val="left" w:pos="0"/>
        </w:tabs>
        <w:suppressAutoHyphens/>
        <w:rPr>
          <w:rFonts w:asciiTheme="minorHAnsi" w:hAnsiTheme="minorHAnsi"/>
          <w:spacing w:val="-2"/>
          <w:sz w:val="22"/>
          <w:szCs w:val="22"/>
        </w:rPr>
      </w:pPr>
    </w:p>
    <w:p w14:paraId="059CAEED" w14:textId="77777777" w:rsidR="00B93FD5" w:rsidRPr="003F7F6C" w:rsidRDefault="00B93FD5" w:rsidP="00B93FD5">
      <w:pPr>
        <w:numPr>
          <w:ilvl w:val="12"/>
          <w:numId w:val="0"/>
        </w:numPr>
        <w:tabs>
          <w:tab w:val="left" w:pos="0"/>
        </w:tabs>
        <w:suppressAutoHyphens/>
        <w:rPr>
          <w:rFonts w:asciiTheme="minorHAnsi" w:hAnsiTheme="minorHAnsi"/>
          <w:spacing w:val="-2"/>
          <w:sz w:val="22"/>
          <w:szCs w:val="22"/>
        </w:rPr>
      </w:pPr>
    </w:p>
    <w:p w14:paraId="66EF7464" w14:textId="77777777" w:rsidR="00B93FD5" w:rsidRPr="003F7F6C" w:rsidRDefault="00B93FD5" w:rsidP="00B93FD5">
      <w:pPr>
        <w:numPr>
          <w:ilvl w:val="12"/>
          <w:numId w:val="0"/>
        </w:numPr>
        <w:tabs>
          <w:tab w:val="left" w:pos="0"/>
        </w:tabs>
        <w:suppressAutoHyphens/>
        <w:rPr>
          <w:rFonts w:asciiTheme="minorHAnsi" w:hAnsiTheme="minorHAnsi"/>
          <w:spacing w:val="-2"/>
          <w:sz w:val="22"/>
          <w:szCs w:val="22"/>
        </w:rPr>
      </w:pPr>
      <w:r w:rsidRPr="003F7F6C">
        <w:rPr>
          <w:rFonts w:asciiTheme="minorHAnsi" w:hAnsiTheme="minorHAnsi"/>
          <w:spacing w:val="-2"/>
          <w:sz w:val="22"/>
          <w:szCs w:val="22"/>
        </w:rPr>
        <w:t>3.</w:t>
      </w:r>
      <w:r w:rsidRPr="003F7F6C">
        <w:rPr>
          <w:rFonts w:asciiTheme="minorHAnsi" w:hAnsiTheme="minorHAnsi"/>
          <w:spacing w:val="-2"/>
          <w:sz w:val="22"/>
          <w:szCs w:val="22"/>
        </w:rPr>
        <w:tab/>
        <w:t>Support services to be provided*</w:t>
      </w:r>
    </w:p>
    <w:p w14:paraId="0B51064F" w14:textId="77777777" w:rsidR="00B93FD5" w:rsidRPr="003F7F6C" w:rsidRDefault="00B93FD5" w:rsidP="00B93FD5">
      <w:pPr>
        <w:pStyle w:val="Predeterminado"/>
        <w:spacing w:after="0" w:line="240" w:lineRule="auto"/>
        <w:jc w:val="both"/>
        <w:rPr>
          <w:rFonts w:asciiTheme="minorHAnsi" w:hAnsiTheme="minorHAnsi" w:cs="Times New Roman"/>
          <w:szCs w:val="22"/>
          <w:lang w:val="en-US"/>
        </w:rPr>
      </w:pPr>
    </w:p>
    <w:tbl>
      <w:tblPr>
        <w:tblW w:w="0" w:type="auto"/>
        <w:jc w:val="center"/>
        <w:tblLayout w:type="fixed"/>
        <w:tblCellMar>
          <w:left w:w="10" w:type="dxa"/>
          <w:right w:w="10" w:type="dxa"/>
        </w:tblCellMar>
        <w:tblLook w:val="0000" w:firstRow="0" w:lastRow="0" w:firstColumn="0" w:lastColumn="0" w:noHBand="0" w:noVBand="0"/>
      </w:tblPr>
      <w:tblGrid>
        <w:gridCol w:w="2776"/>
        <w:gridCol w:w="2042"/>
        <w:gridCol w:w="2476"/>
        <w:gridCol w:w="1932"/>
      </w:tblGrid>
      <w:tr w:rsidR="00B93FD5" w:rsidRPr="003F7F6C" w14:paraId="3176FF78" w14:textId="77777777" w:rsidTr="00A925EE">
        <w:trPr>
          <w:jc w:val="center"/>
        </w:trPr>
        <w:tc>
          <w:tcPr>
            <w:tcW w:w="2776" w:type="dxa"/>
            <w:tcBorders>
              <w:top w:val="single" w:sz="6" w:space="0" w:color="000080"/>
              <w:left w:val="single" w:sz="6" w:space="0" w:color="000080"/>
              <w:bottom w:val="single" w:sz="6" w:space="0" w:color="000080"/>
            </w:tcBorders>
            <w:shd w:val="clear" w:color="auto" w:fill="7F7F7F"/>
          </w:tcPr>
          <w:p w14:paraId="3E6BC058" w14:textId="77777777" w:rsidR="00B93FD5" w:rsidRPr="003F7F6C" w:rsidRDefault="00B93FD5" w:rsidP="00A925EE">
            <w:pPr>
              <w:pStyle w:val="Predeterminado"/>
              <w:tabs>
                <w:tab w:val="left" w:pos="0"/>
              </w:tabs>
              <w:spacing w:after="0" w:line="240" w:lineRule="auto"/>
              <w:jc w:val="center"/>
              <w:rPr>
                <w:rFonts w:asciiTheme="minorHAnsi" w:hAnsiTheme="minorHAnsi" w:cs="Times New Roman"/>
                <w:szCs w:val="22"/>
                <w:lang w:val="en-US"/>
              </w:rPr>
            </w:pPr>
            <w:r w:rsidRPr="003F7F6C">
              <w:rPr>
                <w:rFonts w:asciiTheme="minorHAnsi" w:hAnsiTheme="minorHAnsi" w:cs="Times New Roman"/>
                <w:szCs w:val="22"/>
                <w:lang w:val="en-US"/>
              </w:rPr>
              <w:t>Support services</w:t>
            </w:r>
          </w:p>
          <w:p w14:paraId="46BEB9EC" w14:textId="77777777" w:rsidR="00B93FD5" w:rsidRPr="003F7F6C" w:rsidRDefault="00B93FD5" w:rsidP="00A925EE">
            <w:pPr>
              <w:pStyle w:val="Predeterminado"/>
              <w:tabs>
                <w:tab w:val="left" w:pos="0"/>
              </w:tabs>
              <w:spacing w:after="0" w:line="240" w:lineRule="auto"/>
              <w:jc w:val="center"/>
              <w:rPr>
                <w:rFonts w:asciiTheme="minorHAnsi" w:hAnsiTheme="minorHAnsi" w:cs="Times New Roman"/>
                <w:szCs w:val="22"/>
                <w:lang w:val="en-US"/>
              </w:rPr>
            </w:pPr>
          </w:p>
        </w:tc>
        <w:tc>
          <w:tcPr>
            <w:tcW w:w="2042" w:type="dxa"/>
            <w:tcBorders>
              <w:top w:val="single" w:sz="6" w:space="0" w:color="000080"/>
              <w:left w:val="single" w:sz="6" w:space="0" w:color="000080"/>
              <w:bottom w:val="single" w:sz="6" w:space="0" w:color="000080"/>
            </w:tcBorders>
            <w:shd w:val="clear" w:color="auto" w:fill="7F7F7F"/>
          </w:tcPr>
          <w:p w14:paraId="1DEF774A" w14:textId="77777777" w:rsidR="00B93FD5" w:rsidRPr="003F7F6C" w:rsidRDefault="00B93FD5" w:rsidP="00A925EE">
            <w:pPr>
              <w:pStyle w:val="Predeterminado"/>
              <w:tabs>
                <w:tab w:val="left" w:pos="0"/>
              </w:tabs>
              <w:spacing w:after="0" w:line="240" w:lineRule="auto"/>
              <w:jc w:val="center"/>
              <w:rPr>
                <w:rFonts w:asciiTheme="minorHAnsi" w:hAnsiTheme="minorHAnsi" w:cs="Times New Roman"/>
                <w:szCs w:val="22"/>
                <w:lang w:val="en-US"/>
              </w:rPr>
            </w:pPr>
            <w:r w:rsidRPr="003F7F6C">
              <w:rPr>
                <w:rFonts w:asciiTheme="minorHAnsi" w:hAnsiTheme="minorHAnsi" w:cs="Times New Roman"/>
                <w:szCs w:val="22"/>
                <w:lang w:val="en-US"/>
              </w:rPr>
              <w:t>Schedule for the support services provision</w:t>
            </w:r>
          </w:p>
        </w:tc>
        <w:tc>
          <w:tcPr>
            <w:tcW w:w="2476" w:type="dxa"/>
            <w:tcBorders>
              <w:top w:val="single" w:sz="6" w:space="0" w:color="000080"/>
              <w:left w:val="single" w:sz="6" w:space="0" w:color="000080"/>
              <w:bottom w:val="single" w:sz="6" w:space="0" w:color="000080"/>
            </w:tcBorders>
            <w:shd w:val="clear" w:color="auto" w:fill="7F7F7F"/>
          </w:tcPr>
          <w:p w14:paraId="06C02296" w14:textId="77777777" w:rsidR="00B93FD5" w:rsidRPr="003F7F6C" w:rsidRDefault="00B93FD5" w:rsidP="00A925EE">
            <w:pPr>
              <w:pStyle w:val="Predeterminado"/>
              <w:tabs>
                <w:tab w:val="left" w:pos="0"/>
              </w:tabs>
              <w:spacing w:after="0" w:line="240" w:lineRule="auto"/>
              <w:jc w:val="center"/>
              <w:rPr>
                <w:rFonts w:asciiTheme="minorHAnsi" w:hAnsiTheme="minorHAnsi" w:cs="Times New Roman"/>
                <w:szCs w:val="22"/>
                <w:lang w:val="en-US"/>
              </w:rPr>
            </w:pPr>
            <w:r w:rsidRPr="003F7F6C">
              <w:rPr>
                <w:rFonts w:asciiTheme="minorHAnsi" w:hAnsiTheme="minorHAnsi" w:cs="Times New Roman"/>
                <w:szCs w:val="22"/>
                <w:lang w:val="en-US"/>
              </w:rPr>
              <w:t>UNDP Cost for providing  support services (when necessary)</w:t>
            </w:r>
          </w:p>
        </w:tc>
        <w:tc>
          <w:tcPr>
            <w:tcW w:w="1932" w:type="dxa"/>
            <w:tcBorders>
              <w:top w:val="single" w:sz="6" w:space="0" w:color="000080"/>
              <w:left w:val="single" w:sz="6" w:space="0" w:color="000080"/>
              <w:bottom w:val="single" w:sz="6" w:space="0" w:color="000080"/>
              <w:right w:val="single" w:sz="6" w:space="0" w:color="000080"/>
            </w:tcBorders>
            <w:shd w:val="clear" w:color="auto" w:fill="7F7F7F"/>
          </w:tcPr>
          <w:p w14:paraId="13FB79A9" w14:textId="77777777" w:rsidR="00B93FD5" w:rsidRPr="003F7F6C" w:rsidRDefault="00B93FD5" w:rsidP="00A925EE">
            <w:pPr>
              <w:pStyle w:val="Predeterminado"/>
              <w:tabs>
                <w:tab w:val="left" w:pos="0"/>
              </w:tabs>
              <w:spacing w:after="0" w:line="240" w:lineRule="auto"/>
              <w:jc w:val="center"/>
              <w:rPr>
                <w:rFonts w:asciiTheme="minorHAnsi" w:hAnsiTheme="minorHAnsi" w:cs="Times New Roman"/>
                <w:szCs w:val="22"/>
                <w:lang w:val="en-US"/>
              </w:rPr>
            </w:pPr>
            <w:r w:rsidRPr="003F7F6C">
              <w:rPr>
                <w:rFonts w:asciiTheme="minorHAnsi" w:hAnsiTheme="minorHAnsi" w:cs="Times New Roman"/>
                <w:szCs w:val="22"/>
                <w:lang w:val="en-US"/>
              </w:rPr>
              <w:t>Quantity and UNDP reimbursement  method (when necessary)</w:t>
            </w:r>
          </w:p>
        </w:tc>
      </w:tr>
      <w:tr w:rsidR="00B93FD5" w:rsidRPr="003F7F6C" w14:paraId="6D397209" w14:textId="77777777" w:rsidTr="00A925EE">
        <w:trPr>
          <w:jc w:val="center"/>
        </w:trPr>
        <w:tc>
          <w:tcPr>
            <w:tcW w:w="2776" w:type="dxa"/>
            <w:tcBorders>
              <w:left w:val="single" w:sz="6" w:space="0" w:color="000080"/>
            </w:tcBorders>
            <w:shd w:val="clear" w:color="auto" w:fill="FFFFFF"/>
          </w:tcPr>
          <w:p w14:paraId="3D33657A" w14:textId="77777777" w:rsidR="00B93FD5" w:rsidRPr="003F7F6C" w:rsidRDefault="00B93FD5" w:rsidP="00B93FD5">
            <w:pPr>
              <w:pStyle w:val="Predeterminado"/>
              <w:numPr>
                <w:ilvl w:val="0"/>
                <w:numId w:val="74"/>
              </w:numPr>
              <w:spacing w:after="0" w:line="240" w:lineRule="auto"/>
              <w:ind w:left="284" w:hanging="284"/>
              <w:rPr>
                <w:rFonts w:asciiTheme="minorHAnsi" w:hAnsiTheme="minorHAnsi" w:cs="Times New Roman"/>
                <w:szCs w:val="22"/>
                <w:lang w:val="en-US"/>
              </w:rPr>
            </w:pPr>
            <w:r w:rsidRPr="003F7F6C">
              <w:rPr>
                <w:rFonts w:asciiTheme="minorHAnsi" w:hAnsiTheme="minorHAnsi" w:cs="Times New Roman"/>
                <w:szCs w:val="22"/>
                <w:lang w:val="en-US"/>
              </w:rPr>
              <w:t xml:space="preserve">Payments, disbursements  and other financial transactions </w:t>
            </w:r>
          </w:p>
        </w:tc>
        <w:tc>
          <w:tcPr>
            <w:tcW w:w="2042" w:type="dxa"/>
            <w:tcBorders>
              <w:left w:val="single" w:sz="6" w:space="0" w:color="000080"/>
            </w:tcBorders>
            <w:shd w:val="clear" w:color="auto" w:fill="FFFFFF"/>
          </w:tcPr>
          <w:p w14:paraId="77C8CCB6" w14:textId="77777777" w:rsidR="00B93FD5" w:rsidRPr="003F7F6C" w:rsidRDefault="00B93FD5" w:rsidP="00A925EE">
            <w:pPr>
              <w:pStyle w:val="Predeterminado"/>
              <w:tabs>
                <w:tab w:val="left" w:pos="0"/>
              </w:tabs>
              <w:spacing w:after="0" w:line="240" w:lineRule="auto"/>
              <w:jc w:val="center"/>
              <w:rPr>
                <w:rFonts w:asciiTheme="minorHAnsi" w:hAnsiTheme="minorHAnsi" w:cs="Times New Roman"/>
                <w:szCs w:val="22"/>
                <w:lang w:val="en-US"/>
              </w:rPr>
            </w:pPr>
            <w:r w:rsidRPr="003F7F6C">
              <w:rPr>
                <w:rFonts w:asciiTheme="minorHAnsi" w:hAnsiTheme="minorHAnsi" w:cs="Times New Roman"/>
                <w:szCs w:val="22"/>
                <w:lang w:val="en-US"/>
              </w:rPr>
              <w:t>During the Project implementation</w:t>
            </w:r>
          </w:p>
        </w:tc>
        <w:tc>
          <w:tcPr>
            <w:tcW w:w="2476" w:type="dxa"/>
            <w:tcBorders>
              <w:left w:val="single" w:sz="6" w:space="0" w:color="000080"/>
            </w:tcBorders>
            <w:shd w:val="clear" w:color="auto" w:fill="FFFFFF"/>
          </w:tcPr>
          <w:p w14:paraId="6D6268B0" w14:textId="77777777" w:rsidR="00B93FD5" w:rsidRPr="003F7F6C" w:rsidRDefault="00B93FD5" w:rsidP="00A925EE">
            <w:pPr>
              <w:pStyle w:val="Predeterminado"/>
              <w:tabs>
                <w:tab w:val="left" w:pos="0"/>
              </w:tabs>
              <w:spacing w:after="0" w:line="240" w:lineRule="auto"/>
              <w:jc w:val="center"/>
              <w:rPr>
                <w:rFonts w:asciiTheme="minorHAnsi" w:hAnsiTheme="minorHAnsi" w:cs="Times New Roman"/>
                <w:szCs w:val="22"/>
                <w:lang w:val="en-US"/>
              </w:rPr>
            </w:pPr>
            <w:r w:rsidRPr="003F7F6C">
              <w:rPr>
                <w:rFonts w:asciiTheme="minorHAnsi" w:hAnsiTheme="minorHAnsi" w:cs="Times New Roman"/>
                <w:szCs w:val="22"/>
                <w:lang w:val="en-US"/>
              </w:rPr>
              <w:t>Universal Price List</w:t>
            </w:r>
          </w:p>
        </w:tc>
        <w:tc>
          <w:tcPr>
            <w:tcW w:w="1932" w:type="dxa"/>
            <w:tcBorders>
              <w:left w:val="single" w:sz="6" w:space="0" w:color="000080"/>
              <w:right w:val="single" w:sz="6" w:space="0" w:color="000080"/>
            </w:tcBorders>
            <w:shd w:val="clear" w:color="auto" w:fill="FFFFFF"/>
          </w:tcPr>
          <w:p w14:paraId="73570A77" w14:textId="77777777" w:rsidR="00B93FD5" w:rsidRPr="003F7F6C" w:rsidRDefault="00B93FD5" w:rsidP="00A925EE">
            <w:pPr>
              <w:pStyle w:val="Predeterminado"/>
              <w:tabs>
                <w:tab w:val="left" w:pos="0"/>
              </w:tabs>
              <w:spacing w:after="0" w:line="240" w:lineRule="auto"/>
              <w:jc w:val="center"/>
              <w:rPr>
                <w:rFonts w:asciiTheme="minorHAnsi" w:hAnsiTheme="minorHAnsi" w:cs="Times New Roman"/>
                <w:szCs w:val="22"/>
                <w:lang w:val="en-US"/>
              </w:rPr>
            </w:pPr>
            <w:r w:rsidRPr="003F7F6C">
              <w:rPr>
                <w:rFonts w:asciiTheme="minorHAnsi" w:hAnsiTheme="minorHAnsi" w:cs="Times New Roman"/>
                <w:szCs w:val="22"/>
                <w:lang w:val="en-US"/>
              </w:rPr>
              <w:t>Support services</w:t>
            </w:r>
          </w:p>
        </w:tc>
      </w:tr>
      <w:tr w:rsidR="00B93FD5" w:rsidRPr="003F7F6C" w14:paraId="38E16114" w14:textId="77777777" w:rsidTr="00A925EE">
        <w:trPr>
          <w:jc w:val="center"/>
        </w:trPr>
        <w:tc>
          <w:tcPr>
            <w:tcW w:w="2776" w:type="dxa"/>
            <w:tcBorders>
              <w:top w:val="single" w:sz="6" w:space="0" w:color="000080"/>
              <w:left w:val="single" w:sz="6" w:space="0" w:color="000080"/>
            </w:tcBorders>
            <w:shd w:val="clear" w:color="auto" w:fill="FFFFFF"/>
          </w:tcPr>
          <w:p w14:paraId="4FD8B862" w14:textId="77777777" w:rsidR="00B93FD5" w:rsidRPr="003F7F6C" w:rsidRDefault="00B93FD5" w:rsidP="00B93FD5">
            <w:pPr>
              <w:pStyle w:val="Predeterminado"/>
              <w:numPr>
                <w:ilvl w:val="0"/>
                <w:numId w:val="74"/>
              </w:numPr>
              <w:spacing w:after="0" w:line="240" w:lineRule="auto"/>
              <w:ind w:left="284" w:hanging="284"/>
              <w:rPr>
                <w:rFonts w:asciiTheme="minorHAnsi" w:hAnsiTheme="minorHAnsi" w:cs="Times New Roman"/>
                <w:szCs w:val="22"/>
                <w:lang w:val="en-US"/>
              </w:rPr>
            </w:pPr>
            <w:r w:rsidRPr="003F7F6C">
              <w:rPr>
                <w:rFonts w:asciiTheme="minorHAnsi" w:hAnsiTheme="minorHAnsi" w:cs="Times New Roman"/>
                <w:szCs w:val="22"/>
                <w:lang w:val="en-US"/>
              </w:rPr>
              <w:t>Staff, technical team and consultant recruitment.</w:t>
            </w:r>
          </w:p>
        </w:tc>
        <w:tc>
          <w:tcPr>
            <w:tcW w:w="2042" w:type="dxa"/>
            <w:tcBorders>
              <w:top w:val="single" w:sz="6" w:space="0" w:color="000080"/>
              <w:left w:val="single" w:sz="6" w:space="0" w:color="000080"/>
            </w:tcBorders>
            <w:shd w:val="clear" w:color="auto" w:fill="FFFFFF"/>
          </w:tcPr>
          <w:p w14:paraId="48265DD8" w14:textId="77777777" w:rsidR="00B93FD5" w:rsidRPr="003F7F6C" w:rsidRDefault="00B93FD5" w:rsidP="00A925EE">
            <w:pPr>
              <w:pStyle w:val="Predeterminado"/>
              <w:tabs>
                <w:tab w:val="left" w:pos="0"/>
              </w:tabs>
              <w:spacing w:after="0" w:line="240" w:lineRule="auto"/>
              <w:jc w:val="center"/>
              <w:rPr>
                <w:rFonts w:asciiTheme="minorHAnsi" w:hAnsiTheme="minorHAnsi" w:cs="Times New Roman"/>
                <w:szCs w:val="22"/>
                <w:lang w:val="en-US"/>
              </w:rPr>
            </w:pPr>
            <w:r w:rsidRPr="003F7F6C">
              <w:rPr>
                <w:rFonts w:asciiTheme="minorHAnsi" w:hAnsiTheme="minorHAnsi" w:cs="Times New Roman"/>
                <w:szCs w:val="22"/>
                <w:lang w:val="en-US"/>
              </w:rPr>
              <w:t>During the Project implementation</w:t>
            </w:r>
          </w:p>
        </w:tc>
        <w:tc>
          <w:tcPr>
            <w:tcW w:w="2476" w:type="dxa"/>
            <w:tcBorders>
              <w:top w:val="single" w:sz="6" w:space="0" w:color="000080"/>
              <w:left w:val="single" w:sz="6" w:space="0" w:color="000080"/>
            </w:tcBorders>
            <w:shd w:val="clear" w:color="auto" w:fill="FFFFFF"/>
          </w:tcPr>
          <w:p w14:paraId="02EB03EF" w14:textId="77777777" w:rsidR="00B93FD5" w:rsidRPr="003F7F6C" w:rsidRDefault="00B93FD5" w:rsidP="00A925EE">
            <w:pPr>
              <w:pStyle w:val="Predeterminado"/>
              <w:tabs>
                <w:tab w:val="left" w:pos="0"/>
              </w:tabs>
              <w:spacing w:after="0" w:line="240" w:lineRule="auto"/>
              <w:jc w:val="center"/>
              <w:rPr>
                <w:rFonts w:asciiTheme="minorHAnsi" w:hAnsiTheme="minorHAnsi" w:cs="Times New Roman"/>
                <w:szCs w:val="22"/>
                <w:lang w:val="en-US"/>
              </w:rPr>
            </w:pPr>
            <w:r w:rsidRPr="003F7F6C">
              <w:rPr>
                <w:rFonts w:asciiTheme="minorHAnsi" w:hAnsiTheme="minorHAnsi" w:cs="Times New Roman"/>
                <w:szCs w:val="22"/>
                <w:lang w:val="en-US"/>
              </w:rPr>
              <w:t>Universal Price List</w:t>
            </w:r>
          </w:p>
        </w:tc>
        <w:tc>
          <w:tcPr>
            <w:tcW w:w="1932" w:type="dxa"/>
            <w:tcBorders>
              <w:top w:val="single" w:sz="6" w:space="0" w:color="000080"/>
              <w:left w:val="single" w:sz="6" w:space="0" w:color="000080"/>
              <w:right w:val="single" w:sz="6" w:space="0" w:color="000080"/>
            </w:tcBorders>
            <w:shd w:val="clear" w:color="auto" w:fill="FFFFFF"/>
          </w:tcPr>
          <w:p w14:paraId="0D02A0D9" w14:textId="77777777" w:rsidR="00B93FD5" w:rsidRPr="003F7F6C" w:rsidRDefault="00B93FD5" w:rsidP="00A925EE">
            <w:pPr>
              <w:pStyle w:val="Predeterminado"/>
              <w:tabs>
                <w:tab w:val="left" w:pos="0"/>
              </w:tabs>
              <w:spacing w:after="0" w:line="240" w:lineRule="auto"/>
              <w:jc w:val="center"/>
              <w:rPr>
                <w:rFonts w:asciiTheme="minorHAnsi" w:hAnsiTheme="minorHAnsi" w:cs="Times New Roman"/>
                <w:szCs w:val="22"/>
                <w:lang w:val="en-US"/>
              </w:rPr>
            </w:pPr>
            <w:r w:rsidRPr="003F7F6C">
              <w:rPr>
                <w:rFonts w:asciiTheme="minorHAnsi" w:hAnsiTheme="minorHAnsi" w:cs="Times New Roman"/>
                <w:szCs w:val="22"/>
                <w:lang w:val="en-US"/>
              </w:rPr>
              <w:t>Support services</w:t>
            </w:r>
          </w:p>
        </w:tc>
      </w:tr>
      <w:tr w:rsidR="00B93FD5" w:rsidRPr="003F7F6C" w14:paraId="4F14DB7B" w14:textId="77777777" w:rsidTr="00A925EE">
        <w:trPr>
          <w:jc w:val="center"/>
        </w:trPr>
        <w:tc>
          <w:tcPr>
            <w:tcW w:w="2776" w:type="dxa"/>
            <w:tcBorders>
              <w:top w:val="single" w:sz="6" w:space="0" w:color="000080"/>
              <w:left w:val="single" w:sz="6" w:space="0" w:color="000080"/>
              <w:bottom w:val="single" w:sz="6" w:space="0" w:color="000080"/>
            </w:tcBorders>
            <w:shd w:val="clear" w:color="auto" w:fill="FFFFFF"/>
          </w:tcPr>
          <w:p w14:paraId="3956083C" w14:textId="77777777" w:rsidR="00B93FD5" w:rsidRPr="003F7F6C" w:rsidRDefault="00B93FD5" w:rsidP="00B93FD5">
            <w:pPr>
              <w:pStyle w:val="Predeterminado"/>
              <w:numPr>
                <w:ilvl w:val="0"/>
                <w:numId w:val="74"/>
              </w:numPr>
              <w:spacing w:after="0" w:line="240" w:lineRule="auto"/>
              <w:ind w:left="284" w:hanging="284"/>
              <w:rPr>
                <w:rFonts w:asciiTheme="minorHAnsi" w:hAnsiTheme="minorHAnsi" w:cs="Times New Roman"/>
                <w:szCs w:val="22"/>
                <w:lang w:val="en-US"/>
              </w:rPr>
            </w:pPr>
            <w:r w:rsidRPr="003F7F6C">
              <w:rPr>
                <w:rFonts w:asciiTheme="minorHAnsi" w:hAnsiTheme="minorHAnsi" w:cs="Times New Roman"/>
                <w:szCs w:val="22"/>
                <w:lang w:val="en-US"/>
              </w:rPr>
              <w:t xml:space="preserve">Equipment and services recruitment, and inventory discharge. </w:t>
            </w:r>
          </w:p>
        </w:tc>
        <w:tc>
          <w:tcPr>
            <w:tcW w:w="2042" w:type="dxa"/>
            <w:tcBorders>
              <w:top w:val="single" w:sz="6" w:space="0" w:color="000080"/>
              <w:left w:val="single" w:sz="6" w:space="0" w:color="000080"/>
              <w:bottom w:val="single" w:sz="6" w:space="0" w:color="000080"/>
            </w:tcBorders>
            <w:shd w:val="clear" w:color="auto" w:fill="FFFFFF"/>
          </w:tcPr>
          <w:p w14:paraId="3486B765" w14:textId="77777777" w:rsidR="00B93FD5" w:rsidRPr="003F7F6C" w:rsidRDefault="00B93FD5" w:rsidP="00A925EE">
            <w:pPr>
              <w:pStyle w:val="Predeterminado"/>
              <w:tabs>
                <w:tab w:val="left" w:pos="0"/>
              </w:tabs>
              <w:spacing w:after="0" w:line="240" w:lineRule="auto"/>
              <w:jc w:val="center"/>
              <w:rPr>
                <w:rFonts w:asciiTheme="minorHAnsi" w:hAnsiTheme="minorHAnsi" w:cs="Times New Roman"/>
                <w:szCs w:val="22"/>
                <w:lang w:val="en-US"/>
              </w:rPr>
            </w:pPr>
            <w:r w:rsidRPr="003F7F6C">
              <w:rPr>
                <w:rFonts w:asciiTheme="minorHAnsi" w:hAnsiTheme="minorHAnsi" w:cs="Times New Roman"/>
                <w:szCs w:val="22"/>
                <w:lang w:val="en-US"/>
              </w:rPr>
              <w:t>During the Project implementation</w:t>
            </w:r>
          </w:p>
        </w:tc>
        <w:tc>
          <w:tcPr>
            <w:tcW w:w="2476" w:type="dxa"/>
            <w:tcBorders>
              <w:top w:val="single" w:sz="6" w:space="0" w:color="000080"/>
              <w:left w:val="single" w:sz="6" w:space="0" w:color="000080"/>
              <w:bottom w:val="single" w:sz="6" w:space="0" w:color="000080"/>
            </w:tcBorders>
            <w:shd w:val="clear" w:color="auto" w:fill="FFFFFF"/>
          </w:tcPr>
          <w:p w14:paraId="2F36701D" w14:textId="77777777" w:rsidR="00B93FD5" w:rsidRPr="003F7F6C" w:rsidRDefault="00B93FD5" w:rsidP="00A925EE">
            <w:pPr>
              <w:pStyle w:val="Predeterminado"/>
              <w:tabs>
                <w:tab w:val="left" w:pos="0"/>
              </w:tabs>
              <w:spacing w:after="0" w:line="240" w:lineRule="auto"/>
              <w:jc w:val="center"/>
              <w:rPr>
                <w:rFonts w:asciiTheme="minorHAnsi" w:hAnsiTheme="minorHAnsi" w:cs="Times New Roman"/>
                <w:szCs w:val="22"/>
                <w:lang w:val="en-US"/>
              </w:rPr>
            </w:pPr>
            <w:r w:rsidRPr="003F7F6C">
              <w:rPr>
                <w:rFonts w:asciiTheme="minorHAnsi" w:hAnsiTheme="minorHAnsi" w:cs="Times New Roman"/>
                <w:szCs w:val="22"/>
                <w:lang w:val="en-US"/>
              </w:rPr>
              <w:t>Universal Price List</w:t>
            </w:r>
          </w:p>
        </w:tc>
        <w:tc>
          <w:tcPr>
            <w:tcW w:w="1932" w:type="dxa"/>
            <w:tcBorders>
              <w:top w:val="single" w:sz="6" w:space="0" w:color="000080"/>
              <w:left w:val="single" w:sz="6" w:space="0" w:color="000080"/>
              <w:bottom w:val="single" w:sz="6" w:space="0" w:color="000080"/>
              <w:right w:val="single" w:sz="6" w:space="0" w:color="000080"/>
            </w:tcBorders>
            <w:shd w:val="clear" w:color="auto" w:fill="FFFFFF"/>
          </w:tcPr>
          <w:p w14:paraId="5677DAE1" w14:textId="77777777" w:rsidR="00B93FD5" w:rsidRPr="003F7F6C" w:rsidRDefault="00B93FD5" w:rsidP="00A925EE">
            <w:pPr>
              <w:pStyle w:val="Predeterminado"/>
              <w:tabs>
                <w:tab w:val="left" w:pos="0"/>
              </w:tabs>
              <w:spacing w:after="0" w:line="240" w:lineRule="auto"/>
              <w:jc w:val="center"/>
              <w:rPr>
                <w:rFonts w:asciiTheme="minorHAnsi" w:hAnsiTheme="minorHAnsi" w:cs="Times New Roman"/>
                <w:szCs w:val="22"/>
                <w:lang w:val="en-US"/>
              </w:rPr>
            </w:pPr>
            <w:r w:rsidRPr="003F7F6C">
              <w:rPr>
                <w:rFonts w:asciiTheme="minorHAnsi" w:hAnsiTheme="minorHAnsi" w:cs="Times New Roman"/>
                <w:szCs w:val="22"/>
                <w:lang w:val="en-US"/>
              </w:rPr>
              <w:t>Support services</w:t>
            </w:r>
          </w:p>
        </w:tc>
      </w:tr>
      <w:tr w:rsidR="00B93FD5" w:rsidRPr="003F7F6C" w14:paraId="0D3DF40D" w14:textId="77777777" w:rsidTr="00A925EE">
        <w:trPr>
          <w:jc w:val="center"/>
        </w:trPr>
        <w:tc>
          <w:tcPr>
            <w:tcW w:w="2776" w:type="dxa"/>
            <w:tcBorders>
              <w:top w:val="single" w:sz="6" w:space="0" w:color="000080"/>
              <w:left w:val="single" w:sz="6" w:space="0" w:color="000080"/>
              <w:bottom w:val="single" w:sz="6" w:space="0" w:color="000080"/>
            </w:tcBorders>
            <w:shd w:val="clear" w:color="auto" w:fill="FFFFFF"/>
          </w:tcPr>
          <w:p w14:paraId="6E34CD2E" w14:textId="77777777" w:rsidR="00B93FD5" w:rsidRPr="003F7F6C" w:rsidRDefault="00B93FD5" w:rsidP="00B93FD5">
            <w:pPr>
              <w:pStyle w:val="Predeterminado"/>
              <w:numPr>
                <w:ilvl w:val="0"/>
                <w:numId w:val="74"/>
              </w:numPr>
              <w:spacing w:after="0" w:line="240" w:lineRule="auto"/>
              <w:ind w:left="284" w:hanging="284"/>
              <w:rPr>
                <w:rFonts w:asciiTheme="minorHAnsi" w:hAnsiTheme="minorHAnsi" w:cs="Times New Roman"/>
                <w:szCs w:val="22"/>
                <w:lang w:val="en-US"/>
              </w:rPr>
            </w:pPr>
            <w:r w:rsidRPr="003F7F6C">
              <w:rPr>
                <w:rFonts w:asciiTheme="minorHAnsi" w:hAnsiTheme="minorHAnsi" w:cs="Times New Roman"/>
                <w:szCs w:val="22"/>
                <w:lang w:val="en-US"/>
              </w:rPr>
              <w:t>Training activities, workshops and conference organization.</w:t>
            </w:r>
          </w:p>
        </w:tc>
        <w:tc>
          <w:tcPr>
            <w:tcW w:w="2042" w:type="dxa"/>
            <w:tcBorders>
              <w:top w:val="single" w:sz="6" w:space="0" w:color="000080"/>
              <w:left w:val="single" w:sz="6" w:space="0" w:color="000080"/>
              <w:bottom w:val="single" w:sz="6" w:space="0" w:color="000080"/>
            </w:tcBorders>
            <w:shd w:val="clear" w:color="auto" w:fill="FFFFFF"/>
          </w:tcPr>
          <w:p w14:paraId="7AB05332" w14:textId="77777777" w:rsidR="00B93FD5" w:rsidRPr="003F7F6C" w:rsidRDefault="00B93FD5" w:rsidP="00A925EE">
            <w:pPr>
              <w:pStyle w:val="Predeterminado"/>
              <w:tabs>
                <w:tab w:val="left" w:pos="0"/>
              </w:tabs>
              <w:spacing w:after="0" w:line="240" w:lineRule="auto"/>
              <w:jc w:val="center"/>
              <w:rPr>
                <w:rFonts w:asciiTheme="minorHAnsi" w:hAnsiTheme="minorHAnsi" w:cs="Times New Roman"/>
                <w:szCs w:val="22"/>
                <w:lang w:val="en-US"/>
              </w:rPr>
            </w:pPr>
            <w:r w:rsidRPr="003F7F6C">
              <w:rPr>
                <w:rFonts w:asciiTheme="minorHAnsi" w:hAnsiTheme="minorHAnsi" w:cs="Times New Roman"/>
                <w:szCs w:val="22"/>
                <w:lang w:val="en-US"/>
              </w:rPr>
              <w:t>During the Project implementation</w:t>
            </w:r>
          </w:p>
        </w:tc>
        <w:tc>
          <w:tcPr>
            <w:tcW w:w="2476" w:type="dxa"/>
            <w:tcBorders>
              <w:top w:val="single" w:sz="6" w:space="0" w:color="000080"/>
              <w:left w:val="single" w:sz="6" w:space="0" w:color="000080"/>
              <w:bottom w:val="single" w:sz="6" w:space="0" w:color="000080"/>
            </w:tcBorders>
            <w:shd w:val="clear" w:color="auto" w:fill="FFFFFF"/>
          </w:tcPr>
          <w:p w14:paraId="59749E2C" w14:textId="77777777" w:rsidR="00B93FD5" w:rsidRPr="003F7F6C" w:rsidRDefault="00B93FD5" w:rsidP="00A925EE">
            <w:pPr>
              <w:pStyle w:val="Predeterminado"/>
              <w:tabs>
                <w:tab w:val="left" w:pos="0"/>
              </w:tabs>
              <w:spacing w:after="0" w:line="240" w:lineRule="auto"/>
              <w:jc w:val="center"/>
              <w:rPr>
                <w:rFonts w:asciiTheme="minorHAnsi" w:hAnsiTheme="minorHAnsi" w:cs="Times New Roman"/>
                <w:szCs w:val="22"/>
                <w:lang w:val="en-US"/>
              </w:rPr>
            </w:pPr>
            <w:r w:rsidRPr="003F7F6C">
              <w:rPr>
                <w:rFonts w:asciiTheme="minorHAnsi" w:hAnsiTheme="minorHAnsi" w:cs="Times New Roman"/>
                <w:szCs w:val="22"/>
                <w:lang w:val="en-US"/>
              </w:rPr>
              <w:t>Universal Price List</w:t>
            </w:r>
          </w:p>
        </w:tc>
        <w:tc>
          <w:tcPr>
            <w:tcW w:w="1932" w:type="dxa"/>
            <w:tcBorders>
              <w:top w:val="single" w:sz="6" w:space="0" w:color="000080"/>
              <w:left w:val="single" w:sz="6" w:space="0" w:color="000080"/>
              <w:bottom w:val="single" w:sz="6" w:space="0" w:color="000080"/>
              <w:right w:val="single" w:sz="6" w:space="0" w:color="000080"/>
            </w:tcBorders>
            <w:shd w:val="clear" w:color="auto" w:fill="FFFFFF"/>
          </w:tcPr>
          <w:p w14:paraId="69E4E54F" w14:textId="77777777" w:rsidR="00B93FD5" w:rsidRPr="003F7F6C" w:rsidRDefault="00B93FD5" w:rsidP="00A925EE">
            <w:pPr>
              <w:pStyle w:val="Predeterminado"/>
              <w:tabs>
                <w:tab w:val="left" w:pos="0"/>
              </w:tabs>
              <w:spacing w:after="0" w:line="240" w:lineRule="auto"/>
              <w:jc w:val="center"/>
              <w:rPr>
                <w:rFonts w:asciiTheme="minorHAnsi" w:hAnsiTheme="minorHAnsi" w:cs="Times New Roman"/>
                <w:szCs w:val="22"/>
                <w:lang w:val="en-US"/>
              </w:rPr>
            </w:pPr>
            <w:r w:rsidRPr="003F7F6C">
              <w:rPr>
                <w:rFonts w:asciiTheme="minorHAnsi" w:hAnsiTheme="minorHAnsi" w:cs="Times New Roman"/>
                <w:szCs w:val="22"/>
                <w:lang w:val="en-US"/>
              </w:rPr>
              <w:t>Support services</w:t>
            </w:r>
          </w:p>
        </w:tc>
      </w:tr>
      <w:tr w:rsidR="00B93FD5" w:rsidRPr="003F7F6C" w14:paraId="41BDA7CE" w14:textId="77777777" w:rsidTr="00A925EE">
        <w:trPr>
          <w:jc w:val="center"/>
        </w:trPr>
        <w:tc>
          <w:tcPr>
            <w:tcW w:w="2776" w:type="dxa"/>
            <w:tcBorders>
              <w:top w:val="single" w:sz="6" w:space="0" w:color="000080"/>
              <w:left w:val="single" w:sz="6" w:space="0" w:color="000080"/>
              <w:bottom w:val="single" w:sz="6" w:space="0" w:color="000080"/>
            </w:tcBorders>
            <w:shd w:val="clear" w:color="auto" w:fill="FFFFFF"/>
          </w:tcPr>
          <w:p w14:paraId="1CC83CDD" w14:textId="77777777" w:rsidR="00B93FD5" w:rsidRPr="003F7F6C" w:rsidRDefault="00B93FD5" w:rsidP="00B93FD5">
            <w:pPr>
              <w:pStyle w:val="Predeterminado"/>
              <w:numPr>
                <w:ilvl w:val="0"/>
                <w:numId w:val="74"/>
              </w:numPr>
              <w:spacing w:after="0" w:line="240" w:lineRule="auto"/>
              <w:ind w:left="284" w:hanging="284"/>
              <w:rPr>
                <w:rFonts w:asciiTheme="minorHAnsi" w:hAnsiTheme="minorHAnsi" w:cs="Times New Roman"/>
                <w:szCs w:val="22"/>
                <w:lang w:val="en-US"/>
              </w:rPr>
            </w:pPr>
            <w:r w:rsidRPr="003F7F6C">
              <w:rPr>
                <w:rFonts w:asciiTheme="minorHAnsi" w:hAnsiTheme="minorHAnsi" w:cs="Times New Roman"/>
                <w:szCs w:val="22"/>
                <w:lang w:val="en-US"/>
              </w:rPr>
              <w:t>Trip authorization, security clearance, tickets and travel arrangements.</w:t>
            </w:r>
          </w:p>
        </w:tc>
        <w:tc>
          <w:tcPr>
            <w:tcW w:w="2042" w:type="dxa"/>
            <w:tcBorders>
              <w:top w:val="single" w:sz="6" w:space="0" w:color="000080"/>
              <w:left w:val="single" w:sz="6" w:space="0" w:color="000080"/>
              <w:bottom w:val="single" w:sz="6" w:space="0" w:color="000080"/>
            </w:tcBorders>
            <w:shd w:val="clear" w:color="auto" w:fill="FFFFFF"/>
          </w:tcPr>
          <w:p w14:paraId="48D3AF38" w14:textId="77777777" w:rsidR="00B93FD5" w:rsidRPr="003F7F6C" w:rsidRDefault="00B93FD5" w:rsidP="00A925EE">
            <w:pPr>
              <w:pStyle w:val="Predeterminado"/>
              <w:tabs>
                <w:tab w:val="left" w:pos="0"/>
              </w:tabs>
              <w:spacing w:after="0" w:line="240" w:lineRule="auto"/>
              <w:jc w:val="center"/>
              <w:rPr>
                <w:rFonts w:asciiTheme="minorHAnsi" w:hAnsiTheme="minorHAnsi" w:cs="Times New Roman"/>
                <w:szCs w:val="22"/>
                <w:lang w:val="en-US"/>
              </w:rPr>
            </w:pPr>
            <w:r w:rsidRPr="003F7F6C">
              <w:rPr>
                <w:rFonts w:asciiTheme="minorHAnsi" w:hAnsiTheme="minorHAnsi" w:cs="Times New Roman"/>
                <w:szCs w:val="22"/>
                <w:lang w:val="en-US"/>
              </w:rPr>
              <w:t>During the Project implementation</w:t>
            </w:r>
          </w:p>
        </w:tc>
        <w:tc>
          <w:tcPr>
            <w:tcW w:w="2476" w:type="dxa"/>
            <w:tcBorders>
              <w:top w:val="single" w:sz="6" w:space="0" w:color="000080"/>
              <w:left w:val="single" w:sz="6" w:space="0" w:color="000080"/>
              <w:bottom w:val="single" w:sz="6" w:space="0" w:color="000080"/>
            </w:tcBorders>
            <w:shd w:val="clear" w:color="auto" w:fill="FFFFFF"/>
          </w:tcPr>
          <w:p w14:paraId="7BF5D560" w14:textId="77777777" w:rsidR="00B93FD5" w:rsidRPr="003F7F6C" w:rsidRDefault="00B93FD5" w:rsidP="00A925EE">
            <w:pPr>
              <w:pStyle w:val="Predeterminado"/>
              <w:tabs>
                <w:tab w:val="left" w:pos="0"/>
              </w:tabs>
              <w:spacing w:after="0" w:line="240" w:lineRule="auto"/>
              <w:jc w:val="center"/>
              <w:rPr>
                <w:rFonts w:asciiTheme="minorHAnsi" w:hAnsiTheme="minorHAnsi" w:cs="Times New Roman"/>
                <w:szCs w:val="22"/>
                <w:lang w:val="en-US"/>
              </w:rPr>
            </w:pPr>
            <w:r w:rsidRPr="003F7F6C">
              <w:rPr>
                <w:rFonts w:asciiTheme="minorHAnsi" w:hAnsiTheme="minorHAnsi" w:cs="Times New Roman"/>
                <w:szCs w:val="22"/>
                <w:lang w:val="en-US"/>
              </w:rPr>
              <w:t>Universal Price List</w:t>
            </w:r>
          </w:p>
        </w:tc>
        <w:tc>
          <w:tcPr>
            <w:tcW w:w="1932" w:type="dxa"/>
            <w:tcBorders>
              <w:top w:val="single" w:sz="6" w:space="0" w:color="000080"/>
              <w:left w:val="single" w:sz="6" w:space="0" w:color="000080"/>
              <w:bottom w:val="single" w:sz="6" w:space="0" w:color="000080"/>
              <w:right w:val="single" w:sz="6" w:space="0" w:color="000080"/>
            </w:tcBorders>
            <w:shd w:val="clear" w:color="auto" w:fill="FFFFFF"/>
          </w:tcPr>
          <w:p w14:paraId="2107C282" w14:textId="77777777" w:rsidR="00B93FD5" w:rsidRPr="003F7F6C" w:rsidRDefault="00B93FD5" w:rsidP="00A925EE">
            <w:pPr>
              <w:pStyle w:val="Predeterminado"/>
              <w:tabs>
                <w:tab w:val="left" w:pos="0"/>
              </w:tabs>
              <w:spacing w:after="0" w:line="240" w:lineRule="auto"/>
              <w:jc w:val="center"/>
              <w:rPr>
                <w:rFonts w:asciiTheme="minorHAnsi" w:hAnsiTheme="minorHAnsi" w:cs="Times New Roman"/>
                <w:szCs w:val="22"/>
                <w:lang w:val="en-US"/>
              </w:rPr>
            </w:pPr>
            <w:r w:rsidRPr="003F7F6C">
              <w:rPr>
                <w:rFonts w:asciiTheme="minorHAnsi" w:hAnsiTheme="minorHAnsi" w:cs="Times New Roman"/>
                <w:szCs w:val="22"/>
                <w:lang w:val="en-US"/>
              </w:rPr>
              <w:t>Support services</w:t>
            </w:r>
          </w:p>
        </w:tc>
      </w:tr>
      <w:tr w:rsidR="00B93FD5" w:rsidRPr="003F7F6C" w14:paraId="7B6230C4" w14:textId="77777777" w:rsidTr="00A925EE">
        <w:trPr>
          <w:jc w:val="center"/>
        </w:trPr>
        <w:tc>
          <w:tcPr>
            <w:tcW w:w="2776" w:type="dxa"/>
            <w:tcBorders>
              <w:top w:val="single" w:sz="6" w:space="0" w:color="000080"/>
              <w:left w:val="single" w:sz="6" w:space="0" w:color="000080"/>
              <w:bottom w:val="single" w:sz="6" w:space="0" w:color="000080"/>
            </w:tcBorders>
            <w:shd w:val="clear" w:color="auto" w:fill="FFFFFF"/>
          </w:tcPr>
          <w:p w14:paraId="23DB549E" w14:textId="77777777" w:rsidR="00B93FD5" w:rsidRPr="003F7F6C" w:rsidRDefault="00B93FD5" w:rsidP="00B93FD5">
            <w:pPr>
              <w:pStyle w:val="Predeterminado"/>
              <w:numPr>
                <w:ilvl w:val="0"/>
                <w:numId w:val="74"/>
              </w:numPr>
              <w:spacing w:after="0" w:line="240" w:lineRule="auto"/>
              <w:ind w:left="284" w:hanging="284"/>
              <w:rPr>
                <w:rFonts w:asciiTheme="minorHAnsi" w:hAnsiTheme="minorHAnsi" w:cs="Times New Roman"/>
                <w:szCs w:val="22"/>
                <w:lang w:val="en-US"/>
              </w:rPr>
            </w:pPr>
            <w:r w:rsidRPr="003F7F6C">
              <w:rPr>
                <w:rFonts w:asciiTheme="minorHAnsi" w:hAnsiTheme="minorHAnsi" w:cs="Times New Roman"/>
                <w:szCs w:val="22"/>
                <w:lang w:val="en-US"/>
              </w:rPr>
              <w:t xml:space="preserve">Delivery, sending, custom clearance, vehicles registry and accreditation. </w:t>
            </w:r>
          </w:p>
        </w:tc>
        <w:tc>
          <w:tcPr>
            <w:tcW w:w="2042" w:type="dxa"/>
            <w:tcBorders>
              <w:top w:val="single" w:sz="6" w:space="0" w:color="000080"/>
              <w:left w:val="single" w:sz="6" w:space="0" w:color="000080"/>
              <w:bottom w:val="single" w:sz="6" w:space="0" w:color="000080"/>
            </w:tcBorders>
            <w:shd w:val="clear" w:color="auto" w:fill="FFFFFF"/>
          </w:tcPr>
          <w:p w14:paraId="3049EF84" w14:textId="77777777" w:rsidR="00B93FD5" w:rsidRPr="003F7F6C" w:rsidRDefault="00B93FD5" w:rsidP="00A925EE">
            <w:pPr>
              <w:pStyle w:val="Predeterminado"/>
              <w:tabs>
                <w:tab w:val="left" w:pos="0"/>
              </w:tabs>
              <w:spacing w:after="0" w:line="240" w:lineRule="auto"/>
              <w:jc w:val="center"/>
              <w:rPr>
                <w:rFonts w:asciiTheme="minorHAnsi" w:hAnsiTheme="minorHAnsi" w:cs="Times New Roman"/>
                <w:szCs w:val="22"/>
                <w:lang w:val="en-US"/>
              </w:rPr>
            </w:pPr>
            <w:r w:rsidRPr="003F7F6C">
              <w:rPr>
                <w:rFonts w:asciiTheme="minorHAnsi" w:hAnsiTheme="minorHAnsi" w:cs="Times New Roman"/>
                <w:szCs w:val="22"/>
                <w:lang w:val="en-US"/>
              </w:rPr>
              <w:t>During the Project implementation</w:t>
            </w:r>
          </w:p>
        </w:tc>
        <w:tc>
          <w:tcPr>
            <w:tcW w:w="2476" w:type="dxa"/>
            <w:tcBorders>
              <w:top w:val="single" w:sz="6" w:space="0" w:color="000080"/>
              <w:left w:val="single" w:sz="6" w:space="0" w:color="000080"/>
              <w:bottom w:val="single" w:sz="6" w:space="0" w:color="000080"/>
            </w:tcBorders>
            <w:shd w:val="clear" w:color="auto" w:fill="FFFFFF"/>
          </w:tcPr>
          <w:p w14:paraId="1F7664AF" w14:textId="77777777" w:rsidR="00B93FD5" w:rsidRPr="003F7F6C" w:rsidRDefault="00B93FD5" w:rsidP="00A925EE">
            <w:pPr>
              <w:pStyle w:val="Predeterminado"/>
              <w:tabs>
                <w:tab w:val="left" w:pos="0"/>
              </w:tabs>
              <w:spacing w:after="0" w:line="240" w:lineRule="auto"/>
              <w:jc w:val="center"/>
              <w:rPr>
                <w:rFonts w:asciiTheme="minorHAnsi" w:hAnsiTheme="minorHAnsi" w:cs="Times New Roman"/>
                <w:szCs w:val="22"/>
                <w:lang w:val="en-US"/>
              </w:rPr>
            </w:pPr>
            <w:r w:rsidRPr="003F7F6C">
              <w:rPr>
                <w:rFonts w:asciiTheme="minorHAnsi" w:hAnsiTheme="minorHAnsi" w:cs="Times New Roman"/>
                <w:szCs w:val="22"/>
                <w:lang w:val="en-US"/>
              </w:rPr>
              <w:t>Universal Price List</w:t>
            </w:r>
          </w:p>
        </w:tc>
        <w:tc>
          <w:tcPr>
            <w:tcW w:w="1932" w:type="dxa"/>
            <w:tcBorders>
              <w:top w:val="single" w:sz="6" w:space="0" w:color="000080"/>
              <w:left w:val="single" w:sz="6" w:space="0" w:color="000080"/>
              <w:bottom w:val="single" w:sz="6" w:space="0" w:color="000080"/>
              <w:right w:val="single" w:sz="6" w:space="0" w:color="000080"/>
            </w:tcBorders>
            <w:shd w:val="clear" w:color="auto" w:fill="FFFFFF"/>
          </w:tcPr>
          <w:p w14:paraId="1C015D3A" w14:textId="77777777" w:rsidR="00B93FD5" w:rsidRPr="003F7F6C" w:rsidRDefault="00B93FD5" w:rsidP="00A925EE">
            <w:pPr>
              <w:pStyle w:val="Predeterminado"/>
              <w:tabs>
                <w:tab w:val="left" w:pos="0"/>
              </w:tabs>
              <w:spacing w:after="0" w:line="240" w:lineRule="auto"/>
              <w:jc w:val="center"/>
              <w:rPr>
                <w:rFonts w:asciiTheme="minorHAnsi" w:hAnsiTheme="minorHAnsi" w:cs="Times New Roman"/>
                <w:szCs w:val="22"/>
                <w:lang w:val="en-US"/>
              </w:rPr>
            </w:pPr>
            <w:r w:rsidRPr="003F7F6C">
              <w:rPr>
                <w:rFonts w:asciiTheme="minorHAnsi" w:hAnsiTheme="minorHAnsi" w:cs="Times New Roman"/>
                <w:szCs w:val="22"/>
                <w:lang w:val="en-US"/>
              </w:rPr>
              <w:t>Support services</w:t>
            </w:r>
          </w:p>
        </w:tc>
      </w:tr>
    </w:tbl>
    <w:p w14:paraId="00F5BFF9" w14:textId="77777777" w:rsidR="00B93FD5" w:rsidRPr="003F7F6C" w:rsidRDefault="00B93FD5" w:rsidP="00B93FD5">
      <w:pPr>
        <w:pStyle w:val="Predeterminado"/>
        <w:spacing w:after="0" w:line="240" w:lineRule="auto"/>
        <w:ind w:left="708"/>
        <w:jc w:val="both"/>
        <w:rPr>
          <w:rFonts w:asciiTheme="minorHAnsi" w:hAnsiTheme="minorHAnsi" w:cs="Times New Roman"/>
          <w:szCs w:val="22"/>
          <w:lang w:val="en-US"/>
        </w:rPr>
      </w:pPr>
      <w:r w:rsidRPr="003F7F6C">
        <w:rPr>
          <w:rFonts w:asciiTheme="minorHAnsi" w:hAnsiTheme="minorHAnsi" w:cs="Times New Roman"/>
          <w:spacing w:val="-2"/>
          <w:szCs w:val="22"/>
          <w:lang w:val="en-US"/>
        </w:rPr>
        <w:t>*  Please refer to the enclosed table with the services breakdown per year.</w:t>
      </w:r>
    </w:p>
    <w:p w14:paraId="6ED2752B" w14:textId="77777777" w:rsidR="00B93FD5" w:rsidRPr="003F7F6C" w:rsidRDefault="00B93FD5" w:rsidP="00B93FD5">
      <w:pPr>
        <w:numPr>
          <w:ilvl w:val="12"/>
          <w:numId w:val="0"/>
        </w:numPr>
        <w:tabs>
          <w:tab w:val="left" w:pos="0"/>
        </w:tabs>
        <w:suppressAutoHyphens/>
        <w:rPr>
          <w:rFonts w:asciiTheme="minorHAnsi" w:hAnsiTheme="minorHAnsi"/>
          <w:spacing w:val="-2"/>
          <w:sz w:val="22"/>
          <w:szCs w:val="22"/>
        </w:rPr>
      </w:pPr>
    </w:p>
    <w:p w14:paraId="1AE5D7EE" w14:textId="77777777" w:rsidR="00B93FD5" w:rsidRPr="003F7F6C" w:rsidRDefault="00B93FD5" w:rsidP="00B93FD5">
      <w:pPr>
        <w:numPr>
          <w:ilvl w:val="12"/>
          <w:numId w:val="0"/>
        </w:numPr>
        <w:tabs>
          <w:tab w:val="left" w:pos="0"/>
        </w:tabs>
        <w:suppressAutoHyphens/>
        <w:rPr>
          <w:rFonts w:asciiTheme="minorHAnsi" w:hAnsiTheme="minorHAnsi"/>
          <w:spacing w:val="-2"/>
          <w:sz w:val="22"/>
          <w:szCs w:val="22"/>
        </w:rPr>
      </w:pPr>
    </w:p>
    <w:p w14:paraId="7E99744A" w14:textId="77777777" w:rsidR="00B93FD5" w:rsidRPr="003F7F6C" w:rsidRDefault="00B93FD5" w:rsidP="00B93FD5">
      <w:pPr>
        <w:numPr>
          <w:ilvl w:val="12"/>
          <w:numId w:val="0"/>
        </w:numPr>
        <w:tabs>
          <w:tab w:val="left" w:pos="0"/>
        </w:tabs>
        <w:suppressAutoHyphens/>
        <w:rPr>
          <w:rFonts w:asciiTheme="minorHAnsi" w:hAnsiTheme="minorHAnsi"/>
          <w:spacing w:val="-2"/>
          <w:sz w:val="22"/>
          <w:szCs w:val="22"/>
        </w:rPr>
      </w:pPr>
    </w:p>
    <w:p w14:paraId="600F28E0" w14:textId="77777777" w:rsidR="00B93FD5" w:rsidRPr="003F7F6C" w:rsidRDefault="00B93FD5" w:rsidP="00B93FD5">
      <w:pPr>
        <w:numPr>
          <w:ilvl w:val="12"/>
          <w:numId w:val="0"/>
        </w:numPr>
        <w:tabs>
          <w:tab w:val="left" w:pos="0"/>
        </w:tabs>
        <w:suppressAutoHyphens/>
        <w:rPr>
          <w:rFonts w:asciiTheme="minorHAnsi" w:hAnsiTheme="minorHAnsi"/>
          <w:spacing w:val="-2"/>
          <w:sz w:val="22"/>
          <w:szCs w:val="22"/>
        </w:rPr>
      </w:pPr>
    </w:p>
    <w:p w14:paraId="40A00C17" w14:textId="77777777" w:rsidR="00B93FD5" w:rsidRPr="003F7F6C" w:rsidRDefault="00B93FD5" w:rsidP="00B93FD5">
      <w:pPr>
        <w:numPr>
          <w:ilvl w:val="12"/>
          <w:numId w:val="0"/>
        </w:numPr>
        <w:tabs>
          <w:tab w:val="left" w:pos="0"/>
        </w:tabs>
        <w:suppressAutoHyphens/>
        <w:rPr>
          <w:rFonts w:asciiTheme="minorHAnsi" w:hAnsiTheme="minorHAnsi"/>
          <w:spacing w:val="-2"/>
          <w:sz w:val="22"/>
          <w:szCs w:val="22"/>
        </w:rPr>
      </w:pPr>
    </w:p>
    <w:p w14:paraId="56FCABB7" w14:textId="77777777" w:rsidR="00B93FD5" w:rsidRPr="003F7F6C" w:rsidRDefault="00B93FD5" w:rsidP="00B93FD5">
      <w:pPr>
        <w:numPr>
          <w:ilvl w:val="12"/>
          <w:numId w:val="0"/>
        </w:numPr>
        <w:tabs>
          <w:tab w:val="left" w:pos="0"/>
        </w:tabs>
        <w:suppressAutoHyphens/>
        <w:rPr>
          <w:rFonts w:asciiTheme="minorHAnsi" w:hAnsiTheme="minorHAnsi"/>
          <w:spacing w:val="-2"/>
          <w:sz w:val="22"/>
          <w:szCs w:val="22"/>
        </w:rPr>
      </w:pPr>
    </w:p>
    <w:p w14:paraId="365471C2" w14:textId="77777777" w:rsidR="00B93FD5" w:rsidRPr="003F7F6C" w:rsidRDefault="00B93FD5" w:rsidP="00B93FD5">
      <w:pPr>
        <w:numPr>
          <w:ilvl w:val="12"/>
          <w:numId w:val="0"/>
        </w:numPr>
        <w:tabs>
          <w:tab w:val="left" w:pos="0"/>
        </w:tabs>
        <w:suppressAutoHyphens/>
        <w:rPr>
          <w:rFonts w:asciiTheme="minorHAnsi" w:hAnsiTheme="minorHAnsi"/>
          <w:spacing w:val="-2"/>
          <w:sz w:val="22"/>
          <w:szCs w:val="22"/>
        </w:rPr>
      </w:pPr>
    </w:p>
    <w:p w14:paraId="609CF6FE" w14:textId="77777777" w:rsidR="00B93FD5" w:rsidRPr="003F7F6C" w:rsidRDefault="00B93FD5" w:rsidP="00B93FD5">
      <w:pPr>
        <w:numPr>
          <w:ilvl w:val="12"/>
          <w:numId w:val="0"/>
        </w:numPr>
        <w:tabs>
          <w:tab w:val="left" w:pos="0"/>
        </w:tabs>
        <w:suppressAutoHyphens/>
        <w:rPr>
          <w:rFonts w:asciiTheme="minorHAnsi" w:hAnsiTheme="minorHAnsi"/>
          <w:spacing w:val="-2"/>
          <w:sz w:val="22"/>
          <w:szCs w:val="22"/>
        </w:rPr>
      </w:pPr>
    </w:p>
    <w:p w14:paraId="00BC4E1C" w14:textId="77777777" w:rsidR="00B93FD5" w:rsidRPr="003F7F6C" w:rsidRDefault="00B93FD5" w:rsidP="00B93FD5">
      <w:pPr>
        <w:numPr>
          <w:ilvl w:val="12"/>
          <w:numId w:val="0"/>
        </w:numPr>
        <w:tabs>
          <w:tab w:val="left" w:pos="0"/>
        </w:tabs>
        <w:suppressAutoHyphens/>
        <w:rPr>
          <w:rFonts w:asciiTheme="minorHAnsi" w:hAnsiTheme="minorHAnsi"/>
          <w:spacing w:val="-2"/>
          <w:sz w:val="22"/>
          <w:szCs w:val="22"/>
        </w:rPr>
      </w:pPr>
    </w:p>
    <w:p w14:paraId="530D47DC" w14:textId="77777777" w:rsidR="00B93FD5" w:rsidRPr="003F7F6C" w:rsidRDefault="00B93FD5" w:rsidP="00B93FD5">
      <w:pPr>
        <w:rPr>
          <w:rFonts w:asciiTheme="minorHAnsi" w:hAnsiTheme="minorHAnsi"/>
          <w:b/>
          <w:sz w:val="22"/>
          <w:szCs w:val="22"/>
        </w:rPr>
      </w:pPr>
      <w:r w:rsidRPr="003F7F6C">
        <w:rPr>
          <w:rFonts w:asciiTheme="minorHAnsi" w:hAnsiTheme="minorHAnsi"/>
          <w:b/>
          <w:sz w:val="22"/>
          <w:szCs w:val="22"/>
        </w:rPr>
        <w:t>Estimated Direct Project Costs/UNDP Country Office:</w:t>
      </w:r>
    </w:p>
    <w:tbl>
      <w:tblPr>
        <w:tblW w:w="0" w:type="auto"/>
        <w:tblLayout w:type="fixed"/>
        <w:tblCellMar>
          <w:left w:w="70" w:type="dxa"/>
          <w:right w:w="70" w:type="dxa"/>
        </w:tblCellMar>
        <w:tblLook w:val="04A0" w:firstRow="1" w:lastRow="0" w:firstColumn="1" w:lastColumn="0" w:noHBand="0" w:noVBand="1"/>
      </w:tblPr>
      <w:tblGrid>
        <w:gridCol w:w="2965"/>
        <w:gridCol w:w="900"/>
        <w:gridCol w:w="900"/>
        <w:gridCol w:w="900"/>
        <w:gridCol w:w="900"/>
        <w:gridCol w:w="810"/>
        <w:gridCol w:w="900"/>
        <w:gridCol w:w="1075"/>
      </w:tblGrid>
      <w:tr w:rsidR="00B93FD5" w:rsidRPr="003F7F6C" w14:paraId="0AF28F76" w14:textId="77777777" w:rsidTr="00A925EE">
        <w:trPr>
          <w:trHeight w:val="300"/>
        </w:trPr>
        <w:tc>
          <w:tcPr>
            <w:tcW w:w="29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3F8AABE6" w14:textId="77777777" w:rsidR="00B93FD5" w:rsidRPr="003F7F6C" w:rsidRDefault="00B93FD5" w:rsidP="00A925EE">
            <w:pPr>
              <w:jc w:val="center"/>
              <w:rPr>
                <w:rFonts w:asciiTheme="minorHAnsi" w:hAnsiTheme="minorHAnsi"/>
                <w:color w:val="000000"/>
                <w:sz w:val="22"/>
                <w:szCs w:val="22"/>
                <w:lang w:eastAsia="es-ES_tradnl"/>
              </w:rPr>
            </w:pPr>
            <w:r w:rsidRPr="003F7F6C">
              <w:rPr>
                <w:rFonts w:asciiTheme="minorHAnsi" w:hAnsiTheme="minorHAnsi"/>
                <w:color w:val="000000"/>
                <w:sz w:val="22"/>
                <w:szCs w:val="22"/>
                <w:lang w:eastAsia="es-ES_tradnl"/>
              </w:rPr>
              <w:t> </w:t>
            </w:r>
          </w:p>
        </w:tc>
        <w:tc>
          <w:tcPr>
            <w:tcW w:w="900"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45F167DA" w14:textId="77777777" w:rsidR="00B93FD5" w:rsidRPr="003F7F6C" w:rsidRDefault="00B93FD5" w:rsidP="00A925EE">
            <w:pPr>
              <w:jc w:val="center"/>
              <w:rPr>
                <w:rFonts w:asciiTheme="minorHAnsi" w:hAnsiTheme="minorHAnsi"/>
                <w:b/>
                <w:color w:val="000000"/>
                <w:sz w:val="22"/>
                <w:szCs w:val="22"/>
                <w:lang w:val="es-PY" w:eastAsia="es-ES_tradnl"/>
              </w:rPr>
            </w:pPr>
            <w:r w:rsidRPr="003F7F6C">
              <w:rPr>
                <w:rFonts w:asciiTheme="minorHAnsi" w:hAnsiTheme="minorHAnsi"/>
                <w:b/>
                <w:color w:val="000000"/>
                <w:sz w:val="22"/>
                <w:szCs w:val="22"/>
                <w:lang w:val="es-PY" w:eastAsia="es-ES_tradnl"/>
              </w:rPr>
              <w:t>Amount Year 1 USD</w:t>
            </w:r>
          </w:p>
        </w:tc>
        <w:tc>
          <w:tcPr>
            <w:tcW w:w="900"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929F31B" w14:textId="77777777" w:rsidR="00B93FD5" w:rsidRPr="003F7F6C" w:rsidRDefault="00B93FD5" w:rsidP="00A925EE">
            <w:pPr>
              <w:jc w:val="center"/>
              <w:rPr>
                <w:rFonts w:asciiTheme="minorHAnsi" w:hAnsiTheme="minorHAnsi"/>
                <w:b/>
                <w:color w:val="000000"/>
                <w:sz w:val="22"/>
                <w:szCs w:val="22"/>
                <w:lang w:val="es-PY" w:eastAsia="es-ES_tradnl"/>
              </w:rPr>
            </w:pPr>
            <w:r w:rsidRPr="003F7F6C">
              <w:rPr>
                <w:rFonts w:asciiTheme="minorHAnsi" w:hAnsiTheme="minorHAnsi"/>
                <w:b/>
                <w:color w:val="000000"/>
                <w:sz w:val="22"/>
                <w:szCs w:val="22"/>
                <w:lang w:val="es-PY" w:eastAsia="es-ES_tradnl"/>
              </w:rPr>
              <w:t>Amount Year 2 USD</w:t>
            </w:r>
          </w:p>
        </w:tc>
        <w:tc>
          <w:tcPr>
            <w:tcW w:w="900"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396035A4" w14:textId="77777777" w:rsidR="00B93FD5" w:rsidRPr="003F7F6C" w:rsidRDefault="00B93FD5" w:rsidP="00A925EE">
            <w:pPr>
              <w:jc w:val="center"/>
              <w:rPr>
                <w:rFonts w:asciiTheme="minorHAnsi" w:hAnsiTheme="minorHAnsi"/>
                <w:b/>
                <w:color w:val="000000"/>
                <w:sz w:val="22"/>
                <w:szCs w:val="22"/>
                <w:lang w:val="es-PY" w:eastAsia="es-ES_tradnl"/>
              </w:rPr>
            </w:pPr>
            <w:r w:rsidRPr="003F7F6C">
              <w:rPr>
                <w:rFonts w:asciiTheme="minorHAnsi" w:hAnsiTheme="minorHAnsi"/>
                <w:b/>
                <w:color w:val="000000"/>
                <w:sz w:val="22"/>
                <w:szCs w:val="22"/>
                <w:lang w:val="es-PY" w:eastAsia="es-ES_tradnl"/>
              </w:rPr>
              <w:t>Amount Year 3 USD</w:t>
            </w:r>
          </w:p>
        </w:tc>
        <w:tc>
          <w:tcPr>
            <w:tcW w:w="900"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3AF69E75" w14:textId="77777777" w:rsidR="00B93FD5" w:rsidRPr="003F7F6C" w:rsidRDefault="00B93FD5" w:rsidP="00A925EE">
            <w:pPr>
              <w:jc w:val="center"/>
              <w:rPr>
                <w:rFonts w:asciiTheme="minorHAnsi" w:hAnsiTheme="minorHAnsi"/>
                <w:b/>
                <w:color w:val="000000"/>
                <w:sz w:val="22"/>
                <w:szCs w:val="22"/>
                <w:lang w:val="es-PY" w:eastAsia="es-ES_tradnl"/>
              </w:rPr>
            </w:pPr>
            <w:r w:rsidRPr="003F7F6C">
              <w:rPr>
                <w:rFonts w:asciiTheme="minorHAnsi" w:hAnsiTheme="minorHAnsi"/>
                <w:b/>
                <w:color w:val="000000"/>
                <w:sz w:val="22"/>
                <w:szCs w:val="22"/>
                <w:lang w:val="es-PY" w:eastAsia="es-ES_tradnl"/>
              </w:rPr>
              <w:t>Amount Year 4 USD</w:t>
            </w:r>
          </w:p>
        </w:tc>
        <w:tc>
          <w:tcPr>
            <w:tcW w:w="810"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2229CC17" w14:textId="77777777" w:rsidR="00B93FD5" w:rsidRPr="003F7F6C" w:rsidRDefault="00B93FD5" w:rsidP="00A925EE">
            <w:pPr>
              <w:jc w:val="center"/>
              <w:rPr>
                <w:rFonts w:asciiTheme="minorHAnsi" w:hAnsiTheme="minorHAnsi"/>
                <w:b/>
                <w:color w:val="000000"/>
                <w:sz w:val="22"/>
                <w:szCs w:val="22"/>
                <w:lang w:val="es-PY" w:eastAsia="es-ES_tradnl"/>
              </w:rPr>
            </w:pPr>
            <w:r w:rsidRPr="003F7F6C">
              <w:rPr>
                <w:rFonts w:asciiTheme="minorHAnsi" w:hAnsiTheme="minorHAnsi"/>
                <w:b/>
                <w:color w:val="000000"/>
                <w:sz w:val="22"/>
                <w:szCs w:val="22"/>
                <w:lang w:val="es-PY" w:eastAsia="es-ES_tradnl"/>
              </w:rPr>
              <w:t>Amount Year 5 USD</w:t>
            </w:r>
          </w:p>
        </w:tc>
        <w:tc>
          <w:tcPr>
            <w:tcW w:w="900"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3887632D" w14:textId="77777777" w:rsidR="00B93FD5" w:rsidRPr="003F7F6C" w:rsidRDefault="00B93FD5" w:rsidP="00A925EE">
            <w:pPr>
              <w:jc w:val="center"/>
              <w:rPr>
                <w:rFonts w:asciiTheme="minorHAnsi" w:hAnsiTheme="minorHAnsi"/>
                <w:b/>
                <w:color w:val="000000"/>
                <w:sz w:val="22"/>
                <w:szCs w:val="22"/>
                <w:lang w:val="es-PY" w:eastAsia="es-ES_tradnl"/>
              </w:rPr>
            </w:pPr>
            <w:r w:rsidRPr="003F7F6C">
              <w:rPr>
                <w:rFonts w:asciiTheme="minorHAnsi" w:hAnsiTheme="minorHAnsi"/>
                <w:b/>
                <w:color w:val="000000"/>
                <w:sz w:val="22"/>
                <w:szCs w:val="22"/>
                <w:lang w:val="es-PY" w:eastAsia="es-ES_tradnl"/>
              </w:rPr>
              <w:t>Amount Year 6 USD</w:t>
            </w:r>
          </w:p>
        </w:tc>
        <w:tc>
          <w:tcPr>
            <w:tcW w:w="1075"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3CF48080" w14:textId="77777777" w:rsidR="00B93FD5" w:rsidRPr="003F7F6C" w:rsidRDefault="00B93FD5" w:rsidP="00A925EE">
            <w:pPr>
              <w:jc w:val="center"/>
              <w:rPr>
                <w:rFonts w:asciiTheme="minorHAnsi" w:hAnsiTheme="minorHAnsi"/>
                <w:b/>
                <w:color w:val="000000"/>
                <w:sz w:val="22"/>
                <w:szCs w:val="22"/>
                <w:lang w:val="es-PY" w:eastAsia="es-ES_tradnl"/>
              </w:rPr>
            </w:pPr>
            <w:r w:rsidRPr="003F7F6C">
              <w:rPr>
                <w:rFonts w:asciiTheme="minorHAnsi" w:hAnsiTheme="minorHAnsi"/>
                <w:b/>
                <w:color w:val="000000"/>
                <w:sz w:val="22"/>
                <w:szCs w:val="22"/>
                <w:lang w:val="es-PY" w:eastAsia="es-ES_tradnl"/>
              </w:rPr>
              <w:t>TOTAL</w:t>
            </w:r>
          </w:p>
        </w:tc>
      </w:tr>
      <w:tr w:rsidR="00B93FD5" w:rsidRPr="003F7F6C" w14:paraId="5558C086" w14:textId="77777777" w:rsidTr="00A925EE">
        <w:trPr>
          <w:trHeight w:val="300"/>
        </w:trPr>
        <w:tc>
          <w:tcPr>
            <w:tcW w:w="2965" w:type="dxa"/>
            <w:tcBorders>
              <w:top w:val="nil"/>
              <w:left w:val="single" w:sz="4" w:space="0" w:color="auto"/>
              <w:bottom w:val="single" w:sz="4" w:space="0" w:color="auto"/>
              <w:right w:val="single" w:sz="4" w:space="0" w:color="auto"/>
            </w:tcBorders>
            <w:shd w:val="clear" w:color="auto" w:fill="auto"/>
            <w:noWrap/>
            <w:vAlign w:val="bottom"/>
            <w:hideMark/>
          </w:tcPr>
          <w:p w14:paraId="167656FF" w14:textId="77777777" w:rsidR="00B93FD5" w:rsidRPr="003F7F6C" w:rsidRDefault="00B93FD5" w:rsidP="00A925EE">
            <w:pPr>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UNDP Recovery Cost Charges</w:t>
            </w:r>
          </w:p>
        </w:tc>
        <w:tc>
          <w:tcPr>
            <w:tcW w:w="900" w:type="dxa"/>
            <w:tcBorders>
              <w:top w:val="nil"/>
              <w:left w:val="nil"/>
              <w:bottom w:val="single" w:sz="4" w:space="0" w:color="auto"/>
              <w:right w:val="single" w:sz="4" w:space="0" w:color="auto"/>
            </w:tcBorders>
            <w:shd w:val="clear" w:color="auto" w:fill="auto"/>
            <w:noWrap/>
            <w:vAlign w:val="bottom"/>
            <w:hideMark/>
          </w:tcPr>
          <w:p w14:paraId="54F41FCB"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49,729</w:t>
            </w:r>
          </w:p>
        </w:tc>
        <w:tc>
          <w:tcPr>
            <w:tcW w:w="900" w:type="dxa"/>
            <w:tcBorders>
              <w:top w:val="nil"/>
              <w:left w:val="nil"/>
              <w:bottom w:val="single" w:sz="4" w:space="0" w:color="auto"/>
              <w:right w:val="single" w:sz="4" w:space="0" w:color="auto"/>
            </w:tcBorders>
            <w:shd w:val="clear" w:color="auto" w:fill="auto"/>
            <w:noWrap/>
            <w:vAlign w:val="bottom"/>
            <w:hideMark/>
          </w:tcPr>
          <w:p w14:paraId="3474A090"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49,729</w:t>
            </w:r>
          </w:p>
        </w:tc>
        <w:tc>
          <w:tcPr>
            <w:tcW w:w="900" w:type="dxa"/>
            <w:tcBorders>
              <w:top w:val="nil"/>
              <w:left w:val="nil"/>
              <w:bottom w:val="single" w:sz="4" w:space="0" w:color="auto"/>
              <w:right w:val="single" w:sz="4" w:space="0" w:color="auto"/>
            </w:tcBorders>
            <w:shd w:val="clear" w:color="auto" w:fill="auto"/>
            <w:noWrap/>
            <w:vAlign w:val="bottom"/>
            <w:hideMark/>
          </w:tcPr>
          <w:p w14:paraId="79408AC7"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49,733</w:t>
            </w:r>
          </w:p>
        </w:tc>
        <w:tc>
          <w:tcPr>
            <w:tcW w:w="900" w:type="dxa"/>
            <w:tcBorders>
              <w:top w:val="nil"/>
              <w:left w:val="nil"/>
              <w:bottom w:val="single" w:sz="4" w:space="0" w:color="auto"/>
              <w:right w:val="single" w:sz="4" w:space="0" w:color="auto"/>
            </w:tcBorders>
            <w:shd w:val="clear" w:color="auto" w:fill="auto"/>
            <w:noWrap/>
            <w:vAlign w:val="bottom"/>
            <w:hideMark/>
          </w:tcPr>
          <w:p w14:paraId="3C18E5A9"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49,735</w:t>
            </w:r>
          </w:p>
        </w:tc>
        <w:tc>
          <w:tcPr>
            <w:tcW w:w="810" w:type="dxa"/>
            <w:tcBorders>
              <w:top w:val="nil"/>
              <w:left w:val="nil"/>
              <w:bottom w:val="single" w:sz="4" w:space="0" w:color="auto"/>
              <w:right w:val="single" w:sz="4" w:space="0" w:color="auto"/>
            </w:tcBorders>
            <w:shd w:val="clear" w:color="auto" w:fill="auto"/>
            <w:noWrap/>
            <w:vAlign w:val="bottom"/>
            <w:hideMark/>
          </w:tcPr>
          <w:p w14:paraId="222F577E"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49,736</w:t>
            </w:r>
          </w:p>
        </w:tc>
        <w:tc>
          <w:tcPr>
            <w:tcW w:w="900" w:type="dxa"/>
            <w:tcBorders>
              <w:top w:val="nil"/>
              <w:left w:val="nil"/>
              <w:bottom w:val="single" w:sz="4" w:space="0" w:color="auto"/>
              <w:right w:val="single" w:sz="4" w:space="0" w:color="auto"/>
            </w:tcBorders>
            <w:shd w:val="clear" w:color="auto" w:fill="auto"/>
            <w:noWrap/>
            <w:vAlign w:val="bottom"/>
            <w:hideMark/>
          </w:tcPr>
          <w:p w14:paraId="0D3C411D"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49,736</w:t>
            </w:r>
          </w:p>
        </w:tc>
        <w:tc>
          <w:tcPr>
            <w:tcW w:w="1075" w:type="dxa"/>
            <w:tcBorders>
              <w:top w:val="nil"/>
              <w:left w:val="nil"/>
              <w:bottom w:val="single" w:sz="4" w:space="0" w:color="auto"/>
              <w:right w:val="single" w:sz="4" w:space="0" w:color="auto"/>
            </w:tcBorders>
            <w:shd w:val="clear" w:color="auto" w:fill="auto"/>
            <w:noWrap/>
            <w:vAlign w:val="bottom"/>
            <w:hideMark/>
          </w:tcPr>
          <w:p w14:paraId="5B9A9BD2"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298,398</w:t>
            </w:r>
          </w:p>
        </w:tc>
      </w:tr>
      <w:tr w:rsidR="00B93FD5" w:rsidRPr="003F7F6C" w14:paraId="563FD398" w14:textId="77777777" w:rsidTr="00A925EE">
        <w:trPr>
          <w:trHeight w:val="300"/>
        </w:trPr>
        <w:tc>
          <w:tcPr>
            <w:tcW w:w="296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8DEAA79" w14:textId="77777777" w:rsidR="00B93FD5" w:rsidRPr="003F7F6C" w:rsidRDefault="00B93FD5" w:rsidP="00A925EE">
            <w:pPr>
              <w:rPr>
                <w:rFonts w:asciiTheme="minorHAnsi" w:hAnsiTheme="minorHAnsi"/>
                <w:color w:val="000000"/>
                <w:sz w:val="22"/>
                <w:szCs w:val="22"/>
                <w:lang w:eastAsia="es-ES_tradnl"/>
              </w:rPr>
            </w:pPr>
            <w:r w:rsidRPr="003F7F6C">
              <w:rPr>
                <w:rFonts w:asciiTheme="minorHAnsi" w:hAnsiTheme="minorHAnsi"/>
                <w:color w:val="000000"/>
                <w:sz w:val="22"/>
                <w:szCs w:val="22"/>
                <w:lang w:eastAsia="es-ES_tradnl"/>
              </w:rPr>
              <w:t xml:space="preserve">Payments, disbursements and other financial transactions </w:t>
            </w:r>
          </w:p>
        </w:tc>
        <w:tc>
          <w:tcPr>
            <w:tcW w:w="900" w:type="dxa"/>
            <w:tcBorders>
              <w:top w:val="single" w:sz="4" w:space="0" w:color="auto"/>
              <w:left w:val="nil"/>
              <w:bottom w:val="single" w:sz="4" w:space="0" w:color="auto"/>
              <w:right w:val="single" w:sz="4" w:space="0" w:color="auto"/>
            </w:tcBorders>
            <w:shd w:val="clear" w:color="auto" w:fill="auto"/>
            <w:noWrap/>
            <w:vAlign w:val="bottom"/>
            <w:hideMark/>
          </w:tcPr>
          <w:p w14:paraId="213EBCF9"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12,206</w:t>
            </w:r>
          </w:p>
        </w:tc>
        <w:tc>
          <w:tcPr>
            <w:tcW w:w="900" w:type="dxa"/>
            <w:tcBorders>
              <w:top w:val="single" w:sz="4" w:space="0" w:color="auto"/>
              <w:left w:val="nil"/>
              <w:bottom w:val="single" w:sz="4" w:space="0" w:color="auto"/>
              <w:right w:val="single" w:sz="4" w:space="0" w:color="auto"/>
            </w:tcBorders>
            <w:shd w:val="clear" w:color="auto" w:fill="auto"/>
            <w:noWrap/>
            <w:vAlign w:val="bottom"/>
            <w:hideMark/>
          </w:tcPr>
          <w:p w14:paraId="7EE46E33"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8,206</w:t>
            </w:r>
          </w:p>
        </w:tc>
        <w:tc>
          <w:tcPr>
            <w:tcW w:w="900" w:type="dxa"/>
            <w:tcBorders>
              <w:top w:val="single" w:sz="4" w:space="0" w:color="auto"/>
              <w:left w:val="nil"/>
              <w:bottom w:val="single" w:sz="4" w:space="0" w:color="auto"/>
              <w:right w:val="single" w:sz="4" w:space="0" w:color="auto"/>
            </w:tcBorders>
            <w:shd w:val="clear" w:color="auto" w:fill="auto"/>
            <w:noWrap/>
            <w:vAlign w:val="bottom"/>
            <w:hideMark/>
          </w:tcPr>
          <w:p w14:paraId="1C64A140"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11,206</w:t>
            </w:r>
          </w:p>
        </w:tc>
        <w:tc>
          <w:tcPr>
            <w:tcW w:w="900" w:type="dxa"/>
            <w:tcBorders>
              <w:top w:val="single" w:sz="4" w:space="0" w:color="auto"/>
              <w:left w:val="nil"/>
              <w:bottom w:val="single" w:sz="4" w:space="0" w:color="auto"/>
              <w:right w:val="single" w:sz="4" w:space="0" w:color="auto"/>
            </w:tcBorders>
            <w:shd w:val="clear" w:color="auto" w:fill="auto"/>
            <w:noWrap/>
            <w:vAlign w:val="bottom"/>
            <w:hideMark/>
          </w:tcPr>
          <w:p w14:paraId="5B8ADE81"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11,206</w:t>
            </w:r>
          </w:p>
        </w:tc>
        <w:tc>
          <w:tcPr>
            <w:tcW w:w="810" w:type="dxa"/>
            <w:tcBorders>
              <w:top w:val="single" w:sz="4" w:space="0" w:color="auto"/>
              <w:left w:val="nil"/>
              <w:bottom w:val="single" w:sz="4" w:space="0" w:color="auto"/>
              <w:right w:val="single" w:sz="4" w:space="0" w:color="auto"/>
            </w:tcBorders>
            <w:shd w:val="clear" w:color="auto" w:fill="auto"/>
            <w:noWrap/>
            <w:vAlign w:val="bottom"/>
            <w:hideMark/>
          </w:tcPr>
          <w:p w14:paraId="7986D4ED"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11,206</w:t>
            </w:r>
          </w:p>
        </w:tc>
        <w:tc>
          <w:tcPr>
            <w:tcW w:w="900" w:type="dxa"/>
            <w:tcBorders>
              <w:top w:val="single" w:sz="4" w:space="0" w:color="auto"/>
              <w:left w:val="nil"/>
              <w:bottom w:val="single" w:sz="4" w:space="0" w:color="auto"/>
              <w:right w:val="single" w:sz="4" w:space="0" w:color="auto"/>
            </w:tcBorders>
            <w:shd w:val="clear" w:color="auto" w:fill="auto"/>
            <w:noWrap/>
            <w:vAlign w:val="bottom"/>
            <w:hideMark/>
          </w:tcPr>
          <w:p w14:paraId="44A36EAD"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12,206</w:t>
            </w:r>
          </w:p>
        </w:tc>
        <w:tc>
          <w:tcPr>
            <w:tcW w:w="1075" w:type="dxa"/>
            <w:tcBorders>
              <w:top w:val="single" w:sz="4" w:space="0" w:color="auto"/>
              <w:left w:val="nil"/>
              <w:bottom w:val="single" w:sz="4" w:space="0" w:color="auto"/>
              <w:right w:val="single" w:sz="4" w:space="0" w:color="auto"/>
            </w:tcBorders>
            <w:shd w:val="clear" w:color="auto" w:fill="auto"/>
            <w:noWrap/>
            <w:vAlign w:val="bottom"/>
            <w:hideMark/>
          </w:tcPr>
          <w:p w14:paraId="4CD9AFF3"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66,236</w:t>
            </w:r>
          </w:p>
        </w:tc>
      </w:tr>
      <w:tr w:rsidR="00B93FD5" w:rsidRPr="003F7F6C" w14:paraId="59AFCAE9" w14:textId="77777777" w:rsidTr="00A925EE">
        <w:trPr>
          <w:trHeight w:val="300"/>
        </w:trPr>
        <w:tc>
          <w:tcPr>
            <w:tcW w:w="2965" w:type="dxa"/>
            <w:tcBorders>
              <w:top w:val="nil"/>
              <w:left w:val="single" w:sz="4" w:space="0" w:color="auto"/>
              <w:bottom w:val="single" w:sz="4" w:space="0" w:color="auto"/>
              <w:right w:val="single" w:sz="4" w:space="0" w:color="auto"/>
            </w:tcBorders>
            <w:shd w:val="clear" w:color="auto" w:fill="auto"/>
            <w:noWrap/>
            <w:vAlign w:val="bottom"/>
            <w:hideMark/>
          </w:tcPr>
          <w:p w14:paraId="69A551A5" w14:textId="77777777" w:rsidR="00B93FD5" w:rsidRPr="003F7F6C" w:rsidRDefault="00B93FD5" w:rsidP="00A925EE">
            <w:pPr>
              <w:rPr>
                <w:rFonts w:asciiTheme="minorHAnsi" w:hAnsiTheme="minorHAnsi"/>
                <w:color w:val="000000"/>
                <w:sz w:val="22"/>
                <w:szCs w:val="22"/>
                <w:lang w:eastAsia="es-ES_tradnl"/>
              </w:rPr>
            </w:pPr>
            <w:r w:rsidRPr="003F7F6C">
              <w:rPr>
                <w:rFonts w:asciiTheme="minorHAnsi" w:hAnsiTheme="minorHAnsi"/>
                <w:color w:val="000000"/>
                <w:sz w:val="22"/>
                <w:szCs w:val="22"/>
                <w:lang w:eastAsia="es-ES_tradnl"/>
              </w:rPr>
              <w:t>Staff, technical team and consultant recruitment.</w:t>
            </w:r>
          </w:p>
        </w:tc>
        <w:tc>
          <w:tcPr>
            <w:tcW w:w="900" w:type="dxa"/>
            <w:tcBorders>
              <w:top w:val="nil"/>
              <w:left w:val="nil"/>
              <w:bottom w:val="single" w:sz="4" w:space="0" w:color="auto"/>
              <w:right w:val="single" w:sz="4" w:space="0" w:color="auto"/>
            </w:tcBorders>
            <w:shd w:val="clear" w:color="auto" w:fill="auto"/>
            <w:noWrap/>
            <w:vAlign w:val="bottom"/>
            <w:hideMark/>
          </w:tcPr>
          <w:p w14:paraId="063A2892"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8,300</w:t>
            </w:r>
          </w:p>
        </w:tc>
        <w:tc>
          <w:tcPr>
            <w:tcW w:w="900" w:type="dxa"/>
            <w:tcBorders>
              <w:top w:val="nil"/>
              <w:left w:val="nil"/>
              <w:bottom w:val="single" w:sz="4" w:space="0" w:color="auto"/>
              <w:right w:val="single" w:sz="4" w:space="0" w:color="auto"/>
            </w:tcBorders>
            <w:shd w:val="clear" w:color="auto" w:fill="auto"/>
            <w:noWrap/>
            <w:vAlign w:val="bottom"/>
            <w:hideMark/>
          </w:tcPr>
          <w:p w14:paraId="003325A9"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10,300</w:t>
            </w:r>
          </w:p>
        </w:tc>
        <w:tc>
          <w:tcPr>
            <w:tcW w:w="900" w:type="dxa"/>
            <w:tcBorders>
              <w:top w:val="nil"/>
              <w:left w:val="nil"/>
              <w:bottom w:val="single" w:sz="4" w:space="0" w:color="auto"/>
              <w:right w:val="single" w:sz="4" w:space="0" w:color="auto"/>
            </w:tcBorders>
            <w:shd w:val="clear" w:color="auto" w:fill="auto"/>
            <w:noWrap/>
            <w:vAlign w:val="bottom"/>
            <w:hideMark/>
          </w:tcPr>
          <w:p w14:paraId="453875D9"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5,300</w:t>
            </w:r>
          </w:p>
        </w:tc>
        <w:tc>
          <w:tcPr>
            <w:tcW w:w="900" w:type="dxa"/>
            <w:tcBorders>
              <w:top w:val="nil"/>
              <w:left w:val="nil"/>
              <w:bottom w:val="single" w:sz="4" w:space="0" w:color="auto"/>
              <w:right w:val="single" w:sz="4" w:space="0" w:color="auto"/>
            </w:tcBorders>
            <w:shd w:val="clear" w:color="auto" w:fill="auto"/>
            <w:noWrap/>
            <w:vAlign w:val="bottom"/>
            <w:hideMark/>
          </w:tcPr>
          <w:p w14:paraId="220DDB2E"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7,300</w:t>
            </w:r>
          </w:p>
        </w:tc>
        <w:tc>
          <w:tcPr>
            <w:tcW w:w="810" w:type="dxa"/>
            <w:tcBorders>
              <w:top w:val="nil"/>
              <w:left w:val="nil"/>
              <w:bottom w:val="single" w:sz="4" w:space="0" w:color="auto"/>
              <w:right w:val="single" w:sz="4" w:space="0" w:color="auto"/>
            </w:tcBorders>
            <w:shd w:val="clear" w:color="auto" w:fill="auto"/>
            <w:noWrap/>
            <w:vAlign w:val="bottom"/>
            <w:hideMark/>
          </w:tcPr>
          <w:p w14:paraId="089E314E"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8,300</w:t>
            </w:r>
          </w:p>
        </w:tc>
        <w:tc>
          <w:tcPr>
            <w:tcW w:w="900" w:type="dxa"/>
            <w:tcBorders>
              <w:top w:val="nil"/>
              <w:left w:val="nil"/>
              <w:bottom w:val="single" w:sz="4" w:space="0" w:color="auto"/>
              <w:right w:val="single" w:sz="4" w:space="0" w:color="auto"/>
            </w:tcBorders>
            <w:shd w:val="clear" w:color="auto" w:fill="auto"/>
            <w:noWrap/>
            <w:vAlign w:val="bottom"/>
            <w:hideMark/>
          </w:tcPr>
          <w:p w14:paraId="37D63CA7"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8,300</w:t>
            </w:r>
          </w:p>
        </w:tc>
        <w:tc>
          <w:tcPr>
            <w:tcW w:w="1075" w:type="dxa"/>
            <w:tcBorders>
              <w:top w:val="nil"/>
              <w:left w:val="nil"/>
              <w:bottom w:val="single" w:sz="4" w:space="0" w:color="auto"/>
              <w:right w:val="single" w:sz="4" w:space="0" w:color="auto"/>
            </w:tcBorders>
            <w:shd w:val="clear" w:color="auto" w:fill="auto"/>
            <w:noWrap/>
            <w:vAlign w:val="bottom"/>
            <w:hideMark/>
          </w:tcPr>
          <w:p w14:paraId="30E198CD"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47,800</w:t>
            </w:r>
          </w:p>
        </w:tc>
      </w:tr>
      <w:tr w:rsidR="00B93FD5" w:rsidRPr="003F7F6C" w14:paraId="3562018B" w14:textId="77777777" w:rsidTr="00A925EE">
        <w:trPr>
          <w:trHeight w:val="300"/>
        </w:trPr>
        <w:tc>
          <w:tcPr>
            <w:tcW w:w="2965" w:type="dxa"/>
            <w:tcBorders>
              <w:top w:val="nil"/>
              <w:left w:val="single" w:sz="4" w:space="0" w:color="auto"/>
              <w:bottom w:val="single" w:sz="4" w:space="0" w:color="auto"/>
              <w:right w:val="single" w:sz="4" w:space="0" w:color="auto"/>
            </w:tcBorders>
            <w:shd w:val="clear" w:color="auto" w:fill="auto"/>
            <w:noWrap/>
            <w:vAlign w:val="bottom"/>
            <w:hideMark/>
          </w:tcPr>
          <w:p w14:paraId="48082FB3" w14:textId="77777777" w:rsidR="00B93FD5" w:rsidRPr="003F7F6C" w:rsidRDefault="00B93FD5" w:rsidP="00A925EE">
            <w:pPr>
              <w:rPr>
                <w:rFonts w:asciiTheme="minorHAnsi" w:hAnsiTheme="minorHAnsi"/>
                <w:color w:val="000000"/>
                <w:sz w:val="22"/>
                <w:szCs w:val="22"/>
                <w:lang w:eastAsia="es-ES_tradnl"/>
              </w:rPr>
            </w:pPr>
            <w:r w:rsidRPr="003F7F6C">
              <w:rPr>
                <w:rFonts w:asciiTheme="minorHAnsi" w:hAnsiTheme="minorHAnsi"/>
                <w:color w:val="000000"/>
                <w:sz w:val="22"/>
                <w:szCs w:val="22"/>
                <w:lang w:eastAsia="es-ES_tradnl"/>
              </w:rPr>
              <w:t xml:space="preserve">Equipment and services recruitment, and inventory discharge. </w:t>
            </w:r>
          </w:p>
        </w:tc>
        <w:tc>
          <w:tcPr>
            <w:tcW w:w="900" w:type="dxa"/>
            <w:tcBorders>
              <w:top w:val="nil"/>
              <w:left w:val="nil"/>
              <w:bottom w:val="single" w:sz="4" w:space="0" w:color="auto"/>
              <w:right w:val="single" w:sz="4" w:space="0" w:color="auto"/>
            </w:tcBorders>
            <w:shd w:val="clear" w:color="auto" w:fill="auto"/>
            <w:noWrap/>
            <w:vAlign w:val="bottom"/>
            <w:hideMark/>
          </w:tcPr>
          <w:p w14:paraId="7D1AC4CF"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9,300</w:t>
            </w:r>
          </w:p>
        </w:tc>
        <w:tc>
          <w:tcPr>
            <w:tcW w:w="900" w:type="dxa"/>
            <w:tcBorders>
              <w:top w:val="nil"/>
              <w:left w:val="nil"/>
              <w:bottom w:val="single" w:sz="4" w:space="0" w:color="auto"/>
              <w:right w:val="single" w:sz="4" w:space="0" w:color="auto"/>
            </w:tcBorders>
            <w:shd w:val="clear" w:color="auto" w:fill="auto"/>
            <w:noWrap/>
            <w:vAlign w:val="bottom"/>
            <w:hideMark/>
          </w:tcPr>
          <w:p w14:paraId="06FD30CA"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6,300</w:t>
            </w:r>
          </w:p>
        </w:tc>
        <w:tc>
          <w:tcPr>
            <w:tcW w:w="900" w:type="dxa"/>
            <w:tcBorders>
              <w:top w:val="nil"/>
              <w:left w:val="nil"/>
              <w:bottom w:val="single" w:sz="4" w:space="0" w:color="auto"/>
              <w:right w:val="single" w:sz="4" w:space="0" w:color="auto"/>
            </w:tcBorders>
            <w:shd w:val="clear" w:color="auto" w:fill="auto"/>
            <w:noWrap/>
            <w:vAlign w:val="bottom"/>
            <w:hideMark/>
          </w:tcPr>
          <w:p w14:paraId="3A4564F7"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5,304</w:t>
            </w:r>
          </w:p>
        </w:tc>
        <w:tc>
          <w:tcPr>
            <w:tcW w:w="900" w:type="dxa"/>
            <w:tcBorders>
              <w:top w:val="nil"/>
              <w:left w:val="nil"/>
              <w:bottom w:val="single" w:sz="4" w:space="0" w:color="auto"/>
              <w:right w:val="single" w:sz="4" w:space="0" w:color="auto"/>
            </w:tcBorders>
            <w:shd w:val="clear" w:color="auto" w:fill="auto"/>
            <w:noWrap/>
            <w:vAlign w:val="bottom"/>
            <w:hideMark/>
          </w:tcPr>
          <w:p w14:paraId="133F1852"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8,306</w:t>
            </w:r>
          </w:p>
        </w:tc>
        <w:tc>
          <w:tcPr>
            <w:tcW w:w="810" w:type="dxa"/>
            <w:tcBorders>
              <w:top w:val="nil"/>
              <w:left w:val="nil"/>
              <w:bottom w:val="single" w:sz="4" w:space="0" w:color="auto"/>
              <w:right w:val="single" w:sz="4" w:space="0" w:color="auto"/>
            </w:tcBorders>
            <w:shd w:val="clear" w:color="auto" w:fill="auto"/>
            <w:noWrap/>
            <w:vAlign w:val="bottom"/>
            <w:hideMark/>
          </w:tcPr>
          <w:p w14:paraId="7694CB4A"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7,306</w:t>
            </w:r>
          </w:p>
        </w:tc>
        <w:tc>
          <w:tcPr>
            <w:tcW w:w="900" w:type="dxa"/>
            <w:tcBorders>
              <w:top w:val="nil"/>
              <w:left w:val="nil"/>
              <w:bottom w:val="single" w:sz="4" w:space="0" w:color="auto"/>
              <w:right w:val="single" w:sz="4" w:space="0" w:color="auto"/>
            </w:tcBorders>
            <w:shd w:val="clear" w:color="auto" w:fill="auto"/>
            <w:noWrap/>
            <w:vAlign w:val="bottom"/>
            <w:hideMark/>
          </w:tcPr>
          <w:p w14:paraId="4547DD5A"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6,306</w:t>
            </w:r>
          </w:p>
        </w:tc>
        <w:tc>
          <w:tcPr>
            <w:tcW w:w="1075" w:type="dxa"/>
            <w:tcBorders>
              <w:top w:val="nil"/>
              <w:left w:val="nil"/>
              <w:bottom w:val="single" w:sz="4" w:space="0" w:color="auto"/>
              <w:right w:val="single" w:sz="4" w:space="0" w:color="auto"/>
            </w:tcBorders>
            <w:shd w:val="clear" w:color="auto" w:fill="auto"/>
            <w:noWrap/>
            <w:vAlign w:val="bottom"/>
            <w:hideMark/>
          </w:tcPr>
          <w:p w14:paraId="7103AF1E"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42,822</w:t>
            </w:r>
          </w:p>
        </w:tc>
      </w:tr>
      <w:tr w:rsidR="00B93FD5" w:rsidRPr="003F7F6C" w14:paraId="22C4E48D" w14:textId="77777777" w:rsidTr="00A925EE">
        <w:trPr>
          <w:trHeight w:val="300"/>
        </w:trPr>
        <w:tc>
          <w:tcPr>
            <w:tcW w:w="2965" w:type="dxa"/>
            <w:tcBorders>
              <w:top w:val="nil"/>
              <w:left w:val="single" w:sz="4" w:space="0" w:color="auto"/>
              <w:bottom w:val="single" w:sz="4" w:space="0" w:color="auto"/>
              <w:right w:val="single" w:sz="4" w:space="0" w:color="auto"/>
            </w:tcBorders>
            <w:shd w:val="clear" w:color="auto" w:fill="auto"/>
            <w:noWrap/>
            <w:vAlign w:val="bottom"/>
            <w:hideMark/>
          </w:tcPr>
          <w:p w14:paraId="0BE1FDDA" w14:textId="77777777" w:rsidR="00B93FD5" w:rsidRPr="003F7F6C" w:rsidRDefault="00B93FD5" w:rsidP="00A925EE">
            <w:pPr>
              <w:rPr>
                <w:rFonts w:asciiTheme="minorHAnsi" w:hAnsiTheme="minorHAnsi"/>
                <w:color w:val="000000"/>
                <w:sz w:val="22"/>
                <w:szCs w:val="22"/>
                <w:lang w:eastAsia="es-ES_tradnl"/>
              </w:rPr>
            </w:pPr>
            <w:r w:rsidRPr="003F7F6C">
              <w:rPr>
                <w:rFonts w:asciiTheme="minorHAnsi" w:hAnsiTheme="minorHAnsi"/>
                <w:color w:val="000000"/>
                <w:sz w:val="22"/>
                <w:szCs w:val="22"/>
                <w:lang w:eastAsia="es-ES_tradnl"/>
              </w:rPr>
              <w:t>Training activities, workshops and conference organization.</w:t>
            </w:r>
          </w:p>
        </w:tc>
        <w:tc>
          <w:tcPr>
            <w:tcW w:w="900" w:type="dxa"/>
            <w:tcBorders>
              <w:top w:val="nil"/>
              <w:left w:val="nil"/>
              <w:bottom w:val="single" w:sz="4" w:space="0" w:color="auto"/>
              <w:right w:val="single" w:sz="4" w:space="0" w:color="auto"/>
            </w:tcBorders>
            <w:shd w:val="clear" w:color="auto" w:fill="auto"/>
            <w:noWrap/>
            <w:vAlign w:val="bottom"/>
            <w:hideMark/>
          </w:tcPr>
          <w:p w14:paraId="77D44B31"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7,306</w:t>
            </w:r>
          </w:p>
        </w:tc>
        <w:tc>
          <w:tcPr>
            <w:tcW w:w="900" w:type="dxa"/>
            <w:tcBorders>
              <w:top w:val="nil"/>
              <w:left w:val="nil"/>
              <w:bottom w:val="single" w:sz="4" w:space="0" w:color="auto"/>
              <w:right w:val="single" w:sz="4" w:space="0" w:color="auto"/>
            </w:tcBorders>
            <w:shd w:val="clear" w:color="auto" w:fill="auto"/>
            <w:noWrap/>
            <w:vAlign w:val="bottom"/>
            <w:hideMark/>
          </w:tcPr>
          <w:p w14:paraId="26557D14"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7,306</w:t>
            </w:r>
          </w:p>
        </w:tc>
        <w:tc>
          <w:tcPr>
            <w:tcW w:w="900" w:type="dxa"/>
            <w:tcBorders>
              <w:top w:val="nil"/>
              <w:left w:val="nil"/>
              <w:bottom w:val="single" w:sz="4" w:space="0" w:color="auto"/>
              <w:right w:val="single" w:sz="4" w:space="0" w:color="auto"/>
            </w:tcBorders>
            <w:shd w:val="clear" w:color="auto" w:fill="auto"/>
            <w:noWrap/>
            <w:vAlign w:val="bottom"/>
            <w:hideMark/>
          </w:tcPr>
          <w:p w14:paraId="38AC3FDC"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11,306</w:t>
            </w:r>
          </w:p>
        </w:tc>
        <w:tc>
          <w:tcPr>
            <w:tcW w:w="900" w:type="dxa"/>
            <w:tcBorders>
              <w:top w:val="nil"/>
              <w:left w:val="nil"/>
              <w:bottom w:val="single" w:sz="4" w:space="0" w:color="auto"/>
              <w:right w:val="single" w:sz="4" w:space="0" w:color="auto"/>
            </w:tcBorders>
            <w:shd w:val="clear" w:color="auto" w:fill="auto"/>
            <w:noWrap/>
            <w:vAlign w:val="bottom"/>
            <w:hideMark/>
          </w:tcPr>
          <w:p w14:paraId="431A9B5C"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5,306</w:t>
            </w:r>
          </w:p>
        </w:tc>
        <w:tc>
          <w:tcPr>
            <w:tcW w:w="810" w:type="dxa"/>
            <w:tcBorders>
              <w:top w:val="nil"/>
              <w:left w:val="nil"/>
              <w:bottom w:val="single" w:sz="4" w:space="0" w:color="auto"/>
              <w:right w:val="single" w:sz="4" w:space="0" w:color="auto"/>
            </w:tcBorders>
            <w:shd w:val="clear" w:color="auto" w:fill="auto"/>
            <w:noWrap/>
            <w:vAlign w:val="bottom"/>
            <w:hideMark/>
          </w:tcPr>
          <w:p w14:paraId="6EC6FA5A"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5,306</w:t>
            </w:r>
          </w:p>
        </w:tc>
        <w:tc>
          <w:tcPr>
            <w:tcW w:w="900" w:type="dxa"/>
            <w:tcBorders>
              <w:top w:val="nil"/>
              <w:left w:val="nil"/>
              <w:bottom w:val="single" w:sz="4" w:space="0" w:color="auto"/>
              <w:right w:val="single" w:sz="4" w:space="0" w:color="auto"/>
            </w:tcBorders>
            <w:shd w:val="clear" w:color="auto" w:fill="auto"/>
            <w:noWrap/>
            <w:vAlign w:val="bottom"/>
            <w:hideMark/>
          </w:tcPr>
          <w:p w14:paraId="627F380B"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8,306</w:t>
            </w:r>
          </w:p>
        </w:tc>
        <w:tc>
          <w:tcPr>
            <w:tcW w:w="1075" w:type="dxa"/>
            <w:tcBorders>
              <w:top w:val="nil"/>
              <w:left w:val="nil"/>
              <w:bottom w:val="single" w:sz="4" w:space="0" w:color="auto"/>
              <w:right w:val="single" w:sz="4" w:space="0" w:color="auto"/>
            </w:tcBorders>
            <w:shd w:val="clear" w:color="auto" w:fill="auto"/>
            <w:noWrap/>
            <w:vAlign w:val="bottom"/>
            <w:hideMark/>
          </w:tcPr>
          <w:p w14:paraId="4595E6D2"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44,836</w:t>
            </w:r>
          </w:p>
        </w:tc>
      </w:tr>
      <w:tr w:rsidR="00B93FD5" w:rsidRPr="003F7F6C" w14:paraId="6772CD0A" w14:textId="77777777" w:rsidTr="00A925EE">
        <w:trPr>
          <w:trHeight w:val="300"/>
        </w:trPr>
        <w:tc>
          <w:tcPr>
            <w:tcW w:w="2965" w:type="dxa"/>
            <w:tcBorders>
              <w:top w:val="nil"/>
              <w:left w:val="single" w:sz="4" w:space="0" w:color="auto"/>
              <w:bottom w:val="single" w:sz="4" w:space="0" w:color="auto"/>
              <w:right w:val="single" w:sz="4" w:space="0" w:color="auto"/>
            </w:tcBorders>
            <w:shd w:val="clear" w:color="auto" w:fill="auto"/>
            <w:noWrap/>
            <w:vAlign w:val="bottom"/>
            <w:hideMark/>
          </w:tcPr>
          <w:p w14:paraId="7680BC07" w14:textId="77777777" w:rsidR="00B93FD5" w:rsidRPr="003F7F6C" w:rsidRDefault="00B93FD5" w:rsidP="00A925EE">
            <w:pPr>
              <w:rPr>
                <w:rFonts w:asciiTheme="minorHAnsi" w:hAnsiTheme="minorHAnsi"/>
                <w:color w:val="000000"/>
                <w:sz w:val="22"/>
                <w:szCs w:val="22"/>
                <w:lang w:eastAsia="es-ES_tradnl"/>
              </w:rPr>
            </w:pPr>
            <w:r w:rsidRPr="003F7F6C">
              <w:rPr>
                <w:rFonts w:asciiTheme="minorHAnsi" w:hAnsiTheme="minorHAnsi"/>
                <w:color w:val="000000"/>
                <w:sz w:val="22"/>
                <w:szCs w:val="22"/>
                <w:lang w:eastAsia="es-ES_tradnl"/>
              </w:rPr>
              <w:t>Trip authorization, security clearance, tickets and travel arrangements.</w:t>
            </w:r>
          </w:p>
        </w:tc>
        <w:tc>
          <w:tcPr>
            <w:tcW w:w="900" w:type="dxa"/>
            <w:tcBorders>
              <w:top w:val="nil"/>
              <w:left w:val="nil"/>
              <w:bottom w:val="single" w:sz="4" w:space="0" w:color="auto"/>
              <w:right w:val="single" w:sz="4" w:space="0" w:color="auto"/>
            </w:tcBorders>
            <w:shd w:val="clear" w:color="auto" w:fill="auto"/>
            <w:noWrap/>
            <w:vAlign w:val="bottom"/>
            <w:hideMark/>
          </w:tcPr>
          <w:p w14:paraId="43BA4B55"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8,306</w:t>
            </w:r>
          </w:p>
        </w:tc>
        <w:tc>
          <w:tcPr>
            <w:tcW w:w="900" w:type="dxa"/>
            <w:tcBorders>
              <w:top w:val="nil"/>
              <w:left w:val="nil"/>
              <w:bottom w:val="single" w:sz="4" w:space="0" w:color="auto"/>
              <w:right w:val="single" w:sz="4" w:space="0" w:color="auto"/>
            </w:tcBorders>
            <w:shd w:val="clear" w:color="auto" w:fill="auto"/>
            <w:noWrap/>
            <w:vAlign w:val="bottom"/>
            <w:hideMark/>
          </w:tcPr>
          <w:p w14:paraId="5CE8E035"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8,306</w:t>
            </w:r>
          </w:p>
        </w:tc>
        <w:tc>
          <w:tcPr>
            <w:tcW w:w="900" w:type="dxa"/>
            <w:tcBorders>
              <w:top w:val="nil"/>
              <w:left w:val="nil"/>
              <w:bottom w:val="single" w:sz="4" w:space="0" w:color="auto"/>
              <w:right w:val="single" w:sz="4" w:space="0" w:color="auto"/>
            </w:tcBorders>
            <w:shd w:val="clear" w:color="auto" w:fill="auto"/>
            <w:noWrap/>
            <w:vAlign w:val="bottom"/>
            <w:hideMark/>
          </w:tcPr>
          <w:p w14:paraId="6CEE3368"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9,306</w:t>
            </w:r>
          </w:p>
        </w:tc>
        <w:tc>
          <w:tcPr>
            <w:tcW w:w="900" w:type="dxa"/>
            <w:tcBorders>
              <w:top w:val="nil"/>
              <w:left w:val="nil"/>
              <w:bottom w:val="single" w:sz="4" w:space="0" w:color="auto"/>
              <w:right w:val="single" w:sz="4" w:space="0" w:color="auto"/>
            </w:tcBorders>
            <w:shd w:val="clear" w:color="auto" w:fill="auto"/>
            <w:noWrap/>
            <w:vAlign w:val="bottom"/>
            <w:hideMark/>
          </w:tcPr>
          <w:p w14:paraId="09371B0A"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9,306</w:t>
            </w:r>
          </w:p>
        </w:tc>
        <w:tc>
          <w:tcPr>
            <w:tcW w:w="810" w:type="dxa"/>
            <w:tcBorders>
              <w:top w:val="nil"/>
              <w:left w:val="nil"/>
              <w:bottom w:val="single" w:sz="4" w:space="0" w:color="auto"/>
              <w:right w:val="single" w:sz="4" w:space="0" w:color="auto"/>
            </w:tcBorders>
            <w:shd w:val="clear" w:color="auto" w:fill="auto"/>
            <w:noWrap/>
            <w:vAlign w:val="bottom"/>
            <w:hideMark/>
          </w:tcPr>
          <w:p w14:paraId="221504A9"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7,306</w:t>
            </w:r>
          </w:p>
        </w:tc>
        <w:tc>
          <w:tcPr>
            <w:tcW w:w="900" w:type="dxa"/>
            <w:tcBorders>
              <w:top w:val="nil"/>
              <w:left w:val="nil"/>
              <w:bottom w:val="single" w:sz="4" w:space="0" w:color="auto"/>
              <w:right w:val="single" w:sz="4" w:space="0" w:color="auto"/>
            </w:tcBorders>
            <w:shd w:val="clear" w:color="auto" w:fill="auto"/>
            <w:noWrap/>
            <w:vAlign w:val="bottom"/>
            <w:hideMark/>
          </w:tcPr>
          <w:p w14:paraId="1B607973"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5,306</w:t>
            </w:r>
          </w:p>
        </w:tc>
        <w:tc>
          <w:tcPr>
            <w:tcW w:w="1075" w:type="dxa"/>
            <w:tcBorders>
              <w:top w:val="nil"/>
              <w:left w:val="nil"/>
              <w:bottom w:val="single" w:sz="4" w:space="0" w:color="auto"/>
              <w:right w:val="single" w:sz="4" w:space="0" w:color="auto"/>
            </w:tcBorders>
            <w:shd w:val="clear" w:color="auto" w:fill="auto"/>
            <w:noWrap/>
            <w:vAlign w:val="bottom"/>
            <w:hideMark/>
          </w:tcPr>
          <w:p w14:paraId="5F1FF124"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47,836</w:t>
            </w:r>
          </w:p>
        </w:tc>
      </w:tr>
      <w:tr w:rsidR="00B93FD5" w:rsidRPr="003F7F6C" w14:paraId="5EE36AC5" w14:textId="77777777" w:rsidTr="00A925EE">
        <w:trPr>
          <w:trHeight w:val="300"/>
        </w:trPr>
        <w:tc>
          <w:tcPr>
            <w:tcW w:w="2965" w:type="dxa"/>
            <w:tcBorders>
              <w:top w:val="nil"/>
              <w:left w:val="single" w:sz="4" w:space="0" w:color="auto"/>
              <w:bottom w:val="single" w:sz="4" w:space="0" w:color="auto"/>
              <w:right w:val="single" w:sz="4" w:space="0" w:color="auto"/>
            </w:tcBorders>
            <w:shd w:val="clear" w:color="auto" w:fill="auto"/>
            <w:noWrap/>
            <w:vAlign w:val="bottom"/>
            <w:hideMark/>
          </w:tcPr>
          <w:p w14:paraId="3A30E61B" w14:textId="77777777" w:rsidR="00B93FD5" w:rsidRPr="003F7F6C" w:rsidRDefault="00B93FD5" w:rsidP="00A925EE">
            <w:pPr>
              <w:rPr>
                <w:rFonts w:asciiTheme="minorHAnsi" w:hAnsiTheme="minorHAnsi"/>
                <w:color w:val="000000"/>
                <w:sz w:val="22"/>
                <w:szCs w:val="22"/>
                <w:lang w:eastAsia="es-ES_tradnl"/>
              </w:rPr>
            </w:pPr>
            <w:r w:rsidRPr="003F7F6C">
              <w:rPr>
                <w:rFonts w:asciiTheme="minorHAnsi" w:hAnsiTheme="minorHAnsi"/>
                <w:color w:val="000000"/>
                <w:sz w:val="22"/>
                <w:szCs w:val="22"/>
                <w:lang w:eastAsia="es-ES_tradnl"/>
              </w:rPr>
              <w:t xml:space="preserve">Delivery, sending, custom clearance, vehicles registry and accreditation. </w:t>
            </w:r>
          </w:p>
        </w:tc>
        <w:tc>
          <w:tcPr>
            <w:tcW w:w="900" w:type="dxa"/>
            <w:tcBorders>
              <w:top w:val="nil"/>
              <w:left w:val="nil"/>
              <w:bottom w:val="single" w:sz="4" w:space="0" w:color="auto"/>
              <w:right w:val="single" w:sz="4" w:space="0" w:color="auto"/>
            </w:tcBorders>
            <w:shd w:val="clear" w:color="auto" w:fill="auto"/>
            <w:noWrap/>
            <w:vAlign w:val="bottom"/>
            <w:hideMark/>
          </w:tcPr>
          <w:p w14:paraId="00F85BC0"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4,311</w:t>
            </w:r>
          </w:p>
        </w:tc>
        <w:tc>
          <w:tcPr>
            <w:tcW w:w="900" w:type="dxa"/>
            <w:tcBorders>
              <w:top w:val="nil"/>
              <w:left w:val="nil"/>
              <w:bottom w:val="single" w:sz="4" w:space="0" w:color="auto"/>
              <w:right w:val="single" w:sz="4" w:space="0" w:color="auto"/>
            </w:tcBorders>
            <w:shd w:val="clear" w:color="auto" w:fill="auto"/>
            <w:noWrap/>
            <w:vAlign w:val="bottom"/>
            <w:hideMark/>
          </w:tcPr>
          <w:p w14:paraId="52E4823B"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9,311</w:t>
            </w:r>
          </w:p>
        </w:tc>
        <w:tc>
          <w:tcPr>
            <w:tcW w:w="900" w:type="dxa"/>
            <w:tcBorders>
              <w:top w:val="nil"/>
              <w:left w:val="nil"/>
              <w:bottom w:val="single" w:sz="4" w:space="0" w:color="auto"/>
              <w:right w:val="single" w:sz="4" w:space="0" w:color="auto"/>
            </w:tcBorders>
            <w:shd w:val="clear" w:color="auto" w:fill="auto"/>
            <w:noWrap/>
            <w:vAlign w:val="bottom"/>
            <w:hideMark/>
          </w:tcPr>
          <w:p w14:paraId="2364F517"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7,311</w:t>
            </w:r>
          </w:p>
        </w:tc>
        <w:tc>
          <w:tcPr>
            <w:tcW w:w="900" w:type="dxa"/>
            <w:tcBorders>
              <w:top w:val="nil"/>
              <w:left w:val="nil"/>
              <w:bottom w:val="single" w:sz="4" w:space="0" w:color="auto"/>
              <w:right w:val="single" w:sz="4" w:space="0" w:color="auto"/>
            </w:tcBorders>
            <w:shd w:val="clear" w:color="auto" w:fill="auto"/>
            <w:noWrap/>
            <w:vAlign w:val="bottom"/>
            <w:hideMark/>
          </w:tcPr>
          <w:p w14:paraId="731B489F"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8,311</w:t>
            </w:r>
          </w:p>
        </w:tc>
        <w:tc>
          <w:tcPr>
            <w:tcW w:w="810" w:type="dxa"/>
            <w:tcBorders>
              <w:top w:val="nil"/>
              <w:left w:val="nil"/>
              <w:bottom w:val="single" w:sz="4" w:space="0" w:color="auto"/>
              <w:right w:val="single" w:sz="4" w:space="0" w:color="auto"/>
            </w:tcBorders>
            <w:shd w:val="clear" w:color="auto" w:fill="auto"/>
            <w:noWrap/>
            <w:vAlign w:val="bottom"/>
            <w:hideMark/>
          </w:tcPr>
          <w:p w14:paraId="78BDF0B9"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10,312</w:t>
            </w:r>
          </w:p>
        </w:tc>
        <w:tc>
          <w:tcPr>
            <w:tcW w:w="900" w:type="dxa"/>
            <w:tcBorders>
              <w:top w:val="nil"/>
              <w:left w:val="nil"/>
              <w:bottom w:val="single" w:sz="4" w:space="0" w:color="auto"/>
              <w:right w:val="single" w:sz="4" w:space="0" w:color="auto"/>
            </w:tcBorders>
            <w:shd w:val="clear" w:color="auto" w:fill="auto"/>
            <w:noWrap/>
            <w:vAlign w:val="bottom"/>
            <w:hideMark/>
          </w:tcPr>
          <w:p w14:paraId="29C8D7E1"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9,312</w:t>
            </w:r>
          </w:p>
        </w:tc>
        <w:tc>
          <w:tcPr>
            <w:tcW w:w="1075" w:type="dxa"/>
            <w:tcBorders>
              <w:top w:val="nil"/>
              <w:left w:val="nil"/>
              <w:bottom w:val="single" w:sz="4" w:space="0" w:color="auto"/>
              <w:right w:val="single" w:sz="4" w:space="0" w:color="auto"/>
            </w:tcBorders>
            <w:shd w:val="clear" w:color="auto" w:fill="auto"/>
            <w:noWrap/>
            <w:vAlign w:val="bottom"/>
            <w:hideMark/>
          </w:tcPr>
          <w:p w14:paraId="190E9128"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48,868</w:t>
            </w:r>
          </w:p>
        </w:tc>
      </w:tr>
      <w:tr w:rsidR="00B93FD5" w:rsidRPr="003F7F6C" w14:paraId="49EF4F4B" w14:textId="77777777" w:rsidTr="00A925EE">
        <w:trPr>
          <w:trHeight w:val="300"/>
        </w:trPr>
        <w:tc>
          <w:tcPr>
            <w:tcW w:w="2965" w:type="dxa"/>
            <w:tcBorders>
              <w:top w:val="nil"/>
              <w:left w:val="nil"/>
              <w:bottom w:val="nil"/>
              <w:right w:val="nil"/>
            </w:tcBorders>
            <w:shd w:val="clear" w:color="auto" w:fill="D9D9D9" w:themeFill="background1" w:themeFillShade="D9"/>
            <w:noWrap/>
            <w:vAlign w:val="bottom"/>
            <w:hideMark/>
          </w:tcPr>
          <w:p w14:paraId="5583ED18" w14:textId="77777777" w:rsidR="00B93FD5" w:rsidRPr="003F7F6C" w:rsidRDefault="00B93FD5" w:rsidP="00A925EE">
            <w:pPr>
              <w:jc w:val="center"/>
              <w:rPr>
                <w:rFonts w:asciiTheme="minorHAnsi" w:hAnsiTheme="minorHAnsi"/>
                <w:color w:val="000000"/>
                <w:sz w:val="22"/>
                <w:szCs w:val="22"/>
                <w:lang w:val="es-PY" w:eastAsia="es-ES_tradnl"/>
              </w:rPr>
            </w:pPr>
          </w:p>
        </w:tc>
        <w:tc>
          <w:tcPr>
            <w:tcW w:w="900" w:type="dxa"/>
            <w:tcBorders>
              <w:top w:val="nil"/>
              <w:left w:val="single" w:sz="4" w:space="0" w:color="auto"/>
              <w:bottom w:val="single" w:sz="4" w:space="0" w:color="auto"/>
              <w:right w:val="single" w:sz="4" w:space="0" w:color="auto"/>
            </w:tcBorders>
            <w:shd w:val="clear" w:color="auto" w:fill="D9D9D9" w:themeFill="background1" w:themeFillShade="D9"/>
            <w:noWrap/>
            <w:vAlign w:val="bottom"/>
            <w:hideMark/>
          </w:tcPr>
          <w:p w14:paraId="412B9047"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49,729</w:t>
            </w:r>
          </w:p>
        </w:tc>
        <w:tc>
          <w:tcPr>
            <w:tcW w:w="900" w:type="dxa"/>
            <w:tcBorders>
              <w:top w:val="nil"/>
              <w:left w:val="nil"/>
              <w:bottom w:val="single" w:sz="4" w:space="0" w:color="auto"/>
              <w:right w:val="single" w:sz="4" w:space="0" w:color="auto"/>
            </w:tcBorders>
            <w:shd w:val="clear" w:color="auto" w:fill="D9D9D9" w:themeFill="background1" w:themeFillShade="D9"/>
            <w:noWrap/>
            <w:vAlign w:val="bottom"/>
            <w:hideMark/>
          </w:tcPr>
          <w:p w14:paraId="3F4AD679"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49,729</w:t>
            </w:r>
          </w:p>
        </w:tc>
        <w:tc>
          <w:tcPr>
            <w:tcW w:w="900" w:type="dxa"/>
            <w:tcBorders>
              <w:top w:val="nil"/>
              <w:left w:val="nil"/>
              <w:bottom w:val="single" w:sz="4" w:space="0" w:color="auto"/>
              <w:right w:val="single" w:sz="4" w:space="0" w:color="auto"/>
            </w:tcBorders>
            <w:shd w:val="clear" w:color="auto" w:fill="D9D9D9" w:themeFill="background1" w:themeFillShade="D9"/>
            <w:noWrap/>
            <w:vAlign w:val="bottom"/>
            <w:hideMark/>
          </w:tcPr>
          <w:p w14:paraId="3512C244"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49,733</w:t>
            </w:r>
          </w:p>
        </w:tc>
        <w:tc>
          <w:tcPr>
            <w:tcW w:w="900" w:type="dxa"/>
            <w:tcBorders>
              <w:top w:val="nil"/>
              <w:left w:val="nil"/>
              <w:bottom w:val="single" w:sz="4" w:space="0" w:color="auto"/>
              <w:right w:val="single" w:sz="4" w:space="0" w:color="auto"/>
            </w:tcBorders>
            <w:shd w:val="clear" w:color="auto" w:fill="D9D9D9" w:themeFill="background1" w:themeFillShade="D9"/>
            <w:noWrap/>
            <w:vAlign w:val="bottom"/>
            <w:hideMark/>
          </w:tcPr>
          <w:p w14:paraId="2BB36A2B"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49,735</w:t>
            </w:r>
          </w:p>
        </w:tc>
        <w:tc>
          <w:tcPr>
            <w:tcW w:w="810" w:type="dxa"/>
            <w:tcBorders>
              <w:top w:val="nil"/>
              <w:left w:val="nil"/>
              <w:bottom w:val="single" w:sz="4" w:space="0" w:color="auto"/>
              <w:right w:val="single" w:sz="4" w:space="0" w:color="auto"/>
            </w:tcBorders>
            <w:shd w:val="clear" w:color="auto" w:fill="D9D9D9" w:themeFill="background1" w:themeFillShade="D9"/>
            <w:noWrap/>
            <w:vAlign w:val="bottom"/>
            <w:hideMark/>
          </w:tcPr>
          <w:p w14:paraId="1CFCC7B1"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49,736</w:t>
            </w:r>
          </w:p>
        </w:tc>
        <w:tc>
          <w:tcPr>
            <w:tcW w:w="900" w:type="dxa"/>
            <w:tcBorders>
              <w:top w:val="nil"/>
              <w:left w:val="nil"/>
              <w:bottom w:val="single" w:sz="4" w:space="0" w:color="auto"/>
              <w:right w:val="single" w:sz="4" w:space="0" w:color="auto"/>
            </w:tcBorders>
            <w:shd w:val="clear" w:color="auto" w:fill="D9D9D9" w:themeFill="background1" w:themeFillShade="D9"/>
            <w:noWrap/>
            <w:vAlign w:val="bottom"/>
            <w:hideMark/>
          </w:tcPr>
          <w:p w14:paraId="2885A380"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49,736</w:t>
            </w:r>
          </w:p>
        </w:tc>
        <w:tc>
          <w:tcPr>
            <w:tcW w:w="1075" w:type="dxa"/>
            <w:tcBorders>
              <w:top w:val="nil"/>
              <w:left w:val="nil"/>
              <w:bottom w:val="single" w:sz="4" w:space="0" w:color="auto"/>
              <w:right w:val="single" w:sz="4" w:space="0" w:color="auto"/>
            </w:tcBorders>
            <w:shd w:val="clear" w:color="auto" w:fill="D9D9D9" w:themeFill="background1" w:themeFillShade="D9"/>
            <w:noWrap/>
            <w:vAlign w:val="bottom"/>
            <w:hideMark/>
          </w:tcPr>
          <w:p w14:paraId="29DE22F1" w14:textId="77777777" w:rsidR="00B93FD5" w:rsidRPr="003F7F6C" w:rsidRDefault="00B93FD5" w:rsidP="00A925EE">
            <w:pPr>
              <w:jc w:val="right"/>
              <w:rPr>
                <w:rFonts w:asciiTheme="minorHAnsi" w:hAnsiTheme="minorHAnsi"/>
                <w:color w:val="000000"/>
                <w:sz w:val="22"/>
                <w:szCs w:val="22"/>
                <w:lang w:val="es-PY" w:eastAsia="es-ES_tradnl"/>
              </w:rPr>
            </w:pPr>
            <w:r w:rsidRPr="003F7F6C">
              <w:rPr>
                <w:rFonts w:asciiTheme="minorHAnsi" w:hAnsiTheme="minorHAnsi"/>
                <w:color w:val="000000"/>
                <w:sz w:val="22"/>
                <w:szCs w:val="22"/>
                <w:lang w:val="es-PY" w:eastAsia="es-ES_tradnl"/>
              </w:rPr>
              <w:t>298,398</w:t>
            </w:r>
          </w:p>
        </w:tc>
      </w:tr>
    </w:tbl>
    <w:p w14:paraId="7CC1BE9E" w14:textId="77777777" w:rsidR="00B93FD5" w:rsidRPr="003F7F6C" w:rsidRDefault="00B93FD5" w:rsidP="00B93FD5">
      <w:pPr>
        <w:numPr>
          <w:ilvl w:val="12"/>
          <w:numId w:val="0"/>
        </w:numPr>
        <w:tabs>
          <w:tab w:val="left" w:pos="0"/>
        </w:tabs>
        <w:suppressAutoHyphens/>
        <w:rPr>
          <w:rFonts w:asciiTheme="minorHAnsi" w:hAnsiTheme="minorHAnsi"/>
          <w:spacing w:val="-2"/>
          <w:sz w:val="22"/>
          <w:szCs w:val="22"/>
        </w:rPr>
      </w:pPr>
    </w:p>
    <w:p w14:paraId="2FBAB374" w14:textId="77777777" w:rsidR="00B93FD5" w:rsidRPr="003F7F6C" w:rsidRDefault="00B93FD5" w:rsidP="00B93FD5">
      <w:pPr>
        <w:numPr>
          <w:ilvl w:val="12"/>
          <w:numId w:val="0"/>
        </w:numPr>
        <w:tabs>
          <w:tab w:val="left" w:pos="0"/>
        </w:tabs>
        <w:suppressAutoHyphens/>
        <w:rPr>
          <w:rFonts w:asciiTheme="minorHAnsi" w:hAnsiTheme="minorHAnsi"/>
          <w:spacing w:val="-2"/>
          <w:sz w:val="22"/>
          <w:szCs w:val="22"/>
        </w:rPr>
      </w:pPr>
    </w:p>
    <w:p w14:paraId="28832CF4" w14:textId="77777777" w:rsidR="00B93FD5" w:rsidRPr="003F7F6C" w:rsidRDefault="00B93FD5" w:rsidP="00B93FD5">
      <w:pPr>
        <w:numPr>
          <w:ilvl w:val="12"/>
          <w:numId w:val="0"/>
        </w:numPr>
        <w:tabs>
          <w:tab w:val="left" w:pos="0"/>
        </w:tabs>
        <w:suppressAutoHyphens/>
        <w:rPr>
          <w:rFonts w:asciiTheme="minorHAnsi" w:hAnsiTheme="minorHAnsi"/>
          <w:spacing w:val="-2"/>
          <w:sz w:val="22"/>
          <w:szCs w:val="22"/>
        </w:rPr>
      </w:pPr>
    </w:p>
    <w:p w14:paraId="4B604EE0" w14:textId="77777777" w:rsidR="00B93FD5" w:rsidRPr="003F7F6C" w:rsidRDefault="00B93FD5" w:rsidP="00B93FD5">
      <w:pPr>
        <w:tabs>
          <w:tab w:val="left" w:pos="0"/>
          <w:tab w:val="left" w:pos="360"/>
          <w:tab w:val="left" w:pos="720"/>
        </w:tabs>
        <w:suppressAutoHyphens/>
        <w:rPr>
          <w:rFonts w:asciiTheme="minorHAnsi" w:hAnsiTheme="minorHAnsi"/>
          <w:spacing w:val="-2"/>
          <w:sz w:val="22"/>
          <w:szCs w:val="22"/>
        </w:rPr>
      </w:pPr>
      <w:r w:rsidRPr="003F7F6C">
        <w:rPr>
          <w:rFonts w:asciiTheme="minorHAnsi" w:hAnsiTheme="minorHAnsi"/>
          <w:spacing w:val="-2"/>
          <w:sz w:val="22"/>
          <w:szCs w:val="22"/>
        </w:rPr>
        <w:t>4.         The roles and responsibilities of the parties involved:</w:t>
      </w:r>
    </w:p>
    <w:p w14:paraId="48BED718" w14:textId="77777777" w:rsidR="00B93FD5" w:rsidRPr="003F7F6C" w:rsidRDefault="00B93FD5" w:rsidP="00B93FD5">
      <w:pPr>
        <w:tabs>
          <w:tab w:val="left" w:pos="0"/>
          <w:tab w:val="left" w:pos="360"/>
          <w:tab w:val="left" w:pos="720"/>
        </w:tabs>
        <w:suppressAutoHyphens/>
        <w:rPr>
          <w:rFonts w:asciiTheme="minorHAnsi" w:hAnsiTheme="minorHAnsi"/>
          <w:spacing w:val="-2"/>
          <w:sz w:val="22"/>
          <w:szCs w:val="22"/>
        </w:rPr>
      </w:pPr>
    </w:p>
    <w:p w14:paraId="5C4E86E3" w14:textId="77777777" w:rsidR="00B93FD5" w:rsidRPr="003F7F6C" w:rsidRDefault="00B93FD5" w:rsidP="00B93FD5">
      <w:pPr>
        <w:tabs>
          <w:tab w:val="left" w:pos="0"/>
          <w:tab w:val="left" w:pos="360"/>
          <w:tab w:val="left" w:pos="720"/>
        </w:tabs>
        <w:suppressAutoHyphens/>
        <w:rPr>
          <w:rFonts w:asciiTheme="minorHAnsi" w:hAnsiTheme="minorHAnsi"/>
          <w:sz w:val="22"/>
          <w:szCs w:val="22"/>
        </w:rPr>
      </w:pPr>
      <w:r w:rsidRPr="003F7F6C">
        <w:rPr>
          <w:rFonts w:asciiTheme="minorHAnsi" w:hAnsiTheme="minorHAnsi"/>
          <w:spacing w:val="-2"/>
          <w:sz w:val="22"/>
          <w:szCs w:val="22"/>
        </w:rPr>
        <w:t xml:space="preserve">Please refer to Section VIII. Governance and Management Arrangements of the ProDoc for a complete description of the roles and responsibilities of the parties involved. </w:t>
      </w:r>
    </w:p>
    <w:p w14:paraId="17F424C0" w14:textId="7A3D13B7" w:rsidR="00B93FD5" w:rsidRPr="003F7F6C" w:rsidRDefault="00B93FD5" w:rsidP="00B93FD5">
      <w:pPr>
        <w:sectPr w:rsidR="00B93FD5" w:rsidRPr="003F7F6C" w:rsidSect="0096798B">
          <w:pgSz w:w="12240" w:h="15840" w:code="1"/>
          <w:pgMar w:top="1440" w:right="1440" w:bottom="1440" w:left="1440" w:header="720" w:footer="720" w:gutter="0"/>
          <w:cols w:space="720"/>
          <w:docGrid w:linePitch="360"/>
        </w:sectPr>
      </w:pPr>
    </w:p>
    <w:p w14:paraId="636B9C28" w14:textId="26B8BB3F" w:rsidR="00126F7F" w:rsidRPr="003F7F6C" w:rsidRDefault="00126F7F" w:rsidP="00FE690A">
      <w:pPr>
        <w:pStyle w:val="Heading2"/>
        <w:ind w:left="0"/>
        <w:rPr>
          <w:rFonts w:ascii="Calibri" w:hAnsi="Calibri" w:cs="Calibri"/>
        </w:rPr>
      </w:pPr>
      <w:bookmarkStart w:id="77" w:name="_Toc529891433"/>
      <w:r w:rsidRPr="003F7F6C">
        <w:rPr>
          <w:rFonts w:ascii="Calibri" w:hAnsi="Calibri" w:cs="Calibri"/>
        </w:rPr>
        <w:t>A</w:t>
      </w:r>
      <w:r w:rsidR="00FE690A" w:rsidRPr="003F7F6C">
        <w:rPr>
          <w:rFonts w:ascii="Calibri" w:hAnsi="Calibri" w:cs="Calibri"/>
        </w:rPr>
        <w:t>nnex</w:t>
      </w:r>
      <w:r w:rsidRPr="003F7F6C">
        <w:rPr>
          <w:rFonts w:ascii="Calibri" w:hAnsi="Calibri" w:cs="Calibri"/>
        </w:rPr>
        <w:t xml:space="preserve"> </w:t>
      </w:r>
      <w:r w:rsidR="00FE690A" w:rsidRPr="003F7F6C">
        <w:rPr>
          <w:rFonts w:ascii="Calibri" w:hAnsi="Calibri" w:cs="Calibri"/>
        </w:rPr>
        <w:t>K</w:t>
      </w:r>
      <w:r w:rsidRPr="003F7F6C">
        <w:rPr>
          <w:rFonts w:ascii="Calibri" w:hAnsi="Calibri" w:cs="Calibri"/>
        </w:rPr>
        <w:t xml:space="preserve"> :  UNDP Project Quality Assurance Report</w:t>
      </w:r>
      <w:bookmarkEnd w:id="77"/>
      <w:r w:rsidRPr="003F7F6C">
        <w:rPr>
          <w:rFonts w:ascii="Calibri" w:hAnsi="Calibri" w:cs="Calibri"/>
        </w:rPr>
        <w:t xml:space="preserve"> </w:t>
      </w:r>
    </w:p>
    <w:p w14:paraId="32528FE9" w14:textId="77777777" w:rsidR="00126F7F" w:rsidRPr="003F7F6C" w:rsidRDefault="00126F7F" w:rsidP="003F63C4">
      <w:r w:rsidRPr="003F7F6C">
        <w:t>(to be completed in UNDP online corporate planning system by UNDP Country Office, does not need to be attached as separate document)</w:t>
      </w:r>
    </w:p>
    <w:p w14:paraId="2467AE45" w14:textId="77777777" w:rsidR="00FE690A" w:rsidRPr="003F7F6C" w:rsidRDefault="00FE690A" w:rsidP="003F63C4"/>
    <w:p w14:paraId="389551A0" w14:textId="77777777" w:rsidR="00FE690A" w:rsidRPr="003F7F6C" w:rsidRDefault="00FE690A" w:rsidP="003F63C4">
      <w:r w:rsidRPr="003F7F6C">
        <w:br w:type="page"/>
      </w:r>
    </w:p>
    <w:p w14:paraId="536948AE" w14:textId="77777777" w:rsidR="00FE690A" w:rsidRPr="003F7F6C" w:rsidRDefault="00FE690A" w:rsidP="00FE690A">
      <w:pPr>
        <w:pStyle w:val="Heading2"/>
        <w:ind w:left="0"/>
        <w:rPr>
          <w:rFonts w:ascii="Calibri" w:hAnsi="Calibri" w:cs="Calibri"/>
        </w:rPr>
      </w:pPr>
      <w:bookmarkStart w:id="78" w:name="_Toc529891434"/>
      <w:r w:rsidRPr="003F7F6C">
        <w:rPr>
          <w:rFonts w:ascii="Calibri" w:hAnsi="Calibri" w:cs="Calibri"/>
        </w:rPr>
        <w:t>Annex L :  Target Landscapes Profiles and Maps</w:t>
      </w:r>
      <w:bookmarkEnd w:id="78"/>
      <w:r w:rsidRPr="003F7F6C">
        <w:rPr>
          <w:rFonts w:ascii="Calibri" w:hAnsi="Calibri" w:cs="Calibri"/>
        </w:rPr>
        <w:t xml:space="preserve"> </w:t>
      </w:r>
    </w:p>
    <w:p w14:paraId="320C848C" w14:textId="77777777" w:rsidR="005E0527" w:rsidRPr="003F7F6C" w:rsidRDefault="005E0527" w:rsidP="005E0527">
      <w:pPr>
        <w:spacing w:after="240"/>
        <w:rPr>
          <w:rFonts w:cs="Calibri"/>
          <w:szCs w:val="20"/>
        </w:rPr>
      </w:pPr>
    </w:p>
    <w:p w14:paraId="2545BD50" w14:textId="77777777" w:rsidR="005E0527" w:rsidRPr="003F7F6C" w:rsidRDefault="005E0527" w:rsidP="005E0527">
      <w:pPr>
        <w:spacing w:after="240"/>
        <w:rPr>
          <w:rFonts w:cs="Calibri"/>
          <w:b/>
          <w:szCs w:val="20"/>
        </w:rPr>
      </w:pPr>
      <w:r w:rsidRPr="003F7F6C">
        <w:rPr>
          <w:rFonts w:cs="Calibri"/>
          <w:b/>
          <w:szCs w:val="20"/>
        </w:rPr>
        <w:t>PROVINCE OF BUENOS AIRES</w:t>
      </w:r>
    </w:p>
    <w:p w14:paraId="7F7C605A" w14:textId="77777777" w:rsidR="005E0527" w:rsidRPr="003F7F6C" w:rsidRDefault="005E0527" w:rsidP="005E0527">
      <w:pPr>
        <w:shd w:val="clear" w:color="auto" w:fill="FFFFFF"/>
        <w:spacing w:after="240"/>
        <w:rPr>
          <w:rFonts w:eastAsia="Times New Roman" w:cs="Calibri"/>
          <w:b/>
          <w:bCs/>
          <w:szCs w:val="20"/>
          <w:lang w:eastAsia="es-AR"/>
        </w:rPr>
      </w:pPr>
      <w:r w:rsidRPr="003F7F6C">
        <w:rPr>
          <w:rFonts w:eastAsia="Times New Roman" w:cs="Calibri"/>
          <w:b/>
          <w:bCs/>
          <w:szCs w:val="20"/>
          <w:lang w:eastAsia="es-AR"/>
        </w:rPr>
        <w:t xml:space="preserve">1. Parana River Delta </w:t>
      </w:r>
    </w:p>
    <w:p w14:paraId="61896909" w14:textId="77777777" w:rsidR="005E0527" w:rsidRPr="003F7F6C" w:rsidRDefault="005E0527" w:rsidP="005E0527">
      <w:pPr>
        <w:spacing w:after="240"/>
        <w:rPr>
          <w:rFonts w:cs="Calibri"/>
          <w:szCs w:val="20"/>
        </w:rPr>
      </w:pPr>
      <w:r w:rsidRPr="003F7F6C">
        <w:rPr>
          <w:rFonts w:cs="Calibri"/>
          <w:szCs w:val="20"/>
          <w:u w:val="single"/>
        </w:rPr>
        <w:t>Area</w:t>
      </w:r>
      <w:r w:rsidRPr="003F7F6C">
        <w:rPr>
          <w:rFonts w:cs="Calibri"/>
          <w:szCs w:val="20"/>
        </w:rPr>
        <w:t>: 6,300 hectares</w:t>
      </w:r>
    </w:p>
    <w:p w14:paraId="6F8F6059" w14:textId="77777777" w:rsidR="005E0527" w:rsidRPr="003F7F6C" w:rsidRDefault="005E0527" w:rsidP="005E0527">
      <w:pPr>
        <w:spacing w:after="240"/>
        <w:rPr>
          <w:rFonts w:cs="Calibri"/>
          <w:szCs w:val="20"/>
        </w:rPr>
      </w:pPr>
      <w:r w:rsidRPr="003F7F6C">
        <w:rPr>
          <w:rFonts w:cs="Calibri"/>
          <w:szCs w:val="20"/>
          <w:u w:val="single"/>
        </w:rPr>
        <w:t>Ecoregions covered</w:t>
      </w:r>
      <w:r w:rsidRPr="003F7F6C">
        <w:rPr>
          <w:rFonts w:cs="Calibri"/>
          <w:szCs w:val="20"/>
        </w:rPr>
        <w:t xml:space="preserve">: </w:t>
      </w:r>
      <w:r w:rsidRPr="003F7F6C">
        <w:rPr>
          <w:rFonts w:eastAsia="Times New Roman" w:cs="Calibri"/>
          <w:bCs/>
          <w:szCs w:val="20"/>
          <w:lang w:eastAsia="es-AR"/>
        </w:rPr>
        <w:t>Delta and islands of the Parana River</w:t>
      </w:r>
    </w:p>
    <w:p w14:paraId="6A702D9E" w14:textId="77777777" w:rsidR="005E0527" w:rsidRPr="003F7F6C" w:rsidRDefault="005E0527" w:rsidP="005E0527">
      <w:pPr>
        <w:spacing w:after="240"/>
        <w:rPr>
          <w:rFonts w:cs="Calibri"/>
          <w:szCs w:val="20"/>
        </w:rPr>
      </w:pPr>
      <w:r w:rsidRPr="003F7F6C">
        <w:rPr>
          <w:rFonts w:cs="Calibri"/>
          <w:szCs w:val="20"/>
          <w:u w:val="single"/>
        </w:rPr>
        <w:t>Municipalities involved</w:t>
      </w:r>
      <w:r w:rsidRPr="003F7F6C">
        <w:rPr>
          <w:rFonts w:cs="Calibri"/>
          <w:szCs w:val="20"/>
        </w:rPr>
        <w:t>: Campana and San Fernando.</w:t>
      </w:r>
    </w:p>
    <w:p w14:paraId="6C92E6D4" w14:textId="24B7D485" w:rsidR="005E0527" w:rsidRPr="003F7F6C" w:rsidRDefault="005E0527" w:rsidP="005E0527">
      <w:pPr>
        <w:spacing w:after="240"/>
        <w:rPr>
          <w:rFonts w:cs="Calibri"/>
          <w:szCs w:val="20"/>
        </w:rPr>
      </w:pPr>
      <w:r w:rsidRPr="003F7F6C">
        <w:rPr>
          <w:rFonts w:cs="Calibri"/>
          <w:szCs w:val="20"/>
          <w:u w:val="single"/>
        </w:rPr>
        <w:t>Demographic and Socio-economic Description</w:t>
      </w:r>
      <w:r w:rsidRPr="003F7F6C">
        <w:rPr>
          <w:rFonts w:cs="Calibri"/>
          <w:szCs w:val="20"/>
        </w:rPr>
        <w:t>: The insular territories, the islands, as the mosaic of wetlands that make up the region is generally called, under the jurisdictions of the Provinces of Entre Ríos, Buenos Aires and Santa Fe, were and are a place of residence and work of family groups, in small numbers and with very low density that are dedicated to different fluvial and rural activities, mainly fishing, hunting, beekeeping, fruit growing and livestock, with the objectives of subsistence and</w:t>
      </w:r>
      <w:r w:rsidR="00AB529A" w:rsidRPr="003F7F6C">
        <w:rPr>
          <w:rFonts w:cs="Calibri"/>
          <w:szCs w:val="20"/>
        </w:rPr>
        <w:t xml:space="preserve"> provision of agricultural products or services to the urban sites </w:t>
      </w:r>
      <w:r w:rsidRPr="003F7F6C">
        <w:rPr>
          <w:rFonts w:cs="Calibri"/>
          <w:szCs w:val="20"/>
        </w:rPr>
        <w:t xml:space="preserve">in the mainland. Most of the inhabitants living in the Delta and working in the productive activities of the region, do so in precarious living conditions and with poor services infrastructure. Local communities are organized in territorial and water defense associations (assemblies or neighborhood associations), although national-level organizations that work with </w:t>
      </w:r>
      <w:r w:rsidR="009A5967" w:rsidRPr="003F7F6C">
        <w:rPr>
          <w:rFonts w:cs="Calibri"/>
          <w:szCs w:val="20"/>
        </w:rPr>
        <w:t xml:space="preserve">a </w:t>
      </w:r>
      <w:r w:rsidRPr="003F7F6C">
        <w:rPr>
          <w:rFonts w:cs="Calibri"/>
          <w:szCs w:val="20"/>
        </w:rPr>
        <w:t xml:space="preserve">focus on wetland protection </w:t>
      </w:r>
      <w:r w:rsidR="009A5967" w:rsidRPr="003F7F6C">
        <w:rPr>
          <w:rFonts w:cs="Calibri"/>
          <w:szCs w:val="20"/>
        </w:rPr>
        <w:t xml:space="preserve">have been </w:t>
      </w:r>
      <w:r w:rsidRPr="003F7F6C">
        <w:rPr>
          <w:rFonts w:cs="Calibri"/>
          <w:szCs w:val="20"/>
        </w:rPr>
        <w:t xml:space="preserve">identified, such as the Fundación Humedales. Likewise, the Delta Council of Producers (CONPRODEL) </w:t>
      </w:r>
      <w:r w:rsidR="009A5967" w:rsidRPr="003F7F6C">
        <w:rPr>
          <w:rFonts w:cs="Calibri"/>
          <w:szCs w:val="20"/>
        </w:rPr>
        <w:t xml:space="preserve">can be </w:t>
      </w:r>
      <w:r w:rsidRPr="003F7F6C">
        <w:rPr>
          <w:rFonts w:cs="Calibri"/>
          <w:szCs w:val="20"/>
        </w:rPr>
        <w:t>mentioned in this regard.</w:t>
      </w:r>
    </w:p>
    <w:p w14:paraId="6B6B0C4B" w14:textId="52EAA1E6" w:rsidR="005E0527" w:rsidRPr="003F7F6C" w:rsidRDefault="005E0527" w:rsidP="005E0527">
      <w:pPr>
        <w:shd w:val="clear" w:color="auto" w:fill="FFFFFF"/>
        <w:spacing w:after="240"/>
        <w:rPr>
          <w:rFonts w:eastAsia="Times New Roman" w:cs="Calibri"/>
          <w:bCs/>
          <w:szCs w:val="20"/>
          <w:lang w:eastAsia="es-AR"/>
        </w:rPr>
      </w:pPr>
      <w:r w:rsidRPr="003F7F6C">
        <w:rPr>
          <w:rFonts w:cs="Calibri"/>
          <w:szCs w:val="20"/>
          <w:u w:val="single"/>
        </w:rPr>
        <w:t>Environmental Description</w:t>
      </w:r>
      <w:r w:rsidRPr="003F7F6C">
        <w:rPr>
          <w:rFonts w:cs="Calibri"/>
          <w:szCs w:val="20"/>
        </w:rPr>
        <w:t xml:space="preserve">: The Paraná Delta is an immense wetland. As such, in addition to containing a rich biological diversity, it fulfills multiple and essential roles such as aquifer recharge and discharge, flood control, retention of sediments and nutrients, stabilization of coasts, protection against erosion, </w:t>
      </w:r>
      <w:r w:rsidR="00AB529A" w:rsidRPr="003F7F6C">
        <w:rPr>
          <w:rFonts w:cs="Calibri"/>
          <w:szCs w:val="20"/>
        </w:rPr>
        <w:t xml:space="preserve">nursery for fish, </w:t>
      </w:r>
      <w:r w:rsidRPr="003F7F6C">
        <w:rPr>
          <w:rFonts w:cs="Calibri"/>
          <w:szCs w:val="20"/>
        </w:rPr>
        <w:t>regulation of the climate and an extensive list of goods and services for mankind.</w:t>
      </w:r>
      <w:r w:rsidR="00AB529A" w:rsidRPr="003F7F6C">
        <w:rPr>
          <w:rFonts w:eastAsia="Times New Roman" w:cs="Calibri"/>
          <w:bCs/>
          <w:szCs w:val="20"/>
          <w:lang w:eastAsia="es-AR"/>
        </w:rPr>
        <w:t xml:space="preserve"> </w:t>
      </w:r>
      <w:r w:rsidRPr="003F7F6C">
        <w:rPr>
          <w:rFonts w:eastAsia="Times New Roman" w:cs="Calibri"/>
          <w:bCs/>
          <w:szCs w:val="20"/>
          <w:lang w:eastAsia="es-AR"/>
        </w:rPr>
        <w:t>Th</w:t>
      </w:r>
      <w:r w:rsidR="005A68EF" w:rsidRPr="003F7F6C">
        <w:rPr>
          <w:rFonts w:eastAsia="Times New Roman" w:cs="Calibri"/>
          <w:bCs/>
          <w:szCs w:val="20"/>
          <w:lang w:eastAsia="es-AR"/>
        </w:rPr>
        <w:t xml:space="preserve">e geographical location </w:t>
      </w:r>
      <w:r w:rsidR="00AB529A" w:rsidRPr="003F7F6C">
        <w:rPr>
          <w:rFonts w:eastAsia="Times New Roman" w:cs="Calibri"/>
          <w:bCs/>
          <w:szCs w:val="20"/>
          <w:lang w:eastAsia="es-AR"/>
        </w:rPr>
        <w:t>grants the</w:t>
      </w:r>
      <w:r w:rsidRPr="003F7F6C">
        <w:rPr>
          <w:rFonts w:eastAsia="Times New Roman" w:cs="Calibri"/>
          <w:bCs/>
          <w:szCs w:val="20"/>
          <w:lang w:eastAsia="es-AR"/>
        </w:rPr>
        <w:t xml:space="preserve"> PD a particular importance, as it is adjacent to the most consolidated corridor of development and anthropic intervention in the country: </w:t>
      </w:r>
      <w:r w:rsidR="00AA6318" w:rsidRPr="003F7F6C">
        <w:rPr>
          <w:rFonts w:eastAsia="Times New Roman" w:cs="Calibri"/>
          <w:bCs/>
          <w:szCs w:val="20"/>
          <w:lang w:eastAsia="es-AR"/>
        </w:rPr>
        <w:t xml:space="preserve">the </w:t>
      </w:r>
      <w:r w:rsidRPr="003F7F6C">
        <w:rPr>
          <w:rFonts w:eastAsia="Times New Roman" w:cs="Calibri"/>
          <w:bCs/>
          <w:szCs w:val="20"/>
          <w:lang w:eastAsia="es-AR"/>
        </w:rPr>
        <w:t>La Plata / Rosario axis. On the other hand, it is close to the mouth of the Paraná / Plata system, which gives it a particular morphological dynamism emphasized by the</w:t>
      </w:r>
      <w:r w:rsidR="00AB529A" w:rsidRPr="003F7F6C">
        <w:rPr>
          <w:rFonts w:eastAsia="Times New Roman" w:cs="Calibri"/>
          <w:bCs/>
          <w:szCs w:val="20"/>
          <w:lang w:eastAsia="es-AR"/>
        </w:rPr>
        <w:t xml:space="preserve"> Parana-Paraguay Hidrovia, </w:t>
      </w:r>
      <w:r w:rsidRPr="003F7F6C">
        <w:rPr>
          <w:rFonts w:eastAsia="Times New Roman" w:cs="Calibri"/>
          <w:bCs/>
          <w:szCs w:val="20"/>
          <w:lang w:eastAsia="es-AR"/>
        </w:rPr>
        <w:t xml:space="preserve">an increasingly important flow channel, </w:t>
      </w:r>
      <w:r w:rsidR="00AB529A" w:rsidRPr="003F7F6C">
        <w:rPr>
          <w:rFonts w:eastAsia="Times New Roman" w:cs="Calibri"/>
          <w:bCs/>
          <w:szCs w:val="20"/>
          <w:lang w:eastAsia="es-AR"/>
        </w:rPr>
        <w:t xml:space="preserve">which </w:t>
      </w:r>
      <w:r w:rsidRPr="003F7F6C">
        <w:rPr>
          <w:rFonts w:eastAsia="Times New Roman" w:cs="Calibri"/>
          <w:bCs/>
          <w:szCs w:val="20"/>
          <w:lang w:eastAsia="es-AR"/>
        </w:rPr>
        <w:t xml:space="preserve">continuous dredging and maintenance offers a </w:t>
      </w:r>
      <w:r w:rsidR="00AB529A" w:rsidRPr="003F7F6C">
        <w:rPr>
          <w:rFonts w:eastAsia="Times New Roman" w:cs="Calibri"/>
          <w:bCs/>
          <w:szCs w:val="20"/>
          <w:lang w:eastAsia="es-AR"/>
        </w:rPr>
        <w:t xml:space="preserve">hydraulic filling </w:t>
      </w:r>
      <w:r w:rsidRPr="003F7F6C">
        <w:rPr>
          <w:rFonts w:eastAsia="Times New Roman" w:cs="Calibri"/>
          <w:bCs/>
          <w:szCs w:val="20"/>
          <w:lang w:eastAsia="es-AR"/>
        </w:rPr>
        <w:t xml:space="preserve">material that is randomly </w:t>
      </w:r>
      <w:r w:rsidR="00AB529A" w:rsidRPr="003F7F6C">
        <w:rPr>
          <w:rFonts w:eastAsia="Times New Roman" w:cs="Calibri"/>
          <w:bCs/>
          <w:szCs w:val="20"/>
          <w:lang w:eastAsia="es-AR"/>
        </w:rPr>
        <w:t xml:space="preserve">made </w:t>
      </w:r>
      <w:r w:rsidRPr="003F7F6C">
        <w:rPr>
          <w:rFonts w:eastAsia="Times New Roman" w:cs="Calibri"/>
          <w:bCs/>
          <w:szCs w:val="20"/>
          <w:lang w:eastAsia="es-AR"/>
        </w:rPr>
        <w:t>available and according to particular and changing interests.</w:t>
      </w:r>
    </w:p>
    <w:p w14:paraId="04C39661" w14:textId="0777859F" w:rsidR="005E0527" w:rsidRPr="003F7F6C" w:rsidRDefault="005E0527" w:rsidP="005E0527">
      <w:pPr>
        <w:spacing w:after="240"/>
        <w:rPr>
          <w:rFonts w:eastAsia="Times New Roman" w:cs="Calibri"/>
          <w:bCs/>
          <w:szCs w:val="20"/>
          <w:lang w:eastAsia="es-AR"/>
        </w:rPr>
      </w:pPr>
      <w:r w:rsidRPr="003F7F6C">
        <w:rPr>
          <w:rFonts w:cs="Calibri"/>
          <w:szCs w:val="20"/>
        </w:rPr>
        <w:t>The Delta stands out for the intrinsic value of biodiversity and the aesthetic value of the landscape, capacity for flood control, sediment retention and nutrient retention and export. Numerous species of fauna can fully or partially fulfill their life cycle. Many others, coming from neighboring continental areas, move towards it when conditions become unfavorable, turning it into a refuge in times of drought or lack of food. Some of the values ​​of the wetlands are: fishing resources (especially important for the local population), wildlife, fodder, forestry, transport and tourism, as well as an important supply of fresh</w:t>
      </w:r>
      <w:r w:rsidR="00AA7981" w:rsidRPr="003F7F6C">
        <w:rPr>
          <w:rFonts w:cs="Calibri"/>
          <w:szCs w:val="20"/>
        </w:rPr>
        <w:t>water</w:t>
      </w:r>
      <w:r w:rsidRPr="003F7F6C">
        <w:rPr>
          <w:rFonts w:cs="Calibri"/>
          <w:szCs w:val="20"/>
        </w:rPr>
        <w:t xml:space="preserve"> </w:t>
      </w:r>
    </w:p>
    <w:p w14:paraId="5E6CC7E6" w14:textId="0FD2C993" w:rsidR="005E0527" w:rsidRPr="003F7F6C" w:rsidRDefault="005E0527" w:rsidP="005E0527">
      <w:pPr>
        <w:shd w:val="clear" w:color="auto" w:fill="FFFFFF"/>
        <w:spacing w:after="240"/>
        <w:rPr>
          <w:rFonts w:cs="Calibri"/>
          <w:szCs w:val="20"/>
        </w:rPr>
      </w:pPr>
      <w:r w:rsidRPr="003F7F6C">
        <w:rPr>
          <w:rFonts w:eastAsia="Times New Roman" w:cs="Calibri"/>
          <w:bCs/>
          <w:szCs w:val="20"/>
          <w:u w:val="single"/>
          <w:lang w:eastAsia="es-AR"/>
        </w:rPr>
        <w:t>Problems and Threats to BD and LD:</w:t>
      </w:r>
      <w:r w:rsidRPr="003F7F6C">
        <w:rPr>
          <w:rFonts w:eastAsia="Times New Roman" w:cs="Calibri"/>
          <w:bCs/>
          <w:szCs w:val="20"/>
          <w:lang w:eastAsia="es-AR"/>
        </w:rPr>
        <w:t xml:space="preserve"> Unfortunately, the Paraná Delta (DP) has not been an exception in terms of vulnerability to anthropic impacts and a clear example of such actions are the fires originated from the burning of grasslands. They impact on the wetland in direct function to </w:t>
      </w:r>
      <w:r w:rsidR="00AA6318" w:rsidRPr="003F7F6C">
        <w:rPr>
          <w:rFonts w:eastAsia="Times New Roman" w:cs="Calibri"/>
          <w:bCs/>
          <w:szCs w:val="20"/>
          <w:lang w:eastAsia="es-AR"/>
        </w:rPr>
        <w:t>the</w:t>
      </w:r>
      <w:r w:rsidRPr="003F7F6C">
        <w:rPr>
          <w:rFonts w:eastAsia="Times New Roman" w:cs="Calibri"/>
          <w:bCs/>
          <w:szCs w:val="20"/>
          <w:lang w:eastAsia="es-AR"/>
        </w:rPr>
        <w:t xml:space="preserve"> structure and virulence (intensity and extent) of the fire and its recurrence, insofar </w:t>
      </w:r>
      <w:r w:rsidR="00AA6318" w:rsidRPr="003F7F6C">
        <w:rPr>
          <w:rFonts w:eastAsia="Times New Roman" w:cs="Calibri"/>
          <w:bCs/>
          <w:szCs w:val="20"/>
          <w:lang w:eastAsia="es-AR"/>
        </w:rPr>
        <w:t xml:space="preserve">as </w:t>
      </w:r>
      <w:r w:rsidRPr="003F7F6C">
        <w:rPr>
          <w:rFonts w:eastAsia="Times New Roman" w:cs="Calibri"/>
          <w:bCs/>
          <w:szCs w:val="20"/>
          <w:lang w:eastAsia="es-AR"/>
        </w:rPr>
        <w:t>it directly affects the resilience or buffer capacity of the ecosystem.</w:t>
      </w:r>
      <w:r w:rsidRPr="003F7F6C">
        <w:rPr>
          <w:rFonts w:cs="Calibri"/>
          <w:szCs w:val="20"/>
        </w:rPr>
        <w:t xml:space="preserve"> </w:t>
      </w:r>
    </w:p>
    <w:p w14:paraId="0E3DB965" w14:textId="0E0C0012" w:rsidR="005E0527" w:rsidRPr="003F7F6C" w:rsidRDefault="005E0527" w:rsidP="005E0527">
      <w:pPr>
        <w:spacing w:after="240"/>
        <w:rPr>
          <w:rFonts w:cs="Calibri"/>
          <w:szCs w:val="20"/>
        </w:rPr>
      </w:pPr>
      <w:r w:rsidRPr="003F7F6C">
        <w:rPr>
          <w:rFonts w:cs="Calibri"/>
          <w:szCs w:val="20"/>
        </w:rPr>
        <w:t xml:space="preserve">In addition to the productive activities and ways of appropriation developed by the locals, there are new imported practices </w:t>
      </w:r>
      <w:r w:rsidR="00AA6318" w:rsidRPr="003F7F6C">
        <w:rPr>
          <w:rFonts w:cs="Calibri"/>
          <w:szCs w:val="20"/>
        </w:rPr>
        <w:t xml:space="preserve">being carried out in the </w:t>
      </w:r>
      <w:r w:rsidRPr="003F7F6C">
        <w:rPr>
          <w:rFonts w:cs="Calibri"/>
          <w:szCs w:val="20"/>
        </w:rPr>
        <w:t xml:space="preserve">terrestrial ecosystems that threaten the ecosystem´s ecological integrity, such as the integration of </w:t>
      </w:r>
      <w:r w:rsidR="00AA6318" w:rsidRPr="003F7F6C">
        <w:rPr>
          <w:rFonts w:cs="Calibri"/>
          <w:szCs w:val="20"/>
        </w:rPr>
        <w:t xml:space="preserve">exotic </w:t>
      </w:r>
      <w:r w:rsidRPr="003F7F6C">
        <w:rPr>
          <w:rFonts w:cs="Calibri"/>
          <w:szCs w:val="20"/>
        </w:rPr>
        <w:t>flora and fauna species , the construction of flood "defense" slopes, the alteration of the natural height due to filling up, modification and creation of water bodies and building of closed urbanizations, among others.</w:t>
      </w:r>
    </w:p>
    <w:p w14:paraId="70FE0E50" w14:textId="2CCEB05A" w:rsidR="005E0527" w:rsidRPr="003F7F6C" w:rsidRDefault="005E0527" w:rsidP="005E0527">
      <w:pPr>
        <w:spacing w:after="240"/>
        <w:rPr>
          <w:rFonts w:cs="Calibri"/>
          <w:szCs w:val="20"/>
        </w:rPr>
      </w:pPr>
      <w:r w:rsidRPr="003F7F6C">
        <w:rPr>
          <w:rFonts w:cs="Calibri"/>
          <w:szCs w:val="20"/>
          <w:u w:val="single"/>
        </w:rPr>
        <w:t>OAT processes</w:t>
      </w:r>
      <w:r w:rsidRPr="003F7F6C">
        <w:rPr>
          <w:rFonts w:cs="Calibri"/>
          <w:szCs w:val="20"/>
        </w:rPr>
        <w:t>: OPDS is carrying out the project "Elaboration of the Province of Buenos Aires Wetland Inventory 2018/2019". It is worth mentioning the work and background of the Draft Law</w:t>
      </w:r>
      <w:r w:rsidR="00F84135" w:rsidRPr="003F7F6C">
        <w:rPr>
          <w:rFonts w:cs="Calibri"/>
          <w:szCs w:val="20"/>
        </w:rPr>
        <w:t>:</w:t>
      </w:r>
      <w:r w:rsidRPr="003F7F6C">
        <w:rPr>
          <w:rFonts w:cs="Calibri"/>
          <w:szCs w:val="20"/>
        </w:rPr>
        <w:t xml:space="preserve"> "Conservation and environmental management of the Delta territory of the Province of Buenos Aires" prepared by the Directorate of Territorial Environmental Management of this Agency, from which guidelines can be drawn for the formulation of future actions to </w:t>
      </w:r>
      <w:r w:rsidR="00F84135" w:rsidRPr="003F7F6C">
        <w:rPr>
          <w:rFonts w:cs="Calibri"/>
          <w:szCs w:val="20"/>
        </w:rPr>
        <w:t>implement</w:t>
      </w:r>
      <w:r w:rsidRPr="003F7F6C">
        <w:rPr>
          <w:rFonts w:cs="Calibri"/>
          <w:szCs w:val="20"/>
        </w:rPr>
        <w:t>.</w:t>
      </w:r>
    </w:p>
    <w:p w14:paraId="5D77FCDC" w14:textId="77777777" w:rsidR="005E0527" w:rsidRPr="003F7F6C" w:rsidRDefault="005E0527" w:rsidP="005E0527">
      <w:pPr>
        <w:spacing w:after="240"/>
        <w:rPr>
          <w:rFonts w:cs="Calibri"/>
          <w:szCs w:val="20"/>
        </w:rPr>
      </w:pPr>
    </w:p>
    <w:p w14:paraId="5F2C700B" w14:textId="77777777" w:rsidR="005E0527" w:rsidRPr="003F7F6C" w:rsidRDefault="005E0527" w:rsidP="005E0527">
      <w:pPr>
        <w:shd w:val="clear" w:color="auto" w:fill="FFFFFF"/>
        <w:spacing w:after="240"/>
        <w:rPr>
          <w:rFonts w:eastAsia="Times New Roman" w:cs="Calibri"/>
          <w:b/>
          <w:bCs/>
          <w:szCs w:val="20"/>
          <w:lang w:eastAsia="es-AR"/>
        </w:rPr>
      </w:pPr>
      <w:r w:rsidRPr="003F7F6C">
        <w:rPr>
          <w:rFonts w:eastAsia="Times New Roman" w:cs="Calibri"/>
          <w:b/>
          <w:bCs/>
          <w:szCs w:val="20"/>
          <w:lang w:eastAsia="es-AR"/>
        </w:rPr>
        <w:t xml:space="preserve">2. Riverine Forests, Eastern “Talares” and Samborombon Bay. </w:t>
      </w:r>
    </w:p>
    <w:p w14:paraId="46D333F5" w14:textId="77777777" w:rsidR="005E0527" w:rsidRPr="003F7F6C" w:rsidRDefault="005E0527" w:rsidP="005E0527">
      <w:pPr>
        <w:spacing w:after="240"/>
        <w:rPr>
          <w:rFonts w:cs="Calibri"/>
          <w:szCs w:val="20"/>
        </w:rPr>
      </w:pPr>
      <w:r w:rsidRPr="003F7F6C">
        <w:rPr>
          <w:rFonts w:cs="Calibri"/>
          <w:szCs w:val="20"/>
          <w:u w:val="single"/>
        </w:rPr>
        <w:t>Area</w:t>
      </w:r>
      <w:r w:rsidRPr="003F7F6C">
        <w:rPr>
          <w:rFonts w:cs="Calibri"/>
          <w:szCs w:val="20"/>
        </w:rPr>
        <w:t>: 275,000 hectares</w:t>
      </w:r>
    </w:p>
    <w:p w14:paraId="2F7D0F4D" w14:textId="77777777" w:rsidR="005E0527" w:rsidRPr="003F7F6C" w:rsidRDefault="005E0527" w:rsidP="005E0527">
      <w:pPr>
        <w:spacing w:after="240"/>
        <w:rPr>
          <w:rFonts w:cs="Calibri"/>
          <w:szCs w:val="20"/>
        </w:rPr>
      </w:pPr>
      <w:r w:rsidRPr="003F7F6C">
        <w:rPr>
          <w:rFonts w:cs="Calibri"/>
          <w:szCs w:val="20"/>
          <w:u w:val="single"/>
        </w:rPr>
        <w:t>Ecoregions covered</w:t>
      </w:r>
      <w:r w:rsidRPr="003F7F6C">
        <w:rPr>
          <w:rFonts w:cs="Calibri"/>
          <w:szCs w:val="20"/>
        </w:rPr>
        <w:t xml:space="preserve">: </w:t>
      </w:r>
      <w:r w:rsidRPr="003F7F6C">
        <w:rPr>
          <w:rFonts w:eastAsia="Times New Roman" w:cs="Calibri"/>
          <w:bCs/>
          <w:szCs w:val="20"/>
          <w:lang w:eastAsia="es-AR"/>
        </w:rPr>
        <w:t>Pampas</w:t>
      </w:r>
    </w:p>
    <w:p w14:paraId="6BC0D9E2" w14:textId="77777777" w:rsidR="005E0527" w:rsidRPr="003F7F6C" w:rsidRDefault="005E0527" w:rsidP="005E0527">
      <w:pPr>
        <w:spacing w:after="240"/>
        <w:rPr>
          <w:rFonts w:cs="Calibri"/>
          <w:szCs w:val="20"/>
        </w:rPr>
      </w:pPr>
      <w:r w:rsidRPr="003F7F6C">
        <w:rPr>
          <w:rFonts w:cs="Calibri"/>
          <w:szCs w:val="20"/>
          <w:u w:val="single"/>
        </w:rPr>
        <w:t>Municipalities involved</w:t>
      </w:r>
      <w:r w:rsidRPr="003F7F6C">
        <w:rPr>
          <w:rFonts w:cs="Calibri"/>
          <w:szCs w:val="20"/>
        </w:rPr>
        <w:t>: Magdalena, Punta Indio, Chascomús, Lezama and Castelli.</w:t>
      </w:r>
    </w:p>
    <w:p w14:paraId="607395EE" w14:textId="4D25CB20" w:rsidR="005E0527" w:rsidRPr="003F7F6C" w:rsidRDefault="005E0527" w:rsidP="005E0527">
      <w:pPr>
        <w:spacing w:after="240"/>
        <w:rPr>
          <w:rFonts w:eastAsia="Times New Roman" w:cs="Calibri"/>
          <w:szCs w:val="20"/>
          <w:lang w:eastAsia="es-AR"/>
        </w:rPr>
      </w:pPr>
      <w:r w:rsidRPr="003F7F6C">
        <w:rPr>
          <w:rFonts w:cs="Calibri"/>
          <w:szCs w:val="20"/>
          <w:u w:val="single"/>
        </w:rPr>
        <w:t>Demographic and Socio-economic Description</w:t>
      </w:r>
      <w:r w:rsidRPr="003F7F6C">
        <w:rPr>
          <w:rFonts w:cs="Calibri"/>
          <w:szCs w:val="20"/>
        </w:rPr>
        <w:t xml:space="preserve">:  Attention must be paid to the rural landowners in the fields located between the peri-urban and agricultural interface, since their land contains the largest area with this type of vegetation. In this area, it is important to work jointly with the Félix de Azara Foundation, which has extensive experience </w:t>
      </w:r>
      <w:r w:rsidR="00F84135" w:rsidRPr="003F7F6C">
        <w:rPr>
          <w:rFonts w:cs="Calibri"/>
          <w:szCs w:val="20"/>
        </w:rPr>
        <w:t xml:space="preserve">working </w:t>
      </w:r>
      <w:r w:rsidRPr="003F7F6C">
        <w:rPr>
          <w:rFonts w:cs="Calibri"/>
          <w:szCs w:val="20"/>
        </w:rPr>
        <w:t>on the subject, besides articulating with the provincial and grassroots stakeholders.</w:t>
      </w:r>
    </w:p>
    <w:p w14:paraId="4D4BBBC7" w14:textId="0729E8F4" w:rsidR="005E0527" w:rsidRPr="003F7F6C" w:rsidRDefault="005E0527" w:rsidP="005E0527">
      <w:pPr>
        <w:shd w:val="clear" w:color="auto" w:fill="FFFFFF"/>
        <w:spacing w:after="240"/>
        <w:rPr>
          <w:rFonts w:cs="Calibri"/>
          <w:szCs w:val="20"/>
        </w:rPr>
      </w:pPr>
      <w:r w:rsidRPr="003F7F6C">
        <w:rPr>
          <w:rFonts w:cs="Calibri"/>
          <w:szCs w:val="20"/>
          <w:u w:val="single"/>
        </w:rPr>
        <w:t>Environmental Description / Problems and threats to BD and LD</w:t>
      </w:r>
      <w:r w:rsidRPr="003F7F6C">
        <w:rPr>
          <w:rFonts w:cs="Calibri"/>
          <w:szCs w:val="20"/>
        </w:rPr>
        <w:t>: The pilot site includes tala forests (</w:t>
      </w:r>
      <w:r w:rsidRPr="003F7F6C">
        <w:rPr>
          <w:rFonts w:cs="Calibri"/>
          <w:i/>
          <w:szCs w:val="20"/>
        </w:rPr>
        <w:t>Celtis tala</w:t>
      </w:r>
      <w:r w:rsidRPr="003F7F6C">
        <w:rPr>
          <w:rFonts w:cs="Calibri"/>
          <w:szCs w:val="20"/>
        </w:rPr>
        <w:t>) that are distributed in the southeast of the province along the coast following the shell cordons and the forest formations of the soils with wavy relief entering the continent (eastern talares).</w:t>
      </w:r>
    </w:p>
    <w:p w14:paraId="6D6FA5D8" w14:textId="16A28C5C" w:rsidR="005E0527" w:rsidRPr="003F7F6C" w:rsidRDefault="005E0527" w:rsidP="005E0527">
      <w:pPr>
        <w:shd w:val="clear" w:color="auto" w:fill="FFFFFF"/>
        <w:spacing w:after="240"/>
        <w:rPr>
          <w:rFonts w:eastAsia="Times New Roman" w:cs="Calibri"/>
          <w:bCs/>
          <w:szCs w:val="20"/>
          <w:lang w:eastAsia="es-AR"/>
        </w:rPr>
      </w:pPr>
      <w:r w:rsidRPr="003F7F6C">
        <w:rPr>
          <w:rFonts w:eastAsia="Times New Roman" w:cs="Calibri"/>
          <w:bCs/>
          <w:szCs w:val="20"/>
          <w:lang w:eastAsia="es-AR"/>
        </w:rPr>
        <w:t>This area was selected not only because it is a strategic ecosystem due to its biodiversity, but also because of the provision of fresh water contained in the shell cordons of the Samborombón Bay wetland. This ecosystem good has diminished since extraction started at the beginning of the 20th century to such an extent that it affects the water supply sustainability of the area. The size of the removed water reserves (0.68 hm</w:t>
      </w:r>
      <w:r w:rsidRPr="003F7F6C">
        <w:rPr>
          <w:rFonts w:eastAsia="Times New Roman" w:cs="Calibri"/>
          <w:bCs/>
          <w:szCs w:val="20"/>
          <w:vertAlign w:val="superscript"/>
          <w:lang w:eastAsia="es-AR"/>
        </w:rPr>
        <w:t>3</w:t>
      </w:r>
      <w:r w:rsidRPr="003F7F6C">
        <w:rPr>
          <w:rFonts w:eastAsia="Times New Roman" w:cs="Calibri"/>
          <w:bCs/>
          <w:szCs w:val="20"/>
          <w:lang w:eastAsia="es-AR"/>
        </w:rPr>
        <w:t xml:space="preserve">) is significant for the environmental conditions of the region; taking into account that for a consumption of 200 L / inhabitant / day, it would have been enough to supply  a population of over 9000 inhabitants </w:t>
      </w:r>
      <w:r w:rsidR="000F08E2" w:rsidRPr="003F7F6C">
        <w:rPr>
          <w:rFonts w:eastAsia="Times New Roman" w:cs="Calibri"/>
          <w:bCs/>
          <w:szCs w:val="20"/>
          <w:lang w:eastAsia="es-AR"/>
        </w:rPr>
        <w:t xml:space="preserve">for 1 year </w:t>
      </w:r>
      <w:r w:rsidRPr="003F7F6C">
        <w:rPr>
          <w:rFonts w:eastAsia="Times New Roman" w:cs="Calibri"/>
          <w:bCs/>
          <w:szCs w:val="20"/>
          <w:lang w:eastAsia="es-AR"/>
        </w:rPr>
        <w:t>(Tejada et al., 2011).</w:t>
      </w:r>
    </w:p>
    <w:p w14:paraId="6F3A4687" w14:textId="182E7DEE" w:rsidR="005E0527" w:rsidRPr="003F7F6C" w:rsidRDefault="005E0527" w:rsidP="005E0527">
      <w:pPr>
        <w:autoSpaceDE w:val="0"/>
        <w:autoSpaceDN w:val="0"/>
        <w:adjustRightInd w:val="0"/>
        <w:spacing w:after="240"/>
        <w:rPr>
          <w:rFonts w:eastAsia="Times New Roman" w:cs="Calibri"/>
          <w:szCs w:val="20"/>
          <w:lang w:eastAsia="es-AR"/>
        </w:rPr>
      </w:pPr>
      <w:r w:rsidRPr="003F7F6C">
        <w:rPr>
          <w:rFonts w:eastAsia="Times New Roman" w:cs="Calibri"/>
          <w:szCs w:val="20"/>
          <w:lang w:eastAsia="es-AR"/>
        </w:rPr>
        <w:t xml:space="preserve">In addition, it is considered to be of strategic ecological value due to the interaction between the </w:t>
      </w:r>
      <w:r w:rsidRPr="003F7F6C">
        <w:rPr>
          <w:rFonts w:eastAsia="Times New Roman" w:cs="Calibri"/>
          <w:i/>
          <w:szCs w:val="20"/>
          <w:lang w:eastAsia="es-AR"/>
        </w:rPr>
        <w:t>tala</w:t>
      </w:r>
      <w:r w:rsidRPr="003F7F6C">
        <w:rPr>
          <w:rFonts w:eastAsia="Times New Roman" w:cs="Calibri"/>
          <w:szCs w:val="20"/>
          <w:lang w:eastAsia="es-AR"/>
        </w:rPr>
        <w:t xml:space="preserve"> forests and wetlands, </w:t>
      </w:r>
      <w:r w:rsidR="000F08E2" w:rsidRPr="003F7F6C">
        <w:rPr>
          <w:rFonts w:eastAsia="Times New Roman" w:cs="Calibri"/>
          <w:szCs w:val="20"/>
          <w:lang w:eastAsia="es-AR"/>
        </w:rPr>
        <w:t xml:space="preserve">given that </w:t>
      </w:r>
      <w:r w:rsidRPr="003F7F6C">
        <w:rPr>
          <w:rFonts w:eastAsia="Times New Roman" w:cs="Calibri"/>
          <w:szCs w:val="20"/>
          <w:lang w:eastAsia="es-AR"/>
        </w:rPr>
        <w:t xml:space="preserve">a synergy between them takes place. Some authors refer to this as: "joint productions" that are inseparable in most processes of nature (Turner et al., 2003). The forests that settle on the shell cordons perform a role of immobilization of the substrate and preservation of forms of the relief that are added to other ecosystem services (Morello J., 2006) regulation of hydrological systems, cycling of nutrients and climate. Shell mining activities, the proliferation of exotic species (plants and animals) and the substitution of </w:t>
      </w:r>
      <w:r w:rsidRPr="003F7F6C">
        <w:rPr>
          <w:rFonts w:eastAsia="Times New Roman" w:cs="Calibri"/>
          <w:i/>
          <w:szCs w:val="20"/>
          <w:lang w:eastAsia="es-AR"/>
        </w:rPr>
        <w:t>talares</w:t>
      </w:r>
      <w:r w:rsidRPr="003F7F6C">
        <w:rPr>
          <w:rFonts w:eastAsia="Times New Roman" w:cs="Calibri"/>
          <w:szCs w:val="20"/>
          <w:lang w:eastAsia="es-AR"/>
        </w:rPr>
        <w:t xml:space="preserve"> to give rise to pastures and crop agriculture, with secondary or associated effects; as </w:t>
      </w:r>
      <w:r w:rsidR="000F08E2" w:rsidRPr="003F7F6C">
        <w:rPr>
          <w:rFonts w:eastAsia="Times New Roman" w:cs="Calibri"/>
          <w:szCs w:val="20"/>
          <w:lang w:eastAsia="es-AR"/>
        </w:rPr>
        <w:t xml:space="preserve">well as </w:t>
      </w:r>
      <w:r w:rsidRPr="003F7F6C">
        <w:rPr>
          <w:rFonts w:eastAsia="Times New Roman" w:cs="Calibri"/>
          <w:szCs w:val="20"/>
          <w:lang w:eastAsia="es-AR"/>
        </w:rPr>
        <w:t>the harmful application of agrochemicals on the</w:t>
      </w:r>
      <w:r w:rsidRPr="003F7F6C">
        <w:rPr>
          <w:rFonts w:eastAsia="Times New Roman" w:cs="Calibri"/>
          <w:i/>
          <w:szCs w:val="20"/>
          <w:lang w:eastAsia="es-AR"/>
        </w:rPr>
        <w:t xml:space="preserve"> tala</w:t>
      </w:r>
      <w:r w:rsidRPr="003F7F6C">
        <w:rPr>
          <w:rFonts w:eastAsia="Times New Roman" w:cs="Calibri"/>
          <w:szCs w:val="20"/>
          <w:lang w:eastAsia="es-AR"/>
        </w:rPr>
        <w:t xml:space="preserve"> forests and the exploitation of firewood are some threats on the tala forests (Merida and ot., 2006).</w:t>
      </w:r>
    </w:p>
    <w:p w14:paraId="29B09B03" w14:textId="3591598A" w:rsidR="005E0527" w:rsidRPr="003F7F6C" w:rsidRDefault="005E0527" w:rsidP="005E0527">
      <w:pPr>
        <w:autoSpaceDE w:val="0"/>
        <w:autoSpaceDN w:val="0"/>
        <w:adjustRightInd w:val="0"/>
        <w:spacing w:after="240"/>
        <w:rPr>
          <w:rFonts w:eastAsia="Times New Roman" w:cs="Calibri"/>
          <w:szCs w:val="20"/>
          <w:lang w:eastAsia="es-AR"/>
        </w:rPr>
      </w:pPr>
      <w:r w:rsidRPr="003F7F6C">
        <w:rPr>
          <w:rFonts w:eastAsia="Times New Roman" w:cs="Calibri"/>
          <w:szCs w:val="20"/>
          <w:lang w:eastAsia="es-AR"/>
        </w:rPr>
        <w:t xml:space="preserve">The tala forest is most related to the urban progress of the province of Buenos Aires, </w:t>
      </w:r>
      <w:r w:rsidR="000F08E2" w:rsidRPr="003F7F6C">
        <w:rPr>
          <w:rFonts w:eastAsia="Times New Roman" w:cs="Calibri"/>
          <w:szCs w:val="20"/>
          <w:lang w:eastAsia="es-AR"/>
        </w:rPr>
        <w:t xml:space="preserve">with </w:t>
      </w:r>
      <w:r w:rsidRPr="003F7F6C">
        <w:rPr>
          <w:rFonts w:eastAsia="Times New Roman" w:cs="Calibri"/>
          <w:szCs w:val="20"/>
          <w:lang w:eastAsia="es-AR"/>
        </w:rPr>
        <w:t xml:space="preserve"> the </w:t>
      </w:r>
      <w:r w:rsidRPr="003F7F6C">
        <w:rPr>
          <w:rFonts w:eastAsia="Times New Roman" w:cs="Calibri"/>
          <w:i/>
          <w:szCs w:val="20"/>
          <w:lang w:eastAsia="es-AR"/>
        </w:rPr>
        <w:t xml:space="preserve">talares </w:t>
      </w:r>
      <w:r w:rsidRPr="003F7F6C">
        <w:rPr>
          <w:rFonts w:eastAsia="Times New Roman" w:cs="Calibri"/>
          <w:szCs w:val="20"/>
          <w:lang w:eastAsia="es-AR"/>
        </w:rPr>
        <w:t xml:space="preserve">of ravine </w:t>
      </w:r>
      <w:r w:rsidR="000F08E2" w:rsidRPr="003F7F6C">
        <w:rPr>
          <w:rFonts w:eastAsia="Times New Roman" w:cs="Calibri"/>
          <w:szCs w:val="20"/>
          <w:lang w:eastAsia="es-AR"/>
        </w:rPr>
        <w:t xml:space="preserve">being </w:t>
      </w:r>
      <w:r w:rsidRPr="003F7F6C">
        <w:rPr>
          <w:rFonts w:eastAsia="Times New Roman" w:cs="Calibri"/>
          <w:szCs w:val="20"/>
          <w:lang w:eastAsia="es-AR"/>
        </w:rPr>
        <w:t xml:space="preserve">the most fragmented; however, the </w:t>
      </w:r>
      <w:r w:rsidRPr="003F7F6C">
        <w:rPr>
          <w:rFonts w:eastAsia="Times New Roman" w:cs="Calibri"/>
          <w:i/>
          <w:szCs w:val="20"/>
          <w:lang w:eastAsia="es-AR"/>
        </w:rPr>
        <w:t>talares</w:t>
      </w:r>
      <w:r w:rsidRPr="003F7F6C">
        <w:rPr>
          <w:rFonts w:eastAsia="Times New Roman" w:cs="Calibri"/>
          <w:szCs w:val="20"/>
          <w:lang w:eastAsia="es-AR"/>
        </w:rPr>
        <w:t xml:space="preserve"> of packsaddle are increasingly threatened by the extraction of shells. These native forested formations, where </w:t>
      </w:r>
      <w:r w:rsidRPr="003F7F6C">
        <w:rPr>
          <w:rFonts w:eastAsia="Times New Roman" w:cs="Calibri"/>
          <w:i/>
          <w:szCs w:val="20"/>
          <w:lang w:eastAsia="es-AR"/>
        </w:rPr>
        <w:t>Celtis tala</w:t>
      </w:r>
      <w:r w:rsidRPr="003F7F6C">
        <w:rPr>
          <w:rFonts w:eastAsia="Times New Roman" w:cs="Calibri"/>
          <w:szCs w:val="20"/>
          <w:lang w:eastAsia="es-AR"/>
        </w:rPr>
        <w:t xml:space="preserve"> predominates, associated with different plant species, serve as habitat for numerous species and, together with their associated habitats (wetlands), make up the area with the greatest diversity in the province (Athor et al., 2004).</w:t>
      </w:r>
    </w:p>
    <w:p w14:paraId="273E3AFC" w14:textId="56AA4135" w:rsidR="005E0527" w:rsidRPr="003F7F6C" w:rsidRDefault="005E0527" w:rsidP="005E0527">
      <w:pPr>
        <w:spacing w:after="240"/>
        <w:rPr>
          <w:rFonts w:cs="Calibri"/>
          <w:b/>
          <w:szCs w:val="20"/>
        </w:rPr>
      </w:pPr>
    </w:p>
    <w:p w14:paraId="5C94779A" w14:textId="46BD379F" w:rsidR="00E75DC7" w:rsidRPr="003F7F6C" w:rsidRDefault="00E75DC7" w:rsidP="005E0527">
      <w:pPr>
        <w:spacing w:after="240"/>
        <w:rPr>
          <w:rFonts w:cs="Calibri"/>
          <w:b/>
          <w:szCs w:val="20"/>
        </w:rPr>
      </w:pPr>
    </w:p>
    <w:p w14:paraId="640B9F15" w14:textId="2CE2DE0B" w:rsidR="00E75DC7" w:rsidRPr="003F7F6C" w:rsidRDefault="00E75DC7" w:rsidP="005E0527">
      <w:pPr>
        <w:spacing w:after="240"/>
        <w:rPr>
          <w:rFonts w:cs="Calibri"/>
          <w:b/>
          <w:szCs w:val="20"/>
        </w:rPr>
      </w:pPr>
    </w:p>
    <w:p w14:paraId="166D17AD" w14:textId="77777777" w:rsidR="00E75DC7" w:rsidRPr="003F7F6C" w:rsidRDefault="00E75DC7" w:rsidP="005E0527">
      <w:pPr>
        <w:spacing w:after="240"/>
        <w:rPr>
          <w:rFonts w:cs="Calibri"/>
          <w:b/>
          <w:szCs w:val="20"/>
        </w:rPr>
      </w:pPr>
    </w:p>
    <w:p w14:paraId="1969A533" w14:textId="77777777" w:rsidR="005E0527" w:rsidRPr="003F7F6C" w:rsidRDefault="005E0527" w:rsidP="005E0527">
      <w:pPr>
        <w:shd w:val="clear" w:color="auto" w:fill="FFFFFF"/>
        <w:spacing w:after="240"/>
        <w:rPr>
          <w:rFonts w:eastAsia="Times New Roman" w:cs="Calibri"/>
          <w:b/>
          <w:bCs/>
          <w:szCs w:val="20"/>
          <w:lang w:eastAsia="es-AR"/>
        </w:rPr>
      </w:pPr>
      <w:r w:rsidRPr="003F7F6C">
        <w:rPr>
          <w:rFonts w:eastAsia="Times New Roman" w:cs="Calibri"/>
          <w:b/>
          <w:bCs/>
          <w:szCs w:val="20"/>
          <w:lang w:eastAsia="es-AR"/>
        </w:rPr>
        <w:t>3. Southwestern Buenos Aires</w:t>
      </w:r>
    </w:p>
    <w:p w14:paraId="04F34C3B" w14:textId="77777777" w:rsidR="005E0527" w:rsidRPr="003F7F6C" w:rsidRDefault="005E0527" w:rsidP="005E0527">
      <w:pPr>
        <w:spacing w:after="240"/>
        <w:rPr>
          <w:rFonts w:cs="Calibri"/>
          <w:szCs w:val="20"/>
        </w:rPr>
      </w:pPr>
      <w:r w:rsidRPr="003F7F6C">
        <w:rPr>
          <w:rFonts w:cs="Calibri"/>
          <w:szCs w:val="20"/>
          <w:u w:val="single"/>
        </w:rPr>
        <w:t>Area</w:t>
      </w:r>
      <w:r w:rsidRPr="003F7F6C">
        <w:rPr>
          <w:rFonts w:cs="Calibri"/>
          <w:szCs w:val="20"/>
        </w:rPr>
        <w:t>: 180,400 hectares</w:t>
      </w:r>
    </w:p>
    <w:p w14:paraId="04C0177A" w14:textId="77777777" w:rsidR="005E0527" w:rsidRPr="003F7F6C" w:rsidRDefault="005E0527" w:rsidP="005E0527">
      <w:pPr>
        <w:spacing w:after="240"/>
        <w:rPr>
          <w:rFonts w:cs="Calibri"/>
          <w:szCs w:val="20"/>
        </w:rPr>
      </w:pPr>
      <w:r w:rsidRPr="003F7F6C">
        <w:rPr>
          <w:rFonts w:cs="Calibri"/>
          <w:szCs w:val="20"/>
          <w:u w:val="single"/>
        </w:rPr>
        <w:t>Ecoregions covered</w:t>
      </w:r>
      <w:r w:rsidRPr="003F7F6C">
        <w:rPr>
          <w:rFonts w:cs="Calibri"/>
          <w:szCs w:val="20"/>
        </w:rPr>
        <w:t>: Espinal</w:t>
      </w:r>
    </w:p>
    <w:p w14:paraId="585164F5" w14:textId="77777777" w:rsidR="005E0527" w:rsidRPr="003F7F6C" w:rsidRDefault="005E0527" w:rsidP="005E0527">
      <w:pPr>
        <w:spacing w:after="240"/>
        <w:rPr>
          <w:rFonts w:cs="Calibri"/>
          <w:szCs w:val="20"/>
        </w:rPr>
      </w:pPr>
      <w:r w:rsidRPr="003F7F6C">
        <w:rPr>
          <w:rFonts w:cs="Calibri"/>
          <w:szCs w:val="20"/>
          <w:u w:val="single"/>
        </w:rPr>
        <w:t>Municipalities involved</w:t>
      </w:r>
      <w:r w:rsidRPr="003F7F6C">
        <w:rPr>
          <w:rFonts w:cs="Calibri"/>
          <w:szCs w:val="20"/>
        </w:rPr>
        <w:t>: Villarino and Carmen de Patagones.</w:t>
      </w:r>
    </w:p>
    <w:p w14:paraId="459AE957" w14:textId="28BB0C94" w:rsidR="005E0527" w:rsidRPr="003F7F6C" w:rsidRDefault="005E0527" w:rsidP="005E0527">
      <w:pPr>
        <w:spacing w:after="240"/>
        <w:rPr>
          <w:rFonts w:cs="Calibri"/>
          <w:szCs w:val="20"/>
        </w:rPr>
      </w:pPr>
      <w:r w:rsidRPr="003F7F6C">
        <w:rPr>
          <w:rFonts w:cs="Calibri"/>
          <w:szCs w:val="20"/>
          <w:u w:val="single"/>
        </w:rPr>
        <w:t>Demographic and Socio-economic Description</w:t>
      </w:r>
      <w:r w:rsidRPr="003F7F6C">
        <w:rPr>
          <w:rFonts w:cs="Calibri"/>
          <w:szCs w:val="20"/>
        </w:rPr>
        <w:t xml:space="preserve">: This site covers the municipalities of Villarino with 31,162 inhabitants of which 15,818 are men and 15,344 are women and Carmen de Patagones with 30,446 inhabitants of which 15,179 are men and 15,267 are women. It is an essentially agricultural region. These two municipalities have approximately 1500 farming facilities, according to the national agricultural census </w:t>
      </w:r>
      <w:r w:rsidR="000B1F24" w:rsidRPr="003F7F6C">
        <w:rPr>
          <w:rFonts w:cs="Calibri"/>
          <w:szCs w:val="20"/>
        </w:rPr>
        <w:t xml:space="preserve">of </w:t>
      </w:r>
      <w:r w:rsidRPr="003F7F6C">
        <w:rPr>
          <w:rFonts w:cs="Calibri"/>
          <w:szCs w:val="20"/>
        </w:rPr>
        <w:t xml:space="preserve">2008, which represent an amount of 1,730,129 hectares. The area is characterized by an agrarian social structure historically dominated by family units. In terms of agricultural production, the region is an important producer of winter cereals. Wheat is absolutely the main crop in the region. However, this area is essentially </w:t>
      </w:r>
      <w:r w:rsidR="00AA7981" w:rsidRPr="003F7F6C">
        <w:rPr>
          <w:rFonts w:cs="Calibri"/>
          <w:szCs w:val="20"/>
        </w:rPr>
        <w:t xml:space="preserve">suited </w:t>
      </w:r>
      <w:r w:rsidRPr="003F7F6C">
        <w:rPr>
          <w:rFonts w:cs="Calibri"/>
          <w:szCs w:val="20"/>
        </w:rPr>
        <w:t xml:space="preserve">for livestock and agriculture is carried out on marginal lands, which are highly vulnerable to wind erosion and drought, where the agricultural risk grows from north to south and from east to west. There are clear signs that there is a significant reduction in the number of agricultural activities in the area, </w:t>
      </w:r>
      <w:r w:rsidR="000B1F24" w:rsidRPr="003F7F6C">
        <w:rPr>
          <w:rFonts w:cs="Calibri"/>
          <w:szCs w:val="20"/>
        </w:rPr>
        <w:t xml:space="preserve">by </w:t>
      </w:r>
      <w:r w:rsidRPr="003F7F6C">
        <w:rPr>
          <w:rFonts w:cs="Calibri"/>
          <w:szCs w:val="20"/>
        </w:rPr>
        <w:t xml:space="preserve">around 5% per year, as a result of the aforementioned vicious circle of degradation and decapitalization that leads to abandonment and rural exodus. An important deterioration of rural life </w:t>
      </w:r>
      <w:r w:rsidR="000B1F24" w:rsidRPr="003F7F6C">
        <w:rPr>
          <w:rFonts w:cs="Calibri"/>
          <w:szCs w:val="20"/>
        </w:rPr>
        <w:t xml:space="preserve">has taken </w:t>
      </w:r>
      <w:r w:rsidRPr="003F7F6C">
        <w:rPr>
          <w:rFonts w:cs="Calibri"/>
          <w:szCs w:val="20"/>
        </w:rPr>
        <w:t>place in these lands, with consequent migratory flows that show an expulsion of the population of the area, where there is a significant number of people that are disappearing, are stagnating or have already disappeared.</w:t>
      </w:r>
    </w:p>
    <w:p w14:paraId="62F67C61" w14:textId="11A8EB16" w:rsidR="005E0527" w:rsidRPr="003F7F6C" w:rsidRDefault="005E0527" w:rsidP="005E0527">
      <w:pPr>
        <w:autoSpaceDE w:val="0"/>
        <w:autoSpaceDN w:val="0"/>
        <w:adjustRightInd w:val="0"/>
        <w:spacing w:after="240"/>
        <w:rPr>
          <w:rFonts w:eastAsia="Times New Roman" w:cs="Calibri"/>
          <w:szCs w:val="20"/>
          <w:lang w:eastAsia="es-AR"/>
        </w:rPr>
      </w:pPr>
      <w:r w:rsidRPr="003F7F6C">
        <w:rPr>
          <w:rFonts w:eastAsia="Times New Roman" w:cs="Calibri"/>
          <w:szCs w:val="20"/>
          <w:u w:val="single"/>
          <w:lang w:eastAsia="es-AR"/>
        </w:rPr>
        <w:t>Environmental Description / Problems and threats to BD and LD</w:t>
      </w:r>
      <w:r w:rsidRPr="003F7F6C">
        <w:rPr>
          <w:rFonts w:eastAsia="Times New Roman" w:cs="Calibri"/>
          <w:szCs w:val="20"/>
          <w:lang w:eastAsia="es-AR"/>
        </w:rPr>
        <w:t xml:space="preserve">: The zone covers a transition between ecological systems of semi-arid and humid climates including the Espinal ecoregion. </w:t>
      </w:r>
      <w:r w:rsidR="000B1F24" w:rsidRPr="003F7F6C">
        <w:rPr>
          <w:rFonts w:eastAsia="Times New Roman" w:cs="Calibri"/>
          <w:szCs w:val="20"/>
          <w:lang w:eastAsia="es-AR"/>
        </w:rPr>
        <w:t>In terms of</w:t>
      </w:r>
      <w:r w:rsidRPr="003F7F6C">
        <w:rPr>
          <w:rFonts w:eastAsia="Times New Roman" w:cs="Calibri"/>
          <w:szCs w:val="20"/>
          <w:lang w:eastAsia="es-AR"/>
        </w:rPr>
        <w:t xml:space="preserve"> ecological significance, the original vegetation of the “</w:t>
      </w:r>
      <w:r w:rsidRPr="003F7F6C">
        <w:rPr>
          <w:rFonts w:eastAsia="Times New Roman" w:cs="Calibri"/>
          <w:i/>
          <w:szCs w:val="20"/>
          <w:lang w:eastAsia="es-AR"/>
        </w:rPr>
        <w:t>calden</w:t>
      </w:r>
      <w:r w:rsidRPr="003F7F6C">
        <w:rPr>
          <w:rFonts w:eastAsia="Times New Roman" w:cs="Calibri"/>
          <w:szCs w:val="20"/>
          <w:lang w:eastAsia="es-AR"/>
        </w:rPr>
        <w:t>” (</w:t>
      </w:r>
      <w:r w:rsidRPr="003F7F6C">
        <w:rPr>
          <w:rFonts w:eastAsia="Times New Roman" w:cs="Calibri"/>
          <w:i/>
          <w:szCs w:val="20"/>
          <w:lang w:eastAsia="es-AR"/>
        </w:rPr>
        <w:t>Prosopis caldenia</w:t>
      </w:r>
      <w:r w:rsidRPr="003F7F6C">
        <w:rPr>
          <w:rFonts w:eastAsia="Times New Roman" w:cs="Calibri"/>
          <w:szCs w:val="20"/>
          <w:lang w:eastAsia="es-AR"/>
        </w:rPr>
        <w:t>) district has suffered a considerable loss of its forest area and a strong fragmentation process. On the other hand, the destruction of immense wooded areas that form this region has had a strong environmental impact causing erosion, salinization, loss of structure and soil organic matter, decrease in productivity and rise of water tables, loss of water regulation capacity, clogged lagoons, etc.</w:t>
      </w:r>
    </w:p>
    <w:p w14:paraId="250E83E9" w14:textId="64F8714C" w:rsidR="005E0527" w:rsidRPr="003F7F6C" w:rsidRDefault="005E0527" w:rsidP="005E0527">
      <w:pPr>
        <w:autoSpaceDE w:val="0"/>
        <w:autoSpaceDN w:val="0"/>
        <w:adjustRightInd w:val="0"/>
        <w:spacing w:after="240"/>
        <w:rPr>
          <w:rFonts w:eastAsia="Times New Roman" w:cs="Calibri"/>
          <w:szCs w:val="20"/>
          <w:lang w:eastAsia="es-AR"/>
        </w:rPr>
      </w:pPr>
      <w:r w:rsidRPr="003F7F6C">
        <w:rPr>
          <w:rFonts w:eastAsia="Times New Roman" w:cs="Calibri"/>
          <w:szCs w:val="20"/>
          <w:lang w:eastAsia="es-AR"/>
        </w:rPr>
        <w:t xml:space="preserve">The southwestern region of the province of Buenos Aires has its own climatic and edaphic characteristics that restrict primary activities compared to the rest of the province. The process of desertification is the result of the degradation of vegetation cover due to overgrazing, clearing </w:t>
      </w:r>
      <w:r w:rsidR="000B1F24" w:rsidRPr="003F7F6C">
        <w:rPr>
          <w:rFonts w:eastAsia="Times New Roman" w:cs="Calibri"/>
          <w:szCs w:val="20"/>
          <w:lang w:eastAsia="es-AR"/>
        </w:rPr>
        <w:t>due to</w:t>
      </w:r>
      <w:r w:rsidRPr="003F7F6C">
        <w:rPr>
          <w:rFonts w:eastAsia="Times New Roman" w:cs="Calibri"/>
          <w:szCs w:val="20"/>
          <w:lang w:eastAsia="es-AR"/>
        </w:rPr>
        <w:t xml:space="preserve"> the extension of the agricultural frontier, overexploitation of forest resources, uncontrolled fires and agricultural practices that are not appropriate for the region (Abraham et al., 2016).</w:t>
      </w:r>
    </w:p>
    <w:p w14:paraId="38E73FFC" w14:textId="20F83F2A" w:rsidR="005E0527" w:rsidRPr="003F7F6C" w:rsidRDefault="005E0527" w:rsidP="005E0527">
      <w:pPr>
        <w:autoSpaceDE w:val="0"/>
        <w:autoSpaceDN w:val="0"/>
        <w:adjustRightInd w:val="0"/>
        <w:spacing w:after="240"/>
        <w:rPr>
          <w:rFonts w:eastAsia="Times New Roman" w:cs="Calibri"/>
          <w:szCs w:val="20"/>
          <w:lang w:eastAsia="es-AR"/>
        </w:rPr>
      </w:pPr>
      <w:r w:rsidRPr="003F7F6C">
        <w:rPr>
          <w:rFonts w:eastAsia="Times New Roman" w:cs="Calibri"/>
          <w:szCs w:val="20"/>
          <w:lang w:eastAsia="es-AR"/>
        </w:rPr>
        <w:t xml:space="preserve">The southwest region of Buenos Aires is one of the areas </w:t>
      </w:r>
      <w:r w:rsidR="000B1F24" w:rsidRPr="003F7F6C">
        <w:rPr>
          <w:rFonts w:eastAsia="Times New Roman" w:cs="Calibri"/>
          <w:szCs w:val="20"/>
          <w:lang w:eastAsia="es-AR"/>
        </w:rPr>
        <w:t xml:space="preserve">most threatened </w:t>
      </w:r>
      <w:r w:rsidRPr="003F7F6C">
        <w:rPr>
          <w:rFonts w:eastAsia="Times New Roman" w:cs="Calibri"/>
          <w:szCs w:val="20"/>
          <w:lang w:eastAsia="es-AR"/>
        </w:rPr>
        <w:t xml:space="preserve">by wind erosion in Argentina. This process, together with the recurrent droughts in recent decades and the poor management of productive practices have generated desertification. The pilot site corresponds to areas of ecological fragility that are defined by their intrinsic vulnerability to the impact of anthropogenic activities. Soil types and their limitations, vegetation cover, water flows, among others, are biophysical characteristics, which help to define ecosystems´ fragility and therefore the threat they represent for the population and the economy when </w:t>
      </w:r>
      <w:r w:rsidR="00AA7981" w:rsidRPr="003F7F6C">
        <w:rPr>
          <w:rFonts w:eastAsia="Times New Roman" w:cs="Calibri"/>
          <w:szCs w:val="20"/>
          <w:lang w:eastAsia="es-AR"/>
        </w:rPr>
        <w:t>innapropriate interventions</w:t>
      </w:r>
      <w:r w:rsidRPr="003F7F6C">
        <w:rPr>
          <w:rFonts w:eastAsia="Times New Roman" w:cs="Calibri"/>
          <w:szCs w:val="20"/>
          <w:lang w:eastAsia="es-AR"/>
        </w:rPr>
        <w:t xml:space="preserve"> take place.</w:t>
      </w:r>
    </w:p>
    <w:p w14:paraId="1A8E852F" w14:textId="2DBD2891" w:rsidR="005E0527" w:rsidRPr="003F7F6C" w:rsidRDefault="005E0527" w:rsidP="005E0527">
      <w:pPr>
        <w:autoSpaceDE w:val="0"/>
        <w:autoSpaceDN w:val="0"/>
        <w:adjustRightInd w:val="0"/>
        <w:spacing w:after="240"/>
        <w:rPr>
          <w:rFonts w:eastAsia="Times New Roman" w:cs="Calibri"/>
          <w:szCs w:val="20"/>
          <w:lang w:eastAsia="es-AR"/>
        </w:rPr>
      </w:pPr>
      <w:r w:rsidRPr="003F7F6C">
        <w:rPr>
          <w:rFonts w:eastAsia="Times New Roman" w:cs="Calibri"/>
          <w:szCs w:val="20"/>
          <w:lang w:eastAsia="es-AR"/>
        </w:rPr>
        <w:t>The irrigated lands are dedicated to agricultural production, while the non-irrigated lands have a mixed production system (beef cattle-wheat). The average annual rainfall between the years 1940 and 2014 was 407 mm. In 60% of the years of the specified period, it was lower than the average. Desertification in the area is a consequence of drought and poor management (Abraham et al., 2016).</w:t>
      </w:r>
    </w:p>
    <w:p w14:paraId="68981F5C" w14:textId="77777777" w:rsidR="005E0527" w:rsidRPr="003F7F6C" w:rsidRDefault="005E0527" w:rsidP="005E0527">
      <w:pPr>
        <w:shd w:val="clear" w:color="auto" w:fill="FFFFFF"/>
        <w:spacing w:after="240"/>
        <w:rPr>
          <w:rFonts w:cs="Calibri"/>
          <w:b/>
          <w:szCs w:val="20"/>
        </w:rPr>
      </w:pPr>
    </w:p>
    <w:p w14:paraId="2EF7EA9C" w14:textId="4F979E0A" w:rsidR="005E0527" w:rsidRPr="003F7F6C" w:rsidRDefault="005E0527" w:rsidP="005E0527">
      <w:pPr>
        <w:shd w:val="clear" w:color="auto" w:fill="FFFFFF"/>
        <w:spacing w:after="240"/>
        <w:rPr>
          <w:rFonts w:cs="Calibri"/>
          <w:b/>
          <w:szCs w:val="20"/>
        </w:rPr>
      </w:pPr>
    </w:p>
    <w:p w14:paraId="0696C2D9" w14:textId="77777777" w:rsidR="00AA7981" w:rsidRPr="003F7F6C" w:rsidRDefault="00AA7981" w:rsidP="005E0527">
      <w:pPr>
        <w:shd w:val="clear" w:color="auto" w:fill="FFFFFF"/>
        <w:spacing w:after="240"/>
        <w:rPr>
          <w:rFonts w:cs="Calibri"/>
          <w:b/>
          <w:szCs w:val="20"/>
        </w:rPr>
      </w:pPr>
    </w:p>
    <w:p w14:paraId="77F02282" w14:textId="39F95EE7" w:rsidR="005E0527" w:rsidRPr="003F7F6C" w:rsidRDefault="005E0527" w:rsidP="005E0527">
      <w:pPr>
        <w:shd w:val="clear" w:color="auto" w:fill="FFFFFF"/>
        <w:spacing w:after="240"/>
        <w:rPr>
          <w:rFonts w:eastAsia="Times New Roman" w:cs="Calibri"/>
          <w:b/>
          <w:bCs/>
          <w:szCs w:val="20"/>
          <w:lang w:eastAsia="es-AR"/>
        </w:rPr>
      </w:pPr>
      <w:r w:rsidRPr="003F7F6C">
        <w:rPr>
          <w:rFonts w:cs="Calibri"/>
          <w:b/>
          <w:szCs w:val="20"/>
        </w:rPr>
        <w:t xml:space="preserve">Figure 1 – Map of target </w:t>
      </w:r>
      <w:r w:rsidR="002A7C6F" w:rsidRPr="003F7F6C">
        <w:rPr>
          <w:rFonts w:cs="Calibri"/>
          <w:b/>
          <w:szCs w:val="20"/>
        </w:rPr>
        <w:t>l</w:t>
      </w:r>
      <w:r w:rsidRPr="003F7F6C">
        <w:rPr>
          <w:rFonts w:cs="Calibri"/>
          <w:b/>
          <w:szCs w:val="20"/>
        </w:rPr>
        <w:t>andscapes of Buenos Aires</w:t>
      </w:r>
    </w:p>
    <w:p w14:paraId="5268CC23" w14:textId="0C143075" w:rsidR="005E0527" w:rsidRPr="003F7F6C" w:rsidRDefault="001672E2" w:rsidP="005E0527">
      <w:pPr>
        <w:spacing w:after="240"/>
        <w:rPr>
          <w:rFonts w:cs="Calibri"/>
          <w:szCs w:val="20"/>
        </w:rPr>
      </w:pPr>
      <w:r w:rsidRPr="003F7F6C">
        <w:rPr>
          <w:rFonts w:cs="Calibri"/>
          <w:noProof/>
          <w:szCs w:val="20"/>
        </w:rPr>
        <mc:AlternateContent>
          <mc:Choice Requires="wps">
            <w:drawing>
              <wp:anchor distT="0" distB="0" distL="114300" distR="114300" simplePos="0" relativeHeight="251684864" behindDoc="0" locked="0" layoutInCell="1" allowOverlap="1" wp14:anchorId="4E9D13B6" wp14:editId="6A9F2F6C">
                <wp:simplePos x="0" y="0"/>
                <wp:positionH relativeFrom="column">
                  <wp:posOffset>1129143</wp:posOffset>
                </wp:positionH>
                <wp:positionV relativeFrom="paragraph">
                  <wp:posOffset>4206240</wp:posOffset>
                </wp:positionV>
                <wp:extent cx="1257935" cy="597528"/>
                <wp:effectExtent l="0" t="0" r="12065" b="12700"/>
                <wp:wrapNone/>
                <wp:docPr id="8" name="Cuadro de texto 8"/>
                <wp:cNvGraphicFramePr/>
                <a:graphic xmlns:a="http://schemas.openxmlformats.org/drawingml/2006/main">
                  <a:graphicData uri="http://schemas.microsoft.com/office/word/2010/wordprocessingShape">
                    <wps:wsp>
                      <wps:cNvSpPr txBox="1"/>
                      <wps:spPr>
                        <a:xfrm>
                          <a:off x="0" y="0"/>
                          <a:ext cx="1257935" cy="597528"/>
                        </a:xfrm>
                        <a:prstGeom prst="rect">
                          <a:avLst/>
                        </a:prstGeom>
                        <a:solidFill>
                          <a:schemeClr val="lt1"/>
                        </a:solidFill>
                        <a:ln w="6350">
                          <a:solidFill>
                            <a:prstClr val="black"/>
                          </a:solidFill>
                        </a:ln>
                      </wps:spPr>
                      <wps:txbx>
                        <w:txbxContent>
                          <w:p w14:paraId="35DBEC58" w14:textId="77777777" w:rsidR="00A925EE" w:rsidRPr="00E9368A" w:rsidRDefault="00A925EE" w:rsidP="005E0527">
                            <w:pPr>
                              <w:rPr>
                                <w:sz w:val="16"/>
                                <w:szCs w:val="16"/>
                              </w:rPr>
                            </w:pPr>
                            <w:r>
                              <w:rPr>
                                <w:sz w:val="16"/>
                                <w:szCs w:val="16"/>
                              </w:rPr>
                              <w:t>Southwestern Buenos Aires (Espinal)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E9D13B6" id="Cuadro de texto 8" o:spid="_x0000_s1065" type="#_x0000_t202" style="position:absolute;left:0;text-align:left;margin-left:88.9pt;margin-top:331.2pt;width:99.05pt;height:47.0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" fillcolor="white [3201]" strokeweight=".5pt">
                <v:textbox>
                  <w:txbxContent>
                    <w:p w14:paraId="35DBEC58" w14:textId="77777777" w:rsidR="00A925EE" w:rsidRPr="00E9368A" w:rsidRDefault="00A925EE" w:rsidP="005E0527">
                      <w:pPr>
                        <w:rPr>
                          <w:sz w:val="16"/>
                          <w:szCs w:val="16"/>
                        </w:rPr>
                      </w:pPr>
                      <w:r>
                        <w:rPr>
                          <w:sz w:val="16"/>
                          <w:szCs w:val="16"/>
                        </w:rPr>
                        <w:t>Southwestern Buenos Aires (Espinal)</w:t>
                      </w:r>
                    </w:p>
                  </w:txbxContent>
                </v:textbox>
              </v:shape>
            </w:pict>
          </mc:Fallback>
        </mc:AlternateContent>
      </w:r>
      <w:r w:rsidRPr="003F7F6C">
        <w:rPr>
          <w:rFonts w:cs="Calibri"/>
          <w:noProof/>
          <w:szCs w:val="20"/>
        </w:rPr>
        <mc:AlternateContent>
          <mc:Choice Requires="wps">
            <w:drawing>
              <wp:anchor distT="0" distB="0" distL="114300" distR="114300" simplePos="0" relativeHeight="251682816" behindDoc="0" locked="0" layoutInCell="1" allowOverlap="1" wp14:anchorId="4E180FE1" wp14:editId="0B60F3B6">
                <wp:simplePos x="0" y="0"/>
                <wp:positionH relativeFrom="column">
                  <wp:posOffset>-192317</wp:posOffset>
                </wp:positionH>
                <wp:positionV relativeFrom="paragraph">
                  <wp:posOffset>3193075</wp:posOffset>
                </wp:positionV>
                <wp:extent cx="2272420" cy="2262744"/>
                <wp:effectExtent l="0" t="0" r="13970" b="10795"/>
                <wp:wrapNone/>
                <wp:docPr id="5" name="Elipse 5"/>
                <wp:cNvGraphicFramePr/>
                <a:graphic xmlns:a="http://schemas.openxmlformats.org/drawingml/2006/main">
                  <a:graphicData uri="http://schemas.microsoft.com/office/word/2010/wordprocessingShape">
                    <wps:wsp>
                      <wps:cNvSpPr/>
                      <wps:spPr>
                        <a:xfrm>
                          <a:off x="0" y="0"/>
                          <a:ext cx="2272420" cy="2262744"/>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0A425B12" id="Elipse 5" o:spid="_x0000_s1026" style="position:absolute;margin-left:-15.15pt;margin-top:251.4pt;width:178.95pt;height:178.1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" filled="f" strokecolor="#1f3763 [1604]" strokeweight="1pt">
                <v:stroke joinstyle="miter"/>
              </v:oval>
            </w:pict>
          </mc:Fallback>
        </mc:AlternateContent>
      </w:r>
      <w:r w:rsidRPr="003F7F6C">
        <w:rPr>
          <w:rFonts w:cs="Calibri"/>
          <w:noProof/>
          <w:szCs w:val="20"/>
        </w:rPr>
        <mc:AlternateContent>
          <mc:Choice Requires="wps">
            <w:drawing>
              <wp:anchor distT="0" distB="0" distL="114300" distR="114300" simplePos="0" relativeHeight="251683840" behindDoc="0" locked="0" layoutInCell="1" allowOverlap="1" wp14:anchorId="283182F5" wp14:editId="44436B4A">
                <wp:simplePos x="0" y="0"/>
                <wp:positionH relativeFrom="column">
                  <wp:posOffset>3663692</wp:posOffset>
                </wp:positionH>
                <wp:positionV relativeFrom="paragraph">
                  <wp:posOffset>1517895</wp:posOffset>
                </wp:positionV>
                <wp:extent cx="1258161" cy="497940"/>
                <wp:effectExtent l="0" t="0" r="12065" b="10160"/>
                <wp:wrapNone/>
                <wp:docPr id="7" name="Cuadro de texto 7"/>
                <wp:cNvGraphicFramePr/>
                <a:graphic xmlns:a="http://schemas.openxmlformats.org/drawingml/2006/main">
                  <a:graphicData uri="http://schemas.microsoft.com/office/word/2010/wordprocessingShape">
                    <wps:wsp>
                      <wps:cNvSpPr txBox="1"/>
                      <wps:spPr>
                        <a:xfrm>
                          <a:off x="0" y="0"/>
                          <a:ext cx="1258161" cy="497940"/>
                        </a:xfrm>
                        <a:prstGeom prst="rect">
                          <a:avLst/>
                        </a:prstGeom>
                        <a:solidFill>
                          <a:schemeClr val="lt1"/>
                        </a:solidFill>
                        <a:ln w="6350">
                          <a:solidFill>
                            <a:prstClr val="black"/>
                          </a:solidFill>
                        </a:ln>
                      </wps:spPr>
                      <wps:txbx>
                        <w:txbxContent>
                          <w:p w14:paraId="085E9039" w14:textId="77777777" w:rsidR="00A925EE" w:rsidRPr="00E9368A" w:rsidRDefault="00A925EE" w:rsidP="005E0527">
                            <w:pPr>
                              <w:rPr>
                                <w:sz w:val="16"/>
                                <w:szCs w:val="16"/>
                              </w:rPr>
                            </w:pPr>
                            <w:r w:rsidRPr="00E9368A">
                              <w:rPr>
                                <w:sz w:val="16"/>
                                <w:szCs w:val="16"/>
                              </w:rPr>
                              <w:t>Riverine Forests, Talares and Samborombon Bay</w:t>
                            </w:r>
                            <w:r>
                              <w:rPr>
                                <w:sz w:val="16"/>
                                <w:szCs w:val="16"/>
                              </w:rPr>
                              <w:t xml:space="preserve"> (Pampas)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83182F5" id="Cuadro de texto 7" o:spid="_x0000_s1066" type="#_x0000_t202" style="position:absolute;left:0;text-align:left;margin-left:288.5pt;margin-top:119.5pt;width:99.05pt;height:39.2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" fillcolor="white [3201]" strokeweight=".5pt">
                <v:textbox>
                  <w:txbxContent>
                    <w:p w14:paraId="085E9039" w14:textId="77777777" w:rsidR="00A925EE" w:rsidRPr="00E9368A" w:rsidRDefault="00A925EE" w:rsidP="005E0527">
                      <w:pPr>
                        <w:rPr>
                          <w:sz w:val="16"/>
                          <w:szCs w:val="16"/>
                        </w:rPr>
                      </w:pPr>
                      <w:r w:rsidRPr="00E9368A">
                        <w:rPr>
                          <w:sz w:val="16"/>
                          <w:szCs w:val="16"/>
                        </w:rPr>
                        <w:t>Riverine Forests, Talares and Samborombon Bay</w:t>
                      </w:r>
                      <w:r>
                        <w:rPr>
                          <w:sz w:val="16"/>
                          <w:szCs w:val="16"/>
                        </w:rPr>
                        <w:t xml:space="preserve"> (Pampas)</w:t>
                      </w:r>
                    </w:p>
                  </w:txbxContent>
                </v:textbox>
              </v:shape>
            </w:pict>
          </mc:Fallback>
        </mc:AlternateContent>
      </w:r>
      <w:r w:rsidRPr="003F7F6C">
        <w:rPr>
          <w:rFonts w:cs="Calibri"/>
          <w:noProof/>
          <w:szCs w:val="20"/>
        </w:rPr>
        <mc:AlternateContent>
          <mc:Choice Requires="wps">
            <w:drawing>
              <wp:anchor distT="0" distB="0" distL="114300" distR="114300" simplePos="0" relativeHeight="251676672" behindDoc="0" locked="0" layoutInCell="1" allowOverlap="1" wp14:anchorId="48938552" wp14:editId="41CF206E">
                <wp:simplePos x="0" y="0"/>
                <wp:positionH relativeFrom="column">
                  <wp:posOffset>2730795</wp:posOffset>
                </wp:positionH>
                <wp:positionV relativeFrom="paragraph">
                  <wp:posOffset>1219452</wp:posOffset>
                </wp:positionV>
                <wp:extent cx="1738265" cy="1194932"/>
                <wp:effectExtent l="0" t="0" r="14605" b="12065"/>
                <wp:wrapNone/>
                <wp:docPr id="3" name="Elipse 3"/>
                <wp:cNvGraphicFramePr/>
                <a:graphic xmlns:a="http://schemas.openxmlformats.org/drawingml/2006/main">
                  <a:graphicData uri="http://schemas.microsoft.com/office/word/2010/wordprocessingShape">
                    <wps:wsp>
                      <wps:cNvSpPr/>
                      <wps:spPr>
                        <a:xfrm>
                          <a:off x="0" y="0"/>
                          <a:ext cx="1738265" cy="1194932"/>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0E332E48" id="Elipse 3" o:spid="_x0000_s1026" style="position:absolute;margin-left:215pt;margin-top:96pt;width:136.85pt;height:94.1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" filled="f" strokecolor="#1f3763 [1604]" strokeweight="1pt">
                <v:stroke joinstyle="miter"/>
              </v:oval>
            </w:pict>
          </mc:Fallback>
        </mc:AlternateContent>
      </w:r>
      <w:r w:rsidRPr="003F7F6C">
        <w:rPr>
          <w:rFonts w:cs="Calibri"/>
          <w:noProof/>
          <w:szCs w:val="20"/>
        </w:rPr>
        <mc:AlternateContent>
          <mc:Choice Requires="wps">
            <w:drawing>
              <wp:anchor distT="0" distB="0" distL="114300" distR="114300" simplePos="0" relativeHeight="251674624" behindDoc="0" locked="0" layoutInCell="1" allowOverlap="1" wp14:anchorId="70B55A28" wp14:editId="5FA71F60">
                <wp:simplePos x="0" y="0"/>
                <wp:positionH relativeFrom="column">
                  <wp:posOffset>3147236</wp:posOffset>
                </wp:positionH>
                <wp:positionV relativeFrom="paragraph">
                  <wp:posOffset>684360</wp:posOffset>
                </wp:positionV>
                <wp:extent cx="1258161" cy="362138"/>
                <wp:effectExtent l="0" t="0" r="12065" b="19050"/>
                <wp:wrapNone/>
                <wp:docPr id="6" name="Cuadro de texto 6"/>
                <wp:cNvGraphicFramePr/>
                <a:graphic xmlns:a="http://schemas.openxmlformats.org/drawingml/2006/main">
                  <a:graphicData uri="http://schemas.microsoft.com/office/word/2010/wordprocessingShape">
                    <wps:wsp>
                      <wps:cNvSpPr txBox="1"/>
                      <wps:spPr>
                        <a:xfrm>
                          <a:off x="0" y="0"/>
                          <a:ext cx="1258161" cy="362138"/>
                        </a:xfrm>
                        <a:prstGeom prst="rect">
                          <a:avLst/>
                        </a:prstGeom>
                        <a:solidFill>
                          <a:schemeClr val="lt1"/>
                        </a:solidFill>
                        <a:ln w="6350">
                          <a:solidFill>
                            <a:prstClr val="black"/>
                          </a:solidFill>
                        </a:ln>
                      </wps:spPr>
                      <wps:txbx>
                        <w:txbxContent>
                          <w:p w14:paraId="6E741161" w14:textId="77777777" w:rsidR="00A925EE" w:rsidRPr="00E9368A" w:rsidRDefault="00A925EE" w:rsidP="005E0527">
                            <w:pPr>
                              <w:rPr>
                                <w:sz w:val="16"/>
                                <w:szCs w:val="16"/>
                              </w:rPr>
                            </w:pPr>
                            <w:r w:rsidRPr="00E9368A">
                              <w:rPr>
                                <w:sz w:val="16"/>
                                <w:szCs w:val="16"/>
                              </w:rPr>
                              <w:t>Parana River Delta (Flooded Savanna)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0B55A28" id="Cuadro de texto 6" o:spid="_x0000_s1067" type="#_x0000_t202" style="position:absolute;left:0;text-align:left;margin-left:247.8pt;margin-top:53.9pt;width:99.05pt;height:28.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" fillcolor="white [3201]" strokeweight=".5pt">
                <v:textbox>
                  <w:txbxContent>
                    <w:p w14:paraId="6E741161" w14:textId="77777777" w:rsidR="00A925EE" w:rsidRPr="00E9368A" w:rsidRDefault="00A925EE" w:rsidP="005E0527">
                      <w:pPr>
                        <w:rPr>
                          <w:sz w:val="16"/>
                          <w:szCs w:val="16"/>
                        </w:rPr>
                      </w:pPr>
                      <w:r w:rsidRPr="00E9368A">
                        <w:rPr>
                          <w:sz w:val="16"/>
                          <w:szCs w:val="16"/>
                        </w:rPr>
                        <w:t>Parana River Delta (Flooded Savanna)</w:t>
                      </w:r>
                    </w:p>
                  </w:txbxContent>
                </v:textbox>
              </v:shape>
            </w:pict>
          </mc:Fallback>
        </mc:AlternateContent>
      </w:r>
      <w:r w:rsidRPr="003F7F6C">
        <w:rPr>
          <w:rFonts w:cs="Calibri"/>
          <w:noProof/>
          <w:szCs w:val="20"/>
        </w:rPr>
        <mc:AlternateContent>
          <mc:Choice Requires="wps">
            <w:drawing>
              <wp:anchor distT="0" distB="0" distL="114300" distR="114300" simplePos="0" relativeHeight="251670528" behindDoc="0" locked="0" layoutInCell="1" allowOverlap="1" wp14:anchorId="51687489" wp14:editId="2635A317">
                <wp:simplePos x="0" y="0"/>
                <wp:positionH relativeFrom="column">
                  <wp:posOffset>2387173</wp:posOffset>
                </wp:positionH>
                <wp:positionV relativeFrom="paragraph">
                  <wp:posOffset>368300</wp:posOffset>
                </wp:positionV>
                <wp:extent cx="1276538" cy="851026"/>
                <wp:effectExtent l="0" t="0" r="19050" b="12700"/>
                <wp:wrapNone/>
                <wp:docPr id="2" name="Elipse 2"/>
                <wp:cNvGraphicFramePr/>
                <a:graphic xmlns:a="http://schemas.openxmlformats.org/drawingml/2006/main">
                  <a:graphicData uri="http://schemas.microsoft.com/office/word/2010/wordprocessingShape">
                    <wps:wsp>
                      <wps:cNvSpPr/>
                      <wps:spPr>
                        <a:xfrm>
                          <a:off x="0" y="0"/>
                          <a:ext cx="1276538" cy="851026"/>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7D34A8A9" id="Elipse 2" o:spid="_x0000_s1026" style="position:absolute;margin-left:187.95pt;margin-top:29pt;width:100.5pt;height:67pt;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" filled="f" strokecolor="#1f3763 [1604]" strokeweight="1pt">
                <v:stroke joinstyle="miter"/>
              </v:oval>
            </w:pict>
          </mc:Fallback>
        </mc:AlternateContent>
      </w:r>
      <w:r w:rsidR="00F92267" w:rsidRPr="003F7F6C">
        <w:rPr>
          <w:rFonts w:cs="Calibri"/>
          <w:noProof/>
          <w:szCs w:val="20"/>
        </w:rPr>
        <w:drawing>
          <wp:inline distT="0" distB="0" distL="0" distR="0" wp14:anchorId="57C1704B" wp14:editId="153276F5">
            <wp:extent cx="4471928" cy="6322263"/>
            <wp:effectExtent l="0" t="0" r="0" b="2540"/>
            <wp:docPr id="1928" name="Imagen 19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8" name="mapa.jpeg"/>
                    <pic:cNvPicPr/>
                  </pic:nvPicPr>
                  <pic:blipFill>
                    <a:blip r:embed="rId38" cstate="print">
                      <a:extLst>
                        <a:ext uri="{28A0092B-C50C-407E-A947-70E740481C1C}">
                          <a14:useLocalDpi xmlns:a14="http://schemas.microsoft.com/office/drawing/2010/main" val="0"/>
                        </a:ext>
                      </a:extLst>
                    </a:blip>
                    <a:stretch>
                      <a:fillRect/>
                    </a:stretch>
                  </pic:blipFill>
                  <pic:spPr>
                    <a:xfrm>
                      <a:off x="0" y="0"/>
                      <a:ext cx="4479654" cy="6333186"/>
                    </a:xfrm>
                    <a:prstGeom prst="rect">
                      <a:avLst/>
                    </a:prstGeom>
                  </pic:spPr>
                </pic:pic>
              </a:graphicData>
            </a:graphic>
          </wp:inline>
        </w:drawing>
      </w:r>
    </w:p>
    <w:p w14:paraId="196C3EBF" w14:textId="77777777" w:rsidR="005E0527" w:rsidRPr="003F7F6C" w:rsidRDefault="005E0527" w:rsidP="005E0527">
      <w:pPr>
        <w:spacing w:after="240"/>
        <w:rPr>
          <w:rFonts w:cs="Calibri"/>
          <w:szCs w:val="20"/>
        </w:rPr>
      </w:pPr>
    </w:p>
    <w:p w14:paraId="68AFEBAB" w14:textId="7D93AB74" w:rsidR="005E0527" w:rsidRPr="003F7F6C" w:rsidRDefault="005E0527" w:rsidP="005E0527">
      <w:pPr>
        <w:spacing w:after="240"/>
        <w:rPr>
          <w:rFonts w:cs="Calibri"/>
          <w:szCs w:val="20"/>
        </w:rPr>
      </w:pPr>
    </w:p>
    <w:p w14:paraId="25256EC3" w14:textId="24984671" w:rsidR="001672E2" w:rsidRPr="003F7F6C" w:rsidRDefault="001672E2" w:rsidP="005E0527">
      <w:pPr>
        <w:spacing w:after="240"/>
        <w:rPr>
          <w:rFonts w:cs="Calibri"/>
          <w:szCs w:val="20"/>
        </w:rPr>
      </w:pPr>
    </w:p>
    <w:p w14:paraId="00D32D01" w14:textId="40722B92" w:rsidR="001672E2" w:rsidRPr="003F7F6C" w:rsidRDefault="001672E2" w:rsidP="005E0527">
      <w:pPr>
        <w:spacing w:after="240"/>
        <w:rPr>
          <w:rFonts w:cs="Calibri"/>
          <w:szCs w:val="20"/>
        </w:rPr>
      </w:pPr>
    </w:p>
    <w:p w14:paraId="76FE6052" w14:textId="77777777" w:rsidR="001672E2" w:rsidRPr="003F7F6C" w:rsidRDefault="001672E2" w:rsidP="005E0527">
      <w:pPr>
        <w:spacing w:after="240"/>
        <w:rPr>
          <w:rFonts w:cs="Calibri"/>
          <w:szCs w:val="20"/>
        </w:rPr>
      </w:pPr>
    </w:p>
    <w:p w14:paraId="3FF0E77F" w14:textId="77777777" w:rsidR="005E0527" w:rsidRPr="003F7F6C" w:rsidRDefault="005E0527" w:rsidP="005E0527">
      <w:pPr>
        <w:spacing w:after="240"/>
        <w:rPr>
          <w:rFonts w:eastAsia="Times New Roman" w:cs="Calibri"/>
          <w:szCs w:val="20"/>
          <w:lang w:eastAsia="es-AR"/>
        </w:rPr>
      </w:pPr>
      <w:r w:rsidRPr="003F7F6C">
        <w:rPr>
          <w:rFonts w:cs="Calibri"/>
          <w:b/>
          <w:szCs w:val="20"/>
        </w:rPr>
        <w:t>PROVINCE OF JUJUY</w:t>
      </w:r>
    </w:p>
    <w:p w14:paraId="17EDCDF4" w14:textId="77777777" w:rsidR="005E0527" w:rsidRPr="003F7F6C" w:rsidRDefault="005E0527" w:rsidP="005E0527">
      <w:pPr>
        <w:spacing w:after="240"/>
        <w:rPr>
          <w:rFonts w:cs="Calibri"/>
          <w:b/>
          <w:szCs w:val="20"/>
        </w:rPr>
      </w:pPr>
      <w:r w:rsidRPr="003F7F6C">
        <w:rPr>
          <w:rFonts w:cs="Calibri"/>
          <w:b/>
          <w:szCs w:val="20"/>
        </w:rPr>
        <w:t>1. Hornocal-Valle Grande</w:t>
      </w:r>
    </w:p>
    <w:p w14:paraId="1902C2D0" w14:textId="77777777" w:rsidR="005E0527" w:rsidRPr="003F7F6C" w:rsidRDefault="005E0527" w:rsidP="005E0527">
      <w:pPr>
        <w:spacing w:after="240"/>
        <w:rPr>
          <w:rFonts w:cs="Calibri"/>
          <w:szCs w:val="20"/>
        </w:rPr>
      </w:pPr>
      <w:r w:rsidRPr="003F7F6C">
        <w:rPr>
          <w:rFonts w:cs="Calibri"/>
          <w:szCs w:val="20"/>
          <w:u w:val="single"/>
        </w:rPr>
        <w:t>Area</w:t>
      </w:r>
      <w:r w:rsidRPr="003F7F6C">
        <w:rPr>
          <w:rFonts w:cs="Calibri"/>
          <w:szCs w:val="20"/>
        </w:rPr>
        <w:t>: 86,974 hectares</w:t>
      </w:r>
    </w:p>
    <w:p w14:paraId="19F86FBF" w14:textId="77777777" w:rsidR="005E0527" w:rsidRPr="003F7F6C" w:rsidRDefault="005E0527" w:rsidP="005E0527">
      <w:pPr>
        <w:spacing w:after="240"/>
        <w:rPr>
          <w:rFonts w:cs="Calibri"/>
          <w:szCs w:val="20"/>
        </w:rPr>
      </w:pPr>
      <w:r w:rsidRPr="003F7F6C">
        <w:rPr>
          <w:rFonts w:cs="Calibri"/>
          <w:szCs w:val="20"/>
          <w:u w:val="single"/>
        </w:rPr>
        <w:t>Ecoregions covered</w:t>
      </w:r>
      <w:r w:rsidRPr="003F7F6C">
        <w:rPr>
          <w:rFonts w:cs="Calibri"/>
          <w:szCs w:val="20"/>
        </w:rPr>
        <w:t>: Puna, Yungas Forest, High Monte</w:t>
      </w:r>
    </w:p>
    <w:p w14:paraId="6AE39F1E" w14:textId="5DBE9034" w:rsidR="005E0527" w:rsidRPr="003F7F6C" w:rsidRDefault="005E0527" w:rsidP="005E0527">
      <w:pPr>
        <w:spacing w:after="240"/>
        <w:rPr>
          <w:rFonts w:cs="Calibri"/>
          <w:szCs w:val="20"/>
        </w:rPr>
      </w:pPr>
      <w:r w:rsidRPr="003F7F6C">
        <w:rPr>
          <w:rFonts w:cs="Calibri"/>
          <w:szCs w:val="20"/>
          <w:u w:val="single"/>
        </w:rPr>
        <w:t xml:space="preserve">Demographic and Socio-economic Description: </w:t>
      </w:r>
      <w:r w:rsidRPr="003F7F6C">
        <w:rPr>
          <w:rFonts w:cs="Calibri"/>
          <w:szCs w:val="20"/>
        </w:rPr>
        <w:t xml:space="preserve">It has an approximate population of 14,255 inhabitants (2010 </w:t>
      </w:r>
      <w:r w:rsidR="006A1F17" w:rsidRPr="003F7F6C">
        <w:rPr>
          <w:rFonts w:cs="Calibri"/>
          <w:szCs w:val="20"/>
        </w:rPr>
        <w:t>c</w:t>
      </w:r>
      <w:r w:rsidRPr="003F7F6C">
        <w:rPr>
          <w:rFonts w:cs="Calibri"/>
          <w:szCs w:val="20"/>
        </w:rPr>
        <w:t>ensus), and its most important localities are Humahuaca, Huacalera, Valle Grande, Uquía, San Francisco, Santa Ana, Yacoraite, Caspalá, Valle Colorado, Palca de Aparzo, Coctaca, Pampichuela, Palca de Varas, Cianzo, Aparzo.</w:t>
      </w:r>
    </w:p>
    <w:p w14:paraId="395C2C99" w14:textId="4D56A11A" w:rsidR="005E0527" w:rsidRPr="003F7F6C" w:rsidRDefault="005E0527" w:rsidP="005E0527">
      <w:pPr>
        <w:spacing w:after="240"/>
        <w:rPr>
          <w:rFonts w:cs="Calibri"/>
          <w:szCs w:val="20"/>
        </w:rPr>
      </w:pPr>
      <w:r w:rsidRPr="003F7F6C">
        <w:rPr>
          <w:rFonts w:cs="Calibri"/>
          <w:szCs w:val="20"/>
        </w:rPr>
        <w:t xml:space="preserve">The pilot site is inhabited mainly by indigenous communities and the presence of small producers and other key stakeholders to be considered, especially in the Humahuaca area. According to the 2010 census and information available </w:t>
      </w:r>
      <w:r w:rsidR="009676A3" w:rsidRPr="003F7F6C">
        <w:rPr>
          <w:rFonts w:cs="Calibri"/>
          <w:szCs w:val="20"/>
        </w:rPr>
        <w:t xml:space="preserve">from </w:t>
      </w:r>
      <w:r w:rsidRPr="003F7F6C">
        <w:rPr>
          <w:rFonts w:cs="Calibri"/>
          <w:szCs w:val="20"/>
        </w:rPr>
        <w:t xml:space="preserve">the Secretariat of Indigenous Peoples, approximately 26 indigenous communities are </w:t>
      </w:r>
      <w:r w:rsidR="009676A3" w:rsidRPr="003F7F6C">
        <w:rPr>
          <w:rFonts w:cs="Calibri"/>
          <w:szCs w:val="20"/>
        </w:rPr>
        <w:t>present</w:t>
      </w:r>
      <w:r w:rsidRPr="003F7F6C">
        <w:rPr>
          <w:rFonts w:cs="Calibri"/>
          <w:szCs w:val="20"/>
        </w:rPr>
        <w:t xml:space="preserve">, 8 of which have community property deeds, six </w:t>
      </w:r>
      <w:r w:rsidR="009676A3" w:rsidRPr="003F7F6C">
        <w:rPr>
          <w:rFonts w:cs="Calibri"/>
          <w:szCs w:val="20"/>
        </w:rPr>
        <w:t xml:space="preserve">have been </w:t>
      </w:r>
      <w:r w:rsidRPr="003F7F6C">
        <w:rPr>
          <w:rFonts w:cs="Calibri"/>
          <w:szCs w:val="20"/>
        </w:rPr>
        <w:t xml:space="preserve">surveyed and another twelve </w:t>
      </w:r>
      <w:r w:rsidR="00930E16" w:rsidRPr="003F7F6C">
        <w:rPr>
          <w:rFonts w:cs="Calibri"/>
          <w:szCs w:val="20"/>
        </w:rPr>
        <w:t xml:space="preserve">have </w:t>
      </w:r>
      <w:r w:rsidRPr="003F7F6C">
        <w:rPr>
          <w:rFonts w:cs="Calibri"/>
          <w:szCs w:val="20"/>
        </w:rPr>
        <w:t xml:space="preserve">geo-referenced information. All these stakeholders have different degrees of organization and a great potential for </w:t>
      </w:r>
      <w:r w:rsidR="00930E16" w:rsidRPr="003F7F6C">
        <w:rPr>
          <w:rFonts w:cs="Calibri"/>
          <w:szCs w:val="20"/>
        </w:rPr>
        <w:t xml:space="preserve">implementing </w:t>
      </w:r>
      <w:r w:rsidRPr="003F7F6C">
        <w:rPr>
          <w:rFonts w:cs="Calibri"/>
          <w:szCs w:val="20"/>
        </w:rPr>
        <w:t xml:space="preserve">the activities identified for the project. These populations belong mostly to two peoples: </w:t>
      </w:r>
      <w:r w:rsidR="00930E16" w:rsidRPr="003F7F6C">
        <w:rPr>
          <w:rFonts w:cs="Calibri"/>
          <w:szCs w:val="20"/>
        </w:rPr>
        <w:t>t</w:t>
      </w:r>
      <w:r w:rsidRPr="003F7F6C">
        <w:rPr>
          <w:rFonts w:cs="Calibri"/>
          <w:szCs w:val="20"/>
        </w:rPr>
        <w:t>he Omaguaca People and the Kolla People. The southern zone is mainly inhabited by Kolla communities, while in the central and northern zone</w:t>
      </w:r>
      <w:r w:rsidR="00930E16" w:rsidRPr="003F7F6C">
        <w:rPr>
          <w:rFonts w:cs="Calibri"/>
          <w:szCs w:val="20"/>
        </w:rPr>
        <w:t>,</w:t>
      </w:r>
      <w:r w:rsidRPr="003F7F6C">
        <w:rPr>
          <w:rFonts w:cs="Calibri"/>
          <w:szCs w:val="20"/>
        </w:rPr>
        <w:t xml:space="preserve"> Omaguaca communities are concentrated. In these communities there is a rural subsistence economy, and the possibility of tourism development between regions with great contrasts, with traditional customs entrenched </w:t>
      </w:r>
      <w:r w:rsidR="00930E16" w:rsidRPr="003F7F6C">
        <w:rPr>
          <w:rFonts w:cs="Calibri"/>
          <w:szCs w:val="20"/>
        </w:rPr>
        <w:t>by</w:t>
      </w:r>
      <w:r w:rsidRPr="003F7F6C">
        <w:rPr>
          <w:rFonts w:cs="Calibri"/>
          <w:szCs w:val="20"/>
        </w:rPr>
        <w:t xml:space="preserve"> its inhabitants. Valle Colorado is the link with the ravine, and the antiquity of this relationship is reflected in the old Inca road that links them. Valle Grande (1,600 masl) is located on a steep slope between 1600 and 1800 masl. on the left bank of the river with the same name, at the foot of the Ovejería hill. San Francisco (1500 masl) is the main town of the community-based tourism network of Jujuy. This small town with around one hundred families offers the necessary basic services </w:t>
      </w:r>
      <w:r w:rsidR="00CA5EDB" w:rsidRPr="003F7F6C">
        <w:rPr>
          <w:rFonts w:cs="Calibri"/>
          <w:szCs w:val="20"/>
        </w:rPr>
        <w:t>for</w:t>
      </w:r>
      <w:r w:rsidRPr="003F7F6C">
        <w:rPr>
          <w:rFonts w:cs="Calibri"/>
          <w:szCs w:val="20"/>
        </w:rPr>
        <w:t xml:space="preserve"> the tourists who access the Yungas. Some of these localities produce sweets and cheeses for sale in informal markets, although some communities also participate in projects to develop certified products.</w:t>
      </w:r>
    </w:p>
    <w:p w14:paraId="2027B63C" w14:textId="6EE30D9E" w:rsidR="005E0527" w:rsidRPr="003F7F6C" w:rsidRDefault="005E0527" w:rsidP="005E0527">
      <w:pPr>
        <w:spacing w:after="240"/>
        <w:rPr>
          <w:rFonts w:cs="Calibri"/>
          <w:szCs w:val="20"/>
        </w:rPr>
      </w:pPr>
      <w:r w:rsidRPr="003F7F6C">
        <w:rPr>
          <w:rFonts w:cs="Calibri"/>
          <w:szCs w:val="20"/>
          <w:u w:val="single"/>
        </w:rPr>
        <w:t xml:space="preserve">Environmental Description: </w:t>
      </w:r>
      <w:r w:rsidRPr="003F7F6C">
        <w:rPr>
          <w:rFonts w:cs="Calibri"/>
          <w:szCs w:val="20"/>
        </w:rPr>
        <w:t>From the biophysical point of view</w:t>
      </w:r>
      <w:r w:rsidR="00CA5EDB" w:rsidRPr="003F7F6C">
        <w:rPr>
          <w:rFonts w:cs="Calibri"/>
          <w:szCs w:val="20"/>
        </w:rPr>
        <w:t>,</w:t>
      </w:r>
      <w:r w:rsidRPr="003F7F6C">
        <w:rPr>
          <w:rFonts w:cs="Calibri"/>
          <w:szCs w:val="20"/>
        </w:rPr>
        <w:t xml:space="preserve"> </w:t>
      </w:r>
      <w:r w:rsidR="008470AD" w:rsidRPr="003F7F6C">
        <w:rPr>
          <w:rFonts w:cs="Calibri"/>
          <w:szCs w:val="20"/>
        </w:rPr>
        <w:t>this landscape</w:t>
      </w:r>
      <w:r w:rsidRPr="003F7F6C">
        <w:rPr>
          <w:rFonts w:cs="Calibri"/>
          <w:szCs w:val="20"/>
        </w:rPr>
        <w:t xml:space="preserve"> represents great ecosystemic variability since ecotones and transition zones exist between the different ecoregions throughout the zone, representing </w:t>
      </w:r>
      <w:r w:rsidR="00CA5EDB" w:rsidRPr="003F7F6C">
        <w:rPr>
          <w:rFonts w:cs="Calibri"/>
          <w:szCs w:val="20"/>
        </w:rPr>
        <w:t>immense</w:t>
      </w:r>
      <w:r w:rsidRPr="003F7F6C">
        <w:rPr>
          <w:rFonts w:cs="Calibri"/>
          <w:szCs w:val="20"/>
        </w:rPr>
        <w:t xml:space="preserve"> biological wealth. The existing vegetation is variable depending on the ecoregion, the jungle of the yungas is represented with its altitudinal floors, grasslands, montane forest, forests of queñoas and churquis, cardonal, </w:t>
      </w:r>
      <w:r w:rsidR="00CA5EDB" w:rsidRPr="003F7F6C">
        <w:rPr>
          <w:rFonts w:cs="Calibri"/>
          <w:szCs w:val="20"/>
        </w:rPr>
        <w:t xml:space="preserve">and </w:t>
      </w:r>
      <w:r w:rsidRPr="003F7F6C">
        <w:rPr>
          <w:rFonts w:cs="Calibri"/>
          <w:szCs w:val="20"/>
        </w:rPr>
        <w:t>scrub steppe of the Puna, among others.</w:t>
      </w:r>
    </w:p>
    <w:p w14:paraId="2E86EEAB" w14:textId="663A21CC" w:rsidR="005E0527" w:rsidRPr="003F7F6C" w:rsidRDefault="008470AD" w:rsidP="005E0527">
      <w:pPr>
        <w:spacing w:after="240"/>
        <w:rPr>
          <w:rFonts w:cs="Calibri"/>
          <w:szCs w:val="20"/>
        </w:rPr>
      </w:pPr>
      <w:r w:rsidRPr="003F7F6C">
        <w:rPr>
          <w:rFonts w:cs="Calibri"/>
          <w:szCs w:val="20"/>
        </w:rPr>
        <w:t>W</w:t>
      </w:r>
      <w:r w:rsidR="005E0527" w:rsidRPr="003F7F6C">
        <w:rPr>
          <w:rFonts w:cs="Calibri"/>
          <w:szCs w:val="20"/>
        </w:rPr>
        <w:t xml:space="preserve">etlands such as rivers, lakes, lagoons and </w:t>
      </w:r>
      <w:r w:rsidR="005E0527" w:rsidRPr="003F7F6C">
        <w:rPr>
          <w:rFonts w:cs="Calibri"/>
          <w:i/>
          <w:szCs w:val="20"/>
        </w:rPr>
        <w:t>vegas</w:t>
      </w:r>
      <w:r w:rsidR="005E0527" w:rsidRPr="003F7F6C">
        <w:rPr>
          <w:rFonts w:cs="Calibri"/>
          <w:szCs w:val="20"/>
        </w:rPr>
        <w:t xml:space="preserve"> </w:t>
      </w:r>
      <w:r w:rsidRPr="003F7F6C">
        <w:rPr>
          <w:rFonts w:cs="Calibri"/>
          <w:szCs w:val="20"/>
        </w:rPr>
        <w:t xml:space="preserve">are </w:t>
      </w:r>
      <w:r w:rsidR="005E0527" w:rsidRPr="003F7F6C">
        <w:rPr>
          <w:rFonts w:cs="Calibri"/>
          <w:szCs w:val="20"/>
        </w:rPr>
        <w:t>the main providers of ecosystem services</w:t>
      </w:r>
      <w:r w:rsidRPr="003F7F6C">
        <w:rPr>
          <w:rFonts w:cs="Calibri"/>
          <w:szCs w:val="20"/>
        </w:rPr>
        <w:t>.</w:t>
      </w:r>
      <w:r w:rsidR="005E0527" w:rsidRPr="003F7F6C">
        <w:rPr>
          <w:rFonts w:cs="Calibri"/>
          <w:szCs w:val="20"/>
        </w:rPr>
        <w:t xml:space="preserve"> </w:t>
      </w:r>
      <w:r w:rsidRPr="003F7F6C">
        <w:rPr>
          <w:rFonts w:cs="Calibri"/>
          <w:szCs w:val="20"/>
        </w:rPr>
        <w:t>T</w:t>
      </w:r>
      <w:r w:rsidR="005E0527" w:rsidRPr="003F7F6C">
        <w:rPr>
          <w:rFonts w:cs="Calibri"/>
          <w:szCs w:val="20"/>
        </w:rPr>
        <w:t>he Grande River</w:t>
      </w:r>
      <w:r w:rsidRPr="003F7F6C">
        <w:rPr>
          <w:rFonts w:cs="Calibri"/>
          <w:szCs w:val="20"/>
        </w:rPr>
        <w:t xml:space="preserve"> is the main river in the area, around which </w:t>
      </w:r>
      <w:r w:rsidR="005E0527" w:rsidRPr="003F7F6C">
        <w:rPr>
          <w:rFonts w:cs="Calibri"/>
          <w:szCs w:val="20"/>
        </w:rPr>
        <w:t>agricultural activity is concentrated</w:t>
      </w:r>
      <w:r w:rsidRPr="003F7F6C">
        <w:rPr>
          <w:rFonts w:cs="Calibri"/>
          <w:szCs w:val="20"/>
        </w:rPr>
        <w:t xml:space="preserve">. </w:t>
      </w:r>
      <w:r w:rsidR="005E0527" w:rsidRPr="003F7F6C">
        <w:rPr>
          <w:rFonts w:cs="Calibri"/>
          <w:szCs w:val="20"/>
        </w:rPr>
        <w:t xml:space="preserve"> </w:t>
      </w:r>
      <w:r w:rsidRPr="003F7F6C">
        <w:rPr>
          <w:rFonts w:cs="Calibri"/>
          <w:szCs w:val="20"/>
        </w:rPr>
        <w:t xml:space="preserve">Agriculture </w:t>
      </w:r>
      <w:r w:rsidR="005E0527" w:rsidRPr="003F7F6C">
        <w:rPr>
          <w:rFonts w:cs="Calibri"/>
          <w:szCs w:val="20"/>
        </w:rPr>
        <w:t xml:space="preserve">is </w:t>
      </w:r>
      <w:r w:rsidR="0041668C" w:rsidRPr="003F7F6C">
        <w:rPr>
          <w:rFonts w:cs="Calibri"/>
          <w:szCs w:val="20"/>
        </w:rPr>
        <w:t xml:space="preserve">mainly for </w:t>
      </w:r>
      <w:r w:rsidR="005E0527" w:rsidRPr="003F7F6C">
        <w:rPr>
          <w:rFonts w:cs="Calibri"/>
          <w:szCs w:val="20"/>
        </w:rPr>
        <w:t>subsistence or for local and / or regional</w:t>
      </w:r>
      <w:r w:rsidR="00CA5EDB" w:rsidRPr="003F7F6C">
        <w:rPr>
          <w:rFonts w:cs="Calibri"/>
          <w:szCs w:val="20"/>
        </w:rPr>
        <w:t xml:space="preserve"> sale</w:t>
      </w:r>
      <w:r w:rsidR="005E0527" w:rsidRPr="003F7F6C">
        <w:rPr>
          <w:rFonts w:cs="Calibri"/>
          <w:szCs w:val="20"/>
        </w:rPr>
        <w:t>. Other minor activities are beekeeping, breeding of goats, sheep, camelids and the elaboration of artisan</w:t>
      </w:r>
      <w:r w:rsidR="00CA5EDB" w:rsidRPr="003F7F6C">
        <w:rPr>
          <w:rFonts w:cs="Calibri"/>
          <w:szCs w:val="20"/>
        </w:rPr>
        <w:t>al</w:t>
      </w:r>
      <w:r w:rsidR="005E0527" w:rsidRPr="003F7F6C">
        <w:rPr>
          <w:rFonts w:cs="Calibri"/>
          <w:szCs w:val="20"/>
        </w:rPr>
        <w:t xml:space="preserve"> products (textile products, potters, food preserves, among others).</w:t>
      </w:r>
    </w:p>
    <w:p w14:paraId="097EEBEB" w14:textId="75528758" w:rsidR="005E0527" w:rsidRPr="003F7F6C" w:rsidRDefault="005E0527" w:rsidP="005E0527">
      <w:pPr>
        <w:spacing w:after="240"/>
        <w:rPr>
          <w:rFonts w:cs="Calibri"/>
          <w:szCs w:val="20"/>
        </w:rPr>
      </w:pPr>
      <w:r w:rsidRPr="003F7F6C">
        <w:rPr>
          <w:rFonts w:cs="Calibri"/>
          <w:szCs w:val="20"/>
        </w:rPr>
        <w:t xml:space="preserve">The most important mining group in the province is in the Eastern zone of the Site, Mina Aguilar, where silver, lead and zinc have been extracted </w:t>
      </w:r>
      <w:r w:rsidR="00BE62DD" w:rsidRPr="003F7F6C">
        <w:rPr>
          <w:rFonts w:cs="Calibri"/>
          <w:szCs w:val="20"/>
        </w:rPr>
        <w:t xml:space="preserve">for </w:t>
      </w:r>
      <w:r w:rsidRPr="003F7F6C">
        <w:rPr>
          <w:rFonts w:cs="Calibri"/>
          <w:szCs w:val="20"/>
        </w:rPr>
        <w:t xml:space="preserve">more than 75 years. At a landscape level, the Site combines historical, cultural, natural and archaeological elements and </w:t>
      </w:r>
      <w:r w:rsidR="00BE62DD" w:rsidRPr="003F7F6C">
        <w:rPr>
          <w:rFonts w:cs="Calibri"/>
          <w:szCs w:val="20"/>
        </w:rPr>
        <w:t xml:space="preserve">their </w:t>
      </w:r>
      <w:r w:rsidRPr="003F7F6C">
        <w:rPr>
          <w:rFonts w:cs="Calibri"/>
          <w:szCs w:val="20"/>
        </w:rPr>
        <w:t>relationship with the inhabitants of the territory is truly valuable. It is part of the Quebrada de Humahuaca and the Qapac Ñam, both declared World Heritage Sites</w:t>
      </w:r>
      <w:r w:rsidR="00BE62DD" w:rsidRPr="003F7F6C">
        <w:rPr>
          <w:rFonts w:cs="Calibri"/>
          <w:szCs w:val="20"/>
        </w:rPr>
        <w:t>, a</w:t>
      </w:r>
      <w:r w:rsidRPr="003F7F6C">
        <w:rPr>
          <w:rFonts w:cs="Calibri"/>
          <w:szCs w:val="20"/>
        </w:rPr>
        <w:t xml:space="preserve">s well as the Laguna de Leandro Provincial Natural Monument and a portion of the Biosphere Reserve of the Yungas. It is important to note that in the vicinity of the area where the Qapac Ñam is located, a vehicular road linking the towns of Santa Ana and Valle Colorado is being constructed. As the site is a tourist </w:t>
      </w:r>
      <w:r w:rsidR="0041668C" w:rsidRPr="003F7F6C">
        <w:rPr>
          <w:rFonts w:cs="Calibri"/>
          <w:szCs w:val="20"/>
        </w:rPr>
        <w:t xml:space="preserve">resource </w:t>
      </w:r>
      <w:r w:rsidRPr="003F7F6C">
        <w:rPr>
          <w:rFonts w:cs="Calibri"/>
          <w:szCs w:val="20"/>
        </w:rPr>
        <w:t xml:space="preserve">in potential development, </w:t>
      </w:r>
      <w:r w:rsidR="00BE62DD" w:rsidRPr="003F7F6C">
        <w:rPr>
          <w:rFonts w:cs="Calibri"/>
          <w:szCs w:val="20"/>
        </w:rPr>
        <w:t>ELUP</w:t>
      </w:r>
      <w:r w:rsidRPr="003F7F6C">
        <w:rPr>
          <w:rFonts w:cs="Calibri"/>
          <w:szCs w:val="20"/>
        </w:rPr>
        <w:t xml:space="preserve"> is necessary in order to avoid </w:t>
      </w:r>
      <w:r w:rsidR="0041668C" w:rsidRPr="003F7F6C">
        <w:rPr>
          <w:rFonts w:cs="Calibri"/>
          <w:szCs w:val="20"/>
        </w:rPr>
        <w:t>land speculation</w:t>
      </w:r>
      <w:r w:rsidRPr="003F7F6C">
        <w:rPr>
          <w:rFonts w:cs="Calibri"/>
          <w:szCs w:val="20"/>
        </w:rPr>
        <w:t>.</w:t>
      </w:r>
    </w:p>
    <w:p w14:paraId="652D4905" w14:textId="77777777" w:rsidR="005E0527" w:rsidRPr="003F7F6C" w:rsidRDefault="005E0527" w:rsidP="005E0527">
      <w:pPr>
        <w:spacing w:after="240"/>
        <w:rPr>
          <w:rFonts w:eastAsia="Times New Roman" w:cs="Calibri"/>
          <w:szCs w:val="20"/>
          <w:lang w:eastAsia="es-ES_tradnl"/>
        </w:rPr>
      </w:pPr>
    </w:p>
    <w:p w14:paraId="15573CEE" w14:textId="77777777" w:rsidR="005E0527" w:rsidRPr="003F7F6C" w:rsidRDefault="005E0527" w:rsidP="005E0527">
      <w:pPr>
        <w:spacing w:after="240"/>
        <w:rPr>
          <w:rFonts w:cs="Calibri"/>
          <w:b/>
          <w:szCs w:val="20"/>
          <w:lang w:val="pt-BR"/>
        </w:rPr>
      </w:pPr>
      <w:r w:rsidRPr="003F7F6C">
        <w:rPr>
          <w:rFonts w:cs="Calibri"/>
          <w:b/>
          <w:szCs w:val="20"/>
          <w:lang w:val="pt-BR"/>
        </w:rPr>
        <w:t>2. Susques-Jama-Catua-Olaroz</w:t>
      </w:r>
    </w:p>
    <w:p w14:paraId="4EC93074" w14:textId="77777777" w:rsidR="005E0527" w:rsidRPr="003F7F6C" w:rsidRDefault="005E0527" w:rsidP="005E0527">
      <w:pPr>
        <w:spacing w:after="240"/>
        <w:rPr>
          <w:rFonts w:cs="Calibri"/>
          <w:szCs w:val="20"/>
          <w:lang w:val="pt-BR"/>
        </w:rPr>
      </w:pPr>
      <w:r w:rsidRPr="003F7F6C">
        <w:rPr>
          <w:rFonts w:cs="Calibri"/>
          <w:szCs w:val="20"/>
          <w:u w:val="single"/>
          <w:lang w:val="pt-BR"/>
        </w:rPr>
        <w:t>Area</w:t>
      </w:r>
      <w:r w:rsidRPr="003F7F6C">
        <w:rPr>
          <w:rFonts w:cs="Calibri"/>
          <w:szCs w:val="20"/>
          <w:lang w:val="pt-BR"/>
        </w:rPr>
        <w:t>: 32,354 hectares</w:t>
      </w:r>
    </w:p>
    <w:p w14:paraId="1754C29C" w14:textId="77777777" w:rsidR="005E0527" w:rsidRPr="003F7F6C" w:rsidRDefault="005E0527" w:rsidP="005E0527">
      <w:pPr>
        <w:spacing w:after="240"/>
        <w:rPr>
          <w:rFonts w:cs="Calibri"/>
          <w:szCs w:val="20"/>
        </w:rPr>
      </w:pPr>
      <w:r w:rsidRPr="003F7F6C">
        <w:rPr>
          <w:rFonts w:cs="Calibri"/>
          <w:szCs w:val="20"/>
          <w:u w:val="single"/>
        </w:rPr>
        <w:t>Ecoregions covered</w:t>
      </w:r>
      <w:r w:rsidRPr="003F7F6C">
        <w:rPr>
          <w:rFonts w:cs="Calibri"/>
          <w:szCs w:val="20"/>
        </w:rPr>
        <w:t>: Puna, High Andes</w:t>
      </w:r>
    </w:p>
    <w:p w14:paraId="29BAA6CD" w14:textId="23E7F7B7" w:rsidR="005E0527" w:rsidRPr="003F7F6C" w:rsidRDefault="005E0527" w:rsidP="005E0527">
      <w:pPr>
        <w:spacing w:after="240"/>
        <w:rPr>
          <w:rFonts w:cs="Calibri"/>
          <w:szCs w:val="20"/>
          <w:u w:val="single"/>
        </w:rPr>
      </w:pPr>
      <w:r w:rsidRPr="003F7F6C">
        <w:rPr>
          <w:rFonts w:cs="Calibri"/>
          <w:szCs w:val="20"/>
          <w:u w:val="single"/>
        </w:rPr>
        <w:t>Demographic and Socio-economic description:</w:t>
      </w:r>
      <w:r w:rsidRPr="003F7F6C">
        <w:rPr>
          <w:rFonts w:cs="Calibri"/>
          <w:szCs w:val="20"/>
        </w:rPr>
        <w:t xml:space="preserve"> Within the framework of the Puna and the High Andes of Jujuy, it involves an approximate population of 2,331 inhabitants (2010 Census), </w:t>
      </w:r>
      <w:r w:rsidR="00903049" w:rsidRPr="003F7F6C">
        <w:rPr>
          <w:rFonts w:cs="Calibri"/>
          <w:szCs w:val="20"/>
        </w:rPr>
        <w:t>with the</w:t>
      </w:r>
      <w:r w:rsidRPr="003F7F6C">
        <w:rPr>
          <w:rFonts w:cs="Calibri"/>
          <w:szCs w:val="20"/>
        </w:rPr>
        <w:t xml:space="preserve"> main towns </w:t>
      </w:r>
      <w:r w:rsidR="00903049" w:rsidRPr="003F7F6C">
        <w:rPr>
          <w:rFonts w:cs="Calibri"/>
          <w:szCs w:val="20"/>
        </w:rPr>
        <w:t xml:space="preserve">being </w:t>
      </w:r>
      <w:r w:rsidRPr="003F7F6C">
        <w:rPr>
          <w:rFonts w:cs="Calibri"/>
          <w:szCs w:val="20"/>
        </w:rPr>
        <w:t xml:space="preserve">Susques, Catua, Olaroz Chico, Jama and Mina Providencia. In this site, there are 10 communities of the Atacama people: El Toro, Huancar, Portico de los Andes, Olaroz Chico, San Juan de Quillaques, Puesto Sey, Los Manantiales de Pastos Chicos, Catua, Coranzuli, Paso de Jama. 5 of these have deeds, 4 were </w:t>
      </w:r>
      <w:r w:rsidR="00305A53" w:rsidRPr="003F7F6C">
        <w:rPr>
          <w:rFonts w:cs="Calibri"/>
          <w:szCs w:val="20"/>
        </w:rPr>
        <w:t>surveyed</w:t>
      </w:r>
      <w:r w:rsidRPr="003F7F6C">
        <w:rPr>
          <w:rFonts w:cs="Calibri"/>
          <w:szCs w:val="20"/>
        </w:rPr>
        <w:t xml:space="preserve"> and one was georeferenced.</w:t>
      </w:r>
    </w:p>
    <w:p w14:paraId="789DCEED" w14:textId="53E29E86" w:rsidR="005E0527" w:rsidRPr="003F7F6C" w:rsidRDefault="005E0527" w:rsidP="005E0527">
      <w:pPr>
        <w:spacing w:after="240"/>
        <w:rPr>
          <w:rFonts w:cs="Calibri"/>
          <w:szCs w:val="20"/>
        </w:rPr>
      </w:pPr>
      <w:r w:rsidRPr="003F7F6C">
        <w:rPr>
          <w:rFonts w:cs="Calibri"/>
          <w:color w:val="222222"/>
          <w:szCs w:val="20"/>
          <w:shd w:val="clear" w:color="auto" w:fill="FFFFFF"/>
        </w:rPr>
        <w:t xml:space="preserve">The population of the Puna has some mobility, but </w:t>
      </w:r>
      <w:r w:rsidR="008B58A8" w:rsidRPr="003F7F6C">
        <w:rPr>
          <w:rFonts w:cs="Calibri"/>
          <w:color w:val="222222"/>
          <w:szCs w:val="20"/>
          <w:shd w:val="clear" w:color="auto" w:fill="FFFFFF"/>
        </w:rPr>
        <w:t xml:space="preserve">has </w:t>
      </w:r>
      <w:r w:rsidRPr="003F7F6C">
        <w:rPr>
          <w:rFonts w:cs="Calibri"/>
          <w:color w:val="222222"/>
          <w:szCs w:val="20"/>
          <w:shd w:val="clear" w:color="auto" w:fill="FFFFFF"/>
        </w:rPr>
        <w:t xml:space="preserve">a return circuit, since it goes out in search of work but it returns, both in different periods of the year and at some point in its life cycle. </w:t>
      </w:r>
      <w:r w:rsidR="008B58A8" w:rsidRPr="003F7F6C">
        <w:rPr>
          <w:rFonts w:cs="Calibri"/>
          <w:color w:val="222222"/>
          <w:szCs w:val="20"/>
          <w:shd w:val="clear" w:color="auto" w:fill="FFFFFF"/>
        </w:rPr>
        <w:t>T</w:t>
      </w:r>
      <w:r w:rsidRPr="003F7F6C">
        <w:rPr>
          <w:rFonts w:cs="Calibri"/>
          <w:color w:val="222222"/>
          <w:szCs w:val="20"/>
          <w:shd w:val="clear" w:color="auto" w:fill="FFFFFF"/>
        </w:rPr>
        <w:t xml:space="preserve">he most important activities, due to their impact on both the level of employment and the generation of income, are mining, livestock, commerce and public administration. Agriculture, tourism and handicraft production, although they still have a low level of development, have an important growth potential. Currently, in the region there is small-scale livestock entrepreneurship for subsistence or eventual informal sale in urban centers. This activity generates the minimum income to cover the basic survival needs of the family group. The agriculture </w:t>
      </w:r>
      <w:r w:rsidR="008B58A8" w:rsidRPr="003F7F6C">
        <w:rPr>
          <w:rFonts w:cs="Calibri"/>
          <w:color w:val="222222"/>
          <w:szCs w:val="20"/>
          <w:shd w:val="clear" w:color="auto" w:fill="FFFFFF"/>
        </w:rPr>
        <w:t xml:space="preserve">carried out </w:t>
      </w:r>
      <w:r w:rsidRPr="003F7F6C">
        <w:rPr>
          <w:rFonts w:cs="Calibri"/>
          <w:color w:val="222222"/>
          <w:szCs w:val="20"/>
          <w:shd w:val="clear" w:color="auto" w:fill="FFFFFF"/>
        </w:rPr>
        <w:t>is also for subsistence purpose</w:t>
      </w:r>
      <w:r w:rsidR="008B58A8" w:rsidRPr="003F7F6C">
        <w:rPr>
          <w:rFonts w:cs="Calibri"/>
          <w:color w:val="222222"/>
          <w:szCs w:val="20"/>
          <w:shd w:val="clear" w:color="auto" w:fill="FFFFFF"/>
        </w:rPr>
        <w:t>s</w:t>
      </w:r>
      <w:r w:rsidRPr="003F7F6C">
        <w:rPr>
          <w:rFonts w:cs="Calibri"/>
          <w:color w:val="222222"/>
          <w:szCs w:val="20"/>
          <w:shd w:val="clear" w:color="auto" w:fill="FFFFFF"/>
        </w:rPr>
        <w:t xml:space="preserve">. </w:t>
      </w:r>
    </w:p>
    <w:p w14:paraId="59184CBD" w14:textId="0F77DD1A" w:rsidR="005E0527" w:rsidRPr="003F7F6C" w:rsidRDefault="005E0527" w:rsidP="005E0527">
      <w:pPr>
        <w:spacing w:after="240"/>
        <w:rPr>
          <w:rFonts w:cs="Calibri"/>
          <w:szCs w:val="20"/>
        </w:rPr>
      </w:pPr>
      <w:r w:rsidRPr="003F7F6C">
        <w:rPr>
          <w:rFonts w:cs="Calibri"/>
          <w:szCs w:val="20"/>
        </w:rPr>
        <w:t>Susques, one of the most important population centers</w:t>
      </w:r>
      <w:r w:rsidR="00305A53" w:rsidRPr="003F7F6C">
        <w:rPr>
          <w:rFonts w:cs="Calibri"/>
          <w:szCs w:val="20"/>
        </w:rPr>
        <w:t>,</w:t>
      </w:r>
      <w:r w:rsidRPr="003F7F6C">
        <w:rPr>
          <w:rFonts w:cs="Calibri"/>
          <w:szCs w:val="20"/>
        </w:rPr>
        <w:t xml:space="preserve"> located at 3,675 m above sea level</w:t>
      </w:r>
      <w:r w:rsidR="00305A53" w:rsidRPr="003F7F6C">
        <w:rPr>
          <w:rFonts w:cs="Calibri"/>
          <w:szCs w:val="20"/>
        </w:rPr>
        <w:t xml:space="preserve"> and </w:t>
      </w:r>
      <w:r w:rsidRPr="003F7F6C">
        <w:rPr>
          <w:rFonts w:cs="Calibri"/>
          <w:szCs w:val="20"/>
        </w:rPr>
        <w:t xml:space="preserve">120 kilometers to the west of Purmamarca and 155 kilometers to the east of the border with Chile by the passage of Jama and that makes it an obligatory passage of this interoceanic axis. It is the </w:t>
      </w:r>
      <w:r w:rsidR="00305A53" w:rsidRPr="003F7F6C">
        <w:rPr>
          <w:rFonts w:cs="Calibri"/>
          <w:szCs w:val="20"/>
        </w:rPr>
        <w:t>capital of the Susques</w:t>
      </w:r>
      <w:r w:rsidRPr="003F7F6C">
        <w:rPr>
          <w:rFonts w:cs="Calibri"/>
          <w:szCs w:val="20"/>
        </w:rPr>
        <w:t xml:space="preserve"> Department and headquarters of the Municipal Commission. Susques also has special relevance as a community territory, since about 100 domestic units with their herds of cattle are deployed around the urban nucleus. This collective space is established by the sum of the territories of the different pastoral domestic units from Susques, locally known as</w:t>
      </w:r>
      <w:r w:rsidR="00305A53" w:rsidRPr="003F7F6C">
        <w:rPr>
          <w:rFonts w:cs="Calibri"/>
          <w:szCs w:val="20"/>
        </w:rPr>
        <w:t xml:space="preserve"> “</w:t>
      </w:r>
      <w:r w:rsidR="00305A53" w:rsidRPr="003F7F6C">
        <w:rPr>
          <w:rFonts w:cs="Calibri"/>
          <w:i/>
          <w:szCs w:val="20"/>
        </w:rPr>
        <w:t>pastoreos”</w:t>
      </w:r>
      <w:r w:rsidR="00305A53" w:rsidRPr="003F7F6C">
        <w:rPr>
          <w:rFonts w:cs="Calibri"/>
          <w:szCs w:val="20"/>
        </w:rPr>
        <w:t xml:space="preserve"> or</w:t>
      </w:r>
      <w:r w:rsidRPr="003F7F6C">
        <w:rPr>
          <w:rFonts w:cs="Calibri"/>
          <w:szCs w:val="20"/>
        </w:rPr>
        <w:t xml:space="preserve"> gra</w:t>
      </w:r>
      <w:r w:rsidR="00305A53" w:rsidRPr="003F7F6C">
        <w:rPr>
          <w:rFonts w:cs="Calibri"/>
          <w:szCs w:val="20"/>
        </w:rPr>
        <w:t>z</w:t>
      </w:r>
      <w:r w:rsidRPr="003F7F6C">
        <w:rPr>
          <w:rFonts w:cs="Calibri"/>
          <w:szCs w:val="20"/>
        </w:rPr>
        <w:t xml:space="preserve">ing lands. Most families have livestock, mainly sheep, llamas and goats. During winter they move the cattle to lower and warmer areas, and in the summer they go up to the summits, to the plains. They also work in the salt deposits and make crafts generally for domestic use. </w:t>
      </w:r>
      <w:r w:rsidR="00065C45" w:rsidRPr="003F7F6C">
        <w:rPr>
          <w:rFonts w:cs="Calibri"/>
          <w:szCs w:val="20"/>
        </w:rPr>
        <w:t xml:space="preserve">Sometimes </w:t>
      </w:r>
      <w:r w:rsidRPr="003F7F6C">
        <w:rPr>
          <w:rFonts w:cs="Calibri"/>
          <w:szCs w:val="20"/>
        </w:rPr>
        <w:t>they sell salt and artisan</w:t>
      </w:r>
      <w:r w:rsidR="00065C45" w:rsidRPr="003F7F6C">
        <w:rPr>
          <w:rFonts w:cs="Calibri"/>
          <w:szCs w:val="20"/>
        </w:rPr>
        <w:t>al</w:t>
      </w:r>
      <w:r w:rsidRPr="003F7F6C">
        <w:rPr>
          <w:rFonts w:cs="Calibri"/>
          <w:szCs w:val="20"/>
        </w:rPr>
        <w:t xml:space="preserve"> fabrics at regional fairs.</w:t>
      </w:r>
    </w:p>
    <w:p w14:paraId="1444C535" w14:textId="77777777" w:rsidR="005E0527" w:rsidRPr="003F7F6C" w:rsidRDefault="005E0527" w:rsidP="005E0527">
      <w:pPr>
        <w:spacing w:after="240"/>
        <w:rPr>
          <w:rFonts w:eastAsia="Times New Roman" w:cs="Calibri"/>
          <w:color w:val="000000"/>
          <w:szCs w:val="20"/>
          <w:lang w:eastAsia="es-US"/>
        </w:rPr>
      </w:pPr>
      <w:r w:rsidRPr="003F7F6C">
        <w:rPr>
          <w:rFonts w:eastAsia="Times New Roman" w:cs="Calibri"/>
          <w:color w:val="000000"/>
          <w:szCs w:val="20"/>
          <w:lang w:eastAsia="es-US"/>
        </w:rPr>
        <w:t>In addition to the original communities, there are key stakeholders to be considered in the territory, such as Sales de Jujuy S.A. that drives the Salar de Olaroz project, tour operators in the region and regional technicians of national programs such as IPAF or SAF that have a territorial presence.</w:t>
      </w:r>
    </w:p>
    <w:p w14:paraId="2D4E2DDD" w14:textId="77777777" w:rsidR="005E0527" w:rsidRPr="003F7F6C" w:rsidRDefault="005E0527" w:rsidP="005E0527">
      <w:pPr>
        <w:spacing w:after="240"/>
        <w:rPr>
          <w:rFonts w:cs="Calibri"/>
          <w:szCs w:val="20"/>
        </w:rPr>
      </w:pPr>
      <w:r w:rsidRPr="003F7F6C">
        <w:rPr>
          <w:rFonts w:cs="Calibri"/>
          <w:szCs w:val="20"/>
          <w:u w:val="single"/>
        </w:rPr>
        <w:t>Environmental Description</w:t>
      </w:r>
      <w:r w:rsidRPr="003F7F6C">
        <w:rPr>
          <w:rFonts w:cs="Calibri"/>
          <w:szCs w:val="20"/>
        </w:rPr>
        <w:t>: From a biophysical point of view, the Site has very specific characteristics associated with the climatic and topographic components that make living conditions difficult. At heights ranging from 3500 to 6000 masl, relevant ecological processes occur that translate into ecosystem services, allowing the existing population to survive even under extreme conditions.</w:t>
      </w:r>
    </w:p>
    <w:p w14:paraId="2B424630" w14:textId="242D1B19" w:rsidR="005E0527" w:rsidRPr="003F7F6C" w:rsidRDefault="005E0527" w:rsidP="005E0527">
      <w:pPr>
        <w:spacing w:after="240"/>
        <w:rPr>
          <w:rFonts w:cs="Calibri"/>
          <w:szCs w:val="20"/>
        </w:rPr>
      </w:pPr>
      <w:r w:rsidRPr="003F7F6C">
        <w:rPr>
          <w:rFonts w:cs="Calibri"/>
          <w:szCs w:val="20"/>
        </w:rPr>
        <w:t>The existing vegetation is shrubby and squat</w:t>
      </w:r>
      <w:r w:rsidR="00993365" w:rsidRPr="003F7F6C">
        <w:rPr>
          <w:rFonts w:cs="Calibri"/>
          <w:szCs w:val="20"/>
        </w:rPr>
        <w:t xml:space="preserve"> and</w:t>
      </w:r>
      <w:r w:rsidRPr="003F7F6C">
        <w:rPr>
          <w:rFonts w:cs="Calibri"/>
          <w:szCs w:val="20"/>
        </w:rPr>
        <w:t xml:space="preserve"> the population uses it mainly for firewood. Some species serve as pasture for cattle or for medicinal use. Agriculture and livestock in this area are basically for subsistence.</w:t>
      </w:r>
    </w:p>
    <w:p w14:paraId="288B5D2E" w14:textId="67E5AB64" w:rsidR="005E0527" w:rsidRPr="003F7F6C" w:rsidRDefault="005E0527" w:rsidP="005E0527">
      <w:pPr>
        <w:spacing w:after="240"/>
        <w:rPr>
          <w:rFonts w:eastAsia="Times New Roman" w:cs="Calibri"/>
          <w:szCs w:val="20"/>
          <w:lang w:eastAsia="es-ES_tradnl"/>
        </w:rPr>
      </w:pPr>
      <w:r w:rsidRPr="003F7F6C">
        <w:rPr>
          <w:rFonts w:eastAsia="Times New Roman" w:cs="Calibri"/>
          <w:szCs w:val="20"/>
          <w:lang w:eastAsia="es-ES_tradnl"/>
        </w:rPr>
        <w:t xml:space="preserve">In an area where water is scarce, wetlands such as rivers, lakes, lagoons, salt flats and plains are the main providers of ecosystem services, since they are the places where the greatest biodiversity and primary production are concentrated, as well as regulating the water </w:t>
      </w:r>
      <w:r w:rsidR="00993365" w:rsidRPr="003F7F6C">
        <w:rPr>
          <w:rFonts w:eastAsia="Times New Roman" w:cs="Calibri"/>
          <w:szCs w:val="20"/>
          <w:lang w:eastAsia="es-ES_tradnl"/>
        </w:rPr>
        <w:t xml:space="preserve">system </w:t>
      </w:r>
      <w:r w:rsidRPr="003F7F6C">
        <w:rPr>
          <w:rFonts w:eastAsia="Times New Roman" w:cs="Calibri"/>
          <w:szCs w:val="20"/>
          <w:lang w:eastAsia="es-ES_tradnl"/>
        </w:rPr>
        <w:t>of the region. Historically, they have been affected by livestock use and are currently exposed to two types of possible growing risks that would mainly affect hydrology: climate change and more developed uses of the territory, such as mining and tourism (Izquierdo et.al., 2016).</w:t>
      </w:r>
      <w:r w:rsidR="00993365" w:rsidRPr="003F7F6C">
        <w:rPr>
          <w:rFonts w:eastAsia="Times New Roman" w:cs="Calibri"/>
          <w:szCs w:val="20"/>
          <w:lang w:eastAsia="es-ES_tradnl"/>
        </w:rPr>
        <w:t xml:space="preserve"> </w:t>
      </w:r>
    </w:p>
    <w:p w14:paraId="05827AF7" w14:textId="2B814072" w:rsidR="005E0527" w:rsidRPr="003F7F6C" w:rsidRDefault="005E0527" w:rsidP="005E0527">
      <w:pPr>
        <w:spacing w:after="240"/>
        <w:rPr>
          <w:rFonts w:eastAsia="Times New Roman" w:cs="Calibri"/>
          <w:szCs w:val="20"/>
          <w:lang w:eastAsia="es-ES_tradnl"/>
        </w:rPr>
      </w:pPr>
      <w:r w:rsidRPr="003F7F6C">
        <w:rPr>
          <w:rFonts w:eastAsia="Times New Roman" w:cs="Calibri"/>
          <w:szCs w:val="20"/>
          <w:lang w:eastAsia="es-ES_tradnl"/>
        </w:rPr>
        <w:t xml:space="preserve">The dynamics associated with the endorheic basins and the particular geology of the area have allowed the formation of important minerals that are currently being exploited, with prospection </w:t>
      </w:r>
      <w:r w:rsidR="00993365" w:rsidRPr="003F7F6C">
        <w:rPr>
          <w:rFonts w:eastAsia="Times New Roman" w:cs="Calibri"/>
          <w:szCs w:val="20"/>
          <w:lang w:eastAsia="es-ES_tradnl"/>
        </w:rPr>
        <w:t xml:space="preserve">expected </w:t>
      </w:r>
      <w:r w:rsidRPr="003F7F6C">
        <w:rPr>
          <w:rFonts w:eastAsia="Times New Roman" w:cs="Calibri"/>
          <w:szCs w:val="20"/>
          <w:lang w:eastAsia="es-ES_tradnl"/>
        </w:rPr>
        <w:t xml:space="preserve">to continue increasing. Another resource that </w:t>
      </w:r>
      <w:r w:rsidR="00993365" w:rsidRPr="003F7F6C">
        <w:rPr>
          <w:rFonts w:eastAsia="Times New Roman" w:cs="Calibri"/>
          <w:szCs w:val="20"/>
          <w:lang w:eastAsia="es-ES_tradnl"/>
        </w:rPr>
        <w:t xml:space="preserve">the </w:t>
      </w:r>
      <w:r w:rsidRPr="003F7F6C">
        <w:rPr>
          <w:rFonts w:eastAsia="Times New Roman" w:cs="Calibri"/>
          <w:szCs w:val="20"/>
          <w:lang w:eastAsia="es-ES_tradnl"/>
        </w:rPr>
        <w:t xml:space="preserve">zone </w:t>
      </w:r>
      <w:r w:rsidR="00993365" w:rsidRPr="003F7F6C">
        <w:rPr>
          <w:rFonts w:eastAsia="Times New Roman" w:cs="Calibri"/>
          <w:szCs w:val="20"/>
          <w:lang w:eastAsia="es-ES_tradnl"/>
        </w:rPr>
        <w:t xml:space="preserve">has </w:t>
      </w:r>
      <w:r w:rsidRPr="003F7F6C">
        <w:rPr>
          <w:rFonts w:eastAsia="Times New Roman" w:cs="Calibri"/>
          <w:szCs w:val="20"/>
          <w:lang w:eastAsia="es-ES_tradnl"/>
        </w:rPr>
        <w:t xml:space="preserve">is the large number of hours of solar energy, being close to the area </w:t>
      </w:r>
      <w:r w:rsidR="00993365" w:rsidRPr="003F7F6C">
        <w:rPr>
          <w:rFonts w:eastAsia="Times New Roman" w:cs="Calibri"/>
          <w:szCs w:val="20"/>
          <w:lang w:eastAsia="es-ES_tradnl"/>
        </w:rPr>
        <w:t xml:space="preserve">of </w:t>
      </w:r>
      <w:r w:rsidRPr="003F7F6C">
        <w:rPr>
          <w:rFonts w:eastAsia="Times New Roman" w:cs="Calibri"/>
          <w:szCs w:val="20"/>
          <w:lang w:eastAsia="es-ES_tradnl"/>
        </w:rPr>
        <w:t>one of the largest solar ventures in Latin America, the Olaroz-Cauchari solar park.</w:t>
      </w:r>
    </w:p>
    <w:p w14:paraId="79B4139E" w14:textId="3FF8C4DB" w:rsidR="005E0527" w:rsidRPr="003F7F6C" w:rsidRDefault="005E0527" w:rsidP="005E0527">
      <w:pPr>
        <w:spacing w:after="240"/>
        <w:rPr>
          <w:rFonts w:eastAsia="Times New Roman" w:cs="Calibri"/>
          <w:szCs w:val="20"/>
          <w:lang w:eastAsia="es-ES_tradnl"/>
        </w:rPr>
      </w:pPr>
      <w:r w:rsidRPr="003F7F6C">
        <w:rPr>
          <w:rFonts w:eastAsia="Times New Roman" w:cs="Calibri"/>
          <w:szCs w:val="20"/>
          <w:lang w:eastAsia="es-ES_tradnl"/>
        </w:rPr>
        <w:t>At the landscape level, the site has imposing places associated with geological, geomorphological, volcanic and salt formations, which make this place an unexploited attraction. Currently, there are limitations due to basic infrastructure deficits (road network, communications, sanitary and health services, tourism, etc.), very important for its articulation with the Andean circuit in Chile and regional trade.</w:t>
      </w:r>
    </w:p>
    <w:p w14:paraId="0C6195F4" w14:textId="77777777" w:rsidR="005E0527" w:rsidRPr="003F7F6C" w:rsidRDefault="005E0527" w:rsidP="005E0527">
      <w:pPr>
        <w:spacing w:after="240"/>
        <w:rPr>
          <w:rFonts w:cs="Calibri"/>
          <w:b/>
          <w:szCs w:val="20"/>
        </w:rPr>
      </w:pPr>
      <w:r w:rsidRPr="003F7F6C">
        <w:rPr>
          <w:rFonts w:cs="Calibri"/>
          <w:b/>
          <w:szCs w:val="20"/>
        </w:rPr>
        <w:t>Figure 2 – Map of Jujuy target landscapes and ecoregions covered</w:t>
      </w:r>
    </w:p>
    <w:p w14:paraId="16C2675E" w14:textId="77777777" w:rsidR="005E0527" w:rsidRPr="003F7F6C" w:rsidRDefault="005E0527" w:rsidP="005E0527">
      <w:pPr>
        <w:spacing w:after="240"/>
        <w:rPr>
          <w:rFonts w:cs="Calibri"/>
          <w:szCs w:val="20"/>
        </w:rPr>
      </w:pPr>
      <w:r w:rsidRPr="003F7F6C">
        <w:rPr>
          <w:rFonts w:ascii="Times New Roman" w:hAnsi="Times New Roman"/>
          <w:noProof/>
        </w:rPr>
        <w:drawing>
          <wp:inline distT="0" distB="0" distL="0" distR="0" wp14:anchorId="7FA7BF76" wp14:editId="61690914">
            <wp:extent cx="5396230" cy="5011439"/>
            <wp:effectExtent l="0" t="0" r="1270" b="508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396230" cy="5011439"/>
                    </a:xfrm>
                    <a:prstGeom prst="rect">
                      <a:avLst/>
                    </a:prstGeom>
                    <a:noFill/>
                    <a:ln>
                      <a:noFill/>
                    </a:ln>
                  </pic:spPr>
                </pic:pic>
              </a:graphicData>
            </a:graphic>
          </wp:inline>
        </w:drawing>
      </w:r>
    </w:p>
    <w:p w14:paraId="3B043DB1" w14:textId="77777777" w:rsidR="005E0527" w:rsidRPr="003F7F6C" w:rsidRDefault="005E0527" w:rsidP="005E0527">
      <w:pPr>
        <w:spacing w:after="240"/>
        <w:rPr>
          <w:rFonts w:cs="Calibri"/>
          <w:szCs w:val="20"/>
        </w:rPr>
      </w:pPr>
    </w:p>
    <w:p w14:paraId="2CBF8026" w14:textId="77777777" w:rsidR="005E0527" w:rsidRPr="003F7F6C" w:rsidRDefault="005E0527" w:rsidP="005E0527">
      <w:pPr>
        <w:spacing w:after="240"/>
        <w:rPr>
          <w:rFonts w:cs="Calibri"/>
          <w:szCs w:val="20"/>
        </w:rPr>
      </w:pPr>
    </w:p>
    <w:p w14:paraId="49A40B45" w14:textId="77777777" w:rsidR="005E0527" w:rsidRPr="003F7F6C" w:rsidRDefault="005E0527" w:rsidP="005E0527">
      <w:pPr>
        <w:spacing w:after="240"/>
        <w:rPr>
          <w:rFonts w:cs="Calibri"/>
          <w:szCs w:val="20"/>
        </w:rPr>
      </w:pPr>
    </w:p>
    <w:p w14:paraId="35512B43" w14:textId="77777777" w:rsidR="005E0527" w:rsidRPr="003F7F6C" w:rsidRDefault="005E0527" w:rsidP="005E0527">
      <w:pPr>
        <w:spacing w:after="240"/>
        <w:rPr>
          <w:rFonts w:cs="Calibri"/>
          <w:szCs w:val="20"/>
        </w:rPr>
      </w:pPr>
    </w:p>
    <w:p w14:paraId="05F570FA" w14:textId="77777777" w:rsidR="005E0527" w:rsidRPr="003F7F6C" w:rsidRDefault="005E0527" w:rsidP="005E0527">
      <w:pPr>
        <w:spacing w:after="0"/>
        <w:rPr>
          <w:rFonts w:cs="Calibri"/>
          <w:szCs w:val="20"/>
        </w:rPr>
      </w:pPr>
      <w:r w:rsidRPr="003F7F6C">
        <w:rPr>
          <w:rFonts w:cs="Calibri"/>
          <w:b/>
          <w:szCs w:val="20"/>
          <w:u w:val="single"/>
        </w:rPr>
        <w:t>PROVINCE OF MENDOZA</w:t>
      </w:r>
    </w:p>
    <w:p w14:paraId="33FBCCCF" w14:textId="77777777" w:rsidR="005E0527" w:rsidRPr="003F7F6C" w:rsidRDefault="005E0527" w:rsidP="005E0527">
      <w:pPr>
        <w:spacing w:after="240"/>
        <w:rPr>
          <w:rFonts w:cs="Calibri"/>
          <w:b/>
          <w:szCs w:val="20"/>
        </w:rPr>
      </w:pPr>
    </w:p>
    <w:p w14:paraId="5DECFE8F" w14:textId="77777777" w:rsidR="005E0527" w:rsidRPr="003F7F6C" w:rsidRDefault="005E0527" w:rsidP="005E0527">
      <w:pPr>
        <w:spacing w:after="240"/>
        <w:rPr>
          <w:rFonts w:cs="Calibri"/>
          <w:b/>
          <w:szCs w:val="20"/>
        </w:rPr>
      </w:pPr>
      <w:r w:rsidRPr="003F7F6C">
        <w:rPr>
          <w:rFonts w:cs="Calibri"/>
          <w:b/>
          <w:szCs w:val="20"/>
        </w:rPr>
        <w:t>1. Andean Piedmont of the Metropolitan Area of Mendoza (AMM)</w:t>
      </w:r>
    </w:p>
    <w:p w14:paraId="67EE9A39" w14:textId="77777777" w:rsidR="005E0527" w:rsidRPr="003F7F6C" w:rsidRDefault="005E0527" w:rsidP="005E0527">
      <w:pPr>
        <w:spacing w:after="240"/>
        <w:rPr>
          <w:rFonts w:cs="Calibri"/>
          <w:color w:val="000000"/>
          <w:szCs w:val="20"/>
          <w:u w:val="single"/>
        </w:rPr>
      </w:pPr>
      <w:r w:rsidRPr="003F7F6C">
        <w:rPr>
          <w:rFonts w:cs="Calibri"/>
          <w:color w:val="000000"/>
          <w:szCs w:val="20"/>
          <w:u w:val="single"/>
        </w:rPr>
        <w:t xml:space="preserve">Area: </w:t>
      </w:r>
      <w:r w:rsidRPr="003F7F6C">
        <w:rPr>
          <w:rFonts w:cs="Calibri"/>
          <w:color w:val="000000"/>
          <w:szCs w:val="20"/>
        </w:rPr>
        <w:t>25,711 hectares</w:t>
      </w:r>
    </w:p>
    <w:p w14:paraId="479F7A96" w14:textId="77777777" w:rsidR="005E0527" w:rsidRPr="003F7F6C" w:rsidRDefault="005E0527" w:rsidP="005E0527">
      <w:pPr>
        <w:spacing w:after="240"/>
        <w:rPr>
          <w:rFonts w:cs="Calibri"/>
          <w:color w:val="000000"/>
          <w:szCs w:val="20"/>
          <w:u w:val="single"/>
        </w:rPr>
      </w:pPr>
      <w:r w:rsidRPr="003F7F6C">
        <w:rPr>
          <w:rFonts w:cs="Calibri"/>
          <w:color w:val="000000"/>
          <w:szCs w:val="20"/>
          <w:u w:val="single"/>
        </w:rPr>
        <w:t xml:space="preserve">Ecoregions covered: </w:t>
      </w:r>
      <w:r w:rsidRPr="003F7F6C">
        <w:rPr>
          <w:rFonts w:cs="Calibri"/>
          <w:color w:val="000000"/>
          <w:szCs w:val="20"/>
        </w:rPr>
        <w:t>High Andes, Low Monte, High Monte</w:t>
      </w:r>
    </w:p>
    <w:p w14:paraId="4C2EAC53" w14:textId="77777777" w:rsidR="005E0527" w:rsidRPr="003F7F6C" w:rsidRDefault="005E0527" w:rsidP="005E0527">
      <w:pPr>
        <w:spacing w:after="240"/>
        <w:rPr>
          <w:rFonts w:cs="Calibri"/>
          <w:color w:val="000000"/>
          <w:szCs w:val="20"/>
        </w:rPr>
      </w:pPr>
      <w:r w:rsidRPr="003F7F6C">
        <w:rPr>
          <w:rFonts w:cs="Calibri"/>
          <w:color w:val="000000"/>
          <w:szCs w:val="20"/>
          <w:u w:val="single"/>
        </w:rPr>
        <w:t xml:space="preserve">Main locations: </w:t>
      </w:r>
      <w:r w:rsidRPr="003F7F6C">
        <w:rPr>
          <w:rFonts w:cs="Calibri"/>
          <w:color w:val="000000"/>
          <w:szCs w:val="20"/>
        </w:rPr>
        <w:t>Las Heras- Capital- Godoy Cruz- Luján</w:t>
      </w:r>
    </w:p>
    <w:p w14:paraId="3595D235" w14:textId="77777777" w:rsidR="005E0527" w:rsidRPr="003F7F6C" w:rsidRDefault="005E0527" w:rsidP="005E0527">
      <w:pPr>
        <w:autoSpaceDE w:val="0"/>
        <w:autoSpaceDN w:val="0"/>
        <w:adjustRightInd w:val="0"/>
        <w:spacing w:after="240"/>
        <w:rPr>
          <w:rFonts w:cs="Calibri"/>
          <w:szCs w:val="20"/>
        </w:rPr>
      </w:pPr>
      <w:r w:rsidRPr="003F7F6C">
        <w:rPr>
          <w:rFonts w:cs="Calibri"/>
          <w:szCs w:val="20"/>
          <w:u w:val="single"/>
        </w:rPr>
        <w:t>Demographic and Socio-economic Description</w:t>
      </w:r>
      <w:r w:rsidRPr="003F7F6C">
        <w:rPr>
          <w:rFonts w:cs="Calibri"/>
          <w:szCs w:val="20"/>
        </w:rPr>
        <w:t>: It comprises an approximate population of 30,000 inhabitants. Because of the territorial characteristics, most of them are individuals who have private property and with whom a dialogue must be established to incorporate environmental notions and ecosystem services in the management of their properties.</w:t>
      </w:r>
    </w:p>
    <w:p w14:paraId="4FADFDDD" w14:textId="41AD4B52" w:rsidR="005E0527" w:rsidRPr="003F7F6C" w:rsidRDefault="005E0527" w:rsidP="005E0527">
      <w:pPr>
        <w:autoSpaceDE w:val="0"/>
        <w:autoSpaceDN w:val="0"/>
        <w:adjustRightInd w:val="0"/>
        <w:spacing w:after="240"/>
        <w:rPr>
          <w:rFonts w:cs="Calibri"/>
          <w:szCs w:val="20"/>
        </w:rPr>
      </w:pPr>
      <w:r w:rsidRPr="003F7F6C">
        <w:rPr>
          <w:rFonts w:cs="Calibri"/>
          <w:szCs w:val="20"/>
        </w:rPr>
        <w:t>Another objective is working with stakeholders in the tourism sector and the areas involved in the Divisadero Largo Reserve. Among the local activities to be considered is the raising of pigs, which, although of small scale, includes some local producers</w:t>
      </w:r>
      <w:r w:rsidR="00081FEB" w:rsidRPr="003F7F6C">
        <w:rPr>
          <w:rFonts w:cs="Calibri"/>
          <w:szCs w:val="20"/>
        </w:rPr>
        <w:t>.</w:t>
      </w:r>
      <w:r w:rsidRPr="003F7F6C">
        <w:rPr>
          <w:rFonts w:cs="Calibri"/>
          <w:szCs w:val="20"/>
        </w:rPr>
        <w:t xml:space="preserve"> </w:t>
      </w:r>
      <w:r w:rsidR="00081FEB" w:rsidRPr="003F7F6C">
        <w:rPr>
          <w:rFonts w:cs="Calibri"/>
          <w:szCs w:val="20"/>
        </w:rPr>
        <w:t>I</w:t>
      </w:r>
      <w:r w:rsidRPr="003F7F6C">
        <w:rPr>
          <w:rFonts w:cs="Calibri"/>
          <w:szCs w:val="20"/>
        </w:rPr>
        <w:t xml:space="preserve">t </w:t>
      </w:r>
      <w:r w:rsidR="00081FEB" w:rsidRPr="003F7F6C">
        <w:rPr>
          <w:rFonts w:cs="Calibri"/>
          <w:szCs w:val="20"/>
        </w:rPr>
        <w:t xml:space="preserve">is </w:t>
      </w:r>
      <w:r w:rsidRPr="003F7F6C">
        <w:rPr>
          <w:rFonts w:cs="Calibri"/>
          <w:szCs w:val="20"/>
        </w:rPr>
        <w:t xml:space="preserve">also </w:t>
      </w:r>
      <w:r w:rsidR="00081FEB" w:rsidRPr="003F7F6C">
        <w:rPr>
          <w:rFonts w:cs="Calibri"/>
          <w:szCs w:val="20"/>
        </w:rPr>
        <w:t>important</w:t>
      </w:r>
      <w:r w:rsidRPr="003F7F6C">
        <w:rPr>
          <w:rFonts w:cs="Calibri"/>
          <w:szCs w:val="20"/>
        </w:rPr>
        <w:t xml:space="preserve"> to articulate with private actors, such as tour operators or other social organizations. </w:t>
      </w:r>
    </w:p>
    <w:p w14:paraId="60F0F37B" w14:textId="7CD0A737" w:rsidR="005E0527" w:rsidRPr="003F7F6C" w:rsidRDefault="005E0527" w:rsidP="005E0527">
      <w:pPr>
        <w:pStyle w:val="NormalWeb"/>
        <w:shd w:val="clear" w:color="auto" w:fill="FFFFFF"/>
        <w:spacing w:after="240"/>
        <w:rPr>
          <w:rFonts w:ascii="Calibri" w:eastAsia="Calibri" w:hAnsi="Calibri" w:cs="Calibri"/>
          <w:sz w:val="20"/>
          <w:szCs w:val="20"/>
        </w:rPr>
      </w:pPr>
      <w:r w:rsidRPr="003F7F6C">
        <w:rPr>
          <w:rFonts w:ascii="Calibri" w:eastAsia="Calibri" w:hAnsi="Calibri" w:cs="Calibri"/>
          <w:sz w:val="20"/>
          <w:szCs w:val="20"/>
          <w:u w:val="single"/>
        </w:rPr>
        <w:t>Environmental Description</w:t>
      </w:r>
      <w:r w:rsidRPr="003F7F6C">
        <w:rPr>
          <w:rFonts w:ascii="Calibri" w:eastAsia="Calibri" w:hAnsi="Calibri" w:cs="Calibri"/>
          <w:sz w:val="20"/>
          <w:szCs w:val="20"/>
        </w:rPr>
        <w:t xml:space="preserve">: </w:t>
      </w:r>
      <w:r w:rsidR="00081FEB" w:rsidRPr="003F7F6C">
        <w:rPr>
          <w:rFonts w:ascii="Calibri" w:eastAsia="Calibri" w:hAnsi="Calibri" w:cs="Calibri"/>
          <w:sz w:val="20"/>
          <w:szCs w:val="20"/>
        </w:rPr>
        <w:t xml:space="preserve">This area </w:t>
      </w:r>
      <w:r w:rsidRPr="003F7F6C">
        <w:rPr>
          <w:rFonts w:ascii="Calibri" w:eastAsia="Calibri" w:hAnsi="Calibri" w:cs="Calibri"/>
          <w:sz w:val="20"/>
          <w:szCs w:val="20"/>
        </w:rPr>
        <w:t xml:space="preserve">is a transition unit between the mountainous region and the plain, composed </w:t>
      </w:r>
      <w:r w:rsidR="00081FEB" w:rsidRPr="003F7F6C">
        <w:rPr>
          <w:rFonts w:ascii="Calibri" w:eastAsia="Calibri" w:hAnsi="Calibri" w:cs="Calibri"/>
          <w:sz w:val="20"/>
          <w:szCs w:val="20"/>
        </w:rPr>
        <w:t xml:space="preserve">of </w:t>
      </w:r>
      <w:r w:rsidRPr="003F7F6C">
        <w:rPr>
          <w:rFonts w:ascii="Calibri" w:eastAsia="Calibri" w:hAnsi="Calibri" w:cs="Calibri"/>
          <w:sz w:val="20"/>
          <w:szCs w:val="20"/>
        </w:rPr>
        <w:t>loose and eroded pleistocene materials, with variants according to the type of mountainous relief they come from. In the aforementioned case, it is the Precordillera foothill, closely related to the</w:t>
      </w:r>
      <w:r w:rsidR="00E571AF" w:rsidRPr="003F7F6C">
        <w:rPr>
          <w:rFonts w:ascii="Calibri" w:eastAsia="Calibri" w:hAnsi="Calibri" w:cs="Calibri"/>
          <w:sz w:val="20"/>
          <w:szCs w:val="20"/>
        </w:rPr>
        <w:t xml:space="preserve"> Mendoza Metropolitan Area</w:t>
      </w:r>
      <w:r w:rsidRPr="003F7F6C">
        <w:rPr>
          <w:rFonts w:ascii="Calibri" w:eastAsia="Calibri" w:hAnsi="Calibri" w:cs="Calibri"/>
          <w:sz w:val="20"/>
          <w:szCs w:val="20"/>
        </w:rPr>
        <w:t xml:space="preserve"> which starts at around 1,500 masl. and it has a variable extension towards the plain that differs between 10 and 20 km.</w:t>
      </w:r>
    </w:p>
    <w:p w14:paraId="16B99A9D" w14:textId="2FDCB8CF" w:rsidR="005E0527" w:rsidRPr="003F7F6C" w:rsidRDefault="005E0527" w:rsidP="005E0527">
      <w:pPr>
        <w:pStyle w:val="NormalWeb"/>
        <w:shd w:val="clear" w:color="auto" w:fill="FFFFFF"/>
        <w:spacing w:before="0" w:beforeAutospacing="0" w:after="240" w:afterAutospacing="0"/>
        <w:rPr>
          <w:rFonts w:ascii="Calibri" w:eastAsia="Calibri" w:hAnsi="Calibri" w:cs="Calibri"/>
          <w:sz w:val="20"/>
          <w:szCs w:val="20"/>
        </w:rPr>
      </w:pPr>
      <w:r w:rsidRPr="003F7F6C">
        <w:rPr>
          <w:rFonts w:ascii="Calibri" w:eastAsia="Calibri" w:hAnsi="Calibri" w:cs="Calibri"/>
          <w:sz w:val="20"/>
          <w:szCs w:val="20"/>
        </w:rPr>
        <w:t xml:space="preserve">The dominant plant characteristic of this site is the so-called Larrea shrub steppe. This "jarillal" is formed by </w:t>
      </w:r>
      <w:r w:rsidRPr="003F7F6C">
        <w:rPr>
          <w:rFonts w:ascii="Calibri" w:eastAsia="Calibri" w:hAnsi="Calibri" w:cs="Calibri"/>
          <w:i/>
          <w:sz w:val="20"/>
          <w:szCs w:val="20"/>
        </w:rPr>
        <w:t>Larrea cuneifolia</w:t>
      </w:r>
      <w:r w:rsidRPr="003F7F6C">
        <w:rPr>
          <w:rFonts w:ascii="Calibri" w:eastAsia="Calibri" w:hAnsi="Calibri" w:cs="Calibri"/>
          <w:sz w:val="20"/>
          <w:szCs w:val="20"/>
        </w:rPr>
        <w:t xml:space="preserve"> and </w:t>
      </w:r>
      <w:r w:rsidRPr="003F7F6C">
        <w:rPr>
          <w:rFonts w:ascii="Calibri" w:eastAsia="Calibri" w:hAnsi="Calibri" w:cs="Calibri"/>
          <w:i/>
          <w:sz w:val="20"/>
          <w:szCs w:val="20"/>
        </w:rPr>
        <w:t>Larrea divaricata</w:t>
      </w:r>
      <w:r w:rsidRPr="003F7F6C">
        <w:rPr>
          <w:rFonts w:ascii="Calibri" w:eastAsia="Calibri" w:hAnsi="Calibri" w:cs="Calibri"/>
          <w:sz w:val="20"/>
          <w:szCs w:val="20"/>
        </w:rPr>
        <w:t xml:space="preserve"> as dominant species and others such as llaullin (</w:t>
      </w:r>
      <w:r w:rsidRPr="003F7F6C">
        <w:rPr>
          <w:rFonts w:ascii="Calibri" w:eastAsia="Calibri" w:hAnsi="Calibri" w:cs="Calibri"/>
          <w:i/>
          <w:sz w:val="20"/>
          <w:szCs w:val="20"/>
        </w:rPr>
        <w:t>Lyciumtenui</w:t>
      </w:r>
      <w:r w:rsidR="00E571AF" w:rsidRPr="003F7F6C">
        <w:rPr>
          <w:rFonts w:ascii="Calibri" w:eastAsia="Calibri" w:hAnsi="Calibri" w:cs="Calibri"/>
          <w:i/>
          <w:sz w:val="20"/>
          <w:szCs w:val="20"/>
        </w:rPr>
        <w:t xml:space="preserve"> </w:t>
      </w:r>
      <w:r w:rsidRPr="003F7F6C">
        <w:rPr>
          <w:rFonts w:ascii="Calibri" w:eastAsia="Calibri" w:hAnsi="Calibri" w:cs="Calibri"/>
          <w:i/>
          <w:sz w:val="20"/>
          <w:szCs w:val="20"/>
        </w:rPr>
        <w:t>spinosum</w:t>
      </w:r>
      <w:r w:rsidRPr="003F7F6C">
        <w:rPr>
          <w:rFonts w:ascii="Calibri" w:eastAsia="Calibri" w:hAnsi="Calibri" w:cs="Calibri"/>
          <w:sz w:val="20"/>
          <w:szCs w:val="20"/>
        </w:rPr>
        <w:t>), and thyme (</w:t>
      </w:r>
      <w:r w:rsidRPr="003F7F6C">
        <w:rPr>
          <w:rFonts w:ascii="Calibri" w:eastAsia="Calibri" w:hAnsi="Calibri" w:cs="Calibri"/>
          <w:i/>
          <w:sz w:val="20"/>
          <w:szCs w:val="20"/>
        </w:rPr>
        <w:t>Acantholoppia</w:t>
      </w:r>
      <w:r w:rsidR="00E571AF" w:rsidRPr="003F7F6C">
        <w:rPr>
          <w:rFonts w:ascii="Calibri" w:eastAsia="Calibri" w:hAnsi="Calibri" w:cs="Calibri"/>
          <w:i/>
          <w:sz w:val="20"/>
          <w:szCs w:val="20"/>
        </w:rPr>
        <w:t xml:space="preserve"> </w:t>
      </w:r>
      <w:r w:rsidRPr="003F7F6C">
        <w:rPr>
          <w:rFonts w:ascii="Calibri" w:eastAsia="Calibri" w:hAnsi="Calibri" w:cs="Calibri"/>
          <w:i/>
          <w:sz w:val="20"/>
          <w:szCs w:val="20"/>
        </w:rPr>
        <w:t>seriphioides</w:t>
      </w:r>
      <w:r w:rsidRPr="003F7F6C">
        <w:rPr>
          <w:rFonts w:ascii="Calibri" w:eastAsia="Calibri" w:hAnsi="Calibri" w:cs="Calibri"/>
          <w:sz w:val="20"/>
          <w:szCs w:val="20"/>
        </w:rPr>
        <w:t>), leaf grass (</w:t>
      </w:r>
      <w:r w:rsidRPr="003F7F6C">
        <w:rPr>
          <w:rFonts w:ascii="Calibri" w:eastAsia="Calibri" w:hAnsi="Calibri" w:cs="Calibri"/>
          <w:i/>
          <w:sz w:val="20"/>
          <w:szCs w:val="20"/>
        </w:rPr>
        <w:t>Trichloris crinita</w:t>
      </w:r>
      <w:r w:rsidRPr="003F7F6C">
        <w:rPr>
          <w:rFonts w:ascii="Calibri" w:eastAsia="Calibri" w:hAnsi="Calibri" w:cs="Calibri"/>
          <w:sz w:val="20"/>
          <w:szCs w:val="20"/>
        </w:rPr>
        <w:t>) and numerous cacti.</w:t>
      </w:r>
    </w:p>
    <w:p w14:paraId="696D4636" w14:textId="525446B8" w:rsidR="005E0527" w:rsidRPr="003F7F6C" w:rsidRDefault="005E0527" w:rsidP="005E0527">
      <w:pPr>
        <w:autoSpaceDE w:val="0"/>
        <w:autoSpaceDN w:val="0"/>
        <w:adjustRightInd w:val="0"/>
        <w:spacing w:after="240"/>
        <w:rPr>
          <w:rFonts w:cs="Calibri"/>
          <w:szCs w:val="20"/>
        </w:rPr>
      </w:pPr>
      <w:r w:rsidRPr="003F7F6C">
        <w:rPr>
          <w:rFonts w:cs="Calibri"/>
          <w:i/>
          <w:color w:val="000000"/>
          <w:szCs w:val="20"/>
        </w:rPr>
        <w:t>Conservation Efforts:</w:t>
      </w:r>
      <w:r w:rsidRPr="003F7F6C">
        <w:rPr>
          <w:rFonts w:cs="Calibri"/>
          <w:szCs w:val="20"/>
        </w:rPr>
        <w:t xml:space="preserve"> </w:t>
      </w:r>
      <w:r w:rsidR="00D00B4D" w:rsidRPr="003F7F6C">
        <w:rPr>
          <w:rFonts w:cs="Calibri"/>
          <w:szCs w:val="20"/>
        </w:rPr>
        <w:t>T</w:t>
      </w:r>
      <w:r w:rsidRPr="003F7F6C">
        <w:rPr>
          <w:rFonts w:cs="Calibri"/>
          <w:szCs w:val="20"/>
        </w:rPr>
        <w:t>he Divisadero Largo Reserve</w:t>
      </w:r>
      <w:r w:rsidR="00D00B4D" w:rsidRPr="003F7F6C">
        <w:rPr>
          <w:rFonts w:cs="Calibri"/>
          <w:szCs w:val="20"/>
        </w:rPr>
        <w:t xml:space="preserve"> is located within this pilot site,</w:t>
      </w:r>
      <w:r w:rsidRPr="003F7F6C">
        <w:rPr>
          <w:rFonts w:cs="Calibri"/>
          <w:szCs w:val="20"/>
        </w:rPr>
        <w:t xml:space="preserve"> </w:t>
      </w:r>
      <w:r w:rsidR="00D00B4D" w:rsidRPr="003F7F6C">
        <w:rPr>
          <w:rFonts w:cs="Calibri"/>
          <w:szCs w:val="20"/>
        </w:rPr>
        <w:t>spanning the</w:t>
      </w:r>
      <w:r w:rsidRPr="003F7F6C">
        <w:rPr>
          <w:rFonts w:cs="Calibri"/>
          <w:szCs w:val="20"/>
        </w:rPr>
        <w:t xml:space="preserve"> foothills of the S</w:t>
      </w:r>
      <w:r w:rsidR="00D00B4D" w:rsidRPr="003F7F6C">
        <w:rPr>
          <w:rFonts w:cs="Calibri"/>
          <w:szCs w:val="20"/>
        </w:rPr>
        <w:t>i</w:t>
      </w:r>
      <w:r w:rsidRPr="003F7F6C">
        <w:rPr>
          <w:rFonts w:cs="Calibri"/>
          <w:szCs w:val="20"/>
        </w:rPr>
        <w:t xml:space="preserve">erra de Uspallata between 900 and 1350 meters above sea level, </w:t>
      </w:r>
      <w:r w:rsidR="00D00B4D" w:rsidRPr="003F7F6C">
        <w:rPr>
          <w:rFonts w:cs="Calibri"/>
          <w:szCs w:val="20"/>
        </w:rPr>
        <w:t xml:space="preserve">in </w:t>
      </w:r>
      <w:r w:rsidR="00081FEB" w:rsidRPr="003F7F6C">
        <w:rPr>
          <w:rFonts w:cs="Calibri"/>
          <w:szCs w:val="20"/>
        </w:rPr>
        <w:t xml:space="preserve">the </w:t>
      </w:r>
      <w:r w:rsidRPr="003F7F6C">
        <w:rPr>
          <w:rFonts w:cs="Calibri"/>
          <w:szCs w:val="20"/>
        </w:rPr>
        <w:t xml:space="preserve">departments of Capital and Las Heras. The area covers ​​492 hectares (Law 4.902). It </w:t>
      </w:r>
      <w:r w:rsidR="00081FEB" w:rsidRPr="003F7F6C">
        <w:rPr>
          <w:rFonts w:cs="Calibri"/>
          <w:szCs w:val="20"/>
        </w:rPr>
        <w:t xml:space="preserve">is </w:t>
      </w:r>
      <w:r w:rsidRPr="003F7F6C">
        <w:rPr>
          <w:rFonts w:cs="Calibri"/>
          <w:szCs w:val="20"/>
        </w:rPr>
        <w:t>approximately 10 km in length and 0.9 km in its middle sector.</w:t>
      </w:r>
    </w:p>
    <w:p w14:paraId="202B62E8" w14:textId="03A0D2B2" w:rsidR="005E0527" w:rsidRPr="003F7F6C" w:rsidRDefault="005E0527" w:rsidP="005E0527">
      <w:pPr>
        <w:autoSpaceDE w:val="0"/>
        <w:autoSpaceDN w:val="0"/>
        <w:adjustRightInd w:val="0"/>
        <w:spacing w:after="240"/>
        <w:rPr>
          <w:rFonts w:cs="Calibri"/>
          <w:szCs w:val="20"/>
        </w:rPr>
      </w:pPr>
      <w:r w:rsidRPr="003F7F6C">
        <w:rPr>
          <w:rFonts w:cs="Calibri"/>
          <w:szCs w:val="20"/>
        </w:rPr>
        <w:t>The vegetation provides a good vegetation cover on an environment of slope</w:t>
      </w:r>
      <w:r w:rsidR="00081FEB" w:rsidRPr="003F7F6C">
        <w:rPr>
          <w:rFonts w:cs="Calibri"/>
          <w:szCs w:val="20"/>
        </w:rPr>
        <w:t>s</w:t>
      </w:r>
      <w:r w:rsidRPr="003F7F6C">
        <w:rPr>
          <w:rFonts w:cs="Calibri"/>
          <w:szCs w:val="20"/>
        </w:rPr>
        <w:t xml:space="preserve"> and loose substrate of gravel and sand. Its key function is to avoid water erosion, increase infiltration and reduce the impact of drops during rains. All these processes contribute to reduce the chance of large alluvions that periodically affect the city of Mendoza, located downstream (Manzur et al., 2007).</w:t>
      </w:r>
    </w:p>
    <w:p w14:paraId="3B7E173A" w14:textId="005FF5F0" w:rsidR="005E0527" w:rsidRPr="003F7F6C" w:rsidRDefault="005E0527" w:rsidP="005E0527">
      <w:pPr>
        <w:autoSpaceDE w:val="0"/>
        <w:autoSpaceDN w:val="0"/>
        <w:adjustRightInd w:val="0"/>
        <w:spacing w:after="240"/>
        <w:rPr>
          <w:rFonts w:cs="Calibri"/>
          <w:szCs w:val="20"/>
        </w:rPr>
      </w:pPr>
      <w:r w:rsidRPr="003F7F6C">
        <w:rPr>
          <w:rFonts w:cs="Calibri"/>
          <w:szCs w:val="20"/>
        </w:rPr>
        <w:t xml:space="preserve">It is a transition area, called «ecotone», that is to say that plant and animal species of different regions coexist simultaneously, </w:t>
      </w:r>
      <w:r w:rsidR="00081FEB" w:rsidRPr="003F7F6C">
        <w:rPr>
          <w:rFonts w:cs="Calibri"/>
          <w:szCs w:val="20"/>
        </w:rPr>
        <w:t>which are</w:t>
      </w:r>
      <w:r w:rsidRPr="003F7F6C">
        <w:rPr>
          <w:rFonts w:cs="Calibri"/>
          <w:szCs w:val="20"/>
        </w:rPr>
        <w:t xml:space="preserve"> typical forms of mountain and plain. This gives the foothill a unique importance in terms of biodiversity conservation (Cali and Güller, 2006). Regarding archaeological studies, fragments of ceramics corresponding to the groups typologically attached to the period 500-1000 years </w:t>
      </w:r>
      <w:r w:rsidR="00D00B4D" w:rsidRPr="003F7F6C">
        <w:rPr>
          <w:rFonts w:cs="Calibri"/>
          <w:szCs w:val="20"/>
        </w:rPr>
        <w:t xml:space="preserve">AD </w:t>
      </w:r>
      <w:r w:rsidRPr="003F7F6C">
        <w:rPr>
          <w:rFonts w:cs="Calibri"/>
          <w:szCs w:val="20"/>
        </w:rPr>
        <w:t xml:space="preserve">(Agrelo Culture) and the period 1300-1600 years </w:t>
      </w:r>
      <w:r w:rsidR="00D00B4D" w:rsidRPr="003F7F6C">
        <w:rPr>
          <w:rFonts w:cs="Calibri"/>
          <w:szCs w:val="20"/>
        </w:rPr>
        <w:t xml:space="preserve">AD </w:t>
      </w:r>
      <w:r w:rsidRPr="003F7F6C">
        <w:rPr>
          <w:rFonts w:cs="Calibri"/>
          <w:szCs w:val="20"/>
        </w:rPr>
        <w:t>(Viluco Culture) have been recovered in the area.</w:t>
      </w:r>
    </w:p>
    <w:p w14:paraId="6F4DE7B4" w14:textId="40122A03" w:rsidR="005E0527" w:rsidRPr="003F7F6C" w:rsidRDefault="005E0527" w:rsidP="005E0527">
      <w:pPr>
        <w:autoSpaceDE w:val="0"/>
        <w:autoSpaceDN w:val="0"/>
        <w:adjustRightInd w:val="0"/>
        <w:spacing w:after="240"/>
        <w:rPr>
          <w:rFonts w:cs="Calibri"/>
          <w:szCs w:val="20"/>
          <w:u w:val="single"/>
        </w:rPr>
      </w:pPr>
      <w:r w:rsidRPr="003F7F6C">
        <w:rPr>
          <w:rFonts w:cs="Calibri"/>
          <w:szCs w:val="20"/>
          <w:u w:val="single"/>
        </w:rPr>
        <w:t>Problems and Threats to BD and LD</w:t>
      </w:r>
      <w:r w:rsidRPr="003F7F6C">
        <w:rPr>
          <w:rFonts w:cs="Calibri"/>
          <w:szCs w:val="20"/>
        </w:rPr>
        <w:t xml:space="preserve">: The most relevant degradation process of this site </w:t>
      </w:r>
      <w:r w:rsidR="00081FEB" w:rsidRPr="003F7F6C">
        <w:rPr>
          <w:rFonts w:cs="Calibri"/>
          <w:szCs w:val="20"/>
        </w:rPr>
        <w:t xml:space="preserve">is </w:t>
      </w:r>
      <w:r w:rsidRPr="003F7F6C">
        <w:rPr>
          <w:rFonts w:cs="Calibri"/>
          <w:szCs w:val="20"/>
        </w:rPr>
        <w:t>the vegetation cover impoverishment. In this sense, it is worth mentioning the great pressure to which the foothills of the Precordillera are subject, especially due to the unplanned urban expansion of the Gran Mendoza.</w:t>
      </w:r>
    </w:p>
    <w:p w14:paraId="1ABEEA37" w14:textId="0D13899F" w:rsidR="005E0527" w:rsidRPr="003F7F6C" w:rsidRDefault="005E0527" w:rsidP="005E0527">
      <w:pPr>
        <w:spacing w:after="240"/>
        <w:rPr>
          <w:rFonts w:cs="Calibri"/>
          <w:szCs w:val="20"/>
        </w:rPr>
      </w:pPr>
      <w:r w:rsidRPr="003F7F6C">
        <w:rPr>
          <w:rFonts w:cs="Calibri"/>
          <w:szCs w:val="20"/>
        </w:rPr>
        <w:t xml:space="preserve">In this site, </w:t>
      </w:r>
      <w:r w:rsidR="00D00B4D" w:rsidRPr="003F7F6C">
        <w:rPr>
          <w:rFonts w:cs="Calibri"/>
          <w:szCs w:val="20"/>
        </w:rPr>
        <w:t>the expansion of agriculture</w:t>
      </w:r>
      <w:r w:rsidRPr="003F7F6C">
        <w:rPr>
          <w:rFonts w:cs="Calibri"/>
          <w:szCs w:val="20"/>
        </w:rPr>
        <w:t xml:space="preserve"> and urbanization </w:t>
      </w:r>
      <w:r w:rsidR="00081FEB" w:rsidRPr="003F7F6C">
        <w:rPr>
          <w:rFonts w:cs="Calibri"/>
          <w:szCs w:val="20"/>
        </w:rPr>
        <w:t xml:space="preserve">in </w:t>
      </w:r>
      <w:r w:rsidRPr="003F7F6C">
        <w:rPr>
          <w:rFonts w:cs="Calibri"/>
          <w:szCs w:val="20"/>
        </w:rPr>
        <w:t>the foothills affect fragile ecosystems and biological corridors with the consequent</w:t>
      </w:r>
      <w:r w:rsidR="00D00B4D" w:rsidRPr="003F7F6C">
        <w:rPr>
          <w:rFonts w:cs="Calibri"/>
          <w:szCs w:val="20"/>
        </w:rPr>
        <w:t xml:space="preserve"> increase in</w:t>
      </w:r>
      <w:r w:rsidRPr="003F7F6C">
        <w:rPr>
          <w:rFonts w:cs="Calibri"/>
          <w:szCs w:val="20"/>
        </w:rPr>
        <w:t xml:space="preserve"> alluvial </w:t>
      </w:r>
      <w:r w:rsidR="00D00B4D" w:rsidRPr="003F7F6C">
        <w:rPr>
          <w:rFonts w:cs="Calibri"/>
          <w:szCs w:val="20"/>
        </w:rPr>
        <w:t xml:space="preserve">fan </w:t>
      </w:r>
      <w:r w:rsidRPr="003F7F6C">
        <w:rPr>
          <w:rFonts w:cs="Calibri"/>
          <w:szCs w:val="20"/>
        </w:rPr>
        <w:t>risk. Among the main causes are the following: a) The urbanization of large sectors of Piedmont Front Range in the area of ​​influence of the metropolitan area, due to the environmental values ​​that it presents at a climatic level; b) The development of productive and / or housing units without considering Piedmont environmental and hydrological functions and control and mitigation of its effects; c) Government regulation and control instruments are inadequate to address the problem; and d) The expansion of the productive areas towards the Cordillera Frontal sector in the Uco Valley and the right margin of the Mendoza River due to the availability of water and climate considered suitable for wine production.</w:t>
      </w:r>
    </w:p>
    <w:p w14:paraId="292C0358" w14:textId="687BD21F" w:rsidR="005E0527" w:rsidRPr="003F7F6C" w:rsidRDefault="005E0527" w:rsidP="005E0527">
      <w:pPr>
        <w:spacing w:after="240"/>
        <w:rPr>
          <w:rFonts w:cs="Calibri"/>
          <w:szCs w:val="20"/>
        </w:rPr>
      </w:pPr>
      <w:r w:rsidRPr="003F7F6C">
        <w:rPr>
          <w:rFonts w:cs="Calibri"/>
          <w:szCs w:val="20"/>
        </w:rPr>
        <w:t xml:space="preserve">This site is the object of anthropic intervention processes on the natural environment which increasingly and steadily affect the biodiversity, soil, and the landscape: a) Public policy directed or centralized in the oasis </w:t>
      </w:r>
      <w:r w:rsidR="00081FEB" w:rsidRPr="003F7F6C">
        <w:rPr>
          <w:rFonts w:cs="Calibri"/>
          <w:szCs w:val="20"/>
        </w:rPr>
        <w:t xml:space="preserve">for </w:t>
      </w:r>
      <w:r w:rsidRPr="003F7F6C">
        <w:rPr>
          <w:rFonts w:cs="Calibri"/>
          <w:szCs w:val="20"/>
        </w:rPr>
        <w:t xml:space="preserve">socio-productive development without considering systemic strategies </w:t>
      </w:r>
      <w:r w:rsidR="00081FEB" w:rsidRPr="003F7F6C">
        <w:rPr>
          <w:rFonts w:cs="Calibri"/>
          <w:szCs w:val="20"/>
        </w:rPr>
        <w:t xml:space="preserve">in </w:t>
      </w:r>
      <w:r w:rsidRPr="003F7F6C">
        <w:rPr>
          <w:rFonts w:cs="Calibri"/>
          <w:szCs w:val="20"/>
        </w:rPr>
        <w:t>the entire territory; b) Loss and degradation of heritage due to the abusive and unsustainable use of resources (i.e.</w:t>
      </w:r>
      <w:r w:rsidR="00081FEB" w:rsidRPr="003F7F6C">
        <w:rPr>
          <w:rFonts w:cs="Calibri"/>
          <w:szCs w:val="20"/>
        </w:rPr>
        <w:t>,</w:t>
      </w:r>
      <w:r w:rsidRPr="003F7F6C">
        <w:rPr>
          <w:rFonts w:cs="Calibri"/>
          <w:szCs w:val="20"/>
        </w:rPr>
        <w:t xml:space="preserve"> firewood), habitat reduction and competition with exotic species; c) Urban development towards the Precordillera foothill in the Gran Mendoza area of ​​influence and productive development towards the Cordillera Frontal foothill; d) Deficiencies in knowledge, planning, control and monitoring of the different uses of natural resources; e) Inadequate cultural patterns of the population, </w:t>
      </w:r>
      <w:r w:rsidR="00750649" w:rsidRPr="003F7F6C">
        <w:rPr>
          <w:rFonts w:cs="Calibri"/>
          <w:szCs w:val="20"/>
        </w:rPr>
        <w:t xml:space="preserve">particularly </w:t>
      </w:r>
      <w:r w:rsidRPr="003F7F6C">
        <w:rPr>
          <w:rFonts w:cs="Calibri"/>
          <w:szCs w:val="20"/>
        </w:rPr>
        <w:t>hunting, high consumption of firewood, waste management, burning, etc., f) productive activities that use firewood as a primary input</w:t>
      </w:r>
      <w:r w:rsidR="00750649" w:rsidRPr="003F7F6C">
        <w:rPr>
          <w:rFonts w:cs="Calibri"/>
          <w:szCs w:val="20"/>
        </w:rPr>
        <w:t>,</w:t>
      </w:r>
      <w:r w:rsidRPr="003F7F6C">
        <w:rPr>
          <w:rFonts w:cs="Calibri"/>
          <w:szCs w:val="20"/>
        </w:rPr>
        <w:t xml:space="preserve"> such as </w:t>
      </w:r>
      <w:r w:rsidR="00750649" w:rsidRPr="003F7F6C">
        <w:rPr>
          <w:rFonts w:cs="Calibri"/>
          <w:szCs w:val="20"/>
        </w:rPr>
        <w:t xml:space="preserve">for </w:t>
      </w:r>
      <w:r w:rsidRPr="003F7F6C">
        <w:rPr>
          <w:rFonts w:cs="Calibri"/>
          <w:szCs w:val="20"/>
        </w:rPr>
        <w:t xml:space="preserve">brickyards; g) Extensive areas affected by extractive activities such as hydrocarbons, aggregates, etc. h) Absence of biological corridors under effective conservation strategies; i) </w:t>
      </w:r>
      <w:r w:rsidR="00750649" w:rsidRPr="003F7F6C">
        <w:rPr>
          <w:rFonts w:cs="Calibri"/>
          <w:szCs w:val="20"/>
        </w:rPr>
        <w:t xml:space="preserve">Detrimental </w:t>
      </w:r>
      <w:r w:rsidRPr="003F7F6C">
        <w:rPr>
          <w:rFonts w:cs="Calibri"/>
          <w:szCs w:val="20"/>
        </w:rPr>
        <w:t xml:space="preserve">processes on rainfed vegetation, such as overgrazing, associated on </w:t>
      </w:r>
      <w:r w:rsidR="00750649" w:rsidRPr="003F7F6C">
        <w:rPr>
          <w:rFonts w:cs="Calibri"/>
          <w:szCs w:val="20"/>
        </w:rPr>
        <w:t xml:space="preserve">the </w:t>
      </w:r>
      <w:r w:rsidRPr="003F7F6C">
        <w:rPr>
          <w:rFonts w:cs="Calibri"/>
          <w:szCs w:val="20"/>
        </w:rPr>
        <w:t xml:space="preserve">one hand with the low carrying capacity of the systems and on the other hand with inadequate livestock management; j) Destruction of </w:t>
      </w:r>
      <w:r w:rsidRPr="003F7F6C">
        <w:rPr>
          <w:rFonts w:cs="Calibri"/>
          <w:i/>
          <w:szCs w:val="20"/>
        </w:rPr>
        <w:t>vegas</w:t>
      </w:r>
      <w:r w:rsidRPr="003F7F6C">
        <w:rPr>
          <w:rFonts w:cs="Calibri"/>
          <w:szCs w:val="20"/>
        </w:rPr>
        <w:t xml:space="preserve"> and </w:t>
      </w:r>
      <w:r w:rsidRPr="003F7F6C">
        <w:rPr>
          <w:rFonts w:cs="Calibri"/>
          <w:i/>
          <w:szCs w:val="20"/>
        </w:rPr>
        <w:t>mallines</w:t>
      </w:r>
      <w:r w:rsidRPr="003F7F6C">
        <w:rPr>
          <w:rFonts w:cs="Calibri"/>
          <w:szCs w:val="20"/>
        </w:rPr>
        <w:t xml:space="preserve"> in mountainous areas </w:t>
      </w:r>
      <w:r w:rsidR="00750649" w:rsidRPr="003F7F6C">
        <w:rPr>
          <w:rFonts w:cs="Calibri"/>
          <w:szCs w:val="20"/>
        </w:rPr>
        <w:t xml:space="preserve">through </w:t>
      </w:r>
      <w:r w:rsidRPr="003F7F6C">
        <w:rPr>
          <w:rFonts w:cs="Calibri"/>
          <w:szCs w:val="20"/>
        </w:rPr>
        <w:t>overgrazing, infrastructure, use of peat</w:t>
      </w:r>
      <w:r w:rsidR="00750649" w:rsidRPr="003F7F6C">
        <w:rPr>
          <w:rFonts w:cs="Calibri"/>
          <w:szCs w:val="20"/>
        </w:rPr>
        <w:t xml:space="preserve"> for mining</w:t>
      </w:r>
      <w:r w:rsidRPr="003F7F6C">
        <w:rPr>
          <w:rFonts w:cs="Calibri"/>
          <w:szCs w:val="20"/>
        </w:rPr>
        <w:t xml:space="preserve">; k) Institutional weakness linked to the integral management process of </w:t>
      </w:r>
      <w:r w:rsidR="00971EAE" w:rsidRPr="003F7F6C">
        <w:rPr>
          <w:rFonts w:cs="Calibri"/>
          <w:szCs w:val="20"/>
        </w:rPr>
        <w:t>protected natural areas</w:t>
      </w:r>
      <w:r w:rsidRPr="003F7F6C">
        <w:rPr>
          <w:rFonts w:cs="Calibri"/>
          <w:szCs w:val="20"/>
        </w:rPr>
        <w:t xml:space="preserve">, without management tools, on </w:t>
      </w:r>
      <w:r w:rsidR="00750649" w:rsidRPr="003F7F6C">
        <w:rPr>
          <w:rFonts w:cs="Calibri"/>
          <w:szCs w:val="20"/>
        </w:rPr>
        <w:t xml:space="preserve">the </w:t>
      </w:r>
      <w:r w:rsidRPr="003F7F6C">
        <w:rPr>
          <w:rFonts w:cs="Calibri"/>
          <w:szCs w:val="20"/>
        </w:rPr>
        <w:t>one hand budget and on the other the development of co-management models with the local inhabitants for effective management, setting the establishment of models of sustainable use of natural resources, favoring degradation; l) protected natural areas</w:t>
      </w:r>
      <w:r w:rsidR="00D91F83" w:rsidRPr="003F7F6C">
        <w:rPr>
          <w:rFonts w:cs="Calibri"/>
          <w:szCs w:val="20"/>
        </w:rPr>
        <w:t xml:space="preserve"> are not always designated in areas where protection is most critical</w:t>
      </w:r>
      <w:r w:rsidRPr="003F7F6C">
        <w:rPr>
          <w:rFonts w:cs="Calibri"/>
          <w:szCs w:val="20"/>
        </w:rPr>
        <w:t xml:space="preserve">; m) Provincial public policy that has not prioritized landscape valuation as an important and essential aspect to preserve the quality of life and economic development; n) Development of public works without adequate environmental assessment and management measures; ñ) Extraction of </w:t>
      </w:r>
      <w:r w:rsidR="00655A0B" w:rsidRPr="003F7F6C">
        <w:rPr>
          <w:rFonts w:cs="Calibri"/>
          <w:szCs w:val="20"/>
        </w:rPr>
        <w:t>building materials</w:t>
      </w:r>
      <w:r w:rsidRPr="003F7F6C">
        <w:rPr>
          <w:rFonts w:cs="Calibri"/>
          <w:szCs w:val="20"/>
        </w:rPr>
        <w:t xml:space="preserve"> in inappropriate sectors from the landscape point of view; o) Scarce infrastructure and strategies of public use of natural sites according to their </w:t>
      </w:r>
      <w:r w:rsidR="00655A0B" w:rsidRPr="003F7F6C">
        <w:rPr>
          <w:rFonts w:cs="Calibri"/>
          <w:szCs w:val="20"/>
        </w:rPr>
        <w:t>category</w:t>
      </w:r>
      <w:r w:rsidRPr="003F7F6C">
        <w:rPr>
          <w:rFonts w:cs="Calibri"/>
          <w:szCs w:val="20"/>
        </w:rPr>
        <w:t>; p) Deterioration of natural and cultural systems such as hydrological systems, wetlands, native or implanted vegetation, heritage areas, q) Lack of building criteria according to the sites</w:t>
      </w:r>
      <w:r w:rsidR="00EB54B7" w:rsidRPr="003F7F6C">
        <w:rPr>
          <w:rFonts w:cs="Calibri"/>
          <w:szCs w:val="20"/>
        </w:rPr>
        <w:t>ʹ</w:t>
      </w:r>
      <w:r w:rsidRPr="003F7F6C">
        <w:rPr>
          <w:rFonts w:cs="Calibri"/>
          <w:szCs w:val="20"/>
        </w:rPr>
        <w:t xml:space="preserve"> socio-cultural and environmental characteristics; r) Insufficient </w:t>
      </w:r>
      <w:r w:rsidR="00EB54B7" w:rsidRPr="003F7F6C">
        <w:rPr>
          <w:rFonts w:cs="Calibri"/>
          <w:szCs w:val="20"/>
        </w:rPr>
        <w:t>m</w:t>
      </w:r>
      <w:r w:rsidRPr="003F7F6C">
        <w:rPr>
          <w:rFonts w:cs="Calibri"/>
          <w:szCs w:val="20"/>
        </w:rPr>
        <w:t>anagement of solid waste, effluents.</w:t>
      </w:r>
    </w:p>
    <w:p w14:paraId="188905C3" w14:textId="66CD8D82" w:rsidR="005E0527" w:rsidRPr="003F7F6C" w:rsidRDefault="005E0527" w:rsidP="005E0527">
      <w:pPr>
        <w:autoSpaceDE w:val="0"/>
        <w:autoSpaceDN w:val="0"/>
        <w:adjustRightInd w:val="0"/>
        <w:spacing w:after="240"/>
        <w:rPr>
          <w:rFonts w:cs="Calibri"/>
          <w:szCs w:val="20"/>
        </w:rPr>
      </w:pPr>
      <w:r w:rsidRPr="003F7F6C">
        <w:rPr>
          <w:rFonts w:cs="Calibri"/>
          <w:szCs w:val="20"/>
        </w:rPr>
        <w:t xml:space="preserve">The </w:t>
      </w:r>
      <w:r w:rsidR="00EB54B7" w:rsidRPr="003F7F6C">
        <w:rPr>
          <w:rFonts w:cs="Calibri"/>
          <w:szCs w:val="20"/>
        </w:rPr>
        <w:t>analysis of trends</w:t>
      </w:r>
      <w:r w:rsidRPr="003F7F6C">
        <w:rPr>
          <w:rFonts w:cs="Calibri"/>
          <w:szCs w:val="20"/>
        </w:rPr>
        <w:t xml:space="preserve"> </w:t>
      </w:r>
      <w:r w:rsidR="00EB54B7" w:rsidRPr="003F7F6C">
        <w:rPr>
          <w:rFonts w:cs="Calibri"/>
          <w:szCs w:val="20"/>
        </w:rPr>
        <w:t xml:space="preserve">shows </w:t>
      </w:r>
      <w:r w:rsidRPr="003F7F6C">
        <w:rPr>
          <w:rFonts w:cs="Calibri"/>
          <w:szCs w:val="20"/>
        </w:rPr>
        <w:t>a significant advance in the clearing</w:t>
      </w:r>
      <w:r w:rsidR="00EB54B7" w:rsidRPr="003F7F6C">
        <w:rPr>
          <w:rFonts w:cs="Calibri"/>
          <w:szCs w:val="20"/>
        </w:rPr>
        <w:t xml:space="preserve"> of</w:t>
      </w:r>
      <w:r w:rsidRPr="003F7F6C">
        <w:rPr>
          <w:rFonts w:cs="Calibri"/>
          <w:szCs w:val="20"/>
        </w:rPr>
        <w:t xml:space="preserve"> areas, especially in </w:t>
      </w:r>
      <w:r w:rsidR="00F96840" w:rsidRPr="003F7F6C">
        <w:rPr>
          <w:rFonts w:cs="Calibri"/>
          <w:szCs w:val="20"/>
        </w:rPr>
        <w:t xml:space="preserve">the </w:t>
      </w:r>
      <w:r w:rsidRPr="003F7F6C">
        <w:rPr>
          <w:rFonts w:cs="Calibri"/>
          <w:szCs w:val="20"/>
        </w:rPr>
        <w:t>foothill areas, increasing the loss of biodiversity, and a significant decrease in the system's hydrological services and increasing downstream alluvial impact.</w:t>
      </w:r>
    </w:p>
    <w:p w14:paraId="5BAEC58E" w14:textId="392D7AA8" w:rsidR="005E0527" w:rsidRPr="003F7F6C" w:rsidRDefault="005E0527" w:rsidP="005E0527">
      <w:pPr>
        <w:autoSpaceDE w:val="0"/>
        <w:autoSpaceDN w:val="0"/>
        <w:adjustRightInd w:val="0"/>
        <w:spacing w:after="240"/>
        <w:rPr>
          <w:rFonts w:cs="Calibri"/>
          <w:szCs w:val="20"/>
          <w:u w:val="single"/>
        </w:rPr>
      </w:pPr>
      <w:r w:rsidRPr="003F7F6C">
        <w:rPr>
          <w:rFonts w:cs="Calibri"/>
          <w:szCs w:val="20"/>
          <w:u w:val="single"/>
        </w:rPr>
        <w:t xml:space="preserve">Processes of </w:t>
      </w:r>
      <w:r w:rsidR="00750649" w:rsidRPr="003F7F6C">
        <w:rPr>
          <w:rFonts w:cs="Calibri"/>
          <w:szCs w:val="20"/>
          <w:u w:val="single"/>
        </w:rPr>
        <w:t xml:space="preserve">ELUP </w:t>
      </w:r>
      <w:r w:rsidRPr="003F7F6C">
        <w:rPr>
          <w:rFonts w:cs="Calibri"/>
          <w:szCs w:val="20"/>
          <w:u w:val="single"/>
        </w:rPr>
        <w:t>on the Site</w:t>
      </w:r>
      <w:r w:rsidRPr="003F7F6C">
        <w:rPr>
          <w:rFonts w:cs="Calibri"/>
          <w:szCs w:val="20"/>
        </w:rPr>
        <w:t xml:space="preserve">: Regarding the legal framework affecting this site, two basic laws that legislate on the foothills of the AMM </w:t>
      </w:r>
      <w:r w:rsidR="00750649" w:rsidRPr="003F7F6C">
        <w:rPr>
          <w:rFonts w:cs="Calibri"/>
          <w:szCs w:val="20"/>
        </w:rPr>
        <w:t>can be</w:t>
      </w:r>
      <w:r w:rsidRPr="003F7F6C">
        <w:rPr>
          <w:rFonts w:cs="Calibri"/>
          <w:szCs w:val="20"/>
        </w:rPr>
        <w:t xml:space="preserve"> mentioned: Law 4886/83 that demarcates, zones and allocates uses of the sector and Law 5804 / 91 (with its regulatory decree No. 1077/95), which declares it of public interest and utility, establishes land use or the creation of natural reserves bounded </w:t>
      </w:r>
      <w:r w:rsidR="00750649" w:rsidRPr="003F7F6C">
        <w:rPr>
          <w:rFonts w:cs="Calibri"/>
          <w:szCs w:val="20"/>
        </w:rPr>
        <w:t xml:space="preserve">by </w:t>
      </w:r>
      <w:r w:rsidRPr="003F7F6C">
        <w:rPr>
          <w:rFonts w:cs="Calibri"/>
          <w:szCs w:val="20"/>
        </w:rPr>
        <w:t xml:space="preserve">an area located in the west of Gran Mendoza. </w:t>
      </w:r>
    </w:p>
    <w:p w14:paraId="63B4E625" w14:textId="77777777" w:rsidR="005E0527" w:rsidRPr="003F7F6C" w:rsidRDefault="005E0527" w:rsidP="005E0527">
      <w:pPr>
        <w:autoSpaceDE w:val="0"/>
        <w:autoSpaceDN w:val="0"/>
        <w:adjustRightInd w:val="0"/>
        <w:spacing w:after="240"/>
        <w:rPr>
          <w:rFonts w:cs="Calibri"/>
          <w:color w:val="000000"/>
          <w:szCs w:val="20"/>
        </w:rPr>
      </w:pPr>
    </w:p>
    <w:p w14:paraId="2DEE01AB" w14:textId="77777777" w:rsidR="005E0527" w:rsidRPr="003F7F6C" w:rsidRDefault="005E0527" w:rsidP="005E0527">
      <w:pPr>
        <w:spacing w:after="240"/>
        <w:rPr>
          <w:rFonts w:cs="Calibri"/>
          <w:b/>
          <w:szCs w:val="20"/>
        </w:rPr>
      </w:pPr>
      <w:r w:rsidRPr="003F7F6C">
        <w:rPr>
          <w:rFonts w:cs="Calibri"/>
          <w:b/>
          <w:szCs w:val="20"/>
        </w:rPr>
        <w:t>2. Piedmont of the Uco Valley</w:t>
      </w:r>
    </w:p>
    <w:p w14:paraId="1EC2CA00" w14:textId="77777777" w:rsidR="005E0527" w:rsidRPr="003F7F6C" w:rsidRDefault="005E0527" w:rsidP="005E0527">
      <w:pPr>
        <w:spacing w:after="240"/>
        <w:rPr>
          <w:rFonts w:cs="Calibri"/>
          <w:szCs w:val="20"/>
        </w:rPr>
      </w:pPr>
      <w:r w:rsidRPr="003F7F6C">
        <w:rPr>
          <w:rFonts w:cs="Calibri"/>
          <w:szCs w:val="20"/>
          <w:u w:val="single"/>
        </w:rPr>
        <w:t>Area</w:t>
      </w:r>
      <w:r w:rsidRPr="003F7F6C">
        <w:rPr>
          <w:rFonts w:cs="Calibri"/>
          <w:szCs w:val="20"/>
        </w:rPr>
        <w:t>: 28,525 hectares</w:t>
      </w:r>
    </w:p>
    <w:p w14:paraId="31CC236A" w14:textId="77777777" w:rsidR="005E0527" w:rsidRPr="003F7F6C" w:rsidRDefault="005E0527" w:rsidP="005E0527">
      <w:pPr>
        <w:spacing w:after="240"/>
        <w:rPr>
          <w:rFonts w:cs="Calibri"/>
          <w:szCs w:val="20"/>
        </w:rPr>
      </w:pPr>
      <w:r w:rsidRPr="003F7F6C">
        <w:rPr>
          <w:rFonts w:cs="Calibri"/>
          <w:szCs w:val="20"/>
          <w:u w:val="single"/>
        </w:rPr>
        <w:t>Ecoregions covered</w:t>
      </w:r>
      <w:r w:rsidRPr="003F7F6C">
        <w:rPr>
          <w:rFonts w:cs="Calibri"/>
          <w:szCs w:val="20"/>
        </w:rPr>
        <w:t>: High Andes, Low Monte, Patagonian Steppe</w:t>
      </w:r>
    </w:p>
    <w:p w14:paraId="7F7762EF" w14:textId="77777777" w:rsidR="005E0527" w:rsidRPr="003F7F6C" w:rsidRDefault="005E0527" w:rsidP="005E0527">
      <w:pPr>
        <w:spacing w:after="240"/>
        <w:rPr>
          <w:rFonts w:cs="Calibri"/>
          <w:szCs w:val="20"/>
        </w:rPr>
      </w:pPr>
      <w:r w:rsidRPr="003F7F6C">
        <w:rPr>
          <w:rFonts w:cs="Calibri"/>
          <w:szCs w:val="20"/>
          <w:u w:val="single"/>
        </w:rPr>
        <w:t>Main locations</w:t>
      </w:r>
      <w:r w:rsidRPr="003F7F6C">
        <w:rPr>
          <w:rFonts w:cs="Calibri"/>
          <w:szCs w:val="20"/>
        </w:rPr>
        <w:t>: Tunuyán, San Carlos, Tupungato</w:t>
      </w:r>
    </w:p>
    <w:p w14:paraId="221B6B54" w14:textId="01AC9F7F" w:rsidR="005E0527" w:rsidRPr="003F7F6C" w:rsidRDefault="005E0527" w:rsidP="005E0527">
      <w:pPr>
        <w:spacing w:after="240"/>
        <w:rPr>
          <w:rFonts w:cs="Calibri"/>
          <w:szCs w:val="20"/>
          <w:u w:val="single"/>
        </w:rPr>
      </w:pPr>
      <w:r w:rsidRPr="003F7F6C">
        <w:rPr>
          <w:rFonts w:cs="Calibri"/>
          <w:szCs w:val="20"/>
          <w:u w:val="single"/>
        </w:rPr>
        <w:t>Demographic and Socio-economic Description:</w:t>
      </w:r>
      <w:r w:rsidRPr="003F7F6C">
        <w:rPr>
          <w:rFonts w:cs="Calibri"/>
          <w:szCs w:val="20"/>
        </w:rPr>
        <w:t xml:space="preserve"> The population density is low in this territory, </w:t>
      </w:r>
      <w:r w:rsidR="00750649" w:rsidRPr="003F7F6C">
        <w:rPr>
          <w:rFonts w:cs="Calibri"/>
          <w:szCs w:val="20"/>
        </w:rPr>
        <w:t xml:space="preserve">which is </w:t>
      </w:r>
      <w:r w:rsidRPr="003F7F6C">
        <w:rPr>
          <w:rFonts w:cs="Calibri"/>
          <w:szCs w:val="20"/>
        </w:rPr>
        <w:t xml:space="preserve">why it is known as the "field without people". In this pilot site, </w:t>
      </w:r>
      <w:r w:rsidR="00750649" w:rsidRPr="003F7F6C">
        <w:rPr>
          <w:rFonts w:cs="Calibri"/>
          <w:szCs w:val="20"/>
        </w:rPr>
        <w:t xml:space="preserve">we find </w:t>
      </w:r>
      <w:r w:rsidRPr="003F7F6C">
        <w:rPr>
          <w:rFonts w:cs="Calibri"/>
          <w:szCs w:val="20"/>
        </w:rPr>
        <w:t xml:space="preserve">the presence of large agricultural ventures, and especially winegrowing, with </w:t>
      </w:r>
      <w:r w:rsidR="00750649" w:rsidRPr="003F7F6C">
        <w:rPr>
          <w:rFonts w:cs="Calibri"/>
          <w:szCs w:val="20"/>
        </w:rPr>
        <w:t xml:space="preserve">the </w:t>
      </w:r>
      <w:r w:rsidRPr="003F7F6C">
        <w:rPr>
          <w:rFonts w:cs="Calibri"/>
          <w:szCs w:val="20"/>
        </w:rPr>
        <w:t>use of ground and surface water. Likewise, oil and mining activities are carried out, as well as extensive livestock farming, as in other foothill areas of the province.</w:t>
      </w:r>
    </w:p>
    <w:p w14:paraId="10F13CC7" w14:textId="35AA5339" w:rsidR="005E0527" w:rsidRPr="003F7F6C" w:rsidRDefault="005E0527" w:rsidP="005E0527">
      <w:pPr>
        <w:pStyle w:val="NormalWeb"/>
        <w:shd w:val="clear" w:color="auto" w:fill="FFFFFF"/>
        <w:spacing w:before="0" w:beforeAutospacing="0" w:after="240" w:afterAutospacing="0"/>
        <w:rPr>
          <w:rFonts w:ascii="Calibri" w:eastAsia="Calibri" w:hAnsi="Calibri" w:cs="Calibri"/>
          <w:sz w:val="20"/>
          <w:szCs w:val="20"/>
        </w:rPr>
      </w:pPr>
      <w:r w:rsidRPr="003F7F6C">
        <w:rPr>
          <w:rFonts w:ascii="Calibri" w:eastAsia="Calibri" w:hAnsi="Calibri" w:cs="Calibri"/>
          <w:sz w:val="20"/>
          <w:szCs w:val="20"/>
        </w:rPr>
        <w:t xml:space="preserve">State stakeholders at the provincial and municipal levels interact mainly with wine entrepreneurs, such as the Civil Association for the Wine Development of Valle de Uco or Bodegas Argentinas A.C. which will become relevant stakeholders for the work that will be </w:t>
      </w:r>
      <w:r w:rsidR="00750649" w:rsidRPr="003F7F6C">
        <w:rPr>
          <w:rFonts w:ascii="Calibri" w:eastAsia="Calibri" w:hAnsi="Calibri" w:cs="Calibri"/>
          <w:sz w:val="20"/>
          <w:szCs w:val="20"/>
        </w:rPr>
        <w:t xml:space="preserve">carried out </w:t>
      </w:r>
      <w:r w:rsidRPr="003F7F6C">
        <w:rPr>
          <w:rFonts w:ascii="Calibri" w:eastAsia="Calibri" w:hAnsi="Calibri" w:cs="Calibri"/>
          <w:sz w:val="20"/>
          <w:szCs w:val="20"/>
        </w:rPr>
        <w:t xml:space="preserve">in the area. INTA, Irrigation or the Municipalities are the institutions that interact the most with these private stakeholders. The producers in this territory, generally with </w:t>
      </w:r>
      <w:r w:rsidR="00750649" w:rsidRPr="003F7F6C">
        <w:rPr>
          <w:rFonts w:ascii="Calibri" w:eastAsia="Calibri" w:hAnsi="Calibri" w:cs="Calibri"/>
          <w:sz w:val="20"/>
          <w:szCs w:val="20"/>
        </w:rPr>
        <w:t xml:space="preserve">a </w:t>
      </w:r>
      <w:r w:rsidRPr="003F7F6C">
        <w:rPr>
          <w:rFonts w:ascii="Calibri" w:eastAsia="Calibri" w:hAnsi="Calibri" w:cs="Calibri"/>
          <w:sz w:val="20"/>
          <w:szCs w:val="20"/>
        </w:rPr>
        <w:t xml:space="preserve">business mindset, are open to technological innovation and integration for certain purposes. The need to organize themselves is not as critical as in the rest of the oasis, essentially due to scale and vertical integration issues. This is also associated with these producers´ greater negotiating power with the other stakeholders of the respective chains, and likewise, as a rule, they can easily access private financing. Only some producers are located in the territory and the population's roots in rural areas are very scarce ("fields without people"). </w:t>
      </w:r>
      <w:r w:rsidR="00750649" w:rsidRPr="003F7F6C">
        <w:rPr>
          <w:rFonts w:ascii="Calibri" w:eastAsia="Calibri" w:hAnsi="Calibri" w:cs="Calibri"/>
          <w:sz w:val="20"/>
          <w:szCs w:val="20"/>
        </w:rPr>
        <w:t>Therefore</w:t>
      </w:r>
      <w:r w:rsidRPr="003F7F6C">
        <w:rPr>
          <w:rFonts w:ascii="Calibri" w:eastAsia="Calibri" w:hAnsi="Calibri" w:cs="Calibri"/>
          <w:sz w:val="20"/>
          <w:szCs w:val="20"/>
        </w:rPr>
        <w:t xml:space="preserve">, the difficulty to </w:t>
      </w:r>
      <w:r w:rsidR="00750649" w:rsidRPr="003F7F6C">
        <w:rPr>
          <w:rFonts w:ascii="Calibri" w:eastAsia="Calibri" w:hAnsi="Calibri" w:cs="Calibri"/>
          <w:sz w:val="20"/>
          <w:szCs w:val="20"/>
        </w:rPr>
        <w:t>mobilize a labour force</w:t>
      </w:r>
      <w:r w:rsidRPr="003F7F6C">
        <w:rPr>
          <w:rFonts w:ascii="Calibri" w:eastAsia="Calibri" w:hAnsi="Calibri" w:cs="Calibri"/>
          <w:sz w:val="20"/>
          <w:szCs w:val="20"/>
        </w:rPr>
        <w:t xml:space="preserve"> is critical in this territory, and we try to solve it by bringing </w:t>
      </w:r>
      <w:r w:rsidR="00750649" w:rsidRPr="003F7F6C">
        <w:rPr>
          <w:rFonts w:ascii="Calibri" w:eastAsia="Calibri" w:hAnsi="Calibri" w:cs="Calibri"/>
          <w:sz w:val="20"/>
          <w:szCs w:val="20"/>
        </w:rPr>
        <w:t xml:space="preserve">people in </w:t>
      </w:r>
      <w:r w:rsidRPr="003F7F6C">
        <w:rPr>
          <w:rFonts w:ascii="Calibri" w:eastAsia="Calibri" w:hAnsi="Calibri" w:cs="Calibri"/>
          <w:sz w:val="20"/>
          <w:szCs w:val="20"/>
        </w:rPr>
        <w:t>from</w:t>
      </w:r>
      <w:r w:rsidR="00750649" w:rsidRPr="003F7F6C">
        <w:rPr>
          <w:rFonts w:ascii="Calibri" w:eastAsia="Calibri" w:hAnsi="Calibri" w:cs="Calibri"/>
          <w:sz w:val="20"/>
          <w:szCs w:val="20"/>
        </w:rPr>
        <w:t xml:space="preserve"> the</w:t>
      </w:r>
      <w:r w:rsidRPr="003F7F6C">
        <w:rPr>
          <w:rFonts w:ascii="Calibri" w:eastAsia="Calibri" w:hAnsi="Calibri" w:cs="Calibri"/>
          <w:sz w:val="20"/>
          <w:szCs w:val="20"/>
        </w:rPr>
        <w:t xml:space="preserve"> outside, from the most important urban centers of the oasis. The agricultural activity in the Uco High Valley is aimed both </w:t>
      </w:r>
      <w:r w:rsidR="00750649" w:rsidRPr="003F7F6C">
        <w:rPr>
          <w:rFonts w:ascii="Calibri" w:eastAsia="Calibri" w:hAnsi="Calibri" w:cs="Calibri"/>
          <w:sz w:val="20"/>
          <w:szCs w:val="20"/>
        </w:rPr>
        <w:t xml:space="preserve">at </w:t>
      </w:r>
      <w:r w:rsidRPr="003F7F6C">
        <w:rPr>
          <w:rFonts w:ascii="Calibri" w:eastAsia="Calibri" w:hAnsi="Calibri" w:cs="Calibri"/>
          <w:sz w:val="20"/>
          <w:szCs w:val="20"/>
        </w:rPr>
        <w:t xml:space="preserve">the international market and to the local market. There is a growing positive perception of this region, nationally and internationally, largely promoted by changes and the internationalization of the wine industry. The rural tourism here </w:t>
      </w:r>
      <w:r w:rsidR="00750649" w:rsidRPr="003F7F6C">
        <w:rPr>
          <w:rFonts w:ascii="Calibri" w:eastAsia="Calibri" w:hAnsi="Calibri" w:cs="Calibri"/>
          <w:sz w:val="20"/>
          <w:szCs w:val="20"/>
        </w:rPr>
        <w:t xml:space="preserve">is </w:t>
      </w:r>
      <w:r w:rsidRPr="003F7F6C">
        <w:rPr>
          <w:rFonts w:ascii="Calibri" w:eastAsia="Calibri" w:hAnsi="Calibri" w:cs="Calibri"/>
          <w:sz w:val="20"/>
          <w:szCs w:val="20"/>
        </w:rPr>
        <w:t>a progressive development activity, but not locally based but mobilized mainly by companies located outside the territory.</w:t>
      </w:r>
    </w:p>
    <w:p w14:paraId="11B547CE" w14:textId="182CF022" w:rsidR="005E0527" w:rsidRPr="003F7F6C" w:rsidRDefault="005E0527" w:rsidP="005E0527">
      <w:pPr>
        <w:pStyle w:val="NormalWeb"/>
        <w:shd w:val="clear" w:color="auto" w:fill="FFFFFF"/>
        <w:spacing w:before="0" w:beforeAutospacing="0" w:after="240" w:afterAutospacing="0"/>
        <w:rPr>
          <w:rFonts w:ascii="Calibri" w:eastAsia="Calibri" w:hAnsi="Calibri" w:cs="Calibri"/>
          <w:sz w:val="20"/>
          <w:szCs w:val="20"/>
        </w:rPr>
      </w:pPr>
      <w:r w:rsidRPr="003F7F6C">
        <w:rPr>
          <w:rFonts w:ascii="Calibri" w:hAnsi="Calibri" w:cs="Calibri"/>
          <w:bCs/>
          <w:sz w:val="20"/>
          <w:szCs w:val="20"/>
          <w:u w:val="single"/>
        </w:rPr>
        <w:t>Environmental Description:</w:t>
      </w:r>
      <w:r w:rsidRPr="003F7F6C">
        <w:rPr>
          <w:rFonts w:ascii="Calibri" w:hAnsi="Calibri" w:cs="Calibri"/>
          <w:bCs/>
          <w:sz w:val="20"/>
          <w:szCs w:val="20"/>
        </w:rPr>
        <w:t xml:space="preserve"> </w:t>
      </w:r>
      <w:r w:rsidR="00750649" w:rsidRPr="003F7F6C">
        <w:rPr>
          <w:rFonts w:ascii="Calibri" w:eastAsia="Calibri" w:hAnsi="Calibri" w:cs="Calibri"/>
          <w:sz w:val="20"/>
          <w:szCs w:val="20"/>
        </w:rPr>
        <w:t xml:space="preserve">This area </w:t>
      </w:r>
      <w:r w:rsidRPr="003F7F6C">
        <w:rPr>
          <w:rFonts w:ascii="Calibri" w:eastAsia="Calibri" w:hAnsi="Calibri" w:cs="Calibri"/>
          <w:sz w:val="20"/>
          <w:szCs w:val="20"/>
        </w:rPr>
        <w:t xml:space="preserve">is a transition unit between the mountainous region and the plain, composed </w:t>
      </w:r>
      <w:r w:rsidR="00750649" w:rsidRPr="003F7F6C">
        <w:rPr>
          <w:rFonts w:ascii="Calibri" w:eastAsia="Calibri" w:hAnsi="Calibri" w:cs="Calibri"/>
          <w:sz w:val="20"/>
          <w:szCs w:val="20"/>
        </w:rPr>
        <w:t xml:space="preserve">of </w:t>
      </w:r>
      <w:r w:rsidRPr="003F7F6C">
        <w:rPr>
          <w:rFonts w:ascii="Calibri" w:eastAsia="Calibri" w:hAnsi="Calibri" w:cs="Calibri"/>
          <w:sz w:val="20"/>
          <w:szCs w:val="20"/>
        </w:rPr>
        <w:t>loose and eroded pleistocene materials, with variants according to the type of mountainous relief they come from.</w:t>
      </w:r>
      <w:r w:rsidRPr="003F7F6C">
        <w:rPr>
          <w:rFonts w:ascii="Calibri" w:hAnsi="Calibri" w:cs="Calibri"/>
          <w:bCs/>
          <w:sz w:val="20"/>
          <w:szCs w:val="20"/>
        </w:rPr>
        <w:t xml:space="preserve"> </w:t>
      </w:r>
      <w:r w:rsidRPr="003F7F6C">
        <w:rPr>
          <w:rFonts w:ascii="Calibri" w:eastAsia="Calibri" w:hAnsi="Calibri" w:cs="Calibri"/>
          <w:sz w:val="20"/>
          <w:szCs w:val="20"/>
        </w:rPr>
        <w:t>In the aforementioned case</w:t>
      </w:r>
      <w:r w:rsidRPr="003F7F6C">
        <w:rPr>
          <w:rFonts w:ascii="Calibri" w:hAnsi="Calibri" w:cs="Calibri"/>
          <w:bCs/>
          <w:sz w:val="20"/>
          <w:szCs w:val="20"/>
        </w:rPr>
        <w:t>, it is the Cordillera Frontal foothills, which starts around 2,000 masl, extending up to approximately 50 km to the east in the so-called Valle de Uco area.</w:t>
      </w:r>
    </w:p>
    <w:p w14:paraId="72907570" w14:textId="77777777" w:rsidR="005E0527" w:rsidRPr="003F7F6C" w:rsidRDefault="005E0527" w:rsidP="005E0527">
      <w:pPr>
        <w:autoSpaceDE w:val="0"/>
        <w:autoSpaceDN w:val="0"/>
        <w:adjustRightInd w:val="0"/>
        <w:spacing w:after="240"/>
        <w:rPr>
          <w:rFonts w:cs="Calibri"/>
          <w:color w:val="000000"/>
          <w:szCs w:val="20"/>
        </w:rPr>
      </w:pPr>
      <w:r w:rsidRPr="003F7F6C">
        <w:rPr>
          <w:rFonts w:cs="Calibri"/>
          <w:color w:val="000000"/>
          <w:szCs w:val="20"/>
        </w:rPr>
        <w:t xml:space="preserve">The dominant plant characteristic of this site is the so-called shrub steppe of Larrea. This "jarillal" is formed by </w:t>
      </w:r>
      <w:r w:rsidRPr="003F7F6C">
        <w:rPr>
          <w:rFonts w:cs="Calibri"/>
          <w:i/>
          <w:color w:val="000000"/>
          <w:szCs w:val="20"/>
        </w:rPr>
        <w:t>Larrea cuneifolia</w:t>
      </w:r>
      <w:r w:rsidRPr="003F7F6C">
        <w:rPr>
          <w:rFonts w:cs="Calibri"/>
          <w:color w:val="000000"/>
          <w:szCs w:val="20"/>
        </w:rPr>
        <w:t xml:space="preserve"> and </w:t>
      </w:r>
      <w:r w:rsidRPr="003F7F6C">
        <w:rPr>
          <w:rFonts w:cs="Calibri"/>
          <w:i/>
          <w:color w:val="000000"/>
          <w:szCs w:val="20"/>
        </w:rPr>
        <w:t>Larrea divaricata</w:t>
      </w:r>
      <w:r w:rsidRPr="003F7F6C">
        <w:rPr>
          <w:rFonts w:cs="Calibri"/>
          <w:color w:val="000000"/>
          <w:szCs w:val="20"/>
        </w:rPr>
        <w:t xml:space="preserve"> as dominant species and others as llaullin (</w:t>
      </w:r>
      <w:r w:rsidRPr="003F7F6C">
        <w:rPr>
          <w:rFonts w:cs="Calibri"/>
          <w:i/>
          <w:color w:val="000000"/>
          <w:szCs w:val="20"/>
        </w:rPr>
        <w:t>Lyciumtenui spinosum</w:t>
      </w:r>
      <w:r w:rsidRPr="003F7F6C">
        <w:rPr>
          <w:rFonts w:cs="Calibri"/>
          <w:color w:val="000000"/>
          <w:szCs w:val="20"/>
        </w:rPr>
        <w:t>), and thyme (</w:t>
      </w:r>
      <w:r w:rsidRPr="003F7F6C">
        <w:rPr>
          <w:rFonts w:cs="Calibri"/>
          <w:i/>
          <w:color w:val="000000"/>
          <w:szCs w:val="20"/>
        </w:rPr>
        <w:t>Acantholoppia seriphioides</w:t>
      </w:r>
      <w:r w:rsidRPr="003F7F6C">
        <w:rPr>
          <w:rFonts w:cs="Calibri"/>
          <w:color w:val="000000"/>
          <w:szCs w:val="20"/>
        </w:rPr>
        <w:t>), leaf grass (</w:t>
      </w:r>
      <w:r w:rsidRPr="003F7F6C">
        <w:rPr>
          <w:rFonts w:cs="Calibri"/>
          <w:i/>
          <w:color w:val="000000"/>
          <w:szCs w:val="20"/>
        </w:rPr>
        <w:t>Trichloris crinita</w:t>
      </w:r>
      <w:r w:rsidRPr="003F7F6C">
        <w:rPr>
          <w:rFonts w:cs="Calibri"/>
          <w:color w:val="000000"/>
          <w:szCs w:val="20"/>
        </w:rPr>
        <w:t>) and numerous cacti.</w:t>
      </w:r>
    </w:p>
    <w:p w14:paraId="2AF62E18" w14:textId="00A63899" w:rsidR="005E0527" w:rsidRPr="003F7F6C" w:rsidRDefault="005E0527" w:rsidP="005E0527">
      <w:pPr>
        <w:autoSpaceDE w:val="0"/>
        <w:autoSpaceDN w:val="0"/>
        <w:adjustRightInd w:val="0"/>
        <w:spacing w:after="240"/>
        <w:rPr>
          <w:rFonts w:cs="Calibri"/>
          <w:color w:val="000000"/>
          <w:szCs w:val="20"/>
        </w:rPr>
      </w:pPr>
      <w:r w:rsidRPr="003F7F6C">
        <w:rPr>
          <w:rFonts w:cs="Calibri"/>
          <w:color w:val="000000"/>
          <w:szCs w:val="20"/>
        </w:rPr>
        <w:t>In the foothill plains of the analyzed site, the erosion factor is rain and it is enhanced by the slope and poor cohesion of surface materials. The rainfall regime, concentrated in very short periods and small sectors of the basins, causes strong water erosion.</w:t>
      </w:r>
    </w:p>
    <w:p w14:paraId="4153117B" w14:textId="381F706B" w:rsidR="005E0527" w:rsidRPr="003F7F6C" w:rsidRDefault="005E0527" w:rsidP="005E0527">
      <w:pPr>
        <w:autoSpaceDE w:val="0"/>
        <w:autoSpaceDN w:val="0"/>
        <w:adjustRightInd w:val="0"/>
        <w:spacing w:after="240"/>
        <w:rPr>
          <w:rFonts w:cs="Calibri"/>
          <w:color w:val="000000"/>
          <w:szCs w:val="20"/>
        </w:rPr>
      </w:pPr>
      <w:r w:rsidRPr="003F7F6C">
        <w:rPr>
          <w:rFonts w:cs="Calibri"/>
          <w:i/>
          <w:color w:val="000000"/>
          <w:szCs w:val="20"/>
        </w:rPr>
        <w:t>Conservation efforts</w:t>
      </w:r>
      <w:r w:rsidRPr="003F7F6C">
        <w:rPr>
          <w:rFonts w:cs="Calibri"/>
          <w:color w:val="000000"/>
          <w:szCs w:val="20"/>
        </w:rPr>
        <w:t>: Within the aforementioned site</w:t>
      </w:r>
      <w:r w:rsidR="00F96840" w:rsidRPr="003F7F6C">
        <w:rPr>
          <w:rFonts w:cs="Calibri"/>
          <w:color w:val="000000"/>
          <w:szCs w:val="20"/>
        </w:rPr>
        <w:t>,</w:t>
      </w:r>
      <w:r w:rsidRPr="003F7F6C">
        <w:rPr>
          <w:rFonts w:cs="Calibri"/>
          <w:color w:val="000000"/>
          <w:szCs w:val="20"/>
        </w:rPr>
        <w:t xml:space="preserve"> the Manzano Histórico Natural and Cultural Reserve, and the Manzano Histórico locality </w:t>
      </w:r>
      <w:r w:rsidR="00F96840" w:rsidRPr="003F7F6C">
        <w:rPr>
          <w:rFonts w:cs="Calibri"/>
          <w:color w:val="000000"/>
          <w:szCs w:val="20"/>
        </w:rPr>
        <w:t>can be found</w:t>
      </w:r>
      <w:r w:rsidRPr="003F7F6C">
        <w:rPr>
          <w:rFonts w:cs="Calibri"/>
          <w:color w:val="000000"/>
          <w:szCs w:val="20"/>
        </w:rPr>
        <w:t>, where recreational activities, fish production, gastronomy, tourism, etc. take place.</w:t>
      </w:r>
    </w:p>
    <w:p w14:paraId="2AD26F74" w14:textId="5F1E8903" w:rsidR="005E0527" w:rsidRPr="003F7F6C" w:rsidRDefault="005E0527" w:rsidP="005E0527">
      <w:pPr>
        <w:autoSpaceDE w:val="0"/>
        <w:autoSpaceDN w:val="0"/>
        <w:adjustRightInd w:val="0"/>
        <w:spacing w:after="240"/>
        <w:rPr>
          <w:rFonts w:cs="Calibri"/>
          <w:szCs w:val="20"/>
        </w:rPr>
      </w:pPr>
      <w:r w:rsidRPr="003F7F6C">
        <w:rPr>
          <w:rFonts w:cs="Calibri"/>
          <w:color w:val="000000"/>
          <w:szCs w:val="20"/>
          <w:u w:val="single"/>
        </w:rPr>
        <w:t>Problems and Threats to the BD and LD</w:t>
      </w:r>
      <w:r w:rsidRPr="003F7F6C">
        <w:rPr>
          <w:rFonts w:cs="Calibri"/>
          <w:color w:val="000000"/>
          <w:szCs w:val="20"/>
        </w:rPr>
        <w:t xml:space="preserve">: </w:t>
      </w:r>
      <w:r w:rsidRPr="003F7F6C">
        <w:rPr>
          <w:rFonts w:cs="Calibri"/>
          <w:szCs w:val="20"/>
        </w:rPr>
        <w:t xml:space="preserve">In this pilot site, </w:t>
      </w:r>
      <w:r w:rsidR="00F96840" w:rsidRPr="003F7F6C">
        <w:rPr>
          <w:rFonts w:cs="Calibri"/>
          <w:szCs w:val="20"/>
        </w:rPr>
        <w:t xml:space="preserve">we find </w:t>
      </w:r>
      <w:r w:rsidRPr="003F7F6C">
        <w:rPr>
          <w:rFonts w:cs="Calibri"/>
          <w:szCs w:val="20"/>
        </w:rPr>
        <w:t xml:space="preserve">the presence of large agricultural ventures, and especially winegrowing, with </w:t>
      </w:r>
      <w:r w:rsidR="00F96840" w:rsidRPr="003F7F6C">
        <w:rPr>
          <w:rFonts w:cs="Calibri"/>
          <w:szCs w:val="20"/>
        </w:rPr>
        <w:t xml:space="preserve">the </w:t>
      </w:r>
      <w:r w:rsidRPr="003F7F6C">
        <w:rPr>
          <w:rFonts w:cs="Calibri"/>
          <w:szCs w:val="20"/>
        </w:rPr>
        <w:t>use of ground and surface water. Likewise, oil and mining activities are carried out, as well as extensive livestock farming, as in other foothill areas of the province</w:t>
      </w:r>
      <w:r w:rsidR="00F96840" w:rsidRPr="003F7F6C">
        <w:rPr>
          <w:rFonts w:cs="Calibri"/>
          <w:szCs w:val="20"/>
        </w:rPr>
        <w:t>.</w:t>
      </w:r>
    </w:p>
    <w:p w14:paraId="660A91D3" w14:textId="1FB34DB9" w:rsidR="005E0527" w:rsidRPr="003F7F6C" w:rsidRDefault="005E0527" w:rsidP="005E0527">
      <w:pPr>
        <w:spacing w:after="240"/>
        <w:rPr>
          <w:rFonts w:cs="Calibri"/>
          <w:szCs w:val="20"/>
        </w:rPr>
      </w:pPr>
      <w:r w:rsidRPr="003F7F6C">
        <w:rPr>
          <w:rFonts w:cs="Calibri"/>
          <w:szCs w:val="20"/>
        </w:rPr>
        <w:t xml:space="preserve">The enlargement of agrarian borders and urbanization </w:t>
      </w:r>
      <w:r w:rsidR="00F96840" w:rsidRPr="003F7F6C">
        <w:rPr>
          <w:rFonts w:cs="Calibri"/>
          <w:szCs w:val="20"/>
        </w:rPr>
        <w:t xml:space="preserve">in </w:t>
      </w:r>
      <w:r w:rsidRPr="003F7F6C">
        <w:rPr>
          <w:rFonts w:cs="Calibri"/>
          <w:szCs w:val="20"/>
        </w:rPr>
        <w:t>the foothills affect fragile ecosystems and biological corridors with the consequent alluvial risk increment. Among the main causes are the following: a) The urbanization of large sectors of Front Range Piedmont in the area of ​​influence of the metropolitan area, due to the environmental values ​​that it presents at a climatic level; b) The development of productive and / or housing units without considering Piedmont</w:t>
      </w:r>
      <w:r w:rsidR="00F96840" w:rsidRPr="003F7F6C">
        <w:rPr>
          <w:rFonts w:cs="Calibri"/>
          <w:szCs w:val="20"/>
        </w:rPr>
        <w:t>ʹs</w:t>
      </w:r>
      <w:r w:rsidRPr="003F7F6C">
        <w:rPr>
          <w:rFonts w:cs="Calibri"/>
          <w:szCs w:val="20"/>
        </w:rPr>
        <w:t xml:space="preserve"> environmental and hydrological functions and control and mitigation of its effects; c) </w:t>
      </w:r>
      <w:r w:rsidR="00F96840" w:rsidRPr="003F7F6C">
        <w:rPr>
          <w:rFonts w:cs="Calibri"/>
          <w:szCs w:val="20"/>
        </w:rPr>
        <w:t>g</w:t>
      </w:r>
      <w:r w:rsidRPr="003F7F6C">
        <w:rPr>
          <w:rFonts w:cs="Calibri"/>
          <w:szCs w:val="20"/>
        </w:rPr>
        <w:t>overnment regulation and control instruments are inadequate to address the problem; d) The expansion of the productive areas towards the Cordillera Frontal sector in the Uco Valley and the right margin of the Mendoza River due to the availability of water and climate considered suitable for wine production.</w:t>
      </w:r>
    </w:p>
    <w:p w14:paraId="3E893FF1" w14:textId="653C6CE0" w:rsidR="005E0527" w:rsidRPr="003F7F6C" w:rsidRDefault="005E0527" w:rsidP="005E0527">
      <w:pPr>
        <w:autoSpaceDE w:val="0"/>
        <w:autoSpaceDN w:val="0"/>
        <w:adjustRightInd w:val="0"/>
        <w:spacing w:after="240"/>
        <w:rPr>
          <w:rFonts w:cs="Calibri"/>
          <w:szCs w:val="20"/>
        </w:rPr>
      </w:pPr>
      <w:r w:rsidRPr="003F7F6C">
        <w:rPr>
          <w:rFonts w:cs="Calibri"/>
          <w:szCs w:val="20"/>
        </w:rPr>
        <w:t>The</w:t>
      </w:r>
      <w:r w:rsidR="00F96840" w:rsidRPr="003F7F6C">
        <w:rPr>
          <w:rFonts w:cs="Calibri"/>
          <w:szCs w:val="20"/>
        </w:rPr>
        <w:t xml:space="preserve"> analysis</w:t>
      </w:r>
      <w:r w:rsidRPr="003F7F6C">
        <w:rPr>
          <w:rFonts w:cs="Calibri"/>
          <w:szCs w:val="20"/>
        </w:rPr>
        <w:t xml:space="preserve"> </w:t>
      </w:r>
      <w:r w:rsidR="00F96840" w:rsidRPr="003F7F6C">
        <w:rPr>
          <w:rFonts w:cs="Calibri"/>
          <w:szCs w:val="20"/>
        </w:rPr>
        <w:t xml:space="preserve">of </w:t>
      </w:r>
      <w:r w:rsidRPr="003F7F6C">
        <w:rPr>
          <w:rFonts w:cs="Calibri"/>
          <w:szCs w:val="20"/>
        </w:rPr>
        <w:t>trend</w:t>
      </w:r>
      <w:r w:rsidR="00F96840" w:rsidRPr="003F7F6C">
        <w:rPr>
          <w:rFonts w:cs="Calibri"/>
          <w:szCs w:val="20"/>
        </w:rPr>
        <w:t xml:space="preserve">s shows </w:t>
      </w:r>
      <w:r w:rsidRPr="003F7F6C">
        <w:rPr>
          <w:rFonts w:cs="Calibri"/>
          <w:szCs w:val="20"/>
        </w:rPr>
        <w:t xml:space="preserve"> a significant advance in the clearing </w:t>
      </w:r>
      <w:r w:rsidR="00F96840" w:rsidRPr="003F7F6C">
        <w:rPr>
          <w:rFonts w:cs="Calibri"/>
          <w:szCs w:val="20"/>
        </w:rPr>
        <w:t xml:space="preserve">of </w:t>
      </w:r>
      <w:r w:rsidRPr="003F7F6C">
        <w:rPr>
          <w:rFonts w:cs="Calibri"/>
          <w:szCs w:val="20"/>
        </w:rPr>
        <w:t>areas, especially in foothill areas, increasing the loss of biodiversity, and a significant decrease in the system's hydrological services and increasing downstream alluvial impact.</w:t>
      </w:r>
    </w:p>
    <w:p w14:paraId="3266D6CB" w14:textId="72320CDB" w:rsidR="005E0527" w:rsidRPr="003F7F6C" w:rsidRDefault="005E0527" w:rsidP="005E0527">
      <w:pPr>
        <w:spacing w:after="240"/>
        <w:rPr>
          <w:rFonts w:cs="Calibri"/>
          <w:b/>
          <w:szCs w:val="20"/>
        </w:rPr>
      </w:pPr>
    </w:p>
    <w:p w14:paraId="05241291" w14:textId="53E8F275" w:rsidR="00E75DC7" w:rsidRPr="003F7F6C" w:rsidRDefault="00E75DC7" w:rsidP="005E0527">
      <w:pPr>
        <w:spacing w:after="240"/>
        <w:rPr>
          <w:rFonts w:cs="Calibri"/>
          <w:b/>
          <w:szCs w:val="20"/>
        </w:rPr>
      </w:pPr>
    </w:p>
    <w:p w14:paraId="2AAA4BAC" w14:textId="77777777" w:rsidR="00E75DC7" w:rsidRPr="003F7F6C" w:rsidRDefault="00E75DC7" w:rsidP="005E0527">
      <w:pPr>
        <w:spacing w:after="240"/>
        <w:rPr>
          <w:rFonts w:cs="Calibri"/>
          <w:b/>
          <w:szCs w:val="20"/>
        </w:rPr>
      </w:pPr>
    </w:p>
    <w:p w14:paraId="2E4B0636" w14:textId="77777777" w:rsidR="005E0527" w:rsidRPr="003F7F6C" w:rsidRDefault="005E0527" w:rsidP="005E0527">
      <w:pPr>
        <w:spacing w:after="240"/>
        <w:rPr>
          <w:rFonts w:cs="Calibri"/>
          <w:b/>
          <w:szCs w:val="20"/>
          <w:lang w:val="es-PY"/>
        </w:rPr>
      </w:pPr>
      <w:r w:rsidRPr="003F7F6C">
        <w:rPr>
          <w:rFonts w:cs="Calibri"/>
          <w:b/>
          <w:szCs w:val="20"/>
          <w:lang w:val="es-PY"/>
        </w:rPr>
        <w:t>3.  Llancanelo Lagoon –Malargüe River Basin</w:t>
      </w:r>
    </w:p>
    <w:p w14:paraId="0F39FEA4" w14:textId="77777777" w:rsidR="005E0527" w:rsidRPr="003F7F6C" w:rsidRDefault="005E0527" w:rsidP="005E0527">
      <w:pPr>
        <w:spacing w:after="240"/>
        <w:rPr>
          <w:rFonts w:cs="Calibri"/>
          <w:szCs w:val="20"/>
          <w:u w:val="single"/>
          <w:lang w:val="es-PA"/>
        </w:rPr>
      </w:pPr>
      <w:r w:rsidRPr="003F7F6C">
        <w:rPr>
          <w:rFonts w:cs="Calibri"/>
          <w:szCs w:val="20"/>
          <w:u w:val="single"/>
          <w:lang w:val="es-PA"/>
        </w:rPr>
        <w:t>Area: 42,884 hectares</w:t>
      </w:r>
    </w:p>
    <w:p w14:paraId="3EEA95D2" w14:textId="77777777" w:rsidR="005E0527" w:rsidRPr="003F7F6C" w:rsidRDefault="005E0527" w:rsidP="005E0527">
      <w:pPr>
        <w:spacing w:after="240"/>
        <w:rPr>
          <w:rFonts w:cs="Calibri"/>
          <w:szCs w:val="20"/>
          <w:u w:val="single"/>
        </w:rPr>
      </w:pPr>
      <w:r w:rsidRPr="003F7F6C">
        <w:rPr>
          <w:rFonts w:cs="Calibri"/>
          <w:szCs w:val="20"/>
          <w:u w:val="single"/>
        </w:rPr>
        <w:t>Ecoregions covered: High Andes, Patagonian Steppe</w:t>
      </w:r>
    </w:p>
    <w:p w14:paraId="488274A0" w14:textId="0C01935F" w:rsidR="005E0527" w:rsidRPr="003F7F6C" w:rsidRDefault="005E0527" w:rsidP="005E0527">
      <w:pPr>
        <w:spacing w:after="240"/>
        <w:rPr>
          <w:rFonts w:cs="Calibri"/>
          <w:szCs w:val="20"/>
        </w:rPr>
      </w:pPr>
      <w:r w:rsidRPr="003F7F6C">
        <w:rPr>
          <w:rFonts w:cs="Calibri"/>
          <w:szCs w:val="20"/>
          <w:u w:val="single"/>
        </w:rPr>
        <w:t xml:space="preserve">Demographic and Socio-economic Description: </w:t>
      </w:r>
      <w:r w:rsidRPr="003F7F6C">
        <w:rPr>
          <w:rFonts w:cs="Calibri"/>
          <w:szCs w:val="20"/>
        </w:rPr>
        <w:t xml:space="preserve">According to the 2010 </w:t>
      </w:r>
      <w:r w:rsidR="00F96840" w:rsidRPr="003F7F6C">
        <w:rPr>
          <w:rFonts w:cs="Calibri"/>
          <w:szCs w:val="20"/>
        </w:rPr>
        <w:t>c</w:t>
      </w:r>
      <w:r w:rsidRPr="003F7F6C">
        <w:rPr>
          <w:rFonts w:cs="Calibri"/>
          <w:szCs w:val="20"/>
        </w:rPr>
        <w:t xml:space="preserve">ensus, the population is approximately 27660 people, 14,109 men and 13,551 women (2010 </w:t>
      </w:r>
      <w:r w:rsidR="00F96840" w:rsidRPr="003F7F6C">
        <w:rPr>
          <w:rFonts w:cs="Calibri"/>
          <w:szCs w:val="20"/>
        </w:rPr>
        <w:t>c</w:t>
      </w:r>
      <w:r w:rsidRPr="003F7F6C">
        <w:rPr>
          <w:rFonts w:cs="Calibri"/>
          <w:szCs w:val="20"/>
        </w:rPr>
        <w:t xml:space="preserve">ensus at departmental level). This site includes the </w:t>
      </w:r>
      <w:r w:rsidR="00F96840" w:rsidRPr="003F7F6C">
        <w:rPr>
          <w:rFonts w:cs="Calibri"/>
          <w:szCs w:val="20"/>
        </w:rPr>
        <w:t xml:space="preserve">implementation </w:t>
      </w:r>
      <w:r w:rsidRPr="003F7F6C">
        <w:rPr>
          <w:rFonts w:cs="Calibri"/>
          <w:szCs w:val="20"/>
        </w:rPr>
        <w:t xml:space="preserve">of activities linked to 25 Mapuche communities inhabiting the territory. There is no available indigenous population data by department in the national population census. The interviews conducted with community leaders show 150 indigenous families and approximately 600 people who are recognized in these communities. Since this information </w:t>
      </w:r>
      <w:r w:rsidR="00F96840" w:rsidRPr="003F7F6C">
        <w:rPr>
          <w:rFonts w:cs="Calibri"/>
          <w:szCs w:val="20"/>
        </w:rPr>
        <w:t xml:space="preserve">was </w:t>
      </w:r>
      <w:r w:rsidRPr="003F7F6C">
        <w:rPr>
          <w:rFonts w:cs="Calibri"/>
          <w:szCs w:val="20"/>
        </w:rPr>
        <w:t xml:space="preserve">obtained from interviews and cannot be contrasted with census data, information pertinent to the communities must be collected </w:t>
      </w:r>
      <w:r w:rsidR="00F96840" w:rsidRPr="003F7F6C">
        <w:rPr>
          <w:rFonts w:cs="Calibri"/>
          <w:szCs w:val="20"/>
        </w:rPr>
        <w:t xml:space="preserve">when </w:t>
      </w:r>
      <w:r w:rsidRPr="003F7F6C">
        <w:rPr>
          <w:rFonts w:cs="Calibri"/>
          <w:szCs w:val="20"/>
        </w:rPr>
        <w:t xml:space="preserve">staring activities in the pilot sites, for this and other pilot sites cases. In the interviews it </w:t>
      </w:r>
      <w:r w:rsidR="00F96840" w:rsidRPr="003F7F6C">
        <w:rPr>
          <w:rFonts w:cs="Calibri"/>
          <w:szCs w:val="20"/>
        </w:rPr>
        <w:t xml:space="preserve">was </w:t>
      </w:r>
      <w:r w:rsidRPr="003F7F6C">
        <w:rPr>
          <w:rFonts w:cs="Calibri"/>
          <w:szCs w:val="20"/>
        </w:rPr>
        <w:t xml:space="preserve">also reported that most of the communities do not have individual or community deeds, although this has not been an obstacle for their participation in the different dialogue processes and actions </w:t>
      </w:r>
      <w:r w:rsidR="00F96840" w:rsidRPr="003F7F6C">
        <w:rPr>
          <w:rFonts w:cs="Calibri"/>
          <w:szCs w:val="20"/>
        </w:rPr>
        <w:t>related to</w:t>
      </w:r>
      <w:r w:rsidRPr="003F7F6C">
        <w:rPr>
          <w:rFonts w:cs="Calibri"/>
          <w:szCs w:val="20"/>
        </w:rPr>
        <w:t xml:space="preserve"> territor</w:t>
      </w:r>
      <w:r w:rsidR="00F96840" w:rsidRPr="003F7F6C">
        <w:rPr>
          <w:rFonts w:cs="Calibri"/>
          <w:szCs w:val="20"/>
        </w:rPr>
        <w:t>ial</w:t>
      </w:r>
      <w:r w:rsidRPr="003F7F6C">
        <w:rPr>
          <w:rFonts w:cs="Calibri"/>
          <w:szCs w:val="20"/>
        </w:rPr>
        <w:t xml:space="preserve"> management.</w:t>
      </w:r>
    </w:p>
    <w:p w14:paraId="4FC10813" w14:textId="533C4449" w:rsidR="005E0527" w:rsidRPr="003F7F6C" w:rsidRDefault="005E0527" w:rsidP="005E0527">
      <w:pPr>
        <w:spacing w:after="240"/>
        <w:rPr>
          <w:rFonts w:cs="Calibri"/>
          <w:szCs w:val="20"/>
        </w:rPr>
      </w:pPr>
      <w:r w:rsidRPr="003F7F6C">
        <w:rPr>
          <w:rFonts w:cs="Calibri"/>
          <w:szCs w:val="20"/>
        </w:rPr>
        <w:t xml:space="preserve">Its economic activity is </w:t>
      </w:r>
      <w:r w:rsidR="00F96840" w:rsidRPr="003F7F6C">
        <w:rPr>
          <w:rFonts w:cs="Calibri"/>
          <w:szCs w:val="20"/>
        </w:rPr>
        <w:t>focused on</w:t>
      </w:r>
      <w:r w:rsidRPr="003F7F6C">
        <w:rPr>
          <w:rFonts w:cs="Calibri"/>
          <w:szCs w:val="20"/>
        </w:rPr>
        <w:t xml:space="preserve"> subsistence</w:t>
      </w:r>
      <w:r w:rsidR="00F66270" w:rsidRPr="003F7F6C">
        <w:rPr>
          <w:rFonts w:cs="Calibri"/>
          <w:szCs w:val="20"/>
        </w:rPr>
        <w:t>,</w:t>
      </w:r>
      <w:r w:rsidRPr="003F7F6C">
        <w:rPr>
          <w:rFonts w:cs="Calibri"/>
          <w:szCs w:val="20"/>
        </w:rPr>
        <w:t xml:space="preserve"> working in livestock, breeding of goats, sheep, horses and cattle. The traditional economic activity of the department is the extensive breeding of goats. Malargüe is famous for its goat meat, which </w:t>
      </w:r>
      <w:r w:rsidR="00F66270" w:rsidRPr="003F7F6C">
        <w:rPr>
          <w:rFonts w:cs="Calibri"/>
          <w:szCs w:val="20"/>
        </w:rPr>
        <w:t xml:space="preserve">is </w:t>
      </w:r>
      <w:r w:rsidRPr="003F7F6C">
        <w:rPr>
          <w:rFonts w:cs="Calibri"/>
          <w:szCs w:val="20"/>
        </w:rPr>
        <w:t xml:space="preserve">sold to other departments and other provinces. Mining activity had its boom period in the 40s until the 70s. </w:t>
      </w:r>
      <w:r w:rsidR="005C7C3C" w:rsidRPr="003F7F6C">
        <w:rPr>
          <w:rFonts w:cs="Calibri"/>
          <w:szCs w:val="20"/>
        </w:rPr>
        <w:t>Beginning in the 70s</w:t>
      </w:r>
      <w:r w:rsidRPr="003F7F6C">
        <w:rPr>
          <w:rFonts w:cs="Calibri"/>
          <w:szCs w:val="20"/>
        </w:rPr>
        <w:t xml:space="preserve"> the boom in oil activity began, which, although </w:t>
      </w:r>
      <w:r w:rsidR="00F66270" w:rsidRPr="003F7F6C">
        <w:rPr>
          <w:rFonts w:cs="Calibri"/>
          <w:szCs w:val="20"/>
        </w:rPr>
        <w:t xml:space="preserve">it has had </w:t>
      </w:r>
      <w:r w:rsidRPr="003F7F6C">
        <w:rPr>
          <w:rFonts w:cs="Calibri"/>
          <w:szCs w:val="20"/>
        </w:rPr>
        <w:t>important ups and downs, today still represents the main income of the department. Malargüe is the main oil producer in the province. Above all, since the 90s, tourism has become one of the most dynamic activities.</w:t>
      </w:r>
    </w:p>
    <w:p w14:paraId="3B5F9499" w14:textId="77777777" w:rsidR="005E0527" w:rsidRPr="003F7F6C" w:rsidRDefault="005E0527" w:rsidP="005E0527">
      <w:pPr>
        <w:spacing w:after="240"/>
        <w:rPr>
          <w:rFonts w:cs="Calibri"/>
          <w:szCs w:val="20"/>
        </w:rPr>
      </w:pPr>
      <w:r w:rsidRPr="003F7F6C">
        <w:rPr>
          <w:rFonts w:cs="Calibri"/>
          <w:color w:val="000000"/>
          <w:szCs w:val="20"/>
          <w:u w:val="single"/>
        </w:rPr>
        <w:t>Environmental Description</w:t>
      </w:r>
      <w:r w:rsidRPr="003F7F6C">
        <w:rPr>
          <w:rFonts w:cs="Calibri"/>
          <w:color w:val="000000"/>
          <w:szCs w:val="20"/>
        </w:rPr>
        <w:t>: The salty lagoon of Llancanelo is the base level of a closed system or endorheic basin, whose main surface supply is the Malargüe river, which has developed a wide alluvial fan and flows into estuaries and marshes. The Llancanelo Basin, the oasis and the city of Malargüe are part of the described natural scenario located 450 km south of the City of Mendoza.</w:t>
      </w:r>
    </w:p>
    <w:p w14:paraId="5CD4874C" w14:textId="77160823" w:rsidR="005E0527" w:rsidRPr="003F7F6C" w:rsidRDefault="005E0527" w:rsidP="005E0527">
      <w:pPr>
        <w:spacing w:after="240"/>
        <w:rPr>
          <w:rFonts w:cs="Calibri"/>
          <w:color w:val="000000"/>
          <w:szCs w:val="20"/>
        </w:rPr>
      </w:pPr>
      <w:r w:rsidRPr="003F7F6C">
        <w:rPr>
          <w:rFonts w:cs="Calibri"/>
          <w:color w:val="000000"/>
          <w:szCs w:val="20"/>
        </w:rPr>
        <w:t>The oasis of Malargüe is the smallest in the province, shaped by the Malargüe river, with an annual spill of 305 hm</w:t>
      </w:r>
      <w:r w:rsidRPr="003F7F6C">
        <w:rPr>
          <w:rFonts w:cs="Calibri"/>
          <w:color w:val="000000"/>
          <w:szCs w:val="20"/>
          <w:vertAlign w:val="superscript"/>
        </w:rPr>
        <w:t>3</w:t>
      </w:r>
      <w:r w:rsidRPr="003F7F6C">
        <w:rPr>
          <w:rFonts w:cs="Calibri"/>
          <w:color w:val="000000"/>
          <w:szCs w:val="20"/>
        </w:rPr>
        <w:t xml:space="preserve"> and without any storage reservoir. At the exit of the mountain range, the </w:t>
      </w:r>
      <w:r w:rsidR="00CC3621" w:rsidRPr="003F7F6C">
        <w:rPr>
          <w:rFonts w:cs="Calibri"/>
          <w:color w:val="000000"/>
          <w:szCs w:val="20"/>
        </w:rPr>
        <w:t xml:space="preserve">Malargüe </w:t>
      </w:r>
      <w:r w:rsidRPr="003F7F6C">
        <w:rPr>
          <w:rFonts w:cs="Calibri"/>
          <w:color w:val="000000"/>
          <w:szCs w:val="20"/>
        </w:rPr>
        <w:t xml:space="preserve">diversion dam is located, from </w:t>
      </w:r>
      <w:r w:rsidR="00CC3621" w:rsidRPr="003F7F6C">
        <w:rPr>
          <w:rFonts w:cs="Calibri"/>
          <w:color w:val="000000"/>
          <w:szCs w:val="20"/>
        </w:rPr>
        <w:t xml:space="preserve">which </w:t>
      </w:r>
      <w:r w:rsidRPr="003F7F6C">
        <w:rPr>
          <w:rFonts w:cs="Calibri"/>
          <w:color w:val="000000"/>
          <w:szCs w:val="20"/>
        </w:rPr>
        <w:t>a 90 km long network of channels is born, which is not waterproofed. With the waters from this river and the extracted ones from the Malargüe underground reservoir through 800 wells, the city of Malargüe and the adjacent cultivated area are supplied, characterized by potato seed crops. Groundwater is exploited in order to supplement surface deliveries or to supply drinking water, industrial and agricultural water. The Malargüe underground reservoir covers an area of ​​7,000 km</w:t>
      </w:r>
      <w:r w:rsidRPr="003F7F6C">
        <w:rPr>
          <w:rFonts w:cs="Calibri"/>
          <w:color w:val="000000"/>
          <w:szCs w:val="20"/>
          <w:vertAlign w:val="superscript"/>
        </w:rPr>
        <w:t>2</w:t>
      </w:r>
      <w:r w:rsidRPr="003F7F6C">
        <w:rPr>
          <w:rFonts w:cs="Calibri"/>
          <w:color w:val="000000"/>
          <w:szCs w:val="20"/>
        </w:rPr>
        <w:t xml:space="preserve"> and stores a volume of water of 70,000 hm</w:t>
      </w:r>
      <w:r w:rsidRPr="003F7F6C">
        <w:rPr>
          <w:rFonts w:cs="Calibri"/>
          <w:color w:val="000000"/>
          <w:szCs w:val="20"/>
          <w:vertAlign w:val="superscript"/>
        </w:rPr>
        <w:t>3</w:t>
      </w:r>
      <w:r w:rsidRPr="003F7F6C">
        <w:rPr>
          <w:rFonts w:cs="Calibri"/>
          <w:color w:val="000000"/>
          <w:szCs w:val="20"/>
        </w:rPr>
        <w:t xml:space="preserve">, which highlights its importance as a safe source </w:t>
      </w:r>
      <w:r w:rsidR="00CC3621" w:rsidRPr="003F7F6C">
        <w:rPr>
          <w:rFonts w:cs="Calibri"/>
          <w:color w:val="000000"/>
          <w:szCs w:val="20"/>
        </w:rPr>
        <w:t xml:space="preserve">of </w:t>
      </w:r>
      <w:r w:rsidRPr="003F7F6C">
        <w:rPr>
          <w:rFonts w:cs="Calibri"/>
          <w:color w:val="000000"/>
          <w:szCs w:val="20"/>
        </w:rPr>
        <w:t>water supply (Torres et al., 2008).</w:t>
      </w:r>
    </w:p>
    <w:p w14:paraId="60576704" w14:textId="538D5586" w:rsidR="005E0527" w:rsidRPr="003F7F6C" w:rsidRDefault="005E0527" w:rsidP="005E0527">
      <w:pPr>
        <w:autoSpaceDE w:val="0"/>
        <w:autoSpaceDN w:val="0"/>
        <w:adjustRightInd w:val="0"/>
        <w:spacing w:after="240"/>
        <w:rPr>
          <w:rFonts w:cs="Calibri"/>
          <w:color w:val="000000"/>
          <w:szCs w:val="20"/>
        </w:rPr>
      </w:pPr>
      <w:r w:rsidRPr="003F7F6C">
        <w:rPr>
          <w:rFonts w:eastAsia="Calibri" w:cs="Calibri"/>
          <w:i/>
          <w:color w:val="000000"/>
          <w:szCs w:val="20"/>
        </w:rPr>
        <w:t>Conservation efforts</w:t>
      </w:r>
      <w:r w:rsidRPr="003F7F6C">
        <w:rPr>
          <w:rFonts w:eastAsia="Calibri" w:cs="Calibri"/>
          <w:color w:val="000000"/>
          <w:szCs w:val="20"/>
        </w:rPr>
        <w:t xml:space="preserve">: Llancanelo has been declared a "Natural Protected Area" by Law 7824 of 2007, and it is a Ramsar Site. Llancanelo is a mirror of water of very small depth, with approximately 88,000 ha, which is </w:t>
      </w:r>
      <w:r w:rsidR="00CC3621" w:rsidRPr="003F7F6C">
        <w:rPr>
          <w:rFonts w:eastAsia="Calibri" w:cs="Calibri"/>
          <w:color w:val="000000"/>
          <w:szCs w:val="20"/>
        </w:rPr>
        <w:t xml:space="preserve">found </w:t>
      </w:r>
      <w:r w:rsidRPr="003F7F6C">
        <w:rPr>
          <w:rFonts w:eastAsia="Calibri" w:cs="Calibri"/>
          <w:color w:val="000000"/>
          <w:szCs w:val="20"/>
        </w:rPr>
        <w:t xml:space="preserve">at </w:t>
      </w:r>
      <w:r w:rsidR="00CC3621" w:rsidRPr="003F7F6C">
        <w:rPr>
          <w:rFonts w:eastAsia="Calibri" w:cs="Calibri"/>
          <w:color w:val="000000"/>
          <w:szCs w:val="20"/>
        </w:rPr>
        <w:t xml:space="preserve">approximately </w:t>
      </w:r>
      <w:r w:rsidRPr="003F7F6C">
        <w:rPr>
          <w:rFonts w:eastAsia="Calibri" w:cs="Calibri"/>
          <w:color w:val="000000"/>
          <w:szCs w:val="20"/>
        </w:rPr>
        <w:t xml:space="preserve">1,330 masl. and it feeds on melting waters coming from the mountain range. There is a series of volcanoes next the lagoon, among which the Trapal, Coral and Carapacho stand out. </w:t>
      </w:r>
    </w:p>
    <w:p w14:paraId="141800B0" w14:textId="23F05EC3" w:rsidR="005E0527" w:rsidRPr="003F7F6C" w:rsidRDefault="005E0527" w:rsidP="005E0527">
      <w:pPr>
        <w:autoSpaceDE w:val="0"/>
        <w:autoSpaceDN w:val="0"/>
        <w:adjustRightInd w:val="0"/>
        <w:spacing w:after="240"/>
        <w:rPr>
          <w:rFonts w:cs="Calibri"/>
          <w:color w:val="000000"/>
          <w:szCs w:val="20"/>
        </w:rPr>
      </w:pPr>
      <w:r w:rsidRPr="003F7F6C">
        <w:rPr>
          <w:rFonts w:cs="Calibri"/>
          <w:color w:val="000000"/>
          <w:szCs w:val="20"/>
        </w:rPr>
        <w:t xml:space="preserve">Regarding the biodiversity of species, the Llancanelo Wetland is located within the Patagonian ecoregion and protects more than 150 species of birds (residents and migrants). The population of flamingos </w:t>
      </w:r>
      <w:r w:rsidR="00937B1F" w:rsidRPr="003F7F6C">
        <w:rPr>
          <w:rFonts w:cs="Calibri"/>
          <w:color w:val="000000"/>
          <w:szCs w:val="20"/>
        </w:rPr>
        <w:t xml:space="preserve">is </w:t>
      </w:r>
      <w:r w:rsidRPr="003F7F6C">
        <w:rPr>
          <w:rFonts w:cs="Calibri"/>
          <w:color w:val="000000"/>
          <w:szCs w:val="20"/>
        </w:rPr>
        <w:t xml:space="preserve">considered the most important on the planet and they nest in this place, </w:t>
      </w:r>
      <w:r w:rsidR="00937B1F" w:rsidRPr="003F7F6C">
        <w:rPr>
          <w:rFonts w:cs="Calibri"/>
          <w:color w:val="000000"/>
          <w:szCs w:val="20"/>
        </w:rPr>
        <w:t xml:space="preserve">as well as </w:t>
      </w:r>
      <w:r w:rsidRPr="003F7F6C">
        <w:rPr>
          <w:rFonts w:cs="Calibri"/>
          <w:color w:val="000000"/>
          <w:szCs w:val="20"/>
        </w:rPr>
        <w:t xml:space="preserve">several species of ducks, such as the coscoroba swan and the black-necked swan. </w:t>
      </w:r>
      <w:r w:rsidR="00937B1F" w:rsidRPr="003F7F6C">
        <w:rPr>
          <w:rFonts w:cs="Calibri"/>
          <w:color w:val="000000"/>
          <w:szCs w:val="20"/>
        </w:rPr>
        <w:t>O</w:t>
      </w:r>
      <w:r w:rsidRPr="003F7F6C">
        <w:rPr>
          <w:rFonts w:cs="Calibri"/>
          <w:color w:val="000000"/>
          <w:szCs w:val="20"/>
        </w:rPr>
        <w:t>ther aquatic species</w:t>
      </w:r>
      <w:r w:rsidR="00937B1F" w:rsidRPr="003F7F6C">
        <w:rPr>
          <w:rFonts w:cs="Calibri"/>
          <w:color w:val="000000"/>
          <w:szCs w:val="20"/>
        </w:rPr>
        <w:t xml:space="preserve"> also inhabit this area,</w:t>
      </w:r>
      <w:r w:rsidRPr="003F7F6C">
        <w:rPr>
          <w:rFonts w:cs="Calibri"/>
          <w:color w:val="000000"/>
          <w:szCs w:val="20"/>
        </w:rPr>
        <w:t xml:space="preserve"> such as the coypu and the medium rodent. In the coastal environment that surrounds the lagoon you can see vizcachas, cuy, snakes, red and gray foxes, rheas, among others. </w:t>
      </w:r>
      <w:r w:rsidR="00937B1F" w:rsidRPr="003F7F6C">
        <w:rPr>
          <w:rFonts w:cs="Calibri"/>
          <w:color w:val="000000"/>
          <w:szCs w:val="20"/>
        </w:rPr>
        <w:t>I</w:t>
      </w:r>
      <w:r w:rsidRPr="003F7F6C">
        <w:rPr>
          <w:rFonts w:cs="Calibri"/>
          <w:color w:val="000000"/>
          <w:szCs w:val="20"/>
        </w:rPr>
        <w:t xml:space="preserve">n the areas of low dunes and salt flats an endemic rodent in danger of extinction lives: the vizcacha rat of the salt flats, which feeds on halophytic plants. Regarding flora, there is a predominance of tall, open bushes, together with low-lying herbaceous steppes. Among the halophytic vegetation the stained glass, the jume, the vinagrilla and salty pastures </w:t>
      </w:r>
      <w:r w:rsidR="00937B1F" w:rsidRPr="003F7F6C">
        <w:rPr>
          <w:rFonts w:cs="Calibri"/>
          <w:color w:val="000000"/>
          <w:szCs w:val="20"/>
        </w:rPr>
        <w:t xml:space="preserve">stand out </w:t>
      </w:r>
      <w:r w:rsidRPr="003F7F6C">
        <w:rPr>
          <w:rFonts w:cs="Calibri"/>
          <w:color w:val="000000"/>
          <w:szCs w:val="20"/>
        </w:rPr>
        <w:t>where there is a higher concentration of salts</w:t>
      </w:r>
      <w:r w:rsidR="00937B1F" w:rsidRPr="003F7F6C">
        <w:rPr>
          <w:rFonts w:cs="Calibri"/>
          <w:color w:val="000000"/>
          <w:szCs w:val="20"/>
        </w:rPr>
        <w:t>, w</w:t>
      </w:r>
      <w:r w:rsidRPr="003F7F6C">
        <w:rPr>
          <w:rFonts w:cs="Calibri"/>
          <w:color w:val="000000"/>
          <w:szCs w:val="20"/>
        </w:rPr>
        <w:t>hile on the surface of the low-lying dunes</w:t>
      </w:r>
      <w:r w:rsidR="00937B1F" w:rsidRPr="003F7F6C">
        <w:rPr>
          <w:rFonts w:cs="Calibri"/>
          <w:color w:val="000000"/>
          <w:szCs w:val="20"/>
        </w:rPr>
        <w:t>,</w:t>
      </w:r>
      <w:r w:rsidRPr="003F7F6C">
        <w:rPr>
          <w:rFonts w:cs="Calibri"/>
          <w:color w:val="000000"/>
          <w:szCs w:val="20"/>
        </w:rPr>
        <w:t xml:space="preserve"> zampas, llaullines and chirriaderas emerge. Underwater and underwater plants grow in the most humid sectors, such as reeds, cortaderas and totoras. </w:t>
      </w:r>
    </w:p>
    <w:p w14:paraId="77DF198E" w14:textId="50235843" w:rsidR="005E0527" w:rsidRPr="003F7F6C" w:rsidRDefault="005E0527" w:rsidP="005E0527">
      <w:pPr>
        <w:autoSpaceDE w:val="0"/>
        <w:autoSpaceDN w:val="0"/>
        <w:adjustRightInd w:val="0"/>
        <w:spacing w:after="240"/>
        <w:rPr>
          <w:rFonts w:cs="Calibri"/>
          <w:color w:val="000000"/>
          <w:szCs w:val="20"/>
        </w:rPr>
      </w:pPr>
      <w:r w:rsidRPr="003F7F6C">
        <w:rPr>
          <w:rFonts w:cs="Calibri"/>
          <w:color w:val="000000"/>
          <w:szCs w:val="20"/>
          <w:u w:val="single"/>
        </w:rPr>
        <w:t xml:space="preserve">Problems and Threats to BD and LD: </w:t>
      </w:r>
      <w:r w:rsidRPr="003F7F6C">
        <w:rPr>
          <w:rFonts w:cs="Calibri"/>
          <w:color w:val="000000"/>
          <w:szCs w:val="20"/>
        </w:rPr>
        <w:t xml:space="preserve">The decrease in the flow of the Malargüe River due to overexploitation for agricultural purposes in the upper river sections affects the water supply for </w:t>
      </w:r>
      <w:r w:rsidR="005C7C3C" w:rsidRPr="003F7F6C">
        <w:rPr>
          <w:rFonts w:cs="Calibri"/>
          <w:color w:val="000000"/>
          <w:szCs w:val="20"/>
        </w:rPr>
        <w:t xml:space="preserve"> “puesteros” (traditional ranchers and pastoralists who live in the plains and range up in the Andes)</w:t>
      </w:r>
      <w:r w:rsidRPr="003F7F6C">
        <w:rPr>
          <w:rFonts w:cs="Calibri"/>
          <w:color w:val="000000"/>
          <w:szCs w:val="20"/>
        </w:rPr>
        <w:t xml:space="preserve"> and Mapuche indigenous self-determined communities (around 60 families) and the natural regime of the lagoon. These are dedicated to the breeding of goats for self-supply and marketing, and to a lesser extent to sale or services for tourism.</w:t>
      </w:r>
    </w:p>
    <w:p w14:paraId="44E45093" w14:textId="7044A42D" w:rsidR="005E0527" w:rsidRPr="003F7F6C" w:rsidRDefault="005E0527" w:rsidP="005E0527">
      <w:pPr>
        <w:spacing w:after="240"/>
        <w:rPr>
          <w:rFonts w:cs="Calibri"/>
          <w:szCs w:val="20"/>
        </w:rPr>
      </w:pPr>
      <w:r w:rsidRPr="003F7F6C">
        <w:rPr>
          <w:rFonts w:cs="Calibri"/>
          <w:szCs w:val="20"/>
        </w:rPr>
        <w:t xml:space="preserve">This site </w:t>
      </w:r>
      <w:r w:rsidR="00937B1F" w:rsidRPr="003F7F6C">
        <w:rPr>
          <w:rFonts w:cs="Calibri"/>
          <w:szCs w:val="20"/>
        </w:rPr>
        <w:t>suffers from</w:t>
      </w:r>
      <w:r w:rsidRPr="003F7F6C">
        <w:rPr>
          <w:rFonts w:cs="Calibri"/>
          <w:szCs w:val="20"/>
        </w:rPr>
        <w:t xml:space="preserve"> the </w:t>
      </w:r>
      <w:r w:rsidR="00937B1F" w:rsidRPr="003F7F6C">
        <w:rPr>
          <w:rFonts w:cs="Calibri"/>
          <w:szCs w:val="20"/>
        </w:rPr>
        <w:t xml:space="preserve">impact of </w:t>
      </w:r>
      <w:r w:rsidRPr="003F7F6C">
        <w:rPr>
          <w:rFonts w:cs="Calibri"/>
          <w:szCs w:val="20"/>
        </w:rPr>
        <w:t xml:space="preserve">anthropic intervention processes on the natural environment which increasingly and steadily affect the biodiversity, soil, and the landscape: a) Public policy directed or centralized in the oasis </w:t>
      </w:r>
      <w:r w:rsidR="00937B1F" w:rsidRPr="003F7F6C">
        <w:rPr>
          <w:rFonts w:cs="Calibri"/>
          <w:szCs w:val="20"/>
        </w:rPr>
        <w:t xml:space="preserve">for </w:t>
      </w:r>
      <w:r w:rsidRPr="003F7F6C">
        <w:rPr>
          <w:rFonts w:cs="Calibri"/>
          <w:szCs w:val="20"/>
        </w:rPr>
        <w:t xml:space="preserve">socio-productive development without considering systemic strategies </w:t>
      </w:r>
      <w:r w:rsidR="00937B1F" w:rsidRPr="003F7F6C">
        <w:rPr>
          <w:rFonts w:cs="Calibri"/>
          <w:szCs w:val="20"/>
        </w:rPr>
        <w:t xml:space="preserve">in </w:t>
      </w:r>
      <w:r w:rsidRPr="003F7F6C">
        <w:rPr>
          <w:rFonts w:cs="Calibri"/>
          <w:szCs w:val="20"/>
        </w:rPr>
        <w:t>the entire territory; b) Loss and degradation of heritage due to the abusive and unsustainable use of resources (i.e.</w:t>
      </w:r>
      <w:r w:rsidR="00937B1F" w:rsidRPr="003F7F6C">
        <w:rPr>
          <w:rFonts w:cs="Calibri"/>
          <w:szCs w:val="20"/>
        </w:rPr>
        <w:t>,</w:t>
      </w:r>
      <w:r w:rsidRPr="003F7F6C">
        <w:rPr>
          <w:rFonts w:cs="Calibri"/>
          <w:szCs w:val="20"/>
        </w:rPr>
        <w:t xml:space="preserve"> firewood), habitat reduction and competition with exotic species; c) Urban development towards the Precordillera foothill in the Gran Mendoza area of ​​influence and productive development towards the Cordillera Frontal foothill; d) Deficiencies in knowledge, planning, control and monitoring of the different uses of natural resources; e) Inadequate cultural patterns of the population, </w:t>
      </w:r>
      <w:r w:rsidR="00937B1F" w:rsidRPr="003F7F6C">
        <w:rPr>
          <w:rFonts w:cs="Calibri"/>
          <w:szCs w:val="20"/>
        </w:rPr>
        <w:t xml:space="preserve">particularly </w:t>
      </w:r>
      <w:r w:rsidRPr="003F7F6C">
        <w:rPr>
          <w:rFonts w:cs="Calibri"/>
          <w:szCs w:val="20"/>
        </w:rPr>
        <w:t>hunting, high consumption of firewood, waste management, burning, etc., f) productive activities that use firewood as a primary input</w:t>
      </w:r>
      <w:r w:rsidR="00937B1F" w:rsidRPr="003F7F6C">
        <w:rPr>
          <w:rFonts w:cs="Calibri"/>
          <w:szCs w:val="20"/>
        </w:rPr>
        <w:t>,</w:t>
      </w:r>
      <w:r w:rsidRPr="003F7F6C">
        <w:rPr>
          <w:rFonts w:cs="Calibri"/>
          <w:szCs w:val="20"/>
        </w:rPr>
        <w:t xml:space="preserve"> such as </w:t>
      </w:r>
      <w:r w:rsidR="00937B1F" w:rsidRPr="003F7F6C">
        <w:rPr>
          <w:rFonts w:cs="Calibri"/>
          <w:szCs w:val="20"/>
        </w:rPr>
        <w:t xml:space="preserve">for </w:t>
      </w:r>
      <w:r w:rsidRPr="003F7F6C">
        <w:rPr>
          <w:rFonts w:cs="Calibri"/>
          <w:szCs w:val="20"/>
        </w:rPr>
        <w:t xml:space="preserve">brickyards; g) Extensive areas affected by extractive activities such as hydrocarbons, aggregates, etc. h) Absence of biological corridors under effective conservation strategies; i) </w:t>
      </w:r>
      <w:r w:rsidR="00937B1F" w:rsidRPr="003F7F6C">
        <w:rPr>
          <w:rFonts w:cs="Calibri"/>
          <w:szCs w:val="20"/>
        </w:rPr>
        <w:t xml:space="preserve">Detrimental </w:t>
      </w:r>
      <w:r w:rsidRPr="003F7F6C">
        <w:rPr>
          <w:rFonts w:cs="Calibri"/>
          <w:szCs w:val="20"/>
        </w:rPr>
        <w:t xml:space="preserve">processes on rainfed vegetation, such as overgrazing, associated on </w:t>
      </w:r>
      <w:r w:rsidR="00937B1F" w:rsidRPr="003F7F6C">
        <w:rPr>
          <w:rFonts w:cs="Calibri"/>
          <w:szCs w:val="20"/>
        </w:rPr>
        <w:t xml:space="preserve">the </w:t>
      </w:r>
      <w:r w:rsidRPr="003F7F6C">
        <w:rPr>
          <w:rFonts w:cs="Calibri"/>
          <w:szCs w:val="20"/>
        </w:rPr>
        <w:t xml:space="preserve">one hand with the low carrying capacity of the systems and on the other hand with inadequate livestock management; j) Destruction of </w:t>
      </w:r>
      <w:r w:rsidRPr="003F7F6C">
        <w:rPr>
          <w:rFonts w:cs="Calibri"/>
          <w:i/>
          <w:szCs w:val="20"/>
        </w:rPr>
        <w:t>vegas</w:t>
      </w:r>
      <w:r w:rsidRPr="003F7F6C">
        <w:rPr>
          <w:rFonts w:cs="Calibri"/>
          <w:szCs w:val="20"/>
        </w:rPr>
        <w:t xml:space="preserve"> and </w:t>
      </w:r>
      <w:r w:rsidRPr="003F7F6C">
        <w:rPr>
          <w:rFonts w:cs="Calibri"/>
          <w:i/>
          <w:szCs w:val="20"/>
        </w:rPr>
        <w:t>mallines</w:t>
      </w:r>
      <w:r w:rsidRPr="003F7F6C">
        <w:rPr>
          <w:rFonts w:cs="Calibri"/>
          <w:szCs w:val="20"/>
        </w:rPr>
        <w:t xml:space="preserve"> in mountainous areas </w:t>
      </w:r>
      <w:r w:rsidR="00937B1F" w:rsidRPr="003F7F6C">
        <w:rPr>
          <w:rFonts w:cs="Calibri"/>
          <w:szCs w:val="20"/>
        </w:rPr>
        <w:t xml:space="preserve">through </w:t>
      </w:r>
      <w:r w:rsidRPr="003F7F6C">
        <w:rPr>
          <w:rFonts w:cs="Calibri"/>
          <w:szCs w:val="20"/>
        </w:rPr>
        <w:t>overgrazing, infrastructure, use of peat</w:t>
      </w:r>
      <w:r w:rsidR="00937B1F" w:rsidRPr="003F7F6C">
        <w:rPr>
          <w:rFonts w:cs="Calibri"/>
          <w:szCs w:val="20"/>
        </w:rPr>
        <w:t xml:space="preserve"> for mining</w:t>
      </w:r>
      <w:r w:rsidRPr="003F7F6C">
        <w:rPr>
          <w:rFonts w:cs="Calibri"/>
          <w:szCs w:val="20"/>
        </w:rPr>
        <w:t>; k) Institutional weakness</w:t>
      </w:r>
      <w:r w:rsidR="00676CE4" w:rsidRPr="003F7F6C">
        <w:rPr>
          <w:rFonts w:cs="Calibri"/>
          <w:szCs w:val="20"/>
        </w:rPr>
        <w:t>es</w:t>
      </w:r>
      <w:r w:rsidRPr="003F7F6C">
        <w:rPr>
          <w:rFonts w:cs="Calibri"/>
          <w:szCs w:val="20"/>
        </w:rPr>
        <w:t xml:space="preserve"> linked to the integral management process of the </w:t>
      </w:r>
      <w:r w:rsidR="005C7C3C" w:rsidRPr="003F7F6C">
        <w:rPr>
          <w:rFonts w:cs="Calibri"/>
          <w:szCs w:val="20"/>
        </w:rPr>
        <w:t>protected natural areas</w:t>
      </w:r>
      <w:r w:rsidRPr="003F7F6C">
        <w:rPr>
          <w:rFonts w:cs="Calibri"/>
          <w:szCs w:val="20"/>
        </w:rPr>
        <w:t>, without management tools</w:t>
      </w:r>
      <w:r w:rsidR="00676CE4" w:rsidRPr="003F7F6C">
        <w:rPr>
          <w:rFonts w:cs="Calibri"/>
          <w:szCs w:val="20"/>
        </w:rPr>
        <w:t>.</w:t>
      </w:r>
      <w:r w:rsidRPr="003F7F6C">
        <w:rPr>
          <w:rFonts w:cs="Calibri"/>
          <w:szCs w:val="20"/>
        </w:rPr>
        <w:t xml:space="preserve"> </w:t>
      </w:r>
      <w:r w:rsidR="00676CE4" w:rsidRPr="003F7F6C">
        <w:rPr>
          <w:rFonts w:cs="Calibri"/>
          <w:szCs w:val="20"/>
        </w:rPr>
        <w:t>O</w:t>
      </w:r>
      <w:r w:rsidRPr="003F7F6C">
        <w:rPr>
          <w:rFonts w:cs="Calibri"/>
          <w:szCs w:val="20"/>
        </w:rPr>
        <w:t xml:space="preserve">n </w:t>
      </w:r>
      <w:r w:rsidR="00676CE4" w:rsidRPr="003F7F6C">
        <w:rPr>
          <w:rFonts w:cs="Calibri"/>
          <w:szCs w:val="20"/>
        </w:rPr>
        <w:t xml:space="preserve">the </w:t>
      </w:r>
      <w:r w:rsidRPr="003F7F6C">
        <w:rPr>
          <w:rFonts w:cs="Calibri"/>
          <w:szCs w:val="20"/>
        </w:rPr>
        <w:t xml:space="preserve">one hand budget and on the other the development of co-management models with the local inhabitants for effective management, limit the establishment of models </w:t>
      </w:r>
      <w:r w:rsidR="00676CE4" w:rsidRPr="003F7F6C">
        <w:rPr>
          <w:rFonts w:cs="Calibri"/>
          <w:szCs w:val="20"/>
        </w:rPr>
        <w:t xml:space="preserve">of </w:t>
      </w:r>
      <w:r w:rsidRPr="003F7F6C">
        <w:rPr>
          <w:rFonts w:cs="Calibri"/>
          <w:szCs w:val="20"/>
        </w:rPr>
        <w:t xml:space="preserve">sustainable use of natural resources, favoring degradation; l) </w:t>
      </w:r>
      <w:r w:rsidR="005C7C3C" w:rsidRPr="003F7F6C">
        <w:rPr>
          <w:rFonts w:cs="Calibri"/>
          <w:szCs w:val="20"/>
        </w:rPr>
        <w:t>protected natural areas are not always designated in areas where protection is most critical</w:t>
      </w:r>
      <w:r w:rsidRPr="003F7F6C">
        <w:rPr>
          <w:rFonts w:cs="Calibri"/>
          <w:szCs w:val="20"/>
        </w:rPr>
        <w:t xml:space="preserve"> m) Provincial public policy that has not prioritized landscape valuation as an important and essential aspect to preserve the quality of life and economic development; n) Development of public works without adequate environmental assessment and management measures; ñ) Extraction of </w:t>
      </w:r>
      <w:r w:rsidR="005C7C3C" w:rsidRPr="003F7F6C">
        <w:rPr>
          <w:rFonts w:cs="Calibri"/>
          <w:szCs w:val="20"/>
        </w:rPr>
        <w:t>building materials</w:t>
      </w:r>
      <w:r w:rsidRPr="003F7F6C">
        <w:rPr>
          <w:rFonts w:cs="Calibri"/>
          <w:szCs w:val="20"/>
        </w:rPr>
        <w:t xml:space="preserve"> in inappropriate sectors from the landscape point of view; o) Scarce infrastructure and strategies of public use of natural sites according to their </w:t>
      </w:r>
      <w:r w:rsidR="005C7C3C" w:rsidRPr="003F7F6C">
        <w:rPr>
          <w:rFonts w:cs="Calibri"/>
          <w:szCs w:val="20"/>
        </w:rPr>
        <w:t>category</w:t>
      </w:r>
      <w:r w:rsidRPr="003F7F6C">
        <w:rPr>
          <w:rFonts w:cs="Calibri"/>
          <w:szCs w:val="20"/>
        </w:rPr>
        <w:t>; p) Deterioration of natural and cultural systems such as hydrological systems, wetlands, native or implanted vegetation, heritage areas, q) Lack of building criteria according to the sites</w:t>
      </w:r>
      <w:r w:rsidR="00676CE4" w:rsidRPr="003F7F6C">
        <w:rPr>
          <w:rFonts w:cs="Calibri"/>
          <w:szCs w:val="20"/>
        </w:rPr>
        <w:t>ʹ</w:t>
      </w:r>
      <w:r w:rsidRPr="003F7F6C">
        <w:rPr>
          <w:rFonts w:cs="Calibri"/>
          <w:szCs w:val="20"/>
        </w:rPr>
        <w:t xml:space="preserve"> socio-cultural and environmental characteristics; r) Insufficient management of solid waste, effluents.</w:t>
      </w:r>
    </w:p>
    <w:p w14:paraId="05F3F823" w14:textId="77C937EB" w:rsidR="005E0527" w:rsidRPr="003F7F6C" w:rsidRDefault="005E0527" w:rsidP="005E0527">
      <w:pPr>
        <w:autoSpaceDE w:val="0"/>
        <w:autoSpaceDN w:val="0"/>
        <w:adjustRightInd w:val="0"/>
        <w:spacing w:after="240"/>
        <w:rPr>
          <w:rFonts w:cs="Calibri"/>
          <w:szCs w:val="20"/>
        </w:rPr>
      </w:pPr>
      <w:r w:rsidRPr="003F7F6C">
        <w:rPr>
          <w:rFonts w:cs="Calibri"/>
          <w:szCs w:val="20"/>
        </w:rPr>
        <w:t xml:space="preserve">In </w:t>
      </w:r>
      <w:r w:rsidR="00676CE4" w:rsidRPr="003F7F6C">
        <w:rPr>
          <w:rFonts w:cs="Calibri"/>
          <w:szCs w:val="20"/>
        </w:rPr>
        <w:t>terms of trends</w:t>
      </w:r>
      <w:r w:rsidRPr="003F7F6C">
        <w:rPr>
          <w:rFonts w:cs="Calibri"/>
          <w:szCs w:val="20"/>
        </w:rPr>
        <w:t xml:space="preserve">, the province </w:t>
      </w:r>
      <w:r w:rsidR="00676CE4" w:rsidRPr="003F7F6C">
        <w:rPr>
          <w:rFonts w:cs="Calibri"/>
          <w:szCs w:val="20"/>
        </w:rPr>
        <w:t xml:space="preserve">is </w:t>
      </w:r>
      <w:r w:rsidRPr="003F7F6C">
        <w:rPr>
          <w:rFonts w:cs="Calibri"/>
          <w:szCs w:val="20"/>
        </w:rPr>
        <w:t>becom</w:t>
      </w:r>
      <w:r w:rsidR="00676CE4" w:rsidRPr="003F7F6C">
        <w:rPr>
          <w:rFonts w:cs="Calibri"/>
          <w:szCs w:val="20"/>
        </w:rPr>
        <w:t>ing</w:t>
      </w:r>
      <w:r w:rsidRPr="003F7F6C">
        <w:rPr>
          <w:rFonts w:cs="Calibri"/>
          <w:szCs w:val="20"/>
        </w:rPr>
        <w:t xml:space="preserve"> impoverished in biodiversity which </w:t>
      </w:r>
      <w:r w:rsidR="00106994" w:rsidRPr="003F7F6C">
        <w:rPr>
          <w:rFonts w:cs="Calibri"/>
          <w:szCs w:val="20"/>
        </w:rPr>
        <w:t xml:space="preserve">is </w:t>
      </w:r>
      <w:r w:rsidRPr="003F7F6C">
        <w:rPr>
          <w:rFonts w:cs="Calibri"/>
          <w:szCs w:val="20"/>
        </w:rPr>
        <w:t>progressively decreas</w:t>
      </w:r>
      <w:r w:rsidR="00106994" w:rsidRPr="003F7F6C">
        <w:rPr>
          <w:rFonts w:cs="Calibri"/>
          <w:szCs w:val="20"/>
        </w:rPr>
        <w:t>ing</w:t>
      </w:r>
      <w:r w:rsidRPr="003F7F6C">
        <w:rPr>
          <w:rFonts w:cs="Calibri"/>
          <w:szCs w:val="20"/>
        </w:rPr>
        <w:t xml:space="preserve"> its wealth, productivity and resilience. The soils of non-irrigated areas present severe degradation processes that significantly impact on ecosystem and productive processes. The natural landscape, especially in sectors of tourist corridors is partially deteriorated in one or more of its components which affects its functionality and valuation. </w:t>
      </w:r>
    </w:p>
    <w:p w14:paraId="7B831D4B" w14:textId="77777777" w:rsidR="005E0527" w:rsidRPr="003F7F6C" w:rsidRDefault="005E0527" w:rsidP="005E0527">
      <w:pPr>
        <w:autoSpaceDE w:val="0"/>
        <w:autoSpaceDN w:val="0"/>
        <w:adjustRightInd w:val="0"/>
        <w:spacing w:after="240"/>
        <w:rPr>
          <w:rFonts w:cs="Calibri"/>
          <w:szCs w:val="20"/>
        </w:rPr>
      </w:pPr>
    </w:p>
    <w:p w14:paraId="7007CA7E" w14:textId="77777777" w:rsidR="005E0527" w:rsidRPr="003F7F6C" w:rsidRDefault="005E0527" w:rsidP="005E0527">
      <w:pPr>
        <w:autoSpaceDE w:val="0"/>
        <w:autoSpaceDN w:val="0"/>
        <w:adjustRightInd w:val="0"/>
        <w:spacing w:after="240"/>
        <w:rPr>
          <w:rFonts w:cs="Calibri"/>
          <w:b/>
          <w:szCs w:val="20"/>
        </w:rPr>
      </w:pPr>
      <w:r w:rsidRPr="003F7F6C">
        <w:rPr>
          <w:rFonts w:cs="Calibri"/>
          <w:b/>
          <w:szCs w:val="20"/>
        </w:rPr>
        <w:t>4. Northern Oasis – Green Belt</w:t>
      </w:r>
    </w:p>
    <w:p w14:paraId="75F0348A" w14:textId="77777777" w:rsidR="005E0527" w:rsidRPr="003F7F6C" w:rsidRDefault="005E0527" w:rsidP="005E0527">
      <w:pPr>
        <w:spacing w:after="240"/>
        <w:rPr>
          <w:rFonts w:cs="Calibri"/>
          <w:color w:val="000000"/>
          <w:szCs w:val="20"/>
          <w:lang w:eastAsia="es-US"/>
        </w:rPr>
      </w:pPr>
      <w:r w:rsidRPr="003F7F6C">
        <w:rPr>
          <w:rFonts w:cs="Calibri"/>
          <w:color w:val="000000"/>
          <w:szCs w:val="20"/>
          <w:u w:val="single"/>
          <w:lang w:eastAsia="es-US"/>
        </w:rPr>
        <w:t>Area</w:t>
      </w:r>
      <w:r w:rsidRPr="003F7F6C">
        <w:rPr>
          <w:rFonts w:cs="Calibri"/>
          <w:color w:val="000000"/>
          <w:szCs w:val="20"/>
          <w:lang w:eastAsia="es-US"/>
        </w:rPr>
        <w:t>: 63,650 hectares</w:t>
      </w:r>
    </w:p>
    <w:p w14:paraId="1B1C7A36" w14:textId="77777777" w:rsidR="005E0527" w:rsidRPr="003F7F6C" w:rsidRDefault="005E0527" w:rsidP="005E0527">
      <w:pPr>
        <w:spacing w:after="240"/>
        <w:rPr>
          <w:rFonts w:cs="Calibri"/>
          <w:color w:val="000000"/>
          <w:szCs w:val="20"/>
          <w:lang w:eastAsia="es-US"/>
        </w:rPr>
      </w:pPr>
      <w:r w:rsidRPr="003F7F6C">
        <w:rPr>
          <w:rFonts w:cs="Calibri"/>
          <w:color w:val="000000"/>
          <w:szCs w:val="20"/>
          <w:u w:val="single"/>
          <w:lang w:eastAsia="es-US"/>
        </w:rPr>
        <w:t>Ecoregions covered</w:t>
      </w:r>
      <w:r w:rsidRPr="003F7F6C">
        <w:rPr>
          <w:rFonts w:cs="Calibri"/>
          <w:color w:val="000000"/>
          <w:szCs w:val="20"/>
          <w:lang w:eastAsia="es-US"/>
        </w:rPr>
        <w:t>:  Low Monte</w:t>
      </w:r>
    </w:p>
    <w:p w14:paraId="2E8928A2" w14:textId="77777777" w:rsidR="005E0527" w:rsidRPr="003F7F6C" w:rsidRDefault="005E0527" w:rsidP="005E0527">
      <w:pPr>
        <w:spacing w:after="240"/>
        <w:rPr>
          <w:rFonts w:eastAsia="Times New Roman" w:cs="Calibri"/>
          <w:color w:val="000000"/>
          <w:spacing w:val="-10"/>
          <w:kern w:val="28"/>
          <w:szCs w:val="20"/>
        </w:rPr>
      </w:pPr>
      <w:r w:rsidRPr="003F7F6C">
        <w:rPr>
          <w:rFonts w:cs="Calibri"/>
          <w:color w:val="000000"/>
          <w:szCs w:val="20"/>
          <w:u w:val="single"/>
          <w:lang w:eastAsia="es-US"/>
        </w:rPr>
        <w:t>Main locations</w:t>
      </w:r>
      <w:r w:rsidRPr="003F7F6C">
        <w:rPr>
          <w:rFonts w:cs="Calibri"/>
          <w:color w:val="000000"/>
          <w:szCs w:val="20"/>
          <w:lang w:eastAsia="es-US"/>
        </w:rPr>
        <w:t>: Guaymallén, Lavalle (part), Maipú</w:t>
      </w:r>
      <w:r w:rsidRPr="003F7F6C">
        <w:rPr>
          <w:rFonts w:eastAsia="Times New Roman" w:cs="Calibri"/>
          <w:color w:val="000000"/>
          <w:spacing w:val="-10"/>
          <w:kern w:val="28"/>
          <w:szCs w:val="20"/>
        </w:rPr>
        <w:t xml:space="preserve"> </w:t>
      </w:r>
    </w:p>
    <w:p w14:paraId="5EE89F79" w14:textId="5655D105" w:rsidR="005E0527" w:rsidRPr="003F7F6C" w:rsidRDefault="005E0527" w:rsidP="005E0527">
      <w:pPr>
        <w:spacing w:after="240"/>
        <w:rPr>
          <w:rFonts w:cs="Calibri"/>
          <w:color w:val="000000"/>
          <w:szCs w:val="20"/>
          <w:lang w:eastAsia="es-US"/>
        </w:rPr>
      </w:pPr>
      <w:r w:rsidRPr="003F7F6C">
        <w:rPr>
          <w:rFonts w:cs="Calibri"/>
          <w:color w:val="000000"/>
          <w:szCs w:val="20"/>
          <w:u w:val="single"/>
          <w:lang w:eastAsia="es-US"/>
        </w:rPr>
        <w:t>Demographic and Socio-economic Description</w:t>
      </w:r>
      <w:r w:rsidRPr="003F7F6C">
        <w:rPr>
          <w:rFonts w:cs="Calibri"/>
          <w:color w:val="000000"/>
          <w:szCs w:val="20"/>
          <w:lang w:eastAsia="es-US"/>
        </w:rPr>
        <w:t xml:space="preserve">: The territory is occupied by family and commercial vegetable gardens that surround the cities and where vegetables are produced to supply the urban population. Approximately 25,000 people live on the site. This space is characterized </w:t>
      </w:r>
      <w:r w:rsidR="00E81AFB" w:rsidRPr="003F7F6C">
        <w:rPr>
          <w:rFonts w:cs="Calibri"/>
          <w:color w:val="000000"/>
          <w:szCs w:val="20"/>
          <w:lang w:eastAsia="es-US"/>
        </w:rPr>
        <w:t xml:space="preserve">as </w:t>
      </w:r>
      <w:r w:rsidRPr="003F7F6C">
        <w:rPr>
          <w:rFonts w:cs="Calibri"/>
          <w:color w:val="000000"/>
          <w:szCs w:val="20"/>
          <w:lang w:eastAsia="es-US"/>
        </w:rPr>
        <w:t>producing most of the vegetables as fresh and industrialized agro food consumed in Mendoza and in a relevant number of Argentine provinces and according to the opportunities of other countries, contributing to food security.</w:t>
      </w:r>
    </w:p>
    <w:p w14:paraId="1D3ACFE2" w14:textId="00042484" w:rsidR="005E0527" w:rsidRPr="003F7F6C" w:rsidRDefault="005E0527" w:rsidP="005E0527">
      <w:pPr>
        <w:spacing w:after="240"/>
        <w:rPr>
          <w:rFonts w:cs="Calibri"/>
          <w:color w:val="000000"/>
          <w:szCs w:val="20"/>
          <w:lang w:eastAsia="es-US"/>
        </w:rPr>
      </w:pPr>
      <w:r w:rsidRPr="003F7F6C">
        <w:rPr>
          <w:rFonts w:cs="Calibri"/>
          <w:color w:val="000000"/>
          <w:szCs w:val="20"/>
          <w:lang w:eastAsia="es-US"/>
        </w:rPr>
        <w:t xml:space="preserve">The predominant land tenure regime in the green belt is private property in 80% of cases, with leasing or sharecropping following in importance with 15%. </w:t>
      </w:r>
      <w:r w:rsidR="00E81AFB" w:rsidRPr="003F7F6C">
        <w:rPr>
          <w:rFonts w:cs="Calibri"/>
          <w:color w:val="000000"/>
          <w:szCs w:val="20"/>
          <w:lang w:eastAsia="es-US"/>
        </w:rPr>
        <w:t xml:space="preserve">In terms of </w:t>
      </w:r>
      <w:r w:rsidRPr="003F7F6C">
        <w:rPr>
          <w:rFonts w:cs="Calibri"/>
          <w:color w:val="000000"/>
          <w:szCs w:val="20"/>
          <w:lang w:eastAsia="es-US"/>
        </w:rPr>
        <w:t>the producers, the participation of the Bolivian community and its descendants is notorious in this horticultural activity, with social and cultural characteristics different from the traditional wine growing, fruit and horticultural producer</w:t>
      </w:r>
      <w:r w:rsidR="00E81AFB" w:rsidRPr="003F7F6C">
        <w:rPr>
          <w:rFonts w:cs="Calibri"/>
          <w:color w:val="000000"/>
          <w:szCs w:val="20"/>
          <w:lang w:eastAsia="es-US"/>
        </w:rPr>
        <w:t>s</w:t>
      </w:r>
      <w:r w:rsidRPr="003F7F6C">
        <w:rPr>
          <w:rFonts w:cs="Calibri"/>
          <w:color w:val="000000"/>
          <w:szCs w:val="20"/>
          <w:lang w:eastAsia="es-US"/>
        </w:rPr>
        <w:t xml:space="preserve"> of Creole origin and / or descendants of Spaniards and Italians. In general, they are farmers with high productive specialization, little diversification, with a very low or zero level of organization both horizontally and vertically and with little development of more efficient marketing methods.</w:t>
      </w:r>
    </w:p>
    <w:p w14:paraId="7445CC4B" w14:textId="72FDFB2F" w:rsidR="005E0527" w:rsidRPr="003F7F6C" w:rsidRDefault="005E0527" w:rsidP="005E0527">
      <w:pPr>
        <w:spacing w:after="240"/>
        <w:rPr>
          <w:rFonts w:cs="Calibri"/>
          <w:color w:val="000000"/>
          <w:szCs w:val="20"/>
          <w:lang w:eastAsia="es-US"/>
        </w:rPr>
      </w:pPr>
      <w:r w:rsidRPr="003F7F6C">
        <w:rPr>
          <w:rFonts w:cs="Calibri"/>
          <w:color w:val="000000"/>
          <w:szCs w:val="20"/>
          <w:lang w:eastAsia="es-US"/>
        </w:rPr>
        <w:t xml:space="preserve">The labor force of this territory is </w:t>
      </w:r>
      <w:r w:rsidR="002526F5" w:rsidRPr="003F7F6C">
        <w:rPr>
          <w:rFonts w:cs="Calibri"/>
          <w:color w:val="000000"/>
          <w:szCs w:val="20"/>
          <w:lang w:eastAsia="es-US"/>
        </w:rPr>
        <w:t>clearly similar to</w:t>
      </w:r>
      <w:r w:rsidRPr="003F7F6C">
        <w:rPr>
          <w:rFonts w:cs="Calibri"/>
          <w:color w:val="000000"/>
          <w:szCs w:val="20"/>
          <w:lang w:eastAsia="es-US"/>
        </w:rPr>
        <w:t xml:space="preserve"> most other rural territories of the province, formed </w:t>
      </w:r>
      <w:r w:rsidR="002526F5" w:rsidRPr="003F7F6C">
        <w:rPr>
          <w:rFonts w:cs="Calibri"/>
          <w:color w:val="000000"/>
          <w:szCs w:val="20"/>
          <w:lang w:eastAsia="es-US"/>
        </w:rPr>
        <w:t xml:space="preserve">on the </w:t>
      </w:r>
      <w:r w:rsidRPr="003F7F6C">
        <w:rPr>
          <w:rFonts w:cs="Calibri"/>
          <w:color w:val="000000"/>
          <w:szCs w:val="20"/>
          <w:lang w:eastAsia="es-US"/>
        </w:rPr>
        <w:t xml:space="preserve">one hand by an aging population, </w:t>
      </w:r>
      <w:r w:rsidR="002526F5" w:rsidRPr="003F7F6C">
        <w:rPr>
          <w:rFonts w:cs="Calibri"/>
          <w:color w:val="000000"/>
          <w:szCs w:val="20"/>
          <w:lang w:eastAsia="es-US"/>
        </w:rPr>
        <w:t>which leads to</w:t>
      </w:r>
      <w:r w:rsidRPr="003F7F6C">
        <w:rPr>
          <w:rFonts w:cs="Calibri"/>
          <w:color w:val="000000"/>
          <w:szCs w:val="20"/>
          <w:lang w:eastAsia="es-US"/>
        </w:rPr>
        <w:t xml:space="preserve"> an extreme situation in some districts, </w:t>
      </w:r>
      <w:r w:rsidR="002526F5" w:rsidRPr="003F7F6C">
        <w:rPr>
          <w:rFonts w:cs="Calibri"/>
          <w:color w:val="000000"/>
          <w:szCs w:val="20"/>
          <w:lang w:eastAsia="es-US"/>
        </w:rPr>
        <w:t>in the form</w:t>
      </w:r>
      <w:r w:rsidRPr="003F7F6C">
        <w:rPr>
          <w:rFonts w:cs="Calibri"/>
          <w:color w:val="000000"/>
          <w:szCs w:val="20"/>
          <w:lang w:eastAsia="es-US"/>
        </w:rPr>
        <w:t xml:space="preserve"> of </w:t>
      </w:r>
      <w:r w:rsidR="002526F5" w:rsidRPr="003F7F6C">
        <w:rPr>
          <w:rFonts w:cs="Calibri"/>
          <w:color w:val="000000"/>
          <w:szCs w:val="20"/>
          <w:lang w:eastAsia="es-US"/>
        </w:rPr>
        <w:t xml:space="preserve">an </w:t>
      </w:r>
      <w:r w:rsidRPr="003F7F6C">
        <w:rPr>
          <w:rFonts w:cs="Calibri"/>
          <w:color w:val="000000"/>
          <w:szCs w:val="20"/>
          <w:lang w:eastAsia="es-US"/>
        </w:rPr>
        <w:t xml:space="preserve">inverted pyramid. On the other hand, there is an exodus of young people with a higher level of education to the nearby population centers in search of greater job opportunities, remaining in the green belt those young people with </w:t>
      </w:r>
      <w:r w:rsidR="002526F5" w:rsidRPr="003F7F6C">
        <w:rPr>
          <w:rFonts w:cs="Calibri"/>
          <w:color w:val="000000"/>
          <w:szCs w:val="20"/>
          <w:lang w:eastAsia="es-US"/>
        </w:rPr>
        <w:t xml:space="preserve">incomplete </w:t>
      </w:r>
      <w:r w:rsidRPr="003F7F6C">
        <w:rPr>
          <w:rFonts w:cs="Calibri"/>
          <w:color w:val="000000"/>
          <w:szCs w:val="20"/>
          <w:lang w:eastAsia="es-US"/>
        </w:rPr>
        <w:t xml:space="preserve">primary or secondary education. This </w:t>
      </w:r>
      <w:r w:rsidR="002526F5" w:rsidRPr="003F7F6C">
        <w:rPr>
          <w:rFonts w:cs="Calibri"/>
          <w:color w:val="000000"/>
          <w:szCs w:val="20"/>
          <w:lang w:eastAsia="es-US"/>
        </w:rPr>
        <w:t xml:space="preserve">leads to </w:t>
      </w:r>
      <w:r w:rsidRPr="003F7F6C">
        <w:rPr>
          <w:rFonts w:cs="Calibri"/>
          <w:color w:val="000000"/>
          <w:szCs w:val="20"/>
          <w:lang w:eastAsia="es-US"/>
        </w:rPr>
        <w:t xml:space="preserve">a complicated scenario </w:t>
      </w:r>
      <w:r w:rsidR="008E335E" w:rsidRPr="003F7F6C">
        <w:rPr>
          <w:rFonts w:cs="Calibri"/>
          <w:color w:val="000000"/>
          <w:szCs w:val="20"/>
          <w:lang w:eastAsia="es-US"/>
        </w:rPr>
        <w:t>for the agricultural sector</w:t>
      </w:r>
      <w:r w:rsidRPr="003F7F6C">
        <w:rPr>
          <w:rFonts w:cs="Calibri"/>
          <w:color w:val="000000"/>
          <w:szCs w:val="20"/>
          <w:lang w:eastAsia="es-US"/>
        </w:rPr>
        <w:t xml:space="preserve">, since the producers lack sufficient manpower to </w:t>
      </w:r>
      <w:r w:rsidR="002526F5" w:rsidRPr="003F7F6C">
        <w:rPr>
          <w:rFonts w:cs="Calibri"/>
          <w:color w:val="000000"/>
          <w:szCs w:val="20"/>
          <w:lang w:eastAsia="es-US"/>
        </w:rPr>
        <w:t xml:space="preserve">carry out </w:t>
      </w:r>
      <w:r w:rsidR="008E335E" w:rsidRPr="003F7F6C">
        <w:rPr>
          <w:rFonts w:cs="Calibri"/>
          <w:color w:val="000000"/>
          <w:szCs w:val="20"/>
          <w:lang w:eastAsia="es-US"/>
        </w:rPr>
        <w:t>activities</w:t>
      </w:r>
      <w:r w:rsidRPr="003F7F6C">
        <w:rPr>
          <w:rFonts w:cs="Calibri"/>
          <w:color w:val="000000"/>
          <w:szCs w:val="20"/>
          <w:lang w:eastAsia="es-US"/>
        </w:rPr>
        <w:t>.</w:t>
      </w:r>
    </w:p>
    <w:p w14:paraId="34BB461E" w14:textId="0DEE6B6B" w:rsidR="005E0527" w:rsidRPr="003F7F6C" w:rsidRDefault="005E0527" w:rsidP="005E0527">
      <w:pPr>
        <w:spacing w:after="240"/>
        <w:rPr>
          <w:rFonts w:cs="Calibri"/>
          <w:color w:val="000000"/>
          <w:szCs w:val="20"/>
          <w:u w:val="single"/>
          <w:shd w:val="clear" w:color="auto" w:fill="FFFFFF"/>
        </w:rPr>
      </w:pPr>
      <w:r w:rsidRPr="003F7F6C">
        <w:rPr>
          <w:rFonts w:cs="Calibri"/>
          <w:color w:val="000000"/>
          <w:szCs w:val="20"/>
          <w:u w:val="single"/>
          <w:shd w:val="clear" w:color="auto" w:fill="FFFFFF"/>
        </w:rPr>
        <w:t xml:space="preserve">Environmental Description: </w:t>
      </w:r>
      <w:r w:rsidRPr="003F7F6C">
        <w:rPr>
          <w:rFonts w:cs="Calibri"/>
          <w:color w:val="000000"/>
          <w:szCs w:val="20"/>
          <w:shd w:val="clear" w:color="auto" w:fill="FFFFFF"/>
        </w:rPr>
        <w:t xml:space="preserve">It is a large area in the shape of a croissant surrounding the urban conglomerate called "Gran Mendoza" to the east, reaching the urban peripheries of the cities of Maipú, Guaymallén and Lavalle. The main contributions </w:t>
      </w:r>
      <w:r w:rsidR="002526F5" w:rsidRPr="003F7F6C">
        <w:rPr>
          <w:rFonts w:cs="Calibri"/>
          <w:color w:val="000000"/>
          <w:szCs w:val="20"/>
          <w:shd w:val="clear" w:color="auto" w:fill="FFFFFF"/>
        </w:rPr>
        <w:t xml:space="preserve">of </w:t>
      </w:r>
      <w:r w:rsidRPr="003F7F6C">
        <w:rPr>
          <w:rFonts w:cs="Calibri"/>
          <w:color w:val="000000"/>
          <w:szCs w:val="20"/>
          <w:shd w:val="clear" w:color="auto" w:fill="FFFFFF"/>
        </w:rPr>
        <w:t>this site to the region are: its optimal agroecological soil, water or climate condition</w:t>
      </w:r>
      <w:r w:rsidR="002526F5" w:rsidRPr="003F7F6C">
        <w:rPr>
          <w:rFonts w:cs="Calibri"/>
          <w:color w:val="000000"/>
          <w:szCs w:val="20"/>
          <w:shd w:val="clear" w:color="auto" w:fill="FFFFFF"/>
        </w:rPr>
        <w:t>s</w:t>
      </w:r>
      <w:r w:rsidRPr="003F7F6C">
        <w:rPr>
          <w:rFonts w:cs="Calibri"/>
          <w:color w:val="000000"/>
          <w:szCs w:val="20"/>
          <w:shd w:val="clear" w:color="auto" w:fill="FFFFFF"/>
        </w:rPr>
        <w:t>; social, cultural and technological capital, diversity of horticultural species, as well as fruits, olive trees and grapes; the possibility of consuming food without excessive transfer times; infrastructure of roads, irrigation network and electric power that allow this production; input suppliers; among others.</w:t>
      </w:r>
    </w:p>
    <w:p w14:paraId="0F7DC3E5" w14:textId="2038D451" w:rsidR="005E0527" w:rsidRPr="003F7F6C" w:rsidRDefault="005E0527" w:rsidP="005E0527">
      <w:pPr>
        <w:spacing w:after="240"/>
        <w:rPr>
          <w:rFonts w:cs="Calibri"/>
          <w:color w:val="000000"/>
          <w:szCs w:val="20"/>
          <w:u w:val="single"/>
          <w:shd w:val="clear" w:color="auto" w:fill="FFFFFF"/>
        </w:rPr>
      </w:pPr>
      <w:r w:rsidRPr="003F7F6C">
        <w:rPr>
          <w:rFonts w:cs="Calibri"/>
          <w:szCs w:val="20"/>
          <w:u w:val="single"/>
        </w:rPr>
        <w:t>Problems and Threats to the BD and LD</w:t>
      </w:r>
      <w:r w:rsidRPr="003F7F6C">
        <w:rPr>
          <w:rFonts w:cs="Calibri"/>
          <w:szCs w:val="20"/>
        </w:rPr>
        <w:t>: The site is a segment of the North Oasis of Mendoza; it includes most of the agricultural area of ​​the department of Guaymallén and a fraction of the departments of Lavalle and Maipú. It constitutes a quite heterogeneous agroecosystem characterized by the presence - although not exclu</w:t>
      </w:r>
      <w:r w:rsidR="002526F5" w:rsidRPr="003F7F6C">
        <w:rPr>
          <w:rFonts w:cs="Calibri"/>
          <w:szCs w:val="20"/>
        </w:rPr>
        <w:t>sively</w:t>
      </w:r>
      <w:r w:rsidRPr="003F7F6C">
        <w:rPr>
          <w:rFonts w:cs="Calibri"/>
          <w:szCs w:val="20"/>
        </w:rPr>
        <w:t xml:space="preserve"> - of horticultural farms that coexist with vineyards, olive groves and fruit trees. The proximity to the</w:t>
      </w:r>
      <w:r w:rsidR="008E335E" w:rsidRPr="003F7F6C">
        <w:rPr>
          <w:rFonts w:cs="Calibri"/>
          <w:szCs w:val="20"/>
        </w:rPr>
        <w:t xml:space="preserve"> Mendoza Metropolitan Area</w:t>
      </w:r>
      <w:r w:rsidRPr="003F7F6C">
        <w:rPr>
          <w:rFonts w:cs="Calibri"/>
          <w:szCs w:val="20"/>
        </w:rPr>
        <w:t>, a regional metropolis with more than one million inhabitants, impose</w:t>
      </w:r>
      <w:r w:rsidR="002526F5" w:rsidRPr="003F7F6C">
        <w:rPr>
          <w:rFonts w:cs="Calibri"/>
          <w:szCs w:val="20"/>
        </w:rPr>
        <w:t>s</w:t>
      </w:r>
      <w:r w:rsidRPr="003F7F6C">
        <w:rPr>
          <w:rFonts w:cs="Calibri"/>
          <w:szCs w:val="20"/>
        </w:rPr>
        <w:t xml:space="preserve"> an urbanization gradient </w:t>
      </w:r>
      <w:r w:rsidR="002526F5" w:rsidRPr="003F7F6C">
        <w:rPr>
          <w:rFonts w:cs="Calibri"/>
          <w:szCs w:val="20"/>
        </w:rPr>
        <w:t>o</w:t>
      </w:r>
      <w:r w:rsidRPr="003F7F6C">
        <w:rPr>
          <w:rFonts w:cs="Calibri"/>
          <w:szCs w:val="20"/>
        </w:rPr>
        <w:t xml:space="preserve">n this area that threatens the sustainability of the productive system. Given the complexity and diversity of the problem and its challenges, the </w:t>
      </w:r>
      <w:r w:rsidR="002526F5" w:rsidRPr="003F7F6C">
        <w:rPr>
          <w:rFonts w:cs="Calibri"/>
          <w:szCs w:val="20"/>
        </w:rPr>
        <w:t>u</w:t>
      </w:r>
      <w:r w:rsidRPr="003F7F6C">
        <w:rPr>
          <w:rFonts w:cs="Calibri"/>
          <w:szCs w:val="20"/>
        </w:rPr>
        <w:t xml:space="preserve">rban </w:t>
      </w:r>
      <w:r w:rsidR="002526F5" w:rsidRPr="003F7F6C">
        <w:rPr>
          <w:rFonts w:cs="Calibri"/>
          <w:szCs w:val="20"/>
        </w:rPr>
        <w:t xml:space="preserve">advance </w:t>
      </w:r>
      <w:r w:rsidRPr="003F7F6C">
        <w:rPr>
          <w:rFonts w:cs="Calibri"/>
          <w:szCs w:val="20"/>
        </w:rPr>
        <w:t xml:space="preserve">on agricultural land will be addressed as a central theme. </w:t>
      </w:r>
    </w:p>
    <w:p w14:paraId="66D0D73F" w14:textId="207CD300" w:rsidR="005E0527" w:rsidRPr="003F7F6C" w:rsidRDefault="005E0527" w:rsidP="005E0527">
      <w:pPr>
        <w:spacing w:after="240"/>
        <w:rPr>
          <w:rFonts w:cs="Calibri"/>
          <w:szCs w:val="20"/>
        </w:rPr>
      </w:pPr>
      <w:r w:rsidRPr="003F7F6C">
        <w:rPr>
          <w:rFonts w:cs="Calibri"/>
          <w:color w:val="000000"/>
          <w:szCs w:val="20"/>
          <w:shd w:val="clear" w:color="auto" w:fill="FFFFFF"/>
        </w:rPr>
        <w:t xml:space="preserve">Among the main problems of the territory the following </w:t>
      </w:r>
      <w:r w:rsidR="002526F5" w:rsidRPr="003F7F6C">
        <w:rPr>
          <w:rFonts w:cs="Calibri"/>
          <w:color w:val="000000"/>
          <w:szCs w:val="20"/>
          <w:shd w:val="clear" w:color="auto" w:fill="FFFFFF"/>
        </w:rPr>
        <w:t xml:space="preserve">can be </w:t>
      </w:r>
      <w:r w:rsidRPr="003F7F6C">
        <w:rPr>
          <w:rFonts w:cs="Calibri"/>
          <w:color w:val="000000"/>
          <w:szCs w:val="20"/>
          <w:shd w:val="clear" w:color="auto" w:fill="FFFFFF"/>
        </w:rPr>
        <w:t xml:space="preserve">listed: disorganized </w:t>
      </w:r>
      <w:r w:rsidR="002526F5" w:rsidRPr="003F7F6C">
        <w:rPr>
          <w:rFonts w:cs="Calibri"/>
          <w:color w:val="000000"/>
          <w:szCs w:val="20"/>
          <w:shd w:val="clear" w:color="auto" w:fill="FFFFFF"/>
        </w:rPr>
        <w:t xml:space="preserve">advance </w:t>
      </w:r>
      <w:r w:rsidRPr="003F7F6C">
        <w:rPr>
          <w:rFonts w:cs="Calibri"/>
          <w:color w:val="000000"/>
          <w:szCs w:val="20"/>
          <w:shd w:val="clear" w:color="auto" w:fill="FFFFFF"/>
        </w:rPr>
        <w:t xml:space="preserve">of urban </w:t>
      </w:r>
      <w:r w:rsidR="002526F5" w:rsidRPr="003F7F6C">
        <w:rPr>
          <w:rFonts w:cs="Calibri"/>
          <w:color w:val="000000"/>
          <w:szCs w:val="20"/>
          <w:shd w:val="clear" w:color="auto" w:fill="FFFFFF"/>
        </w:rPr>
        <w:t xml:space="preserve">land </w:t>
      </w:r>
      <w:r w:rsidRPr="003F7F6C">
        <w:rPr>
          <w:rFonts w:cs="Calibri"/>
          <w:color w:val="000000"/>
          <w:szCs w:val="20"/>
          <w:shd w:val="clear" w:color="auto" w:fill="FFFFFF"/>
        </w:rPr>
        <w:t xml:space="preserve">over rural </w:t>
      </w:r>
      <w:r w:rsidR="002526F5" w:rsidRPr="003F7F6C">
        <w:rPr>
          <w:rFonts w:cs="Calibri"/>
          <w:color w:val="000000"/>
          <w:szCs w:val="20"/>
          <w:shd w:val="clear" w:color="auto" w:fill="FFFFFF"/>
        </w:rPr>
        <w:t>land</w:t>
      </w:r>
      <w:r w:rsidRPr="003F7F6C">
        <w:rPr>
          <w:rFonts w:cs="Calibri"/>
          <w:color w:val="000000"/>
          <w:szCs w:val="20"/>
          <w:shd w:val="clear" w:color="auto" w:fill="FFFFFF"/>
        </w:rPr>
        <w:t xml:space="preserve">; consequent loss of fertile land suitable for agricultural uses; costly investments in the generation of new crop lands; increasing pollution of the rural and peri-urban environment; contamination of irrigation and drainage channels by residential and industrial waste; low agricultural productivity with </w:t>
      </w:r>
      <w:r w:rsidR="002526F5" w:rsidRPr="003F7F6C">
        <w:rPr>
          <w:rFonts w:cs="Calibri"/>
          <w:color w:val="000000"/>
          <w:szCs w:val="20"/>
          <w:shd w:val="clear" w:color="auto" w:fill="FFFFFF"/>
        </w:rPr>
        <w:t xml:space="preserve">little </w:t>
      </w:r>
      <w:r w:rsidRPr="003F7F6C">
        <w:rPr>
          <w:rFonts w:cs="Calibri"/>
          <w:color w:val="000000"/>
          <w:szCs w:val="20"/>
          <w:shd w:val="clear" w:color="auto" w:fill="FFFFFF"/>
        </w:rPr>
        <w:t xml:space="preserve">adoption of sustainable productive practices (BPA); low level of agricultural employment; high degree of economic informality; little added value of horticultural production; large fluctuations and gaps between the prices received per producer and those paid by consumers; rural population with producers </w:t>
      </w:r>
      <w:r w:rsidR="002526F5" w:rsidRPr="003F7F6C">
        <w:rPr>
          <w:rFonts w:cs="Calibri"/>
          <w:color w:val="000000"/>
          <w:szCs w:val="20"/>
          <w:shd w:val="clear" w:color="auto" w:fill="FFFFFF"/>
        </w:rPr>
        <w:t xml:space="preserve">of a </w:t>
      </w:r>
      <w:r w:rsidRPr="003F7F6C">
        <w:rPr>
          <w:rFonts w:cs="Calibri"/>
          <w:color w:val="000000"/>
          <w:szCs w:val="20"/>
          <w:shd w:val="clear" w:color="auto" w:fill="FFFFFF"/>
        </w:rPr>
        <w:t>high average age; exodus of qualified rural youth from rural areas to cities in search of job opportunities; poor horizontal organization; fragmentation of the landscape and segmentation of the social fabric; among others.</w:t>
      </w:r>
    </w:p>
    <w:p w14:paraId="74DE686C" w14:textId="35CFDBE0" w:rsidR="005E0527" w:rsidRPr="003F7F6C" w:rsidRDefault="005E0527" w:rsidP="005E0527">
      <w:pPr>
        <w:spacing w:after="240"/>
        <w:rPr>
          <w:rFonts w:cs="Calibri"/>
          <w:szCs w:val="20"/>
        </w:rPr>
      </w:pPr>
      <w:r w:rsidRPr="003F7F6C">
        <w:rPr>
          <w:rFonts w:cs="Calibri"/>
          <w:szCs w:val="20"/>
        </w:rPr>
        <w:t xml:space="preserve">The selected area shows diverse environmental problems: a) Irrational use of agrochemicals, both phytopharmaceuticals and fertilizers. This practice </w:t>
      </w:r>
      <w:r w:rsidR="002526F5" w:rsidRPr="003F7F6C">
        <w:rPr>
          <w:rFonts w:cs="Calibri"/>
          <w:szCs w:val="20"/>
        </w:rPr>
        <w:t xml:space="preserve">leads to environmental </w:t>
      </w:r>
      <w:r w:rsidRPr="003F7F6C">
        <w:rPr>
          <w:rFonts w:cs="Calibri"/>
          <w:szCs w:val="20"/>
        </w:rPr>
        <w:t>consequences</w:t>
      </w:r>
      <w:r w:rsidR="002526F5" w:rsidRPr="003F7F6C">
        <w:rPr>
          <w:rFonts w:cs="Calibri"/>
          <w:szCs w:val="20"/>
        </w:rPr>
        <w:t>,</w:t>
      </w:r>
      <w:r w:rsidRPr="003F7F6C">
        <w:rPr>
          <w:rFonts w:cs="Calibri"/>
          <w:szCs w:val="20"/>
        </w:rPr>
        <w:t xml:space="preserve"> such as the contamination of the soil, water resources, air, </w:t>
      </w:r>
      <w:r w:rsidR="002526F5" w:rsidRPr="003F7F6C">
        <w:rPr>
          <w:rFonts w:cs="Calibri"/>
          <w:szCs w:val="20"/>
        </w:rPr>
        <w:t xml:space="preserve">and </w:t>
      </w:r>
      <w:r w:rsidRPr="003F7F6C">
        <w:rPr>
          <w:rFonts w:cs="Calibri"/>
          <w:szCs w:val="20"/>
        </w:rPr>
        <w:t xml:space="preserve">biome alteration; b) Presence of degraded soils and increase of the edaphic salinization process; c) Contamination of the surface irrigation network with </w:t>
      </w:r>
      <w:r w:rsidR="00B4623D" w:rsidRPr="003F7F6C">
        <w:rPr>
          <w:rFonts w:cs="Calibri"/>
          <w:szCs w:val="20"/>
        </w:rPr>
        <w:t>u</w:t>
      </w:r>
      <w:r w:rsidRPr="003F7F6C">
        <w:rPr>
          <w:rFonts w:cs="Calibri"/>
          <w:szCs w:val="20"/>
        </w:rPr>
        <w:t xml:space="preserve">rban </w:t>
      </w:r>
      <w:r w:rsidR="00B4623D" w:rsidRPr="003F7F6C">
        <w:rPr>
          <w:rFonts w:cs="Calibri"/>
          <w:szCs w:val="20"/>
        </w:rPr>
        <w:t>s</w:t>
      </w:r>
      <w:r w:rsidRPr="003F7F6C">
        <w:rPr>
          <w:rFonts w:cs="Calibri"/>
          <w:szCs w:val="20"/>
        </w:rPr>
        <w:t xml:space="preserve">olid </w:t>
      </w:r>
      <w:r w:rsidR="00B4623D" w:rsidRPr="003F7F6C">
        <w:rPr>
          <w:rFonts w:cs="Calibri"/>
          <w:szCs w:val="20"/>
        </w:rPr>
        <w:t>w</w:t>
      </w:r>
      <w:r w:rsidRPr="003F7F6C">
        <w:rPr>
          <w:rFonts w:cs="Calibri"/>
          <w:szCs w:val="20"/>
        </w:rPr>
        <w:t xml:space="preserve">aste; d) Increasing presence of plastic waste from protected crops; e) Increasing presence of open air dumps; f) Urban </w:t>
      </w:r>
      <w:r w:rsidR="00AA51CC" w:rsidRPr="003F7F6C">
        <w:rPr>
          <w:rFonts w:cs="Calibri"/>
          <w:szCs w:val="20"/>
        </w:rPr>
        <w:t xml:space="preserve">advance </w:t>
      </w:r>
      <w:r w:rsidRPr="003F7F6C">
        <w:rPr>
          <w:rFonts w:cs="Calibri"/>
          <w:szCs w:val="20"/>
        </w:rPr>
        <w:t xml:space="preserve">on agricultural lands in various modalities. </w:t>
      </w:r>
      <w:r w:rsidR="00AA51CC" w:rsidRPr="003F7F6C">
        <w:rPr>
          <w:rFonts w:cs="Calibri"/>
          <w:szCs w:val="20"/>
        </w:rPr>
        <w:t>The</w:t>
      </w:r>
      <w:r w:rsidRPr="003F7F6C">
        <w:rPr>
          <w:rFonts w:cs="Calibri"/>
          <w:szCs w:val="20"/>
        </w:rPr>
        <w:t xml:space="preserve"> irreversible and direct consequences </w:t>
      </w:r>
      <w:r w:rsidR="00AA51CC" w:rsidRPr="003F7F6C">
        <w:rPr>
          <w:rFonts w:cs="Calibri"/>
          <w:szCs w:val="20"/>
        </w:rPr>
        <w:t xml:space="preserve">of this process include </w:t>
      </w:r>
      <w:r w:rsidRPr="003F7F6C">
        <w:rPr>
          <w:rFonts w:cs="Calibri"/>
          <w:szCs w:val="20"/>
        </w:rPr>
        <w:t xml:space="preserve">the loss of productive capacity of the agroecosystem as well as other ecosystem services </w:t>
      </w:r>
      <w:r w:rsidR="00AA51CC" w:rsidRPr="003F7F6C">
        <w:rPr>
          <w:rFonts w:cs="Calibri"/>
          <w:szCs w:val="20"/>
        </w:rPr>
        <w:t>in the</w:t>
      </w:r>
      <w:r w:rsidRPr="003F7F6C">
        <w:rPr>
          <w:rFonts w:cs="Calibri"/>
          <w:szCs w:val="20"/>
        </w:rPr>
        <w:t xml:space="preserve"> landscape, the obsolescence of agricultural infrastructure such as the irrigation distribution network, alterations in the biome and rural-urban conflicts.</w:t>
      </w:r>
    </w:p>
    <w:p w14:paraId="1358DD97" w14:textId="77777777" w:rsidR="005E0527" w:rsidRPr="003F7F6C" w:rsidRDefault="005E0527" w:rsidP="005E0527">
      <w:pPr>
        <w:spacing w:after="240"/>
        <w:rPr>
          <w:rFonts w:cs="Calibri"/>
          <w:b/>
          <w:szCs w:val="20"/>
        </w:rPr>
      </w:pPr>
      <w:r w:rsidRPr="003F7F6C">
        <w:rPr>
          <w:rFonts w:cs="Calibri"/>
          <w:b/>
          <w:szCs w:val="20"/>
        </w:rPr>
        <w:t>Figure 3 – Map of Mendoza target landscapes and ecoregions covered</w:t>
      </w:r>
    </w:p>
    <w:p w14:paraId="5339A220" w14:textId="77777777" w:rsidR="009B7002" w:rsidRPr="005E0527" w:rsidRDefault="005E0527" w:rsidP="005E0527">
      <w:pPr>
        <w:spacing w:after="240"/>
        <w:rPr>
          <w:rFonts w:cs="Calibri"/>
          <w:szCs w:val="20"/>
        </w:rPr>
      </w:pPr>
      <w:r w:rsidRPr="003F7F6C">
        <w:rPr>
          <w:rFonts w:ascii="Times New Roman" w:hAnsi="Times New Roman"/>
          <w:noProof/>
        </w:rPr>
        <w:drawing>
          <wp:inline distT="0" distB="0" distL="0" distR="0" wp14:anchorId="158E1DCF" wp14:editId="081A4400">
            <wp:extent cx="4731442" cy="3911097"/>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741466" cy="3919383"/>
                    </a:xfrm>
                    <a:prstGeom prst="rect">
                      <a:avLst/>
                    </a:prstGeom>
                    <a:noFill/>
                    <a:ln>
                      <a:noFill/>
                    </a:ln>
                  </pic:spPr>
                </pic:pic>
              </a:graphicData>
            </a:graphic>
          </wp:inline>
        </w:drawing>
      </w:r>
    </w:p>
    <w:p w14:paraId="650D8F46" w14:textId="3E05A6AE" w:rsidR="003B6502" w:rsidRPr="003B6502" w:rsidRDefault="003B6502" w:rsidP="003B6502"/>
    <w:sectPr w:rsidR="003B6502" w:rsidRPr="003B6502" w:rsidSect="0096798B">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2681B55" w14:textId="77777777" w:rsidR="003434CB" w:rsidRDefault="003434CB">
      <w:r>
        <w:separator/>
      </w:r>
    </w:p>
  </w:endnote>
  <w:endnote w:type="continuationSeparator" w:id="0">
    <w:p w14:paraId="16442012" w14:textId="77777777" w:rsidR="003434CB" w:rsidRDefault="003434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modern"/>
    <w:notTrueType/>
    <w:pitch w:val="fixed"/>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dobe Garamond Pro">
    <w:altName w:val="Times New Roman"/>
    <w:panose1 w:val="00000000000000000000"/>
    <w:charset w:val="00"/>
    <w:family w:val="roman"/>
    <w:notTrueType/>
    <w:pitch w:val="variable"/>
    <w:sig w:usb0="00000007" w:usb1="00000001" w:usb2="00000000" w:usb3="00000000" w:csb0="00000093" w:csb1="00000000"/>
  </w:font>
  <w:font w:name="Trebuchet MS">
    <w:panose1 w:val="020B0603020202020204"/>
    <w:charset w:val="00"/>
    <w:family w:val="swiss"/>
    <w:pitch w:val="variable"/>
    <w:sig w:usb0="00000287" w:usb1="00000000" w:usb2="00000000" w:usb3="00000000" w:csb0="0000009F" w:csb1="00000000"/>
  </w:font>
  <w:font w:name="Angsana New">
    <w:panose1 w:val="02020603050405020304"/>
    <w:charset w:val="00"/>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10002FF" w:usb1="4000FCFF" w:usb2="00000009" w:usb3="00000000" w:csb0="0000019F" w:csb1="00000000"/>
  </w:font>
  <w:font w:name="Times">
    <w:panose1 w:val="02020603050405020304"/>
    <w:charset w:val="00"/>
    <w:family w:val="roman"/>
    <w:pitch w:val="variable"/>
    <w:sig w:usb0="E0002AFF" w:usb1="C0007841"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ヒラギノ角ゴ Pro W3">
    <w:charset w:val="80"/>
    <w:family w:val="auto"/>
    <w:pitch w:val="variable"/>
    <w:sig w:usb0="E00002FF" w:usb1="7AC7FFFF" w:usb2="00000012" w:usb3="00000000" w:csb0="0002000D" w:csb1="00000000"/>
  </w:font>
  <w:font w:name="Yu Mincho">
    <w:charset w:val="80"/>
    <w:family w:val="roman"/>
    <w:pitch w:val="variable"/>
    <w:sig w:usb0="800002E7" w:usb1="2AC7FCFF" w:usb2="00000012" w:usb3="00000000" w:csb0="0002009F" w:csb1="00000000"/>
  </w:font>
  <w:font w:name="Myriad Pro">
    <w:panose1 w:val="020B0503030403020204"/>
    <w:charset w:val="00"/>
    <w:family w:val="swiss"/>
    <w:notTrueType/>
    <w:pitch w:val="variable"/>
    <w:sig w:usb0="A00002AF" w:usb1="5000204B" w:usb2="00000000" w:usb3="00000000" w:csb0="0000009F" w:csb1="00000000"/>
  </w:font>
  <w:font w:name="Segoe UI">
    <w:panose1 w:val="020B0502040204020203"/>
    <w:charset w:val="00"/>
    <w:family w:val="swiss"/>
    <w:pitch w:val="variable"/>
    <w:sig w:usb0="E10022FF" w:usb1="C000E47F" w:usb2="00000029" w:usb3="00000000" w:csb0="000001DF" w:csb1="00000000"/>
  </w:font>
  <w:font w:name="TimesNewRomanPSMT">
    <w:altName w:val="Times New Roman"/>
    <w:charset w:val="00"/>
    <w:family w:val="roman"/>
    <w:pitch w:val="variable"/>
    <w:sig w:usb0="E0002AFF" w:usb1="C0007841" w:usb2="00000009" w:usb3="00000000" w:csb0="000001FF" w:csb1="00000000"/>
  </w:font>
  <w:font w:name="TimesNewRomanPS">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0000012" w:usb3="00000000" w:csb0="0002009F" w:csb1="00000000"/>
  </w:font>
  <w:font w:name="Minion Pro">
    <w:charset w:val="00"/>
    <w:family w:val="auto"/>
    <w:pitch w:val="variable"/>
    <w:sig w:usb0="60000287" w:usb1="00000001" w:usb2="00000000" w:usb3="00000000" w:csb0="0000019F" w:csb1="00000000"/>
  </w:font>
  <w:font w:name="Segoe UI Symbol">
    <w:panose1 w:val="020B0502040204020203"/>
    <w:charset w:val="00"/>
    <w:family w:val="swiss"/>
    <w:pitch w:val="variable"/>
    <w:sig w:usb0="8000006F" w:usb1="1200FBEF" w:usb2="0064C000" w:usb3="00000000" w:csb0="00000001" w:csb1="00000000"/>
  </w:font>
  <w:font w:name="Menlo Bold">
    <w:altName w:val="DokChampa"/>
    <w:charset w:val="00"/>
    <w:family w:val="auto"/>
    <w:pitch w:val="variable"/>
    <w:sig w:usb0="E60022FF" w:usb1="D000F1FB" w:usb2="00000028"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5AB08F" w14:textId="5117566D" w:rsidR="00A925EE" w:rsidRDefault="00A925EE" w:rsidP="0003763F">
    <w:pPr>
      <w:pStyle w:val="Footer"/>
      <w:pBdr>
        <w:top w:val="single" w:sz="4" w:space="1" w:color="D9D9D9"/>
      </w:pBdr>
      <w:jc w:val="right"/>
    </w:pPr>
    <w:r>
      <w:fldChar w:fldCharType="begin"/>
    </w:r>
    <w:r>
      <w:instrText xml:space="preserve"> PAGE   \* MERGEFORMAT </w:instrText>
    </w:r>
    <w:r>
      <w:fldChar w:fldCharType="separate"/>
    </w:r>
    <w:r w:rsidR="009B5EDC">
      <w:rPr>
        <w:noProof/>
      </w:rPr>
      <w:t>2</w:t>
    </w:r>
    <w:r>
      <w:rPr>
        <w:noProof/>
      </w:rPr>
      <w:fldChar w:fldCharType="end"/>
    </w:r>
    <w:r>
      <w:t xml:space="preserve"> | </w:t>
    </w:r>
    <w:r w:rsidRPr="0003763F">
      <w:rPr>
        <w:color w:val="7F7F7F"/>
        <w:spacing w:val="60"/>
      </w:rPr>
      <w:t>Page</w:t>
    </w:r>
  </w:p>
  <w:p w14:paraId="6C3414B8" w14:textId="77777777" w:rsidR="00A925EE" w:rsidRDefault="00A925E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00FEB9" w14:textId="5EC85404" w:rsidR="00A925EE" w:rsidRDefault="00A925EE"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sidR="009B5EDC">
      <w:rPr>
        <w:noProof/>
      </w:rPr>
      <w:t>1</w:t>
    </w:r>
    <w:r>
      <w:rPr>
        <w:noProof/>
      </w:rPr>
      <w:fldChar w:fldCharType="end"/>
    </w:r>
    <w:r>
      <w:t xml:space="preserve"> | </w:t>
    </w:r>
    <w:r w:rsidRPr="00DD472A">
      <w:rPr>
        <w:color w:val="7F7F7F"/>
        <w:spacing w:val="60"/>
      </w:rPr>
      <w:t>Page</w:t>
    </w:r>
  </w:p>
  <w:p w14:paraId="2E38DBD2" w14:textId="77777777" w:rsidR="00A925EE" w:rsidRDefault="00A925E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F5C034" w14:textId="77777777" w:rsidR="00A925EE" w:rsidRDefault="00A925EE" w:rsidP="00FD3A8F">
    <w:pPr>
      <w:pStyle w:val="Header"/>
    </w:pPr>
  </w:p>
  <w:p w14:paraId="7ADB8D7D" w14:textId="7077FEAB" w:rsidR="00A925EE" w:rsidRDefault="00A925EE" w:rsidP="0003763F">
    <w:pPr>
      <w:pStyle w:val="Footer"/>
      <w:pBdr>
        <w:top w:val="single" w:sz="4" w:space="1" w:color="D9D9D9"/>
      </w:pBdr>
      <w:jc w:val="right"/>
    </w:pPr>
    <w:r w:rsidRPr="00C367B9">
      <w:rPr>
        <w:sz w:val="18"/>
        <w:szCs w:val="18"/>
      </w:rPr>
      <w:fldChar w:fldCharType="begin"/>
    </w:r>
    <w:r w:rsidRPr="00C367B9">
      <w:rPr>
        <w:sz w:val="18"/>
        <w:szCs w:val="18"/>
      </w:rPr>
      <w:instrText xml:space="preserve"> PAGE   \* MERGEFORMAT </w:instrText>
    </w:r>
    <w:r w:rsidRPr="00C367B9">
      <w:rPr>
        <w:sz w:val="18"/>
        <w:szCs w:val="18"/>
      </w:rPr>
      <w:fldChar w:fldCharType="separate"/>
    </w:r>
    <w:r>
      <w:rPr>
        <w:noProof/>
        <w:sz w:val="18"/>
        <w:szCs w:val="18"/>
      </w:rPr>
      <w:t>109</w:t>
    </w:r>
    <w:r w:rsidRPr="00C367B9">
      <w:rPr>
        <w:noProof/>
        <w:sz w:val="18"/>
        <w:szCs w:val="18"/>
      </w:rPr>
      <w:fldChar w:fldCharType="end"/>
    </w:r>
    <w:r>
      <w:t xml:space="preserve"> | </w:t>
    </w:r>
    <w:r w:rsidRPr="0003763F">
      <w:rPr>
        <w:color w:val="7F7F7F"/>
        <w:spacing w:val="60"/>
      </w:rPr>
      <w:t>Page</w:t>
    </w:r>
  </w:p>
  <w:p w14:paraId="53CFE554" w14:textId="77777777" w:rsidR="00A925EE" w:rsidRDefault="00A925EE" w:rsidP="00FD3A8F">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79229875"/>
      <w:docPartObj>
        <w:docPartGallery w:val="Page Numbers (Bottom of Page)"/>
        <w:docPartUnique/>
      </w:docPartObj>
    </w:sdtPr>
    <w:sdtEndPr/>
    <w:sdtContent>
      <w:p w14:paraId="54CBEE20" w14:textId="77777777" w:rsidR="00A925EE" w:rsidRDefault="00A925EE">
        <w:pPr>
          <w:pStyle w:val="Footer"/>
          <w:jc w:val="right"/>
        </w:pPr>
        <w:r>
          <w:fldChar w:fldCharType="begin"/>
        </w:r>
        <w:r>
          <w:instrText>PAGE   \* MERGEFORMAT</w:instrText>
        </w:r>
        <w:r>
          <w:fldChar w:fldCharType="separate"/>
        </w:r>
        <w:r w:rsidRPr="00FF7705">
          <w:rPr>
            <w:noProof/>
            <w:lang w:val="es-ES"/>
          </w:rPr>
          <w:t>22</w:t>
        </w:r>
        <w:r>
          <w:fldChar w:fldCharType="end"/>
        </w:r>
      </w:p>
    </w:sdtContent>
  </w:sdt>
  <w:p w14:paraId="2E7B1240" w14:textId="77777777" w:rsidR="00A925EE" w:rsidRDefault="00A925E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36C7906" w14:textId="77777777" w:rsidR="003434CB" w:rsidRDefault="003434CB">
      <w:r>
        <w:separator/>
      </w:r>
    </w:p>
  </w:footnote>
  <w:footnote w:type="continuationSeparator" w:id="0">
    <w:p w14:paraId="7E022F15" w14:textId="77777777" w:rsidR="003434CB" w:rsidRDefault="003434CB">
      <w:r>
        <w:continuationSeparator/>
      </w:r>
    </w:p>
  </w:footnote>
  <w:footnote w:id="1">
    <w:p w14:paraId="215E3CCF" w14:textId="77777777" w:rsidR="00A925EE" w:rsidRPr="003263CE" w:rsidRDefault="00A925EE">
      <w:pPr>
        <w:pStyle w:val="FootnoteText"/>
      </w:pPr>
      <w:r>
        <w:rPr>
          <w:rStyle w:val="FootnoteReference"/>
        </w:rPr>
        <w:footnoteRef/>
      </w:r>
      <w:r>
        <w:t xml:space="preserve"> </w:t>
      </w:r>
      <w:r w:rsidRPr="002B3130">
        <w:rPr>
          <w:rFonts w:ascii="Calibri" w:eastAsia="Times New Roman" w:hAnsi="Calibri" w:cs="Calibri"/>
          <w:sz w:val="16"/>
          <w:szCs w:val="16"/>
          <w:lang w:eastAsia="es-ES_tradnl"/>
        </w:rPr>
        <w:t>Argentina spans the latitudes 21º 46' SL up to 55º 03' SL; is the 8th</w:t>
      </w:r>
      <w:r w:rsidRPr="002B3130">
        <w:rPr>
          <w:rFonts w:ascii="Calibri" w:eastAsia="Times New Roman" w:hAnsi="Calibri" w:cs="Calibri"/>
          <w:position w:val="6"/>
          <w:sz w:val="16"/>
          <w:szCs w:val="16"/>
          <w:lang w:eastAsia="es-ES_tradnl"/>
        </w:rPr>
        <w:t xml:space="preserve"> </w:t>
      </w:r>
      <w:r w:rsidRPr="002B3130">
        <w:rPr>
          <w:rFonts w:ascii="Calibri" w:eastAsia="Times New Roman" w:hAnsi="Calibri" w:cs="Calibri"/>
          <w:sz w:val="16"/>
          <w:szCs w:val="16"/>
          <w:lang w:eastAsia="es-ES_tradnl"/>
        </w:rPr>
        <w:t>country in land area (2,791,810 km2) and 4th in the Americas. Its marine territory covers 4,8 million km2, an additional 1.7 million km2 of continental shelf was recently recognized under UN Convention on the Law of the Sea.</w:t>
      </w:r>
    </w:p>
  </w:footnote>
  <w:footnote w:id="2">
    <w:p w14:paraId="374F9EFA" w14:textId="125DF395" w:rsidR="00A925EE" w:rsidRPr="002B3130" w:rsidRDefault="00A925EE" w:rsidP="00BB512B">
      <w:pPr>
        <w:pStyle w:val="FootnoteText"/>
        <w:spacing w:after="0"/>
        <w:rPr>
          <w:rFonts w:ascii="Calibri" w:hAnsi="Calibri" w:cs="Calibri"/>
          <w:sz w:val="16"/>
          <w:szCs w:val="16"/>
          <w:lang w:val="es-PY"/>
        </w:rPr>
      </w:pPr>
      <w:r>
        <w:rPr>
          <w:rStyle w:val="FootnoteReference"/>
        </w:rPr>
        <w:footnoteRef/>
      </w:r>
      <w:r w:rsidRPr="003263CE">
        <w:rPr>
          <w:lang w:val="es-PY"/>
        </w:rPr>
        <w:t xml:space="preserve"> </w:t>
      </w:r>
      <w:r w:rsidRPr="002B3130">
        <w:rPr>
          <w:rFonts w:ascii="Calibri" w:eastAsia="Times New Roman" w:hAnsi="Calibri" w:cs="Calibri"/>
          <w:sz w:val="16"/>
          <w:szCs w:val="16"/>
          <w:lang w:val="es-PY" w:eastAsia="es-ES_tradnl"/>
        </w:rPr>
        <w:t>Spanish equivalents: Altos Andes; Puna; Monte de Sierras y Bolsones, Selva de las Yungas; Chaco Seco; Chaco Húmedo; Selva Paranaense Esteros del Iberá; Campos y Malezales; Valle y Delta del Paraná; Espinal; Pampas; Monte de Llanuras y Mesetas; Estepa Patagónica; Bosques Patagónicos; Islas del Atlántico Sur, Mar Argentino y la Antártida</w:t>
      </w:r>
    </w:p>
  </w:footnote>
  <w:footnote w:id="3">
    <w:p w14:paraId="5EC582CE" w14:textId="77777777" w:rsidR="00A925EE" w:rsidRPr="00366561" w:rsidRDefault="00A925EE" w:rsidP="00BB512B">
      <w:pPr>
        <w:pStyle w:val="FootnoteText"/>
        <w:spacing w:after="0"/>
        <w:rPr>
          <w:rFonts w:asciiTheme="minorHAnsi" w:hAnsiTheme="minorHAnsi" w:cstheme="minorHAnsi"/>
          <w:sz w:val="16"/>
          <w:szCs w:val="16"/>
          <w:lang w:val="es-ES"/>
        </w:rPr>
      </w:pPr>
      <w:r w:rsidRPr="00366561">
        <w:rPr>
          <w:rStyle w:val="FootnoteReference"/>
          <w:rFonts w:asciiTheme="minorHAnsi" w:hAnsiTheme="minorHAnsi" w:cstheme="minorHAnsi"/>
          <w:sz w:val="16"/>
          <w:szCs w:val="16"/>
        </w:rPr>
        <w:footnoteRef/>
      </w:r>
      <w:r w:rsidRPr="00366561">
        <w:rPr>
          <w:rFonts w:asciiTheme="minorHAnsi" w:hAnsiTheme="minorHAnsi" w:cstheme="minorHAnsi"/>
          <w:sz w:val="16"/>
          <w:szCs w:val="16"/>
          <w:lang w:val="es-PY"/>
        </w:rPr>
        <w:t xml:space="preserve"> Zuloaga et al. Flora Vascular de la Republica Argentina. 2015.</w:t>
      </w:r>
    </w:p>
  </w:footnote>
  <w:footnote w:id="4">
    <w:p w14:paraId="72B26139" w14:textId="49E81052" w:rsidR="00A925EE" w:rsidRPr="00BB512B" w:rsidRDefault="00A925EE" w:rsidP="00BB512B">
      <w:pPr>
        <w:pStyle w:val="FootnoteText"/>
        <w:spacing w:after="0"/>
        <w:rPr>
          <w:lang w:val="es-ES"/>
        </w:rPr>
      </w:pPr>
      <w:r>
        <w:rPr>
          <w:rStyle w:val="FootnoteReference"/>
        </w:rPr>
        <w:footnoteRef/>
      </w:r>
      <w:r>
        <w:rPr>
          <w:lang w:val="es-PY"/>
        </w:rPr>
        <w:t xml:space="preserve"> </w:t>
      </w:r>
      <w:r w:rsidRPr="00366561">
        <w:rPr>
          <w:rFonts w:asciiTheme="minorHAnsi" w:hAnsiTheme="minorHAnsi" w:cstheme="minorHAnsi"/>
          <w:sz w:val="16"/>
          <w:szCs w:val="16"/>
          <w:lang w:val="es-PY"/>
        </w:rPr>
        <w:t>Ojeda et al. Libro Rojo de Mamiferos Amenazados de la Argentina</w:t>
      </w:r>
      <w:r>
        <w:rPr>
          <w:rFonts w:asciiTheme="minorHAnsi" w:hAnsiTheme="minorHAnsi" w:cstheme="minorHAnsi"/>
          <w:sz w:val="16"/>
          <w:szCs w:val="16"/>
          <w:lang w:val="es-PY"/>
        </w:rPr>
        <w:t>. 2012</w:t>
      </w:r>
    </w:p>
  </w:footnote>
  <w:footnote w:id="5">
    <w:p w14:paraId="2A8108A8" w14:textId="62E66513" w:rsidR="00A925EE" w:rsidRPr="00BB512B" w:rsidRDefault="00A925EE" w:rsidP="00BB512B">
      <w:pPr>
        <w:pStyle w:val="FootnoteText"/>
        <w:spacing w:after="0"/>
        <w:rPr>
          <w:lang w:val="es-ES"/>
        </w:rPr>
      </w:pPr>
      <w:r>
        <w:rPr>
          <w:rStyle w:val="FootnoteReference"/>
        </w:rPr>
        <w:footnoteRef/>
      </w:r>
      <w:r w:rsidRPr="00BB512B">
        <w:rPr>
          <w:lang w:val="es-PY"/>
        </w:rPr>
        <w:t xml:space="preserve"> </w:t>
      </w:r>
      <w:r w:rsidRPr="00366561">
        <w:rPr>
          <w:rFonts w:asciiTheme="minorHAnsi" w:hAnsiTheme="minorHAnsi" w:cstheme="minorHAnsi"/>
          <w:sz w:val="16"/>
          <w:szCs w:val="16"/>
          <w:lang w:val="es-PY"/>
        </w:rPr>
        <w:t>Lopez Lanues et al. Categorización de Aves de la Argentina. 2008</w:t>
      </w:r>
    </w:p>
  </w:footnote>
  <w:footnote w:id="6">
    <w:p w14:paraId="648031EC" w14:textId="261EAE9C" w:rsidR="00A925EE" w:rsidRPr="00BB512B" w:rsidRDefault="00A925EE" w:rsidP="00BB512B">
      <w:pPr>
        <w:pStyle w:val="FootnoteText"/>
        <w:spacing w:after="0"/>
        <w:rPr>
          <w:rFonts w:asciiTheme="minorHAnsi" w:hAnsiTheme="minorHAnsi" w:cstheme="minorHAnsi"/>
          <w:sz w:val="16"/>
          <w:szCs w:val="16"/>
          <w:lang w:val="es-PY"/>
        </w:rPr>
      </w:pPr>
      <w:r>
        <w:rPr>
          <w:rStyle w:val="FootnoteReference"/>
        </w:rPr>
        <w:footnoteRef/>
      </w:r>
      <w:r w:rsidRPr="00BB512B">
        <w:rPr>
          <w:lang w:val="es-PY"/>
        </w:rPr>
        <w:t xml:space="preserve"> </w:t>
      </w:r>
      <w:r w:rsidRPr="00366561">
        <w:rPr>
          <w:rFonts w:asciiTheme="minorHAnsi" w:hAnsiTheme="minorHAnsi" w:cstheme="minorHAnsi"/>
          <w:sz w:val="16"/>
          <w:szCs w:val="16"/>
          <w:lang w:val="es-PY"/>
        </w:rPr>
        <w:t>Vaira et al. Categorización del Estado de Conservación de anfibios de la República Argentina. 2012</w:t>
      </w:r>
    </w:p>
  </w:footnote>
  <w:footnote w:id="7">
    <w:p w14:paraId="6B3E1F35" w14:textId="4AFEA577" w:rsidR="00A925EE" w:rsidRPr="00BB512B" w:rsidRDefault="00A925EE" w:rsidP="00BB512B">
      <w:pPr>
        <w:pStyle w:val="FootnoteText"/>
        <w:spacing w:after="0"/>
        <w:rPr>
          <w:rFonts w:asciiTheme="minorHAnsi" w:hAnsiTheme="minorHAnsi" w:cstheme="minorHAnsi"/>
          <w:sz w:val="16"/>
          <w:szCs w:val="16"/>
          <w:lang w:val="es-PY"/>
        </w:rPr>
      </w:pPr>
      <w:r>
        <w:rPr>
          <w:rStyle w:val="FootnoteReference"/>
        </w:rPr>
        <w:footnoteRef/>
      </w:r>
      <w:r w:rsidRPr="00BB512B">
        <w:rPr>
          <w:lang w:val="es-PY"/>
        </w:rPr>
        <w:t xml:space="preserve"> </w:t>
      </w:r>
      <w:r w:rsidRPr="00366561">
        <w:rPr>
          <w:rFonts w:asciiTheme="minorHAnsi" w:hAnsiTheme="minorHAnsi" w:cstheme="minorHAnsi"/>
          <w:sz w:val="16"/>
          <w:szCs w:val="16"/>
          <w:lang w:val="es-PY"/>
        </w:rPr>
        <w:t>Abadala et al. Categorización de los Reptiles. 2012</w:t>
      </w:r>
    </w:p>
  </w:footnote>
  <w:footnote w:id="8">
    <w:p w14:paraId="59A326ED" w14:textId="724B3A0B" w:rsidR="00A925EE" w:rsidRPr="00BB512B" w:rsidRDefault="00A925EE" w:rsidP="00BB512B">
      <w:pPr>
        <w:pStyle w:val="FootnoteText"/>
        <w:spacing w:after="0"/>
        <w:rPr>
          <w:rFonts w:asciiTheme="minorHAnsi" w:hAnsiTheme="minorHAnsi" w:cstheme="minorHAnsi"/>
          <w:sz w:val="16"/>
          <w:szCs w:val="16"/>
          <w:lang w:val="es-PY"/>
        </w:rPr>
      </w:pPr>
      <w:r>
        <w:rPr>
          <w:rStyle w:val="FootnoteReference"/>
        </w:rPr>
        <w:footnoteRef/>
      </w:r>
      <w:r w:rsidRPr="00BB512B">
        <w:rPr>
          <w:lang w:val="es-PY"/>
        </w:rPr>
        <w:t xml:space="preserve"> </w:t>
      </w:r>
      <w:r w:rsidRPr="00366561">
        <w:rPr>
          <w:rFonts w:asciiTheme="minorHAnsi" w:hAnsiTheme="minorHAnsi" w:cstheme="minorHAnsi"/>
          <w:sz w:val="16"/>
          <w:szCs w:val="16"/>
          <w:lang w:val="es-PY"/>
        </w:rPr>
        <w:t>Giraudo et al. Categorización del Estado de las Serpientes de la Republica Argentina. 2012</w:t>
      </w:r>
    </w:p>
  </w:footnote>
  <w:footnote w:id="9">
    <w:p w14:paraId="62F6A8E0" w14:textId="3537537E" w:rsidR="00A925EE" w:rsidRPr="00123324" w:rsidRDefault="00A925EE" w:rsidP="00BB512B">
      <w:pPr>
        <w:pStyle w:val="FootnoteText"/>
        <w:spacing w:after="0"/>
        <w:rPr>
          <w:lang w:val="es-PY"/>
        </w:rPr>
      </w:pPr>
      <w:r>
        <w:rPr>
          <w:rStyle w:val="FootnoteReference"/>
        </w:rPr>
        <w:footnoteRef/>
      </w:r>
      <w:r>
        <w:rPr>
          <w:lang w:val="es-PY"/>
        </w:rPr>
        <w:t xml:space="preserve"> </w:t>
      </w:r>
      <w:r w:rsidRPr="00366561">
        <w:rPr>
          <w:rFonts w:asciiTheme="minorHAnsi" w:hAnsiTheme="minorHAnsi" w:cstheme="minorHAnsi"/>
          <w:sz w:val="16"/>
          <w:szCs w:val="16"/>
          <w:lang w:val="es-ES"/>
        </w:rPr>
        <w:t xml:space="preserve">Prado et al. Categorización del Estado de las Tortugas de la Republica Argentina. </w:t>
      </w:r>
      <w:r w:rsidRPr="00123324">
        <w:rPr>
          <w:rFonts w:asciiTheme="minorHAnsi" w:hAnsiTheme="minorHAnsi" w:cstheme="minorHAnsi"/>
          <w:sz w:val="16"/>
          <w:szCs w:val="16"/>
          <w:lang w:val="es-PY"/>
        </w:rPr>
        <w:t>2012</w:t>
      </w:r>
    </w:p>
  </w:footnote>
  <w:footnote w:id="10">
    <w:p w14:paraId="2317A4AB" w14:textId="373B2019" w:rsidR="00A925EE" w:rsidRPr="00123324" w:rsidRDefault="00A925EE" w:rsidP="00BB512B">
      <w:pPr>
        <w:pStyle w:val="FootnoteText"/>
        <w:spacing w:after="0"/>
        <w:rPr>
          <w:rFonts w:asciiTheme="minorHAnsi" w:hAnsiTheme="minorHAnsi" w:cstheme="minorHAnsi"/>
          <w:sz w:val="16"/>
          <w:szCs w:val="16"/>
          <w:lang w:val="es-PY"/>
        </w:rPr>
      </w:pPr>
      <w:r w:rsidRPr="00366561">
        <w:rPr>
          <w:rStyle w:val="FootnoteReference"/>
          <w:rFonts w:asciiTheme="minorHAnsi" w:hAnsiTheme="minorHAnsi" w:cstheme="minorHAnsi"/>
          <w:sz w:val="16"/>
          <w:szCs w:val="16"/>
        </w:rPr>
        <w:footnoteRef/>
      </w:r>
      <w:r w:rsidRPr="00123324">
        <w:rPr>
          <w:rFonts w:asciiTheme="minorHAnsi" w:hAnsiTheme="minorHAnsi" w:cstheme="minorHAnsi"/>
          <w:sz w:val="16"/>
          <w:szCs w:val="16"/>
          <w:lang w:val="es-PY"/>
        </w:rPr>
        <w:t xml:space="preserve"> Claps et al. Biodiversidad de Artrópodos Argentinos 2008</w:t>
      </w:r>
    </w:p>
  </w:footnote>
  <w:footnote w:id="11">
    <w:p w14:paraId="08D5A155" w14:textId="77777777" w:rsidR="00A925EE" w:rsidRPr="00D07958" w:rsidRDefault="00A925EE" w:rsidP="00BB512B">
      <w:pPr>
        <w:pStyle w:val="FootnoteText"/>
        <w:spacing w:after="0"/>
      </w:pPr>
      <w:r w:rsidRPr="00D25E0D">
        <w:rPr>
          <w:rStyle w:val="FootnoteReference"/>
          <w:rFonts w:ascii="Calibri" w:hAnsi="Calibri" w:cs="Calibri"/>
          <w:sz w:val="16"/>
          <w:szCs w:val="16"/>
        </w:rPr>
        <w:footnoteRef/>
      </w:r>
      <w:r w:rsidRPr="00123324">
        <w:rPr>
          <w:rFonts w:ascii="Calibri" w:hAnsi="Calibri" w:cs="Calibri"/>
          <w:sz w:val="16"/>
          <w:szCs w:val="16"/>
          <w:lang w:val="es-PY"/>
        </w:rPr>
        <w:t xml:space="preserve"> INDEC Population Census. </w:t>
      </w:r>
      <w:r w:rsidRPr="00D25E0D">
        <w:rPr>
          <w:rFonts w:ascii="Calibri" w:hAnsi="Calibri" w:cs="Calibri"/>
          <w:sz w:val="16"/>
          <w:szCs w:val="16"/>
        </w:rPr>
        <w:t>2010</w:t>
      </w:r>
    </w:p>
  </w:footnote>
  <w:footnote w:id="12">
    <w:p w14:paraId="069AF227" w14:textId="77777777" w:rsidR="00A925EE" w:rsidRPr="00D25E0D" w:rsidRDefault="00A925EE">
      <w:pPr>
        <w:pStyle w:val="FootnoteText"/>
        <w:rPr>
          <w:rFonts w:ascii="Calibri" w:hAnsi="Calibri" w:cs="Calibri"/>
          <w:sz w:val="16"/>
          <w:szCs w:val="16"/>
        </w:rPr>
      </w:pPr>
      <w:r w:rsidRPr="00D25E0D">
        <w:rPr>
          <w:rStyle w:val="FootnoteReference"/>
          <w:rFonts w:ascii="Calibri" w:hAnsi="Calibri" w:cs="Calibri"/>
          <w:sz w:val="16"/>
          <w:szCs w:val="16"/>
        </w:rPr>
        <w:footnoteRef/>
      </w:r>
      <w:r w:rsidRPr="00D25E0D">
        <w:rPr>
          <w:rFonts w:ascii="Calibri" w:hAnsi="Calibri" w:cs="Calibri"/>
          <w:sz w:val="16"/>
          <w:szCs w:val="16"/>
        </w:rPr>
        <w:t xml:space="preserve"> SGAyDS.2015</w:t>
      </w:r>
    </w:p>
  </w:footnote>
  <w:footnote w:id="13">
    <w:p w14:paraId="01488575" w14:textId="77777777" w:rsidR="00A925EE" w:rsidRPr="008C0FEB" w:rsidRDefault="00A925EE" w:rsidP="00E977EC">
      <w:pPr>
        <w:spacing w:after="0"/>
      </w:pPr>
      <w:r>
        <w:rPr>
          <w:rStyle w:val="FootnoteReference"/>
        </w:rPr>
        <w:footnoteRef/>
      </w:r>
      <w:r>
        <w:t xml:space="preserve"> </w:t>
      </w:r>
      <w:r w:rsidRPr="008C0FEB">
        <w:rPr>
          <w:rFonts w:eastAsia="Times New Roman" w:cs="Calibri"/>
          <w:sz w:val="16"/>
          <w:szCs w:val="16"/>
          <w:lang w:eastAsia="es-ES_tradnl"/>
        </w:rPr>
        <w:t>IBAs include globally threatened bird populations (red list species), restricted-range species (Endemic Bird Areas EBAs), spe</w:t>
      </w:r>
      <w:r>
        <w:rPr>
          <w:rFonts w:eastAsia="Times New Roman" w:cs="Calibri"/>
          <w:sz w:val="16"/>
          <w:szCs w:val="16"/>
          <w:lang w:eastAsia="es-ES_tradnl"/>
        </w:rPr>
        <w:t>cies confined to South America and</w:t>
      </w:r>
      <w:r w:rsidRPr="008C0FEB">
        <w:rPr>
          <w:rFonts w:eastAsia="Times New Roman" w:cs="Calibri"/>
          <w:sz w:val="16"/>
          <w:szCs w:val="16"/>
          <w:lang w:eastAsia="es-ES_tradnl"/>
        </w:rPr>
        <w:t xml:space="preserve"> </w:t>
      </w:r>
      <w:r w:rsidRPr="00A94C26">
        <w:rPr>
          <w:rFonts w:eastAsia="Times New Roman" w:cs="Calibri"/>
          <w:sz w:val="16"/>
          <w:szCs w:val="16"/>
          <w:lang w:eastAsia="es-ES_tradnl"/>
        </w:rPr>
        <w:t>congregatory bird species. 99% of Argentina’s IBAs are important for globally threatened species, 70% for endemic species in EBAs, 81% South America and 8% congregatory</w:t>
      </w:r>
      <w:r w:rsidRPr="008C0FEB">
        <w:rPr>
          <w:rFonts w:eastAsia="Times New Roman" w:cs="Calibri"/>
          <w:sz w:val="16"/>
          <w:szCs w:val="16"/>
          <w:lang w:eastAsia="es-ES_tradnl"/>
        </w:rPr>
        <w:t xml:space="preserve"> bird species. All the most relevant bird species for conservation purp</w:t>
      </w:r>
      <w:r>
        <w:rPr>
          <w:rFonts w:eastAsia="Times New Roman" w:cs="Calibri"/>
          <w:sz w:val="16"/>
          <w:szCs w:val="16"/>
          <w:lang w:eastAsia="es-ES_tradnl"/>
        </w:rPr>
        <w:t>oses pertain to one or two IBAs.</w:t>
      </w:r>
    </w:p>
  </w:footnote>
  <w:footnote w:id="14">
    <w:p w14:paraId="56349153" w14:textId="77777777" w:rsidR="00A925EE" w:rsidRPr="00E977EC" w:rsidRDefault="00A925EE" w:rsidP="00E977EC">
      <w:pPr>
        <w:tabs>
          <w:tab w:val="left" w:pos="426"/>
        </w:tabs>
        <w:spacing w:after="0"/>
        <w:rPr>
          <w:rFonts w:eastAsia="Times New Roman" w:cs="Calibri"/>
          <w:sz w:val="16"/>
          <w:szCs w:val="16"/>
          <w:lang w:eastAsia="es-ES_tradnl"/>
        </w:rPr>
      </w:pPr>
      <w:r>
        <w:rPr>
          <w:rStyle w:val="FootnoteReference"/>
        </w:rPr>
        <w:footnoteRef/>
      </w:r>
      <w:r>
        <w:t xml:space="preserve"> </w:t>
      </w:r>
      <w:r w:rsidRPr="00366561">
        <w:rPr>
          <w:rFonts w:eastAsia="Times New Roman" w:cs="Calibri"/>
          <w:sz w:val="16"/>
          <w:szCs w:val="16"/>
          <w:lang w:eastAsia="es-ES_tradnl"/>
        </w:rPr>
        <w:t xml:space="preserve">According to Ravelo, Andres C. et al. 2008. CDE/WOCAT, FAO/LADA, ISRIC the degrees of degradation are defined as: a) light: there are some indications of degradation but the process is still in an initial stage; it can be easily halted and the damage may be repaired with a minor effort; b) moderate: degradation is obvious but control and complete rehabilitation of the land is still possible with considerable effort; c) strong: evident signs of degradation; changes in the properties of the land are significant and difficult to restore within a reasonable time limit; and d) extreme: degradation is beyond restoration. </w:t>
      </w:r>
    </w:p>
  </w:footnote>
  <w:footnote w:id="15">
    <w:p w14:paraId="39B8035B" w14:textId="77777777" w:rsidR="00A925EE" w:rsidRPr="00D25E0D" w:rsidRDefault="00A925EE" w:rsidP="00E977EC">
      <w:pPr>
        <w:pStyle w:val="FootnoteText"/>
        <w:spacing w:after="0"/>
        <w:rPr>
          <w:rFonts w:ascii="Calibri" w:hAnsi="Calibri" w:cs="Calibri"/>
          <w:sz w:val="16"/>
          <w:szCs w:val="16"/>
        </w:rPr>
      </w:pPr>
      <w:r w:rsidRPr="00D25E0D">
        <w:rPr>
          <w:rStyle w:val="FootnoteReference"/>
          <w:rFonts w:ascii="Calibri" w:hAnsi="Calibri" w:cs="Calibri"/>
          <w:sz w:val="16"/>
          <w:szCs w:val="16"/>
        </w:rPr>
        <w:footnoteRef/>
      </w:r>
      <w:r w:rsidRPr="00D25E0D">
        <w:rPr>
          <w:rFonts w:ascii="Calibri" w:hAnsi="Calibri" w:cs="Calibri"/>
          <w:sz w:val="16"/>
          <w:szCs w:val="16"/>
        </w:rPr>
        <w:t xml:space="preserve"> Project Identification Form</w:t>
      </w:r>
    </w:p>
  </w:footnote>
  <w:footnote w:id="16">
    <w:p w14:paraId="63659612" w14:textId="77777777" w:rsidR="00A925EE" w:rsidRPr="001C27A8" w:rsidRDefault="00A925EE">
      <w:pPr>
        <w:pStyle w:val="FootnoteText"/>
      </w:pPr>
      <w:r>
        <w:rPr>
          <w:rStyle w:val="FootnoteReference"/>
        </w:rPr>
        <w:footnoteRef/>
      </w:r>
      <w:r>
        <w:t xml:space="preserve"> </w:t>
      </w:r>
      <w:r w:rsidRPr="002B3130">
        <w:rPr>
          <w:rFonts w:ascii="Calibri" w:eastAsia="Times New Roman" w:hAnsi="Calibri" w:cs="Calibri"/>
          <w:sz w:val="16"/>
          <w:szCs w:val="16"/>
          <w:lang w:eastAsia="es-ES_tradnl"/>
        </w:rPr>
        <w:t>This Bill was passed February 2016 by the Senate; it is waiting enactment by the Lower House; wetlands account for almost 21.5% of the country.</w:t>
      </w:r>
    </w:p>
  </w:footnote>
  <w:footnote w:id="17">
    <w:p w14:paraId="4B3B0C7A" w14:textId="4AE6091C" w:rsidR="00A925EE" w:rsidRPr="00787478" w:rsidRDefault="00A925EE" w:rsidP="005B2E89">
      <w:pPr>
        <w:pStyle w:val="FootnoteText"/>
        <w:rPr>
          <w:color w:val="FF0000"/>
        </w:rPr>
      </w:pPr>
      <w:r>
        <w:rPr>
          <w:rStyle w:val="FootnoteReference"/>
        </w:rPr>
        <w:footnoteRef/>
      </w:r>
      <w:r>
        <w:t xml:space="preserve"> </w:t>
      </w:r>
      <w:r w:rsidRPr="002B3130">
        <w:rPr>
          <w:rFonts w:ascii="Calibri" w:hAnsi="Calibri" w:cs="Calibri"/>
          <w:sz w:val="16"/>
          <w:szCs w:val="16"/>
        </w:rPr>
        <w:t xml:space="preserve">The PIF had identified a fourth province: San Luis. During the PPG </w:t>
      </w:r>
      <w:r>
        <w:rPr>
          <w:rFonts w:ascii="Calibri" w:hAnsi="Calibri" w:cs="Calibri"/>
          <w:sz w:val="16"/>
          <w:szCs w:val="16"/>
        </w:rPr>
        <w:t>phase, the Province of San Luis was invited to participate in the Project Formulation Workshop in order to be a part of the PPG phase, but the Ministry of Environment of the Province did not assist nor answer emails and phone calls.</w:t>
      </w:r>
    </w:p>
  </w:footnote>
  <w:footnote w:id="18">
    <w:p w14:paraId="335A794A" w14:textId="02AB2BDE" w:rsidR="00A925EE" w:rsidRPr="005C4634" w:rsidRDefault="00A925EE" w:rsidP="005C4634">
      <w:pPr>
        <w:spacing w:before="100" w:beforeAutospacing="1" w:after="100" w:afterAutospacing="1"/>
        <w:jc w:val="left"/>
        <w:rPr>
          <w:rFonts w:eastAsia="Times New Roman" w:cs="Calibri"/>
          <w:sz w:val="16"/>
          <w:szCs w:val="16"/>
          <w:lang w:eastAsia="es-ES_tradnl"/>
        </w:rPr>
      </w:pPr>
      <w:r>
        <w:rPr>
          <w:rStyle w:val="FootnoteReference"/>
        </w:rPr>
        <w:footnoteRef/>
      </w:r>
      <w:r>
        <w:t xml:space="preserve"> </w:t>
      </w:r>
      <w:r w:rsidRPr="005C4634">
        <w:rPr>
          <w:rFonts w:eastAsia="Times New Roman" w:cs="Calibri"/>
          <w:sz w:val="16"/>
          <w:szCs w:val="16"/>
          <w:lang w:eastAsia="es-ES_tradnl"/>
        </w:rPr>
        <w:t>Endorheic basins are land locked drainage networks where water does not drain into large water bodies, such as rivers connected to oceans</w:t>
      </w:r>
      <w:r>
        <w:rPr>
          <w:rFonts w:eastAsia="Times New Roman" w:cs="Calibri"/>
          <w:sz w:val="16"/>
          <w:szCs w:val="16"/>
          <w:lang w:eastAsia="es-ES_tradnl"/>
        </w:rPr>
        <w:t>.</w:t>
      </w:r>
      <w:r w:rsidRPr="005C4634">
        <w:rPr>
          <w:rFonts w:eastAsia="Times New Roman" w:cs="Calibri"/>
          <w:sz w:val="16"/>
          <w:szCs w:val="16"/>
          <w:lang w:eastAsia="es-ES_tradnl"/>
        </w:rPr>
        <w:t xml:space="preserve"> Considering natural water cycle processes only, endorheic basins and lakes experience water losses through water percolation underground and evapotranspiration. The level of evapotranspiration and plant transpiration is generally higher than precipitation in arid and semi-arid areas, where most of these basins and lakes are located. They can be highly sensitive to variations in climate and adverse anthropogenic activities, such as overexploitation of water resources. </w:t>
      </w:r>
    </w:p>
    <w:p w14:paraId="30EBE4F9" w14:textId="77777777" w:rsidR="00A925EE" w:rsidRPr="005C4634" w:rsidRDefault="00A925EE">
      <w:pPr>
        <w:pStyle w:val="FootnoteText"/>
      </w:pPr>
    </w:p>
  </w:footnote>
  <w:footnote w:id="19">
    <w:p w14:paraId="65C614EB" w14:textId="0C76F9AF" w:rsidR="00A925EE" w:rsidRDefault="00A925EE" w:rsidP="005C2C65">
      <w:pPr>
        <w:pStyle w:val="FootnoteText"/>
        <w:spacing w:after="0"/>
        <w:jc w:val="left"/>
        <w:rPr>
          <w:rFonts w:cs="Calibri"/>
          <w:bCs/>
          <w:sz w:val="18"/>
          <w:szCs w:val="18"/>
          <w:lang w:val="en-GB"/>
        </w:rPr>
      </w:pPr>
      <w:r>
        <w:rPr>
          <w:rStyle w:val="FootnoteReference"/>
        </w:rPr>
        <w:footnoteRef/>
      </w:r>
      <w:r>
        <w:t xml:space="preserve"> </w:t>
      </w:r>
      <w:r w:rsidRPr="005C2C65">
        <w:rPr>
          <w:rFonts w:asciiTheme="minorHAnsi" w:hAnsiTheme="minorHAnsi" w:cstheme="minorHAnsi"/>
          <w:sz w:val="16"/>
          <w:szCs w:val="16"/>
        </w:rPr>
        <w:t xml:space="preserve">The Sustainable </w:t>
      </w:r>
      <w:r w:rsidRPr="005C2C65">
        <w:rPr>
          <w:rFonts w:asciiTheme="minorHAnsi" w:hAnsiTheme="minorHAnsi" w:cstheme="minorHAnsi"/>
          <w:bCs/>
          <w:sz w:val="16"/>
          <w:szCs w:val="16"/>
          <w:lang w:val="en-GB"/>
        </w:rPr>
        <w:t>Livelihoods Framework measures progress in five capitals: social capital, productive capital, human capital, physical capital and natural capital. The process is participatory and the metho</w:t>
      </w:r>
      <w:r>
        <w:rPr>
          <w:rFonts w:asciiTheme="minorHAnsi" w:hAnsiTheme="minorHAnsi" w:cstheme="minorHAnsi"/>
          <w:bCs/>
          <w:sz w:val="16"/>
          <w:szCs w:val="16"/>
          <w:lang w:val="en-GB"/>
        </w:rPr>
        <w:t>do</w:t>
      </w:r>
      <w:r w:rsidRPr="005C2C65">
        <w:rPr>
          <w:rFonts w:asciiTheme="minorHAnsi" w:hAnsiTheme="minorHAnsi" w:cstheme="minorHAnsi"/>
          <w:bCs/>
          <w:sz w:val="16"/>
          <w:szCs w:val="16"/>
          <w:lang w:val="en-GB"/>
        </w:rPr>
        <w:t>logy of capital analysis assigns point values to each capital ranging typically between 0 and 20 and possible results</w:t>
      </w:r>
      <w:r>
        <w:rPr>
          <w:rFonts w:asciiTheme="minorHAnsi" w:hAnsiTheme="minorHAnsi" w:cstheme="minorHAnsi"/>
          <w:bCs/>
          <w:sz w:val="16"/>
          <w:szCs w:val="16"/>
          <w:lang w:val="en-GB"/>
        </w:rPr>
        <w:t xml:space="preserve"> are</w:t>
      </w:r>
      <w:r w:rsidRPr="005C2C65">
        <w:rPr>
          <w:rFonts w:asciiTheme="minorHAnsi" w:hAnsiTheme="minorHAnsi" w:cstheme="minorHAnsi"/>
          <w:bCs/>
          <w:sz w:val="16"/>
          <w:szCs w:val="16"/>
          <w:lang w:val="en-GB"/>
        </w:rPr>
        <w:t xml:space="preserve">: unsustainable (0-4), limited sustainability (4.0-8), sustainable (8.0-12), progressively sustainable (12-16) and abundant (16-20). </w:t>
      </w:r>
      <w:hyperlink r:id="rId1" w:history="1">
        <w:r w:rsidRPr="005C2C65">
          <w:rPr>
            <w:rStyle w:val="Hyperlink"/>
            <w:rFonts w:asciiTheme="minorHAnsi" w:hAnsiTheme="minorHAnsi" w:cstheme="minorHAnsi"/>
            <w:bCs/>
            <w:sz w:val="16"/>
            <w:szCs w:val="16"/>
            <w:lang w:val="en-GB"/>
          </w:rPr>
          <w:t>http://www.latinamerica.undp.org/content/dam/rblac/docs/Research%20and%20Publications/Poverty%20Reduction/UNDP_RBLAC_Livelihoods%20Guidance%20Note_EN-210July2017.pdf</w:t>
        </w:r>
      </w:hyperlink>
    </w:p>
    <w:p w14:paraId="34AEB886" w14:textId="7B01BE8A" w:rsidR="00A925EE" w:rsidRPr="005C2C65" w:rsidRDefault="00A925EE">
      <w:pPr>
        <w:pStyle w:val="FootnoteText"/>
      </w:pPr>
    </w:p>
  </w:footnote>
  <w:footnote w:id="20">
    <w:p w14:paraId="64BBFD2C" w14:textId="77777777" w:rsidR="00A925EE" w:rsidRPr="00F57E27" w:rsidRDefault="00A925EE" w:rsidP="00337639">
      <w:pPr>
        <w:pStyle w:val="FootnoteText"/>
        <w:rPr>
          <w:sz w:val="16"/>
          <w:szCs w:val="16"/>
        </w:rPr>
      </w:pPr>
      <w:r>
        <w:rPr>
          <w:rStyle w:val="FootnoteReference"/>
        </w:rPr>
        <w:footnoteRef/>
      </w:r>
      <w:r w:rsidRPr="00F57E27">
        <w:t xml:space="preserve"> </w:t>
      </w:r>
      <w:r w:rsidRPr="002B3130">
        <w:rPr>
          <w:rFonts w:ascii="Calibri" w:hAnsi="Calibri" w:cs="Calibri"/>
          <w:sz w:val="16"/>
          <w:szCs w:val="16"/>
        </w:rPr>
        <w:t xml:space="preserve">The ONDTyD is a national system to monitor and evaluate land degradation at different scales (national, regional and pilot sites) based on an integrated, interdisciplinary and participatory approach. It is supported by a network of institutions that provide data and knowledge and are at the same time users of the information; and comprises a Board of Directors in charge of management and coordination, a Technical/Scientific Advisory Committee to support functioning and </w:t>
      </w:r>
      <w:r>
        <w:rPr>
          <w:rFonts w:ascii="Calibri" w:hAnsi="Calibri" w:cs="Calibri"/>
          <w:sz w:val="16"/>
          <w:szCs w:val="16"/>
        </w:rPr>
        <w:t xml:space="preserve">to </w:t>
      </w:r>
      <w:r w:rsidRPr="002B3130">
        <w:rPr>
          <w:rFonts w:ascii="Calibri" w:hAnsi="Calibri" w:cs="Calibri"/>
          <w:sz w:val="16"/>
          <w:szCs w:val="16"/>
        </w:rPr>
        <w:t xml:space="preserve">provide data, and Pilot Sites to generate local field data that may be extrapolated at regional level. Information is made available online through interactive maps, publications and geospatial data. </w:t>
      </w:r>
      <w:hyperlink r:id="rId2" w:history="1">
        <w:r w:rsidRPr="002B3130">
          <w:rPr>
            <w:rStyle w:val="Hyperlink"/>
            <w:rFonts w:ascii="Calibri" w:hAnsi="Calibri" w:cs="Calibri"/>
            <w:sz w:val="16"/>
            <w:szCs w:val="16"/>
          </w:rPr>
          <w:t>http://www.desertificacion.gob.ar</w:t>
        </w:r>
      </w:hyperlink>
      <w:r w:rsidRPr="002B3130">
        <w:rPr>
          <w:rFonts w:ascii="Calibri" w:hAnsi="Calibri" w:cs="Calibri"/>
          <w:sz w:val="16"/>
          <w:szCs w:val="16"/>
        </w:rPr>
        <w:t>.</w:t>
      </w:r>
    </w:p>
  </w:footnote>
  <w:footnote w:id="21">
    <w:p w14:paraId="1AEC5D39" w14:textId="77777777" w:rsidR="00A925EE" w:rsidRPr="00337639" w:rsidRDefault="00A925EE" w:rsidP="00337639">
      <w:pPr>
        <w:spacing w:after="0"/>
        <w:rPr>
          <w:rFonts w:cs="Calibri"/>
          <w:color w:val="000000"/>
          <w:sz w:val="16"/>
          <w:szCs w:val="16"/>
        </w:rPr>
      </w:pPr>
      <w:r>
        <w:rPr>
          <w:rStyle w:val="FootnoteReference"/>
        </w:rPr>
        <w:footnoteRef/>
      </w:r>
      <w:r>
        <w:t xml:space="preserve"> </w:t>
      </w:r>
      <w:r w:rsidRPr="00337639">
        <w:rPr>
          <w:rFonts w:cs="Calibri"/>
          <w:sz w:val="16"/>
          <w:szCs w:val="16"/>
          <w:u w:val="single"/>
        </w:rPr>
        <w:t>Federal:</w:t>
      </w:r>
      <w:r w:rsidRPr="00337639">
        <w:rPr>
          <w:rFonts w:cs="Calibri"/>
          <w:sz w:val="16"/>
          <w:szCs w:val="16"/>
        </w:rPr>
        <w:t xml:space="preserve"> IDE Ambiente of the MAyDS </w:t>
      </w:r>
      <w:hyperlink r:id="rId3" w:history="1">
        <w:r w:rsidRPr="00337639">
          <w:rPr>
            <w:rStyle w:val="Hyperlink"/>
            <w:rFonts w:cs="Calibri"/>
            <w:sz w:val="16"/>
            <w:szCs w:val="16"/>
          </w:rPr>
          <w:t>http://mapas.ambiente.gob.ar</w:t>
        </w:r>
      </w:hyperlink>
      <w:r w:rsidRPr="00337639">
        <w:rPr>
          <w:rFonts w:cs="Calibri"/>
          <w:sz w:val="16"/>
          <w:szCs w:val="16"/>
        </w:rPr>
        <w:t xml:space="preserve">, GeoINTA of INTA </w:t>
      </w:r>
      <w:hyperlink r:id="rId4" w:history="1">
        <w:r w:rsidRPr="00337639">
          <w:rPr>
            <w:rStyle w:val="Hyperlink"/>
            <w:rFonts w:cs="Calibri"/>
            <w:sz w:val="16"/>
            <w:szCs w:val="16"/>
          </w:rPr>
          <w:t>http://visor.geointa.inta.gob.ar</w:t>
        </w:r>
      </w:hyperlink>
      <w:r w:rsidRPr="00337639">
        <w:rPr>
          <w:rFonts w:cs="Calibri"/>
          <w:sz w:val="16"/>
          <w:szCs w:val="16"/>
        </w:rPr>
        <w:t xml:space="preserve">, Biodiversity Information System of the National Parks Administration </w:t>
      </w:r>
      <w:hyperlink r:id="rId5" w:anchor="!/" w:history="1">
        <w:r w:rsidRPr="00337639">
          <w:rPr>
            <w:rStyle w:val="Hyperlink"/>
            <w:rFonts w:cs="Calibri"/>
            <w:sz w:val="16"/>
            <w:szCs w:val="16"/>
          </w:rPr>
          <w:t>https://sib.gob.ar/#!/</w:t>
        </w:r>
      </w:hyperlink>
      <w:r w:rsidRPr="00337639">
        <w:rPr>
          <w:rFonts w:cs="Calibri"/>
          <w:sz w:val="16"/>
          <w:szCs w:val="16"/>
        </w:rPr>
        <w:t xml:space="preserve">, Data Argentina of the Ministry of Modernization </w:t>
      </w:r>
      <w:hyperlink r:id="rId6" w:history="1">
        <w:r w:rsidRPr="00337639">
          <w:rPr>
            <w:rStyle w:val="Hyperlink"/>
            <w:rFonts w:cs="Calibri"/>
            <w:sz w:val="16"/>
            <w:szCs w:val="16"/>
          </w:rPr>
          <w:t>http://datos.gob.ar</w:t>
        </w:r>
      </w:hyperlink>
      <w:r w:rsidRPr="00337639">
        <w:rPr>
          <w:rFonts w:cs="Calibri"/>
          <w:sz w:val="16"/>
          <w:szCs w:val="16"/>
        </w:rPr>
        <w:t xml:space="preserve">. </w:t>
      </w:r>
      <w:r w:rsidRPr="00337639">
        <w:rPr>
          <w:rFonts w:cs="Calibri"/>
          <w:sz w:val="16"/>
          <w:szCs w:val="16"/>
          <w:u w:val="single"/>
        </w:rPr>
        <w:t>Jujuy:</w:t>
      </w:r>
      <w:r w:rsidRPr="00337639">
        <w:rPr>
          <w:rFonts w:cs="Calibri"/>
          <w:sz w:val="16"/>
          <w:szCs w:val="16"/>
        </w:rPr>
        <w:t xml:space="preserve"> Provincial Directorate for Environment and Land Use Planning </w:t>
      </w:r>
      <w:hyperlink r:id="rId7" w:history="1">
        <w:r w:rsidRPr="00337639">
          <w:rPr>
            <w:rStyle w:val="Hyperlink"/>
            <w:rFonts w:cs="Calibri"/>
            <w:sz w:val="16"/>
            <w:szCs w:val="16"/>
          </w:rPr>
          <w:t>http://www.ambientejujuy.gob.ar</w:t>
        </w:r>
      </w:hyperlink>
      <w:r w:rsidRPr="00337639">
        <w:rPr>
          <w:rFonts w:cs="Calibri"/>
          <w:sz w:val="16"/>
          <w:szCs w:val="16"/>
        </w:rPr>
        <w:t xml:space="preserve">, IDE Jujuy </w:t>
      </w:r>
      <w:hyperlink r:id="rId8" w:history="1">
        <w:r w:rsidRPr="00337639">
          <w:rPr>
            <w:rStyle w:val="Hyperlink"/>
            <w:rFonts w:cs="Calibri"/>
            <w:sz w:val="16"/>
            <w:szCs w:val="16"/>
          </w:rPr>
          <w:t>http://idej.jujuy.gob.ar/visualizadores/</w:t>
        </w:r>
      </w:hyperlink>
      <w:r w:rsidRPr="00337639">
        <w:rPr>
          <w:rFonts w:cs="Calibri"/>
          <w:sz w:val="16"/>
          <w:szCs w:val="16"/>
        </w:rPr>
        <w:t xml:space="preserve">, Provincial Directorate of Statistics and Census </w:t>
      </w:r>
      <w:hyperlink r:id="rId9" w:history="1">
        <w:r w:rsidRPr="00337639">
          <w:rPr>
            <w:rStyle w:val="Hyperlink"/>
            <w:rFonts w:cs="Calibri"/>
            <w:sz w:val="16"/>
            <w:szCs w:val="16"/>
          </w:rPr>
          <w:t>http://www.dipec.jujuy.gov.ar</w:t>
        </w:r>
      </w:hyperlink>
      <w:r w:rsidRPr="00337639">
        <w:rPr>
          <w:rFonts w:cs="Calibri"/>
          <w:sz w:val="16"/>
          <w:szCs w:val="16"/>
        </w:rPr>
        <w:t xml:space="preserve">. </w:t>
      </w:r>
      <w:r w:rsidRPr="00337639">
        <w:rPr>
          <w:rFonts w:cs="Calibri"/>
          <w:sz w:val="16"/>
          <w:szCs w:val="16"/>
          <w:u w:val="single"/>
        </w:rPr>
        <w:t>Mendoza:</w:t>
      </w:r>
      <w:r w:rsidRPr="00337639">
        <w:rPr>
          <w:rFonts w:cs="Calibri"/>
          <w:sz w:val="16"/>
          <w:szCs w:val="16"/>
        </w:rPr>
        <w:t xml:space="preserve"> IDE Mendoza </w:t>
      </w:r>
      <w:hyperlink r:id="rId10" w:history="1">
        <w:r w:rsidRPr="00337639">
          <w:rPr>
            <w:rStyle w:val="Hyperlink"/>
            <w:rFonts w:cs="Calibri"/>
            <w:sz w:val="16"/>
            <w:szCs w:val="16"/>
          </w:rPr>
          <w:t>http://www.idem.mendoza.gov.ar</w:t>
        </w:r>
      </w:hyperlink>
      <w:r w:rsidRPr="00337639">
        <w:rPr>
          <w:rFonts w:cs="Calibri"/>
          <w:sz w:val="16"/>
          <w:szCs w:val="16"/>
        </w:rPr>
        <w:t xml:space="preserve">,Territorial and Environmental Information System (SIAT) </w:t>
      </w:r>
      <w:hyperlink r:id="rId11" w:history="1">
        <w:r w:rsidRPr="00337639">
          <w:rPr>
            <w:rStyle w:val="Hyperlink"/>
            <w:rFonts w:cs="Calibri"/>
            <w:sz w:val="16"/>
            <w:szCs w:val="16"/>
          </w:rPr>
          <w:t>http://www.siat.mendoza.gov.ar</w:t>
        </w:r>
      </w:hyperlink>
      <w:r w:rsidRPr="00337639">
        <w:rPr>
          <w:rFonts w:cs="Calibri"/>
          <w:sz w:val="16"/>
          <w:szCs w:val="16"/>
        </w:rPr>
        <w:t xml:space="preserve">, IDE Irrigation </w:t>
      </w:r>
      <w:hyperlink r:id="rId12" w:history="1">
        <w:r w:rsidRPr="00337639">
          <w:rPr>
            <w:rStyle w:val="Hyperlink"/>
            <w:rFonts w:cs="Calibri"/>
            <w:sz w:val="16"/>
            <w:szCs w:val="16"/>
          </w:rPr>
          <w:t>http://ide.irrigacion.gov.ar</w:t>
        </w:r>
      </w:hyperlink>
      <w:r w:rsidRPr="00337639">
        <w:rPr>
          <w:rFonts w:cs="Calibri"/>
          <w:sz w:val="16"/>
          <w:szCs w:val="16"/>
        </w:rPr>
        <w:t xml:space="preserve">. </w:t>
      </w:r>
      <w:r w:rsidRPr="00337639">
        <w:rPr>
          <w:rFonts w:cs="Calibri"/>
          <w:sz w:val="16"/>
          <w:szCs w:val="16"/>
          <w:u w:val="single"/>
        </w:rPr>
        <w:t>Buenos Aires:</w:t>
      </w:r>
      <w:r w:rsidRPr="00337639">
        <w:rPr>
          <w:rFonts w:cs="Calibri"/>
          <w:sz w:val="16"/>
          <w:szCs w:val="16"/>
        </w:rPr>
        <w:t xml:space="preserve"> </w:t>
      </w:r>
      <w:r w:rsidRPr="00337639">
        <w:rPr>
          <w:rFonts w:cs="Calibri"/>
          <w:color w:val="000000"/>
          <w:sz w:val="16"/>
          <w:szCs w:val="16"/>
        </w:rPr>
        <w:t xml:space="preserve">Territorial and Environmental Analysis System (SATA) </w:t>
      </w:r>
      <w:hyperlink r:id="rId13" w:history="1">
        <w:r w:rsidRPr="00337639">
          <w:rPr>
            <w:rStyle w:val="Hyperlink"/>
            <w:rFonts w:cs="Calibri"/>
            <w:sz w:val="16"/>
            <w:szCs w:val="16"/>
          </w:rPr>
          <w:t>http://sata.opds.gba.gov.ar/institucional.php</w:t>
        </w:r>
      </w:hyperlink>
      <w:r w:rsidRPr="00337639">
        <w:rPr>
          <w:rFonts w:cs="Calibri"/>
          <w:color w:val="000000"/>
          <w:sz w:val="16"/>
          <w:szCs w:val="16"/>
        </w:rPr>
        <w:t xml:space="preserve">, UrBASIG of the Ministry of Public Works </w:t>
      </w:r>
      <w:hyperlink r:id="rId14" w:history="1">
        <w:r w:rsidRPr="00337639">
          <w:rPr>
            <w:rStyle w:val="Hyperlink"/>
            <w:rFonts w:cs="Calibri"/>
            <w:sz w:val="16"/>
            <w:szCs w:val="16"/>
          </w:rPr>
          <w:t>http://www.urbasig.minfra.gba.gov.ar/urbasig/</w:t>
        </w:r>
      </w:hyperlink>
      <w:r w:rsidRPr="00337639">
        <w:rPr>
          <w:rFonts w:cs="Calibri"/>
          <w:color w:val="000000"/>
          <w:sz w:val="16"/>
          <w:szCs w:val="16"/>
        </w:rPr>
        <w:t xml:space="preserve">, GIS-ADA of the Water Authority of the Province of Buenos Aires </w:t>
      </w:r>
      <w:hyperlink r:id="rId15" w:history="1">
        <w:r w:rsidRPr="00337639">
          <w:rPr>
            <w:rStyle w:val="Hyperlink"/>
            <w:rFonts w:cs="Calibri"/>
            <w:sz w:val="16"/>
            <w:szCs w:val="16"/>
          </w:rPr>
          <w:t>http://www.ada.gba.gov.ar</w:t>
        </w:r>
      </w:hyperlink>
      <w:r w:rsidRPr="00337639">
        <w:rPr>
          <w:rFonts w:cs="Calibri"/>
          <w:color w:val="000000"/>
          <w:sz w:val="16"/>
          <w:szCs w:val="16"/>
        </w:rPr>
        <w:t xml:space="preserve">. </w:t>
      </w:r>
    </w:p>
  </w:footnote>
  <w:footnote w:id="22">
    <w:p w14:paraId="78C11E2F" w14:textId="77777777" w:rsidR="00A925EE" w:rsidRPr="002B3130" w:rsidRDefault="00A925EE" w:rsidP="00AF4207">
      <w:pPr>
        <w:pStyle w:val="NormalWeb"/>
        <w:spacing w:before="0" w:beforeAutospacing="0" w:after="60" w:afterAutospacing="0"/>
        <w:rPr>
          <w:rFonts w:ascii="Calibri" w:hAnsi="Calibri" w:cs="Calibri"/>
          <w:sz w:val="16"/>
          <w:szCs w:val="16"/>
        </w:rPr>
      </w:pPr>
      <w:r w:rsidRPr="00337639">
        <w:rPr>
          <w:rStyle w:val="FootnoteReference"/>
          <w:rFonts w:ascii="Calibri" w:hAnsi="Calibri" w:cs="Calibri"/>
          <w:sz w:val="20"/>
          <w:szCs w:val="20"/>
        </w:rPr>
        <w:footnoteRef/>
      </w:r>
      <w:r w:rsidRPr="00337639">
        <w:rPr>
          <w:rFonts w:ascii="Calibri" w:hAnsi="Calibri" w:cs="Calibri"/>
          <w:sz w:val="20"/>
          <w:szCs w:val="20"/>
        </w:rPr>
        <w:t xml:space="preserve"> </w:t>
      </w:r>
      <w:r w:rsidRPr="002B3130">
        <w:rPr>
          <w:rFonts w:ascii="Calibri" w:hAnsi="Calibri" w:cs="Calibri"/>
          <w:sz w:val="16"/>
          <w:szCs w:val="16"/>
        </w:rPr>
        <w:t xml:space="preserve">IDERA is a national and federal level geospatial information community with the objective of disseminating publication of data, products and services to facilitate information produced by the State and different stakeholders and to support decision making in the different activities of the public, private, academic, non-governmental and civil society sectors.  Data, products and services produced by the different institutions linked to the IDERA platform are published in the Internet under defined standards and norms thus ensuring their inter-operability and use, as well as the property of the information by the institutions that publish and update them. </w:t>
      </w:r>
      <w:hyperlink r:id="rId16" w:history="1">
        <w:r w:rsidRPr="002B3130">
          <w:rPr>
            <w:rStyle w:val="Hyperlink"/>
            <w:rFonts w:ascii="Calibri" w:hAnsi="Calibri" w:cs="Calibri"/>
            <w:sz w:val="16"/>
            <w:szCs w:val="16"/>
          </w:rPr>
          <w:t>http://www.idera.gob.ar</w:t>
        </w:r>
      </w:hyperlink>
    </w:p>
  </w:footnote>
  <w:footnote w:id="23">
    <w:p w14:paraId="23AFE00C" w14:textId="77777777" w:rsidR="00A925EE" w:rsidRPr="002B3130" w:rsidRDefault="00A925EE" w:rsidP="00CE78A2">
      <w:pPr>
        <w:pStyle w:val="FootnoteText"/>
        <w:spacing w:after="0"/>
        <w:rPr>
          <w:rFonts w:ascii="Calibri" w:hAnsi="Calibri" w:cs="Calibri"/>
          <w:color w:val="FF0000"/>
        </w:rPr>
      </w:pPr>
      <w:r w:rsidRPr="002B3130">
        <w:rPr>
          <w:rStyle w:val="FootnoteReference"/>
          <w:rFonts w:ascii="Calibri" w:hAnsi="Calibri" w:cs="Calibri"/>
        </w:rPr>
        <w:footnoteRef/>
      </w:r>
      <w:r w:rsidRPr="002B3130">
        <w:rPr>
          <w:rFonts w:ascii="Calibri" w:hAnsi="Calibri" w:cs="Calibri"/>
        </w:rPr>
        <w:t xml:space="preserve"> </w:t>
      </w:r>
      <w:r w:rsidRPr="002B3130">
        <w:rPr>
          <w:rFonts w:ascii="Calibri" w:hAnsi="Calibri" w:cs="Calibri"/>
          <w:sz w:val="16"/>
          <w:szCs w:val="16"/>
        </w:rPr>
        <w:t>ECOSER</w:t>
      </w:r>
      <w:r>
        <w:rPr>
          <w:rFonts w:ascii="Calibri" w:hAnsi="Calibri" w:cs="Calibri"/>
          <w:sz w:val="16"/>
          <w:szCs w:val="16"/>
        </w:rPr>
        <w:t>:</w:t>
      </w:r>
      <w:r w:rsidRPr="002B3130">
        <w:rPr>
          <w:rFonts w:ascii="Calibri" w:hAnsi="Calibri" w:cs="Calibri"/>
          <w:sz w:val="16"/>
          <w:szCs w:val="16"/>
        </w:rPr>
        <w:t xml:space="preserve"> “Collaborative protocol for assessing and mapping ecosystem services and socio-ecological vulnerability for land use planning is a tool developed by INTA to support decision making on land uses. It includes the bio-physical evaluation of ecosystem services but not their economic valuation.  The protocol comprises a number of procedures to assess and map ecosystem services and estimate the socio-ecological vulnerability in the face </w:t>
      </w:r>
      <w:r>
        <w:rPr>
          <w:rFonts w:ascii="Calibri" w:hAnsi="Calibri" w:cs="Calibri"/>
          <w:sz w:val="16"/>
          <w:szCs w:val="16"/>
        </w:rPr>
        <w:t xml:space="preserve">of </w:t>
      </w:r>
      <w:r w:rsidRPr="002B3130">
        <w:rPr>
          <w:rFonts w:ascii="Calibri" w:hAnsi="Calibri" w:cs="Calibri"/>
          <w:sz w:val="16"/>
          <w:szCs w:val="16"/>
        </w:rPr>
        <w:t xml:space="preserve">loss of such services. </w:t>
      </w:r>
    </w:p>
  </w:footnote>
  <w:footnote w:id="24">
    <w:p w14:paraId="2D32E049" w14:textId="59064051" w:rsidR="00A925EE" w:rsidRPr="00D25E0D" w:rsidRDefault="00A925EE" w:rsidP="0082666F">
      <w:pPr>
        <w:pStyle w:val="NormalWeb"/>
        <w:spacing w:before="0" w:beforeAutospacing="0" w:after="0" w:afterAutospacing="0"/>
        <w:rPr>
          <w:rFonts w:ascii="Calibri" w:eastAsia="Times New Roman" w:hAnsi="Calibri" w:cs="Calibri"/>
          <w:sz w:val="16"/>
          <w:szCs w:val="16"/>
          <w:lang w:eastAsia="es-ES_tradnl"/>
        </w:rPr>
      </w:pPr>
      <w:r>
        <w:rPr>
          <w:rStyle w:val="FootnoteReference"/>
        </w:rPr>
        <w:footnoteRef/>
      </w:r>
      <w:r>
        <w:t xml:space="preserve"> </w:t>
      </w:r>
      <w:r w:rsidRPr="00D25E0D">
        <w:rPr>
          <w:rFonts w:ascii="Calibri" w:hAnsi="Calibri" w:cs="Calibri"/>
          <w:sz w:val="16"/>
          <w:szCs w:val="16"/>
        </w:rPr>
        <w:t xml:space="preserve">TSA is an </w:t>
      </w:r>
      <w:r w:rsidRPr="00D25E0D">
        <w:rPr>
          <w:rFonts w:ascii="Calibri" w:eastAsia="Times New Roman" w:hAnsi="Calibri" w:cs="Calibri"/>
          <w:sz w:val="16"/>
          <w:szCs w:val="16"/>
          <w:lang w:eastAsia="es-ES_tradnl"/>
        </w:rPr>
        <w:t xml:space="preserve">analytical approach developed by UNDP that captures and presents the value of ecosystem services within decision making, to help make the business case for sustainable policy and investment choices. </w:t>
      </w:r>
      <w:r w:rsidRPr="0082666F">
        <w:rPr>
          <w:rFonts w:ascii="Calibri" w:hAnsi="Calibri" w:cs="Calibri"/>
          <w:sz w:val="16"/>
          <w:szCs w:val="16"/>
        </w:rPr>
        <w:t>The product of a TSA is a balanced presentation of evidence for a decision maker that weighs up the pros and cons of continuing with business as usual (BAU) or following a sustainable development path in which ecosystems are more effectively managed</w:t>
      </w:r>
      <w:r>
        <w:rPr>
          <w:rFonts w:ascii="Calibri" w:hAnsi="Calibri" w:cs="Calibri"/>
          <w:sz w:val="16"/>
          <w:szCs w:val="16"/>
        </w:rPr>
        <w:t>.</w:t>
      </w:r>
    </w:p>
  </w:footnote>
  <w:footnote w:id="25">
    <w:p w14:paraId="13D325A4" w14:textId="77777777" w:rsidR="00A925EE" w:rsidRPr="009B5A12" w:rsidRDefault="00A925EE" w:rsidP="0082666F">
      <w:pPr>
        <w:pStyle w:val="FootnoteText"/>
        <w:spacing w:after="0"/>
        <w:rPr>
          <w:sz w:val="16"/>
          <w:szCs w:val="16"/>
        </w:rPr>
      </w:pPr>
      <w:r w:rsidRPr="002B3130">
        <w:rPr>
          <w:rStyle w:val="FootnoteReference"/>
          <w:rFonts w:ascii="Calibri" w:hAnsi="Calibri" w:cs="Calibri"/>
        </w:rPr>
        <w:footnoteRef/>
      </w:r>
      <w:r w:rsidRPr="002B3130">
        <w:rPr>
          <w:rFonts w:ascii="Calibri" w:hAnsi="Calibri" w:cs="Calibri"/>
        </w:rPr>
        <w:t xml:space="preserve"> </w:t>
      </w:r>
      <w:r w:rsidRPr="002B3130">
        <w:rPr>
          <w:rFonts w:ascii="Calibri" w:hAnsi="Calibri" w:cs="Calibri"/>
          <w:sz w:val="16"/>
          <w:szCs w:val="16"/>
        </w:rPr>
        <w:t xml:space="preserve">INTA has used multi-criteria analysis and GIS to evaluate water resources. The methodology consisted </w:t>
      </w:r>
      <w:r>
        <w:rPr>
          <w:rFonts w:ascii="Calibri" w:hAnsi="Calibri" w:cs="Calibri"/>
          <w:sz w:val="16"/>
          <w:szCs w:val="16"/>
        </w:rPr>
        <w:t>of</w:t>
      </w:r>
      <w:r w:rsidRPr="002B3130">
        <w:rPr>
          <w:rFonts w:ascii="Calibri" w:hAnsi="Calibri" w:cs="Calibri"/>
          <w:sz w:val="16"/>
          <w:szCs w:val="16"/>
        </w:rPr>
        <w:t xml:space="preserve"> classifying landscapes according to criteria related to </w:t>
      </w:r>
      <w:r>
        <w:rPr>
          <w:rFonts w:ascii="Calibri" w:hAnsi="Calibri" w:cs="Calibri"/>
          <w:sz w:val="16"/>
          <w:szCs w:val="16"/>
        </w:rPr>
        <w:t xml:space="preserve">the </w:t>
      </w:r>
      <w:r w:rsidRPr="002B3130">
        <w:rPr>
          <w:rFonts w:ascii="Calibri" w:hAnsi="Calibri" w:cs="Calibri"/>
          <w:sz w:val="16"/>
          <w:szCs w:val="16"/>
        </w:rPr>
        <w:t>buffering capacity of water. It is a biophysical approach and the selection and weight of criteria was based on expert opinion. The biophysical approach allows for decision making on the ground and is the basis to undertake an economic analysis.</w:t>
      </w:r>
    </w:p>
  </w:footnote>
  <w:footnote w:id="26">
    <w:p w14:paraId="2657C53E" w14:textId="77777777" w:rsidR="00A925EE" w:rsidRPr="002B3130" w:rsidRDefault="00A925EE" w:rsidP="00AF4207">
      <w:pPr>
        <w:pStyle w:val="FootnoteText"/>
        <w:rPr>
          <w:rFonts w:ascii="Calibri" w:hAnsi="Calibri" w:cs="Calibri"/>
        </w:rPr>
      </w:pPr>
      <w:r>
        <w:rPr>
          <w:rStyle w:val="FootnoteReference"/>
        </w:rPr>
        <w:footnoteRef/>
      </w:r>
      <w:r>
        <w:t xml:space="preserve"> </w:t>
      </w:r>
      <w:r w:rsidRPr="002B3130">
        <w:rPr>
          <w:rFonts w:ascii="Calibri" w:hAnsi="Calibri" w:cs="Calibri"/>
          <w:sz w:val="16"/>
          <w:szCs w:val="16"/>
        </w:rPr>
        <w:t xml:space="preserve">The SGAyDS does not have a species inventory but issues an annual publication on the conservation status of certain taxonomic groups: birds, mammals and herpetofauna. Data is updated, </w:t>
      </w:r>
      <w:r>
        <w:rPr>
          <w:rFonts w:ascii="Calibri" w:hAnsi="Calibri" w:cs="Calibri"/>
          <w:sz w:val="16"/>
          <w:szCs w:val="16"/>
        </w:rPr>
        <w:t xml:space="preserve">but </w:t>
      </w:r>
      <w:r w:rsidRPr="002B3130">
        <w:rPr>
          <w:rFonts w:ascii="Calibri" w:hAnsi="Calibri" w:cs="Calibri"/>
          <w:sz w:val="16"/>
          <w:szCs w:val="16"/>
        </w:rPr>
        <w:t>there is no field collection. Preparation of the first red list of plants is currently underway. IUCN criteria will be used to define conservation status of BD categories. Activities are undertaken with the participation of NGO</w:t>
      </w:r>
      <w:r>
        <w:rPr>
          <w:rFonts w:ascii="Calibri" w:hAnsi="Calibri" w:cs="Calibri"/>
          <w:sz w:val="16"/>
          <w:szCs w:val="16"/>
        </w:rPr>
        <w:t>s</w:t>
      </w:r>
      <w:r w:rsidRPr="002B3130">
        <w:rPr>
          <w:rFonts w:ascii="Calibri" w:hAnsi="Calibri" w:cs="Calibri"/>
          <w:sz w:val="16"/>
          <w:szCs w:val="16"/>
        </w:rPr>
        <w:t xml:space="preserve"> relevant to the taxonomic group under study.</w:t>
      </w:r>
    </w:p>
  </w:footnote>
  <w:footnote w:id="27">
    <w:p w14:paraId="1036AC00" w14:textId="77777777" w:rsidR="00A925EE" w:rsidRPr="002B3130" w:rsidRDefault="00A925EE" w:rsidP="00AF4207">
      <w:pPr>
        <w:pStyle w:val="FootnoteText"/>
        <w:rPr>
          <w:rFonts w:ascii="Calibri" w:hAnsi="Calibri" w:cs="Calibri"/>
        </w:rPr>
      </w:pPr>
      <w:r w:rsidRPr="002B3130">
        <w:rPr>
          <w:rStyle w:val="FootnoteReference"/>
          <w:rFonts w:ascii="Calibri" w:hAnsi="Calibri" w:cs="Calibri"/>
        </w:rPr>
        <w:footnoteRef/>
      </w:r>
      <w:r w:rsidRPr="002B3130">
        <w:rPr>
          <w:rFonts w:ascii="Calibri" w:hAnsi="Calibri" w:cs="Calibri"/>
        </w:rPr>
        <w:t xml:space="preserve"> </w:t>
      </w:r>
      <w:r w:rsidRPr="002B3130">
        <w:rPr>
          <w:rFonts w:ascii="Calibri" w:hAnsi="Calibri" w:cs="Calibri"/>
          <w:sz w:val="16"/>
          <w:szCs w:val="16"/>
        </w:rPr>
        <w:t xml:space="preserve">The scheme consists </w:t>
      </w:r>
      <w:r>
        <w:rPr>
          <w:rFonts w:ascii="Calibri" w:hAnsi="Calibri" w:cs="Calibri"/>
          <w:sz w:val="16"/>
          <w:szCs w:val="16"/>
        </w:rPr>
        <w:t>of</w:t>
      </w:r>
      <w:r w:rsidRPr="002B3130">
        <w:rPr>
          <w:rFonts w:ascii="Calibri" w:hAnsi="Calibri" w:cs="Calibri"/>
          <w:sz w:val="16"/>
          <w:szCs w:val="16"/>
        </w:rPr>
        <w:t xml:space="preserve"> a fund to pay for water services for conservation of the Ramon Stream. The fund will be initiated with seed money from public and private institutions and then will receive contributions form users of drinking water services through their water bills. Suppliers of ES upstream will be the beneficiaries receiving payments for avoiding agricultural and livestock practices that may damage the stream.</w:t>
      </w:r>
      <w:r w:rsidRPr="002B3130">
        <w:rPr>
          <w:rFonts w:ascii="Calibri" w:hAnsi="Calibri" w:cs="Calibri"/>
        </w:rPr>
        <w:t xml:space="preserve"> </w:t>
      </w:r>
    </w:p>
  </w:footnote>
  <w:footnote w:id="28">
    <w:p w14:paraId="1C7132A0" w14:textId="77777777" w:rsidR="00A925EE" w:rsidRPr="002B3130" w:rsidRDefault="00A925EE" w:rsidP="00AF4207">
      <w:pPr>
        <w:pStyle w:val="FootnoteText"/>
        <w:rPr>
          <w:rFonts w:ascii="Calibri" w:hAnsi="Calibri" w:cs="Calibri"/>
        </w:rPr>
      </w:pPr>
      <w:r w:rsidRPr="002B3130">
        <w:rPr>
          <w:rStyle w:val="FootnoteReference"/>
          <w:rFonts w:ascii="Calibri" w:hAnsi="Calibri" w:cs="Calibri"/>
        </w:rPr>
        <w:footnoteRef/>
      </w:r>
      <w:r w:rsidRPr="002B3130">
        <w:rPr>
          <w:rFonts w:ascii="Calibri" w:hAnsi="Calibri" w:cs="Calibri"/>
        </w:rPr>
        <w:t xml:space="preserve"> </w:t>
      </w:r>
      <w:r w:rsidRPr="002B3130">
        <w:rPr>
          <w:rFonts w:ascii="Calibri" w:hAnsi="Calibri" w:cs="Calibri"/>
          <w:sz w:val="16"/>
          <w:szCs w:val="16"/>
        </w:rPr>
        <w:t xml:space="preserve">A native forest conservation status indicator, guides for preparing management plans and a guide for best management practices were developed and included in forest management plans to define payments. The conservation status indicator is monitored annually and </w:t>
      </w:r>
      <w:r>
        <w:rPr>
          <w:rFonts w:ascii="Calibri" w:hAnsi="Calibri" w:cs="Calibri"/>
          <w:sz w:val="16"/>
          <w:szCs w:val="16"/>
        </w:rPr>
        <w:t>must</w:t>
      </w:r>
      <w:r w:rsidRPr="002B3130">
        <w:rPr>
          <w:rFonts w:ascii="Calibri" w:hAnsi="Calibri" w:cs="Calibri"/>
          <w:sz w:val="16"/>
          <w:szCs w:val="16"/>
        </w:rPr>
        <w:t xml:space="preserve"> be increased or at least maintained for the landowner to receive payments. Payments are initially directed to forest areas with lower conservation status to promote their improvement.</w:t>
      </w:r>
    </w:p>
  </w:footnote>
  <w:footnote w:id="29">
    <w:p w14:paraId="3DAFE790" w14:textId="77777777" w:rsidR="00A925EE" w:rsidRPr="002B3130" w:rsidRDefault="00A925EE" w:rsidP="00AF4207">
      <w:pPr>
        <w:pStyle w:val="FootnoteText"/>
        <w:rPr>
          <w:rFonts w:ascii="Calibri" w:hAnsi="Calibri" w:cs="Calibri"/>
        </w:rPr>
      </w:pPr>
      <w:r w:rsidRPr="002B3130">
        <w:rPr>
          <w:rStyle w:val="FootnoteReference"/>
          <w:rFonts w:ascii="Calibri" w:hAnsi="Calibri" w:cs="Calibri"/>
        </w:rPr>
        <w:footnoteRef/>
      </w:r>
      <w:r w:rsidRPr="002B3130">
        <w:rPr>
          <w:rFonts w:ascii="Calibri" w:hAnsi="Calibri" w:cs="Calibri"/>
        </w:rPr>
        <w:t xml:space="preserve"> </w:t>
      </w:r>
      <w:r w:rsidRPr="002B3130">
        <w:rPr>
          <w:rFonts w:ascii="Calibri" w:hAnsi="Calibri" w:cs="Calibri"/>
          <w:sz w:val="16"/>
          <w:szCs w:val="16"/>
        </w:rPr>
        <w:t xml:space="preserve">The scheme consists </w:t>
      </w:r>
      <w:r>
        <w:rPr>
          <w:rFonts w:ascii="Calibri" w:hAnsi="Calibri" w:cs="Calibri"/>
          <w:sz w:val="16"/>
          <w:szCs w:val="16"/>
        </w:rPr>
        <w:t>of</w:t>
      </w:r>
      <w:r w:rsidRPr="002B3130">
        <w:rPr>
          <w:rFonts w:ascii="Calibri" w:hAnsi="Calibri" w:cs="Calibri"/>
          <w:sz w:val="16"/>
          <w:szCs w:val="16"/>
        </w:rPr>
        <w:t xml:space="preserve"> tax deductions for implementation of best practices in agricultural and mixed agricultural-livestock systems to mitigate and reduce soil erosion, loss of water, and degradation of natural resources.</w:t>
      </w:r>
    </w:p>
  </w:footnote>
  <w:footnote w:id="30">
    <w:p w14:paraId="20534513" w14:textId="77777777" w:rsidR="00A925EE" w:rsidRPr="002B3130" w:rsidRDefault="00A925EE" w:rsidP="00AF4207">
      <w:pPr>
        <w:pStyle w:val="FootnoteText"/>
        <w:rPr>
          <w:rFonts w:ascii="Calibri" w:hAnsi="Calibri" w:cs="Calibri"/>
        </w:rPr>
      </w:pPr>
      <w:r w:rsidRPr="002B3130">
        <w:rPr>
          <w:rStyle w:val="FootnoteReference"/>
          <w:rFonts w:ascii="Calibri" w:hAnsi="Calibri" w:cs="Calibri"/>
        </w:rPr>
        <w:footnoteRef/>
      </w:r>
      <w:r w:rsidRPr="002B3130">
        <w:rPr>
          <w:rFonts w:ascii="Calibri" w:hAnsi="Calibri" w:cs="Calibri"/>
        </w:rPr>
        <w:t xml:space="preserve"> </w:t>
      </w:r>
      <w:r w:rsidRPr="002B3130">
        <w:rPr>
          <w:rFonts w:ascii="Calibri" w:hAnsi="Calibri" w:cs="Calibri"/>
          <w:sz w:val="16"/>
          <w:szCs w:val="16"/>
        </w:rPr>
        <w:t>The law states that the jurisdictions will apply 70% of the financial resources from the Native Forest Fund to compensate landowners for conserving native forests according to the conservation categories established in the law.  The compensation consists of a non-reimbursable amount to be pa</w:t>
      </w:r>
      <w:r>
        <w:rPr>
          <w:rFonts w:ascii="Calibri" w:hAnsi="Calibri" w:cs="Calibri"/>
          <w:sz w:val="16"/>
          <w:szCs w:val="16"/>
        </w:rPr>
        <w:t>i</w:t>
      </w:r>
      <w:r w:rsidRPr="002B3130">
        <w:rPr>
          <w:rFonts w:ascii="Calibri" w:hAnsi="Calibri" w:cs="Calibri"/>
          <w:sz w:val="16"/>
          <w:szCs w:val="16"/>
        </w:rPr>
        <w:t>d per hectare per year. To receive payment</w:t>
      </w:r>
      <w:r>
        <w:rPr>
          <w:rFonts w:ascii="Calibri" w:hAnsi="Calibri" w:cs="Calibri"/>
          <w:sz w:val="16"/>
          <w:szCs w:val="16"/>
        </w:rPr>
        <w:t>s,</w:t>
      </w:r>
      <w:r w:rsidRPr="002B3130">
        <w:rPr>
          <w:rFonts w:ascii="Calibri" w:hAnsi="Calibri" w:cs="Calibri"/>
          <w:sz w:val="16"/>
          <w:szCs w:val="16"/>
        </w:rPr>
        <w:t xml:space="preserve"> landowners must have native forest management and conservation plan</w:t>
      </w:r>
      <w:r>
        <w:rPr>
          <w:rFonts w:ascii="Calibri" w:hAnsi="Calibri" w:cs="Calibri"/>
          <w:sz w:val="16"/>
          <w:szCs w:val="16"/>
        </w:rPr>
        <w:t>s</w:t>
      </w:r>
      <w:r w:rsidRPr="002B3130">
        <w:rPr>
          <w:rFonts w:ascii="Calibri" w:hAnsi="Calibri" w:cs="Calibri"/>
          <w:sz w:val="16"/>
          <w:szCs w:val="16"/>
        </w:rPr>
        <w:t xml:space="preserve"> approved by the application authority of each jurisdiction.  Law Nº 27431 creates a Fiduciary Fund for Environmental Protection of Native Forests (FOBOSQUE) administered by the SGAyDS.</w:t>
      </w:r>
    </w:p>
  </w:footnote>
  <w:footnote w:id="31">
    <w:p w14:paraId="358DA180" w14:textId="77777777" w:rsidR="00A925EE" w:rsidRPr="003B669F" w:rsidRDefault="00A925EE" w:rsidP="003B669F">
      <w:pPr>
        <w:pStyle w:val="NormalWeb"/>
        <w:spacing w:before="0" w:beforeAutospacing="0" w:after="0" w:afterAutospacing="0"/>
        <w:ind w:right="4"/>
        <w:rPr>
          <w:rFonts w:ascii="Calibri" w:hAnsi="Calibri" w:cs="Calibri"/>
          <w:bCs/>
          <w:color w:val="000000"/>
          <w:sz w:val="16"/>
          <w:szCs w:val="16"/>
        </w:rPr>
      </w:pPr>
      <w:r w:rsidRPr="00CF3130">
        <w:rPr>
          <w:rStyle w:val="FootnoteReference"/>
          <w:sz w:val="16"/>
          <w:szCs w:val="16"/>
        </w:rPr>
        <w:footnoteRef/>
      </w:r>
      <w:r w:rsidRPr="00CF3130">
        <w:rPr>
          <w:sz w:val="16"/>
          <w:szCs w:val="16"/>
        </w:rPr>
        <w:t xml:space="preserve"> </w:t>
      </w:r>
      <w:r w:rsidRPr="002B3130">
        <w:rPr>
          <w:rFonts w:ascii="Calibri" w:hAnsi="Calibri" w:cs="Calibri"/>
          <w:bCs/>
          <w:sz w:val="16"/>
          <w:szCs w:val="16"/>
        </w:rPr>
        <w:t>Environment General Law Nº25 675, Native Forest Law Nº26 331, Glacier Law Nº 26 639, National Parks Law Nº 22 351; Wildlife Conservation Law Nº 22 421; Law Nº 24 375 ratifying the Convention on Biological Diversity; Law Nº 23 919 ratifying the RAMSAR Convention; Law Nº 24 701 ratifying the United Nations Convention to Combat Desertification; Environmental Management of Water Law Nº 25 688; and Law Nº 27 037 National System of Marine Protected Areas</w:t>
      </w:r>
      <w:r>
        <w:rPr>
          <w:rFonts w:ascii="Calibri" w:hAnsi="Calibri" w:cs="Calibri"/>
          <w:bCs/>
          <w:sz w:val="16"/>
          <w:szCs w:val="16"/>
        </w:rPr>
        <w:t xml:space="preserve">; </w:t>
      </w:r>
      <w:r w:rsidRPr="003B669F">
        <w:rPr>
          <w:rFonts w:ascii="Calibri" w:hAnsi="Calibri" w:cs="Calibri"/>
          <w:bCs/>
          <w:color w:val="000000"/>
          <w:sz w:val="16"/>
          <w:szCs w:val="16"/>
        </w:rPr>
        <w:t>Law Nº 22211 Agricultural Promotion for Low Productivity Rural Lands; Law Nº 26737 Rural Lands; Law Nº 22428 Promotion of Soil Conservation; Law Nº20247 Seeds and Phyto-genetic Creations; National Tourism Law Nº25997; Law Nº 1919 Mining Code; Decree Nº420/2010 Establishment of the Federal Planning and Land Use Planning Council; Law Nº 25916 Domestic Solid Waste Management; Law Nº 27279 of Minimum Standards for Environmental Protection for Management of Empty Phytosanitary Containers; and Law Nº 26815 establishing the Federal Fire Management System.</w:t>
      </w:r>
    </w:p>
  </w:footnote>
  <w:footnote w:id="32">
    <w:p w14:paraId="15797CCD" w14:textId="77777777" w:rsidR="00A925EE" w:rsidRPr="002B3130" w:rsidRDefault="00A925EE" w:rsidP="00AF4207">
      <w:pPr>
        <w:pStyle w:val="NormalWeb"/>
        <w:spacing w:before="0" w:beforeAutospacing="0" w:after="0" w:afterAutospacing="0"/>
        <w:rPr>
          <w:rFonts w:ascii="Calibri" w:hAnsi="Calibri" w:cs="Calibri"/>
        </w:rPr>
      </w:pPr>
      <w:r w:rsidRPr="002B3130">
        <w:rPr>
          <w:rStyle w:val="FootnoteReference"/>
          <w:rFonts w:ascii="Calibri" w:hAnsi="Calibri" w:cs="Calibri"/>
          <w:sz w:val="20"/>
          <w:szCs w:val="20"/>
        </w:rPr>
        <w:footnoteRef/>
      </w:r>
      <w:r w:rsidRPr="002B3130">
        <w:rPr>
          <w:rFonts w:ascii="Calibri" w:hAnsi="Calibri" w:cs="Calibri"/>
          <w:sz w:val="20"/>
          <w:szCs w:val="20"/>
        </w:rPr>
        <w:t xml:space="preserve"> </w:t>
      </w:r>
      <w:r w:rsidRPr="002B3130">
        <w:rPr>
          <w:rFonts w:ascii="Calibri" w:hAnsi="Calibri" w:cs="Calibri"/>
          <w:sz w:val="16"/>
          <w:szCs w:val="16"/>
        </w:rPr>
        <w:t xml:space="preserve">Argentina’s Constitution states that natural resources are owned by the provinces. The National Government is in charge of enacting the laws on “minimum standards” for protecting the environment, its ecosystems, biodiversity and all other natural resources; these establish the common principles and minimum levels provinces must have in place for protecting the environment; provincial governments shall enact laws to supplement national provisions. Within this framework, provinces are charged with implementing ELUP but the national </w:t>
      </w:r>
      <w:r>
        <w:rPr>
          <w:rFonts w:ascii="Calibri" w:hAnsi="Calibri" w:cs="Calibri"/>
          <w:sz w:val="16"/>
          <w:szCs w:val="16"/>
        </w:rPr>
        <w:t>g</w:t>
      </w:r>
      <w:r w:rsidRPr="002B3130">
        <w:rPr>
          <w:rFonts w:ascii="Calibri" w:hAnsi="Calibri" w:cs="Calibri"/>
          <w:sz w:val="16"/>
          <w:szCs w:val="16"/>
        </w:rPr>
        <w:t>overnment can establish minimum standards for ELUP and its implementation.</w:t>
      </w:r>
      <w:r w:rsidRPr="002B3130">
        <w:rPr>
          <w:rFonts w:ascii="Calibri" w:hAnsi="Calibri" w:cs="Calibri"/>
          <w:sz w:val="18"/>
          <w:szCs w:val="18"/>
        </w:rPr>
        <w:t xml:space="preserve"> </w:t>
      </w:r>
    </w:p>
  </w:footnote>
  <w:footnote w:id="33">
    <w:p w14:paraId="70B57B05" w14:textId="77777777" w:rsidR="00A925EE" w:rsidRPr="002B3130" w:rsidRDefault="00A925EE" w:rsidP="00AF4207">
      <w:pPr>
        <w:spacing w:after="0"/>
        <w:rPr>
          <w:rFonts w:cs="Calibri"/>
          <w:bCs/>
          <w:sz w:val="16"/>
          <w:szCs w:val="16"/>
        </w:rPr>
      </w:pPr>
      <w:r w:rsidRPr="002B3130">
        <w:rPr>
          <w:rStyle w:val="FootnoteReference"/>
          <w:rFonts w:ascii="Calibri" w:hAnsi="Calibri" w:cs="Calibri"/>
        </w:rPr>
        <w:footnoteRef/>
      </w:r>
      <w:r w:rsidRPr="002B3130">
        <w:rPr>
          <w:rFonts w:cs="Calibri"/>
        </w:rPr>
        <w:t xml:space="preserve"> </w:t>
      </w:r>
      <w:r w:rsidRPr="002B3130">
        <w:rPr>
          <w:rFonts w:cs="Calibri"/>
          <w:bCs/>
          <w:sz w:val="16"/>
          <w:szCs w:val="16"/>
          <w:u w:val="single"/>
        </w:rPr>
        <w:t>Public funding programs</w:t>
      </w:r>
      <w:r w:rsidRPr="002B3130">
        <w:rPr>
          <w:rFonts w:cs="Calibri"/>
          <w:bCs/>
          <w:sz w:val="16"/>
          <w:szCs w:val="16"/>
        </w:rPr>
        <w:t xml:space="preserve">: Native Forest Law Fund; Forest Plantations Investment Fund; Sheep Recovery Fund; Inclusive Rural Development Program (PRODERI); Rural Area Development Program (PRODEAR); Argentine Technology Fund (FONTAR); Social Actors Demand Council Program (PROCODAS); Seed Fund; Tourism Fund; Provincial Agricultural Services Program (PROSAP). </w:t>
      </w:r>
      <w:r w:rsidRPr="002B3130">
        <w:rPr>
          <w:rFonts w:cs="Calibri"/>
          <w:bCs/>
          <w:sz w:val="16"/>
          <w:szCs w:val="16"/>
          <w:u w:val="single"/>
        </w:rPr>
        <w:t>Private sector financial institutions</w:t>
      </w:r>
      <w:r w:rsidRPr="002B3130">
        <w:rPr>
          <w:rFonts w:cs="Calibri"/>
          <w:bCs/>
          <w:sz w:val="16"/>
          <w:szCs w:val="16"/>
        </w:rPr>
        <w:t xml:space="preserve">: </w:t>
      </w:r>
      <w:r w:rsidRPr="002B3130">
        <w:rPr>
          <w:rFonts w:cs="Calibri"/>
          <w:sz w:val="16"/>
          <w:szCs w:val="16"/>
        </w:rPr>
        <w:t>Banco Galicia; Argentine National Bank.</w:t>
      </w:r>
    </w:p>
  </w:footnote>
  <w:footnote w:id="34">
    <w:p w14:paraId="7D3D51A5" w14:textId="77777777" w:rsidR="00A925EE" w:rsidRPr="002B3130" w:rsidRDefault="00A925EE" w:rsidP="00AF4207">
      <w:pPr>
        <w:spacing w:after="0"/>
        <w:rPr>
          <w:rFonts w:cs="Calibri"/>
          <w:bCs/>
          <w:sz w:val="16"/>
          <w:szCs w:val="16"/>
        </w:rPr>
      </w:pPr>
      <w:r w:rsidRPr="002B3130">
        <w:rPr>
          <w:rStyle w:val="FootnoteReference"/>
          <w:rFonts w:ascii="Calibri" w:hAnsi="Calibri" w:cs="Calibri"/>
        </w:rPr>
        <w:footnoteRef/>
      </w:r>
      <w:r w:rsidRPr="002B3130">
        <w:rPr>
          <w:rFonts w:cs="Calibri"/>
        </w:rPr>
        <w:t xml:space="preserve"> </w:t>
      </w:r>
      <w:r w:rsidRPr="002B3130">
        <w:rPr>
          <w:rFonts w:cs="Calibri"/>
          <w:bCs/>
          <w:sz w:val="16"/>
          <w:szCs w:val="16"/>
        </w:rPr>
        <w:t>The Fund provides fiscal benefits (national, provincial and municipal fiscal stability, reserve valuation and early amortization) and non-reimbursable grants for afforestation, enrichment of native forests and forest management.</w:t>
      </w:r>
    </w:p>
  </w:footnote>
  <w:footnote w:id="35">
    <w:p w14:paraId="34721743" w14:textId="77777777" w:rsidR="00A925EE" w:rsidRPr="002B3130" w:rsidRDefault="00A925EE" w:rsidP="00AF4207">
      <w:pPr>
        <w:pStyle w:val="FootnoteText"/>
        <w:rPr>
          <w:rFonts w:ascii="Calibri" w:hAnsi="Calibri" w:cs="Calibri"/>
        </w:rPr>
      </w:pPr>
      <w:r w:rsidRPr="002B3130">
        <w:rPr>
          <w:rStyle w:val="FootnoteReference"/>
          <w:rFonts w:ascii="Calibri" w:hAnsi="Calibri" w:cs="Calibri"/>
        </w:rPr>
        <w:footnoteRef/>
      </w:r>
      <w:r w:rsidRPr="002B3130">
        <w:rPr>
          <w:rFonts w:ascii="Calibri" w:hAnsi="Calibri" w:cs="Calibri"/>
        </w:rPr>
        <w:t xml:space="preserve"> </w:t>
      </w:r>
      <w:r w:rsidRPr="002B3130">
        <w:rPr>
          <w:rFonts w:ascii="Calibri" w:hAnsi="Calibri" w:cs="Calibri"/>
          <w:sz w:val="16"/>
          <w:szCs w:val="16"/>
        </w:rPr>
        <w:t>Under the law, non-reimbursable funds are granted to family producers who do not have conditions to access and return loans, to finance projects addressing recovery of sheep production.</w:t>
      </w:r>
    </w:p>
  </w:footnote>
  <w:footnote w:id="36">
    <w:p w14:paraId="17F3239C" w14:textId="77777777" w:rsidR="00A925EE" w:rsidRPr="002B3130" w:rsidRDefault="00A925EE" w:rsidP="00AF4207">
      <w:pPr>
        <w:spacing w:after="0"/>
        <w:rPr>
          <w:rFonts w:cs="Calibri"/>
          <w:bCs/>
          <w:sz w:val="16"/>
          <w:szCs w:val="16"/>
        </w:rPr>
      </w:pPr>
      <w:r w:rsidRPr="002B3130">
        <w:rPr>
          <w:rStyle w:val="FootnoteReference"/>
          <w:rFonts w:ascii="Calibri" w:hAnsi="Calibri" w:cs="Calibri"/>
        </w:rPr>
        <w:footnoteRef/>
      </w:r>
      <w:r w:rsidRPr="002B3130">
        <w:rPr>
          <w:rFonts w:cs="Calibri"/>
        </w:rPr>
        <w:t xml:space="preserve"> </w:t>
      </w:r>
      <w:r w:rsidRPr="002B3130">
        <w:rPr>
          <w:rFonts w:cs="Calibri"/>
          <w:bCs/>
          <w:sz w:val="16"/>
          <w:szCs w:val="16"/>
        </w:rPr>
        <w:t>Provides reimbursable and/or non-reimbursable funding for: preparing investment projects and baseline studies; implementing plans or projects; technical assistance; training costs; grants to cover interest rates of bank loans; undertake market studies and market access activities; socio-organizational development.</w:t>
      </w:r>
    </w:p>
  </w:footnote>
  <w:footnote w:id="37">
    <w:p w14:paraId="65A9C8F9" w14:textId="77777777" w:rsidR="00A925EE" w:rsidRPr="005B08B9" w:rsidRDefault="00A925EE" w:rsidP="00AF4207">
      <w:pPr>
        <w:pStyle w:val="FootnoteText"/>
        <w:rPr>
          <w:sz w:val="16"/>
          <w:szCs w:val="16"/>
        </w:rPr>
      </w:pPr>
      <w:r w:rsidRPr="002B3130">
        <w:rPr>
          <w:rStyle w:val="FootnoteReference"/>
          <w:rFonts w:ascii="Calibri" w:hAnsi="Calibri" w:cs="Calibri"/>
          <w:sz w:val="16"/>
          <w:szCs w:val="16"/>
        </w:rPr>
        <w:footnoteRef/>
      </w:r>
      <w:r w:rsidRPr="002B3130">
        <w:rPr>
          <w:rFonts w:ascii="Calibri" w:hAnsi="Calibri" w:cs="Calibri"/>
          <w:sz w:val="16"/>
          <w:szCs w:val="16"/>
        </w:rPr>
        <w:t xml:space="preserve"> Banco Galicia has signed agreements with the International Financial Corporation to grant credits with favorable conditions to finance projects in the fields of energy efficiency, renewable energy (solar and biomass), water use efficiency, forest conservation. The bank also has credit lines to finance sustainable projects with high social and environmental impact. It grants annual prizes to research initiatives addressing environmental conservation and sustainable development</w:t>
      </w:r>
      <w:r>
        <w:rPr>
          <w:sz w:val="16"/>
          <w:szCs w:val="16"/>
        </w:rPr>
        <w:t>.</w:t>
      </w:r>
    </w:p>
  </w:footnote>
  <w:footnote w:id="38">
    <w:p w14:paraId="3D8FE63A" w14:textId="77777777" w:rsidR="00A925EE" w:rsidRPr="0096011C" w:rsidRDefault="00A925EE" w:rsidP="0096011C">
      <w:pPr>
        <w:spacing w:after="0"/>
        <w:rPr>
          <w:rFonts w:eastAsia="Times New Roman" w:cs="Calibri"/>
          <w:sz w:val="16"/>
          <w:szCs w:val="16"/>
          <w:lang w:eastAsia="es-ES_tradnl"/>
        </w:rPr>
      </w:pPr>
      <w:r>
        <w:rPr>
          <w:rStyle w:val="FootnoteReference"/>
        </w:rPr>
        <w:footnoteRef/>
      </w:r>
      <w:r>
        <w:t xml:space="preserve"> </w:t>
      </w:r>
      <w:r w:rsidRPr="0096011C">
        <w:rPr>
          <w:rFonts w:eastAsia="Times New Roman" w:cs="Calibri"/>
          <w:color w:val="000000"/>
          <w:sz w:val="16"/>
          <w:szCs w:val="16"/>
          <w:lang w:eastAsia="es-ES_tradnl"/>
        </w:rPr>
        <w:t>Strategic Environmental Assessment (SEA) is defined as the process by which environmental considerations are required to be fully integrated into the preparation of plans and programs prior to their final adoption. The objectives of SEA are to provide for a high level of protection of the environment and to promote sustainable development.  During the PPG the SGAyDS decided that for ELUP it would be more appropriate to develop SEA instruments instead of sector-based EIA</w:t>
      </w:r>
      <w:r>
        <w:rPr>
          <w:rFonts w:eastAsia="Times New Roman" w:cs="Calibri"/>
          <w:color w:val="000000"/>
          <w:sz w:val="16"/>
          <w:szCs w:val="16"/>
          <w:lang w:eastAsia="es-ES_tradnl"/>
        </w:rPr>
        <w:t>s</w:t>
      </w:r>
      <w:r w:rsidRPr="0096011C">
        <w:rPr>
          <w:rFonts w:eastAsia="Times New Roman" w:cs="Calibri"/>
          <w:color w:val="000000"/>
          <w:sz w:val="16"/>
          <w:szCs w:val="16"/>
          <w:lang w:eastAsia="es-ES_tradnl"/>
        </w:rPr>
        <w:t xml:space="preserve"> as foreseen in the PIF. Given its strategic nature it is better adapted for ELUP as a planning instrument.</w:t>
      </w:r>
    </w:p>
  </w:footnote>
  <w:footnote w:id="39">
    <w:p w14:paraId="54801CE1" w14:textId="77777777" w:rsidR="00A925EE" w:rsidRPr="002B3130" w:rsidRDefault="00A925EE" w:rsidP="0096011C">
      <w:pPr>
        <w:pStyle w:val="FootnoteText"/>
        <w:rPr>
          <w:rFonts w:ascii="Calibri" w:hAnsi="Calibri" w:cs="Calibri"/>
          <w:sz w:val="16"/>
          <w:szCs w:val="16"/>
        </w:rPr>
      </w:pPr>
      <w:r w:rsidRPr="002B3130">
        <w:rPr>
          <w:rStyle w:val="FootnoteReference"/>
          <w:rFonts w:ascii="Calibri" w:hAnsi="Calibri" w:cs="Calibri"/>
        </w:rPr>
        <w:footnoteRef/>
      </w:r>
      <w:r w:rsidRPr="002B3130">
        <w:rPr>
          <w:rFonts w:ascii="Calibri" w:hAnsi="Calibri" w:cs="Calibri"/>
        </w:rPr>
        <w:t xml:space="preserve"> </w:t>
      </w:r>
      <w:r w:rsidRPr="002B3130">
        <w:rPr>
          <w:rFonts w:ascii="Calibri" w:hAnsi="Calibri" w:cs="Calibri"/>
          <w:sz w:val="16"/>
          <w:szCs w:val="16"/>
        </w:rPr>
        <w:t>Federal level forum comprising the environmental authorities of the provinces. Key objectives are: to coordinate environmental strategies and programs at national and regional levels through promoting agreements among the relevant government sectors involved in resolving environmental problems; to formulate sustainable use policies to favor conservation of environmental resources; and promoting planning of economic growth and development with social equality and in harmony with the environment.</w:t>
      </w:r>
    </w:p>
  </w:footnote>
  <w:footnote w:id="40">
    <w:p w14:paraId="51E0CD76" w14:textId="77777777" w:rsidR="00A925EE" w:rsidRPr="002B3130" w:rsidRDefault="00A925EE" w:rsidP="0096011C">
      <w:pPr>
        <w:pStyle w:val="FootnoteText"/>
        <w:rPr>
          <w:rFonts w:ascii="Calibri" w:hAnsi="Calibri" w:cs="Calibri"/>
          <w:sz w:val="16"/>
          <w:szCs w:val="16"/>
        </w:rPr>
      </w:pPr>
      <w:r w:rsidRPr="002B3130">
        <w:rPr>
          <w:rStyle w:val="FootnoteReference"/>
          <w:rFonts w:ascii="Calibri" w:hAnsi="Calibri" w:cs="Calibri"/>
        </w:rPr>
        <w:footnoteRef/>
      </w:r>
      <w:r w:rsidRPr="002B3130">
        <w:rPr>
          <w:rFonts w:ascii="Calibri" w:hAnsi="Calibri" w:cs="Calibri"/>
        </w:rPr>
        <w:t xml:space="preserve"> </w:t>
      </w:r>
      <w:r w:rsidRPr="002B3130">
        <w:rPr>
          <w:rFonts w:ascii="Calibri" w:hAnsi="Calibri" w:cs="Calibri"/>
          <w:sz w:val="16"/>
          <w:szCs w:val="16"/>
        </w:rPr>
        <w:t>Inter-institutional coordination committee to promote consensus building on biodiversity related policies and action plans. It comprises representatives of national and provincial governments, civil society, representatives of indigenous peoples and scientific organizations.</w:t>
      </w:r>
    </w:p>
  </w:footnote>
  <w:footnote w:id="41">
    <w:p w14:paraId="38370D05" w14:textId="77777777" w:rsidR="00A925EE" w:rsidRPr="002B3130" w:rsidRDefault="00A925EE" w:rsidP="0096011C">
      <w:pPr>
        <w:pStyle w:val="FootnoteText"/>
        <w:rPr>
          <w:rFonts w:ascii="Calibri" w:hAnsi="Calibri" w:cs="Calibri"/>
          <w:sz w:val="16"/>
          <w:szCs w:val="16"/>
        </w:rPr>
      </w:pPr>
      <w:r w:rsidRPr="002B3130">
        <w:rPr>
          <w:rStyle w:val="FootnoteReference"/>
          <w:rFonts w:ascii="Calibri" w:hAnsi="Calibri" w:cs="Calibri"/>
        </w:rPr>
        <w:footnoteRef/>
      </w:r>
      <w:r w:rsidRPr="002B3130">
        <w:rPr>
          <w:rFonts w:ascii="Calibri" w:hAnsi="Calibri" w:cs="Calibri"/>
        </w:rPr>
        <w:t xml:space="preserve"> </w:t>
      </w:r>
      <w:r w:rsidRPr="002B3130">
        <w:rPr>
          <w:rFonts w:ascii="Calibri" w:hAnsi="Calibri" w:cs="Calibri"/>
          <w:sz w:val="16"/>
          <w:szCs w:val="16"/>
        </w:rPr>
        <w:t>Federal forum coordinated by the Ministry of Interior, Public Works and Housing for sectoral planning, coordinating and harmonizing land use planning and zoning policies.</w:t>
      </w:r>
    </w:p>
  </w:footnote>
  <w:footnote w:id="42">
    <w:p w14:paraId="32FB5AE6" w14:textId="77777777" w:rsidR="00A925EE" w:rsidRPr="002B3130" w:rsidRDefault="00A925EE" w:rsidP="0096011C">
      <w:pPr>
        <w:pStyle w:val="FootnoteText"/>
        <w:rPr>
          <w:rFonts w:ascii="Calibri" w:hAnsi="Calibri" w:cs="Calibri"/>
        </w:rPr>
      </w:pPr>
      <w:r w:rsidRPr="002B3130">
        <w:rPr>
          <w:rStyle w:val="FootnoteReference"/>
          <w:rFonts w:ascii="Calibri" w:hAnsi="Calibri" w:cs="Calibri"/>
        </w:rPr>
        <w:footnoteRef/>
      </w:r>
      <w:r w:rsidRPr="002B3130">
        <w:rPr>
          <w:rFonts w:ascii="Calibri" w:hAnsi="Calibri" w:cs="Calibri"/>
        </w:rPr>
        <w:t xml:space="preserve"> </w:t>
      </w:r>
      <w:r w:rsidRPr="002B3130">
        <w:rPr>
          <w:rFonts w:ascii="Calibri" w:hAnsi="Calibri" w:cs="Calibri"/>
          <w:sz w:val="16"/>
          <w:szCs w:val="16"/>
        </w:rPr>
        <w:t>Federal forum comprising representatives of the Environment Committees of the provincial congresses and the City of Buenos Aires to promote common legislative policies in regard to the environment from a federal perspective; updating and adapting provincial legislation to international environmental treaties ratified by Argentina.</w:t>
      </w:r>
    </w:p>
  </w:footnote>
  <w:footnote w:id="43">
    <w:p w14:paraId="724D98F7" w14:textId="77777777" w:rsidR="00A925EE" w:rsidRPr="009A75B1" w:rsidRDefault="00A925EE" w:rsidP="00FB7250">
      <w:pPr>
        <w:pStyle w:val="FootnoteText"/>
      </w:pPr>
      <w:r>
        <w:rPr>
          <w:rStyle w:val="FootnoteReference"/>
        </w:rPr>
        <w:footnoteRef/>
      </w:r>
      <w:r>
        <w:t xml:space="preserve"> </w:t>
      </w:r>
      <w:r w:rsidRPr="008D42F7">
        <w:rPr>
          <w:rFonts w:asciiTheme="minorHAnsi" w:hAnsiTheme="minorHAnsi" w:cstheme="minorHAnsi"/>
          <w:sz w:val="16"/>
          <w:szCs w:val="16"/>
        </w:rPr>
        <w:t>The Government of Argentina established in 2016 a National Climate Change Cabinet comprised by 12 ministries which meets regularly to design public policies that include strategies to mitigate greenhouse gas emissions and to provide coordinated responses to the impacts of climate change.  The workplans and results are validated in roundtables with civil society representatives. The roundtables are convened by the Secretariat of Environment and Sustainable Development.</w:t>
      </w:r>
    </w:p>
  </w:footnote>
  <w:footnote w:id="44">
    <w:p w14:paraId="6FDAFA7A" w14:textId="77777777" w:rsidR="00A925EE" w:rsidRPr="00336DB4" w:rsidRDefault="00A925EE" w:rsidP="006D5ACA">
      <w:pPr>
        <w:pStyle w:val="FootnoteText"/>
      </w:pPr>
      <w:r>
        <w:rPr>
          <w:rStyle w:val="FootnoteReference"/>
        </w:rPr>
        <w:footnoteRef/>
      </w:r>
      <w:r>
        <w:t xml:space="preserve"> </w:t>
      </w:r>
      <w:r w:rsidRPr="006D5ACA">
        <w:rPr>
          <w:rFonts w:ascii="Calibri" w:eastAsia="Times New Roman" w:hAnsi="Calibri" w:cs="Calibri"/>
          <w:sz w:val="16"/>
          <w:szCs w:val="16"/>
          <w:lang w:eastAsia="es-ES_tradnl"/>
        </w:rPr>
        <w:t>Law Nº 11723 has the objective of protecting, conserving, improving and restoring the natural resources and the environment in general of the Province of Buenos Aires to preserve life in its broadest sense, ensuring environmental quality and biological diversity for present and future generations. Articles 7 and 8 refer to planning and land use instruments. Article 7 establishes the general conditions to consider when making use of natural resources, locating productive activities and/or human settlements: nature and characteristics of each biome; aptitude of each zone or region according to its resources, population distribution and geo-economic characteristics; and existing alterations of biomes due to anthropogenic activities or natural phenomena. Article 8 establishes a list of activities to which the previous article applies: public works; construction and operation of industrial, commercial or services plants; land use permits for agricultural, forest and livestock production; financing of the previous activities; granting concessions or permits for use of water resources and wildlife; establishment of new settlements; government programs related to infrastructure, urban equipment and housing.</w:t>
      </w:r>
    </w:p>
  </w:footnote>
  <w:footnote w:id="45">
    <w:p w14:paraId="3EC7FAC1" w14:textId="77777777" w:rsidR="00A925EE" w:rsidRPr="00D25E0D" w:rsidRDefault="00A925EE" w:rsidP="00CC6C33">
      <w:pPr>
        <w:spacing w:after="0"/>
        <w:jc w:val="left"/>
        <w:rPr>
          <w:rFonts w:cs="Calibri"/>
          <w:sz w:val="16"/>
          <w:szCs w:val="16"/>
        </w:rPr>
      </w:pPr>
      <w:r>
        <w:rPr>
          <w:rStyle w:val="FootnoteReference"/>
        </w:rPr>
        <w:footnoteRef/>
      </w:r>
      <w:r w:rsidRPr="00CC6C33">
        <w:t xml:space="preserve"> </w:t>
      </w:r>
      <w:r w:rsidRPr="00D25E0D">
        <w:rPr>
          <w:rFonts w:cs="Calibri"/>
          <w:sz w:val="16"/>
          <w:szCs w:val="16"/>
        </w:rPr>
        <w:t>An observatory is a network of scientific and technical institutions/experts that collect, analyze and generate information to support decision making by different stakeholders related to development of the territory as well as making adjustments to correct undesired trends and/or dynamics.</w:t>
      </w:r>
    </w:p>
  </w:footnote>
  <w:footnote w:id="46">
    <w:p w14:paraId="18EB8F43" w14:textId="77777777" w:rsidR="00A925EE" w:rsidRPr="00C93392" w:rsidRDefault="00A925EE" w:rsidP="006D5ACA">
      <w:pPr>
        <w:spacing w:after="0"/>
        <w:rPr>
          <w:sz w:val="18"/>
          <w:szCs w:val="18"/>
        </w:rPr>
      </w:pPr>
      <w:r>
        <w:rPr>
          <w:rStyle w:val="FootnoteReference"/>
        </w:rPr>
        <w:footnoteRef/>
      </w:r>
      <w:r>
        <w:t xml:space="preserve"> </w:t>
      </w:r>
      <w:r>
        <w:rPr>
          <w:sz w:val="16"/>
          <w:szCs w:val="16"/>
        </w:rPr>
        <w:t>In alignment</w:t>
      </w:r>
      <w:r w:rsidRPr="008C6F8E">
        <w:rPr>
          <w:sz w:val="16"/>
          <w:szCs w:val="16"/>
        </w:rPr>
        <w:t xml:space="preserve"> with </w:t>
      </w:r>
      <w:r>
        <w:rPr>
          <w:sz w:val="16"/>
          <w:szCs w:val="16"/>
        </w:rPr>
        <w:t xml:space="preserve">the </w:t>
      </w:r>
      <w:r w:rsidRPr="008C6F8E">
        <w:rPr>
          <w:sz w:val="16"/>
          <w:szCs w:val="16"/>
        </w:rPr>
        <w:t>Federal Native Forest Law, this provincial land use plan for forests has the objective of providing incentives for conservation and sustainable management of native forests and the ecosystem services they provide. Under the plan, landowners must prepare land use plans as a pre-requisite for presenting land use change plans, sustainable management plans or conservation plans in accordance with the zoning categories established for native forests.</w:t>
      </w:r>
    </w:p>
  </w:footnote>
  <w:footnote w:id="47">
    <w:p w14:paraId="1FE3CC51" w14:textId="77777777" w:rsidR="00A925EE" w:rsidRPr="006D5ACA" w:rsidRDefault="00A925EE" w:rsidP="006D5ACA">
      <w:pPr>
        <w:spacing w:after="0"/>
        <w:rPr>
          <w:rFonts w:eastAsia="Times New Roman" w:cs="Calibri"/>
          <w:sz w:val="16"/>
          <w:szCs w:val="16"/>
          <w:lang w:eastAsia="es-ES_tradnl"/>
        </w:rPr>
      </w:pPr>
      <w:r>
        <w:rPr>
          <w:rStyle w:val="FootnoteReference"/>
        </w:rPr>
        <w:footnoteRef/>
      </w:r>
      <w:r w:rsidRPr="00C93392">
        <w:t xml:space="preserve"> </w:t>
      </w:r>
      <w:r w:rsidRPr="006D5ACA">
        <w:rPr>
          <w:rFonts w:eastAsia="Times New Roman" w:cs="Calibri"/>
          <w:sz w:val="16"/>
          <w:szCs w:val="16"/>
          <w:lang w:eastAsia="es-ES_tradnl"/>
        </w:rPr>
        <w:t xml:space="preserve">Law Nº 5063 has the overarching goal of guaranteeing protection, preservation, conservation, defense and improvement of the environment, promoting a sustainable development policy that is compatible with such ends, and ensuring an optimum quality </w:t>
      </w:r>
      <w:r>
        <w:rPr>
          <w:rFonts w:eastAsia="Times New Roman" w:cs="Calibri"/>
          <w:sz w:val="16"/>
          <w:szCs w:val="16"/>
          <w:lang w:eastAsia="es-ES_tradnl"/>
        </w:rPr>
        <w:t xml:space="preserve">of life </w:t>
      </w:r>
      <w:r w:rsidRPr="006D5ACA">
        <w:rPr>
          <w:rFonts w:eastAsia="Times New Roman" w:cs="Calibri"/>
          <w:sz w:val="16"/>
          <w:szCs w:val="16"/>
          <w:lang w:eastAsia="es-ES_tradnl"/>
        </w:rPr>
        <w:t>for the present and future generations in the Province of Jujuy. Article 51 states that the province must establish financial mechanisms for environment</w:t>
      </w:r>
      <w:r>
        <w:rPr>
          <w:rFonts w:eastAsia="Times New Roman" w:cs="Calibri"/>
          <w:sz w:val="16"/>
          <w:szCs w:val="16"/>
          <w:lang w:eastAsia="es-ES_tradnl"/>
        </w:rPr>
        <w:t>ally</w:t>
      </w:r>
      <w:r w:rsidRPr="006D5ACA">
        <w:rPr>
          <w:rFonts w:eastAsia="Times New Roman" w:cs="Calibri"/>
          <w:sz w:val="16"/>
          <w:szCs w:val="16"/>
          <w:lang w:eastAsia="es-ES_tradnl"/>
        </w:rPr>
        <w:t xml:space="preserve"> friendly investments. For this purpose</w:t>
      </w:r>
      <w:r>
        <w:rPr>
          <w:rFonts w:eastAsia="Times New Roman" w:cs="Calibri"/>
          <w:sz w:val="16"/>
          <w:szCs w:val="16"/>
          <w:lang w:eastAsia="es-ES_tradnl"/>
        </w:rPr>
        <w:t>,</w:t>
      </w:r>
      <w:r w:rsidRPr="006D5ACA">
        <w:rPr>
          <w:rFonts w:eastAsia="Times New Roman" w:cs="Calibri"/>
          <w:sz w:val="16"/>
          <w:szCs w:val="16"/>
          <w:lang w:eastAsia="es-ES_tradnl"/>
        </w:rPr>
        <w:t xml:space="preserve"> it establishes the Provincial Environmental Fund.</w:t>
      </w:r>
    </w:p>
  </w:footnote>
  <w:footnote w:id="48">
    <w:p w14:paraId="01220424" w14:textId="77777777" w:rsidR="00A925EE" w:rsidRPr="002B3130" w:rsidRDefault="00A925EE" w:rsidP="006D5ACA">
      <w:pPr>
        <w:spacing w:after="0"/>
        <w:rPr>
          <w:rFonts w:cs="Calibri"/>
          <w:sz w:val="16"/>
          <w:szCs w:val="16"/>
        </w:rPr>
      </w:pPr>
      <w:r w:rsidRPr="002B3130">
        <w:rPr>
          <w:rStyle w:val="FootnoteReference"/>
          <w:rFonts w:ascii="Calibri" w:hAnsi="Calibri" w:cs="Calibri"/>
        </w:rPr>
        <w:footnoteRef/>
      </w:r>
      <w:r w:rsidRPr="002B3130">
        <w:rPr>
          <w:rFonts w:cs="Calibri"/>
        </w:rPr>
        <w:t xml:space="preserve"> </w:t>
      </w:r>
      <w:r w:rsidRPr="002B3130">
        <w:rPr>
          <w:rFonts w:cs="Calibri"/>
          <w:sz w:val="16"/>
          <w:szCs w:val="16"/>
        </w:rPr>
        <w:t>The objectives of Law Nº6080 are: to promote ecotourism; to promote sustainable development initiatives in those protected areas where such initiatives may be undertaken to improve the livelihoods of their historical dwellers; and develop a financing strategy for the protected area system. The law establishes the Provincial Protected Area Fund to provide grants or benefits to landowners located inside protected areas.</w:t>
      </w:r>
    </w:p>
  </w:footnote>
  <w:footnote w:id="49">
    <w:p w14:paraId="11057BD9" w14:textId="77777777" w:rsidR="00A925EE" w:rsidRPr="002B3130" w:rsidRDefault="00A925EE" w:rsidP="006D5ACA">
      <w:pPr>
        <w:pStyle w:val="FootnoteText"/>
        <w:rPr>
          <w:rFonts w:ascii="Calibri" w:hAnsi="Calibri" w:cs="Calibri"/>
        </w:rPr>
      </w:pPr>
      <w:r w:rsidRPr="002B3130">
        <w:rPr>
          <w:rStyle w:val="FootnoteReference"/>
          <w:rFonts w:ascii="Calibri" w:hAnsi="Calibri" w:cs="Calibri"/>
        </w:rPr>
        <w:footnoteRef/>
      </w:r>
      <w:r w:rsidRPr="002B3130">
        <w:rPr>
          <w:rFonts w:ascii="Calibri" w:hAnsi="Calibri" w:cs="Calibri"/>
        </w:rPr>
        <w:t xml:space="preserve"> </w:t>
      </w:r>
      <w:r w:rsidRPr="002B3130">
        <w:rPr>
          <w:rFonts w:ascii="Calibri" w:hAnsi="Calibri" w:cs="Calibri"/>
          <w:sz w:val="16"/>
          <w:szCs w:val="16"/>
        </w:rPr>
        <w:t>Law Nº5954 establishes the Urban Solid Waste Management Plan; its objectives being among others to implement the Urban Solid Waste Management System; promote waste segregation at origin, reuse and recycling; establish a collection, treatment and final disposal system; procure equipment and human resources; raise awareness on solid waste issues; incorporate environment</w:t>
      </w:r>
      <w:r>
        <w:rPr>
          <w:rFonts w:ascii="Calibri" w:hAnsi="Calibri" w:cs="Calibri"/>
          <w:sz w:val="16"/>
          <w:szCs w:val="16"/>
        </w:rPr>
        <w:t xml:space="preserve">ally </w:t>
      </w:r>
      <w:r w:rsidRPr="002B3130">
        <w:rPr>
          <w:rFonts w:ascii="Calibri" w:hAnsi="Calibri" w:cs="Calibri"/>
          <w:sz w:val="16"/>
          <w:szCs w:val="16"/>
        </w:rPr>
        <w:t>friendly technologies and processes; and eliminate dumps.</w:t>
      </w:r>
    </w:p>
  </w:footnote>
  <w:footnote w:id="50">
    <w:p w14:paraId="1A6CF21A" w14:textId="77777777" w:rsidR="00A925EE" w:rsidRPr="002B3130" w:rsidRDefault="00A925EE" w:rsidP="006D5ACA">
      <w:pPr>
        <w:pStyle w:val="FootnoteText"/>
        <w:rPr>
          <w:rFonts w:ascii="Calibri" w:hAnsi="Calibri" w:cs="Calibri"/>
        </w:rPr>
      </w:pPr>
      <w:r w:rsidRPr="002B3130">
        <w:rPr>
          <w:rStyle w:val="FootnoteReference"/>
          <w:rFonts w:ascii="Calibri" w:hAnsi="Calibri" w:cs="Calibri"/>
        </w:rPr>
        <w:footnoteRef/>
      </w:r>
      <w:r w:rsidRPr="002B3130">
        <w:rPr>
          <w:rFonts w:ascii="Calibri" w:hAnsi="Calibri" w:cs="Calibri"/>
        </w:rPr>
        <w:t xml:space="preserve"> </w:t>
      </w:r>
      <w:r w:rsidRPr="002B3130">
        <w:rPr>
          <w:rFonts w:ascii="Calibri" w:hAnsi="Calibri" w:cs="Calibri"/>
          <w:bCs/>
          <w:sz w:val="16"/>
          <w:szCs w:val="16"/>
        </w:rPr>
        <w:t>Law Nº8051 establishes land use planning as the political and administrative procedure of the provincial government and municipalities, and as the basic instrument for economic, social and environmental development pursuing balanced and efficient ways to occupy the territory. It establishes several instruments, among them the provincial land use plan, municipal land use plans and land use plans for special areas</w:t>
      </w:r>
      <w:r>
        <w:rPr>
          <w:rFonts w:ascii="Calibri" w:hAnsi="Calibri" w:cs="Calibri"/>
          <w:bCs/>
          <w:sz w:val="16"/>
          <w:szCs w:val="16"/>
        </w:rPr>
        <w:t>.</w:t>
      </w:r>
    </w:p>
  </w:footnote>
  <w:footnote w:id="51">
    <w:p w14:paraId="60908C3F" w14:textId="77777777" w:rsidR="00A925EE" w:rsidRPr="002B3130" w:rsidRDefault="00A925EE" w:rsidP="006D5ACA">
      <w:pPr>
        <w:spacing w:after="0"/>
        <w:rPr>
          <w:rFonts w:cs="Calibri"/>
          <w:bCs/>
          <w:sz w:val="16"/>
          <w:szCs w:val="16"/>
        </w:rPr>
      </w:pPr>
      <w:r w:rsidRPr="002B3130">
        <w:rPr>
          <w:rStyle w:val="FootnoteReference"/>
          <w:rFonts w:ascii="Calibri" w:hAnsi="Calibri" w:cs="Calibri"/>
        </w:rPr>
        <w:footnoteRef/>
      </w:r>
      <w:r w:rsidRPr="002B3130">
        <w:rPr>
          <w:rFonts w:cs="Calibri"/>
        </w:rPr>
        <w:t xml:space="preserve"> </w:t>
      </w:r>
      <w:r w:rsidRPr="002B3130">
        <w:rPr>
          <w:rFonts w:cs="Calibri"/>
          <w:bCs/>
          <w:sz w:val="16"/>
          <w:szCs w:val="16"/>
        </w:rPr>
        <w:t>Law Nº 5048 declares of public interest and use an area of land located to the West of the Mendoza Metropolitan Area and subject to expropriation, adjustment of land use or establishment of natural reserves.</w:t>
      </w:r>
    </w:p>
  </w:footnote>
  <w:footnote w:id="52">
    <w:p w14:paraId="2461494F" w14:textId="77777777" w:rsidR="00A925EE" w:rsidRPr="002B3130" w:rsidRDefault="00A925EE" w:rsidP="00E6764E">
      <w:pPr>
        <w:pStyle w:val="FootnoteText"/>
        <w:rPr>
          <w:rFonts w:ascii="Calibri" w:hAnsi="Calibri" w:cs="Calibri"/>
          <w:sz w:val="16"/>
          <w:szCs w:val="16"/>
        </w:rPr>
      </w:pPr>
      <w:r w:rsidRPr="002B3130">
        <w:rPr>
          <w:rStyle w:val="FootnoteReference"/>
          <w:rFonts w:ascii="Calibri" w:hAnsi="Calibri" w:cs="Calibri"/>
        </w:rPr>
        <w:footnoteRef/>
      </w:r>
      <w:r w:rsidRPr="002B3130">
        <w:rPr>
          <w:rFonts w:ascii="Calibri" w:hAnsi="Calibri" w:cs="Calibri"/>
        </w:rPr>
        <w:t xml:space="preserve"> </w:t>
      </w:r>
      <w:r w:rsidRPr="002B3130">
        <w:rPr>
          <w:rFonts w:ascii="Calibri" w:hAnsi="Calibri" w:cs="Calibri"/>
          <w:sz w:val="16"/>
          <w:szCs w:val="16"/>
        </w:rPr>
        <w:t xml:space="preserve">The CIOUT´s objective is to elaborate regulatory, procedural and technological instruments to optimize and improve the Provincial Land Use Planning System and coordination with municipalities. Members include OPDS, INTA, Ministry of Agro-industry, Buenos Aires Revenue Agency, Water Authority, Ministry of Government, Ministry of Infrastructure and Provincial Directorate for Risk Management and Emergencies. </w:t>
      </w:r>
      <w:hyperlink r:id="rId17" w:history="1">
        <w:r w:rsidRPr="002B3130">
          <w:rPr>
            <w:rStyle w:val="Hyperlink"/>
            <w:rFonts w:ascii="Calibri" w:hAnsi="Calibri" w:cs="Calibri"/>
            <w:sz w:val="16"/>
            <w:szCs w:val="16"/>
          </w:rPr>
          <w:t>http://www.gob.gba.gov.ar/legislacion/legislacion/08-1496.html</w:t>
        </w:r>
      </w:hyperlink>
      <w:r w:rsidRPr="002B3130">
        <w:rPr>
          <w:rFonts w:ascii="Calibri" w:hAnsi="Calibri" w:cs="Calibri"/>
          <w:sz w:val="16"/>
          <w:szCs w:val="16"/>
        </w:rPr>
        <w:t>.</w:t>
      </w:r>
    </w:p>
  </w:footnote>
  <w:footnote w:id="53">
    <w:p w14:paraId="43461399" w14:textId="77777777" w:rsidR="00A925EE" w:rsidRPr="002B3130" w:rsidRDefault="00A925EE" w:rsidP="00E6764E">
      <w:pPr>
        <w:pStyle w:val="FootnoteText"/>
        <w:rPr>
          <w:rFonts w:ascii="Calibri" w:hAnsi="Calibri" w:cs="Calibri"/>
          <w:sz w:val="16"/>
          <w:szCs w:val="16"/>
        </w:rPr>
      </w:pPr>
      <w:r w:rsidRPr="002B3130">
        <w:rPr>
          <w:rStyle w:val="FootnoteReference"/>
          <w:rFonts w:ascii="Calibri" w:hAnsi="Calibri" w:cs="Calibri"/>
        </w:rPr>
        <w:footnoteRef/>
      </w:r>
      <w:r w:rsidRPr="002B3130">
        <w:rPr>
          <w:rFonts w:ascii="Calibri" w:hAnsi="Calibri" w:cs="Calibri"/>
        </w:rPr>
        <w:t xml:space="preserve"> </w:t>
      </w:r>
      <w:r w:rsidRPr="002B3130">
        <w:rPr>
          <w:rFonts w:ascii="Calibri" w:hAnsi="Calibri" w:cs="Calibri"/>
          <w:sz w:val="16"/>
          <w:szCs w:val="16"/>
        </w:rPr>
        <w:t xml:space="preserve">The CPOT is a consultative and advisory body on land use planning. It is convened by the Environment Secretariat of Mendoza and includes representatives of provincial and municipal institutions and CSOs. Its objectives are to provide recommendations and proposals for </w:t>
      </w:r>
      <w:r>
        <w:rPr>
          <w:rFonts w:ascii="Calibri" w:hAnsi="Calibri" w:cs="Calibri"/>
          <w:sz w:val="16"/>
          <w:szCs w:val="16"/>
        </w:rPr>
        <w:t xml:space="preserve">the </w:t>
      </w:r>
      <w:r w:rsidRPr="002B3130">
        <w:rPr>
          <w:rFonts w:ascii="Calibri" w:hAnsi="Calibri" w:cs="Calibri"/>
          <w:sz w:val="16"/>
          <w:szCs w:val="16"/>
        </w:rPr>
        <w:t xml:space="preserve">territorial organization of the province; to issue opinions and statements on the planning procedures established in the provincial Land Use Planning and Land Use Law. </w:t>
      </w:r>
      <w:hyperlink r:id="rId18" w:history="1">
        <w:r w:rsidRPr="002B3130">
          <w:rPr>
            <w:rStyle w:val="Hyperlink"/>
            <w:rFonts w:ascii="Calibri" w:hAnsi="Calibri" w:cs="Calibri"/>
            <w:sz w:val="16"/>
            <w:szCs w:val="16"/>
          </w:rPr>
          <w:t>http://www.ambiente.mendoza.gov.ar/organismos/cpot/mision-cpot/</w:t>
        </w:r>
      </w:hyperlink>
      <w:r w:rsidRPr="002B3130">
        <w:rPr>
          <w:rFonts w:ascii="Calibri" w:hAnsi="Calibri" w:cs="Calibri"/>
          <w:sz w:val="16"/>
          <w:szCs w:val="16"/>
        </w:rPr>
        <w:t>.</w:t>
      </w:r>
    </w:p>
  </w:footnote>
  <w:footnote w:id="54">
    <w:p w14:paraId="726A9B63" w14:textId="77777777" w:rsidR="00A925EE" w:rsidRPr="002B3130" w:rsidRDefault="00A925EE" w:rsidP="00E6764E">
      <w:pPr>
        <w:pStyle w:val="FootnoteText"/>
        <w:rPr>
          <w:rFonts w:ascii="Calibri" w:hAnsi="Calibri" w:cs="Calibri"/>
        </w:rPr>
      </w:pPr>
      <w:r w:rsidRPr="002B3130">
        <w:rPr>
          <w:rStyle w:val="FootnoteReference"/>
          <w:rFonts w:ascii="Calibri" w:hAnsi="Calibri" w:cs="Calibri"/>
        </w:rPr>
        <w:footnoteRef/>
      </w:r>
      <w:r w:rsidRPr="002B3130">
        <w:rPr>
          <w:rFonts w:ascii="Calibri" w:hAnsi="Calibri" w:cs="Calibri"/>
        </w:rPr>
        <w:t xml:space="preserve"> </w:t>
      </w:r>
      <w:r w:rsidRPr="002B3130">
        <w:rPr>
          <w:rFonts w:ascii="Calibri" w:hAnsi="Calibri" w:cs="Calibri"/>
          <w:sz w:val="16"/>
          <w:szCs w:val="16"/>
        </w:rPr>
        <w:t xml:space="preserve">The unit has the role of coordinating and implementing actions to forward research, conservation and preservation, community participation and sustainable development of archaeological roads and sites and communities </w:t>
      </w:r>
      <w:r>
        <w:rPr>
          <w:rFonts w:ascii="Calibri" w:hAnsi="Calibri" w:cs="Calibri"/>
          <w:sz w:val="16"/>
          <w:szCs w:val="16"/>
        </w:rPr>
        <w:t xml:space="preserve">as </w:t>
      </w:r>
      <w:r w:rsidRPr="002B3130">
        <w:rPr>
          <w:rFonts w:ascii="Calibri" w:hAnsi="Calibri" w:cs="Calibri"/>
          <w:sz w:val="16"/>
          <w:szCs w:val="16"/>
        </w:rPr>
        <w:t xml:space="preserve">part of the Qhapac Ñam (Inca Road) Andean Road System. </w:t>
      </w:r>
    </w:p>
  </w:footnote>
  <w:footnote w:id="55">
    <w:p w14:paraId="7ED817C0" w14:textId="77777777" w:rsidR="00A925EE" w:rsidRPr="002B3130" w:rsidRDefault="00A925EE" w:rsidP="00E145BD">
      <w:pPr>
        <w:pStyle w:val="FootnoteText"/>
        <w:rPr>
          <w:rFonts w:ascii="Calibri" w:hAnsi="Calibri" w:cs="Calibri"/>
          <w:sz w:val="16"/>
          <w:szCs w:val="16"/>
        </w:rPr>
      </w:pPr>
      <w:r w:rsidRPr="002B3130">
        <w:rPr>
          <w:rStyle w:val="FootnoteReference"/>
          <w:rFonts w:ascii="Calibri" w:hAnsi="Calibri" w:cs="Calibri"/>
          <w:sz w:val="16"/>
          <w:szCs w:val="16"/>
        </w:rPr>
        <w:footnoteRef/>
      </w:r>
      <w:r w:rsidRPr="002B3130">
        <w:rPr>
          <w:rFonts w:ascii="Calibri" w:hAnsi="Calibri" w:cs="Calibri"/>
          <w:sz w:val="16"/>
          <w:szCs w:val="16"/>
        </w:rPr>
        <w:t xml:space="preserve"> The Provincial Native Forest Law was issued in 2016 and establishes the measures for conservation and sustainable use of native forests in alignment with the federal Native Forest Law. This allows for allocation and transfer of federal funds from the Native Forest Law to the province. OPDS and the Ministry of Agro-industry of Buenos Aires (MAIBA) are the application authorities of the provincial law.  An agreement between the OPDS and MAIBA establishing their respective roles and responsibilities must be signed as a pre-requisite for the province to start receiving funds.</w:t>
      </w:r>
    </w:p>
  </w:footnote>
  <w:footnote w:id="56">
    <w:p w14:paraId="43142B71" w14:textId="77777777" w:rsidR="00A925EE" w:rsidRPr="002B3130" w:rsidRDefault="00A925EE" w:rsidP="00E145BD">
      <w:pPr>
        <w:pStyle w:val="FootnoteText"/>
        <w:rPr>
          <w:rFonts w:ascii="Calibri" w:hAnsi="Calibri" w:cs="Calibri"/>
          <w:sz w:val="16"/>
          <w:szCs w:val="16"/>
        </w:rPr>
      </w:pPr>
      <w:r w:rsidRPr="002B3130">
        <w:rPr>
          <w:rStyle w:val="FootnoteReference"/>
          <w:rFonts w:ascii="Calibri" w:hAnsi="Calibri" w:cs="Calibri"/>
          <w:sz w:val="16"/>
          <w:szCs w:val="16"/>
        </w:rPr>
        <w:footnoteRef/>
      </w:r>
      <w:r w:rsidRPr="002B3130">
        <w:rPr>
          <w:rFonts w:ascii="Calibri" w:hAnsi="Calibri" w:cs="Calibri"/>
          <w:sz w:val="16"/>
          <w:szCs w:val="16"/>
        </w:rPr>
        <w:t xml:space="preserve"> The Seed Funds have the objective of providing technical and financial assistance to individuals who want to start projects or strengthen ongoing projects with innovative components that mainstream gender equality and have the potential to generate economic and social impact at local, national or regional level. Modalities are technical cooperation (incubators) and financial assistance (soft credits with 0% interest rates).</w:t>
      </w:r>
    </w:p>
  </w:footnote>
  <w:footnote w:id="57">
    <w:p w14:paraId="77D37047" w14:textId="77777777" w:rsidR="00A925EE" w:rsidRPr="002B3130" w:rsidRDefault="00A925EE" w:rsidP="00E145BD">
      <w:pPr>
        <w:spacing w:after="0"/>
        <w:rPr>
          <w:rFonts w:cs="Calibri"/>
          <w:sz w:val="16"/>
          <w:szCs w:val="16"/>
        </w:rPr>
      </w:pPr>
      <w:r w:rsidRPr="002B3130">
        <w:rPr>
          <w:rStyle w:val="FootnoteReference"/>
          <w:rFonts w:ascii="Calibri" w:hAnsi="Calibri" w:cs="Calibri"/>
          <w:sz w:val="16"/>
          <w:szCs w:val="16"/>
        </w:rPr>
        <w:footnoteRef/>
      </w:r>
      <w:r w:rsidRPr="002B3130">
        <w:rPr>
          <w:rFonts w:cs="Calibri"/>
          <w:sz w:val="16"/>
          <w:szCs w:val="16"/>
        </w:rPr>
        <w:t xml:space="preserve"> ArgenINTA provides credits at low interest rates with own funds and third party funds; toolkits for associations and individuals and has experience in designing financial instruments and revolving funds for family farmers. It implements several programs: Sustainable Territorial Innovation (INTERRIS), Productive Credits and Small Contributions to Projects (PROFEDER) and ProHuerta.</w:t>
      </w:r>
    </w:p>
  </w:footnote>
  <w:footnote w:id="58">
    <w:p w14:paraId="05875905" w14:textId="77777777" w:rsidR="00A925EE" w:rsidRPr="002B3130" w:rsidRDefault="00A925EE" w:rsidP="00E145BD">
      <w:pPr>
        <w:pStyle w:val="FootnoteText"/>
        <w:rPr>
          <w:rFonts w:ascii="Calibri" w:hAnsi="Calibri" w:cs="Calibri"/>
          <w:sz w:val="16"/>
          <w:szCs w:val="16"/>
        </w:rPr>
      </w:pPr>
      <w:r w:rsidRPr="002B3130">
        <w:rPr>
          <w:rStyle w:val="FootnoteReference"/>
          <w:rFonts w:ascii="Calibri" w:hAnsi="Calibri" w:cs="Calibri"/>
          <w:sz w:val="16"/>
          <w:szCs w:val="16"/>
        </w:rPr>
        <w:footnoteRef/>
      </w:r>
      <w:r w:rsidRPr="002B3130">
        <w:rPr>
          <w:rFonts w:ascii="Calibri" w:hAnsi="Calibri" w:cs="Calibri"/>
          <w:sz w:val="16"/>
          <w:szCs w:val="16"/>
        </w:rPr>
        <w:t xml:space="preserve"> The Ministry of Tourism implements several funding options: a) Emprender Turismo with the objective of promoting entrepreneurial culture and converting ideas into sustainable tourism enterprises and employment generation; b) Fondetur provides resources through calls for proposals to projects that strengthen development of tourism within the framework of national programs; and c) international cooperation projects.</w:t>
      </w:r>
    </w:p>
  </w:footnote>
  <w:footnote w:id="59">
    <w:p w14:paraId="346EC6CB" w14:textId="77777777" w:rsidR="00A925EE" w:rsidRPr="002B3130" w:rsidRDefault="00A925EE" w:rsidP="00E145BD">
      <w:pPr>
        <w:pStyle w:val="FootnoteText"/>
        <w:rPr>
          <w:rFonts w:ascii="Calibri" w:hAnsi="Calibri" w:cs="Calibri"/>
          <w:sz w:val="16"/>
          <w:szCs w:val="16"/>
        </w:rPr>
      </w:pPr>
      <w:r w:rsidRPr="002B3130">
        <w:rPr>
          <w:rStyle w:val="FootnoteReference"/>
          <w:rFonts w:ascii="Calibri" w:hAnsi="Calibri" w:cs="Calibri"/>
          <w:sz w:val="16"/>
          <w:szCs w:val="16"/>
        </w:rPr>
        <w:footnoteRef/>
      </w:r>
      <w:r w:rsidRPr="002B3130">
        <w:rPr>
          <w:rFonts w:ascii="Calibri" w:hAnsi="Calibri" w:cs="Calibri"/>
          <w:sz w:val="16"/>
          <w:szCs w:val="16"/>
        </w:rPr>
        <w:t xml:space="preserve"> BAPRO has a business unit for micro and small producers granting them credits with minimum requirements. </w:t>
      </w:r>
      <w:hyperlink r:id="rId19" w:history="1">
        <w:r w:rsidRPr="002B3130">
          <w:rPr>
            <w:rStyle w:val="Hyperlink"/>
            <w:rFonts w:ascii="Calibri" w:hAnsi="Calibri" w:cs="Calibri"/>
            <w:sz w:val="16"/>
            <w:szCs w:val="16"/>
          </w:rPr>
          <w:t>https://www.provinciamicrocreditos.com/</w:t>
        </w:r>
      </w:hyperlink>
    </w:p>
  </w:footnote>
  <w:footnote w:id="60">
    <w:p w14:paraId="18CD3982" w14:textId="77777777" w:rsidR="00A925EE" w:rsidRPr="002B3130" w:rsidRDefault="00A925EE" w:rsidP="00E145BD">
      <w:pPr>
        <w:pStyle w:val="FootnoteText"/>
        <w:rPr>
          <w:rFonts w:ascii="Calibri" w:hAnsi="Calibri" w:cs="Calibri"/>
          <w:sz w:val="16"/>
          <w:szCs w:val="16"/>
        </w:rPr>
      </w:pPr>
      <w:r w:rsidRPr="002B3130">
        <w:rPr>
          <w:rStyle w:val="FootnoteReference"/>
          <w:rFonts w:ascii="Calibri" w:hAnsi="Calibri" w:cs="Calibri"/>
          <w:sz w:val="16"/>
          <w:szCs w:val="16"/>
        </w:rPr>
        <w:footnoteRef/>
      </w:r>
      <w:r w:rsidRPr="002B3130">
        <w:rPr>
          <w:rFonts w:ascii="Calibri" w:hAnsi="Calibri" w:cs="Calibri"/>
          <w:sz w:val="16"/>
          <w:szCs w:val="16"/>
        </w:rPr>
        <w:t xml:space="preserve">  BNA has microcredit lines for micro and small producers.</w:t>
      </w:r>
    </w:p>
  </w:footnote>
  <w:footnote w:id="61">
    <w:p w14:paraId="1423E8F3" w14:textId="77777777" w:rsidR="00A925EE" w:rsidRPr="002B3130" w:rsidRDefault="00A925EE" w:rsidP="004B1724">
      <w:pPr>
        <w:pStyle w:val="FootnoteText"/>
        <w:rPr>
          <w:rFonts w:ascii="Calibri" w:hAnsi="Calibri" w:cs="Calibri"/>
          <w:sz w:val="16"/>
          <w:szCs w:val="16"/>
        </w:rPr>
      </w:pPr>
      <w:r w:rsidRPr="002B3130">
        <w:rPr>
          <w:rStyle w:val="FootnoteReference"/>
          <w:rFonts w:ascii="Calibri" w:hAnsi="Calibri" w:cs="Calibri"/>
          <w:sz w:val="16"/>
          <w:szCs w:val="16"/>
        </w:rPr>
        <w:footnoteRef/>
      </w:r>
      <w:r w:rsidRPr="002B3130">
        <w:rPr>
          <w:rFonts w:ascii="Calibri" w:hAnsi="Calibri" w:cs="Calibri"/>
          <w:sz w:val="16"/>
          <w:szCs w:val="16"/>
        </w:rPr>
        <w:t xml:space="preserve"> The Provincial Emergency Law Nº10390 establishes a number of measures in support of producers affected by natural disasters and during the declaration of emergency, among them: deferral of payments and/or renegotiation of credits; special credits for recovery; temporary suspension of collection judgements; renewal of credit return schedules; tax deferrals; total or partial tax exemptions; allocation of funds for public works in the affected areas; supply of seeds and inputs for agricultural operations.</w:t>
      </w:r>
    </w:p>
  </w:footnote>
  <w:footnote w:id="62">
    <w:p w14:paraId="40AC7903" w14:textId="77777777" w:rsidR="00A925EE" w:rsidRPr="004B1724" w:rsidRDefault="00A925EE">
      <w:pPr>
        <w:pStyle w:val="FootnoteText"/>
      </w:pPr>
      <w:r>
        <w:rPr>
          <w:rStyle w:val="FootnoteReference"/>
        </w:rPr>
        <w:footnoteRef/>
      </w:r>
      <w:r>
        <w:t xml:space="preserve"> </w:t>
      </w:r>
      <w:r w:rsidRPr="00D25E0D">
        <w:rPr>
          <w:rFonts w:ascii="Calibri" w:hAnsi="Calibri" w:cs="Calibri"/>
          <w:sz w:val="16"/>
          <w:szCs w:val="16"/>
        </w:rPr>
        <w:t>Prospective is a systematic and participatory process to collect knowledge related to the future and construct medium to long term visions with the objective of guiding the decisions that need to be taken today and mobilizing actions to address the desired future.  The methodology provides information on facts, ideas and trends to adjust the needs of society and economic activities to the environmental characteristics of the territory; it provides guidance on “what”, “what for” and “how” to plan the territory following the desired scenario.</w:t>
      </w:r>
    </w:p>
  </w:footnote>
  <w:footnote w:id="63">
    <w:p w14:paraId="33AB2D8D" w14:textId="77777777" w:rsidR="00A925EE" w:rsidRPr="00E145BD" w:rsidRDefault="00A925EE" w:rsidP="00E145BD">
      <w:pPr>
        <w:pStyle w:val="ListParagraph"/>
        <w:spacing w:after="0"/>
        <w:ind w:left="0"/>
        <w:contextualSpacing w:val="0"/>
        <w:rPr>
          <w:rFonts w:cs="Calibri"/>
          <w:sz w:val="16"/>
          <w:szCs w:val="16"/>
          <w:lang w:eastAsia="en-GB"/>
        </w:rPr>
      </w:pPr>
      <w:r>
        <w:rPr>
          <w:rStyle w:val="FootnoteReference"/>
        </w:rPr>
        <w:footnoteRef/>
      </w:r>
      <w:r w:rsidRPr="00C017FF">
        <w:t xml:space="preserve"> </w:t>
      </w:r>
      <w:r w:rsidRPr="00E145BD">
        <w:rPr>
          <w:rFonts w:cs="Calibri"/>
          <w:sz w:val="16"/>
          <w:szCs w:val="16"/>
          <w:lang w:eastAsia="en-GB"/>
        </w:rPr>
        <w:t xml:space="preserve">Law Nº8999/2017 approves the Provincial Land Use Plan, which has the overarching goal of setting the foundations for a sustainable development model of the province, </w:t>
      </w:r>
      <w:r>
        <w:rPr>
          <w:rFonts w:cs="Calibri"/>
          <w:sz w:val="16"/>
          <w:szCs w:val="16"/>
          <w:lang w:eastAsia="en-GB"/>
        </w:rPr>
        <w:t>with</w:t>
      </w:r>
      <w:r w:rsidRPr="00E145BD">
        <w:rPr>
          <w:rFonts w:cs="Calibri"/>
          <w:sz w:val="16"/>
          <w:szCs w:val="16"/>
          <w:lang w:eastAsia="en-GB"/>
        </w:rPr>
        <w:t xml:space="preserve"> three of its specific objectives</w:t>
      </w:r>
      <w:r>
        <w:rPr>
          <w:rFonts w:cs="Calibri"/>
          <w:sz w:val="16"/>
          <w:szCs w:val="16"/>
          <w:lang w:eastAsia="en-GB"/>
        </w:rPr>
        <w:t xml:space="preserve"> being</w:t>
      </w:r>
      <w:r w:rsidRPr="00E145BD">
        <w:rPr>
          <w:rFonts w:cs="Calibri"/>
          <w:sz w:val="16"/>
          <w:szCs w:val="16"/>
          <w:lang w:eastAsia="en-GB"/>
        </w:rPr>
        <w:t>: a) to reduce environmental degradation and natural and anthropogenic risks, promote adaptation to climate change, and conserve BD and the natural and cultural heritage; b) promote sustainable production and trade; and c) promote integrated water resources management. The plan calls for developing regulations for economic instruments, namely: a) property tax; b) minimum sustainable economic unit; c) capital gain; d) promotion; and e) compensation for ES.</w:t>
      </w:r>
    </w:p>
  </w:footnote>
  <w:footnote w:id="64">
    <w:p w14:paraId="48FF3C4F" w14:textId="77777777" w:rsidR="00A925EE" w:rsidRPr="002B3130" w:rsidRDefault="00A925EE" w:rsidP="00E145BD">
      <w:pPr>
        <w:pStyle w:val="FootnoteText"/>
        <w:rPr>
          <w:rFonts w:ascii="Calibri" w:hAnsi="Calibri" w:cs="Calibri"/>
        </w:rPr>
      </w:pPr>
      <w:r w:rsidRPr="002B3130">
        <w:rPr>
          <w:rStyle w:val="FootnoteReference"/>
          <w:rFonts w:ascii="Calibri" w:hAnsi="Calibri" w:cs="Calibri"/>
        </w:rPr>
        <w:footnoteRef/>
      </w:r>
      <w:r w:rsidRPr="002B3130">
        <w:rPr>
          <w:rFonts w:ascii="Calibri" w:hAnsi="Calibri" w:cs="Calibri"/>
        </w:rPr>
        <w:t xml:space="preserve"> </w:t>
      </w:r>
      <w:r w:rsidRPr="002B3130">
        <w:rPr>
          <w:rFonts w:ascii="Calibri" w:hAnsi="Calibri" w:cs="Calibri"/>
          <w:sz w:val="16"/>
          <w:szCs w:val="16"/>
        </w:rPr>
        <w:t>Law Nº6045 establishes the provinc</w:t>
      </w:r>
      <w:r>
        <w:rPr>
          <w:rFonts w:ascii="Calibri" w:hAnsi="Calibri" w:cs="Calibri"/>
          <w:sz w:val="16"/>
          <w:szCs w:val="16"/>
        </w:rPr>
        <w:t>i</w:t>
      </w:r>
      <w:r w:rsidRPr="002B3130">
        <w:rPr>
          <w:rFonts w:ascii="Calibri" w:hAnsi="Calibri" w:cs="Calibri"/>
          <w:sz w:val="16"/>
          <w:szCs w:val="16"/>
        </w:rPr>
        <w:t>al Protected Areas System with the objective of conserving and promoting the province´s natural heritage in a manner compatible with production and tourism in accordance with sustainable development standards and integrated into the Provincial Land Use Planning Plan. The law establishes a Permanent Protected Areas Fund which may be funded through several sources</w:t>
      </w:r>
      <w:r>
        <w:rPr>
          <w:rFonts w:ascii="Calibri" w:hAnsi="Calibri" w:cs="Calibri"/>
          <w:sz w:val="16"/>
          <w:szCs w:val="16"/>
        </w:rPr>
        <w:t>,</w:t>
      </w:r>
      <w:r w:rsidRPr="002B3130">
        <w:rPr>
          <w:rFonts w:ascii="Calibri" w:hAnsi="Calibri" w:cs="Calibri"/>
          <w:sz w:val="16"/>
          <w:szCs w:val="16"/>
        </w:rPr>
        <w:t xml:space="preserve"> e.g.</w:t>
      </w:r>
      <w:r>
        <w:rPr>
          <w:rFonts w:ascii="Calibri" w:hAnsi="Calibri" w:cs="Calibri"/>
          <w:sz w:val="16"/>
          <w:szCs w:val="16"/>
        </w:rPr>
        <w:t>,</w:t>
      </w:r>
      <w:r w:rsidRPr="002B3130">
        <w:rPr>
          <w:rFonts w:ascii="Calibri" w:hAnsi="Calibri" w:cs="Calibri"/>
          <w:sz w:val="16"/>
          <w:szCs w:val="16"/>
        </w:rPr>
        <w:t xml:space="preserve"> provincial budget, fines, donations, fees.</w:t>
      </w:r>
      <w:r w:rsidRPr="002B3130">
        <w:rPr>
          <w:rFonts w:ascii="Calibri" w:hAnsi="Calibri" w:cs="Calibri"/>
        </w:rPr>
        <w:t xml:space="preserve"> </w:t>
      </w:r>
    </w:p>
  </w:footnote>
  <w:footnote w:id="65">
    <w:p w14:paraId="02B9847C" w14:textId="77777777" w:rsidR="00A925EE" w:rsidRPr="002B3130" w:rsidRDefault="00A925EE" w:rsidP="00E145BD">
      <w:pPr>
        <w:pStyle w:val="FootnoteText"/>
        <w:rPr>
          <w:rFonts w:ascii="Calibri" w:hAnsi="Calibri" w:cs="Calibri"/>
        </w:rPr>
      </w:pPr>
      <w:r w:rsidRPr="002B3130">
        <w:rPr>
          <w:rStyle w:val="FootnoteReference"/>
          <w:rFonts w:ascii="Calibri" w:hAnsi="Calibri" w:cs="Calibri"/>
        </w:rPr>
        <w:footnoteRef/>
      </w:r>
      <w:r w:rsidRPr="002B3130">
        <w:rPr>
          <w:rFonts w:ascii="Calibri" w:hAnsi="Calibri" w:cs="Calibri"/>
        </w:rPr>
        <w:t xml:space="preserve"> </w:t>
      </w:r>
      <w:r w:rsidRPr="002B3130">
        <w:rPr>
          <w:rFonts w:ascii="Calibri" w:hAnsi="Calibri" w:cs="Calibri"/>
          <w:sz w:val="16"/>
          <w:szCs w:val="16"/>
        </w:rPr>
        <w:t>The provincial government currently does not request the private sector to present an EIA since there are no soil management criteria to undertake an assessment.</w:t>
      </w:r>
    </w:p>
  </w:footnote>
  <w:footnote w:id="66">
    <w:p w14:paraId="221C3E19" w14:textId="77777777" w:rsidR="00A925EE" w:rsidRPr="002B3130" w:rsidRDefault="00A925EE" w:rsidP="00E145BD">
      <w:pPr>
        <w:pStyle w:val="FootnoteText"/>
        <w:rPr>
          <w:rFonts w:ascii="Calibri" w:hAnsi="Calibri" w:cs="Calibri"/>
        </w:rPr>
      </w:pPr>
      <w:r w:rsidRPr="002B3130">
        <w:rPr>
          <w:rStyle w:val="FootnoteReference"/>
          <w:rFonts w:ascii="Calibri" w:hAnsi="Calibri" w:cs="Calibri"/>
        </w:rPr>
        <w:footnoteRef/>
      </w:r>
      <w:r w:rsidRPr="002B3130">
        <w:rPr>
          <w:rFonts w:ascii="Calibri" w:hAnsi="Calibri" w:cs="Calibri"/>
        </w:rPr>
        <w:t xml:space="preserve"> </w:t>
      </w:r>
      <w:r w:rsidRPr="002B3130">
        <w:rPr>
          <w:rFonts w:ascii="Calibri" w:hAnsi="Calibri" w:cs="Calibri"/>
          <w:sz w:val="16"/>
          <w:szCs w:val="16"/>
        </w:rPr>
        <w:t>Under the law, non-reimbursable funds are granted to family producers who do not have conditions to access and return loans, to finance projects addressing recovery of sheep production.</w:t>
      </w:r>
    </w:p>
  </w:footnote>
  <w:footnote w:id="67">
    <w:p w14:paraId="30870FA4" w14:textId="77777777" w:rsidR="00A925EE" w:rsidRPr="002B3130" w:rsidRDefault="00A925EE" w:rsidP="00E145BD">
      <w:pPr>
        <w:pStyle w:val="FootnoteText"/>
        <w:rPr>
          <w:rFonts w:ascii="Calibri" w:hAnsi="Calibri" w:cs="Calibri"/>
        </w:rPr>
      </w:pPr>
      <w:r w:rsidRPr="002B3130">
        <w:rPr>
          <w:rStyle w:val="FootnoteReference"/>
          <w:rFonts w:ascii="Calibri" w:hAnsi="Calibri" w:cs="Calibri"/>
        </w:rPr>
        <w:footnoteRef/>
      </w:r>
      <w:r w:rsidRPr="002B3130">
        <w:rPr>
          <w:rFonts w:ascii="Calibri" w:hAnsi="Calibri" w:cs="Calibri"/>
        </w:rPr>
        <w:t xml:space="preserve"> </w:t>
      </w:r>
      <w:r w:rsidRPr="002B3130">
        <w:rPr>
          <w:rFonts w:ascii="Calibri" w:hAnsi="Calibri" w:cs="Calibri"/>
          <w:sz w:val="16"/>
          <w:szCs w:val="16"/>
        </w:rPr>
        <w:t>PRODECCA benefits farmer and indigenous families whose main income relies on goat production. Objectives include promoting inclusion of family farmers, indigenous communities, women and youth; improving integration of goat producers in value chains; and promoting and facilitating dialogue between productive stakeholders.</w:t>
      </w:r>
    </w:p>
  </w:footnote>
  <w:footnote w:id="68">
    <w:p w14:paraId="486FC6CB" w14:textId="77777777" w:rsidR="00A925EE" w:rsidRPr="002B3130" w:rsidRDefault="00A925EE" w:rsidP="00E145BD">
      <w:pPr>
        <w:pStyle w:val="FootnoteText"/>
        <w:rPr>
          <w:rFonts w:ascii="Calibri" w:hAnsi="Calibri" w:cs="Calibri"/>
        </w:rPr>
      </w:pPr>
      <w:r w:rsidRPr="002B3130">
        <w:rPr>
          <w:rStyle w:val="FootnoteReference"/>
          <w:rFonts w:ascii="Calibri" w:hAnsi="Calibri" w:cs="Calibri"/>
        </w:rPr>
        <w:footnoteRef/>
      </w:r>
      <w:r w:rsidRPr="002B3130">
        <w:rPr>
          <w:rFonts w:ascii="Calibri" w:hAnsi="Calibri" w:cs="Calibri"/>
        </w:rPr>
        <w:t xml:space="preserve"> </w:t>
      </w:r>
      <w:r w:rsidRPr="002B3130">
        <w:rPr>
          <w:rFonts w:ascii="Calibri" w:hAnsi="Calibri" w:cs="Calibri"/>
          <w:sz w:val="16"/>
          <w:szCs w:val="16"/>
        </w:rPr>
        <w:t>A participatory land use planning exercise was undertaken by INTA in the Santa Rita stream basin in the Yungas ecoregion that comprised land zoning according to potentialities, limitations and characteristics, and the population´s development objectives and expectations. Participatory planning was undertaken through local roundtables with a high level of citizen participation.</w:t>
      </w:r>
    </w:p>
  </w:footnote>
  <w:footnote w:id="69">
    <w:p w14:paraId="032A26C7" w14:textId="153D1B2A" w:rsidR="00A925EE" w:rsidRPr="002B3130" w:rsidRDefault="00A925EE" w:rsidP="00E145BD">
      <w:pPr>
        <w:pStyle w:val="FootnoteText"/>
        <w:rPr>
          <w:rFonts w:ascii="Calibri" w:hAnsi="Calibri" w:cs="Calibri"/>
        </w:rPr>
      </w:pPr>
      <w:r w:rsidRPr="002B3130">
        <w:rPr>
          <w:rStyle w:val="FootnoteReference"/>
          <w:rFonts w:ascii="Calibri" w:hAnsi="Calibri" w:cs="Calibri"/>
        </w:rPr>
        <w:footnoteRef/>
      </w:r>
      <w:r w:rsidRPr="002B3130">
        <w:rPr>
          <w:rFonts w:ascii="Calibri" w:hAnsi="Calibri" w:cs="Calibri"/>
        </w:rPr>
        <w:t xml:space="preserve"> </w:t>
      </w:r>
      <w:r w:rsidRPr="002B3130">
        <w:rPr>
          <w:rFonts w:ascii="Calibri" w:hAnsi="Calibri" w:cs="Calibri"/>
          <w:sz w:val="16"/>
          <w:szCs w:val="16"/>
        </w:rPr>
        <w:t>Law Nº5428 objectives are: a) to promote, organize and develop tourism activities and services; b) promote organized and sustainable growth of tourism; c) promote and stimulate private sector initiative</w:t>
      </w:r>
      <w:r>
        <w:rPr>
          <w:rFonts w:ascii="Calibri" w:hAnsi="Calibri" w:cs="Calibri"/>
          <w:sz w:val="16"/>
          <w:szCs w:val="16"/>
        </w:rPr>
        <w:t>s</w:t>
      </w:r>
      <w:r w:rsidRPr="002B3130">
        <w:rPr>
          <w:rFonts w:ascii="Calibri" w:hAnsi="Calibri" w:cs="Calibri"/>
          <w:sz w:val="16"/>
          <w:szCs w:val="16"/>
        </w:rPr>
        <w:t xml:space="preserve"> in developing tourism infrastructure and services; d) establish basic conditions to promote investment in infrastructure; e) conserve, protect and develop natural and cultural heritage; f) train human resources </w:t>
      </w:r>
      <w:r>
        <w:rPr>
          <w:rFonts w:ascii="Calibri" w:hAnsi="Calibri" w:cs="Calibri"/>
          <w:sz w:val="16"/>
          <w:szCs w:val="16"/>
        </w:rPr>
        <w:t>of the receptive tour operators</w:t>
      </w:r>
      <w:r w:rsidRPr="002B3130">
        <w:rPr>
          <w:rFonts w:ascii="Calibri" w:hAnsi="Calibri" w:cs="Calibri"/>
          <w:sz w:val="16"/>
          <w:szCs w:val="16"/>
        </w:rPr>
        <w:t>; g) incentivize inner tourism in the province.  It includes several incentives</w:t>
      </w:r>
      <w:r>
        <w:rPr>
          <w:rFonts w:ascii="Calibri" w:hAnsi="Calibri" w:cs="Calibri"/>
          <w:sz w:val="16"/>
          <w:szCs w:val="16"/>
        </w:rPr>
        <w:t>.</w:t>
      </w:r>
      <w:r w:rsidRPr="002B3130">
        <w:rPr>
          <w:rFonts w:ascii="Calibri" w:hAnsi="Calibri" w:cs="Calibri"/>
          <w:sz w:val="16"/>
          <w:szCs w:val="16"/>
        </w:rPr>
        <w:t xml:space="preserve"> </w:t>
      </w:r>
    </w:p>
  </w:footnote>
  <w:footnote w:id="70">
    <w:p w14:paraId="031E4948" w14:textId="77777777" w:rsidR="00A925EE" w:rsidRPr="002B3130" w:rsidRDefault="00A925EE" w:rsidP="00E145BD">
      <w:pPr>
        <w:pStyle w:val="FootnoteText"/>
        <w:rPr>
          <w:rFonts w:ascii="Calibri" w:hAnsi="Calibri" w:cs="Calibri"/>
        </w:rPr>
      </w:pPr>
      <w:r w:rsidRPr="002B3130">
        <w:rPr>
          <w:rStyle w:val="FootnoteReference"/>
          <w:rFonts w:ascii="Calibri" w:hAnsi="Calibri" w:cs="Calibri"/>
        </w:rPr>
        <w:footnoteRef/>
      </w:r>
      <w:r w:rsidRPr="002B3130">
        <w:rPr>
          <w:rFonts w:ascii="Calibri" w:hAnsi="Calibri" w:cs="Calibri"/>
        </w:rPr>
        <w:t xml:space="preserve"> </w:t>
      </w:r>
      <w:r w:rsidRPr="002B3130">
        <w:rPr>
          <w:rFonts w:ascii="Calibri" w:hAnsi="Calibri" w:cs="Calibri"/>
          <w:sz w:val="16"/>
          <w:szCs w:val="16"/>
        </w:rPr>
        <w:t>Law Nº 5428 establishes a fund administered by the Tourism and Culture Secretariat of Jujuy. Its objective is to provide financial resources to the tourism sector to finance: a) funding (reimbursable o</w:t>
      </w:r>
      <w:r>
        <w:rPr>
          <w:rFonts w:ascii="Calibri" w:hAnsi="Calibri" w:cs="Calibri"/>
          <w:sz w:val="16"/>
          <w:szCs w:val="16"/>
        </w:rPr>
        <w:t>r</w:t>
      </w:r>
      <w:r w:rsidRPr="002B3130">
        <w:rPr>
          <w:rFonts w:ascii="Calibri" w:hAnsi="Calibri" w:cs="Calibri"/>
          <w:sz w:val="16"/>
          <w:szCs w:val="16"/>
        </w:rPr>
        <w:t xml:space="preserve"> not) to cover interest rates of commercial loans for infrastructure investments; b) programs for tourism promotion; c) caring and preserving the cultural and natural heritage of the province; and d) training programs</w:t>
      </w:r>
      <w:r>
        <w:rPr>
          <w:rFonts w:ascii="Calibri" w:hAnsi="Calibri" w:cs="Calibri"/>
          <w:sz w:val="16"/>
          <w:szCs w:val="16"/>
        </w:rPr>
        <w:t>.</w:t>
      </w:r>
    </w:p>
  </w:footnote>
  <w:footnote w:id="71">
    <w:p w14:paraId="3BEE1059" w14:textId="77777777" w:rsidR="00A925EE" w:rsidRPr="002B3130" w:rsidRDefault="00A925EE" w:rsidP="00E145BD">
      <w:pPr>
        <w:pStyle w:val="FootnoteText"/>
        <w:rPr>
          <w:rFonts w:ascii="Calibri" w:hAnsi="Calibri" w:cs="Calibri"/>
          <w:sz w:val="16"/>
          <w:szCs w:val="16"/>
        </w:rPr>
      </w:pPr>
      <w:r w:rsidRPr="002B3130">
        <w:rPr>
          <w:rStyle w:val="FootnoteReference"/>
          <w:rFonts w:ascii="Calibri" w:hAnsi="Calibri" w:cs="Calibri"/>
        </w:rPr>
        <w:footnoteRef/>
      </w:r>
      <w:r w:rsidRPr="002B3130">
        <w:rPr>
          <w:rFonts w:ascii="Calibri" w:hAnsi="Calibri" w:cs="Calibri"/>
        </w:rPr>
        <w:t xml:space="preserve"> </w:t>
      </w:r>
      <w:r w:rsidRPr="002B3130">
        <w:rPr>
          <w:rFonts w:ascii="Calibri" w:hAnsi="Calibri" w:cs="Calibri"/>
          <w:sz w:val="16"/>
          <w:szCs w:val="16"/>
        </w:rPr>
        <w:t xml:space="preserve">Jujuy </w:t>
      </w:r>
      <w:r>
        <w:rPr>
          <w:rFonts w:ascii="Calibri" w:hAnsi="Calibri" w:cs="Calibri"/>
          <w:sz w:val="16"/>
          <w:szCs w:val="16"/>
        </w:rPr>
        <w:t xml:space="preserve">is </w:t>
      </w:r>
      <w:r w:rsidRPr="002B3130">
        <w:rPr>
          <w:rFonts w:ascii="Calibri" w:hAnsi="Calibri" w:cs="Calibri"/>
          <w:sz w:val="16"/>
          <w:szCs w:val="16"/>
        </w:rPr>
        <w:t>implement</w:t>
      </w:r>
      <w:r>
        <w:rPr>
          <w:rFonts w:ascii="Calibri" w:hAnsi="Calibri" w:cs="Calibri"/>
          <w:sz w:val="16"/>
          <w:szCs w:val="16"/>
        </w:rPr>
        <w:t>ing</w:t>
      </w:r>
      <w:r w:rsidRPr="002B3130">
        <w:rPr>
          <w:rFonts w:ascii="Calibri" w:hAnsi="Calibri" w:cs="Calibri"/>
          <w:sz w:val="16"/>
          <w:szCs w:val="16"/>
        </w:rPr>
        <w:t xml:space="preserve"> Land Use Plans since 2011 to provide access to compensation for forest conservation by landowners. However</w:t>
      </w:r>
      <w:r>
        <w:rPr>
          <w:rFonts w:ascii="Calibri" w:hAnsi="Calibri" w:cs="Calibri"/>
          <w:sz w:val="16"/>
          <w:szCs w:val="16"/>
        </w:rPr>
        <w:t>,</w:t>
      </w:r>
      <w:r w:rsidRPr="002B3130">
        <w:rPr>
          <w:rFonts w:ascii="Calibri" w:hAnsi="Calibri" w:cs="Calibri"/>
          <w:sz w:val="16"/>
          <w:szCs w:val="16"/>
        </w:rPr>
        <w:t xml:space="preserve"> there are several problems: compensation</w:t>
      </w:r>
      <w:r>
        <w:rPr>
          <w:rFonts w:ascii="Calibri" w:hAnsi="Calibri" w:cs="Calibri"/>
          <w:sz w:val="16"/>
          <w:szCs w:val="16"/>
        </w:rPr>
        <w:t xml:space="preserve"> amount</w:t>
      </w:r>
      <w:r w:rsidRPr="002B3130">
        <w:rPr>
          <w:rFonts w:ascii="Calibri" w:hAnsi="Calibri" w:cs="Calibri"/>
          <w:sz w:val="16"/>
          <w:szCs w:val="16"/>
        </w:rPr>
        <w:t>s are too low to cover the investments for forest conservation (e.g.</w:t>
      </w:r>
      <w:r>
        <w:rPr>
          <w:rFonts w:ascii="Calibri" w:hAnsi="Calibri" w:cs="Calibri"/>
          <w:sz w:val="16"/>
          <w:szCs w:val="16"/>
        </w:rPr>
        <w:t>,</w:t>
      </w:r>
      <w:r w:rsidRPr="002B3130">
        <w:rPr>
          <w:rFonts w:ascii="Calibri" w:hAnsi="Calibri" w:cs="Calibri"/>
          <w:sz w:val="16"/>
          <w:szCs w:val="16"/>
        </w:rPr>
        <w:t xml:space="preserve"> fencing around forest reserves); weak capacities of landowners to prepare financial reports; delays in transfer of funds; small landowners lack financial capacity to hire a specialist to prepare a plan.</w:t>
      </w:r>
    </w:p>
  </w:footnote>
  <w:footnote w:id="72">
    <w:p w14:paraId="36F5F1DB" w14:textId="75A3E5FC" w:rsidR="00A925EE" w:rsidRPr="001029E1" w:rsidRDefault="00A925EE" w:rsidP="00E145BD">
      <w:pPr>
        <w:spacing w:after="0"/>
        <w:rPr>
          <w:rFonts w:eastAsia="Times New Roman" w:cs="Calibri"/>
          <w:sz w:val="16"/>
          <w:szCs w:val="16"/>
          <w:shd w:val="clear" w:color="auto" w:fill="FFFFFF"/>
          <w:lang w:eastAsia="es-ES_tradnl"/>
        </w:rPr>
      </w:pPr>
      <w:r w:rsidRPr="002B3130">
        <w:rPr>
          <w:rStyle w:val="FootnoteReference"/>
          <w:rFonts w:ascii="Calibri" w:hAnsi="Calibri" w:cs="Calibri"/>
        </w:rPr>
        <w:footnoteRef/>
      </w:r>
      <w:r w:rsidRPr="002B3130">
        <w:rPr>
          <w:rFonts w:cs="Calibri"/>
        </w:rPr>
        <w:t xml:space="preserve"> </w:t>
      </w:r>
      <w:r w:rsidRPr="001029E1">
        <w:rPr>
          <w:rFonts w:eastAsia="Times New Roman" w:cs="Calibri"/>
          <w:sz w:val="16"/>
          <w:szCs w:val="16"/>
          <w:shd w:val="clear" w:color="auto" w:fill="FFFFFF"/>
          <w:lang w:eastAsia="es-ES_tradnl"/>
        </w:rPr>
        <w:t>The plan's objective is to contribute within the framework of the Native Forest Law to the sustainable use of native forests as an alternative to land-use change. This inter-agency initiative (MAGyP and SAyDS) suggests that livestock activities in areas of native forests can be incorporated into the productive matrix fulfilling ecological, economic and social sustainability criteria</w:t>
      </w:r>
      <w:r w:rsidRPr="002B3130">
        <w:rPr>
          <w:rFonts w:eastAsia="Times New Roman" w:cs="Calibri"/>
          <w:color w:val="333333"/>
          <w:sz w:val="16"/>
          <w:szCs w:val="16"/>
          <w:shd w:val="clear" w:color="auto" w:fill="FFFFFF"/>
          <w:lang w:eastAsia="es-ES_tradnl"/>
        </w:rPr>
        <w:t>.</w:t>
      </w:r>
      <w:r>
        <w:rPr>
          <w:rFonts w:eastAsia="Times New Roman" w:cs="Calibri"/>
          <w:color w:val="333333"/>
          <w:sz w:val="16"/>
          <w:szCs w:val="16"/>
          <w:shd w:val="clear" w:color="auto" w:fill="FFFFFF"/>
          <w:lang w:eastAsia="es-ES_tradnl"/>
        </w:rPr>
        <w:t xml:space="preserve"> </w:t>
      </w:r>
    </w:p>
  </w:footnote>
  <w:footnote w:id="73">
    <w:p w14:paraId="144C345B" w14:textId="77777777" w:rsidR="00A925EE" w:rsidRPr="002B3130" w:rsidRDefault="00A925EE" w:rsidP="00E145BD">
      <w:pPr>
        <w:spacing w:after="0"/>
        <w:rPr>
          <w:rFonts w:cs="Calibri"/>
          <w:bCs/>
          <w:sz w:val="16"/>
          <w:szCs w:val="16"/>
        </w:rPr>
      </w:pPr>
      <w:r w:rsidRPr="002B3130">
        <w:rPr>
          <w:rStyle w:val="FootnoteReference"/>
          <w:rFonts w:ascii="Calibri" w:hAnsi="Calibri" w:cs="Calibri"/>
        </w:rPr>
        <w:footnoteRef/>
      </w:r>
      <w:r w:rsidRPr="002B3130">
        <w:rPr>
          <w:rFonts w:cs="Calibri"/>
        </w:rPr>
        <w:t xml:space="preserve"> </w:t>
      </w:r>
      <w:r w:rsidRPr="002B3130">
        <w:rPr>
          <w:rFonts w:cs="Calibri"/>
          <w:bCs/>
          <w:sz w:val="16"/>
          <w:szCs w:val="16"/>
        </w:rPr>
        <w:t>PROCODAS provides financing of projects addressing technologies for social inclusion in the areas of: social economy; family agriculture; habitat; and disabilities.</w:t>
      </w:r>
    </w:p>
  </w:footnote>
  <w:footnote w:id="74">
    <w:p w14:paraId="4A8139B6" w14:textId="77777777" w:rsidR="00A925EE" w:rsidRPr="002B3130" w:rsidRDefault="00A925EE" w:rsidP="00E145BD">
      <w:pPr>
        <w:pStyle w:val="FootnoteText"/>
        <w:rPr>
          <w:rFonts w:ascii="Calibri" w:hAnsi="Calibri" w:cs="Calibri"/>
          <w:sz w:val="16"/>
          <w:szCs w:val="16"/>
        </w:rPr>
      </w:pPr>
      <w:r w:rsidRPr="002B3130">
        <w:rPr>
          <w:rStyle w:val="FootnoteReference"/>
          <w:rFonts w:ascii="Calibri" w:hAnsi="Calibri" w:cs="Calibri"/>
        </w:rPr>
        <w:footnoteRef/>
      </w:r>
      <w:r w:rsidRPr="002B3130">
        <w:rPr>
          <w:rFonts w:ascii="Calibri" w:hAnsi="Calibri" w:cs="Calibri"/>
        </w:rPr>
        <w:t xml:space="preserve"> </w:t>
      </w:r>
      <w:r w:rsidRPr="002B3130">
        <w:rPr>
          <w:rFonts w:ascii="Calibri" w:hAnsi="Calibri" w:cs="Calibri"/>
          <w:sz w:val="16"/>
          <w:szCs w:val="16"/>
        </w:rPr>
        <w:t xml:space="preserve">PRODERI´s objectives are to support Family Agriculture and family farmers to incorporate technology and increase production, participate in markets and value chains; promote partnerships between economic actors for better market access; finance investments and working capital; generate employment opportunities and improve income of women, youth and rural employees; and strengthen cooperatives and organizations. </w:t>
      </w:r>
    </w:p>
  </w:footnote>
  <w:footnote w:id="75">
    <w:p w14:paraId="5A8FCCDD" w14:textId="77777777" w:rsidR="00A925EE" w:rsidRPr="002B3130" w:rsidRDefault="00A925EE" w:rsidP="00E145BD">
      <w:pPr>
        <w:spacing w:after="0"/>
        <w:rPr>
          <w:rFonts w:cs="Calibri"/>
          <w:bCs/>
          <w:sz w:val="16"/>
          <w:szCs w:val="16"/>
        </w:rPr>
      </w:pPr>
      <w:r w:rsidRPr="002B3130">
        <w:rPr>
          <w:rStyle w:val="FootnoteReference"/>
          <w:rFonts w:ascii="Calibri" w:hAnsi="Calibri" w:cs="Calibri"/>
        </w:rPr>
        <w:footnoteRef/>
      </w:r>
      <w:r w:rsidRPr="002B3130">
        <w:rPr>
          <w:rFonts w:cs="Calibri"/>
        </w:rPr>
        <w:t xml:space="preserve"> </w:t>
      </w:r>
      <w:r w:rsidRPr="002B3130">
        <w:rPr>
          <w:rFonts w:cs="Calibri"/>
          <w:bCs/>
          <w:sz w:val="16"/>
          <w:szCs w:val="16"/>
        </w:rPr>
        <w:t>PRODEAR aims at contributing to social and productive cohesion and inclusion of the rural sector and creating conditions for the sustainable development of rural areas. Specific objectives include territorial development through social and gender equality; incorporating youth into productive activities; preserving the environment; and support to indigenous peoples respecting their culture.</w:t>
      </w:r>
    </w:p>
  </w:footnote>
  <w:footnote w:id="76">
    <w:p w14:paraId="59B31AA4" w14:textId="77777777" w:rsidR="00A925EE" w:rsidRPr="002B3130" w:rsidRDefault="00A925EE" w:rsidP="00E145BD">
      <w:pPr>
        <w:pStyle w:val="NormalWeb"/>
        <w:spacing w:before="0" w:beforeAutospacing="0" w:after="0" w:afterAutospacing="0"/>
        <w:rPr>
          <w:rFonts w:ascii="Calibri" w:hAnsi="Calibri" w:cs="Calibri"/>
          <w:sz w:val="16"/>
          <w:szCs w:val="16"/>
        </w:rPr>
      </w:pPr>
      <w:r w:rsidRPr="002B3130">
        <w:rPr>
          <w:rStyle w:val="FootnoteReference"/>
          <w:rFonts w:ascii="Calibri" w:hAnsi="Calibri" w:cs="Calibri"/>
          <w:sz w:val="20"/>
          <w:szCs w:val="20"/>
        </w:rPr>
        <w:footnoteRef/>
      </w:r>
      <w:r w:rsidRPr="002B3130">
        <w:rPr>
          <w:rFonts w:ascii="Calibri" w:hAnsi="Calibri" w:cs="Calibri"/>
        </w:rPr>
        <w:t xml:space="preserve"> </w:t>
      </w:r>
      <w:r w:rsidRPr="002B3130">
        <w:rPr>
          <w:rFonts w:ascii="Calibri" w:hAnsi="Calibri" w:cs="Calibri"/>
          <w:sz w:val="16"/>
          <w:szCs w:val="16"/>
        </w:rPr>
        <w:t xml:space="preserve">In September 2017 Jujuy issued its first green bond in the international stock market (USD 210 million) to finance the construction of the Cauchari solar energy park. Green bonds are securities that raise capital for specific climate or environmental sustainability purposes issued by public or private organizations to invest in projects that reduce carbon emissions. </w:t>
      </w:r>
    </w:p>
  </w:footnote>
  <w:footnote w:id="77">
    <w:p w14:paraId="4711F60C" w14:textId="77777777" w:rsidR="00A925EE" w:rsidRPr="00165609" w:rsidRDefault="00A925EE" w:rsidP="00A35521">
      <w:pPr>
        <w:pStyle w:val="FootnoteText"/>
        <w:jc w:val="left"/>
        <w:rPr>
          <w:rFonts w:ascii="Calibri" w:hAnsi="Calibri"/>
          <w:sz w:val="16"/>
          <w:szCs w:val="16"/>
        </w:rPr>
      </w:pPr>
      <w:r w:rsidRPr="00AD6A9D">
        <w:rPr>
          <w:rStyle w:val="FootnoteReference"/>
          <w:rFonts w:ascii="Calibri" w:hAnsi="Calibri"/>
          <w:szCs w:val="18"/>
        </w:rPr>
        <w:footnoteRef/>
      </w:r>
      <w:r w:rsidRPr="00AD6A9D">
        <w:rPr>
          <w:rFonts w:ascii="Calibri" w:hAnsi="Calibri"/>
          <w:sz w:val="18"/>
          <w:szCs w:val="18"/>
        </w:rPr>
        <w:t xml:space="preserve"> </w:t>
      </w:r>
      <w:r w:rsidRPr="00165609">
        <w:rPr>
          <w:rFonts w:ascii="Calibri" w:hAnsi="Calibri"/>
          <w:sz w:val="16"/>
          <w:szCs w:val="16"/>
        </w:rPr>
        <w:t xml:space="preserve">See </w:t>
      </w:r>
      <w:r w:rsidRPr="00165609">
        <w:rPr>
          <w:rFonts w:ascii="Calibri" w:hAnsi="Calibri" w:cs="Segoe UI"/>
          <w:color w:val="000000"/>
          <w:sz w:val="16"/>
          <w:szCs w:val="16"/>
        </w:rPr>
        <w:t>http://www.undp.org/content/undp/en/home/operations/transparency/information_disclosurepolicy/</w:t>
      </w:r>
    </w:p>
  </w:footnote>
  <w:footnote w:id="78">
    <w:p w14:paraId="1718F67D" w14:textId="77777777" w:rsidR="00A925EE" w:rsidRPr="00AD6A9D" w:rsidRDefault="00A925EE" w:rsidP="00A35521">
      <w:pPr>
        <w:pStyle w:val="FootnoteText"/>
        <w:rPr>
          <w:rFonts w:ascii="Calibri" w:hAnsi="Calibri"/>
          <w:sz w:val="18"/>
          <w:szCs w:val="18"/>
        </w:rPr>
      </w:pPr>
      <w:r w:rsidRPr="00165609">
        <w:rPr>
          <w:rStyle w:val="FootnoteReference"/>
          <w:rFonts w:ascii="Calibri" w:hAnsi="Calibri"/>
          <w:sz w:val="16"/>
          <w:szCs w:val="16"/>
        </w:rPr>
        <w:footnoteRef/>
      </w:r>
      <w:r w:rsidRPr="00165609">
        <w:rPr>
          <w:rFonts w:ascii="Calibri" w:hAnsi="Calibri"/>
          <w:sz w:val="16"/>
          <w:szCs w:val="16"/>
        </w:rPr>
        <w:t xml:space="preserve"> See </w:t>
      </w:r>
      <w:r w:rsidRPr="00165609">
        <w:rPr>
          <w:rFonts w:ascii="Calibri" w:hAnsi="Calibri" w:cs="Segoe UI"/>
          <w:color w:val="000000"/>
          <w:sz w:val="16"/>
          <w:szCs w:val="16"/>
        </w:rPr>
        <w:t>https://www.thegef.org/gef/policies_guidelines</w:t>
      </w:r>
    </w:p>
  </w:footnote>
  <w:footnote w:id="79">
    <w:p w14:paraId="33B4E1DE" w14:textId="77777777" w:rsidR="00A925EE" w:rsidRPr="0003763F" w:rsidRDefault="00A925EE" w:rsidP="00061B53">
      <w:pPr>
        <w:pStyle w:val="FootnoteText"/>
        <w:spacing w:after="0"/>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w:t>
      </w:r>
      <w:hyperlink r:id="rId20" w:history="1">
        <w:r w:rsidRPr="0003763F">
          <w:rPr>
            <w:rStyle w:val="Hyperlink"/>
            <w:rFonts w:ascii="Calibri" w:hAnsi="Calibri" w:cs="Segoe UI"/>
            <w:sz w:val="18"/>
            <w:szCs w:val="18"/>
          </w:rPr>
          <w:t>https://www.thegef.org/gef/policies_guidelines</w:t>
        </w:r>
      </w:hyperlink>
    </w:p>
  </w:footnote>
  <w:footnote w:id="80">
    <w:p w14:paraId="3D49CDED" w14:textId="77777777" w:rsidR="00A925EE" w:rsidRPr="0003763F" w:rsidRDefault="00A925EE" w:rsidP="00061B53">
      <w:pPr>
        <w:pStyle w:val="FootnoteText"/>
        <w:spacing w:after="0"/>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w:t>
      </w:r>
      <w:hyperlink r:id="rId21" w:history="1">
        <w:r w:rsidRPr="0003763F">
          <w:rPr>
            <w:rStyle w:val="Hyperlink"/>
            <w:rFonts w:ascii="Calibri" w:hAnsi="Calibri" w:cs="Segoe UI"/>
            <w:sz w:val="18"/>
            <w:szCs w:val="18"/>
          </w:rPr>
          <w:t>https://www.thegef.org/gef/gef_agencies</w:t>
        </w:r>
      </w:hyperlink>
    </w:p>
  </w:footnote>
  <w:footnote w:id="81">
    <w:p w14:paraId="536DD37D" w14:textId="77777777" w:rsidR="00A925EE" w:rsidRPr="0003763F" w:rsidRDefault="00A925EE">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guidance here:  </w:t>
      </w:r>
      <w:hyperlink r:id="rId22" w:history="1">
        <w:r w:rsidRPr="0003763F">
          <w:rPr>
            <w:rStyle w:val="Hyperlink"/>
            <w:rFonts w:ascii="Calibri" w:hAnsi="Calibri" w:cs="Segoe UI"/>
            <w:sz w:val="18"/>
            <w:szCs w:val="18"/>
          </w:rPr>
          <w:t>https://info.undp.org/global/popp/frm/pages/financial-management-and-execution-modalities.aspx</w:t>
        </w:r>
      </w:hyperlink>
    </w:p>
    <w:p w14:paraId="37574CCF" w14:textId="77777777" w:rsidR="00A925EE" w:rsidRPr="0003763F" w:rsidRDefault="00A925EE">
      <w:pPr>
        <w:pStyle w:val="FootnoteText"/>
        <w:rPr>
          <w:rFonts w:ascii="Calibri" w:hAnsi="Calibri"/>
          <w:sz w:val="18"/>
          <w:szCs w:val="18"/>
        </w:rPr>
      </w:pPr>
    </w:p>
  </w:footnote>
  <w:footnote w:id="82">
    <w:p w14:paraId="2B2A7858" w14:textId="77777777" w:rsidR="00A925EE" w:rsidRPr="0046177D" w:rsidRDefault="00A925EE" w:rsidP="003E3ABA">
      <w:pPr>
        <w:pStyle w:val="FootnoteText"/>
        <w:spacing w:after="0"/>
        <w:rPr>
          <w:rFonts w:ascii="Calibri" w:hAnsi="Calibri" w:cs="Calibri"/>
          <w:sz w:val="18"/>
          <w:szCs w:val="18"/>
        </w:rPr>
      </w:pPr>
      <w:r w:rsidRPr="0046177D">
        <w:rPr>
          <w:rStyle w:val="FootnoteReference"/>
          <w:rFonts w:ascii="Calibri" w:hAnsi="Calibri" w:cs="Calibri"/>
          <w:szCs w:val="18"/>
        </w:rPr>
        <w:footnoteRef/>
      </w:r>
      <w:r w:rsidRPr="0046177D">
        <w:rPr>
          <w:rFonts w:ascii="Calibri" w:hAnsi="Calibri" w:cs="Calibri"/>
          <w:sz w:val="18"/>
          <w:szCs w:val="18"/>
        </w:rPr>
        <w:t xml:space="preserve"> Excluding project team staff time and UNDP staff time and travel expenses</w:t>
      </w:r>
      <w:r>
        <w:rPr>
          <w:rFonts w:ascii="Calibri" w:hAnsi="Calibri" w:cs="Calibri"/>
          <w:sz w:val="18"/>
          <w:szCs w:val="18"/>
        </w:rPr>
        <w:t>.</w:t>
      </w:r>
    </w:p>
  </w:footnote>
  <w:footnote w:id="83">
    <w:p w14:paraId="175784F7" w14:textId="77777777" w:rsidR="00A925EE" w:rsidRPr="00DD767C" w:rsidRDefault="00A925EE" w:rsidP="003E3ABA">
      <w:pPr>
        <w:pStyle w:val="FootnoteText"/>
        <w:spacing w:after="0"/>
        <w:rPr>
          <w:rFonts w:ascii="Calibri" w:hAnsi="Calibri" w:cs="Calibri"/>
          <w:sz w:val="18"/>
          <w:szCs w:val="18"/>
        </w:rPr>
      </w:pPr>
      <w:r w:rsidRPr="00DD767C">
        <w:rPr>
          <w:rStyle w:val="FootnoteReference"/>
          <w:rFonts w:ascii="Calibri" w:hAnsi="Calibri" w:cs="Calibri"/>
          <w:szCs w:val="18"/>
        </w:rPr>
        <w:footnoteRef/>
      </w:r>
      <w:r w:rsidRPr="00DD767C">
        <w:rPr>
          <w:rFonts w:ascii="Calibri" w:hAnsi="Calibri" w:cs="Calibri"/>
          <w:sz w:val="18"/>
          <w:szCs w:val="18"/>
        </w:rPr>
        <w:t xml:space="preserve"> The costs of UNDP </w:t>
      </w:r>
      <w:r>
        <w:rPr>
          <w:rFonts w:ascii="Calibri" w:hAnsi="Calibri" w:cs="Calibri"/>
          <w:sz w:val="18"/>
          <w:szCs w:val="18"/>
        </w:rPr>
        <w:t xml:space="preserve">Country Office </w:t>
      </w:r>
      <w:r w:rsidRPr="00DD767C">
        <w:rPr>
          <w:rFonts w:ascii="Calibri" w:hAnsi="Calibri" w:cs="Calibri"/>
          <w:sz w:val="18"/>
          <w:szCs w:val="18"/>
        </w:rPr>
        <w:t>and UNDP-GEF</w:t>
      </w:r>
      <w:r>
        <w:rPr>
          <w:rFonts w:ascii="Calibri" w:hAnsi="Calibri" w:cs="Calibri"/>
          <w:sz w:val="18"/>
          <w:szCs w:val="18"/>
        </w:rPr>
        <w:t xml:space="preserve"> Unit</w:t>
      </w:r>
      <w:r w:rsidRPr="00DD767C">
        <w:rPr>
          <w:rFonts w:ascii="Calibri" w:hAnsi="Calibri" w:cs="Calibri"/>
          <w:sz w:val="18"/>
          <w:szCs w:val="18"/>
        </w:rPr>
        <w:t xml:space="preserve">’s participation </w:t>
      </w:r>
      <w:r>
        <w:rPr>
          <w:rFonts w:ascii="Calibri" w:hAnsi="Calibri" w:cs="Calibri"/>
          <w:sz w:val="18"/>
          <w:szCs w:val="18"/>
        </w:rPr>
        <w:t xml:space="preserve">and time </w:t>
      </w:r>
      <w:r w:rsidRPr="00DD767C">
        <w:rPr>
          <w:rFonts w:ascii="Calibri" w:hAnsi="Calibri" w:cs="Calibri"/>
          <w:sz w:val="18"/>
          <w:szCs w:val="18"/>
        </w:rPr>
        <w:t>are charged to the</w:t>
      </w:r>
      <w:r>
        <w:rPr>
          <w:rFonts w:ascii="Calibri" w:hAnsi="Calibri" w:cs="Calibri"/>
          <w:sz w:val="18"/>
          <w:szCs w:val="18"/>
        </w:rPr>
        <w:t xml:space="preserve"> GEF Agency</w:t>
      </w:r>
      <w:r w:rsidRPr="00DD767C">
        <w:rPr>
          <w:rFonts w:ascii="Calibri" w:hAnsi="Calibri" w:cs="Calibri"/>
          <w:sz w:val="18"/>
          <w:szCs w:val="18"/>
        </w:rPr>
        <w:t xml:space="preserve"> Fee.</w:t>
      </w:r>
    </w:p>
  </w:footnote>
  <w:footnote w:id="84">
    <w:p w14:paraId="2EFA6C82" w14:textId="7EFEF5E7" w:rsidR="00A925EE" w:rsidRPr="0086687E" w:rsidRDefault="00A925EE">
      <w:pPr>
        <w:pStyle w:val="FootnoteText"/>
        <w:rPr>
          <w:rFonts w:asciiTheme="minorHAnsi" w:hAnsiTheme="minorHAnsi"/>
          <w:sz w:val="16"/>
          <w:szCs w:val="16"/>
        </w:rPr>
      </w:pPr>
      <w:r>
        <w:rPr>
          <w:rStyle w:val="FootnoteReference"/>
        </w:rPr>
        <w:footnoteRef/>
      </w:r>
      <w:r>
        <w:t xml:space="preserve"> </w:t>
      </w:r>
      <w:r w:rsidRPr="0086687E">
        <w:rPr>
          <w:rFonts w:asciiTheme="minorHAnsi" w:hAnsiTheme="minorHAnsi"/>
          <w:sz w:val="16"/>
          <w:szCs w:val="16"/>
        </w:rPr>
        <w:t>Includes fees and travel costs</w:t>
      </w:r>
    </w:p>
  </w:footnote>
  <w:footnote w:id="85">
    <w:p w14:paraId="7594C38E" w14:textId="49358FC9" w:rsidR="00A925EE" w:rsidRPr="006E6826" w:rsidRDefault="00A925EE">
      <w:pPr>
        <w:pStyle w:val="FootnoteText"/>
      </w:pPr>
      <w:r w:rsidRPr="0086687E">
        <w:rPr>
          <w:rStyle w:val="FootnoteReference"/>
          <w:rFonts w:asciiTheme="minorHAnsi" w:hAnsiTheme="minorHAnsi"/>
          <w:sz w:val="16"/>
          <w:szCs w:val="16"/>
        </w:rPr>
        <w:footnoteRef/>
      </w:r>
      <w:r w:rsidRPr="0086687E">
        <w:rPr>
          <w:rFonts w:asciiTheme="minorHAnsi" w:hAnsiTheme="minorHAnsi"/>
          <w:sz w:val="16"/>
          <w:szCs w:val="16"/>
        </w:rPr>
        <w:t xml:space="preserve"> </w:t>
      </w:r>
      <w:r>
        <w:rPr>
          <w:rFonts w:asciiTheme="minorHAnsi" w:hAnsiTheme="minorHAnsi"/>
          <w:sz w:val="16"/>
          <w:szCs w:val="16"/>
        </w:rPr>
        <w:t xml:space="preserve"> </w:t>
      </w:r>
      <w:r w:rsidRPr="0086687E">
        <w:rPr>
          <w:rFonts w:asciiTheme="minorHAnsi" w:hAnsiTheme="minorHAnsi"/>
          <w:sz w:val="16"/>
          <w:szCs w:val="16"/>
        </w:rPr>
        <w:t>Includes fees and travel costs</w:t>
      </w:r>
    </w:p>
  </w:footnote>
  <w:footnote w:id="86">
    <w:p w14:paraId="1394A5AA" w14:textId="77777777" w:rsidR="00A925EE" w:rsidRDefault="00A925EE" w:rsidP="00494749">
      <w:pPr>
        <w:pStyle w:val="FootnoteText"/>
      </w:pPr>
      <w:r w:rsidRPr="00C23420">
        <w:rPr>
          <w:rStyle w:val="FootnoteReference"/>
          <w:rFonts w:ascii="Calibri" w:hAnsi="Calibri"/>
          <w:szCs w:val="18"/>
        </w:rPr>
        <w:footnoteRef/>
      </w:r>
      <w:r w:rsidRPr="00C23420">
        <w:rPr>
          <w:rFonts w:ascii="Calibri" w:hAnsi="Calibri"/>
          <w:sz w:val="18"/>
          <w:szCs w:val="18"/>
        </w:rPr>
        <w:t xml:space="preserve"> </w:t>
      </w:r>
      <w:r w:rsidRPr="00BD0B9E">
        <w:rPr>
          <w:rFonts w:ascii="Calibri" w:hAnsi="Calibri"/>
          <w:sz w:val="16"/>
          <w:szCs w:val="16"/>
        </w:rPr>
        <w:t xml:space="preserve">see  </w:t>
      </w:r>
      <w:hyperlink r:id="rId23" w:history="1">
        <w:r w:rsidRPr="00BD0B9E">
          <w:rPr>
            <w:rStyle w:val="Hyperlink"/>
            <w:rFonts w:ascii="Calibri" w:hAnsi="Calibri"/>
            <w:sz w:val="16"/>
            <w:szCs w:val="16"/>
          </w:rPr>
          <w:t>https://info.undp.org/global/popp/ppm/Pages/Closing-a-Project.aspx</w:t>
        </w:r>
      </w:hyperlink>
    </w:p>
  </w:footnote>
  <w:footnote w:id="87">
    <w:p w14:paraId="48A42B7F" w14:textId="77777777" w:rsidR="00A925EE" w:rsidRPr="00494749" w:rsidRDefault="00A925EE" w:rsidP="00494749">
      <w:pPr>
        <w:jc w:val="left"/>
        <w:rPr>
          <w:sz w:val="18"/>
          <w:szCs w:val="18"/>
        </w:rPr>
      </w:pPr>
      <w:r w:rsidRPr="00494749">
        <w:rPr>
          <w:rStyle w:val="FootnoteReference"/>
          <w:rFonts w:ascii="Calibri" w:hAnsi="Calibri"/>
          <w:szCs w:val="18"/>
        </w:rPr>
        <w:footnoteRef/>
      </w:r>
      <w:r w:rsidRPr="00494749">
        <w:rPr>
          <w:sz w:val="18"/>
          <w:szCs w:val="18"/>
        </w:rPr>
        <w:t xml:space="preserve"> </w:t>
      </w:r>
      <w:r w:rsidRPr="00BD0B9E">
        <w:rPr>
          <w:sz w:val="16"/>
          <w:szCs w:val="16"/>
        </w:rPr>
        <w:t xml:space="preserve">See </w:t>
      </w:r>
      <w:hyperlink r:id="rId24" w:history="1">
        <w:r w:rsidRPr="00BD0B9E">
          <w:rPr>
            <w:rStyle w:val="Hyperlink"/>
            <w:sz w:val="16"/>
            <w:szCs w:val="16"/>
          </w:rPr>
          <w:t>https://popp.undp.org/_layouts/15/WopiFrame.aspx?sourcedoc=/UNDP_POPP_DOCUMENT_LIBRARY/Public/PPM_Project%20Management_Closing.docx&amp;action=default</w:t>
        </w:r>
      </w:hyperlink>
      <w:r w:rsidRPr="00BD0B9E">
        <w:rPr>
          <w:sz w:val="16"/>
          <w:szCs w:val="16"/>
        </w:rPr>
        <w:t>.</w:t>
      </w:r>
      <w:r w:rsidRPr="00494749">
        <w:rPr>
          <w:sz w:val="18"/>
          <w:szCs w:val="18"/>
        </w:rPr>
        <w:t xml:space="preserve"> </w:t>
      </w:r>
    </w:p>
  </w:footnote>
  <w:footnote w:id="88">
    <w:p w14:paraId="4C357AAE" w14:textId="77777777" w:rsidR="00A925EE" w:rsidRDefault="00A925EE" w:rsidP="00494980">
      <w:pPr>
        <w:pStyle w:val="FootnoteText"/>
      </w:pPr>
      <w:r>
        <w:rPr>
          <w:rStyle w:val="FootnoteReference"/>
        </w:rPr>
        <w:footnoteRef/>
      </w:r>
      <w:r>
        <w:t xml:space="preserve"> </w:t>
      </w:r>
      <w:r w:rsidRPr="00D01E60">
        <w:rPr>
          <w:rFonts w:asciiTheme="minorHAnsi" w:hAnsiTheme="minorHAnsi"/>
          <w:sz w:val="16"/>
          <w:szCs w:val="16"/>
        </w:rPr>
        <w:t xml:space="preserve">Prohibited </w:t>
      </w:r>
      <w:r w:rsidRPr="00D01E60">
        <w:rPr>
          <w:rFonts w:asciiTheme="minorHAnsi" w:hAnsiTheme="minorHAnsi"/>
          <w:sz w:val="16"/>
          <w:szCs w:val="16"/>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D01E60">
        <w:rPr>
          <w:rFonts w:asciiTheme="minorHAnsi" w:hAnsiTheme="minorHAnsi"/>
          <w:sz w:val="16"/>
          <w:szCs w:val="16"/>
        </w:rPr>
        <w:t>References to “women and men” or similar is understood to include women and men, boys and girls, and other groups discriminated against based on their gender identities, such as transgender people and transsexuals.</w:t>
      </w:r>
    </w:p>
  </w:footnote>
  <w:footnote w:id="89">
    <w:p w14:paraId="3AB0451F" w14:textId="77777777" w:rsidR="00A925EE" w:rsidRPr="000319DF" w:rsidRDefault="00A925EE" w:rsidP="00494980">
      <w:pPr>
        <w:spacing w:before="60"/>
        <w:rPr>
          <w:sz w:val="18"/>
          <w:szCs w:val="18"/>
        </w:rPr>
      </w:pPr>
      <w:r w:rsidRPr="000319DF">
        <w:rPr>
          <w:vertAlign w:val="superscript"/>
        </w:rPr>
        <w:footnoteRef/>
      </w:r>
      <w:r w:rsidRPr="000319DF">
        <w:rPr>
          <w:sz w:val="18"/>
          <w:szCs w:val="18"/>
        </w:rPr>
        <w:t xml:space="preserve"> </w:t>
      </w:r>
      <w:r w:rsidRPr="00D01E60">
        <w:rPr>
          <w:sz w:val="16"/>
          <w:szCs w:val="16"/>
        </w:rPr>
        <w:t>In regards to CO</w:t>
      </w:r>
      <w:r w:rsidRPr="00D01E60">
        <w:rPr>
          <w:sz w:val="16"/>
          <w:szCs w:val="16"/>
          <w:vertAlign w:val="subscript"/>
        </w:rPr>
        <w:t>2,</w:t>
      </w:r>
      <w:r w:rsidRPr="00D01E60">
        <w:rPr>
          <w:sz w:val="16"/>
          <w:szCs w:val="16"/>
        </w:rPr>
        <w:t xml:space="preserve"> ‘significant emissions’ corresponds generally to more than 25,000 tons per year (from both direct and indirect sources). [The Guidance Note on Climate Change Mitigation and Adaptation provides additional information on GHG emissions.]</w:t>
      </w:r>
    </w:p>
  </w:footnote>
  <w:footnote w:id="90">
    <w:p w14:paraId="17587CEC" w14:textId="77777777" w:rsidR="00A925EE" w:rsidRDefault="00A925EE" w:rsidP="00494980">
      <w:pPr>
        <w:pStyle w:val="FootnoteText"/>
      </w:pPr>
      <w:r>
        <w:rPr>
          <w:rStyle w:val="FootnoteReference"/>
        </w:rPr>
        <w:footnoteRef/>
      </w:r>
      <w:r>
        <w:t xml:space="preserve"> </w:t>
      </w:r>
      <w:r w:rsidRPr="00D01E60">
        <w:rPr>
          <w:rFonts w:asciiTheme="minorHAnsi" w:hAnsiTheme="minorHAnsi"/>
          <w:sz w:val="16"/>
          <w:szCs w:val="16"/>
        </w:rPr>
        <w:t>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 w:id="91">
    <w:p w14:paraId="61EF5048" w14:textId="77777777" w:rsidR="00A925EE" w:rsidRPr="00D46B62" w:rsidRDefault="00A925EE" w:rsidP="00494980">
      <w:pPr>
        <w:pStyle w:val="FootnoteText"/>
        <w:rPr>
          <w:rFonts w:ascii="Calibri" w:hAnsi="Calibri"/>
          <w:sz w:val="16"/>
          <w:szCs w:val="16"/>
        </w:rPr>
      </w:pPr>
      <w:r>
        <w:rPr>
          <w:rStyle w:val="FootnoteReference"/>
        </w:rPr>
        <w:footnoteRef/>
      </w:r>
      <w:r w:rsidRPr="007B0C79">
        <w:t xml:space="preserve"> </w:t>
      </w:r>
      <w:r w:rsidRPr="00D46B62">
        <w:rPr>
          <w:rFonts w:ascii="Calibri" w:hAnsi="Calibri"/>
          <w:sz w:val="16"/>
          <w:szCs w:val="16"/>
        </w:rPr>
        <w:t xml:space="preserve">Argentine Legislation: Support to Aboriginal Communities Law No. 23,302, creating the </w:t>
      </w:r>
      <w:r w:rsidRPr="00D46B62">
        <w:rPr>
          <w:rFonts w:ascii="Calibri" w:hAnsi="Calibri" w:cs="Calibri"/>
          <w:sz w:val="16"/>
          <w:szCs w:val="16"/>
        </w:rPr>
        <w:t>National Indigenous Peoples Institute</w:t>
      </w:r>
      <w:r w:rsidRPr="00D46B62">
        <w:rPr>
          <w:rFonts w:ascii="Calibri" w:hAnsi="Calibri"/>
          <w:sz w:val="16"/>
          <w:szCs w:val="16"/>
        </w:rPr>
        <w:t xml:space="preserve"> (1985) – ILO’s Indigenous and Tribal Peoples Convention (1989). Law No. 24071/92, as ratified in 2001 – Biological Diversity Convention (Article 8(j)) (1992) – Law No. 24,375/94 Granting Constitutional Status (Argentine Constitution Article 75 (17)) (1994) – Law No. 26,160 (2006) providing for a survey of indigenous territories.</w:t>
      </w:r>
    </w:p>
  </w:footnote>
  <w:footnote w:id="92">
    <w:p w14:paraId="34E7D185" w14:textId="77777777" w:rsidR="00A925EE" w:rsidRPr="00D46B62" w:rsidRDefault="00A925EE" w:rsidP="00494980">
      <w:pPr>
        <w:pStyle w:val="FootnoteText"/>
        <w:rPr>
          <w:rFonts w:ascii="Calibri" w:hAnsi="Calibri"/>
          <w:sz w:val="16"/>
          <w:szCs w:val="16"/>
        </w:rPr>
      </w:pPr>
      <w:r w:rsidRPr="00D46B62">
        <w:rPr>
          <w:rStyle w:val="FootnoteReference"/>
          <w:rFonts w:ascii="Calibri" w:hAnsi="Calibri"/>
          <w:sz w:val="16"/>
          <w:szCs w:val="16"/>
        </w:rPr>
        <w:footnoteRef/>
      </w:r>
      <w:r w:rsidRPr="00D46B62">
        <w:rPr>
          <w:rFonts w:ascii="Calibri" w:hAnsi="Calibri"/>
          <w:sz w:val="16"/>
          <w:szCs w:val="16"/>
        </w:rPr>
        <w:t xml:space="preserve"> Argentine Ministry of Justice and Human Rights. </w:t>
      </w:r>
      <w:r w:rsidRPr="00D46B62">
        <w:rPr>
          <w:rFonts w:ascii="Calibri" w:hAnsi="Calibri"/>
          <w:i/>
          <w:sz w:val="16"/>
          <w:szCs w:val="16"/>
          <w:lang w:val="es-AR"/>
        </w:rPr>
        <w:t xml:space="preserve">Derechos de los pueblos indígenas en la Argentina, una compilación </w:t>
      </w:r>
      <w:r w:rsidRPr="00D46B62">
        <w:rPr>
          <w:rFonts w:ascii="Calibri" w:hAnsi="Calibri"/>
          <w:sz w:val="16"/>
          <w:szCs w:val="16"/>
          <w:lang w:val="es-AR"/>
        </w:rPr>
        <w:t>(Rights of Indigenous Peoples of Argentina, a compilation), Sebastián Demicheli Calcagno, Viviana Canet, Leticia Virosta (eds.) – 1</w:t>
      </w:r>
      <w:r w:rsidRPr="00D46B62">
        <w:rPr>
          <w:rFonts w:ascii="Calibri" w:hAnsi="Calibri"/>
          <w:sz w:val="16"/>
          <w:szCs w:val="16"/>
          <w:vertAlign w:val="superscript"/>
          <w:lang w:val="es-AR"/>
        </w:rPr>
        <w:t>st</w:t>
      </w:r>
      <w:r w:rsidRPr="00D46B62">
        <w:rPr>
          <w:rFonts w:ascii="Calibri" w:hAnsi="Calibri"/>
          <w:sz w:val="16"/>
          <w:szCs w:val="16"/>
          <w:lang w:val="es-AR"/>
        </w:rPr>
        <w:t xml:space="preserve"> edition. </w:t>
      </w:r>
      <w:r w:rsidRPr="00D46B62">
        <w:rPr>
          <w:rFonts w:ascii="Calibri" w:hAnsi="Calibri"/>
          <w:sz w:val="16"/>
          <w:szCs w:val="16"/>
        </w:rPr>
        <w:t>Autonomous City of Buenos Aires: Ministry of Justice and Human Rights. Human Rights Secretariat, 2015.</w:t>
      </w:r>
    </w:p>
  </w:footnote>
  <w:footnote w:id="93">
    <w:p w14:paraId="3C5D9C5B" w14:textId="77777777" w:rsidR="00A925EE" w:rsidRPr="00A55929" w:rsidRDefault="00A925EE" w:rsidP="00494980">
      <w:pPr>
        <w:pStyle w:val="FootnoteText"/>
        <w:rPr>
          <w:sz w:val="18"/>
          <w:szCs w:val="18"/>
        </w:rPr>
      </w:pPr>
      <w:r w:rsidRPr="00D46B62">
        <w:rPr>
          <w:rStyle w:val="FootnoteReference"/>
          <w:rFonts w:ascii="Calibri" w:hAnsi="Calibri"/>
          <w:sz w:val="16"/>
          <w:szCs w:val="16"/>
        </w:rPr>
        <w:footnoteRef/>
      </w:r>
      <w:r w:rsidRPr="00D46B62">
        <w:rPr>
          <w:rFonts w:ascii="Calibri" w:hAnsi="Calibri"/>
          <w:sz w:val="16"/>
          <w:szCs w:val="16"/>
        </w:rPr>
        <w:t xml:space="preserve"> See http://www.un.org/esa/socdev/unpfii/documents/DRIPS_es.pdf</w:t>
      </w:r>
    </w:p>
  </w:footnote>
  <w:footnote w:id="94">
    <w:p w14:paraId="6E441C02" w14:textId="77777777" w:rsidR="00A925EE" w:rsidRPr="00D46B62" w:rsidRDefault="00A925EE" w:rsidP="00494980">
      <w:pPr>
        <w:pStyle w:val="FootnoteText"/>
        <w:rPr>
          <w:rFonts w:ascii="Calibri" w:hAnsi="Calibri" w:cs="Calibri"/>
          <w:sz w:val="18"/>
          <w:szCs w:val="18"/>
        </w:rPr>
      </w:pPr>
      <w:r w:rsidRPr="00D46B62">
        <w:rPr>
          <w:rStyle w:val="FootnoteReference"/>
          <w:rFonts w:ascii="Calibri" w:hAnsi="Calibri" w:cs="Calibri"/>
          <w:szCs w:val="18"/>
        </w:rPr>
        <w:footnoteRef/>
      </w:r>
      <w:r w:rsidRPr="00D46B62">
        <w:rPr>
          <w:rFonts w:ascii="Calibri" w:hAnsi="Calibri"/>
          <w:sz w:val="18"/>
          <w:szCs w:val="18"/>
        </w:rPr>
        <w:t xml:space="preserve"> In other communities, formal protocols are in place currently in the Province of Jujuy, namely: “Consultation Protocol of the Departmental Council of Cochinoca Communities, Kolla People”, “Kachi Yupi. Procedure for Consultation and Free, Prior and Informed Consent for the Indigenous Communities of Cuenca De Salinas Grandes and Laguna De Guayatayoc” and the prior consultation procedure for land-use planning of Native Forests in Pueblo Ocloya.</w:t>
      </w:r>
    </w:p>
  </w:footnote>
  <w:footnote w:id="95">
    <w:p w14:paraId="15BB97A3" w14:textId="0D02AB67" w:rsidR="00A925EE" w:rsidRPr="00D46B62" w:rsidRDefault="00A925EE" w:rsidP="00D46B62">
      <w:pPr>
        <w:pStyle w:val="FootnoteText"/>
        <w:rPr>
          <w:rFonts w:ascii="Calibri" w:hAnsi="Calibri" w:cs="Calibri"/>
          <w:sz w:val="18"/>
          <w:szCs w:val="18"/>
        </w:rPr>
      </w:pPr>
      <w:r w:rsidRPr="00D46B62">
        <w:rPr>
          <w:rStyle w:val="FootnoteReference"/>
          <w:rFonts w:ascii="Calibri" w:hAnsi="Calibri" w:cs="Calibri"/>
          <w:szCs w:val="18"/>
        </w:rPr>
        <w:footnoteRef/>
      </w:r>
      <w:r w:rsidRPr="00D46B62">
        <w:rPr>
          <w:rFonts w:ascii="Calibri" w:hAnsi="Calibri" w:cs="Calibri"/>
          <w:sz w:val="18"/>
          <w:szCs w:val="18"/>
        </w:rPr>
        <w:t xml:space="preserve"> </w:t>
      </w:r>
      <w:r w:rsidRPr="00D46B62">
        <w:rPr>
          <w:rFonts w:ascii="Calibri" w:hAnsi="Calibri" w:cs="Calibri"/>
          <w:sz w:val="16"/>
          <w:szCs w:val="16"/>
        </w:rPr>
        <w:t xml:space="preserve">Based on </w:t>
      </w:r>
      <w:r w:rsidRPr="00D46B62">
        <w:rPr>
          <w:rFonts w:ascii="Calibri" w:hAnsi="Calibri" w:cs="Calibri"/>
          <w:color w:val="000000"/>
          <w:sz w:val="16"/>
          <w:szCs w:val="16"/>
        </w:rPr>
        <w:t xml:space="preserve">UNDP’s </w:t>
      </w:r>
      <w:r>
        <w:rPr>
          <w:rFonts w:ascii="Calibri" w:hAnsi="Calibri" w:cs="Calibri"/>
          <w:color w:val="000000"/>
          <w:sz w:val="16"/>
          <w:szCs w:val="16"/>
        </w:rPr>
        <w:t xml:space="preserve">project level Grievance Response Mechanisms guidance, </w:t>
      </w:r>
      <w:r w:rsidRPr="00D46B62">
        <w:rPr>
          <w:rFonts w:ascii="Calibri" w:hAnsi="Calibri" w:cs="Calibri"/>
          <w:color w:val="000000"/>
          <w:sz w:val="16"/>
          <w:szCs w:val="16"/>
        </w:rPr>
        <w:t xml:space="preserve">available at </w:t>
      </w:r>
      <w:hyperlink r:id="rId25" w:history="1">
        <w:r w:rsidRPr="00671378">
          <w:rPr>
            <w:rStyle w:val="Hyperlink"/>
            <w:rFonts w:asciiTheme="minorHAnsi" w:hAnsiTheme="minorHAnsi"/>
            <w:sz w:val="16"/>
            <w:szCs w:val="16"/>
          </w:rPr>
          <w:t>https://info.undp.org/sites/bpps/SES_Toolkit/SES%20Document%20Library/Uploaded%20October%202016/Supplemental%20Guidance_Grievance%20Redress%20Mechanisms.pdf</w:t>
        </w:r>
      </w:hyperlink>
      <w:r w:rsidRPr="00671378">
        <w:rPr>
          <w:rFonts w:asciiTheme="minorHAnsi" w:hAnsiTheme="minorHAnsi"/>
          <w:sz w:val="16"/>
          <w:szCs w:val="16"/>
        </w:rPr>
        <w:t xml:space="preserve"> </w:t>
      </w:r>
    </w:p>
  </w:footnote>
  <w:footnote w:id="96">
    <w:p w14:paraId="58B515D7" w14:textId="77777777" w:rsidR="00A925EE" w:rsidRPr="00D46B62" w:rsidRDefault="00A925EE" w:rsidP="00D46B62">
      <w:pPr>
        <w:pStyle w:val="FootnoteText"/>
        <w:rPr>
          <w:rFonts w:ascii="Calibri" w:hAnsi="Calibri"/>
          <w:sz w:val="16"/>
          <w:szCs w:val="16"/>
        </w:rPr>
      </w:pPr>
      <w:r>
        <w:rPr>
          <w:rStyle w:val="FootnoteReference"/>
        </w:rPr>
        <w:footnoteRef/>
      </w:r>
      <w:r w:rsidRPr="007B0C79">
        <w:t xml:space="preserve"> </w:t>
      </w:r>
      <w:r w:rsidRPr="00D46B62">
        <w:rPr>
          <w:rFonts w:ascii="Calibri" w:hAnsi="Calibri"/>
          <w:sz w:val="16"/>
          <w:szCs w:val="16"/>
        </w:rPr>
        <w:t xml:space="preserve">Argentine Legislation: Support to Aboriginal Communities Law No. 23,302, creating the </w:t>
      </w:r>
      <w:r w:rsidRPr="00D46B62">
        <w:rPr>
          <w:rFonts w:ascii="Calibri" w:hAnsi="Calibri" w:cs="Calibri"/>
          <w:sz w:val="16"/>
          <w:szCs w:val="16"/>
        </w:rPr>
        <w:t>National Indigenous Peoples Institute</w:t>
      </w:r>
      <w:r w:rsidRPr="00D46B62">
        <w:rPr>
          <w:rFonts w:ascii="Calibri" w:hAnsi="Calibri"/>
          <w:sz w:val="16"/>
          <w:szCs w:val="16"/>
        </w:rPr>
        <w:t xml:space="preserve"> (1985) – ILO’s Indigenous and Tribal Peoples Convention (1989). Law No. 24071/92, as ratified in 2001 – Biological Diversity Convention (Article 8(j)) (1992) – Law No. 24,375/94 Granting Constitutional Status (Argentine Constitution Article 75 (17)) (1994) – Law No. 26,160 (2006) providing for a survey of indigenous territories.</w:t>
      </w:r>
    </w:p>
  </w:footnote>
  <w:footnote w:id="97">
    <w:p w14:paraId="3613B9D7" w14:textId="77777777" w:rsidR="00A925EE" w:rsidRPr="00D46B62" w:rsidRDefault="00A925EE" w:rsidP="00D46B62">
      <w:pPr>
        <w:pStyle w:val="FootnoteText"/>
        <w:rPr>
          <w:rFonts w:ascii="Calibri" w:hAnsi="Calibri"/>
          <w:sz w:val="16"/>
          <w:szCs w:val="16"/>
        </w:rPr>
      </w:pPr>
      <w:r w:rsidRPr="00D46B62">
        <w:rPr>
          <w:rStyle w:val="FootnoteReference"/>
          <w:rFonts w:ascii="Calibri" w:hAnsi="Calibri"/>
          <w:sz w:val="16"/>
          <w:szCs w:val="16"/>
        </w:rPr>
        <w:footnoteRef/>
      </w:r>
      <w:r w:rsidRPr="00D46B62">
        <w:rPr>
          <w:rFonts w:ascii="Calibri" w:hAnsi="Calibri"/>
          <w:sz w:val="16"/>
          <w:szCs w:val="16"/>
        </w:rPr>
        <w:t xml:space="preserve"> Argentine Ministry of Justice and Human Rights. </w:t>
      </w:r>
      <w:r w:rsidRPr="00D46B62">
        <w:rPr>
          <w:rFonts w:ascii="Calibri" w:hAnsi="Calibri"/>
          <w:i/>
          <w:sz w:val="16"/>
          <w:szCs w:val="16"/>
          <w:lang w:val="es-AR"/>
        </w:rPr>
        <w:t xml:space="preserve">Derechos de los pueblos indígenas en la Argentina, una compilación </w:t>
      </w:r>
      <w:r w:rsidRPr="00D46B62">
        <w:rPr>
          <w:rFonts w:ascii="Calibri" w:hAnsi="Calibri"/>
          <w:sz w:val="16"/>
          <w:szCs w:val="16"/>
          <w:lang w:val="es-AR"/>
        </w:rPr>
        <w:t>(Rights of Indigenous Peoples of Argentina, a compilation), Sebastián Demicheli Calcagno, Viviana Canet, Leticia Virosta (eds.) – 1</w:t>
      </w:r>
      <w:r w:rsidRPr="00D46B62">
        <w:rPr>
          <w:rFonts w:ascii="Calibri" w:hAnsi="Calibri"/>
          <w:sz w:val="16"/>
          <w:szCs w:val="16"/>
          <w:vertAlign w:val="superscript"/>
          <w:lang w:val="es-AR"/>
        </w:rPr>
        <w:t>st</w:t>
      </w:r>
      <w:r w:rsidRPr="00D46B62">
        <w:rPr>
          <w:rFonts w:ascii="Calibri" w:hAnsi="Calibri"/>
          <w:sz w:val="16"/>
          <w:szCs w:val="16"/>
          <w:lang w:val="es-AR"/>
        </w:rPr>
        <w:t xml:space="preserve"> edition. </w:t>
      </w:r>
      <w:r w:rsidRPr="00D46B62">
        <w:rPr>
          <w:rFonts w:ascii="Calibri" w:hAnsi="Calibri"/>
          <w:sz w:val="16"/>
          <w:szCs w:val="16"/>
        </w:rPr>
        <w:t>Autonomous City of Buenos Aires: Ministry of Justice and Human Rights. Human Rights Secretariat, 2015.</w:t>
      </w:r>
    </w:p>
  </w:footnote>
  <w:footnote w:id="98">
    <w:p w14:paraId="2DCD33B0" w14:textId="77777777" w:rsidR="00A925EE" w:rsidRPr="00A55929" w:rsidRDefault="00A925EE" w:rsidP="00D46B62">
      <w:pPr>
        <w:pStyle w:val="FootnoteText"/>
        <w:rPr>
          <w:sz w:val="18"/>
          <w:szCs w:val="18"/>
        </w:rPr>
      </w:pPr>
      <w:r w:rsidRPr="00D46B62">
        <w:rPr>
          <w:rStyle w:val="FootnoteReference"/>
          <w:rFonts w:ascii="Calibri" w:hAnsi="Calibri"/>
          <w:sz w:val="16"/>
          <w:szCs w:val="16"/>
        </w:rPr>
        <w:footnoteRef/>
      </w:r>
      <w:r w:rsidRPr="00D46B62">
        <w:rPr>
          <w:rFonts w:ascii="Calibri" w:hAnsi="Calibri"/>
          <w:sz w:val="16"/>
          <w:szCs w:val="16"/>
        </w:rPr>
        <w:t xml:space="preserve"> See http://www.un.org/esa/socdev/unpfii/documents/DRIPS_es.pdf</w:t>
      </w:r>
    </w:p>
  </w:footnote>
  <w:footnote w:id="99">
    <w:p w14:paraId="3444C4D3" w14:textId="77777777" w:rsidR="00A925EE" w:rsidRPr="00D46B62" w:rsidRDefault="00A925EE" w:rsidP="00D46B62">
      <w:pPr>
        <w:pStyle w:val="FootnoteText"/>
        <w:rPr>
          <w:rFonts w:ascii="Calibri" w:hAnsi="Calibri" w:cs="Calibri"/>
          <w:sz w:val="18"/>
          <w:szCs w:val="18"/>
        </w:rPr>
      </w:pPr>
      <w:r w:rsidRPr="00D46B62">
        <w:rPr>
          <w:rStyle w:val="FootnoteReference"/>
          <w:rFonts w:ascii="Calibri" w:hAnsi="Calibri" w:cs="Calibri"/>
          <w:szCs w:val="18"/>
        </w:rPr>
        <w:footnoteRef/>
      </w:r>
      <w:r w:rsidRPr="00D46B62">
        <w:rPr>
          <w:rFonts w:ascii="Calibri" w:hAnsi="Calibri"/>
          <w:sz w:val="18"/>
          <w:szCs w:val="18"/>
        </w:rPr>
        <w:t xml:space="preserve"> In other communities, formal protocols are in place currently in the Province of Jujuy, namely: “Consultation Protocol of the Departmental Council of Cochinoca Communities, Kolla People”, “Kachi Yupi. Procedure for Consultation and Free, Prior and Informed Consent for the Indigenous Communities of Cuenca De Salinas Grandes and Laguna De Guayatayoc” and the prior consultation procedure for land-use planning of Native Forests in Pueblo Ocloya.</w:t>
      </w:r>
    </w:p>
  </w:footnote>
  <w:footnote w:id="100">
    <w:p w14:paraId="544BAA8C" w14:textId="77777777" w:rsidR="00A925EE" w:rsidRPr="009A75B1" w:rsidRDefault="00A925EE" w:rsidP="00185105">
      <w:pPr>
        <w:pStyle w:val="FootnoteText"/>
      </w:pPr>
      <w:r>
        <w:rPr>
          <w:rStyle w:val="FootnoteReference"/>
        </w:rPr>
        <w:footnoteRef/>
      </w:r>
      <w:r>
        <w:t xml:space="preserve"> </w:t>
      </w:r>
      <w:r w:rsidRPr="00185105">
        <w:rPr>
          <w:rFonts w:asciiTheme="minorHAnsi" w:hAnsiTheme="minorHAnsi"/>
          <w:sz w:val="16"/>
          <w:szCs w:val="16"/>
        </w:rPr>
        <w:t>The Government of Argentina established in 2016 a National Climate Change Cabinet comprised by 12 ministries which meets regularly to design public policies that include strategies to mitigate greenhouse gas emissions and to provide coordinated responses to the impacts of climate change.  The workplans and results are validated in roundtables with civil society representatives. The roundtables are convened by the Secretariat of Environment and Sustainable Development.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D62140" w14:textId="77777777" w:rsidR="00A925EE" w:rsidRDefault="00A925E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D07625" w14:textId="77777777" w:rsidR="00A925EE" w:rsidRPr="00424365" w:rsidRDefault="00A925EE" w:rsidP="00424365">
    <w:pPr>
      <w:pStyle w:val="Header"/>
      <w:rPr>
        <w:szCs w:val="16"/>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BD0351" w14:textId="77777777" w:rsidR="00A925EE" w:rsidRDefault="00A925E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3"/>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nsid w:val="00000002"/>
    <w:multiLevelType w:val="multilevel"/>
    <w:tmpl w:val="00000002"/>
    <w:name w:val="WW8Num4"/>
    <w:lvl w:ilvl="0">
      <w:start w:val="1"/>
      <w:numFmt w:val="decimal"/>
      <w:lvlText w:val="%1."/>
      <w:lvlJc w:val="left"/>
      <w:pPr>
        <w:tabs>
          <w:tab w:val="num" w:pos="-360"/>
        </w:tabs>
        <w:ind w:left="360" w:hanging="360"/>
      </w:pPr>
      <w:rPr>
        <w:szCs w:val="22"/>
        <w:lang w:val="es-MX"/>
      </w:rPr>
    </w:lvl>
    <w:lvl w:ilvl="1">
      <w:start w:val="1"/>
      <w:numFmt w:val="lowerLetter"/>
      <w:lvlText w:val="%2."/>
      <w:lvlJc w:val="left"/>
      <w:pPr>
        <w:tabs>
          <w:tab w:val="num" w:pos="-360"/>
        </w:tabs>
        <w:ind w:left="1080" w:hanging="360"/>
      </w:pPr>
    </w:lvl>
    <w:lvl w:ilvl="2">
      <w:start w:val="1"/>
      <w:numFmt w:val="lowerRoman"/>
      <w:lvlText w:val="%3."/>
      <w:lvlJc w:val="right"/>
      <w:pPr>
        <w:tabs>
          <w:tab w:val="num" w:pos="-360"/>
        </w:tabs>
        <w:ind w:left="1800" w:hanging="180"/>
      </w:pPr>
    </w:lvl>
    <w:lvl w:ilvl="3">
      <w:start w:val="1"/>
      <w:numFmt w:val="decimal"/>
      <w:lvlText w:val="%4."/>
      <w:lvlJc w:val="left"/>
      <w:pPr>
        <w:tabs>
          <w:tab w:val="num" w:pos="-360"/>
        </w:tabs>
        <w:ind w:left="2520" w:hanging="360"/>
      </w:pPr>
    </w:lvl>
    <w:lvl w:ilvl="4">
      <w:start w:val="1"/>
      <w:numFmt w:val="lowerLetter"/>
      <w:lvlText w:val="%5."/>
      <w:lvlJc w:val="left"/>
      <w:pPr>
        <w:tabs>
          <w:tab w:val="num" w:pos="-360"/>
        </w:tabs>
        <w:ind w:left="3240" w:hanging="360"/>
      </w:pPr>
    </w:lvl>
    <w:lvl w:ilvl="5">
      <w:start w:val="1"/>
      <w:numFmt w:val="lowerRoman"/>
      <w:lvlText w:val="%6."/>
      <w:lvlJc w:val="right"/>
      <w:pPr>
        <w:tabs>
          <w:tab w:val="num" w:pos="-360"/>
        </w:tabs>
        <w:ind w:left="3960" w:hanging="180"/>
      </w:pPr>
    </w:lvl>
    <w:lvl w:ilvl="6">
      <w:start w:val="1"/>
      <w:numFmt w:val="decimal"/>
      <w:lvlText w:val="%7."/>
      <w:lvlJc w:val="left"/>
      <w:pPr>
        <w:tabs>
          <w:tab w:val="num" w:pos="-360"/>
        </w:tabs>
        <w:ind w:left="4680" w:hanging="360"/>
      </w:pPr>
    </w:lvl>
    <w:lvl w:ilvl="7">
      <w:start w:val="1"/>
      <w:numFmt w:val="lowerLetter"/>
      <w:lvlText w:val="%8."/>
      <w:lvlJc w:val="left"/>
      <w:pPr>
        <w:tabs>
          <w:tab w:val="num" w:pos="-360"/>
        </w:tabs>
        <w:ind w:left="5400" w:hanging="360"/>
      </w:pPr>
    </w:lvl>
    <w:lvl w:ilvl="8">
      <w:start w:val="1"/>
      <w:numFmt w:val="lowerRoman"/>
      <w:lvlText w:val="%9."/>
      <w:lvlJc w:val="right"/>
      <w:pPr>
        <w:tabs>
          <w:tab w:val="num" w:pos="-360"/>
        </w:tabs>
        <w:ind w:left="6120" w:hanging="180"/>
      </w:pPr>
    </w:lvl>
  </w:abstractNum>
  <w:abstractNum w:abstractNumId="2">
    <w:nsid w:val="00000003"/>
    <w:multiLevelType w:val="multilevel"/>
    <w:tmpl w:val="00000003"/>
    <w:name w:val="WW8Num5"/>
    <w:lvl w:ilvl="0">
      <w:start w:val="1"/>
      <w:numFmt w:val="decimal"/>
      <w:lvlText w:val="%1."/>
      <w:lvlJc w:val="left"/>
      <w:pPr>
        <w:tabs>
          <w:tab w:val="num" w:pos="0"/>
        </w:tabs>
        <w:ind w:left="720" w:hanging="360"/>
      </w:pPr>
      <w:rPr>
        <w:sz w:val="24"/>
        <w:lang w:val="es-MX"/>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A1C176D"/>
    <w:multiLevelType w:val="hybridMultilevel"/>
    <w:tmpl w:val="8DFA42D2"/>
    <w:lvl w:ilvl="0" w:tplc="040A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AD3682C"/>
    <w:multiLevelType w:val="hybridMultilevel"/>
    <w:tmpl w:val="62688FFA"/>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6">
    <w:nsid w:val="0B3115B5"/>
    <w:multiLevelType w:val="hybridMultilevel"/>
    <w:tmpl w:val="D682B83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nsid w:val="0B637A8F"/>
    <w:multiLevelType w:val="hybridMultilevel"/>
    <w:tmpl w:val="2E828920"/>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8">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0D383CE3"/>
    <w:multiLevelType w:val="hybridMultilevel"/>
    <w:tmpl w:val="3DE28296"/>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1">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11F80A9F"/>
    <w:multiLevelType w:val="hybridMultilevel"/>
    <w:tmpl w:val="38E29C60"/>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3">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14">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3E325F7"/>
    <w:multiLevelType w:val="hybridMultilevel"/>
    <w:tmpl w:val="526EA0E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6">
    <w:nsid w:val="144C5D28"/>
    <w:multiLevelType w:val="hybridMultilevel"/>
    <w:tmpl w:val="0F102620"/>
    <w:lvl w:ilvl="0" w:tplc="F87AF762">
      <w:start w:val="1"/>
      <w:numFmt w:val="decimal"/>
      <w:lvlText w:val="%1."/>
      <w:lvlJc w:val="left"/>
      <w:pPr>
        <w:ind w:left="2160" w:hanging="360"/>
      </w:pPr>
      <w:rPr>
        <w:rFonts w:ascii="Calibri" w:hAnsi="Calibri" w:cs="Calibri" w:hint="default"/>
        <w:b w:val="0"/>
        <w:i w:val="0"/>
        <w:color w:val="auto"/>
        <w:sz w:val="20"/>
        <w:szCs w:val="20"/>
      </w:rPr>
    </w:lvl>
    <w:lvl w:ilvl="1" w:tplc="040A0019" w:tentative="1">
      <w:start w:val="1"/>
      <w:numFmt w:val="lowerLetter"/>
      <w:lvlText w:val="%2."/>
      <w:lvlJc w:val="left"/>
      <w:pPr>
        <w:ind w:left="726" w:hanging="360"/>
      </w:pPr>
    </w:lvl>
    <w:lvl w:ilvl="2" w:tplc="040A001B" w:tentative="1">
      <w:start w:val="1"/>
      <w:numFmt w:val="lowerRoman"/>
      <w:lvlText w:val="%3."/>
      <w:lvlJc w:val="right"/>
      <w:pPr>
        <w:ind w:left="1446" w:hanging="180"/>
      </w:pPr>
    </w:lvl>
    <w:lvl w:ilvl="3" w:tplc="040A000F" w:tentative="1">
      <w:start w:val="1"/>
      <w:numFmt w:val="decimal"/>
      <w:lvlText w:val="%4."/>
      <w:lvlJc w:val="left"/>
      <w:pPr>
        <w:ind w:left="2166" w:hanging="360"/>
      </w:pPr>
    </w:lvl>
    <w:lvl w:ilvl="4" w:tplc="040A0019" w:tentative="1">
      <w:start w:val="1"/>
      <w:numFmt w:val="lowerLetter"/>
      <w:lvlText w:val="%5."/>
      <w:lvlJc w:val="left"/>
      <w:pPr>
        <w:ind w:left="2886" w:hanging="360"/>
      </w:pPr>
    </w:lvl>
    <w:lvl w:ilvl="5" w:tplc="040A001B" w:tentative="1">
      <w:start w:val="1"/>
      <w:numFmt w:val="lowerRoman"/>
      <w:lvlText w:val="%6."/>
      <w:lvlJc w:val="right"/>
      <w:pPr>
        <w:ind w:left="3606" w:hanging="180"/>
      </w:pPr>
    </w:lvl>
    <w:lvl w:ilvl="6" w:tplc="040A000F" w:tentative="1">
      <w:start w:val="1"/>
      <w:numFmt w:val="decimal"/>
      <w:lvlText w:val="%7."/>
      <w:lvlJc w:val="left"/>
      <w:pPr>
        <w:ind w:left="4326" w:hanging="360"/>
      </w:pPr>
    </w:lvl>
    <w:lvl w:ilvl="7" w:tplc="040A0019" w:tentative="1">
      <w:start w:val="1"/>
      <w:numFmt w:val="lowerLetter"/>
      <w:lvlText w:val="%8."/>
      <w:lvlJc w:val="left"/>
      <w:pPr>
        <w:ind w:left="5046" w:hanging="360"/>
      </w:pPr>
    </w:lvl>
    <w:lvl w:ilvl="8" w:tplc="040A001B" w:tentative="1">
      <w:start w:val="1"/>
      <w:numFmt w:val="lowerRoman"/>
      <w:lvlText w:val="%9."/>
      <w:lvlJc w:val="right"/>
      <w:pPr>
        <w:ind w:left="5766" w:hanging="180"/>
      </w:pPr>
    </w:lvl>
  </w:abstractNum>
  <w:abstractNum w:abstractNumId="17">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nsid w:val="164B66F5"/>
    <w:multiLevelType w:val="hybridMultilevel"/>
    <w:tmpl w:val="251E7074"/>
    <w:lvl w:ilvl="0" w:tplc="340A0001">
      <w:start w:val="1"/>
      <w:numFmt w:val="bullet"/>
      <w:lvlText w:val=""/>
      <w:lvlJc w:val="left"/>
      <w:pPr>
        <w:tabs>
          <w:tab w:val="num" w:pos="360"/>
        </w:tabs>
        <w:ind w:left="360" w:hanging="360"/>
      </w:pPr>
      <w:rPr>
        <w:rFonts w:ascii="Symbol" w:hAnsi="Symbol" w:hint="default"/>
      </w:rPr>
    </w:lvl>
    <w:lvl w:ilvl="1" w:tplc="340A0003" w:tentative="1">
      <w:start w:val="1"/>
      <w:numFmt w:val="bullet"/>
      <w:lvlText w:val="o"/>
      <w:lvlJc w:val="left"/>
      <w:pPr>
        <w:tabs>
          <w:tab w:val="num" w:pos="1080"/>
        </w:tabs>
        <w:ind w:left="1080" w:hanging="360"/>
      </w:pPr>
      <w:rPr>
        <w:rFonts w:ascii="Courier New" w:hAnsi="Courier New" w:cs="Symbol" w:hint="default"/>
      </w:rPr>
    </w:lvl>
    <w:lvl w:ilvl="2" w:tplc="340A0005" w:tentative="1">
      <w:start w:val="1"/>
      <w:numFmt w:val="bullet"/>
      <w:lvlText w:val=""/>
      <w:lvlJc w:val="left"/>
      <w:pPr>
        <w:tabs>
          <w:tab w:val="num" w:pos="1800"/>
        </w:tabs>
        <w:ind w:left="1800" w:hanging="360"/>
      </w:pPr>
      <w:rPr>
        <w:rFonts w:ascii="Wingdings" w:hAnsi="Wingdings" w:hint="default"/>
      </w:rPr>
    </w:lvl>
    <w:lvl w:ilvl="3" w:tplc="340A0001" w:tentative="1">
      <w:start w:val="1"/>
      <w:numFmt w:val="bullet"/>
      <w:lvlText w:val=""/>
      <w:lvlJc w:val="left"/>
      <w:pPr>
        <w:tabs>
          <w:tab w:val="num" w:pos="2520"/>
        </w:tabs>
        <w:ind w:left="2520" w:hanging="360"/>
      </w:pPr>
      <w:rPr>
        <w:rFonts w:ascii="Symbol" w:hAnsi="Symbol" w:hint="default"/>
      </w:rPr>
    </w:lvl>
    <w:lvl w:ilvl="4" w:tplc="340A0003" w:tentative="1">
      <w:start w:val="1"/>
      <w:numFmt w:val="bullet"/>
      <w:lvlText w:val="o"/>
      <w:lvlJc w:val="left"/>
      <w:pPr>
        <w:tabs>
          <w:tab w:val="num" w:pos="3240"/>
        </w:tabs>
        <w:ind w:left="3240" w:hanging="360"/>
      </w:pPr>
      <w:rPr>
        <w:rFonts w:ascii="Courier New" w:hAnsi="Courier New" w:cs="Symbol" w:hint="default"/>
      </w:rPr>
    </w:lvl>
    <w:lvl w:ilvl="5" w:tplc="340A0005" w:tentative="1">
      <w:start w:val="1"/>
      <w:numFmt w:val="bullet"/>
      <w:lvlText w:val=""/>
      <w:lvlJc w:val="left"/>
      <w:pPr>
        <w:tabs>
          <w:tab w:val="num" w:pos="3960"/>
        </w:tabs>
        <w:ind w:left="3960" w:hanging="360"/>
      </w:pPr>
      <w:rPr>
        <w:rFonts w:ascii="Wingdings" w:hAnsi="Wingdings" w:hint="default"/>
      </w:rPr>
    </w:lvl>
    <w:lvl w:ilvl="6" w:tplc="340A0001" w:tentative="1">
      <w:start w:val="1"/>
      <w:numFmt w:val="bullet"/>
      <w:lvlText w:val=""/>
      <w:lvlJc w:val="left"/>
      <w:pPr>
        <w:tabs>
          <w:tab w:val="num" w:pos="4680"/>
        </w:tabs>
        <w:ind w:left="4680" w:hanging="360"/>
      </w:pPr>
      <w:rPr>
        <w:rFonts w:ascii="Symbol" w:hAnsi="Symbol" w:hint="default"/>
      </w:rPr>
    </w:lvl>
    <w:lvl w:ilvl="7" w:tplc="340A0003" w:tentative="1">
      <w:start w:val="1"/>
      <w:numFmt w:val="bullet"/>
      <w:lvlText w:val="o"/>
      <w:lvlJc w:val="left"/>
      <w:pPr>
        <w:tabs>
          <w:tab w:val="num" w:pos="5400"/>
        </w:tabs>
        <w:ind w:left="5400" w:hanging="360"/>
      </w:pPr>
      <w:rPr>
        <w:rFonts w:ascii="Courier New" w:hAnsi="Courier New" w:cs="Symbol" w:hint="default"/>
      </w:rPr>
    </w:lvl>
    <w:lvl w:ilvl="8" w:tplc="340A0005" w:tentative="1">
      <w:start w:val="1"/>
      <w:numFmt w:val="bullet"/>
      <w:lvlText w:val=""/>
      <w:lvlJc w:val="left"/>
      <w:pPr>
        <w:tabs>
          <w:tab w:val="num" w:pos="6120"/>
        </w:tabs>
        <w:ind w:left="6120" w:hanging="360"/>
      </w:pPr>
      <w:rPr>
        <w:rFonts w:ascii="Wingdings" w:hAnsi="Wingdings" w:hint="default"/>
      </w:rPr>
    </w:lvl>
  </w:abstractNum>
  <w:abstractNum w:abstractNumId="19">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1B2511B7"/>
    <w:multiLevelType w:val="hybridMultilevel"/>
    <w:tmpl w:val="793A27BA"/>
    <w:lvl w:ilvl="0" w:tplc="5F1E9CB6">
      <w:start w:val="2"/>
      <w:numFmt w:val="bullet"/>
      <w:lvlText w:val="-"/>
      <w:lvlJc w:val="left"/>
      <w:pPr>
        <w:ind w:left="360" w:hanging="360"/>
      </w:pPr>
      <w:rPr>
        <w:rFonts w:ascii="Calibri" w:eastAsia="Times New Roman" w:hAnsi="Calibri" w:cs="Calibri"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22">
    <w:nsid w:val="1C203202"/>
    <w:multiLevelType w:val="hybridMultilevel"/>
    <w:tmpl w:val="457C33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1F391839"/>
    <w:multiLevelType w:val="hybridMultilevel"/>
    <w:tmpl w:val="45CC037A"/>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24">
    <w:nsid w:val="1FDB4121"/>
    <w:multiLevelType w:val="hybridMultilevel"/>
    <w:tmpl w:val="BCE66644"/>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2942E30"/>
    <w:multiLevelType w:val="hybridMultilevel"/>
    <w:tmpl w:val="7D2A2AD2"/>
    <w:lvl w:ilvl="0" w:tplc="6ECAA0EE">
      <w:start w:val="1"/>
      <w:numFmt w:val="lowerLetter"/>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6">
    <w:nsid w:val="253B7B0E"/>
    <w:multiLevelType w:val="hybridMultilevel"/>
    <w:tmpl w:val="1C987734"/>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27">
    <w:nsid w:val="26C211F8"/>
    <w:multiLevelType w:val="multilevel"/>
    <w:tmpl w:val="082A8CDA"/>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720" w:hanging="72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080" w:hanging="1080"/>
      </w:pPr>
      <w:rPr>
        <w:rFonts w:hint="default"/>
      </w:rPr>
    </w:lvl>
  </w:abstractNum>
  <w:abstractNum w:abstractNumId="28">
    <w:nsid w:val="2798374A"/>
    <w:multiLevelType w:val="hybridMultilevel"/>
    <w:tmpl w:val="8776541E"/>
    <w:lvl w:ilvl="0" w:tplc="9EBE51BC">
      <w:start w:val="1"/>
      <w:numFmt w:val="bullet"/>
      <w:lvlText w:val=""/>
      <w:lvlJc w:val="left"/>
      <w:pPr>
        <w:tabs>
          <w:tab w:val="num" w:pos="720"/>
        </w:tabs>
        <w:ind w:left="720" w:hanging="360"/>
      </w:pPr>
      <w:rPr>
        <w:rFonts w:ascii="Wingdings 2" w:hAnsi="Wingdings 2" w:hint="default"/>
      </w:rPr>
    </w:lvl>
    <w:lvl w:ilvl="1" w:tplc="2E527F36" w:tentative="1">
      <w:start w:val="1"/>
      <w:numFmt w:val="bullet"/>
      <w:lvlText w:val=""/>
      <w:lvlJc w:val="left"/>
      <w:pPr>
        <w:tabs>
          <w:tab w:val="num" w:pos="1440"/>
        </w:tabs>
        <w:ind w:left="1440" w:hanging="360"/>
      </w:pPr>
      <w:rPr>
        <w:rFonts w:ascii="Wingdings 2" w:hAnsi="Wingdings 2" w:hint="default"/>
      </w:rPr>
    </w:lvl>
    <w:lvl w:ilvl="2" w:tplc="E36E7ADC" w:tentative="1">
      <w:start w:val="1"/>
      <w:numFmt w:val="bullet"/>
      <w:lvlText w:val=""/>
      <w:lvlJc w:val="left"/>
      <w:pPr>
        <w:tabs>
          <w:tab w:val="num" w:pos="2160"/>
        </w:tabs>
        <w:ind w:left="2160" w:hanging="360"/>
      </w:pPr>
      <w:rPr>
        <w:rFonts w:ascii="Wingdings 2" w:hAnsi="Wingdings 2" w:hint="default"/>
      </w:rPr>
    </w:lvl>
    <w:lvl w:ilvl="3" w:tplc="D50E38B0" w:tentative="1">
      <w:start w:val="1"/>
      <w:numFmt w:val="bullet"/>
      <w:lvlText w:val=""/>
      <w:lvlJc w:val="left"/>
      <w:pPr>
        <w:tabs>
          <w:tab w:val="num" w:pos="2880"/>
        </w:tabs>
        <w:ind w:left="2880" w:hanging="360"/>
      </w:pPr>
      <w:rPr>
        <w:rFonts w:ascii="Wingdings 2" w:hAnsi="Wingdings 2" w:hint="default"/>
      </w:rPr>
    </w:lvl>
    <w:lvl w:ilvl="4" w:tplc="18F0067A" w:tentative="1">
      <w:start w:val="1"/>
      <w:numFmt w:val="bullet"/>
      <w:lvlText w:val=""/>
      <w:lvlJc w:val="left"/>
      <w:pPr>
        <w:tabs>
          <w:tab w:val="num" w:pos="3600"/>
        </w:tabs>
        <w:ind w:left="3600" w:hanging="360"/>
      </w:pPr>
      <w:rPr>
        <w:rFonts w:ascii="Wingdings 2" w:hAnsi="Wingdings 2" w:hint="default"/>
      </w:rPr>
    </w:lvl>
    <w:lvl w:ilvl="5" w:tplc="F3743488" w:tentative="1">
      <w:start w:val="1"/>
      <w:numFmt w:val="bullet"/>
      <w:lvlText w:val=""/>
      <w:lvlJc w:val="left"/>
      <w:pPr>
        <w:tabs>
          <w:tab w:val="num" w:pos="4320"/>
        </w:tabs>
        <w:ind w:left="4320" w:hanging="360"/>
      </w:pPr>
      <w:rPr>
        <w:rFonts w:ascii="Wingdings 2" w:hAnsi="Wingdings 2" w:hint="default"/>
      </w:rPr>
    </w:lvl>
    <w:lvl w:ilvl="6" w:tplc="D728DBAA" w:tentative="1">
      <w:start w:val="1"/>
      <w:numFmt w:val="bullet"/>
      <w:lvlText w:val=""/>
      <w:lvlJc w:val="left"/>
      <w:pPr>
        <w:tabs>
          <w:tab w:val="num" w:pos="5040"/>
        </w:tabs>
        <w:ind w:left="5040" w:hanging="360"/>
      </w:pPr>
      <w:rPr>
        <w:rFonts w:ascii="Wingdings 2" w:hAnsi="Wingdings 2" w:hint="default"/>
      </w:rPr>
    </w:lvl>
    <w:lvl w:ilvl="7" w:tplc="A37C3A84" w:tentative="1">
      <w:start w:val="1"/>
      <w:numFmt w:val="bullet"/>
      <w:lvlText w:val=""/>
      <w:lvlJc w:val="left"/>
      <w:pPr>
        <w:tabs>
          <w:tab w:val="num" w:pos="5760"/>
        </w:tabs>
        <w:ind w:left="5760" w:hanging="360"/>
      </w:pPr>
      <w:rPr>
        <w:rFonts w:ascii="Wingdings 2" w:hAnsi="Wingdings 2" w:hint="default"/>
      </w:rPr>
    </w:lvl>
    <w:lvl w:ilvl="8" w:tplc="385CAFBC" w:tentative="1">
      <w:start w:val="1"/>
      <w:numFmt w:val="bullet"/>
      <w:lvlText w:val=""/>
      <w:lvlJc w:val="left"/>
      <w:pPr>
        <w:tabs>
          <w:tab w:val="num" w:pos="6480"/>
        </w:tabs>
        <w:ind w:left="6480" w:hanging="360"/>
      </w:pPr>
      <w:rPr>
        <w:rFonts w:ascii="Wingdings 2" w:hAnsi="Wingdings 2" w:hint="default"/>
      </w:rPr>
    </w:lvl>
  </w:abstractNum>
  <w:abstractNum w:abstractNumId="29">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2E911DBC"/>
    <w:multiLevelType w:val="hybridMultilevel"/>
    <w:tmpl w:val="3D2C336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2">
    <w:nsid w:val="2F755610"/>
    <w:multiLevelType w:val="hybridMultilevel"/>
    <w:tmpl w:val="E016307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311666FC"/>
    <w:multiLevelType w:val="multilevel"/>
    <w:tmpl w:val="4BF461E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4">
    <w:nsid w:val="31C932BD"/>
    <w:multiLevelType w:val="hybridMultilevel"/>
    <w:tmpl w:val="7070E836"/>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35">
    <w:nsid w:val="31CD3475"/>
    <w:multiLevelType w:val="hybridMultilevel"/>
    <w:tmpl w:val="EF622D66"/>
    <w:lvl w:ilvl="0" w:tplc="F87E81D4">
      <w:start w:val="1"/>
      <w:numFmt w:val="bullet"/>
      <w:lvlText w:val=""/>
      <w:lvlJc w:val="left"/>
      <w:pPr>
        <w:ind w:left="720" w:hanging="360"/>
      </w:pPr>
      <w:rPr>
        <w:rFonts w:ascii="Symbol" w:hAnsi="Symbol" w:hint="default"/>
        <w:color w:val="auto"/>
      </w:rPr>
    </w:lvl>
    <w:lvl w:ilvl="1" w:tplc="540A0003">
      <w:start w:val="1"/>
      <w:numFmt w:val="bullet"/>
      <w:lvlText w:val="o"/>
      <w:lvlJc w:val="left"/>
      <w:pPr>
        <w:ind w:left="1440" w:hanging="360"/>
      </w:pPr>
      <w:rPr>
        <w:rFonts w:ascii="Courier New" w:hAnsi="Courier New" w:cs="Courier New" w:hint="default"/>
      </w:rPr>
    </w:lvl>
    <w:lvl w:ilvl="2" w:tplc="540A0005" w:tentative="1">
      <w:start w:val="1"/>
      <w:numFmt w:val="bullet"/>
      <w:lvlText w:val=""/>
      <w:lvlJc w:val="left"/>
      <w:pPr>
        <w:ind w:left="2160" w:hanging="360"/>
      </w:pPr>
      <w:rPr>
        <w:rFonts w:ascii="Wingdings" w:hAnsi="Wingdings" w:hint="default"/>
      </w:rPr>
    </w:lvl>
    <w:lvl w:ilvl="3" w:tplc="540A0001" w:tentative="1">
      <w:start w:val="1"/>
      <w:numFmt w:val="bullet"/>
      <w:lvlText w:val=""/>
      <w:lvlJc w:val="left"/>
      <w:pPr>
        <w:ind w:left="2880" w:hanging="360"/>
      </w:pPr>
      <w:rPr>
        <w:rFonts w:ascii="Symbol" w:hAnsi="Symbol" w:hint="default"/>
      </w:rPr>
    </w:lvl>
    <w:lvl w:ilvl="4" w:tplc="540A0003" w:tentative="1">
      <w:start w:val="1"/>
      <w:numFmt w:val="bullet"/>
      <w:lvlText w:val="o"/>
      <w:lvlJc w:val="left"/>
      <w:pPr>
        <w:ind w:left="3600" w:hanging="360"/>
      </w:pPr>
      <w:rPr>
        <w:rFonts w:ascii="Courier New" w:hAnsi="Courier New" w:cs="Courier New" w:hint="default"/>
      </w:rPr>
    </w:lvl>
    <w:lvl w:ilvl="5" w:tplc="540A0005" w:tentative="1">
      <w:start w:val="1"/>
      <w:numFmt w:val="bullet"/>
      <w:lvlText w:val=""/>
      <w:lvlJc w:val="left"/>
      <w:pPr>
        <w:ind w:left="4320" w:hanging="360"/>
      </w:pPr>
      <w:rPr>
        <w:rFonts w:ascii="Wingdings" w:hAnsi="Wingdings" w:hint="default"/>
      </w:rPr>
    </w:lvl>
    <w:lvl w:ilvl="6" w:tplc="540A0001" w:tentative="1">
      <w:start w:val="1"/>
      <w:numFmt w:val="bullet"/>
      <w:lvlText w:val=""/>
      <w:lvlJc w:val="left"/>
      <w:pPr>
        <w:ind w:left="5040" w:hanging="360"/>
      </w:pPr>
      <w:rPr>
        <w:rFonts w:ascii="Symbol" w:hAnsi="Symbol" w:hint="default"/>
      </w:rPr>
    </w:lvl>
    <w:lvl w:ilvl="7" w:tplc="540A0003" w:tentative="1">
      <w:start w:val="1"/>
      <w:numFmt w:val="bullet"/>
      <w:lvlText w:val="o"/>
      <w:lvlJc w:val="left"/>
      <w:pPr>
        <w:ind w:left="5760" w:hanging="360"/>
      </w:pPr>
      <w:rPr>
        <w:rFonts w:ascii="Courier New" w:hAnsi="Courier New" w:cs="Courier New" w:hint="default"/>
      </w:rPr>
    </w:lvl>
    <w:lvl w:ilvl="8" w:tplc="540A0005" w:tentative="1">
      <w:start w:val="1"/>
      <w:numFmt w:val="bullet"/>
      <w:lvlText w:val=""/>
      <w:lvlJc w:val="left"/>
      <w:pPr>
        <w:ind w:left="6480" w:hanging="360"/>
      </w:pPr>
      <w:rPr>
        <w:rFonts w:ascii="Wingdings" w:hAnsi="Wingdings" w:hint="default"/>
      </w:rPr>
    </w:lvl>
  </w:abstractNum>
  <w:abstractNum w:abstractNumId="36">
    <w:nsid w:val="31F96D1C"/>
    <w:multiLevelType w:val="hybridMultilevel"/>
    <w:tmpl w:val="53B4B1F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5194C89"/>
    <w:multiLevelType w:val="hybridMultilevel"/>
    <w:tmpl w:val="C180C872"/>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38">
    <w:nsid w:val="361A4C89"/>
    <w:multiLevelType w:val="hybridMultilevel"/>
    <w:tmpl w:val="E00481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nsid w:val="383F77A4"/>
    <w:multiLevelType w:val="hybridMultilevel"/>
    <w:tmpl w:val="222E94CE"/>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40">
    <w:nsid w:val="38415E45"/>
    <w:multiLevelType w:val="hybridMultilevel"/>
    <w:tmpl w:val="B44AEC32"/>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41">
    <w:nsid w:val="3B4E5F1E"/>
    <w:multiLevelType w:val="hybridMultilevel"/>
    <w:tmpl w:val="89503E8A"/>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42">
    <w:nsid w:val="3CAA7DE9"/>
    <w:multiLevelType w:val="hybridMultilevel"/>
    <w:tmpl w:val="6158DB0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3">
    <w:nsid w:val="3FA97879"/>
    <w:multiLevelType w:val="hybridMultilevel"/>
    <w:tmpl w:val="37B46E1A"/>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4">
    <w:nsid w:val="421A10D0"/>
    <w:multiLevelType w:val="hybridMultilevel"/>
    <w:tmpl w:val="5D806A40"/>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45">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477046E5"/>
    <w:multiLevelType w:val="hybridMultilevel"/>
    <w:tmpl w:val="DD28D76A"/>
    <w:lvl w:ilvl="0" w:tplc="1C902BA0">
      <w:start w:val="4"/>
      <w:numFmt w:val="bullet"/>
      <w:lvlText w:val="-"/>
      <w:lvlJc w:val="left"/>
      <w:pPr>
        <w:ind w:left="720" w:hanging="360"/>
      </w:pPr>
      <w:rPr>
        <w:rFonts w:ascii="Calibri" w:eastAsia="Times New Roman" w:hAnsi="Calibri" w:cs="Calibr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8">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MS Mincho" w:hAnsi="Arial" w:cs="Times New Roman"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4D142D3C"/>
    <w:multiLevelType w:val="hybridMultilevel"/>
    <w:tmpl w:val="9146A150"/>
    <w:lvl w:ilvl="0" w:tplc="B64E61BA">
      <w:start w:val="1"/>
      <w:numFmt w:val="bullet"/>
      <w:lvlText w:val="-"/>
      <w:lvlJc w:val="left"/>
      <w:pPr>
        <w:ind w:left="360" w:hanging="360"/>
      </w:pPr>
      <w:rPr>
        <w:rFonts w:ascii="Calibri" w:eastAsia="SimSun" w:hAnsi="Calibri" w:cs="Calibri"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52">
    <w:nsid w:val="533011B3"/>
    <w:multiLevelType w:val="hybridMultilevel"/>
    <w:tmpl w:val="6A0492A4"/>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53">
    <w:nsid w:val="5403411B"/>
    <w:multiLevelType w:val="hybridMultilevel"/>
    <w:tmpl w:val="B57857BA"/>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54">
    <w:nsid w:val="54B31DC3"/>
    <w:multiLevelType w:val="hybridMultilevel"/>
    <w:tmpl w:val="38822954"/>
    <w:lvl w:ilvl="0" w:tplc="7B947880">
      <w:start w:val="1"/>
      <w:numFmt w:val="bullet"/>
      <w:lvlText w:val="-"/>
      <w:lvlJc w:val="left"/>
      <w:pPr>
        <w:ind w:left="990" w:hanging="360"/>
      </w:pPr>
      <w:rPr>
        <w:rFonts w:ascii="Calibri" w:eastAsia="SimSun" w:hAnsi="Calibri" w:cs="Calibri"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55">
    <w:nsid w:val="551B37F9"/>
    <w:multiLevelType w:val="hybridMultilevel"/>
    <w:tmpl w:val="13609894"/>
    <w:lvl w:ilvl="0" w:tplc="040A0001">
      <w:start w:val="1"/>
      <w:numFmt w:val="bullet"/>
      <w:lvlText w:val=""/>
      <w:lvlJc w:val="left"/>
      <w:pPr>
        <w:ind w:left="1080" w:hanging="360"/>
      </w:pPr>
      <w:rPr>
        <w:rFonts w:ascii="Symbol" w:hAnsi="Symbol" w:hint="default"/>
      </w:rPr>
    </w:lvl>
    <w:lvl w:ilvl="1" w:tplc="040A0003">
      <w:start w:val="1"/>
      <w:numFmt w:val="bullet"/>
      <w:lvlText w:val="o"/>
      <w:lvlJc w:val="left"/>
      <w:pPr>
        <w:ind w:left="1800" w:hanging="360"/>
      </w:pPr>
      <w:rPr>
        <w:rFonts w:ascii="Courier New" w:hAnsi="Courier New" w:cs="Courier New" w:hint="default"/>
      </w:rPr>
    </w:lvl>
    <w:lvl w:ilvl="2" w:tplc="040A0005" w:tentative="1">
      <w:start w:val="1"/>
      <w:numFmt w:val="bullet"/>
      <w:lvlText w:val=""/>
      <w:lvlJc w:val="left"/>
      <w:pPr>
        <w:ind w:left="2520" w:hanging="360"/>
      </w:pPr>
      <w:rPr>
        <w:rFonts w:ascii="Wingdings" w:hAnsi="Wingdings" w:hint="default"/>
      </w:rPr>
    </w:lvl>
    <w:lvl w:ilvl="3" w:tplc="040A0001" w:tentative="1">
      <w:start w:val="1"/>
      <w:numFmt w:val="bullet"/>
      <w:lvlText w:val=""/>
      <w:lvlJc w:val="left"/>
      <w:pPr>
        <w:ind w:left="3240" w:hanging="360"/>
      </w:pPr>
      <w:rPr>
        <w:rFonts w:ascii="Symbol" w:hAnsi="Symbol" w:hint="default"/>
      </w:rPr>
    </w:lvl>
    <w:lvl w:ilvl="4" w:tplc="040A0003" w:tentative="1">
      <w:start w:val="1"/>
      <w:numFmt w:val="bullet"/>
      <w:lvlText w:val="o"/>
      <w:lvlJc w:val="left"/>
      <w:pPr>
        <w:ind w:left="3960" w:hanging="360"/>
      </w:pPr>
      <w:rPr>
        <w:rFonts w:ascii="Courier New" w:hAnsi="Courier New" w:cs="Courier New" w:hint="default"/>
      </w:rPr>
    </w:lvl>
    <w:lvl w:ilvl="5" w:tplc="040A0005" w:tentative="1">
      <w:start w:val="1"/>
      <w:numFmt w:val="bullet"/>
      <w:lvlText w:val=""/>
      <w:lvlJc w:val="left"/>
      <w:pPr>
        <w:ind w:left="4680" w:hanging="360"/>
      </w:pPr>
      <w:rPr>
        <w:rFonts w:ascii="Wingdings" w:hAnsi="Wingdings" w:hint="default"/>
      </w:rPr>
    </w:lvl>
    <w:lvl w:ilvl="6" w:tplc="040A0001" w:tentative="1">
      <w:start w:val="1"/>
      <w:numFmt w:val="bullet"/>
      <w:lvlText w:val=""/>
      <w:lvlJc w:val="left"/>
      <w:pPr>
        <w:ind w:left="5400" w:hanging="360"/>
      </w:pPr>
      <w:rPr>
        <w:rFonts w:ascii="Symbol" w:hAnsi="Symbol" w:hint="default"/>
      </w:rPr>
    </w:lvl>
    <w:lvl w:ilvl="7" w:tplc="040A0003" w:tentative="1">
      <w:start w:val="1"/>
      <w:numFmt w:val="bullet"/>
      <w:lvlText w:val="o"/>
      <w:lvlJc w:val="left"/>
      <w:pPr>
        <w:ind w:left="6120" w:hanging="360"/>
      </w:pPr>
      <w:rPr>
        <w:rFonts w:ascii="Courier New" w:hAnsi="Courier New" w:cs="Courier New" w:hint="default"/>
      </w:rPr>
    </w:lvl>
    <w:lvl w:ilvl="8" w:tplc="040A0005" w:tentative="1">
      <w:start w:val="1"/>
      <w:numFmt w:val="bullet"/>
      <w:lvlText w:val=""/>
      <w:lvlJc w:val="left"/>
      <w:pPr>
        <w:ind w:left="6840" w:hanging="360"/>
      </w:pPr>
      <w:rPr>
        <w:rFonts w:ascii="Wingdings" w:hAnsi="Wingdings" w:hint="default"/>
      </w:rPr>
    </w:lvl>
  </w:abstractNum>
  <w:abstractNum w:abstractNumId="56">
    <w:nsid w:val="5AAA71C2"/>
    <w:multiLevelType w:val="hybridMultilevel"/>
    <w:tmpl w:val="E5C0AA3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7">
    <w:nsid w:val="5C4E5F7B"/>
    <w:multiLevelType w:val="hybridMultilevel"/>
    <w:tmpl w:val="CC76561C"/>
    <w:lvl w:ilvl="0" w:tplc="9B3026AA">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8">
    <w:nsid w:val="5F3E0CBB"/>
    <w:multiLevelType w:val="hybridMultilevel"/>
    <w:tmpl w:val="1F04365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9">
    <w:nsid w:val="623C5426"/>
    <w:multiLevelType w:val="hybridMultilevel"/>
    <w:tmpl w:val="ED881404"/>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60">
    <w:nsid w:val="647D59AC"/>
    <w:multiLevelType w:val="hybridMultilevel"/>
    <w:tmpl w:val="DC4E60D4"/>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61">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2">
    <w:nsid w:val="669F41C5"/>
    <w:multiLevelType w:val="hybridMultilevel"/>
    <w:tmpl w:val="DC72A076"/>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63">
    <w:nsid w:val="683930D5"/>
    <w:multiLevelType w:val="hybridMultilevel"/>
    <w:tmpl w:val="B2948AD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4">
    <w:nsid w:val="6A755593"/>
    <w:multiLevelType w:val="hybridMultilevel"/>
    <w:tmpl w:val="A942FBEA"/>
    <w:lvl w:ilvl="0" w:tplc="040A0017">
      <w:start w:val="2"/>
      <w:numFmt w:val="lowerLetter"/>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5">
    <w:nsid w:val="6E947560"/>
    <w:multiLevelType w:val="hybridMultilevel"/>
    <w:tmpl w:val="6108CEB8"/>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66">
    <w:nsid w:val="6F4630FD"/>
    <w:multiLevelType w:val="hybridMultilevel"/>
    <w:tmpl w:val="08F4E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7">
    <w:nsid w:val="71AD4594"/>
    <w:multiLevelType w:val="hybridMultilevel"/>
    <w:tmpl w:val="1AF4807C"/>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68">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69">
    <w:nsid w:val="72EB035B"/>
    <w:multiLevelType w:val="hybridMultilevel"/>
    <w:tmpl w:val="CF16F3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0">
    <w:nsid w:val="74081541"/>
    <w:multiLevelType w:val="hybridMultilevel"/>
    <w:tmpl w:val="7B82C1C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Times New Roman"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Times New Roman"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Times New Roman" w:hint="default"/>
      </w:rPr>
    </w:lvl>
    <w:lvl w:ilvl="8" w:tplc="04090005">
      <w:start w:val="1"/>
      <w:numFmt w:val="bullet"/>
      <w:lvlText w:val=""/>
      <w:lvlJc w:val="left"/>
      <w:pPr>
        <w:ind w:left="6120" w:hanging="360"/>
      </w:pPr>
      <w:rPr>
        <w:rFonts w:ascii="Wingdings" w:hAnsi="Wingdings" w:hint="default"/>
      </w:rPr>
    </w:lvl>
  </w:abstractNum>
  <w:abstractNum w:abstractNumId="71">
    <w:nsid w:val="78885DD6"/>
    <w:multiLevelType w:val="hybridMultilevel"/>
    <w:tmpl w:val="B01EE684"/>
    <w:lvl w:ilvl="0" w:tplc="075EEBBC">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2">
    <w:nsid w:val="79E466C4"/>
    <w:multiLevelType w:val="multilevel"/>
    <w:tmpl w:val="2C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3">
    <w:nsid w:val="7BB812E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4">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5">
    <w:nsid w:val="7DCA11BF"/>
    <w:multiLevelType w:val="hybridMultilevel"/>
    <w:tmpl w:val="1E8C55EE"/>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76">
    <w:nsid w:val="7F69289B"/>
    <w:multiLevelType w:val="hybridMultilevel"/>
    <w:tmpl w:val="E9702160"/>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77">
    <w:nsid w:val="7FC16C2C"/>
    <w:multiLevelType w:val="hybridMultilevel"/>
    <w:tmpl w:val="5B3EB07E"/>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num w:numId="1">
    <w:abstractNumId w:val="17"/>
  </w:num>
  <w:num w:numId="2">
    <w:abstractNumId w:val="3"/>
  </w:num>
  <w:num w:numId="3">
    <w:abstractNumId w:val="61"/>
  </w:num>
  <w:num w:numId="4">
    <w:abstractNumId w:val="29"/>
  </w:num>
  <w:num w:numId="5">
    <w:abstractNumId w:val="32"/>
  </w:num>
  <w:num w:numId="6">
    <w:abstractNumId w:val="14"/>
  </w:num>
  <w:num w:numId="7">
    <w:abstractNumId w:val="20"/>
  </w:num>
  <w:num w:numId="8">
    <w:abstractNumId w:val="45"/>
  </w:num>
  <w:num w:numId="9">
    <w:abstractNumId w:val="70"/>
  </w:num>
  <w:num w:numId="10">
    <w:abstractNumId w:val="69"/>
  </w:num>
  <w:num w:numId="11">
    <w:abstractNumId w:val="19"/>
  </w:num>
  <w:num w:numId="12">
    <w:abstractNumId w:val="68"/>
  </w:num>
  <w:num w:numId="13">
    <w:abstractNumId w:val="73"/>
  </w:num>
  <w:num w:numId="14">
    <w:abstractNumId w:val="38"/>
  </w:num>
  <w:num w:numId="15">
    <w:abstractNumId w:val="22"/>
  </w:num>
  <w:num w:numId="16">
    <w:abstractNumId w:val="24"/>
  </w:num>
  <w:num w:numId="17">
    <w:abstractNumId w:val="30"/>
  </w:num>
  <w:num w:numId="18">
    <w:abstractNumId w:val="46"/>
  </w:num>
  <w:num w:numId="19">
    <w:abstractNumId w:val="66"/>
  </w:num>
  <w:num w:numId="20">
    <w:abstractNumId w:val="11"/>
  </w:num>
  <w:num w:numId="21">
    <w:abstractNumId w:val="74"/>
  </w:num>
  <w:num w:numId="22">
    <w:abstractNumId w:val="8"/>
  </w:num>
  <w:num w:numId="23">
    <w:abstractNumId w:val="49"/>
  </w:num>
  <w:num w:numId="24">
    <w:abstractNumId w:val="9"/>
  </w:num>
  <w:num w:numId="25">
    <w:abstractNumId w:val="50"/>
  </w:num>
  <w:num w:numId="26">
    <w:abstractNumId w:val="51"/>
  </w:num>
  <w:num w:numId="27">
    <w:abstractNumId w:val="54"/>
  </w:num>
  <w:num w:numId="28">
    <w:abstractNumId w:val="16"/>
  </w:num>
  <w:num w:numId="29">
    <w:abstractNumId w:val="21"/>
  </w:num>
  <w:num w:numId="30">
    <w:abstractNumId w:val="43"/>
  </w:num>
  <w:num w:numId="31">
    <w:abstractNumId w:val="56"/>
  </w:num>
  <w:num w:numId="32">
    <w:abstractNumId w:val="42"/>
  </w:num>
  <w:num w:numId="33">
    <w:abstractNumId w:val="52"/>
  </w:num>
  <w:num w:numId="34">
    <w:abstractNumId w:val="6"/>
  </w:num>
  <w:num w:numId="35">
    <w:abstractNumId w:val="47"/>
  </w:num>
  <w:num w:numId="36">
    <w:abstractNumId w:val="27"/>
  </w:num>
  <w:num w:numId="37">
    <w:abstractNumId w:val="12"/>
  </w:num>
  <w:num w:numId="38">
    <w:abstractNumId w:val="67"/>
  </w:num>
  <w:num w:numId="39">
    <w:abstractNumId w:val="53"/>
  </w:num>
  <w:num w:numId="40">
    <w:abstractNumId w:val="64"/>
  </w:num>
  <w:num w:numId="41">
    <w:abstractNumId w:val="39"/>
  </w:num>
  <w:num w:numId="42">
    <w:abstractNumId w:val="63"/>
  </w:num>
  <w:num w:numId="43">
    <w:abstractNumId w:val="41"/>
  </w:num>
  <w:num w:numId="44">
    <w:abstractNumId w:val="44"/>
  </w:num>
  <w:num w:numId="45">
    <w:abstractNumId w:val="7"/>
  </w:num>
  <w:num w:numId="46">
    <w:abstractNumId w:val="34"/>
  </w:num>
  <w:num w:numId="47">
    <w:abstractNumId w:val="5"/>
  </w:num>
  <w:num w:numId="48">
    <w:abstractNumId w:val="18"/>
  </w:num>
  <w:num w:numId="49">
    <w:abstractNumId w:val="59"/>
  </w:num>
  <w:num w:numId="50">
    <w:abstractNumId w:val="31"/>
  </w:num>
  <w:num w:numId="51">
    <w:abstractNumId w:val="71"/>
  </w:num>
  <w:num w:numId="52">
    <w:abstractNumId w:val="62"/>
  </w:num>
  <w:num w:numId="53">
    <w:abstractNumId w:val="4"/>
  </w:num>
  <w:num w:numId="54">
    <w:abstractNumId w:val="65"/>
  </w:num>
  <w:num w:numId="55">
    <w:abstractNumId w:val="15"/>
  </w:num>
  <w:num w:numId="56">
    <w:abstractNumId w:val="33"/>
  </w:num>
  <w:num w:numId="57">
    <w:abstractNumId w:val="37"/>
  </w:num>
  <w:num w:numId="58">
    <w:abstractNumId w:val="58"/>
  </w:num>
  <w:num w:numId="59">
    <w:abstractNumId w:val="60"/>
  </w:num>
  <w:num w:numId="60">
    <w:abstractNumId w:val="55"/>
  </w:num>
  <w:num w:numId="61">
    <w:abstractNumId w:val="72"/>
  </w:num>
  <w:num w:numId="62">
    <w:abstractNumId w:val="28"/>
  </w:num>
  <w:num w:numId="63">
    <w:abstractNumId w:val="35"/>
  </w:num>
  <w:num w:numId="64">
    <w:abstractNumId w:val="25"/>
  </w:num>
  <w:num w:numId="65">
    <w:abstractNumId w:val="23"/>
  </w:num>
  <w:num w:numId="66">
    <w:abstractNumId w:val="40"/>
  </w:num>
  <w:num w:numId="67">
    <w:abstractNumId w:val="77"/>
  </w:num>
  <w:num w:numId="68">
    <w:abstractNumId w:val="26"/>
  </w:num>
  <w:num w:numId="69">
    <w:abstractNumId w:val="75"/>
  </w:num>
  <w:num w:numId="70">
    <w:abstractNumId w:val="76"/>
  </w:num>
  <w:num w:numId="71">
    <w:abstractNumId w:val="10"/>
  </w:num>
  <w:num w:numId="72">
    <w:abstractNumId w:val="2"/>
  </w:num>
  <w:num w:numId="73">
    <w:abstractNumId w:val="1"/>
  </w:num>
  <w:num w:numId="74">
    <w:abstractNumId w:val="0"/>
  </w:num>
  <w:num w:numId="75">
    <w:abstractNumId w:val="48"/>
  </w:num>
  <w:num w:numId="76">
    <w:abstractNumId w:val="13"/>
  </w:num>
  <w:num w:numId="77">
    <w:abstractNumId w:val="57"/>
  </w:num>
  <w:num w:numId="78">
    <w:abstractNumId w:val="36"/>
  </w:num>
  <w:numIdMacAtCleanup w:val="7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110"/>
  <w:displayHorizontalDrawingGridEvery w:val="2"/>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1FF7"/>
    <w:rsid w:val="00000CA8"/>
    <w:rsid w:val="00000F2B"/>
    <w:rsid w:val="00001433"/>
    <w:rsid w:val="00001D86"/>
    <w:rsid w:val="0000278F"/>
    <w:rsid w:val="00002A5F"/>
    <w:rsid w:val="00002AA4"/>
    <w:rsid w:val="00002CC1"/>
    <w:rsid w:val="00002CE3"/>
    <w:rsid w:val="00002FE5"/>
    <w:rsid w:val="0000316E"/>
    <w:rsid w:val="00003C72"/>
    <w:rsid w:val="00004157"/>
    <w:rsid w:val="00005125"/>
    <w:rsid w:val="00005456"/>
    <w:rsid w:val="000057AA"/>
    <w:rsid w:val="00005845"/>
    <w:rsid w:val="0000586A"/>
    <w:rsid w:val="00005D48"/>
    <w:rsid w:val="0000683B"/>
    <w:rsid w:val="00006CE1"/>
    <w:rsid w:val="000075A3"/>
    <w:rsid w:val="000077F2"/>
    <w:rsid w:val="00007B01"/>
    <w:rsid w:val="000101B0"/>
    <w:rsid w:val="000104DB"/>
    <w:rsid w:val="000107D3"/>
    <w:rsid w:val="0001093E"/>
    <w:rsid w:val="00010E68"/>
    <w:rsid w:val="0001134C"/>
    <w:rsid w:val="0001168F"/>
    <w:rsid w:val="00011815"/>
    <w:rsid w:val="00011819"/>
    <w:rsid w:val="00011D28"/>
    <w:rsid w:val="000122EA"/>
    <w:rsid w:val="000125B2"/>
    <w:rsid w:val="0001270A"/>
    <w:rsid w:val="000131D9"/>
    <w:rsid w:val="00013523"/>
    <w:rsid w:val="00013ADE"/>
    <w:rsid w:val="00014B18"/>
    <w:rsid w:val="00015653"/>
    <w:rsid w:val="00015860"/>
    <w:rsid w:val="00015B6A"/>
    <w:rsid w:val="00016649"/>
    <w:rsid w:val="000177F6"/>
    <w:rsid w:val="00017BFE"/>
    <w:rsid w:val="00017D90"/>
    <w:rsid w:val="000205AF"/>
    <w:rsid w:val="00020AA0"/>
    <w:rsid w:val="00021004"/>
    <w:rsid w:val="00021132"/>
    <w:rsid w:val="00021238"/>
    <w:rsid w:val="000217F5"/>
    <w:rsid w:val="00021B90"/>
    <w:rsid w:val="00021EA3"/>
    <w:rsid w:val="00022114"/>
    <w:rsid w:val="00022401"/>
    <w:rsid w:val="0002252F"/>
    <w:rsid w:val="000225BF"/>
    <w:rsid w:val="00022DE9"/>
    <w:rsid w:val="000230A3"/>
    <w:rsid w:val="00023435"/>
    <w:rsid w:val="000234A8"/>
    <w:rsid w:val="00023A76"/>
    <w:rsid w:val="00023C29"/>
    <w:rsid w:val="00024495"/>
    <w:rsid w:val="0002489D"/>
    <w:rsid w:val="000248C3"/>
    <w:rsid w:val="00024C87"/>
    <w:rsid w:val="00025012"/>
    <w:rsid w:val="0002530B"/>
    <w:rsid w:val="00025C9A"/>
    <w:rsid w:val="00025E0E"/>
    <w:rsid w:val="00025E57"/>
    <w:rsid w:val="000260FF"/>
    <w:rsid w:val="00026455"/>
    <w:rsid w:val="0002661F"/>
    <w:rsid w:val="000266D2"/>
    <w:rsid w:val="00026EAD"/>
    <w:rsid w:val="00030007"/>
    <w:rsid w:val="0003122B"/>
    <w:rsid w:val="0003123C"/>
    <w:rsid w:val="0003128D"/>
    <w:rsid w:val="00031E16"/>
    <w:rsid w:val="00031E84"/>
    <w:rsid w:val="0003214C"/>
    <w:rsid w:val="00032241"/>
    <w:rsid w:val="00032E37"/>
    <w:rsid w:val="00033869"/>
    <w:rsid w:val="00033EB5"/>
    <w:rsid w:val="00033F65"/>
    <w:rsid w:val="000341EA"/>
    <w:rsid w:val="0003421C"/>
    <w:rsid w:val="00034508"/>
    <w:rsid w:val="000348DE"/>
    <w:rsid w:val="00034B29"/>
    <w:rsid w:val="0003544E"/>
    <w:rsid w:val="00035830"/>
    <w:rsid w:val="00035D96"/>
    <w:rsid w:val="00035FBF"/>
    <w:rsid w:val="0003646E"/>
    <w:rsid w:val="00036804"/>
    <w:rsid w:val="00036A5C"/>
    <w:rsid w:val="00036F60"/>
    <w:rsid w:val="0003763F"/>
    <w:rsid w:val="000377AB"/>
    <w:rsid w:val="00037801"/>
    <w:rsid w:val="0003782E"/>
    <w:rsid w:val="00037A3E"/>
    <w:rsid w:val="00037E21"/>
    <w:rsid w:val="00040511"/>
    <w:rsid w:val="00040B34"/>
    <w:rsid w:val="00040DB2"/>
    <w:rsid w:val="00041684"/>
    <w:rsid w:val="00041B17"/>
    <w:rsid w:val="00041E0C"/>
    <w:rsid w:val="00041FE0"/>
    <w:rsid w:val="00041FEE"/>
    <w:rsid w:val="000421E0"/>
    <w:rsid w:val="00042BB9"/>
    <w:rsid w:val="00043249"/>
    <w:rsid w:val="0004344E"/>
    <w:rsid w:val="00043A4B"/>
    <w:rsid w:val="00044177"/>
    <w:rsid w:val="0004450C"/>
    <w:rsid w:val="000445AD"/>
    <w:rsid w:val="00044654"/>
    <w:rsid w:val="00044655"/>
    <w:rsid w:val="00044B8D"/>
    <w:rsid w:val="00044BD9"/>
    <w:rsid w:val="00044FDD"/>
    <w:rsid w:val="000459A0"/>
    <w:rsid w:val="000461FA"/>
    <w:rsid w:val="000464F1"/>
    <w:rsid w:val="00046804"/>
    <w:rsid w:val="00046B4E"/>
    <w:rsid w:val="00046CF8"/>
    <w:rsid w:val="000477B7"/>
    <w:rsid w:val="00050021"/>
    <w:rsid w:val="000509F3"/>
    <w:rsid w:val="00050D84"/>
    <w:rsid w:val="0005135E"/>
    <w:rsid w:val="0005159D"/>
    <w:rsid w:val="00051A25"/>
    <w:rsid w:val="0005232E"/>
    <w:rsid w:val="00052711"/>
    <w:rsid w:val="00052EF5"/>
    <w:rsid w:val="00053494"/>
    <w:rsid w:val="0005351F"/>
    <w:rsid w:val="00053BC9"/>
    <w:rsid w:val="000540EE"/>
    <w:rsid w:val="00054895"/>
    <w:rsid w:val="000548D9"/>
    <w:rsid w:val="000549A0"/>
    <w:rsid w:val="00054B0C"/>
    <w:rsid w:val="00054EB2"/>
    <w:rsid w:val="0005530F"/>
    <w:rsid w:val="00055372"/>
    <w:rsid w:val="00055478"/>
    <w:rsid w:val="000554AB"/>
    <w:rsid w:val="00055642"/>
    <w:rsid w:val="000556B9"/>
    <w:rsid w:val="000556CB"/>
    <w:rsid w:val="0005571B"/>
    <w:rsid w:val="000557B3"/>
    <w:rsid w:val="00055972"/>
    <w:rsid w:val="00055AC7"/>
    <w:rsid w:val="00055F28"/>
    <w:rsid w:val="00056113"/>
    <w:rsid w:val="000561B8"/>
    <w:rsid w:val="000561E4"/>
    <w:rsid w:val="00056567"/>
    <w:rsid w:val="000565AB"/>
    <w:rsid w:val="00056B16"/>
    <w:rsid w:val="000575CF"/>
    <w:rsid w:val="00057D7D"/>
    <w:rsid w:val="00057E03"/>
    <w:rsid w:val="00057F1E"/>
    <w:rsid w:val="0006004C"/>
    <w:rsid w:val="0006010A"/>
    <w:rsid w:val="0006041E"/>
    <w:rsid w:val="00060D3F"/>
    <w:rsid w:val="00060D9A"/>
    <w:rsid w:val="00060E4F"/>
    <w:rsid w:val="00061536"/>
    <w:rsid w:val="00061B53"/>
    <w:rsid w:val="00061C51"/>
    <w:rsid w:val="00062063"/>
    <w:rsid w:val="00062792"/>
    <w:rsid w:val="00062E78"/>
    <w:rsid w:val="00062E99"/>
    <w:rsid w:val="00063762"/>
    <w:rsid w:val="00063935"/>
    <w:rsid w:val="00063D70"/>
    <w:rsid w:val="00063DD1"/>
    <w:rsid w:val="00063E7C"/>
    <w:rsid w:val="00064914"/>
    <w:rsid w:val="00064A5C"/>
    <w:rsid w:val="00064A64"/>
    <w:rsid w:val="00064BBE"/>
    <w:rsid w:val="00065310"/>
    <w:rsid w:val="000655F6"/>
    <w:rsid w:val="0006562F"/>
    <w:rsid w:val="00065C45"/>
    <w:rsid w:val="00066A40"/>
    <w:rsid w:val="00066A76"/>
    <w:rsid w:val="00066C4E"/>
    <w:rsid w:val="00066FA3"/>
    <w:rsid w:val="00067363"/>
    <w:rsid w:val="0006741E"/>
    <w:rsid w:val="0006793B"/>
    <w:rsid w:val="00067C2A"/>
    <w:rsid w:val="00067FC8"/>
    <w:rsid w:val="00070127"/>
    <w:rsid w:val="000702A6"/>
    <w:rsid w:val="00070B1A"/>
    <w:rsid w:val="00070B60"/>
    <w:rsid w:val="0007137A"/>
    <w:rsid w:val="000715AE"/>
    <w:rsid w:val="00071E3F"/>
    <w:rsid w:val="00071E65"/>
    <w:rsid w:val="00071F11"/>
    <w:rsid w:val="00072227"/>
    <w:rsid w:val="00072768"/>
    <w:rsid w:val="000729D2"/>
    <w:rsid w:val="00072CB3"/>
    <w:rsid w:val="00072DC0"/>
    <w:rsid w:val="000734D7"/>
    <w:rsid w:val="000734E8"/>
    <w:rsid w:val="000734EF"/>
    <w:rsid w:val="000737D4"/>
    <w:rsid w:val="0007404F"/>
    <w:rsid w:val="00074763"/>
    <w:rsid w:val="0007479A"/>
    <w:rsid w:val="000748FE"/>
    <w:rsid w:val="00074B7D"/>
    <w:rsid w:val="00074D27"/>
    <w:rsid w:val="00075056"/>
    <w:rsid w:val="00075100"/>
    <w:rsid w:val="00075324"/>
    <w:rsid w:val="0007591D"/>
    <w:rsid w:val="00075FD8"/>
    <w:rsid w:val="000761BB"/>
    <w:rsid w:val="000761BF"/>
    <w:rsid w:val="000768F3"/>
    <w:rsid w:val="00077232"/>
    <w:rsid w:val="00077367"/>
    <w:rsid w:val="00080343"/>
    <w:rsid w:val="00080BD1"/>
    <w:rsid w:val="00080EAA"/>
    <w:rsid w:val="000816B1"/>
    <w:rsid w:val="00081B5A"/>
    <w:rsid w:val="00081FEB"/>
    <w:rsid w:val="00082028"/>
    <w:rsid w:val="000824AF"/>
    <w:rsid w:val="000824D6"/>
    <w:rsid w:val="00082B33"/>
    <w:rsid w:val="00082B40"/>
    <w:rsid w:val="00082E59"/>
    <w:rsid w:val="0008309A"/>
    <w:rsid w:val="000838BC"/>
    <w:rsid w:val="000841A9"/>
    <w:rsid w:val="000843F3"/>
    <w:rsid w:val="0008470A"/>
    <w:rsid w:val="0008485F"/>
    <w:rsid w:val="00084C30"/>
    <w:rsid w:val="00084E2B"/>
    <w:rsid w:val="00085230"/>
    <w:rsid w:val="0008603D"/>
    <w:rsid w:val="000867F9"/>
    <w:rsid w:val="00086D13"/>
    <w:rsid w:val="00086D18"/>
    <w:rsid w:val="00086F02"/>
    <w:rsid w:val="00086FA9"/>
    <w:rsid w:val="000902FD"/>
    <w:rsid w:val="00090966"/>
    <w:rsid w:val="00090BF9"/>
    <w:rsid w:val="00090CD1"/>
    <w:rsid w:val="00090D3E"/>
    <w:rsid w:val="0009100C"/>
    <w:rsid w:val="0009107D"/>
    <w:rsid w:val="000915CD"/>
    <w:rsid w:val="00091DE7"/>
    <w:rsid w:val="000923DC"/>
    <w:rsid w:val="00092717"/>
    <w:rsid w:val="000938C2"/>
    <w:rsid w:val="000944FE"/>
    <w:rsid w:val="000948E7"/>
    <w:rsid w:val="00094E22"/>
    <w:rsid w:val="00094E53"/>
    <w:rsid w:val="00095885"/>
    <w:rsid w:val="000959A3"/>
    <w:rsid w:val="00096087"/>
    <w:rsid w:val="00096145"/>
    <w:rsid w:val="00096807"/>
    <w:rsid w:val="00096C29"/>
    <w:rsid w:val="00097017"/>
    <w:rsid w:val="000971A7"/>
    <w:rsid w:val="000972F0"/>
    <w:rsid w:val="000973F9"/>
    <w:rsid w:val="00097632"/>
    <w:rsid w:val="00097A1E"/>
    <w:rsid w:val="00097F0F"/>
    <w:rsid w:val="000A024F"/>
    <w:rsid w:val="000A0289"/>
    <w:rsid w:val="000A0830"/>
    <w:rsid w:val="000A08E0"/>
    <w:rsid w:val="000A0B46"/>
    <w:rsid w:val="000A0E18"/>
    <w:rsid w:val="000A0F4C"/>
    <w:rsid w:val="000A1191"/>
    <w:rsid w:val="000A137E"/>
    <w:rsid w:val="000A1533"/>
    <w:rsid w:val="000A15E5"/>
    <w:rsid w:val="000A20A2"/>
    <w:rsid w:val="000A21B8"/>
    <w:rsid w:val="000A2C62"/>
    <w:rsid w:val="000A2F7D"/>
    <w:rsid w:val="000A308B"/>
    <w:rsid w:val="000A340C"/>
    <w:rsid w:val="000A3778"/>
    <w:rsid w:val="000A3FBE"/>
    <w:rsid w:val="000A4287"/>
    <w:rsid w:val="000A44E4"/>
    <w:rsid w:val="000A4779"/>
    <w:rsid w:val="000A47FB"/>
    <w:rsid w:val="000A498F"/>
    <w:rsid w:val="000A4FAE"/>
    <w:rsid w:val="000A5408"/>
    <w:rsid w:val="000A58B2"/>
    <w:rsid w:val="000A5FFD"/>
    <w:rsid w:val="000A60FE"/>
    <w:rsid w:val="000A6186"/>
    <w:rsid w:val="000A61A0"/>
    <w:rsid w:val="000A6583"/>
    <w:rsid w:val="000A6844"/>
    <w:rsid w:val="000A6A7D"/>
    <w:rsid w:val="000A6CEB"/>
    <w:rsid w:val="000A6D37"/>
    <w:rsid w:val="000A6EF8"/>
    <w:rsid w:val="000A7257"/>
    <w:rsid w:val="000A74B2"/>
    <w:rsid w:val="000A78B9"/>
    <w:rsid w:val="000A798A"/>
    <w:rsid w:val="000A7B8A"/>
    <w:rsid w:val="000B023F"/>
    <w:rsid w:val="000B033E"/>
    <w:rsid w:val="000B14C7"/>
    <w:rsid w:val="000B16F0"/>
    <w:rsid w:val="000B1BA8"/>
    <w:rsid w:val="000B1DCC"/>
    <w:rsid w:val="000B1EEB"/>
    <w:rsid w:val="000B1F23"/>
    <w:rsid w:val="000B1F24"/>
    <w:rsid w:val="000B25EF"/>
    <w:rsid w:val="000B36AF"/>
    <w:rsid w:val="000B3A46"/>
    <w:rsid w:val="000B3D4F"/>
    <w:rsid w:val="000B3EFE"/>
    <w:rsid w:val="000B48A6"/>
    <w:rsid w:val="000B4C07"/>
    <w:rsid w:val="000B5072"/>
    <w:rsid w:val="000B508E"/>
    <w:rsid w:val="000B5523"/>
    <w:rsid w:val="000B5696"/>
    <w:rsid w:val="000B5E17"/>
    <w:rsid w:val="000B6775"/>
    <w:rsid w:val="000B69ED"/>
    <w:rsid w:val="000B6A79"/>
    <w:rsid w:val="000B6AFF"/>
    <w:rsid w:val="000B77A3"/>
    <w:rsid w:val="000C0415"/>
    <w:rsid w:val="000C06D6"/>
    <w:rsid w:val="000C156D"/>
    <w:rsid w:val="000C1847"/>
    <w:rsid w:val="000C1D2C"/>
    <w:rsid w:val="000C2509"/>
    <w:rsid w:val="000C2571"/>
    <w:rsid w:val="000C2632"/>
    <w:rsid w:val="000C2746"/>
    <w:rsid w:val="000C27AC"/>
    <w:rsid w:val="000C295E"/>
    <w:rsid w:val="000C352C"/>
    <w:rsid w:val="000C3D1A"/>
    <w:rsid w:val="000C3FF2"/>
    <w:rsid w:val="000C45FE"/>
    <w:rsid w:val="000C498C"/>
    <w:rsid w:val="000C4DDD"/>
    <w:rsid w:val="000C506D"/>
    <w:rsid w:val="000C533E"/>
    <w:rsid w:val="000C53C5"/>
    <w:rsid w:val="000C5C1D"/>
    <w:rsid w:val="000C5F12"/>
    <w:rsid w:val="000C66BF"/>
    <w:rsid w:val="000C6F41"/>
    <w:rsid w:val="000C75E9"/>
    <w:rsid w:val="000C78C6"/>
    <w:rsid w:val="000C792B"/>
    <w:rsid w:val="000D002A"/>
    <w:rsid w:val="000D00F9"/>
    <w:rsid w:val="000D048C"/>
    <w:rsid w:val="000D05BB"/>
    <w:rsid w:val="000D0818"/>
    <w:rsid w:val="000D0ABB"/>
    <w:rsid w:val="000D0CF7"/>
    <w:rsid w:val="000D0FD6"/>
    <w:rsid w:val="000D11EC"/>
    <w:rsid w:val="000D12E7"/>
    <w:rsid w:val="000D1449"/>
    <w:rsid w:val="000D1786"/>
    <w:rsid w:val="000D1E42"/>
    <w:rsid w:val="000D1EE9"/>
    <w:rsid w:val="000D2259"/>
    <w:rsid w:val="000D285B"/>
    <w:rsid w:val="000D2A90"/>
    <w:rsid w:val="000D2DF2"/>
    <w:rsid w:val="000D2E10"/>
    <w:rsid w:val="000D314D"/>
    <w:rsid w:val="000D3449"/>
    <w:rsid w:val="000D3D7D"/>
    <w:rsid w:val="000D43BE"/>
    <w:rsid w:val="000D451E"/>
    <w:rsid w:val="000D45FB"/>
    <w:rsid w:val="000D4E89"/>
    <w:rsid w:val="000D5052"/>
    <w:rsid w:val="000D50F5"/>
    <w:rsid w:val="000D5385"/>
    <w:rsid w:val="000D561A"/>
    <w:rsid w:val="000D5B4E"/>
    <w:rsid w:val="000D6334"/>
    <w:rsid w:val="000D65C1"/>
    <w:rsid w:val="000D6CFB"/>
    <w:rsid w:val="000E06B3"/>
    <w:rsid w:val="000E089B"/>
    <w:rsid w:val="000E0DAD"/>
    <w:rsid w:val="000E0F97"/>
    <w:rsid w:val="000E2363"/>
    <w:rsid w:val="000E2CEB"/>
    <w:rsid w:val="000E3117"/>
    <w:rsid w:val="000E3178"/>
    <w:rsid w:val="000E3C19"/>
    <w:rsid w:val="000E44DB"/>
    <w:rsid w:val="000E46CC"/>
    <w:rsid w:val="000E4993"/>
    <w:rsid w:val="000E506E"/>
    <w:rsid w:val="000E514C"/>
    <w:rsid w:val="000E586B"/>
    <w:rsid w:val="000E5B28"/>
    <w:rsid w:val="000E6178"/>
    <w:rsid w:val="000E6481"/>
    <w:rsid w:val="000E6550"/>
    <w:rsid w:val="000E7618"/>
    <w:rsid w:val="000E7AD0"/>
    <w:rsid w:val="000F0771"/>
    <w:rsid w:val="000F08E2"/>
    <w:rsid w:val="000F0E78"/>
    <w:rsid w:val="000F17C2"/>
    <w:rsid w:val="000F1A04"/>
    <w:rsid w:val="000F225E"/>
    <w:rsid w:val="000F254B"/>
    <w:rsid w:val="000F26E2"/>
    <w:rsid w:val="000F2B73"/>
    <w:rsid w:val="000F2C3A"/>
    <w:rsid w:val="000F3057"/>
    <w:rsid w:val="000F32EE"/>
    <w:rsid w:val="000F3503"/>
    <w:rsid w:val="000F4082"/>
    <w:rsid w:val="000F4475"/>
    <w:rsid w:val="000F458C"/>
    <w:rsid w:val="000F468D"/>
    <w:rsid w:val="000F477E"/>
    <w:rsid w:val="000F4F9F"/>
    <w:rsid w:val="000F51C9"/>
    <w:rsid w:val="000F55A3"/>
    <w:rsid w:val="000F5711"/>
    <w:rsid w:val="000F5920"/>
    <w:rsid w:val="000F5CDD"/>
    <w:rsid w:val="000F5DA6"/>
    <w:rsid w:val="000F6317"/>
    <w:rsid w:val="000F635E"/>
    <w:rsid w:val="000F64F0"/>
    <w:rsid w:val="000F6504"/>
    <w:rsid w:val="000F6944"/>
    <w:rsid w:val="000F6AFE"/>
    <w:rsid w:val="000F70A0"/>
    <w:rsid w:val="000F797F"/>
    <w:rsid w:val="00100819"/>
    <w:rsid w:val="0010116A"/>
    <w:rsid w:val="00101802"/>
    <w:rsid w:val="00101F60"/>
    <w:rsid w:val="00102329"/>
    <w:rsid w:val="001029E1"/>
    <w:rsid w:val="00102C1E"/>
    <w:rsid w:val="001030B5"/>
    <w:rsid w:val="00103CAD"/>
    <w:rsid w:val="00103E01"/>
    <w:rsid w:val="0010416E"/>
    <w:rsid w:val="001047C6"/>
    <w:rsid w:val="00104B11"/>
    <w:rsid w:val="00105A52"/>
    <w:rsid w:val="00105D4D"/>
    <w:rsid w:val="00105EF0"/>
    <w:rsid w:val="001060F5"/>
    <w:rsid w:val="001068EA"/>
    <w:rsid w:val="00106994"/>
    <w:rsid w:val="00106D42"/>
    <w:rsid w:val="001071AE"/>
    <w:rsid w:val="00107472"/>
    <w:rsid w:val="00107D07"/>
    <w:rsid w:val="00107F7C"/>
    <w:rsid w:val="00110171"/>
    <w:rsid w:val="001106D9"/>
    <w:rsid w:val="001107FC"/>
    <w:rsid w:val="00110869"/>
    <w:rsid w:val="001109FC"/>
    <w:rsid w:val="00110B0F"/>
    <w:rsid w:val="00110E53"/>
    <w:rsid w:val="0011122A"/>
    <w:rsid w:val="00111347"/>
    <w:rsid w:val="0011158A"/>
    <w:rsid w:val="00111710"/>
    <w:rsid w:val="00111777"/>
    <w:rsid w:val="00111B30"/>
    <w:rsid w:val="00111B59"/>
    <w:rsid w:val="001123E5"/>
    <w:rsid w:val="0011260C"/>
    <w:rsid w:val="00112F30"/>
    <w:rsid w:val="00113106"/>
    <w:rsid w:val="001134AE"/>
    <w:rsid w:val="00113B22"/>
    <w:rsid w:val="0011459A"/>
    <w:rsid w:val="001149D1"/>
    <w:rsid w:val="00114A71"/>
    <w:rsid w:val="00115B6D"/>
    <w:rsid w:val="00115EED"/>
    <w:rsid w:val="00116683"/>
    <w:rsid w:val="001166C1"/>
    <w:rsid w:val="00116C4C"/>
    <w:rsid w:val="0011725F"/>
    <w:rsid w:val="001175BB"/>
    <w:rsid w:val="00117E23"/>
    <w:rsid w:val="00120135"/>
    <w:rsid w:val="00120344"/>
    <w:rsid w:val="0012047E"/>
    <w:rsid w:val="00120DCD"/>
    <w:rsid w:val="00121376"/>
    <w:rsid w:val="00121DBA"/>
    <w:rsid w:val="00122301"/>
    <w:rsid w:val="00122412"/>
    <w:rsid w:val="0012251D"/>
    <w:rsid w:val="0012277F"/>
    <w:rsid w:val="001227A9"/>
    <w:rsid w:val="0012298E"/>
    <w:rsid w:val="00123324"/>
    <w:rsid w:val="00123568"/>
    <w:rsid w:val="00123B59"/>
    <w:rsid w:val="00123EFB"/>
    <w:rsid w:val="00124080"/>
    <w:rsid w:val="00124EF1"/>
    <w:rsid w:val="001252EE"/>
    <w:rsid w:val="0012547F"/>
    <w:rsid w:val="00125BA3"/>
    <w:rsid w:val="00125E42"/>
    <w:rsid w:val="00126C4F"/>
    <w:rsid w:val="00126D7F"/>
    <w:rsid w:val="00126F7F"/>
    <w:rsid w:val="001274AB"/>
    <w:rsid w:val="00127659"/>
    <w:rsid w:val="00127866"/>
    <w:rsid w:val="00127D0D"/>
    <w:rsid w:val="001304B5"/>
    <w:rsid w:val="00130603"/>
    <w:rsid w:val="0013084B"/>
    <w:rsid w:val="001309D3"/>
    <w:rsid w:val="001310FB"/>
    <w:rsid w:val="00131A2B"/>
    <w:rsid w:val="001328BB"/>
    <w:rsid w:val="00133018"/>
    <w:rsid w:val="00133902"/>
    <w:rsid w:val="00133EA5"/>
    <w:rsid w:val="001348D8"/>
    <w:rsid w:val="00134F15"/>
    <w:rsid w:val="0013523B"/>
    <w:rsid w:val="00135392"/>
    <w:rsid w:val="00135706"/>
    <w:rsid w:val="00136A09"/>
    <w:rsid w:val="00137554"/>
    <w:rsid w:val="0013797D"/>
    <w:rsid w:val="00137AF8"/>
    <w:rsid w:val="00137C16"/>
    <w:rsid w:val="00137F67"/>
    <w:rsid w:val="00140794"/>
    <w:rsid w:val="00140EE1"/>
    <w:rsid w:val="00140FA1"/>
    <w:rsid w:val="001411C6"/>
    <w:rsid w:val="00141B89"/>
    <w:rsid w:val="0014211C"/>
    <w:rsid w:val="00142791"/>
    <w:rsid w:val="00142835"/>
    <w:rsid w:val="00142A0C"/>
    <w:rsid w:val="00142B69"/>
    <w:rsid w:val="00142D7F"/>
    <w:rsid w:val="00142F51"/>
    <w:rsid w:val="00143544"/>
    <w:rsid w:val="00143B00"/>
    <w:rsid w:val="00143B91"/>
    <w:rsid w:val="00143D88"/>
    <w:rsid w:val="00143F97"/>
    <w:rsid w:val="001441A6"/>
    <w:rsid w:val="001443C3"/>
    <w:rsid w:val="001447EB"/>
    <w:rsid w:val="00144B75"/>
    <w:rsid w:val="00144CC2"/>
    <w:rsid w:val="00145010"/>
    <w:rsid w:val="001455F1"/>
    <w:rsid w:val="00145816"/>
    <w:rsid w:val="00146321"/>
    <w:rsid w:val="00146350"/>
    <w:rsid w:val="0014662F"/>
    <w:rsid w:val="0014673C"/>
    <w:rsid w:val="00146BEF"/>
    <w:rsid w:val="00146C58"/>
    <w:rsid w:val="00146D5A"/>
    <w:rsid w:val="00146DAE"/>
    <w:rsid w:val="00147529"/>
    <w:rsid w:val="00147A34"/>
    <w:rsid w:val="0015056C"/>
    <w:rsid w:val="00150C86"/>
    <w:rsid w:val="0015241F"/>
    <w:rsid w:val="00152D55"/>
    <w:rsid w:val="00153156"/>
    <w:rsid w:val="00153794"/>
    <w:rsid w:val="00153DFA"/>
    <w:rsid w:val="00153E02"/>
    <w:rsid w:val="00155034"/>
    <w:rsid w:val="00155458"/>
    <w:rsid w:val="00155610"/>
    <w:rsid w:val="0015568A"/>
    <w:rsid w:val="00155911"/>
    <w:rsid w:val="00155D98"/>
    <w:rsid w:val="0015600E"/>
    <w:rsid w:val="001566BA"/>
    <w:rsid w:val="0015686F"/>
    <w:rsid w:val="00156889"/>
    <w:rsid w:val="00156C3E"/>
    <w:rsid w:val="001571F9"/>
    <w:rsid w:val="0015737E"/>
    <w:rsid w:val="00157CFD"/>
    <w:rsid w:val="00157E85"/>
    <w:rsid w:val="0016045E"/>
    <w:rsid w:val="001608A1"/>
    <w:rsid w:val="00160F58"/>
    <w:rsid w:val="001614E1"/>
    <w:rsid w:val="001617DC"/>
    <w:rsid w:val="00161809"/>
    <w:rsid w:val="0016180B"/>
    <w:rsid w:val="00161F04"/>
    <w:rsid w:val="00161F22"/>
    <w:rsid w:val="00162560"/>
    <w:rsid w:val="001625D0"/>
    <w:rsid w:val="00162B97"/>
    <w:rsid w:val="00162DAA"/>
    <w:rsid w:val="001638EC"/>
    <w:rsid w:val="00163D5F"/>
    <w:rsid w:val="001641B8"/>
    <w:rsid w:val="001643BA"/>
    <w:rsid w:val="00164AED"/>
    <w:rsid w:val="00164D85"/>
    <w:rsid w:val="00165049"/>
    <w:rsid w:val="00165609"/>
    <w:rsid w:val="001658C9"/>
    <w:rsid w:val="00165C75"/>
    <w:rsid w:val="00165D80"/>
    <w:rsid w:val="00165F80"/>
    <w:rsid w:val="00166EBA"/>
    <w:rsid w:val="00167101"/>
    <w:rsid w:val="001672E2"/>
    <w:rsid w:val="0017005A"/>
    <w:rsid w:val="00170748"/>
    <w:rsid w:val="00170DFF"/>
    <w:rsid w:val="00170F5F"/>
    <w:rsid w:val="001710C9"/>
    <w:rsid w:val="00172B6E"/>
    <w:rsid w:val="00172BBE"/>
    <w:rsid w:val="00172E20"/>
    <w:rsid w:val="001732C3"/>
    <w:rsid w:val="00173799"/>
    <w:rsid w:val="0017399E"/>
    <w:rsid w:val="001748C7"/>
    <w:rsid w:val="001748E1"/>
    <w:rsid w:val="00174C58"/>
    <w:rsid w:val="00174F5B"/>
    <w:rsid w:val="00174F8B"/>
    <w:rsid w:val="00175107"/>
    <w:rsid w:val="001754B1"/>
    <w:rsid w:val="001755F4"/>
    <w:rsid w:val="00175918"/>
    <w:rsid w:val="001759FD"/>
    <w:rsid w:val="00175F1E"/>
    <w:rsid w:val="00176215"/>
    <w:rsid w:val="0017626D"/>
    <w:rsid w:val="0017651C"/>
    <w:rsid w:val="00176704"/>
    <w:rsid w:val="0017674A"/>
    <w:rsid w:val="00176DEF"/>
    <w:rsid w:val="0017747C"/>
    <w:rsid w:val="001774AD"/>
    <w:rsid w:val="00177A33"/>
    <w:rsid w:val="00177B99"/>
    <w:rsid w:val="00177F10"/>
    <w:rsid w:val="00180067"/>
    <w:rsid w:val="0018089C"/>
    <w:rsid w:val="00181102"/>
    <w:rsid w:val="00181244"/>
    <w:rsid w:val="00181646"/>
    <w:rsid w:val="00181BBD"/>
    <w:rsid w:val="00181C67"/>
    <w:rsid w:val="00181D07"/>
    <w:rsid w:val="00181E7A"/>
    <w:rsid w:val="0018211F"/>
    <w:rsid w:val="00182292"/>
    <w:rsid w:val="00182770"/>
    <w:rsid w:val="00182880"/>
    <w:rsid w:val="00182C69"/>
    <w:rsid w:val="00182CA1"/>
    <w:rsid w:val="0018347B"/>
    <w:rsid w:val="00183CCE"/>
    <w:rsid w:val="00183F7D"/>
    <w:rsid w:val="00184AA4"/>
    <w:rsid w:val="00184B18"/>
    <w:rsid w:val="00184BCE"/>
    <w:rsid w:val="00184E45"/>
    <w:rsid w:val="0018509D"/>
    <w:rsid w:val="00185105"/>
    <w:rsid w:val="00185527"/>
    <w:rsid w:val="00185D47"/>
    <w:rsid w:val="00185D9B"/>
    <w:rsid w:val="00185FE5"/>
    <w:rsid w:val="0018637D"/>
    <w:rsid w:val="00186638"/>
    <w:rsid w:val="00186D11"/>
    <w:rsid w:val="00187301"/>
    <w:rsid w:val="00187C81"/>
    <w:rsid w:val="00190860"/>
    <w:rsid w:val="001909E5"/>
    <w:rsid w:val="00190F06"/>
    <w:rsid w:val="00191660"/>
    <w:rsid w:val="00191A6D"/>
    <w:rsid w:val="00191D2F"/>
    <w:rsid w:val="00191F69"/>
    <w:rsid w:val="00192102"/>
    <w:rsid w:val="001922D9"/>
    <w:rsid w:val="001923E3"/>
    <w:rsid w:val="00192618"/>
    <w:rsid w:val="001927AC"/>
    <w:rsid w:val="00192812"/>
    <w:rsid w:val="001928B1"/>
    <w:rsid w:val="00192B14"/>
    <w:rsid w:val="00193746"/>
    <w:rsid w:val="001939D9"/>
    <w:rsid w:val="00193BFC"/>
    <w:rsid w:val="00194333"/>
    <w:rsid w:val="00194BA9"/>
    <w:rsid w:val="00194D34"/>
    <w:rsid w:val="00194EE1"/>
    <w:rsid w:val="00195C17"/>
    <w:rsid w:val="00195DCA"/>
    <w:rsid w:val="00195F54"/>
    <w:rsid w:val="00196502"/>
    <w:rsid w:val="00196AC3"/>
    <w:rsid w:val="00196E4C"/>
    <w:rsid w:val="00197380"/>
    <w:rsid w:val="0019742F"/>
    <w:rsid w:val="0019755B"/>
    <w:rsid w:val="00197758"/>
    <w:rsid w:val="00197B08"/>
    <w:rsid w:val="00197DE3"/>
    <w:rsid w:val="001A0917"/>
    <w:rsid w:val="001A1150"/>
    <w:rsid w:val="001A135F"/>
    <w:rsid w:val="001A15CF"/>
    <w:rsid w:val="001A17A2"/>
    <w:rsid w:val="001A1BF2"/>
    <w:rsid w:val="001A1E4A"/>
    <w:rsid w:val="001A2021"/>
    <w:rsid w:val="001A24C7"/>
    <w:rsid w:val="001A2986"/>
    <w:rsid w:val="001A2B30"/>
    <w:rsid w:val="001A2D26"/>
    <w:rsid w:val="001A30B3"/>
    <w:rsid w:val="001A3498"/>
    <w:rsid w:val="001A3E87"/>
    <w:rsid w:val="001A44AC"/>
    <w:rsid w:val="001A497E"/>
    <w:rsid w:val="001A49C9"/>
    <w:rsid w:val="001A4F72"/>
    <w:rsid w:val="001A52C6"/>
    <w:rsid w:val="001A579A"/>
    <w:rsid w:val="001A584F"/>
    <w:rsid w:val="001A594E"/>
    <w:rsid w:val="001A5CD7"/>
    <w:rsid w:val="001A60F2"/>
    <w:rsid w:val="001A63D8"/>
    <w:rsid w:val="001A6A47"/>
    <w:rsid w:val="001A6DAD"/>
    <w:rsid w:val="001A7113"/>
    <w:rsid w:val="001A753E"/>
    <w:rsid w:val="001A7D44"/>
    <w:rsid w:val="001A7F0F"/>
    <w:rsid w:val="001B030E"/>
    <w:rsid w:val="001B063C"/>
    <w:rsid w:val="001B0AF8"/>
    <w:rsid w:val="001B0DA6"/>
    <w:rsid w:val="001B0DD9"/>
    <w:rsid w:val="001B0F8B"/>
    <w:rsid w:val="001B14E4"/>
    <w:rsid w:val="001B1960"/>
    <w:rsid w:val="001B1BCE"/>
    <w:rsid w:val="001B22CF"/>
    <w:rsid w:val="001B25DA"/>
    <w:rsid w:val="001B263B"/>
    <w:rsid w:val="001B2AEE"/>
    <w:rsid w:val="001B3329"/>
    <w:rsid w:val="001B35EB"/>
    <w:rsid w:val="001B3622"/>
    <w:rsid w:val="001B3854"/>
    <w:rsid w:val="001B3A9E"/>
    <w:rsid w:val="001B3E08"/>
    <w:rsid w:val="001B43BC"/>
    <w:rsid w:val="001B45CB"/>
    <w:rsid w:val="001B56A2"/>
    <w:rsid w:val="001B570B"/>
    <w:rsid w:val="001B5A8E"/>
    <w:rsid w:val="001B6223"/>
    <w:rsid w:val="001B6B6B"/>
    <w:rsid w:val="001B7015"/>
    <w:rsid w:val="001B7A8D"/>
    <w:rsid w:val="001B7AB3"/>
    <w:rsid w:val="001C05C4"/>
    <w:rsid w:val="001C0A64"/>
    <w:rsid w:val="001C0BBD"/>
    <w:rsid w:val="001C127F"/>
    <w:rsid w:val="001C1A16"/>
    <w:rsid w:val="001C26AA"/>
    <w:rsid w:val="001C2765"/>
    <w:rsid w:val="001C27A8"/>
    <w:rsid w:val="001C2A72"/>
    <w:rsid w:val="001C2B79"/>
    <w:rsid w:val="001C4A7A"/>
    <w:rsid w:val="001C502A"/>
    <w:rsid w:val="001C505F"/>
    <w:rsid w:val="001C53C6"/>
    <w:rsid w:val="001C5460"/>
    <w:rsid w:val="001C576B"/>
    <w:rsid w:val="001C577A"/>
    <w:rsid w:val="001C59E3"/>
    <w:rsid w:val="001C5D45"/>
    <w:rsid w:val="001C60E3"/>
    <w:rsid w:val="001C621F"/>
    <w:rsid w:val="001C64FC"/>
    <w:rsid w:val="001C66FB"/>
    <w:rsid w:val="001C677D"/>
    <w:rsid w:val="001C7024"/>
    <w:rsid w:val="001C71A7"/>
    <w:rsid w:val="001C7E82"/>
    <w:rsid w:val="001D085B"/>
    <w:rsid w:val="001D0B24"/>
    <w:rsid w:val="001D0B98"/>
    <w:rsid w:val="001D0F8F"/>
    <w:rsid w:val="001D124F"/>
    <w:rsid w:val="001D1529"/>
    <w:rsid w:val="001D15C1"/>
    <w:rsid w:val="001D19FD"/>
    <w:rsid w:val="001D1EB5"/>
    <w:rsid w:val="001D2097"/>
    <w:rsid w:val="001D2681"/>
    <w:rsid w:val="001D3679"/>
    <w:rsid w:val="001D3CE1"/>
    <w:rsid w:val="001D45FA"/>
    <w:rsid w:val="001D47C2"/>
    <w:rsid w:val="001D57B3"/>
    <w:rsid w:val="001D5844"/>
    <w:rsid w:val="001D5B18"/>
    <w:rsid w:val="001D6352"/>
    <w:rsid w:val="001D6424"/>
    <w:rsid w:val="001D689B"/>
    <w:rsid w:val="001D6D49"/>
    <w:rsid w:val="001D734E"/>
    <w:rsid w:val="001D7438"/>
    <w:rsid w:val="001D791B"/>
    <w:rsid w:val="001D7CB4"/>
    <w:rsid w:val="001D7E35"/>
    <w:rsid w:val="001E0176"/>
    <w:rsid w:val="001E0A62"/>
    <w:rsid w:val="001E0C9E"/>
    <w:rsid w:val="001E0F01"/>
    <w:rsid w:val="001E1F32"/>
    <w:rsid w:val="001E22A1"/>
    <w:rsid w:val="001E2955"/>
    <w:rsid w:val="001E3017"/>
    <w:rsid w:val="001E361F"/>
    <w:rsid w:val="001E3650"/>
    <w:rsid w:val="001E401E"/>
    <w:rsid w:val="001E4241"/>
    <w:rsid w:val="001E5562"/>
    <w:rsid w:val="001E5BC6"/>
    <w:rsid w:val="001E5CAF"/>
    <w:rsid w:val="001E61F7"/>
    <w:rsid w:val="001E6563"/>
    <w:rsid w:val="001E78BD"/>
    <w:rsid w:val="001E78F2"/>
    <w:rsid w:val="001E7C29"/>
    <w:rsid w:val="001F0014"/>
    <w:rsid w:val="001F0209"/>
    <w:rsid w:val="001F0632"/>
    <w:rsid w:val="001F0D77"/>
    <w:rsid w:val="001F0DE9"/>
    <w:rsid w:val="001F0F81"/>
    <w:rsid w:val="001F11FA"/>
    <w:rsid w:val="001F131B"/>
    <w:rsid w:val="001F1700"/>
    <w:rsid w:val="001F1973"/>
    <w:rsid w:val="001F1D15"/>
    <w:rsid w:val="001F4133"/>
    <w:rsid w:val="001F4467"/>
    <w:rsid w:val="001F44E0"/>
    <w:rsid w:val="001F4987"/>
    <w:rsid w:val="001F49F2"/>
    <w:rsid w:val="001F4B06"/>
    <w:rsid w:val="001F4BA5"/>
    <w:rsid w:val="001F4C17"/>
    <w:rsid w:val="001F51F2"/>
    <w:rsid w:val="001F61BB"/>
    <w:rsid w:val="001F627B"/>
    <w:rsid w:val="001F6948"/>
    <w:rsid w:val="001F69D3"/>
    <w:rsid w:val="001F6E52"/>
    <w:rsid w:val="001F731B"/>
    <w:rsid w:val="001F77EF"/>
    <w:rsid w:val="001F7909"/>
    <w:rsid w:val="001F79B6"/>
    <w:rsid w:val="001F7BE8"/>
    <w:rsid w:val="00200011"/>
    <w:rsid w:val="00200633"/>
    <w:rsid w:val="00200AF5"/>
    <w:rsid w:val="00200DF0"/>
    <w:rsid w:val="002018E2"/>
    <w:rsid w:val="00201B77"/>
    <w:rsid w:val="00202260"/>
    <w:rsid w:val="002022B1"/>
    <w:rsid w:val="00202506"/>
    <w:rsid w:val="002026B3"/>
    <w:rsid w:val="0020280D"/>
    <w:rsid w:val="00202E24"/>
    <w:rsid w:val="0020310F"/>
    <w:rsid w:val="0020342A"/>
    <w:rsid w:val="0020351D"/>
    <w:rsid w:val="00203894"/>
    <w:rsid w:val="00203898"/>
    <w:rsid w:val="00203A61"/>
    <w:rsid w:val="00203C11"/>
    <w:rsid w:val="0020477E"/>
    <w:rsid w:val="00204C05"/>
    <w:rsid w:val="00204E38"/>
    <w:rsid w:val="00205234"/>
    <w:rsid w:val="0020563D"/>
    <w:rsid w:val="00205829"/>
    <w:rsid w:val="0020591B"/>
    <w:rsid w:val="00205A02"/>
    <w:rsid w:val="00205B65"/>
    <w:rsid w:val="0020608E"/>
    <w:rsid w:val="0020620C"/>
    <w:rsid w:val="002068FA"/>
    <w:rsid w:val="002078C3"/>
    <w:rsid w:val="00207B98"/>
    <w:rsid w:val="00207BF0"/>
    <w:rsid w:val="002102D3"/>
    <w:rsid w:val="002106F7"/>
    <w:rsid w:val="00210C35"/>
    <w:rsid w:val="00210CB9"/>
    <w:rsid w:val="00211045"/>
    <w:rsid w:val="00211050"/>
    <w:rsid w:val="00211190"/>
    <w:rsid w:val="00211AE1"/>
    <w:rsid w:val="00211BEA"/>
    <w:rsid w:val="00211DBF"/>
    <w:rsid w:val="002122F0"/>
    <w:rsid w:val="0021263D"/>
    <w:rsid w:val="002128F2"/>
    <w:rsid w:val="00212AA0"/>
    <w:rsid w:val="00212B0D"/>
    <w:rsid w:val="00212E44"/>
    <w:rsid w:val="00212ED0"/>
    <w:rsid w:val="0021324D"/>
    <w:rsid w:val="00213AEE"/>
    <w:rsid w:val="00213B3C"/>
    <w:rsid w:val="00214157"/>
    <w:rsid w:val="002141FB"/>
    <w:rsid w:val="00214320"/>
    <w:rsid w:val="00214581"/>
    <w:rsid w:val="002150CF"/>
    <w:rsid w:val="002157E8"/>
    <w:rsid w:val="0021581F"/>
    <w:rsid w:val="00215D2C"/>
    <w:rsid w:val="00216441"/>
    <w:rsid w:val="002165C8"/>
    <w:rsid w:val="0021664E"/>
    <w:rsid w:val="002168D9"/>
    <w:rsid w:val="0021693A"/>
    <w:rsid w:val="00216D60"/>
    <w:rsid w:val="00217471"/>
    <w:rsid w:val="00217C09"/>
    <w:rsid w:val="00220076"/>
    <w:rsid w:val="0022073C"/>
    <w:rsid w:val="00221020"/>
    <w:rsid w:val="00221CCB"/>
    <w:rsid w:val="00221DB3"/>
    <w:rsid w:val="00221ED4"/>
    <w:rsid w:val="0022282B"/>
    <w:rsid w:val="002228DE"/>
    <w:rsid w:val="00222B80"/>
    <w:rsid w:val="0022359C"/>
    <w:rsid w:val="002239A2"/>
    <w:rsid w:val="00223E6D"/>
    <w:rsid w:val="002242E9"/>
    <w:rsid w:val="00224417"/>
    <w:rsid w:val="00224938"/>
    <w:rsid w:val="002250C4"/>
    <w:rsid w:val="00225248"/>
    <w:rsid w:val="00225496"/>
    <w:rsid w:val="002257E3"/>
    <w:rsid w:val="00225AFE"/>
    <w:rsid w:val="00225BAF"/>
    <w:rsid w:val="002260A4"/>
    <w:rsid w:val="0022640B"/>
    <w:rsid w:val="00226584"/>
    <w:rsid w:val="002266A7"/>
    <w:rsid w:val="00226ADE"/>
    <w:rsid w:val="00226D1B"/>
    <w:rsid w:val="00227811"/>
    <w:rsid w:val="00227D00"/>
    <w:rsid w:val="0023027F"/>
    <w:rsid w:val="0023034D"/>
    <w:rsid w:val="00230B14"/>
    <w:rsid w:val="00230C5E"/>
    <w:rsid w:val="00231380"/>
    <w:rsid w:val="00231598"/>
    <w:rsid w:val="002317AF"/>
    <w:rsid w:val="00231A45"/>
    <w:rsid w:val="00231CF8"/>
    <w:rsid w:val="00231E36"/>
    <w:rsid w:val="0023215B"/>
    <w:rsid w:val="00232BA7"/>
    <w:rsid w:val="00232EFE"/>
    <w:rsid w:val="00233370"/>
    <w:rsid w:val="00233434"/>
    <w:rsid w:val="00233B1C"/>
    <w:rsid w:val="00233F11"/>
    <w:rsid w:val="002343A9"/>
    <w:rsid w:val="00234446"/>
    <w:rsid w:val="00234A45"/>
    <w:rsid w:val="00234D78"/>
    <w:rsid w:val="00234E8E"/>
    <w:rsid w:val="00234E92"/>
    <w:rsid w:val="00235A5C"/>
    <w:rsid w:val="00235AE4"/>
    <w:rsid w:val="00235F3D"/>
    <w:rsid w:val="002360CC"/>
    <w:rsid w:val="0023688D"/>
    <w:rsid w:val="002369B0"/>
    <w:rsid w:val="00236A33"/>
    <w:rsid w:val="00236E20"/>
    <w:rsid w:val="00236E5E"/>
    <w:rsid w:val="00236F5D"/>
    <w:rsid w:val="0023749D"/>
    <w:rsid w:val="00237FE5"/>
    <w:rsid w:val="00240789"/>
    <w:rsid w:val="00240BF7"/>
    <w:rsid w:val="00241CD9"/>
    <w:rsid w:val="00242B34"/>
    <w:rsid w:val="00242C45"/>
    <w:rsid w:val="00243069"/>
    <w:rsid w:val="0024349A"/>
    <w:rsid w:val="002438E1"/>
    <w:rsid w:val="00243DCD"/>
    <w:rsid w:val="00244E56"/>
    <w:rsid w:val="002453AA"/>
    <w:rsid w:val="002460CE"/>
    <w:rsid w:val="002462B2"/>
    <w:rsid w:val="00246539"/>
    <w:rsid w:val="00246F0D"/>
    <w:rsid w:val="00247233"/>
    <w:rsid w:val="00247730"/>
    <w:rsid w:val="002479BE"/>
    <w:rsid w:val="00247B4E"/>
    <w:rsid w:val="00247DAF"/>
    <w:rsid w:val="00247F33"/>
    <w:rsid w:val="002500DF"/>
    <w:rsid w:val="002500E5"/>
    <w:rsid w:val="00250105"/>
    <w:rsid w:val="002501CF"/>
    <w:rsid w:val="002504F6"/>
    <w:rsid w:val="00250821"/>
    <w:rsid w:val="00251CD1"/>
    <w:rsid w:val="00251D3E"/>
    <w:rsid w:val="0025203A"/>
    <w:rsid w:val="002520D8"/>
    <w:rsid w:val="00252492"/>
    <w:rsid w:val="0025249D"/>
    <w:rsid w:val="0025249E"/>
    <w:rsid w:val="002525B0"/>
    <w:rsid w:val="002526F5"/>
    <w:rsid w:val="002527C6"/>
    <w:rsid w:val="002528C2"/>
    <w:rsid w:val="00253370"/>
    <w:rsid w:val="002534F4"/>
    <w:rsid w:val="002535C6"/>
    <w:rsid w:val="002535D2"/>
    <w:rsid w:val="002537BB"/>
    <w:rsid w:val="002538D8"/>
    <w:rsid w:val="00253D5F"/>
    <w:rsid w:val="00253E2E"/>
    <w:rsid w:val="00254005"/>
    <w:rsid w:val="00254F75"/>
    <w:rsid w:val="00254FC2"/>
    <w:rsid w:val="0025519D"/>
    <w:rsid w:val="00255C9D"/>
    <w:rsid w:val="002565E7"/>
    <w:rsid w:val="002572B9"/>
    <w:rsid w:val="002572BD"/>
    <w:rsid w:val="00257A3C"/>
    <w:rsid w:val="002603D4"/>
    <w:rsid w:val="00260444"/>
    <w:rsid w:val="00260756"/>
    <w:rsid w:val="00260802"/>
    <w:rsid w:val="00260B56"/>
    <w:rsid w:val="00260E56"/>
    <w:rsid w:val="002610BE"/>
    <w:rsid w:val="002612D0"/>
    <w:rsid w:val="0026145E"/>
    <w:rsid w:val="0026179E"/>
    <w:rsid w:val="002619E3"/>
    <w:rsid w:val="00261C22"/>
    <w:rsid w:val="00261F8B"/>
    <w:rsid w:val="002620FA"/>
    <w:rsid w:val="00262118"/>
    <w:rsid w:val="00262BFE"/>
    <w:rsid w:val="00262E1F"/>
    <w:rsid w:val="0026303E"/>
    <w:rsid w:val="00263814"/>
    <w:rsid w:val="002638A7"/>
    <w:rsid w:val="00263CD5"/>
    <w:rsid w:val="002641E8"/>
    <w:rsid w:val="002647B5"/>
    <w:rsid w:val="002654C0"/>
    <w:rsid w:val="002657EC"/>
    <w:rsid w:val="002657EF"/>
    <w:rsid w:val="002664A8"/>
    <w:rsid w:val="002664F9"/>
    <w:rsid w:val="002668C2"/>
    <w:rsid w:val="00266ED9"/>
    <w:rsid w:val="00267145"/>
    <w:rsid w:val="002674FC"/>
    <w:rsid w:val="002675A6"/>
    <w:rsid w:val="00267856"/>
    <w:rsid w:val="002703BB"/>
    <w:rsid w:val="002709F1"/>
    <w:rsid w:val="00270C8B"/>
    <w:rsid w:val="00270E7B"/>
    <w:rsid w:val="002710AB"/>
    <w:rsid w:val="0027113A"/>
    <w:rsid w:val="002713F5"/>
    <w:rsid w:val="00271599"/>
    <w:rsid w:val="00271679"/>
    <w:rsid w:val="00271CFC"/>
    <w:rsid w:val="002723EE"/>
    <w:rsid w:val="00272435"/>
    <w:rsid w:val="0027284E"/>
    <w:rsid w:val="00272864"/>
    <w:rsid w:val="00272ABC"/>
    <w:rsid w:val="00273186"/>
    <w:rsid w:val="0027330C"/>
    <w:rsid w:val="00273F23"/>
    <w:rsid w:val="00274187"/>
    <w:rsid w:val="002745C0"/>
    <w:rsid w:val="00274AD6"/>
    <w:rsid w:val="0027509C"/>
    <w:rsid w:val="00275B57"/>
    <w:rsid w:val="00275F2B"/>
    <w:rsid w:val="00275FDE"/>
    <w:rsid w:val="00276422"/>
    <w:rsid w:val="002765D8"/>
    <w:rsid w:val="0027665B"/>
    <w:rsid w:val="002767C0"/>
    <w:rsid w:val="002770D7"/>
    <w:rsid w:val="00277114"/>
    <w:rsid w:val="00277383"/>
    <w:rsid w:val="002773F8"/>
    <w:rsid w:val="002777BA"/>
    <w:rsid w:val="00277DFD"/>
    <w:rsid w:val="00280818"/>
    <w:rsid w:val="00280835"/>
    <w:rsid w:val="0028083C"/>
    <w:rsid w:val="00280A24"/>
    <w:rsid w:val="002811A8"/>
    <w:rsid w:val="002813DA"/>
    <w:rsid w:val="002814C1"/>
    <w:rsid w:val="002817B8"/>
    <w:rsid w:val="00281E03"/>
    <w:rsid w:val="0028206C"/>
    <w:rsid w:val="00282105"/>
    <w:rsid w:val="0028279F"/>
    <w:rsid w:val="00282E27"/>
    <w:rsid w:val="00282E2B"/>
    <w:rsid w:val="00283533"/>
    <w:rsid w:val="00283544"/>
    <w:rsid w:val="00283BC6"/>
    <w:rsid w:val="002842AC"/>
    <w:rsid w:val="0028478A"/>
    <w:rsid w:val="00284BA8"/>
    <w:rsid w:val="00284C4E"/>
    <w:rsid w:val="0028508A"/>
    <w:rsid w:val="0028508B"/>
    <w:rsid w:val="00285A7D"/>
    <w:rsid w:val="00286816"/>
    <w:rsid w:val="00286E02"/>
    <w:rsid w:val="00287241"/>
    <w:rsid w:val="002872A4"/>
    <w:rsid w:val="00287491"/>
    <w:rsid w:val="0028784D"/>
    <w:rsid w:val="0028789A"/>
    <w:rsid w:val="0028799E"/>
    <w:rsid w:val="00287C43"/>
    <w:rsid w:val="00290145"/>
    <w:rsid w:val="0029044E"/>
    <w:rsid w:val="002906AA"/>
    <w:rsid w:val="002908AB"/>
    <w:rsid w:val="002914DA"/>
    <w:rsid w:val="00291BF8"/>
    <w:rsid w:val="00292107"/>
    <w:rsid w:val="0029263B"/>
    <w:rsid w:val="00292737"/>
    <w:rsid w:val="00292797"/>
    <w:rsid w:val="00292A1D"/>
    <w:rsid w:val="0029331F"/>
    <w:rsid w:val="00293643"/>
    <w:rsid w:val="00293647"/>
    <w:rsid w:val="00293C23"/>
    <w:rsid w:val="00293D40"/>
    <w:rsid w:val="00293E2C"/>
    <w:rsid w:val="00294507"/>
    <w:rsid w:val="002945DB"/>
    <w:rsid w:val="00294602"/>
    <w:rsid w:val="0029467D"/>
    <w:rsid w:val="0029468D"/>
    <w:rsid w:val="002946AC"/>
    <w:rsid w:val="002946EA"/>
    <w:rsid w:val="00294CE8"/>
    <w:rsid w:val="0029500E"/>
    <w:rsid w:val="00295127"/>
    <w:rsid w:val="002954E9"/>
    <w:rsid w:val="002956B3"/>
    <w:rsid w:val="00295809"/>
    <w:rsid w:val="0029592D"/>
    <w:rsid w:val="00295B70"/>
    <w:rsid w:val="00296497"/>
    <w:rsid w:val="0029674B"/>
    <w:rsid w:val="00296C6F"/>
    <w:rsid w:val="00296D6B"/>
    <w:rsid w:val="00296F87"/>
    <w:rsid w:val="00297969"/>
    <w:rsid w:val="00297B5C"/>
    <w:rsid w:val="002A027E"/>
    <w:rsid w:val="002A02C6"/>
    <w:rsid w:val="002A05C3"/>
    <w:rsid w:val="002A0900"/>
    <w:rsid w:val="002A0C50"/>
    <w:rsid w:val="002A118F"/>
    <w:rsid w:val="002A1376"/>
    <w:rsid w:val="002A1923"/>
    <w:rsid w:val="002A2552"/>
    <w:rsid w:val="002A2615"/>
    <w:rsid w:val="002A2826"/>
    <w:rsid w:val="002A28A0"/>
    <w:rsid w:val="002A2F09"/>
    <w:rsid w:val="002A3373"/>
    <w:rsid w:val="002A3557"/>
    <w:rsid w:val="002A3786"/>
    <w:rsid w:val="002A38BB"/>
    <w:rsid w:val="002A3FBF"/>
    <w:rsid w:val="002A5265"/>
    <w:rsid w:val="002A528B"/>
    <w:rsid w:val="002A55F4"/>
    <w:rsid w:val="002A5849"/>
    <w:rsid w:val="002A58F3"/>
    <w:rsid w:val="002A5AD3"/>
    <w:rsid w:val="002A5C87"/>
    <w:rsid w:val="002A5D81"/>
    <w:rsid w:val="002A5E27"/>
    <w:rsid w:val="002A5FA6"/>
    <w:rsid w:val="002A62FD"/>
    <w:rsid w:val="002A6344"/>
    <w:rsid w:val="002A6BEC"/>
    <w:rsid w:val="002A7441"/>
    <w:rsid w:val="002A77E6"/>
    <w:rsid w:val="002A79D3"/>
    <w:rsid w:val="002A7C6F"/>
    <w:rsid w:val="002B0354"/>
    <w:rsid w:val="002B04EB"/>
    <w:rsid w:val="002B0F37"/>
    <w:rsid w:val="002B1456"/>
    <w:rsid w:val="002B19A4"/>
    <w:rsid w:val="002B1FDE"/>
    <w:rsid w:val="002B22C3"/>
    <w:rsid w:val="002B25F0"/>
    <w:rsid w:val="002B2ABA"/>
    <w:rsid w:val="002B2F61"/>
    <w:rsid w:val="002B3130"/>
    <w:rsid w:val="002B3222"/>
    <w:rsid w:val="002B32E3"/>
    <w:rsid w:val="002B3466"/>
    <w:rsid w:val="002B3CFB"/>
    <w:rsid w:val="002B43A2"/>
    <w:rsid w:val="002B46DF"/>
    <w:rsid w:val="002B4784"/>
    <w:rsid w:val="002B505C"/>
    <w:rsid w:val="002B51C9"/>
    <w:rsid w:val="002B5220"/>
    <w:rsid w:val="002B5ABD"/>
    <w:rsid w:val="002B5DE9"/>
    <w:rsid w:val="002B62CB"/>
    <w:rsid w:val="002B6694"/>
    <w:rsid w:val="002B6846"/>
    <w:rsid w:val="002B6AD8"/>
    <w:rsid w:val="002B6BB9"/>
    <w:rsid w:val="002B6EC2"/>
    <w:rsid w:val="002B7260"/>
    <w:rsid w:val="002B7966"/>
    <w:rsid w:val="002B7E2A"/>
    <w:rsid w:val="002B7E61"/>
    <w:rsid w:val="002C0F24"/>
    <w:rsid w:val="002C133E"/>
    <w:rsid w:val="002C13CD"/>
    <w:rsid w:val="002C1542"/>
    <w:rsid w:val="002C1804"/>
    <w:rsid w:val="002C23EF"/>
    <w:rsid w:val="002C27BE"/>
    <w:rsid w:val="002C2B93"/>
    <w:rsid w:val="002C2DE0"/>
    <w:rsid w:val="002C36E4"/>
    <w:rsid w:val="002C3867"/>
    <w:rsid w:val="002C3DE5"/>
    <w:rsid w:val="002C3F19"/>
    <w:rsid w:val="002C47C5"/>
    <w:rsid w:val="002C49B0"/>
    <w:rsid w:val="002C510E"/>
    <w:rsid w:val="002C5603"/>
    <w:rsid w:val="002C5D13"/>
    <w:rsid w:val="002C629B"/>
    <w:rsid w:val="002C69AE"/>
    <w:rsid w:val="002C7073"/>
    <w:rsid w:val="002D0393"/>
    <w:rsid w:val="002D0513"/>
    <w:rsid w:val="002D1057"/>
    <w:rsid w:val="002D16C4"/>
    <w:rsid w:val="002D17F8"/>
    <w:rsid w:val="002D2257"/>
    <w:rsid w:val="002D25F7"/>
    <w:rsid w:val="002D2714"/>
    <w:rsid w:val="002D345E"/>
    <w:rsid w:val="002D38E5"/>
    <w:rsid w:val="002D3C4A"/>
    <w:rsid w:val="002D3DDA"/>
    <w:rsid w:val="002D421E"/>
    <w:rsid w:val="002D47EC"/>
    <w:rsid w:val="002D4975"/>
    <w:rsid w:val="002D49DD"/>
    <w:rsid w:val="002D4A31"/>
    <w:rsid w:val="002D4DF8"/>
    <w:rsid w:val="002D5383"/>
    <w:rsid w:val="002D5784"/>
    <w:rsid w:val="002D5860"/>
    <w:rsid w:val="002D5993"/>
    <w:rsid w:val="002D59BE"/>
    <w:rsid w:val="002D608A"/>
    <w:rsid w:val="002D624A"/>
    <w:rsid w:val="002D6C08"/>
    <w:rsid w:val="002D72F3"/>
    <w:rsid w:val="002D7431"/>
    <w:rsid w:val="002D752D"/>
    <w:rsid w:val="002D78F3"/>
    <w:rsid w:val="002D7ADF"/>
    <w:rsid w:val="002E02BD"/>
    <w:rsid w:val="002E1C7E"/>
    <w:rsid w:val="002E1D0B"/>
    <w:rsid w:val="002E21E5"/>
    <w:rsid w:val="002E2536"/>
    <w:rsid w:val="002E2838"/>
    <w:rsid w:val="002E337C"/>
    <w:rsid w:val="002E41D7"/>
    <w:rsid w:val="002E48FD"/>
    <w:rsid w:val="002E4F8C"/>
    <w:rsid w:val="002E5A46"/>
    <w:rsid w:val="002E5E71"/>
    <w:rsid w:val="002E617F"/>
    <w:rsid w:val="002E6666"/>
    <w:rsid w:val="002E6CFC"/>
    <w:rsid w:val="002E7733"/>
    <w:rsid w:val="002F0121"/>
    <w:rsid w:val="002F01E0"/>
    <w:rsid w:val="002F0601"/>
    <w:rsid w:val="002F1903"/>
    <w:rsid w:val="002F1AC5"/>
    <w:rsid w:val="002F1D35"/>
    <w:rsid w:val="002F241D"/>
    <w:rsid w:val="002F3084"/>
    <w:rsid w:val="002F3600"/>
    <w:rsid w:val="002F3761"/>
    <w:rsid w:val="002F3C93"/>
    <w:rsid w:val="002F4203"/>
    <w:rsid w:val="002F449D"/>
    <w:rsid w:val="002F4657"/>
    <w:rsid w:val="002F4685"/>
    <w:rsid w:val="002F4718"/>
    <w:rsid w:val="002F5065"/>
    <w:rsid w:val="002F5094"/>
    <w:rsid w:val="002F5816"/>
    <w:rsid w:val="002F5D75"/>
    <w:rsid w:val="002F6148"/>
    <w:rsid w:val="002F6E43"/>
    <w:rsid w:val="002F7027"/>
    <w:rsid w:val="002F7A47"/>
    <w:rsid w:val="002F7BF3"/>
    <w:rsid w:val="002F7D93"/>
    <w:rsid w:val="0030009F"/>
    <w:rsid w:val="0030092A"/>
    <w:rsid w:val="00300C9D"/>
    <w:rsid w:val="00301044"/>
    <w:rsid w:val="003011A0"/>
    <w:rsid w:val="00301FDD"/>
    <w:rsid w:val="003020BD"/>
    <w:rsid w:val="00302277"/>
    <w:rsid w:val="00302288"/>
    <w:rsid w:val="003024B7"/>
    <w:rsid w:val="003025B0"/>
    <w:rsid w:val="003027DB"/>
    <w:rsid w:val="00302C06"/>
    <w:rsid w:val="0030398D"/>
    <w:rsid w:val="003039EF"/>
    <w:rsid w:val="00303C7B"/>
    <w:rsid w:val="00304259"/>
    <w:rsid w:val="0030442F"/>
    <w:rsid w:val="003053BD"/>
    <w:rsid w:val="003055CB"/>
    <w:rsid w:val="00305738"/>
    <w:rsid w:val="003057F8"/>
    <w:rsid w:val="00305A10"/>
    <w:rsid w:val="00305A53"/>
    <w:rsid w:val="00306048"/>
    <w:rsid w:val="003065F7"/>
    <w:rsid w:val="0030661A"/>
    <w:rsid w:val="00306C5C"/>
    <w:rsid w:val="00306CAE"/>
    <w:rsid w:val="00306E2C"/>
    <w:rsid w:val="0030798F"/>
    <w:rsid w:val="00307B5A"/>
    <w:rsid w:val="003107C2"/>
    <w:rsid w:val="00310A6A"/>
    <w:rsid w:val="00311173"/>
    <w:rsid w:val="00311FFB"/>
    <w:rsid w:val="003122C4"/>
    <w:rsid w:val="003141DB"/>
    <w:rsid w:val="00314B45"/>
    <w:rsid w:val="00315ADA"/>
    <w:rsid w:val="00315C4E"/>
    <w:rsid w:val="003160C0"/>
    <w:rsid w:val="003164E5"/>
    <w:rsid w:val="00317025"/>
    <w:rsid w:val="0031715A"/>
    <w:rsid w:val="0031730F"/>
    <w:rsid w:val="0031784F"/>
    <w:rsid w:val="00317881"/>
    <w:rsid w:val="003179FD"/>
    <w:rsid w:val="00317FEC"/>
    <w:rsid w:val="00320044"/>
    <w:rsid w:val="0032007D"/>
    <w:rsid w:val="003201F7"/>
    <w:rsid w:val="00320551"/>
    <w:rsid w:val="00320666"/>
    <w:rsid w:val="003209B7"/>
    <w:rsid w:val="00320DF2"/>
    <w:rsid w:val="00321457"/>
    <w:rsid w:val="0032183A"/>
    <w:rsid w:val="0032199E"/>
    <w:rsid w:val="00322406"/>
    <w:rsid w:val="0032260E"/>
    <w:rsid w:val="00322B55"/>
    <w:rsid w:val="00323437"/>
    <w:rsid w:val="003234CA"/>
    <w:rsid w:val="00323613"/>
    <w:rsid w:val="00324873"/>
    <w:rsid w:val="00324E58"/>
    <w:rsid w:val="003250AD"/>
    <w:rsid w:val="003255CA"/>
    <w:rsid w:val="0032579C"/>
    <w:rsid w:val="0032579D"/>
    <w:rsid w:val="003263CE"/>
    <w:rsid w:val="00326892"/>
    <w:rsid w:val="0032735B"/>
    <w:rsid w:val="00327BDD"/>
    <w:rsid w:val="0033068D"/>
    <w:rsid w:val="0033072B"/>
    <w:rsid w:val="00330863"/>
    <w:rsid w:val="00330919"/>
    <w:rsid w:val="00331487"/>
    <w:rsid w:val="003315F6"/>
    <w:rsid w:val="003316A1"/>
    <w:rsid w:val="00331AD5"/>
    <w:rsid w:val="00331BEE"/>
    <w:rsid w:val="0033211B"/>
    <w:rsid w:val="0033222E"/>
    <w:rsid w:val="0033295F"/>
    <w:rsid w:val="00333636"/>
    <w:rsid w:val="003336F0"/>
    <w:rsid w:val="003336FB"/>
    <w:rsid w:val="0033391A"/>
    <w:rsid w:val="00333AB1"/>
    <w:rsid w:val="00333C0D"/>
    <w:rsid w:val="0033444C"/>
    <w:rsid w:val="0033479E"/>
    <w:rsid w:val="00335154"/>
    <w:rsid w:val="00335A0C"/>
    <w:rsid w:val="00335E8B"/>
    <w:rsid w:val="0033635D"/>
    <w:rsid w:val="003364CC"/>
    <w:rsid w:val="003366A6"/>
    <w:rsid w:val="00336AEE"/>
    <w:rsid w:val="00336B96"/>
    <w:rsid w:val="00336CA4"/>
    <w:rsid w:val="0033712F"/>
    <w:rsid w:val="003375C3"/>
    <w:rsid w:val="00337639"/>
    <w:rsid w:val="00337768"/>
    <w:rsid w:val="00337AEC"/>
    <w:rsid w:val="00337F4A"/>
    <w:rsid w:val="003401ED"/>
    <w:rsid w:val="00340781"/>
    <w:rsid w:val="00340A20"/>
    <w:rsid w:val="00340E23"/>
    <w:rsid w:val="00341005"/>
    <w:rsid w:val="003416D9"/>
    <w:rsid w:val="0034178C"/>
    <w:rsid w:val="00341D7C"/>
    <w:rsid w:val="003421CC"/>
    <w:rsid w:val="0034324F"/>
    <w:rsid w:val="0034342B"/>
    <w:rsid w:val="003434CB"/>
    <w:rsid w:val="003436D8"/>
    <w:rsid w:val="00343923"/>
    <w:rsid w:val="00343A13"/>
    <w:rsid w:val="00343CCA"/>
    <w:rsid w:val="00343D09"/>
    <w:rsid w:val="0034481F"/>
    <w:rsid w:val="00344F5D"/>
    <w:rsid w:val="0034575E"/>
    <w:rsid w:val="00345FF5"/>
    <w:rsid w:val="00346F20"/>
    <w:rsid w:val="003470C2"/>
    <w:rsid w:val="00347790"/>
    <w:rsid w:val="00347998"/>
    <w:rsid w:val="00347E40"/>
    <w:rsid w:val="00347F8D"/>
    <w:rsid w:val="00347FAB"/>
    <w:rsid w:val="0035027B"/>
    <w:rsid w:val="003512CF"/>
    <w:rsid w:val="003512E1"/>
    <w:rsid w:val="00351AC2"/>
    <w:rsid w:val="00352380"/>
    <w:rsid w:val="00352526"/>
    <w:rsid w:val="00352558"/>
    <w:rsid w:val="0035273E"/>
    <w:rsid w:val="003531C7"/>
    <w:rsid w:val="00353727"/>
    <w:rsid w:val="00353CB0"/>
    <w:rsid w:val="00353F26"/>
    <w:rsid w:val="0035406A"/>
    <w:rsid w:val="0035489D"/>
    <w:rsid w:val="00354F0E"/>
    <w:rsid w:val="003552A0"/>
    <w:rsid w:val="00355B1D"/>
    <w:rsid w:val="00355D08"/>
    <w:rsid w:val="00356039"/>
    <w:rsid w:val="003564F2"/>
    <w:rsid w:val="00356510"/>
    <w:rsid w:val="003565A9"/>
    <w:rsid w:val="003567A2"/>
    <w:rsid w:val="00356BB7"/>
    <w:rsid w:val="003571CD"/>
    <w:rsid w:val="0035759C"/>
    <w:rsid w:val="003576F6"/>
    <w:rsid w:val="0035786D"/>
    <w:rsid w:val="00357938"/>
    <w:rsid w:val="00357C53"/>
    <w:rsid w:val="00357F46"/>
    <w:rsid w:val="00360819"/>
    <w:rsid w:val="00361028"/>
    <w:rsid w:val="0036165F"/>
    <w:rsid w:val="00361728"/>
    <w:rsid w:val="0036189E"/>
    <w:rsid w:val="003622A7"/>
    <w:rsid w:val="00362677"/>
    <w:rsid w:val="00362855"/>
    <w:rsid w:val="003628A0"/>
    <w:rsid w:val="00363B0B"/>
    <w:rsid w:val="00363D15"/>
    <w:rsid w:val="00363D28"/>
    <w:rsid w:val="00363DBD"/>
    <w:rsid w:val="003640F7"/>
    <w:rsid w:val="00364990"/>
    <w:rsid w:val="00364B5C"/>
    <w:rsid w:val="00364EBB"/>
    <w:rsid w:val="003650FF"/>
    <w:rsid w:val="0036517D"/>
    <w:rsid w:val="00365385"/>
    <w:rsid w:val="003655F0"/>
    <w:rsid w:val="00365825"/>
    <w:rsid w:val="00365FC2"/>
    <w:rsid w:val="00366013"/>
    <w:rsid w:val="003669F4"/>
    <w:rsid w:val="003670B6"/>
    <w:rsid w:val="003673A0"/>
    <w:rsid w:val="00367508"/>
    <w:rsid w:val="00367AD4"/>
    <w:rsid w:val="003707A4"/>
    <w:rsid w:val="0037132E"/>
    <w:rsid w:val="003714D3"/>
    <w:rsid w:val="00371B8F"/>
    <w:rsid w:val="003721DB"/>
    <w:rsid w:val="0037228D"/>
    <w:rsid w:val="003723DF"/>
    <w:rsid w:val="0037247E"/>
    <w:rsid w:val="00372FF7"/>
    <w:rsid w:val="00373232"/>
    <w:rsid w:val="00374009"/>
    <w:rsid w:val="00374126"/>
    <w:rsid w:val="00374482"/>
    <w:rsid w:val="003747AD"/>
    <w:rsid w:val="00374815"/>
    <w:rsid w:val="00374CBE"/>
    <w:rsid w:val="003750DD"/>
    <w:rsid w:val="003754C5"/>
    <w:rsid w:val="003758BF"/>
    <w:rsid w:val="003758CA"/>
    <w:rsid w:val="00375F4A"/>
    <w:rsid w:val="00376100"/>
    <w:rsid w:val="003769D6"/>
    <w:rsid w:val="003770A9"/>
    <w:rsid w:val="00377357"/>
    <w:rsid w:val="0037737A"/>
    <w:rsid w:val="003777AE"/>
    <w:rsid w:val="0037799B"/>
    <w:rsid w:val="003800FF"/>
    <w:rsid w:val="003801B9"/>
    <w:rsid w:val="003806E9"/>
    <w:rsid w:val="00380786"/>
    <w:rsid w:val="00380B7C"/>
    <w:rsid w:val="00380F6A"/>
    <w:rsid w:val="00381068"/>
    <w:rsid w:val="003810DA"/>
    <w:rsid w:val="003811C1"/>
    <w:rsid w:val="003816C2"/>
    <w:rsid w:val="00381757"/>
    <w:rsid w:val="00382D11"/>
    <w:rsid w:val="00382E26"/>
    <w:rsid w:val="003831E3"/>
    <w:rsid w:val="0038328A"/>
    <w:rsid w:val="003833B3"/>
    <w:rsid w:val="003836D7"/>
    <w:rsid w:val="0038380C"/>
    <w:rsid w:val="00383AAE"/>
    <w:rsid w:val="00383E4E"/>
    <w:rsid w:val="003840D3"/>
    <w:rsid w:val="0038417E"/>
    <w:rsid w:val="00384646"/>
    <w:rsid w:val="003847E4"/>
    <w:rsid w:val="00384DF3"/>
    <w:rsid w:val="00385BFD"/>
    <w:rsid w:val="00385F64"/>
    <w:rsid w:val="0038611F"/>
    <w:rsid w:val="00386971"/>
    <w:rsid w:val="00386F0C"/>
    <w:rsid w:val="00386F9A"/>
    <w:rsid w:val="00387287"/>
    <w:rsid w:val="00387486"/>
    <w:rsid w:val="003875E8"/>
    <w:rsid w:val="00387E71"/>
    <w:rsid w:val="00391F78"/>
    <w:rsid w:val="00392188"/>
    <w:rsid w:val="00392560"/>
    <w:rsid w:val="00392797"/>
    <w:rsid w:val="00392E99"/>
    <w:rsid w:val="00393241"/>
    <w:rsid w:val="00393350"/>
    <w:rsid w:val="00393825"/>
    <w:rsid w:val="003942EE"/>
    <w:rsid w:val="00394C21"/>
    <w:rsid w:val="0039516A"/>
    <w:rsid w:val="0039547D"/>
    <w:rsid w:val="003954AC"/>
    <w:rsid w:val="0039626C"/>
    <w:rsid w:val="003963B5"/>
    <w:rsid w:val="00396601"/>
    <w:rsid w:val="00396EB2"/>
    <w:rsid w:val="003970BC"/>
    <w:rsid w:val="003977F6"/>
    <w:rsid w:val="0039788B"/>
    <w:rsid w:val="00397AAF"/>
    <w:rsid w:val="00397DE6"/>
    <w:rsid w:val="00397F04"/>
    <w:rsid w:val="003A01F2"/>
    <w:rsid w:val="003A0FAF"/>
    <w:rsid w:val="003A102F"/>
    <w:rsid w:val="003A11EA"/>
    <w:rsid w:val="003A171F"/>
    <w:rsid w:val="003A1BE9"/>
    <w:rsid w:val="003A1C9A"/>
    <w:rsid w:val="003A2789"/>
    <w:rsid w:val="003A2F71"/>
    <w:rsid w:val="003A3403"/>
    <w:rsid w:val="003A4074"/>
    <w:rsid w:val="003A428B"/>
    <w:rsid w:val="003A466E"/>
    <w:rsid w:val="003A46A8"/>
    <w:rsid w:val="003A478E"/>
    <w:rsid w:val="003A4B7D"/>
    <w:rsid w:val="003A5219"/>
    <w:rsid w:val="003A5299"/>
    <w:rsid w:val="003A5372"/>
    <w:rsid w:val="003A54A5"/>
    <w:rsid w:val="003A592A"/>
    <w:rsid w:val="003A5B9D"/>
    <w:rsid w:val="003A68B4"/>
    <w:rsid w:val="003A6FFD"/>
    <w:rsid w:val="003A70F8"/>
    <w:rsid w:val="003A77C8"/>
    <w:rsid w:val="003A799F"/>
    <w:rsid w:val="003A7A28"/>
    <w:rsid w:val="003A7C0B"/>
    <w:rsid w:val="003A7F91"/>
    <w:rsid w:val="003A7FEE"/>
    <w:rsid w:val="003B0425"/>
    <w:rsid w:val="003B0440"/>
    <w:rsid w:val="003B0971"/>
    <w:rsid w:val="003B0B3E"/>
    <w:rsid w:val="003B0E68"/>
    <w:rsid w:val="003B11C3"/>
    <w:rsid w:val="003B17C5"/>
    <w:rsid w:val="003B1B69"/>
    <w:rsid w:val="003B215C"/>
    <w:rsid w:val="003B21CA"/>
    <w:rsid w:val="003B2233"/>
    <w:rsid w:val="003B2594"/>
    <w:rsid w:val="003B2A79"/>
    <w:rsid w:val="003B2EAD"/>
    <w:rsid w:val="003B32EE"/>
    <w:rsid w:val="003B32FC"/>
    <w:rsid w:val="003B3C92"/>
    <w:rsid w:val="003B4345"/>
    <w:rsid w:val="003B45DC"/>
    <w:rsid w:val="003B45E9"/>
    <w:rsid w:val="003B4DEC"/>
    <w:rsid w:val="003B54FD"/>
    <w:rsid w:val="003B5C2D"/>
    <w:rsid w:val="003B6162"/>
    <w:rsid w:val="003B6502"/>
    <w:rsid w:val="003B6528"/>
    <w:rsid w:val="003B669F"/>
    <w:rsid w:val="003B6735"/>
    <w:rsid w:val="003B68DF"/>
    <w:rsid w:val="003B78B0"/>
    <w:rsid w:val="003B7A89"/>
    <w:rsid w:val="003C0371"/>
    <w:rsid w:val="003C0446"/>
    <w:rsid w:val="003C0568"/>
    <w:rsid w:val="003C0C73"/>
    <w:rsid w:val="003C0EA7"/>
    <w:rsid w:val="003C1611"/>
    <w:rsid w:val="003C1C76"/>
    <w:rsid w:val="003C1EDE"/>
    <w:rsid w:val="003C2764"/>
    <w:rsid w:val="003C290D"/>
    <w:rsid w:val="003C2BF3"/>
    <w:rsid w:val="003C2D66"/>
    <w:rsid w:val="003C2F90"/>
    <w:rsid w:val="003C3494"/>
    <w:rsid w:val="003C3B22"/>
    <w:rsid w:val="003C3E2F"/>
    <w:rsid w:val="003C472B"/>
    <w:rsid w:val="003C47E2"/>
    <w:rsid w:val="003C4B11"/>
    <w:rsid w:val="003C4D5F"/>
    <w:rsid w:val="003C4FE3"/>
    <w:rsid w:val="003C500C"/>
    <w:rsid w:val="003C5620"/>
    <w:rsid w:val="003C586A"/>
    <w:rsid w:val="003C5A85"/>
    <w:rsid w:val="003C5AB9"/>
    <w:rsid w:val="003C64D3"/>
    <w:rsid w:val="003C76AC"/>
    <w:rsid w:val="003C7C1A"/>
    <w:rsid w:val="003D228B"/>
    <w:rsid w:val="003D2C23"/>
    <w:rsid w:val="003D3E2D"/>
    <w:rsid w:val="003D445B"/>
    <w:rsid w:val="003D44FE"/>
    <w:rsid w:val="003D461A"/>
    <w:rsid w:val="003D4868"/>
    <w:rsid w:val="003D4903"/>
    <w:rsid w:val="003D4A6D"/>
    <w:rsid w:val="003D53D6"/>
    <w:rsid w:val="003D5B3A"/>
    <w:rsid w:val="003D6AD1"/>
    <w:rsid w:val="003D6C8A"/>
    <w:rsid w:val="003D6E31"/>
    <w:rsid w:val="003D6FE3"/>
    <w:rsid w:val="003D754B"/>
    <w:rsid w:val="003D77D8"/>
    <w:rsid w:val="003D7DA2"/>
    <w:rsid w:val="003E0327"/>
    <w:rsid w:val="003E0354"/>
    <w:rsid w:val="003E03CE"/>
    <w:rsid w:val="003E0CDB"/>
    <w:rsid w:val="003E141D"/>
    <w:rsid w:val="003E15B4"/>
    <w:rsid w:val="003E1C96"/>
    <w:rsid w:val="003E1CBA"/>
    <w:rsid w:val="003E1F71"/>
    <w:rsid w:val="003E2279"/>
    <w:rsid w:val="003E266B"/>
    <w:rsid w:val="003E29DE"/>
    <w:rsid w:val="003E2B56"/>
    <w:rsid w:val="003E3ABA"/>
    <w:rsid w:val="003E5B2E"/>
    <w:rsid w:val="003E5C8B"/>
    <w:rsid w:val="003E6089"/>
    <w:rsid w:val="003E615F"/>
    <w:rsid w:val="003E6852"/>
    <w:rsid w:val="003E69A5"/>
    <w:rsid w:val="003E7392"/>
    <w:rsid w:val="003E73EB"/>
    <w:rsid w:val="003E74DF"/>
    <w:rsid w:val="003E785A"/>
    <w:rsid w:val="003E7860"/>
    <w:rsid w:val="003E7D66"/>
    <w:rsid w:val="003E7D93"/>
    <w:rsid w:val="003E7E3D"/>
    <w:rsid w:val="003F0F21"/>
    <w:rsid w:val="003F1173"/>
    <w:rsid w:val="003F123E"/>
    <w:rsid w:val="003F13B3"/>
    <w:rsid w:val="003F22CA"/>
    <w:rsid w:val="003F2425"/>
    <w:rsid w:val="003F2481"/>
    <w:rsid w:val="003F2900"/>
    <w:rsid w:val="003F2D3D"/>
    <w:rsid w:val="003F2F54"/>
    <w:rsid w:val="003F30DD"/>
    <w:rsid w:val="003F3430"/>
    <w:rsid w:val="003F354C"/>
    <w:rsid w:val="003F3AE0"/>
    <w:rsid w:val="003F3BC5"/>
    <w:rsid w:val="003F492C"/>
    <w:rsid w:val="003F4DFF"/>
    <w:rsid w:val="003F4E7A"/>
    <w:rsid w:val="003F5617"/>
    <w:rsid w:val="003F5E3E"/>
    <w:rsid w:val="003F63C4"/>
    <w:rsid w:val="003F6490"/>
    <w:rsid w:val="003F7121"/>
    <w:rsid w:val="003F7169"/>
    <w:rsid w:val="003F7263"/>
    <w:rsid w:val="003F77BC"/>
    <w:rsid w:val="003F7F6C"/>
    <w:rsid w:val="00400132"/>
    <w:rsid w:val="0040014B"/>
    <w:rsid w:val="004001F0"/>
    <w:rsid w:val="00400667"/>
    <w:rsid w:val="00400802"/>
    <w:rsid w:val="00400E97"/>
    <w:rsid w:val="00400EC8"/>
    <w:rsid w:val="0040122B"/>
    <w:rsid w:val="00401F01"/>
    <w:rsid w:val="004024C9"/>
    <w:rsid w:val="0040253E"/>
    <w:rsid w:val="0040354F"/>
    <w:rsid w:val="00403EA8"/>
    <w:rsid w:val="00405E60"/>
    <w:rsid w:val="00406452"/>
    <w:rsid w:val="00406578"/>
    <w:rsid w:val="00406911"/>
    <w:rsid w:val="00406CA5"/>
    <w:rsid w:val="00406F2A"/>
    <w:rsid w:val="00407156"/>
    <w:rsid w:val="00407483"/>
    <w:rsid w:val="00407586"/>
    <w:rsid w:val="0040793A"/>
    <w:rsid w:val="00407C7F"/>
    <w:rsid w:val="00407CE5"/>
    <w:rsid w:val="00410E7B"/>
    <w:rsid w:val="0041108A"/>
    <w:rsid w:val="004113D4"/>
    <w:rsid w:val="00411F4F"/>
    <w:rsid w:val="00412A28"/>
    <w:rsid w:val="0041323A"/>
    <w:rsid w:val="00414B3B"/>
    <w:rsid w:val="004156F1"/>
    <w:rsid w:val="00415C0B"/>
    <w:rsid w:val="00415E28"/>
    <w:rsid w:val="004162B1"/>
    <w:rsid w:val="0041668C"/>
    <w:rsid w:val="00416AEF"/>
    <w:rsid w:val="00416B45"/>
    <w:rsid w:val="00416D14"/>
    <w:rsid w:val="0041701A"/>
    <w:rsid w:val="00417324"/>
    <w:rsid w:val="00417B1D"/>
    <w:rsid w:val="00417C3C"/>
    <w:rsid w:val="00417CD4"/>
    <w:rsid w:val="00417D9F"/>
    <w:rsid w:val="00420094"/>
    <w:rsid w:val="004205E1"/>
    <w:rsid w:val="004207C6"/>
    <w:rsid w:val="004209B7"/>
    <w:rsid w:val="0042197D"/>
    <w:rsid w:val="00421E4E"/>
    <w:rsid w:val="00421FD8"/>
    <w:rsid w:val="00422057"/>
    <w:rsid w:val="00422AAF"/>
    <w:rsid w:val="00422D9E"/>
    <w:rsid w:val="00422EAB"/>
    <w:rsid w:val="00423735"/>
    <w:rsid w:val="004238F3"/>
    <w:rsid w:val="00423EAD"/>
    <w:rsid w:val="00423F5D"/>
    <w:rsid w:val="00424365"/>
    <w:rsid w:val="00424483"/>
    <w:rsid w:val="004248E2"/>
    <w:rsid w:val="00424E8C"/>
    <w:rsid w:val="004252AF"/>
    <w:rsid w:val="004263F0"/>
    <w:rsid w:val="004268C3"/>
    <w:rsid w:val="00426A97"/>
    <w:rsid w:val="00426C59"/>
    <w:rsid w:val="004304F5"/>
    <w:rsid w:val="00430D70"/>
    <w:rsid w:val="0043121A"/>
    <w:rsid w:val="004316DE"/>
    <w:rsid w:val="00431D59"/>
    <w:rsid w:val="00432D25"/>
    <w:rsid w:val="00433665"/>
    <w:rsid w:val="004341FD"/>
    <w:rsid w:val="0043446D"/>
    <w:rsid w:val="00434B4C"/>
    <w:rsid w:val="00434C02"/>
    <w:rsid w:val="00434D74"/>
    <w:rsid w:val="0043514A"/>
    <w:rsid w:val="0043558E"/>
    <w:rsid w:val="004355CC"/>
    <w:rsid w:val="0043560D"/>
    <w:rsid w:val="004358DB"/>
    <w:rsid w:val="00435F65"/>
    <w:rsid w:val="0043623C"/>
    <w:rsid w:val="0043644E"/>
    <w:rsid w:val="0043725B"/>
    <w:rsid w:val="004374FF"/>
    <w:rsid w:val="00437834"/>
    <w:rsid w:val="004378B8"/>
    <w:rsid w:val="00437AC4"/>
    <w:rsid w:val="00437C2C"/>
    <w:rsid w:val="004405FA"/>
    <w:rsid w:val="0044077A"/>
    <w:rsid w:val="00440910"/>
    <w:rsid w:val="004414EB"/>
    <w:rsid w:val="00441749"/>
    <w:rsid w:val="00441F64"/>
    <w:rsid w:val="00441FB8"/>
    <w:rsid w:val="004421E1"/>
    <w:rsid w:val="00442578"/>
    <w:rsid w:val="00442E1A"/>
    <w:rsid w:val="00442E8C"/>
    <w:rsid w:val="0044356C"/>
    <w:rsid w:val="00443AAA"/>
    <w:rsid w:val="004440C2"/>
    <w:rsid w:val="004443A6"/>
    <w:rsid w:val="00444597"/>
    <w:rsid w:val="00445633"/>
    <w:rsid w:val="00445C35"/>
    <w:rsid w:val="0044609E"/>
    <w:rsid w:val="00446D08"/>
    <w:rsid w:val="00446F71"/>
    <w:rsid w:val="004470DE"/>
    <w:rsid w:val="0044712D"/>
    <w:rsid w:val="004475B1"/>
    <w:rsid w:val="004479AA"/>
    <w:rsid w:val="00447B7E"/>
    <w:rsid w:val="004501B9"/>
    <w:rsid w:val="00450604"/>
    <w:rsid w:val="00450A7C"/>
    <w:rsid w:val="00451696"/>
    <w:rsid w:val="0045185A"/>
    <w:rsid w:val="00452195"/>
    <w:rsid w:val="00452EB8"/>
    <w:rsid w:val="00453386"/>
    <w:rsid w:val="00453B3B"/>
    <w:rsid w:val="00453D4C"/>
    <w:rsid w:val="004541AC"/>
    <w:rsid w:val="004541B2"/>
    <w:rsid w:val="0045435C"/>
    <w:rsid w:val="004546F5"/>
    <w:rsid w:val="004547F9"/>
    <w:rsid w:val="00454932"/>
    <w:rsid w:val="00454A59"/>
    <w:rsid w:val="00454B67"/>
    <w:rsid w:val="00454D3E"/>
    <w:rsid w:val="0045549B"/>
    <w:rsid w:val="00456028"/>
    <w:rsid w:val="00457265"/>
    <w:rsid w:val="0045750B"/>
    <w:rsid w:val="004602F7"/>
    <w:rsid w:val="00460CC4"/>
    <w:rsid w:val="00460D05"/>
    <w:rsid w:val="00460DB4"/>
    <w:rsid w:val="0046130F"/>
    <w:rsid w:val="004617EE"/>
    <w:rsid w:val="00461C72"/>
    <w:rsid w:val="00461D61"/>
    <w:rsid w:val="004620D0"/>
    <w:rsid w:val="00462A23"/>
    <w:rsid w:val="00462AA0"/>
    <w:rsid w:val="00463248"/>
    <w:rsid w:val="00463496"/>
    <w:rsid w:val="004634A9"/>
    <w:rsid w:val="004638F6"/>
    <w:rsid w:val="004639A2"/>
    <w:rsid w:val="00463DDF"/>
    <w:rsid w:val="0046431F"/>
    <w:rsid w:val="0046432A"/>
    <w:rsid w:val="004643D6"/>
    <w:rsid w:val="00464D42"/>
    <w:rsid w:val="0046500E"/>
    <w:rsid w:val="0046544E"/>
    <w:rsid w:val="0046565B"/>
    <w:rsid w:val="0046577E"/>
    <w:rsid w:val="00465A54"/>
    <w:rsid w:val="00465F2D"/>
    <w:rsid w:val="004660E7"/>
    <w:rsid w:val="00466632"/>
    <w:rsid w:val="004669B2"/>
    <w:rsid w:val="00466F20"/>
    <w:rsid w:val="0046717A"/>
    <w:rsid w:val="00467329"/>
    <w:rsid w:val="004673D9"/>
    <w:rsid w:val="00467711"/>
    <w:rsid w:val="00467BF4"/>
    <w:rsid w:val="00467F61"/>
    <w:rsid w:val="0047010E"/>
    <w:rsid w:val="00470442"/>
    <w:rsid w:val="0047136E"/>
    <w:rsid w:val="00471A18"/>
    <w:rsid w:val="00471C19"/>
    <w:rsid w:val="00471FE5"/>
    <w:rsid w:val="004723D1"/>
    <w:rsid w:val="0047242D"/>
    <w:rsid w:val="00472782"/>
    <w:rsid w:val="0047285B"/>
    <w:rsid w:val="00472A72"/>
    <w:rsid w:val="00472ACC"/>
    <w:rsid w:val="00472F5D"/>
    <w:rsid w:val="004731BC"/>
    <w:rsid w:val="004746A7"/>
    <w:rsid w:val="00474901"/>
    <w:rsid w:val="00474A34"/>
    <w:rsid w:val="00475044"/>
    <w:rsid w:val="0047541A"/>
    <w:rsid w:val="00475907"/>
    <w:rsid w:val="0047620B"/>
    <w:rsid w:val="004763E0"/>
    <w:rsid w:val="00477A7E"/>
    <w:rsid w:val="00477E70"/>
    <w:rsid w:val="00480204"/>
    <w:rsid w:val="00480B1E"/>
    <w:rsid w:val="00481FE1"/>
    <w:rsid w:val="00482271"/>
    <w:rsid w:val="00483987"/>
    <w:rsid w:val="00483A63"/>
    <w:rsid w:val="00483FA3"/>
    <w:rsid w:val="00483FCB"/>
    <w:rsid w:val="00484412"/>
    <w:rsid w:val="00484B9D"/>
    <w:rsid w:val="00484BC6"/>
    <w:rsid w:val="00484FF3"/>
    <w:rsid w:val="0048528B"/>
    <w:rsid w:val="0048540A"/>
    <w:rsid w:val="0048553A"/>
    <w:rsid w:val="004855BD"/>
    <w:rsid w:val="004859B2"/>
    <w:rsid w:val="00485D9F"/>
    <w:rsid w:val="00485E6A"/>
    <w:rsid w:val="00486E7F"/>
    <w:rsid w:val="0048713A"/>
    <w:rsid w:val="00490742"/>
    <w:rsid w:val="004914CA"/>
    <w:rsid w:val="00491C6B"/>
    <w:rsid w:val="00491C9F"/>
    <w:rsid w:val="00492198"/>
    <w:rsid w:val="004923E4"/>
    <w:rsid w:val="004932C0"/>
    <w:rsid w:val="004937E8"/>
    <w:rsid w:val="00493C90"/>
    <w:rsid w:val="00493F18"/>
    <w:rsid w:val="0049415E"/>
    <w:rsid w:val="004946C8"/>
    <w:rsid w:val="00494749"/>
    <w:rsid w:val="00494980"/>
    <w:rsid w:val="00494C24"/>
    <w:rsid w:val="00495218"/>
    <w:rsid w:val="00495BB7"/>
    <w:rsid w:val="00495CF0"/>
    <w:rsid w:val="00495EDC"/>
    <w:rsid w:val="004962CF"/>
    <w:rsid w:val="004969AA"/>
    <w:rsid w:val="00496BD2"/>
    <w:rsid w:val="004A03A0"/>
    <w:rsid w:val="004A0F36"/>
    <w:rsid w:val="004A1146"/>
    <w:rsid w:val="004A1157"/>
    <w:rsid w:val="004A1475"/>
    <w:rsid w:val="004A281B"/>
    <w:rsid w:val="004A2F30"/>
    <w:rsid w:val="004A311B"/>
    <w:rsid w:val="004A3369"/>
    <w:rsid w:val="004A39D9"/>
    <w:rsid w:val="004A40E3"/>
    <w:rsid w:val="004A4168"/>
    <w:rsid w:val="004A477F"/>
    <w:rsid w:val="004A522F"/>
    <w:rsid w:val="004A5246"/>
    <w:rsid w:val="004A53E6"/>
    <w:rsid w:val="004A54CF"/>
    <w:rsid w:val="004A574B"/>
    <w:rsid w:val="004A59EE"/>
    <w:rsid w:val="004A66C8"/>
    <w:rsid w:val="004A6F41"/>
    <w:rsid w:val="004A6F99"/>
    <w:rsid w:val="004A7D62"/>
    <w:rsid w:val="004B024E"/>
    <w:rsid w:val="004B06DB"/>
    <w:rsid w:val="004B13C1"/>
    <w:rsid w:val="004B153F"/>
    <w:rsid w:val="004B1724"/>
    <w:rsid w:val="004B189A"/>
    <w:rsid w:val="004B1F50"/>
    <w:rsid w:val="004B20AE"/>
    <w:rsid w:val="004B22DA"/>
    <w:rsid w:val="004B276B"/>
    <w:rsid w:val="004B27DC"/>
    <w:rsid w:val="004B2B5C"/>
    <w:rsid w:val="004B2D0B"/>
    <w:rsid w:val="004B2FE6"/>
    <w:rsid w:val="004B331C"/>
    <w:rsid w:val="004B3A54"/>
    <w:rsid w:val="004B49B7"/>
    <w:rsid w:val="004B5381"/>
    <w:rsid w:val="004B5B8A"/>
    <w:rsid w:val="004B612C"/>
    <w:rsid w:val="004B6303"/>
    <w:rsid w:val="004B6727"/>
    <w:rsid w:val="004B69B5"/>
    <w:rsid w:val="004B6C12"/>
    <w:rsid w:val="004B6CAF"/>
    <w:rsid w:val="004B70C2"/>
    <w:rsid w:val="004B7231"/>
    <w:rsid w:val="004B79B1"/>
    <w:rsid w:val="004C059F"/>
    <w:rsid w:val="004C05DE"/>
    <w:rsid w:val="004C0675"/>
    <w:rsid w:val="004C0680"/>
    <w:rsid w:val="004C0749"/>
    <w:rsid w:val="004C0C60"/>
    <w:rsid w:val="004C1065"/>
    <w:rsid w:val="004C10E9"/>
    <w:rsid w:val="004C11DA"/>
    <w:rsid w:val="004C127C"/>
    <w:rsid w:val="004C1DCA"/>
    <w:rsid w:val="004C2261"/>
    <w:rsid w:val="004C27A9"/>
    <w:rsid w:val="004C2C55"/>
    <w:rsid w:val="004C2DEA"/>
    <w:rsid w:val="004C2E7E"/>
    <w:rsid w:val="004C314C"/>
    <w:rsid w:val="004C33C6"/>
    <w:rsid w:val="004C3717"/>
    <w:rsid w:val="004C3CE0"/>
    <w:rsid w:val="004C427B"/>
    <w:rsid w:val="004C42ED"/>
    <w:rsid w:val="004C44EC"/>
    <w:rsid w:val="004C454A"/>
    <w:rsid w:val="004C4C9A"/>
    <w:rsid w:val="004C4F40"/>
    <w:rsid w:val="004C52E0"/>
    <w:rsid w:val="004C7074"/>
    <w:rsid w:val="004C708B"/>
    <w:rsid w:val="004C7878"/>
    <w:rsid w:val="004C7F9B"/>
    <w:rsid w:val="004D025E"/>
    <w:rsid w:val="004D03E2"/>
    <w:rsid w:val="004D040D"/>
    <w:rsid w:val="004D0D7E"/>
    <w:rsid w:val="004D1035"/>
    <w:rsid w:val="004D16E4"/>
    <w:rsid w:val="004D1B1A"/>
    <w:rsid w:val="004D1D65"/>
    <w:rsid w:val="004D2095"/>
    <w:rsid w:val="004D279D"/>
    <w:rsid w:val="004D2BF7"/>
    <w:rsid w:val="004D2D2A"/>
    <w:rsid w:val="004D2D60"/>
    <w:rsid w:val="004D2F82"/>
    <w:rsid w:val="004D3179"/>
    <w:rsid w:val="004D3826"/>
    <w:rsid w:val="004D38A5"/>
    <w:rsid w:val="004D4889"/>
    <w:rsid w:val="004D4BE3"/>
    <w:rsid w:val="004D52B7"/>
    <w:rsid w:val="004D5988"/>
    <w:rsid w:val="004D734C"/>
    <w:rsid w:val="004D7623"/>
    <w:rsid w:val="004E119D"/>
    <w:rsid w:val="004E1255"/>
    <w:rsid w:val="004E163A"/>
    <w:rsid w:val="004E1A4B"/>
    <w:rsid w:val="004E1C0F"/>
    <w:rsid w:val="004E1C6D"/>
    <w:rsid w:val="004E1FAC"/>
    <w:rsid w:val="004E202B"/>
    <w:rsid w:val="004E26DA"/>
    <w:rsid w:val="004E3282"/>
    <w:rsid w:val="004E32F3"/>
    <w:rsid w:val="004E3440"/>
    <w:rsid w:val="004E35AF"/>
    <w:rsid w:val="004E3D58"/>
    <w:rsid w:val="004E474F"/>
    <w:rsid w:val="004E49D7"/>
    <w:rsid w:val="004E4A21"/>
    <w:rsid w:val="004E4AE0"/>
    <w:rsid w:val="004E4FF9"/>
    <w:rsid w:val="004E53D7"/>
    <w:rsid w:val="004E581E"/>
    <w:rsid w:val="004E5984"/>
    <w:rsid w:val="004E5B57"/>
    <w:rsid w:val="004E5D22"/>
    <w:rsid w:val="004E637F"/>
    <w:rsid w:val="004E65EE"/>
    <w:rsid w:val="004E664E"/>
    <w:rsid w:val="004E6978"/>
    <w:rsid w:val="004E69BA"/>
    <w:rsid w:val="004E7151"/>
    <w:rsid w:val="004E76AD"/>
    <w:rsid w:val="004E7826"/>
    <w:rsid w:val="004E7C49"/>
    <w:rsid w:val="004F02C7"/>
    <w:rsid w:val="004F05A5"/>
    <w:rsid w:val="004F0C83"/>
    <w:rsid w:val="004F0EEC"/>
    <w:rsid w:val="004F11F1"/>
    <w:rsid w:val="004F130A"/>
    <w:rsid w:val="004F148D"/>
    <w:rsid w:val="004F182F"/>
    <w:rsid w:val="004F187F"/>
    <w:rsid w:val="004F1895"/>
    <w:rsid w:val="004F265F"/>
    <w:rsid w:val="004F2706"/>
    <w:rsid w:val="004F28ED"/>
    <w:rsid w:val="004F2A0D"/>
    <w:rsid w:val="004F2A27"/>
    <w:rsid w:val="004F2A99"/>
    <w:rsid w:val="004F2C39"/>
    <w:rsid w:val="004F3508"/>
    <w:rsid w:val="004F3A51"/>
    <w:rsid w:val="004F3AFC"/>
    <w:rsid w:val="004F3B77"/>
    <w:rsid w:val="004F40F0"/>
    <w:rsid w:val="004F4269"/>
    <w:rsid w:val="004F4918"/>
    <w:rsid w:val="004F499B"/>
    <w:rsid w:val="004F4BE2"/>
    <w:rsid w:val="004F4DD9"/>
    <w:rsid w:val="004F4EBD"/>
    <w:rsid w:val="004F530D"/>
    <w:rsid w:val="004F58E6"/>
    <w:rsid w:val="004F6A51"/>
    <w:rsid w:val="004F6E06"/>
    <w:rsid w:val="004F7C0D"/>
    <w:rsid w:val="004F7F0C"/>
    <w:rsid w:val="0050040D"/>
    <w:rsid w:val="00500A1A"/>
    <w:rsid w:val="00500B8F"/>
    <w:rsid w:val="00500DF2"/>
    <w:rsid w:val="0050143A"/>
    <w:rsid w:val="00501B2E"/>
    <w:rsid w:val="0050227A"/>
    <w:rsid w:val="005022C0"/>
    <w:rsid w:val="0050245C"/>
    <w:rsid w:val="00502BB8"/>
    <w:rsid w:val="005031A4"/>
    <w:rsid w:val="005033A4"/>
    <w:rsid w:val="00503EF3"/>
    <w:rsid w:val="005042D6"/>
    <w:rsid w:val="005046D4"/>
    <w:rsid w:val="00504963"/>
    <w:rsid w:val="00504F56"/>
    <w:rsid w:val="0050502B"/>
    <w:rsid w:val="00505275"/>
    <w:rsid w:val="00505585"/>
    <w:rsid w:val="00506A39"/>
    <w:rsid w:val="00506C9C"/>
    <w:rsid w:val="005072DD"/>
    <w:rsid w:val="00507815"/>
    <w:rsid w:val="00507CB2"/>
    <w:rsid w:val="00507E3D"/>
    <w:rsid w:val="00510412"/>
    <w:rsid w:val="005106F3"/>
    <w:rsid w:val="005114DF"/>
    <w:rsid w:val="00512613"/>
    <w:rsid w:val="0051274E"/>
    <w:rsid w:val="00512A3A"/>
    <w:rsid w:val="00512A7C"/>
    <w:rsid w:val="00512B39"/>
    <w:rsid w:val="00513420"/>
    <w:rsid w:val="00513BF3"/>
    <w:rsid w:val="00513D34"/>
    <w:rsid w:val="00513EE9"/>
    <w:rsid w:val="00514147"/>
    <w:rsid w:val="005142F8"/>
    <w:rsid w:val="00514555"/>
    <w:rsid w:val="00514F9D"/>
    <w:rsid w:val="0051507B"/>
    <w:rsid w:val="00515394"/>
    <w:rsid w:val="00515490"/>
    <w:rsid w:val="005160A2"/>
    <w:rsid w:val="00516797"/>
    <w:rsid w:val="0051694E"/>
    <w:rsid w:val="005169AF"/>
    <w:rsid w:val="005169FC"/>
    <w:rsid w:val="00516BD6"/>
    <w:rsid w:val="005170C2"/>
    <w:rsid w:val="00517108"/>
    <w:rsid w:val="00517C88"/>
    <w:rsid w:val="00520701"/>
    <w:rsid w:val="00520A61"/>
    <w:rsid w:val="00520DEB"/>
    <w:rsid w:val="00520FD0"/>
    <w:rsid w:val="0052111B"/>
    <w:rsid w:val="005212C7"/>
    <w:rsid w:val="00521598"/>
    <w:rsid w:val="0052183C"/>
    <w:rsid w:val="00521AC6"/>
    <w:rsid w:val="00521FA0"/>
    <w:rsid w:val="0052260A"/>
    <w:rsid w:val="00522997"/>
    <w:rsid w:val="00522AD1"/>
    <w:rsid w:val="00522BC1"/>
    <w:rsid w:val="00522F3F"/>
    <w:rsid w:val="005235C8"/>
    <w:rsid w:val="00524DF9"/>
    <w:rsid w:val="005250C0"/>
    <w:rsid w:val="00525831"/>
    <w:rsid w:val="0052592B"/>
    <w:rsid w:val="00525F93"/>
    <w:rsid w:val="00525FCE"/>
    <w:rsid w:val="0052605A"/>
    <w:rsid w:val="005266A7"/>
    <w:rsid w:val="0052677E"/>
    <w:rsid w:val="00526FDF"/>
    <w:rsid w:val="005272DF"/>
    <w:rsid w:val="005274AB"/>
    <w:rsid w:val="005279BA"/>
    <w:rsid w:val="00527E17"/>
    <w:rsid w:val="00527E48"/>
    <w:rsid w:val="00527E4D"/>
    <w:rsid w:val="00530190"/>
    <w:rsid w:val="005301E8"/>
    <w:rsid w:val="00530A60"/>
    <w:rsid w:val="005317E6"/>
    <w:rsid w:val="0053197A"/>
    <w:rsid w:val="005319A3"/>
    <w:rsid w:val="00531E6E"/>
    <w:rsid w:val="00531EA9"/>
    <w:rsid w:val="00532410"/>
    <w:rsid w:val="00532524"/>
    <w:rsid w:val="005325D0"/>
    <w:rsid w:val="00532951"/>
    <w:rsid w:val="005339C9"/>
    <w:rsid w:val="00533DE5"/>
    <w:rsid w:val="00533E18"/>
    <w:rsid w:val="00533EC7"/>
    <w:rsid w:val="00533ED1"/>
    <w:rsid w:val="0053408E"/>
    <w:rsid w:val="00535497"/>
    <w:rsid w:val="0053554C"/>
    <w:rsid w:val="00535750"/>
    <w:rsid w:val="00536189"/>
    <w:rsid w:val="00536640"/>
    <w:rsid w:val="005369DE"/>
    <w:rsid w:val="00536C2B"/>
    <w:rsid w:val="00536D50"/>
    <w:rsid w:val="00536E7F"/>
    <w:rsid w:val="00537145"/>
    <w:rsid w:val="0053772A"/>
    <w:rsid w:val="00537C91"/>
    <w:rsid w:val="00537D50"/>
    <w:rsid w:val="00537E2E"/>
    <w:rsid w:val="00540212"/>
    <w:rsid w:val="00540A60"/>
    <w:rsid w:val="00540C4F"/>
    <w:rsid w:val="00541491"/>
    <w:rsid w:val="005416AE"/>
    <w:rsid w:val="0054170B"/>
    <w:rsid w:val="00541A10"/>
    <w:rsid w:val="00541AC6"/>
    <w:rsid w:val="00541C73"/>
    <w:rsid w:val="00541E6F"/>
    <w:rsid w:val="00542026"/>
    <w:rsid w:val="005421E0"/>
    <w:rsid w:val="0054268D"/>
    <w:rsid w:val="00542C07"/>
    <w:rsid w:val="00542ED9"/>
    <w:rsid w:val="0054375D"/>
    <w:rsid w:val="00543A83"/>
    <w:rsid w:val="00543B41"/>
    <w:rsid w:val="00544099"/>
    <w:rsid w:val="00544EF1"/>
    <w:rsid w:val="00544F78"/>
    <w:rsid w:val="00545077"/>
    <w:rsid w:val="005454A8"/>
    <w:rsid w:val="00545728"/>
    <w:rsid w:val="005464E9"/>
    <w:rsid w:val="0054685E"/>
    <w:rsid w:val="0054733C"/>
    <w:rsid w:val="0054791C"/>
    <w:rsid w:val="00547E3A"/>
    <w:rsid w:val="0055000C"/>
    <w:rsid w:val="005506A1"/>
    <w:rsid w:val="005507B6"/>
    <w:rsid w:val="00550B07"/>
    <w:rsid w:val="00550BAE"/>
    <w:rsid w:val="00550D8E"/>
    <w:rsid w:val="0055115E"/>
    <w:rsid w:val="005517F0"/>
    <w:rsid w:val="00552012"/>
    <w:rsid w:val="0055273C"/>
    <w:rsid w:val="00552F78"/>
    <w:rsid w:val="0055393E"/>
    <w:rsid w:val="00553F65"/>
    <w:rsid w:val="005547C6"/>
    <w:rsid w:val="00554D82"/>
    <w:rsid w:val="005550B6"/>
    <w:rsid w:val="005557EC"/>
    <w:rsid w:val="00555F2A"/>
    <w:rsid w:val="0055612B"/>
    <w:rsid w:val="005562EF"/>
    <w:rsid w:val="005569AC"/>
    <w:rsid w:val="00556D02"/>
    <w:rsid w:val="00556F17"/>
    <w:rsid w:val="00556F2B"/>
    <w:rsid w:val="005576E4"/>
    <w:rsid w:val="00557C92"/>
    <w:rsid w:val="00557CE9"/>
    <w:rsid w:val="00557DF6"/>
    <w:rsid w:val="00560154"/>
    <w:rsid w:val="00560175"/>
    <w:rsid w:val="005607F6"/>
    <w:rsid w:val="005609A9"/>
    <w:rsid w:val="00560D3E"/>
    <w:rsid w:val="00561253"/>
    <w:rsid w:val="0056147F"/>
    <w:rsid w:val="00561D6A"/>
    <w:rsid w:val="005621F7"/>
    <w:rsid w:val="005636AF"/>
    <w:rsid w:val="0056378E"/>
    <w:rsid w:val="005637A8"/>
    <w:rsid w:val="00563C82"/>
    <w:rsid w:val="00563CE2"/>
    <w:rsid w:val="00563ED4"/>
    <w:rsid w:val="005640F8"/>
    <w:rsid w:val="0056428B"/>
    <w:rsid w:val="005650AC"/>
    <w:rsid w:val="0056539A"/>
    <w:rsid w:val="00565B7D"/>
    <w:rsid w:val="00565BB3"/>
    <w:rsid w:val="005669A4"/>
    <w:rsid w:val="0056703B"/>
    <w:rsid w:val="0056722A"/>
    <w:rsid w:val="0056796C"/>
    <w:rsid w:val="00567A64"/>
    <w:rsid w:val="00567BB2"/>
    <w:rsid w:val="00567DB7"/>
    <w:rsid w:val="00567F04"/>
    <w:rsid w:val="005702B3"/>
    <w:rsid w:val="005707F8"/>
    <w:rsid w:val="00570B09"/>
    <w:rsid w:val="00570E55"/>
    <w:rsid w:val="00571346"/>
    <w:rsid w:val="005715A4"/>
    <w:rsid w:val="005719B4"/>
    <w:rsid w:val="00571EDC"/>
    <w:rsid w:val="005722AF"/>
    <w:rsid w:val="00572387"/>
    <w:rsid w:val="005724DA"/>
    <w:rsid w:val="005728DE"/>
    <w:rsid w:val="00572F3B"/>
    <w:rsid w:val="00573AC4"/>
    <w:rsid w:val="00573EC0"/>
    <w:rsid w:val="00573FB1"/>
    <w:rsid w:val="00574A47"/>
    <w:rsid w:val="005751FA"/>
    <w:rsid w:val="0057578A"/>
    <w:rsid w:val="00575820"/>
    <w:rsid w:val="00575BFE"/>
    <w:rsid w:val="0057611C"/>
    <w:rsid w:val="00576D6B"/>
    <w:rsid w:val="00576E59"/>
    <w:rsid w:val="0057778E"/>
    <w:rsid w:val="00577C2F"/>
    <w:rsid w:val="00577C93"/>
    <w:rsid w:val="00577EE8"/>
    <w:rsid w:val="0058006A"/>
    <w:rsid w:val="00580096"/>
    <w:rsid w:val="00580408"/>
    <w:rsid w:val="00580530"/>
    <w:rsid w:val="00580730"/>
    <w:rsid w:val="00580770"/>
    <w:rsid w:val="005808AC"/>
    <w:rsid w:val="00581007"/>
    <w:rsid w:val="00581DB5"/>
    <w:rsid w:val="005823E8"/>
    <w:rsid w:val="00582C22"/>
    <w:rsid w:val="00582EA0"/>
    <w:rsid w:val="005835E4"/>
    <w:rsid w:val="00583734"/>
    <w:rsid w:val="00583E9A"/>
    <w:rsid w:val="00584522"/>
    <w:rsid w:val="00584D8D"/>
    <w:rsid w:val="0058527E"/>
    <w:rsid w:val="00585565"/>
    <w:rsid w:val="005859CD"/>
    <w:rsid w:val="0058627A"/>
    <w:rsid w:val="005862BB"/>
    <w:rsid w:val="005862CE"/>
    <w:rsid w:val="00586716"/>
    <w:rsid w:val="00586A91"/>
    <w:rsid w:val="00586AC4"/>
    <w:rsid w:val="0058768C"/>
    <w:rsid w:val="005876A4"/>
    <w:rsid w:val="00590B71"/>
    <w:rsid w:val="00590EC3"/>
    <w:rsid w:val="005912A8"/>
    <w:rsid w:val="0059144D"/>
    <w:rsid w:val="00591868"/>
    <w:rsid w:val="00591D26"/>
    <w:rsid w:val="00591D7F"/>
    <w:rsid w:val="00592736"/>
    <w:rsid w:val="005927EB"/>
    <w:rsid w:val="00592CC1"/>
    <w:rsid w:val="00593402"/>
    <w:rsid w:val="005936CF"/>
    <w:rsid w:val="00594316"/>
    <w:rsid w:val="005943B6"/>
    <w:rsid w:val="0059479C"/>
    <w:rsid w:val="00594EA5"/>
    <w:rsid w:val="0059532A"/>
    <w:rsid w:val="005957B5"/>
    <w:rsid w:val="00595A23"/>
    <w:rsid w:val="00596105"/>
    <w:rsid w:val="00596316"/>
    <w:rsid w:val="0059667F"/>
    <w:rsid w:val="005966D3"/>
    <w:rsid w:val="00596F55"/>
    <w:rsid w:val="0059774D"/>
    <w:rsid w:val="00597A09"/>
    <w:rsid w:val="00597B6B"/>
    <w:rsid w:val="00597C3A"/>
    <w:rsid w:val="00597DEC"/>
    <w:rsid w:val="005A0163"/>
    <w:rsid w:val="005A0169"/>
    <w:rsid w:val="005A0367"/>
    <w:rsid w:val="005A073A"/>
    <w:rsid w:val="005A0B3C"/>
    <w:rsid w:val="005A1227"/>
    <w:rsid w:val="005A1C30"/>
    <w:rsid w:val="005A2AA6"/>
    <w:rsid w:val="005A2BE1"/>
    <w:rsid w:val="005A2FB6"/>
    <w:rsid w:val="005A3205"/>
    <w:rsid w:val="005A3FEB"/>
    <w:rsid w:val="005A5153"/>
    <w:rsid w:val="005A5282"/>
    <w:rsid w:val="005A5463"/>
    <w:rsid w:val="005A558C"/>
    <w:rsid w:val="005A5BAF"/>
    <w:rsid w:val="005A5BCA"/>
    <w:rsid w:val="005A5CD9"/>
    <w:rsid w:val="005A618D"/>
    <w:rsid w:val="005A68EF"/>
    <w:rsid w:val="005A69C1"/>
    <w:rsid w:val="005A6F8D"/>
    <w:rsid w:val="005A7391"/>
    <w:rsid w:val="005A7695"/>
    <w:rsid w:val="005A7714"/>
    <w:rsid w:val="005A780E"/>
    <w:rsid w:val="005A7882"/>
    <w:rsid w:val="005A7B3E"/>
    <w:rsid w:val="005A7CDC"/>
    <w:rsid w:val="005A7F7D"/>
    <w:rsid w:val="005B0195"/>
    <w:rsid w:val="005B06E4"/>
    <w:rsid w:val="005B0CD2"/>
    <w:rsid w:val="005B0D15"/>
    <w:rsid w:val="005B18BE"/>
    <w:rsid w:val="005B1F35"/>
    <w:rsid w:val="005B211D"/>
    <w:rsid w:val="005B2392"/>
    <w:rsid w:val="005B27BF"/>
    <w:rsid w:val="005B2E89"/>
    <w:rsid w:val="005B35B0"/>
    <w:rsid w:val="005B3695"/>
    <w:rsid w:val="005B39B9"/>
    <w:rsid w:val="005B3FCA"/>
    <w:rsid w:val="005B4071"/>
    <w:rsid w:val="005B47FC"/>
    <w:rsid w:val="005B4C71"/>
    <w:rsid w:val="005B52CA"/>
    <w:rsid w:val="005B5B2E"/>
    <w:rsid w:val="005B632E"/>
    <w:rsid w:val="005B6EDE"/>
    <w:rsid w:val="005B7564"/>
    <w:rsid w:val="005B7F94"/>
    <w:rsid w:val="005C014E"/>
    <w:rsid w:val="005C0235"/>
    <w:rsid w:val="005C03B2"/>
    <w:rsid w:val="005C105E"/>
    <w:rsid w:val="005C11B8"/>
    <w:rsid w:val="005C1B34"/>
    <w:rsid w:val="005C1F44"/>
    <w:rsid w:val="005C20F1"/>
    <w:rsid w:val="005C2467"/>
    <w:rsid w:val="005C2C65"/>
    <w:rsid w:val="005C426F"/>
    <w:rsid w:val="005C44F6"/>
    <w:rsid w:val="005C4634"/>
    <w:rsid w:val="005C526E"/>
    <w:rsid w:val="005C572C"/>
    <w:rsid w:val="005C58E3"/>
    <w:rsid w:val="005C590C"/>
    <w:rsid w:val="005C69EB"/>
    <w:rsid w:val="005C711F"/>
    <w:rsid w:val="005C7701"/>
    <w:rsid w:val="005C7C21"/>
    <w:rsid w:val="005C7C3C"/>
    <w:rsid w:val="005C7D89"/>
    <w:rsid w:val="005D0B7F"/>
    <w:rsid w:val="005D0C0F"/>
    <w:rsid w:val="005D0C12"/>
    <w:rsid w:val="005D1077"/>
    <w:rsid w:val="005D1674"/>
    <w:rsid w:val="005D1A4B"/>
    <w:rsid w:val="005D1B9F"/>
    <w:rsid w:val="005D2B18"/>
    <w:rsid w:val="005D321F"/>
    <w:rsid w:val="005D352D"/>
    <w:rsid w:val="005D3A6F"/>
    <w:rsid w:val="005D4312"/>
    <w:rsid w:val="005D44C4"/>
    <w:rsid w:val="005D4830"/>
    <w:rsid w:val="005D4F97"/>
    <w:rsid w:val="005D5908"/>
    <w:rsid w:val="005D5945"/>
    <w:rsid w:val="005D6247"/>
    <w:rsid w:val="005D668C"/>
    <w:rsid w:val="005D67FD"/>
    <w:rsid w:val="005D6B4F"/>
    <w:rsid w:val="005D6EEC"/>
    <w:rsid w:val="005D7001"/>
    <w:rsid w:val="005D76A3"/>
    <w:rsid w:val="005D77E2"/>
    <w:rsid w:val="005D79F3"/>
    <w:rsid w:val="005E0527"/>
    <w:rsid w:val="005E060C"/>
    <w:rsid w:val="005E0DFE"/>
    <w:rsid w:val="005E106C"/>
    <w:rsid w:val="005E11D3"/>
    <w:rsid w:val="005E1246"/>
    <w:rsid w:val="005E1454"/>
    <w:rsid w:val="005E165B"/>
    <w:rsid w:val="005E218B"/>
    <w:rsid w:val="005E29B9"/>
    <w:rsid w:val="005E2B8A"/>
    <w:rsid w:val="005E2F94"/>
    <w:rsid w:val="005E310B"/>
    <w:rsid w:val="005E36C4"/>
    <w:rsid w:val="005E3913"/>
    <w:rsid w:val="005E4188"/>
    <w:rsid w:val="005E4534"/>
    <w:rsid w:val="005E4C83"/>
    <w:rsid w:val="005E5077"/>
    <w:rsid w:val="005E5190"/>
    <w:rsid w:val="005E527F"/>
    <w:rsid w:val="005E567E"/>
    <w:rsid w:val="005E56CE"/>
    <w:rsid w:val="005E58ED"/>
    <w:rsid w:val="005E5FBE"/>
    <w:rsid w:val="005E6206"/>
    <w:rsid w:val="005E6505"/>
    <w:rsid w:val="005E651C"/>
    <w:rsid w:val="005E672C"/>
    <w:rsid w:val="005E6D31"/>
    <w:rsid w:val="005E77D3"/>
    <w:rsid w:val="005E7BED"/>
    <w:rsid w:val="005E7E35"/>
    <w:rsid w:val="005F0B16"/>
    <w:rsid w:val="005F0D8C"/>
    <w:rsid w:val="005F0E51"/>
    <w:rsid w:val="005F145D"/>
    <w:rsid w:val="005F1DD5"/>
    <w:rsid w:val="005F2201"/>
    <w:rsid w:val="005F28F9"/>
    <w:rsid w:val="005F2BFF"/>
    <w:rsid w:val="005F2C89"/>
    <w:rsid w:val="005F2D2C"/>
    <w:rsid w:val="005F2E51"/>
    <w:rsid w:val="005F3015"/>
    <w:rsid w:val="005F3465"/>
    <w:rsid w:val="005F393D"/>
    <w:rsid w:val="005F3B2E"/>
    <w:rsid w:val="005F3C83"/>
    <w:rsid w:val="005F3E50"/>
    <w:rsid w:val="005F41A2"/>
    <w:rsid w:val="005F41B2"/>
    <w:rsid w:val="005F42EA"/>
    <w:rsid w:val="005F48B6"/>
    <w:rsid w:val="005F517F"/>
    <w:rsid w:val="005F5541"/>
    <w:rsid w:val="005F57CB"/>
    <w:rsid w:val="005F6003"/>
    <w:rsid w:val="005F6572"/>
    <w:rsid w:val="005F6745"/>
    <w:rsid w:val="005F67B4"/>
    <w:rsid w:val="005F69DB"/>
    <w:rsid w:val="005F6AD4"/>
    <w:rsid w:val="005F7F03"/>
    <w:rsid w:val="006003B3"/>
    <w:rsid w:val="006008E7"/>
    <w:rsid w:val="00600E38"/>
    <w:rsid w:val="00601376"/>
    <w:rsid w:val="006013CB"/>
    <w:rsid w:val="006014CD"/>
    <w:rsid w:val="00601A3D"/>
    <w:rsid w:val="00602EAA"/>
    <w:rsid w:val="00602F1A"/>
    <w:rsid w:val="00603895"/>
    <w:rsid w:val="00603A45"/>
    <w:rsid w:val="00603B06"/>
    <w:rsid w:val="00603CC3"/>
    <w:rsid w:val="00603D8C"/>
    <w:rsid w:val="00603DA4"/>
    <w:rsid w:val="00604002"/>
    <w:rsid w:val="00604CFF"/>
    <w:rsid w:val="00604E53"/>
    <w:rsid w:val="00604F06"/>
    <w:rsid w:val="00605567"/>
    <w:rsid w:val="006058C4"/>
    <w:rsid w:val="00605EDB"/>
    <w:rsid w:val="0060615A"/>
    <w:rsid w:val="0060657B"/>
    <w:rsid w:val="00606BE6"/>
    <w:rsid w:val="0060757F"/>
    <w:rsid w:val="0060763C"/>
    <w:rsid w:val="00610090"/>
    <w:rsid w:val="006103EB"/>
    <w:rsid w:val="00610567"/>
    <w:rsid w:val="0061057B"/>
    <w:rsid w:val="0061064E"/>
    <w:rsid w:val="006108C3"/>
    <w:rsid w:val="00610ADB"/>
    <w:rsid w:val="00611364"/>
    <w:rsid w:val="00611FE1"/>
    <w:rsid w:val="006121FA"/>
    <w:rsid w:val="0061266E"/>
    <w:rsid w:val="006126B3"/>
    <w:rsid w:val="00612959"/>
    <w:rsid w:val="00612AFC"/>
    <w:rsid w:val="00612C46"/>
    <w:rsid w:val="006130D4"/>
    <w:rsid w:val="0061335F"/>
    <w:rsid w:val="006134F6"/>
    <w:rsid w:val="00615AD2"/>
    <w:rsid w:val="00615B92"/>
    <w:rsid w:val="00615C9C"/>
    <w:rsid w:val="00615FEA"/>
    <w:rsid w:val="006163F7"/>
    <w:rsid w:val="0061686E"/>
    <w:rsid w:val="0061687B"/>
    <w:rsid w:val="006173F6"/>
    <w:rsid w:val="006176EA"/>
    <w:rsid w:val="006201D8"/>
    <w:rsid w:val="006206C5"/>
    <w:rsid w:val="00620C4C"/>
    <w:rsid w:val="0062119D"/>
    <w:rsid w:val="006214BF"/>
    <w:rsid w:val="00621613"/>
    <w:rsid w:val="00621653"/>
    <w:rsid w:val="00621F8E"/>
    <w:rsid w:val="00622AD0"/>
    <w:rsid w:val="0062376B"/>
    <w:rsid w:val="006244A3"/>
    <w:rsid w:val="00624591"/>
    <w:rsid w:val="006245C6"/>
    <w:rsid w:val="00624A78"/>
    <w:rsid w:val="006252B9"/>
    <w:rsid w:val="00625316"/>
    <w:rsid w:val="0062539C"/>
    <w:rsid w:val="00625421"/>
    <w:rsid w:val="006255AC"/>
    <w:rsid w:val="0062598B"/>
    <w:rsid w:val="00625AA2"/>
    <w:rsid w:val="00625D19"/>
    <w:rsid w:val="00625D5D"/>
    <w:rsid w:val="00625EAB"/>
    <w:rsid w:val="0062685C"/>
    <w:rsid w:val="00626ABF"/>
    <w:rsid w:val="00626B6E"/>
    <w:rsid w:val="00626C60"/>
    <w:rsid w:val="00626FD3"/>
    <w:rsid w:val="00627270"/>
    <w:rsid w:val="006275F7"/>
    <w:rsid w:val="006277EE"/>
    <w:rsid w:val="00627A38"/>
    <w:rsid w:val="00627A89"/>
    <w:rsid w:val="00630AF6"/>
    <w:rsid w:val="00630B28"/>
    <w:rsid w:val="006310B1"/>
    <w:rsid w:val="00631301"/>
    <w:rsid w:val="006316F2"/>
    <w:rsid w:val="0063265D"/>
    <w:rsid w:val="006337B0"/>
    <w:rsid w:val="00633BA5"/>
    <w:rsid w:val="00633BAF"/>
    <w:rsid w:val="0063409C"/>
    <w:rsid w:val="0063442A"/>
    <w:rsid w:val="0063448F"/>
    <w:rsid w:val="00634920"/>
    <w:rsid w:val="00634C6E"/>
    <w:rsid w:val="006350F8"/>
    <w:rsid w:val="006351D2"/>
    <w:rsid w:val="006353F2"/>
    <w:rsid w:val="00635405"/>
    <w:rsid w:val="0063568A"/>
    <w:rsid w:val="00635762"/>
    <w:rsid w:val="006357C6"/>
    <w:rsid w:val="00635A28"/>
    <w:rsid w:val="00636010"/>
    <w:rsid w:val="00636252"/>
    <w:rsid w:val="00636318"/>
    <w:rsid w:val="006364A0"/>
    <w:rsid w:val="006367A0"/>
    <w:rsid w:val="00636A7A"/>
    <w:rsid w:val="0063796B"/>
    <w:rsid w:val="00637B3A"/>
    <w:rsid w:val="006407FF"/>
    <w:rsid w:val="00640B3F"/>
    <w:rsid w:val="006414DC"/>
    <w:rsid w:val="00641B93"/>
    <w:rsid w:val="006423C0"/>
    <w:rsid w:val="00642788"/>
    <w:rsid w:val="006428D0"/>
    <w:rsid w:val="00642F74"/>
    <w:rsid w:val="0064360B"/>
    <w:rsid w:val="006436A1"/>
    <w:rsid w:val="006438FE"/>
    <w:rsid w:val="00643EF7"/>
    <w:rsid w:val="00645195"/>
    <w:rsid w:val="00645201"/>
    <w:rsid w:val="006453CE"/>
    <w:rsid w:val="006457B8"/>
    <w:rsid w:val="00645F6C"/>
    <w:rsid w:val="00646055"/>
    <w:rsid w:val="00647AD9"/>
    <w:rsid w:val="00647B01"/>
    <w:rsid w:val="00647E1F"/>
    <w:rsid w:val="00647FE3"/>
    <w:rsid w:val="006508A6"/>
    <w:rsid w:val="00650D2A"/>
    <w:rsid w:val="00650F25"/>
    <w:rsid w:val="0065104D"/>
    <w:rsid w:val="00651076"/>
    <w:rsid w:val="006512C4"/>
    <w:rsid w:val="0065138A"/>
    <w:rsid w:val="0065154C"/>
    <w:rsid w:val="00651DCF"/>
    <w:rsid w:val="0065210A"/>
    <w:rsid w:val="00652657"/>
    <w:rsid w:val="00653294"/>
    <w:rsid w:val="006535C8"/>
    <w:rsid w:val="0065459C"/>
    <w:rsid w:val="00654D16"/>
    <w:rsid w:val="006550C1"/>
    <w:rsid w:val="0065558C"/>
    <w:rsid w:val="00655758"/>
    <w:rsid w:val="006559DA"/>
    <w:rsid w:val="00655A0B"/>
    <w:rsid w:val="00655B9D"/>
    <w:rsid w:val="00655FF5"/>
    <w:rsid w:val="00656B40"/>
    <w:rsid w:val="00656CBB"/>
    <w:rsid w:val="00656DA1"/>
    <w:rsid w:val="00656F05"/>
    <w:rsid w:val="00656FFF"/>
    <w:rsid w:val="006570AE"/>
    <w:rsid w:val="006576E3"/>
    <w:rsid w:val="00657C26"/>
    <w:rsid w:val="006608BD"/>
    <w:rsid w:val="00661098"/>
    <w:rsid w:val="006613D1"/>
    <w:rsid w:val="006614DA"/>
    <w:rsid w:val="006615C8"/>
    <w:rsid w:val="00661989"/>
    <w:rsid w:val="00661B6A"/>
    <w:rsid w:val="00662197"/>
    <w:rsid w:val="0066278E"/>
    <w:rsid w:val="00662D3D"/>
    <w:rsid w:val="00662D9B"/>
    <w:rsid w:val="00662EFD"/>
    <w:rsid w:val="006640E0"/>
    <w:rsid w:val="0066422B"/>
    <w:rsid w:val="006642E3"/>
    <w:rsid w:val="0066468D"/>
    <w:rsid w:val="0066587B"/>
    <w:rsid w:val="00665AC8"/>
    <w:rsid w:val="00665E01"/>
    <w:rsid w:val="00665EA0"/>
    <w:rsid w:val="00665FAC"/>
    <w:rsid w:val="00666A76"/>
    <w:rsid w:val="006674A2"/>
    <w:rsid w:val="00667627"/>
    <w:rsid w:val="00667A34"/>
    <w:rsid w:val="00667A5B"/>
    <w:rsid w:val="00667B10"/>
    <w:rsid w:val="00667E02"/>
    <w:rsid w:val="00670138"/>
    <w:rsid w:val="006703D0"/>
    <w:rsid w:val="00670466"/>
    <w:rsid w:val="00670823"/>
    <w:rsid w:val="00670B57"/>
    <w:rsid w:val="00670C06"/>
    <w:rsid w:val="00671EF0"/>
    <w:rsid w:val="00672486"/>
    <w:rsid w:val="00672EC3"/>
    <w:rsid w:val="00673CE8"/>
    <w:rsid w:val="00673E41"/>
    <w:rsid w:val="00674844"/>
    <w:rsid w:val="00674C8F"/>
    <w:rsid w:val="00674D1E"/>
    <w:rsid w:val="00675432"/>
    <w:rsid w:val="00675B3D"/>
    <w:rsid w:val="00675D07"/>
    <w:rsid w:val="00675E8C"/>
    <w:rsid w:val="00676A91"/>
    <w:rsid w:val="00676CE4"/>
    <w:rsid w:val="00677513"/>
    <w:rsid w:val="0067764F"/>
    <w:rsid w:val="0067783C"/>
    <w:rsid w:val="006779B0"/>
    <w:rsid w:val="00680080"/>
    <w:rsid w:val="00680685"/>
    <w:rsid w:val="006806D3"/>
    <w:rsid w:val="00681937"/>
    <w:rsid w:val="006820B2"/>
    <w:rsid w:val="006820C5"/>
    <w:rsid w:val="00682175"/>
    <w:rsid w:val="0068219D"/>
    <w:rsid w:val="006827E0"/>
    <w:rsid w:val="0068291C"/>
    <w:rsid w:val="00682A53"/>
    <w:rsid w:val="00682B6A"/>
    <w:rsid w:val="00682D89"/>
    <w:rsid w:val="00682E0D"/>
    <w:rsid w:val="0068307F"/>
    <w:rsid w:val="006830DD"/>
    <w:rsid w:val="0068369F"/>
    <w:rsid w:val="0068382C"/>
    <w:rsid w:val="00683A3E"/>
    <w:rsid w:val="00683BC5"/>
    <w:rsid w:val="00683DBA"/>
    <w:rsid w:val="00684B3A"/>
    <w:rsid w:val="006851C5"/>
    <w:rsid w:val="00685432"/>
    <w:rsid w:val="0068568C"/>
    <w:rsid w:val="006856A7"/>
    <w:rsid w:val="0068605B"/>
    <w:rsid w:val="0068646D"/>
    <w:rsid w:val="00686877"/>
    <w:rsid w:val="006868FC"/>
    <w:rsid w:val="00686D80"/>
    <w:rsid w:val="00687470"/>
    <w:rsid w:val="0069012A"/>
    <w:rsid w:val="006903B1"/>
    <w:rsid w:val="00690501"/>
    <w:rsid w:val="00690B11"/>
    <w:rsid w:val="00690B13"/>
    <w:rsid w:val="00691110"/>
    <w:rsid w:val="006914F8"/>
    <w:rsid w:val="006915DE"/>
    <w:rsid w:val="00691D2F"/>
    <w:rsid w:val="006921E6"/>
    <w:rsid w:val="00692602"/>
    <w:rsid w:val="00692B95"/>
    <w:rsid w:val="0069368E"/>
    <w:rsid w:val="006942EF"/>
    <w:rsid w:val="00694786"/>
    <w:rsid w:val="0069489D"/>
    <w:rsid w:val="00694ECB"/>
    <w:rsid w:val="006957EB"/>
    <w:rsid w:val="00695D69"/>
    <w:rsid w:val="00696B9B"/>
    <w:rsid w:val="00696D59"/>
    <w:rsid w:val="006970EC"/>
    <w:rsid w:val="00697C0E"/>
    <w:rsid w:val="006A05E3"/>
    <w:rsid w:val="006A1F17"/>
    <w:rsid w:val="006A249E"/>
    <w:rsid w:val="006A2559"/>
    <w:rsid w:val="006A3810"/>
    <w:rsid w:val="006A392F"/>
    <w:rsid w:val="006A4914"/>
    <w:rsid w:val="006A499B"/>
    <w:rsid w:val="006A54B4"/>
    <w:rsid w:val="006A5802"/>
    <w:rsid w:val="006A599D"/>
    <w:rsid w:val="006A610C"/>
    <w:rsid w:val="006A611E"/>
    <w:rsid w:val="006A61CD"/>
    <w:rsid w:val="006A62A7"/>
    <w:rsid w:val="006A6A9E"/>
    <w:rsid w:val="006A6ADF"/>
    <w:rsid w:val="006A6D78"/>
    <w:rsid w:val="006A7227"/>
    <w:rsid w:val="006A7569"/>
    <w:rsid w:val="006A79F2"/>
    <w:rsid w:val="006A7C21"/>
    <w:rsid w:val="006A7CF4"/>
    <w:rsid w:val="006B0293"/>
    <w:rsid w:val="006B0A04"/>
    <w:rsid w:val="006B181B"/>
    <w:rsid w:val="006B1B7F"/>
    <w:rsid w:val="006B1E13"/>
    <w:rsid w:val="006B1FC1"/>
    <w:rsid w:val="006B27B7"/>
    <w:rsid w:val="006B2827"/>
    <w:rsid w:val="006B368D"/>
    <w:rsid w:val="006B3C52"/>
    <w:rsid w:val="006B3F2D"/>
    <w:rsid w:val="006B4E1D"/>
    <w:rsid w:val="006B4F6A"/>
    <w:rsid w:val="006B52AF"/>
    <w:rsid w:val="006B5357"/>
    <w:rsid w:val="006B5629"/>
    <w:rsid w:val="006B5925"/>
    <w:rsid w:val="006B5A97"/>
    <w:rsid w:val="006B6021"/>
    <w:rsid w:val="006B67FA"/>
    <w:rsid w:val="006B7273"/>
    <w:rsid w:val="006B7DBF"/>
    <w:rsid w:val="006C176F"/>
    <w:rsid w:val="006C196B"/>
    <w:rsid w:val="006C1A36"/>
    <w:rsid w:val="006C1B1C"/>
    <w:rsid w:val="006C1B8E"/>
    <w:rsid w:val="006C1C93"/>
    <w:rsid w:val="006C1F00"/>
    <w:rsid w:val="006C2791"/>
    <w:rsid w:val="006C2923"/>
    <w:rsid w:val="006C2D0C"/>
    <w:rsid w:val="006C32E6"/>
    <w:rsid w:val="006C33C3"/>
    <w:rsid w:val="006C3698"/>
    <w:rsid w:val="006C3AA6"/>
    <w:rsid w:val="006C3E1F"/>
    <w:rsid w:val="006C4102"/>
    <w:rsid w:val="006C4582"/>
    <w:rsid w:val="006C45A0"/>
    <w:rsid w:val="006C4B76"/>
    <w:rsid w:val="006C4C7C"/>
    <w:rsid w:val="006C4FAE"/>
    <w:rsid w:val="006C578E"/>
    <w:rsid w:val="006C5B17"/>
    <w:rsid w:val="006C6072"/>
    <w:rsid w:val="006C7027"/>
    <w:rsid w:val="006C70CC"/>
    <w:rsid w:val="006C7947"/>
    <w:rsid w:val="006D136F"/>
    <w:rsid w:val="006D1842"/>
    <w:rsid w:val="006D1BA4"/>
    <w:rsid w:val="006D2049"/>
    <w:rsid w:val="006D23FA"/>
    <w:rsid w:val="006D2C73"/>
    <w:rsid w:val="006D3A59"/>
    <w:rsid w:val="006D43CA"/>
    <w:rsid w:val="006D460C"/>
    <w:rsid w:val="006D5911"/>
    <w:rsid w:val="006D5ACA"/>
    <w:rsid w:val="006D6380"/>
    <w:rsid w:val="006D6763"/>
    <w:rsid w:val="006D6807"/>
    <w:rsid w:val="006D69FE"/>
    <w:rsid w:val="006D6B6D"/>
    <w:rsid w:val="006D6EC5"/>
    <w:rsid w:val="006D7397"/>
    <w:rsid w:val="006D796D"/>
    <w:rsid w:val="006D7B3E"/>
    <w:rsid w:val="006D7B85"/>
    <w:rsid w:val="006D7BED"/>
    <w:rsid w:val="006E037C"/>
    <w:rsid w:val="006E0441"/>
    <w:rsid w:val="006E1463"/>
    <w:rsid w:val="006E1F90"/>
    <w:rsid w:val="006E21B2"/>
    <w:rsid w:val="006E2A3A"/>
    <w:rsid w:val="006E2A88"/>
    <w:rsid w:val="006E3197"/>
    <w:rsid w:val="006E34A6"/>
    <w:rsid w:val="006E3851"/>
    <w:rsid w:val="006E3B0E"/>
    <w:rsid w:val="006E3CBA"/>
    <w:rsid w:val="006E3DF5"/>
    <w:rsid w:val="006E3E42"/>
    <w:rsid w:val="006E4088"/>
    <w:rsid w:val="006E40C1"/>
    <w:rsid w:val="006E4128"/>
    <w:rsid w:val="006E426A"/>
    <w:rsid w:val="006E4871"/>
    <w:rsid w:val="006E4A87"/>
    <w:rsid w:val="006E5752"/>
    <w:rsid w:val="006E582F"/>
    <w:rsid w:val="006E5B14"/>
    <w:rsid w:val="006E6826"/>
    <w:rsid w:val="006E6B3B"/>
    <w:rsid w:val="006E6CD8"/>
    <w:rsid w:val="006E6D2D"/>
    <w:rsid w:val="006E6E69"/>
    <w:rsid w:val="006E709F"/>
    <w:rsid w:val="006E732F"/>
    <w:rsid w:val="006E7684"/>
    <w:rsid w:val="006E7929"/>
    <w:rsid w:val="006E7B02"/>
    <w:rsid w:val="006E7EA0"/>
    <w:rsid w:val="006F0051"/>
    <w:rsid w:val="006F07A7"/>
    <w:rsid w:val="006F0E20"/>
    <w:rsid w:val="006F13A5"/>
    <w:rsid w:val="006F13E5"/>
    <w:rsid w:val="006F1845"/>
    <w:rsid w:val="006F1BAB"/>
    <w:rsid w:val="006F1D31"/>
    <w:rsid w:val="006F2142"/>
    <w:rsid w:val="006F2256"/>
    <w:rsid w:val="006F226D"/>
    <w:rsid w:val="006F2339"/>
    <w:rsid w:val="006F305C"/>
    <w:rsid w:val="006F308D"/>
    <w:rsid w:val="006F30B5"/>
    <w:rsid w:val="006F36E4"/>
    <w:rsid w:val="006F37AA"/>
    <w:rsid w:val="006F37FA"/>
    <w:rsid w:val="006F3972"/>
    <w:rsid w:val="006F3AFD"/>
    <w:rsid w:val="006F3C04"/>
    <w:rsid w:val="006F461E"/>
    <w:rsid w:val="006F47AD"/>
    <w:rsid w:val="006F493B"/>
    <w:rsid w:val="006F4CD7"/>
    <w:rsid w:val="006F52C8"/>
    <w:rsid w:val="006F5941"/>
    <w:rsid w:val="006F5E27"/>
    <w:rsid w:val="006F6033"/>
    <w:rsid w:val="006F6400"/>
    <w:rsid w:val="006F674E"/>
    <w:rsid w:val="006F67CB"/>
    <w:rsid w:val="006F69A5"/>
    <w:rsid w:val="006F7150"/>
    <w:rsid w:val="006F785E"/>
    <w:rsid w:val="00700206"/>
    <w:rsid w:val="007004A4"/>
    <w:rsid w:val="007008FA"/>
    <w:rsid w:val="00700A21"/>
    <w:rsid w:val="00700B85"/>
    <w:rsid w:val="00700D7C"/>
    <w:rsid w:val="00700F93"/>
    <w:rsid w:val="007013C0"/>
    <w:rsid w:val="0070195A"/>
    <w:rsid w:val="00701E91"/>
    <w:rsid w:val="0070216B"/>
    <w:rsid w:val="0070216C"/>
    <w:rsid w:val="0070218D"/>
    <w:rsid w:val="007025A5"/>
    <w:rsid w:val="007050EF"/>
    <w:rsid w:val="0070511D"/>
    <w:rsid w:val="007051F8"/>
    <w:rsid w:val="00705302"/>
    <w:rsid w:val="007059DF"/>
    <w:rsid w:val="00705E93"/>
    <w:rsid w:val="0070606B"/>
    <w:rsid w:val="00706B5E"/>
    <w:rsid w:val="007073CC"/>
    <w:rsid w:val="007079DE"/>
    <w:rsid w:val="00707A93"/>
    <w:rsid w:val="00710283"/>
    <w:rsid w:val="00710937"/>
    <w:rsid w:val="0071098E"/>
    <w:rsid w:val="00710FE1"/>
    <w:rsid w:val="0071172A"/>
    <w:rsid w:val="00711CD6"/>
    <w:rsid w:val="00711D15"/>
    <w:rsid w:val="00711FFD"/>
    <w:rsid w:val="0071268B"/>
    <w:rsid w:val="0071368B"/>
    <w:rsid w:val="007137D1"/>
    <w:rsid w:val="00713B1A"/>
    <w:rsid w:val="00715559"/>
    <w:rsid w:val="00715DC1"/>
    <w:rsid w:val="00715E49"/>
    <w:rsid w:val="00715EDA"/>
    <w:rsid w:val="00715F88"/>
    <w:rsid w:val="00716178"/>
    <w:rsid w:val="00716624"/>
    <w:rsid w:val="0071668C"/>
    <w:rsid w:val="00716A89"/>
    <w:rsid w:val="00716E40"/>
    <w:rsid w:val="00716F75"/>
    <w:rsid w:val="007171FA"/>
    <w:rsid w:val="007175F4"/>
    <w:rsid w:val="00717C81"/>
    <w:rsid w:val="00720284"/>
    <w:rsid w:val="00720382"/>
    <w:rsid w:val="007203D1"/>
    <w:rsid w:val="007205BB"/>
    <w:rsid w:val="00720790"/>
    <w:rsid w:val="0072091E"/>
    <w:rsid w:val="00720BB0"/>
    <w:rsid w:val="00720F89"/>
    <w:rsid w:val="00720FA6"/>
    <w:rsid w:val="0072141E"/>
    <w:rsid w:val="00721613"/>
    <w:rsid w:val="00721653"/>
    <w:rsid w:val="00721CA7"/>
    <w:rsid w:val="00721F42"/>
    <w:rsid w:val="00721FA5"/>
    <w:rsid w:val="00722F3B"/>
    <w:rsid w:val="007230A0"/>
    <w:rsid w:val="007233AF"/>
    <w:rsid w:val="0072349E"/>
    <w:rsid w:val="007236DC"/>
    <w:rsid w:val="00723C24"/>
    <w:rsid w:val="00723C31"/>
    <w:rsid w:val="00723EA4"/>
    <w:rsid w:val="00724288"/>
    <w:rsid w:val="00724682"/>
    <w:rsid w:val="0072475F"/>
    <w:rsid w:val="00724A92"/>
    <w:rsid w:val="00724D5D"/>
    <w:rsid w:val="0072518E"/>
    <w:rsid w:val="00725581"/>
    <w:rsid w:val="007259BD"/>
    <w:rsid w:val="00726406"/>
    <w:rsid w:val="00727730"/>
    <w:rsid w:val="0073091C"/>
    <w:rsid w:val="00730ABC"/>
    <w:rsid w:val="00730B4A"/>
    <w:rsid w:val="007315E7"/>
    <w:rsid w:val="0073169C"/>
    <w:rsid w:val="00731C11"/>
    <w:rsid w:val="00732217"/>
    <w:rsid w:val="00732600"/>
    <w:rsid w:val="00732712"/>
    <w:rsid w:val="00732F43"/>
    <w:rsid w:val="00733258"/>
    <w:rsid w:val="007334D5"/>
    <w:rsid w:val="0073393D"/>
    <w:rsid w:val="00733A97"/>
    <w:rsid w:val="0073479D"/>
    <w:rsid w:val="00734DFD"/>
    <w:rsid w:val="0073518C"/>
    <w:rsid w:val="00735374"/>
    <w:rsid w:val="00735640"/>
    <w:rsid w:val="00735D5F"/>
    <w:rsid w:val="0073637B"/>
    <w:rsid w:val="00736733"/>
    <w:rsid w:val="0073673A"/>
    <w:rsid w:val="00736B97"/>
    <w:rsid w:val="00736DBB"/>
    <w:rsid w:val="00737439"/>
    <w:rsid w:val="00740309"/>
    <w:rsid w:val="007405CA"/>
    <w:rsid w:val="00740665"/>
    <w:rsid w:val="00740F26"/>
    <w:rsid w:val="00742AEE"/>
    <w:rsid w:val="00742B41"/>
    <w:rsid w:val="00743544"/>
    <w:rsid w:val="007440E9"/>
    <w:rsid w:val="00745A5C"/>
    <w:rsid w:val="007464D5"/>
    <w:rsid w:val="00746B6A"/>
    <w:rsid w:val="00746FB7"/>
    <w:rsid w:val="00746FD3"/>
    <w:rsid w:val="007471CE"/>
    <w:rsid w:val="0074731A"/>
    <w:rsid w:val="007473E3"/>
    <w:rsid w:val="00747952"/>
    <w:rsid w:val="00747ABB"/>
    <w:rsid w:val="00747FC1"/>
    <w:rsid w:val="00750649"/>
    <w:rsid w:val="0075064F"/>
    <w:rsid w:val="0075070A"/>
    <w:rsid w:val="007510AE"/>
    <w:rsid w:val="007513A1"/>
    <w:rsid w:val="0075165D"/>
    <w:rsid w:val="00751975"/>
    <w:rsid w:val="00751D79"/>
    <w:rsid w:val="007521FF"/>
    <w:rsid w:val="007523E4"/>
    <w:rsid w:val="00752A99"/>
    <w:rsid w:val="00752D03"/>
    <w:rsid w:val="00752DE4"/>
    <w:rsid w:val="00753293"/>
    <w:rsid w:val="00753759"/>
    <w:rsid w:val="00753CC9"/>
    <w:rsid w:val="00754034"/>
    <w:rsid w:val="00754136"/>
    <w:rsid w:val="0075427C"/>
    <w:rsid w:val="00754C5D"/>
    <w:rsid w:val="007556C7"/>
    <w:rsid w:val="00757041"/>
    <w:rsid w:val="007570EC"/>
    <w:rsid w:val="00757417"/>
    <w:rsid w:val="00757B4A"/>
    <w:rsid w:val="0076005F"/>
    <w:rsid w:val="007603C5"/>
    <w:rsid w:val="00760587"/>
    <w:rsid w:val="0076097B"/>
    <w:rsid w:val="00760A49"/>
    <w:rsid w:val="00760D3A"/>
    <w:rsid w:val="00760FF7"/>
    <w:rsid w:val="00761042"/>
    <w:rsid w:val="00761BD3"/>
    <w:rsid w:val="00761CDB"/>
    <w:rsid w:val="00761D79"/>
    <w:rsid w:val="00762199"/>
    <w:rsid w:val="007622B3"/>
    <w:rsid w:val="00762BD2"/>
    <w:rsid w:val="00762D3D"/>
    <w:rsid w:val="0076309E"/>
    <w:rsid w:val="00763414"/>
    <w:rsid w:val="00763642"/>
    <w:rsid w:val="0076454B"/>
    <w:rsid w:val="00764918"/>
    <w:rsid w:val="007649D2"/>
    <w:rsid w:val="00765075"/>
    <w:rsid w:val="007654AE"/>
    <w:rsid w:val="00765713"/>
    <w:rsid w:val="007657B3"/>
    <w:rsid w:val="0076581D"/>
    <w:rsid w:val="00765E88"/>
    <w:rsid w:val="00766438"/>
    <w:rsid w:val="00766DF7"/>
    <w:rsid w:val="007675DE"/>
    <w:rsid w:val="0077065D"/>
    <w:rsid w:val="0077088A"/>
    <w:rsid w:val="00770A90"/>
    <w:rsid w:val="00770B83"/>
    <w:rsid w:val="00770DC8"/>
    <w:rsid w:val="00771BFC"/>
    <w:rsid w:val="00772100"/>
    <w:rsid w:val="007721B5"/>
    <w:rsid w:val="00772A0A"/>
    <w:rsid w:val="0077331E"/>
    <w:rsid w:val="007739AC"/>
    <w:rsid w:val="007744DE"/>
    <w:rsid w:val="00774618"/>
    <w:rsid w:val="00774B54"/>
    <w:rsid w:val="00774B5E"/>
    <w:rsid w:val="00774B94"/>
    <w:rsid w:val="00774C90"/>
    <w:rsid w:val="00774DE4"/>
    <w:rsid w:val="0077509F"/>
    <w:rsid w:val="00775366"/>
    <w:rsid w:val="0077552E"/>
    <w:rsid w:val="00775A60"/>
    <w:rsid w:val="00775EE3"/>
    <w:rsid w:val="0077665B"/>
    <w:rsid w:val="00777964"/>
    <w:rsid w:val="00780054"/>
    <w:rsid w:val="007803E3"/>
    <w:rsid w:val="00780619"/>
    <w:rsid w:val="007807D3"/>
    <w:rsid w:val="0078093C"/>
    <w:rsid w:val="00780DCC"/>
    <w:rsid w:val="007817B5"/>
    <w:rsid w:val="00781B50"/>
    <w:rsid w:val="00781FB8"/>
    <w:rsid w:val="007822FC"/>
    <w:rsid w:val="007825A7"/>
    <w:rsid w:val="00782B38"/>
    <w:rsid w:val="00782B8A"/>
    <w:rsid w:val="007832C4"/>
    <w:rsid w:val="0078365D"/>
    <w:rsid w:val="007838CE"/>
    <w:rsid w:val="00783A9A"/>
    <w:rsid w:val="00783D91"/>
    <w:rsid w:val="007846E7"/>
    <w:rsid w:val="00784852"/>
    <w:rsid w:val="007848E4"/>
    <w:rsid w:val="00784C45"/>
    <w:rsid w:val="00784D5B"/>
    <w:rsid w:val="00785427"/>
    <w:rsid w:val="00786779"/>
    <w:rsid w:val="00786926"/>
    <w:rsid w:val="00786946"/>
    <w:rsid w:val="00786B61"/>
    <w:rsid w:val="00786E7E"/>
    <w:rsid w:val="007872A8"/>
    <w:rsid w:val="00787406"/>
    <w:rsid w:val="00787478"/>
    <w:rsid w:val="007877D6"/>
    <w:rsid w:val="007878A9"/>
    <w:rsid w:val="00787CD1"/>
    <w:rsid w:val="00787D88"/>
    <w:rsid w:val="00787EC1"/>
    <w:rsid w:val="007902F4"/>
    <w:rsid w:val="00790848"/>
    <w:rsid w:val="0079099A"/>
    <w:rsid w:val="00790AE5"/>
    <w:rsid w:val="00790E66"/>
    <w:rsid w:val="00791151"/>
    <w:rsid w:val="007911A4"/>
    <w:rsid w:val="00791C9A"/>
    <w:rsid w:val="0079262D"/>
    <w:rsid w:val="00792938"/>
    <w:rsid w:val="00792BF6"/>
    <w:rsid w:val="00792D77"/>
    <w:rsid w:val="00792E9A"/>
    <w:rsid w:val="00793099"/>
    <w:rsid w:val="007934EC"/>
    <w:rsid w:val="00793578"/>
    <w:rsid w:val="00793791"/>
    <w:rsid w:val="007938D0"/>
    <w:rsid w:val="0079447E"/>
    <w:rsid w:val="007949DE"/>
    <w:rsid w:val="00794E5C"/>
    <w:rsid w:val="00794EF4"/>
    <w:rsid w:val="00794FA3"/>
    <w:rsid w:val="007952E3"/>
    <w:rsid w:val="007956DE"/>
    <w:rsid w:val="00795C34"/>
    <w:rsid w:val="00796317"/>
    <w:rsid w:val="00796397"/>
    <w:rsid w:val="00796666"/>
    <w:rsid w:val="00796807"/>
    <w:rsid w:val="00796CD0"/>
    <w:rsid w:val="0079709B"/>
    <w:rsid w:val="00797CB0"/>
    <w:rsid w:val="007A0B1C"/>
    <w:rsid w:val="007A0CCB"/>
    <w:rsid w:val="007A13F6"/>
    <w:rsid w:val="007A1511"/>
    <w:rsid w:val="007A23FE"/>
    <w:rsid w:val="007A2ABF"/>
    <w:rsid w:val="007A3144"/>
    <w:rsid w:val="007A518D"/>
    <w:rsid w:val="007A5377"/>
    <w:rsid w:val="007A53A9"/>
    <w:rsid w:val="007A5B1A"/>
    <w:rsid w:val="007A5C67"/>
    <w:rsid w:val="007A62E1"/>
    <w:rsid w:val="007A661A"/>
    <w:rsid w:val="007A6F5F"/>
    <w:rsid w:val="007A746B"/>
    <w:rsid w:val="007A7CEA"/>
    <w:rsid w:val="007A7F2F"/>
    <w:rsid w:val="007B0BE7"/>
    <w:rsid w:val="007B0FEE"/>
    <w:rsid w:val="007B13FF"/>
    <w:rsid w:val="007B1503"/>
    <w:rsid w:val="007B1742"/>
    <w:rsid w:val="007B1761"/>
    <w:rsid w:val="007B176D"/>
    <w:rsid w:val="007B19B2"/>
    <w:rsid w:val="007B1D5A"/>
    <w:rsid w:val="007B1ED4"/>
    <w:rsid w:val="007B2413"/>
    <w:rsid w:val="007B2EA6"/>
    <w:rsid w:val="007B38E7"/>
    <w:rsid w:val="007B3D2E"/>
    <w:rsid w:val="007B4257"/>
    <w:rsid w:val="007B4429"/>
    <w:rsid w:val="007B555D"/>
    <w:rsid w:val="007B557E"/>
    <w:rsid w:val="007B5B38"/>
    <w:rsid w:val="007B5C8C"/>
    <w:rsid w:val="007B5FBF"/>
    <w:rsid w:val="007B60D5"/>
    <w:rsid w:val="007B6147"/>
    <w:rsid w:val="007B72D6"/>
    <w:rsid w:val="007B7928"/>
    <w:rsid w:val="007B7CA2"/>
    <w:rsid w:val="007B7D91"/>
    <w:rsid w:val="007B7FF2"/>
    <w:rsid w:val="007C0246"/>
    <w:rsid w:val="007C02C6"/>
    <w:rsid w:val="007C05B6"/>
    <w:rsid w:val="007C0977"/>
    <w:rsid w:val="007C0B7B"/>
    <w:rsid w:val="007C1019"/>
    <w:rsid w:val="007C1E74"/>
    <w:rsid w:val="007C272E"/>
    <w:rsid w:val="007C2A2F"/>
    <w:rsid w:val="007C3023"/>
    <w:rsid w:val="007C3242"/>
    <w:rsid w:val="007C33D2"/>
    <w:rsid w:val="007C34DF"/>
    <w:rsid w:val="007C42E3"/>
    <w:rsid w:val="007C573E"/>
    <w:rsid w:val="007C5819"/>
    <w:rsid w:val="007C5904"/>
    <w:rsid w:val="007C5CB6"/>
    <w:rsid w:val="007C6114"/>
    <w:rsid w:val="007C635E"/>
    <w:rsid w:val="007C6533"/>
    <w:rsid w:val="007C6922"/>
    <w:rsid w:val="007C6E13"/>
    <w:rsid w:val="007C6E71"/>
    <w:rsid w:val="007C6ED6"/>
    <w:rsid w:val="007C7096"/>
    <w:rsid w:val="007C79F8"/>
    <w:rsid w:val="007D0AB3"/>
    <w:rsid w:val="007D0E84"/>
    <w:rsid w:val="007D1183"/>
    <w:rsid w:val="007D2DC7"/>
    <w:rsid w:val="007D3075"/>
    <w:rsid w:val="007D32A8"/>
    <w:rsid w:val="007D33F8"/>
    <w:rsid w:val="007D3413"/>
    <w:rsid w:val="007D3618"/>
    <w:rsid w:val="007D3A5D"/>
    <w:rsid w:val="007D4925"/>
    <w:rsid w:val="007D4C66"/>
    <w:rsid w:val="007D4FC6"/>
    <w:rsid w:val="007D56ED"/>
    <w:rsid w:val="007D571C"/>
    <w:rsid w:val="007D58EB"/>
    <w:rsid w:val="007D5911"/>
    <w:rsid w:val="007D6904"/>
    <w:rsid w:val="007D6BFA"/>
    <w:rsid w:val="007D6DB9"/>
    <w:rsid w:val="007D6E9B"/>
    <w:rsid w:val="007D6F7C"/>
    <w:rsid w:val="007D728B"/>
    <w:rsid w:val="007D72F8"/>
    <w:rsid w:val="007D73CC"/>
    <w:rsid w:val="007D7590"/>
    <w:rsid w:val="007D7877"/>
    <w:rsid w:val="007D792E"/>
    <w:rsid w:val="007D7CFF"/>
    <w:rsid w:val="007D7DF9"/>
    <w:rsid w:val="007E0122"/>
    <w:rsid w:val="007E0422"/>
    <w:rsid w:val="007E0E91"/>
    <w:rsid w:val="007E1251"/>
    <w:rsid w:val="007E125D"/>
    <w:rsid w:val="007E13AC"/>
    <w:rsid w:val="007E1724"/>
    <w:rsid w:val="007E1A8E"/>
    <w:rsid w:val="007E2098"/>
    <w:rsid w:val="007E3375"/>
    <w:rsid w:val="007E36D1"/>
    <w:rsid w:val="007E3858"/>
    <w:rsid w:val="007E3A98"/>
    <w:rsid w:val="007E3DD7"/>
    <w:rsid w:val="007E40A9"/>
    <w:rsid w:val="007E4136"/>
    <w:rsid w:val="007E4173"/>
    <w:rsid w:val="007E48EF"/>
    <w:rsid w:val="007E49DB"/>
    <w:rsid w:val="007E4F32"/>
    <w:rsid w:val="007E59A4"/>
    <w:rsid w:val="007E5AA0"/>
    <w:rsid w:val="007E5FDA"/>
    <w:rsid w:val="007E60FB"/>
    <w:rsid w:val="007E6657"/>
    <w:rsid w:val="007E6E85"/>
    <w:rsid w:val="007E7295"/>
    <w:rsid w:val="007E72D8"/>
    <w:rsid w:val="007E7AC9"/>
    <w:rsid w:val="007F0177"/>
    <w:rsid w:val="007F05D0"/>
    <w:rsid w:val="007F08C0"/>
    <w:rsid w:val="007F0AD0"/>
    <w:rsid w:val="007F1D81"/>
    <w:rsid w:val="007F1DC7"/>
    <w:rsid w:val="007F1F1D"/>
    <w:rsid w:val="007F2125"/>
    <w:rsid w:val="007F21F0"/>
    <w:rsid w:val="007F27D0"/>
    <w:rsid w:val="007F2ADD"/>
    <w:rsid w:val="007F30A7"/>
    <w:rsid w:val="007F35C8"/>
    <w:rsid w:val="007F379F"/>
    <w:rsid w:val="007F3C35"/>
    <w:rsid w:val="007F3C36"/>
    <w:rsid w:val="007F3E21"/>
    <w:rsid w:val="007F4090"/>
    <w:rsid w:val="007F44F7"/>
    <w:rsid w:val="007F4AAC"/>
    <w:rsid w:val="007F4F70"/>
    <w:rsid w:val="007F4FB7"/>
    <w:rsid w:val="007F5125"/>
    <w:rsid w:val="007F52D1"/>
    <w:rsid w:val="007F5357"/>
    <w:rsid w:val="007F5483"/>
    <w:rsid w:val="007F57A5"/>
    <w:rsid w:val="007F58BD"/>
    <w:rsid w:val="007F60D4"/>
    <w:rsid w:val="007F6301"/>
    <w:rsid w:val="007F6407"/>
    <w:rsid w:val="007F653B"/>
    <w:rsid w:val="007F705A"/>
    <w:rsid w:val="0080030E"/>
    <w:rsid w:val="00800A8F"/>
    <w:rsid w:val="00800DB8"/>
    <w:rsid w:val="0080121F"/>
    <w:rsid w:val="00801536"/>
    <w:rsid w:val="008019E4"/>
    <w:rsid w:val="0080213D"/>
    <w:rsid w:val="008028DF"/>
    <w:rsid w:val="008038D3"/>
    <w:rsid w:val="00803A0E"/>
    <w:rsid w:val="00803DB3"/>
    <w:rsid w:val="008042E0"/>
    <w:rsid w:val="00804A61"/>
    <w:rsid w:val="0080519E"/>
    <w:rsid w:val="008055FF"/>
    <w:rsid w:val="00805D4C"/>
    <w:rsid w:val="008061CA"/>
    <w:rsid w:val="00806A62"/>
    <w:rsid w:val="00806AED"/>
    <w:rsid w:val="008071BF"/>
    <w:rsid w:val="00807AE4"/>
    <w:rsid w:val="00807DD3"/>
    <w:rsid w:val="00810591"/>
    <w:rsid w:val="00810A26"/>
    <w:rsid w:val="00810A80"/>
    <w:rsid w:val="00810FD9"/>
    <w:rsid w:val="008110FE"/>
    <w:rsid w:val="00811350"/>
    <w:rsid w:val="00811E35"/>
    <w:rsid w:val="00811F60"/>
    <w:rsid w:val="00812001"/>
    <w:rsid w:val="0081321A"/>
    <w:rsid w:val="008132F7"/>
    <w:rsid w:val="008135A4"/>
    <w:rsid w:val="00813B22"/>
    <w:rsid w:val="008141ED"/>
    <w:rsid w:val="00814B96"/>
    <w:rsid w:val="00814FB9"/>
    <w:rsid w:val="00815277"/>
    <w:rsid w:val="008158DB"/>
    <w:rsid w:val="00815C1C"/>
    <w:rsid w:val="00816389"/>
    <w:rsid w:val="008163F5"/>
    <w:rsid w:val="008165F1"/>
    <w:rsid w:val="00816BDB"/>
    <w:rsid w:val="00816E15"/>
    <w:rsid w:val="00817762"/>
    <w:rsid w:val="00817BA2"/>
    <w:rsid w:val="0082052C"/>
    <w:rsid w:val="0082076E"/>
    <w:rsid w:val="00820B1A"/>
    <w:rsid w:val="008213F4"/>
    <w:rsid w:val="00821E53"/>
    <w:rsid w:val="008224ED"/>
    <w:rsid w:val="0082267F"/>
    <w:rsid w:val="008226F4"/>
    <w:rsid w:val="00822C4C"/>
    <w:rsid w:val="008238B5"/>
    <w:rsid w:val="00823E32"/>
    <w:rsid w:val="00824685"/>
    <w:rsid w:val="00824C1E"/>
    <w:rsid w:val="00824DB6"/>
    <w:rsid w:val="008250CC"/>
    <w:rsid w:val="008253E8"/>
    <w:rsid w:val="00825878"/>
    <w:rsid w:val="008265A0"/>
    <w:rsid w:val="00826665"/>
    <w:rsid w:val="0082666F"/>
    <w:rsid w:val="00826C9B"/>
    <w:rsid w:val="00826EA0"/>
    <w:rsid w:val="00826EE8"/>
    <w:rsid w:val="00826EFD"/>
    <w:rsid w:val="0082707E"/>
    <w:rsid w:val="00827195"/>
    <w:rsid w:val="00827594"/>
    <w:rsid w:val="008277AC"/>
    <w:rsid w:val="00827E60"/>
    <w:rsid w:val="00827FD9"/>
    <w:rsid w:val="0083040D"/>
    <w:rsid w:val="008304E5"/>
    <w:rsid w:val="008308D2"/>
    <w:rsid w:val="008308EC"/>
    <w:rsid w:val="008309D4"/>
    <w:rsid w:val="0083141B"/>
    <w:rsid w:val="0083160C"/>
    <w:rsid w:val="008318AB"/>
    <w:rsid w:val="00831D6F"/>
    <w:rsid w:val="00832210"/>
    <w:rsid w:val="008322BD"/>
    <w:rsid w:val="00832539"/>
    <w:rsid w:val="00832D93"/>
    <w:rsid w:val="00833560"/>
    <w:rsid w:val="008339AA"/>
    <w:rsid w:val="00833BC2"/>
    <w:rsid w:val="00833C8F"/>
    <w:rsid w:val="00833DD5"/>
    <w:rsid w:val="00833E43"/>
    <w:rsid w:val="008343BF"/>
    <w:rsid w:val="00834685"/>
    <w:rsid w:val="00834B68"/>
    <w:rsid w:val="0083586F"/>
    <w:rsid w:val="00835BA1"/>
    <w:rsid w:val="00836534"/>
    <w:rsid w:val="00836A41"/>
    <w:rsid w:val="00837417"/>
    <w:rsid w:val="00837694"/>
    <w:rsid w:val="00837BDA"/>
    <w:rsid w:val="008405EC"/>
    <w:rsid w:val="00840B96"/>
    <w:rsid w:val="0084111A"/>
    <w:rsid w:val="00841551"/>
    <w:rsid w:val="00841D0A"/>
    <w:rsid w:val="00841FC9"/>
    <w:rsid w:val="0084204E"/>
    <w:rsid w:val="008423A0"/>
    <w:rsid w:val="00842587"/>
    <w:rsid w:val="008428EC"/>
    <w:rsid w:val="00842C52"/>
    <w:rsid w:val="00843111"/>
    <w:rsid w:val="00843159"/>
    <w:rsid w:val="008432CB"/>
    <w:rsid w:val="00843451"/>
    <w:rsid w:val="00843895"/>
    <w:rsid w:val="008443F5"/>
    <w:rsid w:val="00844C43"/>
    <w:rsid w:val="00845077"/>
    <w:rsid w:val="00845374"/>
    <w:rsid w:val="00846444"/>
    <w:rsid w:val="008465A3"/>
    <w:rsid w:val="008466F0"/>
    <w:rsid w:val="00846FE0"/>
    <w:rsid w:val="008470AD"/>
    <w:rsid w:val="00847AB0"/>
    <w:rsid w:val="0085021F"/>
    <w:rsid w:val="0085142B"/>
    <w:rsid w:val="00852BE3"/>
    <w:rsid w:val="00852C5A"/>
    <w:rsid w:val="00852D42"/>
    <w:rsid w:val="00852F16"/>
    <w:rsid w:val="00852F5B"/>
    <w:rsid w:val="0085364F"/>
    <w:rsid w:val="0085423A"/>
    <w:rsid w:val="0085452F"/>
    <w:rsid w:val="00855272"/>
    <w:rsid w:val="00855695"/>
    <w:rsid w:val="00855974"/>
    <w:rsid w:val="00855FB3"/>
    <w:rsid w:val="0085629B"/>
    <w:rsid w:val="00856A2C"/>
    <w:rsid w:val="008571BA"/>
    <w:rsid w:val="008571D4"/>
    <w:rsid w:val="008603D3"/>
    <w:rsid w:val="008606FD"/>
    <w:rsid w:val="008613EF"/>
    <w:rsid w:val="00861607"/>
    <w:rsid w:val="00861B9A"/>
    <w:rsid w:val="00862196"/>
    <w:rsid w:val="0086219E"/>
    <w:rsid w:val="008623C7"/>
    <w:rsid w:val="00862B38"/>
    <w:rsid w:val="00862E50"/>
    <w:rsid w:val="00862E92"/>
    <w:rsid w:val="0086371F"/>
    <w:rsid w:val="008638A7"/>
    <w:rsid w:val="00863B22"/>
    <w:rsid w:val="0086407F"/>
    <w:rsid w:val="00864468"/>
    <w:rsid w:val="008644B7"/>
    <w:rsid w:val="008645AF"/>
    <w:rsid w:val="008647F9"/>
    <w:rsid w:val="008650F8"/>
    <w:rsid w:val="00865134"/>
    <w:rsid w:val="00865184"/>
    <w:rsid w:val="008659EB"/>
    <w:rsid w:val="00865C94"/>
    <w:rsid w:val="00865CDF"/>
    <w:rsid w:val="00866416"/>
    <w:rsid w:val="0086687E"/>
    <w:rsid w:val="00867641"/>
    <w:rsid w:val="00867E75"/>
    <w:rsid w:val="00870206"/>
    <w:rsid w:val="00870394"/>
    <w:rsid w:val="00870D61"/>
    <w:rsid w:val="0087121F"/>
    <w:rsid w:val="00871931"/>
    <w:rsid w:val="00871D31"/>
    <w:rsid w:val="00871F77"/>
    <w:rsid w:val="00872665"/>
    <w:rsid w:val="00872742"/>
    <w:rsid w:val="008729CF"/>
    <w:rsid w:val="00872D48"/>
    <w:rsid w:val="00872DA4"/>
    <w:rsid w:val="00872F38"/>
    <w:rsid w:val="008736C5"/>
    <w:rsid w:val="00873D00"/>
    <w:rsid w:val="0087437D"/>
    <w:rsid w:val="008747AE"/>
    <w:rsid w:val="00875203"/>
    <w:rsid w:val="0087555D"/>
    <w:rsid w:val="00875F6E"/>
    <w:rsid w:val="00876132"/>
    <w:rsid w:val="00876C64"/>
    <w:rsid w:val="00876DAF"/>
    <w:rsid w:val="00877177"/>
    <w:rsid w:val="00877275"/>
    <w:rsid w:val="008776A1"/>
    <w:rsid w:val="008776C0"/>
    <w:rsid w:val="00877F62"/>
    <w:rsid w:val="008805A1"/>
    <w:rsid w:val="00880B7D"/>
    <w:rsid w:val="00880F8D"/>
    <w:rsid w:val="008817F5"/>
    <w:rsid w:val="008818B0"/>
    <w:rsid w:val="00881A26"/>
    <w:rsid w:val="00881B56"/>
    <w:rsid w:val="00881CA0"/>
    <w:rsid w:val="00881F0F"/>
    <w:rsid w:val="0088345E"/>
    <w:rsid w:val="0088356A"/>
    <w:rsid w:val="008836FB"/>
    <w:rsid w:val="00884131"/>
    <w:rsid w:val="00884F69"/>
    <w:rsid w:val="00885A14"/>
    <w:rsid w:val="00885F6C"/>
    <w:rsid w:val="00886C14"/>
    <w:rsid w:val="008870DF"/>
    <w:rsid w:val="00887335"/>
    <w:rsid w:val="00887487"/>
    <w:rsid w:val="008879E9"/>
    <w:rsid w:val="00887AA1"/>
    <w:rsid w:val="00887C90"/>
    <w:rsid w:val="00887D26"/>
    <w:rsid w:val="00890104"/>
    <w:rsid w:val="00890195"/>
    <w:rsid w:val="00890845"/>
    <w:rsid w:val="00890C9A"/>
    <w:rsid w:val="00890CC6"/>
    <w:rsid w:val="00890E3C"/>
    <w:rsid w:val="008915B8"/>
    <w:rsid w:val="008919DB"/>
    <w:rsid w:val="00891A96"/>
    <w:rsid w:val="00891A9E"/>
    <w:rsid w:val="00891B71"/>
    <w:rsid w:val="00891C6A"/>
    <w:rsid w:val="008927A0"/>
    <w:rsid w:val="00892B01"/>
    <w:rsid w:val="00892C64"/>
    <w:rsid w:val="008934A9"/>
    <w:rsid w:val="0089430E"/>
    <w:rsid w:val="008948C7"/>
    <w:rsid w:val="00894D47"/>
    <w:rsid w:val="00896458"/>
    <w:rsid w:val="008966D4"/>
    <w:rsid w:val="00896798"/>
    <w:rsid w:val="0089737D"/>
    <w:rsid w:val="008976A4"/>
    <w:rsid w:val="00897773"/>
    <w:rsid w:val="00897F2A"/>
    <w:rsid w:val="008A048B"/>
    <w:rsid w:val="008A0C8F"/>
    <w:rsid w:val="008A1015"/>
    <w:rsid w:val="008A11E1"/>
    <w:rsid w:val="008A1277"/>
    <w:rsid w:val="008A12C9"/>
    <w:rsid w:val="008A17C0"/>
    <w:rsid w:val="008A1B63"/>
    <w:rsid w:val="008A1BF9"/>
    <w:rsid w:val="008A2447"/>
    <w:rsid w:val="008A2EF3"/>
    <w:rsid w:val="008A30EE"/>
    <w:rsid w:val="008A347C"/>
    <w:rsid w:val="008A3645"/>
    <w:rsid w:val="008A3900"/>
    <w:rsid w:val="008A3A89"/>
    <w:rsid w:val="008A40B2"/>
    <w:rsid w:val="008A4316"/>
    <w:rsid w:val="008A49F4"/>
    <w:rsid w:val="008A52AB"/>
    <w:rsid w:val="008A5C8C"/>
    <w:rsid w:val="008A5E27"/>
    <w:rsid w:val="008A6548"/>
    <w:rsid w:val="008A6833"/>
    <w:rsid w:val="008A690C"/>
    <w:rsid w:val="008A6C89"/>
    <w:rsid w:val="008B0E4B"/>
    <w:rsid w:val="008B0F0C"/>
    <w:rsid w:val="008B171D"/>
    <w:rsid w:val="008B2137"/>
    <w:rsid w:val="008B2265"/>
    <w:rsid w:val="008B24DD"/>
    <w:rsid w:val="008B2C36"/>
    <w:rsid w:val="008B3177"/>
    <w:rsid w:val="008B3690"/>
    <w:rsid w:val="008B3C2C"/>
    <w:rsid w:val="008B3CF0"/>
    <w:rsid w:val="008B4064"/>
    <w:rsid w:val="008B44D3"/>
    <w:rsid w:val="008B497F"/>
    <w:rsid w:val="008B509D"/>
    <w:rsid w:val="008B5186"/>
    <w:rsid w:val="008B51DB"/>
    <w:rsid w:val="008B52C3"/>
    <w:rsid w:val="008B55F8"/>
    <w:rsid w:val="008B58A8"/>
    <w:rsid w:val="008B64CA"/>
    <w:rsid w:val="008B6670"/>
    <w:rsid w:val="008B681D"/>
    <w:rsid w:val="008B693A"/>
    <w:rsid w:val="008B76AE"/>
    <w:rsid w:val="008B7F96"/>
    <w:rsid w:val="008C00DB"/>
    <w:rsid w:val="008C0CDD"/>
    <w:rsid w:val="008C0DC2"/>
    <w:rsid w:val="008C0FEB"/>
    <w:rsid w:val="008C1096"/>
    <w:rsid w:val="008C19AB"/>
    <w:rsid w:val="008C250D"/>
    <w:rsid w:val="008C2511"/>
    <w:rsid w:val="008C27C6"/>
    <w:rsid w:val="008C2EDC"/>
    <w:rsid w:val="008C335A"/>
    <w:rsid w:val="008C33EC"/>
    <w:rsid w:val="008C3C10"/>
    <w:rsid w:val="008C3F68"/>
    <w:rsid w:val="008C427F"/>
    <w:rsid w:val="008C48A1"/>
    <w:rsid w:val="008C4BD6"/>
    <w:rsid w:val="008C527C"/>
    <w:rsid w:val="008C5646"/>
    <w:rsid w:val="008C5DA0"/>
    <w:rsid w:val="008C6272"/>
    <w:rsid w:val="008C65EB"/>
    <w:rsid w:val="008C66AB"/>
    <w:rsid w:val="008C677D"/>
    <w:rsid w:val="008C6C63"/>
    <w:rsid w:val="008C6C80"/>
    <w:rsid w:val="008C6F0C"/>
    <w:rsid w:val="008C70F7"/>
    <w:rsid w:val="008C72AA"/>
    <w:rsid w:val="008C7547"/>
    <w:rsid w:val="008D0C86"/>
    <w:rsid w:val="008D0E81"/>
    <w:rsid w:val="008D1705"/>
    <w:rsid w:val="008D1C19"/>
    <w:rsid w:val="008D1CF3"/>
    <w:rsid w:val="008D1E91"/>
    <w:rsid w:val="008D1EBA"/>
    <w:rsid w:val="008D1FEB"/>
    <w:rsid w:val="008D24D8"/>
    <w:rsid w:val="008D2FB7"/>
    <w:rsid w:val="008D30DE"/>
    <w:rsid w:val="008D338C"/>
    <w:rsid w:val="008D390F"/>
    <w:rsid w:val="008D4129"/>
    <w:rsid w:val="008D42F7"/>
    <w:rsid w:val="008D47F8"/>
    <w:rsid w:val="008D486A"/>
    <w:rsid w:val="008D52DE"/>
    <w:rsid w:val="008D552A"/>
    <w:rsid w:val="008D6A1D"/>
    <w:rsid w:val="008D6E8C"/>
    <w:rsid w:val="008D78A2"/>
    <w:rsid w:val="008E019F"/>
    <w:rsid w:val="008E0D6F"/>
    <w:rsid w:val="008E12EE"/>
    <w:rsid w:val="008E1554"/>
    <w:rsid w:val="008E1B6D"/>
    <w:rsid w:val="008E1D40"/>
    <w:rsid w:val="008E245F"/>
    <w:rsid w:val="008E251A"/>
    <w:rsid w:val="008E27C2"/>
    <w:rsid w:val="008E3106"/>
    <w:rsid w:val="008E31DD"/>
    <w:rsid w:val="008E335E"/>
    <w:rsid w:val="008E3490"/>
    <w:rsid w:val="008E354A"/>
    <w:rsid w:val="008E355F"/>
    <w:rsid w:val="008E40A8"/>
    <w:rsid w:val="008E4727"/>
    <w:rsid w:val="008E48CD"/>
    <w:rsid w:val="008E5310"/>
    <w:rsid w:val="008E53E9"/>
    <w:rsid w:val="008E563A"/>
    <w:rsid w:val="008E5756"/>
    <w:rsid w:val="008E5A9A"/>
    <w:rsid w:val="008E5C1F"/>
    <w:rsid w:val="008E6D2F"/>
    <w:rsid w:val="008E7428"/>
    <w:rsid w:val="008E7490"/>
    <w:rsid w:val="008E7546"/>
    <w:rsid w:val="008E7842"/>
    <w:rsid w:val="008F0894"/>
    <w:rsid w:val="008F08EA"/>
    <w:rsid w:val="008F0C64"/>
    <w:rsid w:val="008F0EBC"/>
    <w:rsid w:val="008F1069"/>
    <w:rsid w:val="008F165E"/>
    <w:rsid w:val="008F194D"/>
    <w:rsid w:val="008F19A0"/>
    <w:rsid w:val="008F19B4"/>
    <w:rsid w:val="008F1BB8"/>
    <w:rsid w:val="008F2096"/>
    <w:rsid w:val="008F2362"/>
    <w:rsid w:val="008F2451"/>
    <w:rsid w:val="008F2531"/>
    <w:rsid w:val="008F2F73"/>
    <w:rsid w:val="008F3357"/>
    <w:rsid w:val="008F3B2B"/>
    <w:rsid w:val="008F3FF3"/>
    <w:rsid w:val="008F4431"/>
    <w:rsid w:val="008F45C4"/>
    <w:rsid w:val="008F4712"/>
    <w:rsid w:val="008F486A"/>
    <w:rsid w:val="008F4BDB"/>
    <w:rsid w:val="008F5291"/>
    <w:rsid w:val="008F5693"/>
    <w:rsid w:val="008F5B20"/>
    <w:rsid w:val="008F5E11"/>
    <w:rsid w:val="008F5F49"/>
    <w:rsid w:val="008F6495"/>
    <w:rsid w:val="008F665F"/>
    <w:rsid w:val="008F68B9"/>
    <w:rsid w:val="008F6FAB"/>
    <w:rsid w:val="008F7176"/>
    <w:rsid w:val="008F7B3D"/>
    <w:rsid w:val="008F7B8A"/>
    <w:rsid w:val="008F7F77"/>
    <w:rsid w:val="00900031"/>
    <w:rsid w:val="009011B2"/>
    <w:rsid w:val="0090169C"/>
    <w:rsid w:val="00901C95"/>
    <w:rsid w:val="00901CCD"/>
    <w:rsid w:val="0090229D"/>
    <w:rsid w:val="00902441"/>
    <w:rsid w:val="00902512"/>
    <w:rsid w:val="00902B3D"/>
    <w:rsid w:val="00902C1B"/>
    <w:rsid w:val="00902CA5"/>
    <w:rsid w:val="00902E76"/>
    <w:rsid w:val="00903049"/>
    <w:rsid w:val="0090400D"/>
    <w:rsid w:val="0090403D"/>
    <w:rsid w:val="00904182"/>
    <w:rsid w:val="009046BA"/>
    <w:rsid w:val="00904D59"/>
    <w:rsid w:val="00905FEF"/>
    <w:rsid w:val="00906284"/>
    <w:rsid w:val="0090684C"/>
    <w:rsid w:val="00906AF7"/>
    <w:rsid w:val="00906F14"/>
    <w:rsid w:val="0090777F"/>
    <w:rsid w:val="009078F9"/>
    <w:rsid w:val="00907B1B"/>
    <w:rsid w:val="00907C61"/>
    <w:rsid w:val="00907D58"/>
    <w:rsid w:val="00910320"/>
    <w:rsid w:val="0091089B"/>
    <w:rsid w:val="00910BED"/>
    <w:rsid w:val="00910E9A"/>
    <w:rsid w:val="00910F27"/>
    <w:rsid w:val="0091140F"/>
    <w:rsid w:val="00911D16"/>
    <w:rsid w:val="00912142"/>
    <w:rsid w:val="00912D5B"/>
    <w:rsid w:val="00912DA1"/>
    <w:rsid w:val="009132ED"/>
    <w:rsid w:val="00913747"/>
    <w:rsid w:val="00913A83"/>
    <w:rsid w:val="00913CF3"/>
    <w:rsid w:val="00913E1F"/>
    <w:rsid w:val="009141F1"/>
    <w:rsid w:val="00914DE0"/>
    <w:rsid w:val="00914E41"/>
    <w:rsid w:val="00914F84"/>
    <w:rsid w:val="00915379"/>
    <w:rsid w:val="0091550C"/>
    <w:rsid w:val="00915AE4"/>
    <w:rsid w:val="00915C10"/>
    <w:rsid w:val="00915E5E"/>
    <w:rsid w:val="00916406"/>
    <w:rsid w:val="00916D52"/>
    <w:rsid w:val="00917315"/>
    <w:rsid w:val="00917740"/>
    <w:rsid w:val="00920360"/>
    <w:rsid w:val="00920533"/>
    <w:rsid w:val="009205D3"/>
    <w:rsid w:val="009206D3"/>
    <w:rsid w:val="009211C1"/>
    <w:rsid w:val="009213A7"/>
    <w:rsid w:val="00921B4A"/>
    <w:rsid w:val="00922442"/>
    <w:rsid w:val="0092262A"/>
    <w:rsid w:val="00922A16"/>
    <w:rsid w:val="00923C81"/>
    <w:rsid w:val="009240B5"/>
    <w:rsid w:val="00924623"/>
    <w:rsid w:val="00924F17"/>
    <w:rsid w:val="00925FB8"/>
    <w:rsid w:val="00926656"/>
    <w:rsid w:val="00926B3A"/>
    <w:rsid w:val="00927CDF"/>
    <w:rsid w:val="00930051"/>
    <w:rsid w:val="00930339"/>
    <w:rsid w:val="00930493"/>
    <w:rsid w:val="009307B4"/>
    <w:rsid w:val="00930E16"/>
    <w:rsid w:val="0093110D"/>
    <w:rsid w:val="0093143C"/>
    <w:rsid w:val="0093185E"/>
    <w:rsid w:val="00931B33"/>
    <w:rsid w:val="00931BAB"/>
    <w:rsid w:val="00931BBC"/>
    <w:rsid w:val="00931CCD"/>
    <w:rsid w:val="00933126"/>
    <w:rsid w:val="0093392F"/>
    <w:rsid w:val="00933E3C"/>
    <w:rsid w:val="00935288"/>
    <w:rsid w:val="009354D8"/>
    <w:rsid w:val="0093570E"/>
    <w:rsid w:val="009357ED"/>
    <w:rsid w:val="00935EC6"/>
    <w:rsid w:val="00935ED0"/>
    <w:rsid w:val="009367DF"/>
    <w:rsid w:val="0093722B"/>
    <w:rsid w:val="009372C1"/>
    <w:rsid w:val="00937AA9"/>
    <w:rsid w:val="00937AB1"/>
    <w:rsid w:val="00937B1F"/>
    <w:rsid w:val="00940112"/>
    <w:rsid w:val="00940309"/>
    <w:rsid w:val="0094042F"/>
    <w:rsid w:val="00940679"/>
    <w:rsid w:val="0094068D"/>
    <w:rsid w:val="00940D03"/>
    <w:rsid w:val="009412E5"/>
    <w:rsid w:val="00941395"/>
    <w:rsid w:val="00941466"/>
    <w:rsid w:val="009419B9"/>
    <w:rsid w:val="00941CAD"/>
    <w:rsid w:val="00941F9A"/>
    <w:rsid w:val="009433A7"/>
    <w:rsid w:val="0094380A"/>
    <w:rsid w:val="00943D64"/>
    <w:rsid w:val="00943EB8"/>
    <w:rsid w:val="009442FF"/>
    <w:rsid w:val="009443D8"/>
    <w:rsid w:val="0094440F"/>
    <w:rsid w:val="0094449B"/>
    <w:rsid w:val="009454ED"/>
    <w:rsid w:val="009458B0"/>
    <w:rsid w:val="00945FE9"/>
    <w:rsid w:val="009465FF"/>
    <w:rsid w:val="00946FCE"/>
    <w:rsid w:val="00946FD9"/>
    <w:rsid w:val="0094720D"/>
    <w:rsid w:val="0094781E"/>
    <w:rsid w:val="00947920"/>
    <w:rsid w:val="00950888"/>
    <w:rsid w:val="0095097A"/>
    <w:rsid w:val="00950A01"/>
    <w:rsid w:val="00950D20"/>
    <w:rsid w:val="00951554"/>
    <w:rsid w:val="0095193F"/>
    <w:rsid w:val="00951C55"/>
    <w:rsid w:val="00951D11"/>
    <w:rsid w:val="00951E51"/>
    <w:rsid w:val="0095235F"/>
    <w:rsid w:val="0095291D"/>
    <w:rsid w:val="009536A0"/>
    <w:rsid w:val="00953A52"/>
    <w:rsid w:val="00954A3F"/>
    <w:rsid w:val="00954BC7"/>
    <w:rsid w:val="00955102"/>
    <w:rsid w:val="00955FD3"/>
    <w:rsid w:val="00956168"/>
    <w:rsid w:val="0095626D"/>
    <w:rsid w:val="00956CF0"/>
    <w:rsid w:val="00956F0F"/>
    <w:rsid w:val="00957139"/>
    <w:rsid w:val="00957161"/>
    <w:rsid w:val="00957325"/>
    <w:rsid w:val="009579C9"/>
    <w:rsid w:val="00957A86"/>
    <w:rsid w:val="00957C95"/>
    <w:rsid w:val="00957D37"/>
    <w:rsid w:val="0096011C"/>
    <w:rsid w:val="00960175"/>
    <w:rsid w:val="00961295"/>
    <w:rsid w:val="00961B52"/>
    <w:rsid w:val="00961C44"/>
    <w:rsid w:val="00961D9F"/>
    <w:rsid w:val="009620A8"/>
    <w:rsid w:val="00962597"/>
    <w:rsid w:val="009626B9"/>
    <w:rsid w:val="009626D4"/>
    <w:rsid w:val="009626F1"/>
    <w:rsid w:val="00962835"/>
    <w:rsid w:val="0096284E"/>
    <w:rsid w:val="00962B9E"/>
    <w:rsid w:val="00962C26"/>
    <w:rsid w:val="00963219"/>
    <w:rsid w:val="0096398E"/>
    <w:rsid w:val="00964373"/>
    <w:rsid w:val="00965861"/>
    <w:rsid w:val="00965BED"/>
    <w:rsid w:val="0096665D"/>
    <w:rsid w:val="00966EC9"/>
    <w:rsid w:val="009673B1"/>
    <w:rsid w:val="00967407"/>
    <w:rsid w:val="0096759F"/>
    <w:rsid w:val="009676A3"/>
    <w:rsid w:val="0096798B"/>
    <w:rsid w:val="00967A16"/>
    <w:rsid w:val="009701BE"/>
    <w:rsid w:val="00971EAE"/>
    <w:rsid w:val="009722CC"/>
    <w:rsid w:val="00972CBE"/>
    <w:rsid w:val="00973146"/>
    <w:rsid w:val="00973513"/>
    <w:rsid w:val="009736B1"/>
    <w:rsid w:val="00973806"/>
    <w:rsid w:val="009744DA"/>
    <w:rsid w:val="009747C3"/>
    <w:rsid w:val="009748EE"/>
    <w:rsid w:val="00974908"/>
    <w:rsid w:val="009749F9"/>
    <w:rsid w:val="009750B4"/>
    <w:rsid w:val="00976020"/>
    <w:rsid w:val="0097619D"/>
    <w:rsid w:val="0097635E"/>
    <w:rsid w:val="009765C7"/>
    <w:rsid w:val="009769EA"/>
    <w:rsid w:val="009769EE"/>
    <w:rsid w:val="00976A1D"/>
    <w:rsid w:val="00976AC0"/>
    <w:rsid w:val="00976D95"/>
    <w:rsid w:val="009775E4"/>
    <w:rsid w:val="0097768C"/>
    <w:rsid w:val="00980402"/>
    <w:rsid w:val="009812A6"/>
    <w:rsid w:val="00983058"/>
    <w:rsid w:val="00983136"/>
    <w:rsid w:val="00983702"/>
    <w:rsid w:val="00983FD7"/>
    <w:rsid w:val="00984054"/>
    <w:rsid w:val="00984906"/>
    <w:rsid w:val="00984B1E"/>
    <w:rsid w:val="00984E18"/>
    <w:rsid w:val="00985350"/>
    <w:rsid w:val="00985599"/>
    <w:rsid w:val="00985735"/>
    <w:rsid w:val="00985DCB"/>
    <w:rsid w:val="0098604D"/>
    <w:rsid w:val="009862A4"/>
    <w:rsid w:val="00986447"/>
    <w:rsid w:val="009865DB"/>
    <w:rsid w:val="00986A20"/>
    <w:rsid w:val="00986B2E"/>
    <w:rsid w:val="009871A3"/>
    <w:rsid w:val="00987AC8"/>
    <w:rsid w:val="00991237"/>
    <w:rsid w:val="009914A5"/>
    <w:rsid w:val="009914EE"/>
    <w:rsid w:val="00991FAC"/>
    <w:rsid w:val="00991FF7"/>
    <w:rsid w:val="009932BF"/>
    <w:rsid w:val="00993365"/>
    <w:rsid w:val="00993697"/>
    <w:rsid w:val="00993773"/>
    <w:rsid w:val="00993A63"/>
    <w:rsid w:val="00993D41"/>
    <w:rsid w:val="00994037"/>
    <w:rsid w:val="009940F2"/>
    <w:rsid w:val="00994957"/>
    <w:rsid w:val="009957A0"/>
    <w:rsid w:val="00995842"/>
    <w:rsid w:val="00995C44"/>
    <w:rsid w:val="00996732"/>
    <w:rsid w:val="0099685F"/>
    <w:rsid w:val="00996AAC"/>
    <w:rsid w:val="00996BD8"/>
    <w:rsid w:val="00996E56"/>
    <w:rsid w:val="009971C5"/>
    <w:rsid w:val="009976A0"/>
    <w:rsid w:val="00997759"/>
    <w:rsid w:val="00997B80"/>
    <w:rsid w:val="00997F87"/>
    <w:rsid w:val="009A0097"/>
    <w:rsid w:val="009A054F"/>
    <w:rsid w:val="009A0774"/>
    <w:rsid w:val="009A0D83"/>
    <w:rsid w:val="009A17B1"/>
    <w:rsid w:val="009A1B61"/>
    <w:rsid w:val="009A2296"/>
    <w:rsid w:val="009A278E"/>
    <w:rsid w:val="009A31D1"/>
    <w:rsid w:val="009A34E3"/>
    <w:rsid w:val="009A38BA"/>
    <w:rsid w:val="009A39C3"/>
    <w:rsid w:val="009A44D6"/>
    <w:rsid w:val="009A46F1"/>
    <w:rsid w:val="009A496C"/>
    <w:rsid w:val="009A4B59"/>
    <w:rsid w:val="009A5386"/>
    <w:rsid w:val="009A54B5"/>
    <w:rsid w:val="009A5967"/>
    <w:rsid w:val="009A5B84"/>
    <w:rsid w:val="009A5DCD"/>
    <w:rsid w:val="009A62B1"/>
    <w:rsid w:val="009A6486"/>
    <w:rsid w:val="009A6A4F"/>
    <w:rsid w:val="009A6DE0"/>
    <w:rsid w:val="009A6E14"/>
    <w:rsid w:val="009A700C"/>
    <w:rsid w:val="009A70F2"/>
    <w:rsid w:val="009A76C0"/>
    <w:rsid w:val="009A7C1D"/>
    <w:rsid w:val="009B0091"/>
    <w:rsid w:val="009B0103"/>
    <w:rsid w:val="009B132A"/>
    <w:rsid w:val="009B1BD0"/>
    <w:rsid w:val="009B1F71"/>
    <w:rsid w:val="009B204D"/>
    <w:rsid w:val="009B2458"/>
    <w:rsid w:val="009B2545"/>
    <w:rsid w:val="009B2681"/>
    <w:rsid w:val="009B2E78"/>
    <w:rsid w:val="009B317B"/>
    <w:rsid w:val="009B3D63"/>
    <w:rsid w:val="009B3F9E"/>
    <w:rsid w:val="009B487A"/>
    <w:rsid w:val="009B497E"/>
    <w:rsid w:val="009B4B95"/>
    <w:rsid w:val="009B53ED"/>
    <w:rsid w:val="009B5631"/>
    <w:rsid w:val="009B5A66"/>
    <w:rsid w:val="009B5B8D"/>
    <w:rsid w:val="009B5D73"/>
    <w:rsid w:val="009B5EDC"/>
    <w:rsid w:val="009B61A3"/>
    <w:rsid w:val="009B6C2A"/>
    <w:rsid w:val="009B6E52"/>
    <w:rsid w:val="009B6FF0"/>
    <w:rsid w:val="009B7002"/>
    <w:rsid w:val="009B7516"/>
    <w:rsid w:val="009B7666"/>
    <w:rsid w:val="009B76BF"/>
    <w:rsid w:val="009B7773"/>
    <w:rsid w:val="009C02CB"/>
    <w:rsid w:val="009C04F0"/>
    <w:rsid w:val="009C0E59"/>
    <w:rsid w:val="009C1597"/>
    <w:rsid w:val="009C16D0"/>
    <w:rsid w:val="009C202E"/>
    <w:rsid w:val="009C25A5"/>
    <w:rsid w:val="009C2603"/>
    <w:rsid w:val="009C2990"/>
    <w:rsid w:val="009C2B79"/>
    <w:rsid w:val="009C309E"/>
    <w:rsid w:val="009C3109"/>
    <w:rsid w:val="009C33F2"/>
    <w:rsid w:val="009C371A"/>
    <w:rsid w:val="009C49AB"/>
    <w:rsid w:val="009C4D65"/>
    <w:rsid w:val="009C53FC"/>
    <w:rsid w:val="009C560E"/>
    <w:rsid w:val="009C6371"/>
    <w:rsid w:val="009C6BC5"/>
    <w:rsid w:val="009C6FE4"/>
    <w:rsid w:val="009C7092"/>
    <w:rsid w:val="009C7124"/>
    <w:rsid w:val="009C71F8"/>
    <w:rsid w:val="009C73C1"/>
    <w:rsid w:val="009C7DCE"/>
    <w:rsid w:val="009D002D"/>
    <w:rsid w:val="009D003F"/>
    <w:rsid w:val="009D01C7"/>
    <w:rsid w:val="009D045F"/>
    <w:rsid w:val="009D08C5"/>
    <w:rsid w:val="009D0A1F"/>
    <w:rsid w:val="009D1644"/>
    <w:rsid w:val="009D1AAB"/>
    <w:rsid w:val="009D1B02"/>
    <w:rsid w:val="009D1CC0"/>
    <w:rsid w:val="009D2406"/>
    <w:rsid w:val="009D2A13"/>
    <w:rsid w:val="009D36CF"/>
    <w:rsid w:val="009D3BED"/>
    <w:rsid w:val="009D40D0"/>
    <w:rsid w:val="009D49E7"/>
    <w:rsid w:val="009D4A0A"/>
    <w:rsid w:val="009D4BAA"/>
    <w:rsid w:val="009D4C0D"/>
    <w:rsid w:val="009D4CA7"/>
    <w:rsid w:val="009D55BA"/>
    <w:rsid w:val="009D583B"/>
    <w:rsid w:val="009D602A"/>
    <w:rsid w:val="009D6354"/>
    <w:rsid w:val="009D6D7F"/>
    <w:rsid w:val="009D6E72"/>
    <w:rsid w:val="009D75BD"/>
    <w:rsid w:val="009E0683"/>
    <w:rsid w:val="009E0AE6"/>
    <w:rsid w:val="009E0B4C"/>
    <w:rsid w:val="009E2049"/>
    <w:rsid w:val="009E244A"/>
    <w:rsid w:val="009E286F"/>
    <w:rsid w:val="009E3075"/>
    <w:rsid w:val="009E3392"/>
    <w:rsid w:val="009E3A60"/>
    <w:rsid w:val="009E40F6"/>
    <w:rsid w:val="009E44C7"/>
    <w:rsid w:val="009E5331"/>
    <w:rsid w:val="009E5498"/>
    <w:rsid w:val="009E5690"/>
    <w:rsid w:val="009E58FC"/>
    <w:rsid w:val="009E5AA2"/>
    <w:rsid w:val="009E5D05"/>
    <w:rsid w:val="009E65AC"/>
    <w:rsid w:val="009E6BB4"/>
    <w:rsid w:val="009E6E73"/>
    <w:rsid w:val="009E7172"/>
    <w:rsid w:val="009E720F"/>
    <w:rsid w:val="009E7C06"/>
    <w:rsid w:val="009F0330"/>
    <w:rsid w:val="009F0556"/>
    <w:rsid w:val="009F117B"/>
    <w:rsid w:val="009F1418"/>
    <w:rsid w:val="009F165D"/>
    <w:rsid w:val="009F19D4"/>
    <w:rsid w:val="009F224E"/>
    <w:rsid w:val="009F255F"/>
    <w:rsid w:val="009F2EBB"/>
    <w:rsid w:val="009F30A5"/>
    <w:rsid w:val="009F32B6"/>
    <w:rsid w:val="009F396E"/>
    <w:rsid w:val="009F4625"/>
    <w:rsid w:val="009F49A0"/>
    <w:rsid w:val="009F4DB4"/>
    <w:rsid w:val="009F50F7"/>
    <w:rsid w:val="009F5172"/>
    <w:rsid w:val="009F591D"/>
    <w:rsid w:val="009F6B0E"/>
    <w:rsid w:val="009F735D"/>
    <w:rsid w:val="009F7633"/>
    <w:rsid w:val="009F7913"/>
    <w:rsid w:val="009F7F59"/>
    <w:rsid w:val="00A005C6"/>
    <w:rsid w:val="00A013D6"/>
    <w:rsid w:val="00A0202E"/>
    <w:rsid w:val="00A0204A"/>
    <w:rsid w:val="00A02284"/>
    <w:rsid w:val="00A02957"/>
    <w:rsid w:val="00A02D7E"/>
    <w:rsid w:val="00A0353A"/>
    <w:rsid w:val="00A04129"/>
    <w:rsid w:val="00A04729"/>
    <w:rsid w:val="00A04D54"/>
    <w:rsid w:val="00A04E6F"/>
    <w:rsid w:val="00A04EB0"/>
    <w:rsid w:val="00A05764"/>
    <w:rsid w:val="00A05B2F"/>
    <w:rsid w:val="00A063A3"/>
    <w:rsid w:val="00A06414"/>
    <w:rsid w:val="00A0647B"/>
    <w:rsid w:val="00A06991"/>
    <w:rsid w:val="00A06C12"/>
    <w:rsid w:val="00A0732B"/>
    <w:rsid w:val="00A07528"/>
    <w:rsid w:val="00A075E2"/>
    <w:rsid w:val="00A10428"/>
    <w:rsid w:val="00A108C2"/>
    <w:rsid w:val="00A10917"/>
    <w:rsid w:val="00A10975"/>
    <w:rsid w:val="00A117CD"/>
    <w:rsid w:val="00A11989"/>
    <w:rsid w:val="00A11AC3"/>
    <w:rsid w:val="00A1216C"/>
    <w:rsid w:val="00A13052"/>
    <w:rsid w:val="00A13074"/>
    <w:rsid w:val="00A1363C"/>
    <w:rsid w:val="00A136D2"/>
    <w:rsid w:val="00A13877"/>
    <w:rsid w:val="00A13BC6"/>
    <w:rsid w:val="00A13CA9"/>
    <w:rsid w:val="00A140C5"/>
    <w:rsid w:val="00A1411D"/>
    <w:rsid w:val="00A1442F"/>
    <w:rsid w:val="00A1449E"/>
    <w:rsid w:val="00A144AA"/>
    <w:rsid w:val="00A14A21"/>
    <w:rsid w:val="00A14ECB"/>
    <w:rsid w:val="00A14F73"/>
    <w:rsid w:val="00A14F81"/>
    <w:rsid w:val="00A150A5"/>
    <w:rsid w:val="00A1562C"/>
    <w:rsid w:val="00A156CD"/>
    <w:rsid w:val="00A15D97"/>
    <w:rsid w:val="00A15F1E"/>
    <w:rsid w:val="00A16708"/>
    <w:rsid w:val="00A16826"/>
    <w:rsid w:val="00A17480"/>
    <w:rsid w:val="00A17EE4"/>
    <w:rsid w:val="00A17FCB"/>
    <w:rsid w:val="00A202B7"/>
    <w:rsid w:val="00A2052B"/>
    <w:rsid w:val="00A205F2"/>
    <w:rsid w:val="00A20977"/>
    <w:rsid w:val="00A21473"/>
    <w:rsid w:val="00A216D2"/>
    <w:rsid w:val="00A21F3D"/>
    <w:rsid w:val="00A224CB"/>
    <w:rsid w:val="00A22685"/>
    <w:rsid w:val="00A22DA7"/>
    <w:rsid w:val="00A2301E"/>
    <w:rsid w:val="00A236C5"/>
    <w:rsid w:val="00A237A4"/>
    <w:rsid w:val="00A23EC8"/>
    <w:rsid w:val="00A24593"/>
    <w:rsid w:val="00A2461D"/>
    <w:rsid w:val="00A2462A"/>
    <w:rsid w:val="00A24E89"/>
    <w:rsid w:val="00A253B8"/>
    <w:rsid w:val="00A2541F"/>
    <w:rsid w:val="00A2567D"/>
    <w:rsid w:val="00A25AC9"/>
    <w:rsid w:val="00A25B7F"/>
    <w:rsid w:val="00A25C3F"/>
    <w:rsid w:val="00A25CCB"/>
    <w:rsid w:val="00A25CFE"/>
    <w:rsid w:val="00A25D29"/>
    <w:rsid w:val="00A25E33"/>
    <w:rsid w:val="00A25EE1"/>
    <w:rsid w:val="00A269B0"/>
    <w:rsid w:val="00A269FB"/>
    <w:rsid w:val="00A270D1"/>
    <w:rsid w:val="00A274C5"/>
    <w:rsid w:val="00A2774F"/>
    <w:rsid w:val="00A27AA4"/>
    <w:rsid w:val="00A27C89"/>
    <w:rsid w:val="00A30398"/>
    <w:rsid w:val="00A30495"/>
    <w:rsid w:val="00A30D77"/>
    <w:rsid w:val="00A30E47"/>
    <w:rsid w:val="00A3179D"/>
    <w:rsid w:val="00A31A68"/>
    <w:rsid w:val="00A31DF6"/>
    <w:rsid w:val="00A323D2"/>
    <w:rsid w:val="00A32845"/>
    <w:rsid w:val="00A329F6"/>
    <w:rsid w:val="00A32B2E"/>
    <w:rsid w:val="00A32B55"/>
    <w:rsid w:val="00A32C1B"/>
    <w:rsid w:val="00A32F80"/>
    <w:rsid w:val="00A33AC6"/>
    <w:rsid w:val="00A342F0"/>
    <w:rsid w:val="00A34574"/>
    <w:rsid w:val="00A348A4"/>
    <w:rsid w:val="00A34C1D"/>
    <w:rsid w:val="00A34CB6"/>
    <w:rsid w:val="00A35521"/>
    <w:rsid w:val="00A358A2"/>
    <w:rsid w:val="00A35E1B"/>
    <w:rsid w:val="00A36155"/>
    <w:rsid w:val="00A36EE8"/>
    <w:rsid w:val="00A37095"/>
    <w:rsid w:val="00A371A9"/>
    <w:rsid w:val="00A378C4"/>
    <w:rsid w:val="00A37D18"/>
    <w:rsid w:val="00A4008B"/>
    <w:rsid w:val="00A40C74"/>
    <w:rsid w:val="00A40D42"/>
    <w:rsid w:val="00A40DE0"/>
    <w:rsid w:val="00A4112B"/>
    <w:rsid w:val="00A414E5"/>
    <w:rsid w:val="00A41952"/>
    <w:rsid w:val="00A41BF5"/>
    <w:rsid w:val="00A42184"/>
    <w:rsid w:val="00A425B0"/>
    <w:rsid w:val="00A42604"/>
    <w:rsid w:val="00A433DF"/>
    <w:rsid w:val="00A433F8"/>
    <w:rsid w:val="00A43925"/>
    <w:rsid w:val="00A439A0"/>
    <w:rsid w:val="00A43C8D"/>
    <w:rsid w:val="00A43D73"/>
    <w:rsid w:val="00A43F19"/>
    <w:rsid w:val="00A446B8"/>
    <w:rsid w:val="00A44EC7"/>
    <w:rsid w:val="00A44FE2"/>
    <w:rsid w:val="00A45076"/>
    <w:rsid w:val="00A4533F"/>
    <w:rsid w:val="00A45364"/>
    <w:rsid w:val="00A46828"/>
    <w:rsid w:val="00A4694D"/>
    <w:rsid w:val="00A46ABC"/>
    <w:rsid w:val="00A46CAD"/>
    <w:rsid w:val="00A46CC4"/>
    <w:rsid w:val="00A46E10"/>
    <w:rsid w:val="00A46E61"/>
    <w:rsid w:val="00A46EE2"/>
    <w:rsid w:val="00A47698"/>
    <w:rsid w:val="00A478F2"/>
    <w:rsid w:val="00A5011C"/>
    <w:rsid w:val="00A50654"/>
    <w:rsid w:val="00A5093F"/>
    <w:rsid w:val="00A50B36"/>
    <w:rsid w:val="00A51056"/>
    <w:rsid w:val="00A51154"/>
    <w:rsid w:val="00A5121E"/>
    <w:rsid w:val="00A5153E"/>
    <w:rsid w:val="00A52139"/>
    <w:rsid w:val="00A5218F"/>
    <w:rsid w:val="00A522C5"/>
    <w:rsid w:val="00A527FA"/>
    <w:rsid w:val="00A52B68"/>
    <w:rsid w:val="00A53B67"/>
    <w:rsid w:val="00A53FF4"/>
    <w:rsid w:val="00A54002"/>
    <w:rsid w:val="00A549D3"/>
    <w:rsid w:val="00A54E69"/>
    <w:rsid w:val="00A5545D"/>
    <w:rsid w:val="00A554CD"/>
    <w:rsid w:val="00A5588B"/>
    <w:rsid w:val="00A55D2B"/>
    <w:rsid w:val="00A56435"/>
    <w:rsid w:val="00A5698E"/>
    <w:rsid w:val="00A56D2E"/>
    <w:rsid w:val="00A572FB"/>
    <w:rsid w:val="00A57558"/>
    <w:rsid w:val="00A57EF4"/>
    <w:rsid w:val="00A60112"/>
    <w:rsid w:val="00A60159"/>
    <w:rsid w:val="00A60553"/>
    <w:rsid w:val="00A60714"/>
    <w:rsid w:val="00A60DD5"/>
    <w:rsid w:val="00A61C0B"/>
    <w:rsid w:val="00A61DC1"/>
    <w:rsid w:val="00A62238"/>
    <w:rsid w:val="00A6291E"/>
    <w:rsid w:val="00A62EF6"/>
    <w:rsid w:val="00A62FAB"/>
    <w:rsid w:val="00A635E9"/>
    <w:rsid w:val="00A63D67"/>
    <w:rsid w:val="00A63EC1"/>
    <w:rsid w:val="00A63F8F"/>
    <w:rsid w:val="00A647D1"/>
    <w:rsid w:val="00A64F0F"/>
    <w:rsid w:val="00A65503"/>
    <w:rsid w:val="00A65663"/>
    <w:rsid w:val="00A656D5"/>
    <w:rsid w:val="00A658BD"/>
    <w:rsid w:val="00A66240"/>
    <w:rsid w:val="00A6632C"/>
    <w:rsid w:val="00A664A6"/>
    <w:rsid w:val="00A668D4"/>
    <w:rsid w:val="00A66917"/>
    <w:rsid w:val="00A66A8C"/>
    <w:rsid w:val="00A66E44"/>
    <w:rsid w:val="00A673EF"/>
    <w:rsid w:val="00A67522"/>
    <w:rsid w:val="00A67939"/>
    <w:rsid w:val="00A67E4A"/>
    <w:rsid w:val="00A67E7A"/>
    <w:rsid w:val="00A707BE"/>
    <w:rsid w:val="00A7123D"/>
    <w:rsid w:val="00A7131E"/>
    <w:rsid w:val="00A71AB5"/>
    <w:rsid w:val="00A720EC"/>
    <w:rsid w:val="00A7232F"/>
    <w:rsid w:val="00A7283E"/>
    <w:rsid w:val="00A72F9E"/>
    <w:rsid w:val="00A73636"/>
    <w:rsid w:val="00A736DE"/>
    <w:rsid w:val="00A73F4B"/>
    <w:rsid w:val="00A7443B"/>
    <w:rsid w:val="00A74BFE"/>
    <w:rsid w:val="00A74C75"/>
    <w:rsid w:val="00A75A7E"/>
    <w:rsid w:val="00A75BC2"/>
    <w:rsid w:val="00A7671B"/>
    <w:rsid w:val="00A76779"/>
    <w:rsid w:val="00A768C3"/>
    <w:rsid w:val="00A76B9C"/>
    <w:rsid w:val="00A76BDC"/>
    <w:rsid w:val="00A7774D"/>
    <w:rsid w:val="00A77964"/>
    <w:rsid w:val="00A800AD"/>
    <w:rsid w:val="00A80149"/>
    <w:rsid w:val="00A80541"/>
    <w:rsid w:val="00A80E88"/>
    <w:rsid w:val="00A80F48"/>
    <w:rsid w:val="00A815DB"/>
    <w:rsid w:val="00A81814"/>
    <w:rsid w:val="00A81A96"/>
    <w:rsid w:val="00A81BC1"/>
    <w:rsid w:val="00A81D15"/>
    <w:rsid w:val="00A81DC0"/>
    <w:rsid w:val="00A8223D"/>
    <w:rsid w:val="00A824A5"/>
    <w:rsid w:val="00A82B79"/>
    <w:rsid w:val="00A82C78"/>
    <w:rsid w:val="00A8331A"/>
    <w:rsid w:val="00A833BD"/>
    <w:rsid w:val="00A83F18"/>
    <w:rsid w:val="00A84504"/>
    <w:rsid w:val="00A84749"/>
    <w:rsid w:val="00A84792"/>
    <w:rsid w:val="00A849AB"/>
    <w:rsid w:val="00A84B2F"/>
    <w:rsid w:val="00A84E3D"/>
    <w:rsid w:val="00A850C7"/>
    <w:rsid w:val="00A86044"/>
    <w:rsid w:val="00A866C1"/>
    <w:rsid w:val="00A86AF2"/>
    <w:rsid w:val="00A86CFD"/>
    <w:rsid w:val="00A87025"/>
    <w:rsid w:val="00A871B2"/>
    <w:rsid w:val="00A872FA"/>
    <w:rsid w:val="00A873A1"/>
    <w:rsid w:val="00A87468"/>
    <w:rsid w:val="00A87995"/>
    <w:rsid w:val="00A905DA"/>
    <w:rsid w:val="00A9092B"/>
    <w:rsid w:val="00A90966"/>
    <w:rsid w:val="00A91A62"/>
    <w:rsid w:val="00A91A70"/>
    <w:rsid w:val="00A92094"/>
    <w:rsid w:val="00A925EE"/>
    <w:rsid w:val="00A92A12"/>
    <w:rsid w:val="00A92F28"/>
    <w:rsid w:val="00A931BA"/>
    <w:rsid w:val="00A93A95"/>
    <w:rsid w:val="00A94C26"/>
    <w:rsid w:val="00A94FFC"/>
    <w:rsid w:val="00A952B9"/>
    <w:rsid w:val="00A95305"/>
    <w:rsid w:val="00A9590F"/>
    <w:rsid w:val="00A95A5F"/>
    <w:rsid w:val="00A96008"/>
    <w:rsid w:val="00A960BE"/>
    <w:rsid w:val="00A960DD"/>
    <w:rsid w:val="00A96761"/>
    <w:rsid w:val="00A96CE0"/>
    <w:rsid w:val="00AA04D5"/>
    <w:rsid w:val="00AA093C"/>
    <w:rsid w:val="00AA0C36"/>
    <w:rsid w:val="00AA0D65"/>
    <w:rsid w:val="00AA0FFB"/>
    <w:rsid w:val="00AA1265"/>
    <w:rsid w:val="00AA1A1B"/>
    <w:rsid w:val="00AA1D5F"/>
    <w:rsid w:val="00AA1E2A"/>
    <w:rsid w:val="00AA1E3C"/>
    <w:rsid w:val="00AA20DC"/>
    <w:rsid w:val="00AA21D4"/>
    <w:rsid w:val="00AA2EAA"/>
    <w:rsid w:val="00AA39BE"/>
    <w:rsid w:val="00AA3C17"/>
    <w:rsid w:val="00AA3C6F"/>
    <w:rsid w:val="00AA3E97"/>
    <w:rsid w:val="00AA3FF0"/>
    <w:rsid w:val="00AA4271"/>
    <w:rsid w:val="00AA4608"/>
    <w:rsid w:val="00AA4E57"/>
    <w:rsid w:val="00AA4F0B"/>
    <w:rsid w:val="00AA5180"/>
    <w:rsid w:val="00AA51CC"/>
    <w:rsid w:val="00AA5363"/>
    <w:rsid w:val="00AA6318"/>
    <w:rsid w:val="00AA64D8"/>
    <w:rsid w:val="00AA6590"/>
    <w:rsid w:val="00AA6691"/>
    <w:rsid w:val="00AA6934"/>
    <w:rsid w:val="00AA6DF6"/>
    <w:rsid w:val="00AA7171"/>
    <w:rsid w:val="00AA7184"/>
    <w:rsid w:val="00AA74B5"/>
    <w:rsid w:val="00AA7683"/>
    <w:rsid w:val="00AA782A"/>
    <w:rsid w:val="00AA7981"/>
    <w:rsid w:val="00AA7C63"/>
    <w:rsid w:val="00AA7DFC"/>
    <w:rsid w:val="00AA7FDE"/>
    <w:rsid w:val="00AB0608"/>
    <w:rsid w:val="00AB097D"/>
    <w:rsid w:val="00AB0AA1"/>
    <w:rsid w:val="00AB0CD6"/>
    <w:rsid w:val="00AB14D2"/>
    <w:rsid w:val="00AB1695"/>
    <w:rsid w:val="00AB18E0"/>
    <w:rsid w:val="00AB22B5"/>
    <w:rsid w:val="00AB32DD"/>
    <w:rsid w:val="00AB368B"/>
    <w:rsid w:val="00AB3980"/>
    <w:rsid w:val="00AB3C4D"/>
    <w:rsid w:val="00AB410B"/>
    <w:rsid w:val="00AB43FC"/>
    <w:rsid w:val="00AB4836"/>
    <w:rsid w:val="00AB4EFD"/>
    <w:rsid w:val="00AB4F9E"/>
    <w:rsid w:val="00AB529A"/>
    <w:rsid w:val="00AB540F"/>
    <w:rsid w:val="00AB587A"/>
    <w:rsid w:val="00AB589B"/>
    <w:rsid w:val="00AB5A3E"/>
    <w:rsid w:val="00AB5BEA"/>
    <w:rsid w:val="00AB5EEC"/>
    <w:rsid w:val="00AB7DE6"/>
    <w:rsid w:val="00AC05A7"/>
    <w:rsid w:val="00AC08D6"/>
    <w:rsid w:val="00AC0AAE"/>
    <w:rsid w:val="00AC120C"/>
    <w:rsid w:val="00AC2429"/>
    <w:rsid w:val="00AC2FA9"/>
    <w:rsid w:val="00AC31BC"/>
    <w:rsid w:val="00AC3729"/>
    <w:rsid w:val="00AC3886"/>
    <w:rsid w:val="00AC41F3"/>
    <w:rsid w:val="00AC455F"/>
    <w:rsid w:val="00AC4719"/>
    <w:rsid w:val="00AC4AC1"/>
    <w:rsid w:val="00AC5549"/>
    <w:rsid w:val="00AC5A28"/>
    <w:rsid w:val="00AC5C70"/>
    <w:rsid w:val="00AC5D4A"/>
    <w:rsid w:val="00AC5EC2"/>
    <w:rsid w:val="00AC6474"/>
    <w:rsid w:val="00AC6946"/>
    <w:rsid w:val="00AC6A9E"/>
    <w:rsid w:val="00AC7072"/>
    <w:rsid w:val="00AC722A"/>
    <w:rsid w:val="00AC774B"/>
    <w:rsid w:val="00AC778E"/>
    <w:rsid w:val="00AC7B71"/>
    <w:rsid w:val="00AD001C"/>
    <w:rsid w:val="00AD04CD"/>
    <w:rsid w:val="00AD0638"/>
    <w:rsid w:val="00AD0FD4"/>
    <w:rsid w:val="00AD1050"/>
    <w:rsid w:val="00AD10CA"/>
    <w:rsid w:val="00AD116D"/>
    <w:rsid w:val="00AD2485"/>
    <w:rsid w:val="00AD2A12"/>
    <w:rsid w:val="00AD2F82"/>
    <w:rsid w:val="00AD3103"/>
    <w:rsid w:val="00AD35BA"/>
    <w:rsid w:val="00AD3DC6"/>
    <w:rsid w:val="00AD44F7"/>
    <w:rsid w:val="00AD46DD"/>
    <w:rsid w:val="00AD483F"/>
    <w:rsid w:val="00AD5270"/>
    <w:rsid w:val="00AD658B"/>
    <w:rsid w:val="00AD679C"/>
    <w:rsid w:val="00AD68B0"/>
    <w:rsid w:val="00AD6A9D"/>
    <w:rsid w:val="00AD6DDE"/>
    <w:rsid w:val="00AD6FEB"/>
    <w:rsid w:val="00AD71BB"/>
    <w:rsid w:val="00AD7200"/>
    <w:rsid w:val="00AD76AA"/>
    <w:rsid w:val="00AD7858"/>
    <w:rsid w:val="00AD7CC2"/>
    <w:rsid w:val="00AD7D31"/>
    <w:rsid w:val="00AE0314"/>
    <w:rsid w:val="00AE046F"/>
    <w:rsid w:val="00AE0763"/>
    <w:rsid w:val="00AE1307"/>
    <w:rsid w:val="00AE19DB"/>
    <w:rsid w:val="00AE1F97"/>
    <w:rsid w:val="00AE2092"/>
    <w:rsid w:val="00AE2836"/>
    <w:rsid w:val="00AE2BCC"/>
    <w:rsid w:val="00AE2CE9"/>
    <w:rsid w:val="00AE31A1"/>
    <w:rsid w:val="00AE3AF7"/>
    <w:rsid w:val="00AE40F9"/>
    <w:rsid w:val="00AE4462"/>
    <w:rsid w:val="00AE47E0"/>
    <w:rsid w:val="00AE4D64"/>
    <w:rsid w:val="00AE54C3"/>
    <w:rsid w:val="00AE562C"/>
    <w:rsid w:val="00AE5634"/>
    <w:rsid w:val="00AE5A78"/>
    <w:rsid w:val="00AE6343"/>
    <w:rsid w:val="00AE65F1"/>
    <w:rsid w:val="00AE6624"/>
    <w:rsid w:val="00AE6D3F"/>
    <w:rsid w:val="00AE7EF6"/>
    <w:rsid w:val="00AF073E"/>
    <w:rsid w:val="00AF08A8"/>
    <w:rsid w:val="00AF10B9"/>
    <w:rsid w:val="00AF11BB"/>
    <w:rsid w:val="00AF13E7"/>
    <w:rsid w:val="00AF1542"/>
    <w:rsid w:val="00AF157E"/>
    <w:rsid w:val="00AF1BD1"/>
    <w:rsid w:val="00AF1F00"/>
    <w:rsid w:val="00AF28D4"/>
    <w:rsid w:val="00AF28FE"/>
    <w:rsid w:val="00AF3683"/>
    <w:rsid w:val="00AF39A2"/>
    <w:rsid w:val="00AF3C5A"/>
    <w:rsid w:val="00AF4207"/>
    <w:rsid w:val="00AF444B"/>
    <w:rsid w:val="00AF4698"/>
    <w:rsid w:val="00AF57B9"/>
    <w:rsid w:val="00AF5A45"/>
    <w:rsid w:val="00AF5B14"/>
    <w:rsid w:val="00AF5C1B"/>
    <w:rsid w:val="00AF5D29"/>
    <w:rsid w:val="00AF5DF8"/>
    <w:rsid w:val="00AF6A7B"/>
    <w:rsid w:val="00AF6AD8"/>
    <w:rsid w:val="00AF6BAB"/>
    <w:rsid w:val="00AF6C42"/>
    <w:rsid w:val="00AF7267"/>
    <w:rsid w:val="00AF7898"/>
    <w:rsid w:val="00AF7DF9"/>
    <w:rsid w:val="00AF7F5B"/>
    <w:rsid w:val="00AF7FC1"/>
    <w:rsid w:val="00B00282"/>
    <w:rsid w:val="00B00461"/>
    <w:rsid w:val="00B00F4B"/>
    <w:rsid w:val="00B00FAD"/>
    <w:rsid w:val="00B010C6"/>
    <w:rsid w:val="00B01231"/>
    <w:rsid w:val="00B016A5"/>
    <w:rsid w:val="00B01B57"/>
    <w:rsid w:val="00B01DDA"/>
    <w:rsid w:val="00B025CB"/>
    <w:rsid w:val="00B03719"/>
    <w:rsid w:val="00B03864"/>
    <w:rsid w:val="00B03872"/>
    <w:rsid w:val="00B03B05"/>
    <w:rsid w:val="00B03CBE"/>
    <w:rsid w:val="00B03E6E"/>
    <w:rsid w:val="00B042CF"/>
    <w:rsid w:val="00B04FE3"/>
    <w:rsid w:val="00B051EE"/>
    <w:rsid w:val="00B056BD"/>
    <w:rsid w:val="00B05B53"/>
    <w:rsid w:val="00B06361"/>
    <w:rsid w:val="00B06813"/>
    <w:rsid w:val="00B069F5"/>
    <w:rsid w:val="00B06DD4"/>
    <w:rsid w:val="00B07009"/>
    <w:rsid w:val="00B070B3"/>
    <w:rsid w:val="00B0745E"/>
    <w:rsid w:val="00B074F1"/>
    <w:rsid w:val="00B103B0"/>
    <w:rsid w:val="00B10DED"/>
    <w:rsid w:val="00B11491"/>
    <w:rsid w:val="00B1239F"/>
    <w:rsid w:val="00B12754"/>
    <w:rsid w:val="00B12FB7"/>
    <w:rsid w:val="00B132D8"/>
    <w:rsid w:val="00B13319"/>
    <w:rsid w:val="00B1335D"/>
    <w:rsid w:val="00B13428"/>
    <w:rsid w:val="00B13794"/>
    <w:rsid w:val="00B1415B"/>
    <w:rsid w:val="00B146A2"/>
    <w:rsid w:val="00B14C06"/>
    <w:rsid w:val="00B14C1D"/>
    <w:rsid w:val="00B153F5"/>
    <w:rsid w:val="00B1585E"/>
    <w:rsid w:val="00B159C5"/>
    <w:rsid w:val="00B163D7"/>
    <w:rsid w:val="00B16467"/>
    <w:rsid w:val="00B1649D"/>
    <w:rsid w:val="00B165E7"/>
    <w:rsid w:val="00B16745"/>
    <w:rsid w:val="00B1684D"/>
    <w:rsid w:val="00B16D09"/>
    <w:rsid w:val="00B16FDB"/>
    <w:rsid w:val="00B17451"/>
    <w:rsid w:val="00B1755C"/>
    <w:rsid w:val="00B176E0"/>
    <w:rsid w:val="00B17A26"/>
    <w:rsid w:val="00B17CD2"/>
    <w:rsid w:val="00B17EB5"/>
    <w:rsid w:val="00B202A7"/>
    <w:rsid w:val="00B202FE"/>
    <w:rsid w:val="00B21C15"/>
    <w:rsid w:val="00B22258"/>
    <w:rsid w:val="00B226B1"/>
    <w:rsid w:val="00B22C10"/>
    <w:rsid w:val="00B22ED9"/>
    <w:rsid w:val="00B2390D"/>
    <w:rsid w:val="00B23C44"/>
    <w:rsid w:val="00B23D4D"/>
    <w:rsid w:val="00B24857"/>
    <w:rsid w:val="00B2519B"/>
    <w:rsid w:val="00B258EA"/>
    <w:rsid w:val="00B25BFC"/>
    <w:rsid w:val="00B262D7"/>
    <w:rsid w:val="00B26606"/>
    <w:rsid w:val="00B270EB"/>
    <w:rsid w:val="00B275BF"/>
    <w:rsid w:val="00B27E19"/>
    <w:rsid w:val="00B30279"/>
    <w:rsid w:val="00B305ED"/>
    <w:rsid w:val="00B3073E"/>
    <w:rsid w:val="00B30A0B"/>
    <w:rsid w:val="00B3104E"/>
    <w:rsid w:val="00B31194"/>
    <w:rsid w:val="00B32309"/>
    <w:rsid w:val="00B32D42"/>
    <w:rsid w:val="00B33F96"/>
    <w:rsid w:val="00B34418"/>
    <w:rsid w:val="00B34527"/>
    <w:rsid w:val="00B3472A"/>
    <w:rsid w:val="00B34BE3"/>
    <w:rsid w:val="00B34EE3"/>
    <w:rsid w:val="00B351BC"/>
    <w:rsid w:val="00B355E2"/>
    <w:rsid w:val="00B3570F"/>
    <w:rsid w:val="00B357D9"/>
    <w:rsid w:val="00B35DBC"/>
    <w:rsid w:val="00B36044"/>
    <w:rsid w:val="00B3605F"/>
    <w:rsid w:val="00B360BC"/>
    <w:rsid w:val="00B364C9"/>
    <w:rsid w:val="00B36688"/>
    <w:rsid w:val="00B36857"/>
    <w:rsid w:val="00B36C26"/>
    <w:rsid w:val="00B36FF8"/>
    <w:rsid w:val="00B3728F"/>
    <w:rsid w:val="00B37353"/>
    <w:rsid w:val="00B374A7"/>
    <w:rsid w:val="00B37AD2"/>
    <w:rsid w:val="00B41340"/>
    <w:rsid w:val="00B41428"/>
    <w:rsid w:val="00B4178D"/>
    <w:rsid w:val="00B4216D"/>
    <w:rsid w:val="00B425CB"/>
    <w:rsid w:val="00B4292D"/>
    <w:rsid w:val="00B42F7B"/>
    <w:rsid w:val="00B430DC"/>
    <w:rsid w:val="00B43170"/>
    <w:rsid w:val="00B4379F"/>
    <w:rsid w:val="00B437C1"/>
    <w:rsid w:val="00B43C59"/>
    <w:rsid w:val="00B44261"/>
    <w:rsid w:val="00B44848"/>
    <w:rsid w:val="00B44EAC"/>
    <w:rsid w:val="00B45104"/>
    <w:rsid w:val="00B452C0"/>
    <w:rsid w:val="00B453C6"/>
    <w:rsid w:val="00B45F7D"/>
    <w:rsid w:val="00B4623D"/>
    <w:rsid w:val="00B46514"/>
    <w:rsid w:val="00B4674C"/>
    <w:rsid w:val="00B4697F"/>
    <w:rsid w:val="00B46D51"/>
    <w:rsid w:val="00B46D63"/>
    <w:rsid w:val="00B46E3C"/>
    <w:rsid w:val="00B474EB"/>
    <w:rsid w:val="00B500D1"/>
    <w:rsid w:val="00B500E0"/>
    <w:rsid w:val="00B508E4"/>
    <w:rsid w:val="00B50FF5"/>
    <w:rsid w:val="00B51087"/>
    <w:rsid w:val="00B52330"/>
    <w:rsid w:val="00B52A0D"/>
    <w:rsid w:val="00B52E36"/>
    <w:rsid w:val="00B52F36"/>
    <w:rsid w:val="00B530B1"/>
    <w:rsid w:val="00B533DA"/>
    <w:rsid w:val="00B5368E"/>
    <w:rsid w:val="00B53B44"/>
    <w:rsid w:val="00B53DA3"/>
    <w:rsid w:val="00B53FFE"/>
    <w:rsid w:val="00B54539"/>
    <w:rsid w:val="00B549A3"/>
    <w:rsid w:val="00B54BF6"/>
    <w:rsid w:val="00B54BF8"/>
    <w:rsid w:val="00B54E97"/>
    <w:rsid w:val="00B54EC9"/>
    <w:rsid w:val="00B5520D"/>
    <w:rsid w:val="00B5527F"/>
    <w:rsid w:val="00B5558B"/>
    <w:rsid w:val="00B55D7F"/>
    <w:rsid w:val="00B561CC"/>
    <w:rsid w:val="00B56275"/>
    <w:rsid w:val="00B56609"/>
    <w:rsid w:val="00B578FC"/>
    <w:rsid w:val="00B6000A"/>
    <w:rsid w:val="00B6041E"/>
    <w:rsid w:val="00B60AAB"/>
    <w:rsid w:val="00B60EE4"/>
    <w:rsid w:val="00B613A8"/>
    <w:rsid w:val="00B6194D"/>
    <w:rsid w:val="00B61CBE"/>
    <w:rsid w:val="00B627ED"/>
    <w:rsid w:val="00B631BD"/>
    <w:rsid w:val="00B63916"/>
    <w:rsid w:val="00B63DAF"/>
    <w:rsid w:val="00B640CF"/>
    <w:rsid w:val="00B65044"/>
    <w:rsid w:val="00B6511F"/>
    <w:rsid w:val="00B6526B"/>
    <w:rsid w:val="00B65886"/>
    <w:rsid w:val="00B65B14"/>
    <w:rsid w:val="00B65BAD"/>
    <w:rsid w:val="00B65C96"/>
    <w:rsid w:val="00B65E1A"/>
    <w:rsid w:val="00B65F09"/>
    <w:rsid w:val="00B66039"/>
    <w:rsid w:val="00B66048"/>
    <w:rsid w:val="00B66913"/>
    <w:rsid w:val="00B67011"/>
    <w:rsid w:val="00B679A2"/>
    <w:rsid w:val="00B67F02"/>
    <w:rsid w:val="00B700C6"/>
    <w:rsid w:val="00B70A07"/>
    <w:rsid w:val="00B70B95"/>
    <w:rsid w:val="00B70D02"/>
    <w:rsid w:val="00B70E26"/>
    <w:rsid w:val="00B718A2"/>
    <w:rsid w:val="00B71C39"/>
    <w:rsid w:val="00B71D7F"/>
    <w:rsid w:val="00B71E35"/>
    <w:rsid w:val="00B7257B"/>
    <w:rsid w:val="00B728C9"/>
    <w:rsid w:val="00B7294D"/>
    <w:rsid w:val="00B7321E"/>
    <w:rsid w:val="00B7369E"/>
    <w:rsid w:val="00B73CA0"/>
    <w:rsid w:val="00B73DD9"/>
    <w:rsid w:val="00B74144"/>
    <w:rsid w:val="00B741E1"/>
    <w:rsid w:val="00B746E7"/>
    <w:rsid w:val="00B7564F"/>
    <w:rsid w:val="00B757FB"/>
    <w:rsid w:val="00B75A2E"/>
    <w:rsid w:val="00B75C8D"/>
    <w:rsid w:val="00B75FC3"/>
    <w:rsid w:val="00B761C7"/>
    <w:rsid w:val="00B762CD"/>
    <w:rsid w:val="00B7673C"/>
    <w:rsid w:val="00B76816"/>
    <w:rsid w:val="00B76CD8"/>
    <w:rsid w:val="00B76D99"/>
    <w:rsid w:val="00B777E3"/>
    <w:rsid w:val="00B77831"/>
    <w:rsid w:val="00B77F4E"/>
    <w:rsid w:val="00B8034F"/>
    <w:rsid w:val="00B810A7"/>
    <w:rsid w:val="00B81608"/>
    <w:rsid w:val="00B81EED"/>
    <w:rsid w:val="00B8284D"/>
    <w:rsid w:val="00B82908"/>
    <w:rsid w:val="00B82EE3"/>
    <w:rsid w:val="00B830D2"/>
    <w:rsid w:val="00B83C8D"/>
    <w:rsid w:val="00B83F3E"/>
    <w:rsid w:val="00B83FE7"/>
    <w:rsid w:val="00B848C3"/>
    <w:rsid w:val="00B84B50"/>
    <w:rsid w:val="00B84DC5"/>
    <w:rsid w:val="00B84F64"/>
    <w:rsid w:val="00B851B7"/>
    <w:rsid w:val="00B854D4"/>
    <w:rsid w:val="00B859C2"/>
    <w:rsid w:val="00B85B75"/>
    <w:rsid w:val="00B85C74"/>
    <w:rsid w:val="00B85EA1"/>
    <w:rsid w:val="00B8656D"/>
    <w:rsid w:val="00B86FD7"/>
    <w:rsid w:val="00B87174"/>
    <w:rsid w:val="00B87822"/>
    <w:rsid w:val="00B906A9"/>
    <w:rsid w:val="00B9076A"/>
    <w:rsid w:val="00B90C0D"/>
    <w:rsid w:val="00B90D09"/>
    <w:rsid w:val="00B90D44"/>
    <w:rsid w:val="00B90D56"/>
    <w:rsid w:val="00B91223"/>
    <w:rsid w:val="00B912F7"/>
    <w:rsid w:val="00B916DB"/>
    <w:rsid w:val="00B921E8"/>
    <w:rsid w:val="00B922FC"/>
    <w:rsid w:val="00B9234F"/>
    <w:rsid w:val="00B92686"/>
    <w:rsid w:val="00B927D3"/>
    <w:rsid w:val="00B93126"/>
    <w:rsid w:val="00B935E3"/>
    <w:rsid w:val="00B939D8"/>
    <w:rsid w:val="00B939F5"/>
    <w:rsid w:val="00B93C3B"/>
    <w:rsid w:val="00B93FD5"/>
    <w:rsid w:val="00B9408A"/>
    <w:rsid w:val="00B9436E"/>
    <w:rsid w:val="00B94527"/>
    <w:rsid w:val="00B953AF"/>
    <w:rsid w:val="00B954D2"/>
    <w:rsid w:val="00B95DDE"/>
    <w:rsid w:val="00B95EB3"/>
    <w:rsid w:val="00B961A1"/>
    <w:rsid w:val="00B96A42"/>
    <w:rsid w:val="00B97B96"/>
    <w:rsid w:val="00BA0E69"/>
    <w:rsid w:val="00BA10A2"/>
    <w:rsid w:val="00BA16B9"/>
    <w:rsid w:val="00BA1A7E"/>
    <w:rsid w:val="00BA1B87"/>
    <w:rsid w:val="00BA21C0"/>
    <w:rsid w:val="00BA2674"/>
    <w:rsid w:val="00BA26CB"/>
    <w:rsid w:val="00BA2909"/>
    <w:rsid w:val="00BA3021"/>
    <w:rsid w:val="00BA3EF2"/>
    <w:rsid w:val="00BA4BD0"/>
    <w:rsid w:val="00BA54AD"/>
    <w:rsid w:val="00BA5606"/>
    <w:rsid w:val="00BA56C5"/>
    <w:rsid w:val="00BA64B7"/>
    <w:rsid w:val="00BA65B2"/>
    <w:rsid w:val="00BA68CB"/>
    <w:rsid w:val="00BA75EA"/>
    <w:rsid w:val="00BA7749"/>
    <w:rsid w:val="00BA7899"/>
    <w:rsid w:val="00BA7B0C"/>
    <w:rsid w:val="00BB0855"/>
    <w:rsid w:val="00BB09EF"/>
    <w:rsid w:val="00BB0CF9"/>
    <w:rsid w:val="00BB0E20"/>
    <w:rsid w:val="00BB17E3"/>
    <w:rsid w:val="00BB1A44"/>
    <w:rsid w:val="00BB266C"/>
    <w:rsid w:val="00BB2934"/>
    <w:rsid w:val="00BB332D"/>
    <w:rsid w:val="00BB3499"/>
    <w:rsid w:val="00BB3960"/>
    <w:rsid w:val="00BB3972"/>
    <w:rsid w:val="00BB3DC9"/>
    <w:rsid w:val="00BB3EAD"/>
    <w:rsid w:val="00BB420C"/>
    <w:rsid w:val="00BB4496"/>
    <w:rsid w:val="00BB4541"/>
    <w:rsid w:val="00BB485D"/>
    <w:rsid w:val="00BB4C36"/>
    <w:rsid w:val="00BB4CCC"/>
    <w:rsid w:val="00BB512B"/>
    <w:rsid w:val="00BB582F"/>
    <w:rsid w:val="00BB58E6"/>
    <w:rsid w:val="00BB5A70"/>
    <w:rsid w:val="00BB5C5F"/>
    <w:rsid w:val="00BB6C01"/>
    <w:rsid w:val="00BB7124"/>
    <w:rsid w:val="00BC0576"/>
    <w:rsid w:val="00BC0927"/>
    <w:rsid w:val="00BC0CE1"/>
    <w:rsid w:val="00BC0CFC"/>
    <w:rsid w:val="00BC0E84"/>
    <w:rsid w:val="00BC1B09"/>
    <w:rsid w:val="00BC1B1A"/>
    <w:rsid w:val="00BC1BC4"/>
    <w:rsid w:val="00BC1DF3"/>
    <w:rsid w:val="00BC22BB"/>
    <w:rsid w:val="00BC268C"/>
    <w:rsid w:val="00BC28E4"/>
    <w:rsid w:val="00BC299E"/>
    <w:rsid w:val="00BC2C4F"/>
    <w:rsid w:val="00BC2E8F"/>
    <w:rsid w:val="00BC3346"/>
    <w:rsid w:val="00BC38EB"/>
    <w:rsid w:val="00BC392E"/>
    <w:rsid w:val="00BC3B6E"/>
    <w:rsid w:val="00BC3B97"/>
    <w:rsid w:val="00BC3E92"/>
    <w:rsid w:val="00BC4045"/>
    <w:rsid w:val="00BC4055"/>
    <w:rsid w:val="00BC413D"/>
    <w:rsid w:val="00BC462A"/>
    <w:rsid w:val="00BC5ABD"/>
    <w:rsid w:val="00BC5AC6"/>
    <w:rsid w:val="00BC5C62"/>
    <w:rsid w:val="00BC6006"/>
    <w:rsid w:val="00BC6B19"/>
    <w:rsid w:val="00BC6C18"/>
    <w:rsid w:val="00BC7351"/>
    <w:rsid w:val="00BC760D"/>
    <w:rsid w:val="00BC77ED"/>
    <w:rsid w:val="00BC7B8B"/>
    <w:rsid w:val="00BC7B8F"/>
    <w:rsid w:val="00BD0075"/>
    <w:rsid w:val="00BD0B9E"/>
    <w:rsid w:val="00BD1137"/>
    <w:rsid w:val="00BD129C"/>
    <w:rsid w:val="00BD160B"/>
    <w:rsid w:val="00BD163E"/>
    <w:rsid w:val="00BD2296"/>
    <w:rsid w:val="00BD23C2"/>
    <w:rsid w:val="00BD2F7A"/>
    <w:rsid w:val="00BD3145"/>
    <w:rsid w:val="00BD366A"/>
    <w:rsid w:val="00BD47A9"/>
    <w:rsid w:val="00BD4A6D"/>
    <w:rsid w:val="00BD4FE3"/>
    <w:rsid w:val="00BD556B"/>
    <w:rsid w:val="00BD610D"/>
    <w:rsid w:val="00BD6386"/>
    <w:rsid w:val="00BD63DB"/>
    <w:rsid w:val="00BD6BA6"/>
    <w:rsid w:val="00BD71C5"/>
    <w:rsid w:val="00BD749B"/>
    <w:rsid w:val="00BD76AF"/>
    <w:rsid w:val="00BD78D5"/>
    <w:rsid w:val="00BE0011"/>
    <w:rsid w:val="00BE0930"/>
    <w:rsid w:val="00BE0C5B"/>
    <w:rsid w:val="00BE1265"/>
    <w:rsid w:val="00BE1341"/>
    <w:rsid w:val="00BE15A0"/>
    <w:rsid w:val="00BE17D8"/>
    <w:rsid w:val="00BE1BED"/>
    <w:rsid w:val="00BE1C05"/>
    <w:rsid w:val="00BE287C"/>
    <w:rsid w:val="00BE2A75"/>
    <w:rsid w:val="00BE3006"/>
    <w:rsid w:val="00BE3B9A"/>
    <w:rsid w:val="00BE47D4"/>
    <w:rsid w:val="00BE52CA"/>
    <w:rsid w:val="00BE5A11"/>
    <w:rsid w:val="00BE627B"/>
    <w:rsid w:val="00BE62DD"/>
    <w:rsid w:val="00BE6812"/>
    <w:rsid w:val="00BE6C70"/>
    <w:rsid w:val="00BE6F2A"/>
    <w:rsid w:val="00BE7043"/>
    <w:rsid w:val="00BE7480"/>
    <w:rsid w:val="00BF001A"/>
    <w:rsid w:val="00BF0055"/>
    <w:rsid w:val="00BF02BF"/>
    <w:rsid w:val="00BF059B"/>
    <w:rsid w:val="00BF072F"/>
    <w:rsid w:val="00BF0753"/>
    <w:rsid w:val="00BF085D"/>
    <w:rsid w:val="00BF14A8"/>
    <w:rsid w:val="00BF19B0"/>
    <w:rsid w:val="00BF1DCB"/>
    <w:rsid w:val="00BF204C"/>
    <w:rsid w:val="00BF2481"/>
    <w:rsid w:val="00BF28C5"/>
    <w:rsid w:val="00BF28E3"/>
    <w:rsid w:val="00BF2CB4"/>
    <w:rsid w:val="00BF2CD7"/>
    <w:rsid w:val="00BF2EBF"/>
    <w:rsid w:val="00BF2FA9"/>
    <w:rsid w:val="00BF33FC"/>
    <w:rsid w:val="00BF4054"/>
    <w:rsid w:val="00BF4BBE"/>
    <w:rsid w:val="00BF50E7"/>
    <w:rsid w:val="00BF552D"/>
    <w:rsid w:val="00BF57A2"/>
    <w:rsid w:val="00BF5946"/>
    <w:rsid w:val="00BF5BEB"/>
    <w:rsid w:val="00BF6425"/>
    <w:rsid w:val="00BF65EA"/>
    <w:rsid w:val="00BF79BA"/>
    <w:rsid w:val="00BF79E1"/>
    <w:rsid w:val="00BF7FFD"/>
    <w:rsid w:val="00C000D8"/>
    <w:rsid w:val="00C0034F"/>
    <w:rsid w:val="00C00641"/>
    <w:rsid w:val="00C01092"/>
    <w:rsid w:val="00C01468"/>
    <w:rsid w:val="00C016E2"/>
    <w:rsid w:val="00C01CDD"/>
    <w:rsid w:val="00C033F6"/>
    <w:rsid w:val="00C03537"/>
    <w:rsid w:val="00C03653"/>
    <w:rsid w:val="00C03EEC"/>
    <w:rsid w:val="00C04138"/>
    <w:rsid w:val="00C0474A"/>
    <w:rsid w:val="00C04ED6"/>
    <w:rsid w:val="00C05129"/>
    <w:rsid w:val="00C051C2"/>
    <w:rsid w:val="00C0529F"/>
    <w:rsid w:val="00C0571E"/>
    <w:rsid w:val="00C05B27"/>
    <w:rsid w:val="00C05C0C"/>
    <w:rsid w:val="00C05CA6"/>
    <w:rsid w:val="00C06885"/>
    <w:rsid w:val="00C068F0"/>
    <w:rsid w:val="00C06C96"/>
    <w:rsid w:val="00C06F6B"/>
    <w:rsid w:val="00C06F8D"/>
    <w:rsid w:val="00C071FA"/>
    <w:rsid w:val="00C07365"/>
    <w:rsid w:val="00C0748E"/>
    <w:rsid w:val="00C07A96"/>
    <w:rsid w:val="00C10228"/>
    <w:rsid w:val="00C104A1"/>
    <w:rsid w:val="00C10750"/>
    <w:rsid w:val="00C1094C"/>
    <w:rsid w:val="00C10AC7"/>
    <w:rsid w:val="00C1121D"/>
    <w:rsid w:val="00C11595"/>
    <w:rsid w:val="00C11A4E"/>
    <w:rsid w:val="00C11B91"/>
    <w:rsid w:val="00C11F6F"/>
    <w:rsid w:val="00C121D0"/>
    <w:rsid w:val="00C1231E"/>
    <w:rsid w:val="00C12504"/>
    <w:rsid w:val="00C12627"/>
    <w:rsid w:val="00C12D36"/>
    <w:rsid w:val="00C13721"/>
    <w:rsid w:val="00C13B05"/>
    <w:rsid w:val="00C13D56"/>
    <w:rsid w:val="00C13EC0"/>
    <w:rsid w:val="00C14950"/>
    <w:rsid w:val="00C149AE"/>
    <w:rsid w:val="00C14F9D"/>
    <w:rsid w:val="00C15062"/>
    <w:rsid w:val="00C15333"/>
    <w:rsid w:val="00C158CE"/>
    <w:rsid w:val="00C15A76"/>
    <w:rsid w:val="00C15ACE"/>
    <w:rsid w:val="00C16062"/>
    <w:rsid w:val="00C161A9"/>
    <w:rsid w:val="00C165B7"/>
    <w:rsid w:val="00C166DB"/>
    <w:rsid w:val="00C16CD6"/>
    <w:rsid w:val="00C170ED"/>
    <w:rsid w:val="00C1719F"/>
    <w:rsid w:val="00C174E9"/>
    <w:rsid w:val="00C17DE2"/>
    <w:rsid w:val="00C2015E"/>
    <w:rsid w:val="00C202B5"/>
    <w:rsid w:val="00C20E73"/>
    <w:rsid w:val="00C21241"/>
    <w:rsid w:val="00C2125C"/>
    <w:rsid w:val="00C21497"/>
    <w:rsid w:val="00C21C48"/>
    <w:rsid w:val="00C2214F"/>
    <w:rsid w:val="00C22357"/>
    <w:rsid w:val="00C22FF5"/>
    <w:rsid w:val="00C23014"/>
    <w:rsid w:val="00C230EA"/>
    <w:rsid w:val="00C23420"/>
    <w:rsid w:val="00C239CB"/>
    <w:rsid w:val="00C23B4B"/>
    <w:rsid w:val="00C24669"/>
    <w:rsid w:val="00C249F1"/>
    <w:rsid w:val="00C24F2A"/>
    <w:rsid w:val="00C251B0"/>
    <w:rsid w:val="00C2550C"/>
    <w:rsid w:val="00C25629"/>
    <w:rsid w:val="00C258C3"/>
    <w:rsid w:val="00C25C9C"/>
    <w:rsid w:val="00C25EA2"/>
    <w:rsid w:val="00C2638C"/>
    <w:rsid w:val="00C26D7B"/>
    <w:rsid w:val="00C26DE0"/>
    <w:rsid w:val="00C26E4F"/>
    <w:rsid w:val="00C26FEC"/>
    <w:rsid w:val="00C2743A"/>
    <w:rsid w:val="00C279E6"/>
    <w:rsid w:val="00C30736"/>
    <w:rsid w:val="00C31346"/>
    <w:rsid w:val="00C3181C"/>
    <w:rsid w:val="00C31EF0"/>
    <w:rsid w:val="00C323DD"/>
    <w:rsid w:val="00C323FA"/>
    <w:rsid w:val="00C32983"/>
    <w:rsid w:val="00C32A88"/>
    <w:rsid w:val="00C32C1B"/>
    <w:rsid w:val="00C330C1"/>
    <w:rsid w:val="00C334EE"/>
    <w:rsid w:val="00C3372E"/>
    <w:rsid w:val="00C33854"/>
    <w:rsid w:val="00C33DA0"/>
    <w:rsid w:val="00C34402"/>
    <w:rsid w:val="00C34C6B"/>
    <w:rsid w:val="00C34DB6"/>
    <w:rsid w:val="00C34FD8"/>
    <w:rsid w:val="00C35363"/>
    <w:rsid w:val="00C355EF"/>
    <w:rsid w:val="00C35893"/>
    <w:rsid w:val="00C359EA"/>
    <w:rsid w:val="00C35C4A"/>
    <w:rsid w:val="00C36162"/>
    <w:rsid w:val="00C367B9"/>
    <w:rsid w:val="00C3693F"/>
    <w:rsid w:val="00C36ABD"/>
    <w:rsid w:val="00C36DD6"/>
    <w:rsid w:val="00C36EC7"/>
    <w:rsid w:val="00C3700C"/>
    <w:rsid w:val="00C3711E"/>
    <w:rsid w:val="00C3731C"/>
    <w:rsid w:val="00C378EC"/>
    <w:rsid w:val="00C37B9D"/>
    <w:rsid w:val="00C37BD3"/>
    <w:rsid w:val="00C40DBD"/>
    <w:rsid w:val="00C40FDB"/>
    <w:rsid w:val="00C4145C"/>
    <w:rsid w:val="00C4155B"/>
    <w:rsid w:val="00C41637"/>
    <w:rsid w:val="00C41756"/>
    <w:rsid w:val="00C41837"/>
    <w:rsid w:val="00C418A0"/>
    <w:rsid w:val="00C41B22"/>
    <w:rsid w:val="00C423A2"/>
    <w:rsid w:val="00C4276B"/>
    <w:rsid w:val="00C427FD"/>
    <w:rsid w:val="00C42AD0"/>
    <w:rsid w:val="00C42DD7"/>
    <w:rsid w:val="00C42FE6"/>
    <w:rsid w:val="00C43898"/>
    <w:rsid w:val="00C43F27"/>
    <w:rsid w:val="00C44BD1"/>
    <w:rsid w:val="00C45603"/>
    <w:rsid w:val="00C4568F"/>
    <w:rsid w:val="00C45CEB"/>
    <w:rsid w:val="00C46735"/>
    <w:rsid w:val="00C46B5F"/>
    <w:rsid w:val="00C47161"/>
    <w:rsid w:val="00C471A5"/>
    <w:rsid w:val="00C472D1"/>
    <w:rsid w:val="00C4738F"/>
    <w:rsid w:val="00C47CEB"/>
    <w:rsid w:val="00C47EFB"/>
    <w:rsid w:val="00C47F74"/>
    <w:rsid w:val="00C50403"/>
    <w:rsid w:val="00C512EA"/>
    <w:rsid w:val="00C51A3B"/>
    <w:rsid w:val="00C51AF2"/>
    <w:rsid w:val="00C51CC3"/>
    <w:rsid w:val="00C521BB"/>
    <w:rsid w:val="00C52253"/>
    <w:rsid w:val="00C52416"/>
    <w:rsid w:val="00C5263A"/>
    <w:rsid w:val="00C5272C"/>
    <w:rsid w:val="00C52A74"/>
    <w:rsid w:val="00C52BE8"/>
    <w:rsid w:val="00C52E05"/>
    <w:rsid w:val="00C5303F"/>
    <w:rsid w:val="00C531AE"/>
    <w:rsid w:val="00C537C8"/>
    <w:rsid w:val="00C53A4D"/>
    <w:rsid w:val="00C53DD8"/>
    <w:rsid w:val="00C53FF2"/>
    <w:rsid w:val="00C5416E"/>
    <w:rsid w:val="00C542A6"/>
    <w:rsid w:val="00C54378"/>
    <w:rsid w:val="00C549A4"/>
    <w:rsid w:val="00C549DF"/>
    <w:rsid w:val="00C54E60"/>
    <w:rsid w:val="00C54EA3"/>
    <w:rsid w:val="00C54EF1"/>
    <w:rsid w:val="00C55149"/>
    <w:rsid w:val="00C55489"/>
    <w:rsid w:val="00C55DD1"/>
    <w:rsid w:val="00C56765"/>
    <w:rsid w:val="00C57D91"/>
    <w:rsid w:val="00C57F5C"/>
    <w:rsid w:val="00C60507"/>
    <w:rsid w:val="00C606BD"/>
    <w:rsid w:val="00C6074A"/>
    <w:rsid w:val="00C607FD"/>
    <w:rsid w:val="00C609EA"/>
    <w:rsid w:val="00C611BD"/>
    <w:rsid w:val="00C612E7"/>
    <w:rsid w:val="00C61B52"/>
    <w:rsid w:val="00C61E56"/>
    <w:rsid w:val="00C6215A"/>
    <w:rsid w:val="00C6220D"/>
    <w:rsid w:val="00C623BE"/>
    <w:rsid w:val="00C6248B"/>
    <w:rsid w:val="00C6366B"/>
    <w:rsid w:val="00C6391A"/>
    <w:rsid w:val="00C63E07"/>
    <w:rsid w:val="00C64027"/>
    <w:rsid w:val="00C644BD"/>
    <w:rsid w:val="00C646F9"/>
    <w:rsid w:val="00C64BBA"/>
    <w:rsid w:val="00C651FC"/>
    <w:rsid w:val="00C657F1"/>
    <w:rsid w:val="00C667D3"/>
    <w:rsid w:val="00C672B8"/>
    <w:rsid w:val="00C673C6"/>
    <w:rsid w:val="00C6742B"/>
    <w:rsid w:val="00C6746E"/>
    <w:rsid w:val="00C67B01"/>
    <w:rsid w:val="00C702B4"/>
    <w:rsid w:val="00C7041F"/>
    <w:rsid w:val="00C705F0"/>
    <w:rsid w:val="00C70619"/>
    <w:rsid w:val="00C7078E"/>
    <w:rsid w:val="00C70848"/>
    <w:rsid w:val="00C70CA7"/>
    <w:rsid w:val="00C710BB"/>
    <w:rsid w:val="00C718B9"/>
    <w:rsid w:val="00C71F0E"/>
    <w:rsid w:val="00C7261E"/>
    <w:rsid w:val="00C7279B"/>
    <w:rsid w:val="00C728AD"/>
    <w:rsid w:val="00C72A0D"/>
    <w:rsid w:val="00C72DE3"/>
    <w:rsid w:val="00C73569"/>
    <w:rsid w:val="00C735BC"/>
    <w:rsid w:val="00C7383F"/>
    <w:rsid w:val="00C738D2"/>
    <w:rsid w:val="00C73AE7"/>
    <w:rsid w:val="00C74210"/>
    <w:rsid w:val="00C752D6"/>
    <w:rsid w:val="00C75729"/>
    <w:rsid w:val="00C75820"/>
    <w:rsid w:val="00C75870"/>
    <w:rsid w:val="00C75A99"/>
    <w:rsid w:val="00C764DF"/>
    <w:rsid w:val="00C76813"/>
    <w:rsid w:val="00C76B11"/>
    <w:rsid w:val="00C76E1D"/>
    <w:rsid w:val="00C77441"/>
    <w:rsid w:val="00C77943"/>
    <w:rsid w:val="00C779CD"/>
    <w:rsid w:val="00C77D5E"/>
    <w:rsid w:val="00C77DA4"/>
    <w:rsid w:val="00C77E42"/>
    <w:rsid w:val="00C801A8"/>
    <w:rsid w:val="00C80384"/>
    <w:rsid w:val="00C808FE"/>
    <w:rsid w:val="00C8099D"/>
    <w:rsid w:val="00C81F06"/>
    <w:rsid w:val="00C81FEB"/>
    <w:rsid w:val="00C8237D"/>
    <w:rsid w:val="00C82D3D"/>
    <w:rsid w:val="00C82E29"/>
    <w:rsid w:val="00C83593"/>
    <w:rsid w:val="00C835B3"/>
    <w:rsid w:val="00C8361A"/>
    <w:rsid w:val="00C83801"/>
    <w:rsid w:val="00C838C8"/>
    <w:rsid w:val="00C83A92"/>
    <w:rsid w:val="00C83B32"/>
    <w:rsid w:val="00C83F56"/>
    <w:rsid w:val="00C84561"/>
    <w:rsid w:val="00C84A5E"/>
    <w:rsid w:val="00C84A72"/>
    <w:rsid w:val="00C84B1E"/>
    <w:rsid w:val="00C84B24"/>
    <w:rsid w:val="00C84C8F"/>
    <w:rsid w:val="00C84C97"/>
    <w:rsid w:val="00C84CD9"/>
    <w:rsid w:val="00C853B0"/>
    <w:rsid w:val="00C859F5"/>
    <w:rsid w:val="00C85B54"/>
    <w:rsid w:val="00C85BA1"/>
    <w:rsid w:val="00C86154"/>
    <w:rsid w:val="00C86346"/>
    <w:rsid w:val="00C864A3"/>
    <w:rsid w:val="00C86AE1"/>
    <w:rsid w:val="00C87ADF"/>
    <w:rsid w:val="00C87E4B"/>
    <w:rsid w:val="00C9074A"/>
    <w:rsid w:val="00C90C09"/>
    <w:rsid w:val="00C91090"/>
    <w:rsid w:val="00C91173"/>
    <w:rsid w:val="00C91474"/>
    <w:rsid w:val="00C914BA"/>
    <w:rsid w:val="00C91A2F"/>
    <w:rsid w:val="00C924DB"/>
    <w:rsid w:val="00C9274C"/>
    <w:rsid w:val="00C929BB"/>
    <w:rsid w:val="00C92E84"/>
    <w:rsid w:val="00C930C8"/>
    <w:rsid w:val="00C93843"/>
    <w:rsid w:val="00C93F2A"/>
    <w:rsid w:val="00C95281"/>
    <w:rsid w:val="00C957DF"/>
    <w:rsid w:val="00C95A24"/>
    <w:rsid w:val="00C96308"/>
    <w:rsid w:val="00C967CD"/>
    <w:rsid w:val="00C96A9C"/>
    <w:rsid w:val="00C96E7A"/>
    <w:rsid w:val="00C96E7D"/>
    <w:rsid w:val="00C96FBB"/>
    <w:rsid w:val="00C9725B"/>
    <w:rsid w:val="00C9767B"/>
    <w:rsid w:val="00C97A85"/>
    <w:rsid w:val="00C97BAC"/>
    <w:rsid w:val="00CA0215"/>
    <w:rsid w:val="00CA0EF5"/>
    <w:rsid w:val="00CA10C3"/>
    <w:rsid w:val="00CA1824"/>
    <w:rsid w:val="00CA183A"/>
    <w:rsid w:val="00CA1DCA"/>
    <w:rsid w:val="00CA23BA"/>
    <w:rsid w:val="00CA2560"/>
    <w:rsid w:val="00CA2834"/>
    <w:rsid w:val="00CA360E"/>
    <w:rsid w:val="00CA384C"/>
    <w:rsid w:val="00CA4A23"/>
    <w:rsid w:val="00CA5097"/>
    <w:rsid w:val="00CA5EDB"/>
    <w:rsid w:val="00CA609F"/>
    <w:rsid w:val="00CA625C"/>
    <w:rsid w:val="00CA64DD"/>
    <w:rsid w:val="00CA699F"/>
    <w:rsid w:val="00CA725C"/>
    <w:rsid w:val="00CA739E"/>
    <w:rsid w:val="00CA7738"/>
    <w:rsid w:val="00CA79AB"/>
    <w:rsid w:val="00CA7BF0"/>
    <w:rsid w:val="00CB0596"/>
    <w:rsid w:val="00CB0802"/>
    <w:rsid w:val="00CB0C55"/>
    <w:rsid w:val="00CB0CFC"/>
    <w:rsid w:val="00CB0D57"/>
    <w:rsid w:val="00CB0FAD"/>
    <w:rsid w:val="00CB10AB"/>
    <w:rsid w:val="00CB1142"/>
    <w:rsid w:val="00CB1A3E"/>
    <w:rsid w:val="00CB1D82"/>
    <w:rsid w:val="00CB216A"/>
    <w:rsid w:val="00CB2269"/>
    <w:rsid w:val="00CB22D1"/>
    <w:rsid w:val="00CB2694"/>
    <w:rsid w:val="00CB2A8D"/>
    <w:rsid w:val="00CB2DA4"/>
    <w:rsid w:val="00CB2F67"/>
    <w:rsid w:val="00CB3CBB"/>
    <w:rsid w:val="00CB44EB"/>
    <w:rsid w:val="00CB44F5"/>
    <w:rsid w:val="00CB4B5D"/>
    <w:rsid w:val="00CB5293"/>
    <w:rsid w:val="00CB531D"/>
    <w:rsid w:val="00CB5E71"/>
    <w:rsid w:val="00CB5E8C"/>
    <w:rsid w:val="00CB5EFA"/>
    <w:rsid w:val="00CB63A1"/>
    <w:rsid w:val="00CB67DE"/>
    <w:rsid w:val="00CB72BC"/>
    <w:rsid w:val="00CB73AF"/>
    <w:rsid w:val="00CB75B8"/>
    <w:rsid w:val="00CB7E4F"/>
    <w:rsid w:val="00CC03B4"/>
    <w:rsid w:val="00CC07AE"/>
    <w:rsid w:val="00CC0FD2"/>
    <w:rsid w:val="00CC10BB"/>
    <w:rsid w:val="00CC12B2"/>
    <w:rsid w:val="00CC20EA"/>
    <w:rsid w:val="00CC228B"/>
    <w:rsid w:val="00CC2C21"/>
    <w:rsid w:val="00CC32E1"/>
    <w:rsid w:val="00CC3621"/>
    <w:rsid w:val="00CC3E0A"/>
    <w:rsid w:val="00CC4700"/>
    <w:rsid w:val="00CC4873"/>
    <w:rsid w:val="00CC5967"/>
    <w:rsid w:val="00CC5B62"/>
    <w:rsid w:val="00CC5F3D"/>
    <w:rsid w:val="00CC61C2"/>
    <w:rsid w:val="00CC6898"/>
    <w:rsid w:val="00CC6C33"/>
    <w:rsid w:val="00CC7127"/>
    <w:rsid w:val="00CC7F9C"/>
    <w:rsid w:val="00CD021C"/>
    <w:rsid w:val="00CD0359"/>
    <w:rsid w:val="00CD12A4"/>
    <w:rsid w:val="00CD1321"/>
    <w:rsid w:val="00CD17CF"/>
    <w:rsid w:val="00CD1BC5"/>
    <w:rsid w:val="00CD1E88"/>
    <w:rsid w:val="00CD1F16"/>
    <w:rsid w:val="00CD2133"/>
    <w:rsid w:val="00CD22B9"/>
    <w:rsid w:val="00CD2C29"/>
    <w:rsid w:val="00CD324D"/>
    <w:rsid w:val="00CD390E"/>
    <w:rsid w:val="00CD3921"/>
    <w:rsid w:val="00CD3D57"/>
    <w:rsid w:val="00CD4398"/>
    <w:rsid w:val="00CD4485"/>
    <w:rsid w:val="00CD46EB"/>
    <w:rsid w:val="00CD4922"/>
    <w:rsid w:val="00CD4BDB"/>
    <w:rsid w:val="00CD4D31"/>
    <w:rsid w:val="00CD5122"/>
    <w:rsid w:val="00CD5544"/>
    <w:rsid w:val="00CD5741"/>
    <w:rsid w:val="00CD58C5"/>
    <w:rsid w:val="00CD5EF8"/>
    <w:rsid w:val="00CD6079"/>
    <w:rsid w:val="00CD61CB"/>
    <w:rsid w:val="00CD63DB"/>
    <w:rsid w:val="00CD6546"/>
    <w:rsid w:val="00CD6642"/>
    <w:rsid w:val="00CD6809"/>
    <w:rsid w:val="00CD71AE"/>
    <w:rsid w:val="00CE0378"/>
    <w:rsid w:val="00CE04B7"/>
    <w:rsid w:val="00CE0A9E"/>
    <w:rsid w:val="00CE0FEB"/>
    <w:rsid w:val="00CE1318"/>
    <w:rsid w:val="00CE13CB"/>
    <w:rsid w:val="00CE204E"/>
    <w:rsid w:val="00CE236F"/>
    <w:rsid w:val="00CE23BC"/>
    <w:rsid w:val="00CE2AA6"/>
    <w:rsid w:val="00CE3319"/>
    <w:rsid w:val="00CE338A"/>
    <w:rsid w:val="00CE3D14"/>
    <w:rsid w:val="00CE3ECB"/>
    <w:rsid w:val="00CE41E0"/>
    <w:rsid w:val="00CE4668"/>
    <w:rsid w:val="00CE5533"/>
    <w:rsid w:val="00CE5961"/>
    <w:rsid w:val="00CE5DD0"/>
    <w:rsid w:val="00CE6A21"/>
    <w:rsid w:val="00CE72C2"/>
    <w:rsid w:val="00CE773F"/>
    <w:rsid w:val="00CE78A2"/>
    <w:rsid w:val="00CE7CBB"/>
    <w:rsid w:val="00CE7E24"/>
    <w:rsid w:val="00CF0064"/>
    <w:rsid w:val="00CF023C"/>
    <w:rsid w:val="00CF04FF"/>
    <w:rsid w:val="00CF0948"/>
    <w:rsid w:val="00CF0956"/>
    <w:rsid w:val="00CF1835"/>
    <w:rsid w:val="00CF1AB9"/>
    <w:rsid w:val="00CF1BA0"/>
    <w:rsid w:val="00CF249F"/>
    <w:rsid w:val="00CF27ED"/>
    <w:rsid w:val="00CF2C1B"/>
    <w:rsid w:val="00CF2D73"/>
    <w:rsid w:val="00CF3F1F"/>
    <w:rsid w:val="00CF403B"/>
    <w:rsid w:val="00CF4212"/>
    <w:rsid w:val="00CF448F"/>
    <w:rsid w:val="00CF4C87"/>
    <w:rsid w:val="00CF61CF"/>
    <w:rsid w:val="00CF6A22"/>
    <w:rsid w:val="00CF6C17"/>
    <w:rsid w:val="00CF715D"/>
    <w:rsid w:val="00CF74EE"/>
    <w:rsid w:val="00D0009C"/>
    <w:rsid w:val="00D00B4D"/>
    <w:rsid w:val="00D0125C"/>
    <w:rsid w:val="00D0135C"/>
    <w:rsid w:val="00D01550"/>
    <w:rsid w:val="00D015DD"/>
    <w:rsid w:val="00D015EE"/>
    <w:rsid w:val="00D017AF"/>
    <w:rsid w:val="00D02040"/>
    <w:rsid w:val="00D02100"/>
    <w:rsid w:val="00D02810"/>
    <w:rsid w:val="00D02DBA"/>
    <w:rsid w:val="00D02ED0"/>
    <w:rsid w:val="00D038E1"/>
    <w:rsid w:val="00D04B5B"/>
    <w:rsid w:val="00D0524D"/>
    <w:rsid w:val="00D054CD"/>
    <w:rsid w:val="00D0578F"/>
    <w:rsid w:val="00D05A12"/>
    <w:rsid w:val="00D061C3"/>
    <w:rsid w:val="00D06AE3"/>
    <w:rsid w:val="00D076AB"/>
    <w:rsid w:val="00D07958"/>
    <w:rsid w:val="00D07975"/>
    <w:rsid w:val="00D07A0A"/>
    <w:rsid w:val="00D07AE8"/>
    <w:rsid w:val="00D07DF0"/>
    <w:rsid w:val="00D1062B"/>
    <w:rsid w:val="00D10E95"/>
    <w:rsid w:val="00D11515"/>
    <w:rsid w:val="00D11558"/>
    <w:rsid w:val="00D117FA"/>
    <w:rsid w:val="00D11DE9"/>
    <w:rsid w:val="00D11E1C"/>
    <w:rsid w:val="00D12048"/>
    <w:rsid w:val="00D122DD"/>
    <w:rsid w:val="00D12469"/>
    <w:rsid w:val="00D12519"/>
    <w:rsid w:val="00D13412"/>
    <w:rsid w:val="00D134AB"/>
    <w:rsid w:val="00D13510"/>
    <w:rsid w:val="00D1388C"/>
    <w:rsid w:val="00D139E9"/>
    <w:rsid w:val="00D13AC9"/>
    <w:rsid w:val="00D13D54"/>
    <w:rsid w:val="00D1411B"/>
    <w:rsid w:val="00D1435B"/>
    <w:rsid w:val="00D14770"/>
    <w:rsid w:val="00D149C1"/>
    <w:rsid w:val="00D150C9"/>
    <w:rsid w:val="00D15182"/>
    <w:rsid w:val="00D1546F"/>
    <w:rsid w:val="00D156D4"/>
    <w:rsid w:val="00D15A0D"/>
    <w:rsid w:val="00D15CE2"/>
    <w:rsid w:val="00D15D73"/>
    <w:rsid w:val="00D15DE2"/>
    <w:rsid w:val="00D168B4"/>
    <w:rsid w:val="00D16A48"/>
    <w:rsid w:val="00D17E20"/>
    <w:rsid w:val="00D206E6"/>
    <w:rsid w:val="00D20805"/>
    <w:rsid w:val="00D20DD1"/>
    <w:rsid w:val="00D20E16"/>
    <w:rsid w:val="00D20E6C"/>
    <w:rsid w:val="00D218B7"/>
    <w:rsid w:val="00D21B7A"/>
    <w:rsid w:val="00D21BED"/>
    <w:rsid w:val="00D22673"/>
    <w:rsid w:val="00D22D00"/>
    <w:rsid w:val="00D23522"/>
    <w:rsid w:val="00D23AFA"/>
    <w:rsid w:val="00D25E0D"/>
    <w:rsid w:val="00D2605B"/>
    <w:rsid w:val="00D2605D"/>
    <w:rsid w:val="00D260B0"/>
    <w:rsid w:val="00D26140"/>
    <w:rsid w:val="00D26454"/>
    <w:rsid w:val="00D272D7"/>
    <w:rsid w:val="00D273E9"/>
    <w:rsid w:val="00D27A12"/>
    <w:rsid w:val="00D30808"/>
    <w:rsid w:val="00D30A83"/>
    <w:rsid w:val="00D31027"/>
    <w:rsid w:val="00D31041"/>
    <w:rsid w:val="00D31F18"/>
    <w:rsid w:val="00D31F69"/>
    <w:rsid w:val="00D320CA"/>
    <w:rsid w:val="00D32447"/>
    <w:rsid w:val="00D32A2B"/>
    <w:rsid w:val="00D32BA8"/>
    <w:rsid w:val="00D32DB0"/>
    <w:rsid w:val="00D33629"/>
    <w:rsid w:val="00D33A6D"/>
    <w:rsid w:val="00D33B1D"/>
    <w:rsid w:val="00D34360"/>
    <w:rsid w:val="00D34B1B"/>
    <w:rsid w:val="00D34F7D"/>
    <w:rsid w:val="00D358FF"/>
    <w:rsid w:val="00D35AF5"/>
    <w:rsid w:val="00D35ED7"/>
    <w:rsid w:val="00D36BF9"/>
    <w:rsid w:val="00D36C38"/>
    <w:rsid w:val="00D36C54"/>
    <w:rsid w:val="00D36F19"/>
    <w:rsid w:val="00D372EC"/>
    <w:rsid w:val="00D37354"/>
    <w:rsid w:val="00D3741A"/>
    <w:rsid w:val="00D37FAF"/>
    <w:rsid w:val="00D4010B"/>
    <w:rsid w:val="00D4067B"/>
    <w:rsid w:val="00D40C0F"/>
    <w:rsid w:val="00D40D28"/>
    <w:rsid w:val="00D40DB8"/>
    <w:rsid w:val="00D40DE4"/>
    <w:rsid w:val="00D40E2E"/>
    <w:rsid w:val="00D40FDE"/>
    <w:rsid w:val="00D413D4"/>
    <w:rsid w:val="00D41474"/>
    <w:rsid w:val="00D4159A"/>
    <w:rsid w:val="00D4225C"/>
    <w:rsid w:val="00D4275C"/>
    <w:rsid w:val="00D42863"/>
    <w:rsid w:val="00D428F3"/>
    <w:rsid w:val="00D43009"/>
    <w:rsid w:val="00D43408"/>
    <w:rsid w:val="00D4374B"/>
    <w:rsid w:val="00D43A2D"/>
    <w:rsid w:val="00D43E71"/>
    <w:rsid w:val="00D43ED9"/>
    <w:rsid w:val="00D43F15"/>
    <w:rsid w:val="00D44496"/>
    <w:rsid w:val="00D448AC"/>
    <w:rsid w:val="00D44C64"/>
    <w:rsid w:val="00D44FCB"/>
    <w:rsid w:val="00D453E4"/>
    <w:rsid w:val="00D4577E"/>
    <w:rsid w:val="00D45844"/>
    <w:rsid w:val="00D45D10"/>
    <w:rsid w:val="00D45ECA"/>
    <w:rsid w:val="00D46138"/>
    <w:rsid w:val="00D463B6"/>
    <w:rsid w:val="00D46AAB"/>
    <w:rsid w:val="00D46B62"/>
    <w:rsid w:val="00D46F40"/>
    <w:rsid w:val="00D4726C"/>
    <w:rsid w:val="00D4775A"/>
    <w:rsid w:val="00D47D3B"/>
    <w:rsid w:val="00D50308"/>
    <w:rsid w:val="00D50312"/>
    <w:rsid w:val="00D506D1"/>
    <w:rsid w:val="00D5187D"/>
    <w:rsid w:val="00D51BDD"/>
    <w:rsid w:val="00D51FFC"/>
    <w:rsid w:val="00D521CC"/>
    <w:rsid w:val="00D5276D"/>
    <w:rsid w:val="00D52A9A"/>
    <w:rsid w:val="00D52EE4"/>
    <w:rsid w:val="00D53206"/>
    <w:rsid w:val="00D532F8"/>
    <w:rsid w:val="00D53590"/>
    <w:rsid w:val="00D53832"/>
    <w:rsid w:val="00D53A9C"/>
    <w:rsid w:val="00D53AEB"/>
    <w:rsid w:val="00D53DCD"/>
    <w:rsid w:val="00D543BE"/>
    <w:rsid w:val="00D54950"/>
    <w:rsid w:val="00D55223"/>
    <w:rsid w:val="00D552AC"/>
    <w:rsid w:val="00D55BA6"/>
    <w:rsid w:val="00D55D7F"/>
    <w:rsid w:val="00D55E12"/>
    <w:rsid w:val="00D5609A"/>
    <w:rsid w:val="00D56511"/>
    <w:rsid w:val="00D5657D"/>
    <w:rsid w:val="00D56A91"/>
    <w:rsid w:val="00D56C07"/>
    <w:rsid w:val="00D572E2"/>
    <w:rsid w:val="00D573DB"/>
    <w:rsid w:val="00D5798F"/>
    <w:rsid w:val="00D57F78"/>
    <w:rsid w:val="00D602CC"/>
    <w:rsid w:val="00D602E5"/>
    <w:rsid w:val="00D60672"/>
    <w:rsid w:val="00D60812"/>
    <w:rsid w:val="00D60B0B"/>
    <w:rsid w:val="00D60BF8"/>
    <w:rsid w:val="00D61854"/>
    <w:rsid w:val="00D61B91"/>
    <w:rsid w:val="00D61F12"/>
    <w:rsid w:val="00D61FC3"/>
    <w:rsid w:val="00D6301E"/>
    <w:rsid w:val="00D632DC"/>
    <w:rsid w:val="00D63B4B"/>
    <w:rsid w:val="00D64002"/>
    <w:rsid w:val="00D640E4"/>
    <w:rsid w:val="00D641BF"/>
    <w:rsid w:val="00D6461A"/>
    <w:rsid w:val="00D647BD"/>
    <w:rsid w:val="00D64EA4"/>
    <w:rsid w:val="00D651F2"/>
    <w:rsid w:val="00D658B1"/>
    <w:rsid w:val="00D6646A"/>
    <w:rsid w:val="00D66749"/>
    <w:rsid w:val="00D6682E"/>
    <w:rsid w:val="00D669A1"/>
    <w:rsid w:val="00D6730B"/>
    <w:rsid w:val="00D67374"/>
    <w:rsid w:val="00D6760E"/>
    <w:rsid w:val="00D67618"/>
    <w:rsid w:val="00D67742"/>
    <w:rsid w:val="00D67899"/>
    <w:rsid w:val="00D6796A"/>
    <w:rsid w:val="00D67B0B"/>
    <w:rsid w:val="00D67E26"/>
    <w:rsid w:val="00D67E71"/>
    <w:rsid w:val="00D67EDF"/>
    <w:rsid w:val="00D67F42"/>
    <w:rsid w:val="00D7070E"/>
    <w:rsid w:val="00D70983"/>
    <w:rsid w:val="00D70CCD"/>
    <w:rsid w:val="00D70D36"/>
    <w:rsid w:val="00D72307"/>
    <w:rsid w:val="00D7275B"/>
    <w:rsid w:val="00D72B7B"/>
    <w:rsid w:val="00D7332A"/>
    <w:rsid w:val="00D7348A"/>
    <w:rsid w:val="00D73A85"/>
    <w:rsid w:val="00D73BAA"/>
    <w:rsid w:val="00D7437C"/>
    <w:rsid w:val="00D74443"/>
    <w:rsid w:val="00D74A26"/>
    <w:rsid w:val="00D74A57"/>
    <w:rsid w:val="00D752FF"/>
    <w:rsid w:val="00D76D1C"/>
    <w:rsid w:val="00D76F17"/>
    <w:rsid w:val="00D77316"/>
    <w:rsid w:val="00D802CD"/>
    <w:rsid w:val="00D80588"/>
    <w:rsid w:val="00D80E37"/>
    <w:rsid w:val="00D81270"/>
    <w:rsid w:val="00D812C9"/>
    <w:rsid w:val="00D813A5"/>
    <w:rsid w:val="00D81414"/>
    <w:rsid w:val="00D81453"/>
    <w:rsid w:val="00D81B08"/>
    <w:rsid w:val="00D82167"/>
    <w:rsid w:val="00D82250"/>
    <w:rsid w:val="00D82B11"/>
    <w:rsid w:val="00D82B2F"/>
    <w:rsid w:val="00D83157"/>
    <w:rsid w:val="00D83683"/>
    <w:rsid w:val="00D83922"/>
    <w:rsid w:val="00D83B5D"/>
    <w:rsid w:val="00D845C5"/>
    <w:rsid w:val="00D84A65"/>
    <w:rsid w:val="00D85359"/>
    <w:rsid w:val="00D85B8F"/>
    <w:rsid w:val="00D86114"/>
    <w:rsid w:val="00D8638E"/>
    <w:rsid w:val="00D87209"/>
    <w:rsid w:val="00D87543"/>
    <w:rsid w:val="00D875E9"/>
    <w:rsid w:val="00D87C68"/>
    <w:rsid w:val="00D9043B"/>
    <w:rsid w:val="00D90C42"/>
    <w:rsid w:val="00D915B2"/>
    <w:rsid w:val="00D91D2B"/>
    <w:rsid w:val="00D91EC7"/>
    <w:rsid w:val="00D91F83"/>
    <w:rsid w:val="00D92227"/>
    <w:rsid w:val="00D922DA"/>
    <w:rsid w:val="00D92617"/>
    <w:rsid w:val="00D93421"/>
    <w:rsid w:val="00D9354C"/>
    <w:rsid w:val="00D938C9"/>
    <w:rsid w:val="00D94866"/>
    <w:rsid w:val="00D94B33"/>
    <w:rsid w:val="00D94B58"/>
    <w:rsid w:val="00D94BAE"/>
    <w:rsid w:val="00D9534E"/>
    <w:rsid w:val="00D965E2"/>
    <w:rsid w:val="00D96CD3"/>
    <w:rsid w:val="00D97673"/>
    <w:rsid w:val="00D9779D"/>
    <w:rsid w:val="00D97D20"/>
    <w:rsid w:val="00D97FDF"/>
    <w:rsid w:val="00DA00A3"/>
    <w:rsid w:val="00DA00B5"/>
    <w:rsid w:val="00DA03C1"/>
    <w:rsid w:val="00DA055C"/>
    <w:rsid w:val="00DA16DD"/>
    <w:rsid w:val="00DA18C3"/>
    <w:rsid w:val="00DA1B85"/>
    <w:rsid w:val="00DA1C4D"/>
    <w:rsid w:val="00DA1E98"/>
    <w:rsid w:val="00DA26E7"/>
    <w:rsid w:val="00DA27D9"/>
    <w:rsid w:val="00DA2E81"/>
    <w:rsid w:val="00DA2E89"/>
    <w:rsid w:val="00DA3833"/>
    <w:rsid w:val="00DA38D7"/>
    <w:rsid w:val="00DA4210"/>
    <w:rsid w:val="00DA43AA"/>
    <w:rsid w:val="00DA46DF"/>
    <w:rsid w:val="00DA46F2"/>
    <w:rsid w:val="00DA4B58"/>
    <w:rsid w:val="00DA4D5E"/>
    <w:rsid w:val="00DA4F23"/>
    <w:rsid w:val="00DA54F8"/>
    <w:rsid w:val="00DA57B2"/>
    <w:rsid w:val="00DA5D4E"/>
    <w:rsid w:val="00DA5FF1"/>
    <w:rsid w:val="00DA62B8"/>
    <w:rsid w:val="00DA6A2A"/>
    <w:rsid w:val="00DA6AE9"/>
    <w:rsid w:val="00DA7B16"/>
    <w:rsid w:val="00DA7C53"/>
    <w:rsid w:val="00DB0995"/>
    <w:rsid w:val="00DB18FA"/>
    <w:rsid w:val="00DB1EC9"/>
    <w:rsid w:val="00DB29F9"/>
    <w:rsid w:val="00DB2B17"/>
    <w:rsid w:val="00DB2CD1"/>
    <w:rsid w:val="00DB2E99"/>
    <w:rsid w:val="00DB38FA"/>
    <w:rsid w:val="00DB3A3E"/>
    <w:rsid w:val="00DB4857"/>
    <w:rsid w:val="00DB4A97"/>
    <w:rsid w:val="00DB4EB3"/>
    <w:rsid w:val="00DB51B6"/>
    <w:rsid w:val="00DB520F"/>
    <w:rsid w:val="00DB53E9"/>
    <w:rsid w:val="00DB5ABB"/>
    <w:rsid w:val="00DB5C9E"/>
    <w:rsid w:val="00DB5D01"/>
    <w:rsid w:val="00DB5D51"/>
    <w:rsid w:val="00DB604A"/>
    <w:rsid w:val="00DB6114"/>
    <w:rsid w:val="00DB739C"/>
    <w:rsid w:val="00DB752E"/>
    <w:rsid w:val="00DB7749"/>
    <w:rsid w:val="00DB7D22"/>
    <w:rsid w:val="00DB7F61"/>
    <w:rsid w:val="00DC023A"/>
    <w:rsid w:val="00DC02F7"/>
    <w:rsid w:val="00DC05C1"/>
    <w:rsid w:val="00DC05C6"/>
    <w:rsid w:val="00DC098D"/>
    <w:rsid w:val="00DC0AF7"/>
    <w:rsid w:val="00DC0C85"/>
    <w:rsid w:val="00DC1280"/>
    <w:rsid w:val="00DC12EC"/>
    <w:rsid w:val="00DC16A7"/>
    <w:rsid w:val="00DC1807"/>
    <w:rsid w:val="00DC1A0B"/>
    <w:rsid w:val="00DC1BE4"/>
    <w:rsid w:val="00DC1C18"/>
    <w:rsid w:val="00DC2173"/>
    <w:rsid w:val="00DC22C9"/>
    <w:rsid w:val="00DC2FC9"/>
    <w:rsid w:val="00DC3A48"/>
    <w:rsid w:val="00DC3BA0"/>
    <w:rsid w:val="00DC473A"/>
    <w:rsid w:val="00DC487D"/>
    <w:rsid w:val="00DC49E4"/>
    <w:rsid w:val="00DC5134"/>
    <w:rsid w:val="00DC543B"/>
    <w:rsid w:val="00DC5920"/>
    <w:rsid w:val="00DC60B9"/>
    <w:rsid w:val="00DC65FA"/>
    <w:rsid w:val="00DC6A43"/>
    <w:rsid w:val="00DC6E35"/>
    <w:rsid w:val="00DC6F3A"/>
    <w:rsid w:val="00DC73D0"/>
    <w:rsid w:val="00DC746C"/>
    <w:rsid w:val="00DC74E2"/>
    <w:rsid w:val="00DC772A"/>
    <w:rsid w:val="00DC7D9D"/>
    <w:rsid w:val="00DC7EE1"/>
    <w:rsid w:val="00DD02CF"/>
    <w:rsid w:val="00DD06EA"/>
    <w:rsid w:val="00DD164C"/>
    <w:rsid w:val="00DD1C24"/>
    <w:rsid w:val="00DD2826"/>
    <w:rsid w:val="00DD358F"/>
    <w:rsid w:val="00DD3648"/>
    <w:rsid w:val="00DD472A"/>
    <w:rsid w:val="00DD4831"/>
    <w:rsid w:val="00DD4959"/>
    <w:rsid w:val="00DD4DDE"/>
    <w:rsid w:val="00DD5120"/>
    <w:rsid w:val="00DD5425"/>
    <w:rsid w:val="00DD5C93"/>
    <w:rsid w:val="00DD606D"/>
    <w:rsid w:val="00DD664C"/>
    <w:rsid w:val="00DD6766"/>
    <w:rsid w:val="00DD6917"/>
    <w:rsid w:val="00DD6A07"/>
    <w:rsid w:val="00DD71F7"/>
    <w:rsid w:val="00DD7219"/>
    <w:rsid w:val="00DD76D8"/>
    <w:rsid w:val="00DD7BBC"/>
    <w:rsid w:val="00DD7C45"/>
    <w:rsid w:val="00DD7F4F"/>
    <w:rsid w:val="00DE026A"/>
    <w:rsid w:val="00DE08BC"/>
    <w:rsid w:val="00DE0C76"/>
    <w:rsid w:val="00DE0D93"/>
    <w:rsid w:val="00DE1239"/>
    <w:rsid w:val="00DE1C81"/>
    <w:rsid w:val="00DE1EFD"/>
    <w:rsid w:val="00DE208F"/>
    <w:rsid w:val="00DE2332"/>
    <w:rsid w:val="00DE355F"/>
    <w:rsid w:val="00DE368A"/>
    <w:rsid w:val="00DE378F"/>
    <w:rsid w:val="00DE399D"/>
    <w:rsid w:val="00DE3A5F"/>
    <w:rsid w:val="00DE3AC1"/>
    <w:rsid w:val="00DE41FF"/>
    <w:rsid w:val="00DE49A4"/>
    <w:rsid w:val="00DE4BAC"/>
    <w:rsid w:val="00DE4C50"/>
    <w:rsid w:val="00DE503F"/>
    <w:rsid w:val="00DE51C5"/>
    <w:rsid w:val="00DE5466"/>
    <w:rsid w:val="00DE5525"/>
    <w:rsid w:val="00DE5A11"/>
    <w:rsid w:val="00DE5DDD"/>
    <w:rsid w:val="00DE66BE"/>
    <w:rsid w:val="00DE7029"/>
    <w:rsid w:val="00DE73BA"/>
    <w:rsid w:val="00DE761A"/>
    <w:rsid w:val="00DE77A3"/>
    <w:rsid w:val="00DE7948"/>
    <w:rsid w:val="00DE79F5"/>
    <w:rsid w:val="00DE7B1C"/>
    <w:rsid w:val="00DE7D92"/>
    <w:rsid w:val="00DE7FD0"/>
    <w:rsid w:val="00DF029E"/>
    <w:rsid w:val="00DF0DED"/>
    <w:rsid w:val="00DF11B5"/>
    <w:rsid w:val="00DF1BCC"/>
    <w:rsid w:val="00DF1C8A"/>
    <w:rsid w:val="00DF2D3A"/>
    <w:rsid w:val="00DF2ED2"/>
    <w:rsid w:val="00DF3132"/>
    <w:rsid w:val="00DF31A3"/>
    <w:rsid w:val="00DF3B9B"/>
    <w:rsid w:val="00DF4B29"/>
    <w:rsid w:val="00DF4BF7"/>
    <w:rsid w:val="00DF5DAB"/>
    <w:rsid w:val="00DF65E2"/>
    <w:rsid w:val="00DF6CA2"/>
    <w:rsid w:val="00DF7AB2"/>
    <w:rsid w:val="00DF7D45"/>
    <w:rsid w:val="00DF7F96"/>
    <w:rsid w:val="00E004B5"/>
    <w:rsid w:val="00E007E5"/>
    <w:rsid w:val="00E00CB2"/>
    <w:rsid w:val="00E0142E"/>
    <w:rsid w:val="00E01538"/>
    <w:rsid w:val="00E01585"/>
    <w:rsid w:val="00E01760"/>
    <w:rsid w:val="00E026D3"/>
    <w:rsid w:val="00E02896"/>
    <w:rsid w:val="00E029BA"/>
    <w:rsid w:val="00E02B05"/>
    <w:rsid w:val="00E032EE"/>
    <w:rsid w:val="00E03880"/>
    <w:rsid w:val="00E03B83"/>
    <w:rsid w:val="00E03FC0"/>
    <w:rsid w:val="00E04726"/>
    <w:rsid w:val="00E052EA"/>
    <w:rsid w:val="00E05714"/>
    <w:rsid w:val="00E058CD"/>
    <w:rsid w:val="00E0596F"/>
    <w:rsid w:val="00E05BFA"/>
    <w:rsid w:val="00E062BD"/>
    <w:rsid w:val="00E062CD"/>
    <w:rsid w:val="00E0643C"/>
    <w:rsid w:val="00E06A7B"/>
    <w:rsid w:val="00E06B49"/>
    <w:rsid w:val="00E076A5"/>
    <w:rsid w:val="00E078E8"/>
    <w:rsid w:val="00E100CA"/>
    <w:rsid w:val="00E102E8"/>
    <w:rsid w:val="00E105CA"/>
    <w:rsid w:val="00E10CAB"/>
    <w:rsid w:val="00E114E5"/>
    <w:rsid w:val="00E12C77"/>
    <w:rsid w:val="00E13996"/>
    <w:rsid w:val="00E13C91"/>
    <w:rsid w:val="00E140FF"/>
    <w:rsid w:val="00E141AD"/>
    <w:rsid w:val="00E1433A"/>
    <w:rsid w:val="00E145BD"/>
    <w:rsid w:val="00E15424"/>
    <w:rsid w:val="00E158FE"/>
    <w:rsid w:val="00E161E9"/>
    <w:rsid w:val="00E17661"/>
    <w:rsid w:val="00E17698"/>
    <w:rsid w:val="00E17902"/>
    <w:rsid w:val="00E201F6"/>
    <w:rsid w:val="00E204F7"/>
    <w:rsid w:val="00E20732"/>
    <w:rsid w:val="00E207E3"/>
    <w:rsid w:val="00E219E7"/>
    <w:rsid w:val="00E21DF2"/>
    <w:rsid w:val="00E21FDB"/>
    <w:rsid w:val="00E223D9"/>
    <w:rsid w:val="00E228D9"/>
    <w:rsid w:val="00E23395"/>
    <w:rsid w:val="00E239A6"/>
    <w:rsid w:val="00E23B51"/>
    <w:rsid w:val="00E24802"/>
    <w:rsid w:val="00E24C3C"/>
    <w:rsid w:val="00E25202"/>
    <w:rsid w:val="00E25BFE"/>
    <w:rsid w:val="00E268B8"/>
    <w:rsid w:val="00E2721B"/>
    <w:rsid w:val="00E2728A"/>
    <w:rsid w:val="00E3086E"/>
    <w:rsid w:val="00E30BF7"/>
    <w:rsid w:val="00E30C04"/>
    <w:rsid w:val="00E31932"/>
    <w:rsid w:val="00E31EF1"/>
    <w:rsid w:val="00E33011"/>
    <w:rsid w:val="00E336E5"/>
    <w:rsid w:val="00E3375A"/>
    <w:rsid w:val="00E33CB9"/>
    <w:rsid w:val="00E33DCE"/>
    <w:rsid w:val="00E3403A"/>
    <w:rsid w:val="00E342AF"/>
    <w:rsid w:val="00E3519C"/>
    <w:rsid w:val="00E35858"/>
    <w:rsid w:val="00E358E0"/>
    <w:rsid w:val="00E35C01"/>
    <w:rsid w:val="00E35EE1"/>
    <w:rsid w:val="00E362F0"/>
    <w:rsid w:val="00E36405"/>
    <w:rsid w:val="00E36B62"/>
    <w:rsid w:val="00E374D5"/>
    <w:rsid w:val="00E37564"/>
    <w:rsid w:val="00E40105"/>
    <w:rsid w:val="00E4066A"/>
    <w:rsid w:val="00E40683"/>
    <w:rsid w:val="00E409E6"/>
    <w:rsid w:val="00E41282"/>
    <w:rsid w:val="00E41A59"/>
    <w:rsid w:val="00E41ED7"/>
    <w:rsid w:val="00E424A0"/>
    <w:rsid w:val="00E4283E"/>
    <w:rsid w:val="00E4316D"/>
    <w:rsid w:val="00E4354E"/>
    <w:rsid w:val="00E43E88"/>
    <w:rsid w:val="00E446E5"/>
    <w:rsid w:val="00E44ABF"/>
    <w:rsid w:val="00E44C34"/>
    <w:rsid w:val="00E4512B"/>
    <w:rsid w:val="00E454AD"/>
    <w:rsid w:val="00E459A4"/>
    <w:rsid w:val="00E459E9"/>
    <w:rsid w:val="00E45EC4"/>
    <w:rsid w:val="00E45FB8"/>
    <w:rsid w:val="00E46243"/>
    <w:rsid w:val="00E46EFF"/>
    <w:rsid w:val="00E46FB4"/>
    <w:rsid w:val="00E47226"/>
    <w:rsid w:val="00E47907"/>
    <w:rsid w:val="00E47A92"/>
    <w:rsid w:val="00E47B6A"/>
    <w:rsid w:val="00E47C5F"/>
    <w:rsid w:val="00E507CB"/>
    <w:rsid w:val="00E5081C"/>
    <w:rsid w:val="00E508BF"/>
    <w:rsid w:val="00E5091B"/>
    <w:rsid w:val="00E50A63"/>
    <w:rsid w:val="00E50E59"/>
    <w:rsid w:val="00E51F21"/>
    <w:rsid w:val="00E520BA"/>
    <w:rsid w:val="00E52484"/>
    <w:rsid w:val="00E528EA"/>
    <w:rsid w:val="00E529B1"/>
    <w:rsid w:val="00E52C90"/>
    <w:rsid w:val="00E52CC5"/>
    <w:rsid w:val="00E535A8"/>
    <w:rsid w:val="00E53671"/>
    <w:rsid w:val="00E54E2E"/>
    <w:rsid w:val="00E55298"/>
    <w:rsid w:val="00E55DA2"/>
    <w:rsid w:val="00E5620C"/>
    <w:rsid w:val="00E56319"/>
    <w:rsid w:val="00E56E72"/>
    <w:rsid w:val="00E571AF"/>
    <w:rsid w:val="00E57859"/>
    <w:rsid w:val="00E57E0B"/>
    <w:rsid w:val="00E57E1A"/>
    <w:rsid w:val="00E57F98"/>
    <w:rsid w:val="00E6060B"/>
    <w:rsid w:val="00E61142"/>
    <w:rsid w:val="00E61587"/>
    <w:rsid w:val="00E61B91"/>
    <w:rsid w:val="00E61BB0"/>
    <w:rsid w:val="00E61EC8"/>
    <w:rsid w:val="00E61FE1"/>
    <w:rsid w:val="00E62169"/>
    <w:rsid w:val="00E624A0"/>
    <w:rsid w:val="00E6251D"/>
    <w:rsid w:val="00E633F1"/>
    <w:rsid w:val="00E636F5"/>
    <w:rsid w:val="00E636FD"/>
    <w:rsid w:val="00E6378B"/>
    <w:rsid w:val="00E63B5E"/>
    <w:rsid w:val="00E64617"/>
    <w:rsid w:val="00E64EA8"/>
    <w:rsid w:val="00E6542B"/>
    <w:rsid w:val="00E6548E"/>
    <w:rsid w:val="00E655F1"/>
    <w:rsid w:val="00E65D92"/>
    <w:rsid w:val="00E663CF"/>
    <w:rsid w:val="00E66418"/>
    <w:rsid w:val="00E669D9"/>
    <w:rsid w:val="00E66D16"/>
    <w:rsid w:val="00E674F1"/>
    <w:rsid w:val="00E6763F"/>
    <w:rsid w:val="00E6764E"/>
    <w:rsid w:val="00E70037"/>
    <w:rsid w:val="00E70780"/>
    <w:rsid w:val="00E70976"/>
    <w:rsid w:val="00E70A84"/>
    <w:rsid w:val="00E71047"/>
    <w:rsid w:val="00E71356"/>
    <w:rsid w:val="00E7161D"/>
    <w:rsid w:val="00E72897"/>
    <w:rsid w:val="00E72BEB"/>
    <w:rsid w:val="00E72E41"/>
    <w:rsid w:val="00E7323B"/>
    <w:rsid w:val="00E73712"/>
    <w:rsid w:val="00E73AA5"/>
    <w:rsid w:val="00E73EAE"/>
    <w:rsid w:val="00E740AF"/>
    <w:rsid w:val="00E74254"/>
    <w:rsid w:val="00E7562E"/>
    <w:rsid w:val="00E75662"/>
    <w:rsid w:val="00E75926"/>
    <w:rsid w:val="00E75DC7"/>
    <w:rsid w:val="00E7629E"/>
    <w:rsid w:val="00E763A2"/>
    <w:rsid w:val="00E768D4"/>
    <w:rsid w:val="00E7696C"/>
    <w:rsid w:val="00E76DD1"/>
    <w:rsid w:val="00E7708D"/>
    <w:rsid w:val="00E77E05"/>
    <w:rsid w:val="00E80444"/>
    <w:rsid w:val="00E80450"/>
    <w:rsid w:val="00E804FD"/>
    <w:rsid w:val="00E80540"/>
    <w:rsid w:val="00E805B8"/>
    <w:rsid w:val="00E80793"/>
    <w:rsid w:val="00E80AE7"/>
    <w:rsid w:val="00E80B36"/>
    <w:rsid w:val="00E81025"/>
    <w:rsid w:val="00E8108A"/>
    <w:rsid w:val="00E810C1"/>
    <w:rsid w:val="00E81283"/>
    <w:rsid w:val="00E8130A"/>
    <w:rsid w:val="00E81789"/>
    <w:rsid w:val="00E81915"/>
    <w:rsid w:val="00E81A0C"/>
    <w:rsid w:val="00E81AFB"/>
    <w:rsid w:val="00E81B3F"/>
    <w:rsid w:val="00E8223F"/>
    <w:rsid w:val="00E8265E"/>
    <w:rsid w:val="00E82E8A"/>
    <w:rsid w:val="00E83357"/>
    <w:rsid w:val="00E83405"/>
    <w:rsid w:val="00E838D1"/>
    <w:rsid w:val="00E83A39"/>
    <w:rsid w:val="00E8442F"/>
    <w:rsid w:val="00E847EA"/>
    <w:rsid w:val="00E84C2D"/>
    <w:rsid w:val="00E84D86"/>
    <w:rsid w:val="00E84F30"/>
    <w:rsid w:val="00E851A8"/>
    <w:rsid w:val="00E85646"/>
    <w:rsid w:val="00E8576F"/>
    <w:rsid w:val="00E86AC3"/>
    <w:rsid w:val="00E87076"/>
    <w:rsid w:val="00E87129"/>
    <w:rsid w:val="00E874A6"/>
    <w:rsid w:val="00E87FD8"/>
    <w:rsid w:val="00E9026D"/>
    <w:rsid w:val="00E90644"/>
    <w:rsid w:val="00E906D0"/>
    <w:rsid w:val="00E909B2"/>
    <w:rsid w:val="00E91275"/>
    <w:rsid w:val="00E916FE"/>
    <w:rsid w:val="00E919FE"/>
    <w:rsid w:val="00E91EF9"/>
    <w:rsid w:val="00E921BF"/>
    <w:rsid w:val="00E92C50"/>
    <w:rsid w:val="00E93529"/>
    <w:rsid w:val="00E938D5"/>
    <w:rsid w:val="00E93A6F"/>
    <w:rsid w:val="00E93DC1"/>
    <w:rsid w:val="00E9424F"/>
    <w:rsid w:val="00E9471B"/>
    <w:rsid w:val="00E947C4"/>
    <w:rsid w:val="00E948E7"/>
    <w:rsid w:val="00E950A9"/>
    <w:rsid w:val="00E96292"/>
    <w:rsid w:val="00E96458"/>
    <w:rsid w:val="00E964E6"/>
    <w:rsid w:val="00E9673C"/>
    <w:rsid w:val="00E96B61"/>
    <w:rsid w:val="00E96F6A"/>
    <w:rsid w:val="00E96F74"/>
    <w:rsid w:val="00E977EC"/>
    <w:rsid w:val="00E97CD2"/>
    <w:rsid w:val="00E97E3B"/>
    <w:rsid w:val="00EA0202"/>
    <w:rsid w:val="00EA02AB"/>
    <w:rsid w:val="00EA0E5D"/>
    <w:rsid w:val="00EA1584"/>
    <w:rsid w:val="00EA1C73"/>
    <w:rsid w:val="00EA1C8C"/>
    <w:rsid w:val="00EA24A7"/>
    <w:rsid w:val="00EA2517"/>
    <w:rsid w:val="00EA2794"/>
    <w:rsid w:val="00EA2E48"/>
    <w:rsid w:val="00EA2FE8"/>
    <w:rsid w:val="00EA3D57"/>
    <w:rsid w:val="00EA412C"/>
    <w:rsid w:val="00EA4281"/>
    <w:rsid w:val="00EA451B"/>
    <w:rsid w:val="00EA46E3"/>
    <w:rsid w:val="00EA4C0A"/>
    <w:rsid w:val="00EA4D2E"/>
    <w:rsid w:val="00EA4E95"/>
    <w:rsid w:val="00EA5469"/>
    <w:rsid w:val="00EA6198"/>
    <w:rsid w:val="00EA6699"/>
    <w:rsid w:val="00EA709E"/>
    <w:rsid w:val="00EA70C5"/>
    <w:rsid w:val="00EB01D7"/>
    <w:rsid w:val="00EB03A7"/>
    <w:rsid w:val="00EB064F"/>
    <w:rsid w:val="00EB06A7"/>
    <w:rsid w:val="00EB089A"/>
    <w:rsid w:val="00EB1DEF"/>
    <w:rsid w:val="00EB286F"/>
    <w:rsid w:val="00EB37A2"/>
    <w:rsid w:val="00EB3B68"/>
    <w:rsid w:val="00EB453D"/>
    <w:rsid w:val="00EB5369"/>
    <w:rsid w:val="00EB54B7"/>
    <w:rsid w:val="00EB55B9"/>
    <w:rsid w:val="00EB59B9"/>
    <w:rsid w:val="00EB5C9E"/>
    <w:rsid w:val="00EB6DF5"/>
    <w:rsid w:val="00EB748E"/>
    <w:rsid w:val="00EB7827"/>
    <w:rsid w:val="00EC0117"/>
    <w:rsid w:val="00EC012C"/>
    <w:rsid w:val="00EC097A"/>
    <w:rsid w:val="00EC0A30"/>
    <w:rsid w:val="00EC191D"/>
    <w:rsid w:val="00EC27F3"/>
    <w:rsid w:val="00EC2A37"/>
    <w:rsid w:val="00EC3410"/>
    <w:rsid w:val="00EC39DA"/>
    <w:rsid w:val="00EC3B1C"/>
    <w:rsid w:val="00EC3BCE"/>
    <w:rsid w:val="00EC3E02"/>
    <w:rsid w:val="00EC3E9C"/>
    <w:rsid w:val="00EC3FD3"/>
    <w:rsid w:val="00EC4263"/>
    <w:rsid w:val="00EC489D"/>
    <w:rsid w:val="00EC5485"/>
    <w:rsid w:val="00EC5AF4"/>
    <w:rsid w:val="00EC5B04"/>
    <w:rsid w:val="00EC635E"/>
    <w:rsid w:val="00EC6432"/>
    <w:rsid w:val="00EC6C81"/>
    <w:rsid w:val="00EC7030"/>
    <w:rsid w:val="00EC7207"/>
    <w:rsid w:val="00EC73FF"/>
    <w:rsid w:val="00EC7479"/>
    <w:rsid w:val="00EC775E"/>
    <w:rsid w:val="00EC7B33"/>
    <w:rsid w:val="00EC7C35"/>
    <w:rsid w:val="00ED0560"/>
    <w:rsid w:val="00ED0727"/>
    <w:rsid w:val="00ED0AE2"/>
    <w:rsid w:val="00ED0C5F"/>
    <w:rsid w:val="00ED122B"/>
    <w:rsid w:val="00ED122C"/>
    <w:rsid w:val="00ED1526"/>
    <w:rsid w:val="00ED1C29"/>
    <w:rsid w:val="00ED1F7B"/>
    <w:rsid w:val="00ED20F3"/>
    <w:rsid w:val="00ED2C72"/>
    <w:rsid w:val="00ED306B"/>
    <w:rsid w:val="00ED3719"/>
    <w:rsid w:val="00ED3970"/>
    <w:rsid w:val="00ED3A0A"/>
    <w:rsid w:val="00ED3D65"/>
    <w:rsid w:val="00ED3EE1"/>
    <w:rsid w:val="00ED3F20"/>
    <w:rsid w:val="00ED3FFA"/>
    <w:rsid w:val="00ED42ED"/>
    <w:rsid w:val="00ED4D52"/>
    <w:rsid w:val="00ED501C"/>
    <w:rsid w:val="00ED565D"/>
    <w:rsid w:val="00ED592C"/>
    <w:rsid w:val="00ED5DF5"/>
    <w:rsid w:val="00ED5F9B"/>
    <w:rsid w:val="00ED606E"/>
    <w:rsid w:val="00ED628E"/>
    <w:rsid w:val="00ED65AF"/>
    <w:rsid w:val="00ED6723"/>
    <w:rsid w:val="00ED6F38"/>
    <w:rsid w:val="00ED7570"/>
    <w:rsid w:val="00ED7742"/>
    <w:rsid w:val="00ED7B03"/>
    <w:rsid w:val="00ED7CA0"/>
    <w:rsid w:val="00EE1A64"/>
    <w:rsid w:val="00EE1D4B"/>
    <w:rsid w:val="00EE2A6C"/>
    <w:rsid w:val="00EE2FAA"/>
    <w:rsid w:val="00EE3137"/>
    <w:rsid w:val="00EE34C5"/>
    <w:rsid w:val="00EE3B68"/>
    <w:rsid w:val="00EE3FDC"/>
    <w:rsid w:val="00EE4031"/>
    <w:rsid w:val="00EE4651"/>
    <w:rsid w:val="00EE4807"/>
    <w:rsid w:val="00EE48EB"/>
    <w:rsid w:val="00EE498F"/>
    <w:rsid w:val="00EE4AD3"/>
    <w:rsid w:val="00EE4D77"/>
    <w:rsid w:val="00EE4FBD"/>
    <w:rsid w:val="00EE581B"/>
    <w:rsid w:val="00EE58B3"/>
    <w:rsid w:val="00EE6586"/>
    <w:rsid w:val="00EE6F28"/>
    <w:rsid w:val="00EE72A7"/>
    <w:rsid w:val="00EE74DE"/>
    <w:rsid w:val="00EE77A8"/>
    <w:rsid w:val="00EE77F5"/>
    <w:rsid w:val="00EE7871"/>
    <w:rsid w:val="00EE7B7B"/>
    <w:rsid w:val="00EF006A"/>
    <w:rsid w:val="00EF03CE"/>
    <w:rsid w:val="00EF057B"/>
    <w:rsid w:val="00EF0DC7"/>
    <w:rsid w:val="00EF0ECA"/>
    <w:rsid w:val="00EF11A2"/>
    <w:rsid w:val="00EF127A"/>
    <w:rsid w:val="00EF134C"/>
    <w:rsid w:val="00EF1C64"/>
    <w:rsid w:val="00EF21D9"/>
    <w:rsid w:val="00EF2ABF"/>
    <w:rsid w:val="00EF347E"/>
    <w:rsid w:val="00EF3482"/>
    <w:rsid w:val="00EF372A"/>
    <w:rsid w:val="00EF3A9E"/>
    <w:rsid w:val="00EF3F8F"/>
    <w:rsid w:val="00EF4134"/>
    <w:rsid w:val="00EF4296"/>
    <w:rsid w:val="00EF489B"/>
    <w:rsid w:val="00EF55D0"/>
    <w:rsid w:val="00EF581D"/>
    <w:rsid w:val="00EF5BAA"/>
    <w:rsid w:val="00EF6275"/>
    <w:rsid w:val="00EF630B"/>
    <w:rsid w:val="00EF6525"/>
    <w:rsid w:val="00EF65F4"/>
    <w:rsid w:val="00EF6B22"/>
    <w:rsid w:val="00EF6C84"/>
    <w:rsid w:val="00EF6E9C"/>
    <w:rsid w:val="00EF73C5"/>
    <w:rsid w:val="00EF7FD6"/>
    <w:rsid w:val="00F00E11"/>
    <w:rsid w:val="00F01094"/>
    <w:rsid w:val="00F010FA"/>
    <w:rsid w:val="00F01114"/>
    <w:rsid w:val="00F018D7"/>
    <w:rsid w:val="00F01D04"/>
    <w:rsid w:val="00F02921"/>
    <w:rsid w:val="00F03202"/>
    <w:rsid w:val="00F034AD"/>
    <w:rsid w:val="00F036EC"/>
    <w:rsid w:val="00F04292"/>
    <w:rsid w:val="00F0466F"/>
    <w:rsid w:val="00F0482E"/>
    <w:rsid w:val="00F063FA"/>
    <w:rsid w:val="00F06414"/>
    <w:rsid w:val="00F06823"/>
    <w:rsid w:val="00F06F0F"/>
    <w:rsid w:val="00F07DA6"/>
    <w:rsid w:val="00F1055C"/>
    <w:rsid w:val="00F1076C"/>
    <w:rsid w:val="00F10F99"/>
    <w:rsid w:val="00F1170E"/>
    <w:rsid w:val="00F11811"/>
    <w:rsid w:val="00F119EB"/>
    <w:rsid w:val="00F11D4E"/>
    <w:rsid w:val="00F12942"/>
    <w:rsid w:val="00F12A0D"/>
    <w:rsid w:val="00F12BAF"/>
    <w:rsid w:val="00F12CA2"/>
    <w:rsid w:val="00F13834"/>
    <w:rsid w:val="00F1395B"/>
    <w:rsid w:val="00F13F7C"/>
    <w:rsid w:val="00F1411D"/>
    <w:rsid w:val="00F142A3"/>
    <w:rsid w:val="00F142C6"/>
    <w:rsid w:val="00F14431"/>
    <w:rsid w:val="00F147B8"/>
    <w:rsid w:val="00F14D21"/>
    <w:rsid w:val="00F14FA7"/>
    <w:rsid w:val="00F158A9"/>
    <w:rsid w:val="00F159ED"/>
    <w:rsid w:val="00F15F93"/>
    <w:rsid w:val="00F16270"/>
    <w:rsid w:val="00F1689B"/>
    <w:rsid w:val="00F16A00"/>
    <w:rsid w:val="00F171A6"/>
    <w:rsid w:val="00F17B51"/>
    <w:rsid w:val="00F200D4"/>
    <w:rsid w:val="00F20987"/>
    <w:rsid w:val="00F20A6C"/>
    <w:rsid w:val="00F20DA6"/>
    <w:rsid w:val="00F21008"/>
    <w:rsid w:val="00F214E2"/>
    <w:rsid w:val="00F21533"/>
    <w:rsid w:val="00F21A73"/>
    <w:rsid w:val="00F21E1A"/>
    <w:rsid w:val="00F220D8"/>
    <w:rsid w:val="00F226DE"/>
    <w:rsid w:val="00F2289E"/>
    <w:rsid w:val="00F232F8"/>
    <w:rsid w:val="00F23D49"/>
    <w:rsid w:val="00F2431B"/>
    <w:rsid w:val="00F245A3"/>
    <w:rsid w:val="00F24B63"/>
    <w:rsid w:val="00F24E3F"/>
    <w:rsid w:val="00F2546D"/>
    <w:rsid w:val="00F25E01"/>
    <w:rsid w:val="00F26E4E"/>
    <w:rsid w:val="00F26F3A"/>
    <w:rsid w:val="00F2732C"/>
    <w:rsid w:val="00F27371"/>
    <w:rsid w:val="00F27C94"/>
    <w:rsid w:val="00F30150"/>
    <w:rsid w:val="00F30338"/>
    <w:rsid w:val="00F307CA"/>
    <w:rsid w:val="00F3108D"/>
    <w:rsid w:val="00F31A10"/>
    <w:rsid w:val="00F3239C"/>
    <w:rsid w:val="00F32B0F"/>
    <w:rsid w:val="00F32D2C"/>
    <w:rsid w:val="00F32F78"/>
    <w:rsid w:val="00F3335A"/>
    <w:rsid w:val="00F33EB2"/>
    <w:rsid w:val="00F344FE"/>
    <w:rsid w:val="00F3465B"/>
    <w:rsid w:val="00F34838"/>
    <w:rsid w:val="00F358EA"/>
    <w:rsid w:val="00F3650D"/>
    <w:rsid w:val="00F368C7"/>
    <w:rsid w:val="00F36DC7"/>
    <w:rsid w:val="00F36F3A"/>
    <w:rsid w:val="00F3701B"/>
    <w:rsid w:val="00F37ADB"/>
    <w:rsid w:val="00F4004A"/>
    <w:rsid w:val="00F400D2"/>
    <w:rsid w:val="00F40803"/>
    <w:rsid w:val="00F40C72"/>
    <w:rsid w:val="00F40D17"/>
    <w:rsid w:val="00F40F3F"/>
    <w:rsid w:val="00F410E9"/>
    <w:rsid w:val="00F41866"/>
    <w:rsid w:val="00F41F6F"/>
    <w:rsid w:val="00F426B7"/>
    <w:rsid w:val="00F427AA"/>
    <w:rsid w:val="00F4281F"/>
    <w:rsid w:val="00F42A4A"/>
    <w:rsid w:val="00F42AA7"/>
    <w:rsid w:val="00F42CF5"/>
    <w:rsid w:val="00F42FF3"/>
    <w:rsid w:val="00F4341B"/>
    <w:rsid w:val="00F43604"/>
    <w:rsid w:val="00F43801"/>
    <w:rsid w:val="00F43D21"/>
    <w:rsid w:val="00F43D8F"/>
    <w:rsid w:val="00F44D28"/>
    <w:rsid w:val="00F46D83"/>
    <w:rsid w:val="00F46E8B"/>
    <w:rsid w:val="00F47AF3"/>
    <w:rsid w:val="00F47D2F"/>
    <w:rsid w:val="00F47EFA"/>
    <w:rsid w:val="00F50170"/>
    <w:rsid w:val="00F505B2"/>
    <w:rsid w:val="00F50B85"/>
    <w:rsid w:val="00F515E3"/>
    <w:rsid w:val="00F517DB"/>
    <w:rsid w:val="00F520AA"/>
    <w:rsid w:val="00F5216D"/>
    <w:rsid w:val="00F52A12"/>
    <w:rsid w:val="00F52DBB"/>
    <w:rsid w:val="00F53494"/>
    <w:rsid w:val="00F53A7E"/>
    <w:rsid w:val="00F53ADE"/>
    <w:rsid w:val="00F53F7B"/>
    <w:rsid w:val="00F544E7"/>
    <w:rsid w:val="00F54609"/>
    <w:rsid w:val="00F54749"/>
    <w:rsid w:val="00F547D6"/>
    <w:rsid w:val="00F5481E"/>
    <w:rsid w:val="00F54A9E"/>
    <w:rsid w:val="00F54BCE"/>
    <w:rsid w:val="00F559BE"/>
    <w:rsid w:val="00F55F9F"/>
    <w:rsid w:val="00F56066"/>
    <w:rsid w:val="00F57521"/>
    <w:rsid w:val="00F6019C"/>
    <w:rsid w:val="00F60874"/>
    <w:rsid w:val="00F60D84"/>
    <w:rsid w:val="00F60EBC"/>
    <w:rsid w:val="00F6159C"/>
    <w:rsid w:val="00F61887"/>
    <w:rsid w:val="00F6199B"/>
    <w:rsid w:val="00F62A77"/>
    <w:rsid w:val="00F6357B"/>
    <w:rsid w:val="00F637AA"/>
    <w:rsid w:val="00F64768"/>
    <w:rsid w:val="00F64C89"/>
    <w:rsid w:val="00F64CD1"/>
    <w:rsid w:val="00F64D2C"/>
    <w:rsid w:val="00F64D9C"/>
    <w:rsid w:val="00F655E0"/>
    <w:rsid w:val="00F6568B"/>
    <w:rsid w:val="00F65930"/>
    <w:rsid w:val="00F65B6C"/>
    <w:rsid w:val="00F66270"/>
    <w:rsid w:val="00F6745D"/>
    <w:rsid w:val="00F676A2"/>
    <w:rsid w:val="00F67746"/>
    <w:rsid w:val="00F6792E"/>
    <w:rsid w:val="00F701F9"/>
    <w:rsid w:val="00F7056A"/>
    <w:rsid w:val="00F70B21"/>
    <w:rsid w:val="00F70E4F"/>
    <w:rsid w:val="00F71156"/>
    <w:rsid w:val="00F71782"/>
    <w:rsid w:val="00F71A77"/>
    <w:rsid w:val="00F71A7B"/>
    <w:rsid w:val="00F71A93"/>
    <w:rsid w:val="00F720E8"/>
    <w:rsid w:val="00F7248F"/>
    <w:rsid w:val="00F729BB"/>
    <w:rsid w:val="00F72A49"/>
    <w:rsid w:val="00F72F07"/>
    <w:rsid w:val="00F72FAE"/>
    <w:rsid w:val="00F73F43"/>
    <w:rsid w:val="00F740B8"/>
    <w:rsid w:val="00F7475C"/>
    <w:rsid w:val="00F747F1"/>
    <w:rsid w:val="00F74B4E"/>
    <w:rsid w:val="00F74C3A"/>
    <w:rsid w:val="00F7517B"/>
    <w:rsid w:val="00F753BA"/>
    <w:rsid w:val="00F757DB"/>
    <w:rsid w:val="00F75A9F"/>
    <w:rsid w:val="00F75B97"/>
    <w:rsid w:val="00F7634B"/>
    <w:rsid w:val="00F76DDD"/>
    <w:rsid w:val="00F771D6"/>
    <w:rsid w:val="00F77D11"/>
    <w:rsid w:val="00F77E8B"/>
    <w:rsid w:val="00F77ED2"/>
    <w:rsid w:val="00F802D6"/>
    <w:rsid w:val="00F80AA3"/>
    <w:rsid w:val="00F81702"/>
    <w:rsid w:val="00F81848"/>
    <w:rsid w:val="00F818DC"/>
    <w:rsid w:val="00F8192F"/>
    <w:rsid w:val="00F81B41"/>
    <w:rsid w:val="00F8203F"/>
    <w:rsid w:val="00F82340"/>
    <w:rsid w:val="00F82C62"/>
    <w:rsid w:val="00F83ABA"/>
    <w:rsid w:val="00F83CE5"/>
    <w:rsid w:val="00F840EB"/>
    <w:rsid w:val="00F84135"/>
    <w:rsid w:val="00F84885"/>
    <w:rsid w:val="00F848E0"/>
    <w:rsid w:val="00F85E6F"/>
    <w:rsid w:val="00F86017"/>
    <w:rsid w:val="00F86221"/>
    <w:rsid w:val="00F86B65"/>
    <w:rsid w:val="00F86BD9"/>
    <w:rsid w:val="00F86FCD"/>
    <w:rsid w:val="00F873AA"/>
    <w:rsid w:val="00F9009A"/>
    <w:rsid w:val="00F903D4"/>
    <w:rsid w:val="00F9072E"/>
    <w:rsid w:val="00F90966"/>
    <w:rsid w:val="00F90D32"/>
    <w:rsid w:val="00F913A5"/>
    <w:rsid w:val="00F92267"/>
    <w:rsid w:val="00F923C8"/>
    <w:rsid w:val="00F924CC"/>
    <w:rsid w:val="00F92684"/>
    <w:rsid w:val="00F92AFA"/>
    <w:rsid w:val="00F93A86"/>
    <w:rsid w:val="00F93DBB"/>
    <w:rsid w:val="00F94CBD"/>
    <w:rsid w:val="00F94FC6"/>
    <w:rsid w:val="00F9506B"/>
    <w:rsid w:val="00F957DF"/>
    <w:rsid w:val="00F964BD"/>
    <w:rsid w:val="00F96840"/>
    <w:rsid w:val="00F968C2"/>
    <w:rsid w:val="00F96C9D"/>
    <w:rsid w:val="00F96CA9"/>
    <w:rsid w:val="00F96D0A"/>
    <w:rsid w:val="00F96D9E"/>
    <w:rsid w:val="00F96E1C"/>
    <w:rsid w:val="00F96E43"/>
    <w:rsid w:val="00F9707F"/>
    <w:rsid w:val="00F97642"/>
    <w:rsid w:val="00F97717"/>
    <w:rsid w:val="00FA062C"/>
    <w:rsid w:val="00FA0C1B"/>
    <w:rsid w:val="00FA124F"/>
    <w:rsid w:val="00FA125F"/>
    <w:rsid w:val="00FA146A"/>
    <w:rsid w:val="00FA1D0A"/>
    <w:rsid w:val="00FA1DF2"/>
    <w:rsid w:val="00FA318D"/>
    <w:rsid w:val="00FA37F7"/>
    <w:rsid w:val="00FA3D8B"/>
    <w:rsid w:val="00FA3DF6"/>
    <w:rsid w:val="00FA48FB"/>
    <w:rsid w:val="00FA4BC8"/>
    <w:rsid w:val="00FA5148"/>
    <w:rsid w:val="00FA5394"/>
    <w:rsid w:val="00FA55FC"/>
    <w:rsid w:val="00FA5CEA"/>
    <w:rsid w:val="00FA5F80"/>
    <w:rsid w:val="00FA6278"/>
    <w:rsid w:val="00FA6535"/>
    <w:rsid w:val="00FA7079"/>
    <w:rsid w:val="00FA7181"/>
    <w:rsid w:val="00FA7F6E"/>
    <w:rsid w:val="00FA7FA3"/>
    <w:rsid w:val="00FB0122"/>
    <w:rsid w:val="00FB067A"/>
    <w:rsid w:val="00FB0B68"/>
    <w:rsid w:val="00FB0D46"/>
    <w:rsid w:val="00FB0DB2"/>
    <w:rsid w:val="00FB1451"/>
    <w:rsid w:val="00FB158F"/>
    <w:rsid w:val="00FB17FF"/>
    <w:rsid w:val="00FB1C43"/>
    <w:rsid w:val="00FB2085"/>
    <w:rsid w:val="00FB27A6"/>
    <w:rsid w:val="00FB3EEA"/>
    <w:rsid w:val="00FB42BE"/>
    <w:rsid w:val="00FB49A3"/>
    <w:rsid w:val="00FB4E12"/>
    <w:rsid w:val="00FB5035"/>
    <w:rsid w:val="00FB58DD"/>
    <w:rsid w:val="00FB5C82"/>
    <w:rsid w:val="00FB6622"/>
    <w:rsid w:val="00FB6D2D"/>
    <w:rsid w:val="00FB7250"/>
    <w:rsid w:val="00FB7343"/>
    <w:rsid w:val="00FB76AB"/>
    <w:rsid w:val="00FB7D57"/>
    <w:rsid w:val="00FC01BD"/>
    <w:rsid w:val="00FC02D9"/>
    <w:rsid w:val="00FC0458"/>
    <w:rsid w:val="00FC05B4"/>
    <w:rsid w:val="00FC07FF"/>
    <w:rsid w:val="00FC0FE9"/>
    <w:rsid w:val="00FC17EC"/>
    <w:rsid w:val="00FC195B"/>
    <w:rsid w:val="00FC1DE4"/>
    <w:rsid w:val="00FC1E89"/>
    <w:rsid w:val="00FC1F80"/>
    <w:rsid w:val="00FC2C90"/>
    <w:rsid w:val="00FC340A"/>
    <w:rsid w:val="00FC3A9B"/>
    <w:rsid w:val="00FC461E"/>
    <w:rsid w:val="00FC4BBB"/>
    <w:rsid w:val="00FC59B8"/>
    <w:rsid w:val="00FC5AFE"/>
    <w:rsid w:val="00FC5C22"/>
    <w:rsid w:val="00FC5C92"/>
    <w:rsid w:val="00FC6AE8"/>
    <w:rsid w:val="00FD0A94"/>
    <w:rsid w:val="00FD1198"/>
    <w:rsid w:val="00FD1890"/>
    <w:rsid w:val="00FD1A8C"/>
    <w:rsid w:val="00FD1F50"/>
    <w:rsid w:val="00FD36BC"/>
    <w:rsid w:val="00FD36FE"/>
    <w:rsid w:val="00FD3A8F"/>
    <w:rsid w:val="00FD3C84"/>
    <w:rsid w:val="00FD463E"/>
    <w:rsid w:val="00FD4879"/>
    <w:rsid w:val="00FD49F6"/>
    <w:rsid w:val="00FD4F78"/>
    <w:rsid w:val="00FD52DD"/>
    <w:rsid w:val="00FD5A2D"/>
    <w:rsid w:val="00FD6155"/>
    <w:rsid w:val="00FD616E"/>
    <w:rsid w:val="00FD6216"/>
    <w:rsid w:val="00FD6FE0"/>
    <w:rsid w:val="00FD7475"/>
    <w:rsid w:val="00FD79FC"/>
    <w:rsid w:val="00FD7B96"/>
    <w:rsid w:val="00FD7D1F"/>
    <w:rsid w:val="00FD7FC7"/>
    <w:rsid w:val="00FE0455"/>
    <w:rsid w:val="00FE08E6"/>
    <w:rsid w:val="00FE0C26"/>
    <w:rsid w:val="00FE16C5"/>
    <w:rsid w:val="00FE18E4"/>
    <w:rsid w:val="00FE19F5"/>
    <w:rsid w:val="00FE1B6D"/>
    <w:rsid w:val="00FE1C92"/>
    <w:rsid w:val="00FE281F"/>
    <w:rsid w:val="00FE2FA4"/>
    <w:rsid w:val="00FE3991"/>
    <w:rsid w:val="00FE3B5D"/>
    <w:rsid w:val="00FE4820"/>
    <w:rsid w:val="00FE4886"/>
    <w:rsid w:val="00FE4AAB"/>
    <w:rsid w:val="00FE5075"/>
    <w:rsid w:val="00FE50E6"/>
    <w:rsid w:val="00FE5A09"/>
    <w:rsid w:val="00FE676F"/>
    <w:rsid w:val="00FE690A"/>
    <w:rsid w:val="00FE69D4"/>
    <w:rsid w:val="00FE746E"/>
    <w:rsid w:val="00FF0236"/>
    <w:rsid w:val="00FF09F6"/>
    <w:rsid w:val="00FF1592"/>
    <w:rsid w:val="00FF18D7"/>
    <w:rsid w:val="00FF1998"/>
    <w:rsid w:val="00FF1D7C"/>
    <w:rsid w:val="00FF1FAA"/>
    <w:rsid w:val="00FF25E1"/>
    <w:rsid w:val="00FF2BFF"/>
    <w:rsid w:val="00FF3551"/>
    <w:rsid w:val="00FF3D3D"/>
    <w:rsid w:val="00FF4253"/>
    <w:rsid w:val="00FF49A8"/>
    <w:rsid w:val="00FF5596"/>
    <w:rsid w:val="00FF5A7E"/>
    <w:rsid w:val="00FF5F15"/>
    <w:rsid w:val="00FF6E7D"/>
    <w:rsid w:val="00FF7560"/>
    <w:rsid w:val="00FF7DEB"/>
    <w:rsid w:val="00FF7F79"/>
    <w:rsid w:val="00FF7FD5"/>
  </w:rsids>
  <m:mathPr>
    <m:mathFont m:val="Cambria Math"/>
    <m:brkBin m:val="before"/>
    <m:brkBinSub m:val="--"/>
    <m:smallFrac m:val="0"/>
    <m:dispDef/>
    <m:lMargin m:val="0"/>
    <m:rMargin m:val="0"/>
    <m:defJc m:val="centerGroup"/>
    <m:wrapIndent m:val="1440"/>
    <m:intLim m:val="subSup"/>
    <m:naryLim m:val="undOvr"/>
  </m:mathPr>
  <w:themeFontLang w:val="es-PY"/>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53D12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Times New Roman"/>
        <w:lang w:val="es-PY" w:eastAsia="es-ES_tradnl"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semiHidden="0" w:uiPriority="9" w:unhideWhenUsed="0" w:qFormat="1"/>
    <w:lsdException w:name="heading 9" w:uiPriority="9" w:qFormat="1"/>
    <w:lsdException w:name="toc 1" w:uiPriority="39"/>
    <w:lsdException w:name="toc 2" w:uiPriority="39"/>
    <w:lsdException w:name="toc 3" w:uiPriority="39"/>
    <w:lsdException w:name="toc 4" w:uiPriority="39"/>
    <w:lsdException w:name="toc 5" w:uiPriority="39"/>
    <w:lsdException w:name="footnote text" w:qFormat="1"/>
    <w:lsdException w:name="annotation text" w:uiPriority="99"/>
    <w:lsdException w:name="header" w:uiPriority="99"/>
    <w:lsdException w:name="footer" w:uiPriority="99"/>
    <w:lsdException w:name="caption" w:semiHidden="0" w:uiPriority="35" w:unhideWhenUsed="0" w:qFormat="1"/>
    <w:lsdException w:name="annotation reference" w:uiPriority="99"/>
    <w:lsdException w:name="List Number" w:semiHidden="0" w:unhideWhenUsed="0"/>
    <w:lsdException w:name="List 4" w:semiHidden="0" w:unhideWhenUsed="0"/>
    <w:lsdException w:name="List 5" w:semiHidden="0" w:unhideWhenUsed="0"/>
    <w:lsdException w:name="Title" w:semiHidden="0" w:uiPriority="10" w:unhideWhenUsed="0" w:qFormat="1"/>
    <w:lsdException w:name="Subtitle" w:semiHidden="0" w:uiPriority="11"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iPriority="22" w:unhideWhenUsed="0" w:qFormat="1"/>
    <w:lsdException w:name="Emphasis" w:semiHidden="0" w:uiPriority="20" w:unhideWhenUsed="0" w:qFormat="1"/>
    <w:lsdException w:name="Plain Text" w:uiPriority="99"/>
    <w:lsdException w:name="Normal (Web)" w:uiPriority="99"/>
    <w:lsdException w:name="annotation subject" w:uiPriority="99"/>
    <w:lsdException w:name="No List" w:uiPriority="99"/>
    <w:lsdException w:name="Balloon Text" w:uiPriority="99"/>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34" w:unhideWhenUsed="0" w:qFormat="1"/>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0638"/>
    <w:pPr>
      <w:spacing w:after="60"/>
      <w:jc w:val="both"/>
    </w:pPr>
    <w:rPr>
      <w:szCs w:val="24"/>
      <w:lang w:val="en-US" w:eastAsia="en-US"/>
    </w:rPr>
  </w:style>
  <w:style w:type="paragraph" w:styleId="Heading1">
    <w:name w:val="heading 1"/>
    <w:basedOn w:val="Normal"/>
    <w:next w:val="Normal"/>
    <w:link w:val="Heading1Char"/>
    <w:uiPriority w:val="9"/>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uiPriority w:val="9"/>
    <w:qFormat/>
    <w:rsid w:val="00E93DC1"/>
    <w:pPr>
      <w:keepNext/>
      <w:ind w:left="720"/>
      <w:outlineLvl w:val="1"/>
    </w:pPr>
    <w:rPr>
      <w:rFonts w:ascii="Arial Narrow" w:hAnsi="Arial Narrow"/>
      <w:b/>
      <w:bCs/>
    </w:rPr>
  </w:style>
  <w:style w:type="paragraph" w:styleId="Heading3">
    <w:name w:val="heading 3"/>
    <w:basedOn w:val="Normal"/>
    <w:next w:val="Normal"/>
    <w:link w:val="Heading3Char"/>
    <w:uiPriority w:val="9"/>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uiPriority w:val="9"/>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uiPriority w:val="9"/>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6">
    <w:name w:val="heading 6"/>
    <w:basedOn w:val="Normal"/>
    <w:next w:val="Normal"/>
    <w:link w:val="Heading6Char"/>
    <w:uiPriority w:val="9"/>
    <w:unhideWhenUsed/>
    <w:qFormat/>
    <w:rsid w:val="00C6746E"/>
    <w:pPr>
      <w:keepNext/>
      <w:keepLines/>
      <w:spacing w:before="120" w:after="0" w:line="259" w:lineRule="auto"/>
      <w:jc w:val="left"/>
      <w:outlineLvl w:val="5"/>
    </w:pPr>
    <w:rPr>
      <w:rFonts w:asciiTheme="majorHAnsi" w:eastAsiaTheme="majorEastAsia" w:hAnsiTheme="majorHAnsi" w:cstheme="majorBidi"/>
      <w:b/>
      <w:bCs/>
      <w:caps/>
      <w:color w:val="262626" w:themeColor="text1" w:themeTint="D9"/>
      <w:szCs w:val="20"/>
      <w:lang w:val="es-AR"/>
    </w:rPr>
  </w:style>
  <w:style w:type="paragraph" w:styleId="Heading7">
    <w:name w:val="heading 7"/>
    <w:basedOn w:val="Normal"/>
    <w:next w:val="Normal"/>
    <w:link w:val="Heading7Char"/>
    <w:uiPriority w:val="9"/>
    <w:semiHidden/>
    <w:unhideWhenUsed/>
    <w:qFormat/>
    <w:rsid w:val="00C6746E"/>
    <w:pPr>
      <w:keepNext/>
      <w:keepLines/>
      <w:spacing w:before="120" w:after="0" w:line="259" w:lineRule="auto"/>
      <w:jc w:val="left"/>
      <w:outlineLvl w:val="6"/>
    </w:pPr>
    <w:rPr>
      <w:rFonts w:asciiTheme="majorHAnsi" w:eastAsiaTheme="majorEastAsia" w:hAnsiTheme="majorHAnsi" w:cstheme="majorBidi"/>
      <w:b/>
      <w:bCs/>
      <w:i/>
      <w:iCs/>
      <w:caps/>
      <w:color w:val="262626" w:themeColor="text1" w:themeTint="D9"/>
      <w:szCs w:val="20"/>
      <w:lang w:val="es-AR"/>
    </w:rPr>
  </w:style>
  <w:style w:type="paragraph" w:styleId="Heading8">
    <w:name w:val="heading 8"/>
    <w:basedOn w:val="Normal"/>
    <w:next w:val="Normal"/>
    <w:link w:val="Heading8Char"/>
    <w:uiPriority w:val="9"/>
    <w:qFormat/>
    <w:rsid w:val="000923DC"/>
    <w:pPr>
      <w:spacing w:before="240"/>
      <w:outlineLvl w:val="7"/>
    </w:pPr>
    <w:rPr>
      <w:i/>
      <w:iCs/>
      <w:sz w:val="24"/>
    </w:rPr>
  </w:style>
  <w:style w:type="paragraph" w:styleId="Heading9">
    <w:name w:val="heading 9"/>
    <w:basedOn w:val="Normal"/>
    <w:next w:val="Normal"/>
    <w:link w:val="Heading9Char"/>
    <w:uiPriority w:val="9"/>
    <w:semiHidden/>
    <w:unhideWhenUsed/>
    <w:qFormat/>
    <w:rsid w:val="00C6746E"/>
    <w:pPr>
      <w:keepNext/>
      <w:keepLines/>
      <w:spacing w:before="120" w:after="0" w:line="259" w:lineRule="auto"/>
      <w:jc w:val="left"/>
      <w:outlineLvl w:val="8"/>
    </w:pPr>
    <w:rPr>
      <w:rFonts w:asciiTheme="majorHAnsi" w:eastAsiaTheme="majorEastAsia" w:hAnsiTheme="majorHAnsi" w:cstheme="majorBidi"/>
      <w:b/>
      <w:bCs/>
      <w:i/>
      <w:iCs/>
      <w:caps/>
      <w:color w:val="7F7F7F" w:themeColor="text1" w:themeTint="80"/>
      <w:szCs w:val="20"/>
      <w:lang w:val="es-A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CB0802"/>
    <w:rPr>
      <w:rFonts w:ascii="Century Gothic" w:hAnsi="Century Gothic"/>
      <w:b/>
      <w:smallCaps/>
      <w:spacing w:val="-2"/>
      <w:sz w:val="28"/>
      <w:lang w:val="en-US" w:eastAsia="en-US"/>
    </w:rPr>
  </w:style>
  <w:style w:type="character" w:customStyle="1" w:styleId="Heading2Char1">
    <w:name w:val="Heading 2 Char1"/>
    <w:link w:val="Heading2"/>
    <w:uiPriority w:val="9"/>
    <w:locked/>
    <w:rsid w:val="00CB0802"/>
    <w:rPr>
      <w:rFonts w:ascii="Cambria" w:hAnsi="Cambria" w:cs="Times New Roman"/>
      <w:b/>
      <w:bCs/>
      <w:i/>
      <w:iCs/>
      <w:sz w:val="28"/>
      <w:szCs w:val="28"/>
      <w:lang w:val="en-GB"/>
    </w:rPr>
  </w:style>
  <w:style w:type="character" w:customStyle="1" w:styleId="Heading3Char">
    <w:name w:val="Heading 3 Char"/>
    <w:link w:val="Heading3"/>
    <w:uiPriority w:val="9"/>
    <w:locked/>
    <w:rsid w:val="00CB0802"/>
    <w:rPr>
      <w:rFonts w:ascii="Cambria" w:hAnsi="Cambria" w:cs="Times New Roman"/>
      <w:b/>
      <w:bCs/>
      <w:sz w:val="26"/>
      <w:szCs w:val="26"/>
      <w:lang w:val="en-GB"/>
    </w:rPr>
  </w:style>
  <w:style w:type="character" w:customStyle="1" w:styleId="Heading4Char">
    <w:name w:val="Heading 4 Char"/>
    <w:link w:val="Heading4"/>
    <w:uiPriority w:val="9"/>
    <w:locked/>
    <w:rsid w:val="00CB0802"/>
    <w:rPr>
      <w:rFonts w:ascii="Calibri" w:hAnsi="Calibri" w:cs="Times New Roman"/>
      <w:b/>
      <w:bCs/>
      <w:sz w:val="28"/>
      <w:szCs w:val="28"/>
      <w:lang w:val="en-GB"/>
    </w:rPr>
  </w:style>
  <w:style w:type="character" w:customStyle="1" w:styleId="Heading5Char">
    <w:name w:val="Heading 5 Char"/>
    <w:link w:val="Heading5"/>
    <w:uiPriority w:val="9"/>
    <w:locked/>
    <w:rsid w:val="00CB0802"/>
    <w:rPr>
      <w:rFonts w:ascii="Calibri" w:hAnsi="Calibri" w:cs="Times New Roman"/>
      <w:b/>
      <w:bCs/>
      <w:i/>
      <w:iCs/>
      <w:sz w:val="26"/>
      <w:szCs w:val="26"/>
      <w:lang w:val="en-GB"/>
    </w:rPr>
  </w:style>
  <w:style w:type="character" w:customStyle="1" w:styleId="Heading6Char">
    <w:name w:val="Heading 6 Char"/>
    <w:basedOn w:val="DefaultParagraphFont"/>
    <w:link w:val="Heading6"/>
    <w:uiPriority w:val="9"/>
    <w:rsid w:val="00C6746E"/>
    <w:rPr>
      <w:rFonts w:asciiTheme="majorHAnsi" w:eastAsiaTheme="majorEastAsia" w:hAnsiTheme="majorHAnsi" w:cstheme="majorBidi"/>
      <w:b/>
      <w:bCs/>
      <w:caps/>
      <w:color w:val="262626" w:themeColor="text1" w:themeTint="D9"/>
      <w:lang w:val="es-AR" w:eastAsia="en-US"/>
    </w:rPr>
  </w:style>
  <w:style w:type="character" w:customStyle="1" w:styleId="Heading7Char">
    <w:name w:val="Heading 7 Char"/>
    <w:basedOn w:val="DefaultParagraphFont"/>
    <w:link w:val="Heading7"/>
    <w:uiPriority w:val="9"/>
    <w:semiHidden/>
    <w:rsid w:val="00C6746E"/>
    <w:rPr>
      <w:rFonts w:asciiTheme="majorHAnsi" w:eastAsiaTheme="majorEastAsia" w:hAnsiTheme="majorHAnsi" w:cstheme="majorBidi"/>
      <w:b/>
      <w:bCs/>
      <w:i/>
      <w:iCs/>
      <w:caps/>
      <w:color w:val="262626" w:themeColor="text1" w:themeTint="D9"/>
      <w:lang w:val="es-AR" w:eastAsia="en-US"/>
    </w:rPr>
  </w:style>
  <w:style w:type="character" w:customStyle="1" w:styleId="Heading8Char">
    <w:name w:val="Heading 8 Char"/>
    <w:link w:val="Heading8"/>
    <w:uiPriority w:val="9"/>
    <w:semiHidden/>
    <w:rsid w:val="000923DC"/>
    <w:rPr>
      <w:rFonts w:ascii="Calibri" w:eastAsia="Times New Roman" w:hAnsi="Calibri" w:cs="Times New Roman"/>
      <w:i/>
      <w:iCs/>
      <w:sz w:val="24"/>
      <w:szCs w:val="24"/>
      <w:lang w:val="en-GB"/>
    </w:rPr>
  </w:style>
  <w:style w:type="character" w:customStyle="1" w:styleId="Heading9Char">
    <w:name w:val="Heading 9 Char"/>
    <w:basedOn w:val="DefaultParagraphFont"/>
    <w:link w:val="Heading9"/>
    <w:uiPriority w:val="9"/>
    <w:semiHidden/>
    <w:rsid w:val="00C6746E"/>
    <w:rPr>
      <w:rFonts w:asciiTheme="majorHAnsi" w:eastAsiaTheme="majorEastAsia" w:hAnsiTheme="majorHAnsi" w:cstheme="majorBidi"/>
      <w:b/>
      <w:bCs/>
      <w:i/>
      <w:iCs/>
      <w:caps/>
      <w:color w:val="7F7F7F" w:themeColor="text1" w:themeTint="80"/>
      <w:lang w:val="es-AR" w:eastAsia="en-US"/>
    </w:rPr>
  </w:style>
  <w:style w:type="paragraph" w:styleId="BalloonText">
    <w:name w:val="Balloon Text"/>
    <w:basedOn w:val="Normal"/>
    <w:link w:val="BalloonTextChar"/>
    <w:uiPriority w:val="99"/>
    <w:semiHidden/>
    <w:rsid w:val="00D260B0"/>
    <w:rPr>
      <w:rFonts w:ascii="Tahoma" w:hAnsi="Tahoma" w:cs="Tahoma"/>
      <w:sz w:val="16"/>
      <w:szCs w:val="16"/>
    </w:rPr>
  </w:style>
  <w:style w:type="character" w:customStyle="1" w:styleId="BalloonTextChar">
    <w:name w:val="Balloon Text Char"/>
    <w:link w:val="BalloonText"/>
    <w:uiPriority w:val="99"/>
    <w:semiHidden/>
    <w:locked/>
    <w:rsid w:val="00CB0802"/>
    <w:rPr>
      <w:rFonts w:cs="Times New Roman"/>
      <w:sz w:val="2"/>
      <w:lang w:val="en-GB"/>
    </w:rPr>
  </w:style>
  <w:style w:type="paragraph" w:styleId="Header">
    <w:name w:val="header"/>
    <w:aliases w:val="Header1"/>
    <w:basedOn w:val="Normal"/>
    <w:link w:val="HeaderChar"/>
    <w:uiPriority w:val="99"/>
    <w:rsid w:val="00E93DC1"/>
    <w:pPr>
      <w:tabs>
        <w:tab w:val="center" w:pos="4153"/>
        <w:tab w:val="right" w:pos="8306"/>
      </w:tabs>
    </w:pPr>
  </w:style>
  <w:style w:type="character" w:customStyle="1" w:styleId="HeaderChar">
    <w:name w:val="Header Char"/>
    <w:aliases w:val="Header1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qFormat/>
    <w:rsid w:val="00E93DC1"/>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locked/>
    <w:rsid w:val="00CB0802"/>
    <w:rPr>
      <w:rFonts w:ascii="Arial" w:hAnsi="Arial" w:cs="Times New Roman"/>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styleId="CommentReference">
    <w:name w:val="annotation reference"/>
    <w:uiPriority w:val="99"/>
    <w:semiHidden/>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uiPriority w:val="99"/>
    <w:semiHidden/>
    <w:rsid w:val="00EF6275"/>
    <w:rPr>
      <w:b/>
      <w:bCs/>
    </w:rPr>
  </w:style>
  <w:style w:type="character" w:customStyle="1" w:styleId="CommentSubjectChar">
    <w:name w:val="Comment Subject Char"/>
    <w:link w:val="CommentSubject"/>
    <w:uiPriority w:val="99"/>
    <w:semiHidden/>
    <w:locked/>
    <w:rsid w:val="00CB0802"/>
    <w:rPr>
      <w:rFonts w:ascii="Arial" w:hAnsi="Arial" w:cs="Times New Roman"/>
      <w:b/>
      <w:bCs/>
      <w:lang w:val="en-GB"/>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uiPriority w:val="20"/>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fr,Ref,n"/>
    <w:link w:val="CharCharCharCharCarChar"/>
    <w:rsid w:val="00BF50E7"/>
    <w:rPr>
      <w:rFonts w:ascii="Arial" w:hAnsi="Arial" w:cs="Times New Roman"/>
      <w:sz w:val="18"/>
      <w:vertAlign w:val="superscript"/>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872F38"/>
    <w:pPr>
      <w:spacing w:after="160" w:line="240" w:lineRule="exact"/>
    </w:pPr>
    <w:rPr>
      <w:rFonts w:ascii="Arial" w:hAnsi="Arial"/>
      <w:sz w:val="18"/>
      <w:szCs w:val="20"/>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olorfulList-Accent11">
    <w:name w:val="Colorful List - Accent 11"/>
    <w:aliases w:val="List Paragraph1,Project Profile name,Paragraphe de liste1,Numbered paragraph,Paragraphe de liste,Medium Grid 1 - Accent 21,List Paragraph (numbered (a)),Numbered List Paragraph,References,ReferencesCxSpLast,Table/Figure Heading"/>
    <w:basedOn w:val="Normal"/>
    <w:link w:val="Listavistosa-nfasis1Car"/>
    <w:uiPriority w:val="34"/>
    <w:qFormat/>
    <w:rsid w:val="00DB520F"/>
    <w:pPr>
      <w:spacing w:after="0"/>
      <w:ind w:left="720"/>
      <w:jc w:val="left"/>
    </w:pPr>
    <w:rPr>
      <w:rFonts w:ascii="Times New Roman" w:hAnsi="Times New Roman"/>
      <w:sz w:val="24"/>
    </w:rPr>
  </w:style>
  <w:style w:type="character" w:customStyle="1" w:styleId="Listavistosa-nfasis1Car">
    <w:name w:val="Lista vistosa - Énfasis 1 Car"/>
    <w:aliases w:val="List Paragraph1 Car,Project Profile name Car,Paragraphe de liste1 Car,Numbered paragraph Car,Paragraphe de liste Car,Medium Grid 1 - Accent 21 Car,List Paragraph (numbered (a)) Car,Numbered List Paragraph Car,References Car"/>
    <w:link w:val="ColorfulList-Accent11"/>
    <w:uiPriority w:val="34"/>
    <w:qFormat/>
    <w:rsid w:val="00881F0F"/>
    <w:rPr>
      <w:sz w:val="24"/>
      <w:szCs w:val="24"/>
    </w:rPr>
  </w:style>
  <w:style w:type="paragraph" w:styleId="Title">
    <w:name w:val="Title"/>
    <w:basedOn w:val="Normal"/>
    <w:link w:val="TitleChar"/>
    <w:uiPriority w:val="10"/>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uiPriority w:val="10"/>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val="en-US"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lang w:val="en-US" w:eastAsia="en-US"/>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lang w:val="en-US" w:eastAsia="en-US"/>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C6746E"/>
    <w:pPr>
      <w:tabs>
        <w:tab w:val="left" w:pos="540"/>
        <w:tab w:val="right" w:leader="dot" w:pos="9304"/>
      </w:tabs>
    </w:pPr>
  </w:style>
  <w:style w:type="character" w:customStyle="1" w:styleId="Heading2Char">
    <w:name w:val="Heading 2 Char"/>
    <w:uiPriority w:val="9"/>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uiPriority w:val="35"/>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customStyle="1" w:styleId="GridTable31">
    <w:name w:val="Grid Table 31"/>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customStyle="1" w:styleId="MediumGrid21">
    <w:name w:val="Medium Grid 21"/>
    <w:link w:val="Cuadrculamedia2Car"/>
    <w:uiPriority w:val="1"/>
    <w:qFormat/>
    <w:rsid w:val="004C454A"/>
    <w:rPr>
      <w:rFonts w:ascii="Times" w:eastAsia="Times" w:hAnsi="Times"/>
      <w:sz w:val="24"/>
      <w:szCs w:val="24"/>
      <w:lang w:val="en-US" w:eastAsia="en-US"/>
    </w:rPr>
  </w:style>
  <w:style w:type="character" w:customStyle="1" w:styleId="Cuadrculamedia2Car">
    <w:name w:val="Cuadrícula media 2 Car"/>
    <w:link w:val="MediumGrid21"/>
    <w:uiPriority w:val="1"/>
    <w:rsid w:val="004C454A"/>
    <w:rPr>
      <w:rFonts w:ascii="Times" w:eastAsia="Times" w:hAnsi="Times"/>
      <w:sz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customStyle="1" w:styleId="TableGridLight1">
    <w:name w:val="Table Grid Light1"/>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8"/>
      </w:numPr>
      <w:spacing w:before="60" w:line="260" w:lineRule="exact"/>
      <w:jc w:val="left"/>
    </w:pPr>
    <w:rPr>
      <w:rFonts w:eastAsia="Times New Roman"/>
      <w:lang w:eastAsia="ja-JP"/>
    </w:rPr>
  </w:style>
  <w:style w:type="character" w:customStyle="1" w:styleId="ColorfulList-Accent1Char">
    <w:name w:val="Colorful List - Accent 1 Char"/>
    <w:aliases w:val="List Paragraph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spacing w:after="0"/>
      <w:ind w:left="720"/>
      <w:jc w:val="left"/>
    </w:pPr>
    <w:rPr>
      <w:szCs w:val="20"/>
    </w:rPr>
  </w:style>
  <w:style w:type="paragraph" w:styleId="TOC3">
    <w:name w:val="toc 3"/>
    <w:basedOn w:val="Normal"/>
    <w:next w:val="Normal"/>
    <w:autoRedefine/>
    <w:uiPriority w:val="39"/>
    <w:unhideWhenUsed/>
    <w:rsid w:val="006957EB"/>
    <w:pPr>
      <w:ind w:left="400"/>
    </w:pPr>
  </w:style>
  <w:style w:type="paragraph" w:styleId="ListParagraph">
    <w:name w:val="List Paragraph"/>
    <w:aliases w:val="Dot pt,F5 List Paragraph,No Spacing1,List Paragraph Char Char Char,Indicator Text,Numbered Para 1,Bullet 1,Bullet Points,List Paragraph2,MAIN CONTENT,Normal numbered,List Bullet Mary,Title Style 1,Párrafo de lista1,En tête ,Titulo 4"/>
    <w:basedOn w:val="Normal"/>
    <w:link w:val="ListParagraphChar"/>
    <w:uiPriority w:val="34"/>
    <w:qFormat/>
    <w:rsid w:val="00BB6C01"/>
    <w:pPr>
      <w:ind w:left="720"/>
      <w:contextualSpacing/>
    </w:pPr>
  </w:style>
  <w:style w:type="character" w:customStyle="1" w:styleId="ListParagraphChar">
    <w:name w:val="List Paragraph Char"/>
    <w:aliases w:val="Dot pt Char,F5 List Paragraph Char,No Spacing1 Char,List Paragraph Char Char Char Char,Indicator Text Char,Numbered Para 1 Char,Bullet 1 Char,Bullet Points Char,List Paragraph2 Char,MAIN CONTENT Char,Normal numbered Char"/>
    <w:link w:val="ListParagraph"/>
    <w:uiPriority w:val="34"/>
    <w:qFormat/>
    <w:rsid w:val="00BB6C01"/>
    <w:rPr>
      <w:szCs w:val="24"/>
      <w:lang w:val="en-US" w:eastAsia="en-US"/>
    </w:rPr>
  </w:style>
  <w:style w:type="character" w:customStyle="1" w:styleId="hps">
    <w:name w:val="hps"/>
    <w:rsid w:val="0083160C"/>
  </w:style>
  <w:style w:type="paragraph" w:customStyle="1" w:styleId="m-8039438862728791309msonormal">
    <w:name w:val="m_-8039438862728791309msonormal"/>
    <w:basedOn w:val="Normal"/>
    <w:rsid w:val="00D7348A"/>
    <w:pPr>
      <w:spacing w:before="100" w:beforeAutospacing="1" w:after="100" w:afterAutospacing="1"/>
      <w:jc w:val="left"/>
    </w:pPr>
    <w:rPr>
      <w:rFonts w:ascii="Times New Roman" w:eastAsia="Times New Roman" w:hAnsi="Times New Roman"/>
      <w:sz w:val="24"/>
      <w:lang w:val="es-PY" w:eastAsia="es-ES_tradnl"/>
    </w:rPr>
  </w:style>
  <w:style w:type="paragraph" w:customStyle="1" w:styleId="GridTable310">
    <w:name w:val="Grid Table 31"/>
    <w:basedOn w:val="Heading1"/>
    <w:next w:val="Normal"/>
    <w:uiPriority w:val="39"/>
    <w:unhideWhenUsed/>
    <w:qFormat/>
    <w:rsid w:val="008A17C0"/>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customStyle="1" w:styleId="MediumGrid210">
    <w:name w:val="Medium Grid 21"/>
    <w:link w:val="MediumGrid2Char"/>
    <w:uiPriority w:val="1"/>
    <w:qFormat/>
    <w:rsid w:val="008A17C0"/>
    <w:rPr>
      <w:rFonts w:ascii="Times" w:eastAsia="Times" w:hAnsi="Times"/>
      <w:sz w:val="24"/>
      <w:szCs w:val="24"/>
      <w:lang w:val="en-US" w:eastAsia="en-US"/>
    </w:rPr>
  </w:style>
  <w:style w:type="character" w:customStyle="1" w:styleId="MediumGrid2Char">
    <w:name w:val="Medium Grid 2 Char"/>
    <w:link w:val="MediumGrid210"/>
    <w:uiPriority w:val="1"/>
    <w:rsid w:val="008A17C0"/>
    <w:rPr>
      <w:rFonts w:ascii="Times" w:eastAsia="Times" w:hAnsi="Times"/>
      <w:sz w:val="24"/>
      <w:szCs w:val="24"/>
      <w:lang w:val="en-US" w:eastAsia="en-US"/>
    </w:rPr>
  </w:style>
  <w:style w:type="character" w:customStyle="1" w:styleId="TableGridLight10">
    <w:name w:val="Table Grid Light1"/>
    <w:uiPriority w:val="32"/>
    <w:qFormat/>
    <w:rsid w:val="008A17C0"/>
    <w:rPr>
      <w:b/>
      <w:bCs/>
      <w:smallCaps/>
      <w:color w:val="C0504D"/>
      <w:spacing w:val="5"/>
      <w:u w:val="single"/>
    </w:rPr>
  </w:style>
  <w:style w:type="paragraph" w:customStyle="1" w:styleId="Sangra2detindependiente1">
    <w:name w:val="Sangría 2 de t. independiente1"/>
    <w:rsid w:val="008A17C0"/>
    <w:pPr>
      <w:spacing w:after="120" w:line="480" w:lineRule="auto"/>
      <w:ind w:left="283"/>
    </w:pPr>
    <w:rPr>
      <w:rFonts w:ascii="Times New Roman" w:eastAsia="ヒラギノ角ゴ Pro W3" w:hAnsi="Times New Roman"/>
      <w:color w:val="000000"/>
      <w:sz w:val="24"/>
      <w:szCs w:val="24"/>
      <w:lang w:val="es-ES_tradnl" w:eastAsia="en-US"/>
    </w:rPr>
  </w:style>
  <w:style w:type="paragraph" w:customStyle="1" w:styleId="Normal11">
    <w:name w:val="Normal 11"/>
    <w:basedOn w:val="Normal"/>
    <w:link w:val="Normal11Char1"/>
    <w:rsid w:val="008A17C0"/>
    <w:pPr>
      <w:spacing w:before="120" w:after="120"/>
      <w:ind w:firstLine="284"/>
    </w:pPr>
    <w:rPr>
      <w:rFonts w:ascii="Times New Roman" w:eastAsia="Times New Roman" w:hAnsi="Times New Roman"/>
      <w:sz w:val="22"/>
      <w:lang w:val="es-ES" w:eastAsia="es-ES"/>
    </w:rPr>
  </w:style>
  <w:style w:type="character" w:customStyle="1" w:styleId="Normal11Char1">
    <w:name w:val="Normal 11 Char1"/>
    <w:link w:val="Normal11"/>
    <w:rsid w:val="008A17C0"/>
    <w:rPr>
      <w:rFonts w:ascii="Times New Roman" w:eastAsia="Times New Roman" w:hAnsi="Times New Roman"/>
      <w:sz w:val="22"/>
      <w:szCs w:val="24"/>
      <w:lang w:val="es-ES" w:eastAsia="es-ES"/>
    </w:rPr>
  </w:style>
  <w:style w:type="character" w:customStyle="1" w:styleId="s21">
    <w:name w:val="s21"/>
    <w:rsid w:val="008A17C0"/>
  </w:style>
  <w:style w:type="paragraph" w:customStyle="1" w:styleId="Pa7">
    <w:name w:val="Pa7"/>
    <w:basedOn w:val="Default"/>
    <w:next w:val="Default"/>
    <w:uiPriority w:val="99"/>
    <w:rsid w:val="008A17C0"/>
    <w:pPr>
      <w:spacing w:line="181" w:lineRule="atLeast"/>
    </w:pPr>
    <w:rPr>
      <w:rFonts w:eastAsia="Calibri"/>
      <w:color w:val="auto"/>
      <w:lang w:eastAsia="en-US"/>
    </w:rPr>
  </w:style>
  <w:style w:type="character" w:customStyle="1" w:styleId="Listavistosa-nfasis1Car1">
    <w:name w:val="Lista vistosa - Énfasis 1 Car1"/>
    <w:uiPriority w:val="34"/>
    <w:rsid w:val="008A17C0"/>
    <w:rPr>
      <w:rFonts w:ascii="Times New Roman" w:hAnsi="Times New Roman"/>
      <w:sz w:val="24"/>
      <w:szCs w:val="24"/>
      <w:lang w:val="es-ES_tradnl"/>
    </w:rPr>
  </w:style>
  <w:style w:type="paragraph" w:customStyle="1" w:styleId="ecxmsonormal">
    <w:name w:val="ecxmsonormal"/>
    <w:basedOn w:val="Normal"/>
    <w:rsid w:val="008A17C0"/>
    <w:pPr>
      <w:spacing w:before="100" w:beforeAutospacing="1" w:after="100" w:afterAutospacing="1"/>
      <w:jc w:val="left"/>
    </w:pPr>
    <w:rPr>
      <w:rFonts w:ascii="Times New Roman" w:eastAsia="Times New Roman" w:hAnsi="Times New Roman"/>
      <w:sz w:val="24"/>
      <w:lang w:val="es-ES" w:eastAsia="es-ES"/>
    </w:rPr>
  </w:style>
  <w:style w:type="table" w:styleId="LightShading-Accent1">
    <w:name w:val="Light Shading Accent 1"/>
    <w:basedOn w:val="TableNormal"/>
    <w:uiPriority w:val="60"/>
    <w:rsid w:val="008A17C0"/>
    <w:rPr>
      <w:rFonts w:eastAsia="Yu Mincho"/>
      <w:color w:val="2E74B5"/>
      <w:sz w:val="24"/>
      <w:szCs w:val="24"/>
      <w:lang w:val="en-US" w:eastAsia="en-US"/>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paragraph" w:customStyle="1" w:styleId="BVIfnrCarattereCharCharCharCarattereCharCharCharCharCharChar1CharCharCharCarattereChar">
    <w:name w:val="BVI fnr Carattere Char Char Char Carattere Char Char Char Char Char Char1 Char Char Char Carattere Char"/>
    <w:aliases w:val="BVI fnr Carattere Char Char Char Carattere Char Char Char Char Char Char1 Char Char Char Carattere Carattere Char"/>
    <w:basedOn w:val="Normal"/>
    <w:uiPriority w:val="99"/>
    <w:rsid w:val="00235A5C"/>
    <w:pPr>
      <w:spacing w:after="160" w:line="240" w:lineRule="exact"/>
      <w:jc w:val="left"/>
    </w:pPr>
    <w:rPr>
      <w:rFonts w:eastAsia="Calibri"/>
      <w:sz w:val="22"/>
      <w:szCs w:val="22"/>
      <w:vertAlign w:val="superscript"/>
      <w:lang w:val="es-AR"/>
    </w:rPr>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uiPriority w:val="99"/>
    <w:rsid w:val="005B2E89"/>
    <w:pPr>
      <w:spacing w:after="160" w:line="240" w:lineRule="exact"/>
    </w:pPr>
    <w:rPr>
      <w:rFonts w:eastAsia="Calibri"/>
      <w:sz w:val="24"/>
      <w:vertAlign w:val="superscript"/>
      <w:lang w:val="es-ES_tradnl"/>
    </w:rPr>
  </w:style>
  <w:style w:type="paragraph" w:styleId="NoSpacing">
    <w:name w:val="No Spacing"/>
    <w:link w:val="NoSpacingChar"/>
    <w:uiPriority w:val="1"/>
    <w:qFormat/>
    <w:rsid w:val="00772A0A"/>
    <w:rPr>
      <w:rFonts w:ascii="Times" w:eastAsia="Times" w:hAnsi="Times"/>
      <w:sz w:val="24"/>
      <w:szCs w:val="24"/>
      <w:lang w:val="en-US" w:eastAsia="en-US"/>
    </w:rPr>
  </w:style>
  <w:style w:type="character" w:customStyle="1" w:styleId="NoSpacingChar">
    <w:name w:val="No Spacing Char"/>
    <w:link w:val="NoSpacing"/>
    <w:uiPriority w:val="1"/>
    <w:rsid w:val="00772A0A"/>
    <w:rPr>
      <w:rFonts w:ascii="Times" w:eastAsia="Times" w:hAnsi="Times"/>
      <w:sz w:val="24"/>
      <w:szCs w:val="24"/>
      <w:lang w:val="en-US" w:eastAsia="en-US"/>
    </w:rPr>
  </w:style>
  <w:style w:type="paragraph" w:customStyle="1" w:styleId="xmsonormal">
    <w:name w:val="x_msonormal"/>
    <w:basedOn w:val="Normal"/>
    <w:rsid w:val="00EC6C81"/>
    <w:pPr>
      <w:spacing w:before="100" w:beforeAutospacing="1" w:after="100" w:afterAutospacing="1"/>
      <w:jc w:val="left"/>
    </w:pPr>
    <w:rPr>
      <w:rFonts w:ascii="Times New Roman" w:eastAsia="Times New Roman" w:hAnsi="Times New Roman"/>
      <w:sz w:val="24"/>
      <w:lang w:val="es-ES" w:eastAsia="es-ES"/>
    </w:rPr>
  </w:style>
  <w:style w:type="table" w:customStyle="1" w:styleId="TableGrid1">
    <w:name w:val="Table Grid1"/>
    <w:basedOn w:val="TableNormal"/>
    <w:next w:val="TableGrid"/>
    <w:uiPriority w:val="59"/>
    <w:rsid w:val="003E615F"/>
    <w:rPr>
      <w:rFonts w:eastAsia="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3E615F"/>
    <w:rPr>
      <w:rFonts w:eastAsia="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3E615F"/>
    <w:rPr>
      <w:rFonts w:eastAsia="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AA7171"/>
    <w:rPr>
      <w:szCs w:val="24"/>
      <w:lang w:val="en-US" w:eastAsia="en-US"/>
    </w:rPr>
  </w:style>
  <w:style w:type="paragraph" w:customStyle="1" w:styleId="m-20226115478387961xmsonormal">
    <w:name w:val="m_-20226115478387961xmsonormal"/>
    <w:basedOn w:val="Normal"/>
    <w:rsid w:val="00203898"/>
    <w:pPr>
      <w:spacing w:before="100" w:beforeAutospacing="1" w:after="100" w:afterAutospacing="1"/>
      <w:jc w:val="left"/>
    </w:pPr>
    <w:rPr>
      <w:rFonts w:ascii="Times New Roman" w:eastAsia="Times New Roman" w:hAnsi="Times New Roman"/>
      <w:sz w:val="24"/>
      <w:lang w:val="es-PY" w:eastAsia="es-ES_tradnl"/>
    </w:rPr>
  </w:style>
  <w:style w:type="paragraph" w:customStyle="1" w:styleId="m-3279925297988423529msonormal">
    <w:name w:val="m_-3279925297988423529msonormal"/>
    <w:basedOn w:val="Normal"/>
    <w:rsid w:val="0051507B"/>
    <w:pPr>
      <w:spacing w:before="100" w:beforeAutospacing="1" w:after="100" w:afterAutospacing="1"/>
      <w:jc w:val="left"/>
    </w:pPr>
    <w:rPr>
      <w:rFonts w:ascii="Times New Roman" w:eastAsia="Times New Roman" w:hAnsi="Times New Roman"/>
      <w:sz w:val="24"/>
      <w:lang w:val="es-PY" w:eastAsia="es-ES_tradnl"/>
    </w:rPr>
  </w:style>
  <w:style w:type="paragraph" w:styleId="Subtitle">
    <w:name w:val="Subtitle"/>
    <w:basedOn w:val="Normal"/>
    <w:next w:val="Normal"/>
    <w:link w:val="SubtitleChar"/>
    <w:uiPriority w:val="11"/>
    <w:qFormat/>
    <w:rsid w:val="00C6746E"/>
    <w:pPr>
      <w:numPr>
        <w:ilvl w:val="1"/>
      </w:numPr>
      <w:spacing w:after="160" w:line="259" w:lineRule="auto"/>
      <w:jc w:val="left"/>
    </w:pPr>
    <w:rPr>
      <w:rFonts w:asciiTheme="majorHAnsi" w:eastAsiaTheme="majorEastAsia" w:hAnsiTheme="majorHAnsi" w:cstheme="majorBidi"/>
      <w:smallCaps/>
      <w:color w:val="595959" w:themeColor="text1" w:themeTint="A6"/>
      <w:sz w:val="28"/>
      <w:szCs w:val="28"/>
      <w:lang w:val="es-AR"/>
    </w:rPr>
  </w:style>
  <w:style w:type="character" w:customStyle="1" w:styleId="SubtitleChar">
    <w:name w:val="Subtitle Char"/>
    <w:basedOn w:val="DefaultParagraphFont"/>
    <w:link w:val="Subtitle"/>
    <w:uiPriority w:val="11"/>
    <w:rsid w:val="00C6746E"/>
    <w:rPr>
      <w:rFonts w:asciiTheme="majorHAnsi" w:eastAsiaTheme="majorEastAsia" w:hAnsiTheme="majorHAnsi" w:cstheme="majorBidi"/>
      <w:smallCaps/>
      <w:color w:val="595959" w:themeColor="text1" w:themeTint="A6"/>
      <w:sz w:val="28"/>
      <w:szCs w:val="28"/>
      <w:lang w:val="es-AR" w:eastAsia="en-US"/>
    </w:rPr>
  </w:style>
  <w:style w:type="paragraph" w:styleId="Quote">
    <w:name w:val="Quote"/>
    <w:basedOn w:val="Normal"/>
    <w:next w:val="Normal"/>
    <w:link w:val="QuoteChar"/>
    <w:uiPriority w:val="29"/>
    <w:qFormat/>
    <w:rsid w:val="00C6746E"/>
    <w:pPr>
      <w:spacing w:before="160" w:after="160"/>
      <w:ind w:left="720" w:right="720"/>
      <w:jc w:val="left"/>
    </w:pPr>
    <w:rPr>
      <w:rFonts w:asciiTheme="majorHAnsi" w:eastAsiaTheme="majorEastAsia" w:hAnsiTheme="majorHAnsi" w:cstheme="majorBidi"/>
      <w:sz w:val="25"/>
      <w:szCs w:val="25"/>
      <w:lang w:val="es-AR"/>
    </w:rPr>
  </w:style>
  <w:style w:type="character" w:customStyle="1" w:styleId="QuoteChar">
    <w:name w:val="Quote Char"/>
    <w:basedOn w:val="DefaultParagraphFont"/>
    <w:link w:val="Quote"/>
    <w:uiPriority w:val="29"/>
    <w:rsid w:val="00C6746E"/>
    <w:rPr>
      <w:rFonts w:asciiTheme="majorHAnsi" w:eastAsiaTheme="majorEastAsia" w:hAnsiTheme="majorHAnsi" w:cstheme="majorBidi"/>
      <w:sz w:val="25"/>
      <w:szCs w:val="25"/>
      <w:lang w:val="es-AR" w:eastAsia="en-US"/>
    </w:rPr>
  </w:style>
  <w:style w:type="paragraph" w:styleId="IntenseQuote">
    <w:name w:val="Intense Quote"/>
    <w:basedOn w:val="Normal"/>
    <w:next w:val="Normal"/>
    <w:link w:val="IntenseQuoteChar"/>
    <w:uiPriority w:val="30"/>
    <w:qFormat/>
    <w:rsid w:val="00C6746E"/>
    <w:pPr>
      <w:spacing w:before="280" w:after="280"/>
      <w:ind w:left="1080" w:right="1080"/>
      <w:jc w:val="center"/>
    </w:pPr>
    <w:rPr>
      <w:rFonts w:asciiTheme="minorHAnsi" w:eastAsiaTheme="minorHAnsi" w:hAnsiTheme="minorHAnsi" w:cstheme="minorBidi"/>
      <w:color w:val="404040" w:themeColor="text1" w:themeTint="BF"/>
      <w:sz w:val="32"/>
      <w:szCs w:val="32"/>
      <w:lang w:val="es-AR"/>
    </w:rPr>
  </w:style>
  <w:style w:type="character" w:customStyle="1" w:styleId="IntenseQuoteChar">
    <w:name w:val="Intense Quote Char"/>
    <w:basedOn w:val="DefaultParagraphFont"/>
    <w:link w:val="IntenseQuote"/>
    <w:uiPriority w:val="30"/>
    <w:rsid w:val="00C6746E"/>
    <w:rPr>
      <w:rFonts w:asciiTheme="minorHAnsi" w:eastAsiaTheme="minorHAnsi" w:hAnsiTheme="minorHAnsi" w:cstheme="minorBidi"/>
      <w:color w:val="404040" w:themeColor="text1" w:themeTint="BF"/>
      <w:sz w:val="32"/>
      <w:szCs w:val="32"/>
      <w:lang w:val="es-AR" w:eastAsia="en-US"/>
    </w:rPr>
  </w:style>
  <w:style w:type="character" w:styleId="SubtleEmphasis">
    <w:name w:val="Subtle Emphasis"/>
    <w:basedOn w:val="DefaultParagraphFont"/>
    <w:uiPriority w:val="19"/>
    <w:qFormat/>
    <w:rsid w:val="00C6746E"/>
    <w:rPr>
      <w:i/>
      <w:iCs/>
      <w:color w:val="595959" w:themeColor="text1" w:themeTint="A6"/>
    </w:rPr>
  </w:style>
  <w:style w:type="character" w:styleId="IntenseEmphasis">
    <w:name w:val="Intense Emphasis"/>
    <w:basedOn w:val="DefaultParagraphFont"/>
    <w:uiPriority w:val="21"/>
    <w:qFormat/>
    <w:rsid w:val="00C6746E"/>
    <w:rPr>
      <w:b/>
      <w:bCs/>
      <w:i/>
      <w:iCs/>
    </w:rPr>
  </w:style>
  <w:style w:type="character" w:styleId="SubtleReference">
    <w:name w:val="Subtle Reference"/>
    <w:basedOn w:val="DefaultParagraphFont"/>
    <w:uiPriority w:val="31"/>
    <w:qFormat/>
    <w:rsid w:val="00C6746E"/>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C6746E"/>
    <w:rPr>
      <w:b/>
      <w:bCs/>
      <w:caps w:val="0"/>
      <w:smallCaps/>
      <w:color w:val="auto"/>
      <w:spacing w:val="3"/>
      <w:u w:val="single"/>
    </w:rPr>
  </w:style>
  <w:style w:type="character" w:styleId="BookTitle">
    <w:name w:val="Book Title"/>
    <w:basedOn w:val="DefaultParagraphFont"/>
    <w:uiPriority w:val="33"/>
    <w:qFormat/>
    <w:rsid w:val="00C6746E"/>
    <w:rPr>
      <w:b/>
      <w:bCs/>
      <w:smallCaps/>
      <w:spacing w:val="7"/>
    </w:rPr>
  </w:style>
  <w:style w:type="paragraph" w:styleId="TOCHeading">
    <w:name w:val="TOC Heading"/>
    <w:basedOn w:val="Heading1"/>
    <w:next w:val="Normal"/>
    <w:uiPriority w:val="39"/>
    <w:unhideWhenUsed/>
    <w:qFormat/>
    <w:rsid w:val="00C6746E"/>
    <w:pPr>
      <w:keepLines/>
      <w:numPr>
        <w:numId w:val="0"/>
      </w:numPr>
      <w:pBdr>
        <w:top w:val="none" w:sz="0" w:space="0" w:color="auto"/>
      </w:pBdr>
      <w:suppressAutoHyphens w:val="0"/>
      <w:spacing w:before="400" w:after="40"/>
      <w:jc w:val="left"/>
      <w:outlineLvl w:val="9"/>
    </w:pPr>
    <w:rPr>
      <w:rFonts w:asciiTheme="majorHAnsi" w:eastAsiaTheme="majorEastAsia" w:hAnsiTheme="majorHAnsi" w:cstheme="majorBidi"/>
      <w:b w:val="0"/>
      <w:caps/>
      <w:smallCaps w:val="0"/>
      <w:spacing w:val="0"/>
      <w:sz w:val="36"/>
      <w:szCs w:val="36"/>
      <w:lang w:val="es-AR"/>
    </w:rPr>
  </w:style>
  <w:style w:type="character" w:customStyle="1" w:styleId="GEFFieldtoFilloutChar">
    <w:name w:val="GEF Field to Fill out Char"/>
    <w:link w:val="GEFFieldtoFillout"/>
    <w:locked/>
    <w:rsid w:val="00C6746E"/>
    <w:rPr>
      <w:color w:val="000000"/>
      <w:lang w:val="en-US"/>
    </w:rPr>
  </w:style>
  <w:style w:type="paragraph" w:customStyle="1" w:styleId="GEFFieldtoFillout">
    <w:name w:val="GEF Field to Fill out"/>
    <w:basedOn w:val="Normal"/>
    <w:link w:val="GEFFieldtoFilloutChar"/>
    <w:qFormat/>
    <w:rsid w:val="00C6746E"/>
    <w:pPr>
      <w:spacing w:after="0"/>
      <w:ind w:left="-720"/>
      <w:jc w:val="left"/>
    </w:pPr>
    <w:rPr>
      <w:color w:val="000000"/>
      <w:szCs w:val="20"/>
      <w:lang w:eastAsia="es-ES_tradnl"/>
    </w:rPr>
  </w:style>
  <w:style w:type="paragraph" w:customStyle="1" w:styleId="A">
    <w:name w:val="A"/>
    <w:basedOn w:val="Normal"/>
    <w:rsid w:val="00C6746E"/>
    <w:pPr>
      <w:tabs>
        <w:tab w:val="num" w:pos="360"/>
      </w:tabs>
      <w:spacing w:after="100"/>
    </w:pPr>
    <w:rPr>
      <w:rFonts w:ascii="Times New Roman" w:eastAsia="Times New Roman" w:hAnsi="Times New Roman"/>
      <w:sz w:val="22"/>
      <w:szCs w:val="22"/>
    </w:rPr>
  </w:style>
  <w:style w:type="character" w:customStyle="1" w:styleId="notranslate">
    <w:name w:val="notranslate"/>
    <w:basedOn w:val="DefaultParagraphFont"/>
    <w:rsid w:val="00C6746E"/>
  </w:style>
  <w:style w:type="character" w:customStyle="1" w:styleId="Caracteresdenotaalpie">
    <w:name w:val="Caracteres de nota al pie"/>
    <w:rsid w:val="00C6746E"/>
  </w:style>
  <w:style w:type="character" w:customStyle="1" w:styleId="Mencinsinresolver1">
    <w:name w:val="Mención sin resolver1"/>
    <w:basedOn w:val="DefaultParagraphFont"/>
    <w:uiPriority w:val="99"/>
    <w:semiHidden/>
    <w:unhideWhenUsed/>
    <w:rsid w:val="00C6746E"/>
    <w:rPr>
      <w:color w:val="605E5C"/>
      <w:shd w:val="clear" w:color="auto" w:fill="E1DFDD"/>
    </w:rPr>
  </w:style>
  <w:style w:type="paragraph" w:styleId="TOC4">
    <w:name w:val="toc 4"/>
    <w:basedOn w:val="Normal"/>
    <w:next w:val="Normal"/>
    <w:autoRedefine/>
    <w:uiPriority w:val="39"/>
    <w:unhideWhenUsed/>
    <w:rsid w:val="00C6746E"/>
    <w:pPr>
      <w:spacing w:after="100" w:line="259" w:lineRule="auto"/>
      <w:ind w:left="660"/>
      <w:jc w:val="left"/>
    </w:pPr>
    <w:rPr>
      <w:rFonts w:asciiTheme="minorHAnsi" w:eastAsiaTheme="minorHAnsi" w:hAnsiTheme="minorHAnsi" w:cstheme="minorBidi"/>
      <w:sz w:val="22"/>
      <w:szCs w:val="22"/>
      <w:lang w:val="es-AR"/>
    </w:rPr>
  </w:style>
  <w:style w:type="character" w:customStyle="1" w:styleId="texto">
    <w:name w:val="texto"/>
    <w:basedOn w:val="DefaultParagraphFont"/>
    <w:rsid w:val="00C6746E"/>
  </w:style>
  <w:style w:type="paragraph" w:customStyle="1" w:styleId="ft1084">
    <w:name w:val="ft1084"/>
    <w:basedOn w:val="Normal"/>
    <w:rsid w:val="00C6746E"/>
    <w:pPr>
      <w:spacing w:before="100" w:beforeAutospacing="1" w:after="100" w:afterAutospacing="1"/>
      <w:jc w:val="left"/>
    </w:pPr>
    <w:rPr>
      <w:rFonts w:ascii="Times New Roman" w:eastAsia="Times New Roman" w:hAnsi="Times New Roman"/>
      <w:sz w:val="24"/>
      <w:lang w:val="es-US" w:eastAsia="es-US"/>
    </w:rPr>
  </w:style>
  <w:style w:type="paragraph" w:customStyle="1" w:styleId="m-1502376635102121185msolistparagraph">
    <w:name w:val="m_-1502376635102121185msolistparagraph"/>
    <w:basedOn w:val="Normal"/>
    <w:rsid w:val="00C6746E"/>
    <w:pPr>
      <w:spacing w:before="100" w:beforeAutospacing="1" w:after="100" w:afterAutospacing="1"/>
      <w:jc w:val="left"/>
    </w:pPr>
    <w:rPr>
      <w:rFonts w:ascii="Times New Roman" w:eastAsia="Times New Roman" w:hAnsi="Times New Roman"/>
      <w:sz w:val="24"/>
      <w:lang w:val="es-US" w:eastAsia="es-US"/>
    </w:rPr>
  </w:style>
  <w:style w:type="paragraph" w:styleId="TOC5">
    <w:name w:val="toc 5"/>
    <w:basedOn w:val="Normal"/>
    <w:next w:val="Normal"/>
    <w:autoRedefine/>
    <w:uiPriority w:val="39"/>
    <w:unhideWhenUsed/>
    <w:rsid w:val="00C6746E"/>
    <w:pPr>
      <w:spacing w:after="100" w:line="259" w:lineRule="auto"/>
      <w:ind w:left="880"/>
      <w:jc w:val="left"/>
    </w:pPr>
    <w:rPr>
      <w:rFonts w:asciiTheme="minorHAnsi" w:eastAsiaTheme="minorHAnsi" w:hAnsiTheme="minorHAnsi" w:cstheme="minorBidi"/>
      <w:sz w:val="22"/>
      <w:szCs w:val="22"/>
      <w:lang w:val="es-AR"/>
    </w:rPr>
  </w:style>
  <w:style w:type="numbering" w:customStyle="1" w:styleId="NoList1">
    <w:name w:val="No List1"/>
    <w:next w:val="NoList"/>
    <w:uiPriority w:val="99"/>
    <w:semiHidden/>
    <w:unhideWhenUsed/>
    <w:rsid w:val="00D46B62"/>
  </w:style>
  <w:style w:type="character" w:customStyle="1" w:styleId="TextonotapieCar1">
    <w:name w:val="Texto nota pie Car1"/>
    <w:basedOn w:val="DefaultParagraphFont"/>
    <w:uiPriority w:val="99"/>
    <w:semiHidden/>
    <w:rsid w:val="00D46B62"/>
    <w:rPr>
      <w:sz w:val="20"/>
      <w:szCs w:val="20"/>
      <w:lang w:val="es-AR"/>
    </w:rPr>
  </w:style>
  <w:style w:type="table" w:customStyle="1" w:styleId="TableGrid4">
    <w:name w:val="Table Grid4"/>
    <w:basedOn w:val="TableNormal"/>
    <w:next w:val="TableGrid"/>
    <w:uiPriority w:val="39"/>
    <w:rsid w:val="00D46B62"/>
    <w:rPr>
      <w:rFonts w:eastAsia="Calibri"/>
      <w:sz w:val="22"/>
      <w:szCs w:val="22"/>
      <w:lang w:val="en-GB"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seditboxdisponly">
    <w:name w:val="pseditbox_disponly"/>
    <w:rsid w:val="00F72A49"/>
  </w:style>
  <w:style w:type="paragraph" w:customStyle="1" w:styleId="Predeterminado">
    <w:name w:val="Predeterminado"/>
    <w:rsid w:val="00F72A49"/>
    <w:pPr>
      <w:tabs>
        <w:tab w:val="left" w:pos="708"/>
      </w:tabs>
      <w:suppressAutoHyphens/>
      <w:spacing w:after="200" w:line="276" w:lineRule="auto"/>
    </w:pPr>
    <w:rPr>
      <w:rFonts w:ascii="Myriad Pro" w:eastAsia="Times New Roman" w:hAnsi="Myriad Pro" w:cs="Myriad Pro"/>
      <w:color w:val="00000A"/>
      <w:sz w:val="22"/>
      <w:szCs w:val="24"/>
      <w:lang w:val="es-ES" w:eastAsia="zh-CN"/>
    </w:rPr>
  </w:style>
  <w:style w:type="paragraph" w:customStyle="1" w:styleId="Cuadrculaclara-nfasis31">
    <w:name w:val="Cuadrícula clara - Énfasis 31"/>
    <w:basedOn w:val="Normal"/>
    <w:uiPriority w:val="34"/>
    <w:qFormat/>
    <w:rsid w:val="00494980"/>
    <w:pPr>
      <w:spacing w:after="0"/>
      <w:ind w:left="720"/>
      <w:contextualSpacing/>
      <w:jc w:val="left"/>
    </w:pPr>
    <w:rPr>
      <w:rFonts w:eastAsia="MS Mincho"/>
      <w:lang w:eastAsia="ja-JP"/>
    </w:rPr>
  </w:style>
  <w:style w:type="paragraph" w:customStyle="1" w:styleId="SESPbodynumbered">
    <w:name w:val="SESP body numbered"/>
    <w:basedOn w:val="Normal"/>
    <w:qFormat/>
    <w:rsid w:val="00494980"/>
    <w:pPr>
      <w:numPr>
        <w:numId w:val="75"/>
      </w:numPr>
      <w:tabs>
        <w:tab w:val="left" w:pos="360"/>
      </w:tabs>
      <w:spacing w:before="120" w:after="120" w:line="264" w:lineRule="auto"/>
      <w:jc w:val="left"/>
    </w:pPr>
    <w:rPr>
      <w:rFonts w:eastAsia="MS Mincho"/>
      <w:szCs w:val="20"/>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SimSun" w:hAnsi="Calibri" w:cs="Times New Roman"/>
        <w:lang w:val="es-PY" w:eastAsia="es-ES_tradnl"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semiHidden="0" w:uiPriority="9" w:unhideWhenUsed="0" w:qFormat="1"/>
    <w:lsdException w:name="heading 9" w:uiPriority="9" w:qFormat="1"/>
    <w:lsdException w:name="toc 1" w:uiPriority="39"/>
    <w:lsdException w:name="toc 2" w:uiPriority="39"/>
    <w:lsdException w:name="toc 3" w:uiPriority="39"/>
    <w:lsdException w:name="toc 4" w:uiPriority="39"/>
    <w:lsdException w:name="toc 5" w:uiPriority="39"/>
    <w:lsdException w:name="footnote text" w:qFormat="1"/>
    <w:lsdException w:name="annotation text" w:uiPriority="99"/>
    <w:lsdException w:name="header" w:uiPriority="99"/>
    <w:lsdException w:name="footer" w:uiPriority="99"/>
    <w:lsdException w:name="caption" w:semiHidden="0" w:uiPriority="35" w:unhideWhenUsed="0" w:qFormat="1"/>
    <w:lsdException w:name="annotation reference" w:uiPriority="99"/>
    <w:lsdException w:name="List Number" w:semiHidden="0" w:unhideWhenUsed="0"/>
    <w:lsdException w:name="List 4" w:semiHidden="0" w:unhideWhenUsed="0"/>
    <w:lsdException w:name="List 5" w:semiHidden="0" w:unhideWhenUsed="0"/>
    <w:lsdException w:name="Title" w:semiHidden="0" w:uiPriority="10" w:unhideWhenUsed="0" w:qFormat="1"/>
    <w:lsdException w:name="Subtitle" w:semiHidden="0" w:uiPriority="11"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iPriority="22" w:unhideWhenUsed="0" w:qFormat="1"/>
    <w:lsdException w:name="Emphasis" w:semiHidden="0" w:uiPriority="20" w:unhideWhenUsed="0" w:qFormat="1"/>
    <w:lsdException w:name="Plain Text" w:uiPriority="99"/>
    <w:lsdException w:name="Normal (Web)" w:uiPriority="99"/>
    <w:lsdException w:name="annotation subject" w:uiPriority="99"/>
    <w:lsdException w:name="No List" w:uiPriority="99"/>
    <w:lsdException w:name="Balloon Text" w:uiPriority="99"/>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34" w:unhideWhenUsed="0" w:qFormat="1"/>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0638"/>
    <w:pPr>
      <w:spacing w:after="60"/>
      <w:jc w:val="both"/>
    </w:pPr>
    <w:rPr>
      <w:szCs w:val="24"/>
      <w:lang w:val="en-US" w:eastAsia="en-US"/>
    </w:rPr>
  </w:style>
  <w:style w:type="paragraph" w:styleId="Heading1">
    <w:name w:val="heading 1"/>
    <w:basedOn w:val="Normal"/>
    <w:next w:val="Normal"/>
    <w:link w:val="Heading1Char"/>
    <w:uiPriority w:val="9"/>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uiPriority w:val="9"/>
    <w:qFormat/>
    <w:rsid w:val="00E93DC1"/>
    <w:pPr>
      <w:keepNext/>
      <w:ind w:left="720"/>
      <w:outlineLvl w:val="1"/>
    </w:pPr>
    <w:rPr>
      <w:rFonts w:ascii="Arial Narrow" w:hAnsi="Arial Narrow"/>
      <w:b/>
      <w:bCs/>
    </w:rPr>
  </w:style>
  <w:style w:type="paragraph" w:styleId="Heading3">
    <w:name w:val="heading 3"/>
    <w:basedOn w:val="Normal"/>
    <w:next w:val="Normal"/>
    <w:link w:val="Heading3Char"/>
    <w:uiPriority w:val="9"/>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uiPriority w:val="9"/>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uiPriority w:val="9"/>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6">
    <w:name w:val="heading 6"/>
    <w:basedOn w:val="Normal"/>
    <w:next w:val="Normal"/>
    <w:link w:val="Heading6Char"/>
    <w:uiPriority w:val="9"/>
    <w:unhideWhenUsed/>
    <w:qFormat/>
    <w:rsid w:val="00C6746E"/>
    <w:pPr>
      <w:keepNext/>
      <w:keepLines/>
      <w:spacing w:before="120" w:after="0" w:line="259" w:lineRule="auto"/>
      <w:jc w:val="left"/>
      <w:outlineLvl w:val="5"/>
    </w:pPr>
    <w:rPr>
      <w:rFonts w:asciiTheme="majorHAnsi" w:eastAsiaTheme="majorEastAsia" w:hAnsiTheme="majorHAnsi" w:cstheme="majorBidi"/>
      <w:b/>
      <w:bCs/>
      <w:caps/>
      <w:color w:val="262626" w:themeColor="text1" w:themeTint="D9"/>
      <w:szCs w:val="20"/>
      <w:lang w:val="es-AR"/>
    </w:rPr>
  </w:style>
  <w:style w:type="paragraph" w:styleId="Heading7">
    <w:name w:val="heading 7"/>
    <w:basedOn w:val="Normal"/>
    <w:next w:val="Normal"/>
    <w:link w:val="Heading7Char"/>
    <w:uiPriority w:val="9"/>
    <w:semiHidden/>
    <w:unhideWhenUsed/>
    <w:qFormat/>
    <w:rsid w:val="00C6746E"/>
    <w:pPr>
      <w:keepNext/>
      <w:keepLines/>
      <w:spacing w:before="120" w:after="0" w:line="259" w:lineRule="auto"/>
      <w:jc w:val="left"/>
      <w:outlineLvl w:val="6"/>
    </w:pPr>
    <w:rPr>
      <w:rFonts w:asciiTheme="majorHAnsi" w:eastAsiaTheme="majorEastAsia" w:hAnsiTheme="majorHAnsi" w:cstheme="majorBidi"/>
      <w:b/>
      <w:bCs/>
      <w:i/>
      <w:iCs/>
      <w:caps/>
      <w:color w:val="262626" w:themeColor="text1" w:themeTint="D9"/>
      <w:szCs w:val="20"/>
      <w:lang w:val="es-AR"/>
    </w:rPr>
  </w:style>
  <w:style w:type="paragraph" w:styleId="Heading8">
    <w:name w:val="heading 8"/>
    <w:basedOn w:val="Normal"/>
    <w:next w:val="Normal"/>
    <w:link w:val="Heading8Char"/>
    <w:uiPriority w:val="9"/>
    <w:qFormat/>
    <w:rsid w:val="000923DC"/>
    <w:pPr>
      <w:spacing w:before="240"/>
      <w:outlineLvl w:val="7"/>
    </w:pPr>
    <w:rPr>
      <w:i/>
      <w:iCs/>
      <w:sz w:val="24"/>
    </w:rPr>
  </w:style>
  <w:style w:type="paragraph" w:styleId="Heading9">
    <w:name w:val="heading 9"/>
    <w:basedOn w:val="Normal"/>
    <w:next w:val="Normal"/>
    <w:link w:val="Heading9Char"/>
    <w:uiPriority w:val="9"/>
    <w:semiHidden/>
    <w:unhideWhenUsed/>
    <w:qFormat/>
    <w:rsid w:val="00C6746E"/>
    <w:pPr>
      <w:keepNext/>
      <w:keepLines/>
      <w:spacing w:before="120" w:after="0" w:line="259" w:lineRule="auto"/>
      <w:jc w:val="left"/>
      <w:outlineLvl w:val="8"/>
    </w:pPr>
    <w:rPr>
      <w:rFonts w:asciiTheme="majorHAnsi" w:eastAsiaTheme="majorEastAsia" w:hAnsiTheme="majorHAnsi" w:cstheme="majorBidi"/>
      <w:b/>
      <w:bCs/>
      <w:i/>
      <w:iCs/>
      <w:caps/>
      <w:color w:val="7F7F7F" w:themeColor="text1" w:themeTint="80"/>
      <w:szCs w:val="20"/>
      <w:lang w:val="es-A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CB0802"/>
    <w:rPr>
      <w:rFonts w:ascii="Century Gothic" w:hAnsi="Century Gothic"/>
      <w:b/>
      <w:smallCaps/>
      <w:spacing w:val="-2"/>
      <w:sz w:val="28"/>
      <w:lang w:val="en-US" w:eastAsia="en-US"/>
    </w:rPr>
  </w:style>
  <w:style w:type="character" w:customStyle="1" w:styleId="Heading2Char1">
    <w:name w:val="Heading 2 Char1"/>
    <w:link w:val="Heading2"/>
    <w:uiPriority w:val="9"/>
    <w:locked/>
    <w:rsid w:val="00CB0802"/>
    <w:rPr>
      <w:rFonts w:ascii="Cambria" w:hAnsi="Cambria" w:cs="Times New Roman"/>
      <w:b/>
      <w:bCs/>
      <w:i/>
      <w:iCs/>
      <w:sz w:val="28"/>
      <w:szCs w:val="28"/>
      <w:lang w:val="en-GB"/>
    </w:rPr>
  </w:style>
  <w:style w:type="character" w:customStyle="1" w:styleId="Heading3Char">
    <w:name w:val="Heading 3 Char"/>
    <w:link w:val="Heading3"/>
    <w:uiPriority w:val="9"/>
    <w:locked/>
    <w:rsid w:val="00CB0802"/>
    <w:rPr>
      <w:rFonts w:ascii="Cambria" w:hAnsi="Cambria" w:cs="Times New Roman"/>
      <w:b/>
      <w:bCs/>
      <w:sz w:val="26"/>
      <w:szCs w:val="26"/>
      <w:lang w:val="en-GB"/>
    </w:rPr>
  </w:style>
  <w:style w:type="character" w:customStyle="1" w:styleId="Heading4Char">
    <w:name w:val="Heading 4 Char"/>
    <w:link w:val="Heading4"/>
    <w:uiPriority w:val="9"/>
    <w:locked/>
    <w:rsid w:val="00CB0802"/>
    <w:rPr>
      <w:rFonts w:ascii="Calibri" w:hAnsi="Calibri" w:cs="Times New Roman"/>
      <w:b/>
      <w:bCs/>
      <w:sz w:val="28"/>
      <w:szCs w:val="28"/>
      <w:lang w:val="en-GB"/>
    </w:rPr>
  </w:style>
  <w:style w:type="character" w:customStyle="1" w:styleId="Heading5Char">
    <w:name w:val="Heading 5 Char"/>
    <w:link w:val="Heading5"/>
    <w:uiPriority w:val="9"/>
    <w:locked/>
    <w:rsid w:val="00CB0802"/>
    <w:rPr>
      <w:rFonts w:ascii="Calibri" w:hAnsi="Calibri" w:cs="Times New Roman"/>
      <w:b/>
      <w:bCs/>
      <w:i/>
      <w:iCs/>
      <w:sz w:val="26"/>
      <w:szCs w:val="26"/>
      <w:lang w:val="en-GB"/>
    </w:rPr>
  </w:style>
  <w:style w:type="character" w:customStyle="1" w:styleId="Heading6Char">
    <w:name w:val="Heading 6 Char"/>
    <w:basedOn w:val="DefaultParagraphFont"/>
    <w:link w:val="Heading6"/>
    <w:uiPriority w:val="9"/>
    <w:rsid w:val="00C6746E"/>
    <w:rPr>
      <w:rFonts w:asciiTheme="majorHAnsi" w:eastAsiaTheme="majorEastAsia" w:hAnsiTheme="majorHAnsi" w:cstheme="majorBidi"/>
      <w:b/>
      <w:bCs/>
      <w:caps/>
      <w:color w:val="262626" w:themeColor="text1" w:themeTint="D9"/>
      <w:lang w:val="es-AR" w:eastAsia="en-US"/>
    </w:rPr>
  </w:style>
  <w:style w:type="character" w:customStyle="1" w:styleId="Heading7Char">
    <w:name w:val="Heading 7 Char"/>
    <w:basedOn w:val="DefaultParagraphFont"/>
    <w:link w:val="Heading7"/>
    <w:uiPriority w:val="9"/>
    <w:semiHidden/>
    <w:rsid w:val="00C6746E"/>
    <w:rPr>
      <w:rFonts w:asciiTheme="majorHAnsi" w:eastAsiaTheme="majorEastAsia" w:hAnsiTheme="majorHAnsi" w:cstheme="majorBidi"/>
      <w:b/>
      <w:bCs/>
      <w:i/>
      <w:iCs/>
      <w:caps/>
      <w:color w:val="262626" w:themeColor="text1" w:themeTint="D9"/>
      <w:lang w:val="es-AR" w:eastAsia="en-US"/>
    </w:rPr>
  </w:style>
  <w:style w:type="character" w:customStyle="1" w:styleId="Heading8Char">
    <w:name w:val="Heading 8 Char"/>
    <w:link w:val="Heading8"/>
    <w:uiPriority w:val="9"/>
    <w:semiHidden/>
    <w:rsid w:val="000923DC"/>
    <w:rPr>
      <w:rFonts w:ascii="Calibri" w:eastAsia="Times New Roman" w:hAnsi="Calibri" w:cs="Times New Roman"/>
      <w:i/>
      <w:iCs/>
      <w:sz w:val="24"/>
      <w:szCs w:val="24"/>
      <w:lang w:val="en-GB"/>
    </w:rPr>
  </w:style>
  <w:style w:type="character" w:customStyle="1" w:styleId="Heading9Char">
    <w:name w:val="Heading 9 Char"/>
    <w:basedOn w:val="DefaultParagraphFont"/>
    <w:link w:val="Heading9"/>
    <w:uiPriority w:val="9"/>
    <w:semiHidden/>
    <w:rsid w:val="00C6746E"/>
    <w:rPr>
      <w:rFonts w:asciiTheme="majorHAnsi" w:eastAsiaTheme="majorEastAsia" w:hAnsiTheme="majorHAnsi" w:cstheme="majorBidi"/>
      <w:b/>
      <w:bCs/>
      <w:i/>
      <w:iCs/>
      <w:caps/>
      <w:color w:val="7F7F7F" w:themeColor="text1" w:themeTint="80"/>
      <w:lang w:val="es-AR" w:eastAsia="en-US"/>
    </w:rPr>
  </w:style>
  <w:style w:type="paragraph" w:styleId="BalloonText">
    <w:name w:val="Balloon Text"/>
    <w:basedOn w:val="Normal"/>
    <w:link w:val="BalloonTextChar"/>
    <w:uiPriority w:val="99"/>
    <w:semiHidden/>
    <w:rsid w:val="00D260B0"/>
    <w:rPr>
      <w:rFonts w:ascii="Tahoma" w:hAnsi="Tahoma" w:cs="Tahoma"/>
      <w:sz w:val="16"/>
      <w:szCs w:val="16"/>
    </w:rPr>
  </w:style>
  <w:style w:type="character" w:customStyle="1" w:styleId="BalloonTextChar">
    <w:name w:val="Balloon Text Char"/>
    <w:link w:val="BalloonText"/>
    <w:uiPriority w:val="99"/>
    <w:semiHidden/>
    <w:locked/>
    <w:rsid w:val="00CB0802"/>
    <w:rPr>
      <w:rFonts w:cs="Times New Roman"/>
      <w:sz w:val="2"/>
      <w:lang w:val="en-GB"/>
    </w:rPr>
  </w:style>
  <w:style w:type="paragraph" w:styleId="Header">
    <w:name w:val="header"/>
    <w:aliases w:val="Header1"/>
    <w:basedOn w:val="Normal"/>
    <w:link w:val="HeaderChar"/>
    <w:uiPriority w:val="99"/>
    <w:rsid w:val="00E93DC1"/>
    <w:pPr>
      <w:tabs>
        <w:tab w:val="center" w:pos="4153"/>
        <w:tab w:val="right" w:pos="8306"/>
      </w:tabs>
    </w:pPr>
  </w:style>
  <w:style w:type="character" w:customStyle="1" w:styleId="HeaderChar">
    <w:name w:val="Header Char"/>
    <w:aliases w:val="Header1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qFormat/>
    <w:rsid w:val="00E93DC1"/>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locked/>
    <w:rsid w:val="00CB0802"/>
    <w:rPr>
      <w:rFonts w:ascii="Arial" w:hAnsi="Arial" w:cs="Times New Roman"/>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styleId="CommentReference">
    <w:name w:val="annotation reference"/>
    <w:uiPriority w:val="99"/>
    <w:semiHidden/>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uiPriority w:val="99"/>
    <w:semiHidden/>
    <w:rsid w:val="00EF6275"/>
    <w:rPr>
      <w:b/>
      <w:bCs/>
    </w:rPr>
  </w:style>
  <w:style w:type="character" w:customStyle="1" w:styleId="CommentSubjectChar">
    <w:name w:val="Comment Subject Char"/>
    <w:link w:val="CommentSubject"/>
    <w:uiPriority w:val="99"/>
    <w:semiHidden/>
    <w:locked/>
    <w:rsid w:val="00CB0802"/>
    <w:rPr>
      <w:rFonts w:ascii="Arial" w:hAnsi="Arial" w:cs="Times New Roman"/>
      <w:b/>
      <w:bCs/>
      <w:lang w:val="en-GB"/>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uiPriority w:val="20"/>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fr,Ref,n"/>
    <w:link w:val="CharCharCharCharCarChar"/>
    <w:rsid w:val="00BF50E7"/>
    <w:rPr>
      <w:rFonts w:ascii="Arial" w:hAnsi="Arial" w:cs="Times New Roman"/>
      <w:sz w:val="18"/>
      <w:vertAlign w:val="superscript"/>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872F38"/>
    <w:pPr>
      <w:spacing w:after="160" w:line="240" w:lineRule="exact"/>
    </w:pPr>
    <w:rPr>
      <w:rFonts w:ascii="Arial" w:hAnsi="Arial"/>
      <w:sz w:val="18"/>
      <w:szCs w:val="20"/>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olorfulList-Accent11">
    <w:name w:val="Colorful List - Accent 11"/>
    <w:aliases w:val="List Paragraph1,Project Profile name,Paragraphe de liste1,Numbered paragraph,Paragraphe de liste,Medium Grid 1 - Accent 21,List Paragraph (numbered (a)),Numbered List Paragraph,References,ReferencesCxSpLast,Table/Figure Heading"/>
    <w:basedOn w:val="Normal"/>
    <w:link w:val="Listavistosa-nfasis1Car"/>
    <w:uiPriority w:val="34"/>
    <w:qFormat/>
    <w:rsid w:val="00DB520F"/>
    <w:pPr>
      <w:spacing w:after="0"/>
      <w:ind w:left="720"/>
      <w:jc w:val="left"/>
    </w:pPr>
    <w:rPr>
      <w:rFonts w:ascii="Times New Roman" w:hAnsi="Times New Roman"/>
      <w:sz w:val="24"/>
    </w:rPr>
  </w:style>
  <w:style w:type="character" w:customStyle="1" w:styleId="Listavistosa-nfasis1Car">
    <w:name w:val="Lista vistosa - Énfasis 1 Car"/>
    <w:aliases w:val="List Paragraph1 Car,Project Profile name Car,Paragraphe de liste1 Car,Numbered paragraph Car,Paragraphe de liste Car,Medium Grid 1 - Accent 21 Car,List Paragraph (numbered (a)) Car,Numbered List Paragraph Car,References Car"/>
    <w:link w:val="ColorfulList-Accent11"/>
    <w:uiPriority w:val="34"/>
    <w:qFormat/>
    <w:rsid w:val="00881F0F"/>
    <w:rPr>
      <w:sz w:val="24"/>
      <w:szCs w:val="24"/>
    </w:rPr>
  </w:style>
  <w:style w:type="paragraph" w:styleId="Title">
    <w:name w:val="Title"/>
    <w:basedOn w:val="Normal"/>
    <w:link w:val="TitleChar"/>
    <w:uiPriority w:val="10"/>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uiPriority w:val="10"/>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val="en-US"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lang w:val="en-US" w:eastAsia="en-US"/>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lang w:val="en-US" w:eastAsia="en-US"/>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C6746E"/>
    <w:pPr>
      <w:tabs>
        <w:tab w:val="left" w:pos="540"/>
        <w:tab w:val="right" w:leader="dot" w:pos="9304"/>
      </w:tabs>
    </w:pPr>
  </w:style>
  <w:style w:type="character" w:customStyle="1" w:styleId="Heading2Char">
    <w:name w:val="Heading 2 Char"/>
    <w:uiPriority w:val="9"/>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uiPriority w:val="35"/>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customStyle="1" w:styleId="GridTable31">
    <w:name w:val="Grid Table 31"/>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customStyle="1" w:styleId="MediumGrid21">
    <w:name w:val="Medium Grid 21"/>
    <w:link w:val="Cuadrculamedia2Car"/>
    <w:uiPriority w:val="1"/>
    <w:qFormat/>
    <w:rsid w:val="004C454A"/>
    <w:rPr>
      <w:rFonts w:ascii="Times" w:eastAsia="Times" w:hAnsi="Times"/>
      <w:sz w:val="24"/>
      <w:szCs w:val="24"/>
      <w:lang w:val="en-US" w:eastAsia="en-US"/>
    </w:rPr>
  </w:style>
  <w:style w:type="character" w:customStyle="1" w:styleId="Cuadrculamedia2Car">
    <w:name w:val="Cuadrícula media 2 Car"/>
    <w:link w:val="MediumGrid21"/>
    <w:uiPriority w:val="1"/>
    <w:rsid w:val="004C454A"/>
    <w:rPr>
      <w:rFonts w:ascii="Times" w:eastAsia="Times" w:hAnsi="Times"/>
      <w:sz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customStyle="1" w:styleId="TableGridLight1">
    <w:name w:val="Table Grid Light1"/>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8"/>
      </w:numPr>
      <w:spacing w:before="60" w:line="260" w:lineRule="exact"/>
      <w:jc w:val="left"/>
    </w:pPr>
    <w:rPr>
      <w:rFonts w:eastAsia="Times New Roman"/>
      <w:lang w:eastAsia="ja-JP"/>
    </w:rPr>
  </w:style>
  <w:style w:type="character" w:customStyle="1" w:styleId="ColorfulList-Accent1Char">
    <w:name w:val="Colorful List - Accent 1 Char"/>
    <w:aliases w:val="List Paragraph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spacing w:after="0"/>
      <w:ind w:left="720"/>
      <w:jc w:val="left"/>
    </w:pPr>
    <w:rPr>
      <w:szCs w:val="20"/>
    </w:rPr>
  </w:style>
  <w:style w:type="paragraph" w:styleId="TOC3">
    <w:name w:val="toc 3"/>
    <w:basedOn w:val="Normal"/>
    <w:next w:val="Normal"/>
    <w:autoRedefine/>
    <w:uiPriority w:val="39"/>
    <w:unhideWhenUsed/>
    <w:rsid w:val="006957EB"/>
    <w:pPr>
      <w:ind w:left="400"/>
    </w:pPr>
  </w:style>
  <w:style w:type="paragraph" w:styleId="ListParagraph">
    <w:name w:val="List Paragraph"/>
    <w:aliases w:val="Dot pt,F5 List Paragraph,No Spacing1,List Paragraph Char Char Char,Indicator Text,Numbered Para 1,Bullet 1,Bullet Points,List Paragraph2,MAIN CONTENT,Normal numbered,List Bullet Mary,Title Style 1,Párrafo de lista1,En tête ,Titulo 4"/>
    <w:basedOn w:val="Normal"/>
    <w:link w:val="ListParagraphChar"/>
    <w:uiPriority w:val="34"/>
    <w:qFormat/>
    <w:rsid w:val="00BB6C01"/>
    <w:pPr>
      <w:ind w:left="720"/>
      <w:contextualSpacing/>
    </w:pPr>
  </w:style>
  <w:style w:type="character" w:customStyle="1" w:styleId="ListParagraphChar">
    <w:name w:val="List Paragraph Char"/>
    <w:aliases w:val="Dot pt Char,F5 List Paragraph Char,No Spacing1 Char,List Paragraph Char Char Char Char,Indicator Text Char,Numbered Para 1 Char,Bullet 1 Char,Bullet Points Char,List Paragraph2 Char,MAIN CONTENT Char,Normal numbered Char"/>
    <w:link w:val="ListParagraph"/>
    <w:uiPriority w:val="34"/>
    <w:qFormat/>
    <w:rsid w:val="00BB6C01"/>
    <w:rPr>
      <w:szCs w:val="24"/>
      <w:lang w:val="en-US" w:eastAsia="en-US"/>
    </w:rPr>
  </w:style>
  <w:style w:type="character" w:customStyle="1" w:styleId="hps">
    <w:name w:val="hps"/>
    <w:rsid w:val="0083160C"/>
  </w:style>
  <w:style w:type="paragraph" w:customStyle="1" w:styleId="m-8039438862728791309msonormal">
    <w:name w:val="m_-8039438862728791309msonormal"/>
    <w:basedOn w:val="Normal"/>
    <w:rsid w:val="00D7348A"/>
    <w:pPr>
      <w:spacing w:before="100" w:beforeAutospacing="1" w:after="100" w:afterAutospacing="1"/>
      <w:jc w:val="left"/>
    </w:pPr>
    <w:rPr>
      <w:rFonts w:ascii="Times New Roman" w:eastAsia="Times New Roman" w:hAnsi="Times New Roman"/>
      <w:sz w:val="24"/>
      <w:lang w:val="es-PY" w:eastAsia="es-ES_tradnl"/>
    </w:rPr>
  </w:style>
  <w:style w:type="paragraph" w:customStyle="1" w:styleId="GridTable310">
    <w:name w:val="Grid Table 31"/>
    <w:basedOn w:val="Heading1"/>
    <w:next w:val="Normal"/>
    <w:uiPriority w:val="39"/>
    <w:unhideWhenUsed/>
    <w:qFormat/>
    <w:rsid w:val="008A17C0"/>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customStyle="1" w:styleId="MediumGrid210">
    <w:name w:val="Medium Grid 21"/>
    <w:link w:val="MediumGrid2Char"/>
    <w:uiPriority w:val="1"/>
    <w:qFormat/>
    <w:rsid w:val="008A17C0"/>
    <w:rPr>
      <w:rFonts w:ascii="Times" w:eastAsia="Times" w:hAnsi="Times"/>
      <w:sz w:val="24"/>
      <w:szCs w:val="24"/>
      <w:lang w:val="en-US" w:eastAsia="en-US"/>
    </w:rPr>
  </w:style>
  <w:style w:type="character" w:customStyle="1" w:styleId="MediumGrid2Char">
    <w:name w:val="Medium Grid 2 Char"/>
    <w:link w:val="MediumGrid210"/>
    <w:uiPriority w:val="1"/>
    <w:rsid w:val="008A17C0"/>
    <w:rPr>
      <w:rFonts w:ascii="Times" w:eastAsia="Times" w:hAnsi="Times"/>
      <w:sz w:val="24"/>
      <w:szCs w:val="24"/>
      <w:lang w:val="en-US" w:eastAsia="en-US"/>
    </w:rPr>
  </w:style>
  <w:style w:type="character" w:customStyle="1" w:styleId="TableGridLight10">
    <w:name w:val="Table Grid Light1"/>
    <w:uiPriority w:val="32"/>
    <w:qFormat/>
    <w:rsid w:val="008A17C0"/>
    <w:rPr>
      <w:b/>
      <w:bCs/>
      <w:smallCaps/>
      <w:color w:val="C0504D"/>
      <w:spacing w:val="5"/>
      <w:u w:val="single"/>
    </w:rPr>
  </w:style>
  <w:style w:type="paragraph" w:customStyle="1" w:styleId="Sangra2detindependiente1">
    <w:name w:val="Sangría 2 de t. independiente1"/>
    <w:rsid w:val="008A17C0"/>
    <w:pPr>
      <w:spacing w:after="120" w:line="480" w:lineRule="auto"/>
      <w:ind w:left="283"/>
    </w:pPr>
    <w:rPr>
      <w:rFonts w:ascii="Times New Roman" w:eastAsia="ヒラギノ角ゴ Pro W3" w:hAnsi="Times New Roman"/>
      <w:color w:val="000000"/>
      <w:sz w:val="24"/>
      <w:szCs w:val="24"/>
      <w:lang w:val="es-ES_tradnl" w:eastAsia="en-US"/>
    </w:rPr>
  </w:style>
  <w:style w:type="paragraph" w:customStyle="1" w:styleId="Normal11">
    <w:name w:val="Normal 11"/>
    <w:basedOn w:val="Normal"/>
    <w:link w:val="Normal11Char1"/>
    <w:rsid w:val="008A17C0"/>
    <w:pPr>
      <w:spacing w:before="120" w:after="120"/>
      <w:ind w:firstLine="284"/>
    </w:pPr>
    <w:rPr>
      <w:rFonts w:ascii="Times New Roman" w:eastAsia="Times New Roman" w:hAnsi="Times New Roman"/>
      <w:sz w:val="22"/>
      <w:lang w:val="es-ES" w:eastAsia="es-ES"/>
    </w:rPr>
  </w:style>
  <w:style w:type="character" w:customStyle="1" w:styleId="Normal11Char1">
    <w:name w:val="Normal 11 Char1"/>
    <w:link w:val="Normal11"/>
    <w:rsid w:val="008A17C0"/>
    <w:rPr>
      <w:rFonts w:ascii="Times New Roman" w:eastAsia="Times New Roman" w:hAnsi="Times New Roman"/>
      <w:sz w:val="22"/>
      <w:szCs w:val="24"/>
      <w:lang w:val="es-ES" w:eastAsia="es-ES"/>
    </w:rPr>
  </w:style>
  <w:style w:type="character" w:customStyle="1" w:styleId="s21">
    <w:name w:val="s21"/>
    <w:rsid w:val="008A17C0"/>
  </w:style>
  <w:style w:type="paragraph" w:customStyle="1" w:styleId="Pa7">
    <w:name w:val="Pa7"/>
    <w:basedOn w:val="Default"/>
    <w:next w:val="Default"/>
    <w:uiPriority w:val="99"/>
    <w:rsid w:val="008A17C0"/>
    <w:pPr>
      <w:spacing w:line="181" w:lineRule="atLeast"/>
    </w:pPr>
    <w:rPr>
      <w:rFonts w:eastAsia="Calibri"/>
      <w:color w:val="auto"/>
      <w:lang w:eastAsia="en-US"/>
    </w:rPr>
  </w:style>
  <w:style w:type="character" w:customStyle="1" w:styleId="Listavistosa-nfasis1Car1">
    <w:name w:val="Lista vistosa - Énfasis 1 Car1"/>
    <w:uiPriority w:val="34"/>
    <w:rsid w:val="008A17C0"/>
    <w:rPr>
      <w:rFonts w:ascii="Times New Roman" w:hAnsi="Times New Roman"/>
      <w:sz w:val="24"/>
      <w:szCs w:val="24"/>
      <w:lang w:val="es-ES_tradnl"/>
    </w:rPr>
  </w:style>
  <w:style w:type="paragraph" w:customStyle="1" w:styleId="ecxmsonormal">
    <w:name w:val="ecxmsonormal"/>
    <w:basedOn w:val="Normal"/>
    <w:rsid w:val="008A17C0"/>
    <w:pPr>
      <w:spacing w:before="100" w:beforeAutospacing="1" w:after="100" w:afterAutospacing="1"/>
      <w:jc w:val="left"/>
    </w:pPr>
    <w:rPr>
      <w:rFonts w:ascii="Times New Roman" w:eastAsia="Times New Roman" w:hAnsi="Times New Roman"/>
      <w:sz w:val="24"/>
      <w:lang w:val="es-ES" w:eastAsia="es-ES"/>
    </w:rPr>
  </w:style>
  <w:style w:type="table" w:styleId="LightShading-Accent1">
    <w:name w:val="Light Shading Accent 1"/>
    <w:basedOn w:val="TableNormal"/>
    <w:uiPriority w:val="60"/>
    <w:rsid w:val="008A17C0"/>
    <w:rPr>
      <w:rFonts w:eastAsia="Yu Mincho"/>
      <w:color w:val="2E74B5"/>
      <w:sz w:val="24"/>
      <w:szCs w:val="24"/>
      <w:lang w:val="en-US" w:eastAsia="en-US"/>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paragraph" w:customStyle="1" w:styleId="BVIfnrCarattereCharCharCharCarattereCharCharCharCharCharChar1CharCharCharCarattereChar">
    <w:name w:val="BVI fnr Carattere Char Char Char Carattere Char Char Char Char Char Char1 Char Char Char Carattere Char"/>
    <w:aliases w:val="BVI fnr Carattere Char Char Char Carattere Char Char Char Char Char Char1 Char Char Char Carattere Carattere Char"/>
    <w:basedOn w:val="Normal"/>
    <w:uiPriority w:val="99"/>
    <w:rsid w:val="00235A5C"/>
    <w:pPr>
      <w:spacing w:after="160" w:line="240" w:lineRule="exact"/>
      <w:jc w:val="left"/>
    </w:pPr>
    <w:rPr>
      <w:rFonts w:eastAsia="Calibri"/>
      <w:sz w:val="22"/>
      <w:szCs w:val="22"/>
      <w:vertAlign w:val="superscript"/>
      <w:lang w:val="es-AR"/>
    </w:rPr>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uiPriority w:val="99"/>
    <w:rsid w:val="005B2E89"/>
    <w:pPr>
      <w:spacing w:after="160" w:line="240" w:lineRule="exact"/>
    </w:pPr>
    <w:rPr>
      <w:rFonts w:eastAsia="Calibri"/>
      <w:sz w:val="24"/>
      <w:vertAlign w:val="superscript"/>
      <w:lang w:val="es-ES_tradnl"/>
    </w:rPr>
  </w:style>
  <w:style w:type="paragraph" w:styleId="NoSpacing">
    <w:name w:val="No Spacing"/>
    <w:link w:val="NoSpacingChar"/>
    <w:uiPriority w:val="1"/>
    <w:qFormat/>
    <w:rsid w:val="00772A0A"/>
    <w:rPr>
      <w:rFonts w:ascii="Times" w:eastAsia="Times" w:hAnsi="Times"/>
      <w:sz w:val="24"/>
      <w:szCs w:val="24"/>
      <w:lang w:val="en-US" w:eastAsia="en-US"/>
    </w:rPr>
  </w:style>
  <w:style w:type="character" w:customStyle="1" w:styleId="NoSpacingChar">
    <w:name w:val="No Spacing Char"/>
    <w:link w:val="NoSpacing"/>
    <w:uiPriority w:val="1"/>
    <w:rsid w:val="00772A0A"/>
    <w:rPr>
      <w:rFonts w:ascii="Times" w:eastAsia="Times" w:hAnsi="Times"/>
      <w:sz w:val="24"/>
      <w:szCs w:val="24"/>
      <w:lang w:val="en-US" w:eastAsia="en-US"/>
    </w:rPr>
  </w:style>
  <w:style w:type="paragraph" w:customStyle="1" w:styleId="xmsonormal">
    <w:name w:val="x_msonormal"/>
    <w:basedOn w:val="Normal"/>
    <w:rsid w:val="00EC6C81"/>
    <w:pPr>
      <w:spacing w:before="100" w:beforeAutospacing="1" w:after="100" w:afterAutospacing="1"/>
      <w:jc w:val="left"/>
    </w:pPr>
    <w:rPr>
      <w:rFonts w:ascii="Times New Roman" w:eastAsia="Times New Roman" w:hAnsi="Times New Roman"/>
      <w:sz w:val="24"/>
      <w:lang w:val="es-ES" w:eastAsia="es-ES"/>
    </w:rPr>
  </w:style>
  <w:style w:type="table" w:customStyle="1" w:styleId="TableGrid1">
    <w:name w:val="Table Grid1"/>
    <w:basedOn w:val="TableNormal"/>
    <w:next w:val="TableGrid"/>
    <w:uiPriority w:val="59"/>
    <w:rsid w:val="003E615F"/>
    <w:rPr>
      <w:rFonts w:eastAsia="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3E615F"/>
    <w:rPr>
      <w:rFonts w:eastAsia="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3E615F"/>
    <w:rPr>
      <w:rFonts w:eastAsia="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AA7171"/>
    <w:rPr>
      <w:szCs w:val="24"/>
      <w:lang w:val="en-US" w:eastAsia="en-US"/>
    </w:rPr>
  </w:style>
  <w:style w:type="paragraph" w:customStyle="1" w:styleId="m-20226115478387961xmsonormal">
    <w:name w:val="m_-20226115478387961xmsonormal"/>
    <w:basedOn w:val="Normal"/>
    <w:rsid w:val="00203898"/>
    <w:pPr>
      <w:spacing w:before="100" w:beforeAutospacing="1" w:after="100" w:afterAutospacing="1"/>
      <w:jc w:val="left"/>
    </w:pPr>
    <w:rPr>
      <w:rFonts w:ascii="Times New Roman" w:eastAsia="Times New Roman" w:hAnsi="Times New Roman"/>
      <w:sz w:val="24"/>
      <w:lang w:val="es-PY" w:eastAsia="es-ES_tradnl"/>
    </w:rPr>
  </w:style>
  <w:style w:type="paragraph" w:customStyle="1" w:styleId="m-3279925297988423529msonormal">
    <w:name w:val="m_-3279925297988423529msonormal"/>
    <w:basedOn w:val="Normal"/>
    <w:rsid w:val="0051507B"/>
    <w:pPr>
      <w:spacing w:before="100" w:beforeAutospacing="1" w:after="100" w:afterAutospacing="1"/>
      <w:jc w:val="left"/>
    </w:pPr>
    <w:rPr>
      <w:rFonts w:ascii="Times New Roman" w:eastAsia="Times New Roman" w:hAnsi="Times New Roman"/>
      <w:sz w:val="24"/>
      <w:lang w:val="es-PY" w:eastAsia="es-ES_tradnl"/>
    </w:rPr>
  </w:style>
  <w:style w:type="paragraph" w:styleId="Subtitle">
    <w:name w:val="Subtitle"/>
    <w:basedOn w:val="Normal"/>
    <w:next w:val="Normal"/>
    <w:link w:val="SubtitleChar"/>
    <w:uiPriority w:val="11"/>
    <w:qFormat/>
    <w:rsid w:val="00C6746E"/>
    <w:pPr>
      <w:numPr>
        <w:ilvl w:val="1"/>
      </w:numPr>
      <w:spacing w:after="160" w:line="259" w:lineRule="auto"/>
      <w:jc w:val="left"/>
    </w:pPr>
    <w:rPr>
      <w:rFonts w:asciiTheme="majorHAnsi" w:eastAsiaTheme="majorEastAsia" w:hAnsiTheme="majorHAnsi" w:cstheme="majorBidi"/>
      <w:smallCaps/>
      <w:color w:val="595959" w:themeColor="text1" w:themeTint="A6"/>
      <w:sz w:val="28"/>
      <w:szCs w:val="28"/>
      <w:lang w:val="es-AR"/>
    </w:rPr>
  </w:style>
  <w:style w:type="character" w:customStyle="1" w:styleId="SubtitleChar">
    <w:name w:val="Subtitle Char"/>
    <w:basedOn w:val="DefaultParagraphFont"/>
    <w:link w:val="Subtitle"/>
    <w:uiPriority w:val="11"/>
    <w:rsid w:val="00C6746E"/>
    <w:rPr>
      <w:rFonts w:asciiTheme="majorHAnsi" w:eastAsiaTheme="majorEastAsia" w:hAnsiTheme="majorHAnsi" w:cstheme="majorBidi"/>
      <w:smallCaps/>
      <w:color w:val="595959" w:themeColor="text1" w:themeTint="A6"/>
      <w:sz w:val="28"/>
      <w:szCs w:val="28"/>
      <w:lang w:val="es-AR" w:eastAsia="en-US"/>
    </w:rPr>
  </w:style>
  <w:style w:type="paragraph" w:styleId="Quote">
    <w:name w:val="Quote"/>
    <w:basedOn w:val="Normal"/>
    <w:next w:val="Normal"/>
    <w:link w:val="QuoteChar"/>
    <w:uiPriority w:val="29"/>
    <w:qFormat/>
    <w:rsid w:val="00C6746E"/>
    <w:pPr>
      <w:spacing w:before="160" w:after="160"/>
      <w:ind w:left="720" w:right="720"/>
      <w:jc w:val="left"/>
    </w:pPr>
    <w:rPr>
      <w:rFonts w:asciiTheme="majorHAnsi" w:eastAsiaTheme="majorEastAsia" w:hAnsiTheme="majorHAnsi" w:cstheme="majorBidi"/>
      <w:sz w:val="25"/>
      <w:szCs w:val="25"/>
      <w:lang w:val="es-AR"/>
    </w:rPr>
  </w:style>
  <w:style w:type="character" w:customStyle="1" w:styleId="QuoteChar">
    <w:name w:val="Quote Char"/>
    <w:basedOn w:val="DefaultParagraphFont"/>
    <w:link w:val="Quote"/>
    <w:uiPriority w:val="29"/>
    <w:rsid w:val="00C6746E"/>
    <w:rPr>
      <w:rFonts w:asciiTheme="majorHAnsi" w:eastAsiaTheme="majorEastAsia" w:hAnsiTheme="majorHAnsi" w:cstheme="majorBidi"/>
      <w:sz w:val="25"/>
      <w:szCs w:val="25"/>
      <w:lang w:val="es-AR" w:eastAsia="en-US"/>
    </w:rPr>
  </w:style>
  <w:style w:type="paragraph" w:styleId="IntenseQuote">
    <w:name w:val="Intense Quote"/>
    <w:basedOn w:val="Normal"/>
    <w:next w:val="Normal"/>
    <w:link w:val="IntenseQuoteChar"/>
    <w:uiPriority w:val="30"/>
    <w:qFormat/>
    <w:rsid w:val="00C6746E"/>
    <w:pPr>
      <w:spacing w:before="280" w:after="280"/>
      <w:ind w:left="1080" w:right="1080"/>
      <w:jc w:val="center"/>
    </w:pPr>
    <w:rPr>
      <w:rFonts w:asciiTheme="minorHAnsi" w:eastAsiaTheme="minorHAnsi" w:hAnsiTheme="minorHAnsi" w:cstheme="minorBidi"/>
      <w:color w:val="404040" w:themeColor="text1" w:themeTint="BF"/>
      <w:sz w:val="32"/>
      <w:szCs w:val="32"/>
      <w:lang w:val="es-AR"/>
    </w:rPr>
  </w:style>
  <w:style w:type="character" w:customStyle="1" w:styleId="IntenseQuoteChar">
    <w:name w:val="Intense Quote Char"/>
    <w:basedOn w:val="DefaultParagraphFont"/>
    <w:link w:val="IntenseQuote"/>
    <w:uiPriority w:val="30"/>
    <w:rsid w:val="00C6746E"/>
    <w:rPr>
      <w:rFonts w:asciiTheme="minorHAnsi" w:eastAsiaTheme="minorHAnsi" w:hAnsiTheme="minorHAnsi" w:cstheme="minorBidi"/>
      <w:color w:val="404040" w:themeColor="text1" w:themeTint="BF"/>
      <w:sz w:val="32"/>
      <w:szCs w:val="32"/>
      <w:lang w:val="es-AR" w:eastAsia="en-US"/>
    </w:rPr>
  </w:style>
  <w:style w:type="character" w:styleId="SubtleEmphasis">
    <w:name w:val="Subtle Emphasis"/>
    <w:basedOn w:val="DefaultParagraphFont"/>
    <w:uiPriority w:val="19"/>
    <w:qFormat/>
    <w:rsid w:val="00C6746E"/>
    <w:rPr>
      <w:i/>
      <w:iCs/>
      <w:color w:val="595959" w:themeColor="text1" w:themeTint="A6"/>
    </w:rPr>
  </w:style>
  <w:style w:type="character" w:styleId="IntenseEmphasis">
    <w:name w:val="Intense Emphasis"/>
    <w:basedOn w:val="DefaultParagraphFont"/>
    <w:uiPriority w:val="21"/>
    <w:qFormat/>
    <w:rsid w:val="00C6746E"/>
    <w:rPr>
      <w:b/>
      <w:bCs/>
      <w:i/>
      <w:iCs/>
    </w:rPr>
  </w:style>
  <w:style w:type="character" w:styleId="SubtleReference">
    <w:name w:val="Subtle Reference"/>
    <w:basedOn w:val="DefaultParagraphFont"/>
    <w:uiPriority w:val="31"/>
    <w:qFormat/>
    <w:rsid w:val="00C6746E"/>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C6746E"/>
    <w:rPr>
      <w:b/>
      <w:bCs/>
      <w:caps w:val="0"/>
      <w:smallCaps/>
      <w:color w:val="auto"/>
      <w:spacing w:val="3"/>
      <w:u w:val="single"/>
    </w:rPr>
  </w:style>
  <w:style w:type="character" w:styleId="BookTitle">
    <w:name w:val="Book Title"/>
    <w:basedOn w:val="DefaultParagraphFont"/>
    <w:uiPriority w:val="33"/>
    <w:qFormat/>
    <w:rsid w:val="00C6746E"/>
    <w:rPr>
      <w:b/>
      <w:bCs/>
      <w:smallCaps/>
      <w:spacing w:val="7"/>
    </w:rPr>
  </w:style>
  <w:style w:type="paragraph" w:styleId="TOCHeading">
    <w:name w:val="TOC Heading"/>
    <w:basedOn w:val="Heading1"/>
    <w:next w:val="Normal"/>
    <w:uiPriority w:val="39"/>
    <w:unhideWhenUsed/>
    <w:qFormat/>
    <w:rsid w:val="00C6746E"/>
    <w:pPr>
      <w:keepLines/>
      <w:numPr>
        <w:numId w:val="0"/>
      </w:numPr>
      <w:pBdr>
        <w:top w:val="none" w:sz="0" w:space="0" w:color="auto"/>
      </w:pBdr>
      <w:suppressAutoHyphens w:val="0"/>
      <w:spacing w:before="400" w:after="40"/>
      <w:jc w:val="left"/>
      <w:outlineLvl w:val="9"/>
    </w:pPr>
    <w:rPr>
      <w:rFonts w:asciiTheme="majorHAnsi" w:eastAsiaTheme="majorEastAsia" w:hAnsiTheme="majorHAnsi" w:cstheme="majorBidi"/>
      <w:b w:val="0"/>
      <w:caps/>
      <w:smallCaps w:val="0"/>
      <w:spacing w:val="0"/>
      <w:sz w:val="36"/>
      <w:szCs w:val="36"/>
      <w:lang w:val="es-AR"/>
    </w:rPr>
  </w:style>
  <w:style w:type="character" w:customStyle="1" w:styleId="GEFFieldtoFilloutChar">
    <w:name w:val="GEF Field to Fill out Char"/>
    <w:link w:val="GEFFieldtoFillout"/>
    <w:locked/>
    <w:rsid w:val="00C6746E"/>
    <w:rPr>
      <w:color w:val="000000"/>
      <w:lang w:val="en-US"/>
    </w:rPr>
  </w:style>
  <w:style w:type="paragraph" w:customStyle="1" w:styleId="GEFFieldtoFillout">
    <w:name w:val="GEF Field to Fill out"/>
    <w:basedOn w:val="Normal"/>
    <w:link w:val="GEFFieldtoFilloutChar"/>
    <w:qFormat/>
    <w:rsid w:val="00C6746E"/>
    <w:pPr>
      <w:spacing w:after="0"/>
      <w:ind w:left="-720"/>
      <w:jc w:val="left"/>
    </w:pPr>
    <w:rPr>
      <w:color w:val="000000"/>
      <w:szCs w:val="20"/>
      <w:lang w:eastAsia="es-ES_tradnl"/>
    </w:rPr>
  </w:style>
  <w:style w:type="paragraph" w:customStyle="1" w:styleId="A">
    <w:name w:val="A"/>
    <w:basedOn w:val="Normal"/>
    <w:rsid w:val="00C6746E"/>
    <w:pPr>
      <w:tabs>
        <w:tab w:val="num" w:pos="360"/>
      </w:tabs>
      <w:spacing w:after="100"/>
    </w:pPr>
    <w:rPr>
      <w:rFonts w:ascii="Times New Roman" w:eastAsia="Times New Roman" w:hAnsi="Times New Roman"/>
      <w:sz w:val="22"/>
      <w:szCs w:val="22"/>
    </w:rPr>
  </w:style>
  <w:style w:type="character" w:customStyle="1" w:styleId="notranslate">
    <w:name w:val="notranslate"/>
    <w:basedOn w:val="DefaultParagraphFont"/>
    <w:rsid w:val="00C6746E"/>
  </w:style>
  <w:style w:type="character" w:customStyle="1" w:styleId="Caracteresdenotaalpie">
    <w:name w:val="Caracteres de nota al pie"/>
    <w:rsid w:val="00C6746E"/>
  </w:style>
  <w:style w:type="character" w:customStyle="1" w:styleId="Mencinsinresolver1">
    <w:name w:val="Mención sin resolver1"/>
    <w:basedOn w:val="DefaultParagraphFont"/>
    <w:uiPriority w:val="99"/>
    <w:semiHidden/>
    <w:unhideWhenUsed/>
    <w:rsid w:val="00C6746E"/>
    <w:rPr>
      <w:color w:val="605E5C"/>
      <w:shd w:val="clear" w:color="auto" w:fill="E1DFDD"/>
    </w:rPr>
  </w:style>
  <w:style w:type="paragraph" w:styleId="TOC4">
    <w:name w:val="toc 4"/>
    <w:basedOn w:val="Normal"/>
    <w:next w:val="Normal"/>
    <w:autoRedefine/>
    <w:uiPriority w:val="39"/>
    <w:unhideWhenUsed/>
    <w:rsid w:val="00C6746E"/>
    <w:pPr>
      <w:spacing w:after="100" w:line="259" w:lineRule="auto"/>
      <w:ind w:left="660"/>
      <w:jc w:val="left"/>
    </w:pPr>
    <w:rPr>
      <w:rFonts w:asciiTheme="minorHAnsi" w:eastAsiaTheme="minorHAnsi" w:hAnsiTheme="minorHAnsi" w:cstheme="minorBidi"/>
      <w:sz w:val="22"/>
      <w:szCs w:val="22"/>
      <w:lang w:val="es-AR"/>
    </w:rPr>
  </w:style>
  <w:style w:type="character" w:customStyle="1" w:styleId="texto">
    <w:name w:val="texto"/>
    <w:basedOn w:val="DefaultParagraphFont"/>
    <w:rsid w:val="00C6746E"/>
  </w:style>
  <w:style w:type="paragraph" w:customStyle="1" w:styleId="ft1084">
    <w:name w:val="ft1084"/>
    <w:basedOn w:val="Normal"/>
    <w:rsid w:val="00C6746E"/>
    <w:pPr>
      <w:spacing w:before="100" w:beforeAutospacing="1" w:after="100" w:afterAutospacing="1"/>
      <w:jc w:val="left"/>
    </w:pPr>
    <w:rPr>
      <w:rFonts w:ascii="Times New Roman" w:eastAsia="Times New Roman" w:hAnsi="Times New Roman"/>
      <w:sz w:val="24"/>
      <w:lang w:val="es-US" w:eastAsia="es-US"/>
    </w:rPr>
  </w:style>
  <w:style w:type="paragraph" w:customStyle="1" w:styleId="m-1502376635102121185msolistparagraph">
    <w:name w:val="m_-1502376635102121185msolistparagraph"/>
    <w:basedOn w:val="Normal"/>
    <w:rsid w:val="00C6746E"/>
    <w:pPr>
      <w:spacing w:before="100" w:beforeAutospacing="1" w:after="100" w:afterAutospacing="1"/>
      <w:jc w:val="left"/>
    </w:pPr>
    <w:rPr>
      <w:rFonts w:ascii="Times New Roman" w:eastAsia="Times New Roman" w:hAnsi="Times New Roman"/>
      <w:sz w:val="24"/>
      <w:lang w:val="es-US" w:eastAsia="es-US"/>
    </w:rPr>
  </w:style>
  <w:style w:type="paragraph" w:styleId="TOC5">
    <w:name w:val="toc 5"/>
    <w:basedOn w:val="Normal"/>
    <w:next w:val="Normal"/>
    <w:autoRedefine/>
    <w:uiPriority w:val="39"/>
    <w:unhideWhenUsed/>
    <w:rsid w:val="00C6746E"/>
    <w:pPr>
      <w:spacing w:after="100" w:line="259" w:lineRule="auto"/>
      <w:ind w:left="880"/>
      <w:jc w:val="left"/>
    </w:pPr>
    <w:rPr>
      <w:rFonts w:asciiTheme="minorHAnsi" w:eastAsiaTheme="minorHAnsi" w:hAnsiTheme="minorHAnsi" w:cstheme="minorBidi"/>
      <w:sz w:val="22"/>
      <w:szCs w:val="22"/>
      <w:lang w:val="es-AR"/>
    </w:rPr>
  </w:style>
  <w:style w:type="numbering" w:customStyle="1" w:styleId="NoList1">
    <w:name w:val="No List1"/>
    <w:next w:val="NoList"/>
    <w:uiPriority w:val="99"/>
    <w:semiHidden/>
    <w:unhideWhenUsed/>
    <w:rsid w:val="00D46B62"/>
  </w:style>
  <w:style w:type="character" w:customStyle="1" w:styleId="TextonotapieCar1">
    <w:name w:val="Texto nota pie Car1"/>
    <w:basedOn w:val="DefaultParagraphFont"/>
    <w:uiPriority w:val="99"/>
    <w:semiHidden/>
    <w:rsid w:val="00D46B62"/>
    <w:rPr>
      <w:sz w:val="20"/>
      <w:szCs w:val="20"/>
      <w:lang w:val="es-AR"/>
    </w:rPr>
  </w:style>
  <w:style w:type="table" w:customStyle="1" w:styleId="TableGrid4">
    <w:name w:val="Table Grid4"/>
    <w:basedOn w:val="TableNormal"/>
    <w:next w:val="TableGrid"/>
    <w:uiPriority w:val="39"/>
    <w:rsid w:val="00D46B62"/>
    <w:rPr>
      <w:rFonts w:eastAsia="Calibri"/>
      <w:sz w:val="22"/>
      <w:szCs w:val="22"/>
      <w:lang w:val="en-GB"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seditboxdisponly">
    <w:name w:val="pseditbox_disponly"/>
    <w:rsid w:val="00F72A49"/>
  </w:style>
  <w:style w:type="paragraph" w:customStyle="1" w:styleId="Predeterminado">
    <w:name w:val="Predeterminado"/>
    <w:rsid w:val="00F72A49"/>
    <w:pPr>
      <w:tabs>
        <w:tab w:val="left" w:pos="708"/>
      </w:tabs>
      <w:suppressAutoHyphens/>
      <w:spacing w:after="200" w:line="276" w:lineRule="auto"/>
    </w:pPr>
    <w:rPr>
      <w:rFonts w:ascii="Myriad Pro" w:eastAsia="Times New Roman" w:hAnsi="Myriad Pro" w:cs="Myriad Pro"/>
      <w:color w:val="00000A"/>
      <w:sz w:val="22"/>
      <w:szCs w:val="24"/>
      <w:lang w:val="es-ES" w:eastAsia="zh-CN"/>
    </w:rPr>
  </w:style>
  <w:style w:type="paragraph" w:customStyle="1" w:styleId="Cuadrculaclara-nfasis31">
    <w:name w:val="Cuadrícula clara - Énfasis 31"/>
    <w:basedOn w:val="Normal"/>
    <w:uiPriority w:val="34"/>
    <w:qFormat/>
    <w:rsid w:val="00494980"/>
    <w:pPr>
      <w:spacing w:after="0"/>
      <w:ind w:left="720"/>
      <w:contextualSpacing/>
      <w:jc w:val="left"/>
    </w:pPr>
    <w:rPr>
      <w:rFonts w:eastAsia="MS Mincho"/>
      <w:lang w:eastAsia="ja-JP"/>
    </w:rPr>
  </w:style>
  <w:style w:type="paragraph" w:customStyle="1" w:styleId="SESPbodynumbered">
    <w:name w:val="SESP body numbered"/>
    <w:basedOn w:val="Normal"/>
    <w:qFormat/>
    <w:rsid w:val="00494980"/>
    <w:pPr>
      <w:numPr>
        <w:numId w:val="75"/>
      </w:numPr>
      <w:tabs>
        <w:tab w:val="left" w:pos="360"/>
      </w:tabs>
      <w:spacing w:before="120" w:after="120" w:line="264" w:lineRule="auto"/>
      <w:jc w:val="left"/>
    </w:pPr>
    <w:rPr>
      <w:rFonts w:eastAsia="MS Mincho"/>
      <w:szCs w:val="20"/>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6856924">
      <w:bodyDiv w:val="1"/>
      <w:marLeft w:val="0"/>
      <w:marRight w:val="0"/>
      <w:marTop w:val="0"/>
      <w:marBottom w:val="0"/>
      <w:divBdr>
        <w:top w:val="none" w:sz="0" w:space="0" w:color="auto"/>
        <w:left w:val="none" w:sz="0" w:space="0" w:color="auto"/>
        <w:bottom w:val="none" w:sz="0" w:space="0" w:color="auto"/>
        <w:right w:val="none" w:sz="0" w:space="0" w:color="auto"/>
      </w:divBdr>
      <w:divsChild>
        <w:div w:id="495462973">
          <w:marLeft w:val="0"/>
          <w:marRight w:val="0"/>
          <w:marTop w:val="0"/>
          <w:marBottom w:val="0"/>
          <w:divBdr>
            <w:top w:val="none" w:sz="0" w:space="0" w:color="auto"/>
            <w:left w:val="none" w:sz="0" w:space="0" w:color="auto"/>
            <w:bottom w:val="none" w:sz="0" w:space="0" w:color="auto"/>
            <w:right w:val="none" w:sz="0" w:space="0" w:color="auto"/>
          </w:divBdr>
          <w:divsChild>
            <w:div w:id="1617977638">
              <w:marLeft w:val="0"/>
              <w:marRight w:val="0"/>
              <w:marTop w:val="0"/>
              <w:marBottom w:val="0"/>
              <w:divBdr>
                <w:top w:val="none" w:sz="0" w:space="0" w:color="auto"/>
                <w:left w:val="none" w:sz="0" w:space="0" w:color="auto"/>
                <w:bottom w:val="none" w:sz="0" w:space="0" w:color="auto"/>
                <w:right w:val="none" w:sz="0" w:space="0" w:color="auto"/>
              </w:divBdr>
              <w:divsChild>
                <w:div w:id="475143182">
                  <w:marLeft w:val="0"/>
                  <w:marRight w:val="0"/>
                  <w:marTop w:val="0"/>
                  <w:marBottom w:val="0"/>
                  <w:divBdr>
                    <w:top w:val="none" w:sz="0" w:space="0" w:color="auto"/>
                    <w:left w:val="none" w:sz="0" w:space="0" w:color="auto"/>
                    <w:bottom w:val="none" w:sz="0" w:space="0" w:color="auto"/>
                    <w:right w:val="none" w:sz="0" w:space="0" w:color="auto"/>
                  </w:divBdr>
                  <w:divsChild>
                    <w:div w:id="906380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44985366">
      <w:bodyDiv w:val="1"/>
      <w:marLeft w:val="0"/>
      <w:marRight w:val="0"/>
      <w:marTop w:val="0"/>
      <w:marBottom w:val="0"/>
      <w:divBdr>
        <w:top w:val="none" w:sz="0" w:space="0" w:color="auto"/>
        <w:left w:val="none" w:sz="0" w:space="0" w:color="auto"/>
        <w:bottom w:val="none" w:sz="0" w:space="0" w:color="auto"/>
        <w:right w:val="none" w:sz="0" w:space="0" w:color="auto"/>
      </w:divBdr>
      <w:divsChild>
        <w:div w:id="934746227">
          <w:marLeft w:val="0"/>
          <w:marRight w:val="0"/>
          <w:marTop w:val="0"/>
          <w:marBottom w:val="0"/>
          <w:divBdr>
            <w:top w:val="none" w:sz="0" w:space="0" w:color="auto"/>
            <w:left w:val="none" w:sz="0" w:space="0" w:color="auto"/>
            <w:bottom w:val="none" w:sz="0" w:space="0" w:color="auto"/>
            <w:right w:val="none" w:sz="0" w:space="0" w:color="auto"/>
          </w:divBdr>
          <w:divsChild>
            <w:div w:id="1784837657">
              <w:marLeft w:val="0"/>
              <w:marRight w:val="0"/>
              <w:marTop w:val="0"/>
              <w:marBottom w:val="0"/>
              <w:divBdr>
                <w:top w:val="none" w:sz="0" w:space="0" w:color="auto"/>
                <w:left w:val="none" w:sz="0" w:space="0" w:color="auto"/>
                <w:bottom w:val="none" w:sz="0" w:space="0" w:color="auto"/>
                <w:right w:val="none" w:sz="0" w:space="0" w:color="auto"/>
              </w:divBdr>
              <w:divsChild>
                <w:div w:id="1440640427">
                  <w:marLeft w:val="0"/>
                  <w:marRight w:val="0"/>
                  <w:marTop w:val="0"/>
                  <w:marBottom w:val="0"/>
                  <w:divBdr>
                    <w:top w:val="none" w:sz="0" w:space="0" w:color="auto"/>
                    <w:left w:val="none" w:sz="0" w:space="0" w:color="auto"/>
                    <w:bottom w:val="none" w:sz="0" w:space="0" w:color="auto"/>
                    <w:right w:val="none" w:sz="0" w:space="0" w:color="auto"/>
                  </w:divBdr>
                  <w:divsChild>
                    <w:div w:id="861817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82651288">
      <w:bodyDiv w:val="1"/>
      <w:marLeft w:val="0"/>
      <w:marRight w:val="0"/>
      <w:marTop w:val="0"/>
      <w:marBottom w:val="0"/>
      <w:divBdr>
        <w:top w:val="none" w:sz="0" w:space="0" w:color="auto"/>
        <w:left w:val="none" w:sz="0" w:space="0" w:color="auto"/>
        <w:bottom w:val="none" w:sz="0" w:space="0" w:color="auto"/>
        <w:right w:val="none" w:sz="0" w:space="0" w:color="auto"/>
      </w:divBdr>
      <w:divsChild>
        <w:div w:id="381058337">
          <w:marLeft w:val="0"/>
          <w:marRight w:val="0"/>
          <w:marTop w:val="0"/>
          <w:marBottom w:val="0"/>
          <w:divBdr>
            <w:top w:val="none" w:sz="0" w:space="0" w:color="auto"/>
            <w:left w:val="none" w:sz="0" w:space="0" w:color="auto"/>
            <w:bottom w:val="none" w:sz="0" w:space="0" w:color="auto"/>
            <w:right w:val="none" w:sz="0" w:space="0" w:color="auto"/>
          </w:divBdr>
          <w:divsChild>
            <w:div w:id="528295929">
              <w:marLeft w:val="0"/>
              <w:marRight w:val="0"/>
              <w:marTop w:val="0"/>
              <w:marBottom w:val="0"/>
              <w:divBdr>
                <w:top w:val="none" w:sz="0" w:space="0" w:color="auto"/>
                <w:left w:val="none" w:sz="0" w:space="0" w:color="auto"/>
                <w:bottom w:val="none" w:sz="0" w:space="0" w:color="auto"/>
                <w:right w:val="none" w:sz="0" w:space="0" w:color="auto"/>
              </w:divBdr>
              <w:divsChild>
                <w:div w:id="895504344">
                  <w:marLeft w:val="0"/>
                  <w:marRight w:val="0"/>
                  <w:marTop w:val="0"/>
                  <w:marBottom w:val="0"/>
                  <w:divBdr>
                    <w:top w:val="none" w:sz="0" w:space="0" w:color="auto"/>
                    <w:left w:val="none" w:sz="0" w:space="0" w:color="auto"/>
                    <w:bottom w:val="none" w:sz="0" w:space="0" w:color="auto"/>
                    <w:right w:val="none" w:sz="0" w:space="0" w:color="auto"/>
                  </w:divBdr>
                  <w:divsChild>
                    <w:div w:id="184123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28715">
      <w:bodyDiv w:val="1"/>
      <w:marLeft w:val="0"/>
      <w:marRight w:val="0"/>
      <w:marTop w:val="0"/>
      <w:marBottom w:val="0"/>
      <w:divBdr>
        <w:top w:val="none" w:sz="0" w:space="0" w:color="auto"/>
        <w:left w:val="none" w:sz="0" w:space="0" w:color="auto"/>
        <w:bottom w:val="none" w:sz="0" w:space="0" w:color="auto"/>
        <w:right w:val="none" w:sz="0" w:space="0" w:color="auto"/>
      </w:divBdr>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6848527">
      <w:bodyDiv w:val="1"/>
      <w:marLeft w:val="0"/>
      <w:marRight w:val="0"/>
      <w:marTop w:val="0"/>
      <w:marBottom w:val="0"/>
      <w:divBdr>
        <w:top w:val="none" w:sz="0" w:space="0" w:color="auto"/>
        <w:left w:val="none" w:sz="0" w:space="0" w:color="auto"/>
        <w:bottom w:val="none" w:sz="0" w:space="0" w:color="auto"/>
        <w:right w:val="none" w:sz="0" w:space="0" w:color="auto"/>
      </w:divBdr>
      <w:divsChild>
        <w:div w:id="785974059">
          <w:marLeft w:val="0"/>
          <w:marRight w:val="0"/>
          <w:marTop w:val="0"/>
          <w:marBottom w:val="0"/>
          <w:divBdr>
            <w:top w:val="none" w:sz="0" w:space="0" w:color="auto"/>
            <w:left w:val="none" w:sz="0" w:space="0" w:color="auto"/>
            <w:bottom w:val="none" w:sz="0" w:space="0" w:color="auto"/>
            <w:right w:val="none" w:sz="0" w:space="0" w:color="auto"/>
          </w:divBdr>
          <w:divsChild>
            <w:div w:id="146484098">
              <w:marLeft w:val="0"/>
              <w:marRight w:val="0"/>
              <w:marTop w:val="0"/>
              <w:marBottom w:val="0"/>
              <w:divBdr>
                <w:top w:val="none" w:sz="0" w:space="0" w:color="auto"/>
                <w:left w:val="none" w:sz="0" w:space="0" w:color="auto"/>
                <w:bottom w:val="none" w:sz="0" w:space="0" w:color="auto"/>
                <w:right w:val="none" w:sz="0" w:space="0" w:color="auto"/>
              </w:divBdr>
              <w:divsChild>
                <w:div w:id="1865291364">
                  <w:marLeft w:val="0"/>
                  <w:marRight w:val="0"/>
                  <w:marTop w:val="0"/>
                  <w:marBottom w:val="0"/>
                  <w:divBdr>
                    <w:top w:val="none" w:sz="0" w:space="0" w:color="auto"/>
                    <w:left w:val="none" w:sz="0" w:space="0" w:color="auto"/>
                    <w:bottom w:val="none" w:sz="0" w:space="0" w:color="auto"/>
                    <w:right w:val="none" w:sz="0" w:space="0" w:color="auto"/>
                  </w:divBdr>
                  <w:divsChild>
                    <w:div w:id="159127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65364373">
      <w:bodyDiv w:val="1"/>
      <w:marLeft w:val="0"/>
      <w:marRight w:val="0"/>
      <w:marTop w:val="0"/>
      <w:marBottom w:val="0"/>
      <w:divBdr>
        <w:top w:val="none" w:sz="0" w:space="0" w:color="auto"/>
        <w:left w:val="none" w:sz="0" w:space="0" w:color="auto"/>
        <w:bottom w:val="none" w:sz="0" w:space="0" w:color="auto"/>
        <w:right w:val="none" w:sz="0" w:space="0" w:color="auto"/>
      </w:divBdr>
      <w:divsChild>
        <w:div w:id="303508700">
          <w:marLeft w:val="0"/>
          <w:marRight w:val="0"/>
          <w:marTop w:val="0"/>
          <w:marBottom w:val="0"/>
          <w:divBdr>
            <w:top w:val="none" w:sz="0" w:space="0" w:color="auto"/>
            <w:left w:val="none" w:sz="0" w:space="0" w:color="auto"/>
            <w:bottom w:val="none" w:sz="0" w:space="0" w:color="auto"/>
            <w:right w:val="none" w:sz="0" w:space="0" w:color="auto"/>
          </w:divBdr>
          <w:divsChild>
            <w:div w:id="34014719">
              <w:marLeft w:val="0"/>
              <w:marRight w:val="0"/>
              <w:marTop w:val="0"/>
              <w:marBottom w:val="0"/>
              <w:divBdr>
                <w:top w:val="none" w:sz="0" w:space="0" w:color="auto"/>
                <w:left w:val="none" w:sz="0" w:space="0" w:color="auto"/>
                <w:bottom w:val="none" w:sz="0" w:space="0" w:color="auto"/>
                <w:right w:val="none" w:sz="0" w:space="0" w:color="auto"/>
              </w:divBdr>
              <w:divsChild>
                <w:div w:id="645821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22892">
      <w:bodyDiv w:val="1"/>
      <w:marLeft w:val="0"/>
      <w:marRight w:val="0"/>
      <w:marTop w:val="0"/>
      <w:marBottom w:val="0"/>
      <w:divBdr>
        <w:top w:val="none" w:sz="0" w:space="0" w:color="auto"/>
        <w:left w:val="none" w:sz="0" w:space="0" w:color="auto"/>
        <w:bottom w:val="none" w:sz="0" w:space="0" w:color="auto"/>
        <w:right w:val="none" w:sz="0" w:space="0" w:color="auto"/>
      </w:divBdr>
      <w:divsChild>
        <w:div w:id="216938623">
          <w:marLeft w:val="0"/>
          <w:marRight w:val="0"/>
          <w:marTop w:val="0"/>
          <w:marBottom w:val="0"/>
          <w:divBdr>
            <w:top w:val="none" w:sz="0" w:space="0" w:color="auto"/>
            <w:left w:val="none" w:sz="0" w:space="0" w:color="auto"/>
            <w:bottom w:val="none" w:sz="0" w:space="0" w:color="auto"/>
            <w:right w:val="none" w:sz="0" w:space="0" w:color="auto"/>
          </w:divBdr>
          <w:divsChild>
            <w:div w:id="2117217026">
              <w:marLeft w:val="0"/>
              <w:marRight w:val="0"/>
              <w:marTop w:val="0"/>
              <w:marBottom w:val="0"/>
              <w:divBdr>
                <w:top w:val="none" w:sz="0" w:space="0" w:color="auto"/>
                <w:left w:val="none" w:sz="0" w:space="0" w:color="auto"/>
                <w:bottom w:val="none" w:sz="0" w:space="0" w:color="auto"/>
                <w:right w:val="none" w:sz="0" w:space="0" w:color="auto"/>
              </w:divBdr>
              <w:divsChild>
                <w:div w:id="192156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99680">
      <w:bodyDiv w:val="1"/>
      <w:marLeft w:val="0"/>
      <w:marRight w:val="0"/>
      <w:marTop w:val="0"/>
      <w:marBottom w:val="0"/>
      <w:divBdr>
        <w:top w:val="none" w:sz="0" w:space="0" w:color="auto"/>
        <w:left w:val="none" w:sz="0" w:space="0" w:color="auto"/>
        <w:bottom w:val="none" w:sz="0" w:space="0" w:color="auto"/>
        <w:right w:val="none" w:sz="0" w:space="0" w:color="auto"/>
      </w:divBdr>
      <w:divsChild>
        <w:div w:id="928658806">
          <w:marLeft w:val="0"/>
          <w:marRight w:val="0"/>
          <w:marTop w:val="0"/>
          <w:marBottom w:val="0"/>
          <w:divBdr>
            <w:top w:val="none" w:sz="0" w:space="0" w:color="auto"/>
            <w:left w:val="none" w:sz="0" w:space="0" w:color="auto"/>
            <w:bottom w:val="none" w:sz="0" w:space="0" w:color="auto"/>
            <w:right w:val="none" w:sz="0" w:space="0" w:color="auto"/>
          </w:divBdr>
          <w:divsChild>
            <w:div w:id="882600375">
              <w:marLeft w:val="0"/>
              <w:marRight w:val="0"/>
              <w:marTop w:val="0"/>
              <w:marBottom w:val="0"/>
              <w:divBdr>
                <w:top w:val="none" w:sz="0" w:space="0" w:color="auto"/>
                <w:left w:val="none" w:sz="0" w:space="0" w:color="auto"/>
                <w:bottom w:val="none" w:sz="0" w:space="0" w:color="auto"/>
                <w:right w:val="none" w:sz="0" w:space="0" w:color="auto"/>
              </w:divBdr>
              <w:divsChild>
                <w:div w:id="143551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7297894">
      <w:bodyDiv w:val="1"/>
      <w:marLeft w:val="0"/>
      <w:marRight w:val="0"/>
      <w:marTop w:val="0"/>
      <w:marBottom w:val="0"/>
      <w:divBdr>
        <w:top w:val="none" w:sz="0" w:space="0" w:color="auto"/>
        <w:left w:val="none" w:sz="0" w:space="0" w:color="auto"/>
        <w:bottom w:val="none" w:sz="0" w:space="0" w:color="auto"/>
        <w:right w:val="none" w:sz="0" w:space="0" w:color="auto"/>
      </w:divBdr>
      <w:divsChild>
        <w:div w:id="206451909">
          <w:marLeft w:val="0"/>
          <w:marRight w:val="0"/>
          <w:marTop w:val="0"/>
          <w:marBottom w:val="0"/>
          <w:divBdr>
            <w:top w:val="none" w:sz="0" w:space="0" w:color="auto"/>
            <w:left w:val="none" w:sz="0" w:space="0" w:color="auto"/>
            <w:bottom w:val="none" w:sz="0" w:space="0" w:color="auto"/>
            <w:right w:val="none" w:sz="0" w:space="0" w:color="auto"/>
          </w:divBdr>
          <w:divsChild>
            <w:div w:id="1194154851">
              <w:marLeft w:val="0"/>
              <w:marRight w:val="0"/>
              <w:marTop w:val="0"/>
              <w:marBottom w:val="0"/>
              <w:divBdr>
                <w:top w:val="none" w:sz="0" w:space="0" w:color="auto"/>
                <w:left w:val="none" w:sz="0" w:space="0" w:color="auto"/>
                <w:bottom w:val="none" w:sz="0" w:space="0" w:color="auto"/>
                <w:right w:val="none" w:sz="0" w:space="0" w:color="auto"/>
              </w:divBdr>
              <w:divsChild>
                <w:div w:id="1395008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288097435">
      <w:bodyDiv w:val="1"/>
      <w:marLeft w:val="0"/>
      <w:marRight w:val="0"/>
      <w:marTop w:val="0"/>
      <w:marBottom w:val="0"/>
      <w:divBdr>
        <w:top w:val="none" w:sz="0" w:space="0" w:color="auto"/>
        <w:left w:val="none" w:sz="0" w:space="0" w:color="auto"/>
        <w:bottom w:val="none" w:sz="0" w:space="0" w:color="auto"/>
        <w:right w:val="none" w:sz="0" w:space="0" w:color="auto"/>
      </w:divBdr>
      <w:divsChild>
        <w:div w:id="929969610">
          <w:marLeft w:val="0"/>
          <w:marRight w:val="0"/>
          <w:marTop w:val="0"/>
          <w:marBottom w:val="0"/>
          <w:divBdr>
            <w:top w:val="none" w:sz="0" w:space="0" w:color="auto"/>
            <w:left w:val="none" w:sz="0" w:space="0" w:color="auto"/>
            <w:bottom w:val="none" w:sz="0" w:space="0" w:color="auto"/>
            <w:right w:val="none" w:sz="0" w:space="0" w:color="auto"/>
          </w:divBdr>
          <w:divsChild>
            <w:div w:id="1713456678">
              <w:marLeft w:val="0"/>
              <w:marRight w:val="0"/>
              <w:marTop w:val="0"/>
              <w:marBottom w:val="0"/>
              <w:divBdr>
                <w:top w:val="none" w:sz="0" w:space="0" w:color="auto"/>
                <w:left w:val="none" w:sz="0" w:space="0" w:color="auto"/>
                <w:bottom w:val="none" w:sz="0" w:space="0" w:color="auto"/>
                <w:right w:val="none" w:sz="0" w:space="0" w:color="auto"/>
              </w:divBdr>
              <w:divsChild>
                <w:div w:id="1733384061">
                  <w:marLeft w:val="0"/>
                  <w:marRight w:val="0"/>
                  <w:marTop w:val="0"/>
                  <w:marBottom w:val="0"/>
                  <w:divBdr>
                    <w:top w:val="none" w:sz="0" w:space="0" w:color="auto"/>
                    <w:left w:val="none" w:sz="0" w:space="0" w:color="auto"/>
                    <w:bottom w:val="none" w:sz="0" w:space="0" w:color="auto"/>
                    <w:right w:val="none" w:sz="0" w:space="0" w:color="auto"/>
                  </w:divBdr>
                  <w:divsChild>
                    <w:div w:id="1601404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2129825">
      <w:bodyDiv w:val="1"/>
      <w:marLeft w:val="0"/>
      <w:marRight w:val="0"/>
      <w:marTop w:val="0"/>
      <w:marBottom w:val="0"/>
      <w:divBdr>
        <w:top w:val="none" w:sz="0" w:space="0" w:color="auto"/>
        <w:left w:val="none" w:sz="0" w:space="0" w:color="auto"/>
        <w:bottom w:val="none" w:sz="0" w:space="0" w:color="auto"/>
        <w:right w:val="none" w:sz="0" w:space="0" w:color="auto"/>
      </w:divBdr>
      <w:divsChild>
        <w:div w:id="333649747">
          <w:marLeft w:val="0"/>
          <w:marRight w:val="0"/>
          <w:marTop w:val="0"/>
          <w:marBottom w:val="0"/>
          <w:divBdr>
            <w:top w:val="none" w:sz="0" w:space="0" w:color="auto"/>
            <w:left w:val="none" w:sz="0" w:space="0" w:color="auto"/>
            <w:bottom w:val="none" w:sz="0" w:space="0" w:color="auto"/>
            <w:right w:val="none" w:sz="0" w:space="0" w:color="auto"/>
          </w:divBdr>
          <w:divsChild>
            <w:div w:id="1430588852">
              <w:marLeft w:val="0"/>
              <w:marRight w:val="0"/>
              <w:marTop w:val="0"/>
              <w:marBottom w:val="0"/>
              <w:divBdr>
                <w:top w:val="none" w:sz="0" w:space="0" w:color="auto"/>
                <w:left w:val="none" w:sz="0" w:space="0" w:color="auto"/>
                <w:bottom w:val="none" w:sz="0" w:space="0" w:color="auto"/>
                <w:right w:val="none" w:sz="0" w:space="0" w:color="auto"/>
              </w:divBdr>
              <w:divsChild>
                <w:div w:id="1772429373">
                  <w:marLeft w:val="0"/>
                  <w:marRight w:val="0"/>
                  <w:marTop w:val="0"/>
                  <w:marBottom w:val="0"/>
                  <w:divBdr>
                    <w:top w:val="none" w:sz="0" w:space="0" w:color="auto"/>
                    <w:left w:val="none" w:sz="0" w:space="0" w:color="auto"/>
                    <w:bottom w:val="none" w:sz="0" w:space="0" w:color="auto"/>
                    <w:right w:val="none" w:sz="0" w:space="0" w:color="auto"/>
                  </w:divBdr>
                </w:div>
              </w:divsChild>
            </w:div>
            <w:div w:id="2073194257">
              <w:marLeft w:val="0"/>
              <w:marRight w:val="0"/>
              <w:marTop w:val="0"/>
              <w:marBottom w:val="0"/>
              <w:divBdr>
                <w:top w:val="none" w:sz="0" w:space="0" w:color="auto"/>
                <w:left w:val="none" w:sz="0" w:space="0" w:color="auto"/>
                <w:bottom w:val="none" w:sz="0" w:space="0" w:color="auto"/>
                <w:right w:val="none" w:sz="0" w:space="0" w:color="auto"/>
              </w:divBdr>
              <w:divsChild>
                <w:div w:id="1144852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529618">
          <w:marLeft w:val="0"/>
          <w:marRight w:val="0"/>
          <w:marTop w:val="0"/>
          <w:marBottom w:val="0"/>
          <w:divBdr>
            <w:top w:val="none" w:sz="0" w:space="0" w:color="auto"/>
            <w:left w:val="none" w:sz="0" w:space="0" w:color="auto"/>
            <w:bottom w:val="none" w:sz="0" w:space="0" w:color="auto"/>
            <w:right w:val="none" w:sz="0" w:space="0" w:color="auto"/>
          </w:divBdr>
          <w:divsChild>
            <w:div w:id="505100273">
              <w:marLeft w:val="0"/>
              <w:marRight w:val="0"/>
              <w:marTop w:val="0"/>
              <w:marBottom w:val="0"/>
              <w:divBdr>
                <w:top w:val="none" w:sz="0" w:space="0" w:color="auto"/>
                <w:left w:val="none" w:sz="0" w:space="0" w:color="auto"/>
                <w:bottom w:val="none" w:sz="0" w:space="0" w:color="auto"/>
                <w:right w:val="none" w:sz="0" w:space="0" w:color="auto"/>
              </w:divBdr>
              <w:divsChild>
                <w:div w:id="1742752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8852952">
      <w:bodyDiv w:val="1"/>
      <w:marLeft w:val="0"/>
      <w:marRight w:val="0"/>
      <w:marTop w:val="0"/>
      <w:marBottom w:val="0"/>
      <w:divBdr>
        <w:top w:val="none" w:sz="0" w:space="0" w:color="auto"/>
        <w:left w:val="none" w:sz="0" w:space="0" w:color="auto"/>
        <w:bottom w:val="none" w:sz="0" w:space="0" w:color="auto"/>
        <w:right w:val="none" w:sz="0" w:space="0" w:color="auto"/>
      </w:divBdr>
      <w:divsChild>
        <w:div w:id="1120028798">
          <w:marLeft w:val="0"/>
          <w:marRight w:val="0"/>
          <w:marTop w:val="0"/>
          <w:marBottom w:val="0"/>
          <w:divBdr>
            <w:top w:val="none" w:sz="0" w:space="0" w:color="auto"/>
            <w:left w:val="none" w:sz="0" w:space="0" w:color="auto"/>
            <w:bottom w:val="none" w:sz="0" w:space="0" w:color="auto"/>
            <w:right w:val="none" w:sz="0" w:space="0" w:color="auto"/>
          </w:divBdr>
          <w:divsChild>
            <w:div w:id="1082801355">
              <w:marLeft w:val="0"/>
              <w:marRight w:val="0"/>
              <w:marTop w:val="0"/>
              <w:marBottom w:val="0"/>
              <w:divBdr>
                <w:top w:val="none" w:sz="0" w:space="0" w:color="auto"/>
                <w:left w:val="none" w:sz="0" w:space="0" w:color="auto"/>
                <w:bottom w:val="none" w:sz="0" w:space="0" w:color="auto"/>
                <w:right w:val="none" w:sz="0" w:space="0" w:color="auto"/>
              </w:divBdr>
              <w:divsChild>
                <w:div w:id="1325084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579606">
      <w:bodyDiv w:val="1"/>
      <w:marLeft w:val="0"/>
      <w:marRight w:val="0"/>
      <w:marTop w:val="0"/>
      <w:marBottom w:val="0"/>
      <w:divBdr>
        <w:top w:val="none" w:sz="0" w:space="0" w:color="auto"/>
        <w:left w:val="none" w:sz="0" w:space="0" w:color="auto"/>
        <w:bottom w:val="none" w:sz="0" w:space="0" w:color="auto"/>
        <w:right w:val="none" w:sz="0" w:space="0" w:color="auto"/>
      </w:divBdr>
      <w:divsChild>
        <w:div w:id="1347639339">
          <w:marLeft w:val="0"/>
          <w:marRight w:val="0"/>
          <w:marTop w:val="0"/>
          <w:marBottom w:val="0"/>
          <w:divBdr>
            <w:top w:val="none" w:sz="0" w:space="0" w:color="auto"/>
            <w:left w:val="none" w:sz="0" w:space="0" w:color="auto"/>
            <w:bottom w:val="none" w:sz="0" w:space="0" w:color="auto"/>
            <w:right w:val="none" w:sz="0" w:space="0" w:color="auto"/>
          </w:divBdr>
          <w:divsChild>
            <w:div w:id="1697534543">
              <w:marLeft w:val="0"/>
              <w:marRight w:val="0"/>
              <w:marTop w:val="0"/>
              <w:marBottom w:val="0"/>
              <w:divBdr>
                <w:top w:val="none" w:sz="0" w:space="0" w:color="auto"/>
                <w:left w:val="none" w:sz="0" w:space="0" w:color="auto"/>
                <w:bottom w:val="none" w:sz="0" w:space="0" w:color="auto"/>
                <w:right w:val="none" w:sz="0" w:space="0" w:color="auto"/>
              </w:divBdr>
              <w:divsChild>
                <w:div w:id="893467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374693965">
      <w:bodyDiv w:val="1"/>
      <w:marLeft w:val="0"/>
      <w:marRight w:val="0"/>
      <w:marTop w:val="0"/>
      <w:marBottom w:val="0"/>
      <w:divBdr>
        <w:top w:val="none" w:sz="0" w:space="0" w:color="auto"/>
        <w:left w:val="none" w:sz="0" w:space="0" w:color="auto"/>
        <w:bottom w:val="none" w:sz="0" w:space="0" w:color="auto"/>
        <w:right w:val="none" w:sz="0" w:space="0" w:color="auto"/>
      </w:divBdr>
      <w:divsChild>
        <w:div w:id="1425953835">
          <w:marLeft w:val="0"/>
          <w:marRight w:val="0"/>
          <w:marTop w:val="0"/>
          <w:marBottom w:val="0"/>
          <w:divBdr>
            <w:top w:val="none" w:sz="0" w:space="0" w:color="auto"/>
            <w:left w:val="none" w:sz="0" w:space="0" w:color="auto"/>
            <w:bottom w:val="none" w:sz="0" w:space="0" w:color="auto"/>
            <w:right w:val="none" w:sz="0" w:space="0" w:color="auto"/>
          </w:divBdr>
          <w:divsChild>
            <w:div w:id="345137324">
              <w:marLeft w:val="0"/>
              <w:marRight w:val="0"/>
              <w:marTop w:val="0"/>
              <w:marBottom w:val="0"/>
              <w:divBdr>
                <w:top w:val="none" w:sz="0" w:space="0" w:color="auto"/>
                <w:left w:val="none" w:sz="0" w:space="0" w:color="auto"/>
                <w:bottom w:val="none" w:sz="0" w:space="0" w:color="auto"/>
                <w:right w:val="none" w:sz="0" w:space="0" w:color="auto"/>
              </w:divBdr>
              <w:divsChild>
                <w:div w:id="924264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3701481">
      <w:bodyDiv w:val="1"/>
      <w:marLeft w:val="0"/>
      <w:marRight w:val="0"/>
      <w:marTop w:val="0"/>
      <w:marBottom w:val="0"/>
      <w:divBdr>
        <w:top w:val="none" w:sz="0" w:space="0" w:color="auto"/>
        <w:left w:val="none" w:sz="0" w:space="0" w:color="auto"/>
        <w:bottom w:val="none" w:sz="0" w:space="0" w:color="auto"/>
        <w:right w:val="none" w:sz="0" w:space="0" w:color="auto"/>
      </w:divBdr>
      <w:divsChild>
        <w:div w:id="633950037">
          <w:marLeft w:val="0"/>
          <w:marRight w:val="0"/>
          <w:marTop w:val="0"/>
          <w:marBottom w:val="0"/>
          <w:divBdr>
            <w:top w:val="none" w:sz="0" w:space="0" w:color="auto"/>
            <w:left w:val="none" w:sz="0" w:space="0" w:color="auto"/>
            <w:bottom w:val="none" w:sz="0" w:space="0" w:color="auto"/>
            <w:right w:val="none" w:sz="0" w:space="0" w:color="auto"/>
          </w:divBdr>
          <w:divsChild>
            <w:div w:id="1335256182">
              <w:marLeft w:val="0"/>
              <w:marRight w:val="0"/>
              <w:marTop w:val="0"/>
              <w:marBottom w:val="0"/>
              <w:divBdr>
                <w:top w:val="none" w:sz="0" w:space="0" w:color="auto"/>
                <w:left w:val="none" w:sz="0" w:space="0" w:color="auto"/>
                <w:bottom w:val="none" w:sz="0" w:space="0" w:color="auto"/>
                <w:right w:val="none" w:sz="0" w:space="0" w:color="auto"/>
              </w:divBdr>
              <w:divsChild>
                <w:div w:id="1753041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9446181">
      <w:bodyDiv w:val="1"/>
      <w:marLeft w:val="0"/>
      <w:marRight w:val="0"/>
      <w:marTop w:val="0"/>
      <w:marBottom w:val="0"/>
      <w:divBdr>
        <w:top w:val="none" w:sz="0" w:space="0" w:color="auto"/>
        <w:left w:val="none" w:sz="0" w:space="0" w:color="auto"/>
        <w:bottom w:val="none" w:sz="0" w:space="0" w:color="auto"/>
        <w:right w:val="none" w:sz="0" w:space="0" w:color="auto"/>
      </w:divBdr>
      <w:divsChild>
        <w:div w:id="738091325">
          <w:marLeft w:val="0"/>
          <w:marRight w:val="0"/>
          <w:marTop w:val="0"/>
          <w:marBottom w:val="0"/>
          <w:divBdr>
            <w:top w:val="none" w:sz="0" w:space="0" w:color="auto"/>
            <w:left w:val="none" w:sz="0" w:space="0" w:color="auto"/>
            <w:bottom w:val="none" w:sz="0" w:space="0" w:color="auto"/>
            <w:right w:val="none" w:sz="0" w:space="0" w:color="auto"/>
          </w:divBdr>
          <w:divsChild>
            <w:div w:id="2082487395">
              <w:marLeft w:val="0"/>
              <w:marRight w:val="0"/>
              <w:marTop w:val="0"/>
              <w:marBottom w:val="0"/>
              <w:divBdr>
                <w:top w:val="none" w:sz="0" w:space="0" w:color="auto"/>
                <w:left w:val="none" w:sz="0" w:space="0" w:color="auto"/>
                <w:bottom w:val="none" w:sz="0" w:space="0" w:color="auto"/>
                <w:right w:val="none" w:sz="0" w:space="0" w:color="auto"/>
              </w:divBdr>
              <w:divsChild>
                <w:div w:id="1309096644">
                  <w:marLeft w:val="0"/>
                  <w:marRight w:val="0"/>
                  <w:marTop w:val="0"/>
                  <w:marBottom w:val="0"/>
                  <w:divBdr>
                    <w:top w:val="none" w:sz="0" w:space="0" w:color="auto"/>
                    <w:left w:val="none" w:sz="0" w:space="0" w:color="auto"/>
                    <w:bottom w:val="none" w:sz="0" w:space="0" w:color="auto"/>
                    <w:right w:val="none" w:sz="0" w:space="0" w:color="auto"/>
                  </w:divBdr>
                  <w:divsChild>
                    <w:div w:id="311754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9789158">
      <w:bodyDiv w:val="1"/>
      <w:marLeft w:val="0"/>
      <w:marRight w:val="0"/>
      <w:marTop w:val="0"/>
      <w:marBottom w:val="0"/>
      <w:divBdr>
        <w:top w:val="none" w:sz="0" w:space="0" w:color="auto"/>
        <w:left w:val="none" w:sz="0" w:space="0" w:color="auto"/>
        <w:bottom w:val="none" w:sz="0" w:space="0" w:color="auto"/>
        <w:right w:val="none" w:sz="0" w:space="0" w:color="auto"/>
      </w:divBdr>
      <w:divsChild>
        <w:div w:id="795175319">
          <w:marLeft w:val="0"/>
          <w:marRight w:val="0"/>
          <w:marTop w:val="0"/>
          <w:marBottom w:val="0"/>
          <w:divBdr>
            <w:top w:val="none" w:sz="0" w:space="0" w:color="auto"/>
            <w:left w:val="none" w:sz="0" w:space="0" w:color="auto"/>
            <w:bottom w:val="none" w:sz="0" w:space="0" w:color="auto"/>
            <w:right w:val="none" w:sz="0" w:space="0" w:color="auto"/>
          </w:divBdr>
          <w:divsChild>
            <w:div w:id="91825146">
              <w:marLeft w:val="0"/>
              <w:marRight w:val="0"/>
              <w:marTop w:val="0"/>
              <w:marBottom w:val="0"/>
              <w:divBdr>
                <w:top w:val="none" w:sz="0" w:space="0" w:color="auto"/>
                <w:left w:val="none" w:sz="0" w:space="0" w:color="auto"/>
                <w:bottom w:val="none" w:sz="0" w:space="0" w:color="auto"/>
                <w:right w:val="none" w:sz="0" w:space="0" w:color="auto"/>
              </w:divBdr>
              <w:divsChild>
                <w:div w:id="869878873">
                  <w:marLeft w:val="0"/>
                  <w:marRight w:val="0"/>
                  <w:marTop w:val="0"/>
                  <w:marBottom w:val="0"/>
                  <w:divBdr>
                    <w:top w:val="none" w:sz="0" w:space="0" w:color="auto"/>
                    <w:left w:val="none" w:sz="0" w:space="0" w:color="auto"/>
                    <w:bottom w:val="none" w:sz="0" w:space="0" w:color="auto"/>
                    <w:right w:val="none" w:sz="0" w:space="0" w:color="auto"/>
                  </w:divBdr>
                </w:div>
              </w:divsChild>
            </w:div>
            <w:div w:id="203831748">
              <w:marLeft w:val="0"/>
              <w:marRight w:val="0"/>
              <w:marTop w:val="0"/>
              <w:marBottom w:val="0"/>
              <w:divBdr>
                <w:top w:val="none" w:sz="0" w:space="0" w:color="auto"/>
                <w:left w:val="none" w:sz="0" w:space="0" w:color="auto"/>
                <w:bottom w:val="none" w:sz="0" w:space="0" w:color="auto"/>
                <w:right w:val="none" w:sz="0" w:space="0" w:color="auto"/>
              </w:divBdr>
              <w:divsChild>
                <w:div w:id="910428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4668957">
          <w:marLeft w:val="0"/>
          <w:marRight w:val="0"/>
          <w:marTop w:val="0"/>
          <w:marBottom w:val="0"/>
          <w:divBdr>
            <w:top w:val="none" w:sz="0" w:space="0" w:color="auto"/>
            <w:left w:val="none" w:sz="0" w:space="0" w:color="auto"/>
            <w:bottom w:val="none" w:sz="0" w:space="0" w:color="auto"/>
            <w:right w:val="none" w:sz="0" w:space="0" w:color="auto"/>
          </w:divBdr>
          <w:divsChild>
            <w:div w:id="913395563">
              <w:marLeft w:val="0"/>
              <w:marRight w:val="0"/>
              <w:marTop w:val="0"/>
              <w:marBottom w:val="0"/>
              <w:divBdr>
                <w:top w:val="none" w:sz="0" w:space="0" w:color="auto"/>
                <w:left w:val="none" w:sz="0" w:space="0" w:color="auto"/>
                <w:bottom w:val="none" w:sz="0" w:space="0" w:color="auto"/>
                <w:right w:val="none" w:sz="0" w:space="0" w:color="auto"/>
              </w:divBdr>
              <w:divsChild>
                <w:div w:id="1856846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557371">
      <w:bodyDiv w:val="1"/>
      <w:marLeft w:val="0"/>
      <w:marRight w:val="0"/>
      <w:marTop w:val="0"/>
      <w:marBottom w:val="0"/>
      <w:divBdr>
        <w:top w:val="none" w:sz="0" w:space="0" w:color="auto"/>
        <w:left w:val="none" w:sz="0" w:space="0" w:color="auto"/>
        <w:bottom w:val="none" w:sz="0" w:space="0" w:color="auto"/>
        <w:right w:val="none" w:sz="0" w:space="0" w:color="auto"/>
      </w:divBdr>
    </w:div>
    <w:div w:id="421219971">
      <w:bodyDiv w:val="1"/>
      <w:marLeft w:val="0"/>
      <w:marRight w:val="0"/>
      <w:marTop w:val="0"/>
      <w:marBottom w:val="0"/>
      <w:divBdr>
        <w:top w:val="none" w:sz="0" w:space="0" w:color="auto"/>
        <w:left w:val="none" w:sz="0" w:space="0" w:color="auto"/>
        <w:bottom w:val="none" w:sz="0" w:space="0" w:color="auto"/>
        <w:right w:val="none" w:sz="0" w:space="0" w:color="auto"/>
      </w:divBdr>
      <w:divsChild>
        <w:div w:id="1944192421">
          <w:marLeft w:val="0"/>
          <w:marRight w:val="0"/>
          <w:marTop w:val="0"/>
          <w:marBottom w:val="0"/>
          <w:divBdr>
            <w:top w:val="none" w:sz="0" w:space="0" w:color="auto"/>
            <w:left w:val="none" w:sz="0" w:space="0" w:color="auto"/>
            <w:bottom w:val="none" w:sz="0" w:space="0" w:color="auto"/>
            <w:right w:val="none" w:sz="0" w:space="0" w:color="auto"/>
          </w:divBdr>
          <w:divsChild>
            <w:div w:id="1246916619">
              <w:marLeft w:val="0"/>
              <w:marRight w:val="0"/>
              <w:marTop w:val="0"/>
              <w:marBottom w:val="0"/>
              <w:divBdr>
                <w:top w:val="none" w:sz="0" w:space="0" w:color="auto"/>
                <w:left w:val="none" w:sz="0" w:space="0" w:color="auto"/>
                <w:bottom w:val="none" w:sz="0" w:space="0" w:color="auto"/>
                <w:right w:val="none" w:sz="0" w:space="0" w:color="auto"/>
              </w:divBdr>
              <w:divsChild>
                <w:div w:id="1744525193">
                  <w:marLeft w:val="0"/>
                  <w:marRight w:val="0"/>
                  <w:marTop w:val="0"/>
                  <w:marBottom w:val="0"/>
                  <w:divBdr>
                    <w:top w:val="none" w:sz="0" w:space="0" w:color="auto"/>
                    <w:left w:val="none" w:sz="0" w:space="0" w:color="auto"/>
                    <w:bottom w:val="none" w:sz="0" w:space="0" w:color="auto"/>
                    <w:right w:val="none" w:sz="0" w:space="0" w:color="auto"/>
                  </w:divBdr>
                  <w:divsChild>
                    <w:div w:id="483012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9007209">
      <w:bodyDiv w:val="1"/>
      <w:marLeft w:val="0"/>
      <w:marRight w:val="0"/>
      <w:marTop w:val="0"/>
      <w:marBottom w:val="0"/>
      <w:divBdr>
        <w:top w:val="none" w:sz="0" w:space="0" w:color="auto"/>
        <w:left w:val="none" w:sz="0" w:space="0" w:color="auto"/>
        <w:bottom w:val="none" w:sz="0" w:space="0" w:color="auto"/>
        <w:right w:val="none" w:sz="0" w:space="0" w:color="auto"/>
      </w:divBdr>
      <w:divsChild>
        <w:div w:id="699472618">
          <w:marLeft w:val="0"/>
          <w:marRight w:val="0"/>
          <w:marTop w:val="0"/>
          <w:marBottom w:val="0"/>
          <w:divBdr>
            <w:top w:val="none" w:sz="0" w:space="0" w:color="auto"/>
            <w:left w:val="none" w:sz="0" w:space="0" w:color="auto"/>
            <w:bottom w:val="none" w:sz="0" w:space="0" w:color="auto"/>
            <w:right w:val="none" w:sz="0" w:space="0" w:color="auto"/>
          </w:divBdr>
          <w:divsChild>
            <w:div w:id="224921782">
              <w:marLeft w:val="0"/>
              <w:marRight w:val="0"/>
              <w:marTop w:val="0"/>
              <w:marBottom w:val="0"/>
              <w:divBdr>
                <w:top w:val="none" w:sz="0" w:space="0" w:color="auto"/>
                <w:left w:val="none" w:sz="0" w:space="0" w:color="auto"/>
                <w:bottom w:val="none" w:sz="0" w:space="0" w:color="auto"/>
                <w:right w:val="none" w:sz="0" w:space="0" w:color="auto"/>
              </w:divBdr>
              <w:divsChild>
                <w:div w:id="1629581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036697">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56215242">
      <w:bodyDiv w:val="1"/>
      <w:marLeft w:val="0"/>
      <w:marRight w:val="0"/>
      <w:marTop w:val="0"/>
      <w:marBottom w:val="0"/>
      <w:divBdr>
        <w:top w:val="none" w:sz="0" w:space="0" w:color="auto"/>
        <w:left w:val="none" w:sz="0" w:space="0" w:color="auto"/>
        <w:bottom w:val="none" w:sz="0" w:space="0" w:color="auto"/>
        <w:right w:val="none" w:sz="0" w:space="0" w:color="auto"/>
      </w:divBdr>
    </w:div>
    <w:div w:id="466165660">
      <w:bodyDiv w:val="1"/>
      <w:marLeft w:val="0"/>
      <w:marRight w:val="0"/>
      <w:marTop w:val="0"/>
      <w:marBottom w:val="0"/>
      <w:divBdr>
        <w:top w:val="none" w:sz="0" w:space="0" w:color="auto"/>
        <w:left w:val="none" w:sz="0" w:space="0" w:color="auto"/>
        <w:bottom w:val="none" w:sz="0" w:space="0" w:color="auto"/>
        <w:right w:val="none" w:sz="0" w:space="0" w:color="auto"/>
      </w:divBdr>
    </w:div>
    <w:div w:id="467623599">
      <w:bodyDiv w:val="1"/>
      <w:marLeft w:val="0"/>
      <w:marRight w:val="0"/>
      <w:marTop w:val="0"/>
      <w:marBottom w:val="0"/>
      <w:divBdr>
        <w:top w:val="none" w:sz="0" w:space="0" w:color="auto"/>
        <w:left w:val="none" w:sz="0" w:space="0" w:color="auto"/>
        <w:bottom w:val="none" w:sz="0" w:space="0" w:color="auto"/>
        <w:right w:val="none" w:sz="0" w:space="0" w:color="auto"/>
      </w:divBdr>
      <w:divsChild>
        <w:div w:id="984160999">
          <w:marLeft w:val="0"/>
          <w:marRight w:val="0"/>
          <w:marTop w:val="0"/>
          <w:marBottom w:val="0"/>
          <w:divBdr>
            <w:top w:val="none" w:sz="0" w:space="0" w:color="auto"/>
            <w:left w:val="none" w:sz="0" w:space="0" w:color="auto"/>
            <w:bottom w:val="none" w:sz="0" w:space="0" w:color="auto"/>
            <w:right w:val="none" w:sz="0" w:space="0" w:color="auto"/>
          </w:divBdr>
          <w:divsChild>
            <w:div w:id="1797721547">
              <w:marLeft w:val="0"/>
              <w:marRight w:val="0"/>
              <w:marTop w:val="0"/>
              <w:marBottom w:val="0"/>
              <w:divBdr>
                <w:top w:val="none" w:sz="0" w:space="0" w:color="auto"/>
                <w:left w:val="none" w:sz="0" w:space="0" w:color="auto"/>
                <w:bottom w:val="none" w:sz="0" w:space="0" w:color="auto"/>
                <w:right w:val="none" w:sz="0" w:space="0" w:color="auto"/>
              </w:divBdr>
              <w:divsChild>
                <w:div w:id="1701281640">
                  <w:marLeft w:val="0"/>
                  <w:marRight w:val="0"/>
                  <w:marTop w:val="0"/>
                  <w:marBottom w:val="0"/>
                  <w:divBdr>
                    <w:top w:val="none" w:sz="0" w:space="0" w:color="auto"/>
                    <w:left w:val="none" w:sz="0" w:space="0" w:color="auto"/>
                    <w:bottom w:val="none" w:sz="0" w:space="0" w:color="auto"/>
                    <w:right w:val="none" w:sz="0" w:space="0" w:color="auto"/>
                  </w:divBdr>
                  <w:divsChild>
                    <w:div w:id="158788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2219101">
      <w:bodyDiv w:val="1"/>
      <w:marLeft w:val="0"/>
      <w:marRight w:val="0"/>
      <w:marTop w:val="0"/>
      <w:marBottom w:val="0"/>
      <w:divBdr>
        <w:top w:val="none" w:sz="0" w:space="0" w:color="auto"/>
        <w:left w:val="none" w:sz="0" w:space="0" w:color="auto"/>
        <w:bottom w:val="none" w:sz="0" w:space="0" w:color="auto"/>
        <w:right w:val="none" w:sz="0" w:space="0" w:color="auto"/>
      </w:divBdr>
      <w:divsChild>
        <w:div w:id="502168625">
          <w:marLeft w:val="0"/>
          <w:marRight w:val="0"/>
          <w:marTop w:val="0"/>
          <w:marBottom w:val="0"/>
          <w:divBdr>
            <w:top w:val="none" w:sz="0" w:space="0" w:color="auto"/>
            <w:left w:val="none" w:sz="0" w:space="0" w:color="auto"/>
            <w:bottom w:val="none" w:sz="0" w:space="0" w:color="auto"/>
            <w:right w:val="none" w:sz="0" w:space="0" w:color="auto"/>
          </w:divBdr>
          <w:divsChild>
            <w:div w:id="1818183662">
              <w:marLeft w:val="0"/>
              <w:marRight w:val="0"/>
              <w:marTop w:val="0"/>
              <w:marBottom w:val="0"/>
              <w:divBdr>
                <w:top w:val="none" w:sz="0" w:space="0" w:color="auto"/>
                <w:left w:val="none" w:sz="0" w:space="0" w:color="auto"/>
                <w:bottom w:val="none" w:sz="0" w:space="0" w:color="auto"/>
                <w:right w:val="none" w:sz="0" w:space="0" w:color="auto"/>
              </w:divBdr>
              <w:divsChild>
                <w:div w:id="2005667420">
                  <w:marLeft w:val="0"/>
                  <w:marRight w:val="0"/>
                  <w:marTop w:val="0"/>
                  <w:marBottom w:val="0"/>
                  <w:divBdr>
                    <w:top w:val="none" w:sz="0" w:space="0" w:color="auto"/>
                    <w:left w:val="none" w:sz="0" w:space="0" w:color="auto"/>
                    <w:bottom w:val="none" w:sz="0" w:space="0" w:color="auto"/>
                    <w:right w:val="none" w:sz="0" w:space="0" w:color="auto"/>
                  </w:divBdr>
                  <w:divsChild>
                    <w:div w:id="971448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80930149">
      <w:bodyDiv w:val="1"/>
      <w:marLeft w:val="0"/>
      <w:marRight w:val="0"/>
      <w:marTop w:val="0"/>
      <w:marBottom w:val="0"/>
      <w:divBdr>
        <w:top w:val="none" w:sz="0" w:space="0" w:color="auto"/>
        <w:left w:val="none" w:sz="0" w:space="0" w:color="auto"/>
        <w:bottom w:val="none" w:sz="0" w:space="0" w:color="auto"/>
        <w:right w:val="none" w:sz="0" w:space="0" w:color="auto"/>
      </w:divBdr>
      <w:divsChild>
        <w:div w:id="1293681221">
          <w:marLeft w:val="0"/>
          <w:marRight w:val="0"/>
          <w:marTop w:val="0"/>
          <w:marBottom w:val="0"/>
          <w:divBdr>
            <w:top w:val="none" w:sz="0" w:space="0" w:color="auto"/>
            <w:left w:val="none" w:sz="0" w:space="0" w:color="auto"/>
            <w:bottom w:val="none" w:sz="0" w:space="0" w:color="auto"/>
            <w:right w:val="none" w:sz="0" w:space="0" w:color="auto"/>
          </w:divBdr>
          <w:divsChild>
            <w:div w:id="781614171">
              <w:marLeft w:val="0"/>
              <w:marRight w:val="0"/>
              <w:marTop w:val="0"/>
              <w:marBottom w:val="0"/>
              <w:divBdr>
                <w:top w:val="none" w:sz="0" w:space="0" w:color="auto"/>
                <w:left w:val="none" w:sz="0" w:space="0" w:color="auto"/>
                <w:bottom w:val="none" w:sz="0" w:space="0" w:color="auto"/>
                <w:right w:val="none" w:sz="0" w:space="0" w:color="auto"/>
              </w:divBdr>
              <w:divsChild>
                <w:div w:id="488643847">
                  <w:marLeft w:val="0"/>
                  <w:marRight w:val="0"/>
                  <w:marTop w:val="0"/>
                  <w:marBottom w:val="0"/>
                  <w:divBdr>
                    <w:top w:val="none" w:sz="0" w:space="0" w:color="auto"/>
                    <w:left w:val="none" w:sz="0" w:space="0" w:color="auto"/>
                    <w:bottom w:val="none" w:sz="0" w:space="0" w:color="auto"/>
                    <w:right w:val="none" w:sz="0" w:space="0" w:color="auto"/>
                  </w:divBdr>
                  <w:divsChild>
                    <w:div w:id="163355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8601308">
      <w:bodyDiv w:val="1"/>
      <w:marLeft w:val="0"/>
      <w:marRight w:val="0"/>
      <w:marTop w:val="0"/>
      <w:marBottom w:val="0"/>
      <w:divBdr>
        <w:top w:val="none" w:sz="0" w:space="0" w:color="auto"/>
        <w:left w:val="none" w:sz="0" w:space="0" w:color="auto"/>
        <w:bottom w:val="none" w:sz="0" w:space="0" w:color="auto"/>
        <w:right w:val="none" w:sz="0" w:space="0" w:color="auto"/>
      </w:divBdr>
      <w:divsChild>
        <w:div w:id="994723065">
          <w:marLeft w:val="0"/>
          <w:marRight w:val="0"/>
          <w:marTop w:val="0"/>
          <w:marBottom w:val="0"/>
          <w:divBdr>
            <w:top w:val="none" w:sz="0" w:space="0" w:color="auto"/>
            <w:left w:val="none" w:sz="0" w:space="0" w:color="auto"/>
            <w:bottom w:val="none" w:sz="0" w:space="0" w:color="auto"/>
            <w:right w:val="none" w:sz="0" w:space="0" w:color="auto"/>
          </w:divBdr>
          <w:divsChild>
            <w:div w:id="1403679517">
              <w:marLeft w:val="0"/>
              <w:marRight w:val="0"/>
              <w:marTop w:val="0"/>
              <w:marBottom w:val="0"/>
              <w:divBdr>
                <w:top w:val="none" w:sz="0" w:space="0" w:color="auto"/>
                <w:left w:val="none" w:sz="0" w:space="0" w:color="auto"/>
                <w:bottom w:val="none" w:sz="0" w:space="0" w:color="auto"/>
                <w:right w:val="none" w:sz="0" w:space="0" w:color="auto"/>
              </w:divBdr>
              <w:divsChild>
                <w:div w:id="121414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380073">
      <w:bodyDiv w:val="1"/>
      <w:marLeft w:val="0"/>
      <w:marRight w:val="0"/>
      <w:marTop w:val="0"/>
      <w:marBottom w:val="0"/>
      <w:divBdr>
        <w:top w:val="none" w:sz="0" w:space="0" w:color="auto"/>
        <w:left w:val="none" w:sz="0" w:space="0" w:color="auto"/>
        <w:bottom w:val="none" w:sz="0" w:space="0" w:color="auto"/>
        <w:right w:val="none" w:sz="0" w:space="0" w:color="auto"/>
      </w:divBdr>
      <w:divsChild>
        <w:div w:id="1345398097">
          <w:marLeft w:val="0"/>
          <w:marRight w:val="0"/>
          <w:marTop w:val="0"/>
          <w:marBottom w:val="0"/>
          <w:divBdr>
            <w:top w:val="none" w:sz="0" w:space="0" w:color="auto"/>
            <w:left w:val="none" w:sz="0" w:space="0" w:color="auto"/>
            <w:bottom w:val="none" w:sz="0" w:space="0" w:color="auto"/>
            <w:right w:val="none" w:sz="0" w:space="0" w:color="auto"/>
          </w:divBdr>
          <w:divsChild>
            <w:div w:id="375812613">
              <w:marLeft w:val="0"/>
              <w:marRight w:val="0"/>
              <w:marTop w:val="0"/>
              <w:marBottom w:val="0"/>
              <w:divBdr>
                <w:top w:val="none" w:sz="0" w:space="0" w:color="auto"/>
                <w:left w:val="none" w:sz="0" w:space="0" w:color="auto"/>
                <w:bottom w:val="none" w:sz="0" w:space="0" w:color="auto"/>
                <w:right w:val="none" w:sz="0" w:space="0" w:color="auto"/>
              </w:divBdr>
              <w:divsChild>
                <w:div w:id="1729918091">
                  <w:marLeft w:val="0"/>
                  <w:marRight w:val="0"/>
                  <w:marTop w:val="0"/>
                  <w:marBottom w:val="0"/>
                  <w:divBdr>
                    <w:top w:val="none" w:sz="0" w:space="0" w:color="auto"/>
                    <w:left w:val="none" w:sz="0" w:space="0" w:color="auto"/>
                    <w:bottom w:val="none" w:sz="0" w:space="0" w:color="auto"/>
                    <w:right w:val="none" w:sz="0" w:space="0" w:color="auto"/>
                  </w:divBdr>
                  <w:divsChild>
                    <w:div w:id="394552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03782720">
      <w:bodyDiv w:val="1"/>
      <w:marLeft w:val="0"/>
      <w:marRight w:val="0"/>
      <w:marTop w:val="0"/>
      <w:marBottom w:val="0"/>
      <w:divBdr>
        <w:top w:val="none" w:sz="0" w:space="0" w:color="auto"/>
        <w:left w:val="none" w:sz="0" w:space="0" w:color="auto"/>
        <w:bottom w:val="none" w:sz="0" w:space="0" w:color="auto"/>
        <w:right w:val="none" w:sz="0" w:space="0" w:color="auto"/>
      </w:divBdr>
      <w:divsChild>
        <w:div w:id="1852252737">
          <w:marLeft w:val="0"/>
          <w:marRight w:val="0"/>
          <w:marTop w:val="0"/>
          <w:marBottom w:val="0"/>
          <w:divBdr>
            <w:top w:val="none" w:sz="0" w:space="0" w:color="auto"/>
            <w:left w:val="none" w:sz="0" w:space="0" w:color="auto"/>
            <w:bottom w:val="none" w:sz="0" w:space="0" w:color="auto"/>
            <w:right w:val="none" w:sz="0" w:space="0" w:color="auto"/>
          </w:divBdr>
          <w:divsChild>
            <w:div w:id="817192656">
              <w:marLeft w:val="0"/>
              <w:marRight w:val="0"/>
              <w:marTop w:val="0"/>
              <w:marBottom w:val="0"/>
              <w:divBdr>
                <w:top w:val="none" w:sz="0" w:space="0" w:color="auto"/>
                <w:left w:val="none" w:sz="0" w:space="0" w:color="auto"/>
                <w:bottom w:val="none" w:sz="0" w:space="0" w:color="auto"/>
                <w:right w:val="none" w:sz="0" w:space="0" w:color="auto"/>
              </w:divBdr>
              <w:divsChild>
                <w:div w:id="150748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4945124">
      <w:bodyDiv w:val="1"/>
      <w:marLeft w:val="0"/>
      <w:marRight w:val="0"/>
      <w:marTop w:val="0"/>
      <w:marBottom w:val="0"/>
      <w:divBdr>
        <w:top w:val="none" w:sz="0" w:space="0" w:color="auto"/>
        <w:left w:val="none" w:sz="0" w:space="0" w:color="auto"/>
        <w:bottom w:val="none" w:sz="0" w:space="0" w:color="auto"/>
        <w:right w:val="none" w:sz="0" w:space="0" w:color="auto"/>
      </w:divBdr>
      <w:divsChild>
        <w:div w:id="385031941">
          <w:marLeft w:val="0"/>
          <w:marRight w:val="0"/>
          <w:marTop w:val="0"/>
          <w:marBottom w:val="0"/>
          <w:divBdr>
            <w:top w:val="none" w:sz="0" w:space="0" w:color="auto"/>
            <w:left w:val="none" w:sz="0" w:space="0" w:color="auto"/>
            <w:bottom w:val="none" w:sz="0" w:space="0" w:color="auto"/>
            <w:right w:val="none" w:sz="0" w:space="0" w:color="auto"/>
          </w:divBdr>
          <w:divsChild>
            <w:div w:id="1663310804">
              <w:marLeft w:val="0"/>
              <w:marRight w:val="0"/>
              <w:marTop w:val="0"/>
              <w:marBottom w:val="0"/>
              <w:divBdr>
                <w:top w:val="none" w:sz="0" w:space="0" w:color="auto"/>
                <w:left w:val="none" w:sz="0" w:space="0" w:color="auto"/>
                <w:bottom w:val="none" w:sz="0" w:space="0" w:color="auto"/>
                <w:right w:val="none" w:sz="0" w:space="0" w:color="auto"/>
              </w:divBdr>
              <w:divsChild>
                <w:div w:id="130353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4657987">
      <w:bodyDiv w:val="1"/>
      <w:marLeft w:val="0"/>
      <w:marRight w:val="0"/>
      <w:marTop w:val="0"/>
      <w:marBottom w:val="0"/>
      <w:divBdr>
        <w:top w:val="none" w:sz="0" w:space="0" w:color="auto"/>
        <w:left w:val="none" w:sz="0" w:space="0" w:color="auto"/>
        <w:bottom w:val="none" w:sz="0" w:space="0" w:color="auto"/>
        <w:right w:val="none" w:sz="0" w:space="0" w:color="auto"/>
      </w:divBdr>
      <w:divsChild>
        <w:div w:id="2082558125">
          <w:marLeft w:val="0"/>
          <w:marRight w:val="0"/>
          <w:marTop w:val="0"/>
          <w:marBottom w:val="0"/>
          <w:divBdr>
            <w:top w:val="none" w:sz="0" w:space="0" w:color="auto"/>
            <w:left w:val="none" w:sz="0" w:space="0" w:color="auto"/>
            <w:bottom w:val="none" w:sz="0" w:space="0" w:color="auto"/>
            <w:right w:val="none" w:sz="0" w:space="0" w:color="auto"/>
          </w:divBdr>
          <w:divsChild>
            <w:div w:id="114911149">
              <w:marLeft w:val="0"/>
              <w:marRight w:val="0"/>
              <w:marTop w:val="0"/>
              <w:marBottom w:val="0"/>
              <w:divBdr>
                <w:top w:val="none" w:sz="0" w:space="0" w:color="auto"/>
                <w:left w:val="none" w:sz="0" w:space="0" w:color="auto"/>
                <w:bottom w:val="none" w:sz="0" w:space="0" w:color="auto"/>
                <w:right w:val="none" w:sz="0" w:space="0" w:color="auto"/>
              </w:divBdr>
              <w:divsChild>
                <w:div w:id="1731729453">
                  <w:marLeft w:val="0"/>
                  <w:marRight w:val="0"/>
                  <w:marTop w:val="0"/>
                  <w:marBottom w:val="0"/>
                  <w:divBdr>
                    <w:top w:val="none" w:sz="0" w:space="0" w:color="auto"/>
                    <w:left w:val="none" w:sz="0" w:space="0" w:color="auto"/>
                    <w:bottom w:val="none" w:sz="0" w:space="0" w:color="auto"/>
                    <w:right w:val="none" w:sz="0" w:space="0" w:color="auto"/>
                  </w:divBdr>
                  <w:divsChild>
                    <w:div w:id="486091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44102905">
      <w:bodyDiv w:val="1"/>
      <w:marLeft w:val="0"/>
      <w:marRight w:val="0"/>
      <w:marTop w:val="0"/>
      <w:marBottom w:val="0"/>
      <w:divBdr>
        <w:top w:val="none" w:sz="0" w:space="0" w:color="auto"/>
        <w:left w:val="none" w:sz="0" w:space="0" w:color="auto"/>
        <w:bottom w:val="none" w:sz="0" w:space="0" w:color="auto"/>
        <w:right w:val="none" w:sz="0" w:space="0" w:color="auto"/>
      </w:divBdr>
      <w:divsChild>
        <w:div w:id="1956402987">
          <w:marLeft w:val="0"/>
          <w:marRight w:val="0"/>
          <w:marTop w:val="0"/>
          <w:marBottom w:val="0"/>
          <w:divBdr>
            <w:top w:val="none" w:sz="0" w:space="0" w:color="auto"/>
            <w:left w:val="none" w:sz="0" w:space="0" w:color="auto"/>
            <w:bottom w:val="none" w:sz="0" w:space="0" w:color="auto"/>
            <w:right w:val="none" w:sz="0" w:space="0" w:color="auto"/>
          </w:divBdr>
          <w:divsChild>
            <w:div w:id="1720549254">
              <w:marLeft w:val="0"/>
              <w:marRight w:val="0"/>
              <w:marTop w:val="0"/>
              <w:marBottom w:val="0"/>
              <w:divBdr>
                <w:top w:val="none" w:sz="0" w:space="0" w:color="auto"/>
                <w:left w:val="none" w:sz="0" w:space="0" w:color="auto"/>
                <w:bottom w:val="none" w:sz="0" w:space="0" w:color="auto"/>
                <w:right w:val="none" w:sz="0" w:space="0" w:color="auto"/>
              </w:divBdr>
              <w:divsChild>
                <w:div w:id="12361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3730160">
      <w:bodyDiv w:val="1"/>
      <w:marLeft w:val="0"/>
      <w:marRight w:val="0"/>
      <w:marTop w:val="0"/>
      <w:marBottom w:val="0"/>
      <w:divBdr>
        <w:top w:val="none" w:sz="0" w:space="0" w:color="auto"/>
        <w:left w:val="none" w:sz="0" w:space="0" w:color="auto"/>
        <w:bottom w:val="none" w:sz="0" w:space="0" w:color="auto"/>
        <w:right w:val="none" w:sz="0" w:space="0" w:color="auto"/>
      </w:divBdr>
      <w:divsChild>
        <w:div w:id="1974359444">
          <w:marLeft w:val="0"/>
          <w:marRight w:val="0"/>
          <w:marTop w:val="0"/>
          <w:marBottom w:val="0"/>
          <w:divBdr>
            <w:top w:val="none" w:sz="0" w:space="0" w:color="auto"/>
            <w:left w:val="none" w:sz="0" w:space="0" w:color="auto"/>
            <w:bottom w:val="none" w:sz="0" w:space="0" w:color="auto"/>
            <w:right w:val="none" w:sz="0" w:space="0" w:color="auto"/>
          </w:divBdr>
          <w:divsChild>
            <w:div w:id="1651446888">
              <w:marLeft w:val="0"/>
              <w:marRight w:val="0"/>
              <w:marTop w:val="0"/>
              <w:marBottom w:val="0"/>
              <w:divBdr>
                <w:top w:val="none" w:sz="0" w:space="0" w:color="auto"/>
                <w:left w:val="none" w:sz="0" w:space="0" w:color="auto"/>
                <w:bottom w:val="none" w:sz="0" w:space="0" w:color="auto"/>
                <w:right w:val="none" w:sz="0" w:space="0" w:color="auto"/>
              </w:divBdr>
              <w:divsChild>
                <w:div w:id="1016538861">
                  <w:marLeft w:val="0"/>
                  <w:marRight w:val="0"/>
                  <w:marTop w:val="0"/>
                  <w:marBottom w:val="0"/>
                  <w:divBdr>
                    <w:top w:val="none" w:sz="0" w:space="0" w:color="auto"/>
                    <w:left w:val="none" w:sz="0" w:space="0" w:color="auto"/>
                    <w:bottom w:val="none" w:sz="0" w:space="0" w:color="auto"/>
                    <w:right w:val="none" w:sz="0" w:space="0" w:color="auto"/>
                  </w:divBdr>
                  <w:divsChild>
                    <w:div w:id="109532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1493790">
      <w:bodyDiv w:val="1"/>
      <w:marLeft w:val="0"/>
      <w:marRight w:val="0"/>
      <w:marTop w:val="0"/>
      <w:marBottom w:val="0"/>
      <w:divBdr>
        <w:top w:val="none" w:sz="0" w:space="0" w:color="auto"/>
        <w:left w:val="none" w:sz="0" w:space="0" w:color="auto"/>
        <w:bottom w:val="none" w:sz="0" w:space="0" w:color="auto"/>
        <w:right w:val="none" w:sz="0" w:space="0" w:color="auto"/>
      </w:divBdr>
      <w:divsChild>
        <w:div w:id="1416173907">
          <w:marLeft w:val="0"/>
          <w:marRight w:val="0"/>
          <w:marTop w:val="0"/>
          <w:marBottom w:val="0"/>
          <w:divBdr>
            <w:top w:val="none" w:sz="0" w:space="0" w:color="auto"/>
            <w:left w:val="none" w:sz="0" w:space="0" w:color="auto"/>
            <w:bottom w:val="none" w:sz="0" w:space="0" w:color="auto"/>
            <w:right w:val="none" w:sz="0" w:space="0" w:color="auto"/>
          </w:divBdr>
          <w:divsChild>
            <w:div w:id="1632050507">
              <w:marLeft w:val="0"/>
              <w:marRight w:val="0"/>
              <w:marTop w:val="0"/>
              <w:marBottom w:val="0"/>
              <w:divBdr>
                <w:top w:val="none" w:sz="0" w:space="0" w:color="auto"/>
                <w:left w:val="none" w:sz="0" w:space="0" w:color="auto"/>
                <w:bottom w:val="none" w:sz="0" w:space="0" w:color="auto"/>
                <w:right w:val="none" w:sz="0" w:space="0" w:color="auto"/>
              </w:divBdr>
              <w:divsChild>
                <w:div w:id="1998144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2272775">
      <w:bodyDiv w:val="1"/>
      <w:marLeft w:val="0"/>
      <w:marRight w:val="0"/>
      <w:marTop w:val="0"/>
      <w:marBottom w:val="0"/>
      <w:divBdr>
        <w:top w:val="none" w:sz="0" w:space="0" w:color="auto"/>
        <w:left w:val="none" w:sz="0" w:space="0" w:color="auto"/>
        <w:bottom w:val="none" w:sz="0" w:space="0" w:color="auto"/>
        <w:right w:val="none" w:sz="0" w:space="0" w:color="auto"/>
      </w:divBdr>
    </w:div>
    <w:div w:id="623653822">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45940452">
      <w:bodyDiv w:val="1"/>
      <w:marLeft w:val="0"/>
      <w:marRight w:val="0"/>
      <w:marTop w:val="0"/>
      <w:marBottom w:val="0"/>
      <w:divBdr>
        <w:top w:val="none" w:sz="0" w:space="0" w:color="auto"/>
        <w:left w:val="none" w:sz="0" w:space="0" w:color="auto"/>
        <w:bottom w:val="none" w:sz="0" w:space="0" w:color="auto"/>
        <w:right w:val="none" w:sz="0" w:space="0" w:color="auto"/>
      </w:divBdr>
      <w:divsChild>
        <w:div w:id="52434169">
          <w:marLeft w:val="0"/>
          <w:marRight w:val="0"/>
          <w:marTop w:val="0"/>
          <w:marBottom w:val="0"/>
          <w:divBdr>
            <w:top w:val="none" w:sz="0" w:space="0" w:color="auto"/>
            <w:left w:val="none" w:sz="0" w:space="0" w:color="auto"/>
            <w:bottom w:val="none" w:sz="0" w:space="0" w:color="auto"/>
            <w:right w:val="none" w:sz="0" w:space="0" w:color="auto"/>
          </w:divBdr>
          <w:divsChild>
            <w:div w:id="551187774">
              <w:marLeft w:val="0"/>
              <w:marRight w:val="0"/>
              <w:marTop w:val="0"/>
              <w:marBottom w:val="0"/>
              <w:divBdr>
                <w:top w:val="none" w:sz="0" w:space="0" w:color="auto"/>
                <w:left w:val="none" w:sz="0" w:space="0" w:color="auto"/>
                <w:bottom w:val="none" w:sz="0" w:space="0" w:color="auto"/>
                <w:right w:val="none" w:sz="0" w:space="0" w:color="auto"/>
              </w:divBdr>
              <w:divsChild>
                <w:div w:id="1317296772">
                  <w:marLeft w:val="0"/>
                  <w:marRight w:val="0"/>
                  <w:marTop w:val="0"/>
                  <w:marBottom w:val="0"/>
                  <w:divBdr>
                    <w:top w:val="none" w:sz="0" w:space="0" w:color="auto"/>
                    <w:left w:val="none" w:sz="0" w:space="0" w:color="auto"/>
                    <w:bottom w:val="none" w:sz="0" w:space="0" w:color="auto"/>
                    <w:right w:val="none" w:sz="0" w:space="0" w:color="auto"/>
                  </w:divBdr>
                  <w:divsChild>
                    <w:div w:id="98600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71879379">
      <w:bodyDiv w:val="1"/>
      <w:marLeft w:val="0"/>
      <w:marRight w:val="0"/>
      <w:marTop w:val="0"/>
      <w:marBottom w:val="0"/>
      <w:divBdr>
        <w:top w:val="none" w:sz="0" w:space="0" w:color="auto"/>
        <w:left w:val="none" w:sz="0" w:space="0" w:color="auto"/>
        <w:bottom w:val="none" w:sz="0" w:space="0" w:color="auto"/>
        <w:right w:val="none" w:sz="0" w:space="0" w:color="auto"/>
      </w:divBdr>
      <w:divsChild>
        <w:div w:id="1502044525">
          <w:marLeft w:val="0"/>
          <w:marRight w:val="0"/>
          <w:marTop w:val="0"/>
          <w:marBottom w:val="0"/>
          <w:divBdr>
            <w:top w:val="none" w:sz="0" w:space="0" w:color="auto"/>
            <w:left w:val="none" w:sz="0" w:space="0" w:color="auto"/>
            <w:bottom w:val="none" w:sz="0" w:space="0" w:color="auto"/>
            <w:right w:val="none" w:sz="0" w:space="0" w:color="auto"/>
          </w:divBdr>
          <w:divsChild>
            <w:div w:id="1357656737">
              <w:marLeft w:val="0"/>
              <w:marRight w:val="0"/>
              <w:marTop w:val="0"/>
              <w:marBottom w:val="0"/>
              <w:divBdr>
                <w:top w:val="none" w:sz="0" w:space="0" w:color="auto"/>
                <w:left w:val="none" w:sz="0" w:space="0" w:color="auto"/>
                <w:bottom w:val="none" w:sz="0" w:space="0" w:color="auto"/>
                <w:right w:val="none" w:sz="0" w:space="0" w:color="auto"/>
              </w:divBdr>
              <w:divsChild>
                <w:div w:id="1697390936">
                  <w:marLeft w:val="0"/>
                  <w:marRight w:val="0"/>
                  <w:marTop w:val="0"/>
                  <w:marBottom w:val="0"/>
                  <w:divBdr>
                    <w:top w:val="none" w:sz="0" w:space="0" w:color="auto"/>
                    <w:left w:val="none" w:sz="0" w:space="0" w:color="auto"/>
                    <w:bottom w:val="none" w:sz="0" w:space="0" w:color="auto"/>
                    <w:right w:val="none" w:sz="0" w:space="0" w:color="auto"/>
                  </w:divBdr>
                  <w:divsChild>
                    <w:div w:id="1479885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1997600">
      <w:bodyDiv w:val="1"/>
      <w:marLeft w:val="0"/>
      <w:marRight w:val="0"/>
      <w:marTop w:val="0"/>
      <w:marBottom w:val="0"/>
      <w:divBdr>
        <w:top w:val="none" w:sz="0" w:space="0" w:color="auto"/>
        <w:left w:val="none" w:sz="0" w:space="0" w:color="auto"/>
        <w:bottom w:val="none" w:sz="0" w:space="0" w:color="auto"/>
        <w:right w:val="none" w:sz="0" w:space="0" w:color="auto"/>
      </w:divBdr>
    </w:div>
    <w:div w:id="699936480">
      <w:bodyDiv w:val="1"/>
      <w:marLeft w:val="0"/>
      <w:marRight w:val="0"/>
      <w:marTop w:val="0"/>
      <w:marBottom w:val="0"/>
      <w:divBdr>
        <w:top w:val="none" w:sz="0" w:space="0" w:color="auto"/>
        <w:left w:val="none" w:sz="0" w:space="0" w:color="auto"/>
        <w:bottom w:val="none" w:sz="0" w:space="0" w:color="auto"/>
        <w:right w:val="none" w:sz="0" w:space="0" w:color="auto"/>
      </w:divBdr>
      <w:divsChild>
        <w:div w:id="82842236">
          <w:marLeft w:val="0"/>
          <w:marRight w:val="0"/>
          <w:marTop w:val="0"/>
          <w:marBottom w:val="0"/>
          <w:divBdr>
            <w:top w:val="none" w:sz="0" w:space="0" w:color="auto"/>
            <w:left w:val="none" w:sz="0" w:space="0" w:color="auto"/>
            <w:bottom w:val="none" w:sz="0" w:space="0" w:color="auto"/>
            <w:right w:val="none" w:sz="0" w:space="0" w:color="auto"/>
          </w:divBdr>
          <w:divsChild>
            <w:div w:id="1334340005">
              <w:marLeft w:val="0"/>
              <w:marRight w:val="0"/>
              <w:marTop w:val="0"/>
              <w:marBottom w:val="0"/>
              <w:divBdr>
                <w:top w:val="none" w:sz="0" w:space="0" w:color="auto"/>
                <w:left w:val="none" w:sz="0" w:space="0" w:color="auto"/>
                <w:bottom w:val="none" w:sz="0" w:space="0" w:color="auto"/>
                <w:right w:val="none" w:sz="0" w:space="0" w:color="auto"/>
              </w:divBdr>
              <w:divsChild>
                <w:div w:id="912086978">
                  <w:marLeft w:val="0"/>
                  <w:marRight w:val="0"/>
                  <w:marTop w:val="0"/>
                  <w:marBottom w:val="0"/>
                  <w:divBdr>
                    <w:top w:val="none" w:sz="0" w:space="0" w:color="auto"/>
                    <w:left w:val="none" w:sz="0" w:space="0" w:color="auto"/>
                    <w:bottom w:val="none" w:sz="0" w:space="0" w:color="auto"/>
                    <w:right w:val="none" w:sz="0" w:space="0" w:color="auto"/>
                  </w:divBdr>
                  <w:divsChild>
                    <w:div w:id="1486893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1729502">
      <w:bodyDiv w:val="1"/>
      <w:marLeft w:val="0"/>
      <w:marRight w:val="0"/>
      <w:marTop w:val="0"/>
      <w:marBottom w:val="0"/>
      <w:divBdr>
        <w:top w:val="none" w:sz="0" w:space="0" w:color="auto"/>
        <w:left w:val="none" w:sz="0" w:space="0" w:color="auto"/>
        <w:bottom w:val="none" w:sz="0" w:space="0" w:color="auto"/>
        <w:right w:val="none" w:sz="0" w:space="0" w:color="auto"/>
      </w:divBdr>
      <w:divsChild>
        <w:div w:id="971210438">
          <w:marLeft w:val="0"/>
          <w:marRight w:val="0"/>
          <w:marTop w:val="0"/>
          <w:marBottom w:val="0"/>
          <w:divBdr>
            <w:top w:val="none" w:sz="0" w:space="0" w:color="auto"/>
            <w:left w:val="none" w:sz="0" w:space="0" w:color="auto"/>
            <w:bottom w:val="none" w:sz="0" w:space="0" w:color="auto"/>
            <w:right w:val="none" w:sz="0" w:space="0" w:color="auto"/>
          </w:divBdr>
          <w:divsChild>
            <w:div w:id="57829446">
              <w:marLeft w:val="0"/>
              <w:marRight w:val="0"/>
              <w:marTop w:val="0"/>
              <w:marBottom w:val="0"/>
              <w:divBdr>
                <w:top w:val="none" w:sz="0" w:space="0" w:color="auto"/>
                <w:left w:val="none" w:sz="0" w:space="0" w:color="auto"/>
                <w:bottom w:val="none" w:sz="0" w:space="0" w:color="auto"/>
                <w:right w:val="none" w:sz="0" w:space="0" w:color="auto"/>
              </w:divBdr>
              <w:divsChild>
                <w:div w:id="285477075">
                  <w:marLeft w:val="0"/>
                  <w:marRight w:val="0"/>
                  <w:marTop w:val="0"/>
                  <w:marBottom w:val="0"/>
                  <w:divBdr>
                    <w:top w:val="none" w:sz="0" w:space="0" w:color="auto"/>
                    <w:left w:val="none" w:sz="0" w:space="0" w:color="auto"/>
                    <w:bottom w:val="none" w:sz="0" w:space="0" w:color="auto"/>
                    <w:right w:val="none" w:sz="0" w:space="0" w:color="auto"/>
                  </w:divBdr>
                </w:div>
              </w:divsChild>
            </w:div>
            <w:div w:id="92094784">
              <w:marLeft w:val="0"/>
              <w:marRight w:val="0"/>
              <w:marTop w:val="0"/>
              <w:marBottom w:val="0"/>
              <w:divBdr>
                <w:top w:val="none" w:sz="0" w:space="0" w:color="auto"/>
                <w:left w:val="none" w:sz="0" w:space="0" w:color="auto"/>
                <w:bottom w:val="none" w:sz="0" w:space="0" w:color="auto"/>
                <w:right w:val="none" w:sz="0" w:space="0" w:color="auto"/>
              </w:divBdr>
              <w:divsChild>
                <w:div w:id="1664625247">
                  <w:marLeft w:val="0"/>
                  <w:marRight w:val="0"/>
                  <w:marTop w:val="0"/>
                  <w:marBottom w:val="0"/>
                  <w:divBdr>
                    <w:top w:val="none" w:sz="0" w:space="0" w:color="auto"/>
                    <w:left w:val="none" w:sz="0" w:space="0" w:color="auto"/>
                    <w:bottom w:val="none" w:sz="0" w:space="0" w:color="auto"/>
                    <w:right w:val="none" w:sz="0" w:space="0" w:color="auto"/>
                  </w:divBdr>
                </w:div>
              </w:divsChild>
            </w:div>
            <w:div w:id="765728294">
              <w:marLeft w:val="0"/>
              <w:marRight w:val="0"/>
              <w:marTop w:val="0"/>
              <w:marBottom w:val="0"/>
              <w:divBdr>
                <w:top w:val="none" w:sz="0" w:space="0" w:color="auto"/>
                <w:left w:val="none" w:sz="0" w:space="0" w:color="auto"/>
                <w:bottom w:val="none" w:sz="0" w:space="0" w:color="auto"/>
                <w:right w:val="none" w:sz="0" w:space="0" w:color="auto"/>
              </w:divBdr>
              <w:divsChild>
                <w:div w:id="995258360">
                  <w:marLeft w:val="0"/>
                  <w:marRight w:val="0"/>
                  <w:marTop w:val="0"/>
                  <w:marBottom w:val="0"/>
                  <w:divBdr>
                    <w:top w:val="none" w:sz="0" w:space="0" w:color="auto"/>
                    <w:left w:val="none" w:sz="0" w:space="0" w:color="auto"/>
                    <w:bottom w:val="none" w:sz="0" w:space="0" w:color="auto"/>
                    <w:right w:val="none" w:sz="0" w:space="0" w:color="auto"/>
                  </w:divBdr>
                </w:div>
              </w:divsChild>
            </w:div>
            <w:div w:id="928386744">
              <w:marLeft w:val="0"/>
              <w:marRight w:val="0"/>
              <w:marTop w:val="0"/>
              <w:marBottom w:val="0"/>
              <w:divBdr>
                <w:top w:val="none" w:sz="0" w:space="0" w:color="auto"/>
                <w:left w:val="none" w:sz="0" w:space="0" w:color="auto"/>
                <w:bottom w:val="none" w:sz="0" w:space="0" w:color="auto"/>
                <w:right w:val="none" w:sz="0" w:space="0" w:color="auto"/>
              </w:divBdr>
              <w:divsChild>
                <w:div w:id="852303952">
                  <w:marLeft w:val="0"/>
                  <w:marRight w:val="0"/>
                  <w:marTop w:val="0"/>
                  <w:marBottom w:val="0"/>
                  <w:divBdr>
                    <w:top w:val="none" w:sz="0" w:space="0" w:color="auto"/>
                    <w:left w:val="none" w:sz="0" w:space="0" w:color="auto"/>
                    <w:bottom w:val="none" w:sz="0" w:space="0" w:color="auto"/>
                    <w:right w:val="none" w:sz="0" w:space="0" w:color="auto"/>
                  </w:divBdr>
                </w:div>
              </w:divsChild>
            </w:div>
            <w:div w:id="1681080375">
              <w:marLeft w:val="0"/>
              <w:marRight w:val="0"/>
              <w:marTop w:val="0"/>
              <w:marBottom w:val="0"/>
              <w:divBdr>
                <w:top w:val="none" w:sz="0" w:space="0" w:color="auto"/>
                <w:left w:val="none" w:sz="0" w:space="0" w:color="auto"/>
                <w:bottom w:val="none" w:sz="0" w:space="0" w:color="auto"/>
                <w:right w:val="none" w:sz="0" w:space="0" w:color="auto"/>
              </w:divBdr>
              <w:divsChild>
                <w:div w:id="812720693">
                  <w:marLeft w:val="0"/>
                  <w:marRight w:val="0"/>
                  <w:marTop w:val="0"/>
                  <w:marBottom w:val="0"/>
                  <w:divBdr>
                    <w:top w:val="none" w:sz="0" w:space="0" w:color="auto"/>
                    <w:left w:val="none" w:sz="0" w:space="0" w:color="auto"/>
                    <w:bottom w:val="none" w:sz="0" w:space="0" w:color="auto"/>
                    <w:right w:val="none" w:sz="0" w:space="0" w:color="auto"/>
                  </w:divBdr>
                </w:div>
              </w:divsChild>
            </w:div>
            <w:div w:id="1973052694">
              <w:marLeft w:val="0"/>
              <w:marRight w:val="0"/>
              <w:marTop w:val="0"/>
              <w:marBottom w:val="0"/>
              <w:divBdr>
                <w:top w:val="none" w:sz="0" w:space="0" w:color="auto"/>
                <w:left w:val="none" w:sz="0" w:space="0" w:color="auto"/>
                <w:bottom w:val="none" w:sz="0" w:space="0" w:color="auto"/>
                <w:right w:val="none" w:sz="0" w:space="0" w:color="auto"/>
              </w:divBdr>
              <w:divsChild>
                <w:div w:id="147039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9051613">
          <w:marLeft w:val="0"/>
          <w:marRight w:val="0"/>
          <w:marTop w:val="0"/>
          <w:marBottom w:val="0"/>
          <w:divBdr>
            <w:top w:val="none" w:sz="0" w:space="0" w:color="auto"/>
            <w:left w:val="none" w:sz="0" w:space="0" w:color="auto"/>
            <w:bottom w:val="none" w:sz="0" w:space="0" w:color="auto"/>
            <w:right w:val="none" w:sz="0" w:space="0" w:color="auto"/>
          </w:divBdr>
          <w:divsChild>
            <w:div w:id="394856107">
              <w:marLeft w:val="0"/>
              <w:marRight w:val="0"/>
              <w:marTop w:val="0"/>
              <w:marBottom w:val="0"/>
              <w:divBdr>
                <w:top w:val="none" w:sz="0" w:space="0" w:color="auto"/>
                <w:left w:val="none" w:sz="0" w:space="0" w:color="auto"/>
                <w:bottom w:val="none" w:sz="0" w:space="0" w:color="auto"/>
                <w:right w:val="none" w:sz="0" w:space="0" w:color="auto"/>
              </w:divBdr>
              <w:divsChild>
                <w:div w:id="1876234705">
                  <w:marLeft w:val="0"/>
                  <w:marRight w:val="0"/>
                  <w:marTop w:val="0"/>
                  <w:marBottom w:val="0"/>
                  <w:divBdr>
                    <w:top w:val="none" w:sz="0" w:space="0" w:color="auto"/>
                    <w:left w:val="none" w:sz="0" w:space="0" w:color="auto"/>
                    <w:bottom w:val="none" w:sz="0" w:space="0" w:color="auto"/>
                    <w:right w:val="none" w:sz="0" w:space="0" w:color="auto"/>
                  </w:divBdr>
                  <w:divsChild>
                    <w:div w:id="41747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25179557">
      <w:bodyDiv w:val="1"/>
      <w:marLeft w:val="0"/>
      <w:marRight w:val="0"/>
      <w:marTop w:val="0"/>
      <w:marBottom w:val="0"/>
      <w:divBdr>
        <w:top w:val="none" w:sz="0" w:space="0" w:color="auto"/>
        <w:left w:val="none" w:sz="0" w:space="0" w:color="auto"/>
        <w:bottom w:val="none" w:sz="0" w:space="0" w:color="auto"/>
        <w:right w:val="none" w:sz="0" w:space="0" w:color="auto"/>
      </w:divBdr>
    </w:div>
    <w:div w:id="751514971">
      <w:bodyDiv w:val="1"/>
      <w:marLeft w:val="0"/>
      <w:marRight w:val="0"/>
      <w:marTop w:val="0"/>
      <w:marBottom w:val="0"/>
      <w:divBdr>
        <w:top w:val="none" w:sz="0" w:space="0" w:color="auto"/>
        <w:left w:val="none" w:sz="0" w:space="0" w:color="auto"/>
        <w:bottom w:val="none" w:sz="0" w:space="0" w:color="auto"/>
        <w:right w:val="none" w:sz="0" w:space="0" w:color="auto"/>
      </w:divBdr>
      <w:divsChild>
        <w:div w:id="1609002827">
          <w:marLeft w:val="0"/>
          <w:marRight w:val="0"/>
          <w:marTop w:val="0"/>
          <w:marBottom w:val="0"/>
          <w:divBdr>
            <w:top w:val="none" w:sz="0" w:space="0" w:color="auto"/>
            <w:left w:val="none" w:sz="0" w:space="0" w:color="auto"/>
            <w:bottom w:val="none" w:sz="0" w:space="0" w:color="auto"/>
            <w:right w:val="none" w:sz="0" w:space="0" w:color="auto"/>
          </w:divBdr>
          <w:divsChild>
            <w:div w:id="1857233454">
              <w:marLeft w:val="0"/>
              <w:marRight w:val="0"/>
              <w:marTop w:val="0"/>
              <w:marBottom w:val="0"/>
              <w:divBdr>
                <w:top w:val="none" w:sz="0" w:space="0" w:color="auto"/>
                <w:left w:val="none" w:sz="0" w:space="0" w:color="auto"/>
                <w:bottom w:val="none" w:sz="0" w:space="0" w:color="auto"/>
                <w:right w:val="none" w:sz="0" w:space="0" w:color="auto"/>
              </w:divBdr>
              <w:divsChild>
                <w:div w:id="2077164774">
                  <w:marLeft w:val="0"/>
                  <w:marRight w:val="0"/>
                  <w:marTop w:val="0"/>
                  <w:marBottom w:val="0"/>
                  <w:divBdr>
                    <w:top w:val="none" w:sz="0" w:space="0" w:color="auto"/>
                    <w:left w:val="none" w:sz="0" w:space="0" w:color="auto"/>
                    <w:bottom w:val="none" w:sz="0" w:space="0" w:color="auto"/>
                    <w:right w:val="none" w:sz="0" w:space="0" w:color="auto"/>
                  </w:divBdr>
                  <w:divsChild>
                    <w:div w:id="1130974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2943324">
      <w:bodyDiv w:val="1"/>
      <w:marLeft w:val="0"/>
      <w:marRight w:val="0"/>
      <w:marTop w:val="0"/>
      <w:marBottom w:val="0"/>
      <w:divBdr>
        <w:top w:val="none" w:sz="0" w:space="0" w:color="auto"/>
        <w:left w:val="none" w:sz="0" w:space="0" w:color="auto"/>
        <w:bottom w:val="none" w:sz="0" w:space="0" w:color="auto"/>
        <w:right w:val="none" w:sz="0" w:space="0" w:color="auto"/>
      </w:divBdr>
      <w:divsChild>
        <w:div w:id="778918142">
          <w:marLeft w:val="0"/>
          <w:marRight w:val="0"/>
          <w:marTop w:val="0"/>
          <w:marBottom w:val="0"/>
          <w:divBdr>
            <w:top w:val="none" w:sz="0" w:space="0" w:color="auto"/>
            <w:left w:val="none" w:sz="0" w:space="0" w:color="auto"/>
            <w:bottom w:val="none" w:sz="0" w:space="0" w:color="auto"/>
            <w:right w:val="none" w:sz="0" w:space="0" w:color="auto"/>
          </w:divBdr>
          <w:divsChild>
            <w:div w:id="1659651999">
              <w:marLeft w:val="0"/>
              <w:marRight w:val="0"/>
              <w:marTop w:val="0"/>
              <w:marBottom w:val="0"/>
              <w:divBdr>
                <w:top w:val="none" w:sz="0" w:space="0" w:color="auto"/>
                <w:left w:val="none" w:sz="0" w:space="0" w:color="auto"/>
                <w:bottom w:val="none" w:sz="0" w:space="0" w:color="auto"/>
                <w:right w:val="none" w:sz="0" w:space="0" w:color="auto"/>
              </w:divBdr>
              <w:divsChild>
                <w:div w:id="244850252">
                  <w:marLeft w:val="0"/>
                  <w:marRight w:val="0"/>
                  <w:marTop w:val="0"/>
                  <w:marBottom w:val="0"/>
                  <w:divBdr>
                    <w:top w:val="none" w:sz="0" w:space="0" w:color="auto"/>
                    <w:left w:val="none" w:sz="0" w:space="0" w:color="auto"/>
                    <w:bottom w:val="none" w:sz="0" w:space="0" w:color="auto"/>
                    <w:right w:val="none" w:sz="0" w:space="0" w:color="auto"/>
                  </w:divBdr>
                  <w:divsChild>
                    <w:div w:id="708846668">
                      <w:marLeft w:val="0"/>
                      <w:marRight w:val="0"/>
                      <w:marTop w:val="0"/>
                      <w:marBottom w:val="0"/>
                      <w:divBdr>
                        <w:top w:val="none" w:sz="0" w:space="0" w:color="auto"/>
                        <w:left w:val="none" w:sz="0" w:space="0" w:color="auto"/>
                        <w:bottom w:val="none" w:sz="0" w:space="0" w:color="auto"/>
                        <w:right w:val="none" w:sz="0" w:space="0" w:color="auto"/>
                      </w:divBdr>
                    </w:div>
                  </w:divsChild>
                </w:div>
                <w:div w:id="417021063">
                  <w:marLeft w:val="0"/>
                  <w:marRight w:val="0"/>
                  <w:marTop w:val="0"/>
                  <w:marBottom w:val="0"/>
                  <w:divBdr>
                    <w:top w:val="none" w:sz="0" w:space="0" w:color="auto"/>
                    <w:left w:val="none" w:sz="0" w:space="0" w:color="auto"/>
                    <w:bottom w:val="none" w:sz="0" w:space="0" w:color="auto"/>
                    <w:right w:val="none" w:sz="0" w:space="0" w:color="auto"/>
                  </w:divBdr>
                  <w:divsChild>
                    <w:div w:id="280039953">
                      <w:marLeft w:val="0"/>
                      <w:marRight w:val="0"/>
                      <w:marTop w:val="0"/>
                      <w:marBottom w:val="0"/>
                      <w:divBdr>
                        <w:top w:val="none" w:sz="0" w:space="0" w:color="auto"/>
                        <w:left w:val="none" w:sz="0" w:space="0" w:color="auto"/>
                        <w:bottom w:val="none" w:sz="0" w:space="0" w:color="auto"/>
                        <w:right w:val="none" w:sz="0" w:space="0" w:color="auto"/>
                      </w:divBdr>
                    </w:div>
                  </w:divsChild>
                </w:div>
                <w:div w:id="494272595">
                  <w:marLeft w:val="0"/>
                  <w:marRight w:val="0"/>
                  <w:marTop w:val="0"/>
                  <w:marBottom w:val="0"/>
                  <w:divBdr>
                    <w:top w:val="none" w:sz="0" w:space="0" w:color="auto"/>
                    <w:left w:val="none" w:sz="0" w:space="0" w:color="auto"/>
                    <w:bottom w:val="none" w:sz="0" w:space="0" w:color="auto"/>
                    <w:right w:val="none" w:sz="0" w:space="0" w:color="auto"/>
                  </w:divBdr>
                  <w:divsChild>
                    <w:div w:id="869608402">
                      <w:marLeft w:val="0"/>
                      <w:marRight w:val="0"/>
                      <w:marTop w:val="0"/>
                      <w:marBottom w:val="0"/>
                      <w:divBdr>
                        <w:top w:val="none" w:sz="0" w:space="0" w:color="auto"/>
                        <w:left w:val="none" w:sz="0" w:space="0" w:color="auto"/>
                        <w:bottom w:val="none" w:sz="0" w:space="0" w:color="auto"/>
                        <w:right w:val="none" w:sz="0" w:space="0" w:color="auto"/>
                      </w:divBdr>
                    </w:div>
                  </w:divsChild>
                </w:div>
                <w:div w:id="954747251">
                  <w:marLeft w:val="0"/>
                  <w:marRight w:val="0"/>
                  <w:marTop w:val="0"/>
                  <w:marBottom w:val="0"/>
                  <w:divBdr>
                    <w:top w:val="none" w:sz="0" w:space="0" w:color="auto"/>
                    <w:left w:val="none" w:sz="0" w:space="0" w:color="auto"/>
                    <w:bottom w:val="none" w:sz="0" w:space="0" w:color="auto"/>
                    <w:right w:val="none" w:sz="0" w:space="0" w:color="auto"/>
                  </w:divBdr>
                  <w:divsChild>
                    <w:div w:id="337123471">
                      <w:marLeft w:val="0"/>
                      <w:marRight w:val="0"/>
                      <w:marTop w:val="0"/>
                      <w:marBottom w:val="0"/>
                      <w:divBdr>
                        <w:top w:val="none" w:sz="0" w:space="0" w:color="auto"/>
                        <w:left w:val="none" w:sz="0" w:space="0" w:color="auto"/>
                        <w:bottom w:val="none" w:sz="0" w:space="0" w:color="auto"/>
                        <w:right w:val="none" w:sz="0" w:space="0" w:color="auto"/>
                      </w:divBdr>
                    </w:div>
                  </w:divsChild>
                </w:div>
                <w:div w:id="1311329519">
                  <w:marLeft w:val="0"/>
                  <w:marRight w:val="0"/>
                  <w:marTop w:val="0"/>
                  <w:marBottom w:val="0"/>
                  <w:divBdr>
                    <w:top w:val="none" w:sz="0" w:space="0" w:color="auto"/>
                    <w:left w:val="none" w:sz="0" w:space="0" w:color="auto"/>
                    <w:bottom w:val="none" w:sz="0" w:space="0" w:color="auto"/>
                    <w:right w:val="none" w:sz="0" w:space="0" w:color="auto"/>
                  </w:divBdr>
                  <w:divsChild>
                    <w:div w:id="1552351728">
                      <w:marLeft w:val="0"/>
                      <w:marRight w:val="0"/>
                      <w:marTop w:val="0"/>
                      <w:marBottom w:val="0"/>
                      <w:divBdr>
                        <w:top w:val="none" w:sz="0" w:space="0" w:color="auto"/>
                        <w:left w:val="none" w:sz="0" w:space="0" w:color="auto"/>
                        <w:bottom w:val="none" w:sz="0" w:space="0" w:color="auto"/>
                        <w:right w:val="none" w:sz="0" w:space="0" w:color="auto"/>
                      </w:divBdr>
                    </w:div>
                  </w:divsChild>
                </w:div>
                <w:div w:id="1547596418">
                  <w:marLeft w:val="0"/>
                  <w:marRight w:val="0"/>
                  <w:marTop w:val="0"/>
                  <w:marBottom w:val="0"/>
                  <w:divBdr>
                    <w:top w:val="none" w:sz="0" w:space="0" w:color="auto"/>
                    <w:left w:val="none" w:sz="0" w:space="0" w:color="auto"/>
                    <w:bottom w:val="none" w:sz="0" w:space="0" w:color="auto"/>
                    <w:right w:val="none" w:sz="0" w:space="0" w:color="auto"/>
                  </w:divBdr>
                  <w:divsChild>
                    <w:div w:id="1701542416">
                      <w:marLeft w:val="0"/>
                      <w:marRight w:val="0"/>
                      <w:marTop w:val="0"/>
                      <w:marBottom w:val="0"/>
                      <w:divBdr>
                        <w:top w:val="none" w:sz="0" w:space="0" w:color="auto"/>
                        <w:left w:val="none" w:sz="0" w:space="0" w:color="auto"/>
                        <w:bottom w:val="none" w:sz="0" w:space="0" w:color="auto"/>
                        <w:right w:val="none" w:sz="0" w:space="0" w:color="auto"/>
                      </w:divBdr>
                    </w:div>
                  </w:divsChild>
                </w:div>
                <w:div w:id="1934587441">
                  <w:marLeft w:val="0"/>
                  <w:marRight w:val="0"/>
                  <w:marTop w:val="0"/>
                  <w:marBottom w:val="0"/>
                  <w:divBdr>
                    <w:top w:val="none" w:sz="0" w:space="0" w:color="auto"/>
                    <w:left w:val="none" w:sz="0" w:space="0" w:color="auto"/>
                    <w:bottom w:val="none" w:sz="0" w:space="0" w:color="auto"/>
                    <w:right w:val="none" w:sz="0" w:space="0" w:color="auto"/>
                  </w:divBdr>
                  <w:divsChild>
                    <w:div w:id="746729228">
                      <w:marLeft w:val="0"/>
                      <w:marRight w:val="0"/>
                      <w:marTop w:val="0"/>
                      <w:marBottom w:val="0"/>
                      <w:divBdr>
                        <w:top w:val="none" w:sz="0" w:space="0" w:color="auto"/>
                        <w:left w:val="none" w:sz="0" w:space="0" w:color="auto"/>
                        <w:bottom w:val="none" w:sz="0" w:space="0" w:color="auto"/>
                        <w:right w:val="none" w:sz="0" w:space="0" w:color="auto"/>
                      </w:divBdr>
                    </w:div>
                  </w:divsChild>
                </w:div>
                <w:div w:id="1971207299">
                  <w:marLeft w:val="0"/>
                  <w:marRight w:val="0"/>
                  <w:marTop w:val="0"/>
                  <w:marBottom w:val="0"/>
                  <w:divBdr>
                    <w:top w:val="none" w:sz="0" w:space="0" w:color="auto"/>
                    <w:left w:val="none" w:sz="0" w:space="0" w:color="auto"/>
                    <w:bottom w:val="none" w:sz="0" w:space="0" w:color="auto"/>
                    <w:right w:val="none" w:sz="0" w:space="0" w:color="auto"/>
                  </w:divBdr>
                  <w:divsChild>
                    <w:div w:id="448861849">
                      <w:marLeft w:val="0"/>
                      <w:marRight w:val="0"/>
                      <w:marTop w:val="0"/>
                      <w:marBottom w:val="0"/>
                      <w:divBdr>
                        <w:top w:val="none" w:sz="0" w:space="0" w:color="auto"/>
                        <w:left w:val="none" w:sz="0" w:space="0" w:color="auto"/>
                        <w:bottom w:val="none" w:sz="0" w:space="0" w:color="auto"/>
                        <w:right w:val="none" w:sz="0" w:space="0" w:color="auto"/>
                      </w:divBdr>
                    </w:div>
                  </w:divsChild>
                </w:div>
                <w:div w:id="2073577315">
                  <w:marLeft w:val="0"/>
                  <w:marRight w:val="0"/>
                  <w:marTop w:val="0"/>
                  <w:marBottom w:val="0"/>
                  <w:divBdr>
                    <w:top w:val="none" w:sz="0" w:space="0" w:color="auto"/>
                    <w:left w:val="none" w:sz="0" w:space="0" w:color="auto"/>
                    <w:bottom w:val="none" w:sz="0" w:space="0" w:color="auto"/>
                    <w:right w:val="none" w:sz="0" w:space="0" w:color="auto"/>
                  </w:divBdr>
                  <w:divsChild>
                    <w:div w:id="1651205360">
                      <w:marLeft w:val="0"/>
                      <w:marRight w:val="0"/>
                      <w:marTop w:val="0"/>
                      <w:marBottom w:val="0"/>
                      <w:divBdr>
                        <w:top w:val="none" w:sz="0" w:space="0" w:color="auto"/>
                        <w:left w:val="none" w:sz="0" w:space="0" w:color="auto"/>
                        <w:bottom w:val="none" w:sz="0" w:space="0" w:color="auto"/>
                        <w:right w:val="none" w:sz="0" w:space="0" w:color="auto"/>
                      </w:divBdr>
                    </w:div>
                  </w:divsChild>
                </w:div>
                <w:div w:id="2111926671">
                  <w:marLeft w:val="0"/>
                  <w:marRight w:val="0"/>
                  <w:marTop w:val="0"/>
                  <w:marBottom w:val="0"/>
                  <w:divBdr>
                    <w:top w:val="none" w:sz="0" w:space="0" w:color="auto"/>
                    <w:left w:val="none" w:sz="0" w:space="0" w:color="auto"/>
                    <w:bottom w:val="none" w:sz="0" w:space="0" w:color="auto"/>
                    <w:right w:val="none" w:sz="0" w:space="0" w:color="auto"/>
                  </w:divBdr>
                  <w:divsChild>
                    <w:div w:id="1525367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66121607">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786581675">
      <w:bodyDiv w:val="1"/>
      <w:marLeft w:val="0"/>
      <w:marRight w:val="0"/>
      <w:marTop w:val="0"/>
      <w:marBottom w:val="0"/>
      <w:divBdr>
        <w:top w:val="none" w:sz="0" w:space="0" w:color="auto"/>
        <w:left w:val="none" w:sz="0" w:space="0" w:color="auto"/>
        <w:bottom w:val="none" w:sz="0" w:space="0" w:color="auto"/>
        <w:right w:val="none" w:sz="0" w:space="0" w:color="auto"/>
      </w:divBdr>
      <w:divsChild>
        <w:div w:id="572356854">
          <w:marLeft w:val="0"/>
          <w:marRight w:val="0"/>
          <w:marTop w:val="0"/>
          <w:marBottom w:val="0"/>
          <w:divBdr>
            <w:top w:val="none" w:sz="0" w:space="0" w:color="auto"/>
            <w:left w:val="none" w:sz="0" w:space="0" w:color="auto"/>
            <w:bottom w:val="none" w:sz="0" w:space="0" w:color="auto"/>
            <w:right w:val="none" w:sz="0" w:space="0" w:color="auto"/>
          </w:divBdr>
          <w:divsChild>
            <w:div w:id="1518813740">
              <w:marLeft w:val="0"/>
              <w:marRight w:val="0"/>
              <w:marTop w:val="0"/>
              <w:marBottom w:val="0"/>
              <w:divBdr>
                <w:top w:val="none" w:sz="0" w:space="0" w:color="auto"/>
                <w:left w:val="none" w:sz="0" w:space="0" w:color="auto"/>
                <w:bottom w:val="none" w:sz="0" w:space="0" w:color="auto"/>
                <w:right w:val="none" w:sz="0" w:space="0" w:color="auto"/>
              </w:divBdr>
              <w:divsChild>
                <w:div w:id="1923294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0096449">
      <w:bodyDiv w:val="1"/>
      <w:marLeft w:val="0"/>
      <w:marRight w:val="0"/>
      <w:marTop w:val="0"/>
      <w:marBottom w:val="0"/>
      <w:divBdr>
        <w:top w:val="none" w:sz="0" w:space="0" w:color="auto"/>
        <w:left w:val="none" w:sz="0" w:space="0" w:color="auto"/>
        <w:bottom w:val="none" w:sz="0" w:space="0" w:color="auto"/>
        <w:right w:val="none" w:sz="0" w:space="0" w:color="auto"/>
      </w:divBdr>
      <w:divsChild>
        <w:div w:id="1362626939">
          <w:marLeft w:val="0"/>
          <w:marRight w:val="0"/>
          <w:marTop w:val="0"/>
          <w:marBottom w:val="0"/>
          <w:divBdr>
            <w:top w:val="none" w:sz="0" w:space="0" w:color="auto"/>
            <w:left w:val="none" w:sz="0" w:space="0" w:color="auto"/>
            <w:bottom w:val="none" w:sz="0" w:space="0" w:color="auto"/>
            <w:right w:val="none" w:sz="0" w:space="0" w:color="auto"/>
          </w:divBdr>
          <w:divsChild>
            <w:div w:id="897088416">
              <w:marLeft w:val="0"/>
              <w:marRight w:val="0"/>
              <w:marTop w:val="0"/>
              <w:marBottom w:val="0"/>
              <w:divBdr>
                <w:top w:val="none" w:sz="0" w:space="0" w:color="auto"/>
                <w:left w:val="none" w:sz="0" w:space="0" w:color="auto"/>
                <w:bottom w:val="none" w:sz="0" w:space="0" w:color="auto"/>
                <w:right w:val="none" w:sz="0" w:space="0" w:color="auto"/>
              </w:divBdr>
              <w:divsChild>
                <w:div w:id="552540497">
                  <w:marLeft w:val="0"/>
                  <w:marRight w:val="0"/>
                  <w:marTop w:val="0"/>
                  <w:marBottom w:val="0"/>
                  <w:divBdr>
                    <w:top w:val="none" w:sz="0" w:space="0" w:color="auto"/>
                    <w:left w:val="none" w:sz="0" w:space="0" w:color="auto"/>
                    <w:bottom w:val="none" w:sz="0" w:space="0" w:color="auto"/>
                    <w:right w:val="none" w:sz="0" w:space="0" w:color="auto"/>
                  </w:divBdr>
                  <w:divsChild>
                    <w:div w:id="151646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264845">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24707289">
      <w:bodyDiv w:val="1"/>
      <w:marLeft w:val="0"/>
      <w:marRight w:val="0"/>
      <w:marTop w:val="0"/>
      <w:marBottom w:val="0"/>
      <w:divBdr>
        <w:top w:val="none" w:sz="0" w:space="0" w:color="auto"/>
        <w:left w:val="none" w:sz="0" w:space="0" w:color="auto"/>
        <w:bottom w:val="none" w:sz="0" w:space="0" w:color="auto"/>
        <w:right w:val="none" w:sz="0" w:space="0" w:color="auto"/>
      </w:divBdr>
      <w:divsChild>
        <w:div w:id="1711494068">
          <w:marLeft w:val="0"/>
          <w:marRight w:val="0"/>
          <w:marTop w:val="0"/>
          <w:marBottom w:val="0"/>
          <w:divBdr>
            <w:top w:val="none" w:sz="0" w:space="0" w:color="auto"/>
            <w:left w:val="none" w:sz="0" w:space="0" w:color="auto"/>
            <w:bottom w:val="none" w:sz="0" w:space="0" w:color="auto"/>
            <w:right w:val="none" w:sz="0" w:space="0" w:color="auto"/>
          </w:divBdr>
          <w:divsChild>
            <w:div w:id="509762145">
              <w:marLeft w:val="0"/>
              <w:marRight w:val="0"/>
              <w:marTop w:val="0"/>
              <w:marBottom w:val="0"/>
              <w:divBdr>
                <w:top w:val="none" w:sz="0" w:space="0" w:color="auto"/>
                <w:left w:val="none" w:sz="0" w:space="0" w:color="auto"/>
                <w:bottom w:val="none" w:sz="0" w:space="0" w:color="auto"/>
                <w:right w:val="none" w:sz="0" w:space="0" w:color="auto"/>
              </w:divBdr>
              <w:divsChild>
                <w:div w:id="1895852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5173776">
      <w:bodyDiv w:val="1"/>
      <w:marLeft w:val="0"/>
      <w:marRight w:val="0"/>
      <w:marTop w:val="0"/>
      <w:marBottom w:val="0"/>
      <w:divBdr>
        <w:top w:val="none" w:sz="0" w:space="0" w:color="auto"/>
        <w:left w:val="none" w:sz="0" w:space="0" w:color="auto"/>
        <w:bottom w:val="none" w:sz="0" w:space="0" w:color="auto"/>
        <w:right w:val="none" w:sz="0" w:space="0" w:color="auto"/>
      </w:divBdr>
      <w:divsChild>
        <w:div w:id="112141599">
          <w:marLeft w:val="0"/>
          <w:marRight w:val="0"/>
          <w:marTop w:val="0"/>
          <w:marBottom w:val="0"/>
          <w:divBdr>
            <w:top w:val="none" w:sz="0" w:space="0" w:color="auto"/>
            <w:left w:val="none" w:sz="0" w:space="0" w:color="auto"/>
            <w:bottom w:val="none" w:sz="0" w:space="0" w:color="auto"/>
            <w:right w:val="none" w:sz="0" w:space="0" w:color="auto"/>
          </w:divBdr>
          <w:divsChild>
            <w:div w:id="880900932">
              <w:marLeft w:val="0"/>
              <w:marRight w:val="0"/>
              <w:marTop w:val="0"/>
              <w:marBottom w:val="0"/>
              <w:divBdr>
                <w:top w:val="none" w:sz="0" w:space="0" w:color="auto"/>
                <w:left w:val="none" w:sz="0" w:space="0" w:color="auto"/>
                <w:bottom w:val="none" w:sz="0" w:space="0" w:color="auto"/>
                <w:right w:val="none" w:sz="0" w:space="0" w:color="auto"/>
              </w:divBdr>
              <w:divsChild>
                <w:div w:id="135017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3869667">
          <w:marLeft w:val="0"/>
          <w:marRight w:val="0"/>
          <w:marTop w:val="0"/>
          <w:marBottom w:val="0"/>
          <w:divBdr>
            <w:top w:val="none" w:sz="0" w:space="0" w:color="auto"/>
            <w:left w:val="none" w:sz="0" w:space="0" w:color="auto"/>
            <w:bottom w:val="none" w:sz="0" w:space="0" w:color="auto"/>
            <w:right w:val="none" w:sz="0" w:space="0" w:color="auto"/>
          </w:divBdr>
          <w:divsChild>
            <w:div w:id="756290458">
              <w:marLeft w:val="0"/>
              <w:marRight w:val="0"/>
              <w:marTop w:val="0"/>
              <w:marBottom w:val="0"/>
              <w:divBdr>
                <w:top w:val="none" w:sz="0" w:space="0" w:color="auto"/>
                <w:left w:val="none" w:sz="0" w:space="0" w:color="auto"/>
                <w:bottom w:val="none" w:sz="0" w:space="0" w:color="auto"/>
                <w:right w:val="none" w:sz="0" w:space="0" w:color="auto"/>
              </w:divBdr>
              <w:divsChild>
                <w:div w:id="1353535274">
                  <w:marLeft w:val="0"/>
                  <w:marRight w:val="0"/>
                  <w:marTop w:val="0"/>
                  <w:marBottom w:val="0"/>
                  <w:divBdr>
                    <w:top w:val="none" w:sz="0" w:space="0" w:color="auto"/>
                    <w:left w:val="none" w:sz="0" w:space="0" w:color="auto"/>
                    <w:bottom w:val="none" w:sz="0" w:space="0" w:color="auto"/>
                    <w:right w:val="none" w:sz="0" w:space="0" w:color="auto"/>
                  </w:divBdr>
                </w:div>
              </w:divsChild>
            </w:div>
            <w:div w:id="1891069028">
              <w:marLeft w:val="0"/>
              <w:marRight w:val="0"/>
              <w:marTop w:val="0"/>
              <w:marBottom w:val="0"/>
              <w:divBdr>
                <w:top w:val="none" w:sz="0" w:space="0" w:color="auto"/>
                <w:left w:val="none" w:sz="0" w:space="0" w:color="auto"/>
                <w:bottom w:val="none" w:sz="0" w:space="0" w:color="auto"/>
                <w:right w:val="none" w:sz="0" w:space="0" w:color="auto"/>
              </w:divBdr>
              <w:divsChild>
                <w:div w:id="175195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7139463">
      <w:bodyDiv w:val="1"/>
      <w:marLeft w:val="0"/>
      <w:marRight w:val="0"/>
      <w:marTop w:val="0"/>
      <w:marBottom w:val="0"/>
      <w:divBdr>
        <w:top w:val="none" w:sz="0" w:space="0" w:color="auto"/>
        <w:left w:val="none" w:sz="0" w:space="0" w:color="auto"/>
        <w:bottom w:val="none" w:sz="0" w:space="0" w:color="auto"/>
        <w:right w:val="none" w:sz="0" w:space="0" w:color="auto"/>
      </w:divBdr>
      <w:divsChild>
        <w:div w:id="976304096">
          <w:marLeft w:val="0"/>
          <w:marRight w:val="0"/>
          <w:marTop w:val="0"/>
          <w:marBottom w:val="0"/>
          <w:divBdr>
            <w:top w:val="none" w:sz="0" w:space="0" w:color="auto"/>
            <w:left w:val="none" w:sz="0" w:space="0" w:color="auto"/>
            <w:bottom w:val="none" w:sz="0" w:space="0" w:color="auto"/>
            <w:right w:val="none" w:sz="0" w:space="0" w:color="auto"/>
          </w:divBdr>
          <w:divsChild>
            <w:div w:id="1852135031">
              <w:marLeft w:val="0"/>
              <w:marRight w:val="0"/>
              <w:marTop w:val="0"/>
              <w:marBottom w:val="0"/>
              <w:divBdr>
                <w:top w:val="none" w:sz="0" w:space="0" w:color="auto"/>
                <w:left w:val="none" w:sz="0" w:space="0" w:color="auto"/>
                <w:bottom w:val="none" w:sz="0" w:space="0" w:color="auto"/>
                <w:right w:val="none" w:sz="0" w:space="0" w:color="auto"/>
              </w:divBdr>
              <w:divsChild>
                <w:div w:id="541477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69680286">
      <w:bodyDiv w:val="1"/>
      <w:marLeft w:val="0"/>
      <w:marRight w:val="0"/>
      <w:marTop w:val="0"/>
      <w:marBottom w:val="0"/>
      <w:divBdr>
        <w:top w:val="none" w:sz="0" w:space="0" w:color="auto"/>
        <w:left w:val="none" w:sz="0" w:space="0" w:color="auto"/>
        <w:bottom w:val="none" w:sz="0" w:space="0" w:color="auto"/>
        <w:right w:val="none" w:sz="0" w:space="0" w:color="auto"/>
      </w:divBdr>
      <w:divsChild>
        <w:div w:id="149830848">
          <w:marLeft w:val="0"/>
          <w:marRight w:val="0"/>
          <w:marTop w:val="0"/>
          <w:marBottom w:val="0"/>
          <w:divBdr>
            <w:top w:val="none" w:sz="0" w:space="0" w:color="auto"/>
            <w:left w:val="none" w:sz="0" w:space="0" w:color="auto"/>
            <w:bottom w:val="none" w:sz="0" w:space="0" w:color="auto"/>
            <w:right w:val="none" w:sz="0" w:space="0" w:color="auto"/>
          </w:divBdr>
          <w:divsChild>
            <w:div w:id="1792047126">
              <w:marLeft w:val="0"/>
              <w:marRight w:val="0"/>
              <w:marTop w:val="0"/>
              <w:marBottom w:val="0"/>
              <w:divBdr>
                <w:top w:val="none" w:sz="0" w:space="0" w:color="auto"/>
                <w:left w:val="none" w:sz="0" w:space="0" w:color="auto"/>
                <w:bottom w:val="none" w:sz="0" w:space="0" w:color="auto"/>
                <w:right w:val="none" w:sz="0" w:space="0" w:color="auto"/>
              </w:divBdr>
              <w:divsChild>
                <w:div w:id="938879365">
                  <w:marLeft w:val="0"/>
                  <w:marRight w:val="0"/>
                  <w:marTop w:val="0"/>
                  <w:marBottom w:val="0"/>
                  <w:divBdr>
                    <w:top w:val="none" w:sz="0" w:space="0" w:color="auto"/>
                    <w:left w:val="none" w:sz="0" w:space="0" w:color="auto"/>
                    <w:bottom w:val="none" w:sz="0" w:space="0" w:color="auto"/>
                    <w:right w:val="none" w:sz="0" w:space="0" w:color="auto"/>
                  </w:divBdr>
                  <w:divsChild>
                    <w:div w:id="1621836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97590649">
      <w:bodyDiv w:val="1"/>
      <w:marLeft w:val="0"/>
      <w:marRight w:val="0"/>
      <w:marTop w:val="0"/>
      <w:marBottom w:val="0"/>
      <w:divBdr>
        <w:top w:val="none" w:sz="0" w:space="0" w:color="auto"/>
        <w:left w:val="none" w:sz="0" w:space="0" w:color="auto"/>
        <w:bottom w:val="none" w:sz="0" w:space="0" w:color="auto"/>
        <w:right w:val="none" w:sz="0" w:space="0" w:color="auto"/>
      </w:divBdr>
      <w:divsChild>
        <w:div w:id="284973023">
          <w:marLeft w:val="0"/>
          <w:marRight w:val="0"/>
          <w:marTop w:val="0"/>
          <w:marBottom w:val="0"/>
          <w:divBdr>
            <w:top w:val="none" w:sz="0" w:space="0" w:color="auto"/>
            <w:left w:val="none" w:sz="0" w:space="0" w:color="auto"/>
            <w:bottom w:val="none" w:sz="0" w:space="0" w:color="auto"/>
            <w:right w:val="none" w:sz="0" w:space="0" w:color="auto"/>
          </w:divBdr>
          <w:divsChild>
            <w:div w:id="1128621183">
              <w:marLeft w:val="0"/>
              <w:marRight w:val="0"/>
              <w:marTop w:val="0"/>
              <w:marBottom w:val="0"/>
              <w:divBdr>
                <w:top w:val="none" w:sz="0" w:space="0" w:color="auto"/>
                <w:left w:val="none" w:sz="0" w:space="0" w:color="auto"/>
                <w:bottom w:val="none" w:sz="0" w:space="0" w:color="auto"/>
                <w:right w:val="none" w:sz="0" w:space="0" w:color="auto"/>
              </w:divBdr>
              <w:divsChild>
                <w:div w:id="1810827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102339">
          <w:marLeft w:val="0"/>
          <w:marRight w:val="0"/>
          <w:marTop w:val="0"/>
          <w:marBottom w:val="0"/>
          <w:divBdr>
            <w:top w:val="none" w:sz="0" w:space="0" w:color="auto"/>
            <w:left w:val="none" w:sz="0" w:space="0" w:color="auto"/>
            <w:bottom w:val="none" w:sz="0" w:space="0" w:color="auto"/>
            <w:right w:val="none" w:sz="0" w:space="0" w:color="auto"/>
          </w:divBdr>
          <w:divsChild>
            <w:div w:id="530456313">
              <w:marLeft w:val="0"/>
              <w:marRight w:val="0"/>
              <w:marTop w:val="0"/>
              <w:marBottom w:val="0"/>
              <w:divBdr>
                <w:top w:val="none" w:sz="0" w:space="0" w:color="auto"/>
                <w:left w:val="none" w:sz="0" w:space="0" w:color="auto"/>
                <w:bottom w:val="none" w:sz="0" w:space="0" w:color="auto"/>
                <w:right w:val="none" w:sz="0" w:space="0" w:color="auto"/>
              </w:divBdr>
              <w:divsChild>
                <w:div w:id="6831366">
                  <w:marLeft w:val="0"/>
                  <w:marRight w:val="0"/>
                  <w:marTop w:val="0"/>
                  <w:marBottom w:val="0"/>
                  <w:divBdr>
                    <w:top w:val="none" w:sz="0" w:space="0" w:color="auto"/>
                    <w:left w:val="none" w:sz="0" w:space="0" w:color="auto"/>
                    <w:bottom w:val="none" w:sz="0" w:space="0" w:color="auto"/>
                    <w:right w:val="none" w:sz="0" w:space="0" w:color="auto"/>
                  </w:divBdr>
                </w:div>
              </w:divsChild>
            </w:div>
            <w:div w:id="964964833">
              <w:marLeft w:val="0"/>
              <w:marRight w:val="0"/>
              <w:marTop w:val="0"/>
              <w:marBottom w:val="0"/>
              <w:divBdr>
                <w:top w:val="none" w:sz="0" w:space="0" w:color="auto"/>
                <w:left w:val="none" w:sz="0" w:space="0" w:color="auto"/>
                <w:bottom w:val="none" w:sz="0" w:space="0" w:color="auto"/>
                <w:right w:val="none" w:sz="0" w:space="0" w:color="auto"/>
              </w:divBdr>
              <w:divsChild>
                <w:div w:id="1492939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6264222">
      <w:bodyDiv w:val="1"/>
      <w:marLeft w:val="0"/>
      <w:marRight w:val="0"/>
      <w:marTop w:val="0"/>
      <w:marBottom w:val="0"/>
      <w:divBdr>
        <w:top w:val="none" w:sz="0" w:space="0" w:color="auto"/>
        <w:left w:val="none" w:sz="0" w:space="0" w:color="auto"/>
        <w:bottom w:val="none" w:sz="0" w:space="0" w:color="auto"/>
        <w:right w:val="none" w:sz="0" w:space="0" w:color="auto"/>
      </w:divBdr>
      <w:divsChild>
        <w:div w:id="1334918003">
          <w:marLeft w:val="0"/>
          <w:marRight w:val="0"/>
          <w:marTop w:val="0"/>
          <w:marBottom w:val="0"/>
          <w:divBdr>
            <w:top w:val="none" w:sz="0" w:space="0" w:color="auto"/>
            <w:left w:val="none" w:sz="0" w:space="0" w:color="auto"/>
            <w:bottom w:val="none" w:sz="0" w:space="0" w:color="auto"/>
            <w:right w:val="none" w:sz="0" w:space="0" w:color="auto"/>
          </w:divBdr>
          <w:divsChild>
            <w:div w:id="608851389">
              <w:marLeft w:val="0"/>
              <w:marRight w:val="0"/>
              <w:marTop w:val="0"/>
              <w:marBottom w:val="0"/>
              <w:divBdr>
                <w:top w:val="none" w:sz="0" w:space="0" w:color="auto"/>
                <w:left w:val="none" w:sz="0" w:space="0" w:color="auto"/>
                <w:bottom w:val="none" w:sz="0" w:space="0" w:color="auto"/>
                <w:right w:val="none" w:sz="0" w:space="0" w:color="auto"/>
              </w:divBdr>
              <w:divsChild>
                <w:div w:id="1937711874">
                  <w:marLeft w:val="0"/>
                  <w:marRight w:val="0"/>
                  <w:marTop w:val="0"/>
                  <w:marBottom w:val="0"/>
                  <w:divBdr>
                    <w:top w:val="none" w:sz="0" w:space="0" w:color="auto"/>
                    <w:left w:val="none" w:sz="0" w:space="0" w:color="auto"/>
                    <w:bottom w:val="none" w:sz="0" w:space="0" w:color="auto"/>
                    <w:right w:val="none" w:sz="0" w:space="0" w:color="auto"/>
                  </w:divBdr>
                  <w:divsChild>
                    <w:div w:id="512496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46697586">
      <w:bodyDiv w:val="1"/>
      <w:marLeft w:val="0"/>
      <w:marRight w:val="0"/>
      <w:marTop w:val="0"/>
      <w:marBottom w:val="0"/>
      <w:divBdr>
        <w:top w:val="none" w:sz="0" w:space="0" w:color="auto"/>
        <w:left w:val="none" w:sz="0" w:space="0" w:color="auto"/>
        <w:bottom w:val="none" w:sz="0" w:space="0" w:color="auto"/>
        <w:right w:val="none" w:sz="0" w:space="0" w:color="auto"/>
      </w:divBdr>
    </w:div>
    <w:div w:id="962349920">
      <w:bodyDiv w:val="1"/>
      <w:marLeft w:val="0"/>
      <w:marRight w:val="0"/>
      <w:marTop w:val="0"/>
      <w:marBottom w:val="0"/>
      <w:divBdr>
        <w:top w:val="none" w:sz="0" w:space="0" w:color="auto"/>
        <w:left w:val="none" w:sz="0" w:space="0" w:color="auto"/>
        <w:bottom w:val="none" w:sz="0" w:space="0" w:color="auto"/>
        <w:right w:val="none" w:sz="0" w:space="0" w:color="auto"/>
      </w:divBdr>
      <w:divsChild>
        <w:div w:id="739061908">
          <w:marLeft w:val="0"/>
          <w:marRight w:val="0"/>
          <w:marTop w:val="0"/>
          <w:marBottom w:val="0"/>
          <w:divBdr>
            <w:top w:val="none" w:sz="0" w:space="0" w:color="auto"/>
            <w:left w:val="none" w:sz="0" w:space="0" w:color="auto"/>
            <w:bottom w:val="none" w:sz="0" w:space="0" w:color="auto"/>
            <w:right w:val="none" w:sz="0" w:space="0" w:color="auto"/>
          </w:divBdr>
          <w:divsChild>
            <w:div w:id="899251206">
              <w:marLeft w:val="0"/>
              <w:marRight w:val="0"/>
              <w:marTop w:val="0"/>
              <w:marBottom w:val="0"/>
              <w:divBdr>
                <w:top w:val="none" w:sz="0" w:space="0" w:color="auto"/>
                <w:left w:val="none" w:sz="0" w:space="0" w:color="auto"/>
                <w:bottom w:val="none" w:sz="0" w:space="0" w:color="auto"/>
                <w:right w:val="none" w:sz="0" w:space="0" w:color="auto"/>
              </w:divBdr>
              <w:divsChild>
                <w:div w:id="1887525632">
                  <w:marLeft w:val="0"/>
                  <w:marRight w:val="0"/>
                  <w:marTop w:val="0"/>
                  <w:marBottom w:val="0"/>
                  <w:divBdr>
                    <w:top w:val="none" w:sz="0" w:space="0" w:color="auto"/>
                    <w:left w:val="none" w:sz="0" w:space="0" w:color="auto"/>
                    <w:bottom w:val="none" w:sz="0" w:space="0" w:color="auto"/>
                    <w:right w:val="none" w:sz="0" w:space="0" w:color="auto"/>
                  </w:divBdr>
                  <w:divsChild>
                    <w:div w:id="534002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39280987">
      <w:bodyDiv w:val="1"/>
      <w:marLeft w:val="0"/>
      <w:marRight w:val="0"/>
      <w:marTop w:val="0"/>
      <w:marBottom w:val="0"/>
      <w:divBdr>
        <w:top w:val="none" w:sz="0" w:space="0" w:color="auto"/>
        <w:left w:val="none" w:sz="0" w:space="0" w:color="auto"/>
        <w:bottom w:val="none" w:sz="0" w:space="0" w:color="auto"/>
        <w:right w:val="none" w:sz="0" w:space="0" w:color="auto"/>
      </w:divBdr>
      <w:divsChild>
        <w:div w:id="1843397487">
          <w:marLeft w:val="0"/>
          <w:marRight w:val="0"/>
          <w:marTop w:val="0"/>
          <w:marBottom w:val="0"/>
          <w:divBdr>
            <w:top w:val="none" w:sz="0" w:space="0" w:color="auto"/>
            <w:left w:val="none" w:sz="0" w:space="0" w:color="auto"/>
            <w:bottom w:val="none" w:sz="0" w:space="0" w:color="auto"/>
            <w:right w:val="none" w:sz="0" w:space="0" w:color="auto"/>
          </w:divBdr>
          <w:divsChild>
            <w:div w:id="1650744336">
              <w:marLeft w:val="0"/>
              <w:marRight w:val="0"/>
              <w:marTop w:val="0"/>
              <w:marBottom w:val="0"/>
              <w:divBdr>
                <w:top w:val="none" w:sz="0" w:space="0" w:color="auto"/>
                <w:left w:val="none" w:sz="0" w:space="0" w:color="auto"/>
                <w:bottom w:val="none" w:sz="0" w:space="0" w:color="auto"/>
                <w:right w:val="none" w:sz="0" w:space="0" w:color="auto"/>
              </w:divBdr>
              <w:divsChild>
                <w:div w:id="1248491074">
                  <w:marLeft w:val="0"/>
                  <w:marRight w:val="0"/>
                  <w:marTop w:val="0"/>
                  <w:marBottom w:val="0"/>
                  <w:divBdr>
                    <w:top w:val="none" w:sz="0" w:space="0" w:color="auto"/>
                    <w:left w:val="none" w:sz="0" w:space="0" w:color="auto"/>
                    <w:bottom w:val="none" w:sz="0" w:space="0" w:color="auto"/>
                    <w:right w:val="none" w:sz="0" w:space="0" w:color="auto"/>
                  </w:divBdr>
                  <w:divsChild>
                    <w:div w:id="59166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55664448">
      <w:bodyDiv w:val="1"/>
      <w:marLeft w:val="0"/>
      <w:marRight w:val="0"/>
      <w:marTop w:val="0"/>
      <w:marBottom w:val="0"/>
      <w:divBdr>
        <w:top w:val="none" w:sz="0" w:space="0" w:color="auto"/>
        <w:left w:val="none" w:sz="0" w:space="0" w:color="auto"/>
        <w:bottom w:val="none" w:sz="0" w:space="0" w:color="auto"/>
        <w:right w:val="none" w:sz="0" w:space="0" w:color="auto"/>
      </w:divBdr>
      <w:divsChild>
        <w:div w:id="86050221">
          <w:marLeft w:val="0"/>
          <w:marRight w:val="0"/>
          <w:marTop w:val="0"/>
          <w:marBottom w:val="0"/>
          <w:divBdr>
            <w:top w:val="none" w:sz="0" w:space="0" w:color="auto"/>
            <w:left w:val="none" w:sz="0" w:space="0" w:color="auto"/>
            <w:bottom w:val="none" w:sz="0" w:space="0" w:color="auto"/>
            <w:right w:val="none" w:sz="0" w:space="0" w:color="auto"/>
          </w:divBdr>
          <w:divsChild>
            <w:div w:id="1904636436">
              <w:marLeft w:val="0"/>
              <w:marRight w:val="0"/>
              <w:marTop w:val="0"/>
              <w:marBottom w:val="0"/>
              <w:divBdr>
                <w:top w:val="none" w:sz="0" w:space="0" w:color="auto"/>
                <w:left w:val="none" w:sz="0" w:space="0" w:color="auto"/>
                <w:bottom w:val="none" w:sz="0" w:space="0" w:color="auto"/>
                <w:right w:val="none" w:sz="0" w:space="0" w:color="auto"/>
              </w:divBdr>
              <w:divsChild>
                <w:div w:id="1989817634">
                  <w:marLeft w:val="0"/>
                  <w:marRight w:val="0"/>
                  <w:marTop w:val="0"/>
                  <w:marBottom w:val="0"/>
                  <w:divBdr>
                    <w:top w:val="none" w:sz="0" w:space="0" w:color="auto"/>
                    <w:left w:val="none" w:sz="0" w:space="0" w:color="auto"/>
                    <w:bottom w:val="none" w:sz="0" w:space="0" w:color="auto"/>
                    <w:right w:val="none" w:sz="0" w:space="0" w:color="auto"/>
                  </w:divBdr>
                  <w:divsChild>
                    <w:div w:id="969479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2174255">
      <w:bodyDiv w:val="1"/>
      <w:marLeft w:val="0"/>
      <w:marRight w:val="0"/>
      <w:marTop w:val="0"/>
      <w:marBottom w:val="0"/>
      <w:divBdr>
        <w:top w:val="none" w:sz="0" w:space="0" w:color="auto"/>
        <w:left w:val="none" w:sz="0" w:space="0" w:color="auto"/>
        <w:bottom w:val="none" w:sz="0" w:space="0" w:color="auto"/>
        <w:right w:val="none" w:sz="0" w:space="0" w:color="auto"/>
      </w:divBdr>
      <w:divsChild>
        <w:div w:id="795097867">
          <w:marLeft w:val="0"/>
          <w:marRight w:val="0"/>
          <w:marTop w:val="0"/>
          <w:marBottom w:val="0"/>
          <w:divBdr>
            <w:top w:val="none" w:sz="0" w:space="0" w:color="auto"/>
            <w:left w:val="none" w:sz="0" w:space="0" w:color="auto"/>
            <w:bottom w:val="none" w:sz="0" w:space="0" w:color="auto"/>
            <w:right w:val="none" w:sz="0" w:space="0" w:color="auto"/>
          </w:divBdr>
          <w:divsChild>
            <w:div w:id="303850801">
              <w:marLeft w:val="0"/>
              <w:marRight w:val="0"/>
              <w:marTop w:val="0"/>
              <w:marBottom w:val="0"/>
              <w:divBdr>
                <w:top w:val="none" w:sz="0" w:space="0" w:color="auto"/>
                <w:left w:val="none" w:sz="0" w:space="0" w:color="auto"/>
                <w:bottom w:val="none" w:sz="0" w:space="0" w:color="auto"/>
                <w:right w:val="none" w:sz="0" w:space="0" w:color="auto"/>
              </w:divBdr>
              <w:divsChild>
                <w:div w:id="1664892689">
                  <w:marLeft w:val="0"/>
                  <w:marRight w:val="0"/>
                  <w:marTop w:val="0"/>
                  <w:marBottom w:val="0"/>
                  <w:divBdr>
                    <w:top w:val="none" w:sz="0" w:space="0" w:color="auto"/>
                    <w:left w:val="none" w:sz="0" w:space="0" w:color="auto"/>
                    <w:bottom w:val="none" w:sz="0" w:space="0" w:color="auto"/>
                    <w:right w:val="none" w:sz="0" w:space="0" w:color="auto"/>
                  </w:divBdr>
                  <w:divsChild>
                    <w:div w:id="444080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97484506">
      <w:bodyDiv w:val="1"/>
      <w:marLeft w:val="0"/>
      <w:marRight w:val="0"/>
      <w:marTop w:val="0"/>
      <w:marBottom w:val="0"/>
      <w:divBdr>
        <w:top w:val="none" w:sz="0" w:space="0" w:color="auto"/>
        <w:left w:val="none" w:sz="0" w:space="0" w:color="auto"/>
        <w:bottom w:val="none" w:sz="0" w:space="0" w:color="auto"/>
        <w:right w:val="none" w:sz="0" w:space="0" w:color="auto"/>
      </w:divBdr>
      <w:divsChild>
        <w:div w:id="2109158318">
          <w:marLeft w:val="0"/>
          <w:marRight w:val="0"/>
          <w:marTop w:val="0"/>
          <w:marBottom w:val="0"/>
          <w:divBdr>
            <w:top w:val="none" w:sz="0" w:space="0" w:color="auto"/>
            <w:left w:val="none" w:sz="0" w:space="0" w:color="auto"/>
            <w:bottom w:val="none" w:sz="0" w:space="0" w:color="auto"/>
            <w:right w:val="none" w:sz="0" w:space="0" w:color="auto"/>
          </w:divBdr>
          <w:divsChild>
            <w:div w:id="414403102">
              <w:marLeft w:val="0"/>
              <w:marRight w:val="0"/>
              <w:marTop w:val="0"/>
              <w:marBottom w:val="0"/>
              <w:divBdr>
                <w:top w:val="none" w:sz="0" w:space="0" w:color="auto"/>
                <w:left w:val="none" w:sz="0" w:space="0" w:color="auto"/>
                <w:bottom w:val="none" w:sz="0" w:space="0" w:color="auto"/>
                <w:right w:val="none" w:sz="0" w:space="0" w:color="auto"/>
              </w:divBdr>
              <w:divsChild>
                <w:div w:id="9220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25932418">
      <w:bodyDiv w:val="1"/>
      <w:marLeft w:val="0"/>
      <w:marRight w:val="0"/>
      <w:marTop w:val="0"/>
      <w:marBottom w:val="0"/>
      <w:divBdr>
        <w:top w:val="none" w:sz="0" w:space="0" w:color="auto"/>
        <w:left w:val="none" w:sz="0" w:space="0" w:color="auto"/>
        <w:bottom w:val="none" w:sz="0" w:space="0" w:color="auto"/>
        <w:right w:val="none" w:sz="0" w:space="0" w:color="auto"/>
      </w:divBdr>
      <w:divsChild>
        <w:div w:id="5136783">
          <w:marLeft w:val="0"/>
          <w:marRight w:val="0"/>
          <w:marTop w:val="0"/>
          <w:marBottom w:val="0"/>
          <w:divBdr>
            <w:top w:val="none" w:sz="0" w:space="0" w:color="auto"/>
            <w:left w:val="none" w:sz="0" w:space="0" w:color="auto"/>
            <w:bottom w:val="none" w:sz="0" w:space="0" w:color="auto"/>
            <w:right w:val="none" w:sz="0" w:space="0" w:color="auto"/>
          </w:divBdr>
          <w:divsChild>
            <w:div w:id="799765859">
              <w:marLeft w:val="0"/>
              <w:marRight w:val="0"/>
              <w:marTop w:val="0"/>
              <w:marBottom w:val="0"/>
              <w:divBdr>
                <w:top w:val="none" w:sz="0" w:space="0" w:color="auto"/>
                <w:left w:val="none" w:sz="0" w:space="0" w:color="auto"/>
                <w:bottom w:val="none" w:sz="0" w:space="0" w:color="auto"/>
                <w:right w:val="none" w:sz="0" w:space="0" w:color="auto"/>
              </w:divBdr>
              <w:divsChild>
                <w:div w:id="1655183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8746924">
      <w:bodyDiv w:val="1"/>
      <w:marLeft w:val="0"/>
      <w:marRight w:val="0"/>
      <w:marTop w:val="0"/>
      <w:marBottom w:val="0"/>
      <w:divBdr>
        <w:top w:val="none" w:sz="0" w:space="0" w:color="auto"/>
        <w:left w:val="none" w:sz="0" w:space="0" w:color="auto"/>
        <w:bottom w:val="none" w:sz="0" w:space="0" w:color="auto"/>
        <w:right w:val="none" w:sz="0" w:space="0" w:color="auto"/>
      </w:divBdr>
      <w:divsChild>
        <w:div w:id="365374979">
          <w:marLeft w:val="0"/>
          <w:marRight w:val="0"/>
          <w:marTop w:val="0"/>
          <w:marBottom w:val="0"/>
          <w:divBdr>
            <w:top w:val="none" w:sz="0" w:space="0" w:color="auto"/>
            <w:left w:val="none" w:sz="0" w:space="0" w:color="auto"/>
            <w:bottom w:val="none" w:sz="0" w:space="0" w:color="auto"/>
            <w:right w:val="none" w:sz="0" w:space="0" w:color="auto"/>
          </w:divBdr>
          <w:divsChild>
            <w:div w:id="538663289">
              <w:marLeft w:val="0"/>
              <w:marRight w:val="0"/>
              <w:marTop w:val="0"/>
              <w:marBottom w:val="0"/>
              <w:divBdr>
                <w:top w:val="none" w:sz="0" w:space="0" w:color="auto"/>
                <w:left w:val="none" w:sz="0" w:space="0" w:color="auto"/>
                <w:bottom w:val="none" w:sz="0" w:space="0" w:color="auto"/>
                <w:right w:val="none" w:sz="0" w:space="0" w:color="auto"/>
              </w:divBdr>
              <w:divsChild>
                <w:div w:id="755975974">
                  <w:marLeft w:val="0"/>
                  <w:marRight w:val="0"/>
                  <w:marTop w:val="0"/>
                  <w:marBottom w:val="0"/>
                  <w:divBdr>
                    <w:top w:val="none" w:sz="0" w:space="0" w:color="auto"/>
                    <w:left w:val="none" w:sz="0" w:space="0" w:color="auto"/>
                    <w:bottom w:val="none" w:sz="0" w:space="0" w:color="auto"/>
                    <w:right w:val="none" w:sz="0" w:space="0" w:color="auto"/>
                  </w:divBdr>
                  <w:divsChild>
                    <w:div w:id="675573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3280860">
      <w:bodyDiv w:val="1"/>
      <w:marLeft w:val="0"/>
      <w:marRight w:val="0"/>
      <w:marTop w:val="0"/>
      <w:marBottom w:val="0"/>
      <w:divBdr>
        <w:top w:val="none" w:sz="0" w:space="0" w:color="auto"/>
        <w:left w:val="none" w:sz="0" w:space="0" w:color="auto"/>
        <w:bottom w:val="none" w:sz="0" w:space="0" w:color="auto"/>
        <w:right w:val="none" w:sz="0" w:space="0" w:color="auto"/>
      </w:divBdr>
      <w:divsChild>
        <w:div w:id="1543134049">
          <w:marLeft w:val="0"/>
          <w:marRight w:val="0"/>
          <w:marTop w:val="0"/>
          <w:marBottom w:val="0"/>
          <w:divBdr>
            <w:top w:val="none" w:sz="0" w:space="0" w:color="auto"/>
            <w:left w:val="none" w:sz="0" w:space="0" w:color="auto"/>
            <w:bottom w:val="none" w:sz="0" w:space="0" w:color="auto"/>
            <w:right w:val="none" w:sz="0" w:space="0" w:color="auto"/>
          </w:divBdr>
          <w:divsChild>
            <w:div w:id="292560053">
              <w:marLeft w:val="0"/>
              <w:marRight w:val="0"/>
              <w:marTop w:val="0"/>
              <w:marBottom w:val="0"/>
              <w:divBdr>
                <w:top w:val="none" w:sz="0" w:space="0" w:color="auto"/>
                <w:left w:val="none" w:sz="0" w:space="0" w:color="auto"/>
                <w:bottom w:val="none" w:sz="0" w:space="0" w:color="auto"/>
                <w:right w:val="none" w:sz="0" w:space="0" w:color="auto"/>
              </w:divBdr>
              <w:divsChild>
                <w:div w:id="2011563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837995">
      <w:bodyDiv w:val="1"/>
      <w:marLeft w:val="0"/>
      <w:marRight w:val="0"/>
      <w:marTop w:val="0"/>
      <w:marBottom w:val="0"/>
      <w:divBdr>
        <w:top w:val="none" w:sz="0" w:space="0" w:color="auto"/>
        <w:left w:val="none" w:sz="0" w:space="0" w:color="auto"/>
        <w:bottom w:val="none" w:sz="0" w:space="0" w:color="auto"/>
        <w:right w:val="none" w:sz="0" w:space="0" w:color="auto"/>
      </w:divBdr>
      <w:divsChild>
        <w:div w:id="2109038467">
          <w:marLeft w:val="0"/>
          <w:marRight w:val="0"/>
          <w:marTop w:val="0"/>
          <w:marBottom w:val="0"/>
          <w:divBdr>
            <w:top w:val="none" w:sz="0" w:space="0" w:color="auto"/>
            <w:left w:val="none" w:sz="0" w:space="0" w:color="auto"/>
            <w:bottom w:val="none" w:sz="0" w:space="0" w:color="auto"/>
            <w:right w:val="none" w:sz="0" w:space="0" w:color="auto"/>
          </w:divBdr>
          <w:divsChild>
            <w:div w:id="1676758922">
              <w:marLeft w:val="0"/>
              <w:marRight w:val="0"/>
              <w:marTop w:val="0"/>
              <w:marBottom w:val="0"/>
              <w:divBdr>
                <w:top w:val="none" w:sz="0" w:space="0" w:color="auto"/>
                <w:left w:val="none" w:sz="0" w:space="0" w:color="auto"/>
                <w:bottom w:val="none" w:sz="0" w:space="0" w:color="auto"/>
                <w:right w:val="none" w:sz="0" w:space="0" w:color="auto"/>
              </w:divBdr>
              <w:divsChild>
                <w:div w:id="492719432">
                  <w:marLeft w:val="0"/>
                  <w:marRight w:val="0"/>
                  <w:marTop w:val="0"/>
                  <w:marBottom w:val="0"/>
                  <w:divBdr>
                    <w:top w:val="none" w:sz="0" w:space="0" w:color="auto"/>
                    <w:left w:val="none" w:sz="0" w:space="0" w:color="auto"/>
                    <w:bottom w:val="none" w:sz="0" w:space="0" w:color="auto"/>
                    <w:right w:val="none" w:sz="0" w:space="0" w:color="auto"/>
                  </w:divBdr>
                  <w:divsChild>
                    <w:div w:id="158302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9003530">
      <w:bodyDiv w:val="1"/>
      <w:marLeft w:val="0"/>
      <w:marRight w:val="0"/>
      <w:marTop w:val="0"/>
      <w:marBottom w:val="0"/>
      <w:divBdr>
        <w:top w:val="none" w:sz="0" w:space="0" w:color="auto"/>
        <w:left w:val="none" w:sz="0" w:space="0" w:color="auto"/>
        <w:bottom w:val="none" w:sz="0" w:space="0" w:color="auto"/>
        <w:right w:val="none" w:sz="0" w:space="0" w:color="auto"/>
      </w:divBdr>
    </w:div>
    <w:div w:id="1188567607">
      <w:bodyDiv w:val="1"/>
      <w:marLeft w:val="0"/>
      <w:marRight w:val="0"/>
      <w:marTop w:val="0"/>
      <w:marBottom w:val="0"/>
      <w:divBdr>
        <w:top w:val="none" w:sz="0" w:space="0" w:color="auto"/>
        <w:left w:val="none" w:sz="0" w:space="0" w:color="auto"/>
        <w:bottom w:val="none" w:sz="0" w:space="0" w:color="auto"/>
        <w:right w:val="none" w:sz="0" w:space="0" w:color="auto"/>
      </w:divBdr>
      <w:divsChild>
        <w:div w:id="1343582661">
          <w:marLeft w:val="0"/>
          <w:marRight w:val="0"/>
          <w:marTop w:val="0"/>
          <w:marBottom w:val="0"/>
          <w:divBdr>
            <w:top w:val="none" w:sz="0" w:space="0" w:color="auto"/>
            <w:left w:val="none" w:sz="0" w:space="0" w:color="auto"/>
            <w:bottom w:val="none" w:sz="0" w:space="0" w:color="auto"/>
            <w:right w:val="none" w:sz="0" w:space="0" w:color="auto"/>
          </w:divBdr>
          <w:divsChild>
            <w:div w:id="383338490">
              <w:marLeft w:val="0"/>
              <w:marRight w:val="0"/>
              <w:marTop w:val="0"/>
              <w:marBottom w:val="0"/>
              <w:divBdr>
                <w:top w:val="none" w:sz="0" w:space="0" w:color="auto"/>
                <w:left w:val="none" w:sz="0" w:space="0" w:color="auto"/>
                <w:bottom w:val="none" w:sz="0" w:space="0" w:color="auto"/>
                <w:right w:val="none" w:sz="0" w:space="0" w:color="auto"/>
              </w:divBdr>
              <w:divsChild>
                <w:div w:id="336350674">
                  <w:marLeft w:val="0"/>
                  <w:marRight w:val="0"/>
                  <w:marTop w:val="0"/>
                  <w:marBottom w:val="0"/>
                  <w:divBdr>
                    <w:top w:val="none" w:sz="0" w:space="0" w:color="auto"/>
                    <w:left w:val="none" w:sz="0" w:space="0" w:color="auto"/>
                    <w:bottom w:val="none" w:sz="0" w:space="0" w:color="auto"/>
                    <w:right w:val="none" w:sz="0" w:space="0" w:color="auto"/>
                  </w:divBdr>
                  <w:divsChild>
                    <w:div w:id="1149982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33465715">
      <w:bodyDiv w:val="1"/>
      <w:marLeft w:val="0"/>
      <w:marRight w:val="0"/>
      <w:marTop w:val="0"/>
      <w:marBottom w:val="0"/>
      <w:divBdr>
        <w:top w:val="none" w:sz="0" w:space="0" w:color="auto"/>
        <w:left w:val="none" w:sz="0" w:space="0" w:color="auto"/>
        <w:bottom w:val="none" w:sz="0" w:space="0" w:color="auto"/>
        <w:right w:val="none" w:sz="0" w:space="0" w:color="auto"/>
      </w:divBdr>
      <w:divsChild>
        <w:div w:id="931862555">
          <w:marLeft w:val="0"/>
          <w:marRight w:val="0"/>
          <w:marTop w:val="0"/>
          <w:marBottom w:val="0"/>
          <w:divBdr>
            <w:top w:val="none" w:sz="0" w:space="0" w:color="auto"/>
            <w:left w:val="none" w:sz="0" w:space="0" w:color="auto"/>
            <w:bottom w:val="none" w:sz="0" w:space="0" w:color="auto"/>
            <w:right w:val="none" w:sz="0" w:space="0" w:color="auto"/>
          </w:divBdr>
          <w:divsChild>
            <w:div w:id="2145198370">
              <w:marLeft w:val="0"/>
              <w:marRight w:val="0"/>
              <w:marTop w:val="0"/>
              <w:marBottom w:val="0"/>
              <w:divBdr>
                <w:top w:val="none" w:sz="0" w:space="0" w:color="auto"/>
                <w:left w:val="none" w:sz="0" w:space="0" w:color="auto"/>
                <w:bottom w:val="none" w:sz="0" w:space="0" w:color="auto"/>
                <w:right w:val="none" w:sz="0" w:space="0" w:color="auto"/>
              </w:divBdr>
              <w:divsChild>
                <w:div w:id="208691477">
                  <w:marLeft w:val="0"/>
                  <w:marRight w:val="0"/>
                  <w:marTop w:val="0"/>
                  <w:marBottom w:val="0"/>
                  <w:divBdr>
                    <w:top w:val="none" w:sz="0" w:space="0" w:color="auto"/>
                    <w:left w:val="none" w:sz="0" w:space="0" w:color="auto"/>
                    <w:bottom w:val="none" w:sz="0" w:space="0" w:color="auto"/>
                    <w:right w:val="none" w:sz="0" w:space="0" w:color="auto"/>
                  </w:divBdr>
                  <w:divsChild>
                    <w:div w:id="1163737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78296436">
      <w:bodyDiv w:val="1"/>
      <w:marLeft w:val="0"/>
      <w:marRight w:val="0"/>
      <w:marTop w:val="0"/>
      <w:marBottom w:val="0"/>
      <w:divBdr>
        <w:top w:val="none" w:sz="0" w:space="0" w:color="auto"/>
        <w:left w:val="none" w:sz="0" w:space="0" w:color="auto"/>
        <w:bottom w:val="none" w:sz="0" w:space="0" w:color="auto"/>
        <w:right w:val="none" w:sz="0" w:space="0" w:color="auto"/>
      </w:divBdr>
      <w:divsChild>
        <w:div w:id="1819497807">
          <w:marLeft w:val="0"/>
          <w:marRight w:val="0"/>
          <w:marTop w:val="0"/>
          <w:marBottom w:val="0"/>
          <w:divBdr>
            <w:top w:val="none" w:sz="0" w:space="0" w:color="auto"/>
            <w:left w:val="none" w:sz="0" w:space="0" w:color="auto"/>
            <w:bottom w:val="none" w:sz="0" w:space="0" w:color="auto"/>
            <w:right w:val="none" w:sz="0" w:space="0" w:color="auto"/>
          </w:divBdr>
          <w:divsChild>
            <w:div w:id="2134861490">
              <w:marLeft w:val="0"/>
              <w:marRight w:val="0"/>
              <w:marTop w:val="0"/>
              <w:marBottom w:val="0"/>
              <w:divBdr>
                <w:top w:val="none" w:sz="0" w:space="0" w:color="auto"/>
                <w:left w:val="none" w:sz="0" w:space="0" w:color="auto"/>
                <w:bottom w:val="none" w:sz="0" w:space="0" w:color="auto"/>
                <w:right w:val="none" w:sz="0" w:space="0" w:color="auto"/>
              </w:divBdr>
              <w:divsChild>
                <w:div w:id="714046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8855923">
      <w:bodyDiv w:val="1"/>
      <w:marLeft w:val="0"/>
      <w:marRight w:val="0"/>
      <w:marTop w:val="0"/>
      <w:marBottom w:val="0"/>
      <w:divBdr>
        <w:top w:val="none" w:sz="0" w:space="0" w:color="auto"/>
        <w:left w:val="none" w:sz="0" w:space="0" w:color="auto"/>
        <w:bottom w:val="none" w:sz="0" w:space="0" w:color="auto"/>
        <w:right w:val="none" w:sz="0" w:space="0" w:color="auto"/>
      </w:divBdr>
      <w:divsChild>
        <w:div w:id="1027944517">
          <w:marLeft w:val="0"/>
          <w:marRight w:val="0"/>
          <w:marTop w:val="0"/>
          <w:marBottom w:val="0"/>
          <w:divBdr>
            <w:top w:val="none" w:sz="0" w:space="0" w:color="auto"/>
            <w:left w:val="none" w:sz="0" w:space="0" w:color="auto"/>
            <w:bottom w:val="none" w:sz="0" w:space="0" w:color="auto"/>
            <w:right w:val="none" w:sz="0" w:space="0" w:color="auto"/>
          </w:divBdr>
          <w:divsChild>
            <w:div w:id="414858362">
              <w:marLeft w:val="0"/>
              <w:marRight w:val="0"/>
              <w:marTop w:val="0"/>
              <w:marBottom w:val="0"/>
              <w:divBdr>
                <w:top w:val="none" w:sz="0" w:space="0" w:color="auto"/>
                <w:left w:val="none" w:sz="0" w:space="0" w:color="auto"/>
                <w:bottom w:val="none" w:sz="0" w:space="0" w:color="auto"/>
                <w:right w:val="none" w:sz="0" w:space="0" w:color="auto"/>
              </w:divBdr>
              <w:divsChild>
                <w:div w:id="200677735">
                  <w:marLeft w:val="0"/>
                  <w:marRight w:val="0"/>
                  <w:marTop w:val="0"/>
                  <w:marBottom w:val="0"/>
                  <w:divBdr>
                    <w:top w:val="none" w:sz="0" w:space="0" w:color="auto"/>
                    <w:left w:val="none" w:sz="0" w:space="0" w:color="auto"/>
                    <w:bottom w:val="none" w:sz="0" w:space="0" w:color="auto"/>
                    <w:right w:val="none" w:sz="0" w:space="0" w:color="auto"/>
                  </w:divBdr>
                  <w:divsChild>
                    <w:div w:id="789208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27435861">
      <w:bodyDiv w:val="1"/>
      <w:marLeft w:val="0"/>
      <w:marRight w:val="0"/>
      <w:marTop w:val="0"/>
      <w:marBottom w:val="0"/>
      <w:divBdr>
        <w:top w:val="none" w:sz="0" w:space="0" w:color="auto"/>
        <w:left w:val="none" w:sz="0" w:space="0" w:color="auto"/>
        <w:bottom w:val="none" w:sz="0" w:space="0" w:color="auto"/>
        <w:right w:val="none" w:sz="0" w:space="0" w:color="auto"/>
      </w:divBdr>
      <w:divsChild>
        <w:div w:id="1263342695">
          <w:marLeft w:val="0"/>
          <w:marRight w:val="0"/>
          <w:marTop w:val="0"/>
          <w:marBottom w:val="0"/>
          <w:divBdr>
            <w:top w:val="none" w:sz="0" w:space="0" w:color="auto"/>
            <w:left w:val="none" w:sz="0" w:space="0" w:color="auto"/>
            <w:bottom w:val="none" w:sz="0" w:space="0" w:color="auto"/>
            <w:right w:val="none" w:sz="0" w:space="0" w:color="auto"/>
          </w:divBdr>
          <w:divsChild>
            <w:div w:id="1532692622">
              <w:marLeft w:val="0"/>
              <w:marRight w:val="0"/>
              <w:marTop w:val="0"/>
              <w:marBottom w:val="0"/>
              <w:divBdr>
                <w:top w:val="none" w:sz="0" w:space="0" w:color="auto"/>
                <w:left w:val="none" w:sz="0" w:space="0" w:color="auto"/>
                <w:bottom w:val="none" w:sz="0" w:space="0" w:color="auto"/>
                <w:right w:val="none" w:sz="0" w:space="0" w:color="auto"/>
              </w:divBdr>
              <w:divsChild>
                <w:div w:id="1789666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6688964">
      <w:bodyDiv w:val="1"/>
      <w:marLeft w:val="0"/>
      <w:marRight w:val="0"/>
      <w:marTop w:val="0"/>
      <w:marBottom w:val="0"/>
      <w:divBdr>
        <w:top w:val="none" w:sz="0" w:space="0" w:color="auto"/>
        <w:left w:val="none" w:sz="0" w:space="0" w:color="auto"/>
        <w:bottom w:val="none" w:sz="0" w:space="0" w:color="auto"/>
        <w:right w:val="none" w:sz="0" w:space="0" w:color="auto"/>
      </w:divBdr>
      <w:divsChild>
        <w:div w:id="1977105224">
          <w:marLeft w:val="0"/>
          <w:marRight w:val="0"/>
          <w:marTop w:val="0"/>
          <w:marBottom w:val="0"/>
          <w:divBdr>
            <w:top w:val="none" w:sz="0" w:space="0" w:color="auto"/>
            <w:left w:val="none" w:sz="0" w:space="0" w:color="auto"/>
            <w:bottom w:val="none" w:sz="0" w:space="0" w:color="auto"/>
            <w:right w:val="none" w:sz="0" w:space="0" w:color="auto"/>
          </w:divBdr>
          <w:divsChild>
            <w:div w:id="2086560931">
              <w:marLeft w:val="0"/>
              <w:marRight w:val="0"/>
              <w:marTop w:val="0"/>
              <w:marBottom w:val="0"/>
              <w:divBdr>
                <w:top w:val="none" w:sz="0" w:space="0" w:color="auto"/>
                <w:left w:val="none" w:sz="0" w:space="0" w:color="auto"/>
                <w:bottom w:val="none" w:sz="0" w:space="0" w:color="auto"/>
                <w:right w:val="none" w:sz="0" w:space="0" w:color="auto"/>
              </w:divBdr>
              <w:divsChild>
                <w:div w:id="1120224154">
                  <w:marLeft w:val="0"/>
                  <w:marRight w:val="0"/>
                  <w:marTop w:val="0"/>
                  <w:marBottom w:val="0"/>
                  <w:divBdr>
                    <w:top w:val="none" w:sz="0" w:space="0" w:color="auto"/>
                    <w:left w:val="none" w:sz="0" w:space="0" w:color="auto"/>
                    <w:bottom w:val="none" w:sz="0" w:space="0" w:color="auto"/>
                    <w:right w:val="none" w:sz="0" w:space="0" w:color="auto"/>
                  </w:divBdr>
                  <w:divsChild>
                    <w:div w:id="1187714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1152007">
      <w:bodyDiv w:val="1"/>
      <w:marLeft w:val="0"/>
      <w:marRight w:val="0"/>
      <w:marTop w:val="0"/>
      <w:marBottom w:val="0"/>
      <w:divBdr>
        <w:top w:val="none" w:sz="0" w:space="0" w:color="auto"/>
        <w:left w:val="none" w:sz="0" w:space="0" w:color="auto"/>
        <w:bottom w:val="none" w:sz="0" w:space="0" w:color="auto"/>
        <w:right w:val="none" w:sz="0" w:space="0" w:color="auto"/>
      </w:divBdr>
    </w:div>
    <w:div w:id="1391735532">
      <w:bodyDiv w:val="1"/>
      <w:marLeft w:val="0"/>
      <w:marRight w:val="0"/>
      <w:marTop w:val="0"/>
      <w:marBottom w:val="0"/>
      <w:divBdr>
        <w:top w:val="none" w:sz="0" w:space="0" w:color="auto"/>
        <w:left w:val="none" w:sz="0" w:space="0" w:color="auto"/>
        <w:bottom w:val="none" w:sz="0" w:space="0" w:color="auto"/>
        <w:right w:val="none" w:sz="0" w:space="0" w:color="auto"/>
      </w:divBdr>
      <w:divsChild>
        <w:div w:id="1274900920">
          <w:marLeft w:val="0"/>
          <w:marRight w:val="0"/>
          <w:marTop w:val="0"/>
          <w:marBottom w:val="0"/>
          <w:divBdr>
            <w:top w:val="none" w:sz="0" w:space="0" w:color="auto"/>
            <w:left w:val="none" w:sz="0" w:space="0" w:color="auto"/>
            <w:bottom w:val="none" w:sz="0" w:space="0" w:color="auto"/>
            <w:right w:val="none" w:sz="0" w:space="0" w:color="auto"/>
          </w:divBdr>
          <w:divsChild>
            <w:div w:id="218319859">
              <w:marLeft w:val="0"/>
              <w:marRight w:val="0"/>
              <w:marTop w:val="0"/>
              <w:marBottom w:val="0"/>
              <w:divBdr>
                <w:top w:val="none" w:sz="0" w:space="0" w:color="auto"/>
                <w:left w:val="none" w:sz="0" w:space="0" w:color="auto"/>
                <w:bottom w:val="none" w:sz="0" w:space="0" w:color="auto"/>
                <w:right w:val="none" w:sz="0" w:space="0" w:color="auto"/>
              </w:divBdr>
              <w:divsChild>
                <w:div w:id="1871066776">
                  <w:marLeft w:val="0"/>
                  <w:marRight w:val="0"/>
                  <w:marTop w:val="0"/>
                  <w:marBottom w:val="0"/>
                  <w:divBdr>
                    <w:top w:val="none" w:sz="0" w:space="0" w:color="auto"/>
                    <w:left w:val="none" w:sz="0" w:space="0" w:color="auto"/>
                    <w:bottom w:val="none" w:sz="0" w:space="0" w:color="auto"/>
                    <w:right w:val="none" w:sz="0" w:space="0" w:color="auto"/>
                  </w:divBdr>
                  <w:divsChild>
                    <w:div w:id="4830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398937772">
      <w:bodyDiv w:val="1"/>
      <w:marLeft w:val="0"/>
      <w:marRight w:val="0"/>
      <w:marTop w:val="0"/>
      <w:marBottom w:val="0"/>
      <w:divBdr>
        <w:top w:val="none" w:sz="0" w:space="0" w:color="auto"/>
        <w:left w:val="none" w:sz="0" w:space="0" w:color="auto"/>
        <w:bottom w:val="none" w:sz="0" w:space="0" w:color="auto"/>
        <w:right w:val="none" w:sz="0" w:space="0" w:color="auto"/>
      </w:divBdr>
      <w:divsChild>
        <w:div w:id="1530334958">
          <w:marLeft w:val="0"/>
          <w:marRight w:val="0"/>
          <w:marTop w:val="0"/>
          <w:marBottom w:val="0"/>
          <w:divBdr>
            <w:top w:val="none" w:sz="0" w:space="0" w:color="auto"/>
            <w:left w:val="none" w:sz="0" w:space="0" w:color="auto"/>
            <w:bottom w:val="none" w:sz="0" w:space="0" w:color="auto"/>
            <w:right w:val="none" w:sz="0" w:space="0" w:color="auto"/>
          </w:divBdr>
          <w:divsChild>
            <w:div w:id="191265456">
              <w:marLeft w:val="0"/>
              <w:marRight w:val="0"/>
              <w:marTop w:val="0"/>
              <w:marBottom w:val="0"/>
              <w:divBdr>
                <w:top w:val="none" w:sz="0" w:space="0" w:color="auto"/>
                <w:left w:val="none" w:sz="0" w:space="0" w:color="auto"/>
                <w:bottom w:val="none" w:sz="0" w:space="0" w:color="auto"/>
                <w:right w:val="none" w:sz="0" w:space="0" w:color="auto"/>
              </w:divBdr>
              <w:divsChild>
                <w:div w:id="93523249">
                  <w:marLeft w:val="0"/>
                  <w:marRight w:val="0"/>
                  <w:marTop w:val="0"/>
                  <w:marBottom w:val="0"/>
                  <w:divBdr>
                    <w:top w:val="none" w:sz="0" w:space="0" w:color="auto"/>
                    <w:left w:val="none" w:sz="0" w:space="0" w:color="auto"/>
                    <w:bottom w:val="none" w:sz="0" w:space="0" w:color="auto"/>
                    <w:right w:val="none" w:sz="0" w:space="0" w:color="auto"/>
                  </w:divBdr>
                  <w:divsChild>
                    <w:div w:id="544492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329082">
              <w:marLeft w:val="0"/>
              <w:marRight w:val="0"/>
              <w:marTop w:val="0"/>
              <w:marBottom w:val="0"/>
              <w:divBdr>
                <w:top w:val="none" w:sz="0" w:space="0" w:color="auto"/>
                <w:left w:val="none" w:sz="0" w:space="0" w:color="auto"/>
                <w:bottom w:val="none" w:sz="0" w:space="0" w:color="auto"/>
                <w:right w:val="none" w:sz="0" w:space="0" w:color="auto"/>
              </w:divBdr>
              <w:divsChild>
                <w:div w:id="138771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26994686">
      <w:bodyDiv w:val="1"/>
      <w:marLeft w:val="0"/>
      <w:marRight w:val="0"/>
      <w:marTop w:val="0"/>
      <w:marBottom w:val="0"/>
      <w:divBdr>
        <w:top w:val="none" w:sz="0" w:space="0" w:color="auto"/>
        <w:left w:val="none" w:sz="0" w:space="0" w:color="auto"/>
        <w:bottom w:val="none" w:sz="0" w:space="0" w:color="auto"/>
        <w:right w:val="none" w:sz="0" w:space="0" w:color="auto"/>
      </w:divBdr>
      <w:divsChild>
        <w:div w:id="139807728">
          <w:marLeft w:val="0"/>
          <w:marRight w:val="0"/>
          <w:marTop w:val="0"/>
          <w:marBottom w:val="0"/>
          <w:divBdr>
            <w:top w:val="none" w:sz="0" w:space="0" w:color="auto"/>
            <w:left w:val="none" w:sz="0" w:space="0" w:color="auto"/>
            <w:bottom w:val="none" w:sz="0" w:space="0" w:color="auto"/>
            <w:right w:val="none" w:sz="0" w:space="0" w:color="auto"/>
          </w:divBdr>
          <w:divsChild>
            <w:div w:id="449322547">
              <w:marLeft w:val="0"/>
              <w:marRight w:val="0"/>
              <w:marTop w:val="0"/>
              <w:marBottom w:val="0"/>
              <w:divBdr>
                <w:top w:val="none" w:sz="0" w:space="0" w:color="auto"/>
                <w:left w:val="none" w:sz="0" w:space="0" w:color="auto"/>
                <w:bottom w:val="none" w:sz="0" w:space="0" w:color="auto"/>
                <w:right w:val="none" w:sz="0" w:space="0" w:color="auto"/>
              </w:divBdr>
              <w:divsChild>
                <w:div w:id="1709991810">
                  <w:marLeft w:val="0"/>
                  <w:marRight w:val="0"/>
                  <w:marTop w:val="0"/>
                  <w:marBottom w:val="0"/>
                  <w:divBdr>
                    <w:top w:val="none" w:sz="0" w:space="0" w:color="auto"/>
                    <w:left w:val="none" w:sz="0" w:space="0" w:color="auto"/>
                    <w:bottom w:val="none" w:sz="0" w:space="0" w:color="auto"/>
                    <w:right w:val="none" w:sz="0" w:space="0" w:color="auto"/>
                  </w:divBdr>
                  <w:divsChild>
                    <w:div w:id="629478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36824600">
      <w:bodyDiv w:val="1"/>
      <w:marLeft w:val="0"/>
      <w:marRight w:val="0"/>
      <w:marTop w:val="0"/>
      <w:marBottom w:val="0"/>
      <w:divBdr>
        <w:top w:val="none" w:sz="0" w:space="0" w:color="auto"/>
        <w:left w:val="none" w:sz="0" w:space="0" w:color="auto"/>
        <w:bottom w:val="none" w:sz="0" w:space="0" w:color="auto"/>
        <w:right w:val="none" w:sz="0" w:space="0" w:color="auto"/>
      </w:divBdr>
      <w:divsChild>
        <w:div w:id="763375932">
          <w:marLeft w:val="0"/>
          <w:marRight w:val="0"/>
          <w:marTop w:val="0"/>
          <w:marBottom w:val="0"/>
          <w:divBdr>
            <w:top w:val="none" w:sz="0" w:space="0" w:color="auto"/>
            <w:left w:val="none" w:sz="0" w:space="0" w:color="auto"/>
            <w:bottom w:val="none" w:sz="0" w:space="0" w:color="auto"/>
            <w:right w:val="none" w:sz="0" w:space="0" w:color="auto"/>
          </w:divBdr>
          <w:divsChild>
            <w:div w:id="1608270927">
              <w:marLeft w:val="0"/>
              <w:marRight w:val="0"/>
              <w:marTop w:val="0"/>
              <w:marBottom w:val="0"/>
              <w:divBdr>
                <w:top w:val="none" w:sz="0" w:space="0" w:color="auto"/>
                <w:left w:val="none" w:sz="0" w:space="0" w:color="auto"/>
                <w:bottom w:val="none" w:sz="0" w:space="0" w:color="auto"/>
                <w:right w:val="none" w:sz="0" w:space="0" w:color="auto"/>
              </w:divBdr>
              <w:divsChild>
                <w:div w:id="1807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482582131">
      <w:bodyDiv w:val="1"/>
      <w:marLeft w:val="0"/>
      <w:marRight w:val="0"/>
      <w:marTop w:val="0"/>
      <w:marBottom w:val="0"/>
      <w:divBdr>
        <w:top w:val="none" w:sz="0" w:space="0" w:color="auto"/>
        <w:left w:val="none" w:sz="0" w:space="0" w:color="auto"/>
        <w:bottom w:val="none" w:sz="0" w:space="0" w:color="auto"/>
        <w:right w:val="none" w:sz="0" w:space="0" w:color="auto"/>
      </w:divBdr>
      <w:divsChild>
        <w:div w:id="663438727">
          <w:marLeft w:val="0"/>
          <w:marRight w:val="0"/>
          <w:marTop w:val="0"/>
          <w:marBottom w:val="0"/>
          <w:divBdr>
            <w:top w:val="none" w:sz="0" w:space="0" w:color="auto"/>
            <w:left w:val="none" w:sz="0" w:space="0" w:color="auto"/>
            <w:bottom w:val="none" w:sz="0" w:space="0" w:color="auto"/>
            <w:right w:val="none" w:sz="0" w:space="0" w:color="auto"/>
          </w:divBdr>
          <w:divsChild>
            <w:div w:id="1309825361">
              <w:marLeft w:val="0"/>
              <w:marRight w:val="0"/>
              <w:marTop w:val="0"/>
              <w:marBottom w:val="0"/>
              <w:divBdr>
                <w:top w:val="none" w:sz="0" w:space="0" w:color="auto"/>
                <w:left w:val="none" w:sz="0" w:space="0" w:color="auto"/>
                <w:bottom w:val="none" w:sz="0" w:space="0" w:color="auto"/>
                <w:right w:val="none" w:sz="0" w:space="0" w:color="auto"/>
              </w:divBdr>
              <w:divsChild>
                <w:div w:id="1756316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3109676">
      <w:bodyDiv w:val="1"/>
      <w:marLeft w:val="0"/>
      <w:marRight w:val="0"/>
      <w:marTop w:val="0"/>
      <w:marBottom w:val="0"/>
      <w:divBdr>
        <w:top w:val="none" w:sz="0" w:space="0" w:color="auto"/>
        <w:left w:val="none" w:sz="0" w:space="0" w:color="auto"/>
        <w:bottom w:val="none" w:sz="0" w:space="0" w:color="auto"/>
        <w:right w:val="none" w:sz="0" w:space="0" w:color="auto"/>
      </w:divBdr>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18957766">
      <w:bodyDiv w:val="1"/>
      <w:marLeft w:val="0"/>
      <w:marRight w:val="0"/>
      <w:marTop w:val="0"/>
      <w:marBottom w:val="0"/>
      <w:divBdr>
        <w:top w:val="none" w:sz="0" w:space="0" w:color="auto"/>
        <w:left w:val="none" w:sz="0" w:space="0" w:color="auto"/>
        <w:bottom w:val="none" w:sz="0" w:space="0" w:color="auto"/>
        <w:right w:val="none" w:sz="0" w:space="0" w:color="auto"/>
      </w:divBdr>
      <w:divsChild>
        <w:div w:id="684358734">
          <w:marLeft w:val="0"/>
          <w:marRight w:val="0"/>
          <w:marTop w:val="0"/>
          <w:marBottom w:val="0"/>
          <w:divBdr>
            <w:top w:val="none" w:sz="0" w:space="0" w:color="auto"/>
            <w:left w:val="none" w:sz="0" w:space="0" w:color="auto"/>
            <w:bottom w:val="none" w:sz="0" w:space="0" w:color="auto"/>
            <w:right w:val="none" w:sz="0" w:space="0" w:color="auto"/>
          </w:divBdr>
          <w:divsChild>
            <w:div w:id="600383037">
              <w:marLeft w:val="0"/>
              <w:marRight w:val="0"/>
              <w:marTop w:val="0"/>
              <w:marBottom w:val="0"/>
              <w:divBdr>
                <w:top w:val="none" w:sz="0" w:space="0" w:color="auto"/>
                <w:left w:val="none" w:sz="0" w:space="0" w:color="auto"/>
                <w:bottom w:val="none" w:sz="0" w:space="0" w:color="auto"/>
                <w:right w:val="none" w:sz="0" w:space="0" w:color="auto"/>
              </w:divBdr>
              <w:divsChild>
                <w:div w:id="117803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6552334">
      <w:bodyDiv w:val="1"/>
      <w:marLeft w:val="0"/>
      <w:marRight w:val="0"/>
      <w:marTop w:val="0"/>
      <w:marBottom w:val="0"/>
      <w:divBdr>
        <w:top w:val="none" w:sz="0" w:space="0" w:color="auto"/>
        <w:left w:val="none" w:sz="0" w:space="0" w:color="auto"/>
        <w:bottom w:val="none" w:sz="0" w:space="0" w:color="auto"/>
        <w:right w:val="none" w:sz="0" w:space="0" w:color="auto"/>
      </w:divBdr>
      <w:divsChild>
        <w:div w:id="1009985317">
          <w:marLeft w:val="0"/>
          <w:marRight w:val="0"/>
          <w:marTop w:val="0"/>
          <w:marBottom w:val="0"/>
          <w:divBdr>
            <w:top w:val="none" w:sz="0" w:space="0" w:color="auto"/>
            <w:left w:val="none" w:sz="0" w:space="0" w:color="auto"/>
            <w:bottom w:val="none" w:sz="0" w:space="0" w:color="auto"/>
            <w:right w:val="none" w:sz="0" w:space="0" w:color="auto"/>
          </w:divBdr>
          <w:divsChild>
            <w:div w:id="564605924">
              <w:marLeft w:val="0"/>
              <w:marRight w:val="0"/>
              <w:marTop w:val="0"/>
              <w:marBottom w:val="0"/>
              <w:divBdr>
                <w:top w:val="none" w:sz="0" w:space="0" w:color="auto"/>
                <w:left w:val="none" w:sz="0" w:space="0" w:color="auto"/>
                <w:bottom w:val="none" w:sz="0" w:space="0" w:color="auto"/>
                <w:right w:val="none" w:sz="0" w:space="0" w:color="auto"/>
              </w:divBdr>
              <w:divsChild>
                <w:div w:id="10180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35801328">
      <w:bodyDiv w:val="1"/>
      <w:marLeft w:val="0"/>
      <w:marRight w:val="0"/>
      <w:marTop w:val="0"/>
      <w:marBottom w:val="0"/>
      <w:divBdr>
        <w:top w:val="none" w:sz="0" w:space="0" w:color="auto"/>
        <w:left w:val="none" w:sz="0" w:space="0" w:color="auto"/>
        <w:bottom w:val="none" w:sz="0" w:space="0" w:color="auto"/>
        <w:right w:val="none" w:sz="0" w:space="0" w:color="auto"/>
      </w:divBdr>
      <w:divsChild>
        <w:div w:id="1443527000">
          <w:marLeft w:val="0"/>
          <w:marRight w:val="0"/>
          <w:marTop w:val="0"/>
          <w:marBottom w:val="0"/>
          <w:divBdr>
            <w:top w:val="none" w:sz="0" w:space="0" w:color="auto"/>
            <w:left w:val="none" w:sz="0" w:space="0" w:color="auto"/>
            <w:bottom w:val="none" w:sz="0" w:space="0" w:color="auto"/>
            <w:right w:val="none" w:sz="0" w:space="0" w:color="auto"/>
          </w:divBdr>
          <w:divsChild>
            <w:div w:id="482936658">
              <w:marLeft w:val="0"/>
              <w:marRight w:val="0"/>
              <w:marTop w:val="0"/>
              <w:marBottom w:val="0"/>
              <w:divBdr>
                <w:top w:val="none" w:sz="0" w:space="0" w:color="auto"/>
                <w:left w:val="none" w:sz="0" w:space="0" w:color="auto"/>
                <w:bottom w:val="none" w:sz="0" w:space="0" w:color="auto"/>
                <w:right w:val="none" w:sz="0" w:space="0" w:color="auto"/>
              </w:divBdr>
              <w:divsChild>
                <w:div w:id="718020981">
                  <w:marLeft w:val="0"/>
                  <w:marRight w:val="0"/>
                  <w:marTop w:val="0"/>
                  <w:marBottom w:val="0"/>
                  <w:divBdr>
                    <w:top w:val="none" w:sz="0" w:space="0" w:color="auto"/>
                    <w:left w:val="none" w:sz="0" w:space="0" w:color="auto"/>
                    <w:bottom w:val="none" w:sz="0" w:space="0" w:color="auto"/>
                    <w:right w:val="none" w:sz="0" w:space="0" w:color="auto"/>
                  </w:divBdr>
                  <w:divsChild>
                    <w:div w:id="16563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84560021">
      <w:bodyDiv w:val="1"/>
      <w:marLeft w:val="0"/>
      <w:marRight w:val="0"/>
      <w:marTop w:val="0"/>
      <w:marBottom w:val="0"/>
      <w:divBdr>
        <w:top w:val="none" w:sz="0" w:space="0" w:color="auto"/>
        <w:left w:val="none" w:sz="0" w:space="0" w:color="auto"/>
        <w:bottom w:val="none" w:sz="0" w:space="0" w:color="auto"/>
        <w:right w:val="none" w:sz="0" w:space="0" w:color="auto"/>
      </w:divBdr>
      <w:divsChild>
        <w:div w:id="67895655">
          <w:marLeft w:val="0"/>
          <w:marRight w:val="0"/>
          <w:marTop w:val="0"/>
          <w:marBottom w:val="0"/>
          <w:divBdr>
            <w:top w:val="none" w:sz="0" w:space="0" w:color="auto"/>
            <w:left w:val="none" w:sz="0" w:space="0" w:color="auto"/>
            <w:bottom w:val="none" w:sz="0" w:space="0" w:color="auto"/>
            <w:right w:val="none" w:sz="0" w:space="0" w:color="auto"/>
          </w:divBdr>
          <w:divsChild>
            <w:div w:id="291638917">
              <w:marLeft w:val="0"/>
              <w:marRight w:val="0"/>
              <w:marTop w:val="0"/>
              <w:marBottom w:val="0"/>
              <w:divBdr>
                <w:top w:val="none" w:sz="0" w:space="0" w:color="auto"/>
                <w:left w:val="none" w:sz="0" w:space="0" w:color="auto"/>
                <w:bottom w:val="none" w:sz="0" w:space="0" w:color="auto"/>
                <w:right w:val="none" w:sz="0" w:space="0" w:color="auto"/>
              </w:divBdr>
              <w:divsChild>
                <w:div w:id="1442526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7421658">
      <w:bodyDiv w:val="1"/>
      <w:marLeft w:val="0"/>
      <w:marRight w:val="0"/>
      <w:marTop w:val="0"/>
      <w:marBottom w:val="0"/>
      <w:divBdr>
        <w:top w:val="none" w:sz="0" w:space="0" w:color="auto"/>
        <w:left w:val="none" w:sz="0" w:space="0" w:color="auto"/>
        <w:bottom w:val="none" w:sz="0" w:space="0" w:color="auto"/>
        <w:right w:val="none" w:sz="0" w:space="0" w:color="auto"/>
      </w:divBdr>
      <w:divsChild>
        <w:div w:id="1615987034">
          <w:marLeft w:val="0"/>
          <w:marRight w:val="0"/>
          <w:marTop w:val="0"/>
          <w:marBottom w:val="0"/>
          <w:divBdr>
            <w:top w:val="none" w:sz="0" w:space="0" w:color="auto"/>
            <w:left w:val="none" w:sz="0" w:space="0" w:color="auto"/>
            <w:bottom w:val="none" w:sz="0" w:space="0" w:color="auto"/>
            <w:right w:val="none" w:sz="0" w:space="0" w:color="auto"/>
          </w:divBdr>
          <w:divsChild>
            <w:div w:id="273295392">
              <w:marLeft w:val="0"/>
              <w:marRight w:val="0"/>
              <w:marTop w:val="0"/>
              <w:marBottom w:val="0"/>
              <w:divBdr>
                <w:top w:val="none" w:sz="0" w:space="0" w:color="auto"/>
                <w:left w:val="none" w:sz="0" w:space="0" w:color="auto"/>
                <w:bottom w:val="none" w:sz="0" w:space="0" w:color="auto"/>
                <w:right w:val="none" w:sz="0" w:space="0" w:color="auto"/>
              </w:divBdr>
              <w:divsChild>
                <w:div w:id="2004968799">
                  <w:marLeft w:val="0"/>
                  <w:marRight w:val="0"/>
                  <w:marTop w:val="0"/>
                  <w:marBottom w:val="0"/>
                  <w:divBdr>
                    <w:top w:val="none" w:sz="0" w:space="0" w:color="auto"/>
                    <w:left w:val="none" w:sz="0" w:space="0" w:color="auto"/>
                    <w:bottom w:val="none" w:sz="0" w:space="0" w:color="auto"/>
                    <w:right w:val="none" w:sz="0" w:space="0" w:color="auto"/>
                  </w:divBdr>
                  <w:divsChild>
                    <w:div w:id="465004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0191136">
      <w:bodyDiv w:val="1"/>
      <w:marLeft w:val="0"/>
      <w:marRight w:val="0"/>
      <w:marTop w:val="0"/>
      <w:marBottom w:val="0"/>
      <w:divBdr>
        <w:top w:val="none" w:sz="0" w:space="0" w:color="auto"/>
        <w:left w:val="none" w:sz="0" w:space="0" w:color="auto"/>
        <w:bottom w:val="none" w:sz="0" w:space="0" w:color="auto"/>
        <w:right w:val="none" w:sz="0" w:space="0" w:color="auto"/>
      </w:divBdr>
      <w:divsChild>
        <w:div w:id="1281303560">
          <w:marLeft w:val="0"/>
          <w:marRight w:val="0"/>
          <w:marTop w:val="0"/>
          <w:marBottom w:val="0"/>
          <w:divBdr>
            <w:top w:val="none" w:sz="0" w:space="0" w:color="auto"/>
            <w:left w:val="none" w:sz="0" w:space="0" w:color="auto"/>
            <w:bottom w:val="none" w:sz="0" w:space="0" w:color="auto"/>
            <w:right w:val="none" w:sz="0" w:space="0" w:color="auto"/>
          </w:divBdr>
          <w:divsChild>
            <w:div w:id="1728261685">
              <w:marLeft w:val="0"/>
              <w:marRight w:val="0"/>
              <w:marTop w:val="0"/>
              <w:marBottom w:val="0"/>
              <w:divBdr>
                <w:top w:val="none" w:sz="0" w:space="0" w:color="auto"/>
                <w:left w:val="none" w:sz="0" w:space="0" w:color="auto"/>
                <w:bottom w:val="none" w:sz="0" w:space="0" w:color="auto"/>
                <w:right w:val="none" w:sz="0" w:space="0" w:color="auto"/>
              </w:divBdr>
              <w:divsChild>
                <w:div w:id="678047426">
                  <w:marLeft w:val="0"/>
                  <w:marRight w:val="0"/>
                  <w:marTop w:val="0"/>
                  <w:marBottom w:val="0"/>
                  <w:divBdr>
                    <w:top w:val="none" w:sz="0" w:space="0" w:color="auto"/>
                    <w:left w:val="none" w:sz="0" w:space="0" w:color="auto"/>
                    <w:bottom w:val="none" w:sz="0" w:space="0" w:color="auto"/>
                    <w:right w:val="none" w:sz="0" w:space="0" w:color="auto"/>
                  </w:divBdr>
                  <w:divsChild>
                    <w:div w:id="1313829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22224924">
      <w:bodyDiv w:val="1"/>
      <w:marLeft w:val="0"/>
      <w:marRight w:val="0"/>
      <w:marTop w:val="0"/>
      <w:marBottom w:val="0"/>
      <w:divBdr>
        <w:top w:val="none" w:sz="0" w:space="0" w:color="auto"/>
        <w:left w:val="none" w:sz="0" w:space="0" w:color="auto"/>
        <w:bottom w:val="none" w:sz="0" w:space="0" w:color="auto"/>
        <w:right w:val="none" w:sz="0" w:space="0" w:color="auto"/>
      </w:divBdr>
    </w:div>
    <w:div w:id="1631549889">
      <w:bodyDiv w:val="1"/>
      <w:marLeft w:val="0"/>
      <w:marRight w:val="0"/>
      <w:marTop w:val="0"/>
      <w:marBottom w:val="0"/>
      <w:divBdr>
        <w:top w:val="none" w:sz="0" w:space="0" w:color="auto"/>
        <w:left w:val="none" w:sz="0" w:space="0" w:color="auto"/>
        <w:bottom w:val="none" w:sz="0" w:space="0" w:color="auto"/>
        <w:right w:val="none" w:sz="0" w:space="0" w:color="auto"/>
      </w:divBdr>
      <w:divsChild>
        <w:div w:id="1223101230">
          <w:marLeft w:val="0"/>
          <w:marRight w:val="0"/>
          <w:marTop w:val="0"/>
          <w:marBottom w:val="0"/>
          <w:divBdr>
            <w:top w:val="none" w:sz="0" w:space="0" w:color="auto"/>
            <w:left w:val="none" w:sz="0" w:space="0" w:color="auto"/>
            <w:bottom w:val="none" w:sz="0" w:space="0" w:color="auto"/>
            <w:right w:val="none" w:sz="0" w:space="0" w:color="auto"/>
          </w:divBdr>
          <w:divsChild>
            <w:div w:id="14818191">
              <w:marLeft w:val="0"/>
              <w:marRight w:val="0"/>
              <w:marTop w:val="0"/>
              <w:marBottom w:val="0"/>
              <w:divBdr>
                <w:top w:val="none" w:sz="0" w:space="0" w:color="auto"/>
                <w:left w:val="none" w:sz="0" w:space="0" w:color="auto"/>
                <w:bottom w:val="none" w:sz="0" w:space="0" w:color="auto"/>
                <w:right w:val="none" w:sz="0" w:space="0" w:color="auto"/>
              </w:divBdr>
              <w:divsChild>
                <w:div w:id="1044526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67510343">
      <w:bodyDiv w:val="1"/>
      <w:marLeft w:val="0"/>
      <w:marRight w:val="0"/>
      <w:marTop w:val="0"/>
      <w:marBottom w:val="0"/>
      <w:divBdr>
        <w:top w:val="none" w:sz="0" w:space="0" w:color="auto"/>
        <w:left w:val="none" w:sz="0" w:space="0" w:color="auto"/>
        <w:bottom w:val="none" w:sz="0" w:space="0" w:color="auto"/>
        <w:right w:val="none" w:sz="0" w:space="0" w:color="auto"/>
      </w:divBdr>
      <w:divsChild>
        <w:div w:id="12533160">
          <w:marLeft w:val="0"/>
          <w:marRight w:val="0"/>
          <w:marTop w:val="0"/>
          <w:marBottom w:val="0"/>
          <w:divBdr>
            <w:top w:val="none" w:sz="0" w:space="0" w:color="auto"/>
            <w:left w:val="none" w:sz="0" w:space="0" w:color="auto"/>
            <w:bottom w:val="none" w:sz="0" w:space="0" w:color="auto"/>
            <w:right w:val="none" w:sz="0" w:space="0" w:color="auto"/>
          </w:divBdr>
          <w:divsChild>
            <w:div w:id="309134720">
              <w:marLeft w:val="0"/>
              <w:marRight w:val="0"/>
              <w:marTop w:val="0"/>
              <w:marBottom w:val="0"/>
              <w:divBdr>
                <w:top w:val="none" w:sz="0" w:space="0" w:color="auto"/>
                <w:left w:val="none" w:sz="0" w:space="0" w:color="auto"/>
                <w:bottom w:val="none" w:sz="0" w:space="0" w:color="auto"/>
                <w:right w:val="none" w:sz="0" w:space="0" w:color="auto"/>
              </w:divBdr>
              <w:divsChild>
                <w:div w:id="30813561">
                  <w:marLeft w:val="0"/>
                  <w:marRight w:val="0"/>
                  <w:marTop w:val="0"/>
                  <w:marBottom w:val="0"/>
                  <w:divBdr>
                    <w:top w:val="none" w:sz="0" w:space="0" w:color="auto"/>
                    <w:left w:val="none" w:sz="0" w:space="0" w:color="auto"/>
                    <w:bottom w:val="none" w:sz="0" w:space="0" w:color="auto"/>
                    <w:right w:val="none" w:sz="0" w:space="0" w:color="auto"/>
                  </w:divBdr>
                  <w:divsChild>
                    <w:div w:id="408967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699045762">
      <w:bodyDiv w:val="1"/>
      <w:marLeft w:val="0"/>
      <w:marRight w:val="0"/>
      <w:marTop w:val="0"/>
      <w:marBottom w:val="0"/>
      <w:divBdr>
        <w:top w:val="none" w:sz="0" w:space="0" w:color="auto"/>
        <w:left w:val="none" w:sz="0" w:space="0" w:color="auto"/>
        <w:bottom w:val="none" w:sz="0" w:space="0" w:color="auto"/>
        <w:right w:val="none" w:sz="0" w:space="0" w:color="auto"/>
      </w:divBdr>
      <w:divsChild>
        <w:div w:id="1021393570">
          <w:marLeft w:val="0"/>
          <w:marRight w:val="0"/>
          <w:marTop w:val="0"/>
          <w:marBottom w:val="0"/>
          <w:divBdr>
            <w:top w:val="none" w:sz="0" w:space="0" w:color="auto"/>
            <w:left w:val="none" w:sz="0" w:space="0" w:color="auto"/>
            <w:bottom w:val="none" w:sz="0" w:space="0" w:color="auto"/>
            <w:right w:val="none" w:sz="0" w:space="0" w:color="auto"/>
          </w:divBdr>
          <w:divsChild>
            <w:div w:id="1705523375">
              <w:marLeft w:val="0"/>
              <w:marRight w:val="0"/>
              <w:marTop w:val="0"/>
              <w:marBottom w:val="0"/>
              <w:divBdr>
                <w:top w:val="none" w:sz="0" w:space="0" w:color="auto"/>
                <w:left w:val="none" w:sz="0" w:space="0" w:color="auto"/>
                <w:bottom w:val="none" w:sz="0" w:space="0" w:color="auto"/>
                <w:right w:val="none" w:sz="0" w:space="0" w:color="auto"/>
              </w:divBdr>
              <w:divsChild>
                <w:div w:id="26916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10035371">
      <w:bodyDiv w:val="1"/>
      <w:marLeft w:val="0"/>
      <w:marRight w:val="0"/>
      <w:marTop w:val="0"/>
      <w:marBottom w:val="0"/>
      <w:divBdr>
        <w:top w:val="none" w:sz="0" w:space="0" w:color="auto"/>
        <w:left w:val="none" w:sz="0" w:space="0" w:color="auto"/>
        <w:bottom w:val="none" w:sz="0" w:space="0" w:color="auto"/>
        <w:right w:val="none" w:sz="0" w:space="0" w:color="auto"/>
      </w:divBdr>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2634430">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1564713">
      <w:bodyDiv w:val="1"/>
      <w:marLeft w:val="0"/>
      <w:marRight w:val="0"/>
      <w:marTop w:val="0"/>
      <w:marBottom w:val="0"/>
      <w:divBdr>
        <w:top w:val="none" w:sz="0" w:space="0" w:color="auto"/>
        <w:left w:val="none" w:sz="0" w:space="0" w:color="auto"/>
        <w:bottom w:val="none" w:sz="0" w:space="0" w:color="auto"/>
        <w:right w:val="none" w:sz="0" w:space="0" w:color="auto"/>
      </w:divBdr>
      <w:divsChild>
        <w:div w:id="1086461102">
          <w:marLeft w:val="0"/>
          <w:marRight w:val="0"/>
          <w:marTop w:val="0"/>
          <w:marBottom w:val="0"/>
          <w:divBdr>
            <w:top w:val="none" w:sz="0" w:space="0" w:color="auto"/>
            <w:left w:val="none" w:sz="0" w:space="0" w:color="auto"/>
            <w:bottom w:val="none" w:sz="0" w:space="0" w:color="auto"/>
            <w:right w:val="none" w:sz="0" w:space="0" w:color="auto"/>
          </w:divBdr>
          <w:divsChild>
            <w:div w:id="1756391453">
              <w:marLeft w:val="0"/>
              <w:marRight w:val="0"/>
              <w:marTop w:val="0"/>
              <w:marBottom w:val="0"/>
              <w:divBdr>
                <w:top w:val="none" w:sz="0" w:space="0" w:color="auto"/>
                <w:left w:val="none" w:sz="0" w:space="0" w:color="auto"/>
                <w:bottom w:val="none" w:sz="0" w:space="0" w:color="auto"/>
                <w:right w:val="none" w:sz="0" w:space="0" w:color="auto"/>
              </w:divBdr>
              <w:divsChild>
                <w:div w:id="416942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2214436">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0926843">
      <w:bodyDiv w:val="1"/>
      <w:marLeft w:val="0"/>
      <w:marRight w:val="0"/>
      <w:marTop w:val="0"/>
      <w:marBottom w:val="0"/>
      <w:divBdr>
        <w:top w:val="none" w:sz="0" w:space="0" w:color="auto"/>
        <w:left w:val="none" w:sz="0" w:space="0" w:color="auto"/>
        <w:bottom w:val="none" w:sz="0" w:space="0" w:color="auto"/>
        <w:right w:val="none" w:sz="0" w:space="0" w:color="auto"/>
      </w:divBdr>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78787841">
      <w:bodyDiv w:val="1"/>
      <w:marLeft w:val="0"/>
      <w:marRight w:val="0"/>
      <w:marTop w:val="0"/>
      <w:marBottom w:val="0"/>
      <w:divBdr>
        <w:top w:val="none" w:sz="0" w:space="0" w:color="auto"/>
        <w:left w:val="none" w:sz="0" w:space="0" w:color="auto"/>
        <w:bottom w:val="none" w:sz="0" w:space="0" w:color="auto"/>
        <w:right w:val="none" w:sz="0" w:space="0" w:color="auto"/>
      </w:divBdr>
      <w:divsChild>
        <w:div w:id="1703896217">
          <w:marLeft w:val="0"/>
          <w:marRight w:val="0"/>
          <w:marTop w:val="0"/>
          <w:marBottom w:val="0"/>
          <w:divBdr>
            <w:top w:val="none" w:sz="0" w:space="0" w:color="auto"/>
            <w:left w:val="none" w:sz="0" w:space="0" w:color="auto"/>
            <w:bottom w:val="none" w:sz="0" w:space="0" w:color="auto"/>
            <w:right w:val="none" w:sz="0" w:space="0" w:color="auto"/>
          </w:divBdr>
          <w:divsChild>
            <w:div w:id="890843342">
              <w:marLeft w:val="0"/>
              <w:marRight w:val="0"/>
              <w:marTop w:val="0"/>
              <w:marBottom w:val="0"/>
              <w:divBdr>
                <w:top w:val="none" w:sz="0" w:space="0" w:color="auto"/>
                <w:left w:val="none" w:sz="0" w:space="0" w:color="auto"/>
                <w:bottom w:val="none" w:sz="0" w:space="0" w:color="auto"/>
                <w:right w:val="none" w:sz="0" w:space="0" w:color="auto"/>
              </w:divBdr>
              <w:divsChild>
                <w:div w:id="611934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9642301">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02309090">
      <w:bodyDiv w:val="1"/>
      <w:marLeft w:val="0"/>
      <w:marRight w:val="0"/>
      <w:marTop w:val="0"/>
      <w:marBottom w:val="0"/>
      <w:divBdr>
        <w:top w:val="none" w:sz="0" w:space="0" w:color="auto"/>
        <w:left w:val="none" w:sz="0" w:space="0" w:color="auto"/>
        <w:bottom w:val="none" w:sz="0" w:space="0" w:color="auto"/>
        <w:right w:val="none" w:sz="0" w:space="0" w:color="auto"/>
      </w:divBdr>
      <w:divsChild>
        <w:div w:id="1066688321">
          <w:marLeft w:val="0"/>
          <w:marRight w:val="0"/>
          <w:marTop w:val="0"/>
          <w:marBottom w:val="0"/>
          <w:divBdr>
            <w:top w:val="none" w:sz="0" w:space="0" w:color="auto"/>
            <w:left w:val="none" w:sz="0" w:space="0" w:color="auto"/>
            <w:bottom w:val="none" w:sz="0" w:space="0" w:color="auto"/>
            <w:right w:val="none" w:sz="0" w:space="0" w:color="auto"/>
          </w:divBdr>
          <w:divsChild>
            <w:div w:id="1894466733">
              <w:marLeft w:val="0"/>
              <w:marRight w:val="0"/>
              <w:marTop w:val="0"/>
              <w:marBottom w:val="0"/>
              <w:divBdr>
                <w:top w:val="none" w:sz="0" w:space="0" w:color="auto"/>
                <w:left w:val="none" w:sz="0" w:space="0" w:color="auto"/>
                <w:bottom w:val="none" w:sz="0" w:space="0" w:color="auto"/>
                <w:right w:val="none" w:sz="0" w:space="0" w:color="auto"/>
              </w:divBdr>
              <w:divsChild>
                <w:div w:id="1548713275">
                  <w:marLeft w:val="0"/>
                  <w:marRight w:val="0"/>
                  <w:marTop w:val="0"/>
                  <w:marBottom w:val="0"/>
                  <w:divBdr>
                    <w:top w:val="none" w:sz="0" w:space="0" w:color="auto"/>
                    <w:left w:val="none" w:sz="0" w:space="0" w:color="auto"/>
                    <w:bottom w:val="none" w:sz="0" w:space="0" w:color="auto"/>
                    <w:right w:val="none" w:sz="0" w:space="0" w:color="auto"/>
                  </w:divBdr>
                  <w:divsChild>
                    <w:div w:id="872227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21531451">
      <w:bodyDiv w:val="1"/>
      <w:marLeft w:val="0"/>
      <w:marRight w:val="0"/>
      <w:marTop w:val="0"/>
      <w:marBottom w:val="0"/>
      <w:divBdr>
        <w:top w:val="none" w:sz="0" w:space="0" w:color="auto"/>
        <w:left w:val="none" w:sz="0" w:space="0" w:color="auto"/>
        <w:bottom w:val="none" w:sz="0" w:space="0" w:color="auto"/>
        <w:right w:val="none" w:sz="0" w:space="0" w:color="auto"/>
      </w:divBdr>
      <w:divsChild>
        <w:div w:id="661935964">
          <w:marLeft w:val="0"/>
          <w:marRight w:val="0"/>
          <w:marTop w:val="0"/>
          <w:marBottom w:val="0"/>
          <w:divBdr>
            <w:top w:val="none" w:sz="0" w:space="0" w:color="auto"/>
            <w:left w:val="none" w:sz="0" w:space="0" w:color="auto"/>
            <w:bottom w:val="none" w:sz="0" w:space="0" w:color="auto"/>
            <w:right w:val="none" w:sz="0" w:space="0" w:color="auto"/>
          </w:divBdr>
          <w:divsChild>
            <w:div w:id="242643817">
              <w:marLeft w:val="0"/>
              <w:marRight w:val="0"/>
              <w:marTop w:val="0"/>
              <w:marBottom w:val="0"/>
              <w:divBdr>
                <w:top w:val="none" w:sz="0" w:space="0" w:color="auto"/>
                <w:left w:val="none" w:sz="0" w:space="0" w:color="auto"/>
                <w:bottom w:val="none" w:sz="0" w:space="0" w:color="auto"/>
                <w:right w:val="none" w:sz="0" w:space="0" w:color="auto"/>
              </w:divBdr>
              <w:divsChild>
                <w:div w:id="1600942091">
                  <w:marLeft w:val="0"/>
                  <w:marRight w:val="0"/>
                  <w:marTop w:val="0"/>
                  <w:marBottom w:val="0"/>
                  <w:divBdr>
                    <w:top w:val="none" w:sz="0" w:space="0" w:color="auto"/>
                    <w:left w:val="none" w:sz="0" w:space="0" w:color="auto"/>
                    <w:bottom w:val="none" w:sz="0" w:space="0" w:color="auto"/>
                    <w:right w:val="none" w:sz="0" w:space="0" w:color="auto"/>
                  </w:divBdr>
                </w:div>
              </w:divsChild>
            </w:div>
            <w:div w:id="1953319620">
              <w:marLeft w:val="0"/>
              <w:marRight w:val="0"/>
              <w:marTop w:val="0"/>
              <w:marBottom w:val="0"/>
              <w:divBdr>
                <w:top w:val="none" w:sz="0" w:space="0" w:color="auto"/>
                <w:left w:val="none" w:sz="0" w:space="0" w:color="auto"/>
                <w:bottom w:val="none" w:sz="0" w:space="0" w:color="auto"/>
                <w:right w:val="none" w:sz="0" w:space="0" w:color="auto"/>
              </w:divBdr>
              <w:divsChild>
                <w:div w:id="742410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272825">
          <w:marLeft w:val="0"/>
          <w:marRight w:val="0"/>
          <w:marTop w:val="0"/>
          <w:marBottom w:val="0"/>
          <w:divBdr>
            <w:top w:val="none" w:sz="0" w:space="0" w:color="auto"/>
            <w:left w:val="none" w:sz="0" w:space="0" w:color="auto"/>
            <w:bottom w:val="none" w:sz="0" w:space="0" w:color="auto"/>
            <w:right w:val="none" w:sz="0" w:space="0" w:color="auto"/>
          </w:divBdr>
          <w:divsChild>
            <w:div w:id="1790201303">
              <w:marLeft w:val="0"/>
              <w:marRight w:val="0"/>
              <w:marTop w:val="0"/>
              <w:marBottom w:val="0"/>
              <w:divBdr>
                <w:top w:val="none" w:sz="0" w:space="0" w:color="auto"/>
                <w:left w:val="none" w:sz="0" w:space="0" w:color="auto"/>
                <w:bottom w:val="none" w:sz="0" w:space="0" w:color="auto"/>
                <w:right w:val="none" w:sz="0" w:space="0" w:color="auto"/>
              </w:divBdr>
              <w:divsChild>
                <w:div w:id="15645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1408682">
      <w:bodyDiv w:val="1"/>
      <w:marLeft w:val="0"/>
      <w:marRight w:val="0"/>
      <w:marTop w:val="0"/>
      <w:marBottom w:val="0"/>
      <w:divBdr>
        <w:top w:val="none" w:sz="0" w:space="0" w:color="auto"/>
        <w:left w:val="none" w:sz="0" w:space="0" w:color="auto"/>
        <w:bottom w:val="none" w:sz="0" w:space="0" w:color="auto"/>
        <w:right w:val="none" w:sz="0" w:space="0" w:color="auto"/>
      </w:divBdr>
      <w:divsChild>
        <w:div w:id="1141342200">
          <w:marLeft w:val="0"/>
          <w:marRight w:val="0"/>
          <w:marTop w:val="0"/>
          <w:marBottom w:val="0"/>
          <w:divBdr>
            <w:top w:val="none" w:sz="0" w:space="0" w:color="auto"/>
            <w:left w:val="none" w:sz="0" w:space="0" w:color="auto"/>
            <w:bottom w:val="none" w:sz="0" w:space="0" w:color="auto"/>
            <w:right w:val="none" w:sz="0" w:space="0" w:color="auto"/>
          </w:divBdr>
          <w:divsChild>
            <w:div w:id="1628773093">
              <w:marLeft w:val="0"/>
              <w:marRight w:val="0"/>
              <w:marTop w:val="0"/>
              <w:marBottom w:val="0"/>
              <w:divBdr>
                <w:top w:val="none" w:sz="0" w:space="0" w:color="auto"/>
                <w:left w:val="none" w:sz="0" w:space="0" w:color="auto"/>
                <w:bottom w:val="none" w:sz="0" w:space="0" w:color="auto"/>
                <w:right w:val="none" w:sz="0" w:space="0" w:color="auto"/>
              </w:divBdr>
              <w:divsChild>
                <w:div w:id="1494174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44318485">
      <w:bodyDiv w:val="1"/>
      <w:marLeft w:val="0"/>
      <w:marRight w:val="0"/>
      <w:marTop w:val="0"/>
      <w:marBottom w:val="0"/>
      <w:divBdr>
        <w:top w:val="none" w:sz="0" w:space="0" w:color="auto"/>
        <w:left w:val="none" w:sz="0" w:space="0" w:color="auto"/>
        <w:bottom w:val="none" w:sz="0" w:space="0" w:color="auto"/>
        <w:right w:val="none" w:sz="0" w:space="0" w:color="auto"/>
      </w:divBdr>
      <w:divsChild>
        <w:div w:id="1695423089">
          <w:marLeft w:val="0"/>
          <w:marRight w:val="0"/>
          <w:marTop w:val="0"/>
          <w:marBottom w:val="0"/>
          <w:divBdr>
            <w:top w:val="none" w:sz="0" w:space="0" w:color="auto"/>
            <w:left w:val="none" w:sz="0" w:space="0" w:color="auto"/>
            <w:bottom w:val="none" w:sz="0" w:space="0" w:color="auto"/>
            <w:right w:val="none" w:sz="0" w:space="0" w:color="auto"/>
          </w:divBdr>
          <w:divsChild>
            <w:div w:id="1723364416">
              <w:marLeft w:val="0"/>
              <w:marRight w:val="0"/>
              <w:marTop w:val="0"/>
              <w:marBottom w:val="0"/>
              <w:divBdr>
                <w:top w:val="none" w:sz="0" w:space="0" w:color="auto"/>
                <w:left w:val="none" w:sz="0" w:space="0" w:color="auto"/>
                <w:bottom w:val="none" w:sz="0" w:space="0" w:color="auto"/>
                <w:right w:val="none" w:sz="0" w:space="0" w:color="auto"/>
              </w:divBdr>
              <w:divsChild>
                <w:div w:id="585656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72264088">
      <w:bodyDiv w:val="1"/>
      <w:marLeft w:val="0"/>
      <w:marRight w:val="0"/>
      <w:marTop w:val="0"/>
      <w:marBottom w:val="0"/>
      <w:divBdr>
        <w:top w:val="none" w:sz="0" w:space="0" w:color="auto"/>
        <w:left w:val="none" w:sz="0" w:space="0" w:color="auto"/>
        <w:bottom w:val="none" w:sz="0" w:space="0" w:color="auto"/>
        <w:right w:val="none" w:sz="0" w:space="0" w:color="auto"/>
      </w:divBdr>
      <w:divsChild>
        <w:div w:id="21396795">
          <w:marLeft w:val="0"/>
          <w:marRight w:val="0"/>
          <w:marTop w:val="0"/>
          <w:marBottom w:val="0"/>
          <w:divBdr>
            <w:top w:val="none" w:sz="0" w:space="0" w:color="auto"/>
            <w:left w:val="none" w:sz="0" w:space="0" w:color="auto"/>
            <w:bottom w:val="none" w:sz="0" w:space="0" w:color="auto"/>
            <w:right w:val="none" w:sz="0" w:space="0" w:color="auto"/>
          </w:divBdr>
          <w:divsChild>
            <w:div w:id="1164013195">
              <w:marLeft w:val="0"/>
              <w:marRight w:val="0"/>
              <w:marTop w:val="0"/>
              <w:marBottom w:val="0"/>
              <w:divBdr>
                <w:top w:val="none" w:sz="0" w:space="0" w:color="auto"/>
                <w:left w:val="none" w:sz="0" w:space="0" w:color="auto"/>
                <w:bottom w:val="none" w:sz="0" w:space="0" w:color="auto"/>
                <w:right w:val="none" w:sz="0" w:space="0" w:color="auto"/>
              </w:divBdr>
              <w:divsChild>
                <w:div w:id="982389479">
                  <w:marLeft w:val="0"/>
                  <w:marRight w:val="0"/>
                  <w:marTop w:val="0"/>
                  <w:marBottom w:val="0"/>
                  <w:divBdr>
                    <w:top w:val="none" w:sz="0" w:space="0" w:color="auto"/>
                    <w:left w:val="none" w:sz="0" w:space="0" w:color="auto"/>
                    <w:bottom w:val="none" w:sz="0" w:space="0" w:color="auto"/>
                    <w:right w:val="none" w:sz="0" w:space="0" w:color="auto"/>
                  </w:divBdr>
                  <w:divsChild>
                    <w:div w:id="308558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1187721">
      <w:bodyDiv w:val="1"/>
      <w:marLeft w:val="0"/>
      <w:marRight w:val="0"/>
      <w:marTop w:val="0"/>
      <w:marBottom w:val="0"/>
      <w:divBdr>
        <w:top w:val="none" w:sz="0" w:space="0" w:color="auto"/>
        <w:left w:val="none" w:sz="0" w:space="0" w:color="auto"/>
        <w:bottom w:val="none" w:sz="0" w:space="0" w:color="auto"/>
        <w:right w:val="none" w:sz="0" w:space="0" w:color="auto"/>
      </w:divBdr>
      <w:divsChild>
        <w:div w:id="100345291">
          <w:marLeft w:val="0"/>
          <w:marRight w:val="0"/>
          <w:marTop w:val="0"/>
          <w:marBottom w:val="0"/>
          <w:divBdr>
            <w:top w:val="none" w:sz="0" w:space="0" w:color="auto"/>
            <w:left w:val="none" w:sz="0" w:space="0" w:color="auto"/>
            <w:bottom w:val="none" w:sz="0" w:space="0" w:color="auto"/>
            <w:right w:val="none" w:sz="0" w:space="0" w:color="auto"/>
          </w:divBdr>
          <w:divsChild>
            <w:div w:id="1992099217">
              <w:marLeft w:val="0"/>
              <w:marRight w:val="0"/>
              <w:marTop w:val="0"/>
              <w:marBottom w:val="0"/>
              <w:divBdr>
                <w:top w:val="none" w:sz="0" w:space="0" w:color="auto"/>
                <w:left w:val="none" w:sz="0" w:space="0" w:color="auto"/>
                <w:bottom w:val="none" w:sz="0" w:space="0" w:color="auto"/>
                <w:right w:val="none" w:sz="0" w:space="0" w:color="auto"/>
              </w:divBdr>
              <w:divsChild>
                <w:div w:id="990719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4759111">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1971280576">
      <w:bodyDiv w:val="1"/>
      <w:marLeft w:val="0"/>
      <w:marRight w:val="0"/>
      <w:marTop w:val="0"/>
      <w:marBottom w:val="0"/>
      <w:divBdr>
        <w:top w:val="none" w:sz="0" w:space="0" w:color="auto"/>
        <w:left w:val="none" w:sz="0" w:space="0" w:color="auto"/>
        <w:bottom w:val="none" w:sz="0" w:space="0" w:color="auto"/>
        <w:right w:val="none" w:sz="0" w:space="0" w:color="auto"/>
      </w:divBdr>
    </w:div>
    <w:div w:id="1996452676">
      <w:bodyDiv w:val="1"/>
      <w:marLeft w:val="0"/>
      <w:marRight w:val="0"/>
      <w:marTop w:val="0"/>
      <w:marBottom w:val="0"/>
      <w:divBdr>
        <w:top w:val="none" w:sz="0" w:space="0" w:color="auto"/>
        <w:left w:val="none" w:sz="0" w:space="0" w:color="auto"/>
        <w:bottom w:val="none" w:sz="0" w:space="0" w:color="auto"/>
        <w:right w:val="none" w:sz="0" w:space="0" w:color="auto"/>
      </w:divBdr>
      <w:divsChild>
        <w:div w:id="1127628460">
          <w:marLeft w:val="0"/>
          <w:marRight w:val="0"/>
          <w:marTop w:val="0"/>
          <w:marBottom w:val="0"/>
          <w:divBdr>
            <w:top w:val="none" w:sz="0" w:space="0" w:color="auto"/>
            <w:left w:val="none" w:sz="0" w:space="0" w:color="auto"/>
            <w:bottom w:val="none" w:sz="0" w:space="0" w:color="auto"/>
            <w:right w:val="none" w:sz="0" w:space="0" w:color="auto"/>
          </w:divBdr>
          <w:divsChild>
            <w:div w:id="422914636">
              <w:marLeft w:val="0"/>
              <w:marRight w:val="0"/>
              <w:marTop w:val="0"/>
              <w:marBottom w:val="0"/>
              <w:divBdr>
                <w:top w:val="none" w:sz="0" w:space="0" w:color="auto"/>
                <w:left w:val="none" w:sz="0" w:space="0" w:color="auto"/>
                <w:bottom w:val="none" w:sz="0" w:space="0" w:color="auto"/>
                <w:right w:val="none" w:sz="0" w:space="0" w:color="auto"/>
              </w:divBdr>
              <w:divsChild>
                <w:div w:id="1976644282">
                  <w:marLeft w:val="0"/>
                  <w:marRight w:val="0"/>
                  <w:marTop w:val="0"/>
                  <w:marBottom w:val="0"/>
                  <w:divBdr>
                    <w:top w:val="none" w:sz="0" w:space="0" w:color="auto"/>
                    <w:left w:val="none" w:sz="0" w:space="0" w:color="auto"/>
                    <w:bottom w:val="none" w:sz="0" w:space="0" w:color="auto"/>
                    <w:right w:val="none" w:sz="0" w:space="0" w:color="auto"/>
                  </w:divBdr>
                  <w:divsChild>
                    <w:div w:id="138197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3507821">
      <w:bodyDiv w:val="1"/>
      <w:marLeft w:val="0"/>
      <w:marRight w:val="0"/>
      <w:marTop w:val="0"/>
      <w:marBottom w:val="0"/>
      <w:divBdr>
        <w:top w:val="none" w:sz="0" w:space="0" w:color="auto"/>
        <w:left w:val="none" w:sz="0" w:space="0" w:color="auto"/>
        <w:bottom w:val="none" w:sz="0" w:space="0" w:color="auto"/>
        <w:right w:val="none" w:sz="0" w:space="0" w:color="auto"/>
      </w:divBdr>
      <w:divsChild>
        <w:div w:id="774592276">
          <w:marLeft w:val="0"/>
          <w:marRight w:val="0"/>
          <w:marTop w:val="0"/>
          <w:marBottom w:val="0"/>
          <w:divBdr>
            <w:top w:val="none" w:sz="0" w:space="0" w:color="auto"/>
            <w:left w:val="none" w:sz="0" w:space="0" w:color="auto"/>
            <w:bottom w:val="none" w:sz="0" w:space="0" w:color="auto"/>
            <w:right w:val="none" w:sz="0" w:space="0" w:color="auto"/>
          </w:divBdr>
          <w:divsChild>
            <w:div w:id="287131030">
              <w:marLeft w:val="0"/>
              <w:marRight w:val="0"/>
              <w:marTop w:val="0"/>
              <w:marBottom w:val="0"/>
              <w:divBdr>
                <w:top w:val="none" w:sz="0" w:space="0" w:color="auto"/>
                <w:left w:val="none" w:sz="0" w:space="0" w:color="auto"/>
                <w:bottom w:val="none" w:sz="0" w:space="0" w:color="auto"/>
                <w:right w:val="none" w:sz="0" w:space="0" w:color="auto"/>
              </w:divBdr>
              <w:divsChild>
                <w:div w:id="183325222">
                  <w:marLeft w:val="0"/>
                  <w:marRight w:val="0"/>
                  <w:marTop w:val="0"/>
                  <w:marBottom w:val="0"/>
                  <w:divBdr>
                    <w:top w:val="none" w:sz="0" w:space="0" w:color="auto"/>
                    <w:left w:val="none" w:sz="0" w:space="0" w:color="auto"/>
                    <w:bottom w:val="none" w:sz="0" w:space="0" w:color="auto"/>
                    <w:right w:val="none" w:sz="0" w:space="0" w:color="auto"/>
                  </w:divBdr>
                </w:div>
              </w:divsChild>
            </w:div>
            <w:div w:id="1691108324">
              <w:marLeft w:val="0"/>
              <w:marRight w:val="0"/>
              <w:marTop w:val="0"/>
              <w:marBottom w:val="0"/>
              <w:divBdr>
                <w:top w:val="none" w:sz="0" w:space="0" w:color="auto"/>
                <w:left w:val="none" w:sz="0" w:space="0" w:color="auto"/>
                <w:bottom w:val="none" w:sz="0" w:space="0" w:color="auto"/>
                <w:right w:val="none" w:sz="0" w:space="0" w:color="auto"/>
              </w:divBdr>
              <w:divsChild>
                <w:div w:id="589581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493599">
          <w:marLeft w:val="0"/>
          <w:marRight w:val="0"/>
          <w:marTop w:val="0"/>
          <w:marBottom w:val="0"/>
          <w:divBdr>
            <w:top w:val="none" w:sz="0" w:space="0" w:color="auto"/>
            <w:left w:val="none" w:sz="0" w:space="0" w:color="auto"/>
            <w:bottom w:val="none" w:sz="0" w:space="0" w:color="auto"/>
            <w:right w:val="none" w:sz="0" w:space="0" w:color="auto"/>
          </w:divBdr>
          <w:divsChild>
            <w:div w:id="1629434249">
              <w:marLeft w:val="0"/>
              <w:marRight w:val="0"/>
              <w:marTop w:val="0"/>
              <w:marBottom w:val="0"/>
              <w:divBdr>
                <w:top w:val="none" w:sz="0" w:space="0" w:color="auto"/>
                <w:left w:val="none" w:sz="0" w:space="0" w:color="auto"/>
                <w:bottom w:val="none" w:sz="0" w:space="0" w:color="auto"/>
                <w:right w:val="none" w:sz="0" w:space="0" w:color="auto"/>
              </w:divBdr>
              <w:divsChild>
                <w:div w:id="1177305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3847504">
      <w:bodyDiv w:val="1"/>
      <w:marLeft w:val="0"/>
      <w:marRight w:val="0"/>
      <w:marTop w:val="0"/>
      <w:marBottom w:val="0"/>
      <w:divBdr>
        <w:top w:val="none" w:sz="0" w:space="0" w:color="auto"/>
        <w:left w:val="none" w:sz="0" w:space="0" w:color="auto"/>
        <w:bottom w:val="none" w:sz="0" w:space="0" w:color="auto"/>
        <w:right w:val="none" w:sz="0" w:space="0" w:color="auto"/>
      </w:divBdr>
      <w:divsChild>
        <w:div w:id="2040736434">
          <w:marLeft w:val="0"/>
          <w:marRight w:val="0"/>
          <w:marTop w:val="0"/>
          <w:marBottom w:val="0"/>
          <w:divBdr>
            <w:top w:val="none" w:sz="0" w:space="0" w:color="auto"/>
            <w:left w:val="none" w:sz="0" w:space="0" w:color="auto"/>
            <w:bottom w:val="none" w:sz="0" w:space="0" w:color="auto"/>
            <w:right w:val="none" w:sz="0" w:space="0" w:color="auto"/>
          </w:divBdr>
          <w:divsChild>
            <w:div w:id="1083256328">
              <w:marLeft w:val="0"/>
              <w:marRight w:val="0"/>
              <w:marTop w:val="0"/>
              <w:marBottom w:val="0"/>
              <w:divBdr>
                <w:top w:val="none" w:sz="0" w:space="0" w:color="auto"/>
                <w:left w:val="none" w:sz="0" w:space="0" w:color="auto"/>
                <w:bottom w:val="none" w:sz="0" w:space="0" w:color="auto"/>
                <w:right w:val="none" w:sz="0" w:space="0" w:color="auto"/>
              </w:divBdr>
              <w:divsChild>
                <w:div w:id="1457406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856762">
      <w:bodyDiv w:val="1"/>
      <w:marLeft w:val="0"/>
      <w:marRight w:val="0"/>
      <w:marTop w:val="0"/>
      <w:marBottom w:val="0"/>
      <w:divBdr>
        <w:top w:val="none" w:sz="0" w:space="0" w:color="auto"/>
        <w:left w:val="none" w:sz="0" w:space="0" w:color="auto"/>
        <w:bottom w:val="none" w:sz="0" w:space="0" w:color="auto"/>
        <w:right w:val="none" w:sz="0" w:space="0" w:color="auto"/>
      </w:divBdr>
    </w:div>
    <w:div w:id="2013726178">
      <w:bodyDiv w:val="1"/>
      <w:marLeft w:val="0"/>
      <w:marRight w:val="0"/>
      <w:marTop w:val="0"/>
      <w:marBottom w:val="0"/>
      <w:divBdr>
        <w:top w:val="none" w:sz="0" w:space="0" w:color="auto"/>
        <w:left w:val="none" w:sz="0" w:space="0" w:color="auto"/>
        <w:bottom w:val="none" w:sz="0" w:space="0" w:color="auto"/>
        <w:right w:val="none" w:sz="0" w:space="0" w:color="auto"/>
      </w:divBdr>
      <w:divsChild>
        <w:div w:id="333726634">
          <w:marLeft w:val="0"/>
          <w:marRight w:val="0"/>
          <w:marTop w:val="0"/>
          <w:marBottom w:val="0"/>
          <w:divBdr>
            <w:top w:val="none" w:sz="0" w:space="0" w:color="auto"/>
            <w:left w:val="none" w:sz="0" w:space="0" w:color="auto"/>
            <w:bottom w:val="none" w:sz="0" w:space="0" w:color="auto"/>
            <w:right w:val="none" w:sz="0" w:space="0" w:color="auto"/>
          </w:divBdr>
          <w:divsChild>
            <w:div w:id="1085766678">
              <w:marLeft w:val="0"/>
              <w:marRight w:val="0"/>
              <w:marTop w:val="0"/>
              <w:marBottom w:val="0"/>
              <w:divBdr>
                <w:top w:val="none" w:sz="0" w:space="0" w:color="auto"/>
                <w:left w:val="none" w:sz="0" w:space="0" w:color="auto"/>
                <w:bottom w:val="none" w:sz="0" w:space="0" w:color="auto"/>
                <w:right w:val="none" w:sz="0" w:space="0" w:color="auto"/>
              </w:divBdr>
              <w:divsChild>
                <w:div w:id="1069959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4650495">
      <w:bodyDiv w:val="1"/>
      <w:marLeft w:val="0"/>
      <w:marRight w:val="0"/>
      <w:marTop w:val="0"/>
      <w:marBottom w:val="0"/>
      <w:divBdr>
        <w:top w:val="none" w:sz="0" w:space="0" w:color="auto"/>
        <w:left w:val="none" w:sz="0" w:space="0" w:color="auto"/>
        <w:bottom w:val="none" w:sz="0" w:space="0" w:color="auto"/>
        <w:right w:val="none" w:sz="0" w:space="0" w:color="auto"/>
      </w:divBdr>
      <w:divsChild>
        <w:div w:id="1309287116">
          <w:marLeft w:val="0"/>
          <w:marRight w:val="0"/>
          <w:marTop w:val="0"/>
          <w:marBottom w:val="0"/>
          <w:divBdr>
            <w:top w:val="none" w:sz="0" w:space="0" w:color="auto"/>
            <w:left w:val="none" w:sz="0" w:space="0" w:color="auto"/>
            <w:bottom w:val="none" w:sz="0" w:space="0" w:color="auto"/>
            <w:right w:val="none" w:sz="0" w:space="0" w:color="auto"/>
          </w:divBdr>
          <w:divsChild>
            <w:div w:id="1299190327">
              <w:marLeft w:val="0"/>
              <w:marRight w:val="0"/>
              <w:marTop w:val="0"/>
              <w:marBottom w:val="0"/>
              <w:divBdr>
                <w:top w:val="none" w:sz="0" w:space="0" w:color="auto"/>
                <w:left w:val="none" w:sz="0" w:space="0" w:color="auto"/>
                <w:bottom w:val="none" w:sz="0" w:space="0" w:color="auto"/>
                <w:right w:val="none" w:sz="0" w:space="0" w:color="auto"/>
              </w:divBdr>
              <w:divsChild>
                <w:div w:id="62589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5568496">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36924825">
      <w:bodyDiv w:val="1"/>
      <w:marLeft w:val="0"/>
      <w:marRight w:val="0"/>
      <w:marTop w:val="0"/>
      <w:marBottom w:val="0"/>
      <w:divBdr>
        <w:top w:val="none" w:sz="0" w:space="0" w:color="auto"/>
        <w:left w:val="none" w:sz="0" w:space="0" w:color="auto"/>
        <w:bottom w:val="none" w:sz="0" w:space="0" w:color="auto"/>
        <w:right w:val="none" w:sz="0" w:space="0" w:color="auto"/>
      </w:divBdr>
    </w:div>
    <w:div w:id="2046445749">
      <w:bodyDiv w:val="1"/>
      <w:marLeft w:val="0"/>
      <w:marRight w:val="0"/>
      <w:marTop w:val="0"/>
      <w:marBottom w:val="0"/>
      <w:divBdr>
        <w:top w:val="none" w:sz="0" w:space="0" w:color="auto"/>
        <w:left w:val="none" w:sz="0" w:space="0" w:color="auto"/>
        <w:bottom w:val="none" w:sz="0" w:space="0" w:color="auto"/>
        <w:right w:val="none" w:sz="0" w:space="0" w:color="auto"/>
      </w:divBdr>
      <w:divsChild>
        <w:div w:id="2135904475">
          <w:marLeft w:val="0"/>
          <w:marRight w:val="0"/>
          <w:marTop w:val="0"/>
          <w:marBottom w:val="0"/>
          <w:divBdr>
            <w:top w:val="none" w:sz="0" w:space="0" w:color="auto"/>
            <w:left w:val="none" w:sz="0" w:space="0" w:color="auto"/>
            <w:bottom w:val="none" w:sz="0" w:space="0" w:color="auto"/>
            <w:right w:val="none" w:sz="0" w:space="0" w:color="auto"/>
          </w:divBdr>
          <w:divsChild>
            <w:div w:id="1119882671">
              <w:marLeft w:val="0"/>
              <w:marRight w:val="0"/>
              <w:marTop w:val="0"/>
              <w:marBottom w:val="0"/>
              <w:divBdr>
                <w:top w:val="none" w:sz="0" w:space="0" w:color="auto"/>
                <w:left w:val="none" w:sz="0" w:space="0" w:color="auto"/>
                <w:bottom w:val="none" w:sz="0" w:space="0" w:color="auto"/>
                <w:right w:val="none" w:sz="0" w:space="0" w:color="auto"/>
              </w:divBdr>
              <w:divsChild>
                <w:div w:id="2005549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9304863">
      <w:bodyDiv w:val="1"/>
      <w:marLeft w:val="0"/>
      <w:marRight w:val="0"/>
      <w:marTop w:val="0"/>
      <w:marBottom w:val="0"/>
      <w:divBdr>
        <w:top w:val="none" w:sz="0" w:space="0" w:color="auto"/>
        <w:left w:val="none" w:sz="0" w:space="0" w:color="auto"/>
        <w:bottom w:val="none" w:sz="0" w:space="0" w:color="auto"/>
        <w:right w:val="none" w:sz="0" w:space="0" w:color="auto"/>
      </w:divBdr>
      <w:divsChild>
        <w:div w:id="682318320">
          <w:marLeft w:val="0"/>
          <w:marRight w:val="0"/>
          <w:marTop w:val="0"/>
          <w:marBottom w:val="0"/>
          <w:divBdr>
            <w:top w:val="none" w:sz="0" w:space="0" w:color="auto"/>
            <w:left w:val="none" w:sz="0" w:space="0" w:color="auto"/>
            <w:bottom w:val="none" w:sz="0" w:space="0" w:color="auto"/>
            <w:right w:val="none" w:sz="0" w:space="0" w:color="auto"/>
          </w:divBdr>
          <w:divsChild>
            <w:div w:id="2049989920">
              <w:marLeft w:val="0"/>
              <w:marRight w:val="0"/>
              <w:marTop w:val="0"/>
              <w:marBottom w:val="0"/>
              <w:divBdr>
                <w:top w:val="none" w:sz="0" w:space="0" w:color="auto"/>
                <w:left w:val="none" w:sz="0" w:space="0" w:color="auto"/>
                <w:bottom w:val="none" w:sz="0" w:space="0" w:color="auto"/>
                <w:right w:val="none" w:sz="0" w:space="0" w:color="auto"/>
              </w:divBdr>
              <w:divsChild>
                <w:div w:id="822550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554284">
      <w:bodyDiv w:val="1"/>
      <w:marLeft w:val="0"/>
      <w:marRight w:val="0"/>
      <w:marTop w:val="0"/>
      <w:marBottom w:val="0"/>
      <w:divBdr>
        <w:top w:val="none" w:sz="0" w:space="0" w:color="auto"/>
        <w:left w:val="none" w:sz="0" w:space="0" w:color="auto"/>
        <w:bottom w:val="none" w:sz="0" w:space="0" w:color="auto"/>
        <w:right w:val="none" w:sz="0" w:space="0" w:color="auto"/>
      </w:divBdr>
      <w:divsChild>
        <w:div w:id="516310948">
          <w:marLeft w:val="0"/>
          <w:marRight w:val="0"/>
          <w:marTop w:val="0"/>
          <w:marBottom w:val="0"/>
          <w:divBdr>
            <w:top w:val="none" w:sz="0" w:space="0" w:color="auto"/>
            <w:left w:val="none" w:sz="0" w:space="0" w:color="auto"/>
            <w:bottom w:val="none" w:sz="0" w:space="0" w:color="auto"/>
            <w:right w:val="none" w:sz="0" w:space="0" w:color="auto"/>
          </w:divBdr>
          <w:divsChild>
            <w:div w:id="1084957903">
              <w:marLeft w:val="0"/>
              <w:marRight w:val="0"/>
              <w:marTop w:val="0"/>
              <w:marBottom w:val="0"/>
              <w:divBdr>
                <w:top w:val="none" w:sz="0" w:space="0" w:color="auto"/>
                <w:left w:val="none" w:sz="0" w:space="0" w:color="auto"/>
                <w:bottom w:val="none" w:sz="0" w:space="0" w:color="auto"/>
                <w:right w:val="none" w:sz="0" w:space="0" w:color="auto"/>
              </w:divBdr>
              <w:divsChild>
                <w:div w:id="683360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435894">
      <w:bodyDiv w:val="1"/>
      <w:marLeft w:val="0"/>
      <w:marRight w:val="0"/>
      <w:marTop w:val="0"/>
      <w:marBottom w:val="0"/>
      <w:divBdr>
        <w:top w:val="none" w:sz="0" w:space="0" w:color="auto"/>
        <w:left w:val="none" w:sz="0" w:space="0" w:color="auto"/>
        <w:bottom w:val="none" w:sz="0" w:space="0" w:color="auto"/>
        <w:right w:val="none" w:sz="0" w:space="0" w:color="auto"/>
      </w:divBdr>
      <w:divsChild>
        <w:div w:id="783425438">
          <w:marLeft w:val="0"/>
          <w:marRight w:val="0"/>
          <w:marTop w:val="0"/>
          <w:marBottom w:val="0"/>
          <w:divBdr>
            <w:top w:val="none" w:sz="0" w:space="0" w:color="auto"/>
            <w:left w:val="none" w:sz="0" w:space="0" w:color="auto"/>
            <w:bottom w:val="none" w:sz="0" w:space="0" w:color="auto"/>
            <w:right w:val="none" w:sz="0" w:space="0" w:color="auto"/>
          </w:divBdr>
          <w:divsChild>
            <w:div w:id="1483545753">
              <w:marLeft w:val="0"/>
              <w:marRight w:val="0"/>
              <w:marTop w:val="0"/>
              <w:marBottom w:val="0"/>
              <w:divBdr>
                <w:top w:val="none" w:sz="0" w:space="0" w:color="auto"/>
                <w:left w:val="none" w:sz="0" w:space="0" w:color="auto"/>
                <w:bottom w:val="none" w:sz="0" w:space="0" w:color="auto"/>
                <w:right w:val="none" w:sz="0" w:space="0" w:color="auto"/>
              </w:divBdr>
              <w:divsChild>
                <w:div w:id="55707327">
                  <w:marLeft w:val="0"/>
                  <w:marRight w:val="0"/>
                  <w:marTop w:val="0"/>
                  <w:marBottom w:val="0"/>
                  <w:divBdr>
                    <w:top w:val="none" w:sz="0" w:space="0" w:color="auto"/>
                    <w:left w:val="none" w:sz="0" w:space="0" w:color="auto"/>
                    <w:bottom w:val="none" w:sz="0" w:space="0" w:color="auto"/>
                    <w:right w:val="none" w:sz="0" w:space="0" w:color="auto"/>
                  </w:divBdr>
                  <w:divsChild>
                    <w:div w:id="1304044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4641348">
      <w:bodyDiv w:val="1"/>
      <w:marLeft w:val="0"/>
      <w:marRight w:val="0"/>
      <w:marTop w:val="0"/>
      <w:marBottom w:val="0"/>
      <w:divBdr>
        <w:top w:val="none" w:sz="0" w:space="0" w:color="auto"/>
        <w:left w:val="none" w:sz="0" w:space="0" w:color="auto"/>
        <w:bottom w:val="none" w:sz="0" w:space="0" w:color="auto"/>
        <w:right w:val="none" w:sz="0" w:space="0" w:color="auto"/>
      </w:divBdr>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093232722">
      <w:bodyDiv w:val="1"/>
      <w:marLeft w:val="0"/>
      <w:marRight w:val="0"/>
      <w:marTop w:val="0"/>
      <w:marBottom w:val="0"/>
      <w:divBdr>
        <w:top w:val="none" w:sz="0" w:space="0" w:color="auto"/>
        <w:left w:val="none" w:sz="0" w:space="0" w:color="auto"/>
        <w:bottom w:val="none" w:sz="0" w:space="0" w:color="auto"/>
        <w:right w:val="none" w:sz="0" w:space="0" w:color="auto"/>
      </w:divBdr>
      <w:divsChild>
        <w:div w:id="1295260207">
          <w:marLeft w:val="0"/>
          <w:marRight w:val="0"/>
          <w:marTop w:val="0"/>
          <w:marBottom w:val="0"/>
          <w:divBdr>
            <w:top w:val="none" w:sz="0" w:space="0" w:color="auto"/>
            <w:left w:val="none" w:sz="0" w:space="0" w:color="auto"/>
            <w:bottom w:val="none" w:sz="0" w:space="0" w:color="auto"/>
            <w:right w:val="none" w:sz="0" w:space="0" w:color="auto"/>
          </w:divBdr>
          <w:divsChild>
            <w:div w:id="847250474">
              <w:marLeft w:val="0"/>
              <w:marRight w:val="0"/>
              <w:marTop w:val="0"/>
              <w:marBottom w:val="0"/>
              <w:divBdr>
                <w:top w:val="none" w:sz="0" w:space="0" w:color="auto"/>
                <w:left w:val="none" w:sz="0" w:space="0" w:color="auto"/>
                <w:bottom w:val="none" w:sz="0" w:space="0" w:color="auto"/>
                <w:right w:val="none" w:sz="0" w:space="0" w:color="auto"/>
              </w:divBdr>
              <w:divsChild>
                <w:div w:id="1001006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1973153">
      <w:bodyDiv w:val="1"/>
      <w:marLeft w:val="0"/>
      <w:marRight w:val="0"/>
      <w:marTop w:val="0"/>
      <w:marBottom w:val="0"/>
      <w:divBdr>
        <w:top w:val="none" w:sz="0" w:space="0" w:color="auto"/>
        <w:left w:val="none" w:sz="0" w:space="0" w:color="auto"/>
        <w:bottom w:val="none" w:sz="0" w:space="0" w:color="auto"/>
        <w:right w:val="none" w:sz="0" w:space="0" w:color="auto"/>
      </w:divBdr>
      <w:divsChild>
        <w:div w:id="1284188806">
          <w:marLeft w:val="0"/>
          <w:marRight w:val="0"/>
          <w:marTop w:val="0"/>
          <w:marBottom w:val="0"/>
          <w:divBdr>
            <w:top w:val="none" w:sz="0" w:space="0" w:color="auto"/>
            <w:left w:val="none" w:sz="0" w:space="0" w:color="auto"/>
            <w:bottom w:val="none" w:sz="0" w:space="0" w:color="auto"/>
            <w:right w:val="none" w:sz="0" w:space="0" w:color="auto"/>
          </w:divBdr>
          <w:divsChild>
            <w:div w:id="1284775970">
              <w:marLeft w:val="0"/>
              <w:marRight w:val="0"/>
              <w:marTop w:val="0"/>
              <w:marBottom w:val="0"/>
              <w:divBdr>
                <w:top w:val="none" w:sz="0" w:space="0" w:color="auto"/>
                <w:left w:val="none" w:sz="0" w:space="0" w:color="auto"/>
                <w:bottom w:val="none" w:sz="0" w:space="0" w:color="auto"/>
                <w:right w:val="none" w:sz="0" w:space="0" w:color="auto"/>
              </w:divBdr>
              <w:divsChild>
                <w:div w:id="108942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 w:id="2138374919">
      <w:bodyDiv w:val="1"/>
      <w:marLeft w:val="0"/>
      <w:marRight w:val="0"/>
      <w:marTop w:val="0"/>
      <w:marBottom w:val="0"/>
      <w:divBdr>
        <w:top w:val="none" w:sz="0" w:space="0" w:color="auto"/>
        <w:left w:val="none" w:sz="0" w:space="0" w:color="auto"/>
        <w:bottom w:val="none" w:sz="0" w:space="0" w:color="auto"/>
        <w:right w:val="none" w:sz="0" w:space="0" w:color="auto"/>
      </w:divBdr>
      <w:divsChild>
        <w:div w:id="729573013">
          <w:marLeft w:val="0"/>
          <w:marRight w:val="0"/>
          <w:marTop w:val="0"/>
          <w:marBottom w:val="0"/>
          <w:divBdr>
            <w:top w:val="none" w:sz="0" w:space="0" w:color="auto"/>
            <w:left w:val="none" w:sz="0" w:space="0" w:color="auto"/>
            <w:bottom w:val="none" w:sz="0" w:space="0" w:color="auto"/>
            <w:right w:val="none" w:sz="0" w:space="0" w:color="auto"/>
          </w:divBdr>
          <w:divsChild>
            <w:div w:id="433944575">
              <w:marLeft w:val="0"/>
              <w:marRight w:val="0"/>
              <w:marTop w:val="0"/>
              <w:marBottom w:val="0"/>
              <w:divBdr>
                <w:top w:val="none" w:sz="0" w:space="0" w:color="auto"/>
                <w:left w:val="none" w:sz="0" w:space="0" w:color="auto"/>
                <w:bottom w:val="none" w:sz="0" w:space="0" w:color="auto"/>
                <w:right w:val="none" w:sz="0" w:space="0" w:color="auto"/>
              </w:divBdr>
              <w:divsChild>
                <w:div w:id="1737623880">
                  <w:marLeft w:val="0"/>
                  <w:marRight w:val="0"/>
                  <w:marTop w:val="0"/>
                  <w:marBottom w:val="0"/>
                  <w:divBdr>
                    <w:top w:val="none" w:sz="0" w:space="0" w:color="auto"/>
                    <w:left w:val="none" w:sz="0" w:space="0" w:color="auto"/>
                    <w:bottom w:val="none" w:sz="0" w:space="0" w:color="auto"/>
                    <w:right w:val="none" w:sz="0" w:space="0" w:color="auto"/>
                  </w:divBdr>
                  <w:divsChild>
                    <w:div w:id="69095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8402951">
      <w:bodyDiv w:val="1"/>
      <w:marLeft w:val="0"/>
      <w:marRight w:val="0"/>
      <w:marTop w:val="0"/>
      <w:marBottom w:val="0"/>
      <w:divBdr>
        <w:top w:val="none" w:sz="0" w:space="0" w:color="auto"/>
        <w:left w:val="none" w:sz="0" w:space="0" w:color="auto"/>
        <w:bottom w:val="none" w:sz="0" w:space="0" w:color="auto"/>
        <w:right w:val="none" w:sz="0" w:space="0" w:color="auto"/>
      </w:divBdr>
      <w:divsChild>
        <w:div w:id="1572735153">
          <w:marLeft w:val="0"/>
          <w:marRight w:val="0"/>
          <w:marTop w:val="0"/>
          <w:marBottom w:val="0"/>
          <w:divBdr>
            <w:top w:val="none" w:sz="0" w:space="0" w:color="auto"/>
            <w:left w:val="none" w:sz="0" w:space="0" w:color="auto"/>
            <w:bottom w:val="none" w:sz="0" w:space="0" w:color="auto"/>
            <w:right w:val="none" w:sz="0" w:space="0" w:color="auto"/>
          </w:divBdr>
          <w:divsChild>
            <w:div w:id="515272347">
              <w:marLeft w:val="0"/>
              <w:marRight w:val="0"/>
              <w:marTop w:val="0"/>
              <w:marBottom w:val="0"/>
              <w:divBdr>
                <w:top w:val="none" w:sz="0" w:space="0" w:color="auto"/>
                <w:left w:val="none" w:sz="0" w:space="0" w:color="auto"/>
                <w:bottom w:val="none" w:sz="0" w:space="0" w:color="auto"/>
                <w:right w:val="none" w:sz="0" w:space="0" w:color="auto"/>
              </w:divBdr>
              <w:divsChild>
                <w:div w:id="219680206">
                  <w:marLeft w:val="0"/>
                  <w:marRight w:val="0"/>
                  <w:marTop w:val="0"/>
                  <w:marBottom w:val="0"/>
                  <w:divBdr>
                    <w:top w:val="none" w:sz="0" w:space="0" w:color="auto"/>
                    <w:left w:val="none" w:sz="0" w:space="0" w:color="auto"/>
                    <w:bottom w:val="none" w:sz="0" w:space="0" w:color="auto"/>
                    <w:right w:val="none" w:sz="0" w:space="0" w:color="auto"/>
                  </w:divBdr>
                  <w:divsChild>
                    <w:div w:id="6495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964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hyperlink" Target="http://www.undp.org/content/undp/en/home/operations/accountability/evaluation/evaluation_policyofundp.html" TargetMode="External"/><Relationship Id="rId26" Type="http://schemas.openxmlformats.org/officeDocument/2006/relationships/diagramColors" Target="diagrams/colors1.xml"/><Relationship Id="rId39" Type="http://schemas.openxmlformats.org/officeDocument/2006/relationships/image" Target="media/image4.png"/><Relationship Id="rId21" Type="http://schemas.openxmlformats.org/officeDocument/2006/relationships/hyperlink" Target="http://web.undp.org/evaluation/guidance.shtml" TargetMode="External"/><Relationship Id="rId34" Type="http://schemas.openxmlformats.org/officeDocument/2006/relationships/footer" Target="footer4.xml"/><Relationship Id="rId42" Type="http://schemas.openxmlformats.org/officeDocument/2006/relationships/theme" Target="theme/theme1.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yperlink" Target="http://www.undp.org/content/undp/en/home/operations/accountability/programme_and_operationspoliciesandprocedures.html" TargetMode="External"/><Relationship Id="rId29" Type="http://schemas.openxmlformats.org/officeDocument/2006/relationships/header" Target="header2.xm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24" Type="http://schemas.openxmlformats.org/officeDocument/2006/relationships/diagramLayout" Target="diagrams/layout1.xml"/><Relationship Id="rId32" Type="http://schemas.openxmlformats.org/officeDocument/2006/relationships/hyperlink" Target="applewebdata://C6CAEEF0-7E5F-4811-9249-AE88C06D185A" TargetMode="External"/><Relationship Id="rId37" Type="http://schemas.openxmlformats.org/officeDocument/2006/relationships/hyperlink" Target="https://inta.gob.ar/unidades/143000" TargetMode="External"/><Relationship Id="rId40" Type="http://schemas.openxmlformats.org/officeDocument/2006/relationships/image" Target="media/image5.png"/><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diagramData" Target="diagrams/data1.xml"/><Relationship Id="rId28" Type="http://schemas.openxmlformats.org/officeDocument/2006/relationships/header" Target="header1.xml"/><Relationship Id="rId36" Type="http://schemas.openxmlformats.org/officeDocument/2006/relationships/hyperlink" Target="http://www.undp.org/content/undp/en/home/librarypage/operations1/undp-social-and-environmental-screening-procedure.html" TargetMode="External"/><Relationship Id="rId10" Type="http://schemas.openxmlformats.org/officeDocument/2006/relationships/webSettings" Target="webSettings.xml"/><Relationship Id="rId19" Type="http://schemas.openxmlformats.org/officeDocument/2006/relationships/hyperlink" Target="http://www.thegef.org/gef/Evaluation%20Policy%202010" TargetMode="External"/><Relationship Id="rId31" Type="http://schemas.openxmlformats.org/officeDocument/2006/relationships/header" Target="header3.xml"/><Relationship Id="rId35" Type="http://schemas.openxmlformats.org/officeDocument/2006/relationships/hyperlink" Target="http://www.undp.org/secu" TargetMode="External"/><Relationship Id="rId9" Type="http://schemas.openxmlformats.org/officeDocument/2006/relationships/settings" Target="settings.xml"/><Relationship Id="rId14" Type="http://schemas.openxmlformats.org/officeDocument/2006/relationships/image" Target="media/image2.jpeg"/><Relationship Id="rId22" Type="http://schemas.openxmlformats.org/officeDocument/2006/relationships/hyperlink" Target="http://web.undp.org/evaluation/guidance.shtml" TargetMode="External"/><Relationship Id="rId27" Type="http://schemas.microsoft.com/office/2007/relationships/diagramDrawing" Target="diagrams/drawing1.xml"/><Relationship Id="rId30" Type="http://schemas.openxmlformats.org/officeDocument/2006/relationships/footer" Target="footer3.xml"/><Relationship Id="rId43" Type="http://schemas.openxmlformats.org/officeDocument/2006/relationships/customXml" Target="../customXml/item6.xml"/><Relationship Id="rId8" Type="http://schemas.microsoft.com/office/2007/relationships/stylesWithEffects" Target="stylesWithEffects.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hyperlink" Target="http://www.undp.org/content/undp/en/home/operations/accountability/programme_and_operationspoliciesandprocedures.html" TargetMode="External"/><Relationship Id="rId25" Type="http://schemas.openxmlformats.org/officeDocument/2006/relationships/diagramQuickStyle" Target="diagrams/quickStyle1.xml"/><Relationship Id="rId33" Type="http://schemas.openxmlformats.org/officeDocument/2006/relationships/hyperlink" Target="http://www.un.org/sc/committees/1267/aq_sanctions_list.shtml" TargetMode="External"/><Relationship Id="rId38" Type="http://schemas.openxmlformats.org/officeDocument/2006/relationships/image" Target="media/image3.jpeg"/></Relationships>
</file>

<file path=word/_rels/footnotes.xml.rels><?xml version="1.0" encoding="UTF-8" standalone="yes"?>
<Relationships xmlns="http://schemas.openxmlformats.org/package/2006/relationships"><Relationship Id="rId8" Type="http://schemas.openxmlformats.org/officeDocument/2006/relationships/hyperlink" Target="http://idej.jujuy.gob.ar/visualizadores/" TargetMode="External"/><Relationship Id="rId13" Type="http://schemas.openxmlformats.org/officeDocument/2006/relationships/hyperlink" Target="http://sata.opds.gba.gov.ar/institucional.php" TargetMode="External"/><Relationship Id="rId18" Type="http://schemas.openxmlformats.org/officeDocument/2006/relationships/hyperlink" Target="http://www.ambiente.mendoza.gov.ar/organismos/cpot/mision-cpot/" TargetMode="External"/><Relationship Id="rId3" Type="http://schemas.openxmlformats.org/officeDocument/2006/relationships/hyperlink" Target="http://mapas.ambiente.gob.ar" TargetMode="External"/><Relationship Id="rId21" Type="http://schemas.openxmlformats.org/officeDocument/2006/relationships/hyperlink" Target="https://www.thegef.org/gef/gef_agencies" TargetMode="External"/><Relationship Id="rId7" Type="http://schemas.openxmlformats.org/officeDocument/2006/relationships/hyperlink" Target="http://www.ambientejujuy.gob.ar" TargetMode="External"/><Relationship Id="rId12" Type="http://schemas.openxmlformats.org/officeDocument/2006/relationships/hyperlink" Target="http://ide.irrigacion.gov.ar" TargetMode="External"/><Relationship Id="rId17" Type="http://schemas.openxmlformats.org/officeDocument/2006/relationships/hyperlink" Target="http://www.gob.gba.gov.ar/legislacion/legislacion/08-1496.html" TargetMode="External"/><Relationship Id="rId25" Type="http://schemas.openxmlformats.org/officeDocument/2006/relationships/hyperlink" Target="https://info.undp.org/sites/bpps/SES_Toolkit/SES%20Document%20Library/Uploaded%20October%202016/Supplemental%20Guidance_Grievance%20Redress%20Mechanisms.pdf" TargetMode="External"/><Relationship Id="rId2" Type="http://schemas.openxmlformats.org/officeDocument/2006/relationships/hyperlink" Target="http://www.desertificacion.gob.ar" TargetMode="External"/><Relationship Id="rId16" Type="http://schemas.openxmlformats.org/officeDocument/2006/relationships/hyperlink" Target="http://www.idera.gob.ar" TargetMode="External"/><Relationship Id="rId20" Type="http://schemas.openxmlformats.org/officeDocument/2006/relationships/hyperlink" Target="https://www.thegef.org/gef/policies_guidelines" TargetMode="External"/><Relationship Id="rId1" Type="http://schemas.openxmlformats.org/officeDocument/2006/relationships/hyperlink" Target="http://www.latinamerica.undp.org/content/dam/rblac/docs/Research%20and%20Publications/Poverty%20Reduction/UNDP_RBLAC_Livelihoods%20Guidance%20Note_EN-210July2017.pdf" TargetMode="External"/><Relationship Id="rId6" Type="http://schemas.openxmlformats.org/officeDocument/2006/relationships/hyperlink" Target="http://datos.gob.ar" TargetMode="External"/><Relationship Id="rId11" Type="http://schemas.openxmlformats.org/officeDocument/2006/relationships/hyperlink" Target="http://www.siat.mendoza.gov.ar" TargetMode="External"/><Relationship Id="rId24" Type="http://schemas.openxmlformats.org/officeDocument/2006/relationships/hyperlink" Target="https://popp.undp.org/_layouts/15/WopiFrame.aspx?sourcedoc=/UNDP_POPP_DOCUMENT_LIBRARY/Public/PPM_Project%20Management_Closing.docx&amp;action=default" TargetMode="External"/><Relationship Id="rId5" Type="http://schemas.openxmlformats.org/officeDocument/2006/relationships/hyperlink" Target="https://sib.gob.ar/" TargetMode="External"/><Relationship Id="rId15" Type="http://schemas.openxmlformats.org/officeDocument/2006/relationships/hyperlink" Target="http://www.ada.gba.gov.ar" TargetMode="External"/><Relationship Id="rId23" Type="http://schemas.openxmlformats.org/officeDocument/2006/relationships/hyperlink" Target="https://info.undp.org/global/popp/ppm/Pages/Closing-a-Project.aspx" TargetMode="External"/><Relationship Id="rId10" Type="http://schemas.openxmlformats.org/officeDocument/2006/relationships/hyperlink" Target="http://www.idem.mendoza.gov.ar" TargetMode="External"/><Relationship Id="rId19" Type="http://schemas.openxmlformats.org/officeDocument/2006/relationships/hyperlink" Target="https://www.provinciamicrocreditos.com/" TargetMode="External"/><Relationship Id="rId4" Type="http://schemas.openxmlformats.org/officeDocument/2006/relationships/hyperlink" Target="http://visor.geointa.inta.gob.ar" TargetMode="External"/><Relationship Id="rId9" Type="http://schemas.openxmlformats.org/officeDocument/2006/relationships/hyperlink" Target="http://www.dipec.jujuy.gov.ar" TargetMode="External"/><Relationship Id="rId14" Type="http://schemas.openxmlformats.org/officeDocument/2006/relationships/hyperlink" Target="http://www.urbasig.minfra.gba.gov.ar/urbasig/" TargetMode="External"/><Relationship Id="rId22" Type="http://schemas.openxmlformats.org/officeDocument/2006/relationships/hyperlink" Target="https://info.undp.org/global/popp/frm/pages/financial-management-and-execution-modalities.aspx"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5ED21806-DE72-4720-B45D-7123D5321B5E}" type="doc">
      <dgm:prSet loTypeId="urn:microsoft.com/office/officeart/2005/8/layout/default#1" loCatId="list" qsTypeId="urn:microsoft.com/office/officeart/2005/8/quickstyle/simple1" qsCatId="simple" csTypeId="urn:microsoft.com/office/officeart/2005/8/colors/accent1_2" csCatId="accent1" phldr="1"/>
      <dgm:spPr/>
      <dgm:t>
        <a:bodyPr/>
        <a:lstStyle/>
        <a:p>
          <a:endParaRPr lang="es-ES"/>
        </a:p>
      </dgm:t>
    </dgm:pt>
    <dgm:pt modelId="{DEFC0115-6990-4D62-902E-1D7B00C706B2}">
      <dgm:prSet phldrT="[Texto]"/>
      <dgm:spPr>
        <a:xfrm>
          <a:off x="3877" y="291888"/>
          <a:ext cx="5374572" cy="396534"/>
        </a:xfrm>
        <a:solidFill>
          <a:srgbClr val="9BBB59"/>
        </a:solidFill>
        <a:ln w="25400" cap="flat" cmpd="sng" algn="ctr">
          <a:solidFill>
            <a:sysClr val="window" lastClr="FFFFFF">
              <a:hueOff val="0"/>
              <a:satOff val="0"/>
              <a:lumOff val="0"/>
              <a:alphaOff val="0"/>
            </a:sysClr>
          </a:solidFill>
          <a:prstDash val="solid"/>
          <a:miter lim="800000"/>
        </a:ln>
        <a:effectLst/>
      </dgm:spPr>
      <dgm:t>
        <a:bodyPr/>
        <a:lstStyle/>
        <a:p>
          <a:pPr>
            <a:buNone/>
          </a:pPr>
          <a:r>
            <a:rPr lang="es-ES" b="1">
              <a:solidFill>
                <a:sysClr val="window" lastClr="FFFFFF"/>
              </a:solidFill>
              <a:latin typeface="Calibri"/>
              <a:ea typeface="+mn-ea"/>
              <a:cs typeface="+mn-cs"/>
            </a:rPr>
            <a:t>PROJECT ORGANIZATION STRUCTURE</a:t>
          </a:r>
        </a:p>
      </dgm:t>
    </dgm:pt>
    <dgm:pt modelId="{E64F77C7-F803-45B5-B44C-FFD2EE4C01CC}" type="parTrans" cxnId="{B219C76C-0D82-44CD-92D0-316565F42F02}">
      <dgm:prSet/>
      <dgm:spPr/>
      <dgm:t>
        <a:bodyPr/>
        <a:lstStyle/>
        <a:p>
          <a:endParaRPr lang="es-ES"/>
        </a:p>
      </dgm:t>
    </dgm:pt>
    <dgm:pt modelId="{12448DE3-C456-4D91-91F6-70028E8D2ADD}" type="sibTrans" cxnId="{B219C76C-0D82-44CD-92D0-316565F42F02}">
      <dgm:prSet/>
      <dgm:spPr/>
      <dgm:t>
        <a:bodyPr/>
        <a:lstStyle/>
        <a:p>
          <a:endParaRPr lang="es-ES"/>
        </a:p>
      </dgm:t>
    </dgm:pt>
    <dgm:pt modelId="{B877FBB6-9B4C-4A2B-959E-D1E1219D9143}">
      <dgm:prSet phldrT="[Texto]"/>
      <dgm:spPr>
        <a:xfrm>
          <a:off x="583951" y="1244086"/>
          <a:ext cx="1378753" cy="827251"/>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gm:spPr>
      <dgm:t>
        <a:bodyPr/>
        <a:lstStyle/>
        <a:p>
          <a:pPr>
            <a:buNone/>
          </a:pPr>
          <a:r>
            <a:rPr lang="es-ES" b="1">
              <a:solidFill>
                <a:sysClr val="window" lastClr="FFFFFF"/>
              </a:solidFill>
              <a:latin typeface="Calibri"/>
              <a:ea typeface="+mn-ea"/>
              <a:cs typeface="+mn-cs"/>
            </a:rPr>
            <a:t>Representatives of the provincial authorities of Jujuy, Mendoza y Buenos Aires and INTA </a:t>
          </a:r>
          <a:endParaRPr lang="es-ES">
            <a:solidFill>
              <a:sysClr val="window" lastClr="FFFFFF"/>
            </a:solidFill>
            <a:latin typeface="Calibri"/>
            <a:ea typeface="+mn-ea"/>
            <a:cs typeface="+mn-cs"/>
          </a:endParaRPr>
        </a:p>
      </dgm:t>
    </dgm:pt>
    <dgm:pt modelId="{062FE95B-867A-43FC-9E7E-8FACE4CBBE3D}" type="parTrans" cxnId="{A7E2FDEB-24C9-42D8-AD6A-0EE2507C71CB}">
      <dgm:prSet/>
      <dgm:spPr/>
      <dgm:t>
        <a:bodyPr/>
        <a:lstStyle/>
        <a:p>
          <a:endParaRPr lang="es-ES"/>
        </a:p>
      </dgm:t>
    </dgm:pt>
    <dgm:pt modelId="{92B56E5E-D79E-4D7D-8B68-9D561E93645C}" type="sibTrans" cxnId="{A7E2FDEB-24C9-42D8-AD6A-0EE2507C71CB}">
      <dgm:prSet/>
      <dgm:spPr/>
      <dgm:t>
        <a:bodyPr/>
        <a:lstStyle/>
        <a:p>
          <a:endParaRPr lang="es-ES"/>
        </a:p>
      </dgm:t>
    </dgm:pt>
    <dgm:pt modelId="{3E693375-32D2-4AF7-B031-93AE35EEF422}">
      <dgm:prSet phldrT="[Texto]"/>
      <dgm:spPr>
        <a:xfrm>
          <a:off x="1974410" y="1240892"/>
          <a:ext cx="1378753" cy="827251"/>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gm:spPr>
      <dgm:t>
        <a:bodyPr/>
        <a:lstStyle/>
        <a:p>
          <a:pPr>
            <a:buNone/>
          </a:pPr>
          <a:r>
            <a:rPr lang="es-ES" b="1">
              <a:solidFill>
                <a:sysClr val="window" lastClr="FFFFFF"/>
              </a:solidFill>
              <a:latin typeface="Calibri"/>
              <a:ea typeface="+mn-ea"/>
              <a:cs typeface="+mn-cs"/>
            </a:rPr>
            <a:t>Executive Secretary</a:t>
          </a:r>
        </a:p>
        <a:p>
          <a:pPr>
            <a:buNone/>
          </a:pPr>
          <a:r>
            <a:rPr lang="es-ES" b="1">
              <a:solidFill>
                <a:sysClr val="window" lastClr="FFFFFF"/>
              </a:solidFill>
              <a:latin typeface="Calibri"/>
              <a:ea typeface="+mn-ea"/>
              <a:cs typeface="+mn-cs"/>
            </a:rPr>
            <a:t>SGAyDS</a:t>
          </a:r>
        </a:p>
      </dgm:t>
    </dgm:pt>
    <dgm:pt modelId="{B8EF9CCA-4821-4E38-BD79-E259D793B43B}" type="parTrans" cxnId="{EFAA5A0D-D231-40C4-8025-16404F55FF41}">
      <dgm:prSet/>
      <dgm:spPr/>
      <dgm:t>
        <a:bodyPr/>
        <a:lstStyle/>
        <a:p>
          <a:endParaRPr lang="es-ES"/>
        </a:p>
      </dgm:t>
    </dgm:pt>
    <dgm:pt modelId="{930C104F-5EC6-4589-B20C-FEEB96F12693}" type="sibTrans" cxnId="{EFAA5A0D-D231-40C4-8025-16404F55FF41}">
      <dgm:prSet/>
      <dgm:spPr/>
      <dgm:t>
        <a:bodyPr/>
        <a:lstStyle/>
        <a:p>
          <a:endParaRPr lang="es-ES"/>
        </a:p>
      </dgm:t>
    </dgm:pt>
    <dgm:pt modelId="{EE753C6D-B150-4C8F-AF3A-B61071695581}">
      <dgm:prSet phldrT="[Texto]"/>
      <dgm:spPr>
        <a:xfrm>
          <a:off x="598869" y="846142"/>
          <a:ext cx="4141663" cy="378740"/>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gm:spPr>
      <dgm:t>
        <a:bodyPr/>
        <a:lstStyle/>
        <a:p>
          <a:pPr>
            <a:buNone/>
          </a:pPr>
          <a:r>
            <a:rPr lang="es-ES" b="1">
              <a:solidFill>
                <a:sysClr val="window" lastClr="FFFFFF"/>
              </a:solidFill>
              <a:latin typeface="Calibri"/>
              <a:ea typeface="+mn-ea"/>
              <a:cs typeface="+mn-cs"/>
            </a:rPr>
            <a:t>Project Board</a:t>
          </a:r>
        </a:p>
      </dgm:t>
    </dgm:pt>
    <dgm:pt modelId="{DB143629-01DC-4A15-9E19-2E7C4A82D321}" type="parTrans" cxnId="{821CCDD0-A864-47DC-AD71-EAB75045131A}">
      <dgm:prSet/>
      <dgm:spPr/>
      <dgm:t>
        <a:bodyPr/>
        <a:lstStyle/>
        <a:p>
          <a:endParaRPr lang="es-ES"/>
        </a:p>
      </dgm:t>
    </dgm:pt>
    <dgm:pt modelId="{52B059D0-D53D-4470-90E5-BEB7BAE362B3}" type="sibTrans" cxnId="{821CCDD0-A864-47DC-AD71-EAB75045131A}">
      <dgm:prSet/>
      <dgm:spPr/>
      <dgm:t>
        <a:bodyPr/>
        <a:lstStyle/>
        <a:p>
          <a:endParaRPr lang="es-ES"/>
        </a:p>
      </dgm:t>
    </dgm:pt>
    <dgm:pt modelId="{61A4DC93-CE71-4FAE-BA1B-B2BE0C6E4CB6}">
      <dgm:prSet phldrT="[Texto]"/>
      <dgm:spPr>
        <a:xfrm>
          <a:off x="1960788" y="2195436"/>
          <a:ext cx="1378753" cy="827251"/>
        </a:xfrm>
        <a:solidFill>
          <a:srgbClr val="ED7D31">
            <a:lumMod val="75000"/>
          </a:srgbClr>
        </a:solidFill>
        <a:ln w="25400" cap="flat" cmpd="sng" algn="ctr">
          <a:solidFill>
            <a:sysClr val="window" lastClr="FFFFFF">
              <a:hueOff val="0"/>
              <a:satOff val="0"/>
              <a:lumOff val="0"/>
              <a:alphaOff val="0"/>
            </a:sysClr>
          </a:solidFill>
          <a:prstDash val="solid"/>
          <a:miter lim="800000"/>
        </a:ln>
        <a:effectLst/>
      </dgm:spPr>
      <dgm:t>
        <a:bodyPr/>
        <a:lstStyle/>
        <a:p>
          <a:pPr>
            <a:buNone/>
          </a:pPr>
          <a:r>
            <a:rPr lang="es-ES" b="1">
              <a:solidFill>
                <a:sysClr val="window" lastClr="FFFFFF"/>
              </a:solidFill>
              <a:latin typeface="Calibri"/>
              <a:ea typeface="+mn-ea"/>
              <a:cs typeface="+mn-cs"/>
            </a:rPr>
            <a:t>Project Management Unit</a:t>
          </a:r>
        </a:p>
        <a:p>
          <a:pPr>
            <a:buNone/>
          </a:pPr>
          <a:r>
            <a:rPr lang="es-ES">
              <a:solidFill>
                <a:sysClr val="window" lastClr="FFFFFF"/>
              </a:solidFill>
              <a:latin typeface="Calibri"/>
              <a:ea typeface="+mn-ea"/>
              <a:cs typeface="+mn-cs"/>
            </a:rPr>
            <a:t>National Project Director</a:t>
          </a:r>
        </a:p>
        <a:p>
          <a:pPr>
            <a:buNone/>
          </a:pPr>
          <a:r>
            <a:rPr lang="es-ES">
              <a:solidFill>
                <a:sysClr val="window" lastClr="FFFFFF"/>
              </a:solidFill>
              <a:latin typeface="Calibri"/>
              <a:ea typeface="+mn-ea"/>
              <a:cs typeface="+mn-cs"/>
            </a:rPr>
            <a:t>Project Coordinator</a:t>
          </a:r>
        </a:p>
        <a:p>
          <a:pPr>
            <a:buNone/>
          </a:pPr>
          <a:r>
            <a:rPr lang="es-ES">
              <a:solidFill>
                <a:sysClr val="window" lastClr="FFFFFF"/>
              </a:solidFill>
              <a:latin typeface="Calibri"/>
              <a:ea typeface="+mn-ea"/>
              <a:cs typeface="+mn-cs"/>
            </a:rPr>
            <a:t>Administrative Assistant</a:t>
          </a:r>
        </a:p>
        <a:p>
          <a:pPr>
            <a:buNone/>
          </a:pPr>
          <a:r>
            <a:rPr lang="es-ES">
              <a:solidFill>
                <a:sysClr val="window" lastClr="FFFFFF"/>
              </a:solidFill>
              <a:latin typeface="Calibri"/>
              <a:ea typeface="+mn-ea"/>
              <a:cs typeface="+mn-cs"/>
            </a:rPr>
            <a:t>Accountant</a:t>
          </a:r>
        </a:p>
      </dgm:t>
    </dgm:pt>
    <dgm:pt modelId="{8693F41B-9643-41E4-81E9-D7FEFAA71E9E}" type="parTrans" cxnId="{54D06B7C-6BAC-4628-8257-AE5F4621A293}">
      <dgm:prSet/>
      <dgm:spPr/>
      <dgm:t>
        <a:bodyPr/>
        <a:lstStyle/>
        <a:p>
          <a:endParaRPr lang="es-ES"/>
        </a:p>
      </dgm:t>
    </dgm:pt>
    <dgm:pt modelId="{C5BD754A-1315-4876-8735-F5F706432AE6}" type="sibTrans" cxnId="{54D06B7C-6BAC-4628-8257-AE5F4621A293}">
      <dgm:prSet/>
      <dgm:spPr/>
      <dgm:t>
        <a:bodyPr/>
        <a:lstStyle/>
        <a:p>
          <a:endParaRPr lang="es-ES"/>
        </a:p>
      </dgm:t>
    </dgm:pt>
    <dgm:pt modelId="{5D0854C9-7808-42A9-A74C-EFE362C27014}">
      <dgm:prSet phldrT="[Texto]"/>
      <dgm:spPr>
        <a:xfrm>
          <a:off x="3353149" y="1239389"/>
          <a:ext cx="1378753" cy="827251"/>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gm:spPr>
      <dgm:t>
        <a:bodyPr/>
        <a:lstStyle/>
        <a:p>
          <a:pPr>
            <a:buNone/>
          </a:pPr>
          <a:r>
            <a:rPr lang="es-ES" b="1">
              <a:solidFill>
                <a:sysClr val="window" lastClr="FFFFFF"/>
              </a:solidFill>
              <a:latin typeface="Calibri"/>
              <a:ea typeface="+mn-ea"/>
              <a:cs typeface="+mn-cs"/>
            </a:rPr>
            <a:t>Resident Representative</a:t>
          </a:r>
        </a:p>
        <a:p>
          <a:pPr>
            <a:buNone/>
          </a:pPr>
          <a:r>
            <a:rPr lang="es-ES" b="1">
              <a:solidFill>
                <a:sysClr val="window" lastClr="FFFFFF"/>
              </a:solidFill>
              <a:latin typeface="Calibri"/>
              <a:ea typeface="+mn-ea"/>
              <a:cs typeface="+mn-cs"/>
            </a:rPr>
            <a:t>UNDP</a:t>
          </a:r>
        </a:p>
      </dgm:t>
    </dgm:pt>
    <dgm:pt modelId="{5232F7CD-88CB-4797-9B08-E8F89CD12F95}" type="parTrans" cxnId="{C61F6A5D-D468-462B-8D83-38EE40C75BCE}">
      <dgm:prSet/>
      <dgm:spPr/>
      <dgm:t>
        <a:bodyPr/>
        <a:lstStyle/>
        <a:p>
          <a:endParaRPr lang="es-ES"/>
        </a:p>
      </dgm:t>
    </dgm:pt>
    <dgm:pt modelId="{40F2F94D-53FD-4039-AFFB-750CA204A2AB}" type="sibTrans" cxnId="{C61F6A5D-D468-462B-8D83-38EE40C75BCE}">
      <dgm:prSet/>
      <dgm:spPr/>
      <dgm:t>
        <a:bodyPr/>
        <a:lstStyle/>
        <a:p>
          <a:endParaRPr lang="es-ES"/>
        </a:p>
      </dgm:t>
    </dgm:pt>
    <dgm:pt modelId="{7DF929DE-1AA7-4834-80BB-E8059463C65C}">
      <dgm:prSet phldrT="[Texto]"/>
      <dgm:spPr>
        <a:xfrm>
          <a:off x="3673751" y="2666854"/>
          <a:ext cx="1378753" cy="689001"/>
        </a:xfrm>
        <a:solidFill>
          <a:srgbClr val="8064A2"/>
        </a:solidFill>
        <a:ln w="25400" cap="flat" cmpd="sng" algn="ctr">
          <a:solidFill>
            <a:sysClr val="window" lastClr="FFFFFF">
              <a:hueOff val="0"/>
              <a:satOff val="0"/>
              <a:lumOff val="0"/>
              <a:alphaOff val="0"/>
            </a:sysClr>
          </a:solidFill>
          <a:prstDash val="solid"/>
          <a:miter lim="800000"/>
        </a:ln>
        <a:effectLst/>
      </dgm:spPr>
      <dgm:t>
        <a:bodyPr/>
        <a:lstStyle/>
        <a:p>
          <a:pPr>
            <a:buNone/>
          </a:pPr>
          <a:r>
            <a:rPr lang="es-ES" b="1">
              <a:solidFill>
                <a:sysClr val="window" lastClr="FFFFFF"/>
              </a:solidFill>
              <a:latin typeface="Calibri"/>
              <a:ea typeface="+mn-ea"/>
              <a:cs typeface="+mn-cs"/>
            </a:rPr>
            <a:t>Project Technical Committee</a:t>
          </a:r>
        </a:p>
        <a:p>
          <a:pPr>
            <a:buNone/>
          </a:pPr>
          <a:r>
            <a:rPr lang="es-ES" b="0">
              <a:solidFill>
                <a:sysClr val="window" lastClr="FFFFFF"/>
              </a:solidFill>
              <a:latin typeface="Calibri"/>
              <a:ea typeface="+mn-ea"/>
              <a:cs typeface="+mn-cs"/>
            </a:rPr>
            <a:t>SGAyDS, UNDP, Provinces, INTA, others tbd</a:t>
          </a:r>
        </a:p>
      </dgm:t>
    </dgm:pt>
    <dgm:pt modelId="{DEF8DB2C-4190-4863-90B8-F01786C73F32}" type="parTrans" cxnId="{1CB9A67A-9C5A-46CC-8919-302D08E78B2B}">
      <dgm:prSet/>
      <dgm:spPr/>
      <dgm:t>
        <a:bodyPr/>
        <a:lstStyle/>
        <a:p>
          <a:endParaRPr lang="es-ES"/>
        </a:p>
      </dgm:t>
    </dgm:pt>
    <dgm:pt modelId="{1F965494-6A2A-498A-9FD3-99AC862B7735}" type="sibTrans" cxnId="{1CB9A67A-9C5A-46CC-8919-302D08E78B2B}">
      <dgm:prSet/>
      <dgm:spPr/>
      <dgm:t>
        <a:bodyPr/>
        <a:lstStyle/>
        <a:p>
          <a:endParaRPr lang="es-ES"/>
        </a:p>
      </dgm:t>
    </dgm:pt>
    <dgm:pt modelId="{E8F81823-A6F9-4FD5-A518-7B0D8D96372C}">
      <dgm:prSet phldrT="[Texto]"/>
      <dgm:spPr>
        <a:xfrm>
          <a:off x="1997863" y="3136722"/>
          <a:ext cx="1378753" cy="827251"/>
        </a:xfrm>
        <a:solidFill>
          <a:srgbClr val="ED7D31">
            <a:lumMod val="75000"/>
          </a:srgbClr>
        </a:solidFill>
        <a:ln w="25400" cap="flat" cmpd="sng" algn="ctr">
          <a:solidFill>
            <a:sysClr val="window" lastClr="FFFFFF">
              <a:hueOff val="0"/>
              <a:satOff val="0"/>
              <a:lumOff val="0"/>
              <a:alphaOff val="0"/>
            </a:sysClr>
          </a:solidFill>
          <a:prstDash val="solid"/>
          <a:miter lim="800000"/>
        </a:ln>
        <a:effectLst/>
      </dgm:spPr>
      <dgm:t>
        <a:bodyPr/>
        <a:lstStyle/>
        <a:p>
          <a:pPr>
            <a:buNone/>
          </a:pPr>
          <a:r>
            <a:rPr lang="es-ES" b="1">
              <a:solidFill>
                <a:sysClr val="window" lastClr="FFFFFF"/>
              </a:solidFill>
              <a:latin typeface="Calibri"/>
              <a:ea typeface="+mn-ea"/>
              <a:cs typeface="+mn-cs"/>
            </a:rPr>
            <a:t>Project Support</a:t>
          </a:r>
        </a:p>
        <a:p>
          <a:pPr>
            <a:buNone/>
          </a:pPr>
          <a:r>
            <a:rPr lang="es-ES" b="0">
              <a:solidFill>
                <a:sysClr val="window" lastClr="FFFFFF"/>
              </a:solidFill>
              <a:latin typeface="Calibri"/>
              <a:ea typeface="+mn-ea"/>
              <a:cs typeface="+mn-cs"/>
            </a:rPr>
            <a:t>Consultants</a:t>
          </a:r>
        </a:p>
        <a:p>
          <a:pPr>
            <a:buNone/>
          </a:pPr>
          <a:r>
            <a:rPr lang="es-ES" b="0">
              <a:solidFill>
                <a:sysClr val="window" lastClr="FFFFFF"/>
              </a:solidFill>
              <a:latin typeface="Calibri"/>
              <a:ea typeface="+mn-ea"/>
              <a:cs typeface="+mn-cs"/>
            </a:rPr>
            <a:t>Provincial Focal Points</a:t>
          </a:r>
        </a:p>
        <a:p>
          <a:pPr>
            <a:buNone/>
          </a:pPr>
          <a:r>
            <a:rPr lang="es-ES" b="0">
              <a:solidFill>
                <a:sysClr val="window" lastClr="FFFFFF"/>
              </a:solidFill>
              <a:latin typeface="Calibri"/>
              <a:ea typeface="+mn-ea"/>
              <a:cs typeface="+mn-cs"/>
            </a:rPr>
            <a:t>Provincial Working Groups</a:t>
          </a:r>
        </a:p>
      </dgm:t>
    </dgm:pt>
    <dgm:pt modelId="{EB3FB1E1-69EA-4334-9D4B-1872BC4D82F1}" type="parTrans" cxnId="{AC550892-31DA-456A-A070-D6B22548AA02}">
      <dgm:prSet/>
      <dgm:spPr/>
      <dgm:t>
        <a:bodyPr/>
        <a:lstStyle/>
        <a:p>
          <a:endParaRPr lang="es-ES"/>
        </a:p>
      </dgm:t>
    </dgm:pt>
    <dgm:pt modelId="{14CD203B-693C-4CD0-889E-B914A1408ACD}" type="sibTrans" cxnId="{AC550892-31DA-456A-A070-D6B22548AA02}">
      <dgm:prSet/>
      <dgm:spPr/>
      <dgm:t>
        <a:bodyPr/>
        <a:lstStyle/>
        <a:p>
          <a:endParaRPr lang="es-ES"/>
        </a:p>
      </dgm:t>
    </dgm:pt>
    <dgm:pt modelId="{0A9EB9F8-E738-9A41-9B86-4BC5762C8E3C}">
      <dgm:prSet phldrT="[Texto]"/>
      <dgm:spPr>
        <a:xfrm>
          <a:off x="333859" y="2613990"/>
          <a:ext cx="1378753" cy="689001"/>
        </a:xfrm>
        <a:solidFill>
          <a:srgbClr val="FFC000">
            <a:lumMod val="75000"/>
          </a:srgbClr>
        </a:solidFill>
        <a:ln w="25400" cap="flat" cmpd="sng" algn="ctr">
          <a:solidFill>
            <a:sysClr val="window" lastClr="FFFFFF">
              <a:hueOff val="0"/>
              <a:satOff val="0"/>
              <a:lumOff val="0"/>
              <a:alphaOff val="0"/>
            </a:sysClr>
          </a:solidFill>
          <a:prstDash val="solid"/>
          <a:miter lim="800000"/>
        </a:ln>
        <a:effectLst/>
      </dgm:spPr>
      <dgm:t>
        <a:bodyPr/>
        <a:lstStyle/>
        <a:p>
          <a:pPr>
            <a:buNone/>
          </a:pPr>
          <a:r>
            <a:rPr lang="es-ES" b="1">
              <a:solidFill>
                <a:sysClr val="window" lastClr="FFFFFF"/>
              </a:solidFill>
              <a:latin typeface="Calibri"/>
              <a:ea typeface="+mn-ea"/>
              <a:cs typeface="+mn-cs"/>
            </a:rPr>
            <a:t>Project  Assurance</a:t>
          </a:r>
        </a:p>
        <a:p>
          <a:pPr>
            <a:buNone/>
          </a:pPr>
          <a:r>
            <a:rPr lang="es-ES" b="0">
              <a:solidFill>
                <a:sysClr val="window" lastClr="FFFFFF"/>
              </a:solidFill>
              <a:latin typeface="Calibri"/>
              <a:ea typeface="+mn-ea"/>
              <a:cs typeface="+mn-cs"/>
            </a:rPr>
            <a:t>UNDP Argentina, GEF RTA Panama, HQ UNDP GEF</a:t>
          </a:r>
        </a:p>
      </dgm:t>
    </dgm:pt>
    <dgm:pt modelId="{8AEAFDA4-2EBC-674B-B7FB-16160B34FD35}" type="parTrans" cxnId="{EB9C14CE-D6CF-C941-80B6-86DC05E4E655}">
      <dgm:prSet/>
      <dgm:spPr/>
      <dgm:t>
        <a:bodyPr/>
        <a:lstStyle/>
        <a:p>
          <a:endParaRPr lang="es-ES"/>
        </a:p>
      </dgm:t>
    </dgm:pt>
    <dgm:pt modelId="{BE014E9B-74B0-2142-9FA0-41E4788E3189}" type="sibTrans" cxnId="{EB9C14CE-D6CF-C941-80B6-86DC05E4E655}">
      <dgm:prSet/>
      <dgm:spPr/>
      <dgm:t>
        <a:bodyPr/>
        <a:lstStyle/>
        <a:p>
          <a:endParaRPr lang="es-ES"/>
        </a:p>
      </dgm:t>
    </dgm:pt>
    <dgm:pt modelId="{D214D64D-35AC-446E-8674-DBFA9CB89EFC}" type="pres">
      <dgm:prSet presAssocID="{5ED21806-DE72-4720-B45D-7123D5321B5E}" presName="diagram" presStyleCnt="0">
        <dgm:presLayoutVars>
          <dgm:dir/>
          <dgm:resizeHandles val="exact"/>
        </dgm:presLayoutVars>
      </dgm:prSet>
      <dgm:spPr/>
      <dgm:t>
        <a:bodyPr/>
        <a:lstStyle/>
        <a:p>
          <a:endParaRPr lang="en-US"/>
        </a:p>
      </dgm:t>
    </dgm:pt>
    <dgm:pt modelId="{A1F2DED9-0B6A-4A10-A9CF-A3F77F55A2D8}" type="pres">
      <dgm:prSet presAssocID="{DEFC0115-6990-4D62-902E-1D7B00C706B2}" presName="node" presStyleLbl="node1" presStyleIdx="0" presStyleCnt="9" custScaleX="389814" custScaleY="47934" custLinFactNeighborX="146" custLinFactNeighborY="-2110">
        <dgm:presLayoutVars>
          <dgm:bulletEnabled val="1"/>
        </dgm:presLayoutVars>
      </dgm:prSet>
      <dgm:spPr>
        <a:prstGeom prst="rect">
          <a:avLst/>
        </a:prstGeom>
      </dgm:spPr>
      <dgm:t>
        <a:bodyPr/>
        <a:lstStyle/>
        <a:p>
          <a:endParaRPr lang="en-US"/>
        </a:p>
      </dgm:t>
    </dgm:pt>
    <dgm:pt modelId="{CB7B2B07-0269-422C-8C07-B54196BA9474}" type="pres">
      <dgm:prSet presAssocID="{12448DE3-C456-4D91-91F6-70028E8D2ADD}" presName="sibTrans" presStyleCnt="0"/>
      <dgm:spPr/>
    </dgm:pt>
    <dgm:pt modelId="{2B68D65A-7E88-4884-9D28-31071A69A43C}" type="pres">
      <dgm:prSet presAssocID="{B877FBB6-9B4C-4A2B-959E-D1E1219D9143}" presName="node" presStyleLbl="node1" presStyleIdx="1" presStyleCnt="9" custLinFactNeighborX="-47694" custLinFactNeighborY="48393">
        <dgm:presLayoutVars>
          <dgm:bulletEnabled val="1"/>
        </dgm:presLayoutVars>
      </dgm:prSet>
      <dgm:spPr>
        <a:prstGeom prst="rect">
          <a:avLst/>
        </a:prstGeom>
      </dgm:spPr>
      <dgm:t>
        <a:bodyPr/>
        <a:lstStyle/>
        <a:p>
          <a:endParaRPr lang="en-US"/>
        </a:p>
      </dgm:t>
    </dgm:pt>
    <dgm:pt modelId="{B974925F-9C09-4A21-88E9-475C2E46BB6C}" type="pres">
      <dgm:prSet presAssocID="{92B56E5E-D79E-4D7D-8B68-9D561E93645C}" presName="sibTrans" presStyleCnt="0"/>
      <dgm:spPr/>
    </dgm:pt>
    <dgm:pt modelId="{A1ECE99D-7B2C-406D-8F58-4E1536103985}" type="pres">
      <dgm:prSet presAssocID="{3E693375-32D2-4AF7-B031-93AE35EEF422}" presName="node" presStyleLbl="node1" presStyleIdx="2" presStyleCnt="9" custLinFactNeighborX="-56845" custLinFactNeighborY="48007">
        <dgm:presLayoutVars>
          <dgm:bulletEnabled val="1"/>
        </dgm:presLayoutVars>
      </dgm:prSet>
      <dgm:spPr>
        <a:prstGeom prst="rect">
          <a:avLst/>
        </a:prstGeom>
      </dgm:spPr>
      <dgm:t>
        <a:bodyPr/>
        <a:lstStyle/>
        <a:p>
          <a:endParaRPr lang="en-US"/>
        </a:p>
      </dgm:t>
    </dgm:pt>
    <dgm:pt modelId="{8D6F8B18-4882-4FAB-A17E-C29A962E8149}" type="pres">
      <dgm:prSet presAssocID="{930C104F-5EC6-4589-B20C-FEEB96F12693}" presName="sibTrans" presStyleCnt="0"/>
      <dgm:spPr/>
    </dgm:pt>
    <dgm:pt modelId="{34A69DA9-2AF5-4EA2-8DA8-17D7CAD43D14}" type="pres">
      <dgm:prSet presAssocID="{EE753C6D-B150-4C8F-AF3A-B61071695581}" presName="node" presStyleLbl="node1" presStyleIdx="3" presStyleCnt="9" custScaleX="300392" custScaleY="45783" custLinFactY="-16378" custLinFactNeighborX="-1416" custLinFactNeighborY="-100000">
        <dgm:presLayoutVars>
          <dgm:bulletEnabled val="1"/>
        </dgm:presLayoutVars>
      </dgm:prSet>
      <dgm:spPr>
        <a:prstGeom prst="rect">
          <a:avLst/>
        </a:prstGeom>
      </dgm:spPr>
      <dgm:t>
        <a:bodyPr/>
        <a:lstStyle/>
        <a:p>
          <a:endParaRPr lang="en-US"/>
        </a:p>
      </dgm:t>
    </dgm:pt>
    <dgm:pt modelId="{DBA78798-1C4C-4CD8-BBB9-B090BC37825D}" type="pres">
      <dgm:prSet presAssocID="{52B059D0-D53D-4470-90E5-BEB7BAE362B3}" presName="sibTrans" presStyleCnt="0"/>
      <dgm:spPr/>
    </dgm:pt>
    <dgm:pt modelId="{FBA752DA-2E7E-4650-91D1-77E194BE88B2}" type="pres">
      <dgm:prSet presAssocID="{61A4DC93-CE71-4FAE-BA1B-B2BE0C6E4CB6}" presName="node" presStyleLbl="node1" presStyleIdx="4" presStyleCnt="9" custLinFactX="7167" custLinFactNeighborX="100000" custLinFactNeighborY="-15722">
        <dgm:presLayoutVars>
          <dgm:bulletEnabled val="1"/>
        </dgm:presLayoutVars>
      </dgm:prSet>
      <dgm:spPr>
        <a:prstGeom prst="rect">
          <a:avLst/>
        </a:prstGeom>
      </dgm:spPr>
      <dgm:t>
        <a:bodyPr/>
        <a:lstStyle/>
        <a:p>
          <a:endParaRPr lang="en-US"/>
        </a:p>
      </dgm:t>
    </dgm:pt>
    <dgm:pt modelId="{E4CF8765-7837-45C2-9BF8-8F4B824FD9FF}" type="pres">
      <dgm:prSet presAssocID="{C5BD754A-1315-4876-8735-F5F706432AE6}" presName="sibTrans" presStyleCnt="0"/>
      <dgm:spPr/>
    </dgm:pt>
    <dgm:pt modelId="{4C4F06B2-BC31-4677-9E27-E9FB9EA87D4E}" type="pres">
      <dgm:prSet presAssocID="{5D0854C9-7808-42A9-A74C-EFE362C27014}" presName="node" presStyleLbl="node1" presStyleIdx="5" presStyleCnt="9" custLinFactY="-31291" custLinFactNeighborX="98154" custLinFactNeighborY="-100000">
        <dgm:presLayoutVars>
          <dgm:bulletEnabled val="1"/>
        </dgm:presLayoutVars>
      </dgm:prSet>
      <dgm:spPr>
        <a:prstGeom prst="rect">
          <a:avLst/>
        </a:prstGeom>
      </dgm:spPr>
      <dgm:t>
        <a:bodyPr/>
        <a:lstStyle/>
        <a:p>
          <a:endParaRPr lang="en-US"/>
        </a:p>
      </dgm:t>
    </dgm:pt>
    <dgm:pt modelId="{AD55A6A9-C543-480E-90F7-8157CB59A9E2}" type="pres">
      <dgm:prSet presAssocID="{40F2F94D-53FD-4039-AFFB-750CA204A2AB}" presName="sibTrans" presStyleCnt="0"/>
      <dgm:spPr/>
    </dgm:pt>
    <dgm:pt modelId="{27F05C3D-9A8A-48FB-9A35-E800A2565607}" type="pres">
      <dgm:prSet presAssocID="{7DF929DE-1AA7-4834-80BB-E8059463C65C}" presName="node" presStyleLbl="node1" presStyleIdx="6" presStyleCnt="9" custScaleY="83288" custLinFactNeighborX="11407" custLinFactNeighborY="32908">
        <dgm:presLayoutVars>
          <dgm:bulletEnabled val="1"/>
        </dgm:presLayoutVars>
      </dgm:prSet>
      <dgm:spPr>
        <a:prstGeom prst="rect">
          <a:avLst/>
        </a:prstGeom>
      </dgm:spPr>
      <dgm:t>
        <a:bodyPr/>
        <a:lstStyle/>
        <a:p>
          <a:endParaRPr lang="en-US"/>
        </a:p>
      </dgm:t>
    </dgm:pt>
    <dgm:pt modelId="{EA1E407C-13BF-4A34-B2B2-541602D2996A}" type="pres">
      <dgm:prSet presAssocID="{1F965494-6A2A-498A-9FD3-99AC862B7735}" presName="sibTrans" presStyleCnt="0"/>
      <dgm:spPr/>
    </dgm:pt>
    <dgm:pt modelId="{13C21DA4-823A-473A-B9AE-73C49EC028D9}" type="pres">
      <dgm:prSet presAssocID="{E8F81823-A6F9-4FD5-A518-7B0D8D96372C}" presName="node" presStyleLbl="node1" presStyleIdx="7" presStyleCnt="9" custLinFactNeighborX="54856" custLinFactNeighborY="-18604">
        <dgm:presLayoutVars>
          <dgm:bulletEnabled val="1"/>
        </dgm:presLayoutVars>
      </dgm:prSet>
      <dgm:spPr>
        <a:prstGeom prst="rect">
          <a:avLst/>
        </a:prstGeom>
      </dgm:spPr>
      <dgm:t>
        <a:bodyPr/>
        <a:lstStyle/>
        <a:p>
          <a:endParaRPr lang="en-US"/>
        </a:p>
      </dgm:t>
    </dgm:pt>
    <dgm:pt modelId="{E13B05CE-DAD0-A24B-956D-6F4134046488}" type="pres">
      <dgm:prSet presAssocID="{14CD203B-693C-4CD0-889E-B914A1408ACD}" presName="sibTrans" presStyleCnt="0"/>
      <dgm:spPr/>
    </dgm:pt>
    <dgm:pt modelId="{211FB07C-DEF2-0345-9D51-952CA4466D5D}" type="pres">
      <dgm:prSet presAssocID="{0A9EB9F8-E738-9A41-9B86-4BC5762C8E3C}" presName="node" presStyleLbl="node1" presStyleIdx="8" presStyleCnt="9" custScaleY="83288" custLinFactX="-75833" custLinFactNeighborX="-100000" custLinFactNeighborY="-90149">
        <dgm:presLayoutVars>
          <dgm:bulletEnabled val="1"/>
        </dgm:presLayoutVars>
      </dgm:prSet>
      <dgm:spPr>
        <a:prstGeom prst="rect">
          <a:avLst/>
        </a:prstGeom>
      </dgm:spPr>
      <dgm:t>
        <a:bodyPr/>
        <a:lstStyle/>
        <a:p>
          <a:endParaRPr lang="en-US"/>
        </a:p>
      </dgm:t>
    </dgm:pt>
  </dgm:ptLst>
  <dgm:cxnLst>
    <dgm:cxn modelId="{BCCD75E6-0A63-4642-8173-52965ED360F9}" type="presOf" srcId="{0A9EB9F8-E738-9A41-9B86-4BC5762C8E3C}" destId="{211FB07C-DEF2-0345-9D51-952CA4466D5D}" srcOrd="0" destOrd="0" presId="urn:microsoft.com/office/officeart/2005/8/layout/default#1"/>
    <dgm:cxn modelId="{1CB9A67A-9C5A-46CC-8919-302D08E78B2B}" srcId="{5ED21806-DE72-4720-B45D-7123D5321B5E}" destId="{7DF929DE-1AA7-4834-80BB-E8059463C65C}" srcOrd="6" destOrd="0" parTransId="{DEF8DB2C-4190-4863-90B8-F01786C73F32}" sibTransId="{1F965494-6A2A-498A-9FD3-99AC862B7735}"/>
    <dgm:cxn modelId="{C71F4F53-A539-4F3C-9FEB-EB6C17263853}" type="presOf" srcId="{5ED21806-DE72-4720-B45D-7123D5321B5E}" destId="{D214D64D-35AC-446E-8674-DBFA9CB89EFC}" srcOrd="0" destOrd="0" presId="urn:microsoft.com/office/officeart/2005/8/layout/default#1"/>
    <dgm:cxn modelId="{18658DCF-709F-49B0-A5E0-2058F1DB00B2}" type="presOf" srcId="{3E693375-32D2-4AF7-B031-93AE35EEF422}" destId="{A1ECE99D-7B2C-406D-8F58-4E1536103985}" srcOrd="0" destOrd="0" presId="urn:microsoft.com/office/officeart/2005/8/layout/default#1"/>
    <dgm:cxn modelId="{C61F6A5D-D468-462B-8D83-38EE40C75BCE}" srcId="{5ED21806-DE72-4720-B45D-7123D5321B5E}" destId="{5D0854C9-7808-42A9-A74C-EFE362C27014}" srcOrd="5" destOrd="0" parTransId="{5232F7CD-88CB-4797-9B08-E8F89CD12F95}" sibTransId="{40F2F94D-53FD-4039-AFFB-750CA204A2AB}"/>
    <dgm:cxn modelId="{1F56B8F2-01A7-4ADE-A171-0F54B6F69C55}" type="presOf" srcId="{DEFC0115-6990-4D62-902E-1D7B00C706B2}" destId="{A1F2DED9-0B6A-4A10-A9CF-A3F77F55A2D8}" srcOrd="0" destOrd="0" presId="urn:microsoft.com/office/officeart/2005/8/layout/default#1"/>
    <dgm:cxn modelId="{EFAA5A0D-D231-40C4-8025-16404F55FF41}" srcId="{5ED21806-DE72-4720-B45D-7123D5321B5E}" destId="{3E693375-32D2-4AF7-B031-93AE35EEF422}" srcOrd="2" destOrd="0" parTransId="{B8EF9CCA-4821-4E38-BD79-E259D793B43B}" sibTransId="{930C104F-5EC6-4589-B20C-FEEB96F12693}"/>
    <dgm:cxn modelId="{CE37A30B-7229-41ED-9D20-F149934DBAC9}" type="presOf" srcId="{5D0854C9-7808-42A9-A74C-EFE362C27014}" destId="{4C4F06B2-BC31-4677-9E27-E9FB9EA87D4E}" srcOrd="0" destOrd="0" presId="urn:microsoft.com/office/officeart/2005/8/layout/default#1"/>
    <dgm:cxn modelId="{B219C76C-0D82-44CD-92D0-316565F42F02}" srcId="{5ED21806-DE72-4720-B45D-7123D5321B5E}" destId="{DEFC0115-6990-4D62-902E-1D7B00C706B2}" srcOrd="0" destOrd="0" parTransId="{E64F77C7-F803-45B5-B44C-FFD2EE4C01CC}" sibTransId="{12448DE3-C456-4D91-91F6-70028E8D2ADD}"/>
    <dgm:cxn modelId="{81F01CF0-6587-4EAC-9C1D-B448CC21178F}" type="presOf" srcId="{61A4DC93-CE71-4FAE-BA1B-B2BE0C6E4CB6}" destId="{FBA752DA-2E7E-4650-91D1-77E194BE88B2}" srcOrd="0" destOrd="0" presId="urn:microsoft.com/office/officeart/2005/8/layout/default#1"/>
    <dgm:cxn modelId="{54D06B7C-6BAC-4628-8257-AE5F4621A293}" srcId="{5ED21806-DE72-4720-B45D-7123D5321B5E}" destId="{61A4DC93-CE71-4FAE-BA1B-B2BE0C6E4CB6}" srcOrd="4" destOrd="0" parTransId="{8693F41B-9643-41E4-81E9-D7FEFAA71E9E}" sibTransId="{C5BD754A-1315-4876-8735-F5F706432AE6}"/>
    <dgm:cxn modelId="{EB9C14CE-D6CF-C941-80B6-86DC05E4E655}" srcId="{5ED21806-DE72-4720-B45D-7123D5321B5E}" destId="{0A9EB9F8-E738-9A41-9B86-4BC5762C8E3C}" srcOrd="8" destOrd="0" parTransId="{8AEAFDA4-2EBC-674B-B7FB-16160B34FD35}" sibTransId="{BE014E9B-74B0-2142-9FA0-41E4788E3189}"/>
    <dgm:cxn modelId="{A7E2FDEB-24C9-42D8-AD6A-0EE2507C71CB}" srcId="{5ED21806-DE72-4720-B45D-7123D5321B5E}" destId="{B877FBB6-9B4C-4A2B-959E-D1E1219D9143}" srcOrd="1" destOrd="0" parTransId="{062FE95B-867A-43FC-9E7E-8FACE4CBBE3D}" sibTransId="{92B56E5E-D79E-4D7D-8B68-9D561E93645C}"/>
    <dgm:cxn modelId="{821CCDD0-A864-47DC-AD71-EAB75045131A}" srcId="{5ED21806-DE72-4720-B45D-7123D5321B5E}" destId="{EE753C6D-B150-4C8F-AF3A-B61071695581}" srcOrd="3" destOrd="0" parTransId="{DB143629-01DC-4A15-9E19-2E7C4A82D321}" sibTransId="{52B059D0-D53D-4470-90E5-BEB7BAE362B3}"/>
    <dgm:cxn modelId="{EB6A3BE5-BE6B-4DFD-BB5E-921DFC691373}" type="presOf" srcId="{EE753C6D-B150-4C8F-AF3A-B61071695581}" destId="{34A69DA9-2AF5-4EA2-8DA8-17D7CAD43D14}" srcOrd="0" destOrd="0" presId="urn:microsoft.com/office/officeart/2005/8/layout/default#1"/>
    <dgm:cxn modelId="{0DE1201F-664B-4CFA-9000-6C51F640A4E3}" type="presOf" srcId="{E8F81823-A6F9-4FD5-A518-7B0D8D96372C}" destId="{13C21DA4-823A-473A-B9AE-73C49EC028D9}" srcOrd="0" destOrd="0" presId="urn:microsoft.com/office/officeart/2005/8/layout/default#1"/>
    <dgm:cxn modelId="{09153C8F-4901-4F3B-B346-5B67DD4D73B1}" type="presOf" srcId="{B877FBB6-9B4C-4A2B-959E-D1E1219D9143}" destId="{2B68D65A-7E88-4884-9D28-31071A69A43C}" srcOrd="0" destOrd="0" presId="urn:microsoft.com/office/officeart/2005/8/layout/default#1"/>
    <dgm:cxn modelId="{AC550892-31DA-456A-A070-D6B22548AA02}" srcId="{5ED21806-DE72-4720-B45D-7123D5321B5E}" destId="{E8F81823-A6F9-4FD5-A518-7B0D8D96372C}" srcOrd="7" destOrd="0" parTransId="{EB3FB1E1-69EA-4334-9D4B-1872BC4D82F1}" sibTransId="{14CD203B-693C-4CD0-889E-B914A1408ACD}"/>
    <dgm:cxn modelId="{C40CDB96-40AD-44CC-A59B-9BEFCDB8F01D}" type="presOf" srcId="{7DF929DE-1AA7-4834-80BB-E8059463C65C}" destId="{27F05C3D-9A8A-48FB-9A35-E800A2565607}" srcOrd="0" destOrd="0" presId="urn:microsoft.com/office/officeart/2005/8/layout/default#1"/>
    <dgm:cxn modelId="{DA374BC8-A1E4-47EF-BF0D-CE6B2F6216F4}" type="presParOf" srcId="{D214D64D-35AC-446E-8674-DBFA9CB89EFC}" destId="{A1F2DED9-0B6A-4A10-A9CF-A3F77F55A2D8}" srcOrd="0" destOrd="0" presId="urn:microsoft.com/office/officeart/2005/8/layout/default#1"/>
    <dgm:cxn modelId="{DA88DA1A-D7AF-4FD7-957D-49E484EBD867}" type="presParOf" srcId="{D214D64D-35AC-446E-8674-DBFA9CB89EFC}" destId="{CB7B2B07-0269-422C-8C07-B54196BA9474}" srcOrd="1" destOrd="0" presId="urn:microsoft.com/office/officeart/2005/8/layout/default#1"/>
    <dgm:cxn modelId="{BCE06C0C-3C22-4440-96A7-C7858EF823A3}" type="presParOf" srcId="{D214D64D-35AC-446E-8674-DBFA9CB89EFC}" destId="{2B68D65A-7E88-4884-9D28-31071A69A43C}" srcOrd="2" destOrd="0" presId="urn:microsoft.com/office/officeart/2005/8/layout/default#1"/>
    <dgm:cxn modelId="{4A661C25-F666-4808-BA5D-EC980968D62C}" type="presParOf" srcId="{D214D64D-35AC-446E-8674-DBFA9CB89EFC}" destId="{B974925F-9C09-4A21-88E9-475C2E46BB6C}" srcOrd="3" destOrd="0" presId="urn:microsoft.com/office/officeart/2005/8/layout/default#1"/>
    <dgm:cxn modelId="{AD030599-66D8-4F4C-BECE-8A829FED58EA}" type="presParOf" srcId="{D214D64D-35AC-446E-8674-DBFA9CB89EFC}" destId="{A1ECE99D-7B2C-406D-8F58-4E1536103985}" srcOrd="4" destOrd="0" presId="urn:microsoft.com/office/officeart/2005/8/layout/default#1"/>
    <dgm:cxn modelId="{379A486C-FE3A-40D8-B89B-F7BB3B71CD85}" type="presParOf" srcId="{D214D64D-35AC-446E-8674-DBFA9CB89EFC}" destId="{8D6F8B18-4882-4FAB-A17E-C29A962E8149}" srcOrd="5" destOrd="0" presId="urn:microsoft.com/office/officeart/2005/8/layout/default#1"/>
    <dgm:cxn modelId="{926961EB-97AE-412A-8856-BC10B5E6E226}" type="presParOf" srcId="{D214D64D-35AC-446E-8674-DBFA9CB89EFC}" destId="{34A69DA9-2AF5-4EA2-8DA8-17D7CAD43D14}" srcOrd="6" destOrd="0" presId="urn:microsoft.com/office/officeart/2005/8/layout/default#1"/>
    <dgm:cxn modelId="{B4BC3104-5F70-4A2D-847B-A456268CFEAE}" type="presParOf" srcId="{D214D64D-35AC-446E-8674-DBFA9CB89EFC}" destId="{DBA78798-1C4C-4CD8-BBB9-B090BC37825D}" srcOrd="7" destOrd="0" presId="urn:microsoft.com/office/officeart/2005/8/layout/default#1"/>
    <dgm:cxn modelId="{EB4CE2D4-4B52-4CCD-9770-E50F929897DD}" type="presParOf" srcId="{D214D64D-35AC-446E-8674-DBFA9CB89EFC}" destId="{FBA752DA-2E7E-4650-91D1-77E194BE88B2}" srcOrd="8" destOrd="0" presId="urn:microsoft.com/office/officeart/2005/8/layout/default#1"/>
    <dgm:cxn modelId="{00BFFE78-44D3-4B81-8F76-46DD746404DA}" type="presParOf" srcId="{D214D64D-35AC-446E-8674-DBFA9CB89EFC}" destId="{E4CF8765-7837-45C2-9BF8-8F4B824FD9FF}" srcOrd="9" destOrd="0" presId="urn:microsoft.com/office/officeart/2005/8/layout/default#1"/>
    <dgm:cxn modelId="{445D24C1-6456-4A61-9A66-D97ACEDC3A22}" type="presParOf" srcId="{D214D64D-35AC-446E-8674-DBFA9CB89EFC}" destId="{4C4F06B2-BC31-4677-9E27-E9FB9EA87D4E}" srcOrd="10" destOrd="0" presId="urn:microsoft.com/office/officeart/2005/8/layout/default#1"/>
    <dgm:cxn modelId="{66CDD76C-87F2-4F42-8B7B-25E8CDC799B9}" type="presParOf" srcId="{D214D64D-35AC-446E-8674-DBFA9CB89EFC}" destId="{AD55A6A9-C543-480E-90F7-8157CB59A9E2}" srcOrd="11" destOrd="0" presId="urn:microsoft.com/office/officeart/2005/8/layout/default#1"/>
    <dgm:cxn modelId="{473B152F-4343-4A6D-B934-8A00CB80496E}" type="presParOf" srcId="{D214D64D-35AC-446E-8674-DBFA9CB89EFC}" destId="{27F05C3D-9A8A-48FB-9A35-E800A2565607}" srcOrd="12" destOrd="0" presId="urn:microsoft.com/office/officeart/2005/8/layout/default#1"/>
    <dgm:cxn modelId="{323E7A51-E218-44AA-9994-5E89A5F879E2}" type="presParOf" srcId="{D214D64D-35AC-446E-8674-DBFA9CB89EFC}" destId="{EA1E407C-13BF-4A34-B2B2-541602D2996A}" srcOrd="13" destOrd="0" presId="urn:microsoft.com/office/officeart/2005/8/layout/default#1"/>
    <dgm:cxn modelId="{AF89C0B6-B11C-498E-ADD8-70BFDEC856E5}" type="presParOf" srcId="{D214D64D-35AC-446E-8674-DBFA9CB89EFC}" destId="{13C21DA4-823A-473A-B9AE-73C49EC028D9}" srcOrd="14" destOrd="0" presId="urn:microsoft.com/office/officeart/2005/8/layout/default#1"/>
    <dgm:cxn modelId="{38567942-F208-491F-8386-DADDE5D70B42}" type="presParOf" srcId="{D214D64D-35AC-446E-8674-DBFA9CB89EFC}" destId="{E13B05CE-DAD0-A24B-956D-6F4134046488}" srcOrd="15" destOrd="0" presId="urn:microsoft.com/office/officeart/2005/8/layout/default#1"/>
    <dgm:cxn modelId="{83D4D2F0-BB7A-43C0-87C6-CEDFC91F35F9}" type="presParOf" srcId="{D214D64D-35AC-446E-8674-DBFA9CB89EFC}" destId="{211FB07C-DEF2-0345-9D51-952CA4466D5D}" srcOrd="16" destOrd="0" presId="urn:microsoft.com/office/officeart/2005/8/layout/default#1"/>
  </dgm:cxnLst>
  <dgm:bg/>
  <dgm:whole/>
  <dgm:extLst>
    <a:ext uri="http://schemas.microsoft.com/office/drawing/2008/diagram">
      <dsp:dataModelExt xmlns:dsp="http://schemas.microsoft.com/office/drawing/2008/diagram" relId="rId2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1F2DED9-0B6A-4A10-A9CF-A3F77F55A2D8}">
      <dsp:nvSpPr>
        <dsp:cNvPr id="0" name=""/>
        <dsp:cNvSpPr/>
      </dsp:nvSpPr>
      <dsp:spPr>
        <a:xfrm>
          <a:off x="3876" y="292569"/>
          <a:ext cx="5372668" cy="396394"/>
        </a:xfrm>
        <a:prstGeom prst="rect">
          <a:avLst/>
        </a:prstGeom>
        <a:solidFill>
          <a:srgbClr val="9BBB59"/>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buNone/>
          </a:pPr>
          <a:r>
            <a:rPr lang="es-ES" sz="800" b="1" kern="1200">
              <a:solidFill>
                <a:sysClr val="window" lastClr="FFFFFF"/>
              </a:solidFill>
              <a:latin typeface="Calibri"/>
              <a:ea typeface="+mn-ea"/>
              <a:cs typeface="+mn-cs"/>
            </a:rPr>
            <a:t>PROJECT ORGANIZATION STRUCTURE</a:t>
          </a:r>
        </a:p>
      </dsp:txBody>
      <dsp:txXfrm>
        <a:off x="3876" y="292569"/>
        <a:ext cx="5372668" cy="396394"/>
      </dsp:txXfrm>
    </dsp:sp>
    <dsp:sp modelId="{2B68D65A-7E88-4884-9D28-31071A69A43C}">
      <dsp:nvSpPr>
        <dsp:cNvPr id="0" name=""/>
        <dsp:cNvSpPr/>
      </dsp:nvSpPr>
      <dsp:spPr>
        <a:xfrm>
          <a:off x="583744" y="1244429"/>
          <a:ext cx="1378264" cy="826958"/>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buNone/>
          </a:pPr>
          <a:r>
            <a:rPr lang="es-ES" sz="800" b="1" kern="1200">
              <a:solidFill>
                <a:sysClr val="window" lastClr="FFFFFF"/>
              </a:solidFill>
              <a:latin typeface="Calibri"/>
              <a:ea typeface="+mn-ea"/>
              <a:cs typeface="+mn-cs"/>
            </a:rPr>
            <a:t>Representatives of the provincial authorities of Jujuy, Mendoza y Buenos Aires and INTA </a:t>
          </a:r>
          <a:endParaRPr lang="es-ES" sz="800" kern="1200">
            <a:solidFill>
              <a:sysClr val="window" lastClr="FFFFFF"/>
            </a:solidFill>
            <a:latin typeface="Calibri"/>
            <a:ea typeface="+mn-ea"/>
            <a:cs typeface="+mn-cs"/>
          </a:endParaRPr>
        </a:p>
      </dsp:txBody>
      <dsp:txXfrm>
        <a:off x="583744" y="1244429"/>
        <a:ext cx="1378264" cy="826958"/>
      </dsp:txXfrm>
    </dsp:sp>
    <dsp:sp modelId="{A1ECE99D-7B2C-406D-8F58-4E1536103985}">
      <dsp:nvSpPr>
        <dsp:cNvPr id="0" name=""/>
        <dsp:cNvSpPr/>
      </dsp:nvSpPr>
      <dsp:spPr>
        <a:xfrm>
          <a:off x="1973711" y="1241237"/>
          <a:ext cx="1378264" cy="826958"/>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buNone/>
          </a:pPr>
          <a:r>
            <a:rPr lang="es-ES" sz="800" b="1" kern="1200">
              <a:solidFill>
                <a:sysClr val="window" lastClr="FFFFFF"/>
              </a:solidFill>
              <a:latin typeface="Calibri"/>
              <a:ea typeface="+mn-ea"/>
              <a:cs typeface="+mn-cs"/>
            </a:rPr>
            <a:t>Executive Secretary</a:t>
          </a:r>
        </a:p>
        <a:p>
          <a:pPr lvl="0" algn="ctr" defTabSz="355600">
            <a:lnSpc>
              <a:spcPct val="90000"/>
            </a:lnSpc>
            <a:spcBef>
              <a:spcPct val="0"/>
            </a:spcBef>
            <a:spcAft>
              <a:spcPct val="35000"/>
            </a:spcAft>
            <a:buNone/>
          </a:pPr>
          <a:r>
            <a:rPr lang="es-ES" sz="800" b="1" kern="1200">
              <a:solidFill>
                <a:sysClr val="window" lastClr="FFFFFF"/>
              </a:solidFill>
              <a:latin typeface="Calibri"/>
              <a:ea typeface="+mn-ea"/>
              <a:cs typeface="+mn-cs"/>
            </a:rPr>
            <a:t>SGAyDS</a:t>
          </a:r>
        </a:p>
      </dsp:txBody>
      <dsp:txXfrm>
        <a:off x="1973711" y="1241237"/>
        <a:ext cx="1378264" cy="826958"/>
      </dsp:txXfrm>
    </dsp:sp>
    <dsp:sp modelId="{34A69DA9-2AF5-4EA2-8DA8-17D7CAD43D14}">
      <dsp:nvSpPr>
        <dsp:cNvPr id="0" name=""/>
        <dsp:cNvSpPr/>
      </dsp:nvSpPr>
      <dsp:spPr>
        <a:xfrm>
          <a:off x="598657" y="846626"/>
          <a:ext cx="4140196" cy="378606"/>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buNone/>
          </a:pPr>
          <a:r>
            <a:rPr lang="es-ES" sz="800" b="1" kern="1200">
              <a:solidFill>
                <a:sysClr val="window" lastClr="FFFFFF"/>
              </a:solidFill>
              <a:latin typeface="Calibri"/>
              <a:ea typeface="+mn-ea"/>
              <a:cs typeface="+mn-cs"/>
            </a:rPr>
            <a:t>Project Board</a:t>
          </a:r>
        </a:p>
      </dsp:txBody>
      <dsp:txXfrm>
        <a:off x="598657" y="846626"/>
        <a:ext cx="4140196" cy="378606"/>
      </dsp:txXfrm>
    </dsp:sp>
    <dsp:sp modelId="{FBA752DA-2E7E-4650-91D1-77E194BE88B2}">
      <dsp:nvSpPr>
        <dsp:cNvPr id="0" name=""/>
        <dsp:cNvSpPr/>
      </dsp:nvSpPr>
      <dsp:spPr>
        <a:xfrm>
          <a:off x="1960093" y="2195443"/>
          <a:ext cx="1378264" cy="826958"/>
        </a:xfrm>
        <a:prstGeom prst="rect">
          <a:avLst/>
        </a:prstGeom>
        <a:solidFill>
          <a:srgbClr val="ED7D31">
            <a:lumMod val="7500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buNone/>
          </a:pPr>
          <a:r>
            <a:rPr lang="es-ES" sz="800" b="1" kern="1200">
              <a:solidFill>
                <a:sysClr val="window" lastClr="FFFFFF"/>
              </a:solidFill>
              <a:latin typeface="Calibri"/>
              <a:ea typeface="+mn-ea"/>
              <a:cs typeface="+mn-cs"/>
            </a:rPr>
            <a:t>Project Management Unit</a:t>
          </a:r>
        </a:p>
        <a:p>
          <a:pPr lvl="0" algn="ctr" defTabSz="355600">
            <a:lnSpc>
              <a:spcPct val="90000"/>
            </a:lnSpc>
            <a:spcBef>
              <a:spcPct val="0"/>
            </a:spcBef>
            <a:spcAft>
              <a:spcPct val="35000"/>
            </a:spcAft>
            <a:buNone/>
          </a:pPr>
          <a:r>
            <a:rPr lang="es-ES" sz="800" kern="1200">
              <a:solidFill>
                <a:sysClr val="window" lastClr="FFFFFF"/>
              </a:solidFill>
              <a:latin typeface="Calibri"/>
              <a:ea typeface="+mn-ea"/>
              <a:cs typeface="+mn-cs"/>
            </a:rPr>
            <a:t>National Project Director</a:t>
          </a:r>
        </a:p>
        <a:p>
          <a:pPr lvl="0" algn="ctr" defTabSz="355600">
            <a:lnSpc>
              <a:spcPct val="90000"/>
            </a:lnSpc>
            <a:spcBef>
              <a:spcPct val="0"/>
            </a:spcBef>
            <a:spcAft>
              <a:spcPct val="35000"/>
            </a:spcAft>
            <a:buNone/>
          </a:pPr>
          <a:r>
            <a:rPr lang="es-ES" sz="800" kern="1200">
              <a:solidFill>
                <a:sysClr val="window" lastClr="FFFFFF"/>
              </a:solidFill>
              <a:latin typeface="Calibri"/>
              <a:ea typeface="+mn-ea"/>
              <a:cs typeface="+mn-cs"/>
            </a:rPr>
            <a:t>Project Coordinator</a:t>
          </a:r>
        </a:p>
        <a:p>
          <a:pPr lvl="0" algn="ctr" defTabSz="355600">
            <a:lnSpc>
              <a:spcPct val="90000"/>
            </a:lnSpc>
            <a:spcBef>
              <a:spcPct val="0"/>
            </a:spcBef>
            <a:spcAft>
              <a:spcPct val="35000"/>
            </a:spcAft>
            <a:buNone/>
          </a:pPr>
          <a:r>
            <a:rPr lang="es-ES" sz="800" kern="1200">
              <a:solidFill>
                <a:sysClr val="window" lastClr="FFFFFF"/>
              </a:solidFill>
              <a:latin typeface="Calibri"/>
              <a:ea typeface="+mn-ea"/>
              <a:cs typeface="+mn-cs"/>
            </a:rPr>
            <a:t>Administrative Assistant</a:t>
          </a:r>
        </a:p>
        <a:p>
          <a:pPr lvl="0" algn="ctr" defTabSz="355600">
            <a:lnSpc>
              <a:spcPct val="90000"/>
            </a:lnSpc>
            <a:spcBef>
              <a:spcPct val="0"/>
            </a:spcBef>
            <a:spcAft>
              <a:spcPct val="35000"/>
            </a:spcAft>
            <a:buNone/>
          </a:pPr>
          <a:r>
            <a:rPr lang="es-ES" sz="800" kern="1200">
              <a:solidFill>
                <a:sysClr val="window" lastClr="FFFFFF"/>
              </a:solidFill>
              <a:latin typeface="Calibri"/>
              <a:ea typeface="+mn-ea"/>
              <a:cs typeface="+mn-cs"/>
            </a:rPr>
            <a:t>Accountant</a:t>
          </a:r>
        </a:p>
      </dsp:txBody>
      <dsp:txXfrm>
        <a:off x="1960093" y="2195443"/>
        <a:ext cx="1378264" cy="826958"/>
      </dsp:txXfrm>
    </dsp:sp>
    <dsp:sp modelId="{4C4F06B2-BC31-4677-9E27-E9FB9EA87D4E}">
      <dsp:nvSpPr>
        <dsp:cNvPr id="0" name=""/>
        <dsp:cNvSpPr/>
      </dsp:nvSpPr>
      <dsp:spPr>
        <a:xfrm>
          <a:off x="3351962" y="1239735"/>
          <a:ext cx="1378264" cy="826958"/>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buNone/>
          </a:pPr>
          <a:r>
            <a:rPr lang="es-ES" sz="800" b="1" kern="1200">
              <a:solidFill>
                <a:sysClr val="window" lastClr="FFFFFF"/>
              </a:solidFill>
              <a:latin typeface="Calibri"/>
              <a:ea typeface="+mn-ea"/>
              <a:cs typeface="+mn-cs"/>
            </a:rPr>
            <a:t>Resident Representative</a:t>
          </a:r>
        </a:p>
        <a:p>
          <a:pPr lvl="0" algn="ctr" defTabSz="355600">
            <a:lnSpc>
              <a:spcPct val="90000"/>
            </a:lnSpc>
            <a:spcBef>
              <a:spcPct val="0"/>
            </a:spcBef>
            <a:spcAft>
              <a:spcPct val="35000"/>
            </a:spcAft>
            <a:buNone/>
          </a:pPr>
          <a:r>
            <a:rPr lang="es-ES" sz="800" b="1" kern="1200">
              <a:solidFill>
                <a:sysClr val="window" lastClr="FFFFFF"/>
              </a:solidFill>
              <a:latin typeface="Calibri"/>
              <a:ea typeface="+mn-ea"/>
              <a:cs typeface="+mn-cs"/>
            </a:rPr>
            <a:t>UNDP</a:t>
          </a:r>
        </a:p>
      </dsp:txBody>
      <dsp:txXfrm>
        <a:off x="3351962" y="1239735"/>
        <a:ext cx="1378264" cy="826958"/>
      </dsp:txXfrm>
    </dsp:sp>
    <dsp:sp modelId="{27F05C3D-9A8A-48FB-9A35-E800A2565607}">
      <dsp:nvSpPr>
        <dsp:cNvPr id="0" name=""/>
        <dsp:cNvSpPr/>
      </dsp:nvSpPr>
      <dsp:spPr>
        <a:xfrm>
          <a:off x="3672449" y="2666693"/>
          <a:ext cx="1378264" cy="688757"/>
        </a:xfrm>
        <a:prstGeom prst="rect">
          <a:avLst/>
        </a:prstGeom>
        <a:solidFill>
          <a:srgbClr val="8064A2"/>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buNone/>
          </a:pPr>
          <a:r>
            <a:rPr lang="es-ES" sz="800" b="1" kern="1200">
              <a:solidFill>
                <a:sysClr val="window" lastClr="FFFFFF"/>
              </a:solidFill>
              <a:latin typeface="Calibri"/>
              <a:ea typeface="+mn-ea"/>
              <a:cs typeface="+mn-cs"/>
            </a:rPr>
            <a:t>Project Technical Committee</a:t>
          </a:r>
        </a:p>
        <a:p>
          <a:pPr lvl="0" algn="ctr" defTabSz="355600">
            <a:lnSpc>
              <a:spcPct val="90000"/>
            </a:lnSpc>
            <a:spcBef>
              <a:spcPct val="0"/>
            </a:spcBef>
            <a:spcAft>
              <a:spcPct val="35000"/>
            </a:spcAft>
            <a:buNone/>
          </a:pPr>
          <a:r>
            <a:rPr lang="es-ES" sz="800" b="0" kern="1200">
              <a:solidFill>
                <a:sysClr val="window" lastClr="FFFFFF"/>
              </a:solidFill>
              <a:latin typeface="Calibri"/>
              <a:ea typeface="+mn-ea"/>
              <a:cs typeface="+mn-cs"/>
            </a:rPr>
            <a:t>SGAyDS, UNDP, Provinces, INTA, others tbd</a:t>
          </a:r>
        </a:p>
      </dsp:txBody>
      <dsp:txXfrm>
        <a:off x="3672449" y="2666693"/>
        <a:ext cx="1378264" cy="688757"/>
      </dsp:txXfrm>
    </dsp:sp>
    <dsp:sp modelId="{13C21DA4-823A-473A-B9AE-73C49EC028D9}">
      <dsp:nvSpPr>
        <dsp:cNvPr id="0" name=""/>
        <dsp:cNvSpPr/>
      </dsp:nvSpPr>
      <dsp:spPr>
        <a:xfrm>
          <a:off x="1997155" y="3136395"/>
          <a:ext cx="1378264" cy="826958"/>
        </a:xfrm>
        <a:prstGeom prst="rect">
          <a:avLst/>
        </a:prstGeom>
        <a:solidFill>
          <a:srgbClr val="ED7D31">
            <a:lumMod val="7500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buNone/>
          </a:pPr>
          <a:r>
            <a:rPr lang="es-ES" sz="800" b="1" kern="1200">
              <a:solidFill>
                <a:sysClr val="window" lastClr="FFFFFF"/>
              </a:solidFill>
              <a:latin typeface="Calibri"/>
              <a:ea typeface="+mn-ea"/>
              <a:cs typeface="+mn-cs"/>
            </a:rPr>
            <a:t>Project Support</a:t>
          </a:r>
        </a:p>
        <a:p>
          <a:pPr lvl="0" algn="ctr" defTabSz="355600">
            <a:lnSpc>
              <a:spcPct val="90000"/>
            </a:lnSpc>
            <a:spcBef>
              <a:spcPct val="0"/>
            </a:spcBef>
            <a:spcAft>
              <a:spcPct val="35000"/>
            </a:spcAft>
            <a:buNone/>
          </a:pPr>
          <a:r>
            <a:rPr lang="es-ES" sz="800" b="0" kern="1200">
              <a:solidFill>
                <a:sysClr val="window" lastClr="FFFFFF"/>
              </a:solidFill>
              <a:latin typeface="Calibri"/>
              <a:ea typeface="+mn-ea"/>
              <a:cs typeface="+mn-cs"/>
            </a:rPr>
            <a:t>Consultants</a:t>
          </a:r>
        </a:p>
        <a:p>
          <a:pPr lvl="0" algn="ctr" defTabSz="355600">
            <a:lnSpc>
              <a:spcPct val="90000"/>
            </a:lnSpc>
            <a:spcBef>
              <a:spcPct val="0"/>
            </a:spcBef>
            <a:spcAft>
              <a:spcPct val="35000"/>
            </a:spcAft>
            <a:buNone/>
          </a:pPr>
          <a:r>
            <a:rPr lang="es-ES" sz="800" b="0" kern="1200">
              <a:solidFill>
                <a:sysClr val="window" lastClr="FFFFFF"/>
              </a:solidFill>
              <a:latin typeface="Calibri"/>
              <a:ea typeface="+mn-ea"/>
              <a:cs typeface="+mn-cs"/>
            </a:rPr>
            <a:t>Provincial Focal Points</a:t>
          </a:r>
        </a:p>
        <a:p>
          <a:pPr lvl="0" algn="ctr" defTabSz="355600">
            <a:lnSpc>
              <a:spcPct val="90000"/>
            </a:lnSpc>
            <a:spcBef>
              <a:spcPct val="0"/>
            </a:spcBef>
            <a:spcAft>
              <a:spcPct val="35000"/>
            </a:spcAft>
            <a:buNone/>
          </a:pPr>
          <a:r>
            <a:rPr lang="es-ES" sz="800" b="0" kern="1200">
              <a:solidFill>
                <a:sysClr val="window" lastClr="FFFFFF"/>
              </a:solidFill>
              <a:latin typeface="Calibri"/>
              <a:ea typeface="+mn-ea"/>
              <a:cs typeface="+mn-cs"/>
            </a:rPr>
            <a:t>Provincial Working Groups</a:t>
          </a:r>
        </a:p>
      </dsp:txBody>
      <dsp:txXfrm>
        <a:off x="1997155" y="3136395"/>
        <a:ext cx="1378264" cy="826958"/>
      </dsp:txXfrm>
    </dsp:sp>
    <dsp:sp modelId="{211FB07C-DEF2-0345-9D51-952CA4466D5D}">
      <dsp:nvSpPr>
        <dsp:cNvPr id="0" name=""/>
        <dsp:cNvSpPr/>
      </dsp:nvSpPr>
      <dsp:spPr>
        <a:xfrm>
          <a:off x="333741" y="2613848"/>
          <a:ext cx="1378264" cy="688757"/>
        </a:xfrm>
        <a:prstGeom prst="rect">
          <a:avLst/>
        </a:prstGeom>
        <a:solidFill>
          <a:srgbClr val="FFC000">
            <a:lumMod val="7500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buNone/>
          </a:pPr>
          <a:r>
            <a:rPr lang="es-ES" sz="800" b="1" kern="1200">
              <a:solidFill>
                <a:sysClr val="window" lastClr="FFFFFF"/>
              </a:solidFill>
              <a:latin typeface="Calibri"/>
              <a:ea typeface="+mn-ea"/>
              <a:cs typeface="+mn-cs"/>
            </a:rPr>
            <a:t>Project  Assurance</a:t>
          </a:r>
        </a:p>
        <a:p>
          <a:pPr lvl="0" algn="ctr" defTabSz="355600">
            <a:lnSpc>
              <a:spcPct val="90000"/>
            </a:lnSpc>
            <a:spcBef>
              <a:spcPct val="0"/>
            </a:spcBef>
            <a:spcAft>
              <a:spcPct val="35000"/>
            </a:spcAft>
            <a:buNone/>
          </a:pPr>
          <a:r>
            <a:rPr lang="es-ES" sz="800" b="0" kern="1200">
              <a:solidFill>
                <a:sysClr val="window" lastClr="FFFFFF"/>
              </a:solidFill>
              <a:latin typeface="Calibri"/>
              <a:ea typeface="+mn-ea"/>
              <a:cs typeface="+mn-cs"/>
            </a:rPr>
            <a:t>UNDP Argentina, GEF RTA Panama, HQ UNDP GEF</a:t>
          </a:r>
        </a:p>
      </dsp:txBody>
      <dsp:txXfrm>
        <a:off x="333741" y="2613848"/>
        <a:ext cx="1378264" cy="688757"/>
      </dsp:txXfrm>
    </dsp:sp>
  </dsp:spTree>
</dsp:drawing>
</file>

<file path=word/diagrams/layout1.xml><?xml version="1.0" encoding="utf-8"?>
<dgm:layoutDef xmlns:dgm="http://schemas.openxmlformats.org/drawingml/2006/diagram" xmlns:a="http://schemas.openxmlformats.org/drawingml/2006/main" uniqueId="urn:microsoft.com/office/officeart/2005/8/layout/default#1">
  <dgm:title val=""/>
  <dgm:desc val=""/>
  <dgm:catLst>
    <dgm:cat type="list" pri="1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diagram">
    <dgm:varLst>
      <dgm:dir/>
      <dgm:resizeHandles val="exact"/>
    </dgm:varLst>
    <dgm:choose name="Name0">
      <dgm:if name="Name1" func="var" arg="dir" op="equ" val="norm">
        <dgm:alg type="snake">
          <dgm:param type="grDir" val="tL"/>
          <dgm:param type="flowDir" val="row"/>
          <dgm:param type="contDir" val="sameDir"/>
          <dgm:param type="off" val="ctr"/>
        </dgm:alg>
      </dgm:if>
      <dgm:else name="Name2">
        <dgm:alg type="snake">
          <dgm:param type="grDir" val="tR"/>
          <dgm:param type="flowDir" val="row"/>
          <dgm:param type="contDir" val="sameDir"/>
          <dgm:param type="off" val="ctr"/>
        </dgm:alg>
      </dgm:else>
    </dgm:choose>
    <dgm:shape xmlns:r="http://schemas.openxmlformats.org/officeDocument/2006/relationships" r:blip="">
      <dgm:adjLst/>
    </dgm:shape>
    <dgm:presOf/>
    <dgm:constrLst>
      <dgm:constr type="w" for="ch" forName="node" refType="w"/>
      <dgm:constr type="h" for="ch" forName="node" refType="w" refFor="ch" refForName="node" fact="0.6"/>
      <dgm:constr type="w" for="ch" forName="sibTrans" refType="w" refFor="ch" refForName="node" fact="0.1"/>
      <dgm:constr type="sp" refType="w" refFor="ch" refForName="sibTrans"/>
      <dgm:constr type="primFontSz" for="ch" forName="node" op="equ" val="65"/>
    </dgm:constrLst>
    <dgm:ruleLst/>
    <dgm:forEach name="Name3" axis="ch" ptType="node">
      <dgm:layoutNode name="node">
        <dgm:varLst>
          <dgm:bulletEnabled val="1"/>
        </dgm:varLst>
        <dgm:alg type="tx"/>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name="Name4"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LongProperties xmlns="http://schemas.microsoft.com/office/2006/metadata/long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p:properties xmlns:p="http://schemas.microsoft.com/office/2006/metadata/properties" xmlns:xsi="http://www.w3.org/2001/XMLSchema-instance" xmlns:pc="http://schemas.microsoft.com/office/infopath/2007/PartnerControls">
  <documentManagement>
    <GEFCountry xmlns="ceb00776-aa5c-4fc8-b6fe-5f035152e4b6">Argentina</GEFCountry>
    <Classification xmlns="ceb00776-aa5c-4fc8-b6fe-5f035152e4b6">Public</Classification>
    <Country1 xmlns="ceb00776-aa5c-4fc8-b6fe-5f035152e4b6" xsi:nil="true"/>
    <DocPrefix xmlns="ceb00776-aa5c-4fc8-b6fe-5f035152e4b6">Agency project document</DocPrefix>
    <GEFID xmlns="ceb00776-aa5c-4fc8-b6fe-5f035152e4b6">9583</GEFID>
    <ProjectType xmlns="ceb00776-aa5c-4fc8-b6fe-5f035152e4b6">FSP</ProjectType>
    <GEFProjectID xmlns="ceb00776-aa5c-4fc8-b6fe-5f035152e4b6">51dde65d-df7c-e811-8124-3863bb2e1360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Roadmap</DocType>
    <ProjectTitle xmlns="ceb00776-aa5c-4fc8-b6fe-5f035152e4b6">Mainstreaming Biodiversity Conservation and Sustainable Land Management (SLM) into Development Planning: Making Environmental Land Use Planning (ELUP) Operational in Argentina</ProjectTitle>
    <TrustFundType xmlns="ceb00776-aa5c-4fc8-b6fe-5f035152e4b6">GET</TrustFundType>
    <TaxCatchAll xmlns="3e02667f-0271-471b-bd6e-11a2e16def1d"/>
    <DocumentTitle xmlns="ceb00776-aa5c-4fc8-b6fe-5f035152e4b6">PIMS 5791 Argentina Mainstreaming ELUP PRODOC Master File</DocumentTitle>
  </documentManagement>
</p:properties>
</file>

<file path=customXml/itemProps1.xml><?xml version="1.0" encoding="utf-8"?>
<ds:datastoreItem xmlns:ds="http://schemas.openxmlformats.org/officeDocument/2006/customXml" ds:itemID="{433BD055-5EDA-41A9-9152-BAB253B3F399}"/>
</file>

<file path=customXml/itemProps2.xml><?xml version="1.0" encoding="utf-8"?>
<ds:datastoreItem xmlns:ds="http://schemas.openxmlformats.org/officeDocument/2006/customXml" ds:itemID="{F1D420DE-E11C-4028-8EDB-7259E6E1373F}">
  <ds:schemaRefs>
    <ds:schemaRef ds:uri="http://schemas.microsoft.com/office/2006/metadata/longProperties"/>
  </ds:schemaRefs>
</ds:datastoreItem>
</file>

<file path=customXml/itemProps3.xml><?xml version="1.0" encoding="utf-8"?>
<ds:datastoreItem xmlns:ds="http://schemas.openxmlformats.org/officeDocument/2006/customXml" ds:itemID="{A4D1210B-85C1-492A-B3A6-B8474A1282CD}">
  <ds:schemaRefs>
    <ds:schemaRef ds:uri="http://schemas.microsoft.com/sharepoint/v3/contenttype/forms"/>
  </ds:schemaRefs>
</ds:datastoreItem>
</file>

<file path=customXml/itemProps4.xml><?xml version="1.0" encoding="utf-8"?>
<ds:datastoreItem xmlns:ds="http://schemas.openxmlformats.org/officeDocument/2006/customXml" ds:itemID="{BC183A1D-E4C8-42A1-B527-4ACA979FCEA7}">
  <ds:schemaRefs>
    <ds:schemaRef ds:uri="http://schemas.microsoft.com/sharepoint/events"/>
  </ds:schemaRefs>
</ds:datastoreItem>
</file>

<file path=customXml/itemProps5.xml><?xml version="1.0" encoding="utf-8"?>
<ds:datastoreItem xmlns:ds="http://schemas.openxmlformats.org/officeDocument/2006/customXml" ds:itemID="{865BCEF2-0E81-48A6-A2DF-214A9FA4D8AF}">
  <ds:schemaRefs>
    <ds:schemaRef ds:uri="http://schemas.openxmlformats.org/officeDocument/2006/bibliography"/>
  </ds:schemaRefs>
</ds:datastoreItem>
</file>

<file path=customXml/itemProps6.xml><?xml version="1.0" encoding="utf-8"?>
<ds:datastoreItem xmlns:ds="http://schemas.openxmlformats.org/officeDocument/2006/customXml" ds:itemID="{30E026D5-29C2-4EBA-B6FE-0E56782AAFF4}"/>
</file>

<file path=docProps/app.xml><?xml version="1.0" encoding="utf-8"?>
<Properties xmlns="http://schemas.openxmlformats.org/officeDocument/2006/extended-properties" xmlns:vt="http://schemas.openxmlformats.org/officeDocument/2006/docPropsVTypes">
  <Template>Normal</Template>
  <TotalTime>0</TotalTime>
  <Pages>3</Pages>
  <Words>101082</Words>
  <Characters>576169</Characters>
  <Application>Microsoft Office Word</Application>
  <DocSecurity>0</DocSecurity>
  <Lines>4801</Lines>
  <Paragraphs>1351</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Project Document - Deliverable Description</vt:lpstr>
      <vt:lpstr>Project Document - Deliverable Description</vt:lpstr>
    </vt:vector>
  </TitlesOfParts>
  <Company>Microsoft</Company>
  <LinksUpToDate>false</LinksUpToDate>
  <CharactersWithSpaces>675900</CharactersWithSpaces>
  <SharedDoc>false</SharedDoc>
  <HLinks>
    <vt:vector size="336" baseType="variant">
      <vt:variant>
        <vt:i4>18</vt:i4>
      </vt:variant>
      <vt:variant>
        <vt:i4>177</vt:i4>
      </vt:variant>
      <vt:variant>
        <vt:i4>0</vt:i4>
      </vt:variant>
      <vt:variant>
        <vt:i4>5</vt:i4>
      </vt:variant>
      <vt:variant>
        <vt:lpwstr>http://www.un.org/sc/committees/1267/aq_sanctions_list.shtml</vt:lpwstr>
      </vt:variant>
      <vt:variant>
        <vt:lpwstr/>
      </vt:variant>
      <vt:variant>
        <vt:i4>2097170</vt:i4>
      </vt:variant>
      <vt:variant>
        <vt:i4>174</vt:i4>
      </vt:variant>
      <vt:variant>
        <vt:i4>0</vt:i4>
      </vt:variant>
      <vt:variant>
        <vt:i4>5</vt:i4>
      </vt:variant>
      <vt:variant>
        <vt:lpwstr>applewebdata://C6CAEEF0-7E5F-4811-9249-AE88C06D185A/</vt:lpwstr>
      </vt:variant>
      <vt:variant>
        <vt:lpwstr>RANGE!_ftn1</vt:lpwstr>
      </vt:variant>
      <vt:variant>
        <vt:i4>6422635</vt:i4>
      </vt:variant>
      <vt:variant>
        <vt:i4>168</vt:i4>
      </vt:variant>
      <vt:variant>
        <vt:i4>0</vt:i4>
      </vt:variant>
      <vt:variant>
        <vt:i4>5</vt:i4>
      </vt:variant>
      <vt:variant>
        <vt:lpwstr>http://web.undp.org/evaluation/guidance.shtml</vt:lpwstr>
      </vt:variant>
      <vt:variant>
        <vt:lpwstr>gef</vt:lpwstr>
      </vt:variant>
      <vt:variant>
        <vt:i4>6422635</vt:i4>
      </vt:variant>
      <vt:variant>
        <vt:i4>165</vt:i4>
      </vt:variant>
      <vt:variant>
        <vt:i4>0</vt:i4>
      </vt:variant>
      <vt:variant>
        <vt:i4>5</vt:i4>
      </vt:variant>
      <vt:variant>
        <vt:lpwstr>http://web.undp.org/evaluation/guidance.shtml</vt:lpwstr>
      </vt:variant>
      <vt:variant>
        <vt:lpwstr>gef</vt:lpwstr>
      </vt:variant>
      <vt:variant>
        <vt:i4>1441859</vt:i4>
      </vt:variant>
      <vt:variant>
        <vt:i4>162</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159</vt:i4>
      </vt:variant>
      <vt:variant>
        <vt:i4>0</vt:i4>
      </vt:variant>
      <vt:variant>
        <vt:i4>5</vt:i4>
      </vt:variant>
      <vt:variant>
        <vt:lpwstr>http://www.thegef.org/gef/Evaluation Policy 2010</vt:lpwstr>
      </vt:variant>
      <vt:variant>
        <vt:lpwstr/>
      </vt:variant>
      <vt:variant>
        <vt:i4>7995479</vt:i4>
      </vt:variant>
      <vt:variant>
        <vt:i4>156</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153</vt:i4>
      </vt:variant>
      <vt:variant>
        <vt:i4>0</vt:i4>
      </vt:variant>
      <vt:variant>
        <vt:i4>5</vt:i4>
      </vt:variant>
      <vt:variant>
        <vt:lpwstr>http://www.undp.org/content/undp/en/home/operations/accountability/programme_and_operationspoliciesandprocedures.html</vt:lpwstr>
      </vt:variant>
      <vt:variant>
        <vt:lpwstr/>
      </vt:variant>
      <vt:variant>
        <vt:i4>1048639</vt:i4>
      </vt:variant>
      <vt:variant>
        <vt:i4>146</vt:i4>
      </vt:variant>
      <vt:variant>
        <vt:i4>0</vt:i4>
      </vt:variant>
      <vt:variant>
        <vt:i4>5</vt:i4>
      </vt:variant>
      <vt:variant>
        <vt:lpwstr/>
      </vt:variant>
      <vt:variant>
        <vt:lpwstr>_Toc528276514</vt:lpwstr>
      </vt:variant>
      <vt:variant>
        <vt:i4>1048639</vt:i4>
      </vt:variant>
      <vt:variant>
        <vt:i4>140</vt:i4>
      </vt:variant>
      <vt:variant>
        <vt:i4>0</vt:i4>
      </vt:variant>
      <vt:variant>
        <vt:i4>5</vt:i4>
      </vt:variant>
      <vt:variant>
        <vt:lpwstr/>
      </vt:variant>
      <vt:variant>
        <vt:lpwstr>_Toc528276513</vt:lpwstr>
      </vt:variant>
      <vt:variant>
        <vt:i4>1048639</vt:i4>
      </vt:variant>
      <vt:variant>
        <vt:i4>134</vt:i4>
      </vt:variant>
      <vt:variant>
        <vt:i4>0</vt:i4>
      </vt:variant>
      <vt:variant>
        <vt:i4>5</vt:i4>
      </vt:variant>
      <vt:variant>
        <vt:lpwstr/>
      </vt:variant>
      <vt:variant>
        <vt:lpwstr>_Toc528276512</vt:lpwstr>
      </vt:variant>
      <vt:variant>
        <vt:i4>1048639</vt:i4>
      </vt:variant>
      <vt:variant>
        <vt:i4>128</vt:i4>
      </vt:variant>
      <vt:variant>
        <vt:i4>0</vt:i4>
      </vt:variant>
      <vt:variant>
        <vt:i4>5</vt:i4>
      </vt:variant>
      <vt:variant>
        <vt:lpwstr/>
      </vt:variant>
      <vt:variant>
        <vt:lpwstr>_Toc528276511</vt:lpwstr>
      </vt:variant>
      <vt:variant>
        <vt:i4>1048639</vt:i4>
      </vt:variant>
      <vt:variant>
        <vt:i4>122</vt:i4>
      </vt:variant>
      <vt:variant>
        <vt:i4>0</vt:i4>
      </vt:variant>
      <vt:variant>
        <vt:i4>5</vt:i4>
      </vt:variant>
      <vt:variant>
        <vt:lpwstr/>
      </vt:variant>
      <vt:variant>
        <vt:lpwstr>_Toc528276510</vt:lpwstr>
      </vt:variant>
      <vt:variant>
        <vt:i4>1114175</vt:i4>
      </vt:variant>
      <vt:variant>
        <vt:i4>116</vt:i4>
      </vt:variant>
      <vt:variant>
        <vt:i4>0</vt:i4>
      </vt:variant>
      <vt:variant>
        <vt:i4>5</vt:i4>
      </vt:variant>
      <vt:variant>
        <vt:lpwstr/>
      </vt:variant>
      <vt:variant>
        <vt:lpwstr>_Toc528276509</vt:lpwstr>
      </vt:variant>
      <vt:variant>
        <vt:i4>1114175</vt:i4>
      </vt:variant>
      <vt:variant>
        <vt:i4>110</vt:i4>
      </vt:variant>
      <vt:variant>
        <vt:i4>0</vt:i4>
      </vt:variant>
      <vt:variant>
        <vt:i4>5</vt:i4>
      </vt:variant>
      <vt:variant>
        <vt:lpwstr/>
      </vt:variant>
      <vt:variant>
        <vt:lpwstr>_Toc528276508</vt:lpwstr>
      </vt:variant>
      <vt:variant>
        <vt:i4>1114175</vt:i4>
      </vt:variant>
      <vt:variant>
        <vt:i4>104</vt:i4>
      </vt:variant>
      <vt:variant>
        <vt:i4>0</vt:i4>
      </vt:variant>
      <vt:variant>
        <vt:i4>5</vt:i4>
      </vt:variant>
      <vt:variant>
        <vt:lpwstr/>
      </vt:variant>
      <vt:variant>
        <vt:lpwstr>_Toc528276507</vt:lpwstr>
      </vt:variant>
      <vt:variant>
        <vt:i4>1114175</vt:i4>
      </vt:variant>
      <vt:variant>
        <vt:i4>98</vt:i4>
      </vt:variant>
      <vt:variant>
        <vt:i4>0</vt:i4>
      </vt:variant>
      <vt:variant>
        <vt:i4>5</vt:i4>
      </vt:variant>
      <vt:variant>
        <vt:lpwstr/>
      </vt:variant>
      <vt:variant>
        <vt:lpwstr>_Toc528276506</vt:lpwstr>
      </vt:variant>
      <vt:variant>
        <vt:i4>1114175</vt:i4>
      </vt:variant>
      <vt:variant>
        <vt:i4>92</vt:i4>
      </vt:variant>
      <vt:variant>
        <vt:i4>0</vt:i4>
      </vt:variant>
      <vt:variant>
        <vt:i4>5</vt:i4>
      </vt:variant>
      <vt:variant>
        <vt:lpwstr/>
      </vt:variant>
      <vt:variant>
        <vt:lpwstr>_Toc528276505</vt:lpwstr>
      </vt:variant>
      <vt:variant>
        <vt:i4>1114175</vt:i4>
      </vt:variant>
      <vt:variant>
        <vt:i4>86</vt:i4>
      </vt:variant>
      <vt:variant>
        <vt:i4>0</vt:i4>
      </vt:variant>
      <vt:variant>
        <vt:i4>5</vt:i4>
      </vt:variant>
      <vt:variant>
        <vt:lpwstr/>
      </vt:variant>
      <vt:variant>
        <vt:lpwstr>_Toc528276504</vt:lpwstr>
      </vt:variant>
      <vt:variant>
        <vt:i4>1114175</vt:i4>
      </vt:variant>
      <vt:variant>
        <vt:i4>80</vt:i4>
      </vt:variant>
      <vt:variant>
        <vt:i4>0</vt:i4>
      </vt:variant>
      <vt:variant>
        <vt:i4>5</vt:i4>
      </vt:variant>
      <vt:variant>
        <vt:lpwstr/>
      </vt:variant>
      <vt:variant>
        <vt:lpwstr>_Toc528276503</vt:lpwstr>
      </vt:variant>
      <vt:variant>
        <vt:i4>1114175</vt:i4>
      </vt:variant>
      <vt:variant>
        <vt:i4>74</vt:i4>
      </vt:variant>
      <vt:variant>
        <vt:i4>0</vt:i4>
      </vt:variant>
      <vt:variant>
        <vt:i4>5</vt:i4>
      </vt:variant>
      <vt:variant>
        <vt:lpwstr/>
      </vt:variant>
      <vt:variant>
        <vt:lpwstr>_Toc528276502</vt:lpwstr>
      </vt:variant>
      <vt:variant>
        <vt:i4>1114175</vt:i4>
      </vt:variant>
      <vt:variant>
        <vt:i4>68</vt:i4>
      </vt:variant>
      <vt:variant>
        <vt:i4>0</vt:i4>
      </vt:variant>
      <vt:variant>
        <vt:i4>5</vt:i4>
      </vt:variant>
      <vt:variant>
        <vt:lpwstr/>
      </vt:variant>
      <vt:variant>
        <vt:lpwstr>_Toc528276501</vt:lpwstr>
      </vt:variant>
      <vt:variant>
        <vt:i4>1114175</vt:i4>
      </vt:variant>
      <vt:variant>
        <vt:i4>62</vt:i4>
      </vt:variant>
      <vt:variant>
        <vt:i4>0</vt:i4>
      </vt:variant>
      <vt:variant>
        <vt:i4>5</vt:i4>
      </vt:variant>
      <vt:variant>
        <vt:lpwstr/>
      </vt:variant>
      <vt:variant>
        <vt:lpwstr>_Toc528276500</vt:lpwstr>
      </vt:variant>
      <vt:variant>
        <vt:i4>1572926</vt:i4>
      </vt:variant>
      <vt:variant>
        <vt:i4>56</vt:i4>
      </vt:variant>
      <vt:variant>
        <vt:i4>0</vt:i4>
      </vt:variant>
      <vt:variant>
        <vt:i4>5</vt:i4>
      </vt:variant>
      <vt:variant>
        <vt:lpwstr/>
      </vt:variant>
      <vt:variant>
        <vt:lpwstr>_Toc528276499</vt:lpwstr>
      </vt:variant>
      <vt:variant>
        <vt:i4>1572926</vt:i4>
      </vt:variant>
      <vt:variant>
        <vt:i4>50</vt:i4>
      </vt:variant>
      <vt:variant>
        <vt:i4>0</vt:i4>
      </vt:variant>
      <vt:variant>
        <vt:i4>5</vt:i4>
      </vt:variant>
      <vt:variant>
        <vt:lpwstr/>
      </vt:variant>
      <vt:variant>
        <vt:lpwstr>_Toc528276498</vt:lpwstr>
      </vt:variant>
      <vt:variant>
        <vt:i4>1572926</vt:i4>
      </vt:variant>
      <vt:variant>
        <vt:i4>44</vt:i4>
      </vt:variant>
      <vt:variant>
        <vt:i4>0</vt:i4>
      </vt:variant>
      <vt:variant>
        <vt:i4>5</vt:i4>
      </vt:variant>
      <vt:variant>
        <vt:lpwstr/>
      </vt:variant>
      <vt:variant>
        <vt:lpwstr>_Toc528276497</vt:lpwstr>
      </vt:variant>
      <vt:variant>
        <vt:i4>1572926</vt:i4>
      </vt:variant>
      <vt:variant>
        <vt:i4>38</vt:i4>
      </vt:variant>
      <vt:variant>
        <vt:i4>0</vt:i4>
      </vt:variant>
      <vt:variant>
        <vt:i4>5</vt:i4>
      </vt:variant>
      <vt:variant>
        <vt:lpwstr/>
      </vt:variant>
      <vt:variant>
        <vt:lpwstr>_Toc528276496</vt:lpwstr>
      </vt:variant>
      <vt:variant>
        <vt:i4>1572926</vt:i4>
      </vt:variant>
      <vt:variant>
        <vt:i4>32</vt:i4>
      </vt:variant>
      <vt:variant>
        <vt:i4>0</vt:i4>
      </vt:variant>
      <vt:variant>
        <vt:i4>5</vt:i4>
      </vt:variant>
      <vt:variant>
        <vt:lpwstr/>
      </vt:variant>
      <vt:variant>
        <vt:lpwstr>_Toc528276495</vt:lpwstr>
      </vt:variant>
      <vt:variant>
        <vt:i4>1572926</vt:i4>
      </vt:variant>
      <vt:variant>
        <vt:i4>26</vt:i4>
      </vt:variant>
      <vt:variant>
        <vt:i4>0</vt:i4>
      </vt:variant>
      <vt:variant>
        <vt:i4>5</vt:i4>
      </vt:variant>
      <vt:variant>
        <vt:lpwstr/>
      </vt:variant>
      <vt:variant>
        <vt:lpwstr>_Toc528276494</vt:lpwstr>
      </vt:variant>
      <vt:variant>
        <vt:i4>1572926</vt:i4>
      </vt:variant>
      <vt:variant>
        <vt:i4>20</vt:i4>
      </vt:variant>
      <vt:variant>
        <vt:i4>0</vt:i4>
      </vt:variant>
      <vt:variant>
        <vt:i4>5</vt:i4>
      </vt:variant>
      <vt:variant>
        <vt:lpwstr/>
      </vt:variant>
      <vt:variant>
        <vt:lpwstr>_Toc528276493</vt:lpwstr>
      </vt:variant>
      <vt:variant>
        <vt:i4>1572926</vt:i4>
      </vt:variant>
      <vt:variant>
        <vt:i4>14</vt:i4>
      </vt:variant>
      <vt:variant>
        <vt:i4>0</vt:i4>
      </vt:variant>
      <vt:variant>
        <vt:i4>5</vt:i4>
      </vt:variant>
      <vt:variant>
        <vt:lpwstr/>
      </vt:variant>
      <vt:variant>
        <vt:lpwstr>_Toc528276492</vt:lpwstr>
      </vt:variant>
      <vt:variant>
        <vt:i4>1572926</vt:i4>
      </vt:variant>
      <vt:variant>
        <vt:i4>8</vt:i4>
      </vt:variant>
      <vt:variant>
        <vt:i4>0</vt:i4>
      </vt:variant>
      <vt:variant>
        <vt:i4>5</vt:i4>
      </vt:variant>
      <vt:variant>
        <vt:lpwstr/>
      </vt:variant>
      <vt:variant>
        <vt:lpwstr>_Toc528276491</vt:lpwstr>
      </vt:variant>
      <vt:variant>
        <vt:i4>1572926</vt:i4>
      </vt:variant>
      <vt:variant>
        <vt:i4>2</vt:i4>
      </vt:variant>
      <vt:variant>
        <vt:i4>0</vt:i4>
      </vt:variant>
      <vt:variant>
        <vt:i4>5</vt:i4>
      </vt:variant>
      <vt:variant>
        <vt:lpwstr/>
      </vt:variant>
      <vt:variant>
        <vt:lpwstr>_Toc528276490</vt:lpwstr>
      </vt:variant>
      <vt:variant>
        <vt:i4>6881390</vt:i4>
      </vt:variant>
      <vt:variant>
        <vt:i4>66</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63</vt:i4>
      </vt:variant>
      <vt:variant>
        <vt:i4>0</vt:i4>
      </vt:variant>
      <vt:variant>
        <vt:i4>5</vt:i4>
      </vt:variant>
      <vt:variant>
        <vt:lpwstr>https://info.undp.org/global/popp/ppm/Pages/Closing-a-Project.aspx</vt:lpwstr>
      </vt:variant>
      <vt:variant>
        <vt:lpwstr/>
      </vt:variant>
      <vt:variant>
        <vt:i4>3932266</vt:i4>
      </vt:variant>
      <vt:variant>
        <vt:i4>60</vt:i4>
      </vt:variant>
      <vt:variant>
        <vt:i4>0</vt:i4>
      </vt:variant>
      <vt:variant>
        <vt:i4>5</vt:i4>
      </vt:variant>
      <vt:variant>
        <vt:lpwstr>https://info.undp.org/global/popp/frm/pages/financial-management-and-execution-modalities.aspx</vt:lpwstr>
      </vt:variant>
      <vt:variant>
        <vt:lpwstr/>
      </vt:variant>
      <vt:variant>
        <vt:i4>2818135</vt:i4>
      </vt:variant>
      <vt:variant>
        <vt:i4>57</vt:i4>
      </vt:variant>
      <vt:variant>
        <vt:i4>0</vt:i4>
      </vt:variant>
      <vt:variant>
        <vt:i4>5</vt:i4>
      </vt:variant>
      <vt:variant>
        <vt:lpwstr>https://www.thegef.org/gef/gef_agencies</vt:lpwstr>
      </vt:variant>
      <vt:variant>
        <vt:lpwstr/>
      </vt:variant>
      <vt:variant>
        <vt:i4>852086</vt:i4>
      </vt:variant>
      <vt:variant>
        <vt:i4>54</vt:i4>
      </vt:variant>
      <vt:variant>
        <vt:i4>0</vt:i4>
      </vt:variant>
      <vt:variant>
        <vt:i4>5</vt:i4>
      </vt:variant>
      <vt:variant>
        <vt:lpwstr>https://www.thegef.org/gef/policies_guidelines</vt:lpwstr>
      </vt:variant>
      <vt:variant>
        <vt:lpwstr/>
      </vt:variant>
      <vt:variant>
        <vt:i4>3473518</vt:i4>
      </vt:variant>
      <vt:variant>
        <vt:i4>51</vt:i4>
      </vt:variant>
      <vt:variant>
        <vt:i4>0</vt:i4>
      </vt:variant>
      <vt:variant>
        <vt:i4>5</vt:i4>
      </vt:variant>
      <vt:variant>
        <vt:lpwstr>https://www.provinciamicrocreditos.com/</vt:lpwstr>
      </vt:variant>
      <vt:variant>
        <vt:lpwstr/>
      </vt:variant>
      <vt:variant>
        <vt:i4>7864360</vt:i4>
      </vt:variant>
      <vt:variant>
        <vt:i4>48</vt:i4>
      </vt:variant>
      <vt:variant>
        <vt:i4>0</vt:i4>
      </vt:variant>
      <vt:variant>
        <vt:i4>5</vt:i4>
      </vt:variant>
      <vt:variant>
        <vt:lpwstr>http://www.ambiente.mendoza.gov.ar/organismos/cpot/mision-cpot/</vt:lpwstr>
      </vt:variant>
      <vt:variant>
        <vt:lpwstr/>
      </vt:variant>
      <vt:variant>
        <vt:i4>7405684</vt:i4>
      </vt:variant>
      <vt:variant>
        <vt:i4>45</vt:i4>
      </vt:variant>
      <vt:variant>
        <vt:i4>0</vt:i4>
      </vt:variant>
      <vt:variant>
        <vt:i4>5</vt:i4>
      </vt:variant>
      <vt:variant>
        <vt:lpwstr>http://www.gob.gba.gov.ar/legislacion/legislacion/08-1496.html</vt:lpwstr>
      </vt:variant>
      <vt:variant>
        <vt:lpwstr/>
      </vt:variant>
      <vt:variant>
        <vt:i4>852059</vt:i4>
      </vt:variant>
      <vt:variant>
        <vt:i4>42</vt:i4>
      </vt:variant>
      <vt:variant>
        <vt:i4>0</vt:i4>
      </vt:variant>
      <vt:variant>
        <vt:i4>5</vt:i4>
      </vt:variant>
      <vt:variant>
        <vt:lpwstr>http://www.idera.gob.ar/</vt:lpwstr>
      </vt:variant>
      <vt:variant>
        <vt:lpwstr/>
      </vt:variant>
      <vt:variant>
        <vt:i4>7471205</vt:i4>
      </vt:variant>
      <vt:variant>
        <vt:i4>39</vt:i4>
      </vt:variant>
      <vt:variant>
        <vt:i4>0</vt:i4>
      </vt:variant>
      <vt:variant>
        <vt:i4>5</vt:i4>
      </vt:variant>
      <vt:variant>
        <vt:lpwstr>http://www.ada.gba.gov.ar/</vt:lpwstr>
      </vt:variant>
      <vt:variant>
        <vt:lpwstr/>
      </vt:variant>
      <vt:variant>
        <vt:i4>720969</vt:i4>
      </vt:variant>
      <vt:variant>
        <vt:i4>36</vt:i4>
      </vt:variant>
      <vt:variant>
        <vt:i4>0</vt:i4>
      </vt:variant>
      <vt:variant>
        <vt:i4>5</vt:i4>
      </vt:variant>
      <vt:variant>
        <vt:lpwstr>http://www.urbasig.minfra.gba.gov.ar/urbasig/</vt:lpwstr>
      </vt:variant>
      <vt:variant>
        <vt:lpwstr/>
      </vt:variant>
      <vt:variant>
        <vt:i4>1900622</vt:i4>
      </vt:variant>
      <vt:variant>
        <vt:i4>33</vt:i4>
      </vt:variant>
      <vt:variant>
        <vt:i4>0</vt:i4>
      </vt:variant>
      <vt:variant>
        <vt:i4>5</vt:i4>
      </vt:variant>
      <vt:variant>
        <vt:lpwstr>http://sata.opds.gba.gov.ar/institucional.php</vt:lpwstr>
      </vt:variant>
      <vt:variant>
        <vt:lpwstr/>
      </vt:variant>
      <vt:variant>
        <vt:i4>4849742</vt:i4>
      </vt:variant>
      <vt:variant>
        <vt:i4>30</vt:i4>
      </vt:variant>
      <vt:variant>
        <vt:i4>0</vt:i4>
      </vt:variant>
      <vt:variant>
        <vt:i4>5</vt:i4>
      </vt:variant>
      <vt:variant>
        <vt:lpwstr>http://ide.irrigacion.gov.ar/</vt:lpwstr>
      </vt:variant>
      <vt:variant>
        <vt:lpwstr/>
      </vt:variant>
      <vt:variant>
        <vt:i4>7405616</vt:i4>
      </vt:variant>
      <vt:variant>
        <vt:i4>27</vt:i4>
      </vt:variant>
      <vt:variant>
        <vt:i4>0</vt:i4>
      </vt:variant>
      <vt:variant>
        <vt:i4>5</vt:i4>
      </vt:variant>
      <vt:variant>
        <vt:lpwstr>http://www.siat.mendoza.gov.ar/</vt:lpwstr>
      </vt:variant>
      <vt:variant>
        <vt:lpwstr/>
      </vt:variant>
      <vt:variant>
        <vt:i4>7274532</vt:i4>
      </vt:variant>
      <vt:variant>
        <vt:i4>24</vt:i4>
      </vt:variant>
      <vt:variant>
        <vt:i4>0</vt:i4>
      </vt:variant>
      <vt:variant>
        <vt:i4>5</vt:i4>
      </vt:variant>
      <vt:variant>
        <vt:lpwstr>http://www.idem.mendoza.gov.ar/</vt:lpwstr>
      </vt:variant>
      <vt:variant>
        <vt:lpwstr/>
      </vt:variant>
      <vt:variant>
        <vt:i4>7995503</vt:i4>
      </vt:variant>
      <vt:variant>
        <vt:i4>21</vt:i4>
      </vt:variant>
      <vt:variant>
        <vt:i4>0</vt:i4>
      </vt:variant>
      <vt:variant>
        <vt:i4>5</vt:i4>
      </vt:variant>
      <vt:variant>
        <vt:lpwstr>http://www.dipec.jujuy.gov.ar/</vt:lpwstr>
      </vt:variant>
      <vt:variant>
        <vt:lpwstr/>
      </vt:variant>
      <vt:variant>
        <vt:i4>6094938</vt:i4>
      </vt:variant>
      <vt:variant>
        <vt:i4>18</vt:i4>
      </vt:variant>
      <vt:variant>
        <vt:i4>0</vt:i4>
      </vt:variant>
      <vt:variant>
        <vt:i4>5</vt:i4>
      </vt:variant>
      <vt:variant>
        <vt:lpwstr>http://idej.jujuy.gob.ar/visualizadores/</vt:lpwstr>
      </vt:variant>
      <vt:variant>
        <vt:lpwstr/>
      </vt:variant>
      <vt:variant>
        <vt:i4>720962</vt:i4>
      </vt:variant>
      <vt:variant>
        <vt:i4>15</vt:i4>
      </vt:variant>
      <vt:variant>
        <vt:i4>0</vt:i4>
      </vt:variant>
      <vt:variant>
        <vt:i4>5</vt:i4>
      </vt:variant>
      <vt:variant>
        <vt:lpwstr>http://www.ambientejujuy.gob.ar/</vt:lpwstr>
      </vt:variant>
      <vt:variant>
        <vt:lpwstr/>
      </vt:variant>
      <vt:variant>
        <vt:i4>196634</vt:i4>
      </vt:variant>
      <vt:variant>
        <vt:i4>12</vt:i4>
      </vt:variant>
      <vt:variant>
        <vt:i4>0</vt:i4>
      </vt:variant>
      <vt:variant>
        <vt:i4>5</vt:i4>
      </vt:variant>
      <vt:variant>
        <vt:lpwstr>http://datos.gob.ar/</vt:lpwstr>
      </vt:variant>
      <vt:variant>
        <vt:lpwstr/>
      </vt:variant>
      <vt:variant>
        <vt:i4>4849684</vt:i4>
      </vt:variant>
      <vt:variant>
        <vt:i4>9</vt:i4>
      </vt:variant>
      <vt:variant>
        <vt:i4>0</vt:i4>
      </vt:variant>
      <vt:variant>
        <vt:i4>5</vt:i4>
      </vt:variant>
      <vt:variant>
        <vt:lpwstr>https://sib.gob.ar/</vt:lpwstr>
      </vt:variant>
      <vt:variant>
        <vt:lpwstr>!/</vt:lpwstr>
      </vt:variant>
      <vt:variant>
        <vt:i4>5963804</vt:i4>
      </vt:variant>
      <vt:variant>
        <vt:i4>6</vt:i4>
      </vt:variant>
      <vt:variant>
        <vt:i4>0</vt:i4>
      </vt:variant>
      <vt:variant>
        <vt:i4>5</vt:i4>
      </vt:variant>
      <vt:variant>
        <vt:lpwstr>http://visor.geointa.inta.gob.ar/</vt:lpwstr>
      </vt:variant>
      <vt:variant>
        <vt:lpwstr/>
      </vt:variant>
      <vt:variant>
        <vt:i4>4849740</vt:i4>
      </vt:variant>
      <vt:variant>
        <vt:i4>3</vt:i4>
      </vt:variant>
      <vt:variant>
        <vt:i4>0</vt:i4>
      </vt:variant>
      <vt:variant>
        <vt:i4>5</vt:i4>
      </vt:variant>
      <vt:variant>
        <vt:lpwstr>http://mapas.ambiente.gob.ar/</vt:lpwstr>
      </vt:variant>
      <vt:variant>
        <vt:lpwstr/>
      </vt:variant>
      <vt:variant>
        <vt:i4>6488112</vt:i4>
      </vt:variant>
      <vt:variant>
        <vt:i4>0</vt:i4>
      </vt:variant>
      <vt:variant>
        <vt:i4>0</vt:i4>
      </vt:variant>
      <vt:variant>
        <vt:i4>5</vt:i4>
      </vt:variant>
      <vt:variant>
        <vt:lpwstr>http://www.desertificacion.gob.ar/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Patrick Gremillet</dc:creator>
  <cp:lastModifiedBy>Cathy Maize</cp:lastModifiedBy>
  <cp:revision>2</cp:revision>
  <cp:lastPrinted>2017-07-11T16:45:00Z</cp:lastPrinted>
  <dcterms:created xsi:type="dcterms:W3CDTF">2018-11-24T00:32:00Z</dcterms:created>
  <dcterms:modified xsi:type="dcterms:W3CDTF">2018-11-24T00:32:00Z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f5980e8d-d345-4c6a-9b1f-ff7e4001a241</vt:lpwstr>
  </property>
  <property fmtid="{D5CDD505-2E9C-101B-9397-08002B2CF9AE}" pid="4" name="_dlc_DocId">
    <vt:lpwstr>KKKATZMDSDUY-340-121</vt:lpwstr>
  </property>
  <property fmtid="{D5CDD505-2E9C-101B-9397-08002B2CF9AE}" pid="5" name="_dlc_DocIdUrl">
    <vt:lpwstr>https://intranet.undp.org/unit/bpps/sdev/gef/_layouts/15/DocIdRedir.aspx?ID=KKKATZMDSDUY-340-121, KKKATZMDSDUY-340-121</vt:lpwstr>
  </property>
  <property fmtid="{D5CDD505-2E9C-101B-9397-08002B2CF9AE}" pid="6" name="Description0">
    <vt:lpwstr/>
  </property>
  <property fmtid="{D5CDD505-2E9C-101B-9397-08002B2CF9AE}" pid="7" name="Category">
    <vt:lpwstr>Concept Design Phase</vt:lpwstr>
  </property>
</Properties>
</file>